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BA2D96" w14:textId="77777777" w:rsidR="006F379D" w:rsidRPr="006F00BE" w:rsidRDefault="006F379D" w:rsidP="006F379D">
      <w:pPr>
        <w:spacing w:after="0" w:line="240" w:lineRule="auto"/>
        <w:rPr>
          <w:rFonts w:ascii="Verdana" w:eastAsia="Calibri" w:hAnsi="Verdana" w:cs="Arial"/>
          <w:b/>
          <w:bCs/>
          <w:lang w:val="es-ES" w:eastAsia="es-ES"/>
        </w:rPr>
      </w:pPr>
      <w:bookmarkStart w:id="0" w:name="_Hlk186494164"/>
      <w:bookmarkStart w:id="1" w:name="_Hlk143780582"/>
      <w:r w:rsidRPr="006F00BE">
        <w:rPr>
          <w:rFonts w:ascii="Verdana" w:eastAsia="Calibri" w:hAnsi="Verdana" w:cs="Arial"/>
          <w:b/>
          <w:bCs/>
          <w:lang w:val="es-ES" w:eastAsia="es-ES"/>
        </w:rPr>
        <w:t xml:space="preserve">SISTEMA GENERAL DE REGALÍAS – Ley 2056 de 2020 – artículo 37 </w:t>
      </w:r>
    </w:p>
    <w:p w14:paraId="1373991B" w14:textId="77777777" w:rsidR="006F379D" w:rsidRPr="006F379D" w:rsidRDefault="006F379D" w:rsidP="006F379D">
      <w:pPr>
        <w:spacing w:after="0" w:line="240" w:lineRule="auto"/>
        <w:jc w:val="both"/>
        <w:rPr>
          <w:rFonts w:ascii="Verdana" w:hAnsi="Verdana" w:cs="Arial"/>
          <w:noProof/>
          <w:sz w:val="20"/>
          <w:szCs w:val="20"/>
          <w:lang w:val="es-ES_tradnl"/>
        </w:rPr>
      </w:pPr>
    </w:p>
    <w:p w14:paraId="54C54A78" w14:textId="77777777" w:rsidR="006F379D" w:rsidRPr="006F379D" w:rsidRDefault="006F379D" w:rsidP="006F379D">
      <w:pPr>
        <w:spacing w:after="0" w:line="240" w:lineRule="auto"/>
        <w:jc w:val="both"/>
        <w:rPr>
          <w:rFonts w:ascii="Verdana" w:hAnsi="Verdana" w:cs="Arial"/>
          <w:noProof/>
          <w:sz w:val="20"/>
          <w:szCs w:val="20"/>
          <w:lang w:val="es-ES_tradnl"/>
        </w:rPr>
      </w:pPr>
      <w:r w:rsidRPr="006F379D">
        <w:rPr>
          <w:rFonts w:ascii="Verdana" w:hAnsi="Verdana" w:cs="Arial"/>
          <w:noProof/>
          <w:sz w:val="20"/>
          <w:szCs w:val="20"/>
          <w:lang w:val="es-ES_tradnl"/>
        </w:rPr>
        <w:t xml:space="preserve">En </w:t>
      </w:r>
      <w:r w:rsidRPr="006F379D">
        <w:rPr>
          <w:rFonts w:ascii="Verdana" w:hAnsi="Verdana" w:cs="Arial"/>
          <w:noProof/>
          <w:sz w:val="20"/>
          <w:szCs w:val="20"/>
        </w:rPr>
        <w:t>el Título IV, Capítulo I, la Ley 2056 de 2020 establece las reglas generales para los proyectos de inversión en el Sistema General de Regalías. En esta línea, regula la destinación de los proyectos del Sistema General de Regalías –artículo 28–, las características de los proyectos de inversión –artículo 29–, los ejercicios de planeación –artículo 30–, el ciclo de los proyectos de inversión –artículo 31–, el registro de proyectos –artículo 32–, formulación y presentación de los proyectos de inversión –artículo 33–, viabilidad de los proyectos de inversión–artículo 34–, priorización y aprobación de los proyectos de inversión de la asignación para la inversión regional –artículo 35–, priorización y aprobación de proyectos de inversión para las asignaciones directas y asignación para la inversión local –artículo 36–, así como la ejecución de proyectos de inversión –artículo 37–.</w:t>
      </w:r>
    </w:p>
    <w:p w14:paraId="2FC6B722" w14:textId="77777777" w:rsidR="006F379D" w:rsidRPr="006F379D" w:rsidRDefault="006F379D" w:rsidP="006F379D">
      <w:pPr>
        <w:spacing w:after="0" w:line="240" w:lineRule="auto"/>
        <w:jc w:val="both"/>
        <w:rPr>
          <w:rFonts w:ascii="Verdana" w:hAnsi="Verdana" w:cs="Arial"/>
          <w:noProof/>
          <w:sz w:val="20"/>
          <w:szCs w:val="20"/>
        </w:rPr>
      </w:pPr>
    </w:p>
    <w:p w14:paraId="756C6F83" w14:textId="77777777" w:rsidR="006F379D" w:rsidRPr="006F379D" w:rsidRDefault="006F379D" w:rsidP="006F379D">
      <w:pPr>
        <w:spacing w:after="0" w:line="240" w:lineRule="auto"/>
        <w:jc w:val="both"/>
        <w:rPr>
          <w:rFonts w:ascii="Verdana" w:hAnsi="Verdana" w:cs="Arial"/>
          <w:noProof/>
          <w:sz w:val="20"/>
          <w:szCs w:val="20"/>
        </w:rPr>
      </w:pPr>
      <w:r w:rsidRPr="006F379D">
        <w:rPr>
          <w:rFonts w:ascii="Verdana" w:hAnsi="Verdana" w:cs="Arial"/>
          <w:noProof/>
          <w:sz w:val="20"/>
          <w:szCs w:val="20"/>
        </w:rPr>
        <w:t xml:space="preserve">Los parágrafos del señalado artículo 37 disponen reglas importantes frente a la designación de los ejecutores de los proyectos y el régimen de contratación que deberá regir su actuación. El parágrafo primero del artículo 37 ibidem dispone que “La ejecución de proyectos de que trata este artículo, se adelantará, con estricta sujeción al régimen presupuestal definido en esta ley, al de contratación pública y las demás normas legales vigentes” . Lo anterior implica que el ejecutor de los proyectos de inversión del SGR deberá someterse a las reglas de contratación pública, es decir, a lo establecido en el Estatuto General de Contratación Pública, así como las normas que lo modifiquen, sustituyan o reglamenten, cuando desarrolle proyectos en el marco de éste sistema. En efecto, el ejecutor debe someterse a las reglas generales de la contratación pública cuando desarrolle proyectos en el marco del Sistema General de Regalías. </w:t>
      </w:r>
    </w:p>
    <w:p w14:paraId="5BFEDE76" w14:textId="77777777" w:rsidR="006F379D" w:rsidRPr="006F379D" w:rsidRDefault="006F379D" w:rsidP="006F379D">
      <w:pPr>
        <w:spacing w:after="0" w:line="240" w:lineRule="auto"/>
        <w:jc w:val="both"/>
        <w:rPr>
          <w:rFonts w:ascii="Verdana" w:hAnsi="Verdana" w:cs="Arial"/>
          <w:noProof/>
          <w:sz w:val="20"/>
          <w:szCs w:val="20"/>
        </w:rPr>
      </w:pPr>
    </w:p>
    <w:p w14:paraId="5BA94808" w14:textId="77777777" w:rsidR="006F379D" w:rsidRPr="006F379D" w:rsidRDefault="006F379D" w:rsidP="006F379D">
      <w:pPr>
        <w:spacing w:after="0" w:line="240" w:lineRule="auto"/>
        <w:jc w:val="both"/>
        <w:rPr>
          <w:rFonts w:ascii="Verdana" w:hAnsi="Verdana" w:cs="Arial"/>
          <w:noProof/>
          <w:sz w:val="20"/>
          <w:szCs w:val="20"/>
        </w:rPr>
      </w:pPr>
      <w:r w:rsidRPr="006F379D">
        <w:rPr>
          <w:rFonts w:ascii="Verdana" w:hAnsi="Verdana" w:cs="Arial"/>
          <w:noProof/>
          <w:sz w:val="20"/>
          <w:szCs w:val="20"/>
        </w:rPr>
        <w:t>Por tanto, conforme a esta previsión normativa en caso de que se realicen proyectos de inversión en el marco del Sistema General de Regalías los ejecutores designados para desarrollarlos deben sujetarse al Estatuto General de Contratación de la Administración Pública. En el evento en que determinados asuntos estén sometidos por norma especial al Estatuto General de Contratación Pública, la ejecución de los contratos deberá realizarse conforme a este régimen</w:t>
      </w:r>
    </w:p>
    <w:p w14:paraId="083D3BB8" w14:textId="77777777" w:rsidR="006F379D" w:rsidRPr="006F379D" w:rsidRDefault="006F379D" w:rsidP="006F379D">
      <w:pPr>
        <w:spacing w:after="0" w:line="240" w:lineRule="auto"/>
        <w:jc w:val="both"/>
        <w:rPr>
          <w:rFonts w:ascii="Verdana" w:hAnsi="Verdana" w:cs="Arial"/>
          <w:noProof/>
          <w:sz w:val="20"/>
          <w:szCs w:val="20"/>
        </w:rPr>
      </w:pPr>
    </w:p>
    <w:p w14:paraId="22E971AC" w14:textId="563CAAEF" w:rsidR="006F379D" w:rsidRPr="007D1F5C" w:rsidRDefault="006F379D" w:rsidP="007D1F5C">
      <w:pPr>
        <w:jc w:val="both"/>
        <w:rPr>
          <w:rFonts w:ascii="Verdana" w:eastAsia="Calibri" w:hAnsi="Verdana" w:cs="Arial"/>
          <w:b/>
          <w:bCs/>
          <w:lang w:val="es-ES" w:eastAsia="es-ES"/>
        </w:rPr>
      </w:pPr>
      <w:r w:rsidRPr="006F379D">
        <w:rPr>
          <w:rFonts w:ascii="Verdana" w:eastAsia="Calibri" w:hAnsi="Verdana" w:cs="Arial"/>
          <w:b/>
          <w:bCs/>
          <w:lang w:val="es-ES" w:eastAsia="es-ES"/>
        </w:rPr>
        <w:t xml:space="preserve">RÉGIMEN CONTRACTUAL – Entidades ejecutoras – Régimen especial – Aplicación del Estatuto General de Contratación de la Administración Pública         </w:t>
      </w:r>
    </w:p>
    <w:p w14:paraId="70BA9E2F" w14:textId="77777777" w:rsidR="006F379D" w:rsidRPr="006F379D" w:rsidRDefault="006F379D" w:rsidP="006F379D">
      <w:pPr>
        <w:spacing w:after="0" w:line="240" w:lineRule="auto"/>
        <w:jc w:val="both"/>
        <w:rPr>
          <w:rFonts w:ascii="Verdana" w:eastAsia="Calibri" w:hAnsi="Verdana" w:cs="Arial"/>
          <w:color w:val="000000"/>
          <w:sz w:val="20"/>
          <w:szCs w:val="20"/>
          <w:lang w:val="es-ES" w:eastAsia="es-ES"/>
        </w:rPr>
      </w:pPr>
      <w:r w:rsidRPr="006F379D">
        <w:rPr>
          <w:rFonts w:ascii="Verdana" w:eastAsia="Calibri" w:hAnsi="Verdana" w:cs="Arial"/>
          <w:color w:val="000000"/>
          <w:sz w:val="20"/>
          <w:szCs w:val="20"/>
          <w:lang w:val="es-ES" w:eastAsia="es-ES"/>
        </w:rPr>
        <w:t xml:space="preserve">Así las cosas, se ha sostenido </w:t>
      </w:r>
      <w:proofErr w:type="gramStart"/>
      <w:r w:rsidRPr="006F379D">
        <w:rPr>
          <w:rFonts w:ascii="Verdana" w:eastAsia="Calibri" w:hAnsi="Verdana" w:cs="Arial"/>
          <w:color w:val="000000"/>
          <w:sz w:val="20"/>
          <w:szCs w:val="20"/>
          <w:lang w:val="es-ES" w:eastAsia="es-ES"/>
        </w:rPr>
        <w:t>que</w:t>
      </w:r>
      <w:proofErr w:type="gramEnd"/>
      <w:r w:rsidRPr="006F379D">
        <w:rPr>
          <w:rFonts w:ascii="Verdana" w:eastAsia="Calibri" w:hAnsi="Verdana" w:cs="Arial"/>
          <w:color w:val="000000"/>
          <w:sz w:val="20"/>
          <w:szCs w:val="20"/>
          <w:lang w:val="es-ES" w:eastAsia="es-ES"/>
        </w:rPr>
        <w:t xml:space="preserve"> si la entidad ejecutora es de régimen especial, no podrá apoyarse en las excepciones a la aplicación de la Ley 80 de 1993 para la ejecución de los proyectos. De esta manera, el artículo 37 citado excluye la posibilidad de que los recursos se ejecuten con prevalencia del derecho privado, pues quienes tengan la calidad de entidades ejecutoras para efectos del SGR deben sujetarse a las normas donde prevalece el derecho público, esto es, al EGCAP, sin perjuicio de que en sus demás actividades apliquen el régimen especial que les corresponda.</w:t>
      </w:r>
    </w:p>
    <w:p w14:paraId="425374F3" w14:textId="77777777" w:rsidR="006F379D" w:rsidRPr="006F379D" w:rsidRDefault="006F379D" w:rsidP="006F379D">
      <w:pPr>
        <w:spacing w:after="0" w:line="240" w:lineRule="auto"/>
        <w:jc w:val="both"/>
        <w:rPr>
          <w:rFonts w:ascii="Verdana" w:eastAsia="Calibri" w:hAnsi="Verdana" w:cs="Arial"/>
          <w:color w:val="000000"/>
          <w:sz w:val="20"/>
          <w:szCs w:val="20"/>
          <w:lang w:val="es-ES" w:eastAsia="es-ES"/>
        </w:rPr>
      </w:pPr>
    </w:p>
    <w:p w14:paraId="16BA5C21" w14:textId="77777777" w:rsidR="006F379D" w:rsidRPr="006F379D" w:rsidRDefault="006F379D" w:rsidP="006F379D">
      <w:pPr>
        <w:spacing w:after="0" w:line="240" w:lineRule="auto"/>
        <w:jc w:val="both"/>
        <w:rPr>
          <w:rFonts w:ascii="Verdana" w:eastAsia="Calibri" w:hAnsi="Verdana" w:cs="Arial"/>
          <w:b/>
          <w:bCs/>
          <w:color w:val="000000"/>
          <w:sz w:val="20"/>
          <w:szCs w:val="20"/>
          <w:lang w:val="es-ES" w:eastAsia="es-ES"/>
        </w:rPr>
      </w:pPr>
      <w:r w:rsidRPr="006F379D">
        <w:rPr>
          <w:rFonts w:ascii="Verdana" w:eastAsia="Calibri" w:hAnsi="Verdana" w:cs="Arial"/>
          <w:b/>
          <w:bCs/>
          <w:lang w:val="es-ES" w:eastAsia="es-ES"/>
        </w:rPr>
        <w:lastRenderedPageBreak/>
        <w:t>SGR – Aplicación documentos tipo</w:t>
      </w:r>
    </w:p>
    <w:p w14:paraId="066D2D44" w14:textId="77777777" w:rsidR="006F379D" w:rsidRPr="006F379D" w:rsidRDefault="006F379D" w:rsidP="006F379D">
      <w:pPr>
        <w:spacing w:after="0" w:line="240" w:lineRule="auto"/>
        <w:jc w:val="both"/>
        <w:rPr>
          <w:rFonts w:ascii="Verdana" w:eastAsia="Calibri" w:hAnsi="Verdana" w:cs="Arial"/>
          <w:color w:val="000000"/>
          <w:sz w:val="20"/>
          <w:szCs w:val="20"/>
          <w:lang w:val="es-ES" w:eastAsia="es-ES"/>
        </w:rPr>
      </w:pPr>
    </w:p>
    <w:p w14:paraId="256E43ED" w14:textId="77777777" w:rsidR="006F379D" w:rsidRPr="006F379D" w:rsidRDefault="006F379D" w:rsidP="006F379D">
      <w:pPr>
        <w:spacing w:after="0" w:line="240" w:lineRule="auto"/>
        <w:jc w:val="both"/>
        <w:rPr>
          <w:rFonts w:ascii="Verdana" w:hAnsi="Verdana" w:cs="Arial"/>
          <w:noProof/>
          <w:sz w:val="20"/>
          <w:szCs w:val="20"/>
        </w:rPr>
      </w:pPr>
      <w:r w:rsidRPr="006F379D">
        <w:rPr>
          <w:rFonts w:ascii="Verdana" w:hAnsi="Verdana" w:cs="Arial"/>
          <w:noProof/>
          <w:sz w:val="20"/>
          <w:szCs w:val="20"/>
        </w:rPr>
        <w:t xml:space="preserve">Cuando el objeto contractual a ejecutar en el marco de los proyectos financiados con recursos del SGR corresponda a alguno de los sectores respecto de los cuales se han emitido los Documentos Tipo estos deberán aplicarse por la entidad ejecutora. Esta obligatoriedad implica, a su vez, que las Entidades Estatales tengan que adelantar los Procesos de Contratación bajo las condiciones establecidas en los Documentos Tipo que rijan para el objeto a contratar y el procedimiento de selección aplicables, sin que puedan variarse los requisitos fijados en ellos. Lo anterior, por cuanto estos documentos se caracterizan por ser inalterables, es decir, que las Entidades Públicas carecen de la facultad de modificarlos, con excepción de aquellos aspectos que pueden diligenciar, que son las descripciones que están incluidas entre corchetes y resaltadas en gris en cada uno de los Documentos Tipo. Sin embargo, si el objeto contractual no se relaciona con actividades u objetos contractuales descritos en los Documentos Tipo que han sido expedidos por Colombia Compra Eficiente, o estos no aplican a la modalidad de escogencia aplicable, no será obligatorio aplicar los Pliegos Tipo. </w:t>
      </w:r>
    </w:p>
    <w:p w14:paraId="123093BF" w14:textId="77777777" w:rsidR="006F379D" w:rsidRPr="006F379D" w:rsidRDefault="006F379D" w:rsidP="006F379D">
      <w:pPr>
        <w:spacing w:after="0" w:line="240" w:lineRule="auto"/>
        <w:jc w:val="both"/>
        <w:rPr>
          <w:rFonts w:ascii="Verdana" w:hAnsi="Verdana" w:cs="Arial"/>
          <w:noProof/>
          <w:sz w:val="20"/>
          <w:szCs w:val="20"/>
        </w:rPr>
      </w:pPr>
    </w:p>
    <w:p w14:paraId="6CA0C626" w14:textId="77777777" w:rsidR="006F379D" w:rsidRPr="006F379D" w:rsidRDefault="006F379D" w:rsidP="006F379D">
      <w:pPr>
        <w:spacing w:after="0" w:line="240" w:lineRule="auto"/>
        <w:jc w:val="both"/>
        <w:rPr>
          <w:rFonts w:ascii="Verdana" w:hAnsi="Verdana" w:cs="Arial"/>
          <w:noProof/>
          <w:sz w:val="20"/>
          <w:szCs w:val="20"/>
        </w:rPr>
      </w:pPr>
      <w:r w:rsidRPr="006F379D">
        <w:rPr>
          <w:rFonts w:ascii="Verdana" w:hAnsi="Verdana" w:cs="Arial"/>
          <w:noProof/>
          <w:sz w:val="20"/>
          <w:szCs w:val="20"/>
        </w:rPr>
        <w:t>En cuanto a si existe una excepción para las EICE y los Fondos Mixtos para la aplicación de los documentos tipo, vale aclarar que no existe excepción ni régimen especial para ninguna entidad estatal, toda vez que los documentos tipo son inalterables y su aplicación opera de manera uniforme cuando el objeto contractual se encuentra cubierto, sin que la naturaleza del ejecutor releve de su observancia ni habilite su modificación. De esta manera, una vez designados como ejecutores, las reglas especiales que rigen su contratación deben adecuarse con las disposiciones que regulan la ejecución de los recursos del SGR y, en particular, con aquellas que determinan la aplicación del EGCAP y los documentos tipo a la contratación requerida para materializar los proyectos de inversión.</w:t>
      </w:r>
    </w:p>
    <w:p w14:paraId="6EDE8FBF" w14:textId="77777777" w:rsidR="006F379D" w:rsidRPr="006F379D" w:rsidRDefault="006F379D" w:rsidP="006F379D">
      <w:pPr>
        <w:spacing w:after="0" w:line="240" w:lineRule="auto"/>
        <w:jc w:val="both"/>
        <w:rPr>
          <w:rFonts w:ascii="Verdana" w:eastAsia="Calibri" w:hAnsi="Verdana" w:cs="Arial"/>
          <w:color w:val="000000"/>
          <w:sz w:val="20"/>
          <w:szCs w:val="20"/>
          <w:lang w:val="es-ES" w:eastAsia="es-ES"/>
        </w:rPr>
      </w:pPr>
    </w:p>
    <w:p w14:paraId="6B3D7A9C" w14:textId="77777777" w:rsidR="006F379D" w:rsidRPr="006F379D" w:rsidRDefault="006F379D" w:rsidP="006F379D">
      <w:pPr>
        <w:spacing w:after="0" w:line="240" w:lineRule="auto"/>
        <w:jc w:val="both"/>
        <w:rPr>
          <w:rFonts w:ascii="Verdana" w:eastAsia="Calibri" w:hAnsi="Verdana" w:cs="Arial"/>
          <w:color w:val="000000"/>
          <w:sz w:val="20"/>
          <w:szCs w:val="20"/>
          <w:lang w:val="es-ES" w:eastAsia="es-ES"/>
        </w:rPr>
      </w:pPr>
    </w:p>
    <w:p w14:paraId="3095A5FD" w14:textId="77777777" w:rsidR="006F379D" w:rsidRPr="006F379D" w:rsidRDefault="006F379D" w:rsidP="006F379D">
      <w:pPr>
        <w:spacing w:after="0" w:line="240" w:lineRule="auto"/>
        <w:rPr>
          <w:rFonts w:ascii="Verdana" w:eastAsia="Geomanist Light" w:hAnsi="Verdana" w:cs="Arial"/>
          <w:color w:val="000000" w:themeColor="text1"/>
        </w:rPr>
      </w:pPr>
    </w:p>
    <w:p w14:paraId="780DA35D" w14:textId="77777777" w:rsidR="006F379D" w:rsidRPr="006F379D" w:rsidRDefault="006F379D" w:rsidP="006F379D">
      <w:pPr>
        <w:spacing w:after="0" w:line="240" w:lineRule="auto"/>
        <w:rPr>
          <w:rFonts w:ascii="Verdana" w:eastAsia="Geomanist Light" w:hAnsi="Verdana" w:cs="Arial"/>
          <w:color w:val="000000" w:themeColor="text1"/>
        </w:rPr>
      </w:pPr>
    </w:p>
    <w:p w14:paraId="3E41196D" w14:textId="77777777" w:rsidR="006F379D" w:rsidRPr="006F379D" w:rsidRDefault="006F379D" w:rsidP="006F379D">
      <w:pPr>
        <w:spacing w:after="0" w:line="240" w:lineRule="auto"/>
        <w:rPr>
          <w:rFonts w:ascii="Verdana" w:eastAsia="Geomanist Light" w:hAnsi="Verdana" w:cs="Arial"/>
          <w:color w:val="000000" w:themeColor="text1"/>
        </w:rPr>
      </w:pPr>
    </w:p>
    <w:p w14:paraId="62794123" w14:textId="77777777" w:rsidR="006F379D" w:rsidRPr="006F379D" w:rsidRDefault="006F379D" w:rsidP="006F379D">
      <w:pPr>
        <w:spacing w:after="0" w:line="240" w:lineRule="auto"/>
        <w:rPr>
          <w:rFonts w:ascii="Verdana" w:eastAsia="Geomanist Light" w:hAnsi="Verdana" w:cs="Arial"/>
          <w:color w:val="000000" w:themeColor="text1"/>
        </w:rPr>
      </w:pPr>
    </w:p>
    <w:p w14:paraId="60C4D40C" w14:textId="77777777" w:rsidR="006F379D" w:rsidRPr="006F379D" w:rsidRDefault="006F379D" w:rsidP="006F379D">
      <w:pPr>
        <w:spacing w:after="0" w:line="240" w:lineRule="auto"/>
        <w:rPr>
          <w:rFonts w:ascii="Verdana" w:eastAsia="Geomanist Light" w:hAnsi="Verdana" w:cs="Arial"/>
          <w:color w:val="000000" w:themeColor="text1"/>
        </w:rPr>
      </w:pPr>
    </w:p>
    <w:p w14:paraId="7A07C59E" w14:textId="77777777" w:rsidR="006F379D" w:rsidRPr="006F379D" w:rsidRDefault="006F379D" w:rsidP="006F379D">
      <w:pPr>
        <w:spacing w:after="0" w:line="240" w:lineRule="auto"/>
        <w:rPr>
          <w:rFonts w:ascii="Verdana" w:eastAsia="Geomanist Light" w:hAnsi="Verdana" w:cs="Arial"/>
          <w:color w:val="000000" w:themeColor="text1"/>
        </w:rPr>
      </w:pPr>
    </w:p>
    <w:p w14:paraId="173548DE" w14:textId="77777777" w:rsidR="006F379D" w:rsidRPr="006F379D" w:rsidRDefault="006F379D" w:rsidP="006F379D">
      <w:pPr>
        <w:spacing w:after="0" w:line="240" w:lineRule="auto"/>
        <w:rPr>
          <w:rFonts w:ascii="Verdana" w:eastAsia="Geomanist Light" w:hAnsi="Verdana" w:cs="Arial"/>
          <w:color w:val="000000" w:themeColor="text1"/>
        </w:rPr>
      </w:pPr>
    </w:p>
    <w:p w14:paraId="723939E6" w14:textId="77777777" w:rsidR="006F379D" w:rsidRPr="006F379D" w:rsidRDefault="006F379D" w:rsidP="006F379D">
      <w:pPr>
        <w:spacing w:after="0" w:line="240" w:lineRule="auto"/>
        <w:rPr>
          <w:rFonts w:ascii="Verdana" w:eastAsia="Geomanist Light" w:hAnsi="Verdana" w:cs="Arial"/>
          <w:color w:val="000000" w:themeColor="text1"/>
        </w:rPr>
      </w:pPr>
    </w:p>
    <w:p w14:paraId="186F10D0" w14:textId="77777777" w:rsidR="006F379D" w:rsidRPr="006F379D" w:rsidRDefault="006F379D" w:rsidP="006F379D">
      <w:pPr>
        <w:spacing w:after="0" w:line="240" w:lineRule="auto"/>
        <w:rPr>
          <w:rFonts w:ascii="Verdana" w:eastAsia="Geomanist Light" w:hAnsi="Verdana" w:cs="Arial"/>
          <w:color w:val="000000" w:themeColor="text1"/>
        </w:rPr>
      </w:pPr>
    </w:p>
    <w:p w14:paraId="77E4B089" w14:textId="77777777" w:rsidR="006F379D" w:rsidRPr="006F379D" w:rsidRDefault="006F379D" w:rsidP="006F379D">
      <w:pPr>
        <w:spacing w:after="0" w:line="240" w:lineRule="auto"/>
        <w:rPr>
          <w:rFonts w:ascii="Verdana" w:eastAsia="Geomanist Light" w:hAnsi="Verdana" w:cs="Arial"/>
          <w:color w:val="000000" w:themeColor="text1"/>
        </w:rPr>
      </w:pPr>
    </w:p>
    <w:p w14:paraId="1B5561B9" w14:textId="77777777" w:rsidR="006F379D" w:rsidRPr="006F379D" w:rsidRDefault="006F379D" w:rsidP="006F379D">
      <w:pPr>
        <w:spacing w:after="0" w:line="240" w:lineRule="auto"/>
        <w:rPr>
          <w:rFonts w:ascii="Verdana" w:eastAsia="Geomanist Light" w:hAnsi="Verdana" w:cs="Arial"/>
          <w:color w:val="000000" w:themeColor="text1"/>
        </w:rPr>
      </w:pPr>
    </w:p>
    <w:p w14:paraId="3592A3B1" w14:textId="77777777" w:rsidR="006F379D" w:rsidRPr="006F379D" w:rsidRDefault="006F379D" w:rsidP="006F379D">
      <w:pPr>
        <w:spacing w:after="0" w:line="240" w:lineRule="auto"/>
        <w:rPr>
          <w:rFonts w:ascii="Verdana" w:eastAsia="Geomanist Light" w:hAnsi="Verdana" w:cs="Arial"/>
          <w:color w:val="000000" w:themeColor="text1"/>
        </w:rPr>
      </w:pPr>
    </w:p>
    <w:p w14:paraId="559E7A97" w14:textId="77777777" w:rsidR="006F379D" w:rsidRPr="006F379D" w:rsidRDefault="006F379D" w:rsidP="006F379D">
      <w:pPr>
        <w:spacing w:after="0" w:line="240" w:lineRule="auto"/>
        <w:rPr>
          <w:rFonts w:ascii="Verdana" w:eastAsia="Geomanist Light" w:hAnsi="Verdana" w:cs="Arial"/>
          <w:color w:val="000000" w:themeColor="text1"/>
        </w:rPr>
      </w:pPr>
    </w:p>
    <w:p w14:paraId="3BD1E306" w14:textId="77777777" w:rsidR="006F379D" w:rsidRPr="006F379D" w:rsidRDefault="006F379D" w:rsidP="006F379D">
      <w:pPr>
        <w:spacing w:after="0" w:line="240" w:lineRule="auto"/>
        <w:rPr>
          <w:rFonts w:ascii="Verdana" w:eastAsia="Geomanist Light" w:hAnsi="Verdana" w:cs="Arial"/>
          <w:color w:val="000000" w:themeColor="text1"/>
        </w:rPr>
      </w:pPr>
    </w:p>
    <w:p w14:paraId="7DFF33CB" w14:textId="77777777" w:rsidR="006F379D" w:rsidRPr="006F379D" w:rsidRDefault="006F379D" w:rsidP="006F379D">
      <w:pPr>
        <w:spacing w:after="0" w:line="240" w:lineRule="auto"/>
        <w:rPr>
          <w:rFonts w:ascii="Verdana" w:eastAsia="Geomanist Light" w:hAnsi="Verdana" w:cs="Arial"/>
          <w:color w:val="000000" w:themeColor="text1"/>
        </w:rPr>
      </w:pPr>
    </w:p>
    <w:p w14:paraId="4272F20D" w14:textId="7835BB96" w:rsidR="006F379D" w:rsidRPr="006F379D" w:rsidRDefault="006F379D" w:rsidP="006F379D">
      <w:pPr>
        <w:spacing w:after="0" w:line="240" w:lineRule="auto"/>
        <w:rPr>
          <w:rFonts w:ascii="Verdana" w:eastAsia="Geomanist Light" w:hAnsi="Verdana" w:cs="Arial"/>
          <w:color w:val="201F1E"/>
        </w:rPr>
      </w:pPr>
      <w:r w:rsidRPr="006F379D">
        <w:rPr>
          <w:rFonts w:ascii="Verdana" w:eastAsia="Geomanist Light" w:hAnsi="Verdana" w:cs="Arial"/>
          <w:color w:val="000000" w:themeColor="text1"/>
        </w:rPr>
        <w:lastRenderedPageBreak/>
        <w:t>Bogotá D.C., </w:t>
      </w:r>
      <w:r w:rsidR="00F72119">
        <w:rPr>
          <w:rFonts w:ascii="Verdana" w:eastAsia="Geomanist Light" w:hAnsi="Verdana" w:cs="Arial"/>
          <w:color w:val="201F1E"/>
        </w:rPr>
        <w:t>27 de agosto de 2026</w:t>
      </w:r>
    </w:p>
    <w:p w14:paraId="4EBCA793" w14:textId="12FB6A5E" w:rsidR="006F379D" w:rsidRPr="006F379D" w:rsidRDefault="00F72119" w:rsidP="00F72119">
      <w:pPr>
        <w:spacing w:after="0" w:line="240" w:lineRule="auto"/>
        <w:jc w:val="right"/>
        <w:rPr>
          <w:rFonts w:ascii="Verdana" w:eastAsia="Calibri" w:hAnsi="Verdana" w:cs="Arial"/>
          <w:color w:val="000000"/>
        </w:rPr>
      </w:pPr>
      <w:r w:rsidRPr="00F72119">
        <w:rPr>
          <w:rFonts w:ascii="Verdana" w:eastAsia="Calibri" w:hAnsi="Verdana" w:cs="Arial"/>
          <w:noProof/>
          <w:color w:val="000000"/>
        </w:rPr>
        <w:drawing>
          <wp:anchor distT="0" distB="0" distL="114300" distR="114300" simplePos="0" relativeHeight="251658240" behindDoc="0" locked="0" layoutInCell="1" allowOverlap="1" wp14:anchorId="6744A756" wp14:editId="31344E9A">
            <wp:simplePos x="0" y="0"/>
            <wp:positionH relativeFrom="column">
              <wp:posOffset>3583305</wp:posOffset>
            </wp:positionH>
            <wp:positionV relativeFrom="paragraph">
              <wp:posOffset>-2540</wp:posOffset>
            </wp:positionV>
            <wp:extent cx="2026920" cy="701040"/>
            <wp:effectExtent l="0" t="0" r="0" b="3810"/>
            <wp:wrapSquare wrapText="bothSides"/>
            <wp:docPr id="88382988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26920" cy="701040"/>
                    </a:xfrm>
                    <a:prstGeom prst="rect">
                      <a:avLst/>
                    </a:prstGeom>
                    <a:noFill/>
                    <a:ln>
                      <a:noFill/>
                    </a:ln>
                  </pic:spPr>
                </pic:pic>
              </a:graphicData>
            </a:graphic>
          </wp:anchor>
        </w:drawing>
      </w:r>
    </w:p>
    <w:p w14:paraId="36759DDA" w14:textId="77777777" w:rsidR="006F379D" w:rsidRPr="006F379D" w:rsidRDefault="006F379D" w:rsidP="006F379D">
      <w:pPr>
        <w:spacing w:after="0" w:line="240" w:lineRule="auto"/>
        <w:jc w:val="both"/>
        <w:rPr>
          <w:rFonts w:ascii="Verdana" w:eastAsia="Calibri" w:hAnsi="Verdana" w:cs="Arial"/>
          <w:color w:val="000000"/>
        </w:rPr>
      </w:pPr>
    </w:p>
    <w:p w14:paraId="593579CD" w14:textId="77777777" w:rsidR="006F379D" w:rsidRPr="006F379D" w:rsidRDefault="006F379D" w:rsidP="006F379D">
      <w:pPr>
        <w:spacing w:after="0" w:line="240" w:lineRule="auto"/>
        <w:jc w:val="both"/>
        <w:rPr>
          <w:rFonts w:ascii="Verdana" w:eastAsia="Calibri" w:hAnsi="Verdana" w:cs="Arial"/>
          <w:lang w:eastAsia="es-ES"/>
        </w:rPr>
      </w:pPr>
      <w:r w:rsidRPr="006F379D">
        <w:rPr>
          <w:rFonts w:ascii="Verdana" w:eastAsia="Calibri" w:hAnsi="Verdana" w:cs="Arial"/>
          <w:lang w:eastAsia="es-ES"/>
        </w:rPr>
        <w:t>Señor</w:t>
      </w:r>
    </w:p>
    <w:p w14:paraId="738EA3DB" w14:textId="77777777" w:rsidR="006F379D" w:rsidRPr="006F379D" w:rsidRDefault="006F379D" w:rsidP="006F379D">
      <w:pPr>
        <w:spacing w:after="0" w:line="240" w:lineRule="auto"/>
        <w:jc w:val="both"/>
        <w:rPr>
          <w:rFonts w:ascii="Verdana" w:eastAsia="Calibri" w:hAnsi="Verdana" w:cs="Arial"/>
          <w:b/>
          <w:bCs/>
          <w:lang w:eastAsia="es-ES"/>
        </w:rPr>
      </w:pPr>
      <w:r w:rsidRPr="006F379D">
        <w:rPr>
          <w:rFonts w:ascii="Verdana" w:eastAsia="Calibri" w:hAnsi="Verdana" w:cs="Arial"/>
          <w:b/>
          <w:bCs/>
          <w:lang w:eastAsia="es-ES"/>
        </w:rPr>
        <w:t>Fernando José Gutiérrez Ibáñez</w:t>
      </w:r>
    </w:p>
    <w:p w14:paraId="42310876" w14:textId="77777777" w:rsidR="006F379D" w:rsidRPr="006F379D" w:rsidRDefault="006F379D" w:rsidP="006F379D">
      <w:pPr>
        <w:spacing w:after="0" w:line="240" w:lineRule="auto"/>
        <w:rPr>
          <w:rFonts w:ascii="Verdana" w:hAnsi="Verdana"/>
        </w:rPr>
      </w:pPr>
      <w:hyperlink r:id="rId12" w:history="1">
        <w:r w:rsidRPr="006F379D">
          <w:rPr>
            <w:rFonts w:ascii="Verdana" w:hAnsi="Verdana"/>
            <w:color w:val="0563C1" w:themeColor="hyperlink"/>
            <w:u w:val="single"/>
          </w:rPr>
          <w:t>fernandog213@hotmail.com</w:t>
        </w:r>
      </w:hyperlink>
      <w:r w:rsidRPr="006F379D">
        <w:rPr>
          <w:rFonts w:ascii="Verdana" w:hAnsi="Verdana"/>
        </w:rPr>
        <w:t xml:space="preserve"> </w:t>
      </w:r>
    </w:p>
    <w:p w14:paraId="6E1E731A" w14:textId="77777777" w:rsidR="006F379D" w:rsidRPr="006F379D" w:rsidRDefault="006F379D" w:rsidP="006F379D">
      <w:pPr>
        <w:spacing w:after="0" w:line="240" w:lineRule="auto"/>
        <w:rPr>
          <w:rFonts w:ascii="Verdana" w:hAnsi="Verdana"/>
          <w:lang w:val="pt-BR"/>
        </w:rPr>
      </w:pPr>
      <w:proofErr w:type="spellStart"/>
      <w:r w:rsidRPr="006F379D">
        <w:rPr>
          <w:rFonts w:ascii="Verdana" w:hAnsi="Verdana"/>
          <w:lang w:val="pt-BR"/>
        </w:rPr>
        <w:t>Valledupar</w:t>
      </w:r>
      <w:proofErr w:type="spellEnd"/>
      <w:r w:rsidRPr="006F379D">
        <w:rPr>
          <w:rFonts w:ascii="Verdana" w:hAnsi="Verdana"/>
          <w:lang w:val="pt-BR"/>
        </w:rPr>
        <w:t xml:space="preserve">, Cesar  </w:t>
      </w:r>
    </w:p>
    <w:p w14:paraId="21329D4A" w14:textId="77777777" w:rsidR="006F379D" w:rsidRPr="006F379D" w:rsidRDefault="006F379D" w:rsidP="006F379D">
      <w:pPr>
        <w:spacing w:after="0" w:line="240" w:lineRule="auto"/>
        <w:rPr>
          <w:rFonts w:ascii="Verdana" w:eastAsia="Calibri" w:hAnsi="Verdana" w:cs="Arial"/>
          <w:lang w:val="pt-BR" w:eastAsia="es-ES"/>
        </w:rPr>
      </w:pPr>
    </w:p>
    <w:p w14:paraId="2DC8E8A4" w14:textId="77777777" w:rsidR="006F379D" w:rsidRPr="006F379D" w:rsidRDefault="006F379D" w:rsidP="006F379D">
      <w:pPr>
        <w:spacing w:after="0" w:line="240" w:lineRule="auto"/>
        <w:rPr>
          <w:rFonts w:ascii="Verdana" w:eastAsia="Calibri" w:hAnsi="Verdana" w:cs="Arial"/>
          <w:b/>
          <w:color w:val="000000"/>
          <w:lang w:val="pt-BR" w:eastAsia="es-ES_tradnl"/>
        </w:rPr>
      </w:pPr>
    </w:p>
    <w:p w14:paraId="0F919D5E" w14:textId="5E1EAA39" w:rsidR="006F379D" w:rsidRPr="006F379D" w:rsidRDefault="006F379D" w:rsidP="006F379D">
      <w:pPr>
        <w:spacing w:after="0" w:line="240" w:lineRule="auto"/>
        <w:jc w:val="center"/>
        <w:rPr>
          <w:rFonts w:ascii="Verdana" w:eastAsia="Calibri" w:hAnsi="Verdana" w:cs="Arial"/>
          <w:b/>
          <w:lang w:val="pt-BR" w:eastAsia="es-ES"/>
        </w:rPr>
      </w:pPr>
      <w:r w:rsidRPr="006F379D">
        <w:rPr>
          <w:rFonts w:ascii="Verdana" w:eastAsia="Calibri" w:hAnsi="Verdana" w:cs="Arial"/>
          <w:b/>
          <w:lang w:val="pt-BR" w:eastAsia="es-ES"/>
        </w:rPr>
        <w:t>Concepto C</w:t>
      </w:r>
      <w:r w:rsidR="006F00BE">
        <w:rPr>
          <w:rFonts w:ascii="Verdana" w:eastAsia="Calibri" w:hAnsi="Verdana" w:cs="Arial"/>
          <w:b/>
          <w:lang w:val="pt-BR" w:eastAsia="es-ES"/>
        </w:rPr>
        <w:t>-</w:t>
      </w:r>
      <w:r w:rsidRPr="006F379D">
        <w:rPr>
          <w:rFonts w:ascii="Verdana" w:eastAsia="Calibri" w:hAnsi="Verdana" w:cs="Arial"/>
          <w:b/>
          <w:lang w:val="pt-BR" w:eastAsia="es-ES"/>
        </w:rPr>
        <w:t>1249 de 2026</w:t>
      </w:r>
    </w:p>
    <w:p w14:paraId="604EE50E" w14:textId="77777777" w:rsidR="006F379D" w:rsidRPr="006F379D" w:rsidRDefault="006F379D" w:rsidP="006F379D">
      <w:pPr>
        <w:spacing w:after="0" w:line="240" w:lineRule="auto"/>
        <w:rPr>
          <w:rFonts w:ascii="Verdana" w:eastAsia="Calibri" w:hAnsi="Verdana" w:cs="Arial"/>
          <w:b/>
          <w:color w:val="000000"/>
          <w:lang w:val="pt-BR" w:eastAsia="es-ES_tradnl"/>
        </w:rPr>
      </w:pPr>
    </w:p>
    <w:p w14:paraId="4DB635FB" w14:textId="77777777" w:rsidR="006F379D" w:rsidRPr="006F379D" w:rsidRDefault="006F379D" w:rsidP="006F379D">
      <w:pPr>
        <w:spacing w:after="0" w:line="240" w:lineRule="auto"/>
        <w:rPr>
          <w:rFonts w:ascii="Verdana" w:eastAsia="Calibri" w:hAnsi="Verdana" w:cs="Arial"/>
          <w:b/>
          <w:color w:val="000000"/>
          <w:lang w:val="pt-BR" w:eastAsia="es-ES_tradnl"/>
        </w:rPr>
      </w:pPr>
    </w:p>
    <w:tbl>
      <w:tblPr>
        <w:tblStyle w:val="Tablaconcuadrcula"/>
        <w:tblW w:w="8789"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6F379D" w:rsidRPr="006F379D" w14:paraId="4406BE1D" w14:textId="77777777" w:rsidTr="00AE647B">
        <w:trPr>
          <w:trHeight w:val="884"/>
        </w:trPr>
        <w:tc>
          <w:tcPr>
            <w:tcW w:w="2689" w:type="dxa"/>
          </w:tcPr>
          <w:p w14:paraId="6241CD9A" w14:textId="77777777" w:rsidR="006F379D" w:rsidRPr="006F379D" w:rsidRDefault="006F379D" w:rsidP="006F379D">
            <w:pPr>
              <w:jc w:val="both"/>
              <w:rPr>
                <w:rFonts w:ascii="Verdana" w:eastAsia="Calibri" w:hAnsi="Verdana" w:cs="Arial"/>
                <w:color w:val="000000"/>
                <w:lang w:eastAsia="es-ES_tradnl"/>
              </w:rPr>
            </w:pPr>
            <w:r w:rsidRPr="006F379D">
              <w:rPr>
                <w:rFonts w:ascii="Verdana" w:eastAsia="Calibri" w:hAnsi="Verdana" w:cs="Arial"/>
                <w:b/>
                <w:color w:val="000000"/>
                <w:lang w:eastAsia="es-ES_tradnl"/>
              </w:rPr>
              <w:t>Temas:</w:t>
            </w:r>
            <w:r w:rsidRPr="006F379D">
              <w:rPr>
                <w:rFonts w:ascii="Verdana" w:eastAsia="Calibri" w:hAnsi="Verdana" w:cs="Arial"/>
                <w:color w:val="000000"/>
                <w:lang w:eastAsia="es-ES_tradnl"/>
              </w:rPr>
              <w:t xml:space="preserve">                   </w:t>
            </w:r>
          </w:p>
        </w:tc>
        <w:tc>
          <w:tcPr>
            <w:tcW w:w="6100" w:type="dxa"/>
          </w:tcPr>
          <w:p w14:paraId="11796A9C" w14:textId="77777777" w:rsidR="006F379D" w:rsidRPr="006F379D" w:rsidRDefault="006F379D" w:rsidP="006F379D">
            <w:pPr>
              <w:spacing w:line="276" w:lineRule="auto"/>
              <w:jc w:val="both"/>
              <w:rPr>
                <w:rFonts w:ascii="Verdana" w:eastAsia="Calibri" w:hAnsi="Verdana" w:cs="Arial"/>
                <w:lang w:val="es-ES" w:eastAsia="es-ES"/>
              </w:rPr>
            </w:pPr>
            <w:r w:rsidRPr="006F379D">
              <w:rPr>
                <w:rFonts w:ascii="Verdana" w:eastAsia="Calibri" w:hAnsi="Verdana" w:cs="Arial"/>
                <w:lang w:val="es-ES" w:eastAsia="es-ES"/>
              </w:rPr>
              <w:t xml:space="preserve">SISTEMA GENERAL DE REGALÍAS – Ley 2056 de 2020 – artículo 37 / RÉGIMEN CONTRACTUAL – Entidades ejecutoras – Régimen especial – Aplicación del Estatuto General de Contratación de la Administración Pública / SGR – Aplicación documentos tipo </w:t>
            </w:r>
          </w:p>
          <w:p w14:paraId="79FB9818" w14:textId="77777777" w:rsidR="006F379D" w:rsidRPr="006F379D" w:rsidRDefault="006F379D" w:rsidP="006F379D">
            <w:pPr>
              <w:jc w:val="both"/>
              <w:rPr>
                <w:rFonts w:ascii="Verdana" w:eastAsia="Calibri" w:hAnsi="Verdana" w:cs="Arial"/>
                <w:lang w:eastAsia="es-ES"/>
              </w:rPr>
            </w:pPr>
          </w:p>
        </w:tc>
      </w:tr>
      <w:tr w:rsidR="006F379D" w:rsidRPr="006F379D" w14:paraId="04390D52" w14:textId="77777777" w:rsidTr="00AE647B">
        <w:tc>
          <w:tcPr>
            <w:tcW w:w="2689" w:type="dxa"/>
          </w:tcPr>
          <w:p w14:paraId="51B83FDE" w14:textId="77777777" w:rsidR="006F379D" w:rsidRPr="006F379D" w:rsidRDefault="006F379D" w:rsidP="006F379D">
            <w:pPr>
              <w:jc w:val="both"/>
              <w:rPr>
                <w:rFonts w:ascii="Verdana" w:eastAsia="Calibri" w:hAnsi="Verdana" w:cs="Arial"/>
                <w:b/>
                <w:lang w:eastAsia="es-ES_tradnl"/>
              </w:rPr>
            </w:pPr>
            <w:r w:rsidRPr="006F379D">
              <w:rPr>
                <w:rFonts w:ascii="Verdana" w:eastAsia="Calibri" w:hAnsi="Verdana" w:cs="Arial"/>
                <w:b/>
                <w:lang w:eastAsia="es-ES_tradnl"/>
              </w:rPr>
              <w:t>Radicación:</w:t>
            </w:r>
            <w:r w:rsidRPr="006F379D">
              <w:rPr>
                <w:rFonts w:ascii="Verdana" w:eastAsia="Calibri" w:hAnsi="Verdana" w:cs="Arial"/>
                <w:lang w:eastAsia="es-ES_tradnl"/>
              </w:rPr>
              <w:t xml:space="preserve">               </w:t>
            </w:r>
          </w:p>
        </w:tc>
        <w:tc>
          <w:tcPr>
            <w:tcW w:w="6100" w:type="dxa"/>
          </w:tcPr>
          <w:p w14:paraId="2476FF9E" w14:textId="77777777" w:rsidR="006F379D" w:rsidRPr="006F379D" w:rsidRDefault="006F379D" w:rsidP="006F379D">
            <w:pPr>
              <w:spacing w:line="276" w:lineRule="auto"/>
              <w:jc w:val="both"/>
              <w:rPr>
                <w:rFonts w:ascii="Verdana" w:eastAsia="Calibri" w:hAnsi="Verdana" w:cs="Arial"/>
                <w:lang w:eastAsia="es-ES_tradnl"/>
              </w:rPr>
            </w:pPr>
            <w:r w:rsidRPr="006F379D">
              <w:rPr>
                <w:rFonts w:ascii="Verdana" w:eastAsia="Calibri" w:hAnsi="Verdana" w:cs="Arial"/>
                <w:lang w:eastAsia="es-ES_tradnl"/>
              </w:rPr>
              <w:t>Respuesta a las consultas con radicado Nos.</w:t>
            </w:r>
            <w:r w:rsidRPr="006F379D">
              <w:rPr>
                <w:rFonts w:ascii="Verdana" w:hAnsi="Verdana"/>
              </w:rPr>
              <w:t xml:space="preserve"> 1_2026_08_07_010490, 1_2026_08_18_010882 1_2026_08_18_010883 y 1_2026_08_18_010948</w:t>
            </w:r>
          </w:p>
        </w:tc>
      </w:tr>
    </w:tbl>
    <w:p w14:paraId="1BC0A9C1" w14:textId="77777777" w:rsidR="006F379D" w:rsidRPr="006F379D" w:rsidRDefault="006F379D" w:rsidP="006F379D">
      <w:pPr>
        <w:spacing w:after="0" w:line="240" w:lineRule="auto"/>
        <w:jc w:val="both"/>
        <w:rPr>
          <w:rFonts w:ascii="Verdana" w:eastAsia="Calibri" w:hAnsi="Verdana" w:cs="Arial"/>
          <w:color w:val="000000"/>
          <w:lang w:eastAsia="es-ES_tradnl"/>
        </w:rPr>
      </w:pPr>
    </w:p>
    <w:p w14:paraId="493D15F9" w14:textId="77777777" w:rsidR="006F379D" w:rsidRPr="006F379D" w:rsidRDefault="006F379D" w:rsidP="006F379D">
      <w:pPr>
        <w:spacing w:after="0" w:line="240" w:lineRule="auto"/>
        <w:jc w:val="both"/>
        <w:rPr>
          <w:rFonts w:ascii="Verdana" w:eastAsia="Calibri" w:hAnsi="Verdana" w:cs="Arial"/>
          <w:color w:val="000000"/>
          <w:lang w:eastAsia="es-ES_tradnl"/>
        </w:rPr>
      </w:pPr>
    </w:p>
    <w:p w14:paraId="4780C886" w14:textId="77777777" w:rsidR="006F379D" w:rsidRPr="006F379D" w:rsidRDefault="006F379D" w:rsidP="006F379D">
      <w:pPr>
        <w:spacing w:after="0" w:line="276" w:lineRule="auto"/>
        <w:jc w:val="both"/>
        <w:rPr>
          <w:rFonts w:ascii="Verdana" w:eastAsia="Calibri" w:hAnsi="Verdana" w:cs="Arial"/>
          <w:lang w:eastAsia="es-ES"/>
        </w:rPr>
      </w:pPr>
      <w:r w:rsidRPr="006F379D">
        <w:rPr>
          <w:rFonts w:ascii="Verdana" w:eastAsia="Calibri" w:hAnsi="Verdana" w:cs="Arial"/>
          <w:lang w:eastAsia="es-ES"/>
        </w:rPr>
        <w:t xml:space="preserve">Estimado señor Gutiérrez: </w:t>
      </w:r>
    </w:p>
    <w:p w14:paraId="32999911" w14:textId="77777777" w:rsidR="006F379D" w:rsidRPr="006F379D" w:rsidRDefault="006F379D" w:rsidP="006F379D">
      <w:pPr>
        <w:tabs>
          <w:tab w:val="left" w:pos="3768"/>
        </w:tabs>
        <w:spacing w:after="0" w:line="276" w:lineRule="auto"/>
        <w:jc w:val="both"/>
        <w:rPr>
          <w:rFonts w:ascii="Verdana" w:eastAsia="Calibri" w:hAnsi="Verdana" w:cs="Arial"/>
          <w:color w:val="000000" w:themeColor="text1"/>
          <w:lang w:eastAsia="es-ES"/>
        </w:rPr>
      </w:pPr>
      <w:r w:rsidRPr="006F379D">
        <w:rPr>
          <w:rFonts w:ascii="Verdana" w:eastAsia="Calibri" w:hAnsi="Verdana" w:cs="Arial"/>
          <w:color w:val="000000" w:themeColor="text1"/>
          <w:lang w:eastAsia="es-ES"/>
        </w:rPr>
        <w:tab/>
      </w:r>
    </w:p>
    <w:p w14:paraId="4991F997" w14:textId="77777777" w:rsidR="006F379D" w:rsidRPr="006F379D" w:rsidRDefault="006F379D" w:rsidP="006F379D">
      <w:pPr>
        <w:spacing w:after="0" w:line="276" w:lineRule="auto"/>
        <w:jc w:val="both"/>
        <w:rPr>
          <w:rFonts w:ascii="Verdana" w:eastAsia="Calibri" w:hAnsi="Verdana" w:cs="Arial"/>
          <w:i/>
          <w:iCs/>
          <w:lang w:eastAsia="es-ES"/>
        </w:rPr>
      </w:pPr>
      <w:r w:rsidRPr="006F379D">
        <w:rPr>
          <w:rFonts w:ascii="Verdana" w:eastAsia="Calibri" w:hAnsi="Verdana" w:cs="Arial"/>
          <w:color w:val="000000" w:themeColor="text1"/>
          <w:lang w:eastAsia="es-ES"/>
        </w:rPr>
        <w:t>En ejercicio de la competencia otorgada por los artículos 3, numeral 5º, y 11, numeral 8º, del Decreto Ley 4170 de 2011,</w:t>
      </w:r>
      <w:r w:rsidRPr="006F379D">
        <w:rPr>
          <w:rFonts w:ascii="Verdana" w:eastAsia="Arial MT" w:hAnsi="Verdana" w:cs="Arial MT"/>
          <w:lang w:eastAsia="es-ES"/>
        </w:rPr>
        <w:t xml:space="preserve"> </w:t>
      </w:r>
      <w:r w:rsidRPr="006F379D">
        <w:rPr>
          <w:rFonts w:ascii="Verdana" w:hAnsi="Verdana" w:cs="Arial"/>
        </w:rPr>
        <w:t xml:space="preserve">así como lo establecido en la Resolución 469 de 2025 expedida por esta Entidad, </w:t>
      </w:r>
      <w:r w:rsidRPr="006F379D">
        <w:rPr>
          <w:rFonts w:ascii="Verdana" w:eastAsia="Calibri" w:hAnsi="Verdana" w:cs="Arial"/>
          <w:color w:val="000000" w:themeColor="text1"/>
          <w:lang w:eastAsia="es-ES"/>
        </w:rPr>
        <w:t>la Agencia Nacional de Contratación Pública – Colombia Compra Eficiente responde sus solicitudes del 7 de julio de 2026 y del 18 de agosto de 2026 remitidas por competencia por el Departamento Nacional de Planeación,</w:t>
      </w:r>
      <w:r w:rsidRPr="006F379D">
        <w:rPr>
          <w:rFonts w:ascii="Verdana" w:eastAsia="Calibri" w:hAnsi="Verdana" w:cs="Arial"/>
          <w:lang w:eastAsia="es-ES"/>
        </w:rPr>
        <w:t xml:space="preserve"> en la cual consulta sobre lo siguiente:</w:t>
      </w:r>
      <w:r w:rsidRPr="006F379D">
        <w:rPr>
          <w:rFonts w:ascii="Verdana" w:eastAsia="Calibri" w:hAnsi="Verdana" w:cs="Arial"/>
          <w:i/>
          <w:iCs/>
          <w:lang w:eastAsia="es-ES"/>
        </w:rPr>
        <w:t xml:space="preserve"> </w:t>
      </w:r>
      <w:bookmarkStart w:id="2" w:name="_Hlk95313578"/>
    </w:p>
    <w:p w14:paraId="0020FC96" w14:textId="77777777" w:rsidR="006F379D" w:rsidRPr="006F379D" w:rsidRDefault="006F379D" w:rsidP="006F379D">
      <w:pPr>
        <w:spacing w:after="0" w:line="276" w:lineRule="auto"/>
        <w:jc w:val="both"/>
        <w:rPr>
          <w:rFonts w:ascii="Verdana" w:eastAsia="Calibri" w:hAnsi="Verdana" w:cs="Arial"/>
          <w:i/>
          <w:iCs/>
          <w:lang w:eastAsia="es-ES"/>
        </w:rPr>
      </w:pPr>
    </w:p>
    <w:p w14:paraId="0C86BB18" w14:textId="77777777" w:rsidR="006F379D" w:rsidRPr="006F379D" w:rsidRDefault="006F379D" w:rsidP="006F379D">
      <w:pPr>
        <w:spacing w:after="0" w:line="240" w:lineRule="auto"/>
        <w:ind w:left="709" w:right="709"/>
        <w:jc w:val="both"/>
        <w:rPr>
          <w:rFonts w:ascii="Verdana" w:hAnsi="Verdana"/>
          <w:sz w:val="20"/>
          <w:szCs w:val="20"/>
        </w:rPr>
      </w:pPr>
      <w:r w:rsidRPr="006F379D">
        <w:rPr>
          <w:rFonts w:ascii="Verdana" w:eastAsia="Arial" w:hAnsi="Verdana" w:cs="Arial"/>
          <w:iCs/>
          <w:color w:val="000000"/>
          <w:sz w:val="20"/>
          <w:szCs w:val="20"/>
        </w:rPr>
        <w:t>“</w:t>
      </w:r>
      <w:bookmarkEnd w:id="2"/>
      <w:r w:rsidRPr="006F379D">
        <w:rPr>
          <w:rFonts w:ascii="Verdana" w:hAnsi="Verdana"/>
          <w:sz w:val="20"/>
          <w:szCs w:val="20"/>
        </w:rPr>
        <w:t>(…)</w:t>
      </w:r>
    </w:p>
    <w:p w14:paraId="27C44ED4" w14:textId="77777777" w:rsidR="006F379D" w:rsidRPr="006F379D" w:rsidRDefault="006F379D" w:rsidP="006F379D">
      <w:pPr>
        <w:spacing w:after="0" w:line="240" w:lineRule="auto"/>
        <w:ind w:left="709" w:right="709"/>
        <w:jc w:val="both"/>
        <w:rPr>
          <w:rFonts w:ascii="Verdana" w:hAnsi="Verdana"/>
          <w:sz w:val="20"/>
          <w:szCs w:val="20"/>
        </w:rPr>
      </w:pPr>
    </w:p>
    <w:p w14:paraId="3110EB55" w14:textId="77777777" w:rsidR="006F379D" w:rsidRPr="006F379D" w:rsidRDefault="006F379D" w:rsidP="006F379D">
      <w:pPr>
        <w:spacing w:after="0" w:line="240" w:lineRule="auto"/>
        <w:ind w:left="709" w:right="709"/>
        <w:jc w:val="both"/>
        <w:rPr>
          <w:rFonts w:ascii="Verdana" w:hAnsi="Verdana"/>
          <w:sz w:val="20"/>
          <w:szCs w:val="20"/>
        </w:rPr>
      </w:pPr>
      <w:r w:rsidRPr="006F379D">
        <w:rPr>
          <w:rFonts w:ascii="Verdana" w:hAnsi="Verdana"/>
          <w:sz w:val="20"/>
          <w:szCs w:val="20"/>
        </w:rPr>
        <w:t xml:space="preserve">1. ¿Están obligados los Fondos Mixtos y las Empresas Industriales y Comerciales del Estado (EICE), cuando actúan exclusivamente en calidad de entidades ejecutoras de proyectos de inversión financiados con recursos del Sistema General de Regalías (SGR), a aplicar de forma obligatoria las modalidades de selección, etapas y términos </w:t>
      </w:r>
      <w:r w:rsidRPr="006F379D">
        <w:rPr>
          <w:rFonts w:ascii="Verdana" w:hAnsi="Verdana"/>
          <w:sz w:val="20"/>
          <w:szCs w:val="20"/>
        </w:rPr>
        <w:lastRenderedPageBreak/>
        <w:t>preestablecidos en el Estatuto General de Contratación de la Administración Pública (EGCAP)?</w:t>
      </w:r>
    </w:p>
    <w:p w14:paraId="7120DBAD" w14:textId="77777777" w:rsidR="006F379D" w:rsidRPr="006F379D" w:rsidRDefault="006F379D" w:rsidP="006F379D">
      <w:pPr>
        <w:spacing w:after="0" w:line="240" w:lineRule="auto"/>
        <w:ind w:left="709" w:right="709"/>
        <w:jc w:val="both"/>
        <w:rPr>
          <w:rFonts w:ascii="Verdana" w:hAnsi="Verdana"/>
          <w:sz w:val="20"/>
          <w:szCs w:val="20"/>
        </w:rPr>
      </w:pPr>
    </w:p>
    <w:p w14:paraId="14988276" w14:textId="77777777" w:rsidR="006F379D" w:rsidRPr="006F379D" w:rsidRDefault="006F379D" w:rsidP="006F379D">
      <w:pPr>
        <w:spacing w:after="0" w:line="240" w:lineRule="auto"/>
        <w:ind w:left="709" w:right="709"/>
        <w:jc w:val="both"/>
        <w:rPr>
          <w:rFonts w:ascii="Verdana" w:hAnsi="Verdana"/>
          <w:sz w:val="20"/>
          <w:szCs w:val="20"/>
        </w:rPr>
      </w:pPr>
      <w:r w:rsidRPr="006F379D">
        <w:rPr>
          <w:rFonts w:ascii="Verdana" w:hAnsi="Verdana"/>
          <w:sz w:val="20"/>
          <w:szCs w:val="20"/>
        </w:rPr>
        <w:t>2. En virtud de la doctrina fijada por el Consejo de Estado (Rad. 2563 de 2026), ¿es de carácter obligatorio para las EICE y los Fondos Mixtos la implementación de los Documentos Tipo adoptados por la ANCP-CCE para los sectores de infraestructura de transporte, agua potable, saneamiento básico u otros aplicables, cuando los proyectos sean financiados con recursos del SGR?</w:t>
      </w:r>
    </w:p>
    <w:p w14:paraId="39D19573" w14:textId="77777777" w:rsidR="006F379D" w:rsidRPr="006F379D" w:rsidRDefault="006F379D" w:rsidP="006F379D">
      <w:pPr>
        <w:spacing w:after="0" w:line="240" w:lineRule="auto"/>
        <w:ind w:left="709" w:right="709"/>
        <w:jc w:val="both"/>
        <w:rPr>
          <w:rFonts w:ascii="Verdana" w:hAnsi="Verdana"/>
          <w:sz w:val="20"/>
          <w:szCs w:val="20"/>
        </w:rPr>
      </w:pPr>
    </w:p>
    <w:p w14:paraId="385F398A" w14:textId="77777777" w:rsidR="006F379D" w:rsidRPr="006F379D" w:rsidRDefault="006F379D" w:rsidP="006F379D">
      <w:pPr>
        <w:spacing w:after="0" w:line="240" w:lineRule="auto"/>
        <w:ind w:left="709" w:right="709"/>
        <w:jc w:val="both"/>
        <w:rPr>
          <w:rFonts w:ascii="Verdana" w:hAnsi="Verdana"/>
          <w:sz w:val="20"/>
          <w:szCs w:val="20"/>
        </w:rPr>
      </w:pPr>
      <w:r w:rsidRPr="006F379D">
        <w:rPr>
          <w:rFonts w:ascii="Verdana" w:hAnsi="Verdana"/>
          <w:sz w:val="20"/>
          <w:szCs w:val="20"/>
        </w:rPr>
        <w:t>3.En caso de ser afirmativa la respuesta anterior, ¿estas entidades ejecutoras de régimen especial (EICE y Fondos Mixtos) están impedidas para aplicar las condiciones de experiencia, factores de ponderación o términos de cronograma contemplados en sus manuales internos de contratación privados, debiendo ceñirse de manera estricta e invariable a las matrices y pliegos de los Documentos Tipo del régimen general?</w:t>
      </w:r>
    </w:p>
    <w:p w14:paraId="382F3807" w14:textId="77777777" w:rsidR="006F379D" w:rsidRPr="006F379D" w:rsidRDefault="006F379D" w:rsidP="006F379D">
      <w:pPr>
        <w:spacing w:after="0" w:line="240" w:lineRule="auto"/>
        <w:ind w:left="709" w:right="709"/>
        <w:jc w:val="both"/>
        <w:rPr>
          <w:rFonts w:ascii="Verdana" w:hAnsi="Verdana"/>
          <w:sz w:val="20"/>
          <w:szCs w:val="20"/>
        </w:rPr>
      </w:pPr>
    </w:p>
    <w:p w14:paraId="068536AB" w14:textId="77777777" w:rsidR="006F379D" w:rsidRPr="006F379D" w:rsidRDefault="006F379D" w:rsidP="006F379D">
      <w:pPr>
        <w:spacing w:after="0" w:line="240" w:lineRule="auto"/>
        <w:ind w:left="709" w:right="709"/>
        <w:jc w:val="both"/>
        <w:rPr>
          <w:rFonts w:ascii="Verdana" w:hAnsi="Verdana"/>
          <w:sz w:val="20"/>
          <w:szCs w:val="20"/>
        </w:rPr>
      </w:pPr>
      <w:r w:rsidRPr="006F379D">
        <w:rPr>
          <w:rFonts w:ascii="Verdana" w:hAnsi="Verdana"/>
          <w:sz w:val="20"/>
          <w:szCs w:val="20"/>
        </w:rPr>
        <w:t>4.Teniendo en cuenta la naturaleza de los recursos del SGR, ¿existe alguna salvedad o excepción dentro del marco de competencias de la ANCP-CCE que permita a una EICE o Fondo Mixto inaplicar los Documentos Tipo argumentando su régimen jurídico de creación o la especialidad comercial de su objeto social?”</w:t>
      </w:r>
    </w:p>
    <w:p w14:paraId="3F8EF498" w14:textId="77777777" w:rsidR="006F379D" w:rsidRPr="006F379D" w:rsidRDefault="006F379D" w:rsidP="006F379D">
      <w:pPr>
        <w:spacing w:after="0" w:line="240" w:lineRule="auto"/>
        <w:ind w:right="709"/>
        <w:jc w:val="both"/>
      </w:pPr>
    </w:p>
    <w:p w14:paraId="6A4A4714" w14:textId="77777777" w:rsidR="006F379D" w:rsidRPr="006F379D" w:rsidRDefault="006F379D" w:rsidP="006F379D">
      <w:pPr>
        <w:spacing w:after="120" w:line="276" w:lineRule="auto"/>
        <w:ind w:firstLine="709"/>
        <w:jc w:val="both"/>
        <w:rPr>
          <w:rFonts w:ascii="Verdana" w:eastAsia="Calibri" w:hAnsi="Verdana" w:cs="Arial"/>
          <w:color w:val="000000"/>
          <w:lang w:eastAsia="es-ES"/>
        </w:rPr>
      </w:pPr>
      <w:r w:rsidRPr="006F379D">
        <w:rPr>
          <w:rFonts w:ascii="Verdana" w:eastAsia="Calibri" w:hAnsi="Verdana" w:cs="Arial"/>
          <w:color w:val="000000"/>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6F379D">
        <w:rPr>
          <w:rFonts w:ascii="Verdana" w:eastAsia="Calibri" w:hAnsi="Verdana" w:cs="Arial"/>
          <w:color w:val="000000"/>
          <w:szCs w:val="24"/>
          <w:lang w:eastAsia="es-ES_tradnl"/>
        </w:rPr>
        <w:tab/>
      </w:r>
    </w:p>
    <w:p w14:paraId="3E95BEA1" w14:textId="77777777" w:rsidR="006F379D" w:rsidRPr="006F379D" w:rsidRDefault="006F379D" w:rsidP="006F379D">
      <w:pPr>
        <w:spacing w:after="0" w:line="276" w:lineRule="auto"/>
        <w:ind w:firstLine="709"/>
        <w:jc w:val="both"/>
        <w:rPr>
          <w:rFonts w:ascii="Verdana" w:eastAsia="Calibri" w:hAnsi="Verdana" w:cs="Arial"/>
          <w:color w:val="000000"/>
          <w:lang w:eastAsia="es-ES"/>
        </w:rPr>
      </w:pPr>
      <w:r w:rsidRPr="006F379D">
        <w:rPr>
          <w:rFonts w:ascii="Verdana" w:eastAsia="Calibri" w:hAnsi="Verdana" w:cs="Arial"/>
          <w:color w:val="000000"/>
          <w:lang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las preguntas de la petición, pero haciendo unas consideraciones sobre las normas generales relacionadas con los</w:t>
      </w:r>
      <w:r w:rsidRPr="006F379D">
        <w:rPr>
          <w:rFonts w:ascii="Verdana" w:eastAsia="Calibri" w:hAnsi="Verdana" w:cs="Arial"/>
          <w:color w:val="7030A0"/>
          <w:lang w:eastAsia="es-ES"/>
        </w:rPr>
        <w:t xml:space="preserve"> </w:t>
      </w:r>
      <w:r w:rsidRPr="006F379D">
        <w:rPr>
          <w:rFonts w:ascii="Verdana" w:eastAsia="Calibri" w:hAnsi="Verdana" w:cs="Arial"/>
          <w:color w:val="000000"/>
          <w:lang w:eastAsia="es-ES"/>
        </w:rPr>
        <w:t>problemas</w:t>
      </w:r>
      <w:r w:rsidRPr="006F379D">
        <w:rPr>
          <w:rFonts w:ascii="Verdana" w:eastAsia="Calibri" w:hAnsi="Verdana" w:cs="Arial"/>
          <w:color w:val="7030A0"/>
          <w:lang w:eastAsia="es-ES"/>
        </w:rPr>
        <w:t xml:space="preserve"> </w:t>
      </w:r>
      <w:r w:rsidRPr="006F379D">
        <w:rPr>
          <w:rFonts w:ascii="Verdana" w:eastAsia="Calibri" w:hAnsi="Verdana" w:cs="Arial"/>
          <w:color w:val="000000"/>
          <w:lang w:eastAsia="es-ES"/>
        </w:rPr>
        <w:t>jurídicos</w:t>
      </w:r>
      <w:r w:rsidRPr="006F379D">
        <w:rPr>
          <w:rFonts w:ascii="Verdana" w:eastAsia="Calibri" w:hAnsi="Verdana" w:cs="Arial"/>
          <w:color w:val="7030A0"/>
          <w:lang w:eastAsia="es-ES"/>
        </w:rPr>
        <w:t xml:space="preserve"> </w:t>
      </w:r>
      <w:r w:rsidRPr="006F379D">
        <w:rPr>
          <w:rFonts w:ascii="Verdana" w:eastAsia="Calibri" w:hAnsi="Verdana" w:cs="Arial"/>
          <w:color w:val="000000"/>
          <w:lang w:eastAsia="es-ES"/>
        </w:rPr>
        <w:t xml:space="preserve">de su consulta. </w:t>
      </w:r>
    </w:p>
    <w:p w14:paraId="11BF03B4" w14:textId="77777777" w:rsidR="006F379D" w:rsidRPr="006F379D" w:rsidRDefault="006F379D" w:rsidP="006F379D">
      <w:pPr>
        <w:spacing w:after="0" w:line="276" w:lineRule="auto"/>
        <w:ind w:firstLine="709"/>
        <w:jc w:val="both"/>
        <w:rPr>
          <w:rFonts w:ascii="Verdana" w:eastAsia="Calibri" w:hAnsi="Verdana" w:cs="Arial"/>
          <w:color w:val="000000"/>
          <w:lang w:eastAsia="es-ES"/>
        </w:rPr>
      </w:pPr>
    </w:p>
    <w:p w14:paraId="67FDC25E" w14:textId="77777777" w:rsidR="006F379D" w:rsidRPr="006F379D" w:rsidRDefault="006F379D" w:rsidP="006F379D">
      <w:pPr>
        <w:numPr>
          <w:ilvl w:val="0"/>
          <w:numId w:val="1"/>
        </w:numPr>
        <w:tabs>
          <w:tab w:val="left" w:pos="142"/>
          <w:tab w:val="left" w:pos="284"/>
        </w:tabs>
        <w:spacing w:after="0" w:line="276" w:lineRule="auto"/>
        <w:jc w:val="both"/>
        <w:rPr>
          <w:rFonts w:ascii="Verdana" w:eastAsia="Century Gothic" w:hAnsi="Verdana" w:cs="Century Gothic"/>
          <w:b/>
          <w:bCs/>
        </w:rPr>
      </w:pPr>
      <w:r w:rsidRPr="006F379D">
        <w:rPr>
          <w:rFonts w:ascii="Verdana" w:eastAsia="Century Gothic" w:hAnsi="Verdana" w:cs="Century Gothic"/>
          <w:b/>
          <w:bCs/>
        </w:rPr>
        <w:t>Problemas planteados:</w:t>
      </w:r>
    </w:p>
    <w:p w14:paraId="0D166FE9" w14:textId="77777777" w:rsidR="006F379D" w:rsidRPr="006F379D" w:rsidRDefault="006F379D" w:rsidP="006F379D">
      <w:pPr>
        <w:tabs>
          <w:tab w:val="left" w:pos="426"/>
        </w:tabs>
        <w:spacing w:after="0" w:line="276" w:lineRule="auto"/>
        <w:jc w:val="both"/>
        <w:rPr>
          <w:rFonts w:ascii="Verdana" w:eastAsia="Century Gothic" w:hAnsi="Verdana" w:cs="Century Gothic"/>
        </w:rPr>
      </w:pPr>
    </w:p>
    <w:p w14:paraId="30CFF65E" w14:textId="77777777" w:rsidR="006F379D" w:rsidRPr="006F379D" w:rsidRDefault="006F379D" w:rsidP="006F379D">
      <w:pPr>
        <w:spacing w:after="0" w:line="276" w:lineRule="auto"/>
        <w:jc w:val="both"/>
        <w:rPr>
          <w:rFonts w:ascii="Verdana" w:eastAsia="Century Gothic" w:hAnsi="Verdana" w:cs="Century Gothic"/>
        </w:rPr>
      </w:pPr>
      <w:r w:rsidRPr="006F379D">
        <w:rPr>
          <w:rFonts w:ascii="Verdana" w:eastAsia="Century Gothic" w:hAnsi="Verdana" w:cs="Century Gothic"/>
        </w:rPr>
        <w:t>De acuerdo con el contenido de su solicitud, esta Agencia resolverá el siguiente problema jurídico: i) ¿De conformidad con el parágrafo del artículo 37 de la Ley 2056 de 2020, cu</w:t>
      </w:r>
      <w:r w:rsidRPr="006F379D">
        <w:rPr>
          <w:rFonts w:ascii="Verdana" w:eastAsia="Calibri" w:hAnsi="Verdana" w:cs="Times New Roman"/>
        </w:rPr>
        <w:t>ál es el régimen contractual aplicable en la ejecución de proyectos cuya fuente de financiación es el Sistema General de Regalías, en adelante SGR, cuando la entidad ejecutora se rige por el derecho privado</w:t>
      </w:r>
      <w:r w:rsidRPr="006F379D">
        <w:rPr>
          <w:rFonts w:ascii="Verdana" w:eastAsia="Century Gothic" w:hAnsi="Verdana" w:cs="Century Gothic"/>
        </w:rPr>
        <w:t xml:space="preserve">? y, en este sentido </w:t>
      </w:r>
      <w:proofErr w:type="spellStart"/>
      <w:r w:rsidRPr="006F379D">
        <w:rPr>
          <w:rFonts w:ascii="Verdana" w:eastAsia="Century Gothic" w:hAnsi="Verdana" w:cs="Century Gothic"/>
        </w:rPr>
        <w:t>ii</w:t>
      </w:r>
      <w:proofErr w:type="spellEnd"/>
      <w:r w:rsidRPr="006F379D">
        <w:rPr>
          <w:rFonts w:ascii="Verdana" w:eastAsia="Century Gothic" w:hAnsi="Verdana" w:cs="Century Gothic"/>
        </w:rPr>
        <w:t>) ¿deben aplicar los documentos tipo cuando el objeto contractual se enmarque en el ámbito de aplicación de estos?</w:t>
      </w:r>
    </w:p>
    <w:p w14:paraId="352B3AE2" w14:textId="77777777" w:rsidR="006F379D" w:rsidRPr="006F379D" w:rsidRDefault="006F379D" w:rsidP="006F379D">
      <w:pPr>
        <w:spacing w:after="0" w:line="276" w:lineRule="auto"/>
        <w:jc w:val="both"/>
        <w:rPr>
          <w:rFonts w:ascii="Verdana" w:eastAsia="Century Gothic" w:hAnsi="Verdana" w:cs="Century Gothic"/>
        </w:rPr>
      </w:pPr>
    </w:p>
    <w:p w14:paraId="567EB58F" w14:textId="77777777" w:rsidR="006F379D" w:rsidRPr="006F379D" w:rsidRDefault="006F379D" w:rsidP="006F379D">
      <w:pPr>
        <w:numPr>
          <w:ilvl w:val="0"/>
          <w:numId w:val="1"/>
        </w:numPr>
        <w:tabs>
          <w:tab w:val="left" w:pos="142"/>
          <w:tab w:val="left" w:pos="284"/>
        </w:tabs>
        <w:spacing w:after="0" w:line="276" w:lineRule="auto"/>
        <w:jc w:val="both"/>
        <w:rPr>
          <w:rFonts w:ascii="Verdana" w:eastAsia="Century Gothic" w:hAnsi="Verdana" w:cs="Century Gothic"/>
          <w:b/>
          <w:bCs/>
        </w:rPr>
      </w:pPr>
      <w:r w:rsidRPr="006F379D">
        <w:rPr>
          <w:rFonts w:ascii="Verdana" w:eastAsia="Century Gothic" w:hAnsi="Verdana" w:cs="Century Gothic"/>
          <w:b/>
          <w:bCs/>
        </w:rPr>
        <w:t>Respuestas:</w:t>
      </w:r>
    </w:p>
    <w:p w14:paraId="56081766" w14:textId="77777777" w:rsidR="006F379D" w:rsidRPr="006F379D" w:rsidRDefault="006F379D" w:rsidP="006F379D">
      <w:pPr>
        <w:tabs>
          <w:tab w:val="left" w:pos="142"/>
          <w:tab w:val="left" w:pos="284"/>
        </w:tabs>
        <w:spacing w:after="0" w:line="276" w:lineRule="auto"/>
        <w:jc w:val="both"/>
        <w:rPr>
          <w:rFonts w:ascii="Verdana" w:eastAsia="Century Gothic" w:hAnsi="Verdana" w:cs="Century Gothic"/>
          <w:b/>
          <w:bC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6F379D" w:rsidRPr="006F379D" w14:paraId="40536FE3" w14:textId="77777777" w:rsidTr="00AE647B">
        <w:trPr>
          <w:trHeight w:val="58"/>
          <w:jc w:val="center"/>
        </w:trPr>
        <w:tc>
          <w:tcPr>
            <w:tcW w:w="8828" w:type="dxa"/>
          </w:tcPr>
          <w:p w14:paraId="0F7685D7" w14:textId="77777777" w:rsidR="006F379D" w:rsidRPr="006F379D" w:rsidRDefault="006F379D" w:rsidP="006F379D">
            <w:pPr>
              <w:spacing w:after="120" w:line="276" w:lineRule="auto"/>
              <w:jc w:val="both"/>
              <w:rPr>
                <w:rFonts w:ascii="Verdana" w:hAnsi="Verdana"/>
              </w:rPr>
            </w:pPr>
            <w:bookmarkStart w:id="3" w:name="_Hlk171694685"/>
            <w:r w:rsidRPr="006F379D">
              <w:rPr>
                <w:rFonts w:ascii="Verdana" w:eastAsia="Calibri" w:hAnsi="Verdana" w:cs="Arial"/>
                <w:color w:val="000000"/>
                <w:lang w:val="es-ES" w:eastAsia="es-ES"/>
              </w:rPr>
              <w:t xml:space="preserve">i. Conforme a la interpretación general de las normas del sistema de compras públicas, esta Subdirección en </w:t>
            </w:r>
            <w:r w:rsidRPr="006F379D">
              <w:rPr>
                <w:rFonts w:ascii="Verdana" w:hAnsi="Verdana" w:cs="Arial"/>
              </w:rPr>
              <w:t>los conceptos</w:t>
            </w:r>
            <w:r w:rsidRPr="006F379D">
              <w:rPr>
                <w:rFonts w:ascii="Verdana" w:hAnsi="Verdana"/>
              </w:rPr>
              <w:t xml:space="preserve"> C-370 del 2021,</w:t>
            </w:r>
            <w:r w:rsidRPr="006F379D">
              <w:rPr>
                <w:rFonts w:ascii="Verdana" w:hAnsi="Verdana"/>
                <w:shd w:val="clear" w:color="auto" w:fill="FFFFFF"/>
              </w:rPr>
              <w:t xml:space="preserve"> C-353 del 2 de junio de 2022, C-918 del 9 de diciembre de 2024, C-504 del 1 de octubre 2024, C-951 del 16 de diciembre de 2024, C-285 del 14 de abril de 2025, C-348 del 25 de abril de 2025, C-370 del 2 de mayo de 2025, C-680 del 8 de julio de 2025, C-914 del 15 de agosto de 2025, C-1065 del 8 de septiembre de 2025, C-225 del 27 de febrero de 2026, C-417 del 2026,</w:t>
            </w:r>
            <w:r w:rsidRPr="006F379D">
              <w:rPr>
                <w:rFonts w:ascii="Verdana" w:hAnsi="Verdana" w:cs="Arial"/>
              </w:rPr>
              <w:t xml:space="preserve"> C-764 del 29 de mayo de 2026</w:t>
            </w:r>
            <w:r w:rsidRPr="006F379D">
              <w:rPr>
                <w:rFonts w:ascii="Verdana" w:hAnsi="Verdana"/>
                <w:shd w:val="clear" w:color="auto" w:fill="FFFFFF"/>
              </w:rPr>
              <w:t xml:space="preserve">, C-1050 del 21 de julio de 2026, C-1151 y C-1152 del 12 de agosto, entre otros, </w:t>
            </w:r>
            <w:r w:rsidRPr="006F379D">
              <w:rPr>
                <w:rFonts w:ascii="Verdana" w:hAnsi="Verdana" w:cs="Arial"/>
                <w:shd w:val="clear" w:color="auto" w:fill="FFFFFF"/>
              </w:rPr>
              <w:t xml:space="preserve">ha mantenido la postura en virtud de la cual </w:t>
            </w:r>
            <w:r w:rsidRPr="006F379D">
              <w:rPr>
                <w:rFonts w:ascii="Verdana" w:eastAsia="Calibri" w:hAnsi="Verdana" w:cs="Arial"/>
                <w:color w:val="000000"/>
                <w:lang w:val="es-ES" w:eastAsia="es-ES"/>
              </w:rPr>
              <w:t>de acuerdo con el parágrafo primero del artículo 37 de la Ley 2056 de 2020, el ejecutor de los proyectos de inversión del Sistema General de Regalías, independiente del régimen contractual al cuál se encuentre sujeto de manera general, deberá aplicar las reglas de contratación pública, es decir, las prescripciones establecidas en el Estatuto General de Contratación de la Administración Pública-EGCAP, así como las normas que lo modifiquen, sustituyan o reglamenten.</w:t>
            </w:r>
          </w:p>
          <w:p w14:paraId="50F93E27" w14:textId="77777777" w:rsidR="006F379D" w:rsidRPr="006F379D" w:rsidRDefault="006F379D" w:rsidP="006F379D">
            <w:pPr>
              <w:spacing w:after="120" w:line="276" w:lineRule="auto"/>
              <w:ind w:firstLine="709"/>
              <w:jc w:val="both"/>
              <w:rPr>
                <w:rFonts w:ascii="Verdana" w:eastAsia="Calibri" w:hAnsi="Verdana" w:cs="Arial"/>
                <w:color w:val="000000"/>
                <w:lang w:val="es-ES" w:eastAsia="es-ES"/>
              </w:rPr>
            </w:pPr>
            <w:r w:rsidRPr="006F379D">
              <w:rPr>
                <w:rFonts w:ascii="Verdana" w:eastAsia="Calibri" w:hAnsi="Verdana" w:cs="Arial"/>
                <w:color w:val="000000"/>
                <w:lang w:val="es-ES" w:eastAsia="es-ES"/>
              </w:rPr>
              <w:t xml:space="preserve">En este sentido, si la entidad ejecutora es de régimen especial, no podrá apoyarse en las excepciones a la aplicación de la Ley 80 de 1993 para la ejecución de los proyectos. De esta manera, el artículo 37 citado excluye la posibilidad de que los recursos se ejecuten con prevalencia del derecho privado, pues quienes tengan la calidad de entidades ejecutoras para efectos del SGR deben sujetarse a las normas donde prevalece el derecho público, </w:t>
            </w:r>
            <w:r w:rsidRPr="006F379D">
              <w:rPr>
                <w:rFonts w:ascii="Verdana" w:eastAsia="Calibri" w:hAnsi="Verdana" w:cs="Arial"/>
                <w:color w:val="000000"/>
                <w:lang w:val="es-ES" w:eastAsia="es-ES"/>
              </w:rPr>
              <w:lastRenderedPageBreak/>
              <w:t>esto es, al EGCAP, sin perjuicio de que en sus demás actividades apliquen el régimen especial que les corresponda.</w:t>
            </w:r>
          </w:p>
          <w:p w14:paraId="04D24F17" w14:textId="77777777" w:rsidR="006F379D" w:rsidRPr="006F379D" w:rsidRDefault="006F379D" w:rsidP="006F379D">
            <w:pPr>
              <w:spacing w:after="120" w:line="276" w:lineRule="auto"/>
              <w:ind w:firstLine="709"/>
              <w:jc w:val="both"/>
              <w:rPr>
                <w:rFonts w:ascii="Verdana" w:eastAsia="Calibri" w:hAnsi="Verdana" w:cs="Arial"/>
                <w:color w:val="000000" w:themeColor="text1"/>
                <w:lang w:eastAsia="es-ES"/>
              </w:rPr>
            </w:pPr>
            <w:r w:rsidRPr="006F379D">
              <w:rPr>
                <w:rFonts w:ascii="Verdana" w:eastAsia="Calibri" w:hAnsi="Verdana" w:cs="Arial"/>
                <w:color w:val="000000" w:themeColor="text1"/>
                <w:lang w:eastAsia="es-ES"/>
              </w:rPr>
              <w:t>Incluso, dicha posición es asumida por la Sala de Consulta y Servicio Civil del Consejo de Estado, pues en Concepto 2563 del 25 de junio de 2026 –con ponencia de la Consejera María del Pilar Bahamón Falla– estima que la expresión ‘estricta sujeción’ contenida en el parágrafo 1º del artículo 37 de la Ley 2056 de 2020 tiene un alcance normativo reforzado y no opera como una remisión subsidiaria al régimen interno de la entidad ejecutora, sino como un mandato especial de sometimiento al régimen público que gobierna la ejecución de los recursos de regalías dada su especialidad. Aunque el análisis de la Sala se realizó respecto de una Universidad Pública, sus consideraciones resultan aplicables, por analogía, a otras entidades estatales sometidas a regímenes especiales, como las EICE y los Fondos Mixtos, cuando estas sean designadas ejecutoras de proyectos financiados con recursos del SGR.</w:t>
            </w:r>
          </w:p>
          <w:p w14:paraId="1330CE92" w14:textId="77777777" w:rsidR="006F379D" w:rsidRPr="006F379D" w:rsidRDefault="006F379D" w:rsidP="006F379D">
            <w:pPr>
              <w:spacing w:after="120" w:line="276" w:lineRule="auto"/>
              <w:ind w:firstLine="709"/>
              <w:jc w:val="both"/>
              <w:rPr>
                <w:rFonts w:ascii="Verdana" w:eastAsia="Calibri" w:hAnsi="Verdana" w:cs="Arial"/>
              </w:rPr>
            </w:pPr>
            <w:r w:rsidRPr="006F379D">
              <w:rPr>
                <w:rFonts w:ascii="Verdana" w:eastAsia="Calibri" w:hAnsi="Verdana" w:cs="Arial"/>
              </w:rPr>
              <w:t xml:space="preserve">En este contexto, la ANCP – CCE si bien reconoce el régimen de contratación especial de entidades tales como universidades públicas, Fondos Mixtos, EICE, entre otras, cuando actúan como entidades ejecutoras de proyectos financiados con recursos del SGR, </w:t>
            </w:r>
            <w:r w:rsidRPr="006F379D">
              <w:rPr>
                <w:rFonts w:ascii="Verdana" w:eastAsia="Calibri" w:hAnsi="Verdana" w:cs="Arial"/>
                <w:i/>
                <w:iCs/>
              </w:rPr>
              <w:t>deben</w:t>
            </w:r>
            <w:r w:rsidRPr="006F379D">
              <w:rPr>
                <w:rFonts w:ascii="Verdana" w:eastAsia="Calibri" w:hAnsi="Verdana" w:cs="Arial"/>
              </w:rPr>
              <w:t xml:space="preserve"> sujetarse a la norma especial prevista para dichos recursos, la cual impone la aplicación obligatoria del Estatuto General de Contratación de la Administración Pública, tal como lo establece de forma expresa el artículo 37 de la Ley 2056 de 2020. </w:t>
            </w:r>
          </w:p>
          <w:p w14:paraId="527166C5" w14:textId="77777777" w:rsidR="006F379D" w:rsidRPr="006F379D" w:rsidRDefault="006F379D" w:rsidP="006F379D">
            <w:pPr>
              <w:spacing w:after="120" w:line="276" w:lineRule="auto"/>
              <w:jc w:val="both"/>
              <w:rPr>
                <w:rFonts w:ascii="Verdana" w:hAnsi="Verdana" w:cs="Arial"/>
              </w:rPr>
            </w:pPr>
            <w:proofErr w:type="spellStart"/>
            <w:r w:rsidRPr="006F379D">
              <w:rPr>
                <w:rFonts w:ascii="Verdana" w:eastAsia="Calibri" w:hAnsi="Verdana" w:cs="Arial"/>
              </w:rPr>
              <w:t>ii</w:t>
            </w:r>
            <w:proofErr w:type="spellEnd"/>
            <w:r w:rsidRPr="006F379D">
              <w:rPr>
                <w:rFonts w:ascii="Verdana" w:eastAsia="Calibri" w:hAnsi="Verdana" w:cs="Arial"/>
              </w:rPr>
              <w:t>. D</w:t>
            </w:r>
            <w:r w:rsidRPr="006F379D">
              <w:rPr>
                <w:rFonts w:ascii="Verdana" w:eastAsia="Calibri" w:hAnsi="Verdana" w:cs="Arial"/>
                <w:color w:val="000000" w:themeColor="text1"/>
                <w:lang w:eastAsia="es-ES"/>
              </w:rPr>
              <w:t xml:space="preserve">e acuerdo con la interpretación explicada, teniendo en cuenta lo dispuesto en el artículo 37 de la Ley 2056 de 2020, las entidades ejecutoras designadas </w:t>
            </w:r>
            <w:r w:rsidRPr="006F379D">
              <w:rPr>
                <w:rFonts w:ascii="Verdana" w:eastAsia="Calibri" w:hAnsi="Verdana" w:cs="Arial"/>
                <w:i/>
                <w:iCs/>
                <w:color w:val="000000" w:themeColor="text1"/>
                <w:lang w:eastAsia="es-ES"/>
              </w:rPr>
              <w:t>deben</w:t>
            </w:r>
            <w:r w:rsidRPr="006F379D">
              <w:rPr>
                <w:rFonts w:ascii="Verdana" w:eastAsia="Calibri" w:hAnsi="Verdana" w:cs="Arial"/>
                <w:color w:val="000000" w:themeColor="text1"/>
                <w:lang w:eastAsia="es-ES"/>
              </w:rPr>
              <w:t xml:space="preserve"> sujetarse al EGCAP,</w:t>
            </w:r>
            <w:r w:rsidRPr="006F379D">
              <w:rPr>
                <w:rFonts w:ascii="Verdana" w:eastAsia="Calibri" w:hAnsi="Verdana" w:cs="Arial"/>
                <w:color w:val="000000"/>
                <w:lang w:val="es-ES" w:eastAsia="es-ES"/>
              </w:rPr>
              <w:t xml:space="preserve"> sin perjuicio de que en sus demás actividades apliquen el régimen especial que les corresponda</w:t>
            </w:r>
            <w:r w:rsidRPr="006F379D">
              <w:rPr>
                <w:rFonts w:ascii="Verdana" w:eastAsia="Calibri" w:hAnsi="Verdana" w:cs="Arial"/>
                <w:color w:val="000000" w:themeColor="text1"/>
                <w:lang w:eastAsia="es-ES"/>
              </w:rPr>
              <w:t xml:space="preserve">. Esto significa que la contratación de los bienes, obras o servicios que se adelante con fundamento en dicha normativa, </w:t>
            </w:r>
            <w:r w:rsidRPr="006F379D">
              <w:rPr>
                <w:rFonts w:ascii="Verdana" w:eastAsia="Calibri" w:hAnsi="Verdana" w:cs="Arial"/>
                <w:i/>
                <w:iCs/>
                <w:color w:val="000000" w:themeColor="text1"/>
                <w:lang w:eastAsia="es-ES"/>
              </w:rPr>
              <w:t>deberá</w:t>
            </w:r>
            <w:r w:rsidRPr="006F379D">
              <w:rPr>
                <w:rFonts w:ascii="Verdana" w:eastAsia="Calibri" w:hAnsi="Verdana" w:cs="Arial"/>
                <w:color w:val="000000" w:themeColor="text1"/>
                <w:lang w:eastAsia="es-ES"/>
              </w:rPr>
              <w:t xml:space="preserve"> sujetarse a las disposiciones del EGCAP </w:t>
            </w:r>
            <w:proofErr w:type="gramStart"/>
            <w:r w:rsidRPr="006F379D">
              <w:rPr>
                <w:rFonts w:ascii="Verdana" w:eastAsia="Calibri" w:hAnsi="Verdana" w:cs="Arial"/>
                <w:color w:val="000000" w:themeColor="text1"/>
                <w:lang w:eastAsia="es-ES"/>
              </w:rPr>
              <w:t>y</w:t>
            </w:r>
            <w:proofErr w:type="gramEnd"/>
            <w:r w:rsidRPr="006F379D">
              <w:rPr>
                <w:rFonts w:ascii="Verdana" w:eastAsia="Calibri" w:hAnsi="Verdana" w:cs="Arial"/>
                <w:color w:val="000000" w:themeColor="text1"/>
                <w:lang w:eastAsia="es-ES"/>
              </w:rPr>
              <w:t xml:space="preserve"> en consecuencia, los procesos de contratación </w:t>
            </w:r>
            <w:r w:rsidRPr="006F379D">
              <w:rPr>
                <w:rFonts w:ascii="Verdana" w:eastAsia="Calibri" w:hAnsi="Verdana" w:cs="Arial"/>
                <w:i/>
                <w:iCs/>
                <w:color w:val="000000" w:themeColor="text1"/>
                <w:lang w:eastAsia="es-ES"/>
              </w:rPr>
              <w:t>deberán</w:t>
            </w:r>
            <w:r w:rsidRPr="006F379D">
              <w:rPr>
                <w:rFonts w:ascii="Verdana" w:eastAsia="Calibri" w:hAnsi="Verdana" w:cs="Arial"/>
                <w:color w:val="000000" w:themeColor="text1"/>
                <w:lang w:eastAsia="es-ES"/>
              </w:rPr>
              <w:t xml:space="preserve"> desarrollarse observando las etapas, términos, procedimientos y demás reglas previstas en dicho estatuto, </w:t>
            </w:r>
            <w:r w:rsidRPr="006F379D">
              <w:rPr>
                <w:rFonts w:ascii="Verdana" w:hAnsi="Verdana" w:cs="Arial"/>
              </w:rPr>
              <w:t>acudiendo a las modalidades de selección establecidas por el artículo 2 de la Ley 1150 de 2007.</w:t>
            </w:r>
          </w:p>
          <w:p w14:paraId="63806217" w14:textId="77777777" w:rsidR="006F379D" w:rsidRPr="006F379D" w:rsidRDefault="006F379D" w:rsidP="006F379D">
            <w:pPr>
              <w:spacing w:after="120" w:line="276" w:lineRule="auto"/>
              <w:ind w:firstLine="708"/>
              <w:jc w:val="both"/>
              <w:rPr>
                <w:rFonts w:ascii="Verdana" w:eastAsia="Calibri" w:hAnsi="Verdana" w:cs="Arial"/>
                <w:color w:val="000000" w:themeColor="text1"/>
                <w:lang w:eastAsia="es-ES"/>
              </w:rPr>
            </w:pPr>
            <w:r w:rsidRPr="006F379D">
              <w:rPr>
                <w:rFonts w:ascii="Verdana" w:eastAsia="Calibri" w:hAnsi="Verdana" w:cs="Arial"/>
                <w:lang w:val="es-ES"/>
              </w:rPr>
              <w:t xml:space="preserve">En este orden de ideas, si bien en principio las entidades con régimen de contratación especial no están obligadas a aplicar los documentos tipo, la remisión efectuada por el parágrafo primero del artículo 37 de la Ley 2056 de </w:t>
            </w:r>
            <w:r w:rsidRPr="006F379D">
              <w:rPr>
                <w:rFonts w:ascii="Verdana" w:eastAsia="Calibri" w:hAnsi="Verdana" w:cs="Arial"/>
                <w:lang w:val="es-ES"/>
              </w:rPr>
              <w:lastRenderedPageBreak/>
              <w:t xml:space="preserve">2020 al EGCAP, conlleva a que las </w:t>
            </w:r>
            <w:r w:rsidRPr="006F379D">
              <w:rPr>
                <w:rFonts w:ascii="Verdana" w:eastAsia="Calibri" w:hAnsi="Verdana" w:cs="Arial"/>
                <w:color w:val="000000" w:themeColor="text1"/>
                <w:lang w:eastAsia="es-ES"/>
              </w:rPr>
              <w:t xml:space="preserve">entidades designadas ejecutoras deban sujetarse a las reglas y principios establecidos en el Estatuto General de Contratación de la Administración Pública y sus disposiciones reglamentarias. En consecuencia, ello comprende la aplicación de los documentos tipo en la medida en que el parágrafo 7 del artículo 2 de la Ley 1150 de 2007, adicionado por la Ley 1882 de 2018 y modificado por la Ley 2022 de 2020, establece su carácter obligatorio para las entidades que se rigen por el EGCAP, como sucede para efectos de los recursos del SGR. </w:t>
            </w:r>
          </w:p>
          <w:p w14:paraId="4F3FF3FB" w14:textId="77777777" w:rsidR="006F379D" w:rsidRPr="006F379D" w:rsidRDefault="006F379D" w:rsidP="006F379D">
            <w:pPr>
              <w:spacing w:after="120" w:line="276" w:lineRule="auto"/>
              <w:ind w:firstLine="708"/>
              <w:jc w:val="both"/>
              <w:rPr>
                <w:rFonts w:ascii="Verdana" w:eastAsia="Calibri" w:hAnsi="Verdana" w:cs="Arial"/>
                <w:color w:val="000000" w:themeColor="text1"/>
                <w:lang w:eastAsia="es-ES"/>
              </w:rPr>
            </w:pPr>
            <w:r w:rsidRPr="006F379D">
              <w:rPr>
                <w:rFonts w:ascii="Verdana" w:eastAsia="Calibri" w:hAnsi="Verdana" w:cs="Arial"/>
              </w:rPr>
              <w:t>Esta obligatoriedad implica, a su vez, que las Entidades Estatales tengan que adelantar los Procesos de Contratación bajo las condiciones establecidas en los Documentos Tipo que rijan para el objeto a contratar y el procedimiento de selección aplicables, sin que puedan variarse los requisitos fijados en ellos. Lo anterior, por cuanto estos documentos se caracterizan por ser inalterables, es decir, que las Entidades Públicas carecen de la facultad de modificarlos, con excepción de aquellos aspectos que pueden diligenciar, que son las descripciones que están incluidas entre corchetes y resaltadas en gris en cada uno de los Documentos Tipo.</w:t>
            </w:r>
            <w:r w:rsidRPr="006F379D">
              <w:t xml:space="preserve"> </w:t>
            </w:r>
            <w:r w:rsidRPr="006F379D">
              <w:rPr>
                <w:rFonts w:ascii="Verdana" w:eastAsia="Calibri" w:hAnsi="Verdana" w:cs="Arial"/>
              </w:rPr>
              <w:t>De esta forma, las condiciones relativas a la experiencia, los factores de ponderación y los demás aspectos regulados por los documentos tipo deberán sujetarse estrictamente a lo allí establecido, sin que las entidades puedan apartarse de dichas reglas ni establecer condiciones diferentes mediante sus respectivos manuales de contratación.</w:t>
            </w:r>
          </w:p>
          <w:p w14:paraId="637FC60A" w14:textId="77777777" w:rsidR="006F379D" w:rsidRPr="006F379D" w:rsidRDefault="006F379D" w:rsidP="006F379D">
            <w:pPr>
              <w:spacing w:after="120" w:line="276" w:lineRule="auto"/>
              <w:ind w:firstLine="709"/>
              <w:jc w:val="both"/>
              <w:rPr>
                <w:rFonts w:ascii="Verdana" w:eastAsia="Calibri" w:hAnsi="Verdana" w:cs="Arial"/>
                <w:color w:val="000000" w:themeColor="text1"/>
                <w:lang w:eastAsia="es-ES"/>
              </w:rPr>
            </w:pPr>
            <w:r w:rsidRPr="006F379D">
              <w:rPr>
                <w:rFonts w:ascii="Verdana" w:eastAsia="Calibri" w:hAnsi="Verdana" w:cs="Arial"/>
                <w:color w:val="000000" w:themeColor="text1"/>
                <w:lang w:eastAsia="es-ES"/>
              </w:rPr>
              <w:t>Finalmente, vale aclarar que no existe excepción ni régimen especial para ninguna entidad estatal, toda vez que los documentos tipo son inalterables y su aplicación opera de manera uniforme cuando el objeto contractual se encuentra cubierto, sin que, en este caso, la naturaleza del ejecutor releve de su observancia ni habilite su modificación. De esta manera, una vez designados como ejecutores, las reglas especiales que rigen su contratación deben adecuarse con las disposiciones que regulan la ejecución de los recursos del SGR y, en particular, con aquellas que determinan la aplicación del EGCAP y los documentos tipo a la contratación requerida para materializar los proyectos de inversión.</w:t>
            </w:r>
          </w:p>
          <w:p w14:paraId="37DD5004" w14:textId="77777777" w:rsidR="006F379D" w:rsidRPr="006F379D" w:rsidRDefault="006F379D" w:rsidP="006F379D">
            <w:pPr>
              <w:widowControl w:val="0"/>
              <w:autoSpaceDE w:val="0"/>
              <w:autoSpaceDN w:val="0"/>
              <w:spacing w:after="120" w:line="276" w:lineRule="auto"/>
              <w:ind w:right="176" w:firstLine="708"/>
              <w:jc w:val="both"/>
              <w:rPr>
                <w:rFonts w:ascii="Verdana" w:hAnsi="Verdana"/>
              </w:rPr>
            </w:pPr>
            <w:r w:rsidRPr="006F379D">
              <w:rPr>
                <w:rFonts w:ascii="Verdana" w:hAnsi="Verdana"/>
              </w:rPr>
              <w:t xml:space="preserve">Dentro de este marco, corresponde a cada entidad pública, en ejercicio de su competencia y previa valoración de los elementos fácticos y jurídicos, así como de las disposiciones legales mencionadas, determinar su gestión contractual. Al tratarse de un análisis que debe realizarse en el </w:t>
            </w:r>
            <w:r w:rsidRPr="006F379D">
              <w:rPr>
                <w:rFonts w:ascii="Verdana" w:hAnsi="Verdana"/>
              </w:rPr>
              <w:lastRenderedPageBreak/>
              <w:t>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tc>
      </w:tr>
    </w:tbl>
    <w:p w14:paraId="5BF82769" w14:textId="77777777" w:rsidR="006F379D" w:rsidRPr="006F379D" w:rsidRDefault="006F379D" w:rsidP="006F379D">
      <w:pPr>
        <w:tabs>
          <w:tab w:val="left" w:pos="142"/>
          <w:tab w:val="left" w:pos="284"/>
        </w:tabs>
        <w:spacing w:after="0" w:line="276" w:lineRule="auto"/>
        <w:jc w:val="both"/>
        <w:rPr>
          <w:rFonts w:ascii="Verdana" w:eastAsia="Century Gothic" w:hAnsi="Verdana" w:cs="Century Gothic"/>
          <w:b/>
          <w:bCs/>
        </w:rPr>
      </w:pPr>
    </w:p>
    <w:bookmarkEnd w:id="3"/>
    <w:p w14:paraId="5A0CE014" w14:textId="77777777" w:rsidR="006F379D" w:rsidRPr="006F379D" w:rsidRDefault="006F379D" w:rsidP="006F379D">
      <w:pPr>
        <w:numPr>
          <w:ilvl w:val="0"/>
          <w:numId w:val="1"/>
        </w:numPr>
        <w:tabs>
          <w:tab w:val="left" w:pos="142"/>
          <w:tab w:val="left" w:pos="284"/>
        </w:tabs>
        <w:spacing w:after="0" w:line="276" w:lineRule="auto"/>
        <w:jc w:val="both"/>
        <w:rPr>
          <w:rFonts w:ascii="Verdana" w:eastAsia="Century Gothic" w:hAnsi="Verdana" w:cs="Century Gothic"/>
          <w:b/>
          <w:bCs/>
        </w:rPr>
      </w:pPr>
      <w:r w:rsidRPr="006F379D">
        <w:rPr>
          <w:rFonts w:ascii="Verdana" w:eastAsia="Century Gothic" w:hAnsi="Verdana" w:cs="Century Gothic"/>
          <w:b/>
          <w:bCs/>
        </w:rPr>
        <w:t>Razones de las respuestas:</w:t>
      </w:r>
    </w:p>
    <w:p w14:paraId="3AFD3F8D" w14:textId="77777777" w:rsidR="006F379D" w:rsidRPr="006F379D" w:rsidRDefault="006F379D" w:rsidP="006F379D">
      <w:pPr>
        <w:spacing w:after="0" w:line="276" w:lineRule="auto"/>
        <w:jc w:val="both"/>
        <w:rPr>
          <w:rFonts w:ascii="Verdana" w:eastAsia="Calibri" w:hAnsi="Verdana" w:cs="Arial"/>
          <w:color w:val="7030A0"/>
        </w:rPr>
      </w:pPr>
    </w:p>
    <w:p w14:paraId="207BC75C" w14:textId="77777777" w:rsidR="006F379D" w:rsidRPr="006F379D" w:rsidRDefault="006F379D" w:rsidP="006F379D">
      <w:pPr>
        <w:spacing w:after="0" w:line="276" w:lineRule="auto"/>
        <w:jc w:val="both"/>
        <w:rPr>
          <w:rFonts w:ascii="Verdana" w:eastAsia="Calibri" w:hAnsi="Verdana" w:cs="Arial"/>
        </w:rPr>
      </w:pPr>
      <w:r w:rsidRPr="006F379D">
        <w:rPr>
          <w:rFonts w:ascii="Verdana" w:eastAsia="Calibri" w:hAnsi="Verdana" w:cs="Arial"/>
        </w:rPr>
        <w:t>Lo anterior se sustenta en las siguientes consideraciones:</w:t>
      </w:r>
    </w:p>
    <w:p w14:paraId="479BE4AC" w14:textId="77777777" w:rsidR="006F379D" w:rsidRPr="006F379D" w:rsidRDefault="006F379D" w:rsidP="006F379D">
      <w:pPr>
        <w:spacing w:after="0" w:line="276" w:lineRule="auto"/>
        <w:jc w:val="both"/>
        <w:rPr>
          <w:rFonts w:ascii="Verdana" w:eastAsia="Calibri" w:hAnsi="Verdana" w:cs="Arial"/>
        </w:rPr>
      </w:pPr>
    </w:p>
    <w:p w14:paraId="42A06291" w14:textId="77777777" w:rsidR="006F379D" w:rsidRPr="006F379D" w:rsidRDefault="006F379D" w:rsidP="006F379D">
      <w:pPr>
        <w:spacing w:after="120" w:line="276" w:lineRule="auto"/>
        <w:jc w:val="both"/>
        <w:rPr>
          <w:rFonts w:ascii="Verdana" w:eastAsia="Calibri" w:hAnsi="Verdana" w:cs="Arial"/>
          <w:color w:val="000000" w:themeColor="text1"/>
          <w:lang w:val="es-ES_tradnl"/>
        </w:rPr>
      </w:pPr>
      <w:r w:rsidRPr="006F379D">
        <w:rPr>
          <w:rFonts w:ascii="Verdana" w:eastAsia="Calibri" w:hAnsi="Verdana" w:cs="Arial"/>
          <w:color w:val="000000" w:themeColor="text1"/>
          <w:lang w:val="es-ES_tradnl"/>
        </w:rPr>
        <w:t xml:space="preserve">i. Como punto de partida, es pertinente hacer algunas precisiones sobre la posición que ha sostenido la </w:t>
      </w:r>
      <w:r w:rsidRPr="006F379D">
        <w:rPr>
          <w:rFonts w:ascii="Verdana" w:eastAsia="Calibri" w:hAnsi="Verdana" w:cs="Arial"/>
          <w:color w:val="000000"/>
          <w:lang w:val="es-ES" w:eastAsia="es-ES"/>
        </w:rPr>
        <w:t xml:space="preserve">Subdirección de Gestión Contractual de la ANCP – CCE en ejercicio de su función consultiva, </w:t>
      </w:r>
      <w:r w:rsidRPr="006F379D">
        <w:rPr>
          <w:rFonts w:ascii="Verdana" w:eastAsia="Calibri" w:hAnsi="Verdana" w:cs="Arial"/>
          <w:color w:val="000000" w:themeColor="text1"/>
          <w:lang w:val="es-ES_tradnl"/>
        </w:rPr>
        <w:t>en relación con</w:t>
      </w:r>
      <w:r w:rsidRPr="006F379D">
        <w:rPr>
          <w:rFonts w:ascii="Verdana" w:eastAsia="Calibri" w:hAnsi="Verdana" w:cs="Arial"/>
          <w:color w:val="000000"/>
          <w:lang w:val="es-ES" w:eastAsia="es-ES"/>
        </w:rPr>
        <w:t xml:space="preserve"> el régimen de contratación aplicable a la ejecución de proyectos financiados con recursos del Sistema General de Regalías -SGR-, cuando las entidades ejecutoras de recursos de regalías cuentan con un régimen especial de contratación.</w:t>
      </w:r>
    </w:p>
    <w:p w14:paraId="1DF2247A" w14:textId="77777777" w:rsidR="006F379D" w:rsidRPr="006F379D" w:rsidRDefault="006F379D" w:rsidP="006F379D">
      <w:pPr>
        <w:spacing w:after="120" w:line="276" w:lineRule="auto"/>
        <w:ind w:firstLine="709"/>
        <w:jc w:val="both"/>
        <w:rPr>
          <w:rFonts w:ascii="Verdana" w:hAnsi="Verdana"/>
          <w:shd w:val="clear" w:color="auto" w:fill="FFFFFF"/>
        </w:rPr>
      </w:pPr>
      <w:r w:rsidRPr="006F379D">
        <w:rPr>
          <w:rFonts w:ascii="Verdana" w:hAnsi="Verdana"/>
          <w:lang w:val="es-ES" w:eastAsia="es-ES"/>
        </w:rPr>
        <w:t xml:space="preserve">Así, conforme a la interpretación general de las normas del sistema de compras públicas, esta Subdirección en </w:t>
      </w:r>
      <w:r w:rsidRPr="006F379D">
        <w:rPr>
          <w:rFonts w:ascii="Verdana" w:hAnsi="Verdana"/>
        </w:rPr>
        <w:t>los conceptos C-370 del 2021,</w:t>
      </w:r>
      <w:r w:rsidRPr="006F379D">
        <w:rPr>
          <w:rFonts w:ascii="Verdana" w:hAnsi="Verdana"/>
          <w:shd w:val="clear" w:color="auto" w:fill="FFFFFF"/>
        </w:rPr>
        <w:t xml:space="preserve"> C-353 del 2 de junio de 2022, C-918 del 9 de diciembre de 2024, C-504 del 1 de octubre 2024, C-951 del 16 de diciembre de 2024, C-285 del 14 de abril de 2025, C-348 del 25 de abril de 2025, C-370 del 2 de mayo de 2025, C-680 del 8 de julio de 2025, C-914 del 15 de agosto de 2025, C-1065 del 8 de septiembre de 2025, C-225 del 27 de febrero de 2026, C-417 del 2026,</w:t>
      </w:r>
      <w:r w:rsidRPr="006F379D">
        <w:rPr>
          <w:rFonts w:ascii="Verdana" w:hAnsi="Verdana" w:cs="Arial"/>
        </w:rPr>
        <w:t xml:space="preserve"> C-764 del 29 de mayo de 2026</w:t>
      </w:r>
      <w:r w:rsidRPr="006F379D">
        <w:rPr>
          <w:rFonts w:ascii="Verdana" w:hAnsi="Verdana"/>
          <w:shd w:val="clear" w:color="auto" w:fill="FFFFFF"/>
        </w:rPr>
        <w:t xml:space="preserve">, C-1050 del 21 de julio de 2026, C-1151 y C-1152 del 12 de agosto, ha mantenido la postura en virtud de la cual </w:t>
      </w:r>
      <w:r w:rsidRPr="006F379D">
        <w:rPr>
          <w:rFonts w:ascii="Verdana" w:hAnsi="Verdana"/>
          <w:lang w:val="es-ES" w:eastAsia="es-ES"/>
        </w:rPr>
        <w:t>de acuerdo con el parágrafo primero del artículo 37 de la Ley 2056 de 2020, el ejecutor de los proyectos de inversión del Sistema General de Regalías, independiente del régimen contractual al cuál se encuentre sujeto de manera general, deberá aplicar las reglas de contratación pública, es decir, a las prescripciones establecidas en el Estatuto General de Contratación de la Administración Pública-EGCAP, así como las normas que lo modifiquen, sustituyan o reglamenten.</w:t>
      </w:r>
    </w:p>
    <w:p w14:paraId="6D6E20F4" w14:textId="77777777" w:rsidR="006F379D" w:rsidRPr="006F379D" w:rsidRDefault="006F379D" w:rsidP="006F379D">
      <w:pPr>
        <w:spacing w:after="120" w:line="276" w:lineRule="auto"/>
        <w:ind w:firstLine="709"/>
        <w:jc w:val="both"/>
        <w:rPr>
          <w:rFonts w:ascii="Verdana" w:hAnsi="Verdana" w:cs="Arial"/>
          <w:noProof/>
        </w:rPr>
      </w:pPr>
      <w:r w:rsidRPr="006F379D">
        <w:rPr>
          <w:rFonts w:ascii="Verdana" w:eastAsia="Calibri" w:hAnsi="Verdana" w:cs="Arial"/>
          <w:color w:val="000000"/>
          <w:lang w:val="es-ES" w:eastAsia="es-ES"/>
        </w:rPr>
        <w:t xml:space="preserve">En efecto, conforme se ha explicado en estos conceptos, </w:t>
      </w:r>
      <w:r w:rsidRPr="006F379D">
        <w:rPr>
          <w:rFonts w:ascii="Verdana" w:hAnsi="Verdana" w:cs="Arial"/>
          <w:noProof/>
          <w:lang w:val="es-ES_tradnl"/>
        </w:rPr>
        <w:t xml:space="preserve">en </w:t>
      </w:r>
      <w:r w:rsidRPr="006F379D">
        <w:rPr>
          <w:rFonts w:ascii="Verdana" w:hAnsi="Verdana" w:cs="Arial"/>
          <w:noProof/>
        </w:rPr>
        <w:t xml:space="preserve">el Título IV, Capítulo I, la Ley 2056 de 2020 establece las reglas generales para los proyectos </w:t>
      </w:r>
      <w:r w:rsidRPr="006F379D">
        <w:rPr>
          <w:rFonts w:ascii="Verdana" w:hAnsi="Verdana" w:cs="Arial"/>
          <w:noProof/>
        </w:rPr>
        <w:lastRenderedPageBreak/>
        <w:t>de inversión en el Sistema General de Regalías. En esta línea, regula la destinación de los proyectos del Sistema General de Regalías –artículo 28–, las características de los proyectos de inversión –artículo 29–, los ejercicios de planeación –artículo 30–, el ciclo de los proyectos de inversión –artículo 31–, el registro de proyectos –artículo 32–, formulación y presentación de los proyectos de inversión –artículo 33–, viabilidad de los proyectos de inversión–artículo 34–, priorización y aprobación de los proyectos de inversión de la asignación para la inversión regional –artículo 35–, priorización y aprobación de proyectos de inversión para las asignaciones directas y asignación para la inversión local –artículo 36–, así como la ejecución de proyectos de inversión –artículo 37–.</w:t>
      </w:r>
    </w:p>
    <w:p w14:paraId="34F3192B" w14:textId="77777777" w:rsidR="006F379D" w:rsidRPr="006F379D" w:rsidRDefault="006F379D" w:rsidP="006F379D">
      <w:pPr>
        <w:spacing w:after="120" w:line="276" w:lineRule="auto"/>
        <w:ind w:firstLine="709"/>
        <w:jc w:val="both"/>
        <w:rPr>
          <w:rFonts w:ascii="Verdana" w:hAnsi="Verdana" w:cs="Arial"/>
        </w:rPr>
      </w:pPr>
      <w:r w:rsidRPr="006F379D">
        <w:rPr>
          <w:rFonts w:ascii="Verdana" w:hAnsi="Verdana" w:cs="Arial"/>
          <w:noProof/>
        </w:rPr>
        <w:t xml:space="preserve">Particularmente, el artículo 37 </w:t>
      </w:r>
      <w:r w:rsidRPr="006F379D">
        <w:rPr>
          <w:rFonts w:ascii="Verdana" w:hAnsi="Verdana" w:cs="Arial"/>
        </w:rPr>
        <w:t xml:space="preserve">de la Ley 2056 de 2020 dispone que los proyectos de inversión que se financien con cargo al Sistema General de Regalías serán ejecutados por quien designe las entidades u órganos de que tratan los artículos 35 y 36 </w:t>
      </w:r>
      <w:r w:rsidRPr="006F379D">
        <w:rPr>
          <w:rFonts w:ascii="Verdana" w:hAnsi="Verdana" w:cs="Arial"/>
          <w:i/>
          <w:iCs/>
        </w:rPr>
        <w:t>ibidem</w:t>
      </w:r>
      <w:r w:rsidRPr="006F379D">
        <w:rPr>
          <w:rFonts w:ascii="Verdana" w:hAnsi="Verdana" w:cs="Arial"/>
        </w:rPr>
        <w:t xml:space="preserve">. También agrega que la entidad pública ejecutora tiene el deber de adelantar la contratación de la interventoría, de conformidad con lo previsto en la presente ley. Las entidades ejecutoras de recursos del Sistema son responsables de suministrar de forma veraz, oportuna e idónea, la información de la gestión de los proyectos que se requiera e implementar las actuaciones pertinentes para encauzar el desempeño de los proyectos de inversión y decidir, de manera motivada, sobre la continuidad de </w:t>
      </w:r>
      <w:proofErr w:type="gramStart"/>
      <w:r w:rsidRPr="006F379D">
        <w:rPr>
          <w:rFonts w:ascii="Verdana" w:hAnsi="Verdana" w:cs="Arial"/>
        </w:rPr>
        <w:t>los mismos</w:t>
      </w:r>
      <w:proofErr w:type="gramEnd"/>
      <w:r w:rsidRPr="006F379D">
        <w:rPr>
          <w:rFonts w:ascii="Verdana" w:hAnsi="Verdana" w:cs="Arial"/>
        </w:rPr>
        <w:t xml:space="preserve">, sin perjuicio de las acciones de control a las que haya lugar. </w:t>
      </w:r>
    </w:p>
    <w:p w14:paraId="6D194914" w14:textId="77777777" w:rsidR="006F379D" w:rsidRPr="006F379D" w:rsidRDefault="006F379D" w:rsidP="006F379D">
      <w:pPr>
        <w:spacing w:after="120" w:line="276" w:lineRule="auto"/>
        <w:ind w:firstLine="709"/>
        <w:jc w:val="both"/>
        <w:rPr>
          <w:rFonts w:ascii="Verdana" w:hAnsi="Verdana" w:cs="Arial"/>
        </w:rPr>
      </w:pPr>
      <w:r w:rsidRPr="006F379D">
        <w:rPr>
          <w:rFonts w:ascii="Verdana" w:hAnsi="Verdana" w:cs="Arial"/>
        </w:rPr>
        <w:t xml:space="preserve">El parágrafo primero del artículo 37 </w:t>
      </w:r>
      <w:r w:rsidRPr="006F379D">
        <w:rPr>
          <w:rFonts w:ascii="Verdana" w:hAnsi="Verdana" w:cs="Arial"/>
          <w:i/>
          <w:iCs/>
        </w:rPr>
        <w:t>ibidem</w:t>
      </w:r>
      <w:r w:rsidRPr="006F379D">
        <w:rPr>
          <w:rFonts w:ascii="Verdana" w:hAnsi="Verdana" w:cs="Arial"/>
        </w:rPr>
        <w:t xml:space="preserve"> dispone lo siguiente: “La ejecución de proyectos de que trata este artículo, se adelantará, con estricta sujeción al régimen presupuestal definido en esta ley, </w:t>
      </w:r>
      <w:r w:rsidRPr="006F379D">
        <w:rPr>
          <w:rFonts w:ascii="Verdana" w:hAnsi="Verdana" w:cs="Arial"/>
          <w:i/>
          <w:iCs/>
          <w:u w:val="single"/>
        </w:rPr>
        <w:t>al de contratación pública</w:t>
      </w:r>
      <w:r w:rsidRPr="006F379D">
        <w:rPr>
          <w:rFonts w:ascii="Verdana" w:hAnsi="Verdana" w:cs="Arial"/>
        </w:rPr>
        <w:t xml:space="preserve"> y las demás normas legales vigentes. El ejecutor garantizará la correcta ejecución de los recursos asignados al proyecto de inversión, así como el suministro y registro de la información requerida por el sistema de seguimiento, evaluación y control”</w:t>
      </w:r>
      <w:r w:rsidRPr="006F379D">
        <w:rPr>
          <w:rFonts w:ascii="Verdana" w:hAnsi="Verdana" w:cs="Arial"/>
          <w:vertAlign w:val="superscript"/>
        </w:rPr>
        <w:footnoteReference w:id="2"/>
      </w:r>
      <w:r w:rsidRPr="006F379D">
        <w:rPr>
          <w:rFonts w:ascii="Verdana" w:hAnsi="Verdana" w:cs="Arial"/>
        </w:rPr>
        <w:t>.</w:t>
      </w:r>
      <w:r w:rsidRPr="006F379D">
        <w:rPr>
          <w:rFonts w:ascii="Verdana" w:hAnsi="Verdana" w:cs="Arial"/>
          <w:noProof/>
        </w:rPr>
        <w:t xml:space="preserve"> A partir de esta norma, el ejercutor de los proyectos de </w:t>
      </w:r>
      <w:r w:rsidRPr="006F379D">
        <w:rPr>
          <w:rFonts w:ascii="Verdana" w:hAnsi="Verdana" w:cs="Arial"/>
          <w:noProof/>
        </w:rPr>
        <w:lastRenderedPageBreak/>
        <w:t xml:space="preserve">inversion en el SGR debe sujetarse a las reglas de contratación pública, es decir, a las prescripciones establecidas en el Estatuto General de Contratación Pública, así como las normas que lo modifiquen, sustituyan o reglamenten. En efecto, el ejecutor debe someterse a las reglas generales de la contratación pública cuando desarrolle proyectos en el marco del Sistema General de Regalías. </w:t>
      </w:r>
    </w:p>
    <w:p w14:paraId="7E1588E3" w14:textId="77777777" w:rsidR="006F379D" w:rsidRPr="006F379D" w:rsidRDefault="006F379D" w:rsidP="006F379D">
      <w:pPr>
        <w:spacing w:after="120" w:line="276" w:lineRule="auto"/>
        <w:ind w:firstLine="709"/>
        <w:jc w:val="both"/>
        <w:rPr>
          <w:rFonts w:ascii="Verdana" w:hAnsi="Verdana" w:cs="Arial"/>
          <w:bdr w:val="none" w:sz="0" w:space="0" w:color="auto" w:frame="1"/>
        </w:rPr>
      </w:pPr>
      <w:r w:rsidRPr="006F379D">
        <w:rPr>
          <w:rFonts w:ascii="Verdana" w:hAnsi="Verdana" w:cs="Arial"/>
        </w:rPr>
        <w:t xml:space="preserve">Por tanto, en caso de que se realicen proyectos de inversión en el marco del Sistema General de Regalías, como también aquellos proyectos especiales referenciados </w:t>
      </w:r>
      <w:r w:rsidRPr="006F379D">
        <w:rPr>
          <w:rFonts w:ascii="Verdana" w:hAnsi="Verdana" w:cs="Arial"/>
          <w:i/>
          <w:iCs/>
        </w:rPr>
        <w:t>ut supra</w:t>
      </w:r>
      <w:r w:rsidRPr="006F379D">
        <w:rPr>
          <w:rFonts w:ascii="Verdana" w:hAnsi="Verdana" w:cs="Arial"/>
        </w:rPr>
        <w:t>, los ejecutores designados para desarrollarlos deben sujetarse al Estatuto General de Contratación de la Administración Pública</w:t>
      </w:r>
      <w:r w:rsidRPr="006F379D">
        <w:rPr>
          <w:rFonts w:ascii="Verdana" w:eastAsia="Calibri" w:hAnsi="Verdana" w:cs="Arial"/>
        </w:rPr>
        <w:t>.</w:t>
      </w:r>
      <w:r w:rsidRPr="006F379D">
        <w:rPr>
          <w:rFonts w:ascii="Verdana" w:hAnsi="Verdana" w:cs="Arial"/>
        </w:rPr>
        <w:t xml:space="preserve"> </w:t>
      </w:r>
      <w:r w:rsidRPr="006F379D">
        <w:rPr>
          <w:rFonts w:ascii="Verdana" w:hAnsi="Verdana" w:cs="Arial"/>
          <w:bdr w:val="none" w:sz="0" w:space="0" w:color="auto" w:frame="1"/>
        </w:rPr>
        <w:t xml:space="preserve">En el evento en que determinados asuntos estén sometidos por norma especial al Estatuto General de Contratación Pública, la ejecución de los contratos deberá realizarse conforme a este régimen. </w:t>
      </w:r>
    </w:p>
    <w:p w14:paraId="1B3159CA" w14:textId="77777777" w:rsidR="006F379D" w:rsidRPr="006F379D" w:rsidRDefault="006F379D" w:rsidP="006F379D">
      <w:pPr>
        <w:spacing w:after="120" w:line="276" w:lineRule="auto"/>
        <w:ind w:firstLine="709"/>
        <w:jc w:val="both"/>
        <w:rPr>
          <w:rFonts w:ascii="Verdana" w:eastAsia="Calibri" w:hAnsi="Verdana" w:cs="Arial"/>
          <w:color w:val="000000"/>
          <w:lang w:val="es-ES" w:eastAsia="es-ES"/>
        </w:rPr>
      </w:pPr>
      <w:r w:rsidRPr="006F379D">
        <w:rPr>
          <w:rFonts w:ascii="Verdana" w:eastAsia="Calibri" w:hAnsi="Verdana" w:cs="Arial"/>
          <w:color w:val="000000"/>
          <w:lang w:val="es-ES" w:eastAsia="es-ES"/>
        </w:rPr>
        <w:t xml:space="preserve">Así las cosas, se ha sostenido </w:t>
      </w:r>
      <w:proofErr w:type="gramStart"/>
      <w:r w:rsidRPr="006F379D">
        <w:rPr>
          <w:rFonts w:ascii="Verdana" w:eastAsia="Calibri" w:hAnsi="Verdana" w:cs="Arial"/>
          <w:color w:val="000000"/>
          <w:lang w:val="es-ES" w:eastAsia="es-ES"/>
        </w:rPr>
        <w:t>que</w:t>
      </w:r>
      <w:proofErr w:type="gramEnd"/>
      <w:r w:rsidRPr="006F379D">
        <w:rPr>
          <w:rFonts w:ascii="Verdana" w:eastAsia="Calibri" w:hAnsi="Verdana" w:cs="Arial"/>
          <w:color w:val="000000"/>
          <w:lang w:val="es-ES" w:eastAsia="es-ES"/>
        </w:rPr>
        <w:t xml:space="preserve"> si la entidad ejecutora es de régimen especial, no podrá apoyarse en las excepciones a la aplicación de la Ley 80 de 1993 para la ejecución de los proyectos. De esta manera, el artículo 37 citado excluye la posibilidad de que los recursos se ejecuten con prevalencia del derecho privado, pues quienes tengan la calidad de entidades ejecutoras para efectos del SGR deben sujetarse a las normas donde prevalece el derecho </w:t>
      </w:r>
      <w:r w:rsidRPr="006F379D">
        <w:rPr>
          <w:rFonts w:ascii="Verdana" w:eastAsia="Calibri" w:hAnsi="Verdana" w:cs="Arial"/>
          <w:color w:val="000000"/>
          <w:lang w:val="es-ES" w:eastAsia="es-ES"/>
        </w:rPr>
        <w:lastRenderedPageBreak/>
        <w:t>público, esto es, al EGCAP, sin perjuicio de que en sus demás actividades apliquen el régimen especial que les corresponda.</w:t>
      </w:r>
    </w:p>
    <w:p w14:paraId="4F4E4E75" w14:textId="77777777" w:rsidR="006F379D" w:rsidRPr="006F379D" w:rsidRDefault="006F379D" w:rsidP="006F379D">
      <w:pPr>
        <w:spacing w:after="0" w:line="276" w:lineRule="auto"/>
        <w:ind w:firstLine="708"/>
        <w:jc w:val="both"/>
        <w:rPr>
          <w:rFonts w:ascii="Verdana" w:eastAsia="Calibri" w:hAnsi="Verdana" w:cs="Arial"/>
          <w:lang w:val="es-ES"/>
        </w:rPr>
      </w:pPr>
      <w:r w:rsidRPr="006F379D">
        <w:rPr>
          <w:rFonts w:ascii="Verdana" w:hAnsi="Verdana" w:cs="Arial"/>
          <w:bdr w:val="none" w:sz="0" w:space="0" w:color="auto" w:frame="1"/>
        </w:rPr>
        <w:t xml:space="preserve">La anterior conclusión resulta de especial importancia para efectos de la consulta planteada, puesto que </w:t>
      </w:r>
      <w:r w:rsidRPr="006F379D">
        <w:rPr>
          <w:rFonts w:ascii="Verdana" w:hAnsi="Verdana" w:cs="Arial"/>
          <w:bdr w:val="none" w:sz="0" w:space="0" w:color="auto" w:frame="1"/>
          <w:lang w:val="es-ES_tradnl"/>
        </w:rPr>
        <w:t xml:space="preserve">las Empresas Industriales y Comerciales del Estado en ciertos eventos cuentan con un régimen de contratación particular. En efecto, </w:t>
      </w:r>
      <w:r w:rsidRPr="006F379D">
        <w:rPr>
          <w:rFonts w:ascii="Verdana" w:eastAsia="Calibri" w:hAnsi="Verdana" w:cs="Arial"/>
          <w:lang w:val="es-ES"/>
        </w:rPr>
        <w:t>las Empresas Industriales y Comerciales del Estado, bajo la denominación de Entidades Estatales, quedaron sometidas al Estatuto General de Contratación de la Administración Pública –Ley 80 de 1993, artículo 2, numeral 1, literal a</w:t>
      </w:r>
      <w:r w:rsidRPr="006F379D">
        <w:rPr>
          <w:rFonts w:ascii="Verdana" w:eastAsia="Calibri" w:hAnsi="Verdana" w:cs="Arial"/>
          <w:vertAlign w:val="superscript"/>
          <w:lang w:val="es-ES"/>
        </w:rPr>
        <w:footnoteReference w:id="3"/>
      </w:r>
      <w:r w:rsidRPr="006F379D">
        <w:rPr>
          <w:rFonts w:ascii="Verdana" w:eastAsia="Calibri" w:hAnsi="Verdana" w:cs="Arial"/>
          <w:lang w:val="es-ES"/>
        </w:rPr>
        <w:t>. Posteriormente, la Ley 489 de 1998, mediante el cual se regula la organización y funcionamiento de las entidades de orden nacional, en su artículo 93 estableció el régimen jurídico aplicable a los contratos celebrados por las Empresas Industriales y Comerciales del Estado, como sigue:</w:t>
      </w:r>
    </w:p>
    <w:p w14:paraId="0A24C190" w14:textId="77777777" w:rsidR="006F379D" w:rsidRPr="006F379D" w:rsidRDefault="006F379D" w:rsidP="006F379D">
      <w:pPr>
        <w:spacing w:after="0" w:line="276" w:lineRule="auto"/>
        <w:ind w:firstLine="708"/>
        <w:jc w:val="both"/>
        <w:rPr>
          <w:rFonts w:ascii="Verdana" w:eastAsia="Calibri" w:hAnsi="Verdana" w:cs="Arial"/>
          <w:lang w:val="es-ES"/>
        </w:rPr>
      </w:pPr>
    </w:p>
    <w:p w14:paraId="3F2269BC" w14:textId="77777777" w:rsidR="006F379D" w:rsidRPr="006F379D" w:rsidRDefault="006F379D" w:rsidP="006F379D">
      <w:pPr>
        <w:spacing w:after="0" w:line="240" w:lineRule="auto"/>
        <w:ind w:left="709" w:right="709"/>
        <w:contextualSpacing/>
        <w:jc w:val="both"/>
        <w:rPr>
          <w:rFonts w:ascii="Verdana" w:eastAsia="Times New Roman" w:hAnsi="Verdana" w:cs="Arial"/>
          <w:sz w:val="20"/>
          <w:szCs w:val="20"/>
          <w:lang w:eastAsia="es-ES_tradnl"/>
        </w:rPr>
      </w:pPr>
      <w:r w:rsidRPr="006F379D">
        <w:rPr>
          <w:rFonts w:ascii="Verdana" w:eastAsia="Times New Roman" w:hAnsi="Verdana" w:cs="Arial"/>
          <w:sz w:val="20"/>
          <w:szCs w:val="20"/>
          <w:lang w:eastAsia="es-ES_tradnl"/>
        </w:rPr>
        <w:t>“Artículo 93. Régimen de los actos y contratos. Los actos que expidan las Empresas Industriales y Comerciales del Estado para el desarrollo de su actividad propia, industrial o comercial o de gestión económica se sujetarán a las disposiciones del Derecho Privado. Los contratos que celebren para el cumplimiento de su objeto se sujetarán a las disposiciones del Estatuto General de Contratación de las entidades estatales”.</w:t>
      </w:r>
    </w:p>
    <w:p w14:paraId="263F2285" w14:textId="77777777" w:rsidR="006F379D" w:rsidRPr="006F379D" w:rsidRDefault="006F379D" w:rsidP="006F379D">
      <w:pPr>
        <w:widowControl w:val="0"/>
        <w:autoSpaceDE w:val="0"/>
        <w:autoSpaceDN w:val="0"/>
        <w:spacing w:after="0" w:line="276" w:lineRule="auto"/>
        <w:rPr>
          <w:rFonts w:ascii="Verdana" w:eastAsia="Verdana" w:hAnsi="Verdana" w:cs="Verdana"/>
          <w:sz w:val="20"/>
        </w:rPr>
      </w:pPr>
    </w:p>
    <w:p w14:paraId="5F1C1E42" w14:textId="77777777" w:rsidR="006F379D" w:rsidRPr="006F379D" w:rsidRDefault="006F379D" w:rsidP="006F379D">
      <w:pPr>
        <w:widowControl w:val="0"/>
        <w:autoSpaceDE w:val="0"/>
        <w:autoSpaceDN w:val="0"/>
        <w:spacing w:after="0" w:line="276" w:lineRule="auto"/>
        <w:ind w:right="49" w:firstLine="708"/>
        <w:jc w:val="both"/>
        <w:rPr>
          <w:rFonts w:ascii="Verdana" w:eastAsia="Verdana" w:hAnsi="Verdana" w:cs="Verdana"/>
          <w:lang w:val="es-ES"/>
        </w:rPr>
      </w:pPr>
      <w:bookmarkStart w:id="4" w:name="_bookmark7"/>
      <w:bookmarkEnd w:id="4"/>
      <w:r w:rsidRPr="006F379D">
        <w:rPr>
          <w:rFonts w:ascii="Verdana" w:eastAsia="Verdana" w:hAnsi="Verdana" w:cs="Verdana"/>
          <w:lang w:val="es-ES"/>
        </w:rPr>
        <w:t>No obstante las dificultades hermenéuticas que suscitaba la disposición anterior,</w:t>
      </w:r>
      <w:r w:rsidRPr="006F379D">
        <w:rPr>
          <w:rFonts w:ascii="Verdana" w:eastAsia="Verdana" w:hAnsi="Verdana" w:cs="Verdana"/>
          <w:spacing w:val="-8"/>
          <w:lang w:val="es-ES"/>
        </w:rPr>
        <w:t xml:space="preserve"> </w:t>
      </w:r>
      <w:r w:rsidRPr="006F379D">
        <w:rPr>
          <w:rFonts w:ascii="Verdana" w:eastAsia="Verdana" w:hAnsi="Verdana" w:cs="Verdana"/>
          <w:lang w:val="es-ES"/>
        </w:rPr>
        <w:t>el</w:t>
      </w:r>
      <w:r w:rsidRPr="006F379D">
        <w:rPr>
          <w:rFonts w:ascii="Verdana" w:eastAsia="Verdana" w:hAnsi="Verdana" w:cs="Verdana"/>
          <w:spacing w:val="-8"/>
          <w:lang w:val="es-ES"/>
        </w:rPr>
        <w:t xml:space="preserve"> </w:t>
      </w:r>
      <w:r w:rsidRPr="006F379D">
        <w:rPr>
          <w:rFonts w:ascii="Verdana" w:eastAsia="Verdana" w:hAnsi="Verdana" w:cs="Verdana"/>
          <w:lang w:val="es-ES"/>
        </w:rPr>
        <w:t>artículo</w:t>
      </w:r>
      <w:r w:rsidRPr="006F379D">
        <w:rPr>
          <w:rFonts w:ascii="Verdana" w:eastAsia="Verdana" w:hAnsi="Verdana" w:cs="Verdana"/>
          <w:spacing w:val="-7"/>
          <w:lang w:val="es-ES"/>
        </w:rPr>
        <w:t xml:space="preserve"> </w:t>
      </w:r>
      <w:r w:rsidRPr="006F379D">
        <w:rPr>
          <w:rFonts w:ascii="Verdana" w:eastAsia="Verdana" w:hAnsi="Verdana" w:cs="Verdana"/>
          <w:lang w:val="es-ES"/>
        </w:rPr>
        <w:t>14</w:t>
      </w:r>
      <w:r w:rsidRPr="006F379D">
        <w:rPr>
          <w:rFonts w:ascii="Verdana" w:eastAsia="Verdana" w:hAnsi="Verdana" w:cs="Verdana"/>
          <w:spacing w:val="-8"/>
          <w:lang w:val="es-ES"/>
        </w:rPr>
        <w:t xml:space="preserve"> </w:t>
      </w:r>
      <w:r w:rsidRPr="006F379D">
        <w:rPr>
          <w:rFonts w:ascii="Verdana" w:eastAsia="Verdana" w:hAnsi="Verdana" w:cs="Verdana"/>
          <w:lang w:val="es-ES"/>
        </w:rPr>
        <w:t>de</w:t>
      </w:r>
      <w:r w:rsidRPr="006F379D">
        <w:rPr>
          <w:rFonts w:ascii="Verdana" w:eastAsia="Verdana" w:hAnsi="Verdana" w:cs="Verdana"/>
          <w:spacing w:val="-9"/>
          <w:lang w:val="es-ES"/>
        </w:rPr>
        <w:t xml:space="preserve"> </w:t>
      </w:r>
      <w:r w:rsidRPr="006F379D">
        <w:rPr>
          <w:rFonts w:ascii="Verdana" w:eastAsia="Verdana" w:hAnsi="Verdana" w:cs="Verdana"/>
          <w:lang w:val="es-ES"/>
        </w:rPr>
        <w:t>la</w:t>
      </w:r>
      <w:r w:rsidRPr="006F379D">
        <w:rPr>
          <w:rFonts w:ascii="Verdana" w:eastAsia="Verdana" w:hAnsi="Verdana" w:cs="Verdana"/>
          <w:spacing w:val="-10"/>
          <w:lang w:val="es-ES"/>
        </w:rPr>
        <w:t xml:space="preserve"> </w:t>
      </w:r>
      <w:r w:rsidRPr="006F379D">
        <w:rPr>
          <w:rFonts w:ascii="Verdana" w:eastAsia="Verdana" w:hAnsi="Verdana" w:cs="Verdana"/>
          <w:lang w:val="es-ES"/>
        </w:rPr>
        <w:t>Ley</w:t>
      </w:r>
      <w:r w:rsidRPr="006F379D">
        <w:rPr>
          <w:rFonts w:ascii="Verdana" w:eastAsia="Verdana" w:hAnsi="Verdana" w:cs="Verdana"/>
          <w:spacing w:val="-8"/>
          <w:lang w:val="es-ES"/>
        </w:rPr>
        <w:t xml:space="preserve"> </w:t>
      </w:r>
      <w:r w:rsidRPr="006F379D">
        <w:rPr>
          <w:rFonts w:ascii="Verdana" w:eastAsia="Verdana" w:hAnsi="Verdana" w:cs="Verdana"/>
          <w:lang w:val="es-ES"/>
        </w:rPr>
        <w:t>1150</w:t>
      </w:r>
      <w:r w:rsidRPr="006F379D">
        <w:rPr>
          <w:rFonts w:ascii="Verdana" w:eastAsia="Verdana" w:hAnsi="Verdana" w:cs="Verdana"/>
          <w:spacing w:val="-8"/>
          <w:lang w:val="es-ES"/>
        </w:rPr>
        <w:t xml:space="preserve"> </w:t>
      </w:r>
      <w:r w:rsidRPr="006F379D">
        <w:rPr>
          <w:rFonts w:ascii="Verdana" w:eastAsia="Verdana" w:hAnsi="Verdana" w:cs="Verdana"/>
          <w:lang w:val="es-ES"/>
        </w:rPr>
        <w:t>de</w:t>
      </w:r>
      <w:r w:rsidRPr="006F379D">
        <w:rPr>
          <w:rFonts w:ascii="Verdana" w:eastAsia="Verdana" w:hAnsi="Verdana" w:cs="Verdana"/>
          <w:spacing w:val="-9"/>
          <w:lang w:val="es-ES"/>
        </w:rPr>
        <w:t xml:space="preserve"> </w:t>
      </w:r>
      <w:r w:rsidRPr="006F379D">
        <w:rPr>
          <w:rFonts w:ascii="Verdana" w:eastAsia="Verdana" w:hAnsi="Verdana" w:cs="Verdana"/>
          <w:lang w:val="es-ES"/>
        </w:rPr>
        <w:t>2007 –modificado</w:t>
      </w:r>
      <w:r w:rsidRPr="006F379D">
        <w:rPr>
          <w:rFonts w:ascii="Verdana" w:eastAsia="Verdana" w:hAnsi="Verdana" w:cs="Verdana"/>
          <w:spacing w:val="-7"/>
          <w:lang w:val="es-ES"/>
        </w:rPr>
        <w:t xml:space="preserve"> </w:t>
      </w:r>
      <w:r w:rsidRPr="006F379D">
        <w:rPr>
          <w:rFonts w:ascii="Verdana" w:eastAsia="Verdana" w:hAnsi="Verdana" w:cs="Verdana"/>
          <w:lang w:val="es-ES"/>
        </w:rPr>
        <w:t>por</w:t>
      </w:r>
      <w:r w:rsidRPr="006F379D">
        <w:rPr>
          <w:rFonts w:ascii="Verdana" w:eastAsia="Verdana" w:hAnsi="Verdana" w:cs="Verdana"/>
          <w:spacing w:val="-7"/>
          <w:lang w:val="es-ES"/>
        </w:rPr>
        <w:t xml:space="preserve"> </w:t>
      </w:r>
      <w:r w:rsidRPr="006F379D">
        <w:rPr>
          <w:rFonts w:ascii="Verdana" w:eastAsia="Verdana" w:hAnsi="Verdana" w:cs="Verdana"/>
          <w:lang w:val="es-ES"/>
        </w:rPr>
        <w:t>el</w:t>
      </w:r>
      <w:r w:rsidRPr="006F379D">
        <w:rPr>
          <w:rFonts w:ascii="Verdana" w:eastAsia="Verdana" w:hAnsi="Verdana" w:cs="Verdana"/>
          <w:spacing w:val="-8"/>
          <w:lang w:val="es-ES"/>
        </w:rPr>
        <w:t xml:space="preserve"> </w:t>
      </w:r>
      <w:r w:rsidRPr="006F379D">
        <w:rPr>
          <w:rFonts w:ascii="Verdana" w:eastAsia="Verdana" w:hAnsi="Verdana" w:cs="Verdana"/>
          <w:lang w:val="es-ES"/>
        </w:rPr>
        <w:t>artículo</w:t>
      </w:r>
      <w:r w:rsidRPr="006F379D">
        <w:rPr>
          <w:rFonts w:ascii="Verdana" w:eastAsia="Verdana" w:hAnsi="Verdana" w:cs="Verdana"/>
          <w:spacing w:val="-7"/>
          <w:lang w:val="es-ES"/>
        </w:rPr>
        <w:t xml:space="preserve"> </w:t>
      </w:r>
      <w:r w:rsidRPr="006F379D">
        <w:rPr>
          <w:rFonts w:ascii="Verdana" w:eastAsia="Verdana" w:hAnsi="Verdana" w:cs="Verdana"/>
          <w:lang w:val="es-ES"/>
        </w:rPr>
        <w:t>93</w:t>
      </w:r>
      <w:r w:rsidRPr="006F379D">
        <w:rPr>
          <w:rFonts w:ascii="Verdana" w:eastAsia="Verdana" w:hAnsi="Verdana" w:cs="Verdana"/>
          <w:spacing w:val="-12"/>
          <w:lang w:val="es-ES"/>
        </w:rPr>
        <w:t xml:space="preserve"> </w:t>
      </w:r>
      <w:r w:rsidRPr="006F379D">
        <w:rPr>
          <w:rFonts w:ascii="Verdana" w:eastAsia="Verdana" w:hAnsi="Verdana" w:cs="Verdana"/>
          <w:lang w:val="es-ES"/>
        </w:rPr>
        <w:t>de la Ley 1474 de 2011– dispuso un régimen exceptivo de aplicación del derecho privado para la actividad contractual de las Empresas Industriales y Comerciales del Estado que ejercen su actividad en competencia</w:t>
      </w:r>
      <w:r w:rsidRPr="006F379D">
        <w:rPr>
          <w:rFonts w:ascii="Verdana" w:eastAsia="Verdana" w:hAnsi="Verdana" w:cs="Verdana"/>
          <w:spacing w:val="-20"/>
          <w:lang w:val="es-ES"/>
        </w:rPr>
        <w:t xml:space="preserve"> </w:t>
      </w:r>
      <w:r w:rsidRPr="006F379D">
        <w:rPr>
          <w:rFonts w:ascii="Verdana" w:eastAsia="Verdana" w:hAnsi="Verdana" w:cs="Verdana"/>
          <w:lang w:val="es-ES"/>
        </w:rPr>
        <w:t>con</w:t>
      </w:r>
      <w:r w:rsidRPr="006F379D">
        <w:rPr>
          <w:rFonts w:ascii="Verdana" w:eastAsia="Verdana" w:hAnsi="Verdana" w:cs="Verdana"/>
          <w:spacing w:val="-19"/>
          <w:lang w:val="es-ES"/>
        </w:rPr>
        <w:t xml:space="preserve"> </w:t>
      </w:r>
      <w:r w:rsidRPr="006F379D">
        <w:rPr>
          <w:rFonts w:ascii="Verdana" w:eastAsia="Verdana" w:hAnsi="Verdana" w:cs="Verdana"/>
          <w:lang w:val="es-ES"/>
        </w:rPr>
        <w:t>el</w:t>
      </w:r>
      <w:r w:rsidRPr="006F379D">
        <w:rPr>
          <w:rFonts w:ascii="Verdana" w:eastAsia="Verdana" w:hAnsi="Verdana" w:cs="Verdana"/>
          <w:spacing w:val="-19"/>
          <w:lang w:val="es-ES"/>
        </w:rPr>
        <w:t xml:space="preserve"> </w:t>
      </w:r>
      <w:r w:rsidRPr="006F379D">
        <w:rPr>
          <w:rFonts w:ascii="Verdana" w:eastAsia="Verdana" w:hAnsi="Verdana" w:cs="Verdana"/>
          <w:lang w:val="es-ES"/>
        </w:rPr>
        <w:t>sector</w:t>
      </w:r>
      <w:r w:rsidRPr="006F379D">
        <w:rPr>
          <w:rFonts w:ascii="Verdana" w:eastAsia="Verdana" w:hAnsi="Verdana" w:cs="Verdana"/>
          <w:spacing w:val="-20"/>
          <w:lang w:val="es-ES"/>
        </w:rPr>
        <w:t xml:space="preserve"> </w:t>
      </w:r>
      <w:r w:rsidRPr="006F379D">
        <w:rPr>
          <w:rFonts w:ascii="Verdana" w:eastAsia="Verdana" w:hAnsi="Verdana" w:cs="Verdana"/>
          <w:lang w:val="es-ES"/>
        </w:rPr>
        <w:t>público</w:t>
      </w:r>
      <w:r w:rsidRPr="006F379D">
        <w:rPr>
          <w:rFonts w:ascii="Verdana" w:eastAsia="Verdana" w:hAnsi="Verdana" w:cs="Verdana"/>
          <w:spacing w:val="-19"/>
          <w:lang w:val="es-ES"/>
        </w:rPr>
        <w:t xml:space="preserve"> </w:t>
      </w:r>
      <w:r w:rsidRPr="006F379D">
        <w:rPr>
          <w:rFonts w:ascii="Verdana" w:eastAsia="Verdana" w:hAnsi="Verdana" w:cs="Verdana"/>
          <w:lang w:val="es-ES"/>
        </w:rPr>
        <w:t>o</w:t>
      </w:r>
      <w:r w:rsidRPr="006F379D">
        <w:rPr>
          <w:rFonts w:ascii="Verdana" w:eastAsia="Verdana" w:hAnsi="Verdana" w:cs="Verdana"/>
          <w:spacing w:val="-20"/>
          <w:lang w:val="es-ES"/>
        </w:rPr>
        <w:t xml:space="preserve"> </w:t>
      </w:r>
      <w:r w:rsidRPr="006F379D">
        <w:rPr>
          <w:rFonts w:ascii="Verdana" w:eastAsia="Verdana" w:hAnsi="Verdana" w:cs="Verdana"/>
          <w:lang w:val="es-ES"/>
        </w:rPr>
        <w:t>privado,</w:t>
      </w:r>
      <w:r w:rsidRPr="006F379D">
        <w:rPr>
          <w:rFonts w:ascii="Verdana" w:eastAsia="Verdana" w:hAnsi="Verdana" w:cs="Verdana"/>
          <w:spacing w:val="-19"/>
          <w:lang w:val="es-ES"/>
        </w:rPr>
        <w:t xml:space="preserve"> </w:t>
      </w:r>
      <w:r w:rsidRPr="006F379D">
        <w:rPr>
          <w:rFonts w:ascii="Verdana" w:eastAsia="Verdana" w:hAnsi="Verdana" w:cs="Verdana"/>
          <w:lang w:val="es-ES"/>
        </w:rPr>
        <w:t>o</w:t>
      </w:r>
      <w:r w:rsidRPr="006F379D">
        <w:rPr>
          <w:rFonts w:ascii="Verdana" w:eastAsia="Verdana" w:hAnsi="Verdana" w:cs="Verdana"/>
          <w:spacing w:val="-19"/>
          <w:lang w:val="es-ES"/>
        </w:rPr>
        <w:t xml:space="preserve"> </w:t>
      </w:r>
      <w:r w:rsidRPr="006F379D">
        <w:rPr>
          <w:rFonts w:ascii="Verdana" w:eastAsia="Verdana" w:hAnsi="Verdana" w:cs="Verdana"/>
          <w:lang w:val="es-ES"/>
        </w:rPr>
        <w:t>en</w:t>
      </w:r>
      <w:r w:rsidRPr="006F379D">
        <w:rPr>
          <w:rFonts w:ascii="Verdana" w:eastAsia="Verdana" w:hAnsi="Verdana" w:cs="Verdana"/>
          <w:spacing w:val="-20"/>
          <w:lang w:val="es-ES"/>
        </w:rPr>
        <w:t xml:space="preserve"> </w:t>
      </w:r>
      <w:r w:rsidRPr="006F379D">
        <w:rPr>
          <w:rFonts w:ascii="Verdana" w:eastAsia="Verdana" w:hAnsi="Verdana" w:cs="Verdana"/>
          <w:lang w:val="es-ES"/>
        </w:rPr>
        <w:t>mercados</w:t>
      </w:r>
      <w:r w:rsidRPr="006F379D">
        <w:rPr>
          <w:rFonts w:ascii="Verdana" w:eastAsia="Verdana" w:hAnsi="Verdana" w:cs="Verdana"/>
          <w:spacing w:val="-19"/>
          <w:lang w:val="es-ES"/>
        </w:rPr>
        <w:t xml:space="preserve"> </w:t>
      </w:r>
      <w:r w:rsidRPr="006F379D">
        <w:rPr>
          <w:rFonts w:ascii="Verdana" w:eastAsia="Verdana" w:hAnsi="Verdana" w:cs="Verdana"/>
          <w:lang w:val="es-ES"/>
        </w:rPr>
        <w:t>regulados,</w:t>
      </w:r>
      <w:r w:rsidRPr="006F379D">
        <w:rPr>
          <w:rFonts w:ascii="Verdana" w:eastAsia="Verdana" w:hAnsi="Verdana" w:cs="Verdana"/>
          <w:spacing w:val="-19"/>
          <w:lang w:val="es-ES"/>
        </w:rPr>
        <w:t xml:space="preserve"> </w:t>
      </w:r>
      <w:r w:rsidRPr="006F379D">
        <w:rPr>
          <w:rFonts w:ascii="Verdana" w:eastAsia="Verdana" w:hAnsi="Verdana" w:cs="Verdana"/>
          <w:lang w:val="es-ES"/>
        </w:rPr>
        <w:t>quedando las otras empresas de esta índole dentro del ámbito de aplicación del Estatuto General de Contratación de la Administración Pública</w:t>
      </w:r>
      <w:r w:rsidRPr="006F379D">
        <w:rPr>
          <w:rFonts w:ascii="Verdana" w:eastAsia="Verdana" w:hAnsi="Verdana" w:cs="Verdana"/>
          <w:vertAlign w:val="superscript"/>
          <w:lang w:val="es-ES"/>
        </w:rPr>
        <w:footnoteReference w:id="4"/>
      </w:r>
      <w:r w:rsidRPr="006F379D">
        <w:rPr>
          <w:rFonts w:ascii="Verdana" w:eastAsia="Verdana" w:hAnsi="Verdana" w:cs="Verdana"/>
          <w:lang w:val="es-ES"/>
        </w:rPr>
        <w:t>. Así, la norma</w:t>
      </w:r>
      <w:r w:rsidRPr="006F379D">
        <w:rPr>
          <w:rFonts w:ascii="Verdana" w:eastAsia="Verdana" w:hAnsi="Verdana" w:cs="Verdana"/>
          <w:spacing w:val="-1"/>
          <w:lang w:val="es-ES"/>
        </w:rPr>
        <w:t xml:space="preserve"> </w:t>
      </w:r>
      <w:r w:rsidRPr="006F379D">
        <w:rPr>
          <w:rFonts w:ascii="Verdana" w:eastAsia="Verdana" w:hAnsi="Verdana" w:cs="Verdana"/>
          <w:lang w:val="es-ES"/>
        </w:rPr>
        <w:t>vigente respecto a</w:t>
      </w:r>
      <w:r w:rsidRPr="006F379D">
        <w:rPr>
          <w:rFonts w:ascii="Verdana" w:eastAsia="Verdana" w:hAnsi="Verdana" w:cs="Verdana"/>
          <w:spacing w:val="-1"/>
          <w:lang w:val="es-ES"/>
        </w:rPr>
        <w:t xml:space="preserve"> </w:t>
      </w:r>
      <w:r w:rsidRPr="006F379D">
        <w:rPr>
          <w:rFonts w:ascii="Verdana" w:eastAsia="Verdana" w:hAnsi="Verdana" w:cs="Verdana"/>
          <w:lang w:val="es-ES"/>
        </w:rPr>
        <w:t xml:space="preserve">su régimen contractual </w:t>
      </w:r>
      <w:r w:rsidRPr="006F379D">
        <w:rPr>
          <w:rFonts w:ascii="Verdana" w:eastAsia="Verdana" w:hAnsi="Verdana" w:cs="Verdana"/>
          <w:lang w:val="es-ES"/>
        </w:rPr>
        <w:lastRenderedPageBreak/>
        <w:t>establece:</w:t>
      </w:r>
    </w:p>
    <w:p w14:paraId="54C1B0ED" w14:textId="77777777" w:rsidR="006F379D" w:rsidRPr="006F379D" w:rsidRDefault="006F379D" w:rsidP="006F379D">
      <w:pPr>
        <w:widowControl w:val="0"/>
        <w:autoSpaceDE w:val="0"/>
        <w:autoSpaceDN w:val="0"/>
        <w:spacing w:after="0" w:line="276" w:lineRule="auto"/>
        <w:ind w:firstLine="709"/>
        <w:jc w:val="both"/>
        <w:rPr>
          <w:rFonts w:ascii="Verdana" w:eastAsia="Arial" w:hAnsi="Verdana" w:cs="Arial"/>
          <w:color w:val="EE0000"/>
          <w:lang w:val="es-ES"/>
        </w:rPr>
      </w:pPr>
    </w:p>
    <w:p w14:paraId="25AD63F8" w14:textId="77777777" w:rsidR="006F379D" w:rsidRPr="006F379D" w:rsidRDefault="006F379D" w:rsidP="006F379D">
      <w:pPr>
        <w:spacing w:after="0" w:line="240" w:lineRule="auto"/>
        <w:ind w:left="709" w:right="709"/>
        <w:contextualSpacing/>
        <w:jc w:val="both"/>
        <w:rPr>
          <w:rFonts w:ascii="Verdana" w:eastAsia="Times New Roman" w:hAnsi="Verdana" w:cs="Arial"/>
          <w:sz w:val="20"/>
          <w:szCs w:val="20"/>
          <w:lang w:eastAsia="es-ES_tradnl"/>
        </w:rPr>
      </w:pPr>
      <w:r w:rsidRPr="006F379D">
        <w:rPr>
          <w:rFonts w:ascii="Verdana" w:eastAsia="Times New Roman" w:hAnsi="Verdana" w:cs="Arial"/>
          <w:sz w:val="20"/>
          <w:szCs w:val="20"/>
          <w:lang w:eastAsia="es-ES_tradnl"/>
        </w:rPr>
        <w:t>“Artículo 14. Del régimen contractual de las Empresas Industriales y Comerciales del Estado, las Sociedades de Economía Mixta, sus filiales y empresas con participación mayoritaria del estado. Las Empresas Industriales y Comerciales del Estado, las Sociedades de Economía Mixta en las que el Estado tenga participación superior al cincuenta por ciento (50%), sus filiales y las Sociedades entre Entidades Públicas con participación mayoritaria del Estado superior al cincuenta por ciento (50%), estarán sometidas al Estatuto General de Contratación de la Administración Pública, con excepción de aquellas que desarrollen actividades comerciales en competencia con el sector privado y/o público, nacional o internacional o en mercados regulados, caso en el cual se regirán por las disposiciones legales y reglamentarias aplicables a sus actividades económicas y comerciales, sin perjuicio de lo previsto en el artículo 13 de la presente ley. Se exceptúan los contratos de ciencia y tecnología, que se regirán por la Ley 29 de 1990 y las disposiciones normativas existentes”</w:t>
      </w:r>
      <w:r w:rsidRPr="006F379D">
        <w:rPr>
          <w:rFonts w:ascii="Calibri" w:eastAsia="Times New Roman" w:hAnsi="Calibri" w:cs="Arial"/>
          <w:sz w:val="20"/>
          <w:szCs w:val="20"/>
          <w:vertAlign w:val="superscript"/>
          <w:lang w:eastAsia="es-ES_tradnl"/>
        </w:rPr>
        <w:footnoteReference w:id="5"/>
      </w:r>
      <w:r w:rsidRPr="006F379D">
        <w:rPr>
          <w:rFonts w:ascii="Verdana" w:eastAsia="Times New Roman" w:hAnsi="Verdana" w:cs="Arial"/>
          <w:sz w:val="20"/>
          <w:szCs w:val="20"/>
          <w:lang w:eastAsia="es-ES_tradnl"/>
        </w:rPr>
        <w:t>.</w:t>
      </w:r>
    </w:p>
    <w:p w14:paraId="07E0DBD7" w14:textId="77777777" w:rsidR="006F379D" w:rsidRPr="006F379D" w:rsidRDefault="006F379D" w:rsidP="006F379D">
      <w:pPr>
        <w:spacing w:after="0"/>
        <w:ind w:left="709" w:right="709"/>
        <w:jc w:val="both"/>
        <w:rPr>
          <w:rFonts w:ascii="Verdana" w:eastAsia="Calibri" w:hAnsi="Verdana" w:cs="Times New Roman"/>
          <w:sz w:val="21"/>
          <w:szCs w:val="21"/>
        </w:rPr>
      </w:pPr>
    </w:p>
    <w:p w14:paraId="585E8A2A" w14:textId="77777777" w:rsidR="006F379D" w:rsidRPr="006F379D" w:rsidRDefault="006F379D" w:rsidP="006F379D">
      <w:pPr>
        <w:widowControl w:val="0"/>
        <w:autoSpaceDE w:val="0"/>
        <w:autoSpaceDN w:val="0"/>
        <w:spacing w:after="120" w:line="276" w:lineRule="auto"/>
        <w:ind w:right="51" w:firstLine="709"/>
        <w:jc w:val="both"/>
        <w:rPr>
          <w:rFonts w:ascii="Verdana" w:eastAsia="Verdana" w:hAnsi="Verdana" w:cs="Verdana"/>
          <w:lang w:val="es-ES"/>
        </w:rPr>
      </w:pPr>
      <w:r w:rsidRPr="006F379D">
        <w:rPr>
          <w:rFonts w:ascii="Verdana" w:eastAsia="Verdana" w:hAnsi="Verdana" w:cs="Verdana"/>
          <w:lang w:val="es-ES"/>
        </w:rPr>
        <w:t>En este sentido, el artículo 14 de la Ley 1150 de 2007,</w:t>
      </w:r>
      <w:r w:rsidRPr="006F379D">
        <w:rPr>
          <w:rFonts w:ascii="Verdana" w:eastAsia="Verdana" w:hAnsi="Verdana" w:cs="Verdana"/>
          <w:spacing w:val="-11"/>
          <w:lang w:val="es-ES"/>
        </w:rPr>
        <w:t xml:space="preserve"> </w:t>
      </w:r>
      <w:r w:rsidRPr="006F379D">
        <w:rPr>
          <w:rFonts w:ascii="Verdana" w:eastAsia="Verdana" w:hAnsi="Verdana" w:cs="Verdana"/>
          <w:lang w:val="es-ES"/>
        </w:rPr>
        <w:t>modificado</w:t>
      </w:r>
      <w:r w:rsidRPr="006F379D">
        <w:rPr>
          <w:rFonts w:ascii="Verdana" w:eastAsia="Verdana" w:hAnsi="Verdana" w:cs="Verdana"/>
          <w:spacing w:val="-10"/>
          <w:lang w:val="es-ES"/>
        </w:rPr>
        <w:t xml:space="preserve"> </w:t>
      </w:r>
      <w:r w:rsidRPr="006F379D">
        <w:rPr>
          <w:rFonts w:ascii="Verdana" w:eastAsia="Verdana" w:hAnsi="Verdana" w:cs="Verdana"/>
          <w:lang w:val="es-ES"/>
        </w:rPr>
        <w:t>por</w:t>
      </w:r>
      <w:r w:rsidRPr="006F379D">
        <w:rPr>
          <w:rFonts w:ascii="Verdana" w:eastAsia="Verdana" w:hAnsi="Verdana" w:cs="Verdana"/>
          <w:spacing w:val="-10"/>
          <w:lang w:val="es-ES"/>
        </w:rPr>
        <w:t xml:space="preserve"> </w:t>
      </w:r>
      <w:r w:rsidRPr="006F379D">
        <w:rPr>
          <w:rFonts w:ascii="Verdana" w:eastAsia="Verdana" w:hAnsi="Verdana" w:cs="Verdana"/>
          <w:lang w:val="es-ES"/>
        </w:rPr>
        <w:t>el</w:t>
      </w:r>
      <w:r w:rsidRPr="006F379D">
        <w:rPr>
          <w:rFonts w:ascii="Verdana" w:eastAsia="Verdana" w:hAnsi="Verdana" w:cs="Verdana"/>
          <w:spacing w:val="-11"/>
          <w:lang w:val="es-ES"/>
        </w:rPr>
        <w:t xml:space="preserve"> </w:t>
      </w:r>
      <w:r w:rsidRPr="006F379D">
        <w:rPr>
          <w:rFonts w:ascii="Verdana" w:eastAsia="Verdana" w:hAnsi="Verdana" w:cs="Verdana"/>
          <w:lang w:val="es-ES"/>
        </w:rPr>
        <w:t>artículo</w:t>
      </w:r>
      <w:r w:rsidRPr="006F379D">
        <w:rPr>
          <w:rFonts w:ascii="Verdana" w:eastAsia="Verdana" w:hAnsi="Verdana" w:cs="Verdana"/>
          <w:spacing w:val="-10"/>
          <w:lang w:val="es-ES"/>
        </w:rPr>
        <w:t xml:space="preserve"> </w:t>
      </w:r>
      <w:r w:rsidRPr="006F379D">
        <w:rPr>
          <w:rFonts w:ascii="Verdana" w:eastAsia="Verdana" w:hAnsi="Verdana" w:cs="Verdana"/>
          <w:lang w:val="es-ES"/>
        </w:rPr>
        <w:t>93</w:t>
      </w:r>
      <w:r w:rsidRPr="006F379D">
        <w:rPr>
          <w:rFonts w:ascii="Verdana" w:eastAsia="Verdana" w:hAnsi="Verdana" w:cs="Verdana"/>
          <w:spacing w:val="-11"/>
          <w:lang w:val="es-ES"/>
        </w:rPr>
        <w:t xml:space="preserve"> </w:t>
      </w:r>
      <w:r w:rsidRPr="006F379D">
        <w:rPr>
          <w:rFonts w:ascii="Verdana" w:eastAsia="Verdana" w:hAnsi="Verdana" w:cs="Verdana"/>
          <w:lang w:val="es-ES"/>
        </w:rPr>
        <w:t>de</w:t>
      </w:r>
      <w:r w:rsidRPr="006F379D">
        <w:rPr>
          <w:rFonts w:ascii="Verdana" w:eastAsia="Verdana" w:hAnsi="Verdana" w:cs="Verdana"/>
          <w:spacing w:val="-12"/>
          <w:lang w:val="es-ES"/>
        </w:rPr>
        <w:t xml:space="preserve"> </w:t>
      </w:r>
      <w:r w:rsidRPr="006F379D">
        <w:rPr>
          <w:rFonts w:ascii="Verdana" w:eastAsia="Verdana" w:hAnsi="Verdana" w:cs="Verdana"/>
          <w:lang w:val="es-ES"/>
        </w:rPr>
        <w:t>la</w:t>
      </w:r>
      <w:r w:rsidRPr="006F379D">
        <w:rPr>
          <w:rFonts w:ascii="Verdana" w:eastAsia="Verdana" w:hAnsi="Verdana" w:cs="Verdana"/>
          <w:spacing w:val="-13"/>
          <w:lang w:val="es-ES"/>
        </w:rPr>
        <w:t xml:space="preserve"> </w:t>
      </w:r>
      <w:r w:rsidRPr="006F379D">
        <w:rPr>
          <w:rFonts w:ascii="Verdana" w:eastAsia="Verdana" w:hAnsi="Verdana" w:cs="Verdana"/>
          <w:lang w:val="es-ES"/>
        </w:rPr>
        <w:t>Ley</w:t>
      </w:r>
      <w:r w:rsidRPr="006F379D">
        <w:rPr>
          <w:rFonts w:ascii="Verdana" w:eastAsia="Verdana" w:hAnsi="Verdana" w:cs="Verdana"/>
          <w:spacing w:val="-11"/>
          <w:lang w:val="es-ES"/>
        </w:rPr>
        <w:t xml:space="preserve"> </w:t>
      </w:r>
      <w:r w:rsidRPr="006F379D">
        <w:rPr>
          <w:rFonts w:ascii="Verdana" w:eastAsia="Verdana" w:hAnsi="Verdana" w:cs="Verdana"/>
          <w:lang w:val="es-ES"/>
        </w:rPr>
        <w:t>1474</w:t>
      </w:r>
      <w:r w:rsidRPr="006F379D">
        <w:rPr>
          <w:rFonts w:ascii="Verdana" w:eastAsia="Verdana" w:hAnsi="Verdana" w:cs="Verdana"/>
          <w:spacing w:val="-11"/>
          <w:lang w:val="es-ES"/>
        </w:rPr>
        <w:t xml:space="preserve"> </w:t>
      </w:r>
      <w:r w:rsidRPr="006F379D">
        <w:rPr>
          <w:rFonts w:ascii="Verdana" w:eastAsia="Verdana" w:hAnsi="Verdana" w:cs="Verdana"/>
          <w:lang w:val="es-ES"/>
        </w:rPr>
        <w:t>de</w:t>
      </w:r>
      <w:r w:rsidRPr="006F379D">
        <w:rPr>
          <w:rFonts w:ascii="Verdana" w:eastAsia="Verdana" w:hAnsi="Verdana" w:cs="Verdana"/>
          <w:spacing w:val="-12"/>
          <w:lang w:val="es-ES"/>
        </w:rPr>
        <w:t xml:space="preserve"> </w:t>
      </w:r>
      <w:r w:rsidRPr="006F379D">
        <w:rPr>
          <w:rFonts w:ascii="Verdana" w:eastAsia="Verdana" w:hAnsi="Verdana" w:cs="Verdana"/>
          <w:lang w:val="es-ES"/>
        </w:rPr>
        <w:t>2011,</w:t>
      </w:r>
      <w:r w:rsidRPr="006F379D">
        <w:rPr>
          <w:rFonts w:ascii="Verdana" w:eastAsia="Verdana" w:hAnsi="Verdana" w:cs="Verdana"/>
          <w:spacing w:val="-11"/>
          <w:lang w:val="es-ES"/>
        </w:rPr>
        <w:t xml:space="preserve"> </w:t>
      </w:r>
      <w:r w:rsidRPr="006F379D">
        <w:rPr>
          <w:rFonts w:ascii="Verdana" w:eastAsia="Verdana" w:hAnsi="Verdana" w:cs="Verdana"/>
          <w:lang w:val="es-ES"/>
        </w:rPr>
        <w:t>esclareció</w:t>
      </w:r>
      <w:r w:rsidRPr="006F379D">
        <w:rPr>
          <w:rFonts w:ascii="Verdana" w:eastAsia="Verdana" w:hAnsi="Verdana" w:cs="Verdana"/>
          <w:spacing w:val="-10"/>
          <w:lang w:val="es-ES"/>
        </w:rPr>
        <w:t xml:space="preserve"> </w:t>
      </w:r>
      <w:r w:rsidRPr="006F379D">
        <w:rPr>
          <w:rFonts w:ascii="Verdana" w:eastAsia="Verdana" w:hAnsi="Verdana" w:cs="Verdana"/>
          <w:lang w:val="es-ES"/>
        </w:rPr>
        <w:t>las</w:t>
      </w:r>
      <w:r w:rsidRPr="006F379D">
        <w:rPr>
          <w:rFonts w:ascii="Verdana" w:eastAsia="Verdana" w:hAnsi="Verdana" w:cs="Verdana"/>
          <w:spacing w:val="-11"/>
          <w:lang w:val="es-ES"/>
        </w:rPr>
        <w:t xml:space="preserve"> </w:t>
      </w:r>
      <w:r w:rsidRPr="006F379D">
        <w:rPr>
          <w:rFonts w:ascii="Verdana" w:eastAsia="Verdana" w:hAnsi="Verdana" w:cs="Verdana"/>
          <w:lang w:val="es-ES"/>
        </w:rPr>
        <w:t>dudas que producía el confuso artículo 93 de la Ley 489 de 1998 a propósito del régimen contractual de estas entidades. Por lo tanto, las Empresas Industriales y Comerciales del Estado, las Sociedades de Economía Mixta, sus filiales y las Sociedades entre Entidades Públicas en las que el Estado tenga participación superior al cincuenta por ciento (50%), están sometidas, por regla general, al Estatuto</w:t>
      </w:r>
      <w:r w:rsidRPr="006F379D">
        <w:rPr>
          <w:rFonts w:ascii="Verdana" w:eastAsia="Verdana" w:hAnsi="Verdana" w:cs="Verdana"/>
          <w:spacing w:val="-8"/>
          <w:lang w:val="es-ES"/>
        </w:rPr>
        <w:t xml:space="preserve"> </w:t>
      </w:r>
      <w:r w:rsidRPr="006F379D">
        <w:rPr>
          <w:rFonts w:ascii="Verdana" w:eastAsia="Verdana" w:hAnsi="Verdana" w:cs="Verdana"/>
          <w:lang w:val="es-ES"/>
        </w:rPr>
        <w:t>General</w:t>
      </w:r>
      <w:r w:rsidRPr="006F379D">
        <w:rPr>
          <w:rFonts w:ascii="Verdana" w:eastAsia="Verdana" w:hAnsi="Verdana" w:cs="Verdana"/>
          <w:spacing w:val="-9"/>
          <w:lang w:val="es-ES"/>
        </w:rPr>
        <w:t xml:space="preserve"> </w:t>
      </w:r>
      <w:r w:rsidRPr="006F379D">
        <w:rPr>
          <w:rFonts w:ascii="Verdana" w:eastAsia="Verdana" w:hAnsi="Verdana" w:cs="Verdana"/>
          <w:lang w:val="es-ES"/>
        </w:rPr>
        <w:t>de</w:t>
      </w:r>
      <w:r w:rsidRPr="006F379D">
        <w:rPr>
          <w:rFonts w:ascii="Verdana" w:eastAsia="Verdana" w:hAnsi="Verdana" w:cs="Verdana"/>
          <w:spacing w:val="-10"/>
          <w:lang w:val="es-ES"/>
        </w:rPr>
        <w:t xml:space="preserve"> </w:t>
      </w:r>
      <w:r w:rsidRPr="006F379D">
        <w:rPr>
          <w:rFonts w:ascii="Verdana" w:eastAsia="Verdana" w:hAnsi="Verdana" w:cs="Verdana"/>
          <w:lang w:val="es-ES"/>
        </w:rPr>
        <w:t>Contratación</w:t>
      </w:r>
      <w:r w:rsidRPr="006F379D">
        <w:rPr>
          <w:rFonts w:ascii="Verdana" w:eastAsia="Verdana" w:hAnsi="Verdana" w:cs="Verdana"/>
          <w:spacing w:val="-9"/>
          <w:lang w:val="es-ES"/>
        </w:rPr>
        <w:t xml:space="preserve"> </w:t>
      </w:r>
      <w:r w:rsidRPr="006F379D">
        <w:rPr>
          <w:rFonts w:ascii="Verdana" w:eastAsia="Verdana" w:hAnsi="Verdana" w:cs="Verdana"/>
          <w:lang w:val="es-ES"/>
        </w:rPr>
        <w:t>de</w:t>
      </w:r>
      <w:r w:rsidRPr="006F379D">
        <w:rPr>
          <w:rFonts w:ascii="Verdana" w:eastAsia="Verdana" w:hAnsi="Verdana" w:cs="Verdana"/>
          <w:spacing w:val="-10"/>
          <w:lang w:val="es-ES"/>
        </w:rPr>
        <w:t xml:space="preserve"> </w:t>
      </w:r>
      <w:r w:rsidRPr="006F379D">
        <w:rPr>
          <w:rFonts w:ascii="Verdana" w:eastAsia="Verdana" w:hAnsi="Verdana" w:cs="Verdana"/>
          <w:lang w:val="es-ES"/>
        </w:rPr>
        <w:t>la</w:t>
      </w:r>
      <w:r w:rsidRPr="006F379D">
        <w:rPr>
          <w:rFonts w:ascii="Verdana" w:eastAsia="Verdana" w:hAnsi="Verdana" w:cs="Verdana"/>
          <w:spacing w:val="-11"/>
          <w:lang w:val="es-ES"/>
        </w:rPr>
        <w:t xml:space="preserve"> </w:t>
      </w:r>
      <w:r w:rsidRPr="006F379D">
        <w:rPr>
          <w:rFonts w:ascii="Verdana" w:eastAsia="Verdana" w:hAnsi="Verdana" w:cs="Verdana"/>
          <w:lang w:val="es-ES"/>
        </w:rPr>
        <w:t>Administración</w:t>
      </w:r>
      <w:r w:rsidRPr="006F379D">
        <w:rPr>
          <w:rFonts w:ascii="Verdana" w:eastAsia="Verdana" w:hAnsi="Verdana" w:cs="Verdana"/>
          <w:spacing w:val="-9"/>
          <w:lang w:val="es-ES"/>
        </w:rPr>
        <w:t xml:space="preserve"> </w:t>
      </w:r>
      <w:r w:rsidRPr="006F379D">
        <w:rPr>
          <w:rFonts w:ascii="Verdana" w:eastAsia="Verdana" w:hAnsi="Verdana" w:cs="Verdana"/>
          <w:lang w:val="es-ES"/>
        </w:rPr>
        <w:t>Pública,</w:t>
      </w:r>
      <w:r w:rsidRPr="006F379D">
        <w:rPr>
          <w:rFonts w:ascii="Verdana" w:eastAsia="Verdana" w:hAnsi="Verdana" w:cs="Verdana"/>
          <w:spacing w:val="-9"/>
          <w:lang w:val="es-ES"/>
        </w:rPr>
        <w:t xml:space="preserve"> </w:t>
      </w:r>
      <w:r w:rsidRPr="006F379D">
        <w:rPr>
          <w:rFonts w:ascii="Verdana" w:eastAsia="Verdana" w:hAnsi="Verdana" w:cs="Verdana"/>
          <w:lang w:val="es-ES"/>
        </w:rPr>
        <w:t>excepto</w:t>
      </w:r>
      <w:r w:rsidRPr="006F379D">
        <w:rPr>
          <w:rFonts w:ascii="Verdana" w:eastAsia="Verdana" w:hAnsi="Verdana" w:cs="Verdana"/>
          <w:spacing w:val="-8"/>
          <w:lang w:val="es-ES"/>
        </w:rPr>
        <w:t xml:space="preserve"> </w:t>
      </w:r>
      <w:r w:rsidRPr="006F379D">
        <w:rPr>
          <w:rFonts w:ascii="Verdana" w:eastAsia="Verdana" w:hAnsi="Verdana" w:cs="Verdana"/>
          <w:lang w:val="es-ES"/>
        </w:rPr>
        <w:t xml:space="preserve">aquellas Empresas Industriales y Comerciales del Estado que: i) desarrollen actividades comerciales en competencia con el sector privado y/o público, nacional o internacional o </w:t>
      </w:r>
      <w:proofErr w:type="spellStart"/>
      <w:r w:rsidRPr="006F379D">
        <w:rPr>
          <w:rFonts w:ascii="Verdana" w:eastAsia="Verdana" w:hAnsi="Verdana" w:cs="Verdana"/>
          <w:lang w:val="es-ES"/>
        </w:rPr>
        <w:t>ii</w:t>
      </w:r>
      <w:proofErr w:type="spellEnd"/>
      <w:r w:rsidRPr="006F379D">
        <w:rPr>
          <w:rFonts w:ascii="Verdana" w:eastAsia="Verdana" w:hAnsi="Verdana" w:cs="Verdana"/>
          <w:lang w:val="es-ES"/>
        </w:rPr>
        <w:t>) desarrollen actividades en mercados regulados, eventos en los cuales</w:t>
      </w:r>
      <w:r w:rsidRPr="006F379D">
        <w:rPr>
          <w:rFonts w:ascii="Verdana" w:eastAsia="Verdana" w:hAnsi="Verdana" w:cs="Verdana"/>
          <w:spacing w:val="-19"/>
          <w:lang w:val="es-ES"/>
        </w:rPr>
        <w:t xml:space="preserve"> </w:t>
      </w:r>
      <w:r w:rsidRPr="006F379D">
        <w:rPr>
          <w:rFonts w:ascii="Verdana" w:eastAsia="Verdana" w:hAnsi="Verdana" w:cs="Verdana"/>
          <w:lang w:val="es-ES"/>
        </w:rPr>
        <w:t>ellas</w:t>
      </w:r>
      <w:r w:rsidRPr="006F379D">
        <w:rPr>
          <w:rFonts w:ascii="Verdana" w:eastAsia="Verdana" w:hAnsi="Verdana" w:cs="Verdana"/>
          <w:spacing w:val="-19"/>
          <w:lang w:val="es-ES"/>
        </w:rPr>
        <w:t xml:space="preserve"> </w:t>
      </w:r>
      <w:r w:rsidRPr="006F379D">
        <w:rPr>
          <w:rFonts w:ascii="Verdana" w:eastAsia="Verdana" w:hAnsi="Verdana" w:cs="Verdana"/>
          <w:lang w:val="es-ES"/>
        </w:rPr>
        <w:t>se</w:t>
      </w:r>
      <w:r w:rsidRPr="006F379D">
        <w:rPr>
          <w:rFonts w:ascii="Verdana" w:eastAsia="Verdana" w:hAnsi="Verdana" w:cs="Verdana"/>
          <w:spacing w:val="-20"/>
          <w:lang w:val="es-ES"/>
        </w:rPr>
        <w:t xml:space="preserve"> </w:t>
      </w:r>
      <w:r w:rsidRPr="006F379D">
        <w:rPr>
          <w:rFonts w:ascii="Verdana" w:eastAsia="Verdana" w:hAnsi="Verdana" w:cs="Verdana"/>
          <w:lang w:val="es-ES"/>
        </w:rPr>
        <w:t>rigen</w:t>
      </w:r>
      <w:r w:rsidRPr="006F379D">
        <w:rPr>
          <w:rFonts w:ascii="Verdana" w:eastAsia="Verdana" w:hAnsi="Verdana" w:cs="Verdana"/>
          <w:spacing w:val="-14"/>
          <w:lang w:val="es-ES"/>
        </w:rPr>
        <w:t xml:space="preserve"> </w:t>
      </w:r>
      <w:r w:rsidRPr="006F379D">
        <w:rPr>
          <w:rFonts w:ascii="Verdana" w:eastAsia="Verdana" w:hAnsi="Verdana" w:cs="Verdana"/>
          <w:lang w:val="es-ES"/>
        </w:rPr>
        <w:t>por</w:t>
      </w:r>
      <w:r w:rsidRPr="006F379D">
        <w:rPr>
          <w:rFonts w:ascii="Verdana" w:eastAsia="Verdana" w:hAnsi="Verdana" w:cs="Verdana"/>
          <w:spacing w:val="-18"/>
          <w:lang w:val="es-ES"/>
        </w:rPr>
        <w:t xml:space="preserve"> </w:t>
      </w:r>
      <w:r w:rsidRPr="006F379D">
        <w:rPr>
          <w:rFonts w:ascii="Verdana" w:eastAsia="Verdana" w:hAnsi="Verdana" w:cs="Verdana"/>
          <w:lang w:val="es-ES"/>
        </w:rPr>
        <w:t>las</w:t>
      </w:r>
      <w:r w:rsidRPr="006F379D">
        <w:rPr>
          <w:rFonts w:ascii="Verdana" w:eastAsia="Verdana" w:hAnsi="Verdana" w:cs="Verdana"/>
          <w:spacing w:val="-19"/>
          <w:lang w:val="es-ES"/>
        </w:rPr>
        <w:t xml:space="preserve"> </w:t>
      </w:r>
      <w:r w:rsidRPr="006F379D">
        <w:rPr>
          <w:rFonts w:ascii="Verdana" w:eastAsia="Verdana" w:hAnsi="Verdana" w:cs="Verdana"/>
          <w:lang w:val="es-ES"/>
        </w:rPr>
        <w:t>disposiciones</w:t>
      </w:r>
      <w:r w:rsidRPr="006F379D">
        <w:rPr>
          <w:rFonts w:ascii="Verdana" w:eastAsia="Verdana" w:hAnsi="Verdana" w:cs="Verdana"/>
          <w:spacing w:val="-19"/>
          <w:lang w:val="es-ES"/>
        </w:rPr>
        <w:t xml:space="preserve"> </w:t>
      </w:r>
      <w:r w:rsidRPr="006F379D">
        <w:rPr>
          <w:rFonts w:ascii="Verdana" w:eastAsia="Verdana" w:hAnsi="Verdana" w:cs="Verdana"/>
          <w:lang w:val="es-ES"/>
        </w:rPr>
        <w:t>que</w:t>
      </w:r>
      <w:r w:rsidRPr="006F379D">
        <w:rPr>
          <w:rFonts w:ascii="Verdana" w:eastAsia="Verdana" w:hAnsi="Verdana" w:cs="Verdana"/>
          <w:spacing w:val="-15"/>
          <w:lang w:val="es-ES"/>
        </w:rPr>
        <w:t xml:space="preserve"> </w:t>
      </w:r>
      <w:r w:rsidRPr="006F379D">
        <w:rPr>
          <w:rFonts w:ascii="Verdana" w:eastAsia="Verdana" w:hAnsi="Verdana" w:cs="Verdana"/>
          <w:lang w:val="es-ES"/>
        </w:rPr>
        <w:t>regulen</w:t>
      </w:r>
      <w:r w:rsidRPr="006F379D">
        <w:rPr>
          <w:rFonts w:ascii="Verdana" w:eastAsia="Verdana" w:hAnsi="Verdana" w:cs="Verdana"/>
          <w:spacing w:val="-19"/>
          <w:lang w:val="es-ES"/>
        </w:rPr>
        <w:t xml:space="preserve"> </w:t>
      </w:r>
      <w:r w:rsidRPr="006F379D">
        <w:rPr>
          <w:rFonts w:ascii="Verdana" w:eastAsia="Verdana" w:hAnsi="Verdana" w:cs="Verdana"/>
          <w:lang w:val="es-ES"/>
        </w:rPr>
        <w:t>su</w:t>
      </w:r>
      <w:r w:rsidRPr="006F379D">
        <w:rPr>
          <w:rFonts w:ascii="Verdana" w:eastAsia="Verdana" w:hAnsi="Verdana" w:cs="Verdana"/>
          <w:spacing w:val="-18"/>
          <w:lang w:val="es-ES"/>
        </w:rPr>
        <w:t xml:space="preserve"> </w:t>
      </w:r>
      <w:r w:rsidRPr="006F379D">
        <w:rPr>
          <w:rFonts w:ascii="Verdana" w:eastAsia="Verdana" w:hAnsi="Verdana" w:cs="Verdana"/>
          <w:lang w:val="es-ES"/>
        </w:rPr>
        <w:t>actividad.</w:t>
      </w:r>
    </w:p>
    <w:p w14:paraId="3DE75CE7" w14:textId="77777777" w:rsidR="006F379D" w:rsidRPr="006F379D" w:rsidRDefault="006F379D" w:rsidP="006F379D">
      <w:pPr>
        <w:spacing w:after="120" w:line="276" w:lineRule="auto"/>
        <w:ind w:firstLine="709"/>
        <w:jc w:val="both"/>
        <w:rPr>
          <w:rFonts w:ascii="Verdana" w:eastAsia="Calibri" w:hAnsi="Verdana" w:cs="Arial"/>
          <w:iCs/>
          <w:color w:val="000000"/>
          <w:lang w:eastAsia="es-ES"/>
        </w:rPr>
      </w:pPr>
      <w:r w:rsidRPr="006F379D">
        <w:rPr>
          <w:rFonts w:ascii="Verdana" w:eastAsia="Calibri" w:hAnsi="Verdana" w:cs="Arial"/>
          <w:color w:val="000000"/>
          <w:lang w:val="es-ES" w:eastAsia="es-ES"/>
        </w:rPr>
        <w:t xml:space="preserve">Asimismo, frente a los fondos mixtos, en el concepto C-081 del 5 de junio de 2024, se analizó el régimen </w:t>
      </w:r>
      <w:r w:rsidRPr="006F379D">
        <w:rPr>
          <w:rFonts w:ascii="Verdana" w:eastAsia="Calibri" w:hAnsi="Verdana" w:cs="Arial"/>
          <w:iCs/>
          <w:color w:val="000000"/>
          <w:lang w:eastAsia="es-ES"/>
        </w:rPr>
        <w:t xml:space="preserve">de contratación de </w:t>
      </w:r>
      <w:r w:rsidRPr="006F379D">
        <w:rPr>
          <w:rFonts w:ascii="Verdana" w:eastAsia="Calibri" w:hAnsi="Verdana" w:cs="Arial"/>
          <w:color w:val="000000"/>
          <w:lang w:val="es-ES" w:eastAsia="es-ES"/>
        </w:rPr>
        <w:t xml:space="preserve">las entidades descentralizadas indirectas como los fondos mixtos </w:t>
      </w:r>
      <w:r w:rsidRPr="006F379D">
        <w:rPr>
          <w:rFonts w:ascii="Verdana" w:eastAsia="Calibri" w:hAnsi="Verdana" w:cs="Arial"/>
          <w:iCs/>
          <w:color w:val="000000"/>
          <w:lang w:eastAsia="es-ES"/>
        </w:rPr>
        <w:t xml:space="preserve">creados de conformidad con el artículo 96 de </w:t>
      </w:r>
      <w:r w:rsidRPr="006F379D">
        <w:rPr>
          <w:rFonts w:ascii="Verdana" w:eastAsia="Calibri" w:hAnsi="Verdana" w:cs="Arial"/>
          <w:iCs/>
          <w:color w:val="000000"/>
          <w:lang w:eastAsia="es-ES"/>
        </w:rPr>
        <w:lastRenderedPageBreak/>
        <w:t xml:space="preserve">la Ley 489 de 1998, en el cual se indicó que </w:t>
      </w:r>
      <w:r w:rsidRPr="006F379D">
        <w:rPr>
          <w:rFonts w:ascii="Verdana" w:eastAsia="Calibri" w:hAnsi="Verdana" w:cs="Arial"/>
          <w:iCs/>
          <w:color w:val="000000"/>
          <w:lang w:val="es-ES" w:eastAsia="es-ES"/>
        </w:rPr>
        <w:t>para la determinación del régimen de contratación de estas entidades</w:t>
      </w:r>
      <w:r w:rsidRPr="006F379D">
        <w:rPr>
          <w:rFonts w:ascii="Verdana" w:eastAsia="Calibri" w:hAnsi="Verdana" w:cs="Arial"/>
          <w:iCs/>
          <w:color w:val="000000"/>
          <w:lang w:eastAsia="es-ES"/>
        </w:rPr>
        <w:t>, al constituirse como entidades descentralizadas indirectas, son susceptibles de ser consideradas entidades estatales en los términos del numeral 1 del artículo 2 de la Ley 80 de 1993, y en consecuencia, estar sometidas al EGCAP. No obstante, ello solo aplica respecto de aquellas que cuenten con una participación mayoritaria en cabeza de otras entidades públicas, por lo que las entidades descentralizadas indirectas en los que la participación del Estado es minoritaria, no se encontrarían sujetas al régimen de contratación de la Ley 80 de 1993 y podrían establecer en sus manuales de contratación reglas a la luz del derecho privado.</w:t>
      </w:r>
    </w:p>
    <w:p w14:paraId="6FE3D61E" w14:textId="77777777" w:rsidR="006F379D" w:rsidRPr="006F379D" w:rsidRDefault="006F379D" w:rsidP="006F379D">
      <w:pPr>
        <w:spacing w:after="120" w:line="276" w:lineRule="auto"/>
        <w:ind w:firstLine="709"/>
        <w:jc w:val="both"/>
        <w:rPr>
          <w:rFonts w:ascii="Verdana" w:eastAsia="Calibri" w:hAnsi="Verdana" w:cs="Arial"/>
        </w:rPr>
      </w:pPr>
      <w:r w:rsidRPr="006F379D">
        <w:rPr>
          <w:rFonts w:ascii="Verdana" w:eastAsia="Calibri" w:hAnsi="Verdana" w:cs="Arial"/>
        </w:rPr>
        <w:t xml:space="preserve">En este contexto, la ANCP – CCE si bien reconoce el régimen de contratación especial de entidades tales como universidades públicas, Fondos Mixtos, EICE, entre otras, cuando actúan como entidades ejecutoras de proyectos financiados con recursos del SGR, deben sujetarse a la norma especial prevista para dichos recursos, la cual impone la aplicación obligatoria del Estatuto General de Contratación de la Administración Pública, tal como lo establece de forma expresa el artículo 37 de la Ley 2056 de 2020. </w:t>
      </w:r>
    </w:p>
    <w:p w14:paraId="129A32B0" w14:textId="77777777" w:rsidR="006F379D" w:rsidRPr="006F379D" w:rsidRDefault="006F379D" w:rsidP="006F379D">
      <w:pPr>
        <w:spacing w:after="120" w:line="276" w:lineRule="auto"/>
        <w:ind w:firstLine="709"/>
        <w:jc w:val="both"/>
        <w:rPr>
          <w:rFonts w:ascii="Verdana" w:eastAsia="Calibri" w:hAnsi="Verdana" w:cs="Arial"/>
          <w:color w:val="000000" w:themeColor="text1"/>
          <w:lang w:eastAsia="es-ES"/>
        </w:rPr>
      </w:pPr>
      <w:r w:rsidRPr="006F379D">
        <w:rPr>
          <w:rFonts w:ascii="Verdana" w:eastAsia="Calibri" w:hAnsi="Verdana" w:cs="Arial"/>
        </w:rPr>
        <w:t xml:space="preserve">De acuerdo con esta interpretación, esta Subdirección considera que el </w:t>
      </w:r>
      <w:r w:rsidRPr="006F379D">
        <w:rPr>
          <w:rFonts w:ascii="Verdana" w:eastAsia="Calibri" w:hAnsi="Verdana" w:cs="Arial"/>
          <w:color w:val="000000" w:themeColor="text1"/>
          <w:lang w:eastAsia="es-ES"/>
        </w:rPr>
        <w:t>parágrafo primero del artículo 37 de la Ley 2056 de 2020 incorpora una remisión normativa expresa y categórica al régimen de contratación pública, es decir, a las reglas contenidas principalmente en la Ley 80 de 1993 y sus normas complementarias - Ley 1150 de 2007, Decreto 1082 de 2015, entre otras-. Además, el uso de la expresión “estricta sujeción” refuerza la intención del legislador de conferir un carácter obligatorio a dicha remisión.</w:t>
      </w:r>
    </w:p>
    <w:p w14:paraId="40975218" w14:textId="77777777" w:rsidR="006F379D" w:rsidRPr="006F379D" w:rsidRDefault="006F379D" w:rsidP="006F379D">
      <w:pPr>
        <w:spacing w:after="120" w:line="276" w:lineRule="auto"/>
        <w:ind w:firstLine="709"/>
        <w:jc w:val="both"/>
        <w:rPr>
          <w:rFonts w:ascii="Verdana" w:eastAsia="Calibri" w:hAnsi="Verdana" w:cs="Arial"/>
          <w:color w:val="000000" w:themeColor="text1"/>
          <w:lang w:eastAsia="es-ES"/>
        </w:rPr>
      </w:pPr>
      <w:r w:rsidRPr="006F379D">
        <w:rPr>
          <w:rFonts w:ascii="Verdana" w:eastAsia="Calibri" w:hAnsi="Verdana" w:cs="Arial"/>
          <w:color w:val="000000" w:themeColor="text1"/>
          <w:lang w:eastAsia="es-ES"/>
        </w:rPr>
        <w:t xml:space="preserve">El alcance de esta remisión normativa implica que, para efectos de la ejecución de proyectos financiados con recursos del Sistema General de Regalías, las entidades ejecutoras deben sujetarse a las reglas y principios establecidos en el Estatuto General de Contratación de la Administración Pública y sus disposiciones reglamentarias. En tal sentido, esta remisión impone la aplicación del régimen general de contratación pública como garantía de transparencia y eficiencia configurando un marco jurídico específico que se activa por el uso de los recursos de regalías, lo que excluye la aplicación de regímenes especiales. </w:t>
      </w:r>
    </w:p>
    <w:p w14:paraId="0835397D" w14:textId="77777777" w:rsidR="006F379D" w:rsidRPr="006F379D" w:rsidRDefault="006F379D" w:rsidP="006F379D">
      <w:pPr>
        <w:spacing w:after="120" w:line="276" w:lineRule="auto"/>
        <w:ind w:firstLine="709"/>
        <w:jc w:val="both"/>
        <w:rPr>
          <w:rFonts w:ascii="Verdana" w:eastAsia="Calibri" w:hAnsi="Verdana" w:cs="Arial"/>
          <w:color w:val="000000" w:themeColor="text1"/>
          <w:lang w:eastAsia="es-ES"/>
        </w:rPr>
      </w:pPr>
      <w:r w:rsidRPr="006F379D">
        <w:rPr>
          <w:rFonts w:ascii="Verdana" w:eastAsia="Calibri" w:hAnsi="Verdana" w:cs="Arial"/>
          <w:color w:val="000000" w:themeColor="text1"/>
          <w:lang w:eastAsia="es-ES"/>
        </w:rPr>
        <w:t xml:space="preserve">Así pues, se parte de una lectura literal del texto normativo, en la que la remisión al EGCAP refleja de manera directa la voluntad del legislador de </w:t>
      </w:r>
      <w:r w:rsidRPr="006F379D">
        <w:rPr>
          <w:rFonts w:ascii="Verdana" w:eastAsia="Calibri" w:hAnsi="Verdana" w:cs="Arial"/>
          <w:color w:val="000000" w:themeColor="text1"/>
          <w:lang w:eastAsia="es-ES"/>
        </w:rPr>
        <w:lastRenderedPageBreak/>
        <w:t>someter tales asuntos a la ley 80 de 1993 y normas reglamentarias vigentes. De igual forma, esta remisión expresa al EGCAP establecida en el parágrafo 1 del artículo 37 se contempla en diferentes disposiciones de la Ley 2056 de 2020, como son los artículos 84</w:t>
      </w:r>
      <w:r w:rsidRPr="006F379D">
        <w:rPr>
          <w:rFonts w:ascii="Verdana" w:eastAsia="Calibri" w:hAnsi="Verdana" w:cs="Arial"/>
          <w:color w:val="000000" w:themeColor="text1"/>
          <w:vertAlign w:val="superscript"/>
          <w:lang w:eastAsia="es-ES"/>
        </w:rPr>
        <w:footnoteReference w:id="6"/>
      </w:r>
      <w:r w:rsidRPr="006F379D">
        <w:rPr>
          <w:rFonts w:ascii="Verdana" w:eastAsia="Calibri" w:hAnsi="Verdana" w:cs="Arial"/>
          <w:color w:val="000000" w:themeColor="text1"/>
          <w:lang w:eastAsia="es-ES"/>
        </w:rPr>
        <w:t>, 98</w:t>
      </w:r>
      <w:r w:rsidRPr="006F379D">
        <w:rPr>
          <w:rFonts w:ascii="Verdana" w:eastAsia="Calibri" w:hAnsi="Verdana" w:cs="Arial"/>
          <w:color w:val="000000" w:themeColor="text1"/>
          <w:vertAlign w:val="superscript"/>
          <w:lang w:eastAsia="es-ES"/>
        </w:rPr>
        <w:footnoteReference w:id="7"/>
      </w:r>
      <w:r w:rsidRPr="006F379D">
        <w:rPr>
          <w:rFonts w:ascii="Verdana" w:eastAsia="Calibri" w:hAnsi="Verdana" w:cs="Arial"/>
          <w:color w:val="000000" w:themeColor="text1"/>
          <w:lang w:eastAsia="es-ES"/>
        </w:rPr>
        <w:t>, 99</w:t>
      </w:r>
      <w:r w:rsidRPr="006F379D">
        <w:rPr>
          <w:rFonts w:ascii="Verdana" w:eastAsia="Calibri" w:hAnsi="Verdana" w:cs="Arial"/>
          <w:color w:val="000000" w:themeColor="text1"/>
          <w:vertAlign w:val="superscript"/>
          <w:lang w:eastAsia="es-ES"/>
        </w:rPr>
        <w:footnoteReference w:id="8"/>
      </w:r>
      <w:r w:rsidRPr="006F379D">
        <w:rPr>
          <w:rFonts w:ascii="Verdana" w:eastAsia="Calibri" w:hAnsi="Verdana" w:cs="Arial"/>
          <w:color w:val="000000" w:themeColor="text1"/>
          <w:lang w:eastAsia="es-ES"/>
        </w:rPr>
        <w:t>, 108</w:t>
      </w:r>
      <w:r w:rsidRPr="006F379D">
        <w:rPr>
          <w:rFonts w:ascii="Verdana" w:eastAsia="Calibri" w:hAnsi="Verdana" w:cs="Arial"/>
          <w:color w:val="000000" w:themeColor="text1"/>
          <w:vertAlign w:val="superscript"/>
          <w:lang w:eastAsia="es-ES"/>
        </w:rPr>
        <w:footnoteReference w:id="9"/>
      </w:r>
      <w:r w:rsidRPr="006F379D">
        <w:rPr>
          <w:rFonts w:ascii="Verdana" w:eastAsia="Calibri" w:hAnsi="Verdana" w:cs="Arial"/>
          <w:color w:val="000000" w:themeColor="text1"/>
          <w:lang w:eastAsia="es-ES"/>
        </w:rPr>
        <w:t xml:space="preserve"> y 109</w:t>
      </w:r>
      <w:r w:rsidRPr="006F379D">
        <w:rPr>
          <w:rFonts w:ascii="Verdana" w:eastAsia="Calibri" w:hAnsi="Verdana" w:cs="Arial"/>
          <w:color w:val="000000" w:themeColor="text1"/>
          <w:vertAlign w:val="superscript"/>
          <w:lang w:eastAsia="es-ES"/>
        </w:rPr>
        <w:footnoteReference w:id="10"/>
      </w:r>
      <w:r w:rsidRPr="006F379D">
        <w:rPr>
          <w:rFonts w:ascii="Verdana" w:eastAsia="Calibri" w:hAnsi="Verdana" w:cs="Arial"/>
          <w:color w:val="000000" w:themeColor="text1"/>
          <w:lang w:eastAsia="es-ES"/>
        </w:rPr>
        <w:t>, lo que evidencia una voluntad legislativa clara y reiterada de aplicar el EGCAP, sin distinción o salvedades sobre el régimen de contratación de las entidades ejecutoras.</w:t>
      </w:r>
    </w:p>
    <w:p w14:paraId="7CEB30EC" w14:textId="77777777" w:rsidR="006F379D" w:rsidRPr="006F379D" w:rsidRDefault="006F379D" w:rsidP="006F379D">
      <w:pPr>
        <w:spacing w:after="120" w:line="276" w:lineRule="auto"/>
        <w:ind w:firstLine="709"/>
        <w:jc w:val="both"/>
        <w:rPr>
          <w:rFonts w:ascii="Verdana" w:eastAsia="Calibri" w:hAnsi="Verdana" w:cs="Arial"/>
          <w:color w:val="000000" w:themeColor="text1"/>
          <w:lang w:eastAsia="es-ES"/>
        </w:rPr>
      </w:pPr>
      <w:r w:rsidRPr="006F379D">
        <w:rPr>
          <w:rFonts w:ascii="Verdana" w:eastAsia="Calibri" w:hAnsi="Verdana" w:cs="Arial"/>
          <w:color w:val="000000" w:themeColor="text1"/>
          <w:lang w:eastAsia="es-ES"/>
        </w:rPr>
        <w:t>Desde una lectura sistemática de la Ley 2056 de 2020, estas múltiples remisiones a las normas del régimen general de contratación pública no deben considerarse como simples alusiones formales sin efectos jurídicos. Por el contrario, configuran un mandato normativo concreto que impone la aplicación del EGCAP en la contratación de proyectos financiados con recursos de regalías. De esta manera, una lectura sistemática de todas las normas señaladas conlleva a interpretar la ley en su conjunto, atendiendo no solo a su tenor literal, sino a su estructura interna, lo que permite identificar una intención legislativa de sujetar la ejecución de los recursos del SGR al EGCAP, sin excepciones.</w:t>
      </w:r>
    </w:p>
    <w:p w14:paraId="65C0B6A2" w14:textId="77777777" w:rsidR="006F379D" w:rsidRPr="006F379D" w:rsidRDefault="006F379D" w:rsidP="006F379D">
      <w:pPr>
        <w:spacing w:after="120" w:line="276" w:lineRule="auto"/>
        <w:ind w:firstLine="709"/>
        <w:jc w:val="both"/>
        <w:rPr>
          <w:rFonts w:ascii="Verdana" w:eastAsia="Calibri" w:hAnsi="Verdana" w:cs="Arial"/>
          <w:color w:val="000000" w:themeColor="text1"/>
          <w:lang w:eastAsia="es-ES"/>
        </w:rPr>
      </w:pPr>
      <w:r w:rsidRPr="006F379D">
        <w:rPr>
          <w:rFonts w:ascii="Verdana" w:eastAsia="Calibri" w:hAnsi="Verdana" w:cs="Arial"/>
          <w:color w:val="000000" w:themeColor="text1"/>
          <w:lang w:eastAsia="es-ES"/>
        </w:rPr>
        <w:t xml:space="preserve">Aunado a lo anterior, se precisa que el parágrafo 1 del artículo 37 de la Ley 2056 de 2020 no distingue sobre el tipo de régimen de contratación aplicable a las entidades ejecutoras de los recursos del SGR, sin embargo, si realiza la remisión expresa al EGCAP. Por tanto, en desarrollo del principio general de interpretación jurídica según el cual </w:t>
      </w:r>
      <w:r w:rsidRPr="006F379D">
        <w:rPr>
          <w:rFonts w:ascii="Verdana" w:eastAsia="Calibri" w:hAnsi="Verdana" w:cs="Arial"/>
          <w:i/>
          <w:iCs/>
          <w:color w:val="000000" w:themeColor="text1"/>
          <w:lang w:eastAsia="es-ES"/>
        </w:rPr>
        <w:t xml:space="preserve">donde la norma no distingue, no le </w:t>
      </w:r>
      <w:r w:rsidRPr="006F379D">
        <w:rPr>
          <w:rFonts w:ascii="Verdana" w:eastAsia="Calibri" w:hAnsi="Verdana" w:cs="Arial"/>
          <w:i/>
          <w:iCs/>
          <w:color w:val="000000" w:themeColor="text1"/>
          <w:lang w:eastAsia="es-ES"/>
        </w:rPr>
        <w:lastRenderedPageBreak/>
        <w:t>corresponde distinguir al intérprete,</w:t>
      </w:r>
      <w:r w:rsidRPr="006F379D">
        <w:rPr>
          <w:rFonts w:ascii="Verdana" w:eastAsia="Calibri" w:hAnsi="Verdana" w:cs="Arial"/>
          <w:color w:val="000000" w:themeColor="text1"/>
          <w:lang w:eastAsia="es-ES"/>
        </w:rPr>
        <w:t xml:space="preserve"> no resulta viable concluir que es posible la aplicación de un régimen distinto al del EGCAP. Esta regla cobra particular relevancia por el carácter público de los recursos, en los que se impone garantizar</w:t>
      </w:r>
      <w:r w:rsidRPr="006F379D">
        <w:t xml:space="preserve"> </w:t>
      </w:r>
      <w:r w:rsidRPr="006F379D">
        <w:rPr>
          <w:rFonts w:ascii="Verdana" w:eastAsia="Calibri" w:hAnsi="Verdana" w:cs="Arial"/>
          <w:color w:val="000000" w:themeColor="text1"/>
          <w:lang w:eastAsia="es-ES"/>
        </w:rPr>
        <w:t xml:space="preserve">la eficiencia, transparencia y responsabilidad en la gestión del gasto público.  </w:t>
      </w:r>
    </w:p>
    <w:p w14:paraId="2D2B4A15" w14:textId="77777777" w:rsidR="006F379D" w:rsidRPr="006F379D" w:rsidRDefault="006F379D" w:rsidP="006F379D">
      <w:pPr>
        <w:spacing w:after="120" w:line="276" w:lineRule="auto"/>
        <w:ind w:firstLine="709"/>
        <w:jc w:val="both"/>
        <w:rPr>
          <w:rFonts w:ascii="Verdana" w:eastAsia="Calibri" w:hAnsi="Verdana" w:cs="Arial"/>
          <w:color w:val="000000" w:themeColor="text1"/>
          <w:lang w:eastAsia="es-ES"/>
        </w:rPr>
      </w:pPr>
      <w:r w:rsidRPr="006F379D">
        <w:rPr>
          <w:rFonts w:ascii="Verdana" w:eastAsia="Calibri" w:hAnsi="Verdana" w:cs="Arial"/>
          <w:color w:val="000000" w:themeColor="text1"/>
          <w:lang w:eastAsia="es-ES"/>
        </w:rPr>
        <w:t xml:space="preserve">En este sentido, con base en la lectura literal y sistemática de las disposiciones contenidas en la Ley 2056 de 2020, así como la aplicación de principios generales del derecho, se colige que la remisión al EGCAP que se consagra en el artículo 37 de la Ley 2056 de 2020 debe entenderse como una disposición con efectos jurídicos y no meramente referencial, lo que significa que somete a todas las entidades ejecutoras, sin distinción de su naturaleza jurídica o régimen de contratación, a la aplicación del EGCAP para la contratación con recursos con cargo al SGR. </w:t>
      </w:r>
    </w:p>
    <w:p w14:paraId="70C5CA50" w14:textId="77777777" w:rsidR="006F379D" w:rsidRPr="006F379D" w:rsidRDefault="006F379D" w:rsidP="006F379D">
      <w:pPr>
        <w:spacing w:after="120" w:line="276" w:lineRule="auto"/>
        <w:ind w:firstLine="709"/>
        <w:jc w:val="both"/>
        <w:rPr>
          <w:rFonts w:ascii="Verdana" w:eastAsia="Calibri" w:hAnsi="Verdana" w:cs="Arial"/>
          <w:color w:val="000000" w:themeColor="text1"/>
          <w:lang w:eastAsia="es-ES"/>
        </w:rPr>
      </w:pPr>
      <w:r w:rsidRPr="006F379D">
        <w:rPr>
          <w:rFonts w:ascii="Verdana" w:eastAsia="Calibri" w:hAnsi="Verdana" w:cs="Arial"/>
          <w:color w:val="000000" w:themeColor="text1"/>
          <w:lang w:eastAsia="es-ES"/>
        </w:rPr>
        <w:t>Adicionalmente, resulta pertinente indicar que la referencia que estas normas hacen a “las demás normas legales aplicables” no puede interpretarse como una exclusión de la remisión expresa que realiza al EGCAP. En otras palabras, dicha inclusión no niega que hay una remisión expresa y prevalente al EGCAP. Por el contrario, debe entenderse como una manifestación clara de la voluntad del legislador de establecer un marco normativo específico para la ejecución de los recursos del SGR, sin que ello implique desconocer o derogar de manera general los regímenes de contratación propios de las entidades que tienen regímenes especiales. Por lo tanto, lejos de generar una contradicción normativa, la remisión al EGCAP debe entenderse como una disposición especial y prevalente frente a la aplicación de otras normas contractuales, y como un instrumento para garantizar la unidad, el control y la eficiencia en el manejo de los recursos del Sistema General de Regalías.</w:t>
      </w:r>
    </w:p>
    <w:p w14:paraId="6EEF523A" w14:textId="77777777" w:rsidR="006F379D" w:rsidRPr="006F379D" w:rsidRDefault="006F379D" w:rsidP="006F379D">
      <w:pPr>
        <w:spacing w:after="120" w:line="276" w:lineRule="auto"/>
        <w:ind w:firstLine="709"/>
        <w:jc w:val="both"/>
        <w:rPr>
          <w:rFonts w:ascii="Verdana" w:eastAsia="Calibri" w:hAnsi="Verdana" w:cs="Arial"/>
          <w:color w:val="000000" w:themeColor="text1"/>
          <w:lang w:eastAsia="es-ES"/>
        </w:rPr>
      </w:pPr>
      <w:r w:rsidRPr="006F379D">
        <w:rPr>
          <w:rFonts w:ascii="Verdana" w:eastAsia="Calibri" w:hAnsi="Verdana" w:cs="Arial"/>
          <w:color w:val="000000" w:themeColor="text1"/>
          <w:lang w:eastAsia="es-ES"/>
        </w:rPr>
        <w:t>A lo anterior debe agregarse que en este marco también cobra relevancia el principio de hermenéutica jurídica del efecto útil de las normas, conforme al cual “debe preferir la interpretación que permita dotarlas de sentido y eficacia, frente a otra u otras que lo impidan”</w:t>
      </w:r>
      <w:r w:rsidRPr="006F379D">
        <w:rPr>
          <w:rFonts w:ascii="Verdana" w:eastAsia="Calibri" w:hAnsi="Verdana" w:cs="Arial"/>
          <w:color w:val="000000" w:themeColor="text1"/>
          <w:vertAlign w:val="superscript"/>
          <w:lang w:eastAsia="es-ES"/>
        </w:rPr>
        <w:footnoteReference w:id="11"/>
      </w:r>
      <w:r w:rsidRPr="006F379D">
        <w:rPr>
          <w:rFonts w:ascii="Verdana" w:eastAsia="Calibri" w:hAnsi="Verdana" w:cs="Arial"/>
          <w:color w:val="000000" w:themeColor="text1"/>
          <w:lang w:eastAsia="es-ES"/>
        </w:rPr>
        <w:t xml:space="preserve">, es decir, que su aplicación y efectividad debe estar ligada al propósito para el cual fueron promulgadas. En este sentido, desconocer la aplicación del EGCAP en el marco de la Ley 2056 de 2020 implicaría privar de eficacia la remisión expresa que esta ley establece en </w:t>
      </w:r>
      <w:r w:rsidRPr="006F379D">
        <w:rPr>
          <w:rFonts w:ascii="Verdana" w:eastAsia="Calibri" w:hAnsi="Verdana" w:cs="Arial"/>
          <w:color w:val="000000" w:themeColor="text1"/>
          <w:lang w:eastAsia="es-ES"/>
        </w:rPr>
        <w:lastRenderedPageBreak/>
        <w:t>materia de contratación pública, contrariando tanto su tenor literal como su finalidad normativa. En este caso, la voluntad del legislador ha sido la de establecer mecanismos que garanticen la transparencia, eficiencia y control en la ejecución de los recursos del SGR mediante la aplicación del EGCAP, lo cual se refleja no solo en la redacción del articulado, sino también en los antecedentes legislativos que dieron lugar a su expedición</w:t>
      </w:r>
      <w:r w:rsidRPr="006F379D">
        <w:rPr>
          <w:rFonts w:ascii="Verdana" w:eastAsia="Calibri" w:hAnsi="Verdana" w:cs="Arial"/>
          <w:color w:val="000000" w:themeColor="text1"/>
          <w:vertAlign w:val="superscript"/>
          <w:lang w:eastAsia="es-ES"/>
        </w:rPr>
        <w:footnoteReference w:id="12"/>
      </w:r>
      <w:r w:rsidRPr="006F379D">
        <w:rPr>
          <w:rFonts w:ascii="Verdana" w:eastAsia="Calibri" w:hAnsi="Verdana" w:cs="Arial"/>
          <w:color w:val="000000" w:themeColor="text1"/>
          <w:lang w:eastAsia="es-ES"/>
        </w:rPr>
        <w:t>.</w:t>
      </w:r>
    </w:p>
    <w:p w14:paraId="6E325BF3" w14:textId="77777777" w:rsidR="006F379D" w:rsidRPr="006F379D" w:rsidRDefault="006F379D" w:rsidP="006F379D">
      <w:pPr>
        <w:spacing w:after="120" w:line="276" w:lineRule="auto"/>
        <w:ind w:firstLine="709"/>
        <w:jc w:val="both"/>
        <w:rPr>
          <w:rFonts w:ascii="Verdana" w:eastAsia="Calibri" w:hAnsi="Verdana" w:cs="Arial"/>
          <w:color w:val="000000" w:themeColor="text1"/>
          <w:lang w:eastAsia="es-ES"/>
        </w:rPr>
      </w:pPr>
      <w:r w:rsidRPr="006F379D">
        <w:rPr>
          <w:rFonts w:ascii="Verdana" w:eastAsia="Calibri" w:hAnsi="Verdana" w:cs="Arial"/>
          <w:color w:val="000000" w:themeColor="text1"/>
          <w:lang w:eastAsia="es-ES"/>
        </w:rPr>
        <w:t xml:space="preserve">De acuerdo con lo señalado, el legislador optó claramente por un criterio funcional o finalista, según el cual el régimen de contratación aplicable se determina por el origen de los recursos públicos y no por la naturaleza orgánica de la entidad ejecutora. Este enfoque parte de la premisa de que los recursos públicos de regalías deben estar sometidos a un marco normativo concreto. De esta forma, el legislador privilegia la naturaleza pública de recursos de regalías como criterio rector, por encima de cualquier particularidad orgánica o régimen especial que pudiera ostentar la entidad ejecutora. Esto se refuerza con el hecho de que la norma no hace ninguna distinción respecto de la ejecución de recurso por parte las entidades con régimen especial. </w:t>
      </w:r>
    </w:p>
    <w:p w14:paraId="1CFE743D" w14:textId="77777777" w:rsidR="006F379D" w:rsidRPr="006F379D" w:rsidRDefault="006F379D" w:rsidP="006F379D">
      <w:pPr>
        <w:spacing w:after="120" w:line="276" w:lineRule="auto"/>
        <w:ind w:firstLine="709"/>
        <w:jc w:val="both"/>
        <w:rPr>
          <w:rFonts w:ascii="Verdana" w:eastAsia="Calibri" w:hAnsi="Verdana" w:cs="Arial"/>
          <w:color w:val="000000" w:themeColor="text1"/>
          <w:lang w:eastAsia="es-ES"/>
        </w:rPr>
      </w:pPr>
      <w:r w:rsidRPr="006F379D">
        <w:rPr>
          <w:rFonts w:ascii="Verdana" w:eastAsia="Calibri" w:hAnsi="Verdana" w:cs="Arial"/>
          <w:color w:val="000000" w:themeColor="text1"/>
          <w:lang w:eastAsia="es-ES"/>
        </w:rPr>
        <w:t xml:space="preserve">Incluso, dicha posición es asumida por la Sala de Consulta y Servicio Civil del Consejo de Estado, pues en Concepto 2563 del 25 de junio de 2026 –con ponencia de la </w:t>
      </w:r>
      <w:proofErr w:type="gramStart"/>
      <w:r w:rsidRPr="006F379D">
        <w:rPr>
          <w:rFonts w:ascii="Verdana" w:eastAsia="Calibri" w:hAnsi="Verdana" w:cs="Arial"/>
          <w:color w:val="000000" w:themeColor="text1"/>
          <w:lang w:eastAsia="es-ES"/>
        </w:rPr>
        <w:t>Consejera</w:t>
      </w:r>
      <w:proofErr w:type="gramEnd"/>
      <w:r w:rsidRPr="006F379D">
        <w:rPr>
          <w:rFonts w:ascii="Verdana" w:eastAsia="Calibri" w:hAnsi="Verdana" w:cs="Arial"/>
          <w:color w:val="000000" w:themeColor="text1"/>
          <w:lang w:eastAsia="es-ES"/>
        </w:rPr>
        <w:t xml:space="preserve"> María del Pilar Bahamón Falla– estima que:</w:t>
      </w:r>
    </w:p>
    <w:p w14:paraId="68BDFE7B" w14:textId="77777777" w:rsidR="006F379D" w:rsidRPr="006F379D" w:rsidRDefault="006F379D" w:rsidP="006F379D">
      <w:pPr>
        <w:spacing w:after="0" w:line="276" w:lineRule="auto"/>
        <w:jc w:val="both"/>
        <w:rPr>
          <w:rFonts w:ascii="Verdana" w:eastAsia="Calibri" w:hAnsi="Verdana" w:cs="Arial"/>
          <w:color w:val="000000" w:themeColor="text1"/>
          <w:lang w:eastAsia="es-ES"/>
        </w:rPr>
      </w:pPr>
    </w:p>
    <w:p w14:paraId="5BD8A8F9" w14:textId="77777777" w:rsidR="006F379D" w:rsidRPr="006F379D" w:rsidRDefault="006F379D" w:rsidP="006F379D">
      <w:pPr>
        <w:spacing w:after="120" w:line="240" w:lineRule="auto"/>
        <w:ind w:left="709" w:right="709"/>
        <w:jc w:val="both"/>
        <w:rPr>
          <w:rFonts w:ascii="Verdana" w:eastAsia="Calibri" w:hAnsi="Verdana" w:cs="Arial"/>
          <w:color w:val="000000" w:themeColor="text1"/>
          <w:sz w:val="20"/>
          <w:szCs w:val="20"/>
          <w:lang w:eastAsia="es-ES"/>
        </w:rPr>
      </w:pPr>
      <w:r w:rsidRPr="006F379D">
        <w:rPr>
          <w:rFonts w:ascii="Verdana" w:eastAsia="Calibri" w:hAnsi="Verdana" w:cs="Arial"/>
          <w:color w:val="000000" w:themeColor="text1"/>
          <w:sz w:val="20"/>
          <w:szCs w:val="20"/>
          <w:lang w:eastAsia="es-ES"/>
        </w:rPr>
        <w:t xml:space="preserve">“El Sistema General de Regalías constituye un régimen constitucional, legal y presupuestal especial. Sus recursos tienen destinación específica a proyectos de inversión y están sometidos a un ciclo reglado de formulación, viabilidad, registro, priorización, aprobación, ejecución, seguimiento, evaluación y control. </w:t>
      </w:r>
    </w:p>
    <w:p w14:paraId="21D72EB4" w14:textId="77777777" w:rsidR="006F379D" w:rsidRPr="006F379D" w:rsidRDefault="006F379D" w:rsidP="006F379D">
      <w:pPr>
        <w:spacing w:after="120" w:line="240" w:lineRule="auto"/>
        <w:ind w:left="709" w:right="709"/>
        <w:jc w:val="both"/>
        <w:rPr>
          <w:rFonts w:ascii="Verdana" w:eastAsia="Calibri" w:hAnsi="Verdana" w:cs="Arial"/>
          <w:color w:val="000000" w:themeColor="text1"/>
          <w:sz w:val="20"/>
          <w:szCs w:val="20"/>
          <w:lang w:eastAsia="es-ES"/>
        </w:rPr>
      </w:pPr>
      <w:r w:rsidRPr="006F379D">
        <w:rPr>
          <w:rFonts w:ascii="Verdana" w:eastAsia="Calibri" w:hAnsi="Verdana" w:cs="Arial"/>
          <w:color w:val="000000" w:themeColor="text1"/>
          <w:sz w:val="20"/>
          <w:szCs w:val="20"/>
          <w:lang w:eastAsia="es-ES"/>
        </w:rPr>
        <w:t xml:space="preserve">En esa estructura, el artículo 37 de la Ley 2056 de 2020 regula la etapa de ejecución y asigna a la entidad ejecutora deberes cualificados de correcta ejecución, contratación de la interventoría, suministro y registro de información, verificación de requisitos legales y sujeción al Sistema de Seguimiento, Evaluación y Control. </w:t>
      </w:r>
    </w:p>
    <w:p w14:paraId="5727657D" w14:textId="77777777" w:rsidR="006F379D" w:rsidRPr="006F379D" w:rsidRDefault="006F379D" w:rsidP="006F379D">
      <w:pPr>
        <w:spacing w:after="120" w:line="240" w:lineRule="auto"/>
        <w:ind w:left="709" w:right="709"/>
        <w:jc w:val="both"/>
        <w:rPr>
          <w:rFonts w:ascii="Verdana" w:eastAsia="Calibri" w:hAnsi="Verdana" w:cs="Arial"/>
          <w:color w:val="000000" w:themeColor="text1"/>
          <w:sz w:val="20"/>
          <w:szCs w:val="20"/>
          <w:lang w:eastAsia="es-ES"/>
        </w:rPr>
      </w:pPr>
      <w:r w:rsidRPr="006F379D">
        <w:rPr>
          <w:rFonts w:ascii="Verdana" w:eastAsia="Calibri" w:hAnsi="Verdana" w:cs="Arial"/>
          <w:color w:val="000000" w:themeColor="text1"/>
          <w:sz w:val="20"/>
          <w:szCs w:val="20"/>
          <w:lang w:eastAsia="es-ES"/>
        </w:rPr>
        <w:lastRenderedPageBreak/>
        <w:t xml:space="preserve">Cuando una universidad pública con régimen contractual especial […] es designada ejecutora de un proyecto financiado con recursos del Sistema General de Regalías, el régimen aplicable no se determina por su régimen contractual ordinario ni por la identidad del beneficiario final del bien, obra o servicio, sino por la fuente de financiación y por la regla especial que gobierna la ejecución de esos recursos, esto es el régimen de contratación pública. </w:t>
      </w:r>
    </w:p>
    <w:p w14:paraId="1D6D4BCC" w14:textId="77777777" w:rsidR="006F379D" w:rsidRPr="006F379D" w:rsidRDefault="006F379D" w:rsidP="006F379D">
      <w:pPr>
        <w:spacing w:after="120" w:line="240" w:lineRule="auto"/>
        <w:ind w:left="709" w:right="709"/>
        <w:jc w:val="both"/>
        <w:rPr>
          <w:rFonts w:ascii="Verdana" w:eastAsia="Calibri" w:hAnsi="Verdana" w:cs="Arial"/>
          <w:color w:val="000000" w:themeColor="text1"/>
          <w:sz w:val="20"/>
          <w:szCs w:val="20"/>
          <w:lang w:eastAsia="es-ES"/>
        </w:rPr>
      </w:pPr>
      <w:r w:rsidRPr="006F379D">
        <w:rPr>
          <w:rFonts w:ascii="Verdana" w:eastAsia="Calibri" w:hAnsi="Verdana" w:cs="Arial"/>
          <w:color w:val="000000" w:themeColor="text1"/>
          <w:sz w:val="20"/>
          <w:szCs w:val="20"/>
          <w:lang w:eastAsia="es-ES"/>
        </w:rPr>
        <w:t xml:space="preserve">La designación del ejecutor es un acto administrativo unilateral expedido por la instancia competente del SGR, cuya finalidad no es celebrar un negocio jurídico con la entidad designada, sino asignarle la responsabilidad pública de ejecutar un proyecto previamente aprobado. De allí que la entidad ejecutora no administre recursos ordinarios propios ni pueda redefinir discrecionalmente el objeto del gasto, pues este ya se encuentra determinado por el proyecto aprobado, su presupuesto, sus actividades, productos, indicadores y soportes. </w:t>
      </w:r>
    </w:p>
    <w:p w14:paraId="05018D5B" w14:textId="77777777" w:rsidR="006F379D" w:rsidRPr="006F379D" w:rsidRDefault="006F379D" w:rsidP="006F379D">
      <w:pPr>
        <w:spacing w:after="120" w:line="240" w:lineRule="auto"/>
        <w:ind w:left="709" w:right="709"/>
        <w:jc w:val="both"/>
        <w:rPr>
          <w:rFonts w:ascii="Verdana" w:eastAsia="Calibri" w:hAnsi="Verdana" w:cs="Arial"/>
          <w:color w:val="000000" w:themeColor="text1"/>
          <w:sz w:val="20"/>
          <w:szCs w:val="20"/>
          <w:lang w:eastAsia="es-ES"/>
        </w:rPr>
      </w:pPr>
      <w:r w:rsidRPr="006F379D">
        <w:rPr>
          <w:rFonts w:ascii="Verdana" w:eastAsia="Calibri" w:hAnsi="Verdana" w:cs="Arial"/>
          <w:color w:val="000000" w:themeColor="text1"/>
          <w:sz w:val="20"/>
          <w:szCs w:val="20"/>
          <w:lang w:eastAsia="es-ES"/>
        </w:rPr>
        <w:t xml:space="preserve">A partir de esa premisa, la expresión ‘estricta sujeción’ contenida en el parágrafo 1º del artículo 37 de la Ley 2056 de 2020 tiene un alcance normativo reforzado. La ejecución del proyecto debe adelantarse conforme al régimen presupuestal del SGR, al régimen de contratación pública y a las demás normas legales vigentes. Esa regla no opera como una remisión subsidiaria al régimen interno de la entidad ejecutora, sino como un mandato especial de sometimiento al régimen público que gobierna la ejecución de los recursos de regalías dada su especialidad. </w:t>
      </w:r>
    </w:p>
    <w:p w14:paraId="27989109" w14:textId="77777777" w:rsidR="006F379D" w:rsidRPr="006F379D" w:rsidRDefault="006F379D" w:rsidP="006F379D">
      <w:pPr>
        <w:spacing w:after="0" w:line="240" w:lineRule="auto"/>
        <w:ind w:left="709" w:right="709"/>
        <w:jc w:val="both"/>
        <w:rPr>
          <w:rFonts w:ascii="Verdana" w:eastAsia="Calibri" w:hAnsi="Verdana" w:cs="Arial"/>
          <w:color w:val="000000" w:themeColor="text1"/>
          <w:lang w:eastAsia="es-ES"/>
        </w:rPr>
      </w:pPr>
      <w:r w:rsidRPr="006F379D">
        <w:rPr>
          <w:rFonts w:ascii="Verdana" w:eastAsia="Calibri" w:hAnsi="Verdana" w:cs="Arial"/>
          <w:color w:val="000000" w:themeColor="text1"/>
          <w:sz w:val="20"/>
          <w:szCs w:val="20"/>
          <w:lang w:eastAsia="es-ES"/>
        </w:rPr>
        <w:t>La interpretación gramatical, sistemática, histórica, teleológica y de efecto útil desarrollada en el concepto permite concluir que, cuando el artículo 37 se refiere al régimen de contratación pública, remite al Estatuto General de Contratación de la Administración Pública y a sus normas reglamentarias y complementarias, especialmente cuando la ejecución del proyecto exige contratar con terceros”.</w:t>
      </w:r>
    </w:p>
    <w:p w14:paraId="2300C9DB" w14:textId="77777777" w:rsidR="006F379D" w:rsidRPr="006F379D" w:rsidRDefault="006F379D" w:rsidP="006F379D">
      <w:pPr>
        <w:spacing w:after="120" w:line="276" w:lineRule="auto"/>
        <w:jc w:val="both"/>
        <w:rPr>
          <w:rFonts w:ascii="Verdana" w:eastAsia="Calibri" w:hAnsi="Verdana" w:cs="Arial"/>
          <w:color w:val="000000" w:themeColor="text1"/>
          <w:lang w:eastAsia="es-ES"/>
        </w:rPr>
      </w:pPr>
    </w:p>
    <w:p w14:paraId="704CAA40" w14:textId="77777777" w:rsidR="006F379D" w:rsidRPr="006F379D" w:rsidRDefault="006F379D" w:rsidP="006F379D">
      <w:pPr>
        <w:spacing w:after="120" w:line="276" w:lineRule="auto"/>
        <w:ind w:firstLine="709"/>
        <w:jc w:val="both"/>
        <w:rPr>
          <w:rFonts w:ascii="Verdana" w:eastAsia="Calibri" w:hAnsi="Verdana" w:cs="Arial"/>
          <w:color w:val="000000" w:themeColor="text1"/>
          <w:lang w:eastAsia="es-ES"/>
        </w:rPr>
      </w:pPr>
      <w:r w:rsidRPr="006F379D">
        <w:rPr>
          <w:rFonts w:ascii="Verdana" w:eastAsia="Calibri" w:hAnsi="Verdana" w:cs="Arial"/>
          <w:color w:val="000000" w:themeColor="text1"/>
          <w:lang w:eastAsia="es-ES"/>
        </w:rPr>
        <w:t xml:space="preserve">Si bien la Sala de Consulta y Servicio Civil realizó el análisis respecto de una Universidad Pública, la conclusión expuesta no varía tratándose de otras entidades estatales que cuentan con régimen especial. En efecto el problema jurídico planteado en el concepto está orientado a determinar cuál es el régimen jurídico aplicable a la contratación que debe adelantar una entidad sometida a un régimen especial o exceptuado cuando es designada como ejecutora de un proyecto financiado con recursos del SGR. De este modo, las consideraciones jurídicas desarrolladas por la Sala resultan aplicables, por analogía, a aquellos supuestos en los que una entidad estatal sometida a un régimen especial de contratación es designada como ejecutora de recursos del SGR, como es el caso EICE y de los Fondos Mixtos. </w:t>
      </w:r>
    </w:p>
    <w:p w14:paraId="482C5555" w14:textId="77777777" w:rsidR="006F379D" w:rsidRPr="006F379D" w:rsidRDefault="006F379D" w:rsidP="006F379D">
      <w:pPr>
        <w:spacing w:after="120" w:line="276" w:lineRule="auto"/>
        <w:ind w:firstLine="709"/>
        <w:jc w:val="both"/>
        <w:rPr>
          <w:rFonts w:ascii="Verdana" w:eastAsia="Calibri" w:hAnsi="Verdana" w:cs="Arial"/>
          <w:color w:val="000000" w:themeColor="text1"/>
          <w:lang w:eastAsia="es-ES"/>
        </w:rPr>
      </w:pPr>
      <w:r w:rsidRPr="006F379D">
        <w:rPr>
          <w:rFonts w:ascii="Verdana" w:eastAsia="Calibri" w:hAnsi="Verdana" w:cs="Arial"/>
          <w:color w:val="000000" w:themeColor="text1"/>
          <w:lang w:eastAsia="es-ES"/>
        </w:rPr>
        <w:lastRenderedPageBreak/>
        <w:t xml:space="preserve">Asimismo, resulta indispensable precisar que la remisión al EGCAP de la ejecución de los proyectos financiados con recursos de regalías no implica una alteración estructural del régimen especial de las entidades ejecutoras ni desconoce las normas que lo regulan. Tal y como se ha señalado, la interpretación literal, sistemática y teleológica de la norma, armonizada con el principio general del </w:t>
      </w:r>
      <w:r w:rsidRPr="006F379D">
        <w:rPr>
          <w:rFonts w:ascii="Verdana" w:eastAsia="Calibri" w:hAnsi="Verdana" w:cs="Arial"/>
          <w:i/>
          <w:iCs/>
          <w:color w:val="000000" w:themeColor="text1"/>
          <w:lang w:eastAsia="es-ES"/>
        </w:rPr>
        <w:t>efecto útil</w:t>
      </w:r>
      <w:r w:rsidRPr="006F379D">
        <w:rPr>
          <w:rFonts w:ascii="Verdana" w:eastAsia="Calibri" w:hAnsi="Verdana" w:cs="Arial"/>
          <w:color w:val="000000" w:themeColor="text1"/>
          <w:lang w:eastAsia="es-ES"/>
        </w:rPr>
        <w:t xml:space="preserve">, conduce a concluir que cuando estas entidades actúan en calidad de ejecutoras en el marco de la Ley 2056 de 2020, deben sujetarse al EGCAP. De hecho, así fue expuesto en el Concepto C-504 del 1 de octubre de 2024, en el cual se indicó que ello “no </w:t>
      </w:r>
      <w:r w:rsidRPr="006F379D">
        <w:rPr>
          <w:rFonts w:ascii="Verdana" w:hAnsi="Verdana" w:cs="Arial"/>
          <w:color w:val="000000"/>
          <w:bdr w:val="none" w:sz="0" w:space="0" w:color="auto" w:frame="1"/>
          <w:lang w:val="es-MX"/>
        </w:rPr>
        <w:t xml:space="preserve">implica que la designación para la ejecución de proyectos financiados con recursos del Sistema General de Regalías mute a perpetuidad o de manera general el régimen contractual de las entidades estatales ejecutoras sometidas a regímenes especiales de contratación, en la medida en que, mientras sigan vigentes las disposiciones legales que contemplan tales regímenes exceptuados, dichas entidades podrán seguir aplicándolos para la contratación no relacionada con la ejecución de los proyectos a los que se refieren los artículos 35 y 36 de la Ley 2056 de 2020”.  </w:t>
      </w:r>
    </w:p>
    <w:p w14:paraId="67D26FEC" w14:textId="77777777" w:rsidR="006F379D" w:rsidRPr="006F379D" w:rsidRDefault="006F379D" w:rsidP="006F379D">
      <w:pPr>
        <w:spacing w:after="120" w:line="276" w:lineRule="auto"/>
        <w:ind w:firstLine="709"/>
        <w:jc w:val="both"/>
        <w:rPr>
          <w:rFonts w:ascii="Verdana" w:eastAsia="Calibri" w:hAnsi="Verdana" w:cs="Arial"/>
          <w:color w:val="000000" w:themeColor="text1"/>
          <w:lang w:eastAsia="es-ES"/>
        </w:rPr>
      </w:pPr>
      <w:r w:rsidRPr="006F379D">
        <w:rPr>
          <w:rFonts w:ascii="Verdana" w:eastAsia="Calibri" w:hAnsi="Verdana" w:cs="Arial"/>
          <w:color w:val="000000" w:themeColor="text1"/>
          <w:lang w:eastAsia="es-ES"/>
        </w:rPr>
        <w:t>Este régimen particular no sustituye ni deroga el régimen especial de contratación al que está sujeta la entidad ejecutora, pero sí superpone válidamente un conjunto de reglas especiales aplicables de manera preferente respecto de los contratos financiados con recursos de regalías, porque la Ley 2056 de 2020 contiene disposiciones específicas que regulan un aspecto puntual. En ese contexto, la remisión al régimen de contratación pública contenida en el artículo 37, y reiterada en otras disposiciones de la ley, despliega un efecto de aplicación preferente, no solo por su especialidad temática, sino también por su carácter imperativo y por estar dirigida a una función específica que es la ejecución de proyectos con recursos de regalías.</w:t>
      </w:r>
    </w:p>
    <w:p w14:paraId="0F1CACF8" w14:textId="77777777" w:rsidR="006F379D" w:rsidRPr="006F379D" w:rsidRDefault="006F379D" w:rsidP="006F379D">
      <w:pPr>
        <w:spacing w:after="120" w:line="276" w:lineRule="auto"/>
        <w:ind w:firstLine="709"/>
        <w:jc w:val="both"/>
        <w:rPr>
          <w:rFonts w:ascii="Verdana" w:eastAsia="Calibri" w:hAnsi="Verdana" w:cs="Arial"/>
          <w:color w:val="000000" w:themeColor="text1"/>
          <w:lang w:eastAsia="es-ES"/>
        </w:rPr>
      </w:pPr>
      <w:r w:rsidRPr="006F379D">
        <w:rPr>
          <w:rFonts w:ascii="Verdana" w:eastAsia="Calibri" w:hAnsi="Verdana" w:cs="Arial"/>
          <w:color w:val="000000" w:themeColor="text1"/>
          <w:lang w:eastAsia="es-ES"/>
        </w:rPr>
        <w:t xml:space="preserve">Debido a que esta remisión normativa no es una mera referencia </w:t>
      </w:r>
      <w:proofErr w:type="gramStart"/>
      <w:r w:rsidRPr="006F379D">
        <w:rPr>
          <w:rFonts w:ascii="Verdana" w:eastAsia="Calibri" w:hAnsi="Verdana" w:cs="Arial"/>
          <w:color w:val="000000" w:themeColor="text1"/>
          <w:lang w:eastAsia="es-ES"/>
        </w:rPr>
        <w:t>indicativa</w:t>
      </w:r>
      <w:proofErr w:type="gramEnd"/>
      <w:r w:rsidRPr="006F379D">
        <w:rPr>
          <w:rFonts w:ascii="Verdana" w:eastAsia="Calibri" w:hAnsi="Verdana" w:cs="Arial"/>
          <w:color w:val="000000" w:themeColor="text1"/>
          <w:lang w:eastAsia="es-ES"/>
        </w:rPr>
        <w:t xml:space="preserve"> sino que tiene pleno efectos jurídicos, impone la aplicación de régimen de contratación específico en virtud del principio de especialidad y de legalidad. Es decir, mientras actúan como ejecutoras del SGR, dichas entidades deben sujetarse al régimen previsto en la Ley 2056, incluyendo su remisión expresa al EGCAP, sin que ello implique una derogatoria general de su régimen contractual ordinario.</w:t>
      </w:r>
    </w:p>
    <w:p w14:paraId="5A245FB6" w14:textId="77777777" w:rsidR="006F379D" w:rsidRPr="006F379D" w:rsidRDefault="006F379D" w:rsidP="006F379D">
      <w:pPr>
        <w:spacing w:after="120" w:line="276" w:lineRule="auto"/>
        <w:jc w:val="both"/>
        <w:rPr>
          <w:rFonts w:ascii="Verdana" w:eastAsia="Calibri" w:hAnsi="Verdana" w:cs="Arial"/>
          <w:color w:val="000000" w:themeColor="text1"/>
          <w:lang w:eastAsia="es-ES"/>
        </w:rPr>
      </w:pPr>
      <w:proofErr w:type="spellStart"/>
      <w:r w:rsidRPr="006F379D">
        <w:rPr>
          <w:rFonts w:ascii="Verdana" w:hAnsi="Verdana" w:cs="Arial"/>
          <w:lang w:eastAsia="es-ES"/>
        </w:rPr>
        <w:t>ii</w:t>
      </w:r>
      <w:proofErr w:type="spellEnd"/>
      <w:r w:rsidRPr="006F379D">
        <w:rPr>
          <w:rFonts w:ascii="Verdana" w:hAnsi="Verdana" w:cs="Arial"/>
          <w:lang w:eastAsia="es-ES"/>
        </w:rPr>
        <w:t xml:space="preserve">. </w:t>
      </w:r>
      <w:r w:rsidRPr="006F379D">
        <w:rPr>
          <w:rFonts w:ascii="Verdana" w:eastAsia="Calibri" w:hAnsi="Verdana" w:cs="Arial"/>
          <w:color w:val="000000" w:themeColor="text1"/>
          <w:lang w:eastAsia="es-ES"/>
        </w:rPr>
        <w:t xml:space="preserve">Ahora bien, de acuerdo con la interpretación explicada, teniendo en cuenta lo dispuesto en el artículo 37 de la Ley 2056 de 2020, las entidades ejecutoras </w:t>
      </w:r>
      <w:r w:rsidRPr="006F379D">
        <w:rPr>
          <w:rFonts w:ascii="Verdana" w:eastAsia="Calibri" w:hAnsi="Verdana" w:cs="Arial"/>
          <w:color w:val="000000" w:themeColor="text1"/>
          <w:lang w:eastAsia="es-ES"/>
        </w:rPr>
        <w:lastRenderedPageBreak/>
        <w:t xml:space="preserve">designadas </w:t>
      </w:r>
      <w:r w:rsidRPr="006F379D">
        <w:rPr>
          <w:rFonts w:ascii="Verdana" w:eastAsia="Calibri" w:hAnsi="Verdana" w:cs="Arial"/>
          <w:i/>
          <w:iCs/>
          <w:color w:val="000000" w:themeColor="text1"/>
          <w:lang w:eastAsia="es-ES"/>
        </w:rPr>
        <w:t>deben</w:t>
      </w:r>
      <w:r w:rsidRPr="006F379D">
        <w:rPr>
          <w:rFonts w:ascii="Verdana" w:eastAsia="Calibri" w:hAnsi="Verdana" w:cs="Arial"/>
          <w:color w:val="000000" w:themeColor="text1"/>
          <w:lang w:eastAsia="es-ES"/>
        </w:rPr>
        <w:t xml:space="preserve"> sujetarse al EGCAP,</w:t>
      </w:r>
      <w:r w:rsidRPr="006F379D">
        <w:rPr>
          <w:rFonts w:ascii="Verdana" w:eastAsia="Calibri" w:hAnsi="Verdana" w:cs="Arial"/>
          <w:color w:val="000000"/>
          <w:lang w:val="es-ES" w:eastAsia="es-ES"/>
        </w:rPr>
        <w:t xml:space="preserve"> sin perjuicio de que en sus demás actividades apliquen el régimen especial que les corresponda</w:t>
      </w:r>
      <w:r w:rsidRPr="006F379D">
        <w:rPr>
          <w:rFonts w:ascii="Verdana" w:eastAsia="Calibri" w:hAnsi="Verdana" w:cs="Arial"/>
          <w:color w:val="000000" w:themeColor="text1"/>
          <w:lang w:eastAsia="es-ES"/>
        </w:rPr>
        <w:t xml:space="preserve">. Esto significa que la contratación de los bienes, obras o servicios que se adelante con fundamento en dicha normativa, </w:t>
      </w:r>
      <w:r w:rsidRPr="006F379D">
        <w:rPr>
          <w:rFonts w:ascii="Verdana" w:eastAsia="Calibri" w:hAnsi="Verdana" w:cs="Arial"/>
          <w:i/>
          <w:iCs/>
          <w:color w:val="000000" w:themeColor="text1"/>
          <w:lang w:eastAsia="es-ES"/>
        </w:rPr>
        <w:t>deberá</w:t>
      </w:r>
      <w:r w:rsidRPr="006F379D">
        <w:rPr>
          <w:rFonts w:ascii="Verdana" w:eastAsia="Calibri" w:hAnsi="Verdana" w:cs="Arial"/>
          <w:color w:val="000000" w:themeColor="text1"/>
          <w:lang w:eastAsia="es-ES"/>
        </w:rPr>
        <w:t xml:space="preserve"> sujetarse a las disposiciones del EGCAP </w:t>
      </w:r>
      <w:proofErr w:type="gramStart"/>
      <w:r w:rsidRPr="006F379D">
        <w:rPr>
          <w:rFonts w:ascii="Verdana" w:eastAsia="Calibri" w:hAnsi="Verdana" w:cs="Arial"/>
          <w:color w:val="000000" w:themeColor="text1"/>
          <w:lang w:eastAsia="es-ES"/>
        </w:rPr>
        <w:t>y</w:t>
      </w:r>
      <w:proofErr w:type="gramEnd"/>
      <w:r w:rsidRPr="006F379D">
        <w:rPr>
          <w:rFonts w:ascii="Verdana" w:eastAsia="Calibri" w:hAnsi="Verdana" w:cs="Arial"/>
          <w:color w:val="000000" w:themeColor="text1"/>
          <w:lang w:eastAsia="es-ES"/>
        </w:rPr>
        <w:t xml:space="preserve"> en consecuencia, los procesos de contratación </w:t>
      </w:r>
      <w:r w:rsidRPr="006F379D">
        <w:rPr>
          <w:rFonts w:ascii="Verdana" w:eastAsia="Calibri" w:hAnsi="Verdana" w:cs="Arial"/>
          <w:i/>
          <w:iCs/>
          <w:color w:val="000000" w:themeColor="text1"/>
          <w:lang w:eastAsia="es-ES"/>
        </w:rPr>
        <w:t>deberán</w:t>
      </w:r>
      <w:r w:rsidRPr="006F379D">
        <w:rPr>
          <w:rFonts w:ascii="Verdana" w:eastAsia="Calibri" w:hAnsi="Verdana" w:cs="Arial"/>
          <w:color w:val="000000" w:themeColor="text1"/>
          <w:lang w:eastAsia="es-ES"/>
        </w:rPr>
        <w:t xml:space="preserve"> desarrollarse observando las etapas, términos, procedimientos y demás reglas previstas en dicho estatuto, </w:t>
      </w:r>
      <w:r w:rsidRPr="006F379D">
        <w:rPr>
          <w:rFonts w:ascii="Verdana" w:hAnsi="Verdana" w:cs="Arial"/>
        </w:rPr>
        <w:t>acudiendo a las modalidades de selección establecidas por el artículo 2 de la Ley 1150 de 2007.</w:t>
      </w:r>
    </w:p>
    <w:p w14:paraId="4078BD1B" w14:textId="77777777" w:rsidR="006F379D" w:rsidRPr="006F379D" w:rsidRDefault="006F379D" w:rsidP="006F379D">
      <w:pPr>
        <w:spacing w:after="120" w:line="276" w:lineRule="auto"/>
        <w:ind w:firstLine="709"/>
        <w:jc w:val="both"/>
        <w:rPr>
          <w:rFonts w:ascii="Verdana" w:eastAsia="Calibri" w:hAnsi="Verdana" w:cs="Arial"/>
          <w:color w:val="000000" w:themeColor="text1"/>
          <w:lang w:eastAsia="es-ES"/>
        </w:rPr>
      </w:pPr>
      <w:r w:rsidRPr="006F379D">
        <w:rPr>
          <w:rFonts w:ascii="Verdana" w:eastAsia="Calibri" w:hAnsi="Verdana" w:cs="Arial"/>
          <w:color w:val="000000" w:themeColor="text1"/>
          <w:lang w:eastAsia="es-ES"/>
        </w:rPr>
        <w:t xml:space="preserve">En este contexto, a juicio de esta Agencia cuando las EICE y los Fondos Mixtos sean designados como entidades ejecutoras, serán responsables de la correcta ejecución de los proyectos de inversión y en tal condición, les corresponde adelantar las actuaciones contractuales necesarias para materializar los proyectos aprobados y celebrar los negocios jurídicos requeridos para su ejecución, de conformidad con el régimen jurídico aplicable. En consecuencia, en el marco de la autonomía de la voluntad, deberán determinar la modalidad de selección y las demás reglas que resulten aplicables a la contratación que requieran adelantar, atendiendo a la naturaleza, objeto y cuantía de los contratos, de conformidad con las disposiciones del EGCAP que resulten aplicables. </w:t>
      </w:r>
    </w:p>
    <w:p w14:paraId="72FB958A" w14:textId="77777777" w:rsidR="006F379D" w:rsidRPr="006F379D" w:rsidRDefault="006F379D" w:rsidP="006F379D">
      <w:pPr>
        <w:spacing w:after="120" w:line="276" w:lineRule="auto"/>
        <w:ind w:firstLine="709"/>
        <w:jc w:val="both"/>
        <w:rPr>
          <w:rFonts w:ascii="Verdana" w:eastAsia="Calibri" w:hAnsi="Verdana" w:cs="Arial"/>
          <w:color w:val="000000" w:themeColor="text1"/>
          <w:lang w:eastAsia="es-ES"/>
        </w:rPr>
      </w:pPr>
      <w:r w:rsidRPr="006F379D">
        <w:rPr>
          <w:rFonts w:ascii="Verdana" w:eastAsia="Calibri" w:hAnsi="Verdana" w:cs="Arial"/>
          <w:color w:val="000000" w:themeColor="text1"/>
          <w:lang w:eastAsia="es-ES"/>
        </w:rPr>
        <w:t xml:space="preserve">Lo anterior ha sido señalado por la Sala de Consulta y Servicio Civil del Consejo de Estado al precisar que, “una vez aprobado el proyecto de inversión y designada la entidad ejecutora, esta debe actuar dentro de un régimen funcional especial de ejecución de regalías, en el cual la contratación de bienes, obras, servicios, consultorías e interventorías requerida para materializar el proyecto </w:t>
      </w:r>
      <w:r w:rsidRPr="006F379D">
        <w:rPr>
          <w:rFonts w:ascii="Verdana" w:eastAsia="Calibri" w:hAnsi="Verdana" w:cs="Arial"/>
          <w:i/>
          <w:iCs/>
          <w:color w:val="000000" w:themeColor="text1"/>
          <w:lang w:eastAsia="es-ES"/>
        </w:rPr>
        <w:t>debe adelantarse con sujeción al Estatuto General de Contratación de la Administración Pública, sus modalidades de selección, sus reglas de publicidad, planeación, selección objetiva, documentos tipo cuando correspondan, supervisión, interventoría y control</w:t>
      </w:r>
      <w:r w:rsidRPr="006F379D">
        <w:rPr>
          <w:rFonts w:ascii="Verdana" w:eastAsia="Calibri" w:hAnsi="Verdana" w:cs="Arial"/>
          <w:i/>
          <w:iCs/>
          <w:color w:val="000000" w:themeColor="text1"/>
          <w:vertAlign w:val="superscript"/>
          <w:lang w:eastAsia="es-ES"/>
        </w:rPr>
        <w:footnoteReference w:id="13"/>
      </w:r>
      <w:r w:rsidRPr="006F379D">
        <w:rPr>
          <w:rFonts w:ascii="Verdana" w:eastAsia="Calibri" w:hAnsi="Verdana" w:cs="Arial"/>
          <w:color w:val="000000" w:themeColor="text1"/>
          <w:lang w:eastAsia="es-ES"/>
        </w:rPr>
        <w:t>” (Énfasis por fuera de texto).</w:t>
      </w:r>
    </w:p>
    <w:p w14:paraId="38A4BC14" w14:textId="77777777" w:rsidR="006F379D" w:rsidRPr="006F379D" w:rsidRDefault="006F379D" w:rsidP="006F379D">
      <w:pPr>
        <w:spacing w:after="120" w:line="276" w:lineRule="auto"/>
        <w:ind w:firstLine="709"/>
        <w:jc w:val="both"/>
        <w:rPr>
          <w:rFonts w:ascii="Verdana" w:eastAsia="Calibri" w:hAnsi="Verdana" w:cs="Arial"/>
          <w:color w:val="000000" w:themeColor="text1"/>
          <w:lang w:eastAsia="es-ES"/>
        </w:rPr>
      </w:pPr>
      <w:r w:rsidRPr="006F379D">
        <w:rPr>
          <w:rFonts w:ascii="Verdana" w:eastAsia="Calibri" w:hAnsi="Verdana" w:cs="Arial"/>
          <w:color w:val="000000" w:themeColor="text1"/>
          <w:lang w:eastAsia="es-ES"/>
        </w:rPr>
        <w:t xml:space="preserve">Al respecto, es pertinente reiterar que la sujeción al EGCAP que se deriva de la ejecución de proyectos de inversión financiados con recursos del SGR no supone una modificación general ni permanente del régimen jurídico contractual de los sujetos designados como ejecutores. En particular, cuando se trata de </w:t>
      </w:r>
      <w:r w:rsidRPr="006F379D">
        <w:rPr>
          <w:rFonts w:ascii="Verdana" w:eastAsia="Calibri" w:hAnsi="Verdana" w:cs="Arial"/>
          <w:color w:val="000000" w:themeColor="text1"/>
          <w:lang w:eastAsia="es-ES"/>
        </w:rPr>
        <w:lastRenderedPageBreak/>
        <w:t>entidades sometidas a regímenes especiales de contratación, dicha sujeción opera exclusivamente respecto de la contratación necesaria para la ejecución de los proyectos a los que se refiere la Ley 2056 de 2020, sin que implique la sustitución de los regímenes especiales que les sean propios para el desarrollo de las demás actividades comprendidas dentro de su objeto y funciones. De la misma manera, la aplicación del EGCAP para una actividad específica no modifica la naturaleza jurídica del ejecutor ni lo convierte, por ese solo hecho, en una entidad estatal sometida integralmente a la Ley 80 de 1993.</w:t>
      </w:r>
    </w:p>
    <w:p w14:paraId="22D0294E" w14:textId="77777777" w:rsidR="006F379D" w:rsidRPr="006F379D" w:rsidRDefault="006F379D" w:rsidP="006F379D">
      <w:pPr>
        <w:spacing w:after="120" w:line="276" w:lineRule="auto"/>
        <w:ind w:firstLine="708"/>
        <w:jc w:val="both"/>
        <w:rPr>
          <w:rFonts w:ascii="Verdana" w:eastAsia="Calibri" w:hAnsi="Verdana" w:cs="Arial"/>
          <w:color w:val="000000" w:themeColor="text1"/>
          <w:lang w:eastAsia="es-ES"/>
        </w:rPr>
      </w:pPr>
      <w:r w:rsidRPr="006F379D">
        <w:rPr>
          <w:rFonts w:ascii="Verdana" w:eastAsia="Calibri" w:hAnsi="Verdana" w:cs="Arial"/>
          <w:lang w:val="es-ES"/>
        </w:rPr>
        <w:t xml:space="preserve">En este orden de ideas, si bien en principio las entidades con régimen de contratación especial no están obligadas a aplicar los documentos tipo, la remisión efectuada por el parágrafo primero del artículo 37 de la Ley 2056 de 2020 al EGCAP, conlleva a que las </w:t>
      </w:r>
      <w:r w:rsidRPr="006F379D">
        <w:rPr>
          <w:rFonts w:ascii="Verdana" w:eastAsia="Calibri" w:hAnsi="Verdana" w:cs="Arial"/>
          <w:color w:val="000000" w:themeColor="text1"/>
          <w:lang w:eastAsia="es-ES"/>
        </w:rPr>
        <w:t xml:space="preserve">entidades designadas ejecutoras deban sujetarse a las reglas y principios establecidos en el Estatuto General de Contratación de la Administración Pública y sus disposiciones reglamentarias. En consecuencia, ello comprende la aplicación de los documentos tipo en la medida en que el parágrafo 7 del artículo 2 de la Ley 1150 de 2007, adicionado por la Ley 1882 de 2018 y modificado por la Ley 2022 de 2020, establece su carácter obligatorio para las entidades que se rigen por el EGCAP, como sucede para efectos de los recursos del SGR. </w:t>
      </w:r>
    </w:p>
    <w:p w14:paraId="26CD473D" w14:textId="77777777" w:rsidR="006F379D" w:rsidRPr="006F379D" w:rsidRDefault="006F379D" w:rsidP="006F379D">
      <w:pPr>
        <w:spacing w:after="120" w:line="276" w:lineRule="auto"/>
        <w:ind w:firstLine="708"/>
        <w:jc w:val="both"/>
        <w:rPr>
          <w:rFonts w:ascii="Verdana" w:eastAsia="Calibri" w:hAnsi="Verdana" w:cs="Arial"/>
          <w:color w:val="000000" w:themeColor="text1"/>
          <w:lang w:eastAsia="es-ES"/>
        </w:rPr>
      </w:pPr>
      <w:r w:rsidRPr="006F379D">
        <w:rPr>
          <w:rFonts w:ascii="Verdana" w:eastAsia="Calibri" w:hAnsi="Verdana" w:cs="Arial"/>
          <w:color w:val="000000" w:themeColor="text1"/>
          <w:lang w:eastAsia="es-ES"/>
        </w:rPr>
        <w:t xml:space="preserve">Lo expuesto ha sido también señalado en </w:t>
      </w:r>
      <w:r w:rsidRPr="006F379D">
        <w:rPr>
          <w:rFonts w:ascii="Verdana" w:hAnsi="Verdana"/>
        </w:rPr>
        <w:t xml:space="preserve">la Circular Conjunta No. 001 de 2026 expedida por la Procuraduría General de la Nación y la Contraloría General de la República, en la cual se indica que, entre otros aspectos, que “La Ley 2056 de 2020 y el Decreto 1821 de 2020 señalan que las entidades ejecutoras de proyectos financiados con recursos del Sistema General de Regalías. son responsables de garantizar su correcta ejecución, teniendo en cuenta que se trata de preservar la adecuada destinación de los recursos públicos” y que “El Estatuto General de Contratación de la Administración Pública, obliga a quienes deben someterse a su regulación, a adoptar el uso de los documentos tipo para la selección de contratistas en procesos de obras públicas e interventoría, interventoría para consultoría de estudios y diseños para obras públicas, consultoría en ingeniería para obras, en las modalidades de licitación pública, concursos de mérito, procesos de mínima cuantía y selección abreviada”. </w:t>
      </w:r>
    </w:p>
    <w:p w14:paraId="2C32C7F4" w14:textId="77777777" w:rsidR="006F379D" w:rsidRPr="006F379D" w:rsidRDefault="006F379D" w:rsidP="006F379D">
      <w:pPr>
        <w:spacing w:after="120" w:line="276" w:lineRule="auto"/>
        <w:ind w:firstLine="709"/>
        <w:jc w:val="both"/>
        <w:rPr>
          <w:rFonts w:ascii="Verdana" w:eastAsia="Calibri" w:hAnsi="Verdana" w:cs="Arial"/>
          <w:color w:val="000000" w:themeColor="text1"/>
          <w:lang w:eastAsia="es-ES"/>
        </w:rPr>
      </w:pPr>
      <w:r w:rsidRPr="006F379D">
        <w:rPr>
          <w:rFonts w:ascii="Verdana" w:eastAsia="Calibri" w:hAnsi="Verdana" w:cs="Arial"/>
          <w:color w:val="000000" w:themeColor="text1"/>
          <w:lang w:eastAsia="es-ES"/>
        </w:rPr>
        <w:t xml:space="preserve">En este sentido, cuando el objeto contractual a ejecutar en el marco de los proyectos financiados con recursos del SGR corresponda a alguno de los sectores respecto de los cuales se han emitido los Documentos Tipo estos </w:t>
      </w:r>
      <w:r w:rsidRPr="006F379D">
        <w:rPr>
          <w:rFonts w:ascii="Verdana" w:eastAsia="Calibri" w:hAnsi="Verdana" w:cs="Arial"/>
          <w:color w:val="000000" w:themeColor="text1"/>
          <w:lang w:eastAsia="es-ES"/>
        </w:rPr>
        <w:lastRenderedPageBreak/>
        <w:t xml:space="preserve">deberán aplicarse por la entidad ejecutora. </w:t>
      </w:r>
      <w:r w:rsidRPr="006F379D">
        <w:rPr>
          <w:rFonts w:ascii="Verdana" w:eastAsia="Calibri" w:hAnsi="Verdana" w:cs="Arial"/>
        </w:rPr>
        <w:t xml:space="preserve">Esta obligatoriedad implica, a su vez, que las Entidades Estatales tengan que adelantar los Procesos de Contratación bajo las condiciones establecidas en los Documentos Tipo que rijan para el objeto a contratar y el procedimiento de selección aplicables, sin que puedan variarse los requisitos fijados en ellos. Lo anterior, por cuanto estos documentos se caracterizan por ser inalterables, es decir, que las Entidades Públicas carecen de la facultad de modificarlos, con excepción de aquellos aspectos que pueden diligenciar, que son las descripciones que están incluidas entre corchetes y resaltadas en gris en cada uno de los Documentos Tipo. </w:t>
      </w:r>
      <w:r w:rsidRPr="006F379D">
        <w:rPr>
          <w:rFonts w:ascii="Verdana" w:eastAsia="Calibri" w:hAnsi="Verdana" w:cs="Arial"/>
          <w:lang w:val="es-ES"/>
        </w:rPr>
        <w:t xml:space="preserve">Sin embargo, si el objeto contractual no se relaciona con actividades u objetos contractuales descritos en los Documentos Tipo que han sido expedidos por Colombia Compra Eficiente, o estos no aplican a la modalidad de escogencia aplicable, no será obligatorio aplicar los Pliegos Tipo. </w:t>
      </w:r>
    </w:p>
    <w:p w14:paraId="332D987C" w14:textId="77777777" w:rsidR="006F379D" w:rsidRPr="006F379D" w:rsidRDefault="006F379D" w:rsidP="006F379D">
      <w:pPr>
        <w:spacing w:after="120" w:line="276" w:lineRule="auto"/>
        <w:ind w:firstLine="709"/>
        <w:jc w:val="both"/>
        <w:rPr>
          <w:rFonts w:ascii="Verdana" w:eastAsia="Calibri" w:hAnsi="Verdana" w:cs="Arial"/>
          <w:color w:val="000000" w:themeColor="text1"/>
          <w:lang w:eastAsia="es-ES"/>
        </w:rPr>
      </w:pPr>
      <w:r w:rsidRPr="006F379D">
        <w:rPr>
          <w:rFonts w:ascii="Verdana" w:eastAsia="Calibri" w:hAnsi="Verdana" w:cs="Arial"/>
          <w:color w:val="000000" w:themeColor="text1"/>
          <w:lang w:eastAsia="es-ES"/>
        </w:rPr>
        <w:t>En cuanto a si existe una excepción para las EICE y los Fondos Mixtos para la aplicación de los documentos tipo, vale aclarar que no existe excepción ni régimen especial para ninguna entidad estatal, toda vez que los documentos tipo son inalterables y su aplicación opera de manera uniforme cuando el objeto contractual se encuentra cubierto, sin que la naturaleza del ejecutor releve de su observancia ni habilite su modificación. De esta manera, una vez designados como ejecutores, las reglas especiales que rigen su contratación deben adecuarse con las disposiciones que regulan la ejecución de los recursos del SGR y, en particular, con aquellas que determinan la aplicación del EGCAP y los documentos tipo a la contratación requerida para materializar los proyectos de inversión.</w:t>
      </w:r>
    </w:p>
    <w:p w14:paraId="773F9367" w14:textId="77777777" w:rsidR="006F379D" w:rsidRPr="006F379D" w:rsidRDefault="006F379D" w:rsidP="006F379D">
      <w:pPr>
        <w:spacing w:after="120" w:line="276" w:lineRule="auto"/>
        <w:jc w:val="both"/>
        <w:rPr>
          <w:rFonts w:ascii="Verdana" w:eastAsia="Calibri" w:hAnsi="Verdana" w:cs="Arial"/>
          <w:color w:val="000000"/>
          <w:lang w:val="es-ES" w:eastAsia="es-ES"/>
        </w:rPr>
      </w:pPr>
      <w:proofErr w:type="spellStart"/>
      <w:r w:rsidRPr="006F379D">
        <w:rPr>
          <w:rFonts w:ascii="Verdana" w:hAnsi="Verdana" w:cs="Arial"/>
          <w:lang w:eastAsia="es-ES"/>
        </w:rPr>
        <w:t>iii</w:t>
      </w:r>
      <w:proofErr w:type="spellEnd"/>
      <w:r w:rsidRPr="006F379D">
        <w:rPr>
          <w:rFonts w:ascii="Verdana" w:hAnsi="Verdana" w:cs="Arial"/>
          <w:lang w:eastAsia="es-ES"/>
        </w:rPr>
        <w:t xml:space="preserve">. Al margen de la postura de la ANCP – CCE, </w:t>
      </w:r>
      <w:r w:rsidRPr="006F379D">
        <w:rPr>
          <w:rFonts w:ascii="Verdana" w:eastAsia="Calibri" w:hAnsi="Verdana" w:cs="Arial"/>
          <w:color w:val="000000"/>
          <w:lang w:val="es-ES" w:eastAsia="es-ES"/>
        </w:rPr>
        <w:t>es importante señalar que los conceptos emitidos por las entidades estatales en virtud del artículo 28 de la Ley 1437 de 2011</w:t>
      </w:r>
      <w:r w:rsidRPr="006F379D">
        <w:rPr>
          <w:rFonts w:ascii="Verdana" w:eastAsia="Calibri" w:hAnsi="Verdana" w:cs="Arial"/>
          <w:bCs/>
          <w:lang w:val="es-ES_tradnl"/>
        </w:rPr>
        <w:t xml:space="preserve">, sustituido por el artículo 1 de la Ley 1755, </w:t>
      </w:r>
      <w:bookmarkStart w:id="8" w:name="_Hlk200718672"/>
      <w:r w:rsidRPr="006F379D">
        <w:rPr>
          <w:rFonts w:ascii="Verdana" w:eastAsia="Calibri" w:hAnsi="Verdana" w:cs="Arial"/>
          <w:color w:val="000000"/>
          <w:lang w:val="es-ES" w:eastAsia="es-ES"/>
        </w:rPr>
        <w:t>representan</w:t>
      </w:r>
      <w:r w:rsidRPr="006F379D">
        <w:rPr>
          <w:rFonts w:ascii="Verdana" w:hAnsi="Verdana" w:cs="Arial"/>
          <w:lang w:eastAsia="es-ES"/>
        </w:rPr>
        <w:t xml:space="preserve"> una </w:t>
      </w:r>
      <w:r w:rsidRPr="006F379D">
        <w:rPr>
          <w:rFonts w:ascii="Verdana" w:eastAsia="Calibri" w:hAnsi="Verdana" w:cs="Arial"/>
          <w:bCs/>
          <w:lang w:val="es-ES_tradnl"/>
        </w:rPr>
        <w:t>posición hermenéutica</w:t>
      </w:r>
      <w:r w:rsidRPr="006F379D">
        <w:rPr>
          <w:rFonts w:ascii="Verdana" w:hAnsi="Verdana" w:cs="Arial"/>
          <w:lang w:eastAsia="es-ES"/>
        </w:rPr>
        <w:t xml:space="preserve"> </w:t>
      </w:r>
      <w:bookmarkStart w:id="9" w:name="_Hlk42100007"/>
      <w:r w:rsidRPr="006F379D">
        <w:rPr>
          <w:rFonts w:ascii="Verdana" w:hAnsi="Verdana" w:cs="Arial"/>
          <w:lang w:eastAsia="es-ES"/>
        </w:rPr>
        <w:t xml:space="preserve">que </w:t>
      </w:r>
      <w:r w:rsidRPr="006F379D">
        <w:rPr>
          <w:rFonts w:ascii="Verdana" w:eastAsia="Calibri" w:hAnsi="Verdana" w:cs="Arial"/>
          <w:bCs/>
          <w:lang w:val="es-ES_tradnl"/>
        </w:rPr>
        <w:t xml:space="preserve">no tienen efectos vinculantes </w:t>
      </w:r>
      <w:bookmarkEnd w:id="8"/>
      <w:r w:rsidRPr="006F379D">
        <w:rPr>
          <w:rFonts w:ascii="Verdana" w:eastAsia="Calibri" w:hAnsi="Verdana" w:cs="Arial"/>
          <w:bCs/>
          <w:lang w:val="es-ES_tradnl"/>
        </w:rPr>
        <w:t>en relación con una situación jurídica particular y concreta, y exponen un criterio que, aunque jurídicamente fundamentado, no representan la única interpretación posible del ordenamiento jurídico.</w:t>
      </w:r>
      <w:bookmarkEnd w:id="9"/>
      <w:r w:rsidRPr="006F379D">
        <w:rPr>
          <w:rFonts w:ascii="Verdana" w:eastAsiaTheme="minorEastAsia" w:hAnsi="Verdana" w:cs="Arial"/>
          <w:szCs w:val="24"/>
          <w:lang w:eastAsia="es-CO"/>
        </w:rPr>
        <w:t xml:space="preserve"> De este modo, las autoridades que ejercen funciones consultivas pueden expresar su</w:t>
      </w:r>
      <w:r w:rsidRPr="006F379D">
        <w:rPr>
          <w:rFonts w:ascii="Verdana" w:eastAsiaTheme="minorEastAsia" w:hAnsi="Verdana" w:cs="Arial"/>
          <w:spacing w:val="1"/>
          <w:szCs w:val="24"/>
          <w:lang w:eastAsia="es-CO"/>
        </w:rPr>
        <w:t xml:space="preserve"> </w:t>
      </w:r>
      <w:r w:rsidRPr="006F379D">
        <w:rPr>
          <w:rFonts w:ascii="Verdana" w:eastAsiaTheme="minorEastAsia" w:hAnsi="Verdana" w:cs="Arial"/>
          <w:szCs w:val="24"/>
          <w:lang w:eastAsia="es-CO"/>
        </w:rPr>
        <w:t>interpretación de un precepto normativo, que no excluye otras interpretaciones posibles, pues el derecho, como sistema normativo, es un lenguaje que, en ocasiones, se tiñe de vaguedad, en</w:t>
      </w:r>
      <w:r w:rsidRPr="006F379D">
        <w:rPr>
          <w:rFonts w:ascii="Verdana" w:eastAsiaTheme="minorEastAsia" w:hAnsi="Verdana" w:cs="Arial"/>
          <w:spacing w:val="1"/>
          <w:szCs w:val="24"/>
          <w:lang w:eastAsia="es-CO"/>
        </w:rPr>
        <w:t xml:space="preserve"> </w:t>
      </w:r>
      <w:r w:rsidRPr="006F379D">
        <w:rPr>
          <w:rFonts w:ascii="Verdana" w:eastAsiaTheme="minorEastAsia" w:hAnsi="Verdana" w:cs="Arial"/>
          <w:szCs w:val="24"/>
          <w:lang w:eastAsia="es-CO"/>
        </w:rPr>
        <w:t>virtud</w:t>
      </w:r>
      <w:r w:rsidRPr="006F379D">
        <w:rPr>
          <w:rFonts w:ascii="Verdana" w:eastAsiaTheme="minorEastAsia" w:hAnsi="Verdana" w:cs="Arial"/>
          <w:spacing w:val="-10"/>
          <w:szCs w:val="24"/>
          <w:lang w:eastAsia="es-CO"/>
        </w:rPr>
        <w:t xml:space="preserve"> </w:t>
      </w:r>
      <w:r w:rsidRPr="006F379D">
        <w:rPr>
          <w:rFonts w:ascii="Verdana" w:eastAsiaTheme="minorEastAsia" w:hAnsi="Verdana" w:cs="Arial"/>
          <w:szCs w:val="24"/>
          <w:lang w:eastAsia="es-CO"/>
        </w:rPr>
        <w:t>de</w:t>
      </w:r>
      <w:r w:rsidRPr="006F379D">
        <w:rPr>
          <w:rFonts w:ascii="Verdana" w:eastAsiaTheme="minorEastAsia" w:hAnsi="Verdana" w:cs="Arial"/>
          <w:spacing w:val="-9"/>
          <w:szCs w:val="24"/>
          <w:lang w:eastAsia="es-CO"/>
        </w:rPr>
        <w:t xml:space="preserve"> </w:t>
      </w:r>
      <w:r w:rsidRPr="006F379D">
        <w:rPr>
          <w:rFonts w:ascii="Verdana" w:eastAsiaTheme="minorEastAsia" w:hAnsi="Verdana" w:cs="Arial"/>
          <w:szCs w:val="24"/>
          <w:lang w:eastAsia="es-CO"/>
        </w:rPr>
        <w:t>la</w:t>
      </w:r>
      <w:r w:rsidRPr="006F379D">
        <w:rPr>
          <w:rFonts w:ascii="Verdana" w:eastAsiaTheme="minorEastAsia" w:hAnsi="Verdana" w:cs="Arial"/>
          <w:spacing w:val="-9"/>
          <w:szCs w:val="24"/>
          <w:lang w:eastAsia="es-CO"/>
        </w:rPr>
        <w:t xml:space="preserve"> </w:t>
      </w:r>
      <w:r w:rsidRPr="006F379D">
        <w:rPr>
          <w:rFonts w:ascii="Verdana" w:eastAsiaTheme="minorEastAsia" w:hAnsi="Verdana" w:cs="Arial"/>
          <w:szCs w:val="24"/>
          <w:lang w:eastAsia="es-CO"/>
        </w:rPr>
        <w:t>utilización</w:t>
      </w:r>
      <w:r w:rsidRPr="006F379D">
        <w:rPr>
          <w:rFonts w:ascii="Verdana" w:eastAsiaTheme="minorEastAsia" w:hAnsi="Verdana" w:cs="Arial"/>
          <w:spacing w:val="-9"/>
          <w:szCs w:val="24"/>
          <w:lang w:eastAsia="es-CO"/>
        </w:rPr>
        <w:t xml:space="preserve"> </w:t>
      </w:r>
      <w:r w:rsidRPr="006F379D">
        <w:rPr>
          <w:rFonts w:ascii="Verdana" w:eastAsiaTheme="minorEastAsia" w:hAnsi="Verdana" w:cs="Arial"/>
          <w:szCs w:val="24"/>
          <w:lang w:eastAsia="es-CO"/>
        </w:rPr>
        <w:t>de</w:t>
      </w:r>
      <w:r w:rsidRPr="006F379D">
        <w:rPr>
          <w:rFonts w:ascii="Verdana" w:eastAsiaTheme="minorEastAsia" w:hAnsi="Verdana" w:cs="Arial"/>
          <w:spacing w:val="-9"/>
          <w:szCs w:val="24"/>
          <w:lang w:eastAsia="es-CO"/>
        </w:rPr>
        <w:t xml:space="preserve"> </w:t>
      </w:r>
      <w:r w:rsidRPr="006F379D">
        <w:rPr>
          <w:rFonts w:ascii="Verdana" w:eastAsiaTheme="minorEastAsia" w:hAnsi="Verdana" w:cs="Arial"/>
          <w:szCs w:val="24"/>
          <w:lang w:eastAsia="es-CO"/>
        </w:rPr>
        <w:t>conceptos</w:t>
      </w:r>
      <w:r w:rsidRPr="006F379D">
        <w:rPr>
          <w:rFonts w:ascii="Verdana" w:eastAsiaTheme="minorEastAsia" w:hAnsi="Verdana" w:cs="Arial"/>
          <w:spacing w:val="-10"/>
          <w:szCs w:val="24"/>
          <w:lang w:eastAsia="es-CO"/>
        </w:rPr>
        <w:t xml:space="preserve"> </w:t>
      </w:r>
      <w:r w:rsidRPr="006F379D">
        <w:rPr>
          <w:rFonts w:ascii="Verdana" w:eastAsiaTheme="minorEastAsia" w:hAnsi="Verdana" w:cs="Arial"/>
          <w:szCs w:val="24"/>
          <w:lang w:eastAsia="es-CO"/>
        </w:rPr>
        <w:t>jurídicos</w:t>
      </w:r>
      <w:r w:rsidRPr="006F379D">
        <w:rPr>
          <w:rFonts w:ascii="Verdana" w:eastAsiaTheme="minorEastAsia" w:hAnsi="Verdana" w:cs="Arial"/>
          <w:spacing w:val="-9"/>
          <w:szCs w:val="24"/>
          <w:lang w:eastAsia="es-CO"/>
        </w:rPr>
        <w:t xml:space="preserve"> </w:t>
      </w:r>
      <w:r w:rsidRPr="006F379D">
        <w:rPr>
          <w:rFonts w:ascii="Verdana" w:eastAsiaTheme="minorEastAsia" w:hAnsi="Verdana" w:cs="Arial"/>
          <w:szCs w:val="24"/>
          <w:lang w:eastAsia="es-CO"/>
        </w:rPr>
        <w:t>indeterminados.</w:t>
      </w:r>
      <w:r w:rsidRPr="006F379D">
        <w:rPr>
          <w:rFonts w:ascii="Verdana" w:eastAsiaTheme="minorEastAsia" w:hAnsi="Verdana" w:cs="Arial"/>
          <w:spacing w:val="-9"/>
          <w:szCs w:val="24"/>
          <w:lang w:eastAsia="es-CO"/>
        </w:rPr>
        <w:t xml:space="preserve"> </w:t>
      </w:r>
    </w:p>
    <w:p w14:paraId="5D06C5C3" w14:textId="77777777" w:rsidR="006F379D" w:rsidRPr="006F379D" w:rsidRDefault="006F379D" w:rsidP="006F379D">
      <w:pPr>
        <w:tabs>
          <w:tab w:val="left" w:pos="426"/>
        </w:tabs>
        <w:spacing w:line="276" w:lineRule="auto"/>
        <w:ind w:firstLine="709"/>
        <w:jc w:val="both"/>
        <w:rPr>
          <w:rFonts w:ascii="Verdana" w:eastAsia="Calibri" w:hAnsi="Verdana" w:cs="Arial"/>
          <w:color w:val="000000"/>
          <w:lang w:val="es-ES" w:eastAsia="es-ES"/>
        </w:rPr>
      </w:pPr>
      <w:r w:rsidRPr="006F379D">
        <w:rPr>
          <w:rFonts w:ascii="Verdana" w:eastAsia="Calibri" w:hAnsi="Verdana" w:cs="Arial"/>
          <w:bCs/>
          <w:lang w:val="es-ES_tradnl"/>
        </w:rPr>
        <w:lastRenderedPageBreak/>
        <w:t>En términos generales, lo que se busca es que la opinión jurídica de la entidad sirva a los ciudadanos y a la administración pública para el ejercicio de sus derechos y la defensa de sus intereses, y como criterio de orientación para el cumplimiento de sus competencias legales, sin que tome partida por uno u otro, pues a la autoridad que emite el concepto no le compete resolver una controversia o prevenir una problemática, esto es, no le corresponde determinar quién tienen la razón en su interpretación normativa.</w:t>
      </w:r>
    </w:p>
    <w:p w14:paraId="67DDA0AE" w14:textId="77777777" w:rsidR="006F379D" w:rsidRPr="006F379D" w:rsidRDefault="006F379D" w:rsidP="006F379D">
      <w:pPr>
        <w:spacing w:after="120" w:line="276" w:lineRule="auto"/>
        <w:ind w:firstLine="709"/>
        <w:jc w:val="both"/>
        <w:rPr>
          <w:rFonts w:ascii="Verdana" w:hAnsi="Verdana" w:cs="Arial"/>
          <w:lang w:eastAsia="es-ES"/>
        </w:rPr>
      </w:pPr>
      <w:r w:rsidRPr="006F379D">
        <w:rPr>
          <w:rFonts w:ascii="Verdana" w:eastAsia="Calibri" w:hAnsi="Verdana" w:cs="Arial"/>
          <w:color w:val="000000"/>
          <w:lang w:val="es-ES" w:eastAsia="es-ES"/>
        </w:rPr>
        <w:t>En consecuencia, esta Subdirección en el marco de la función consultiva</w:t>
      </w:r>
      <w:r w:rsidRPr="006F379D">
        <w:rPr>
          <w:rFonts w:ascii="Verdana" w:eastAsia="Calibri" w:hAnsi="Verdana" w:cs="Arial"/>
          <w:color w:val="000000" w:themeColor="text1"/>
          <w:lang w:val="es-ES"/>
        </w:rPr>
        <w:t xml:space="preserve"> emite conceptos que no constituyen lineamientos de obligatorio cumplimiento, sino orientaciones jurídicas que buscan apoyar a las entidades en el entendimiento e interpretación del régimen normativo aplicable,</w:t>
      </w:r>
      <w:r w:rsidRPr="006F379D">
        <w:rPr>
          <w:rFonts w:ascii="Verdana" w:eastAsiaTheme="minorEastAsia" w:hAnsi="Verdana" w:cs="Arial"/>
          <w:szCs w:val="24"/>
          <w:lang w:eastAsia="es-CO"/>
        </w:rPr>
        <w:t xml:space="preserve"> sin</w:t>
      </w:r>
      <w:r w:rsidRPr="006F379D">
        <w:rPr>
          <w:rFonts w:ascii="Verdana" w:eastAsiaTheme="minorEastAsia" w:hAnsi="Verdana" w:cs="Arial"/>
          <w:spacing w:val="1"/>
          <w:szCs w:val="24"/>
          <w:lang w:eastAsia="es-CO"/>
        </w:rPr>
        <w:t xml:space="preserve"> </w:t>
      </w:r>
      <w:r w:rsidRPr="006F379D">
        <w:rPr>
          <w:rFonts w:ascii="Verdana" w:eastAsiaTheme="minorEastAsia" w:hAnsi="Verdana" w:cs="Arial"/>
          <w:szCs w:val="24"/>
          <w:lang w:eastAsia="es-CO"/>
        </w:rPr>
        <w:t>que ello suponga resolver un problema entre partes o asumir la única posible interpretación de</w:t>
      </w:r>
      <w:r w:rsidRPr="006F379D">
        <w:rPr>
          <w:rFonts w:ascii="Verdana" w:eastAsiaTheme="minorEastAsia" w:hAnsi="Verdana" w:cs="Arial"/>
          <w:spacing w:val="1"/>
          <w:szCs w:val="24"/>
          <w:lang w:eastAsia="es-CO"/>
        </w:rPr>
        <w:t xml:space="preserve"> </w:t>
      </w:r>
      <w:r w:rsidRPr="006F379D">
        <w:rPr>
          <w:rFonts w:ascii="Verdana" w:eastAsiaTheme="minorEastAsia" w:hAnsi="Verdana" w:cs="Arial"/>
          <w:szCs w:val="24"/>
          <w:lang w:eastAsia="es-CO"/>
        </w:rPr>
        <w:t xml:space="preserve">una disposición normativa. </w:t>
      </w:r>
      <w:r w:rsidRPr="006F379D">
        <w:rPr>
          <w:rFonts w:ascii="Verdana" w:eastAsia="Calibri" w:hAnsi="Verdana" w:cs="Arial"/>
          <w:bCs/>
          <w:lang w:val="es-ES_tradnl"/>
        </w:rPr>
        <w:t xml:space="preserve">En tal sentido, cada </w:t>
      </w:r>
      <w:r w:rsidRPr="006F379D">
        <w:rPr>
          <w:rFonts w:ascii="Verdana" w:hAnsi="Verdana" w:cs="Arial"/>
          <w:lang w:eastAsia="es-ES"/>
        </w:rPr>
        <w:t>entidad definirá la forma de adelantar su gestión contractual, sin que sea atribución de Colombia Compra Eficiente validar sus actuaciones.</w:t>
      </w:r>
    </w:p>
    <w:p w14:paraId="3C6A210E" w14:textId="77777777" w:rsidR="006F379D" w:rsidRPr="006F379D" w:rsidRDefault="006F379D" w:rsidP="006F379D">
      <w:pPr>
        <w:widowControl w:val="0"/>
        <w:autoSpaceDE w:val="0"/>
        <w:autoSpaceDN w:val="0"/>
        <w:spacing w:after="120" w:line="276" w:lineRule="auto"/>
        <w:ind w:right="176" w:firstLine="708"/>
        <w:jc w:val="both"/>
        <w:rPr>
          <w:rFonts w:ascii="Verdana" w:hAnsi="Verdana"/>
        </w:rPr>
      </w:pPr>
      <w:r w:rsidRPr="006F379D">
        <w:rPr>
          <w:rFonts w:ascii="Verdana" w:hAnsi="Verdana"/>
        </w:rPr>
        <w:t xml:space="preserve">Dentro de este marco, corresponde a cada entidad pública, en ejercicio de su competencia y previa valoración de los elementos fácticos y jurídicos, así como de las disposiciones legales mencionadas, determinar su gestión contractual.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 </w:t>
      </w:r>
    </w:p>
    <w:p w14:paraId="4E82FADD" w14:textId="77777777" w:rsidR="006F379D" w:rsidRPr="006F379D" w:rsidRDefault="006F379D" w:rsidP="006F379D">
      <w:pPr>
        <w:widowControl w:val="0"/>
        <w:autoSpaceDE w:val="0"/>
        <w:autoSpaceDN w:val="0"/>
        <w:spacing w:after="0" w:line="276" w:lineRule="auto"/>
        <w:jc w:val="both"/>
        <w:rPr>
          <w:rFonts w:ascii="Verdana" w:eastAsia="Arial" w:hAnsi="Verdana" w:cs="Arial"/>
          <w:lang w:val="es-ES"/>
        </w:rPr>
      </w:pPr>
    </w:p>
    <w:p w14:paraId="11DED5E4" w14:textId="77777777" w:rsidR="006F379D" w:rsidRPr="006F379D" w:rsidRDefault="006F379D" w:rsidP="006F379D">
      <w:pPr>
        <w:numPr>
          <w:ilvl w:val="0"/>
          <w:numId w:val="1"/>
        </w:numPr>
        <w:tabs>
          <w:tab w:val="left" w:pos="142"/>
          <w:tab w:val="left" w:pos="284"/>
        </w:tabs>
        <w:spacing w:after="0" w:line="276" w:lineRule="auto"/>
        <w:jc w:val="both"/>
        <w:rPr>
          <w:rFonts w:ascii="Verdana" w:eastAsia="Century Gothic" w:hAnsi="Verdana" w:cs="Century Gothic"/>
          <w:b/>
          <w:bCs/>
        </w:rPr>
      </w:pPr>
      <w:r w:rsidRPr="006F379D">
        <w:rPr>
          <w:rFonts w:ascii="Verdana" w:eastAsia="Century Gothic" w:hAnsi="Verdana" w:cs="Century Gothic"/>
          <w:b/>
          <w:bCs/>
        </w:rPr>
        <w:t>Referencias normativas y jurisprudenciales:</w:t>
      </w:r>
    </w:p>
    <w:p w14:paraId="2CC04AFF" w14:textId="77777777" w:rsidR="006F379D" w:rsidRPr="006F379D" w:rsidRDefault="006F379D" w:rsidP="006F379D">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6F379D" w:rsidRPr="006F379D" w14:paraId="3BD190A0" w14:textId="77777777" w:rsidTr="00AE647B">
        <w:trPr>
          <w:trHeight w:val="410"/>
          <w:jc w:val="center"/>
        </w:trPr>
        <w:tc>
          <w:tcPr>
            <w:tcW w:w="8647" w:type="dxa"/>
          </w:tcPr>
          <w:p w14:paraId="6809D0D5" w14:textId="77777777" w:rsidR="006F379D" w:rsidRPr="006F379D" w:rsidRDefault="006F379D" w:rsidP="006F379D">
            <w:pPr>
              <w:widowControl w:val="0"/>
              <w:numPr>
                <w:ilvl w:val="0"/>
                <w:numId w:val="3"/>
              </w:numPr>
              <w:autoSpaceDE w:val="0"/>
              <w:autoSpaceDN w:val="0"/>
              <w:spacing w:after="120" w:line="276" w:lineRule="auto"/>
              <w:ind w:left="317" w:hanging="357"/>
              <w:contextualSpacing/>
              <w:jc w:val="both"/>
              <w:rPr>
                <w:rFonts w:ascii="Verdana" w:hAnsi="Verdana" w:cs="Arial"/>
                <w:lang w:val="es-ES"/>
              </w:rPr>
            </w:pPr>
            <w:r w:rsidRPr="006F379D">
              <w:rPr>
                <w:rFonts w:ascii="Verdana" w:hAnsi="Verdana" w:cs="Arial"/>
                <w:lang w:val="es-ES"/>
              </w:rPr>
              <w:t xml:space="preserve">Constitución Política de 1991, artículos 360 y 361. </w:t>
            </w:r>
          </w:p>
          <w:p w14:paraId="5B9D5E0F" w14:textId="77777777" w:rsidR="006F379D" w:rsidRPr="006F379D" w:rsidRDefault="006F379D" w:rsidP="006F379D">
            <w:pPr>
              <w:widowControl w:val="0"/>
              <w:numPr>
                <w:ilvl w:val="0"/>
                <w:numId w:val="3"/>
              </w:numPr>
              <w:autoSpaceDE w:val="0"/>
              <w:autoSpaceDN w:val="0"/>
              <w:spacing w:after="120" w:line="276" w:lineRule="auto"/>
              <w:ind w:left="317" w:hanging="357"/>
              <w:contextualSpacing/>
              <w:jc w:val="both"/>
              <w:rPr>
                <w:rFonts w:ascii="Verdana" w:hAnsi="Verdana" w:cs="Arial"/>
                <w:lang w:val="es-ES"/>
              </w:rPr>
            </w:pPr>
            <w:r w:rsidRPr="006F379D">
              <w:rPr>
                <w:rFonts w:ascii="Verdana" w:hAnsi="Verdana" w:cs="Arial"/>
                <w:lang w:val="es-ES"/>
              </w:rPr>
              <w:t>Ley 80 de 1993, artículos 40 y 41</w:t>
            </w:r>
          </w:p>
          <w:p w14:paraId="3F2E47C1" w14:textId="77777777" w:rsidR="006F379D" w:rsidRPr="006F379D" w:rsidRDefault="006F379D" w:rsidP="006F379D">
            <w:pPr>
              <w:widowControl w:val="0"/>
              <w:numPr>
                <w:ilvl w:val="0"/>
                <w:numId w:val="3"/>
              </w:numPr>
              <w:autoSpaceDE w:val="0"/>
              <w:autoSpaceDN w:val="0"/>
              <w:spacing w:after="120" w:line="276" w:lineRule="auto"/>
              <w:ind w:left="317" w:hanging="357"/>
              <w:contextualSpacing/>
              <w:jc w:val="both"/>
              <w:rPr>
                <w:rFonts w:ascii="Verdana" w:hAnsi="Verdana" w:cs="Arial"/>
                <w:lang w:val="es-ES"/>
              </w:rPr>
            </w:pPr>
            <w:r w:rsidRPr="006F379D">
              <w:rPr>
                <w:rFonts w:ascii="Verdana" w:hAnsi="Verdana" w:cs="Arial"/>
                <w:lang w:val="es-ES"/>
              </w:rPr>
              <w:t>Ley 1474 de 2011, artículo 93</w:t>
            </w:r>
          </w:p>
          <w:p w14:paraId="6D839CF0" w14:textId="77777777" w:rsidR="006F379D" w:rsidRPr="006F379D" w:rsidRDefault="006F379D" w:rsidP="006F379D">
            <w:pPr>
              <w:widowControl w:val="0"/>
              <w:numPr>
                <w:ilvl w:val="0"/>
                <w:numId w:val="3"/>
              </w:numPr>
              <w:autoSpaceDE w:val="0"/>
              <w:autoSpaceDN w:val="0"/>
              <w:spacing w:line="276" w:lineRule="auto"/>
              <w:ind w:left="318" w:hanging="284"/>
              <w:contextualSpacing/>
              <w:jc w:val="both"/>
              <w:rPr>
                <w:rFonts w:ascii="Verdana" w:eastAsia="Aptos" w:hAnsi="Verdana" w:cs="Arial"/>
              </w:rPr>
            </w:pPr>
            <w:r w:rsidRPr="006F379D">
              <w:rPr>
                <w:rFonts w:ascii="Verdana" w:hAnsi="Verdana" w:cs="Arial"/>
              </w:rPr>
              <w:t>Ley 2056 de 2020, artículos 28 a 37, 83, 87, 98, 99, 101, 108 y 109</w:t>
            </w:r>
          </w:p>
          <w:p w14:paraId="6D289D9E" w14:textId="77777777" w:rsidR="006F379D" w:rsidRPr="006F379D" w:rsidRDefault="006F379D" w:rsidP="006F379D">
            <w:pPr>
              <w:widowControl w:val="0"/>
              <w:numPr>
                <w:ilvl w:val="0"/>
                <w:numId w:val="3"/>
              </w:numPr>
              <w:autoSpaceDE w:val="0"/>
              <w:autoSpaceDN w:val="0"/>
              <w:spacing w:line="276" w:lineRule="auto"/>
              <w:ind w:left="318" w:hanging="284"/>
              <w:contextualSpacing/>
              <w:jc w:val="both"/>
              <w:rPr>
                <w:rFonts w:ascii="Verdana" w:eastAsia="Aptos" w:hAnsi="Verdana" w:cs="Arial"/>
              </w:rPr>
            </w:pPr>
            <w:r w:rsidRPr="006F379D">
              <w:rPr>
                <w:rFonts w:ascii="Verdana" w:eastAsia="Aptos" w:hAnsi="Verdana" w:cs="Arial"/>
              </w:rPr>
              <w:t>Consejo De Estado. Sección tercera. Sentencia del 7 de marzo de 2025. Radicación No.69.941. C.P: José Roberto Sáchica.</w:t>
            </w:r>
          </w:p>
          <w:p w14:paraId="4A33AF1C" w14:textId="77777777" w:rsidR="006F379D" w:rsidRPr="006F379D" w:rsidRDefault="006F379D" w:rsidP="006F379D">
            <w:pPr>
              <w:widowControl w:val="0"/>
              <w:numPr>
                <w:ilvl w:val="0"/>
                <w:numId w:val="3"/>
              </w:numPr>
              <w:autoSpaceDE w:val="0"/>
              <w:autoSpaceDN w:val="0"/>
              <w:spacing w:line="276" w:lineRule="auto"/>
              <w:ind w:left="318" w:hanging="284"/>
              <w:contextualSpacing/>
              <w:jc w:val="both"/>
              <w:rPr>
                <w:rFonts w:ascii="Verdana" w:eastAsia="Aptos" w:hAnsi="Verdana" w:cs="Arial"/>
              </w:rPr>
            </w:pPr>
            <w:r w:rsidRPr="006F379D">
              <w:rPr>
                <w:rFonts w:ascii="Verdana" w:eastAsia="Calibri" w:hAnsi="Verdana" w:cs="Arial"/>
                <w:color w:val="000000" w:themeColor="text1"/>
                <w:lang w:eastAsia="es-ES"/>
              </w:rPr>
              <w:t xml:space="preserve">Consejo de Estado. Sala de Consulta y Servicio Civil. Concepto 2563 del </w:t>
            </w:r>
            <w:r w:rsidRPr="006F379D">
              <w:rPr>
                <w:rFonts w:ascii="Verdana" w:eastAsia="Calibri" w:hAnsi="Verdana" w:cs="Arial"/>
                <w:color w:val="000000" w:themeColor="text1"/>
                <w:lang w:eastAsia="es-ES"/>
              </w:rPr>
              <w:lastRenderedPageBreak/>
              <w:t>25 de junio de 2026. C.P: María del Pilar Bahamón Falla</w:t>
            </w:r>
          </w:p>
        </w:tc>
      </w:tr>
    </w:tbl>
    <w:p w14:paraId="71A62097" w14:textId="77777777" w:rsidR="006F379D" w:rsidRPr="006F379D" w:rsidRDefault="006F379D" w:rsidP="006F379D">
      <w:pPr>
        <w:widowControl w:val="0"/>
        <w:autoSpaceDE w:val="0"/>
        <w:autoSpaceDN w:val="0"/>
        <w:spacing w:after="0" w:line="276" w:lineRule="auto"/>
        <w:jc w:val="both"/>
        <w:rPr>
          <w:rFonts w:ascii="Verdana" w:hAnsi="Verdana" w:cs="Arial"/>
        </w:rPr>
      </w:pPr>
    </w:p>
    <w:p w14:paraId="0D3D323A" w14:textId="77777777" w:rsidR="006F379D" w:rsidRPr="006F379D" w:rsidRDefault="006F379D" w:rsidP="006F379D">
      <w:pPr>
        <w:numPr>
          <w:ilvl w:val="0"/>
          <w:numId w:val="1"/>
        </w:numPr>
        <w:tabs>
          <w:tab w:val="left" w:pos="142"/>
          <w:tab w:val="left" w:pos="284"/>
        </w:tabs>
        <w:spacing w:after="0" w:line="276" w:lineRule="auto"/>
        <w:jc w:val="both"/>
        <w:rPr>
          <w:rFonts w:ascii="Verdana" w:eastAsia="Century Gothic" w:hAnsi="Verdana" w:cs="Century Gothic"/>
          <w:b/>
          <w:bCs/>
        </w:rPr>
      </w:pPr>
      <w:r w:rsidRPr="006F379D">
        <w:rPr>
          <w:rFonts w:ascii="Verdana" w:eastAsia="Century Gothic" w:hAnsi="Verdana" w:cs="Century Gothic"/>
          <w:b/>
          <w:bCs/>
        </w:rPr>
        <w:t>Doctrina de la Agencia Nacional de Contratación Pública:</w:t>
      </w:r>
    </w:p>
    <w:p w14:paraId="7FBC87CD" w14:textId="77777777" w:rsidR="006F379D" w:rsidRPr="006F379D" w:rsidRDefault="006F379D" w:rsidP="006F379D">
      <w:pPr>
        <w:widowControl w:val="0"/>
        <w:autoSpaceDE w:val="0"/>
        <w:autoSpaceDN w:val="0"/>
        <w:spacing w:after="0" w:line="276" w:lineRule="auto"/>
        <w:jc w:val="both"/>
        <w:rPr>
          <w:rFonts w:ascii="Verdana" w:hAnsi="Verdana" w:cs="Arial"/>
        </w:rPr>
      </w:pPr>
    </w:p>
    <w:p w14:paraId="7EB2AE2B" w14:textId="77777777" w:rsidR="006F379D" w:rsidRPr="006F379D" w:rsidRDefault="006F379D" w:rsidP="006F379D">
      <w:pPr>
        <w:widowControl w:val="0"/>
        <w:autoSpaceDE w:val="0"/>
        <w:autoSpaceDN w:val="0"/>
        <w:spacing w:after="120" w:line="276" w:lineRule="auto"/>
        <w:jc w:val="both"/>
        <w:rPr>
          <w:rFonts w:ascii="Verdana" w:hAnsi="Verdana"/>
          <w:shd w:val="clear" w:color="auto" w:fill="FFFFFF"/>
        </w:rPr>
      </w:pPr>
      <w:r w:rsidRPr="006F379D">
        <w:rPr>
          <w:rFonts w:ascii="Verdana" w:hAnsi="Verdana" w:cs="Arial"/>
          <w:shd w:val="clear" w:color="auto" w:fill="FFFFFF"/>
        </w:rPr>
        <w:t xml:space="preserve">Esta Subdirección se ha pronunciado sobre el régimen de contratación de las entidades ejecutoras cuando ejecutan recursos del SGR en los conceptos </w:t>
      </w:r>
      <w:r w:rsidRPr="006F379D">
        <w:rPr>
          <w:rFonts w:ascii="Verdana" w:hAnsi="Verdana"/>
        </w:rPr>
        <w:t>C-370 del 2021,</w:t>
      </w:r>
      <w:r w:rsidRPr="006F379D">
        <w:rPr>
          <w:rFonts w:ascii="Verdana" w:hAnsi="Verdana"/>
          <w:shd w:val="clear" w:color="auto" w:fill="FFFFFF"/>
        </w:rPr>
        <w:t xml:space="preserve"> C-353 del 2 de junio de 2022, C-918 del 9 de diciembre de 2024, C-504 del 1 de octubre 2024, C-951 del 16 de diciembre de 2024, C-285 del 14 de abril de 2025, C-348 del 25 de abril de 2025, C-370 del 2 de mayo de 2025, C-680 del 8 de julio de 2025, C-914 del 15 de agosto de 2025, C-1065 del 8 de septiembre de 2025, C-225 del 27 de febrero de 2026, C-417 del 2026,</w:t>
      </w:r>
      <w:r w:rsidRPr="006F379D">
        <w:rPr>
          <w:rFonts w:ascii="Verdana" w:hAnsi="Verdana" w:cs="Arial"/>
        </w:rPr>
        <w:t xml:space="preserve"> C-764 del 29 de mayo de 2026</w:t>
      </w:r>
      <w:r w:rsidRPr="006F379D">
        <w:rPr>
          <w:rFonts w:ascii="Verdana" w:hAnsi="Verdana"/>
          <w:shd w:val="clear" w:color="auto" w:fill="FFFFFF"/>
        </w:rPr>
        <w:t>, C-1050 del 21 de julio de 2026, C-1151 y C-1152 del 12 de agosto de 2026</w:t>
      </w:r>
      <w:r w:rsidRPr="006F379D">
        <w:rPr>
          <w:rFonts w:ascii="Verdana" w:hAnsi="Verdana" w:cs="Arial"/>
        </w:rPr>
        <w:t>.</w:t>
      </w:r>
      <w:r w:rsidRPr="006F379D">
        <w:rPr>
          <w:rFonts w:ascii="Verdana" w:hAnsi="Verdana"/>
          <w:shd w:val="clear" w:color="auto" w:fill="FFFFFF"/>
        </w:rPr>
        <w:t xml:space="preserve"> </w:t>
      </w:r>
      <w:r w:rsidRPr="006F379D">
        <w:rPr>
          <w:rFonts w:ascii="Verdana" w:hAnsi="Verdana" w:cs="Arial"/>
          <w:shd w:val="clear" w:color="auto" w:fill="FFFFFF"/>
        </w:rPr>
        <w:t>Es</w:t>
      </w:r>
      <w:r w:rsidRPr="006F379D">
        <w:rPr>
          <w:rFonts w:ascii="Verdana" w:hAnsi="Verdana"/>
        </w:rPr>
        <w:t>tos conceptos se encuentran disponibles para consulta en el Sistema de relatoría de la Agencia, al cual se puede acceder a través del siguiente enlace:</w:t>
      </w:r>
      <w:r w:rsidRPr="006F379D">
        <w:rPr>
          <w:rFonts w:ascii="Verdana" w:hAnsi="Verdana" w:cs="Arial"/>
          <w:shd w:val="clear" w:color="auto" w:fill="FFFFFF"/>
        </w:rPr>
        <w:t xml:space="preserve"> </w:t>
      </w:r>
      <w:hyperlink r:id="rId13" w:history="1">
        <w:r w:rsidRPr="006F379D">
          <w:rPr>
            <w:rFonts w:ascii="Verdana" w:hAnsi="Verdana" w:cs="Arial"/>
            <w:color w:val="0563C1" w:themeColor="hyperlink"/>
            <w:u w:val="single"/>
            <w:shd w:val="clear" w:color="auto" w:fill="FFFFFF"/>
          </w:rPr>
          <w:t>https://relatoria.colombiacompra.gov.co/busqueda/conceptos</w:t>
        </w:r>
      </w:hyperlink>
      <w:r w:rsidRPr="006F379D">
        <w:rPr>
          <w:rFonts w:ascii="Verdana" w:hAnsi="Verdana" w:cs="Arial"/>
          <w:shd w:val="clear" w:color="auto" w:fill="FFFFFF"/>
        </w:rPr>
        <w:t>.</w:t>
      </w:r>
      <w:r w:rsidRPr="006F379D">
        <w:rPr>
          <w:rFonts w:ascii="Verdana" w:hAnsi="Verdana" w:cs="Arial"/>
          <w:color w:val="FF0000"/>
          <w:shd w:val="clear" w:color="auto" w:fill="FFFFFF"/>
        </w:rPr>
        <w:t xml:space="preserve"> </w:t>
      </w:r>
      <w:r w:rsidRPr="006F379D">
        <w:rPr>
          <w:rFonts w:ascii="Verdana" w:hAnsi="Verdana" w:cs="Arial"/>
          <w:color w:val="000000" w:themeColor="text1"/>
          <w:shd w:val="clear" w:color="auto" w:fill="FFFFFF"/>
        </w:rPr>
        <w:t> </w:t>
      </w:r>
    </w:p>
    <w:p w14:paraId="27D09AA3" w14:textId="77777777" w:rsidR="006F379D" w:rsidRPr="006F379D" w:rsidRDefault="006F379D" w:rsidP="006F379D">
      <w:pPr>
        <w:widowControl w:val="0"/>
        <w:autoSpaceDE w:val="0"/>
        <w:autoSpaceDN w:val="0"/>
        <w:spacing w:after="120" w:line="276" w:lineRule="auto"/>
        <w:jc w:val="both"/>
        <w:rPr>
          <w:rFonts w:ascii="Verdana" w:hAnsi="Verdana" w:cs="Arial"/>
          <w:color w:val="000000" w:themeColor="text1"/>
          <w:shd w:val="clear" w:color="auto" w:fill="FFFFFF"/>
        </w:rPr>
      </w:pPr>
      <w:r w:rsidRPr="006F379D">
        <w:rPr>
          <w:rFonts w:ascii="Verdana" w:eastAsia="Times New Roman" w:hAnsi="Verdana" w:cs="Times New Roman"/>
          <w:color w:val="000000"/>
          <w:lang w:eastAsia="es-CO"/>
        </w:rPr>
        <w:t>Las garantías no son un requisito formal: son el instrumento con el que se protege el patrimonio público frente a los riesgos del contrato. Por ello, la Agencia Nacional de Contratación Pública –Colombia Compra Eficiente– te invita a consultar la nueva versión de la </w:t>
      </w:r>
      <w:r w:rsidRPr="006F379D">
        <w:rPr>
          <w:rFonts w:ascii="Verdana" w:eastAsia="Times New Roman" w:hAnsi="Verdana" w:cs="Times New Roman"/>
          <w:b/>
          <w:bCs/>
          <w:color w:val="000000"/>
          <w:lang w:eastAsia="es-CO"/>
        </w:rPr>
        <w:t>Guía para la Exigencia y Constitución de Garantías en los Procesos de Contratación</w:t>
      </w:r>
      <w:r w:rsidRPr="006F379D">
        <w:rPr>
          <w:rFonts w:ascii="Verdana" w:eastAsia="Times New Roman" w:hAnsi="Verdana" w:cs="Times New Roman"/>
          <w:color w:val="000000"/>
          <w:lang w:eastAsia="es-CO"/>
        </w:rPr>
        <w:t>, dirigida a las entidades sometidas al EGCAP y a las de regímenes exceptuados, así como a proveedores y órganos de control. Encontrarás orientaciones sobre las clases de garantías admisibles, la correspondencia entre riesgos asignados y amparos exigidos, su suficiencia y vigencia, y el procedimiento para hacerlas efectivas. Consúltala aquí: </w:t>
      </w:r>
      <w:hyperlink r:id="rId14" w:tgtFrame="_blank" w:tooltip="Dirección URL original: https://www.colombiacompra.gov.co/archivos/manual/guia-de-garantias-en-procesos-de-contratacion. Haga clic o pulse si confía en este vínculo." w:history="1">
        <w:r w:rsidRPr="006F379D">
          <w:rPr>
            <w:rFonts w:ascii="Verdana" w:eastAsia="Times New Roman" w:hAnsi="Verdana" w:cs="Times New Roman"/>
            <w:color w:val="0000FF"/>
            <w:u w:val="single"/>
            <w:bdr w:val="none" w:sz="0" w:space="0" w:color="auto" w:frame="1"/>
            <w:lang w:eastAsia="es-CO"/>
          </w:rPr>
          <w:t>https://www.colombiacompra.gov.co/archivos/manual/guia-de-garantias-en-procesos-de-contratacion</w:t>
        </w:r>
      </w:hyperlink>
    </w:p>
    <w:p w14:paraId="08C9322A" w14:textId="77777777" w:rsidR="006F379D" w:rsidRPr="006F379D" w:rsidRDefault="006F379D" w:rsidP="006F379D">
      <w:pPr>
        <w:shd w:val="clear" w:color="auto" w:fill="FFFFFF"/>
        <w:spacing w:after="120" w:line="276" w:lineRule="auto"/>
        <w:jc w:val="both"/>
        <w:textAlignment w:val="baseline"/>
        <w:rPr>
          <w:rFonts w:ascii="Verdana" w:eastAsia="Times New Roman" w:hAnsi="Verdana" w:cs="Times New Roman"/>
          <w:color w:val="000000"/>
          <w:lang w:eastAsia="es-CO"/>
        </w:rPr>
      </w:pPr>
      <w:r w:rsidRPr="006F379D">
        <w:rPr>
          <w:rFonts w:ascii="Verdana" w:eastAsia="Times New Roman" w:hAnsi="Verdana" w:cs="Times New Roman"/>
          <w:color w:val="000000"/>
          <w:lang w:eastAsia="es-CO"/>
        </w:rPr>
        <w:t>De otro lado, te contamos que el Decreto 287 del 19 de marzo de 2026 sustituyó los artículos 2.2.1.2.4.2.6., 2.2.1.2.4.2.7. y 2.2.1.2.4.2.8. del Decreto 1082 de 2015 y estructuró el </w:t>
      </w:r>
      <w:r w:rsidRPr="006F379D">
        <w:rPr>
          <w:rFonts w:ascii="Verdana" w:eastAsia="Times New Roman" w:hAnsi="Verdana" w:cs="Times New Roman"/>
          <w:b/>
          <w:bCs/>
          <w:color w:val="000000"/>
          <w:lang w:eastAsia="es-CO"/>
        </w:rPr>
        <w:t>Sistema Integral de Preferencias en favor de las personas con discapacidad</w:t>
      </w:r>
      <w:r w:rsidRPr="006F379D">
        <w:rPr>
          <w:rFonts w:ascii="Verdana" w:eastAsia="Times New Roman" w:hAnsi="Verdana" w:cs="Times New Roman"/>
          <w:color w:val="000000"/>
          <w:lang w:eastAsia="es-CO"/>
        </w:rPr>
        <w:t>, en cumplimiento del artículo 13 de la Ley Estatutaria 1618 de 2013. Para orientar su aplicación, esta Agencia expidió la </w:t>
      </w:r>
      <w:r w:rsidRPr="006F379D">
        <w:rPr>
          <w:rFonts w:ascii="Verdana" w:eastAsia="Times New Roman" w:hAnsi="Verdana" w:cs="Times New Roman"/>
          <w:b/>
          <w:bCs/>
          <w:color w:val="000000"/>
          <w:lang w:eastAsia="es-CO"/>
        </w:rPr>
        <w:t>Circular Externa 003 del 12 de mayo de 2026, </w:t>
      </w:r>
      <w:r w:rsidRPr="006F379D">
        <w:rPr>
          <w:rFonts w:ascii="Verdana" w:eastAsia="Times New Roman" w:hAnsi="Verdana" w:cs="Times New Roman"/>
          <w:color w:val="000000"/>
          <w:lang w:eastAsia="es-CO"/>
        </w:rPr>
        <w:t xml:space="preserve">en la que precisa quiénes son los beneficiarios, las cinco medidas que integran el sistema y su obligatoriedad según la modalidad de selección, y el régimen de transición </w:t>
      </w:r>
      <w:r w:rsidRPr="006F379D">
        <w:rPr>
          <w:rFonts w:ascii="Verdana" w:eastAsia="Times New Roman" w:hAnsi="Verdana" w:cs="Times New Roman"/>
          <w:color w:val="000000"/>
          <w:lang w:eastAsia="es-CO"/>
        </w:rPr>
        <w:lastRenderedPageBreak/>
        <w:t>aplicable a los procesos en curso. Consúltala aquí: </w:t>
      </w:r>
      <w:hyperlink r:id="rId15" w:tgtFrame="_blank" w:tooltip="Dirección URL original: https://www.colombiacompra.gov.co/archivos/circular/circular-externa-003-de-2026. Haga clic o pulse si confía en este vínculo." w:history="1">
        <w:r w:rsidRPr="006F379D">
          <w:rPr>
            <w:rFonts w:ascii="Verdana" w:eastAsia="Times New Roman" w:hAnsi="Verdana" w:cs="Times New Roman"/>
            <w:color w:val="0000FF"/>
            <w:u w:val="single"/>
            <w:bdr w:val="none" w:sz="0" w:space="0" w:color="auto" w:frame="1"/>
            <w:lang w:eastAsia="es-CO"/>
          </w:rPr>
          <w:t>https://www.colombiacompra.gov.co/archivos/circular/circular-externa-003-de-2026</w:t>
        </w:r>
      </w:hyperlink>
    </w:p>
    <w:p w14:paraId="29962BA8" w14:textId="77777777" w:rsidR="006F379D" w:rsidRPr="006F379D" w:rsidRDefault="006F379D" w:rsidP="006F379D">
      <w:pPr>
        <w:shd w:val="clear" w:color="auto" w:fill="FFFFFF"/>
        <w:spacing w:after="120" w:line="276" w:lineRule="auto"/>
        <w:jc w:val="both"/>
        <w:textAlignment w:val="baseline"/>
        <w:rPr>
          <w:rFonts w:ascii="Verdana" w:eastAsia="Times New Roman" w:hAnsi="Verdana" w:cs="Times New Roman"/>
          <w:color w:val="000000"/>
          <w:lang w:eastAsia="es-CO"/>
        </w:rPr>
      </w:pPr>
      <w:r w:rsidRPr="006F379D">
        <w:rPr>
          <w:rFonts w:ascii="Verdana" w:eastAsia="Times New Roman" w:hAnsi="Verdana" w:cs="Times New Roman"/>
          <w:color w:val="000000"/>
          <w:lang w:eastAsia="es-CO"/>
        </w:rPr>
        <w:t>Recuerda también que la</w:t>
      </w:r>
      <w:r w:rsidRPr="006F379D">
        <w:rPr>
          <w:rFonts w:ascii="Verdana" w:eastAsia="Times New Roman" w:hAnsi="Verdana" w:cs="Times New Roman"/>
          <w:b/>
          <w:bCs/>
          <w:color w:val="000000"/>
          <w:lang w:eastAsia="es-CO"/>
        </w:rPr>
        <w:t> información sobre sanciones e inhabilidades </w:t>
      </w:r>
      <w:r w:rsidRPr="006F379D">
        <w:rPr>
          <w:rFonts w:ascii="Verdana" w:eastAsia="Times New Roman" w:hAnsi="Verdana" w:cs="Times New Roman"/>
          <w:color w:val="000000"/>
          <w:lang w:eastAsia="es-CO"/>
        </w:rPr>
        <w:t>solo cumple su función preventiva si llega oportunamente a los registros públicos. Sobre este deber, esta Agencia expidió la </w:t>
      </w:r>
      <w:r w:rsidRPr="006F379D">
        <w:rPr>
          <w:rFonts w:ascii="Verdana" w:eastAsia="Times New Roman" w:hAnsi="Verdana" w:cs="Times New Roman"/>
          <w:b/>
          <w:bCs/>
          <w:color w:val="000000"/>
          <w:lang w:eastAsia="es-CO"/>
        </w:rPr>
        <w:t>Circular Externa 002 del 5 de mayo de 2026,</w:t>
      </w:r>
      <w:r w:rsidRPr="006F379D">
        <w:rPr>
          <w:rFonts w:ascii="Verdana" w:eastAsia="Times New Roman" w:hAnsi="Verdana" w:cs="Times New Roman"/>
          <w:color w:val="000000"/>
          <w:lang w:eastAsia="es-CO"/>
        </w:rPr>
        <w:t> dirigida a todas las entidades del Estado sin distinción de su régimen contractual, en la que reitera la obligatoriedad de reportar caducidades, multas, sanciones, declaratorias de incumplimiento e inhabilidades ante las Cámaras de Comercio, la Procuraduría General de la Nación y el SECOP, e indica los responsables, los portales dispuestos para el efecto y las consecuencias disciplinarias de omitir este deber. Consúltala aquí: </w:t>
      </w:r>
      <w:hyperlink r:id="rId16" w:tgtFrame="_blank" w:tooltip="Dirección URL original: https://www.colombiacompra.gov.co/archivos/circular/circular-externa-002-de-2026. Haga clic o pulse si confía en este vínculo." w:history="1">
        <w:r w:rsidRPr="006F379D">
          <w:rPr>
            <w:rFonts w:ascii="Verdana" w:eastAsia="Times New Roman" w:hAnsi="Verdana" w:cs="Times New Roman"/>
            <w:color w:val="0000FF"/>
            <w:u w:val="single"/>
            <w:bdr w:val="none" w:sz="0" w:space="0" w:color="auto" w:frame="1"/>
            <w:lang w:eastAsia="es-CO"/>
          </w:rPr>
          <w:t>https://www.colombiacompra.gov.co/archivos/circular/circular-externa-002-de-2026</w:t>
        </w:r>
      </w:hyperlink>
    </w:p>
    <w:p w14:paraId="0115A0EE" w14:textId="77777777" w:rsidR="006F379D" w:rsidRPr="006F379D" w:rsidRDefault="006F379D" w:rsidP="006F379D">
      <w:pPr>
        <w:shd w:val="clear" w:color="auto" w:fill="FFFFFF"/>
        <w:spacing w:after="120" w:line="276" w:lineRule="auto"/>
        <w:jc w:val="both"/>
        <w:textAlignment w:val="baseline"/>
        <w:rPr>
          <w:rFonts w:ascii="Verdana" w:eastAsia="Times New Roman" w:hAnsi="Verdana" w:cs="Times New Roman"/>
          <w:color w:val="000000"/>
          <w:lang w:eastAsia="es-CO"/>
        </w:rPr>
      </w:pPr>
      <w:r w:rsidRPr="006F379D">
        <w:rPr>
          <w:rFonts w:ascii="Verdana" w:eastAsia="Times New Roman" w:hAnsi="Verdana" w:cs="Times New Roman"/>
          <w:color w:val="000000"/>
          <w:lang w:eastAsia="es-CO"/>
        </w:rPr>
        <w:t>Finalmente, si quieres seguir de cerca la actividad de la Agencia, la tercera edición de 2026 del</w:t>
      </w:r>
      <w:r w:rsidRPr="006F379D">
        <w:rPr>
          <w:rFonts w:ascii="Verdana" w:eastAsia="Times New Roman" w:hAnsi="Verdana" w:cs="Times New Roman"/>
          <w:b/>
          <w:bCs/>
          <w:color w:val="000000"/>
          <w:lang w:eastAsia="es-CO"/>
        </w:rPr>
        <w:t> Radar de la Compra Pública</w:t>
      </w:r>
      <w:r w:rsidRPr="006F379D">
        <w:rPr>
          <w:rFonts w:ascii="Verdana" w:eastAsia="Times New Roman" w:hAnsi="Verdana" w:cs="Times New Roman"/>
          <w:color w:val="000000"/>
          <w:lang w:eastAsia="es-CO"/>
        </w:rPr>
        <w:t> reúne, entre otros contenidos, la Circular Externa 003 de 2026, el Decreto 552 de 2026, un estudio sobre inteligencia artificial en la compra pública, los avances de la Relatoría, análisis jurisprudencial, conceptos jurídicos destacados y la oferta de la Escuela Virtual ANCP-CCE. Descárgalo aquí: </w:t>
      </w:r>
      <w:hyperlink r:id="rId17" w:tgtFrame="_blank" w:tooltip="Dirección URL original: https://www.colombiacompra.gov.co/archivos/boletin/boletin-edicion-n-3-de-2026-radar-de-la-compra-publica. Haga clic o pulse si confía en este vínculo." w:history="1">
        <w:r w:rsidRPr="006F379D">
          <w:rPr>
            <w:rFonts w:ascii="Verdana" w:eastAsia="Times New Roman" w:hAnsi="Verdana" w:cs="Times New Roman"/>
            <w:color w:val="0000FF"/>
            <w:u w:val="single"/>
            <w:bdr w:val="none" w:sz="0" w:space="0" w:color="auto" w:frame="1"/>
            <w:lang w:eastAsia="es-CO"/>
          </w:rPr>
          <w:t>https://www.colombiacompra.gov.co/archivos/boletin/boletin-edicion-n-3-de-2026-radar-de-la-compra-publica</w:t>
        </w:r>
      </w:hyperlink>
      <w:r w:rsidRPr="006F379D">
        <w:rPr>
          <w:rFonts w:ascii="Verdana" w:eastAsia="Times New Roman" w:hAnsi="Verdana" w:cs="Times New Roman"/>
          <w:color w:val="000000"/>
          <w:lang w:eastAsia="es-CO"/>
        </w:rPr>
        <w:t>"</w:t>
      </w:r>
    </w:p>
    <w:p w14:paraId="35CB7638" w14:textId="77777777" w:rsidR="006F379D" w:rsidRPr="006F379D" w:rsidRDefault="006F379D" w:rsidP="006F379D">
      <w:pPr>
        <w:spacing w:after="0" w:line="276" w:lineRule="auto"/>
        <w:jc w:val="both"/>
        <w:rPr>
          <w:rFonts w:ascii="Verdana" w:hAnsi="Verdana"/>
          <w:lang w:val="es-ES"/>
        </w:rPr>
      </w:pPr>
      <w:r w:rsidRPr="006F379D">
        <w:rPr>
          <w:rFonts w:ascii="Verdana" w:hAnsi="Verdana"/>
          <w:lang w:val="es-ES"/>
        </w:rPr>
        <w:t xml:space="preserve">Por último, lo invitamos a seguirnos en las redes sociales en las cuales se difunde información institucional: </w:t>
      </w:r>
    </w:p>
    <w:p w14:paraId="59831F2E" w14:textId="77777777" w:rsidR="006F379D" w:rsidRPr="006F379D" w:rsidRDefault="006F379D" w:rsidP="006F379D">
      <w:pPr>
        <w:spacing w:after="0" w:line="276" w:lineRule="auto"/>
        <w:jc w:val="both"/>
        <w:rPr>
          <w:rFonts w:ascii="Verdana" w:hAnsi="Verdana"/>
          <w:lang w:val="es-ES"/>
        </w:rPr>
      </w:pPr>
    </w:p>
    <w:p w14:paraId="16500F0A" w14:textId="77777777" w:rsidR="006F379D" w:rsidRPr="006F379D" w:rsidRDefault="006F379D" w:rsidP="006F379D">
      <w:pPr>
        <w:spacing w:after="0" w:line="276" w:lineRule="auto"/>
        <w:jc w:val="both"/>
        <w:rPr>
          <w:rFonts w:ascii="Verdana" w:hAnsi="Verdana"/>
          <w:lang w:val="es-ES"/>
        </w:rPr>
      </w:pPr>
      <w:r w:rsidRPr="006F379D">
        <w:rPr>
          <w:rFonts w:ascii="Verdana" w:hAnsi="Verdana"/>
          <w:lang w:val="es-ES"/>
        </w:rPr>
        <w:t xml:space="preserve">Twitter: </w:t>
      </w:r>
      <w:r w:rsidRPr="006F379D">
        <w:rPr>
          <w:rFonts w:ascii="Verdana" w:hAnsi="Verdana" w:cs="Arial"/>
          <w:color w:val="0000FF"/>
          <w:u w:val="single"/>
          <w:shd w:val="clear" w:color="auto" w:fill="FFFFFF"/>
          <w:lang w:val="es-ES"/>
        </w:rPr>
        <w:t>@colombiacompra</w:t>
      </w:r>
      <w:r w:rsidRPr="006F379D">
        <w:rPr>
          <w:rFonts w:ascii="Verdana" w:hAnsi="Verdana"/>
          <w:color w:val="4472C4" w:themeColor="accent1"/>
          <w:lang w:val="es-ES"/>
        </w:rPr>
        <w:t xml:space="preserve"> </w:t>
      </w:r>
    </w:p>
    <w:p w14:paraId="185DB89E" w14:textId="77777777" w:rsidR="006F379D" w:rsidRPr="006F379D" w:rsidRDefault="006F379D" w:rsidP="006F379D">
      <w:pPr>
        <w:spacing w:after="0" w:line="276" w:lineRule="auto"/>
        <w:jc w:val="both"/>
        <w:rPr>
          <w:rFonts w:ascii="Verdana" w:hAnsi="Verdana"/>
          <w:lang w:val="es-ES"/>
        </w:rPr>
      </w:pPr>
      <w:r w:rsidRPr="006F379D">
        <w:rPr>
          <w:rFonts w:ascii="Verdana" w:hAnsi="Verdana"/>
          <w:lang w:val="es-ES"/>
        </w:rPr>
        <w:t xml:space="preserve">Facebook: </w:t>
      </w:r>
      <w:proofErr w:type="spellStart"/>
      <w:r w:rsidRPr="006F379D">
        <w:rPr>
          <w:rFonts w:ascii="Verdana" w:hAnsi="Verdana" w:cs="Arial"/>
          <w:color w:val="0000FF"/>
          <w:u w:val="single"/>
          <w:shd w:val="clear" w:color="auto" w:fill="FFFFFF"/>
          <w:lang w:val="es-ES"/>
        </w:rPr>
        <w:t>ColombiaCompraEficiente</w:t>
      </w:r>
      <w:proofErr w:type="spellEnd"/>
    </w:p>
    <w:p w14:paraId="5E8051E6" w14:textId="77777777" w:rsidR="006F379D" w:rsidRPr="006F379D" w:rsidRDefault="006F379D" w:rsidP="006F379D">
      <w:pPr>
        <w:spacing w:after="0" w:line="276" w:lineRule="auto"/>
        <w:jc w:val="both"/>
        <w:rPr>
          <w:rFonts w:ascii="Verdana" w:hAnsi="Verdana"/>
          <w:lang w:val="es-ES"/>
        </w:rPr>
      </w:pPr>
      <w:r w:rsidRPr="006F379D">
        <w:rPr>
          <w:rFonts w:ascii="Verdana" w:hAnsi="Verdana"/>
          <w:lang w:val="es-ES"/>
        </w:rPr>
        <w:t xml:space="preserve">LinkedIn: </w:t>
      </w:r>
      <w:r w:rsidRPr="006F379D">
        <w:rPr>
          <w:rFonts w:ascii="Verdana" w:hAnsi="Verdana" w:cs="Arial"/>
          <w:color w:val="0000FF"/>
          <w:u w:val="single"/>
          <w:shd w:val="clear" w:color="auto" w:fill="FFFFFF"/>
          <w:lang w:val="es-ES"/>
        </w:rPr>
        <w:t xml:space="preserve">Agencia Nacional de Contratación Pública - Colombia Compra Eficiente </w:t>
      </w:r>
      <w:r w:rsidRPr="006F379D">
        <w:rPr>
          <w:rFonts w:ascii="Verdana" w:hAnsi="Verdana"/>
          <w:lang w:val="es-ES"/>
        </w:rPr>
        <w:t xml:space="preserve">Instagram: </w:t>
      </w:r>
      <w:r w:rsidRPr="006F379D">
        <w:rPr>
          <w:rFonts w:ascii="Verdana" w:hAnsi="Verdana" w:cs="Arial"/>
          <w:color w:val="0000FF"/>
          <w:u w:val="single"/>
          <w:shd w:val="clear" w:color="auto" w:fill="FFFFFF"/>
          <w:lang w:val="es-ES"/>
        </w:rPr>
        <w:t>@colombiacompraeficiente_cce</w:t>
      </w:r>
    </w:p>
    <w:p w14:paraId="7BD2CFD9" w14:textId="77777777" w:rsidR="006F379D" w:rsidRPr="006F379D" w:rsidRDefault="006F379D" w:rsidP="006F379D">
      <w:pPr>
        <w:spacing w:after="0" w:line="276" w:lineRule="auto"/>
        <w:jc w:val="both"/>
        <w:rPr>
          <w:rFonts w:ascii="Verdana" w:hAnsi="Verdana"/>
          <w:lang w:val="es-ES"/>
        </w:rPr>
      </w:pPr>
    </w:p>
    <w:p w14:paraId="617CBC3B" w14:textId="77777777" w:rsidR="006F379D" w:rsidRPr="006F379D" w:rsidRDefault="006F379D" w:rsidP="006F379D">
      <w:pPr>
        <w:spacing w:before="120" w:after="0" w:line="276" w:lineRule="auto"/>
        <w:jc w:val="both"/>
        <w:rPr>
          <w:rFonts w:ascii="Verdana" w:hAnsi="Verdana"/>
        </w:rPr>
      </w:pPr>
      <w:r w:rsidRPr="006F379D">
        <w:rPr>
          <w:rFonts w:ascii="Verdana" w:hAnsi="Verdana"/>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094DFBC7" w14:textId="77777777" w:rsidR="006F379D" w:rsidRPr="006F379D" w:rsidRDefault="006F379D" w:rsidP="006F379D">
      <w:pPr>
        <w:widowControl w:val="0"/>
        <w:autoSpaceDE w:val="0"/>
        <w:autoSpaceDN w:val="0"/>
        <w:spacing w:after="0" w:line="276" w:lineRule="auto"/>
        <w:jc w:val="both"/>
        <w:rPr>
          <w:rFonts w:ascii="Verdana" w:hAnsi="Verdana" w:cs="Arial"/>
        </w:rPr>
      </w:pPr>
    </w:p>
    <w:p w14:paraId="0FC0BAB1" w14:textId="77777777" w:rsidR="006F379D" w:rsidRPr="006F379D" w:rsidRDefault="006F379D" w:rsidP="006F379D">
      <w:pPr>
        <w:spacing w:after="0" w:line="276" w:lineRule="auto"/>
        <w:rPr>
          <w:rFonts w:ascii="Verdana" w:hAnsi="Verdana" w:cs="Arial"/>
          <w:lang w:eastAsia="es-CO"/>
        </w:rPr>
      </w:pPr>
      <w:r w:rsidRPr="006F379D">
        <w:rPr>
          <w:rFonts w:ascii="Verdana" w:eastAsia="Times New Roman" w:hAnsi="Verdana" w:cs="Arial"/>
          <w:lang w:eastAsia="es-CO"/>
        </w:rPr>
        <w:lastRenderedPageBreak/>
        <w:t>Atentamente,</w:t>
      </w:r>
      <w:r w:rsidRPr="006F379D">
        <w:rPr>
          <w:rFonts w:ascii="Verdana" w:hAnsi="Verdana" w:cs="Arial"/>
          <w:lang w:eastAsia="es-CO"/>
        </w:rPr>
        <w:t xml:space="preserve"> </w:t>
      </w:r>
    </w:p>
    <w:p w14:paraId="6FC6D105" w14:textId="68ADEF59" w:rsidR="006F379D" w:rsidRPr="006F379D" w:rsidRDefault="00826434" w:rsidP="006F379D">
      <w:pPr>
        <w:spacing w:line="276" w:lineRule="auto"/>
        <w:jc w:val="center"/>
        <w:rPr>
          <w:rFonts w:ascii="Verdana" w:hAnsi="Verdana" w:cs="Arial"/>
          <w:color w:val="000000"/>
          <w:lang w:eastAsia="es-CO"/>
        </w:rPr>
      </w:pPr>
      <w:r>
        <w:rPr>
          <w:noProof/>
        </w:rPr>
        <w:drawing>
          <wp:inline distT="0" distB="0" distL="0" distR="0" wp14:anchorId="73C41B12" wp14:editId="454F7767">
            <wp:extent cx="3771900" cy="1400175"/>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8"/>
                    <a:stretch>
                      <a:fillRect/>
                    </a:stretch>
                  </pic:blipFill>
                  <pic:spPr>
                    <a:xfrm>
                      <a:off x="0" y="0"/>
                      <a:ext cx="3771900" cy="1400175"/>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6F379D" w:rsidRPr="006F379D" w14:paraId="31F8A125" w14:textId="77777777" w:rsidTr="00AE647B">
        <w:trPr>
          <w:trHeight w:val="315"/>
        </w:trPr>
        <w:tc>
          <w:tcPr>
            <w:tcW w:w="893" w:type="dxa"/>
            <w:vAlign w:val="center"/>
            <w:hideMark/>
          </w:tcPr>
          <w:p w14:paraId="394D99EA" w14:textId="77777777" w:rsidR="006F379D" w:rsidRPr="006F379D" w:rsidRDefault="006F379D" w:rsidP="006F379D">
            <w:pPr>
              <w:contextualSpacing/>
              <w:rPr>
                <w:rFonts w:ascii="Verdana" w:hAnsi="Verdana" w:cs="Arial"/>
                <w:sz w:val="16"/>
                <w:szCs w:val="16"/>
                <w:lang w:val="es-ES" w:eastAsia="es-ES"/>
              </w:rPr>
            </w:pPr>
            <w:r w:rsidRPr="006F379D">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71166B77" w14:textId="77777777" w:rsidR="006F379D" w:rsidRPr="006F379D" w:rsidRDefault="006F379D" w:rsidP="006F379D">
            <w:pPr>
              <w:contextualSpacing/>
              <w:rPr>
                <w:rFonts w:ascii="Verdana" w:hAnsi="Verdana"/>
                <w:sz w:val="16"/>
                <w:szCs w:val="16"/>
              </w:rPr>
            </w:pPr>
            <w:r w:rsidRPr="006F379D">
              <w:rPr>
                <w:rFonts w:ascii="Verdana" w:hAnsi="Verdana"/>
                <w:sz w:val="16"/>
                <w:szCs w:val="16"/>
              </w:rPr>
              <w:t>Tatiana Baquero Iguarán</w:t>
            </w:r>
          </w:p>
          <w:p w14:paraId="04259CAF" w14:textId="77777777" w:rsidR="006F379D" w:rsidRPr="006F379D" w:rsidRDefault="006F379D" w:rsidP="006F379D">
            <w:pPr>
              <w:contextualSpacing/>
              <w:rPr>
                <w:rFonts w:ascii="Verdana" w:eastAsia="Arial" w:hAnsi="Verdana" w:cs="Arial"/>
                <w:sz w:val="16"/>
                <w:szCs w:val="16"/>
              </w:rPr>
            </w:pPr>
            <w:r w:rsidRPr="006F379D">
              <w:rPr>
                <w:rFonts w:ascii="Verdana" w:hAnsi="Verdana"/>
                <w:sz w:val="16"/>
                <w:szCs w:val="16"/>
              </w:rPr>
              <w:t>Contratista de la Subdirección de Gestión Contractual</w:t>
            </w:r>
          </w:p>
        </w:tc>
      </w:tr>
      <w:tr w:rsidR="006F379D" w:rsidRPr="006F379D" w14:paraId="1DD8592A" w14:textId="77777777" w:rsidTr="00AE647B">
        <w:trPr>
          <w:trHeight w:val="330"/>
        </w:trPr>
        <w:tc>
          <w:tcPr>
            <w:tcW w:w="893" w:type="dxa"/>
            <w:vAlign w:val="center"/>
            <w:hideMark/>
          </w:tcPr>
          <w:p w14:paraId="2A4ACB6E" w14:textId="77777777" w:rsidR="006F379D" w:rsidRPr="006F379D" w:rsidRDefault="006F379D" w:rsidP="006F379D">
            <w:pPr>
              <w:contextualSpacing/>
              <w:rPr>
                <w:rFonts w:ascii="Verdana" w:hAnsi="Verdana" w:cs="Arial"/>
                <w:sz w:val="16"/>
                <w:szCs w:val="16"/>
                <w:lang w:val="es-ES" w:eastAsia="es-ES"/>
              </w:rPr>
            </w:pPr>
            <w:r w:rsidRPr="006F379D">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126AFD47" w14:textId="77777777" w:rsidR="006F379D" w:rsidRPr="006F379D" w:rsidRDefault="006F379D" w:rsidP="006F379D">
            <w:pPr>
              <w:spacing w:before="100" w:beforeAutospacing="1" w:afterAutospacing="1"/>
              <w:contextualSpacing/>
              <w:textAlignment w:val="baseline"/>
              <w:rPr>
                <w:rFonts w:ascii="Verdana" w:eastAsia="Times New Roman" w:hAnsi="Verdana" w:cs="Arial"/>
                <w:sz w:val="16"/>
                <w:szCs w:val="16"/>
                <w:lang w:val="es-ES" w:eastAsia="es-ES_tradnl"/>
              </w:rPr>
            </w:pPr>
            <w:r w:rsidRPr="006F379D">
              <w:rPr>
                <w:rFonts w:ascii="Verdana" w:eastAsia="Times New Roman" w:hAnsi="Verdana" w:cs="Arial"/>
                <w:sz w:val="16"/>
                <w:szCs w:val="16"/>
                <w:lang w:val="es-ES" w:eastAsia="es-ES_tradnl"/>
              </w:rPr>
              <w:t>Alejandro Sarmiento Cantillo</w:t>
            </w:r>
          </w:p>
          <w:p w14:paraId="2D8336C1" w14:textId="77777777" w:rsidR="006F379D" w:rsidRPr="006F379D" w:rsidRDefault="006F379D" w:rsidP="006F379D">
            <w:pPr>
              <w:contextualSpacing/>
              <w:textAlignment w:val="baseline"/>
              <w:rPr>
                <w:rFonts w:ascii="Verdana" w:eastAsia="Times New Roman" w:hAnsi="Verdana" w:cs="Segoe UI"/>
                <w:sz w:val="16"/>
                <w:szCs w:val="16"/>
                <w:lang w:eastAsia="es-ES_tradnl"/>
              </w:rPr>
            </w:pPr>
            <w:r w:rsidRPr="006F379D">
              <w:rPr>
                <w:rFonts w:ascii="Verdana" w:eastAsia="Times New Roman" w:hAnsi="Verdana" w:cs="Arial"/>
                <w:sz w:val="16"/>
                <w:szCs w:val="16"/>
                <w:lang w:val="es-ES" w:eastAsia="es-ES_tradnl"/>
              </w:rPr>
              <w:t>Gestor T1 ‒ 15 de la Subdirección de Gestión Contractual</w:t>
            </w:r>
            <w:r w:rsidRPr="006F379D">
              <w:rPr>
                <w:rFonts w:ascii="Verdana" w:eastAsia="Times New Roman" w:hAnsi="Verdana" w:cs="Arial"/>
                <w:sz w:val="16"/>
                <w:szCs w:val="16"/>
                <w:lang w:eastAsia="es-ES_tradnl"/>
              </w:rPr>
              <w:t> </w:t>
            </w:r>
          </w:p>
        </w:tc>
      </w:tr>
      <w:tr w:rsidR="006F379D" w:rsidRPr="006F379D" w14:paraId="2C3BEFC4" w14:textId="77777777" w:rsidTr="00AE647B">
        <w:trPr>
          <w:trHeight w:val="300"/>
        </w:trPr>
        <w:tc>
          <w:tcPr>
            <w:tcW w:w="893" w:type="dxa"/>
            <w:vAlign w:val="center"/>
          </w:tcPr>
          <w:p w14:paraId="0FE16BF0" w14:textId="77777777" w:rsidR="006F379D" w:rsidRPr="006F379D" w:rsidRDefault="006F379D" w:rsidP="006F379D">
            <w:pPr>
              <w:contextualSpacing/>
              <w:rPr>
                <w:rFonts w:ascii="Verdana" w:hAnsi="Verdana" w:cs="Arial"/>
                <w:sz w:val="16"/>
                <w:szCs w:val="16"/>
                <w:lang w:val="es-ES" w:eastAsia="es-ES"/>
              </w:rPr>
            </w:pPr>
            <w:r w:rsidRPr="006F379D">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55F69B32" w14:textId="77777777" w:rsidR="006F379D" w:rsidRPr="006F379D" w:rsidRDefault="006F379D" w:rsidP="006F379D">
            <w:pPr>
              <w:contextualSpacing/>
              <w:rPr>
                <w:rFonts w:ascii="Verdana" w:eastAsia="Calibri" w:hAnsi="Verdana" w:cs="Arial"/>
                <w:sz w:val="16"/>
                <w:szCs w:val="16"/>
                <w:lang w:val="pt-BR" w:eastAsia="es-ES"/>
              </w:rPr>
            </w:pPr>
            <w:r w:rsidRPr="006F379D">
              <w:rPr>
                <w:rFonts w:ascii="Verdana" w:eastAsia="Calibri" w:hAnsi="Verdana" w:cs="Arial"/>
                <w:sz w:val="16"/>
                <w:szCs w:val="16"/>
                <w:lang w:val="pt-BR" w:eastAsia="es-ES"/>
              </w:rPr>
              <w:t xml:space="preserve">Carolina Quintero </w:t>
            </w:r>
            <w:proofErr w:type="spellStart"/>
            <w:r w:rsidRPr="006F379D">
              <w:rPr>
                <w:rFonts w:ascii="Verdana" w:eastAsia="Calibri" w:hAnsi="Verdana" w:cs="Arial"/>
                <w:sz w:val="16"/>
                <w:szCs w:val="16"/>
                <w:lang w:val="pt-BR" w:eastAsia="es-ES"/>
              </w:rPr>
              <w:t>Gacharná</w:t>
            </w:r>
            <w:proofErr w:type="spellEnd"/>
          </w:p>
          <w:p w14:paraId="70ACB22A" w14:textId="77777777" w:rsidR="006F379D" w:rsidRPr="006F379D" w:rsidRDefault="006F379D" w:rsidP="006F379D">
            <w:pPr>
              <w:contextualSpacing/>
              <w:rPr>
                <w:rFonts w:ascii="Verdana" w:eastAsia="Calibri" w:hAnsi="Verdana" w:cs="Arial"/>
                <w:sz w:val="16"/>
                <w:szCs w:val="16"/>
                <w:lang w:val="pt-BR" w:eastAsia="es-ES"/>
              </w:rPr>
            </w:pPr>
            <w:r w:rsidRPr="006F379D">
              <w:rPr>
                <w:rFonts w:ascii="Verdana" w:eastAsia="Calibri" w:hAnsi="Verdana" w:cs="Arial"/>
                <w:sz w:val="16"/>
                <w:szCs w:val="16"/>
                <w:lang w:eastAsia="es-ES"/>
              </w:rPr>
              <w:t>Subdirectora</w:t>
            </w:r>
            <w:r w:rsidRPr="006F379D">
              <w:rPr>
                <w:rFonts w:ascii="Verdana" w:eastAsia="Calibri" w:hAnsi="Verdana" w:cs="Arial"/>
                <w:sz w:val="16"/>
                <w:szCs w:val="16"/>
                <w:lang w:val="pt-BR" w:eastAsia="es-ES"/>
              </w:rPr>
              <w:t xml:space="preserve"> de Gestión </w:t>
            </w:r>
            <w:proofErr w:type="spellStart"/>
            <w:r w:rsidRPr="006F379D">
              <w:rPr>
                <w:rFonts w:ascii="Verdana" w:eastAsia="Calibri" w:hAnsi="Verdana" w:cs="Arial"/>
                <w:sz w:val="16"/>
                <w:szCs w:val="16"/>
                <w:lang w:val="pt-BR" w:eastAsia="es-ES"/>
              </w:rPr>
              <w:t>Contractual</w:t>
            </w:r>
            <w:proofErr w:type="spellEnd"/>
            <w:r w:rsidRPr="006F379D">
              <w:rPr>
                <w:rFonts w:ascii="Verdana" w:eastAsia="Calibri" w:hAnsi="Verdana" w:cs="Arial"/>
                <w:sz w:val="16"/>
                <w:szCs w:val="16"/>
                <w:lang w:val="pt-BR" w:eastAsia="es-ES"/>
              </w:rPr>
              <w:t xml:space="preserve"> ANCP – CCE</w:t>
            </w:r>
          </w:p>
        </w:tc>
      </w:tr>
    </w:tbl>
    <w:p w14:paraId="126A0B72" w14:textId="77777777" w:rsidR="006F379D" w:rsidRPr="006F379D" w:rsidRDefault="006F379D" w:rsidP="006F379D">
      <w:pPr>
        <w:spacing w:after="0" w:line="240" w:lineRule="auto"/>
        <w:jc w:val="both"/>
        <w:textAlignment w:val="baseline"/>
        <w:rPr>
          <w:rFonts w:ascii="Verdana" w:eastAsia="Verdana" w:hAnsi="Verdana" w:cs="Verdana"/>
          <w:lang w:eastAsia="es-CO"/>
        </w:rPr>
      </w:pPr>
    </w:p>
    <w:p w14:paraId="0945D4B5" w14:textId="77777777" w:rsidR="006F379D" w:rsidRPr="006F379D" w:rsidRDefault="006F379D" w:rsidP="006F379D">
      <w:pPr>
        <w:spacing w:after="0" w:line="240" w:lineRule="auto"/>
        <w:jc w:val="both"/>
        <w:textAlignment w:val="baseline"/>
        <w:rPr>
          <w:rFonts w:ascii="Verdana" w:eastAsia="Verdana" w:hAnsi="Verdana" w:cs="Verdana"/>
          <w:lang w:eastAsia="es-CO"/>
        </w:rPr>
      </w:pPr>
    </w:p>
    <w:p w14:paraId="56FDD162" w14:textId="07F5C26F" w:rsidR="006F379D" w:rsidRPr="006F379D" w:rsidRDefault="006F379D" w:rsidP="006F379D">
      <w:pPr>
        <w:spacing w:after="0" w:line="240" w:lineRule="auto"/>
        <w:textAlignment w:val="baseline"/>
        <w:rPr>
          <w:rFonts w:ascii="Verdana" w:eastAsia="Verdana" w:hAnsi="Verdana" w:cs="Verdana"/>
          <w:lang w:eastAsia="es-CO"/>
        </w:rPr>
      </w:pPr>
      <w:r w:rsidRPr="006F379D">
        <w:rPr>
          <w:rFonts w:ascii="Verdana" w:eastAsia="Verdana" w:hAnsi="Verdana" w:cs="Verdana"/>
          <w:lang w:eastAsia="es-CO"/>
        </w:rPr>
        <w:t> </w:t>
      </w:r>
    </w:p>
    <w:p w14:paraId="62568E31" w14:textId="77777777" w:rsidR="006F379D" w:rsidRPr="006F379D" w:rsidRDefault="006F379D" w:rsidP="006F379D"/>
    <w:p w14:paraId="2D99D5BA" w14:textId="77777777" w:rsidR="006F379D" w:rsidRPr="006F379D" w:rsidRDefault="006F379D" w:rsidP="006F379D"/>
    <w:p w14:paraId="01A917F1" w14:textId="77777777" w:rsidR="006F379D" w:rsidRPr="006F379D" w:rsidRDefault="006F379D" w:rsidP="006F379D"/>
    <w:p w14:paraId="4F082415" w14:textId="77777777" w:rsidR="006F379D" w:rsidRPr="006F379D" w:rsidRDefault="006F379D" w:rsidP="006F379D">
      <w:pPr>
        <w:widowControl w:val="0"/>
        <w:autoSpaceDE w:val="0"/>
        <w:autoSpaceDN w:val="0"/>
        <w:spacing w:after="120" w:line="276" w:lineRule="auto"/>
        <w:jc w:val="both"/>
        <w:rPr>
          <w:rFonts w:ascii="Verdana" w:hAnsi="Verdana" w:cs="Arial"/>
          <w:shd w:val="clear" w:color="auto" w:fill="FFFFFF"/>
        </w:rPr>
      </w:pPr>
    </w:p>
    <w:bookmarkEnd w:id="0"/>
    <w:bookmarkEnd w:id="1"/>
    <w:p w14:paraId="065D27EE" w14:textId="77777777" w:rsidR="006F379D" w:rsidRPr="006F379D" w:rsidRDefault="006F379D" w:rsidP="006F379D"/>
    <w:p w14:paraId="47160507" w14:textId="77777777" w:rsidR="00EF1A4D" w:rsidRPr="006F379D" w:rsidRDefault="00EF1A4D" w:rsidP="006F379D"/>
    <w:sectPr w:rsidR="00EF1A4D" w:rsidRPr="006F379D" w:rsidSect="00C44B4C">
      <w:headerReference w:type="default" r:id="rId19"/>
      <w:footerReference w:type="default" r:id="rId20"/>
      <w:pgSz w:w="12240" w:h="15840" w:code="1"/>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3F1AA5" w14:textId="77777777" w:rsidR="00777BCB" w:rsidRPr="009B7987" w:rsidRDefault="00777BCB" w:rsidP="00B30448">
      <w:pPr>
        <w:spacing w:after="0" w:line="240" w:lineRule="auto"/>
      </w:pPr>
      <w:r w:rsidRPr="009B7987">
        <w:separator/>
      </w:r>
    </w:p>
  </w:endnote>
  <w:endnote w:type="continuationSeparator" w:id="0">
    <w:p w14:paraId="211C77FC" w14:textId="77777777" w:rsidR="00777BCB" w:rsidRPr="009B7987" w:rsidRDefault="00777BCB" w:rsidP="00B30448">
      <w:pPr>
        <w:spacing w:after="0" w:line="240" w:lineRule="auto"/>
      </w:pPr>
      <w:r w:rsidRPr="009B7987">
        <w:continuationSeparator/>
      </w:r>
    </w:p>
  </w:endnote>
  <w:endnote w:type="continuationNotice" w:id="1">
    <w:p w14:paraId="4860A969" w14:textId="77777777" w:rsidR="00777BCB" w:rsidRPr="009B7987" w:rsidRDefault="00777BC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Century Gothic">
    <w:altName w:val="Calibri"/>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D9C0E4" w14:textId="77777777" w:rsidR="00A81E50" w:rsidRPr="009B7987" w:rsidRDefault="00A81E50" w:rsidP="00A81E50">
    <w:pPr>
      <w:pBdr>
        <w:top w:val="single" w:sz="4" w:space="1" w:color="auto"/>
      </w:pBdr>
      <w:spacing w:after="0"/>
      <w:rPr>
        <w:rFonts w:ascii="Verdana" w:hAnsi="Verdana"/>
        <w:b/>
        <w:bCs/>
        <w:sz w:val="20"/>
        <w:szCs w:val="20"/>
      </w:rPr>
    </w:pPr>
    <w:r w:rsidRPr="009B7987">
      <w:rPr>
        <w:rFonts w:ascii="Verdana" w:hAnsi="Verdana"/>
        <w:b/>
        <w:bCs/>
        <w:sz w:val="20"/>
        <w:szCs w:val="20"/>
      </w:rPr>
      <w:t xml:space="preserve">Agencia Nacional de Contratación Pública                                              </w:t>
    </w:r>
    <w:r w:rsidRPr="009B7987">
      <w:rPr>
        <w:rFonts w:ascii="Verdana" w:eastAsiaTheme="majorEastAsia" w:hAnsi="Verdana" w:cstheme="majorBidi"/>
        <w:b/>
        <w:bCs/>
        <w:sz w:val="16"/>
        <w:szCs w:val="16"/>
      </w:rPr>
      <w:t xml:space="preserve">pág. </w:t>
    </w:r>
    <w:r w:rsidRPr="009B7987">
      <w:rPr>
        <w:rFonts w:ascii="Verdana" w:eastAsiaTheme="minorEastAsia" w:hAnsi="Verdana"/>
        <w:b/>
        <w:bCs/>
        <w:sz w:val="16"/>
        <w:szCs w:val="16"/>
      </w:rPr>
      <w:fldChar w:fldCharType="begin"/>
    </w:r>
    <w:r w:rsidRPr="009B7987">
      <w:rPr>
        <w:rFonts w:ascii="Verdana" w:hAnsi="Verdana"/>
        <w:b/>
        <w:bCs/>
        <w:sz w:val="16"/>
        <w:szCs w:val="16"/>
      </w:rPr>
      <w:instrText>PAGE    \* MERGEFORMAT</w:instrText>
    </w:r>
    <w:r w:rsidRPr="009B7987">
      <w:rPr>
        <w:rFonts w:ascii="Verdana" w:eastAsiaTheme="minorEastAsia" w:hAnsi="Verdana"/>
        <w:b/>
        <w:bCs/>
        <w:sz w:val="16"/>
        <w:szCs w:val="16"/>
      </w:rPr>
      <w:fldChar w:fldCharType="separate"/>
    </w:r>
    <w:r w:rsidRPr="009B7987">
      <w:rPr>
        <w:rFonts w:ascii="Verdana" w:eastAsiaTheme="minorEastAsia" w:hAnsi="Verdana"/>
        <w:b/>
        <w:bCs/>
        <w:sz w:val="16"/>
        <w:szCs w:val="16"/>
      </w:rPr>
      <w:t>1</w:t>
    </w:r>
    <w:r w:rsidRPr="009B7987">
      <w:rPr>
        <w:rFonts w:ascii="Verdana" w:eastAsiaTheme="majorEastAsia" w:hAnsi="Verdana" w:cstheme="majorBidi"/>
        <w:b/>
        <w:bCs/>
        <w:sz w:val="16"/>
        <w:szCs w:val="16"/>
      </w:rPr>
      <w:fldChar w:fldCharType="end"/>
    </w:r>
    <w:r w:rsidRPr="009B7987">
      <w:rPr>
        <w:rFonts w:ascii="Verdana" w:hAnsi="Verdana"/>
        <w:b/>
        <w:bCs/>
        <w:sz w:val="20"/>
        <w:szCs w:val="20"/>
      </w:rPr>
      <w:t xml:space="preserve">              Colombia Compra Eficiente                                                            </w:t>
    </w:r>
  </w:p>
  <w:p w14:paraId="4FC9CAA9" w14:textId="77777777" w:rsidR="00A81E50" w:rsidRPr="009B7987" w:rsidRDefault="00A81E50" w:rsidP="00A81E50">
    <w:pPr>
      <w:spacing w:after="0"/>
      <w:jc w:val="both"/>
      <w:rPr>
        <w:rFonts w:ascii="Verdana" w:hAnsi="Verdana"/>
        <w:sz w:val="18"/>
        <w:szCs w:val="18"/>
      </w:rPr>
    </w:pPr>
    <w:r w:rsidRPr="009B7987">
      <w:rPr>
        <w:rFonts w:ascii="Verdana" w:hAnsi="Verdana"/>
        <w:sz w:val="18"/>
        <w:szCs w:val="18"/>
      </w:rPr>
      <w:t>Dirección: Carrera 7 # 26 – 20 - Bogotá, Colombia</w:t>
    </w:r>
  </w:p>
  <w:p w14:paraId="0B709B73" w14:textId="77777777" w:rsidR="00A81E50" w:rsidRPr="009B7987" w:rsidRDefault="00A81E50" w:rsidP="00A81E50">
    <w:pPr>
      <w:spacing w:after="0"/>
      <w:jc w:val="both"/>
      <w:rPr>
        <w:rFonts w:ascii="Verdana" w:hAnsi="Verdana"/>
        <w:sz w:val="18"/>
        <w:szCs w:val="18"/>
      </w:rPr>
    </w:pPr>
    <w:r w:rsidRPr="009B7987">
      <w:rPr>
        <w:rFonts w:ascii="Verdana" w:hAnsi="Verdana"/>
        <w:sz w:val="18"/>
        <w:szCs w:val="18"/>
      </w:rPr>
      <w:t>Mesa de servicio: (+57) 601 7456788</w:t>
    </w:r>
  </w:p>
  <w:p w14:paraId="224AB27F" w14:textId="77777777" w:rsidR="00DD7A2C" w:rsidRPr="009B7987" w:rsidRDefault="00A81E50" w:rsidP="00C00976">
    <w:pPr>
      <w:pBdr>
        <w:top w:val="nil"/>
        <w:left w:val="nil"/>
        <w:bottom w:val="nil"/>
        <w:right w:val="nil"/>
        <w:between w:val="nil"/>
      </w:pBdr>
      <w:tabs>
        <w:tab w:val="center" w:pos="4419"/>
        <w:tab w:val="right" w:pos="8838"/>
        <w:tab w:val="center" w:pos="5400"/>
      </w:tabs>
      <w:spacing w:after="0"/>
      <w:rPr>
        <w:rFonts w:ascii="Verdana" w:hAnsi="Verdana"/>
        <w:sz w:val="20"/>
        <w:szCs w:val="20"/>
      </w:rPr>
    </w:pPr>
    <w:r w:rsidRPr="009B7987">
      <w:rPr>
        <w:rFonts w:ascii="Verdana" w:hAnsi="Verdana"/>
        <w:sz w:val="18"/>
        <w:szCs w:val="18"/>
      </w:rPr>
      <w:t>Atención al ciudadano: (+57) 601 7956600</w:t>
    </w:r>
    <w:r w:rsidRPr="009B7987">
      <w:rPr>
        <w:rFonts w:ascii="Verdana" w:hAnsi="Verdana"/>
        <w:sz w:val="20"/>
        <w:szCs w:val="20"/>
      </w:rPr>
      <w:t xml:space="preserve">         </w:t>
    </w:r>
  </w:p>
  <w:p w14:paraId="2B8DBB2A" w14:textId="26AE77D2" w:rsidR="00A81E50" w:rsidRPr="009B7987" w:rsidRDefault="00A81E50" w:rsidP="00DD7A2C">
    <w:pPr>
      <w:pBdr>
        <w:top w:val="nil"/>
        <w:left w:val="nil"/>
        <w:bottom w:val="nil"/>
        <w:right w:val="nil"/>
        <w:between w:val="nil"/>
      </w:pBdr>
      <w:tabs>
        <w:tab w:val="center" w:pos="4419"/>
        <w:tab w:val="right" w:pos="8838"/>
        <w:tab w:val="center" w:pos="5400"/>
      </w:tabs>
      <w:spacing w:after="0"/>
      <w:jc w:val="right"/>
    </w:pPr>
    <w:r w:rsidRPr="009B7987">
      <w:rPr>
        <w:rFonts w:ascii="Verdana" w:hAnsi="Verdana"/>
        <w:sz w:val="20"/>
        <w:szCs w:val="20"/>
      </w:rPr>
      <w:t xml:space="preserve"> </w:t>
    </w:r>
    <w:r w:rsidRPr="009B7987">
      <w:rPr>
        <w:rFonts w:ascii="Verdana" w:eastAsia="Geo" w:hAnsi="Verdana" w:cs="Geo"/>
        <w:bCs/>
        <w:color w:val="000000"/>
        <w:sz w:val="16"/>
        <w:szCs w:val="16"/>
        <w:lang w:eastAsia="es-CO"/>
      </w:rPr>
      <w:t>Código: CCE-REC-FM-13 Versión</w:t>
    </w:r>
    <w:r w:rsidRPr="009B7987">
      <w:rPr>
        <w:rFonts w:ascii="Verdana" w:eastAsia="Arial Nova" w:hAnsi="Verdana" w:cs="Arial Nova"/>
        <w:bCs/>
        <w:color w:val="000000"/>
        <w:sz w:val="16"/>
        <w:szCs w:val="16"/>
        <w:lang w:eastAsia="es-CO"/>
      </w:rPr>
      <w:t>:</w:t>
    </w:r>
    <w:r w:rsidRPr="009B7987">
      <w:rPr>
        <w:rFonts w:ascii="Verdana" w:eastAsia="Arial Nova" w:hAnsi="Verdana" w:cs="Arial Nova"/>
        <w:b/>
        <w:color w:val="000000"/>
        <w:sz w:val="16"/>
        <w:szCs w:val="16"/>
        <w:lang w:eastAsia="es-CO"/>
      </w:rPr>
      <w:t xml:space="preserve"> </w:t>
    </w:r>
    <w:r w:rsidRPr="009B7987">
      <w:rPr>
        <w:rFonts w:ascii="Verdana" w:eastAsia="Geo" w:hAnsi="Verdana" w:cs="Geo"/>
        <w:sz w:val="16"/>
        <w:szCs w:val="16"/>
        <w:lang w:eastAsia="es-CO"/>
      </w:rPr>
      <w:t>01 Fecha:15-06-2023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11833F" w14:textId="77777777" w:rsidR="00777BCB" w:rsidRPr="009B7987" w:rsidRDefault="00777BCB" w:rsidP="00B30448">
      <w:pPr>
        <w:spacing w:after="0" w:line="240" w:lineRule="auto"/>
      </w:pPr>
      <w:r w:rsidRPr="009B7987">
        <w:separator/>
      </w:r>
    </w:p>
  </w:footnote>
  <w:footnote w:type="continuationSeparator" w:id="0">
    <w:p w14:paraId="6FA792C0" w14:textId="77777777" w:rsidR="00777BCB" w:rsidRPr="009B7987" w:rsidRDefault="00777BCB" w:rsidP="00B30448">
      <w:pPr>
        <w:spacing w:after="0" w:line="240" w:lineRule="auto"/>
      </w:pPr>
      <w:r w:rsidRPr="009B7987">
        <w:continuationSeparator/>
      </w:r>
    </w:p>
  </w:footnote>
  <w:footnote w:type="continuationNotice" w:id="1">
    <w:p w14:paraId="7CA13938" w14:textId="77777777" w:rsidR="00777BCB" w:rsidRPr="009B7987" w:rsidRDefault="00777BCB">
      <w:pPr>
        <w:spacing w:after="0" w:line="240" w:lineRule="auto"/>
      </w:pPr>
    </w:p>
  </w:footnote>
  <w:footnote w:id="2">
    <w:p w14:paraId="7A912C03" w14:textId="77777777" w:rsidR="006F379D" w:rsidRPr="00591347" w:rsidRDefault="006F379D" w:rsidP="006F379D">
      <w:pPr>
        <w:spacing w:after="0"/>
        <w:ind w:firstLine="708"/>
        <w:jc w:val="both"/>
        <w:rPr>
          <w:rFonts w:ascii="Verdana" w:hAnsi="Verdana" w:cs="Arial"/>
          <w:sz w:val="16"/>
          <w:szCs w:val="16"/>
        </w:rPr>
      </w:pPr>
      <w:r w:rsidRPr="00591347">
        <w:rPr>
          <w:rStyle w:val="Refdenotaalpie"/>
          <w:rFonts w:ascii="Verdana" w:hAnsi="Verdana" w:cs="Arial"/>
          <w:sz w:val="16"/>
          <w:szCs w:val="16"/>
        </w:rPr>
        <w:footnoteRef/>
      </w:r>
      <w:r w:rsidRPr="00591347">
        <w:rPr>
          <w:rFonts w:ascii="Verdana" w:hAnsi="Verdana" w:cs="Arial"/>
          <w:sz w:val="16"/>
          <w:szCs w:val="16"/>
        </w:rPr>
        <w:t xml:space="preserve"> “</w:t>
      </w:r>
      <w:r w:rsidRPr="00591347">
        <w:rPr>
          <w:rFonts w:ascii="Verdana" w:hAnsi="Verdana" w:cs="Arial"/>
          <w:bCs/>
          <w:sz w:val="16"/>
          <w:szCs w:val="16"/>
        </w:rPr>
        <w:t>Artículo 37. ejecución de proyectos de inversión.</w:t>
      </w:r>
      <w:r w:rsidRPr="00591347">
        <w:rPr>
          <w:rFonts w:ascii="Verdana" w:hAnsi="Verdana" w:cs="Arial"/>
          <w:sz w:val="16"/>
          <w:szCs w:val="16"/>
        </w:rPr>
        <w:t> los proyectos de inversión que se financien con cargo al sistema general de regalías serán ejecutados por quien designe las entidades u órganos de que tratan los artículos </w:t>
      </w:r>
      <w:hyperlink r:id="rId1" w:anchor="35" w:history="1">
        <w:r w:rsidRPr="00591347">
          <w:rPr>
            <w:rFonts w:ascii="Verdana" w:hAnsi="Verdana" w:cs="Arial"/>
            <w:sz w:val="16"/>
            <w:szCs w:val="16"/>
          </w:rPr>
          <w:t>35</w:t>
        </w:r>
      </w:hyperlink>
      <w:r w:rsidRPr="00591347">
        <w:rPr>
          <w:rFonts w:ascii="Verdana" w:hAnsi="Verdana" w:cs="Arial"/>
          <w:sz w:val="16"/>
          <w:szCs w:val="16"/>
        </w:rPr>
        <w:t> y </w:t>
      </w:r>
      <w:hyperlink r:id="rId2" w:anchor="36" w:history="1">
        <w:r w:rsidRPr="00591347">
          <w:rPr>
            <w:rFonts w:ascii="Verdana" w:hAnsi="Verdana" w:cs="Arial"/>
            <w:sz w:val="16"/>
            <w:szCs w:val="16"/>
          </w:rPr>
          <w:t>36</w:t>
        </w:r>
      </w:hyperlink>
      <w:r w:rsidRPr="00591347">
        <w:rPr>
          <w:rFonts w:ascii="Verdana" w:hAnsi="Verdana" w:cs="Arial"/>
          <w:sz w:val="16"/>
          <w:szCs w:val="16"/>
        </w:rPr>
        <w:t> de la presente ley. así mismo, la entidad ejecutora estará a cargo de la contratación de la interventoría, de conformidad con lo previsto en la presente ley.</w:t>
      </w:r>
    </w:p>
    <w:p w14:paraId="2E5255D1" w14:textId="77777777" w:rsidR="006F379D" w:rsidRPr="00591347" w:rsidRDefault="006F379D" w:rsidP="006F379D">
      <w:pPr>
        <w:spacing w:after="0"/>
        <w:ind w:firstLine="708"/>
        <w:jc w:val="both"/>
        <w:rPr>
          <w:rFonts w:ascii="Verdana" w:hAnsi="Verdana" w:cs="Arial"/>
          <w:sz w:val="16"/>
          <w:szCs w:val="16"/>
        </w:rPr>
      </w:pPr>
      <w:r w:rsidRPr="00591347">
        <w:rPr>
          <w:rFonts w:ascii="Verdana" w:hAnsi="Verdana" w:cs="Arial"/>
          <w:sz w:val="16"/>
          <w:szCs w:val="16"/>
        </w:rPr>
        <w:t>Las entidades ejecutoras de recursos del sistema son responsables de suministrar de forma veraz, oportuna e idónea, la información de la gestión de los proyectos que se requiera e implementar las acciones que sean pertinentes para encauzar el desempeño de los proyectos de inversión y decidir, de manera motivada, sobre la continuidad de los mismos, sin perjuicio de las acciones de control a las que haya lugar.</w:t>
      </w:r>
    </w:p>
    <w:p w14:paraId="27B30DF7" w14:textId="77777777" w:rsidR="006F379D" w:rsidRPr="00591347" w:rsidRDefault="006F379D" w:rsidP="006F379D">
      <w:pPr>
        <w:spacing w:after="0"/>
        <w:ind w:firstLine="708"/>
        <w:jc w:val="both"/>
        <w:rPr>
          <w:rFonts w:ascii="Verdana" w:hAnsi="Verdana" w:cs="Arial"/>
          <w:sz w:val="16"/>
          <w:szCs w:val="16"/>
        </w:rPr>
      </w:pPr>
      <w:r w:rsidRPr="00591347">
        <w:rPr>
          <w:rFonts w:ascii="Verdana" w:hAnsi="Verdana" w:cs="Arial"/>
          <w:bCs/>
          <w:sz w:val="16"/>
          <w:szCs w:val="16"/>
        </w:rPr>
        <w:t>Parágrafo 1o.</w:t>
      </w:r>
      <w:r w:rsidRPr="00591347">
        <w:rPr>
          <w:rFonts w:ascii="Verdana" w:hAnsi="Verdana" w:cs="Arial"/>
          <w:sz w:val="16"/>
          <w:szCs w:val="16"/>
        </w:rPr>
        <w:t xml:space="preserve"> La ejecución de proyectos de que trata este artículo, se adelantará, con estricta sujeción al régimen presupuestal definido en esta ley, al de contratación pública y las demás normas legales vigentes. el ejecutor garantizará la correcta ejecución de los recursos asignados al proyecto de inversión, así como el suministro y registro de la información requerida por el sistema de seguimiento, evaluación y control.</w:t>
      </w:r>
    </w:p>
    <w:p w14:paraId="1B2B8ACF" w14:textId="77777777" w:rsidR="006F379D" w:rsidRPr="00591347" w:rsidRDefault="006F379D" w:rsidP="006F379D">
      <w:pPr>
        <w:spacing w:after="0"/>
        <w:ind w:firstLine="708"/>
        <w:jc w:val="both"/>
        <w:rPr>
          <w:rFonts w:ascii="Verdana" w:hAnsi="Verdana" w:cs="Arial"/>
          <w:sz w:val="16"/>
          <w:szCs w:val="16"/>
        </w:rPr>
      </w:pPr>
      <w:r w:rsidRPr="00591347">
        <w:rPr>
          <w:rFonts w:ascii="Verdana" w:hAnsi="Verdana" w:cs="Arial"/>
          <w:bCs/>
          <w:sz w:val="16"/>
          <w:szCs w:val="16"/>
        </w:rPr>
        <w:t>Parágrafo 2o.</w:t>
      </w:r>
      <w:r w:rsidRPr="00591347">
        <w:rPr>
          <w:rFonts w:ascii="Verdana" w:hAnsi="Verdana" w:cs="Arial"/>
          <w:sz w:val="16"/>
          <w:szCs w:val="16"/>
        </w:rPr>
        <w:t xml:space="preserve"> Las entidades territoriales beneficiarias de asignaciones directas, la asignación para la inversión local y del 60% de la asignación para la inversión regional en cabeza de los departamentos podrán ejecutar directamente estos recursos o la entidad ejecutora que designe.</w:t>
      </w:r>
    </w:p>
    <w:p w14:paraId="7078E503" w14:textId="77777777" w:rsidR="006F379D" w:rsidRPr="00591347" w:rsidRDefault="006F379D" w:rsidP="006F379D">
      <w:pPr>
        <w:spacing w:after="0"/>
        <w:ind w:firstLine="708"/>
        <w:jc w:val="both"/>
        <w:rPr>
          <w:rFonts w:ascii="Verdana" w:hAnsi="Verdana" w:cs="Arial"/>
          <w:sz w:val="16"/>
          <w:szCs w:val="16"/>
        </w:rPr>
      </w:pPr>
      <w:r w:rsidRPr="00591347">
        <w:rPr>
          <w:rFonts w:ascii="Verdana" w:hAnsi="Verdana" w:cs="Arial"/>
          <w:bCs/>
          <w:sz w:val="16"/>
          <w:szCs w:val="16"/>
        </w:rPr>
        <w:t>Parágrafo 3o.</w:t>
      </w:r>
      <w:r w:rsidRPr="00591347">
        <w:rPr>
          <w:rFonts w:ascii="Verdana" w:hAnsi="Verdana" w:cs="Arial"/>
          <w:sz w:val="16"/>
          <w:szCs w:val="16"/>
        </w:rPr>
        <w:t xml:space="preserve"> La entidad designada ejecutora por las entidades u órganos de que tratan los artículos </w:t>
      </w:r>
      <w:hyperlink r:id="rId3" w:anchor="35" w:history="1">
        <w:r w:rsidRPr="00591347">
          <w:rPr>
            <w:rFonts w:ascii="Verdana" w:hAnsi="Verdana" w:cs="Arial"/>
            <w:sz w:val="16"/>
            <w:szCs w:val="16"/>
          </w:rPr>
          <w:t>35</w:t>
        </w:r>
      </w:hyperlink>
      <w:r w:rsidRPr="00591347">
        <w:rPr>
          <w:rFonts w:ascii="Verdana" w:hAnsi="Verdana" w:cs="Arial"/>
          <w:sz w:val="16"/>
          <w:szCs w:val="16"/>
        </w:rPr>
        <w:t xml:space="preserve"> y </w:t>
      </w:r>
      <w:hyperlink r:id="rId4" w:anchor="36" w:history="1">
        <w:r w:rsidRPr="00591347">
          <w:rPr>
            <w:rFonts w:ascii="Verdana" w:hAnsi="Verdana" w:cs="Arial"/>
            <w:sz w:val="16"/>
            <w:szCs w:val="16"/>
          </w:rPr>
          <w:t>36</w:t>
        </w:r>
      </w:hyperlink>
      <w:r w:rsidRPr="00591347">
        <w:rPr>
          <w:rFonts w:ascii="Verdana" w:hAnsi="Verdana" w:cs="Arial"/>
          <w:sz w:val="16"/>
          <w:szCs w:val="16"/>
        </w:rPr>
        <w:t>, deberá expedir el acto administrativo que ordena la apertura del proceso de selección o acto administrativo unilateral que decreta el gasto con cargo a los recursos asignados, a más tardar dentro de los seis (6) meses contados a partir de la publicación del acuerdo de aprobación del proyecto de inversión que emita la entidad o instancia, según corresponda, y será la responsable de verificar el cumplimiento de los requisitos legales para el inicio de la ejecución del proyecto de inversión.</w:t>
      </w:r>
    </w:p>
    <w:p w14:paraId="68F69EAC" w14:textId="77777777" w:rsidR="006F379D" w:rsidRPr="00591347" w:rsidRDefault="006F379D" w:rsidP="006F379D">
      <w:pPr>
        <w:spacing w:after="0"/>
        <w:ind w:firstLine="708"/>
        <w:jc w:val="both"/>
        <w:rPr>
          <w:rFonts w:ascii="Verdana" w:hAnsi="Verdana" w:cs="Arial"/>
          <w:sz w:val="16"/>
          <w:szCs w:val="16"/>
        </w:rPr>
      </w:pPr>
      <w:r w:rsidRPr="00591347">
        <w:rPr>
          <w:rFonts w:ascii="Verdana" w:hAnsi="Verdana" w:cs="Arial"/>
          <w:sz w:val="16"/>
          <w:szCs w:val="16"/>
        </w:rPr>
        <w:t>En caso de no cumplirse lo anterior, las entidades u órganos liberarán automáticamente los recursos para la aprobación de nuevos proyectos de inversión y reportarán estos casos al sistema de seguimiento, evaluación y control para que se tengan en cuenta en la medición del desempeño en la gestión de los recursos del sistema general de regalías y a los órganos de control.</w:t>
      </w:r>
    </w:p>
    <w:p w14:paraId="58320C9E" w14:textId="77777777" w:rsidR="006F379D" w:rsidRPr="00591347" w:rsidRDefault="006F379D" w:rsidP="006F379D">
      <w:pPr>
        <w:spacing w:after="0"/>
        <w:ind w:firstLine="708"/>
        <w:jc w:val="both"/>
        <w:rPr>
          <w:rFonts w:ascii="Verdana" w:hAnsi="Verdana"/>
          <w:sz w:val="16"/>
          <w:szCs w:val="16"/>
        </w:rPr>
      </w:pPr>
      <w:r w:rsidRPr="00591347">
        <w:rPr>
          <w:rFonts w:ascii="Verdana" w:hAnsi="Verdana" w:cs="Arial"/>
          <w:sz w:val="16"/>
          <w:szCs w:val="16"/>
        </w:rPr>
        <w:t>Se exceptúan los casos en los que por causas no atribuibles a la entidad designada como ejecutora no se logre expedir el acto administrativo que ordena la apertura del proceso de selección o acto administrativo unilateral que decreta el gasto con cargo a los recursos asignados en los seis (6) meses, caso en el cual las entidades u órganos podrán prorrogar hasta por doce (12) meses más lo estipulado en este parágrafo. la comisión rectora del sistema general de regalías reglamentará estos casos</w:t>
      </w:r>
      <w:r w:rsidRPr="00591347">
        <w:rPr>
          <w:rFonts w:ascii="Verdana" w:hAnsi="Verdana" w:cs="Arial"/>
          <w:sz w:val="16"/>
          <w:szCs w:val="16"/>
          <w:lang w:val="es-ES"/>
        </w:rPr>
        <w:t>”</w:t>
      </w:r>
      <w:r w:rsidRPr="00591347">
        <w:rPr>
          <w:rFonts w:ascii="Verdana" w:hAnsi="Verdana" w:cs="Arial"/>
          <w:sz w:val="16"/>
          <w:szCs w:val="16"/>
        </w:rPr>
        <w:t>.</w:t>
      </w:r>
    </w:p>
  </w:footnote>
  <w:footnote w:id="3">
    <w:p w14:paraId="131AE4F7" w14:textId="77777777" w:rsidR="006F379D" w:rsidRDefault="006F379D" w:rsidP="006F379D">
      <w:pPr>
        <w:spacing w:after="0" w:line="240" w:lineRule="auto"/>
        <w:ind w:right="49" w:firstLine="709"/>
        <w:contextualSpacing/>
        <w:jc w:val="both"/>
        <w:rPr>
          <w:rFonts w:ascii="Verdana" w:hAnsi="Verdana"/>
          <w:sz w:val="14"/>
          <w:szCs w:val="14"/>
        </w:rPr>
      </w:pPr>
      <w:r>
        <w:rPr>
          <w:rStyle w:val="Refdenotaalpie"/>
          <w:rFonts w:ascii="Verdana" w:hAnsi="Verdana"/>
          <w:sz w:val="14"/>
          <w:szCs w:val="14"/>
        </w:rPr>
        <w:footnoteRef/>
      </w:r>
      <w:r>
        <w:rPr>
          <w:rFonts w:ascii="Verdana" w:hAnsi="Verdana"/>
          <w:sz w:val="14"/>
          <w:szCs w:val="14"/>
        </w:rPr>
        <w:t xml:space="preserve"> El estatuto estableció como regla general para la selección del contratista la licitación pública o el concurso público, con algunas excepciones en las cuales la selección se haría mediante el procedimiento de contratación directa, entre ellas, la prevista en el literal m) del numeral 1 del artículo 24: “m) Los actos y contratos que tengan por objeto directo las actividades comerciales e industriales propias de las empresas industriales</w:t>
      </w:r>
      <w:r>
        <w:rPr>
          <w:rFonts w:ascii="Verdana" w:hAnsi="Verdana"/>
          <w:spacing w:val="-15"/>
          <w:sz w:val="14"/>
          <w:szCs w:val="14"/>
        </w:rPr>
        <w:t xml:space="preserve"> </w:t>
      </w:r>
      <w:r>
        <w:rPr>
          <w:rFonts w:ascii="Verdana" w:hAnsi="Verdana"/>
          <w:sz w:val="14"/>
          <w:szCs w:val="14"/>
        </w:rPr>
        <w:t>y comerciales estatales y de las sociedades de economía mixta, con excepción de los contratos que a título enunciativo identifica el artículo 32 de esta ley”, o sea, los de obra, consultoría, prestación de servicios,</w:t>
      </w:r>
      <w:r>
        <w:rPr>
          <w:rFonts w:ascii="Verdana" w:hAnsi="Verdana"/>
          <w:spacing w:val="-7"/>
          <w:sz w:val="14"/>
          <w:szCs w:val="14"/>
        </w:rPr>
        <w:t xml:space="preserve"> </w:t>
      </w:r>
      <w:r>
        <w:rPr>
          <w:rFonts w:ascii="Verdana" w:hAnsi="Verdana"/>
          <w:sz w:val="14"/>
          <w:szCs w:val="14"/>
        </w:rPr>
        <w:t>concesión,</w:t>
      </w:r>
      <w:r>
        <w:rPr>
          <w:rFonts w:ascii="Verdana" w:hAnsi="Verdana"/>
          <w:spacing w:val="-7"/>
          <w:sz w:val="14"/>
          <w:szCs w:val="14"/>
        </w:rPr>
        <w:t xml:space="preserve"> </w:t>
      </w:r>
      <w:r>
        <w:rPr>
          <w:rFonts w:ascii="Verdana" w:hAnsi="Verdana"/>
          <w:sz w:val="14"/>
          <w:szCs w:val="14"/>
        </w:rPr>
        <w:t>encargos</w:t>
      </w:r>
      <w:r>
        <w:rPr>
          <w:rFonts w:ascii="Verdana" w:hAnsi="Verdana"/>
          <w:spacing w:val="-7"/>
          <w:sz w:val="14"/>
          <w:szCs w:val="14"/>
        </w:rPr>
        <w:t xml:space="preserve"> </w:t>
      </w:r>
      <w:r>
        <w:rPr>
          <w:rFonts w:ascii="Verdana" w:hAnsi="Verdana"/>
          <w:sz w:val="14"/>
          <w:szCs w:val="14"/>
        </w:rPr>
        <w:t>fiduciarios</w:t>
      </w:r>
      <w:r>
        <w:rPr>
          <w:rFonts w:ascii="Verdana" w:hAnsi="Verdana"/>
          <w:spacing w:val="-7"/>
          <w:sz w:val="14"/>
          <w:szCs w:val="14"/>
        </w:rPr>
        <w:t xml:space="preserve"> </w:t>
      </w:r>
      <w:r>
        <w:rPr>
          <w:rFonts w:ascii="Verdana" w:hAnsi="Verdana"/>
          <w:sz w:val="14"/>
          <w:szCs w:val="14"/>
        </w:rPr>
        <w:t>y</w:t>
      </w:r>
      <w:r>
        <w:rPr>
          <w:rFonts w:ascii="Verdana" w:hAnsi="Verdana"/>
          <w:spacing w:val="-8"/>
          <w:sz w:val="14"/>
          <w:szCs w:val="14"/>
        </w:rPr>
        <w:t xml:space="preserve"> </w:t>
      </w:r>
      <w:r>
        <w:rPr>
          <w:rFonts w:ascii="Verdana" w:hAnsi="Verdana"/>
          <w:sz w:val="14"/>
          <w:szCs w:val="14"/>
        </w:rPr>
        <w:t>fiducia</w:t>
      </w:r>
      <w:r>
        <w:rPr>
          <w:rFonts w:ascii="Verdana" w:hAnsi="Verdana"/>
          <w:spacing w:val="-9"/>
          <w:sz w:val="14"/>
          <w:szCs w:val="14"/>
        </w:rPr>
        <w:t xml:space="preserve"> </w:t>
      </w:r>
      <w:r>
        <w:rPr>
          <w:rFonts w:ascii="Verdana" w:hAnsi="Verdana"/>
          <w:sz w:val="14"/>
          <w:szCs w:val="14"/>
        </w:rPr>
        <w:t>pública,</w:t>
      </w:r>
      <w:r>
        <w:rPr>
          <w:rFonts w:ascii="Verdana" w:hAnsi="Verdana"/>
          <w:spacing w:val="-7"/>
          <w:sz w:val="14"/>
          <w:szCs w:val="14"/>
        </w:rPr>
        <w:t xml:space="preserve"> </w:t>
      </w:r>
      <w:r>
        <w:rPr>
          <w:rFonts w:ascii="Verdana" w:hAnsi="Verdana"/>
          <w:sz w:val="14"/>
          <w:szCs w:val="14"/>
        </w:rPr>
        <w:t>que</w:t>
      </w:r>
      <w:r>
        <w:rPr>
          <w:rFonts w:ascii="Verdana" w:hAnsi="Verdana"/>
          <w:spacing w:val="-13"/>
          <w:sz w:val="14"/>
          <w:szCs w:val="14"/>
        </w:rPr>
        <w:t xml:space="preserve"> </w:t>
      </w:r>
      <w:r>
        <w:rPr>
          <w:rFonts w:ascii="Verdana" w:hAnsi="Verdana"/>
          <w:sz w:val="14"/>
          <w:szCs w:val="14"/>
        </w:rPr>
        <w:t>se</w:t>
      </w:r>
      <w:r>
        <w:rPr>
          <w:rFonts w:ascii="Verdana" w:hAnsi="Verdana"/>
          <w:spacing w:val="-8"/>
          <w:sz w:val="14"/>
          <w:szCs w:val="14"/>
        </w:rPr>
        <w:t xml:space="preserve"> </w:t>
      </w:r>
      <w:r>
        <w:rPr>
          <w:rFonts w:ascii="Verdana" w:hAnsi="Verdana"/>
          <w:sz w:val="14"/>
          <w:szCs w:val="14"/>
        </w:rPr>
        <w:t>regirían</w:t>
      </w:r>
      <w:r>
        <w:rPr>
          <w:rFonts w:ascii="Verdana" w:hAnsi="Verdana"/>
          <w:spacing w:val="-9"/>
          <w:sz w:val="14"/>
          <w:szCs w:val="14"/>
        </w:rPr>
        <w:t xml:space="preserve"> </w:t>
      </w:r>
      <w:r>
        <w:rPr>
          <w:rFonts w:ascii="Verdana" w:hAnsi="Verdana"/>
          <w:sz w:val="14"/>
          <w:szCs w:val="14"/>
        </w:rPr>
        <w:t>por</w:t>
      </w:r>
      <w:r>
        <w:rPr>
          <w:rFonts w:ascii="Verdana" w:hAnsi="Verdana"/>
          <w:spacing w:val="-7"/>
          <w:sz w:val="14"/>
          <w:szCs w:val="14"/>
        </w:rPr>
        <w:t xml:space="preserve"> </w:t>
      </w:r>
      <w:r>
        <w:rPr>
          <w:rFonts w:ascii="Verdana" w:hAnsi="Verdana"/>
          <w:sz w:val="14"/>
          <w:szCs w:val="14"/>
        </w:rPr>
        <w:t>la</w:t>
      </w:r>
      <w:r>
        <w:rPr>
          <w:rFonts w:ascii="Verdana" w:hAnsi="Verdana"/>
          <w:spacing w:val="-9"/>
          <w:sz w:val="14"/>
          <w:szCs w:val="14"/>
        </w:rPr>
        <w:t xml:space="preserve"> </w:t>
      </w:r>
      <w:r>
        <w:rPr>
          <w:rFonts w:ascii="Verdana" w:hAnsi="Verdana"/>
          <w:sz w:val="14"/>
          <w:szCs w:val="14"/>
        </w:rPr>
        <w:t>regla</w:t>
      </w:r>
      <w:r>
        <w:rPr>
          <w:rFonts w:ascii="Verdana" w:hAnsi="Verdana"/>
          <w:spacing w:val="-9"/>
          <w:sz w:val="14"/>
          <w:szCs w:val="14"/>
        </w:rPr>
        <w:t xml:space="preserve"> </w:t>
      </w:r>
      <w:r>
        <w:rPr>
          <w:rFonts w:ascii="Verdana" w:hAnsi="Verdana"/>
          <w:sz w:val="14"/>
          <w:szCs w:val="14"/>
        </w:rPr>
        <w:t>general,</w:t>
      </w:r>
      <w:r>
        <w:rPr>
          <w:rFonts w:ascii="Verdana" w:hAnsi="Verdana"/>
          <w:spacing w:val="-7"/>
          <w:sz w:val="14"/>
          <w:szCs w:val="14"/>
        </w:rPr>
        <w:t xml:space="preserve"> </w:t>
      </w:r>
      <w:r>
        <w:rPr>
          <w:rFonts w:ascii="Verdana" w:hAnsi="Verdana"/>
          <w:sz w:val="14"/>
          <w:szCs w:val="14"/>
        </w:rPr>
        <w:t>salvo</w:t>
      </w:r>
      <w:r>
        <w:rPr>
          <w:rFonts w:ascii="Verdana" w:hAnsi="Verdana"/>
          <w:spacing w:val="-10"/>
          <w:sz w:val="14"/>
          <w:szCs w:val="14"/>
        </w:rPr>
        <w:t xml:space="preserve"> </w:t>
      </w:r>
      <w:r>
        <w:rPr>
          <w:rFonts w:ascii="Verdana" w:hAnsi="Verdana"/>
          <w:sz w:val="14"/>
          <w:szCs w:val="14"/>
        </w:rPr>
        <w:t>los</w:t>
      </w:r>
      <w:r>
        <w:rPr>
          <w:rFonts w:ascii="Verdana" w:hAnsi="Verdana"/>
          <w:spacing w:val="-7"/>
          <w:sz w:val="14"/>
          <w:szCs w:val="14"/>
        </w:rPr>
        <w:t xml:space="preserve"> </w:t>
      </w:r>
      <w:r>
        <w:rPr>
          <w:rFonts w:ascii="Verdana" w:hAnsi="Verdana"/>
          <w:sz w:val="14"/>
          <w:szCs w:val="14"/>
        </w:rPr>
        <w:t>casos de</w:t>
      </w:r>
      <w:r>
        <w:rPr>
          <w:rFonts w:ascii="Verdana" w:hAnsi="Verdana"/>
          <w:spacing w:val="-2"/>
          <w:sz w:val="14"/>
          <w:szCs w:val="14"/>
        </w:rPr>
        <w:t xml:space="preserve"> </w:t>
      </w:r>
      <w:r>
        <w:rPr>
          <w:rFonts w:ascii="Verdana" w:hAnsi="Verdana"/>
          <w:sz w:val="14"/>
          <w:szCs w:val="14"/>
        </w:rPr>
        <w:t>menor cuantía –previstos en el ordinal a), numeral 1 del artículo 24, original, de la Ley 80 de 1993</w:t>
      </w:r>
      <w:r>
        <w:rPr>
          <w:rFonts w:ascii="Verdana" w:hAnsi="Verdana"/>
          <w:spacing w:val="-15"/>
          <w:sz w:val="14"/>
          <w:szCs w:val="14"/>
        </w:rPr>
        <w:t xml:space="preserve"> </w:t>
      </w:r>
      <w:r>
        <w:rPr>
          <w:rFonts w:ascii="Verdana" w:hAnsi="Verdana"/>
          <w:sz w:val="14"/>
          <w:szCs w:val="14"/>
        </w:rPr>
        <w:t>–. Además,</w:t>
      </w:r>
      <w:r>
        <w:rPr>
          <w:rFonts w:ascii="Verdana" w:hAnsi="Verdana"/>
          <w:spacing w:val="-1"/>
          <w:sz w:val="14"/>
          <w:szCs w:val="14"/>
        </w:rPr>
        <w:t xml:space="preserve"> </w:t>
      </w:r>
      <w:r>
        <w:rPr>
          <w:rFonts w:ascii="Verdana" w:hAnsi="Verdana"/>
          <w:sz w:val="14"/>
          <w:szCs w:val="14"/>
        </w:rPr>
        <w:t>en</w:t>
      </w:r>
      <w:r>
        <w:rPr>
          <w:rFonts w:ascii="Verdana" w:hAnsi="Verdana"/>
          <w:spacing w:val="-5"/>
          <w:sz w:val="14"/>
          <w:szCs w:val="14"/>
        </w:rPr>
        <w:t xml:space="preserve"> </w:t>
      </w:r>
      <w:r>
        <w:rPr>
          <w:rFonts w:ascii="Verdana" w:hAnsi="Verdana"/>
          <w:sz w:val="14"/>
          <w:szCs w:val="14"/>
        </w:rPr>
        <w:t>el</w:t>
      </w:r>
      <w:r>
        <w:rPr>
          <w:rFonts w:ascii="Verdana" w:hAnsi="Verdana"/>
          <w:spacing w:val="-2"/>
          <w:sz w:val="14"/>
          <w:szCs w:val="14"/>
        </w:rPr>
        <w:t xml:space="preserve"> </w:t>
      </w:r>
      <w:r>
        <w:rPr>
          <w:rFonts w:ascii="Verdana" w:hAnsi="Verdana"/>
          <w:sz w:val="14"/>
          <w:szCs w:val="14"/>
        </w:rPr>
        <w:t>parágrafo</w:t>
      </w:r>
      <w:r>
        <w:rPr>
          <w:rFonts w:ascii="Verdana" w:hAnsi="Verdana"/>
          <w:spacing w:val="-5"/>
          <w:sz w:val="14"/>
          <w:szCs w:val="14"/>
        </w:rPr>
        <w:t xml:space="preserve"> </w:t>
      </w:r>
      <w:r>
        <w:rPr>
          <w:rFonts w:ascii="Verdana" w:hAnsi="Verdana"/>
          <w:sz w:val="14"/>
          <w:szCs w:val="14"/>
        </w:rPr>
        <w:t>del</w:t>
      </w:r>
      <w:r>
        <w:rPr>
          <w:rFonts w:ascii="Verdana" w:hAnsi="Verdana"/>
          <w:spacing w:val="-2"/>
          <w:sz w:val="14"/>
          <w:szCs w:val="14"/>
        </w:rPr>
        <w:t xml:space="preserve"> </w:t>
      </w:r>
      <w:r>
        <w:rPr>
          <w:rFonts w:ascii="Verdana" w:hAnsi="Verdana"/>
          <w:sz w:val="14"/>
          <w:szCs w:val="14"/>
        </w:rPr>
        <w:t>artículo</w:t>
      </w:r>
      <w:r>
        <w:rPr>
          <w:rFonts w:ascii="Verdana" w:hAnsi="Verdana"/>
          <w:spacing w:val="-5"/>
          <w:sz w:val="14"/>
          <w:szCs w:val="14"/>
        </w:rPr>
        <w:t xml:space="preserve"> </w:t>
      </w:r>
      <w:r>
        <w:rPr>
          <w:rFonts w:ascii="Verdana" w:hAnsi="Verdana"/>
          <w:sz w:val="14"/>
          <w:szCs w:val="14"/>
        </w:rPr>
        <w:t>14</w:t>
      </w:r>
      <w:r>
        <w:rPr>
          <w:rFonts w:ascii="Verdana" w:hAnsi="Verdana"/>
          <w:spacing w:val="-5"/>
          <w:sz w:val="14"/>
          <w:szCs w:val="14"/>
        </w:rPr>
        <w:t xml:space="preserve"> </w:t>
      </w:r>
      <w:r>
        <w:rPr>
          <w:rFonts w:ascii="Verdana" w:hAnsi="Verdana"/>
          <w:sz w:val="14"/>
          <w:szCs w:val="14"/>
        </w:rPr>
        <w:t>de</w:t>
      </w:r>
      <w:r>
        <w:rPr>
          <w:rFonts w:ascii="Verdana" w:hAnsi="Verdana"/>
          <w:spacing w:val="-3"/>
          <w:sz w:val="14"/>
          <w:szCs w:val="14"/>
        </w:rPr>
        <w:t xml:space="preserve"> </w:t>
      </w:r>
      <w:r>
        <w:rPr>
          <w:rFonts w:ascii="Verdana" w:hAnsi="Verdana"/>
          <w:sz w:val="14"/>
          <w:szCs w:val="14"/>
        </w:rPr>
        <w:t>la</w:t>
      </w:r>
      <w:r>
        <w:rPr>
          <w:rFonts w:ascii="Verdana" w:hAnsi="Verdana"/>
          <w:spacing w:val="-4"/>
          <w:sz w:val="14"/>
          <w:szCs w:val="14"/>
        </w:rPr>
        <w:t xml:space="preserve"> </w:t>
      </w:r>
      <w:r>
        <w:rPr>
          <w:rFonts w:ascii="Verdana" w:hAnsi="Verdana"/>
          <w:sz w:val="14"/>
          <w:szCs w:val="14"/>
        </w:rPr>
        <w:t>Ley</w:t>
      </w:r>
      <w:r>
        <w:rPr>
          <w:rFonts w:ascii="Verdana" w:hAnsi="Verdana"/>
          <w:spacing w:val="-3"/>
          <w:sz w:val="14"/>
          <w:szCs w:val="14"/>
        </w:rPr>
        <w:t xml:space="preserve"> </w:t>
      </w:r>
      <w:r>
        <w:rPr>
          <w:rFonts w:ascii="Verdana" w:hAnsi="Verdana"/>
          <w:sz w:val="14"/>
          <w:szCs w:val="14"/>
        </w:rPr>
        <w:t>80</w:t>
      </w:r>
      <w:r>
        <w:rPr>
          <w:rFonts w:ascii="Verdana" w:hAnsi="Verdana"/>
          <w:spacing w:val="-5"/>
          <w:sz w:val="14"/>
          <w:szCs w:val="14"/>
        </w:rPr>
        <w:t xml:space="preserve"> </w:t>
      </w:r>
      <w:r>
        <w:rPr>
          <w:rFonts w:ascii="Verdana" w:hAnsi="Verdana"/>
          <w:sz w:val="14"/>
          <w:szCs w:val="14"/>
        </w:rPr>
        <w:t>de</w:t>
      </w:r>
      <w:r>
        <w:rPr>
          <w:rFonts w:ascii="Verdana" w:hAnsi="Verdana"/>
          <w:spacing w:val="-3"/>
          <w:sz w:val="14"/>
          <w:szCs w:val="14"/>
        </w:rPr>
        <w:t xml:space="preserve"> </w:t>
      </w:r>
      <w:r>
        <w:rPr>
          <w:rFonts w:ascii="Verdana" w:hAnsi="Verdana"/>
          <w:sz w:val="14"/>
          <w:szCs w:val="14"/>
        </w:rPr>
        <w:t>1993,</w:t>
      </w:r>
      <w:r>
        <w:rPr>
          <w:rFonts w:ascii="Verdana" w:hAnsi="Verdana"/>
          <w:spacing w:val="-1"/>
          <w:sz w:val="14"/>
          <w:szCs w:val="14"/>
        </w:rPr>
        <w:t xml:space="preserve"> </w:t>
      </w:r>
      <w:r>
        <w:rPr>
          <w:rFonts w:ascii="Verdana" w:hAnsi="Verdana"/>
          <w:sz w:val="14"/>
          <w:szCs w:val="14"/>
        </w:rPr>
        <w:t>se</w:t>
      </w:r>
      <w:r>
        <w:rPr>
          <w:rFonts w:ascii="Verdana" w:hAnsi="Verdana"/>
          <w:spacing w:val="-3"/>
          <w:sz w:val="14"/>
          <w:szCs w:val="14"/>
        </w:rPr>
        <w:t xml:space="preserve"> </w:t>
      </w:r>
      <w:r>
        <w:rPr>
          <w:rFonts w:ascii="Verdana" w:hAnsi="Verdana"/>
          <w:sz w:val="14"/>
          <w:szCs w:val="14"/>
        </w:rPr>
        <w:t>señaló</w:t>
      </w:r>
      <w:r>
        <w:rPr>
          <w:rFonts w:ascii="Verdana" w:hAnsi="Verdana"/>
          <w:spacing w:val="-5"/>
          <w:sz w:val="14"/>
          <w:szCs w:val="14"/>
        </w:rPr>
        <w:t xml:space="preserve"> </w:t>
      </w:r>
      <w:r>
        <w:rPr>
          <w:rFonts w:ascii="Verdana" w:hAnsi="Verdana"/>
          <w:sz w:val="14"/>
          <w:szCs w:val="14"/>
        </w:rPr>
        <w:t>que</w:t>
      </w:r>
      <w:r>
        <w:rPr>
          <w:rFonts w:ascii="Verdana" w:hAnsi="Verdana"/>
          <w:spacing w:val="-3"/>
          <w:sz w:val="14"/>
          <w:szCs w:val="14"/>
        </w:rPr>
        <w:t xml:space="preserve"> </w:t>
      </w:r>
      <w:r>
        <w:rPr>
          <w:rFonts w:ascii="Verdana" w:hAnsi="Verdana"/>
          <w:sz w:val="14"/>
          <w:szCs w:val="14"/>
        </w:rPr>
        <w:t>“en</w:t>
      </w:r>
      <w:r>
        <w:rPr>
          <w:rFonts w:ascii="Verdana" w:hAnsi="Verdana"/>
          <w:spacing w:val="-5"/>
          <w:sz w:val="14"/>
          <w:szCs w:val="14"/>
        </w:rPr>
        <w:t xml:space="preserve"> </w:t>
      </w:r>
      <w:r>
        <w:rPr>
          <w:rFonts w:ascii="Verdana" w:hAnsi="Verdana"/>
          <w:sz w:val="14"/>
          <w:szCs w:val="14"/>
        </w:rPr>
        <w:t>los</w:t>
      </w:r>
      <w:r>
        <w:rPr>
          <w:rFonts w:ascii="Verdana" w:hAnsi="Verdana"/>
          <w:spacing w:val="-2"/>
          <w:sz w:val="14"/>
          <w:szCs w:val="14"/>
        </w:rPr>
        <w:t xml:space="preserve"> </w:t>
      </w:r>
      <w:r>
        <w:rPr>
          <w:rFonts w:ascii="Verdana" w:hAnsi="Verdana"/>
          <w:sz w:val="14"/>
          <w:szCs w:val="14"/>
        </w:rPr>
        <w:t>contratos</w:t>
      </w:r>
      <w:r>
        <w:rPr>
          <w:rFonts w:ascii="Verdana" w:hAnsi="Verdana"/>
          <w:spacing w:val="-2"/>
          <w:sz w:val="14"/>
          <w:szCs w:val="14"/>
        </w:rPr>
        <w:t xml:space="preserve"> </w:t>
      </w:r>
      <w:r>
        <w:rPr>
          <w:rFonts w:ascii="Verdana" w:hAnsi="Verdana"/>
          <w:sz w:val="14"/>
          <w:szCs w:val="14"/>
        </w:rPr>
        <w:t>que</w:t>
      </w:r>
      <w:r>
        <w:rPr>
          <w:rFonts w:ascii="Verdana" w:hAnsi="Verdana"/>
          <w:spacing w:val="-3"/>
          <w:sz w:val="14"/>
          <w:szCs w:val="14"/>
        </w:rPr>
        <w:t xml:space="preserve"> </w:t>
      </w:r>
      <w:r>
        <w:rPr>
          <w:rFonts w:ascii="Verdana" w:hAnsi="Verdana"/>
          <w:sz w:val="14"/>
          <w:szCs w:val="14"/>
        </w:rPr>
        <w:t>tengan</w:t>
      </w:r>
      <w:r>
        <w:rPr>
          <w:rFonts w:ascii="Verdana" w:hAnsi="Verdana"/>
          <w:spacing w:val="-4"/>
          <w:sz w:val="14"/>
          <w:szCs w:val="14"/>
        </w:rPr>
        <w:t xml:space="preserve"> </w:t>
      </w:r>
      <w:r>
        <w:rPr>
          <w:rFonts w:ascii="Verdana" w:hAnsi="Verdana"/>
          <w:sz w:val="14"/>
          <w:szCs w:val="14"/>
        </w:rPr>
        <w:t>por objeto</w:t>
      </w:r>
      <w:r>
        <w:rPr>
          <w:rFonts w:ascii="Verdana" w:hAnsi="Verdana"/>
          <w:spacing w:val="-1"/>
          <w:sz w:val="14"/>
          <w:szCs w:val="14"/>
        </w:rPr>
        <w:t xml:space="preserve"> </w:t>
      </w:r>
      <w:r>
        <w:rPr>
          <w:rFonts w:ascii="Verdana" w:hAnsi="Verdana"/>
          <w:sz w:val="14"/>
          <w:szCs w:val="14"/>
        </w:rPr>
        <w:t>actividades comerciales o</w:t>
      </w:r>
      <w:r>
        <w:rPr>
          <w:rFonts w:ascii="Verdana" w:hAnsi="Verdana"/>
          <w:spacing w:val="-1"/>
          <w:sz w:val="14"/>
          <w:szCs w:val="14"/>
        </w:rPr>
        <w:t xml:space="preserve"> </w:t>
      </w:r>
      <w:r>
        <w:rPr>
          <w:rFonts w:ascii="Verdana" w:hAnsi="Verdana"/>
          <w:sz w:val="14"/>
          <w:szCs w:val="14"/>
        </w:rPr>
        <w:t>industriales de las entidades</w:t>
      </w:r>
      <w:r>
        <w:rPr>
          <w:rFonts w:ascii="Verdana" w:hAnsi="Verdana"/>
          <w:spacing w:val="-3"/>
          <w:sz w:val="14"/>
          <w:szCs w:val="14"/>
        </w:rPr>
        <w:t xml:space="preserve"> </w:t>
      </w:r>
      <w:r>
        <w:rPr>
          <w:rFonts w:ascii="Verdana" w:hAnsi="Verdana"/>
          <w:sz w:val="14"/>
          <w:szCs w:val="14"/>
        </w:rPr>
        <w:t>estatales que no</w:t>
      </w:r>
      <w:r>
        <w:rPr>
          <w:rFonts w:ascii="Verdana" w:hAnsi="Verdana"/>
          <w:spacing w:val="-1"/>
          <w:sz w:val="14"/>
          <w:szCs w:val="14"/>
        </w:rPr>
        <w:t xml:space="preserve"> </w:t>
      </w:r>
      <w:r>
        <w:rPr>
          <w:rFonts w:ascii="Verdana" w:hAnsi="Verdana"/>
          <w:sz w:val="14"/>
          <w:szCs w:val="14"/>
        </w:rPr>
        <w:t xml:space="preserve">correspondan a las señaladas en el numeral 2º de este artículo (…) se prescindirá de la utilización de las cláusulas o estipulaciones </w:t>
      </w:r>
      <w:r>
        <w:rPr>
          <w:rFonts w:ascii="Verdana" w:hAnsi="Verdana"/>
          <w:spacing w:val="-2"/>
          <w:sz w:val="14"/>
          <w:szCs w:val="14"/>
        </w:rPr>
        <w:t>excepcionales”.</w:t>
      </w:r>
    </w:p>
  </w:footnote>
  <w:footnote w:id="4">
    <w:p w14:paraId="09CE89DC" w14:textId="77777777" w:rsidR="006F379D" w:rsidRDefault="006F379D" w:rsidP="006F379D">
      <w:pPr>
        <w:tabs>
          <w:tab w:val="left" w:pos="142"/>
          <w:tab w:val="left" w:pos="8789"/>
        </w:tabs>
        <w:spacing w:after="0" w:line="240" w:lineRule="auto"/>
        <w:ind w:right="49" w:firstLine="709"/>
        <w:contextualSpacing/>
        <w:jc w:val="both"/>
        <w:rPr>
          <w:rFonts w:ascii="Verdana" w:hAnsi="Verdana"/>
          <w:sz w:val="14"/>
          <w:szCs w:val="14"/>
        </w:rPr>
      </w:pPr>
      <w:r>
        <w:rPr>
          <w:rStyle w:val="Refdenotaalpie"/>
          <w:rFonts w:ascii="Verdana" w:hAnsi="Verdana"/>
          <w:sz w:val="14"/>
          <w:szCs w:val="14"/>
        </w:rPr>
        <w:footnoteRef/>
      </w:r>
      <w:r>
        <w:rPr>
          <w:rFonts w:ascii="Verdana" w:hAnsi="Verdana"/>
          <w:sz w:val="14"/>
          <w:szCs w:val="14"/>
        </w:rPr>
        <w:t xml:space="preserve"> </w:t>
      </w:r>
      <w:bookmarkStart w:id="5" w:name="_Hlk199860326"/>
      <w:r>
        <w:rPr>
          <w:rFonts w:ascii="Verdana" w:hAnsi="Verdana"/>
          <w:sz w:val="14"/>
          <w:szCs w:val="14"/>
        </w:rPr>
        <w:t>Sin perjuicio</w:t>
      </w:r>
      <w:r>
        <w:rPr>
          <w:rFonts w:ascii="Verdana" w:hAnsi="Verdana"/>
          <w:spacing w:val="-1"/>
          <w:sz w:val="14"/>
          <w:szCs w:val="14"/>
        </w:rPr>
        <w:t xml:space="preserve"> </w:t>
      </w:r>
      <w:r>
        <w:rPr>
          <w:rFonts w:ascii="Verdana" w:hAnsi="Verdana"/>
          <w:sz w:val="14"/>
          <w:szCs w:val="14"/>
        </w:rPr>
        <w:t>de la regla indicada, es importante</w:t>
      </w:r>
      <w:r>
        <w:rPr>
          <w:rFonts w:ascii="Verdana" w:hAnsi="Verdana"/>
          <w:spacing w:val="-4"/>
          <w:sz w:val="14"/>
          <w:szCs w:val="14"/>
        </w:rPr>
        <w:t xml:space="preserve"> </w:t>
      </w:r>
      <w:r>
        <w:rPr>
          <w:rFonts w:ascii="Verdana" w:hAnsi="Verdana"/>
          <w:sz w:val="14"/>
          <w:szCs w:val="14"/>
        </w:rPr>
        <w:t>señalar que el literal</w:t>
      </w:r>
      <w:r>
        <w:rPr>
          <w:rFonts w:ascii="Verdana" w:hAnsi="Verdana"/>
          <w:spacing w:val="-3"/>
          <w:sz w:val="14"/>
          <w:szCs w:val="14"/>
        </w:rPr>
        <w:t xml:space="preserve"> </w:t>
      </w:r>
      <w:r>
        <w:rPr>
          <w:rFonts w:ascii="Verdana" w:hAnsi="Verdana"/>
          <w:sz w:val="14"/>
          <w:szCs w:val="14"/>
        </w:rPr>
        <w:t>g, numeral 2, artículo</w:t>
      </w:r>
      <w:r>
        <w:rPr>
          <w:rFonts w:ascii="Verdana" w:hAnsi="Verdana"/>
          <w:spacing w:val="-1"/>
          <w:sz w:val="14"/>
          <w:szCs w:val="14"/>
        </w:rPr>
        <w:t xml:space="preserve"> </w:t>
      </w:r>
      <w:r>
        <w:rPr>
          <w:rFonts w:ascii="Verdana" w:hAnsi="Verdana"/>
          <w:sz w:val="14"/>
          <w:szCs w:val="14"/>
        </w:rPr>
        <w:t>2</w:t>
      </w:r>
      <w:r>
        <w:rPr>
          <w:rFonts w:ascii="Verdana" w:hAnsi="Verdana"/>
          <w:spacing w:val="-1"/>
          <w:sz w:val="14"/>
          <w:szCs w:val="14"/>
        </w:rPr>
        <w:t xml:space="preserve"> </w:t>
      </w:r>
      <w:r>
        <w:rPr>
          <w:rFonts w:ascii="Verdana" w:hAnsi="Verdana"/>
          <w:sz w:val="14"/>
          <w:szCs w:val="14"/>
        </w:rPr>
        <w:t>de la Ley 1150 de 2007, prevé como causal de selección abreviada: “Los actos y contratos que tengan por objeto directo</w:t>
      </w:r>
      <w:r>
        <w:rPr>
          <w:rFonts w:ascii="Verdana" w:hAnsi="Verdana"/>
          <w:spacing w:val="-10"/>
          <w:sz w:val="14"/>
          <w:szCs w:val="14"/>
        </w:rPr>
        <w:t xml:space="preserve"> </w:t>
      </w:r>
      <w:r>
        <w:rPr>
          <w:rFonts w:ascii="Verdana" w:hAnsi="Verdana"/>
          <w:sz w:val="14"/>
          <w:szCs w:val="14"/>
        </w:rPr>
        <w:t>las</w:t>
      </w:r>
      <w:r>
        <w:rPr>
          <w:rFonts w:ascii="Verdana" w:hAnsi="Verdana"/>
          <w:spacing w:val="-7"/>
          <w:sz w:val="14"/>
          <w:szCs w:val="14"/>
        </w:rPr>
        <w:t xml:space="preserve"> </w:t>
      </w:r>
      <w:r>
        <w:rPr>
          <w:rFonts w:ascii="Verdana" w:hAnsi="Verdana"/>
          <w:sz w:val="14"/>
          <w:szCs w:val="14"/>
        </w:rPr>
        <w:t>actividades</w:t>
      </w:r>
      <w:r>
        <w:rPr>
          <w:rFonts w:ascii="Verdana" w:hAnsi="Verdana"/>
          <w:spacing w:val="-7"/>
          <w:sz w:val="14"/>
          <w:szCs w:val="14"/>
        </w:rPr>
        <w:t xml:space="preserve"> </w:t>
      </w:r>
      <w:r>
        <w:rPr>
          <w:rFonts w:ascii="Verdana" w:hAnsi="Verdana"/>
          <w:sz w:val="14"/>
          <w:szCs w:val="14"/>
        </w:rPr>
        <w:t>comerciales</w:t>
      </w:r>
      <w:r>
        <w:rPr>
          <w:rFonts w:ascii="Verdana" w:hAnsi="Verdana"/>
          <w:spacing w:val="-7"/>
          <w:sz w:val="14"/>
          <w:szCs w:val="14"/>
        </w:rPr>
        <w:t xml:space="preserve"> </w:t>
      </w:r>
      <w:r>
        <w:rPr>
          <w:rFonts w:ascii="Verdana" w:hAnsi="Verdana"/>
          <w:sz w:val="14"/>
          <w:szCs w:val="14"/>
        </w:rPr>
        <w:t>e</w:t>
      </w:r>
      <w:r>
        <w:rPr>
          <w:rFonts w:ascii="Verdana" w:hAnsi="Verdana"/>
          <w:spacing w:val="-8"/>
          <w:sz w:val="14"/>
          <w:szCs w:val="14"/>
        </w:rPr>
        <w:t xml:space="preserve"> </w:t>
      </w:r>
      <w:r>
        <w:rPr>
          <w:rFonts w:ascii="Verdana" w:hAnsi="Verdana"/>
          <w:sz w:val="14"/>
          <w:szCs w:val="14"/>
        </w:rPr>
        <w:t>industriales</w:t>
      </w:r>
      <w:r>
        <w:rPr>
          <w:rFonts w:ascii="Verdana" w:hAnsi="Verdana"/>
          <w:spacing w:val="-7"/>
          <w:sz w:val="14"/>
          <w:szCs w:val="14"/>
        </w:rPr>
        <w:t xml:space="preserve"> </w:t>
      </w:r>
      <w:r>
        <w:rPr>
          <w:rFonts w:ascii="Verdana" w:hAnsi="Verdana"/>
          <w:sz w:val="14"/>
          <w:szCs w:val="14"/>
        </w:rPr>
        <w:t>propias</w:t>
      </w:r>
      <w:r>
        <w:rPr>
          <w:rFonts w:ascii="Verdana" w:hAnsi="Verdana"/>
          <w:spacing w:val="-7"/>
          <w:sz w:val="14"/>
          <w:szCs w:val="14"/>
        </w:rPr>
        <w:t xml:space="preserve"> </w:t>
      </w:r>
      <w:r>
        <w:rPr>
          <w:rFonts w:ascii="Verdana" w:hAnsi="Verdana"/>
          <w:sz w:val="14"/>
          <w:szCs w:val="14"/>
        </w:rPr>
        <w:t>de</w:t>
      </w:r>
      <w:r>
        <w:rPr>
          <w:rFonts w:ascii="Verdana" w:hAnsi="Verdana"/>
          <w:spacing w:val="-8"/>
          <w:sz w:val="14"/>
          <w:szCs w:val="14"/>
        </w:rPr>
        <w:t xml:space="preserve"> </w:t>
      </w:r>
      <w:r>
        <w:rPr>
          <w:rFonts w:ascii="Verdana" w:hAnsi="Verdana"/>
          <w:sz w:val="14"/>
          <w:szCs w:val="14"/>
        </w:rPr>
        <w:t>las</w:t>
      </w:r>
      <w:r>
        <w:rPr>
          <w:rFonts w:ascii="Verdana" w:hAnsi="Verdana"/>
          <w:spacing w:val="-7"/>
          <w:sz w:val="14"/>
          <w:szCs w:val="14"/>
        </w:rPr>
        <w:t xml:space="preserve"> </w:t>
      </w:r>
      <w:r>
        <w:rPr>
          <w:rFonts w:ascii="Verdana" w:hAnsi="Verdana"/>
          <w:sz w:val="14"/>
          <w:szCs w:val="14"/>
        </w:rPr>
        <w:t>Empresas</w:t>
      </w:r>
      <w:r>
        <w:rPr>
          <w:rFonts w:ascii="Verdana" w:hAnsi="Verdana"/>
          <w:spacing w:val="-7"/>
          <w:sz w:val="14"/>
          <w:szCs w:val="14"/>
        </w:rPr>
        <w:t xml:space="preserve"> </w:t>
      </w:r>
      <w:r>
        <w:rPr>
          <w:rFonts w:ascii="Verdana" w:hAnsi="Verdana"/>
          <w:sz w:val="14"/>
          <w:szCs w:val="14"/>
        </w:rPr>
        <w:t>Industriales</w:t>
      </w:r>
      <w:r>
        <w:rPr>
          <w:rFonts w:ascii="Verdana" w:hAnsi="Verdana"/>
          <w:spacing w:val="-7"/>
          <w:sz w:val="14"/>
          <w:szCs w:val="14"/>
        </w:rPr>
        <w:t xml:space="preserve"> </w:t>
      </w:r>
      <w:r>
        <w:rPr>
          <w:rFonts w:ascii="Verdana" w:hAnsi="Verdana"/>
          <w:sz w:val="14"/>
          <w:szCs w:val="14"/>
        </w:rPr>
        <w:t>y</w:t>
      </w:r>
      <w:r>
        <w:rPr>
          <w:rFonts w:ascii="Verdana" w:hAnsi="Verdana"/>
          <w:spacing w:val="-8"/>
          <w:sz w:val="14"/>
          <w:szCs w:val="14"/>
        </w:rPr>
        <w:t xml:space="preserve"> </w:t>
      </w:r>
      <w:r>
        <w:rPr>
          <w:rFonts w:ascii="Verdana" w:hAnsi="Verdana"/>
          <w:sz w:val="14"/>
          <w:szCs w:val="14"/>
        </w:rPr>
        <w:t>Comerciales</w:t>
      </w:r>
      <w:r>
        <w:rPr>
          <w:rFonts w:ascii="Verdana" w:hAnsi="Verdana"/>
          <w:spacing w:val="-7"/>
          <w:sz w:val="14"/>
          <w:szCs w:val="14"/>
        </w:rPr>
        <w:t xml:space="preserve"> </w:t>
      </w:r>
      <w:r>
        <w:rPr>
          <w:rFonts w:ascii="Verdana" w:hAnsi="Verdana"/>
          <w:sz w:val="14"/>
          <w:szCs w:val="14"/>
        </w:rPr>
        <w:t>Estatales y de las Sociedades de Economía Mixta, con excepción de los contratos que a título enunciativo identifica el artículo</w:t>
      </w:r>
      <w:r>
        <w:rPr>
          <w:rFonts w:ascii="Verdana" w:hAnsi="Verdana"/>
          <w:spacing w:val="-15"/>
          <w:sz w:val="14"/>
          <w:szCs w:val="14"/>
        </w:rPr>
        <w:t xml:space="preserve"> </w:t>
      </w:r>
      <w:r>
        <w:rPr>
          <w:rFonts w:ascii="Verdana" w:hAnsi="Verdana"/>
          <w:sz w:val="14"/>
          <w:szCs w:val="14"/>
        </w:rPr>
        <w:t>32</w:t>
      </w:r>
      <w:r>
        <w:rPr>
          <w:rFonts w:ascii="Verdana" w:hAnsi="Verdana"/>
          <w:spacing w:val="-14"/>
          <w:sz w:val="14"/>
          <w:szCs w:val="14"/>
        </w:rPr>
        <w:t xml:space="preserve"> </w:t>
      </w:r>
      <w:r>
        <w:rPr>
          <w:rFonts w:ascii="Verdana" w:hAnsi="Verdana"/>
          <w:sz w:val="14"/>
          <w:szCs w:val="14"/>
        </w:rPr>
        <w:t>de</w:t>
      </w:r>
      <w:r>
        <w:rPr>
          <w:rFonts w:ascii="Verdana" w:hAnsi="Verdana"/>
          <w:spacing w:val="-14"/>
          <w:sz w:val="14"/>
          <w:szCs w:val="14"/>
        </w:rPr>
        <w:t xml:space="preserve"> </w:t>
      </w:r>
      <w:r>
        <w:rPr>
          <w:rFonts w:ascii="Verdana" w:hAnsi="Verdana"/>
          <w:sz w:val="14"/>
          <w:szCs w:val="14"/>
        </w:rPr>
        <w:t>la</w:t>
      </w:r>
      <w:r>
        <w:rPr>
          <w:rFonts w:ascii="Verdana" w:hAnsi="Verdana"/>
          <w:spacing w:val="-14"/>
          <w:sz w:val="14"/>
          <w:szCs w:val="14"/>
        </w:rPr>
        <w:t xml:space="preserve"> </w:t>
      </w:r>
      <w:r>
        <w:rPr>
          <w:rFonts w:ascii="Verdana" w:hAnsi="Verdana"/>
          <w:sz w:val="14"/>
          <w:szCs w:val="14"/>
        </w:rPr>
        <w:t>Ley</w:t>
      </w:r>
      <w:r>
        <w:rPr>
          <w:rFonts w:ascii="Verdana" w:hAnsi="Verdana"/>
          <w:spacing w:val="-14"/>
          <w:sz w:val="14"/>
          <w:szCs w:val="14"/>
        </w:rPr>
        <w:t xml:space="preserve"> </w:t>
      </w:r>
      <w:r>
        <w:rPr>
          <w:rFonts w:ascii="Verdana" w:hAnsi="Verdana"/>
          <w:sz w:val="14"/>
          <w:szCs w:val="14"/>
        </w:rPr>
        <w:t>80</w:t>
      </w:r>
      <w:r>
        <w:rPr>
          <w:rFonts w:ascii="Verdana" w:hAnsi="Verdana"/>
          <w:spacing w:val="-14"/>
          <w:sz w:val="14"/>
          <w:szCs w:val="14"/>
        </w:rPr>
        <w:t xml:space="preserve"> </w:t>
      </w:r>
      <w:r>
        <w:rPr>
          <w:rFonts w:ascii="Verdana" w:hAnsi="Verdana"/>
          <w:sz w:val="14"/>
          <w:szCs w:val="14"/>
        </w:rPr>
        <w:t>de</w:t>
      </w:r>
      <w:r>
        <w:rPr>
          <w:rFonts w:ascii="Verdana" w:hAnsi="Verdana"/>
          <w:spacing w:val="-14"/>
          <w:sz w:val="14"/>
          <w:szCs w:val="14"/>
        </w:rPr>
        <w:t xml:space="preserve"> </w:t>
      </w:r>
      <w:r>
        <w:rPr>
          <w:rFonts w:ascii="Verdana" w:hAnsi="Verdana"/>
          <w:sz w:val="14"/>
          <w:szCs w:val="14"/>
        </w:rPr>
        <w:t>1993</w:t>
      </w:r>
      <w:r>
        <w:rPr>
          <w:rFonts w:ascii="Verdana" w:hAnsi="Verdana"/>
          <w:spacing w:val="-14"/>
          <w:sz w:val="14"/>
          <w:szCs w:val="14"/>
        </w:rPr>
        <w:t xml:space="preserve"> </w:t>
      </w:r>
      <w:r>
        <w:rPr>
          <w:rFonts w:ascii="Verdana" w:hAnsi="Verdana"/>
          <w:sz w:val="14"/>
          <w:szCs w:val="14"/>
        </w:rPr>
        <w:t>[obra,</w:t>
      </w:r>
      <w:r>
        <w:rPr>
          <w:rFonts w:ascii="Verdana" w:hAnsi="Verdana"/>
          <w:spacing w:val="-14"/>
          <w:sz w:val="14"/>
          <w:szCs w:val="14"/>
        </w:rPr>
        <w:t xml:space="preserve"> </w:t>
      </w:r>
      <w:r>
        <w:rPr>
          <w:rFonts w:ascii="Verdana" w:hAnsi="Verdana"/>
          <w:sz w:val="14"/>
          <w:szCs w:val="14"/>
        </w:rPr>
        <w:t>concesión,</w:t>
      </w:r>
      <w:r>
        <w:rPr>
          <w:rFonts w:ascii="Verdana" w:hAnsi="Verdana"/>
          <w:spacing w:val="-14"/>
          <w:sz w:val="14"/>
          <w:szCs w:val="14"/>
        </w:rPr>
        <w:t xml:space="preserve"> </w:t>
      </w:r>
      <w:r>
        <w:rPr>
          <w:rFonts w:ascii="Verdana" w:hAnsi="Verdana"/>
          <w:sz w:val="14"/>
          <w:szCs w:val="14"/>
        </w:rPr>
        <w:t>prestación</w:t>
      </w:r>
      <w:r>
        <w:rPr>
          <w:rFonts w:ascii="Verdana" w:hAnsi="Verdana"/>
          <w:spacing w:val="-14"/>
          <w:sz w:val="14"/>
          <w:szCs w:val="14"/>
        </w:rPr>
        <w:t xml:space="preserve"> </w:t>
      </w:r>
      <w:r>
        <w:rPr>
          <w:rFonts w:ascii="Verdana" w:hAnsi="Verdana"/>
          <w:sz w:val="14"/>
          <w:szCs w:val="14"/>
        </w:rPr>
        <w:t>de</w:t>
      </w:r>
      <w:r>
        <w:rPr>
          <w:rFonts w:ascii="Verdana" w:hAnsi="Verdana"/>
          <w:spacing w:val="-14"/>
          <w:sz w:val="14"/>
          <w:szCs w:val="14"/>
        </w:rPr>
        <w:t xml:space="preserve"> </w:t>
      </w:r>
      <w:r>
        <w:rPr>
          <w:rFonts w:ascii="Verdana" w:hAnsi="Verdana"/>
          <w:sz w:val="14"/>
          <w:szCs w:val="14"/>
        </w:rPr>
        <w:t>servicios,</w:t>
      </w:r>
      <w:r>
        <w:rPr>
          <w:rFonts w:ascii="Verdana" w:hAnsi="Verdana"/>
          <w:spacing w:val="-14"/>
          <w:sz w:val="14"/>
          <w:szCs w:val="14"/>
        </w:rPr>
        <w:t xml:space="preserve"> </w:t>
      </w:r>
      <w:r>
        <w:rPr>
          <w:rFonts w:ascii="Verdana" w:hAnsi="Verdana"/>
          <w:sz w:val="14"/>
          <w:szCs w:val="14"/>
        </w:rPr>
        <w:t>consultoría,</w:t>
      </w:r>
      <w:r>
        <w:rPr>
          <w:rFonts w:ascii="Verdana" w:hAnsi="Verdana"/>
          <w:spacing w:val="-14"/>
          <w:sz w:val="14"/>
          <w:szCs w:val="14"/>
        </w:rPr>
        <w:t xml:space="preserve"> </w:t>
      </w:r>
      <w:r>
        <w:rPr>
          <w:rFonts w:ascii="Verdana" w:hAnsi="Verdana"/>
          <w:sz w:val="14"/>
          <w:szCs w:val="14"/>
        </w:rPr>
        <w:t>fiducia</w:t>
      </w:r>
      <w:r>
        <w:rPr>
          <w:rFonts w:ascii="Verdana" w:hAnsi="Verdana"/>
          <w:spacing w:val="-14"/>
          <w:sz w:val="14"/>
          <w:szCs w:val="14"/>
        </w:rPr>
        <w:t xml:space="preserve"> </w:t>
      </w:r>
      <w:r>
        <w:rPr>
          <w:rFonts w:ascii="Verdana" w:hAnsi="Verdana"/>
          <w:sz w:val="14"/>
          <w:szCs w:val="14"/>
        </w:rPr>
        <w:t>pública]”.</w:t>
      </w:r>
      <w:r>
        <w:rPr>
          <w:rFonts w:ascii="Verdana" w:hAnsi="Verdana"/>
          <w:spacing w:val="-15"/>
          <w:sz w:val="14"/>
          <w:szCs w:val="14"/>
        </w:rPr>
        <w:t xml:space="preserve"> </w:t>
      </w:r>
      <w:r>
        <w:rPr>
          <w:rFonts w:ascii="Verdana" w:hAnsi="Verdana"/>
          <w:sz w:val="14"/>
          <w:szCs w:val="14"/>
        </w:rPr>
        <w:t>g)</w:t>
      </w:r>
      <w:r>
        <w:rPr>
          <w:rFonts w:ascii="Verdana" w:hAnsi="Verdana"/>
          <w:spacing w:val="23"/>
          <w:sz w:val="14"/>
          <w:szCs w:val="14"/>
        </w:rPr>
        <w:t xml:space="preserve"> </w:t>
      </w:r>
      <w:r>
        <w:rPr>
          <w:rFonts w:ascii="Verdana" w:hAnsi="Verdana"/>
          <w:sz w:val="14"/>
          <w:szCs w:val="14"/>
        </w:rPr>
        <w:t>Los actos y contratos que tengan por objeto directo las actividades comerciales e industriales propias de las Empresas Industriales y Comerciales Estatales y de las Sociedades de Economía Mixta, con excepción de los contratos</w:t>
      </w:r>
      <w:r>
        <w:rPr>
          <w:rFonts w:ascii="Verdana" w:hAnsi="Verdana"/>
          <w:spacing w:val="-6"/>
          <w:sz w:val="14"/>
          <w:szCs w:val="14"/>
        </w:rPr>
        <w:t xml:space="preserve"> </w:t>
      </w:r>
      <w:r>
        <w:rPr>
          <w:rFonts w:ascii="Verdana" w:hAnsi="Verdana"/>
          <w:sz w:val="14"/>
          <w:szCs w:val="14"/>
        </w:rPr>
        <w:t>que</w:t>
      </w:r>
      <w:r>
        <w:rPr>
          <w:rFonts w:ascii="Verdana" w:hAnsi="Verdana"/>
          <w:spacing w:val="-7"/>
          <w:sz w:val="14"/>
          <w:szCs w:val="14"/>
        </w:rPr>
        <w:t xml:space="preserve"> </w:t>
      </w:r>
      <w:r>
        <w:rPr>
          <w:rFonts w:ascii="Verdana" w:hAnsi="Verdana"/>
          <w:sz w:val="14"/>
          <w:szCs w:val="14"/>
        </w:rPr>
        <w:t>a</w:t>
      </w:r>
      <w:r>
        <w:rPr>
          <w:rFonts w:ascii="Verdana" w:hAnsi="Verdana"/>
          <w:spacing w:val="-3"/>
          <w:sz w:val="14"/>
          <w:szCs w:val="14"/>
        </w:rPr>
        <w:t xml:space="preserve"> </w:t>
      </w:r>
      <w:r>
        <w:rPr>
          <w:rFonts w:ascii="Verdana" w:hAnsi="Verdana"/>
          <w:sz w:val="14"/>
          <w:szCs w:val="14"/>
        </w:rPr>
        <w:t>título</w:t>
      </w:r>
      <w:r>
        <w:rPr>
          <w:rFonts w:ascii="Verdana" w:hAnsi="Verdana"/>
          <w:spacing w:val="-9"/>
          <w:sz w:val="14"/>
          <w:szCs w:val="14"/>
        </w:rPr>
        <w:t xml:space="preserve"> </w:t>
      </w:r>
      <w:r>
        <w:rPr>
          <w:rFonts w:ascii="Verdana" w:hAnsi="Verdana"/>
          <w:sz w:val="14"/>
          <w:szCs w:val="14"/>
        </w:rPr>
        <w:t>enunciativo</w:t>
      </w:r>
      <w:r>
        <w:rPr>
          <w:rFonts w:ascii="Verdana" w:hAnsi="Verdana"/>
          <w:spacing w:val="-9"/>
          <w:sz w:val="14"/>
          <w:szCs w:val="14"/>
        </w:rPr>
        <w:t xml:space="preserve"> </w:t>
      </w:r>
      <w:r>
        <w:rPr>
          <w:rFonts w:ascii="Verdana" w:hAnsi="Verdana"/>
          <w:sz w:val="14"/>
          <w:szCs w:val="14"/>
        </w:rPr>
        <w:t>identifica</w:t>
      </w:r>
      <w:r>
        <w:rPr>
          <w:rFonts w:ascii="Verdana" w:hAnsi="Verdana"/>
          <w:spacing w:val="-8"/>
          <w:sz w:val="14"/>
          <w:szCs w:val="14"/>
        </w:rPr>
        <w:t xml:space="preserve"> </w:t>
      </w:r>
      <w:r>
        <w:rPr>
          <w:rFonts w:ascii="Verdana" w:hAnsi="Verdana"/>
          <w:sz w:val="14"/>
          <w:szCs w:val="14"/>
        </w:rPr>
        <w:t>el</w:t>
      </w:r>
      <w:r>
        <w:rPr>
          <w:rFonts w:ascii="Verdana" w:hAnsi="Verdana"/>
          <w:spacing w:val="-1"/>
          <w:sz w:val="14"/>
          <w:szCs w:val="14"/>
        </w:rPr>
        <w:t xml:space="preserve"> </w:t>
      </w:r>
      <w:r>
        <w:rPr>
          <w:rFonts w:ascii="Verdana" w:hAnsi="Verdana"/>
          <w:sz w:val="14"/>
          <w:szCs w:val="14"/>
        </w:rPr>
        <w:t>artículo</w:t>
      </w:r>
      <w:r>
        <w:rPr>
          <w:rFonts w:ascii="Verdana" w:hAnsi="Verdana"/>
          <w:spacing w:val="-9"/>
          <w:sz w:val="14"/>
          <w:szCs w:val="14"/>
        </w:rPr>
        <w:t xml:space="preserve"> </w:t>
      </w:r>
      <w:r>
        <w:rPr>
          <w:rFonts w:ascii="Verdana" w:hAnsi="Verdana"/>
          <w:sz w:val="14"/>
          <w:szCs w:val="14"/>
        </w:rPr>
        <w:t>32</w:t>
      </w:r>
      <w:r>
        <w:rPr>
          <w:rFonts w:ascii="Verdana" w:hAnsi="Verdana"/>
          <w:spacing w:val="-4"/>
          <w:sz w:val="14"/>
          <w:szCs w:val="14"/>
        </w:rPr>
        <w:t xml:space="preserve"> </w:t>
      </w:r>
      <w:r>
        <w:rPr>
          <w:rFonts w:ascii="Verdana" w:hAnsi="Verdana"/>
          <w:sz w:val="14"/>
          <w:szCs w:val="14"/>
        </w:rPr>
        <w:t>de</w:t>
      </w:r>
      <w:r>
        <w:rPr>
          <w:rFonts w:ascii="Verdana" w:hAnsi="Verdana"/>
          <w:spacing w:val="-7"/>
          <w:sz w:val="14"/>
          <w:szCs w:val="14"/>
        </w:rPr>
        <w:t xml:space="preserve"> </w:t>
      </w:r>
      <w:r>
        <w:rPr>
          <w:rFonts w:ascii="Verdana" w:hAnsi="Verdana"/>
          <w:sz w:val="14"/>
          <w:szCs w:val="14"/>
        </w:rPr>
        <w:t>la Ley</w:t>
      </w:r>
      <w:r>
        <w:rPr>
          <w:rFonts w:ascii="Verdana" w:hAnsi="Verdana"/>
          <w:spacing w:val="-7"/>
          <w:sz w:val="14"/>
          <w:szCs w:val="14"/>
        </w:rPr>
        <w:t xml:space="preserve"> </w:t>
      </w:r>
      <w:r>
        <w:rPr>
          <w:rFonts w:ascii="Verdana" w:hAnsi="Verdana"/>
          <w:sz w:val="14"/>
          <w:szCs w:val="14"/>
        </w:rPr>
        <w:t>80</w:t>
      </w:r>
      <w:r>
        <w:rPr>
          <w:rFonts w:ascii="Verdana" w:hAnsi="Verdana"/>
          <w:spacing w:val="-4"/>
          <w:sz w:val="14"/>
          <w:szCs w:val="14"/>
        </w:rPr>
        <w:t xml:space="preserve"> </w:t>
      </w:r>
      <w:r>
        <w:rPr>
          <w:rFonts w:ascii="Verdana" w:hAnsi="Verdana"/>
          <w:sz w:val="14"/>
          <w:szCs w:val="14"/>
        </w:rPr>
        <w:t>de</w:t>
      </w:r>
      <w:r>
        <w:rPr>
          <w:rFonts w:ascii="Verdana" w:hAnsi="Verdana"/>
          <w:spacing w:val="-2"/>
          <w:sz w:val="14"/>
          <w:szCs w:val="14"/>
        </w:rPr>
        <w:t xml:space="preserve"> </w:t>
      </w:r>
      <w:r>
        <w:rPr>
          <w:rFonts w:ascii="Verdana" w:hAnsi="Verdana"/>
          <w:sz w:val="14"/>
          <w:szCs w:val="14"/>
        </w:rPr>
        <w:t>1993.</w:t>
      </w:r>
      <w:bookmarkEnd w:id="5"/>
    </w:p>
  </w:footnote>
  <w:footnote w:id="5">
    <w:p w14:paraId="538B8441" w14:textId="77777777" w:rsidR="006F379D" w:rsidRDefault="006F379D" w:rsidP="006F379D">
      <w:pPr>
        <w:pStyle w:val="Textonotapie"/>
        <w:ind w:right="49" w:firstLine="709"/>
        <w:contextualSpacing/>
        <w:jc w:val="both"/>
        <w:rPr>
          <w:rFonts w:ascii="Verdana" w:hAnsi="Verdana"/>
          <w:sz w:val="14"/>
          <w:szCs w:val="14"/>
        </w:rPr>
      </w:pPr>
      <w:r>
        <w:rPr>
          <w:rStyle w:val="Refdenotaalpie"/>
          <w:rFonts w:ascii="Verdana" w:hAnsi="Verdana"/>
          <w:sz w:val="14"/>
          <w:szCs w:val="14"/>
        </w:rPr>
        <w:footnoteRef/>
      </w:r>
      <w:r>
        <w:rPr>
          <w:rFonts w:ascii="Verdana" w:hAnsi="Verdana"/>
          <w:sz w:val="14"/>
          <w:szCs w:val="14"/>
        </w:rPr>
        <w:t xml:space="preserve"> El artículo</w:t>
      </w:r>
      <w:r>
        <w:rPr>
          <w:rFonts w:ascii="Verdana" w:hAnsi="Verdana"/>
          <w:spacing w:val="-2"/>
          <w:sz w:val="14"/>
          <w:szCs w:val="14"/>
        </w:rPr>
        <w:t xml:space="preserve"> </w:t>
      </w:r>
      <w:r>
        <w:rPr>
          <w:rFonts w:ascii="Verdana" w:hAnsi="Verdana"/>
          <w:sz w:val="14"/>
          <w:szCs w:val="14"/>
        </w:rPr>
        <w:t>14</w:t>
      </w:r>
      <w:r>
        <w:rPr>
          <w:rFonts w:ascii="Verdana" w:hAnsi="Verdana"/>
          <w:spacing w:val="-2"/>
          <w:sz w:val="14"/>
          <w:szCs w:val="14"/>
        </w:rPr>
        <w:t xml:space="preserve"> </w:t>
      </w:r>
      <w:r>
        <w:rPr>
          <w:rFonts w:ascii="Verdana" w:hAnsi="Verdana"/>
          <w:sz w:val="14"/>
          <w:szCs w:val="14"/>
        </w:rPr>
        <w:t>original de la</w:t>
      </w:r>
      <w:r>
        <w:rPr>
          <w:rFonts w:ascii="Verdana" w:hAnsi="Verdana"/>
          <w:spacing w:val="-1"/>
          <w:sz w:val="14"/>
          <w:szCs w:val="14"/>
        </w:rPr>
        <w:t xml:space="preserve"> </w:t>
      </w:r>
      <w:r>
        <w:rPr>
          <w:rFonts w:ascii="Verdana" w:hAnsi="Verdana"/>
          <w:sz w:val="14"/>
          <w:szCs w:val="14"/>
        </w:rPr>
        <w:t>Ley 1150</w:t>
      </w:r>
      <w:r>
        <w:rPr>
          <w:rFonts w:ascii="Verdana" w:hAnsi="Verdana"/>
          <w:spacing w:val="-2"/>
          <w:sz w:val="14"/>
          <w:szCs w:val="14"/>
        </w:rPr>
        <w:t xml:space="preserve"> </w:t>
      </w:r>
      <w:r>
        <w:rPr>
          <w:rFonts w:ascii="Verdana" w:hAnsi="Verdana"/>
          <w:sz w:val="14"/>
          <w:szCs w:val="14"/>
        </w:rPr>
        <w:t>de 2007</w:t>
      </w:r>
      <w:r>
        <w:rPr>
          <w:rFonts w:ascii="Verdana" w:hAnsi="Verdana"/>
          <w:spacing w:val="-2"/>
          <w:sz w:val="14"/>
          <w:szCs w:val="14"/>
        </w:rPr>
        <w:t xml:space="preserve"> </w:t>
      </w:r>
      <w:r>
        <w:rPr>
          <w:rFonts w:ascii="Verdana" w:hAnsi="Verdana"/>
          <w:sz w:val="14"/>
          <w:szCs w:val="14"/>
        </w:rPr>
        <w:t>excluía</w:t>
      </w:r>
      <w:r>
        <w:rPr>
          <w:rFonts w:ascii="Verdana" w:hAnsi="Verdana"/>
          <w:spacing w:val="-1"/>
          <w:sz w:val="14"/>
          <w:szCs w:val="14"/>
        </w:rPr>
        <w:t xml:space="preserve"> </w:t>
      </w:r>
      <w:r>
        <w:rPr>
          <w:rFonts w:ascii="Verdana" w:hAnsi="Verdana"/>
          <w:sz w:val="14"/>
          <w:szCs w:val="14"/>
        </w:rPr>
        <w:t>además aquellas cuya</w:t>
      </w:r>
      <w:r>
        <w:rPr>
          <w:rFonts w:ascii="Verdana" w:hAnsi="Verdana"/>
          <w:spacing w:val="-1"/>
          <w:sz w:val="14"/>
          <w:szCs w:val="14"/>
        </w:rPr>
        <w:t xml:space="preserve"> </w:t>
      </w:r>
      <w:r>
        <w:rPr>
          <w:rFonts w:ascii="Verdana" w:hAnsi="Verdana"/>
          <w:sz w:val="14"/>
          <w:szCs w:val="14"/>
        </w:rPr>
        <w:t>actividad</w:t>
      </w:r>
      <w:r>
        <w:rPr>
          <w:rFonts w:ascii="Verdana" w:hAnsi="Verdana"/>
          <w:spacing w:val="-5"/>
          <w:sz w:val="14"/>
          <w:szCs w:val="14"/>
        </w:rPr>
        <w:t xml:space="preserve"> </w:t>
      </w:r>
      <w:r>
        <w:rPr>
          <w:rFonts w:ascii="Verdana" w:hAnsi="Verdana"/>
          <w:sz w:val="14"/>
          <w:szCs w:val="14"/>
        </w:rPr>
        <w:t>se realizaba en</w:t>
      </w:r>
      <w:r>
        <w:rPr>
          <w:rFonts w:ascii="Verdana" w:hAnsi="Verdana"/>
          <w:spacing w:val="-6"/>
          <w:sz w:val="14"/>
          <w:szCs w:val="14"/>
        </w:rPr>
        <w:t xml:space="preserve"> </w:t>
      </w:r>
      <w:r>
        <w:rPr>
          <w:rFonts w:ascii="Verdana" w:hAnsi="Verdana"/>
          <w:sz w:val="14"/>
          <w:szCs w:val="14"/>
        </w:rPr>
        <w:t>“mercados</w:t>
      </w:r>
      <w:r>
        <w:rPr>
          <w:rFonts w:ascii="Verdana" w:hAnsi="Verdana"/>
          <w:spacing w:val="-3"/>
          <w:sz w:val="14"/>
          <w:szCs w:val="14"/>
        </w:rPr>
        <w:t xml:space="preserve"> </w:t>
      </w:r>
      <w:r>
        <w:rPr>
          <w:rFonts w:ascii="Verdana" w:hAnsi="Verdana"/>
          <w:sz w:val="14"/>
          <w:szCs w:val="14"/>
        </w:rPr>
        <w:t>monopolísticos”,</w:t>
      </w:r>
      <w:r>
        <w:rPr>
          <w:rFonts w:ascii="Verdana" w:hAnsi="Verdana"/>
          <w:spacing w:val="-2"/>
          <w:sz w:val="14"/>
          <w:szCs w:val="14"/>
        </w:rPr>
        <w:t xml:space="preserve"> </w:t>
      </w:r>
      <w:r>
        <w:rPr>
          <w:rFonts w:ascii="Verdana" w:hAnsi="Verdana"/>
          <w:sz w:val="14"/>
          <w:szCs w:val="14"/>
        </w:rPr>
        <w:t>pero,</w:t>
      </w:r>
      <w:r>
        <w:rPr>
          <w:rFonts w:ascii="Verdana" w:hAnsi="Verdana"/>
          <w:spacing w:val="-2"/>
          <w:sz w:val="14"/>
          <w:szCs w:val="14"/>
        </w:rPr>
        <w:t xml:space="preserve"> </w:t>
      </w:r>
      <w:r>
        <w:rPr>
          <w:rFonts w:ascii="Verdana" w:hAnsi="Verdana"/>
          <w:sz w:val="14"/>
          <w:szCs w:val="14"/>
        </w:rPr>
        <w:t>con</w:t>
      </w:r>
      <w:r>
        <w:rPr>
          <w:rFonts w:ascii="Verdana" w:hAnsi="Verdana"/>
          <w:spacing w:val="-5"/>
          <w:sz w:val="14"/>
          <w:szCs w:val="14"/>
        </w:rPr>
        <w:t xml:space="preserve"> </w:t>
      </w:r>
      <w:r>
        <w:rPr>
          <w:rFonts w:ascii="Verdana" w:hAnsi="Verdana"/>
          <w:sz w:val="14"/>
          <w:szCs w:val="14"/>
        </w:rPr>
        <w:t>buen</w:t>
      </w:r>
      <w:r>
        <w:rPr>
          <w:rFonts w:ascii="Verdana" w:hAnsi="Verdana"/>
          <w:spacing w:val="-6"/>
          <w:sz w:val="14"/>
          <w:szCs w:val="14"/>
        </w:rPr>
        <w:t xml:space="preserve"> </w:t>
      </w:r>
      <w:r>
        <w:rPr>
          <w:rFonts w:ascii="Verdana" w:hAnsi="Verdana"/>
          <w:sz w:val="14"/>
          <w:szCs w:val="14"/>
        </w:rPr>
        <w:t>tino,</w:t>
      </w:r>
      <w:r>
        <w:rPr>
          <w:rFonts w:ascii="Verdana" w:hAnsi="Verdana"/>
          <w:spacing w:val="-2"/>
          <w:sz w:val="14"/>
          <w:szCs w:val="14"/>
        </w:rPr>
        <w:t xml:space="preserve"> </w:t>
      </w:r>
      <w:r>
        <w:rPr>
          <w:rFonts w:ascii="Verdana" w:hAnsi="Verdana"/>
          <w:sz w:val="14"/>
          <w:szCs w:val="14"/>
        </w:rPr>
        <w:t>se</w:t>
      </w:r>
      <w:r>
        <w:rPr>
          <w:rFonts w:ascii="Verdana" w:hAnsi="Verdana"/>
          <w:spacing w:val="-4"/>
          <w:sz w:val="14"/>
          <w:szCs w:val="14"/>
        </w:rPr>
        <w:t xml:space="preserve"> </w:t>
      </w:r>
      <w:r>
        <w:rPr>
          <w:rFonts w:ascii="Verdana" w:hAnsi="Verdana"/>
          <w:sz w:val="14"/>
          <w:szCs w:val="14"/>
        </w:rPr>
        <w:t>eliminó</w:t>
      </w:r>
      <w:r>
        <w:rPr>
          <w:rFonts w:ascii="Verdana" w:hAnsi="Verdana"/>
          <w:spacing w:val="-6"/>
          <w:sz w:val="14"/>
          <w:szCs w:val="14"/>
        </w:rPr>
        <w:t xml:space="preserve"> </w:t>
      </w:r>
      <w:r>
        <w:rPr>
          <w:rFonts w:ascii="Verdana" w:hAnsi="Verdana"/>
          <w:sz w:val="14"/>
          <w:szCs w:val="14"/>
        </w:rPr>
        <w:t>en</w:t>
      </w:r>
      <w:r>
        <w:rPr>
          <w:rFonts w:ascii="Verdana" w:hAnsi="Verdana"/>
          <w:spacing w:val="-6"/>
          <w:sz w:val="14"/>
          <w:szCs w:val="14"/>
        </w:rPr>
        <w:t xml:space="preserve"> </w:t>
      </w:r>
      <w:r>
        <w:rPr>
          <w:rFonts w:ascii="Verdana" w:hAnsi="Verdana"/>
          <w:sz w:val="14"/>
          <w:szCs w:val="14"/>
        </w:rPr>
        <w:t>el</w:t>
      </w:r>
      <w:r>
        <w:rPr>
          <w:rFonts w:ascii="Verdana" w:hAnsi="Verdana"/>
          <w:spacing w:val="-3"/>
          <w:sz w:val="14"/>
          <w:szCs w:val="14"/>
        </w:rPr>
        <w:t xml:space="preserve"> </w:t>
      </w:r>
      <w:r>
        <w:rPr>
          <w:rFonts w:ascii="Verdana" w:hAnsi="Verdana"/>
          <w:sz w:val="14"/>
          <w:szCs w:val="14"/>
        </w:rPr>
        <w:t>artículo</w:t>
      </w:r>
      <w:r>
        <w:rPr>
          <w:rFonts w:ascii="Verdana" w:hAnsi="Verdana"/>
          <w:spacing w:val="-6"/>
          <w:sz w:val="14"/>
          <w:szCs w:val="14"/>
        </w:rPr>
        <w:t xml:space="preserve"> </w:t>
      </w:r>
      <w:r>
        <w:rPr>
          <w:rFonts w:ascii="Verdana" w:hAnsi="Verdana"/>
          <w:sz w:val="14"/>
          <w:szCs w:val="14"/>
        </w:rPr>
        <w:t>93</w:t>
      </w:r>
      <w:r>
        <w:rPr>
          <w:rFonts w:ascii="Verdana" w:hAnsi="Verdana"/>
          <w:spacing w:val="-6"/>
          <w:sz w:val="14"/>
          <w:szCs w:val="14"/>
        </w:rPr>
        <w:t xml:space="preserve"> </w:t>
      </w:r>
      <w:r>
        <w:rPr>
          <w:rFonts w:ascii="Verdana" w:hAnsi="Verdana"/>
          <w:sz w:val="14"/>
          <w:szCs w:val="14"/>
        </w:rPr>
        <w:t>de</w:t>
      </w:r>
      <w:r>
        <w:rPr>
          <w:rFonts w:ascii="Verdana" w:hAnsi="Verdana"/>
          <w:spacing w:val="-4"/>
          <w:sz w:val="14"/>
          <w:szCs w:val="14"/>
        </w:rPr>
        <w:t xml:space="preserve"> </w:t>
      </w:r>
      <w:r>
        <w:rPr>
          <w:rFonts w:ascii="Verdana" w:hAnsi="Verdana"/>
          <w:sz w:val="14"/>
          <w:szCs w:val="14"/>
        </w:rPr>
        <w:t>la</w:t>
      </w:r>
      <w:r>
        <w:rPr>
          <w:rFonts w:ascii="Verdana" w:hAnsi="Verdana"/>
          <w:spacing w:val="-5"/>
          <w:sz w:val="14"/>
          <w:szCs w:val="14"/>
        </w:rPr>
        <w:t xml:space="preserve"> </w:t>
      </w:r>
      <w:r>
        <w:rPr>
          <w:rFonts w:ascii="Verdana" w:hAnsi="Verdana"/>
          <w:sz w:val="14"/>
          <w:szCs w:val="14"/>
        </w:rPr>
        <w:t>Ley</w:t>
      </w:r>
      <w:r>
        <w:rPr>
          <w:rFonts w:ascii="Verdana" w:hAnsi="Verdana"/>
          <w:spacing w:val="-4"/>
          <w:sz w:val="14"/>
          <w:szCs w:val="14"/>
        </w:rPr>
        <w:t xml:space="preserve"> </w:t>
      </w:r>
      <w:r>
        <w:rPr>
          <w:rFonts w:ascii="Verdana" w:hAnsi="Verdana"/>
          <w:sz w:val="14"/>
          <w:szCs w:val="14"/>
        </w:rPr>
        <w:t>1474</w:t>
      </w:r>
      <w:r>
        <w:rPr>
          <w:rFonts w:ascii="Verdana" w:hAnsi="Verdana"/>
          <w:spacing w:val="-6"/>
          <w:sz w:val="14"/>
          <w:szCs w:val="14"/>
        </w:rPr>
        <w:t xml:space="preserve"> </w:t>
      </w:r>
      <w:r>
        <w:rPr>
          <w:rFonts w:ascii="Verdana" w:hAnsi="Verdana"/>
          <w:sz w:val="14"/>
          <w:szCs w:val="14"/>
        </w:rPr>
        <w:t>de</w:t>
      </w:r>
      <w:r>
        <w:rPr>
          <w:rFonts w:ascii="Verdana" w:hAnsi="Verdana"/>
          <w:spacing w:val="-4"/>
          <w:sz w:val="14"/>
          <w:szCs w:val="14"/>
        </w:rPr>
        <w:t xml:space="preserve"> </w:t>
      </w:r>
      <w:r>
        <w:rPr>
          <w:rFonts w:ascii="Verdana" w:hAnsi="Verdana"/>
          <w:sz w:val="14"/>
          <w:szCs w:val="14"/>
        </w:rPr>
        <w:t>2011,</w:t>
      </w:r>
      <w:r>
        <w:rPr>
          <w:rFonts w:ascii="Verdana" w:hAnsi="Verdana"/>
          <w:spacing w:val="-2"/>
          <w:sz w:val="14"/>
          <w:szCs w:val="14"/>
        </w:rPr>
        <w:t xml:space="preserve"> </w:t>
      </w:r>
      <w:r>
        <w:rPr>
          <w:rFonts w:ascii="Verdana" w:hAnsi="Verdana"/>
          <w:sz w:val="14"/>
          <w:szCs w:val="14"/>
        </w:rPr>
        <w:t>pues en ese caso no se está en presencia de los fundamentos que soportan la excepción de no aplicar el Estatuto General de Contratación de la Administración Pública, cual es la “competencia y el libre juego del mercado”.</w:t>
      </w:r>
    </w:p>
  </w:footnote>
  <w:footnote w:id="6">
    <w:p w14:paraId="2A5D8875" w14:textId="77777777" w:rsidR="006F379D" w:rsidRPr="00591347" w:rsidRDefault="006F379D" w:rsidP="006F379D">
      <w:pPr>
        <w:pStyle w:val="Textonotapie"/>
        <w:ind w:firstLine="709"/>
        <w:jc w:val="both"/>
        <w:rPr>
          <w:rFonts w:ascii="Verdana" w:hAnsi="Verdana"/>
          <w:sz w:val="16"/>
          <w:szCs w:val="16"/>
          <w:lang w:val="es-CO"/>
        </w:rPr>
      </w:pPr>
      <w:r w:rsidRPr="00591347">
        <w:rPr>
          <w:rStyle w:val="Refdenotaalpie"/>
          <w:rFonts w:ascii="Verdana" w:hAnsi="Verdana"/>
          <w:sz w:val="16"/>
          <w:szCs w:val="16"/>
        </w:rPr>
        <w:footnoteRef/>
      </w:r>
      <w:r w:rsidRPr="00591347">
        <w:rPr>
          <w:rFonts w:ascii="Verdana" w:hAnsi="Verdana"/>
          <w:sz w:val="16"/>
          <w:szCs w:val="16"/>
        </w:rPr>
        <w:t xml:space="preserve"> </w:t>
      </w:r>
      <w:r w:rsidRPr="00591347">
        <w:rPr>
          <w:rFonts w:ascii="Verdana" w:hAnsi="Verdana"/>
          <w:color w:val="000000" w:themeColor="text1"/>
          <w:sz w:val="16"/>
          <w:szCs w:val="16"/>
        </w:rPr>
        <w:t>Artículo 84.</w:t>
      </w:r>
      <w:r w:rsidRPr="00591347">
        <w:rPr>
          <w:rFonts w:ascii="Verdana" w:eastAsia="Calibri" w:hAnsi="Verdana" w:cs="Arial"/>
          <w:color w:val="000000" w:themeColor="text1"/>
          <w:sz w:val="16"/>
          <w:szCs w:val="16"/>
          <w:lang w:val="es-ES_tradnl" w:eastAsia="es-ES"/>
        </w:rPr>
        <w:t xml:space="preserve"> […]</w:t>
      </w:r>
      <w:r w:rsidRPr="00591347">
        <w:rPr>
          <w:rFonts w:ascii="Verdana" w:hAnsi="Verdana"/>
          <w:color w:val="000000" w:themeColor="text1"/>
          <w:sz w:val="16"/>
          <w:szCs w:val="16"/>
        </w:rPr>
        <w:t xml:space="preserve"> </w:t>
      </w:r>
      <w:r w:rsidRPr="00591347">
        <w:rPr>
          <w:rStyle w:val="baj"/>
          <w:rFonts w:ascii="Verdana" w:hAnsi="Verdana" w:cs="Arial"/>
          <w:color w:val="000000" w:themeColor="text1"/>
          <w:sz w:val="16"/>
          <w:szCs w:val="16"/>
        </w:rPr>
        <w:t>PARÁGRAFO 2o.</w:t>
      </w:r>
      <w:r w:rsidRPr="00591347">
        <w:rPr>
          <w:rFonts w:ascii="Verdana" w:hAnsi="Verdana" w:cs="Arial"/>
          <w:color w:val="000000" w:themeColor="text1"/>
          <w:sz w:val="16"/>
          <w:szCs w:val="16"/>
        </w:rPr>
        <w:t xml:space="preserve"> La ejecución de los proyectos de inversión financiados con recursos del Sistema General de Regalías se adelantará con estricta sujeción al régimen presupuestal definido en esta ley </w:t>
      </w:r>
      <w:r w:rsidRPr="00591347">
        <w:rPr>
          <w:rFonts w:ascii="Verdana" w:hAnsi="Verdana" w:cs="Arial"/>
          <w:i/>
          <w:iCs/>
          <w:color w:val="000000" w:themeColor="text1"/>
          <w:sz w:val="16"/>
          <w:szCs w:val="16"/>
        </w:rPr>
        <w:t>y al de contratación pública</w:t>
      </w:r>
      <w:r w:rsidRPr="00591347">
        <w:rPr>
          <w:rFonts w:ascii="Verdana" w:hAnsi="Verdana" w:cs="Arial"/>
          <w:color w:val="000000" w:themeColor="text1"/>
          <w:sz w:val="16"/>
          <w:szCs w:val="16"/>
        </w:rPr>
        <w:t xml:space="preserve"> y a las normas legales vigentes. El ejecutor será el ordenador del gasto y garantizará la correcta ejecución de los recursos asignados al proyecto de inversión, así como el suministro y registro de la información requerida por el Sistema de Seguimiento, Evaluación y Control.</w:t>
      </w:r>
    </w:p>
  </w:footnote>
  <w:footnote w:id="7">
    <w:p w14:paraId="6148B7FC" w14:textId="77777777" w:rsidR="006F379D" w:rsidRPr="00591347" w:rsidRDefault="006F379D" w:rsidP="006F379D">
      <w:pPr>
        <w:pStyle w:val="Textonotapie"/>
        <w:ind w:firstLine="709"/>
        <w:jc w:val="both"/>
        <w:rPr>
          <w:rFonts w:ascii="Verdana" w:hAnsi="Verdana"/>
          <w:sz w:val="16"/>
          <w:szCs w:val="16"/>
          <w:lang w:val="es-CO"/>
        </w:rPr>
      </w:pPr>
      <w:r w:rsidRPr="00591347">
        <w:rPr>
          <w:rStyle w:val="Refdenotaalpie"/>
          <w:rFonts w:ascii="Verdana" w:hAnsi="Verdana"/>
          <w:sz w:val="16"/>
          <w:szCs w:val="16"/>
        </w:rPr>
        <w:footnoteRef/>
      </w:r>
      <w:r w:rsidRPr="00591347">
        <w:rPr>
          <w:rFonts w:ascii="Verdana" w:hAnsi="Verdana"/>
          <w:sz w:val="16"/>
          <w:szCs w:val="16"/>
        </w:rPr>
        <w:t xml:space="preserve"> </w:t>
      </w:r>
      <w:r w:rsidRPr="00591347">
        <w:rPr>
          <w:rFonts w:ascii="Verdana" w:hAnsi="Verdana"/>
          <w:color w:val="000000" w:themeColor="text1"/>
          <w:sz w:val="16"/>
          <w:szCs w:val="16"/>
        </w:rPr>
        <w:t xml:space="preserve">Artículo 98. </w:t>
      </w:r>
      <w:r w:rsidRPr="00591347">
        <w:rPr>
          <w:rFonts w:ascii="Verdana" w:eastAsia="Calibri" w:hAnsi="Verdana" w:cs="Arial"/>
          <w:color w:val="000000" w:themeColor="text1"/>
          <w:sz w:val="16"/>
          <w:szCs w:val="16"/>
          <w:lang w:val="es-ES_tradnl" w:eastAsia="es-ES"/>
        </w:rPr>
        <w:t xml:space="preserve">[…] </w:t>
      </w:r>
      <w:r w:rsidRPr="00591347">
        <w:rPr>
          <w:rFonts w:ascii="Verdana" w:hAnsi="Verdana"/>
          <w:sz w:val="16"/>
          <w:szCs w:val="16"/>
          <w:lang w:val="es-CO"/>
        </w:rPr>
        <w:t xml:space="preserve">PARÁGRAFO 2o. La ejecución de proyectos de inversión de que trata este artículo, se adelantará, con estricta sujeción al régimen presupuestal definido en esta ley y </w:t>
      </w:r>
      <w:r w:rsidRPr="00591347">
        <w:rPr>
          <w:rFonts w:ascii="Verdana" w:hAnsi="Verdana"/>
          <w:i/>
          <w:iCs/>
          <w:sz w:val="16"/>
          <w:szCs w:val="16"/>
          <w:lang w:val="es-CO"/>
        </w:rPr>
        <w:t>al de contratación pública</w:t>
      </w:r>
      <w:r w:rsidRPr="00591347">
        <w:rPr>
          <w:rFonts w:ascii="Verdana" w:hAnsi="Verdana"/>
          <w:sz w:val="16"/>
          <w:szCs w:val="16"/>
          <w:lang w:val="es-CO"/>
        </w:rPr>
        <w:t xml:space="preserve"> o a las normas legales vigentes. El ejecutor será el ordenador del gasto y garantizará la correcta ejecución de los recursos asignados al proyecto de inversión, así como el suministro y registro de la información requerida por el Sistema de Seguimiento, Evaluación y Control.</w:t>
      </w:r>
    </w:p>
  </w:footnote>
  <w:footnote w:id="8">
    <w:p w14:paraId="3DC72353" w14:textId="77777777" w:rsidR="006F379D" w:rsidRPr="00591347" w:rsidRDefault="006F379D" w:rsidP="006F379D">
      <w:pPr>
        <w:pStyle w:val="Textonotapie"/>
        <w:ind w:firstLine="709"/>
        <w:jc w:val="both"/>
        <w:rPr>
          <w:rFonts w:ascii="Verdana" w:hAnsi="Verdana"/>
          <w:sz w:val="16"/>
          <w:szCs w:val="16"/>
          <w:lang w:val="es-CO"/>
        </w:rPr>
      </w:pPr>
      <w:r w:rsidRPr="00591347">
        <w:rPr>
          <w:rStyle w:val="Refdenotaalpie"/>
          <w:rFonts w:ascii="Verdana" w:hAnsi="Verdana"/>
          <w:sz w:val="16"/>
          <w:szCs w:val="16"/>
        </w:rPr>
        <w:footnoteRef/>
      </w:r>
      <w:r w:rsidRPr="00591347">
        <w:rPr>
          <w:rFonts w:ascii="Verdana" w:hAnsi="Verdana"/>
          <w:sz w:val="16"/>
          <w:szCs w:val="16"/>
        </w:rPr>
        <w:t xml:space="preserve"> </w:t>
      </w:r>
      <w:bookmarkStart w:id="6" w:name="99"/>
      <w:r w:rsidRPr="00591347">
        <w:rPr>
          <w:rFonts w:ascii="Verdana" w:hAnsi="Verdana"/>
          <w:sz w:val="16"/>
          <w:szCs w:val="16"/>
          <w:lang w:val="es-CO"/>
        </w:rPr>
        <w:t xml:space="preserve">Artículo 99. </w:t>
      </w:r>
      <w:r w:rsidRPr="00591347">
        <w:rPr>
          <w:rFonts w:ascii="Verdana" w:eastAsia="Calibri" w:hAnsi="Verdana" w:cs="Arial"/>
          <w:color w:val="000000" w:themeColor="text1"/>
          <w:sz w:val="16"/>
          <w:szCs w:val="16"/>
          <w:lang w:val="es-ES_tradnl" w:eastAsia="es-ES"/>
        </w:rPr>
        <w:t xml:space="preserve">[…] </w:t>
      </w:r>
      <w:r w:rsidRPr="00591347">
        <w:rPr>
          <w:rFonts w:ascii="Verdana" w:hAnsi="Verdana"/>
          <w:sz w:val="16"/>
          <w:szCs w:val="16"/>
          <w:lang w:val="es-CO"/>
        </w:rPr>
        <w:t>Ejecución De Recursos.</w:t>
      </w:r>
      <w:bookmarkEnd w:id="6"/>
      <w:r w:rsidRPr="00591347">
        <w:rPr>
          <w:rFonts w:ascii="Verdana" w:hAnsi="Verdana"/>
          <w:sz w:val="16"/>
          <w:szCs w:val="16"/>
          <w:lang w:val="es-CO"/>
        </w:rPr>
        <w:t xml:space="preserve"> Los actos o contratos que expidan o celebren los ejecutores se regirán por las normas presupuestales contenidas en la presente ley, </w:t>
      </w:r>
      <w:r w:rsidRPr="00591347">
        <w:rPr>
          <w:rFonts w:ascii="Verdana" w:hAnsi="Verdana"/>
          <w:i/>
          <w:iCs/>
          <w:sz w:val="16"/>
          <w:szCs w:val="16"/>
          <w:lang w:val="es-CO"/>
        </w:rPr>
        <w:t>el Estatuto de Contratación Estatal</w:t>
      </w:r>
      <w:r w:rsidRPr="00591347">
        <w:rPr>
          <w:rFonts w:ascii="Verdana" w:hAnsi="Verdana"/>
          <w:sz w:val="16"/>
          <w:szCs w:val="16"/>
          <w:lang w:val="es-CO"/>
        </w:rPr>
        <w:t>, las normas contables que para este efecto defina la Contaduría General de la Nación y las demás disposiciones complementarias.</w:t>
      </w:r>
    </w:p>
  </w:footnote>
  <w:footnote w:id="9">
    <w:p w14:paraId="1BA30CC2" w14:textId="77777777" w:rsidR="006F379D" w:rsidRPr="00591347" w:rsidRDefault="006F379D" w:rsidP="006F379D">
      <w:pPr>
        <w:pStyle w:val="Textonotapie"/>
        <w:ind w:firstLine="709"/>
        <w:rPr>
          <w:rFonts w:ascii="Verdana" w:hAnsi="Verdana"/>
          <w:sz w:val="16"/>
          <w:szCs w:val="16"/>
          <w:lang w:val="es-CO"/>
        </w:rPr>
      </w:pPr>
      <w:r w:rsidRPr="00591347">
        <w:rPr>
          <w:rStyle w:val="Refdenotaalpie"/>
          <w:rFonts w:ascii="Verdana" w:hAnsi="Verdana"/>
          <w:sz w:val="16"/>
          <w:szCs w:val="16"/>
        </w:rPr>
        <w:footnoteRef/>
      </w:r>
      <w:r w:rsidRPr="00591347">
        <w:rPr>
          <w:rFonts w:ascii="Verdana" w:hAnsi="Verdana"/>
          <w:sz w:val="16"/>
          <w:szCs w:val="16"/>
        </w:rPr>
        <w:t xml:space="preserve"> </w:t>
      </w:r>
      <w:r w:rsidRPr="00591347">
        <w:rPr>
          <w:rFonts w:ascii="Verdana" w:hAnsi="Verdana"/>
          <w:color w:val="000000" w:themeColor="text1"/>
          <w:sz w:val="16"/>
          <w:szCs w:val="16"/>
        </w:rPr>
        <w:t xml:space="preserve">Artículo 108. </w:t>
      </w:r>
      <w:r w:rsidRPr="00591347">
        <w:rPr>
          <w:rFonts w:ascii="Verdana" w:eastAsia="Calibri" w:hAnsi="Verdana" w:cs="Arial"/>
          <w:color w:val="000000" w:themeColor="text1"/>
          <w:sz w:val="16"/>
          <w:szCs w:val="16"/>
          <w:lang w:val="es-ES_tradnl" w:eastAsia="es-ES"/>
        </w:rPr>
        <w:t xml:space="preserve">[…] </w:t>
      </w:r>
      <w:r w:rsidRPr="00591347">
        <w:rPr>
          <w:rFonts w:ascii="Verdana" w:hAnsi="Verdana"/>
          <w:sz w:val="16"/>
          <w:szCs w:val="16"/>
          <w:lang w:val="es-CO"/>
        </w:rPr>
        <w:t>PARÁGRAFO 2o. La ejecución de proyectos de inversión de que trata este artículo, se adelantará, con estricta sujeción al régimen presupuestal definido en esta ley y al de contratación pública o a las normas legales vigentes. El ejecutor será el ordenador del gasto y garantizará la correcta ejecución de los recursos asignados al proyecto de inversión, así como el suministro y registro de la información requerida por el Sistema de Seguimiento, Evaluación y Control.</w:t>
      </w:r>
    </w:p>
  </w:footnote>
  <w:footnote w:id="10">
    <w:p w14:paraId="592D2DA4" w14:textId="77777777" w:rsidR="006F379D" w:rsidRPr="00591347" w:rsidRDefault="006F379D" w:rsidP="006F379D">
      <w:pPr>
        <w:pStyle w:val="Textonotapie"/>
        <w:ind w:firstLine="709"/>
        <w:jc w:val="both"/>
        <w:rPr>
          <w:rFonts w:ascii="Verdana" w:hAnsi="Verdana"/>
          <w:sz w:val="16"/>
          <w:szCs w:val="16"/>
          <w:lang w:val="es-CO"/>
        </w:rPr>
      </w:pPr>
      <w:r w:rsidRPr="00591347">
        <w:rPr>
          <w:rStyle w:val="Refdenotaalpie"/>
          <w:rFonts w:ascii="Verdana" w:hAnsi="Verdana"/>
          <w:sz w:val="16"/>
          <w:szCs w:val="16"/>
        </w:rPr>
        <w:footnoteRef/>
      </w:r>
      <w:r w:rsidRPr="00591347">
        <w:rPr>
          <w:rFonts w:ascii="Verdana" w:hAnsi="Verdana"/>
          <w:sz w:val="16"/>
          <w:szCs w:val="16"/>
        </w:rPr>
        <w:t xml:space="preserve"> </w:t>
      </w:r>
      <w:bookmarkStart w:id="7" w:name="109"/>
      <w:r w:rsidRPr="00591347">
        <w:rPr>
          <w:rFonts w:ascii="Verdana" w:hAnsi="Verdana" w:cs="Arial"/>
          <w:color w:val="000000" w:themeColor="text1"/>
          <w:sz w:val="16"/>
          <w:szCs w:val="16"/>
        </w:rPr>
        <w:t xml:space="preserve">Artículo 109. </w:t>
      </w:r>
      <w:r w:rsidRPr="00591347">
        <w:rPr>
          <w:rFonts w:ascii="Verdana" w:eastAsia="Calibri" w:hAnsi="Verdana" w:cs="Arial"/>
          <w:color w:val="000000" w:themeColor="text1"/>
          <w:sz w:val="16"/>
          <w:szCs w:val="16"/>
          <w:lang w:val="es-ES_tradnl" w:eastAsia="es-ES"/>
        </w:rPr>
        <w:t xml:space="preserve">[…] </w:t>
      </w:r>
      <w:r w:rsidRPr="00591347">
        <w:rPr>
          <w:rFonts w:ascii="Verdana" w:hAnsi="Verdana" w:cs="Arial"/>
          <w:color w:val="000000" w:themeColor="text1"/>
          <w:sz w:val="16"/>
          <w:szCs w:val="16"/>
        </w:rPr>
        <w:t>Ejecución De Recursos.</w:t>
      </w:r>
      <w:bookmarkEnd w:id="7"/>
      <w:r w:rsidRPr="00591347">
        <w:rPr>
          <w:rFonts w:ascii="Verdana" w:hAnsi="Verdana" w:cs="Arial"/>
          <w:color w:val="000000" w:themeColor="text1"/>
          <w:sz w:val="16"/>
          <w:szCs w:val="16"/>
        </w:rPr>
        <w:t xml:space="preserve"> Los actos o contratos que expidan o celebren los ejecutores se regirán por las normas presupuestales contenidas en la presente ley, </w:t>
      </w:r>
      <w:r w:rsidRPr="00591347">
        <w:rPr>
          <w:rFonts w:ascii="Verdana" w:hAnsi="Verdana" w:cs="Arial"/>
          <w:i/>
          <w:iCs/>
          <w:color w:val="000000" w:themeColor="text1"/>
          <w:sz w:val="16"/>
          <w:szCs w:val="16"/>
        </w:rPr>
        <w:t>el Estatuto de Contratación Estatal,</w:t>
      </w:r>
      <w:r w:rsidRPr="00591347">
        <w:rPr>
          <w:rFonts w:ascii="Verdana" w:hAnsi="Verdana" w:cs="Arial"/>
          <w:color w:val="000000" w:themeColor="text1"/>
          <w:sz w:val="16"/>
          <w:szCs w:val="16"/>
        </w:rPr>
        <w:t xml:space="preserve"> las normas contables que para este efecto defina la Contaduría General de la Nación y las demás disposiciones complementarias.</w:t>
      </w:r>
    </w:p>
  </w:footnote>
  <w:footnote w:id="11">
    <w:p w14:paraId="353CCB23" w14:textId="77777777" w:rsidR="006F379D" w:rsidRPr="00591347" w:rsidRDefault="006F379D" w:rsidP="006F379D">
      <w:pPr>
        <w:pStyle w:val="Textonotapie"/>
        <w:ind w:firstLine="709"/>
        <w:jc w:val="both"/>
        <w:rPr>
          <w:rFonts w:ascii="Verdana" w:hAnsi="Verdana"/>
          <w:sz w:val="16"/>
          <w:szCs w:val="16"/>
          <w:lang w:val="es-CO"/>
        </w:rPr>
      </w:pPr>
      <w:r w:rsidRPr="00591347">
        <w:rPr>
          <w:rStyle w:val="Refdenotaalpie"/>
          <w:rFonts w:ascii="Verdana" w:hAnsi="Verdana"/>
          <w:sz w:val="16"/>
          <w:szCs w:val="16"/>
        </w:rPr>
        <w:footnoteRef/>
      </w:r>
      <w:r w:rsidRPr="00591347">
        <w:rPr>
          <w:rFonts w:ascii="Verdana" w:hAnsi="Verdana"/>
          <w:sz w:val="16"/>
          <w:szCs w:val="16"/>
        </w:rPr>
        <w:t xml:space="preserve"> Consejo De Estado. Sección tercera. Sentencia del 7 de marzo de 2025. Radicación No.69.941. C.P: José Roberto Sáchica. </w:t>
      </w:r>
    </w:p>
  </w:footnote>
  <w:footnote w:id="12">
    <w:p w14:paraId="7849E064" w14:textId="77777777" w:rsidR="006F379D" w:rsidRPr="00591347" w:rsidRDefault="006F379D" w:rsidP="006F379D">
      <w:pPr>
        <w:pStyle w:val="Textonotapie"/>
        <w:ind w:firstLine="709"/>
        <w:jc w:val="both"/>
        <w:rPr>
          <w:rFonts w:ascii="Verdana" w:hAnsi="Verdana"/>
          <w:sz w:val="16"/>
          <w:szCs w:val="16"/>
          <w:lang w:val="es-CO"/>
        </w:rPr>
      </w:pPr>
      <w:r w:rsidRPr="00591347">
        <w:rPr>
          <w:rStyle w:val="Refdenotaalpie"/>
          <w:rFonts w:ascii="Verdana" w:hAnsi="Verdana"/>
          <w:sz w:val="16"/>
          <w:szCs w:val="16"/>
        </w:rPr>
        <w:footnoteRef/>
      </w:r>
      <w:r w:rsidRPr="00591347">
        <w:rPr>
          <w:rFonts w:ascii="Verdana" w:hAnsi="Verdana"/>
          <w:sz w:val="16"/>
          <w:szCs w:val="16"/>
        </w:rPr>
        <w:t xml:space="preserve">  La exposición de motivos de la Ley 2056 de 2020 explica que “el proyecto de ley prevé que los proyectos de inversión que se financien con cargo al SGR serán ejecutados por quien designe la entidad u órgano que apruebe y priorice el respetivo proyecto, y que la entidad ejecutora estará a cargo de la contratación de la interventoría, la cual se regirá por los establecido en el Estatuto General de Contratación de la Administración Pública vigente</w:t>
      </w:r>
      <w:r w:rsidRPr="00591347">
        <w:rPr>
          <w:rFonts w:ascii="Verdana" w:hAnsi="Verdana" w:cs="Arial"/>
          <w:sz w:val="16"/>
          <w:szCs w:val="16"/>
          <w:lang w:val="es-ES"/>
        </w:rPr>
        <w:t xml:space="preserve">. Gaceta 638 del 2020 Disponible en: </w:t>
      </w:r>
      <w:hyperlink r:id="rId5" w:history="1">
        <w:r w:rsidRPr="00591347">
          <w:rPr>
            <w:rStyle w:val="Hipervnculo"/>
            <w:rFonts w:ascii="Verdana" w:hAnsi="Verdana" w:cs="Arial"/>
            <w:sz w:val="16"/>
            <w:szCs w:val="16"/>
            <w:lang w:val="es-ES"/>
          </w:rPr>
          <w:t>https://leyes.senado.gov.co/proyectos/index.php/proyectos-ley/cuatrenio-2018-2022/2020-2021/article/200-por-el-cual-se-regula-la-organizacion-y-el-funcionamiento-del-sistema-general-de-regalias-mensaje-de-urgencia</w:t>
        </w:r>
      </w:hyperlink>
    </w:p>
  </w:footnote>
  <w:footnote w:id="13">
    <w:p w14:paraId="453264FF" w14:textId="77777777" w:rsidR="006F379D" w:rsidRPr="00DD6A5A" w:rsidRDefault="006F379D" w:rsidP="006F379D">
      <w:pPr>
        <w:pStyle w:val="Textonotapie"/>
        <w:ind w:firstLine="709"/>
        <w:jc w:val="both"/>
        <w:rPr>
          <w:lang w:val="es-CO"/>
        </w:rPr>
      </w:pPr>
      <w:r>
        <w:rPr>
          <w:rStyle w:val="Refdenotaalpie"/>
        </w:rPr>
        <w:footnoteRef/>
      </w:r>
      <w:r>
        <w:t xml:space="preserve"> </w:t>
      </w:r>
      <w:r w:rsidRPr="00DD6A5A">
        <w:rPr>
          <w:rFonts w:ascii="Verdana" w:eastAsia="Calibri" w:hAnsi="Verdana" w:cs="Arial"/>
          <w:color w:val="000000" w:themeColor="text1"/>
          <w:sz w:val="16"/>
          <w:szCs w:val="16"/>
          <w:lang w:eastAsia="es-ES"/>
        </w:rPr>
        <w:t>Consejo de Estado. Sala de Consulta y Servicio Civil. Concepto 2563 del 25 de junio de 2026. C.P: María del Pilar Bahamón Falla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49BFF" w14:textId="77777777" w:rsidR="00006F59" w:rsidRPr="009B7987" w:rsidRDefault="00006F59" w:rsidP="00006F59">
    <w:pPr>
      <w:pStyle w:val="Encabezado"/>
    </w:pPr>
    <w:r w:rsidRPr="009B7987">
      <w:rPr>
        <w:rFonts w:ascii="Geomanist Bold" w:hAnsi="Geomanist Bold"/>
        <w:b/>
        <w:bCs/>
        <w:noProof/>
        <w:color w:val="002060"/>
        <w:sz w:val="24"/>
        <w:szCs w:val="24"/>
      </w:rPr>
      <w:drawing>
        <wp:anchor distT="0" distB="0" distL="114300" distR="114300" simplePos="0" relativeHeight="251658241" behindDoc="1" locked="0" layoutInCell="1" allowOverlap="1" wp14:anchorId="4812B632" wp14:editId="2E35C64A">
          <wp:simplePos x="0" y="0"/>
          <wp:positionH relativeFrom="margin">
            <wp:align>center</wp:align>
          </wp:positionH>
          <wp:positionV relativeFrom="paragraph">
            <wp:posOffset>-250190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Pr="009B7987">
      <w:rPr>
        <w:rFonts w:ascii="Geomanist Bold" w:hAnsi="Geomanist Bold"/>
        <w:b/>
        <w:bCs/>
        <w:noProof/>
        <w:color w:val="002060"/>
        <w:sz w:val="24"/>
        <w:szCs w:val="24"/>
      </w:rPr>
      <w:drawing>
        <wp:anchor distT="0" distB="0" distL="114300" distR="114300" simplePos="0" relativeHeight="251658240" behindDoc="0" locked="0" layoutInCell="1" allowOverlap="1" wp14:anchorId="292DC36A" wp14:editId="6004C65E">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descr="Imagen en blanco y negr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149914" name="Imagen 962149914" descr="Imagen en blanco y negro&#10;&#10;Descripción generada automáticamente con confianza media"/>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34B171C2" w14:textId="77777777" w:rsidR="00006F59" w:rsidRPr="009B7987" w:rsidRDefault="00006F59" w:rsidP="00006F59">
    <w:pPr>
      <w:pStyle w:val="Encabezado"/>
      <w:jc w:val="center"/>
    </w:pPr>
  </w:p>
  <w:p w14:paraId="1665FD71" w14:textId="77777777" w:rsidR="00006F59" w:rsidRPr="009B7987" w:rsidRDefault="00006F59" w:rsidP="00006F59">
    <w:pPr>
      <w:pStyle w:val="Encabezado"/>
    </w:pPr>
  </w:p>
  <w:p w14:paraId="61B882FC" w14:textId="77777777" w:rsidR="00006F59" w:rsidRPr="009B7987" w:rsidRDefault="00006F59" w:rsidP="00006F59">
    <w:pPr>
      <w:spacing w:after="0"/>
      <w:rPr>
        <w:rFonts w:ascii="Verdana" w:hAnsi="Verdana"/>
        <w:b/>
        <w:bCs/>
        <w:sz w:val="24"/>
        <w:szCs w:val="24"/>
      </w:rPr>
    </w:pPr>
  </w:p>
  <w:p w14:paraId="701A9D55" w14:textId="29EB49FC" w:rsidR="00006F59" w:rsidRPr="009B7987" w:rsidRDefault="00006F59" w:rsidP="001918F1">
    <w:pPr>
      <w:tabs>
        <w:tab w:val="left" w:pos="6217"/>
      </w:tabs>
      <w:spacing w:after="0"/>
      <w:rPr>
        <w:rFonts w:ascii="Verdana" w:hAnsi="Verdana"/>
        <w:b/>
        <w:bCs/>
        <w:sz w:val="24"/>
        <w:szCs w:val="24"/>
      </w:rPr>
    </w:pPr>
    <w:r w:rsidRPr="009B7987">
      <w:rPr>
        <w:rFonts w:ascii="Verdana" w:hAnsi="Verdana"/>
        <w:b/>
        <w:bCs/>
        <w:sz w:val="24"/>
        <w:szCs w:val="24"/>
      </w:rPr>
      <w:t>FORMATO PQRSD</w:t>
    </w:r>
  </w:p>
  <w:p w14:paraId="68E0C024" w14:textId="62811F13" w:rsidR="00B30448" w:rsidRPr="009B7987" w:rsidRDefault="00B30448" w:rsidP="00006F59">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06310"/>
    <w:multiLevelType w:val="multilevel"/>
    <w:tmpl w:val="32E6FBF8"/>
    <w:lvl w:ilvl="0">
      <w:start w:val="1"/>
      <w:numFmt w:val="decimal"/>
      <w:lvlText w:val="%1."/>
      <w:lvlJc w:val="lef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3520020"/>
    <w:multiLevelType w:val="hybridMultilevel"/>
    <w:tmpl w:val="D6F4F646"/>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2" w15:restartNumberingAfterBreak="0">
    <w:nsid w:val="05E83FFA"/>
    <w:multiLevelType w:val="hybridMultilevel"/>
    <w:tmpl w:val="8EF612C4"/>
    <w:lvl w:ilvl="0" w:tplc="DCA0A690">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3" w15:restartNumberingAfterBreak="0">
    <w:nsid w:val="0769791B"/>
    <w:multiLevelType w:val="hybridMultilevel"/>
    <w:tmpl w:val="6BF65156"/>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4" w15:restartNumberingAfterBreak="0">
    <w:nsid w:val="0801457A"/>
    <w:multiLevelType w:val="hybridMultilevel"/>
    <w:tmpl w:val="38A20F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C764EF3"/>
    <w:multiLevelType w:val="hybridMultilevel"/>
    <w:tmpl w:val="1F80E53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0F555BB5"/>
    <w:multiLevelType w:val="multilevel"/>
    <w:tmpl w:val="5868EEA8"/>
    <w:lvl w:ilvl="0">
      <w:start w:val="1"/>
      <w:numFmt w:val="decimal"/>
      <w:lvlText w:val="%1."/>
      <w:lvlJc w:val="left"/>
      <w:pPr>
        <w:ind w:left="460" w:hanging="360"/>
      </w:pPr>
      <w:rPr>
        <w:rFonts w:ascii="Arial" w:eastAsia="Arial" w:hAnsi="Arial" w:cs="Arial" w:hint="default"/>
        <w:b/>
        <w:bCs/>
        <w:color w:val="4E4D4D"/>
        <w:spacing w:val="-8"/>
        <w:w w:val="100"/>
        <w:sz w:val="22"/>
        <w:szCs w:val="22"/>
        <w:lang w:val="es-ES" w:eastAsia="en-US" w:bidi="ar-SA"/>
      </w:rPr>
    </w:lvl>
    <w:lvl w:ilvl="1">
      <w:start w:val="1"/>
      <w:numFmt w:val="decimal"/>
      <w:lvlText w:val="%1.%2."/>
      <w:lvlJc w:val="left"/>
      <w:pPr>
        <w:ind w:left="820" w:hanging="720"/>
      </w:pPr>
      <w:rPr>
        <w:rFonts w:ascii="Arial" w:eastAsia="Arial" w:hAnsi="Arial" w:cs="Arial" w:hint="default"/>
        <w:b/>
        <w:bCs/>
        <w:color w:val="4E4D4D"/>
        <w:spacing w:val="-4"/>
        <w:w w:val="100"/>
        <w:sz w:val="22"/>
        <w:szCs w:val="22"/>
        <w:lang w:val="es-ES" w:eastAsia="en-US" w:bidi="ar-SA"/>
      </w:rPr>
    </w:lvl>
    <w:lvl w:ilvl="2">
      <w:start w:val="1"/>
      <w:numFmt w:val="decimal"/>
      <w:lvlText w:val="%3."/>
      <w:lvlJc w:val="left"/>
      <w:pPr>
        <w:ind w:left="1192" w:hanging="243"/>
      </w:pPr>
      <w:rPr>
        <w:rFonts w:ascii="Verdana" w:eastAsia="Arial" w:hAnsi="Verdana" w:cs="Arial" w:hint="default"/>
        <w:color w:val="auto"/>
        <w:spacing w:val="-1"/>
        <w:w w:val="100"/>
        <w:sz w:val="20"/>
        <w:szCs w:val="20"/>
        <w:lang w:val="es-ES" w:eastAsia="en-US" w:bidi="ar-SA"/>
      </w:rPr>
    </w:lvl>
    <w:lvl w:ilvl="3">
      <w:numFmt w:val="bullet"/>
      <w:lvlText w:val="•"/>
      <w:lvlJc w:val="left"/>
      <w:pPr>
        <w:ind w:left="2192" w:hanging="243"/>
      </w:pPr>
      <w:rPr>
        <w:rFonts w:hint="default"/>
        <w:lang w:val="es-ES" w:eastAsia="en-US" w:bidi="ar-SA"/>
      </w:rPr>
    </w:lvl>
    <w:lvl w:ilvl="4">
      <w:numFmt w:val="bullet"/>
      <w:lvlText w:val="•"/>
      <w:lvlJc w:val="left"/>
      <w:pPr>
        <w:ind w:left="3185" w:hanging="243"/>
      </w:pPr>
      <w:rPr>
        <w:rFonts w:hint="default"/>
        <w:lang w:val="es-ES" w:eastAsia="en-US" w:bidi="ar-SA"/>
      </w:rPr>
    </w:lvl>
    <w:lvl w:ilvl="5">
      <w:numFmt w:val="bullet"/>
      <w:lvlText w:val="•"/>
      <w:lvlJc w:val="left"/>
      <w:pPr>
        <w:ind w:left="4177" w:hanging="243"/>
      </w:pPr>
      <w:rPr>
        <w:rFonts w:hint="default"/>
        <w:lang w:val="es-ES" w:eastAsia="en-US" w:bidi="ar-SA"/>
      </w:rPr>
    </w:lvl>
    <w:lvl w:ilvl="6">
      <w:numFmt w:val="bullet"/>
      <w:lvlText w:val="•"/>
      <w:lvlJc w:val="left"/>
      <w:pPr>
        <w:ind w:left="5170" w:hanging="243"/>
      </w:pPr>
      <w:rPr>
        <w:rFonts w:hint="default"/>
        <w:lang w:val="es-ES" w:eastAsia="en-US" w:bidi="ar-SA"/>
      </w:rPr>
    </w:lvl>
    <w:lvl w:ilvl="7">
      <w:numFmt w:val="bullet"/>
      <w:lvlText w:val="•"/>
      <w:lvlJc w:val="left"/>
      <w:pPr>
        <w:ind w:left="6162" w:hanging="243"/>
      </w:pPr>
      <w:rPr>
        <w:rFonts w:hint="default"/>
        <w:lang w:val="es-ES" w:eastAsia="en-US" w:bidi="ar-SA"/>
      </w:rPr>
    </w:lvl>
    <w:lvl w:ilvl="8">
      <w:numFmt w:val="bullet"/>
      <w:lvlText w:val="•"/>
      <w:lvlJc w:val="left"/>
      <w:pPr>
        <w:ind w:left="7155" w:hanging="243"/>
      </w:pPr>
      <w:rPr>
        <w:rFonts w:hint="default"/>
        <w:lang w:val="es-ES" w:eastAsia="en-US" w:bidi="ar-SA"/>
      </w:rPr>
    </w:lvl>
  </w:abstractNum>
  <w:abstractNum w:abstractNumId="7" w15:restartNumberingAfterBreak="0">
    <w:nsid w:val="17AF3BD1"/>
    <w:multiLevelType w:val="hybridMultilevel"/>
    <w:tmpl w:val="13F4E45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1C23291E"/>
    <w:multiLevelType w:val="hybridMultilevel"/>
    <w:tmpl w:val="352C3E06"/>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9" w15:restartNumberingAfterBreak="0">
    <w:nsid w:val="239D63F5"/>
    <w:multiLevelType w:val="hybridMultilevel"/>
    <w:tmpl w:val="F538EEB4"/>
    <w:lvl w:ilvl="0" w:tplc="DB68C6FA">
      <w:numFmt w:val="bullet"/>
      <w:lvlText w:val="-"/>
      <w:lvlJc w:val="left"/>
      <w:pPr>
        <w:ind w:left="1069" w:hanging="360"/>
      </w:pPr>
      <w:rPr>
        <w:rFonts w:ascii="Verdana" w:eastAsia="Calibri" w:hAnsi="Verdana" w:cs="Arial" w:hint="default"/>
      </w:rPr>
    </w:lvl>
    <w:lvl w:ilvl="1" w:tplc="240A0003" w:tentative="1">
      <w:start w:val="1"/>
      <w:numFmt w:val="bullet"/>
      <w:lvlText w:val="o"/>
      <w:lvlJc w:val="left"/>
      <w:pPr>
        <w:ind w:left="1789" w:hanging="360"/>
      </w:pPr>
      <w:rPr>
        <w:rFonts w:ascii="Courier New" w:hAnsi="Courier New" w:cs="Courier New" w:hint="default"/>
      </w:rPr>
    </w:lvl>
    <w:lvl w:ilvl="2" w:tplc="240A0005" w:tentative="1">
      <w:start w:val="1"/>
      <w:numFmt w:val="bullet"/>
      <w:lvlText w:val=""/>
      <w:lvlJc w:val="left"/>
      <w:pPr>
        <w:ind w:left="2509" w:hanging="360"/>
      </w:pPr>
      <w:rPr>
        <w:rFonts w:ascii="Wingdings" w:hAnsi="Wingdings" w:hint="default"/>
      </w:rPr>
    </w:lvl>
    <w:lvl w:ilvl="3" w:tplc="240A0001" w:tentative="1">
      <w:start w:val="1"/>
      <w:numFmt w:val="bullet"/>
      <w:lvlText w:val=""/>
      <w:lvlJc w:val="left"/>
      <w:pPr>
        <w:ind w:left="3229" w:hanging="360"/>
      </w:pPr>
      <w:rPr>
        <w:rFonts w:ascii="Symbol" w:hAnsi="Symbol" w:hint="default"/>
      </w:rPr>
    </w:lvl>
    <w:lvl w:ilvl="4" w:tplc="240A0003" w:tentative="1">
      <w:start w:val="1"/>
      <w:numFmt w:val="bullet"/>
      <w:lvlText w:val="o"/>
      <w:lvlJc w:val="left"/>
      <w:pPr>
        <w:ind w:left="3949" w:hanging="360"/>
      </w:pPr>
      <w:rPr>
        <w:rFonts w:ascii="Courier New" w:hAnsi="Courier New" w:cs="Courier New" w:hint="default"/>
      </w:rPr>
    </w:lvl>
    <w:lvl w:ilvl="5" w:tplc="240A0005" w:tentative="1">
      <w:start w:val="1"/>
      <w:numFmt w:val="bullet"/>
      <w:lvlText w:val=""/>
      <w:lvlJc w:val="left"/>
      <w:pPr>
        <w:ind w:left="4669" w:hanging="360"/>
      </w:pPr>
      <w:rPr>
        <w:rFonts w:ascii="Wingdings" w:hAnsi="Wingdings" w:hint="default"/>
      </w:rPr>
    </w:lvl>
    <w:lvl w:ilvl="6" w:tplc="240A0001" w:tentative="1">
      <w:start w:val="1"/>
      <w:numFmt w:val="bullet"/>
      <w:lvlText w:val=""/>
      <w:lvlJc w:val="left"/>
      <w:pPr>
        <w:ind w:left="5389" w:hanging="360"/>
      </w:pPr>
      <w:rPr>
        <w:rFonts w:ascii="Symbol" w:hAnsi="Symbol" w:hint="default"/>
      </w:rPr>
    </w:lvl>
    <w:lvl w:ilvl="7" w:tplc="240A0003" w:tentative="1">
      <w:start w:val="1"/>
      <w:numFmt w:val="bullet"/>
      <w:lvlText w:val="o"/>
      <w:lvlJc w:val="left"/>
      <w:pPr>
        <w:ind w:left="6109" w:hanging="360"/>
      </w:pPr>
      <w:rPr>
        <w:rFonts w:ascii="Courier New" w:hAnsi="Courier New" w:cs="Courier New" w:hint="default"/>
      </w:rPr>
    </w:lvl>
    <w:lvl w:ilvl="8" w:tplc="240A0005" w:tentative="1">
      <w:start w:val="1"/>
      <w:numFmt w:val="bullet"/>
      <w:lvlText w:val=""/>
      <w:lvlJc w:val="left"/>
      <w:pPr>
        <w:ind w:left="6829" w:hanging="360"/>
      </w:pPr>
      <w:rPr>
        <w:rFonts w:ascii="Wingdings" w:hAnsi="Wingdings" w:hint="default"/>
      </w:rPr>
    </w:lvl>
  </w:abstractNum>
  <w:abstractNum w:abstractNumId="10" w15:restartNumberingAfterBreak="0">
    <w:nsid w:val="251123D3"/>
    <w:multiLevelType w:val="hybridMultilevel"/>
    <w:tmpl w:val="6B7E2E24"/>
    <w:lvl w:ilvl="0" w:tplc="A3687E86">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2F2143A1"/>
    <w:multiLevelType w:val="hybridMultilevel"/>
    <w:tmpl w:val="4EB84EEC"/>
    <w:lvl w:ilvl="0" w:tplc="5E185100">
      <w:start w:val="1"/>
      <w:numFmt w:val="lowerRoman"/>
      <w:lvlText w:val="%1)"/>
      <w:lvlJc w:val="left"/>
      <w:pPr>
        <w:ind w:left="2136" w:hanging="720"/>
      </w:pPr>
      <w:rPr>
        <w:rFonts w:hint="default"/>
      </w:rPr>
    </w:lvl>
    <w:lvl w:ilvl="1" w:tplc="240A0019" w:tentative="1">
      <w:start w:val="1"/>
      <w:numFmt w:val="lowerLetter"/>
      <w:lvlText w:val="%2."/>
      <w:lvlJc w:val="left"/>
      <w:pPr>
        <w:ind w:left="2496" w:hanging="360"/>
      </w:pPr>
    </w:lvl>
    <w:lvl w:ilvl="2" w:tplc="240A001B" w:tentative="1">
      <w:start w:val="1"/>
      <w:numFmt w:val="lowerRoman"/>
      <w:lvlText w:val="%3."/>
      <w:lvlJc w:val="right"/>
      <w:pPr>
        <w:ind w:left="3216" w:hanging="180"/>
      </w:pPr>
    </w:lvl>
    <w:lvl w:ilvl="3" w:tplc="240A000F" w:tentative="1">
      <w:start w:val="1"/>
      <w:numFmt w:val="decimal"/>
      <w:lvlText w:val="%4."/>
      <w:lvlJc w:val="left"/>
      <w:pPr>
        <w:ind w:left="3936" w:hanging="360"/>
      </w:pPr>
    </w:lvl>
    <w:lvl w:ilvl="4" w:tplc="240A0019" w:tentative="1">
      <w:start w:val="1"/>
      <w:numFmt w:val="lowerLetter"/>
      <w:lvlText w:val="%5."/>
      <w:lvlJc w:val="left"/>
      <w:pPr>
        <w:ind w:left="4656" w:hanging="360"/>
      </w:pPr>
    </w:lvl>
    <w:lvl w:ilvl="5" w:tplc="240A001B" w:tentative="1">
      <w:start w:val="1"/>
      <w:numFmt w:val="lowerRoman"/>
      <w:lvlText w:val="%6."/>
      <w:lvlJc w:val="right"/>
      <w:pPr>
        <w:ind w:left="5376" w:hanging="180"/>
      </w:pPr>
    </w:lvl>
    <w:lvl w:ilvl="6" w:tplc="240A000F" w:tentative="1">
      <w:start w:val="1"/>
      <w:numFmt w:val="decimal"/>
      <w:lvlText w:val="%7."/>
      <w:lvlJc w:val="left"/>
      <w:pPr>
        <w:ind w:left="6096" w:hanging="360"/>
      </w:pPr>
    </w:lvl>
    <w:lvl w:ilvl="7" w:tplc="240A0019" w:tentative="1">
      <w:start w:val="1"/>
      <w:numFmt w:val="lowerLetter"/>
      <w:lvlText w:val="%8."/>
      <w:lvlJc w:val="left"/>
      <w:pPr>
        <w:ind w:left="6816" w:hanging="360"/>
      </w:pPr>
    </w:lvl>
    <w:lvl w:ilvl="8" w:tplc="240A001B" w:tentative="1">
      <w:start w:val="1"/>
      <w:numFmt w:val="lowerRoman"/>
      <w:lvlText w:val="%9."/>
      <w:lvlJc w:val="right"/>
      <w:pPr>
        <w:ind w:left="7536" w:hanging="180"/>
      </w:pPr>
    </w:lvl>
  </w:abstractNum>
  <w:abstractNum w:abstractNumId="12" w15:restartNumberingAfterBreak="0">
    <w:nsid w:val="2F2F4AAF"/>
    <w:multiLevelType w:val="hybridMultilevel"/>
    <w:tmpl w:val="8780C6F4"/>
    <w:lvl w:ilvl="0" w:tplc="55946782">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3"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5" w15:restartNumberingAfterBreak="0">
    <w:nsid w:val="3835108C"/>
    <w:multiLevelType w:val="hybridMultilevel"/>
    <w:tmpl w:val="46D6164A"/>
    <w:lvl w:ilvl="0" w:tplc="9ADA0392">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6" w15:restartNumberingAfterBreak="0">
    <w:nsid w:val="388E5AE1"/>
    <w:multiLevelType w:val="hybridMultilevel"/>
    <w:tmpl w:val="1B62FAF4"/>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7" w15:restartNumberingAfterBreak="0">
    <w:nsid w:val="39CD3660"/>
    <w:multiLevelType w:val="hybridMultilevel"/>
    <w:tmpl w:val="DCEE24D0"/>
    <w:lvl w:ilvl="0" w:tplc="7D9E7E62">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8"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9" w15:restartNumberingAfterBreak="0">
    <w:nsid w:val="3D5D596E"/>
    <w:multiLevelType w:val="hybridMultilevel"/>
    <w:tmpl w:val="88DE2ABC"/>
    <w:lvl w:ilvl="0" w:tplc="ECF04718">
      <w:start w:val="1"/>
      <w:numFmt w:val="lowerRoman"/>
      <w:lvlText w:val="%1)"/>
      <w:lvlJc w:val="left"/>
      <w:pPr>
        <w:ind w:left="1429" w:hanging="720"/>
      </w:pPr>
      <w:rPr>
        <w:rFonts w:ascii="Verdana" w:eastAsia="Calibri" w:hAnsi="Verdana" w:cs="Arial"/>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0" w15:restartNumberingAfterBreak="0">
    <w:nsid w:val="418679D0"/>
    <w:multiLevelType w:val="hybridMultilevel"/>
    <w:tmpl w:val="F2F430A2"/>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1" w15:restartNumberingAfterBreak="0">
    <w:nsid w:val="475C5A77"/>
    <w:multiLevelType w:val="hybridMultilevel"/>
    <w:tmpl w:val="F5321E28"/>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2" w15:restartNumberingAfterBreak="0">
    <w:nsid w:val="4D0E478B"/>
    <w:multiLevelType w:val="hybridMultilevel"/>
    <w:tmpl w:val="869EF6D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3" w15:restartNumberingAfterBreak="0">
    <w:nsid w:val="522C350D"/>
    <w:multiLevelType w:val="hybridMultilevel"/>
    <w:tmpl w:val="89B6917E"/>
    <w:lvl w:ilvl="0" w:tplc="A7B2FCBE">
      <w:start w:val="1"/>
      <w:numFmt w:val="decimal"/>
      <w:lvlText w:val="%1."/>
      <w:lvlJc w:val="left"/>
      <w:pPr>
        <w:ind w:left="1494" w:hanging="360"/>
      </w:pPr>
      <w:rPr>
        <w:rFonts w:hint="default"/>
      </w:rPr>
    </w:lvl>
    <w:lvl w:ilvl="1" w:tplc="240A0019" w:tentative="1">
      <w:start w:val="1"/>
      <w:numFmt w:val="lowerLetter"/>
      <w:lvlText w:val="%2."/>
      <w:lvlJc w:val="left"/>
      <w:pPr>
        <w:ind w:left="2214" w:hanging="360"/>
      </w:pPr>
    </w:lvl>
    <w:lvl w:ilvl="2" w:tplc="240A001B" w:tentative="1">
      <w:start w:val="1"/>
      <w:numFmt w:val="lowerRoman"/>
      <w:lvlText w:val="%3."/>
      <w:lvlJc w:val="right"/>
      <w:pPr>
        <w:ind w:left="2934" w:hanging="180"/>
      </w:pPr>
    </w:lvl>
    <w:lvl w:ilvl="3" w:tplc="240A000F" w:tentative="1">
      <w:start w:val="1"/>
      <w:numFmt w:val="decimal"/>
      <w:lvlText w:val="%4."/>
      <w:lvlJc w:val="left"/>
      <w:pPr>
        <w:ind w:left="3654" w:hanging="360"/>
      </w:pPr>
    </w:lvl>
    <w:lvl w:ilvl="4" w:tplc="240A0019" w:tentative="1">
      <w:start w:val="1"/>
      <w:numFmt w:val="lowerLetter"/>
      <w:lvlText w:val="%5."/>
      <w:lvlJc w:val="left"/>
      <w:pPr>
        <w:ind w:left="4374" w:hanging="360"/>
      </w:pPr>
    </w:lvl>
    <w:lvl w:ilvl="5" w:tplc="240A001B" w:tentative="1">
      <w:start w:val="1"/>
      <w:numFmt w:val="lowerRoman"/>
      <w:lvlText w:val="%6."/>
      <w:lvlJc w:val="right"/>
      <w:pPr>
        <w:ind w:left="5094" w:hanging="180"/>
      </w:pPr>
    </w:lvl>
    <w:lvl w:ilvl="6" w:tplc="240A000F" w:tentative="1">
      <w:start w:val="1"/>
      <w:numFmt w:val="decimal"/>
      <w:lvlText w:val="%7."/>
      <w:lvlJc w:val="left"/>
      <w:pPr>
        <w:ind w:left="5814" w:hanging="360"/>
      </w:pPr>
    </w:lvl>
    <w:lvl w:ilvl="7" w:tplc="240A0019" w:tentative="1">
      <w:start w:val="1"/>
      <w:numFmt w:val="lowerLetter"/>
      <w:lvlText w:val="%8."/>
      <w:lvlJc w:val="left"/>
      <w:pPr>
        <w:ind w:left="6534" w:hanging="360"/>
      </w:pPr>
    </w:lvl>
    <w:lvl w:ilvl="8" w:tplc="240A001B" w:tentative="1">
      <w:start w:val="1"/>
      <w:numFmt w:val="lowerRoman"/>
      <w:lvlText w:val="%9."/>
      <w:lvlJc w:val="right"/>
      <w:pPr>
        <w:ind w:left="7254" w:hanging="180"/>
      </w:pPr>
    </w:lvl>
  </w:abstractNum>
  <w:abstractNum w:abstractNumId="24" w15:restartNumberingAfterBreak="0">
    <w:nsid w:val="540506B6"/>
    <w:multiLevelType w:val="hybridMultilevel"/>
    <w:tmpl w:val="974E041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5" w15:restartNumberingAfterBreak="0">
    <w:nsid w:val="603F1D1B"/>
    <w:multiLevelType w:val="hybridMultilevel"/>
    <w:tmpl w:val="D012F2B4"/>
    <w:lvl w:ilvl="0" w:tplc="88466D34">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6" w15:restartNumberingAfterBreak="0">
    <w:nsid w:val="604178A9"/>
    <w:multiLevelType w:val="hybridMultilevel"/>
    <w:tmpl w:val="7486A3C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7" w15:restartNumberingAfterBreak="0">
    <w:nsid w:val="620101A4"/>
    <w:multiLevelType w:val="hybridMultilevel"/>
    <w:tmpl w:val="717C38BE"/>
    <w:lvl w:ilvl="0" w:tplc="FFFFFFFF">
      <w:start w:val="1"/>
      <w:numFmt w:val="lowerRoman"/>
      <w:lvlText w:val="%1)"/>
      <w:lvlJc w:val="left"/>
      <w:pPr>
        <w:ind w:left="1429" w:hanging="720"/>
      </w:pPr>
      <w:rPr>
        <w:rFonts w:ascii="Verdana" w:eastAsia="Calibri" w:hAnsi="Verdana" w:cs="Arial"/>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28" w15:restartNumberingAfterBreak="0">
    <w:nsid w:val="661C105F"/>
    <w:multiLevelType w:val="hybridMultilevel"/>
    <w:tmpl w:val="FF7611B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9" w15:restartNumberingAfterBreak="0">
    <w:nsid w:val="6D471CDA"/>
    <w:multiLevelType w:val="hybridMultilevel"/>
    <w:tmpl w:val="FF68D47A"/>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30" w15:restartNumberingAfterBreak="0">
    <w:nsid w:val="6EC84743"/>
    <w:multiLevelType w:val="hybridMultilevel"/>
    <w:tmpl w:val="9790F6FE"/>
    <w:lvl w:ilvl="0" w:tplc="6D1C2B0A">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1" w15:restartNumberingAfterBreak="0">
    <w:nsid w:val="700542C4"/>
    <w:multiLevelType w:val="hybridMultilevel"/>
    <w:tmpl w:val="232828B0"/>
    <w:lvl w:ilvl="0" w:tplc="FFFFFFFF">
      <w:start w:val="1"/>
      <w:numFmt w:val="decimal"/>
      <w:lvlText w:val="%1."/>
      <w:lvlJc w:val="left"/>
      <w:pPr>
        <w:ind w:left="2061" w:hanging="360"/>
      </w:p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32" w15:restartNumberingAfterBreak="0">
    <w:nsid w:val="70D60AF4"/>
    <w:multiLevelType w:val="hybridMultilevel"/>
    <w:tmpl w:val="623869D6"/>
    <w:lvl w:ilvl="0" w:tplc="1E18C336">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3" w15:restartNumberingAfterBreak="0">
    <w:nsid w:val="77681820"/>
    <w:multiLevelType w:val="hybridMultilevel"/>
    <w:tmpl w:val="978A042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4" w15:restartNumberingAfterBreak="0">
    <w:nsid w:val="78226FF1"/>
    <w:multiLevelType w:val="hybridMultilevel"/>
    <w:tmpl w:val="18F0F084"/>
    <w:lvl w:ilvl="0" w:tplc="6A3AC74A">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5" w15:restartNumberingAfterBreak="0">
    <w:nsid w:val="7B7F0FB5"/>
    <w:multiLevelType w:val="hybridMultilevel"/>
    <w:tmpl w:val="3586D1F0"/>
    <w:lvl w:ilvl="0" w:tplc="15C0C8AE">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6" w15:restartNumberingAfterBreak="0">
    <w:nsid w:val="7C190BA4"/>
    <w:multiLevelType w:val="hybridMultilevel"/>
    <w:tmpl w:val="D1FEAF26"/>
    <w:lvl w:ilvl="0" w:tplc="D5B89D1A">
      <w:start w:val="1"/>
      <w:numFmt w:val="decimal"/>
      <w:lvlText w:val="%1."/>
      <w:lvlJc w:val="left"/>
      <w:pPr>
        <w:ind w:left="1028" w:hanging="221"/>
      </w:pPr>
      <w:rPr>
        <w:rFonts w:ascii="Arial" w:eastAsia="Arial" w:hAnsi="Arial" w:cs="Arial" w:hint="default"/>
        <w:color w:val="auto"/>
        <w:spacing w:val="-2"/>
        <w:w w:val="100"/>
        <w:sz w:val="20"/>
        <w:szCs w:val="20"/>
        <w:lang w:val="es-ES" w:eastAsia="es-ES" w:bidi="es-ES"/>
      </w:rPr>
    </w:lvl>
    <w:lvl w:ilvl="1" w:tplc="053E5822">
      <w:numFmt w:val="bullet"/>
      <w:lvlText w:val="•"/>
      <w:lvlJc w:val="left"/>
      <w:pPr>
        <w:ind w:left="1846" w:hanging="221"/>
      </w:pPr>
      <w:rPr>
        <w:rFonts w:hint="default"/>
        <w:lang w:val="es-ES" w:eastAsia="es-ES" w:bidi="es-ES"/>
      </w:rPr>
    </w:lvl>
    <w:lvl w:ilvl="2" w:tplc="90242A8E">
      <w:numFmt w:val="bullet"/>
      <w:lvlText w:val="•"/>
      <w:lvlJc w:val="left"/>
      <w:pPr>
        <w:ind w:left="2672" w:hanging="221"/>
      </w:pPr>
      <w:rPr>
        <w:rFonts w:hint="default"/>
        <w:lang w:val="es-ES" w:eastAsia="es-ES" w:bidi="es-ES"/>
      </w:rPr>
    </w:lvl>
    <w:lvl w:ilvl="3" w:tplc="E160CF42">
      <w:numFmt w:val="bullet"/>
      <w:lvlText w:val="•"/>
      <w:lvlJc w:val="left"/>
      <w:pPr>
        <w:ind w:left="3498" w:hanging="221"/>
      </w:pPr>
      <w:rPr>
        <w:rFonts w:hint="default"/>
        <w:lang w:val="es-ES" w:eastAsia="es-ES" w:bidi="es-ES"/>
      </w:rPr>
    </w:lvl>
    <w:lvl w:ilvl="4" w:tplc="9B26973A">
      <w:numFmt w:val="bullet"/>
      <w:lvlText w:val="•"/>
      <w:lvlJc w:val="left"/>
      <w:pPr>
        <w:ind w:left="4324" w:hanging="221"/>
      </w:pPr>
      <w:rPr>
        <w:rFonts w:hint="default"/>
        <w:lang w:val="es-ES" w:eastAsia="es-ES" w:bidi="es-ES"/>
      </w:rPr>
    </w:lvl>
    <w:lvl w:ilvl="5" w:tplc="017409CE">
      <w:numFmt w:val="bullet"/>
      <w:lvlText w:val="•"/>
      <w:lvlJc w:val="left"/>
      <w:pPr>
        <w:ind w:left="5150" w:hanging="221"/>
      </w:pPr>
      <w:rPr>
        <w:rFonts w:hint="default"/>
        <w:lang w:val="es-ES" w:eastAsia="es-ES" w:bidi="es-ES"/>
      </w:rPr>
    </w:lvl>
    <w:lvl w:ilvl="6" w:tplc="870EC5D4">
      <w:numFmt w:val="bullet"/>
      <w:lvlText w:val="•"/>
      <w:lvlJc w:val="left"/>
      <w:pPr>
        <w:ind w:left="5976" w:hanging="221"/>
      </w:pPr>
      <w:rPr>
        <w:rFonts w:hint="default"/>
        <w:lang w:val="es-ES" w:eastAsia="es-ES" w:bidi="es-ES"/>
      </w:rPr>
    </w:lvl>
    <w:lvl w:ilvl="7" w:tplc="F4B4208E">
      <w:numFmt w:val="bullet"/>
      <w:lvlText w:val="•"/>
      <w:lvlJc w:val="left"/>
      <w:pPr>
        <w:ind w:left="6802" w:hanging="221"/>
      </w:pPr>
      <w:rPr>
        <w:rFonts w:hint="default"/>
        <w:lang w:val="es-ES" w:eastAsia="es-ES" w:bidi="es-ES"/>
      </w:rPr>
    </w:lvl>
    <w:lvl w:ilvl="8" w:tplc="55B09E2E">
      <w:numFmt w:val="bullet"/>
      <w:lvlText w:val="•"/>
      <w:lvlJc w:val="left"/>
      <w:pPr>
        <w:ind w:left="7628" w:hanging="221"/>
      </w:pPr>
      <w:rPr>
        <w:rFonts w:hint="default"/>
        <w:lang w:val="es-ES" w:eastAsia="es-ES" w:bidi="es-ES"/>
      </w:rPr>
    </w:lvl>
  </w:abstractNum>
  <w:abstractNum w:abstractNumId="37" w15:restartNumberingAfterBreak="0">
    <w:nsid w:val="7DD23916"/>
    <w:multiLevelType w:val="multilevel"/>
    <w:tmpl w:val="89F2A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330140246">
    <w:abstractNumId w:val="0"/>
  </w:num>
  <w:num w:numId="2" w16cid:durableId="1492209491">
    <w:abstractNumId w:val="14"/>
  </w:num>
  <w:num w:numId="3" w16cid:durableId="679089576">
    <w:abstractNumId w:val="18"/>
  </w:num>
  <w:num w:numId="4" w16cid:durableId="893472101">
    <w:abstractNumId w:val="9"/>
  </w:num>
  <w:num w:numId="5" w16cid:durableId="1982299905">
    <w:abstractNumId w:val="37"/>
  </w:num>
  <w:num w:numId="6" w16cid:durableId="130758360">
    <w:abstractNumId w:val="21"/>
  </w:num>
  <w:num w:numId="7" w16cid:durableId="262541512">
    <w:abstractNumId w:val="33"/>
  </w:num>
  <w:num w:numId="8" w16cid:durableId="1947226218">
    <w:abstractNumId w:val="17"/>
  </w:num>
  <w:num w:numId="9" w16cid:durableId="1180706126">
    <w:abstractNumId w:val="20"/>
  </w:num>
  <w:num w:numId="10" w16cid:durableId="2097506960">
    <w:abstractNumId w:val="26"/>
  </w:num>
  <w:num w:numId="11" w16cid:durableId="1977490869">
    <w:abstractNumId w:val="24"/>
  </w:num>
  <w:num w:numId="12" w16cid:durableId="158663248">
    <w:abstractNumId w:val="23"/>
  </w:num>
  <w:num w:numId="13" w16cid:durableId="2024085788">
    <w:abstractNumId w:val="2"/>
  </w:num>
  <w:num w:numId="14" w16cid:durableId="1885099950">
    <w:abstractNumId w:val="16"/>
  </w:num>
  <w:num w:numId="15" w16cid:durableId="32047459">
    <w:abstractNumId w:val="11"/>
  </w:num>
  <w:num w:numId="16" w16cid:durableId="1192261824">
    <w:abstractNumId w:val="12"/>
  </w:num>
  <w:num w:numId="17" w16cid:durableId="375933272">
    <w:abstractNumId w:val="19"/>
  </w:num>
  <w:num w:numId="18" w16cid:durableId="610939998">
    <w:abstractNumId w:val="27"/>
  </w:num>
  <w:num w:numId="19" w16cid:durableId="1910656144">
    <w:abstractNumId w:val="4"/>
  </w:num>
  <w:num w:numId="20" w16cid:durableId="947545103">
    <w:abstractNumId w:val="15"/>
  </w:num>
  <w:num w:numId="21" w16cid:durableId="1851335222">
    <w:abstractNumId w:val="36"/>
  </w:num>
  <w:num w:numId="22" w16cid:durableId="578707994">
    <w:abstractNumId w:val="6"/>
  </w:num>
  <w:num w:numId="23" w16cid:durableId="876742304">
    <w:abstractNumId w:val="13"/>
  </w:num>
  <w:num w:numId="24" w16cid:durableId="1994095851">
    <w:abstractNumId w:val="7"/>
  </w:num>
  <w:num w:numId="25" w16cid:durableId="1567109325">
    <w:abstractNumId w:val="28"/>
  </w:num>
  <w:num w:numId="26" w16cid:durableId="1116487847">
    <w:abstractNumId w:val="22"/>
  </w:num>
  <w:num w:numId="27" w16cid:durableId="611326471">
    <w:abstractNumId w:val="31"/>
    <w:lvlOverride w:ilvl="0">
      <w:startOverride w:val="1"/>
    </w:lvlOverride>
    <w:lvlOverride w:ilvl="1"/>
    <w:lvlOverride w:ilvl="2"/>
    <w:lvlOverride w:ilvl="3"/>
    <w:lvlOverride w:ilvl="4"/>
    <w:lvlOverride w:ilvl="5"/>
    <w:lvlOverride w:ilvl="6"/>
    <w:lvlOverride w:ilvl="7"/>
    <w:lvlOverride w:ilvl="8"/>
  </w:num>
  <w:num w:numId="28" w16cid:durableId="883785195">
    <w:abstractNumId w:val="1"/>
  </w:num>
  <w:num w:numId="29" w16cid:durableId="2116288898">
    <w:abstractNumId w:val="35"/>
  </w:num>
  <w:num w:numId="30" w16cid:durableId="363991975">
    <w:abstractNumId w:val="32"/>
  </w:num>
  <w:num w:numId="31" w16cid:durableId="1509440290">
    <w:abstractNumId w:val="25"/>
  </w:num>
  <w:num w:numId="32" w16cid:durableId="1601723362">
    <w:abstractNumId w:val="8"/>
  </w:num>
  <w:num w:numId="33" w16cid:durableId="1484539021">
    <w:abstractNumId w:val="5"/>
  </w:num>
  <w:num w:numId="34" w16cid:durableId="1387339555">
    <w:abstractNumId w:val="3"/>
  </w:num>
  <w:num w:numId="35" w16cid:durableId="591087840">
    <w:abstractNumId w:val="29"/>
  </w:num>
  <w:num w:numId="36" w16cid:durableId="1632059173">
    <w:abstractNumId w:val="34"/>
  </w:num>
  <w:num w:numId="37" w16cid:durableId="742992957">
    <w:abstractNumId w:val="18"/>
  </w:num>
  <w:num w:numId="38" w16cid:durableId="1317681908">
    <w:abstractNumId w:val="10"/>
  </w:num>
  <w:num w:numId="39" w16cid:durableId="720791760">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0448"/>
    <w:rsid w:val="00001B12"/>
    <w:rsid w:val="00001B99"/>
    <w:rsid w:val="00001E08"/>
    <w:rsid w:val="00001E39"/>
    <w:rsid w:val="000024D6"/>
    <w:rsid w:val="00002767"/>
    <w:rsid w:val="00002920"/>
    <w:rsid w:val="00002D55"/>
    <w:rsid w:val="00003467"/>
    <w:rsid w:val="0000399A"/>
    <w:rsid w:val="00005225"/>
    <w:rsid w:val="000054DB"/>
    <w:rsid w:val="0000587D"/>
    <w:rsid w:val="000059AE"/>
    <w:rsid w:val="00005BB0"/>
    <w:rsid w:val="00006F59"/>
    <w:rsid w:val="00007086"/>
    <w:rsid w:val="00007382"/>
    <w:rsid w:val="00007576"/>
    <w:rsid w:val="0001025F"/>
    <w:rsid w:val="0001155E"/>
    <w:rsid w:val="00011613"/>
    <w:rsid w:val="00011D3C"/>
    <w:rsid w:val="00011ECC"/>
    <w:rsid w:val="0001222D"/>
    <w:rsid w:val="00012550"/>
    <w:rsid w:val="00012679"/>
    <w:rsid w:val="00012C27"/>
    <w:rsid w:val="00012EDA"/>
    <w:rsid w:val="00013B3F"/>
    <w:rsid w:val="00014981"/>
    <w:rsid w:val="00014B0D"/>
    <w:rsid w:val="00014E7B"/>
    <w:rsid w:val="00016280"/>
    <w:rsid w:val="0001672C"/>
    <w:rsid w:val="00016F04"/>
    <w:rsid w:val="00017870"/>
    <w:rsid w:val="00021068"/>
    <w:rsid w:val="00021595"/>
    <w:rsid w:val="000219D1"/>
    <w:rsid w:val="00021C3A"/>
    <w:rsid w:val="0002202D"/>
    <w:rsid w:val="00022C23"/>
    <w:rsid w:val="00023DF7"/>
    <w:rsid w:val="00024F51"/>
    <w:rsid w:val="000267DD"/>
    <w:rsid w:val="000273EA"/>
    <w:rsid w:val="00027B63"/>
    <w:rsid w:val="00027CA9"/>
    <w:rsid w:val="00030B3D"/>
    <w:rsid w:val="00030BC5"/>
    <w:rsid w:val="00030BFB"/>
    <w:rsid w:val="00031DA1"/>
    <w:rsid w:val="00031EAF"/>
    <w:rsid w:val="0003287A"/>
    <w:rsid w:val="00033390"/>
    <w:rsid w:val="000361EA"/>
    <w:rsid w:val="0003699E"/>
    <w:rsid w:val="000369C0"/>
    <w:rsid w:val="0003731A"/>
    <w:rsid w:val="00037A8B"/>
    <w:rsid w:val="00040372"/>
    <w:rsid w:val="000408AD"/>
    <w:rsid w:val="00041469"/>
    <w:rsid w:val="0004180C"/>
    <w:rsid w:val="000419D7"/>
    <w:rsid w:val="00042DD7"/>
    <w:rsid w:val="000438BA"/>
    <w:rsid w:val="00043EE5"/>
    <w:rsid w:val="000442CC"/>
    <w:rsid w:val="000442DE"/>
    <w:rsid w:val="0004491F"/>
    <w:rsid w:val="00044B24"/>
    <w:rsid w:val="0004508D"/>
    <w:rsid w:val="0004526E"/>
    <w:rsid w:val="00045B37"/>
    <w:rsid w:val="0004709D"/>
    <w:rsid w:val="000504AA"/>
    <w:rsid w:val="0005086B"/>
    <w:rsid w:val="0005098A"/>
    <w:rsid w:val="00050C95"/>
    <w:rsid w:val="00050CAD"/>
    <w:rsid w:val="0005142D"/>
    <w:rsid w:val="00051A3C"/>
    <w:rsid w:val="00051BE4"/>
    <w:rsid w:val="00051E96"/>
    <w:rsid w:val="000526A8"/>
    <w:rsid w:val="00052EF1"/>
    <w:rsid w:val="0005420B"/>
    <w:rsid w:val="00054DFE"/>
    <w:rsid w:val="000551CB"/>
    <w:rsid w:val="00055ED8"/>
    <w:rsid w:val="0005620B"/>
    <w:rsid w:val="00057392"/>
    <w:rsid w:val="00057740"/>
    <w:rsid w:val="000577A2"/>
    <w:rsid w:val="000577D3"/>
    <w:rsid w:val="00057963"/>
    <w:rsid w:val="000579AB"/>
    <w:rsid w:val="00060AE4"/>
    <w:rsid w:val="00061295"/>
    <w:rsid w:val="000618E5"/>
    <w:rsid w:val="000622B9"/>
    <w:rsid w:val="000631E9"/>
    <w:rsid w:val="00063B4B"/>
    <w:rsid w:val="00064431"/>
    <w:rsid w:val="00064721"/>
    <w:rsid w:val="00064D60"/>
    <w:rsid w:val="0006565C"/>
    <w:rsid w:val="00065973"/>
    <w:rsid w:val="00065C6D"/>
    <w:rsid w:val="000665D3"/>
    <w:rsid w:val="00066646"/>
    <w:rsid w:val="00066C7A"/>
    <w:rsid w:val="00066CF1"/>
    <w:rsid w:val="000678BB"/>
    <w:rsid w:val="000709EF"/>
    <w:rsid w:val="00070D9B"/>
    <w:rsid w:val="0007144A"/>
    <w:rsid w:val="000716AB"/>
    <w:rsid w:val="00071AB8"/>
    <w:rsid w:val="0007243A"/>
    <w:rsid w:val="00072AF5"/>
    <w:rsid w:val="000734CB"/>
    <w:rsid w:val="00074660"/>
    <w:rsid w:val="000752FA"/>
    <w:rsid w:val="00075BDC"/>
    <w:rsid w:val="00075DF4"/>
    <w:rsid w:val="00076211"/>
    <w:rsid w:val="000762C0"/>
    <w:rsid w:val="0007655A"/>
    <w:rsid w:val="00076737"/>
    <w:rsid w:val="00076C2B"/>
    <w:rsid w:val="00076C73"/>
    <w:rsid w:val="00076F81"/>
    <w:rsid w:val="000772B1"/>
    <w:rsid w:val="000779DE"/>
    <w:rsid w:val="000800B6"/>
    <w:rsid w:val="00080D15"/>
    <w:rsid w:val="00081B03"/>
    <w:rsid w:val="00081BAA"/>
    <w:rsid w:val="000847A0"/>
    <w:rsid w:val="00084BFD"/>
    <w:rsid w:val="00085BD2"/>
    <w:rsid w:val="0008651B"/>
    <w:rsid w:val="00087073"/>
    <w:rsid w:val="0008734C"/>
    <w:rsid w:val="0008739A"/>
    <w:rsid w:val="000875BD"/>
    <w:rsid w:val="000878E7"/>
    <w:rsid w:val="00087A3B"/>
    <w:rsid w:val="00087C01"/>
    <w:rsid w:val="000903E4"/>
    <w:rsid w:val="000906E3"/>
    <w:rsid w:val="000913D9"/>
    <w:rsid w:val="00091D73"/>
    <w:rsid w:val="0009252F"/>
    <w:rsid w:val="000933B5"/>
    <w:rsid w:val="000933BC"/>
    <w:rsid w:val="00093544"/>
    <w:rsid w:val="00093D95"/>
    <w:rsid w:val="00093F87"/>
    <w:rsid w:val="000944B7"/>
    <w:rsid w:val="00094663"/>
    <w:rsid w:val="00095410"/>
    <w:rsid w:val="00095CF4"/>
    <w:rsid w:val="00095E48"/>
    <w:rsid w:val="00096637"/>
    <w:rsid w:val="0009726B"/>
    <w:rsid w:val="00097285"/>
    <w:rsid w:val="0009740F"/>
    <w:rsid w:val="000975EA"/>
    <w:rsid w:val="000A021A"/>
    <w:rsid w:val="000A1828"/>
    <w:rsid w:val="000A1C31"/>
    <w:rsid w:val="000A1D06"/>
    <w:rsid w:val="000A1F38"/>
    <w:rsid w:val="000A2030"/>
    <w:rsid w:val="000A358F"/>
    <w:rsid w:val="000A37F5"/>
    <w:rsid w:val="000A3A03"/>
    <w:rsid w:val="000A413A"/>
    <w:rsid w:val="000A4F1E"/>
    <w:rsid w:val="000A5881"/>
    <w:rsid w:val="000A66A1"/>
    <w:rsid w:val="000A69FB"/>
    <w:rsid w:val="000A776F"/>
    <w:rsid w:val="000A77D4"/>
    <w:rsid w:val="000B0B16"/>
    <w:rsid w:val="000B1087"/>
    <w:rsid w:val="000B146F"/>
    <w:rsid w:val="000B1936"/>
    <w:rsid w:val="000B199A"/>
    <w:rsid w:val="000B1FF7"/>
    <w:rsid w:val="000B2529"/>
    <w:rsid w:val="000B2685"/>
    <w:rsid w:val="000B2B7C"/>
    <w:rsid w:val="000B3027"/>
    <w:rsid w:val="000B377E"/>
    <w:rsid w:val="000B381D"/>
    <w:rsid w:val="000B3DD4"/>
    <w:rsid w:val="000B4024"/>
    <w:rsid w:val="000B44BA"/>
    <w:rsid w:val="000B4C9C"/>
    <w:rsid w:val="000B5258"/>
    <w:rsid w:val="000B5311"/>
    <w:rsid w:val="000B5313"/>
    <w:rsid w:val="000B5C05"/>
    <w:rsid w:val="000B5C65"/>
    <w:rsid w:val="000B5DF3"/>
    <w:rsid w:val="000B5F1D"/>
    <w:rsid w:val="000B5FB9"/>
    <w:rsid w:val="000B69C5"/>
    <w:rsid w:val="000B6BE9"/>
    <w:rsid w:val="000C02AD"/>
    <w:rsid w:val="000C060A"/>
    <w:rsid w:val="000C07B0"/>
    <w:rsid w:val="000C09DF"/>
    <w:rsid w:val="000C0AA8"/>
    <w:rsid w:val="000C18BD"/>
    <w:rsid w:val="000C1FC8"/>
    <w:rsid w:val="000C36E1"/>
    <w:rsid w:val="000C42A9"/>
    <w:rsid w:val="000C42C6"/>
    <w:rsid w:val="000C50D6"/>
    <w:rsid w:val="000C51E1"/>
    <w:rsid w:val="000C557B"/>
    <w:rsid w:val="000C5A85"/>
    <w:rsid w:val="000C5F29"/>
    <w:rsid w:val="000C5F48"/>
    <w:rsid w:val="000C66BF"/>
    <w:rsid w:val="000C6FC1"/>
    <w:rsid w:val="000C7FF8"/>
    <w:rsid w:val="000D0372"/>
    <w:rsid w:val="000D0ADE"/>
    <w:rsid w:val="000D1A8F"/>
    <w:rsid w:val="000D2914"/>
    <w:rsid w:val="000D2E60"/>
    <w:rsid w:val="000D2F50"/>
    <w:rsid w:val="000D3275"/>
    <w:rsid w:val="000D3A1B"/>
    <w:rsid w:val="000D3B86"/>
    <w:rsid w:val="000D4E64"/>
    <w:rsid w:val="000D5008"/>
    <w:rsid w:val="000D570C"/>
    <w:rsid w:val="000D5A0F"/>
    <w:rsid w:val="000D5B1E"/>
    <w:rsid w:val="000D5D9B"/>
    <w:rsid w:val="000D5E3F"/>
    <w:rsid w:val="000D6532"/>
    <w:rsid w:val="000D6E33"/>
    <w:rsid w:val="000D6EEE"/>
    <w:rsid w:val="000E0622"/>
    <w:rsid w:val="000E07AA"/>
    <w:rsid w:val="000E161A"/>
    <w:rsid w:val="000E1D6F"/>
    <w:rsid w:val="000E2D0D"/>
    <w:rsid w:val="000E3381"/>
    <w:rsid w:val="000E3744"/>
    <w:rsid w:val="000E3CD9"/>
    <w:rsid w:val="000E481D"/>
    <w:rsid w:val="000E496B"/>
    <w:rsid w:val="000E4DBF"/>
    <w:rsid w:val="000E4DF2"/>
    <w:rsid w:val="000E5844"/>
    <w:rsid w:val="000E634B"/>
    <w:rsid w:val="000E7349"/>
    <w:rsid w:val="000E762D"/>
    <w:rsid w:val="000E77CC"/>
    <w:rsid w:val="000F0144"/>
    <w:rsid w:val="000F0783"/>
    <w:rsid w:val="000F0807"/>
    <w:rsid w:val="000F080D"/>
    <w:rsid w:val="000F0B3C"/>
    <w:rsid w:val="000F13D5"/>
    <w:rsid w:val="000F175F"/>
    <w:rsid w:val="000F1AD8"/>
    <w:rsid w:val="000F2F4C"/>
    <w:rsid w:val="000F306E"/>
    <w:rsid w:val="000F38D9"/>
    <w:rsid w:val="000F3CED"/>
    <w:rsid w:val="000F414C"/>
    <w:rsid w:val="000F6320"/>
    <w:rsid w:val="000F64FC"/>
    <w:rsid w:val="000F696E"/>
    <w:rsid w:val="000F6C10"/>
    <w:rsid w:val="000F718E"/>
    <w:rsid w:val="001001F2"/>
    <w:rsid w:val="00100207"/>
    <w:rsid w:val="001003C6"/>
    <w:rsid w:val="00100682"/>
    <w:rsid w:val="00100F25"/>
    <w:rsid w:val="001010D3"/>
    <w:rsid w:val="0010144A"/>
    <w:rsid w:val="00101C11"/>
    <w:rsid w:val="00102F4F"/>
    <w:rsid w:val="001034DD"/>
    <w:rsid w:val="00104425"/>
    <w:rsid w:val="00104B4C"/>
    <w:rsid w:val="00105135"/>
    <w:rsid w:val="001055A2"/>
    <w:rsid w:val="00105DC2"/>
    <w:rsid w:val="0010682A"/>
    <w:rsid w:val="00106C4C"/>
    <w:rsid w:val="001079AE"/>
    <w:rsid w:val="00107DEF"/>
    <w:rsid w:val="00110145"/>
    <w:rsid w:val="0011031D"/>
    <w:rsid w:val="0011037E"/>
    <w:rsid w:val="00110404"/>
    <w:rsid w:val="001109E8"/>
    <w:rsid w:val="00110F73"/>
    <w:rsid w:val="00111E35"/>
    <w:rsid w:val="001128B4"/>
    <w:rsid w:val="00112EBD"/>
    <w:rsid w:val="001132C2"/>
    <w:rsid w:val="00113335"/>
    <w:rsid w:val="0011382D"/>
    <w:rsid w:val="00113AF2"/>
    <w:rsid w:val="00113C17"/>
    <w:rsid w:val="00113FDD"/>
    <w:rsid w:val="00114051"/>
    <w:rsid w:val="00114973"/>
    <w:rsid w:val="00114CFB"/>
    <w:rsid w:val="00114CFF"/>
    <w:rsid w:val="00114FDF"/>
    <w:rsid w:val="0011650B"/>
    <w:rsid w:val="00116616"/>
    <w:rsid w:val="00116FC5"/>
    <w:rsid w:val="00117163"/>
    <w:rsid w:val="00117BBD"/>
    <w:rsid w:val="00117E26"/>
    <w:rsid w:val="001202DF"/>
    <w:rsid w:val="00120F1B"/>
    <w:rsid w:val="001213E7"/>
    <w:rsid w:val="00121A6F"/>
    <w:rsid w:val="00122208"/>
    <w:rsid w:val="001224BA"/>
    <w:rsid w:val="001238BC"/>
    <w:rsid w:val="00124518"/>
    <w:rsid w:val="001248AB"/>
    <w:rsid w:val="00124981"/>
    <w:rsid w:val="00124B10"/>
    <w:rsid w:val="00124B2E"/>
    <w:rsid w:val="001256A1"/>
    <w:rsid w:val="00125D81"/>
    <w:rsid w:val="00126301"/>
    <w:rsid w:val="0012661F"/>
    <w:rsid w:val="00126966"/>
    <w:rsid w:val="001269B0"/>
    <w:rsid w:val="00126B24"/>
    <w:rsid w:val="00127234"/>
    <w:rsid w:val="001276C4"/>
    <w:rsid w:val="00127C68"/>
    <w:rsid w:val="00127D5B"/>
    <w:rsid w:val="001300B0"/>
    <w:rsid w:val="00131373"/>
    <w:rsid w:val="001314A0"/>
    <w:rsid w:val="00131A1F"/>
    <w:rsid w:val="00131A66"/>
    <w:rsid w:val="00131F9C"/>
    <w:rsid w:val="00132336"/>
    <w:rsid w:val="00132425"/>
    <w:rsid w:val="0013280A"/>
    <w:rsid w:val="00132875"/>
    <w:rsid w:val="0013315A"/>
    <w:rsid w:val="001332B3"/>
    <w:rsid w:val="0013343F"/>
    <w:rsid w:val="001344F9"/>
    <w:rsid w:val="00134F37"/>
    <w:rsid w:val="00135F76"/>
    <w:rsid w:val="001360E9"/>
    <w:rsid w:val="001360F4"/>
    <w:rsid w:val="001363C7"/>
    <w:rsid w:val="00136E87"/>
    <w:rsid w:val="00140793"/>
    <w:rsid w:val="0014203B"/>
    <w:rsid w:val="001422BD"/>
    <w:rsid w:val="0014286D"/>
    <w:rsid w:val="00143B8E"/>
    <w:rsid w:val="00143F21"/>
    <w:rsid w:val="0014420C"/>
    <w:rsid w:val="001446C3"/>
    <w:rsid w:val="00145EA8"/>
    <w:rsid w:val="001461A7"/>
    <w:rsid w:val="00146946"/>
    <w:rsid w:val="00146E7C"/>
    <w:rsid w:val="00147F8C"/>
    <w:rsid w:val="00150492"/>
    <w:rsid w:val="00151200"/>
    <w:rsid w:val="001513CE"/>
    <w:rsid w:val="00151465"/>
    <w:rsid w:val="00151AD8"/>
    <w:rsid w:val="00151E77"/>
    <w:rsid w:val="00152F77"/>
    <w:rsid w:val="00153287"/>
    <w:rsid w:val="001533E6"/>
    <w:rsid w:val="001538BE"/>
    <w:rsid w:val="00153BA7"/>
    <w:rsid w:val="00153C33"/>
    <w:rsid w:val="00155198"/>
    <w:rsid w:val="00155A26"/>
    <w:rsid w:val="00155EF1"/>
    <w:rsid w:val="00156192"/>
    <w:rsid w:val="00156E57"/>
    <w:rsid w:val="0015710D"/>
    <w:rsid w:val="00157338"/>
    <w:rsid w:val="00157CE5"/>
    <w:rsid w:val="00157DEB"/>
    <w:rsid w:val="001610BC"/>
    <w:rsid w:val="00161847"/>
    <w:rsid w:val="00161E13"/>
    <w:rsid w:val="001629D8"/>
    <w:rsid w:val="00162B2A"/>
    <w:rsid w:val="00162B8D"/>
    <w:rsid w:val="00162F9F"/>
    <w:rsid w:val="00163EB1"/>
    <w:rsid w:val="001646C7"/>
    <w:rsid w:val="00164803"/>
    <w:rsid w:val="00164AE0"/>
    <w:rsid w:val="001656F6"/>
    <w:rsid w:val="00165BF5"/>
    <w:rsid w:val="00165F2E"/>
    <w:rsid w:val="0016646A"/>
    <w:rsid w:val="001673EE"/>
    <w:rsid w:val="0016793B"/>
    <w:rsid w:val="00167C43"/>
    <w:rsid w:val="001706C9"/>
    <w:rsid w:val="0017120C"/>
    <w:rsid w:val="0017150D"/>
    <w:rsid w:val="001719EC"/>
    <w:rsid w:val="00171D3A"/>
    <w:rsid w:val="001727D7"/>
    <w:rsid w:val="00172C96"/>
    <w:rsid w:val="00172DDC"/>
    <w:rsid w:val="00172F3A"/>
    <w:rsid w:val="0017303B"/>
    <w:rsid w:val="00173477"/>
    <w:rsid w:val="0017414F"/>
    <w:rsid w:val="0017432C"/>
    <w:rsid w:val="00174636"/>
    <w:rsid w:val="00174735"/>
    <w:rsid w:val="0017481D"/>
    <w:rsid w:val="00174B1B"/>
    <w:rsid w:val="00174BD8"/>
    <w:rsid w:val="00174D51"/>
    <w:rsid w:val="001750BC"/>
    <w:rsid w:val="001757B3"/>
    <w:rsid w:val="001765BB"/>
    <w:rsid w:val="0017667E"/>
    <w:rsid w:val="001766D3"/>
    <w:rsid w:val="00176AE8"/>
    <w:rsid w:val="00176E76"/>
    <w:rsid w:val="00177570"/>
    <w:rsid w:val="00177E95"/>
    <w:rsid w:val="0018007F"/>
    <w:rsid w:val="001811FC"/>
    <w:rsid w:val="00182338"/>
    <w:rsid w:val="00182348"/>
    <w:rsid w:val="001831FE"/>
    <w:rsid w:val="00183F50"/>
    <w:rsid w:val="001848FF"/>
    <w:rsid w:val="00184BB2"/>
    <w:rsid w:val="00184BD9"/>
    <w:rsid w:val="00184ED6"/>
    <w:rsid w:val="00184F13"/>
    <w:rsid w:val="00184FD9"/>
    <w:rsid w:val="00185361"/>
    <w:rsid w:val="00186037"/>
    <w:rsid w:val="00186AE4"/>
    <w:rsid w:val="00186D14"/>
    <w:rsid w:val="001876D8"/>
    <w:rsid w:val="00187F6A"/>
    <w:rsid w:val="00190325"/>
    <w:rsid w:val="00190391"/>
    <w:rsid w:val="00190982"/>
    <w:rsid w:val="0019151E"/>
    <w:rsid w:val="00191593"/>
    <w:rsid w:val="001918F1"/>
    <w:rsid w:val="0019196E"/>
    <w:rsid w:val="00191FF5"/>
    <w:rsid w:val="001926D7"/>
    <w:rsid w:val="00192CCE"/>
    <w:rsid w:val="0019385B"/>
    <w:rsid w:val="00193F1C"/>
    <w:rsid w:val="00194428"/>
    <w:rsid w:val="001947C0"/>
    <w:rsid w:val="001948F5"/>
    <w:rsid w:val="00194958"/>
    <w:rsid w:val="0019566E"/>
    <w:rsid w:val="00196359"/>
    <w:rsid w:val="0019710C"/>
    <w:rsid w:val="00197205"/>
    <w:rsid w:val="00197632"/>
    <w:rsid w:val="0019793F"/>
    <w:rsid w:val="00197A9D"/>
    <w:rsid w:val="001A08E7"/>
    <w:rsid w:val="001A17D7"/>
    <w:rsid w:val="001A1A67"/>
    <w:rsid w:val="001A1FDD"/>
    <w:rsid w:val="001A2D8F"/>
    <w:rsid w:val="001A3C1B"/>
    <w:rsid w:val="001A3D89"/>
    <w:rsid w:val="001A3E0A"/>
    <w:rsid w:val="001A5458"/>
    <w:rsid w:val="001A545B"/>
    <w:rsid w:val="001A54DA"/>
    <w:rsid w:val="001A5E69"/>
    <w:rsid w:val="001A6861"/>
    <w:rsid w:val="001A6FEC"/>
    <w:rsid w:val="001A78AA"/>
    <w:rsid w:val="001B08B5"/>
    <w:rsid w:val="001B143B"/>
    <w:rsid w:val="001B1532"/>
    <w:rsid w:val="001B1777"/>
    <w:rsid w:val="001B19C5"/>
    <w:rsid w:val="001B1B6D"/>
    <w:rsid w:val="001B1C93"/>
    <w:rsid w:val="001B21CA"/>
    <w:rsid w:val="001B28D5"/>
    <w:rsid w:val="001B28E4"/>
    <w:rsid w:val="001B3175"/>
    <w:rsid w:val="001B35D4"/>
    <w:rsid w:val="001B4446"/>
    <w:rsid w:val="001B52D3"/>
    <w:rsid w:val="001B53DD"/>
    <w:rsid w:val="001B5565"/>
    <w:rsid w:val="001B5A00"/>
    <w:rsid w:val="001B5F59"/>
    <w:rsid w:val="001B63A7"/>
    <w:rsid w:val="001B6810"/>
    <w:rsid w:val="001B6E89"/>
    <w:rsid w:val="001B7358"/>
    <w:rsid w:val="001B791C"/>
    <w:rsid w:val="001B7B9B"/>
    <w:rsid w:val="001B7D70"/>
    <w:rsid w:val="001C0125"/>
    <w:rsid w:val="001C0BF4"/>
    <w:rsid w:val="001C1074"/>
    <w:rsid w:val="001C21C8"/>
    <w:rsid w:val="001C25F5"/>
    <w:rsid w:val="001C265A"/>
    <w:rsid w:val="001C2DFD"/>
    <w:rsid w:val="001C34D0"/>
    <w:rsid w:val="001C4249"/>
    <w:rsid w:val="001C46E3"/>
    <w:rsid w:val="001C496A"/>
    <w:rsid w:val="001C4AC1"/>
    <w:rsid w:val="001C4F27"/>
    <w:rsid w:val="001C51FE"/>
    <w:rsid w:val="001C582B"/>
    <w:rsid w:val="001C6573"/>
    <w:rsid w:val="001C7B08"/>
    <w:rsid w:val="001C7D03"/>
    <w:rsid w:val="001D00BE"/>
    <w:rsid w:val="001D079B"/>
    <w:rsid w:val="001D0806"/>
    <w:rsid w:val="001D0D32"/>
    <w:rsid w:val="001D1363"/>
    <w:rsid w:val="001D17C9"/>
    <w:rsid w:val="001D1AB9"/>
    <w:rsid w:val="001D1EEB"/>
    <w:rsid w:val="001D1F20"/>
    <w:rsid w:val="001D22D5"/>
    <w:rsid w:val="001D2A41"/>
    <w:rsid w:val="001D3795"/>
    <w:rsid w:val="001D4006"/>
    <w:rsid w:val="001D54BD"/>
    <w:rsid w:val="001D5C72"/>
    <w:rsid w:val="001D616F"/>
    <w:rsid w:val="001D626E"/>
    <w:rsid w:val="001D733B"/>
    <w:rsid w:val="001D73CF"/>
    <w:rsid w:val="001D7536"/>
    <w:rsid w:val="001D7E8C"/>
    <w:rsid w:val="001E04CD"/>
    <w:rsid w:val="001E0902"/>
    <w:rsid w:val="001E1801"/>
    <w:rsid w:val="001E1C73"/>
    <w:rsid w:val="001E1E05"/>
    <w:rsid w:val="001E20B7"/>
    <w:rsid w:val="001E2254"/>
    <w:rsid w:val="001E22D2"/>
    <w:rsid w:val="001E22DE"/>
    <w:rsid w:val="001E2343"/>
    <w:rsid w:val="001E3A17"/>
    <w:rsid w:val="001E3FCB"/>
    <w:rsid w:val="001E52DF"/>
    <w:rsid w:val="001E5500"/>
    <w:rsid w:val="001E65BD"/>
    <w:rsid w:val="001E6930"/>
    <w:rsid w:val="001E6BCB"/>
    <w:rsid w:val="001E706C"/>
    <w:rsid w:val="001E761F"/>
    <w:rsid w:val="001E774A"/>
    <w:rsid w:val="001E783B"/>
    <w:rsid w:val="001E7FBC"/>
    <w:rsid w:val="001F0822"/>
    <w:rsid w:val="001F08CB"/>
    <w:rsid w:val="001F105B"/>
    <w:rsid w:val="001F15F6"/>
    <w:rsid w:val="001F179C"/>
    <w:rsid w:val="001F24B7"/>
    <w:rsid w:val="001F2649"/>
    <w:rsid w:val="001F2DB5"/>
    <w:rsid w:val="001F2DC7"/>
    <w:rsid w:val="001F3496"/>
    <w:rsid w:val="001F41CA"/>
    <w:rsid w:val="001F4355"/>
    <w:rsid w:val="001F478E"/>
    <w:rsid w:val="001F4819"/>
    <w:rsid w:val="001F485F"/>
    <w:rsid w:val="001F48BD"/>
    <w:rsid w:val="001F4FAB"/>
    <w:rsid w:val="001F5034"/>
    <w:rsid w:val="001F61DE"/>
    <w:rsid w:val="001F63AA"/>
    <w:rsid w:val="001F69C8"/>
    <w:rsid w:val="001F7054"/>
    <w:rsid w:val="001F77E5"/>
    <w:rsid w:val="001F7B58"/>
    <w:rsid w:val="001F7DB7"/>
    <w:rsid w:val="002000AA"/>
    <w:rsid w:val="00201502"/>
    <w:rsid w:val="0020302A"/>
    <w:rsid w:val="0020324C"/>
    <w:rsid w:val="002032A0"/>
    <w:rsid w:val="00203532"/>
    <w:rsid w:val="00203AE0"/>
    <w:rsid w:val="00204106"/>
    <w:rsid w:val="00204109"/>
    <w:rsid w:val="0020503A"/>
    <w:rsid w:val="00205041"/>
    <w:rsid w:val="0020524C"/>
    <w:rsid w:val="002059E3"/>
    <w:rsid w:val="00206258"/>
    <w:rsid w:val="00207438"/>
    <w:rsid w:val="002100FF"/>
    <w:rsid w:val="00210543"/>
    <w:rsid w:val="00210B9B"/>
    <w:rsid w:val="0021102F"/>
    <w:rsid w:val="002118D1"/>
    <w:rsid w:val="00211DCE"/>
    <w:rsid w:val="0021229D"/>
    <w:rsid w:val="00212390"/>
    <w:rsid w:val="00212897"/>
    <w:rsid w:val="00212ACB"/>
    <w:rsid w:val="00213612"/>
    <w:rsid w:val="0021386A"/>
    <w:rsid w:val="00213C44"/>
    <w:rsid w:val="002147EE"/>
    <w:rsid w:val="00215516"/>
    <w:rsid w:val="002158DC"/>
    <w:rsid w:val="002159D5"/>
    <w:rsid w:val="00215B64"/>
    <w:rsid w:val="00215C05"/>
    <w:rsid w:val="002161E3"/>
    <w:rsid w:val="00216DF5"/>
    <w:rsid w:val="00216EFA"/>
    <w:rsid w:val="0021798E"/>
    <w:rsid w:val="00217CA1"/>
    <w:rsid w:val="00217DEE"/>
    <w:rsid w:val="002203BF"/>
    <w:rsid w:val="00220C4C"/>
    <w:rsid w:val="00220E95"/>
    <w:rsid w:val="002217FE"/>
    <w:rsid w:val="0022180C"/>
    <w:rsid w:val="00221935"/>
    <w:rsid w:val="00221C72"/>
    <w:rsid w:val="002223E1"/>
    <w:rsid w:val="002225AB"/>
    <w:rsid w:val="00222955"/>
    <w:rsid w:val="002231B0"/>
    <w:rsid w:val="002239B8"/>
    <w:rsid w:val="002250D1"/>
    <w:rsid w:val="00225AAD"/>
    <w:rsid w:val="002267D2"/>
    <w:rsid w:val="00227AD7"/>
    <w:rsid w:val="00230839"/>
    <w:rsid w:val="00230EE8"/>
    <w:rsid w:val="00231ADB"/>
    <w:rsid w:val="00232178"/>
    <w:rsid w:val="00232248"/>
    <w:rsid w:val="00232D12"/>
    <w:rsid w:val="0023353F"/>
    <w:rsid w:val="00233616"/>
    <w:rsid w:val="00233975"/>
    <w:rsid w:val="00233B8C"/>
    <w:rsid w:val="002353E3"/>
    <w:rsid w:val="00235CC0"/>
    <w:rsid w:val="00235F30"/>
    <w:rsid w:val="00236287"/>
    <w:rsid w:val="002363FF"/>
    <w:rsid w:val="00236D10"/>
    <w:rsid w:val="0023777E"/>
    <w:rsid w:val="002407CE"/>
    <w:rsid w:val="002410D2"/>
    <w:rsid w:val="00241A6E"/>
    <w:rsid w:val="00242325"/>
    <w:rsid w:val="002430FE"/>
    <w:rsid w:val="00243A38"/>
    <w:rsid w:val="0024474F"/>
    <w:rsid w:val="00244761"/>
    <w:rsid w:val="002450F2"/>
    <w:rsid w:val="00245716"/>
    <w:rsid w:val="00245B7F"/>
    <w:rsid w:val="00246383"/>
    <w:rsid w:val="002469C2"/>
    <w:rsid w:val="00247BDE"/>
    <w:rsid w:val="00247DE2"/>
    <w:rsid w:val="00247F35"/>
    <w:rsid w:val="002505DE"/>
    <w:rsid w:val="002514FA"/>
    <w:rsid w:val="00251DAF"/>
    <w:rsid w:val="00252503"/>
    <w:rsid w:val="0025265C"/>
    <w:rsid w:val="00252ED7"/>
    <w:rsid w:val="0025393C"/>
    <w:rsid w:val="002549E7"/>
    <w:rsid w:val="00254A7A"/>
    <w:rsid w:val="00254EA4"/>
    <w:rsid w:val="0025509C"/>
    <w:rsid w:val="002552F8"/>
    <w:rsid w:val="0025575F"/>
    <w:rsid w:val="002560FB"/>
    <w:rsid w:val="002565BF"/>
    <w:rsid w:val="002571E3"/>
    <w:rsid w:val="002573DA"/>
    <w:rsid w:val="00260496"/>
    <w:rsid w:val="00260542"/>
    <w:rsid w:val="00260BAD"/>
    <w:rsid w:val="002612EA"/>
    <w:rsid w:val="0026224C"/>
    <w:rsid w:val="00264022"/>
    <w:rsid w:val="00264C7C"/>
    <w:rsid w:val="0026650F"/>
    <w:rsid w:val="00266DC3"/>
    <w:rsid w:val="0027029D"/>
    <w:rsid w:val="00270443"/>
    <w:rsid w:val="00270EE2"/>
    <w:rsid w:val="0027138C"/>
    <w:rsid w:val="002714F9"/>
    <w:rsid w:val="0027165A"/>
    <w:rsid w:val="00272787"/>
    <w:rsid w:val="00272826"/>
    <w:rsid w:val="00272A7B"/>
    <w:rsid w:val="00272C44"/>
    <w:rsid w:val="00272E8C"/>
    <w:rsid w:val="00272F05"/>
    <w:rsid w:val="00273527"/>
    <w:rsid w:val="00273F6B"/>
    <w:rsid w:val="002747EF"/>
    <w:rsid w:val="00274B06"/>
    <w:rsid w:val="002751D6"/>
    <w:rsid w:val="002754D3"/>
    <w:rsid w:val="00275B97"/>
    <w:rsid w:val="00276261"/>
    <w:rsid w:val="00276944"/>
    <w:rsid w:val="00276964"/>
    <w:rsid w:val="002769AE"/>
    <w:rsid w:val="00276CA7"/>
    <w:rsid w:val="0027737B"/>
    <w:rsid w:val="00277D7C"/>
    <w:rsid w:val="002816DD"/>
    <w:rsid w:val="002817A6"/>
    <w:rsid w:val="002821E8"/>
    <w:rsid w:val="00282B86"/>
    <w:rsid w:val="00282F1D"/>
    <w:rsid w:val="00283215"/>
    <w:rsid w:val="00283294"/>
    <w:rsid w:val="00283369"/>
    <w:rsid w:val="002833F3"/>
    <w:rsid w:val="00284203"/>
    <w:rsid w:val="0028512A"/>
    <w:rsid w:val="00285237"/>
    <w:rsid w:val="00285E3F"/>
    <w:rsid w:val="0028610D"/>
    <w:rsid w:val="002862CC"/>
    <w:rsid w:val="00286BFE"/>
    <w:rsid w:val="00286C81"/>
    <w:rsid w:val="0028703E"/>
    <w:rsid w:val="0028709F"/>
    <w:rsid w:val="0028717B"/>
    <w:rsid w:val="00287524"/>
    <w:rsid w:val="00290119"/>
    <w:rsid w:val="0029040D"/>
    <w:rsid w:val="002908F8"/>
    <w:rsid w:val="00290A53"/>
    <w:rsid w:val="00290B64"/>
    <w:rsid w:val="00291CB7"/>
    <w:rsid w:val="00292E91"/>
    <w:rsid w:val="002930AD"/>
    <w:rsid w:val="00293254"/>
    <w:rsid w:val="00295002"/>
    <w:rsid w:val="0029568E"/>
    <w:rsid w:val="00295E8C"/>
    <w:rsid w:val="002971C7"/>
    <w:rsid w:val="002971F2"/>
    <w:rsid w:val="00297785"/>
    <w:rsid w:val="00297E05"/>
    <w:rsid w:val="002A0444"/>
    <w:rsid w:val="002A0BEB"/>
    <w:rsid w:val="002A0F8D"/>
    <w:rsid w:val="002A1311"/>
    <w:rsid w:val="002A1377"/>
    <w:rsid w:val="002A1F89"/>
    <w:rsid w:val="002A211A"/>
    <w:rsid w:val="002A264B"/>
    <w:rsid w:val="002A4A82"/>
    <w:rsid w:val="002A4B33"/>
    <w:rsid w:val="002A4C00"/>
    <w:rsid w:val="002A5311"/>
    <w:rsid w:val="002A5863"/>
    <w:rsid w:val="002A6516"/>
    <w:rsid w:val="002A6E9B"/>
    <w:rsid w:val="002A6FBB"/>
    <w:rsid w:val="002B05D1"/>
    <w:rsid w:val="002B09F5"/>
    <w:rsid w:val="002B0DE1"/>
    <w:rsid w:val="002B18C7"/>
    <w:rsid w:val="002B1933"/>
    <w:rsid w:val="002B20BD"/>
    <w:rsid w:val="002B22DB"/>
    <w:rsid w:val="002B2611"/>
    <w:rsid w:val="002B27D8"/>
    <w:rsid w:val="002B35B9"/>
    <w:rsid w:val="002B38D2"/>
    <w:rsid w:val="002B3A46"/>
    <w:rsid w:val="002B3F1C"/>
    <w:rsid w:val="002B3F60"/>
    <w:rsid w:val="002B401B"/>
    <w:rsid w:val="002B48C5"/>
    <w:rsid w:val="002B4ED9"/>
    <w:rsid w:val="002B4EF4"/>
    <w:rsid w:val="002B4F53"/>
    <w:rsid w:val="002B5007"/>
    <w:rsid w:val="002B51BB"/>
    <w:rsid w:val="002B58C5"/>
    <w:rsid w:val="002B654E"/>
    <w:rsid w:val="002B6C1F"/>
    <w:rsid w:val="002B6CA2"/>
    <w:rsid w:val="002B6E44"/>
    <w:rsid w:val="002B6E8A"/>
    <w:rsid w:val="002B726F"/>
    <w:rsid w:val="002B744E"/>
    <w:rsid w:val="002B7909"/>
    <w:rsid w:val="002C000B"/>
    <w:rsid w:val="002C016F"/>
    <w:rsid w:val="002C09A8"/>
    <w:rsid w:val="002C103C"/>
    <w:rsid w:val="002C1109"/>
    <w:rsid w:val="002C12C7"/>
    <w:rsid w:val="002C19C6"/>
    <w:rsid w:val="002C1E93"/>
    <w:rsid w:val="002C29EB"/>
    <w:rsid w:val="002C30F0"/>
    <w:rsid w:val="002C3799"/>
    <w:rsid w:val="002C401A"/>
    <w:rsid w:val="002C479B"/>
    <w:rsid w:val="002C4EC8"/>
    <w:rsid w:val="002C532B"/>
    <w:rsid w:val="002C586F"/>
    <w:rsid w:val="002C6AF5"/>
    <w:rsid w:val="002C6D15"/>
    <w:rsid w:val="002C72F4"/>
    <w:rsid w:val="002C7E5B"/>
    <w:rsid w:val="002D0907"/>
    <w:rsid w:val="002D0E9E"/>
    <w:rsid w:val="002D1381"/>
    <w:rsid w:val="002D2D68"/>
    <w:rsid w:val="002D2F69"/>
    <w:rsid w:val="002D3016"/>
    <w:rsid w:val="002D3067"/>
    <w:rsid w:val="002D3630"/>
    <w:rsid w:val="002D38D9"/>
    <w:rsid w:val="002D3CE3"/>
    <w:rsid w:val="002D3DBE"/>
    <w:rsid w:val="002D4298"/>
    <w:rsid w:val="002D47E8"/>
    <w:rsid w:val="002D4FCC"/>
    <w:rsid w:val="002D5FC7"/>
    <w:rsid w:val="002D5FD5"/>
    <w:rsid w:val="002D68F4"/>
    <w:rsid w:val="002D7125"/>
    <w:rsid w:val="002D7395"/>
    <w:rsid w:val="002D7417"/>
    <w:rsid w:val="002D782B"/>
    <w:rsid w:val="002E0D9C"/>
    <w:rsid w:val="002E1247"/>
    <w:rsid w:val="002E26E8"/>
    <w:rsid w:val="002E3211"/>
    <w:rsid w:val="002E33A6"/>
    <w:rsid w:val="002E3DD8"/>
    <w:rsid w:val="002E3ED8"/>
    <w:rsid w:val="002E40CD"/>
    <w:rsid w:val="002E556D"/>
    <w:rsid w:val="002E5A01"/>
    <w:rsid w:val="002E5AF4"/>
    <w:rsid w:val="002E5EA3"/>
    <w:rsid w:val="002E717C"/>
    <w:rsid w:val="002E7533"/>
    <w:rsid w:val="002E7A61"/>
    <w:rsid w:val="002F00B8"/>
    <w:rsid w:val="002F0106"/>
    <w:rsid w:val="002F02C2"/>
    <w:rsid w:val="002F03C8"/>
    <w:rsid w:val="002F188D"/>
    <w:rsid w:val="002F18A5"/>
    <w:rsid w:val="002F26F3"/>
    <w:rsid w:val="002F317F"/>
    <w:rsid w:val="002F3FE7"/>
    <w:rsid w:val="002F51A2"/>
    <w:rsid w:val="002F5BA8"/>
    <w:rsid w:val="002F5E95"/>
    <w:rsid w:val="002F5F68"/>
    <w:rsid w:val="002F6367"/>
    <w:rsid w:val="002F63CA"/>
    <w:rsid w:val="002F67B4"/>
    <w:rsid w:val="002F6F73"/>
    <w:rsid w:val="002F7AA9"/>
    <w:rsid w:val="00300414"/>
    <w:rsid w:val="003004E3"/>
    <w:rsid w:val="00300FF1"/>
    <w:rsid w:val="003010FF"/>
    <w:rsid w:val="00301C0D"/>
    <w:rsid w:val="00301D7B"/>
    <w:rsid w:val="00301E19"/>
    <w:rsid w:val="003023DE"/>
    <w:rsid w:val="00302668"/>
    <w:rsid w:val="00302998"/>
    <w:rsid w:val="00303DC4"/>
    <w:rsid w:val="00304676"/>
    <w:rsid w:val="00306BE7"/>
    <w:rsid w:val="00306D4A"/>
    <w:rsid w:val="00307F1A"/>
    <w:rsid w:val="00307F40"/>
    <w:rsid w:val="003110A2"/>
    <w:rsid w:val="00311655"/>
    <w:rsid w:val="00311B66"/>
    <w:rsid w:val="00311F29"/>
    <w:rsid w:val="00312518"/>
    <w:rsid w:val="00313432"/>
    <w:rsid w:val="00314036"/>
    <w:rsid w:val="003142CC"/>
    <w:rsid w:val="00314347"/>
    <w:rsid w:val="00314C4F"/>
    <w:rsid w:val="00314FAF"/>
    <w:rsid w:val="003162A5"/>
    <w:rsid w:val="00316591"/>
    <w:rsid w:val="00317C91"/>
    <w:rsid w:val="00320553"/>
    <w:rsid w:val="00320C6D"/>
    <w:rsid w:val="003213A8"/>
    <w:rsid w:val="00321FA8"/>
    <w:rsid w:val="00321FE5"/>
    <w:rsid w:val="00321FFD"/>
    <w:rsid w:val="003225AD"/>
    <w:rsid w:val="00322E18"/>
    <w:rsid w:val="00323C3D"/>
    <w:rsid w:val="00323D1D"/>
    <w:rsid w:val="00323F8A"/>
    <w:rsid w:val="00324752"/>
    <w:rsid w:val="00324D73"/>
    <w:rsid w:val="00325D4F"/>
    <w:rsid w:val="00326011"/>
    <w:rsid w:val="0032643D"/>
    <w:rsid w:val="00326D02"/>
    <w:rsid w:val="00327069"/>
    <w:rsid w:val="00327812"/>
    <w:rsid w:val="00327AFB"/>
    <w:rsid w:val="00327BAF"/>
    <w:rsid w:val="00327D10"/>
    <w:rsid w:val="00327ED6"/>
    <w:rsid w:val="00331894"/>
    <w:rsid w:val="00331FA5"/>
    <w:rsid w:val="00332CB8"/>
    <w:rsid w:val="0033323C"/>
    <w:rsid w:val="00333428"/>
    <w:rsid w:val="00334784"/>
    <w:rsid w:val="003350B6"/>
    <w:rsid w:val="0033595E"/>
    <w:rsid w:val="0033601B"/>
    <w:rsid w:val="003364B6"/>
    <w:rsid w:val="0033764C"/>
    <w:rsid w:val="00337DF3"/>
    <w:rsid w:val="00337F8E"/>
    <w:rsid w:val="00340039"/>
    <w:rsid w:val="003400D3"/>
    <w:rsid w:val="0034024F"/>
    <w:rsid w:val="00340A77"/>
    <w:rsid w:val="00340D39"/>
    <w:rsid w:val="00340DFB"/>
    <w:rsid w:val="00341787"/>
    <w:rsid w:val="00341941"/>
    <w:rsid w:val="0034207A"/>
    <w:rsid w:val="0034278F"/>
    <w:rsid w:val="0034281F"/>
    <w:rsid w:val="00343B47"/>
    <w:rsid w:val="00343F24"/>
    <w:rsid w:val="0034404F"/>
    <w:rsid w:val="00344ACC"/>
    <w:rsid w:val="00345F01"/>
    <w:rsid w:val="0034654F"/>
    <w:rsid w:val="00346762"/>
    <w:rsid w:val="00346B28"/>
    <w:rsid w:val="003475E1"/>
    <w:rsid w:val="00347685"/>
    <w:rsid w:val="00350575"/>
    <w:rsid w:val="003509A5"/>
    <w:rsid w:val="00350CA2"/>
    <w:rsid w:val="003515FD"/>
    <w:rsid w:val="003518A4"/>
    <w:rsid w:val="00351E21"/>
    <w:rsid w:val="00352327"/>
    <w:rsid w:val="003526A9"/>
    <w:rsid w:val="00354062"/>
    <w:rsid w:val="00354405"/>
    <w:rsid w:val="00354752"/>
    <w:rsid w:val="0035505D"/>
    <w:rsid w:val="00355779"/>
    <w:rsid w:val="00355A76"/>
    <w:rsid w:val="00355DEC"/>
    <w:rsid w:val="0035635F"/>
    <w:rsid w:val="003564B1"/>
    <w:rsid w:val="00356E0F"/>
    <w:rsid w:val="0035700C"/>
    <w:rsid w:val="003607C1"/>
    <w:rsid w:val="003607EE"/>
    <w:rsid w:val="00360BC8"/>
    <w:rsid w:val="00360E35"/>
    <w:rsid w:val="00361106"/>
    <w:rsid w:val="003617AE"/>
    <w:rsid w:val="00361F64"/>
    <w:rsid w:val="0036215C"/>
    <w:rsid w:val="003630F7"/>
    <w:rsid w:val="0036332B"/>
    <w:rsid w:val="00363589"/>
    <w:rsid w:val="00363636"/>
    <w:rsid w:val="0036498F"/>
    <w:rsid w:val="003651AC"/>
    <w:rsid w:val="003653AA"/>
    <w:rsid w:val="00366120"/>
    <w:rsid w:val="003661FF"/>
    <w:rsid w:val="003665A5"/>
    <w:rsid w:val="00366900"/>
    <w:rsid w:val="00366A0C"/>
    <w:rsid w:val="00367238"/>
    <w:rsid w:val="00367462"/>
    <w:rsid w:val="003677D5"/>
    <w:rsid w:val="0037034B"/>
    <w:rsid w:val="00370507"/>
    <w:rsid w:val="00370682"/>
    <w:rsid w:val="00370F0B"/>
    <w:rsid w:val="003718D8"/>
    <w:rsid w:val="00372A01"/>
    <w:rsid w:val="00372ADC"/>
    <w:rsid w:val="00372B87"/>
    <w:rsid w:val="00372C82"/>
    <w:rsid w:val="00372CFC"/>
    <w:rsid w:val="003733DF"/>
    <w:rsid w:val="00373865"/>
    <w:rsid w:val="003739DA"/>
    <w:rsid w:val="00373CE8"/>
    <w:rsid w:val="00374DB0"/>
    <w:rsid w:val="003751C7"/>
    <w:rsid w:val="00375C84"/>
    <w:rsid w:val="00376524"/>
    <w:rsid w:val="003769DE"/>
    <w:rsid w:val="00376E3B"/>
    <w:rsid w:val="003770C7"/>
    <w:rsid w:val="003776FE"/>
    <w:rsid w:val="00380424"/>
    <w:rsid w:val="00380868"/>
    <w:rsid w:val="00380B9B"/>
    <w:rsid w:val="003818B3"/>
    <w:rsid w:val="003819F5"/>
    <w:rsid w:val="00381A52"/>
    <w:rsid w:val="00381B57"/>
    <w:rsid w:val="00381D47"/>
    <w:rsid w:val="003821CC"/>
    <w:rsid w:val="003835F0"/>
    <w:rsid w:val="00384296"/>
    <w:rsid w:val="003853B1"/>
    <w:rsid w:val="003853ED"/>
    <w:rsid w:val="0038628F"/>
    <w:rsid w:val="00386421"/>
    <w:rsid w:val="0038704C"/>
    <w:rsid w:val="00387AA1"/>
    <w:rsid w:val="0039082A"/>
    <w:rsid w:val="0039101F"/>
    <w:rsid w:val="00392EDB"/>
    <w:rsid w:val="00392FAE"/>
    <w:rsid w:val="003931AA"/>
    <w:rsid w:val="00393943"/>
    <w:rsid w:val="00393EEE"/>
    <w:rsid w:val="003941C0"/>
    <w:rsid w:val="00394D45"/>
    <w:rsid w:val="00395132"/>
    <w:rsid w:val="00395D99"/>
    <w:rsid w:val="00396682"/>
    <w:rsid w:val="003968DF"/>
    <w:rsid w:val="003976C3"/>
    <w:rsid w:val="00397A03"/>
    <w:rsid w:val="00397A64"/>
    <w:rsid w:val="003A010B"/>
    <w:rsid w:val="003A0457"/>
    <w:rsid w:val="003A099A"/>
    <w:rsid w:val="003A1372"/>
    <w:rsid w:val="003A15DE"/>
    <w:rsid w:val="003A1D46"/>
    <w:rsid w:val="003A2447"/>
    <w:rsid w:val="003A2B82"/>
    <w:rsid w:val="003A36D3"/>
    <w:rsid w:val="003A3927"/>
    <w:rsid w:val="003A3D2E"/>
    <w:rsid w:val="003A3F75"/>
    <w:rsid w:val="003A3FF7"/>
    <w:rsid w:val="003A43D1"/>
    <w:rsid w:val="003A6A2B"/>
    <w:rsid w:val="003A6A51"/>
    <w:rsid w:val="003A6E29"/>
    <w:rsid w:val="003A7FEA"/>
    <w:rsid w:val="003B0464"/>
    <w:rsid w:val="003B0BDB"/>
    <w:rsid w:val="003B0E88"/>
    <w:rsid w:val="003B106E"/>
    <w:rsid w:val="003B153F"/>
    <w:rsid w:val="003B17B0"/>
    <w:rsid w:val="003B1844"/>
    <w:rsid w:val="003B1A5C"/>
    <w:rsid w:val="003B211E"/>
    <w:rsid w:val="003B24EA"/>
    <w:rsid w:val="003B2DA7"/>
    <w:rsid w:val="003B348A"/>
    <w:rsid w:val="003B3993"/>
    <w:rsid w:val="003B3AB7"/>
    <w:rsid w:val="003B3ABC"/>
    <w:rsid w:val="003B3CDD"/>
    <w:rsid w:val="003B3D8E"/>
    <w:rsid w:val="003B3FED"/>
    <w:rsid w:val="003B3FF1"/>
    <w:rsid w:val="003B4217"/>
    <w:rsid w:val="003B59A1"/>
    <w:rsid w:val="003B6D11"/>
    <w:rsid w:val="003B74F1"/>
    <w:rsid w:val="003B7541"/>
    <w:rsid w:val="003B783F"/>
    <w:rsid w:val="003B7966"/>
    <w:rsid w:val="003B7F07"/>
    <w:rsid w:val="003B7FCE"/>
    <w:rsid w:val="003C067C"/>
    <w:rsid w:val="003C0F87"/>
    <w:rsid w:val="003C1113"/>
    <w:rsid w:val="003C141E"/>
    <w:rsid w:val="003C1B83"/>
    <w:rsid w:val="003C210E"/>
    <w:rsid w:val="003C2186"/>
    <w:rsid w:val="003C21B3"/>
    <w:rsid w:val="003C30AD"/>
    <w:rsid w:val="003C3503"/>
    <w:rsid w:val="003C3A13"/>
    <w:rsid w:val="003C40DE"/>
    <w:rsid w:val="003C4851"/>
    <w:rsid w:val="003C4C96"/>
    <w:rsid w:val="003C55E0"/>
    <w:rsid w:val="003C5E39"/>
    <w:rsid w:val="003C683A"/>
    <w:rsid w:val="003D0079"/>
    <w:rsid w:val="003D017D"/>
    <w:rsid w:val="003D04D6"/>
    <w:rsid w:val="003D10EC"/>
    <w:rsid w:val="003D1901"/>
    <w:rsid w:val="003D28DE"/>
    <w:rsid w:val="003D29B9"/>
    <w:rsid w:val="003D3500"/>
    <w:rsid w:val="003D37B6"/>
    <w:rsid w:val="003D3C68"/>
    <w:rsid w:val="003D450D"/>
    <w:rsid w:val="003D4BA9"/>
    <w:rsid w:val="003D4F8F"/>
    <w:rsid w:val="003D503A"/>
    <w:rsid w:val="003D5175"/>
    <w:rsid w:val="003D6505"/>
    <w:rsid w:val="003D71A6"/>
    <w:rsid w:val="003D7709"/>
    <w:rsid w:val="003E004C"/>
    <w:rsid w:val="003E0BAF"/>
    <w:rsid w:val="003E0E25"/>
    <w:rsid w:val="003E1409"/>
    <w:rsid w:val="003E14AC"/>
    <w:rsid w:val="003E16F2"/>
    <w:rsid w:val="003E2195"/>
    <w:rsid w:val="003E241A"/>
    <w:rsid w:val="003E36A5"/>
    <w:rsid w:val="003E42BC"/>
    <w:rsid w:val="003E4A52"/>
    <w:rsid w:val="003E5CBA"/>
    <w:rsid w:val="003E782F"/>
    <w:rsid w:val="003E78A9"/>
    <w:rsid w:val="003E7912"/>
    <w:rsid w:val="003E7DB5"/>
    <w:rsid w:val="003F04A3"/>
    <w:rsid w:val="003F04E6"/>
    <w:rsid w:val="003F097C"/>
    <w:rsid w:val="003F163F"/>
    <w:rsid w:val="003F2164"/>
    <w:rsid w:val="003F229A"/>
    <w:rsid w:val="003F2CDD"/>
    <w:rsid w:val="003F3FB3"/>
    <w:rsid w:val="003F45D7"/>
    <w:rsid w:val="003F4C1B"/>
    <w:rsid w:val="003F5660"/>
    <w:rsid w:val="003F5717"/>
    <w:rsid w:val="003F5A39"/>
    <w:rsid w:val="003F5B56"/>
    <w:rsid w:val="003F5B9F"/>
    <w:rsid w:val="003F5C1A"/>
    <w:rsid w:val="003F6A6A"/>
    <w:rsid w:val="003F738D"/>
    <w:rsid w:val="003F7554"/>
    <w:rsid w:val="003F773C"/>
    <w:rsid w:val="003F7845"/>
    <w:rsid w:val="003F7FA1"/>
    <w:rsid w:val="003F7FA4"/>
    <w:rsid w:val="004006EA"/>
    <w:rsid w:val="004008DE"/>
    <w:rsid w:val="00400B4E"/>
    <w:rsid w:val="0040130D"/>
    <w:rsid w:val="00402E56"/>
    <w:rsid w:val="00403634"/>
    <w:rsid w:val="00403A99"/>
    <w:rsid w:val="00403F02"/>
    <w:rsid w:val="004041BA"/>
    <w:rsid w:val="00404592"/>
    <w:rsid w:val="0040496E"/>
    <w:rsid w:val="00404B58"/>
    <w:rsid w:val="00404BD2"/>
    <w:rsid w:val="0040544F"/>
    <w:rsid w:val="00405537"/>
    <w:rsid w:val="0040591F"/>
    <w:rsid w:val="0040597C"/>
    <w:rsid w:val="0040625C"/>
    <w:rsid w:val="004069D2"/>
    <w:rsid w:val="004076FF"/>
    <w:rsid w:val="00411B17"/>
    <w:rsid w:val="00411B3A"/>
    <w:rsid w:val="00411FFF"/>
    <w:rsid w:val="0041222D"/>
    <w:rsid w:val="004124F2"/>
    <w:rsid w:val="00412C2A"/>
    <w:rsid w:val="00412E6F"/>
    <w:rsid w:val="00413C5C"/>
    <w:rsid w:val="00413DB2"/>
    <w:rsid w:val="0041413F"/>
    <w:rsid w:val="0041567A"/>
    <w:rsid w:val="00415BAB"/>
    <w:rsid w:val="00415BCF"/>
    <w:rsid w:val="00416297"/>
    <w:rsid w:val="00417083"/>
    <w:rsid w:val="0041736F"/>
    <w:rsid w:val="00417E36"/>
    <w:rsid w:val="0042016C"/>
    <w:rsid w:val="0042057C"/>
    <w:rsid w:val="00420BDF"/>
    <w:rsid w:val="00421608"/>
    <w:rsid w:val="00421849"/>
    <w:rsid w:val="00421C23"/>
    <w:rsid w:val="0042261E"/>
    <w:rsid w:val="00422749"/>
    <w:rsid w:val="004228F2"/>
    <w:rsid w:val="004233DC"/>
    <w:rsid w:val="00424888"/>
    <w:rsid w:val="004255D9"/>
    <w:rsid w:val="00425763"/>
    <w:rsid w:val="00425C3C"/>
    <w:rsid w:val="00425F29"/>
    <w:rsid w:val="0042605B"/>
    <w:rsid w:val="004260B9"/>
    <w:rsid w:val="004261FD"/>
    <w:rsid w:val="00426B69"/>
    <w:rsid w:val="00426F8D"/>
    <w:rsid w:val="00427D1B"/>
    <w:rsid w:val="00427E40"/>
    <w:rsid w:val="004306AB"/>
    <w:rsid w:val="0043159D"/>
    <w:rsid w:val="0043171D"/>
    <w:rsid w:val="00431DF9"/>
    <w:rsid w:val="0043263C"/>
    <w:rsid w:val="00432AC3"/>
    <w:rsid w:val="00432F78"/>
    <w:rsid w:val="004331AE"/>
    <w:rsid w:val="004334A2"/>
    <w:rsid w:val="004335BC"/>
    <w:rsid w:val="00433972"/>
    <w:rsid w:val="004339E6"/>
    <w:rsid w:val="00433DA5"/>
    <w:rsid w:val="00434723"/>
    <w:rsid w:val="00434729"/>
    <w:rsid w:val="0043499E"/>
    <w:rsid w:val="00434FEA"/>
    <w:rsid w:val="0043617B"/>
    <w:rsid w:val="00437D17"/>
    <w:rsid w:val="00437D2F"/>
    <w:rsid w:val="0044046D"/>
    <w:rsid w:val="00440DEC"/>
    <w:rsid w:val="004410D3"/>
    <w:rsid w:val="00441A5B"/>
    <w:rsid w:val="00441DAF"/>
    <w:rsid w:val="0044270D"/>
    <w:rsid w:val="00442E8C"/>
    <w:rsid w:val="0044312A"/>
    <w:rsid w:val="00443310"/>
    <w:rsid w:val="004435D5"/>
    <w:rsid w:val="00443A34"/>
    <w:rsid w:val="00443D38"/>
    <w:rsid w:val="00444140"/>
    <w:rsid w:val="00444BF5"/>
    <w:rsid w:val="00444F43"/>
    <w:rsid w:val="00447213"/>
    <w:rsid w:val="0044765A"/>
    <w:rsid w:val="00447C23"/>
    <w:rsid w:val="00450744"/>
    <w:rsid w:val="00450BE7"/>
    <w:rsid w:val="00450FE8"/>
    <w:rsid w:val="004518D0"/>
    <w:rsid w:val="0045213A"/>
    <w:rsid w:val="0045227C"/>
    <w:rsid w:val="0045230E"/>
    <w:rsid w:val="00452553"/>
    <w:rsid w:val="004528FA"/>
    <w:rsid w:val="00452D67"/>
    <w:rsid w:val="00452E53"/>
    <w:rsid w:val="0045418C"/>
    <w:rsid w:val="004542C6"/>
    <w:rsid w:val="0045435F"/>
    <w:rsid w:val="00454E09"/>
    <w:rsid w:val="00454EDC"/>
    <w:rsid w:val="00455B00"/>
    <w:rsid w:val="00455B97"/>
    <w:rsid w:val="00456635"/>
    <w:rsid w:val="00456BFD"/>
    <w:rsid w:val="004575D5"/>
    <w:rsid w:val="00457657"/>
    <w:rsid w:val="004600BF"/>
    <w:rsid w:val="004607D0"/>
    <w:rsid w:val="00460CE3"/>
    <w:rsid w:val="00460F25"/>
    <w:rsid w:val="0046116D"/>
    <w:rsid w:val="004612A4"/>
    <w:rsid w:val="0046153C"/>
    <w:rsid w:val="004624D2"/>
    <w:rsid w:val="004625C8"/>
    <w:rsid w:val="00462DCE"/>
    <w:rsid w:val="00464194"/>
    <w:rsid w:val="0046442A"/>
    <w:rsid w:val="00464BF1"/>
    <w:rsid w:val="00464CAF"/>
    <w:rsid w:val="00465D73"/>
    <w:rsid w:val="00466078"/>
    <w:rsid w:val="0046626B"/>
    <w:rsid w:val="00466967"/>
    <w:rsid w:val="004676E4"/>
    <w:rsid w:val="00467AFF"/>
    <w:rsid w:val="00470183"/>
    <w:rsid w:val="004708C9"/>
    <w:rsid w:val="00470C48"/>
    <w:rsid w:val="0047139F"/>
    <w:rsid w:val="00471429"/>
    <w:rsid w:val="0047153B"/>
    <w:rsid w:val="004722B1"/>
    <w:rsid w:val="00472312"/>
    <w:rsid w:val="00472883"/>
    <w:rsid w:val="00473A2B"/>
    <w:rsid w:val="00473A47"/>
    <w:rsid w:val="00473A4F"/>
    <w:rsid w:val="00473C0A"/>
    <w:rsid w:val="00473EEF"/>
    <w:rsid w:val="00474415"/>
    <w:rsid w:val="00474BC1"/>
    <w:rsid w:val="00475A46"/>
    <w:rsid w:val="004763EC"/>
    <w:rsid w:val="0047679B"/>
    <w:rsid w:val="0047722F"/>
    <w:rsid w:val="00477459"/>
    <w:rsid w:val="00477CC9"/>
    <w:rsid w:val="0048026E"/>
    <w:rsid w:val="00480303"/>
    <w:rsid w:val="004804C3"/>
    <w:rsid w:val="004807A9"/>
    <w:rsid w:val="00480849"/>
    <w:rsid w:val="00480A8A"/>
    <w:rsid w:val="00480F76"/>
    <w:rsid w:val="004810A5"/>
    <w:rsid w:val="004810E0"/>
    <w:rsid w:val="00481318"/>
    <w:rsid w:val="00481363"/>
    <w:rsid w:val="004813EE"/>
    <w:rsid w:val="00481835"/>
    <w:rsid w:val="0048237F"/>
    <w:rsid w:val="00482CDC"/>
    <w:rsid w:val="00482FB0"/>
    <w:rsid w:val="00483B03"/>
    <w:rsid w:val="0048444C"/>
    <w:rsid w:val="00485058"/>
    <w:rsid w:val="00485702"/>
    <w:rsid w:val="00485C2D"/>
    <w:rsid w:val="004860F7"/>
    <w:rsid w:val="00486177"/>
    <w:rsid w:val="004862C2"/>
    <w:rsid w:val="004867EC"/>
    <w:rsid w:val="00486A37"/>
    <w:rsid w:val="00486DA6"/>
    <w:rsid w:val="00487662"/>
    <w:rsid w:val="004876C6"/>
    <w:rsid w:val="00487D7B"/>
    <w:rsid w:val="0049044F"/>
    <w:rsid w:val="00490F7A"/>
    <w:rsid w:val="00490FD5"/>
    <w:rsid w:val="00491241"/>
    <w:rsid w:val="00491813"/>
    <w:rsid w:val="00492B82"/>
    <w:rsid w:val="00493278"/>
    <w:rsid w:val="00493855"/>
    <w:rsid w:val="004951D8"/>
    <w:rsid w:val="004952C1"/>
    <w:rsid w:val="00497575"/>
    <w:rsid w:val="004A078B"/>
    <w:rsid w:val="004A12C0"/>
    <w:rsid w:val="004A169A"/>
    <w:rsid w:val="004A18C9"/>
    <w:rsid w:val="004A191A"/>
    <w:rsid w:val="004A1A70"/>
    <w:rsid w:val="004A2D5A"/>
    <w:rsid w:val="004A2E84"/>
    <w:rsid w:val="004A3988"/>
    <w:rsid w:val="004A4027"/>
    <w:rsid w:val="004A419E"/>
    <w:rsid w:val="004A43F0"/>
    <w:rsid w:val="004A4688"/>
    <w:rsid w:val="004A4776"/>
    <w:rsid w:val="004A4B10"/>
    <w:rsid w:val="004A4F72"/>
    <w:rsid w:val="004A5741"/>
    <w:rsid w:val="004A6463"/>
    <w:rsid w:val="004A6B58"/>
    <w:rsid w:val="004A6BA2"/>
    <w:rsid w:val="004A7D74"/>
    <w:rsid w:val="004B0364"/>
    <w:rsid w:val="004B06C3"/>
    <w:rsid w:val="004B0917"/>
    <w:rsid w:val="004B0B09"/>
    <w:rsid w:val="004B140F"/>
    <w:rsid w:val="004B14EB"/>
    <w:rsid w:val="004B21CF"/>
    <w:rsid w:val="004B2DE3"/>
    <w:rsid w:val="004B34DF"/>
    <w:rsid w:val="004B3FEA"/>
    <w:rsid w:val="004B44A9"/>
    <w:rsid w:val="004B4E68"/>
    <w:rsid w:val="004B50AC"/>
    <w:rsid w:val="004B53F1"/>
    <w:rsid w:val="004B5D6E"/>
    <w:rsid w:val="004B60BA"/>
    <w:rsid w:val="004B61BA"/>
    <w:rsid w:val="004B6946"/>
    <w:rsid w:val="004B6D89"/>
    <w:rsid w:val="004B6E81"/>
    <w:rsid w:val="004B7DE4"/>
    <w:rsid w:val="004C0FFE"/>
    <w:rsid w:val="004C136D"/>
    <w:rsid w:val="004C1619"/>
    <w:rsid w:val="004C177F"/>
    <w:rsid w:val="004C19E4"/>
    <w:rsid w:val="004C1B59"/>
    <w:rsid w:val="004C3C25"/>
    <w:rsid w:val="004C3CFC"/>
    <w:rsid w:val="004C3EEA"/>
    <w:rsid w:val="004C4D02"/>
    <w:rsid w:val="004C4EA2"/>
    <w:rsid w:val="004C596B"/>
    <w:rsid w:val="004C5E41"/>
    <w:rsid w:val="004C60E7"/>
    <w:rsid w:val="004C664D"/>
    <w:rsid w:val="004C7BDE"/>
    <w:rsid w:val="004D0090"/>
    <w:rsid w:val="004D020F"/>
    <w:rsid w:val="004D03D1"/>
    <w:rsid w:val="004D10B0"/>
    <w:rsid w:val="004D11AF"/>
    <w:rsid w:val="004D1BC4"/>
    <w:rsid w:val="004D2E58"/>
    <w:rsid w:val="004D37D9"/>
    <w:rsid w:val="004D41A2"/>
    <w:rsid w:val="004D47F2"/>
    <w:rsid w:val="004D502C"/>
    <w:rsid w:val="004D5CEE"/>
    <w:rsid w:val="004D5FB2"/>
    <w:rsid w:val="004D60A3"/>
    <w:rsid w:val="004D6DC3"/>
    <w:rsid w:val="004D71CA"/>
    <w:rsid w:val="004D78B9"/>
    <w:rsid w:val="004D7CF5"/>
    <w:rsid w:val="004E016A"/>
    <w:rsid w:val="004E0461"/>
    <w:rsid w:val="004E12E8"/>
    <w:rsid w:val="004E1CC8"/>
    <w:rsid w:val="004E2052"/>
    <w:rsid w:val="004E29B1"/>
    <w:rsid w:val="004E3F87"/>
    <w:rsid w:val="004E461B"/>
    <w:rsid w:val="004E477D"/>
    <w:rsid w:val="004E534B"/>
    <w:rsid w:val="004E5890"/>
    <w:rsid w:val="004E6708"/>
    <w:rsid w:val="004E79EF"/>
    <w:rsid w:val="004E7B33"/>
    <w:rsid w:val="004F0368"/>
    <w:rsid w:val="004F0D19"/>
    <w:rsid w:val="004F121B"/>
    <w:rsid w:val="004F140F"/>
    <w:rsid w:val="004F185F"/>
    <w:rsid w:val="004F2811"/>
    <w:rsid w:val="004F2F69"/>
    <w:rsid w:val="004F3326"/>
    <w:rsid w:val="004F4D22"/>
    <w:rsid w:val="004F590E"/>
    <w:rsid w:val="004F5966"/>
    <w:rsid w:val="004F6026"/>
    <w:rsid w:val="004F60AF"/>
    <w:rsid w:val="004F60F4"/>
    <w:rsid w:val="004F62E8"/>
    <w:rsid w:val="004F67C3"/>
    <w:rsid w:val="004F6C17"/>
    <w:rsid w:val="004F7390"/>
    <w:rsid w:val="004F78F8"/>
    <w:rsid w:val="005001A5"/>
    <w:rsid w:val="00500201"/>
    <w:rsid w:val="00500CCD"/>
    <w:rsid w:val="005019AA"/>
    <w:rsid w:val="00502008"/>
    <w:rsid w:val="00502075"/>
    <w:rsid w:val="005026B8"/>
    <w:rsid w:val="005028AF"/>
    <w:rsid w:val="005032E9"/>
    <w:rsid w:val="00503BB1"/>
    <w:rsid w:val="00503C3B"/>
    <w:rsid w:val="00503CE7"/>
    <w:rsid w:val="005040C9"/>
    <w:rsid w:val="005042DB"/>
    <w:rsid w:val="0050458E"/>
    <w:rsid w:val="00505928"/>
    <w:rsid w:val="00505CD6"/>
    <w:rsid w:val="005069B2"/>
    <w:rsid w:val="0050741A"/>
    <w:rsid w:val="00510452"/>
    <w:rsid w:val="005107BD"/>
    <w:rsid w:val="005108EC"/>
    <w:rsid w:val="00511F8F"/>
    <w:rsid w:val="00512A7E"/>
    <w:rsid w:val="00513291"/>
    <w:rsid w:val="00513EA4"/>
    <w:rsid w:val="005147DA"/>
    <w:rsid w:val="00514FBF"/>
    <w:rsid w:val="00514FCB"/>
    <w:rsid w:val="005153AC"/>
    <w:rsid w:val="005153C3"/>
    <w:rsid w:val="00515745"/>
    <w:rsid w:val="00515862"/>
    <w:rsid w:val="00515C5A"/>
    <w:rsid w:val="005165FE"/>
    <w:rsid w:val="0051690E"/>
    <w:rsid w:val="00516942"/>
    <w:rsid w:val="00516DC0"/>
    <w:rsid w:val="00516DC5"/>
    <w:rsid w:val="00517667"/>
    <w:rsid w:val="00520482"/>
    <w:rsid w:val="00520BBA"/>
    <w:rsid w:val="00522185"/>
    <w:rsid w:val="005225AC"/>
    <w:rsid w:val="005226FA"/>
    <w:rsid w:val="005233F3"/>
    <w:rsid w:val="0052365C"/>
    <w:rsid w:val="005245D2"/>
    <w:rsid w:val="00524806"/>
    <w:rsid w:val="0052488B"/>
    <w:rsid w:val="00524C98"/>
    <w:rsid w:val="00524C9C"/>
    <w:rsid w:val="00524EDD"/>
    <w:rsid w:val="00524FEB"/>
    <w:rsid w:val="00525B59"/>
    <w:rsid w:val="005269C4"/>
    <w:rsid w:val="00526A20"/>
    <w:rsid w:val="00531966"/>
    <w:rsid w:val="00532472"/>
    <w:rsid w:val="005325C9"/>
    <w:rsid w:val="005329DA"/>
    <w:rsid w:val="0053322F"/>
    <w:rsid w:val="00533BC1"/>
    <w:rsid w:val="00533DBF"/>
    <w:rsid w:val="00534940"/>
    <w:rsid w:val="00535673"/>
    <w:rsid w:val="00535784"/>
    <w:rsid w:val="00535D6B"/>
    <w:rsid w:val="00536442"/>
    <w:rsid w:val="00536735"/>
    <w:rsid w:val="005374FE"/>
    <w:rsid w:val="0054053D"/>
    <w:rsid w:val="0054083A"/>
    <w:rsid w:val="0054126C"/>
    <w:rsid w:val="00541368"/>
    <w:rsid w:val="005415DD"/>
    <w:rsid w:val="00541D12"/>
    <w:rsid w:val="005423F3"/>
    <w:rsid w:val="005426DB"/>
    <w:rsid w:val="00542B9F"/>
    <w:rsid w:val="00543C9C"/>
    <w:rsid w:val="005442F1"/>
    <w:rsid w:val="00544A24"/>
    <w:rsid w:val="0054583C"/>
    <w:rsid w:val="00546227"/>
    <w:rsid w:val="005468E2"/>
    <w:rsid w:val="00546D83"/>
    <w:rsid w:val="00546FCC"/>
    <w:rsid w:val="00550113"/>
    <w:rsid w:val="0055019B"/>
    <w:rsid w:val="005504BE"/>
    <w:rsid w:val="0055082B"/>
    <w:rsid w:val="0055093A"/>
    <w:rsid w:val="00550F00"/>
    <w:rsid w:val="00551964"/>
    <w:rsid w:val="00551BDF"/>
    <w:rsid w:val="00551ED7"/>
    <w:rsid w:val="0055211C"/>
    <w:rsid w:val="0055263A"/>
    <w:rsid w:val="005526EE"/>
    <w:rsid w:val="00552B57"/>
    <w:rsid w:val="00552E53"/>
    <w:rsid w:val="00553E34"/>
    <w:rsid w:val="005547B7"/>
    <w:rsid w:val="00554D6D"/>
    <w:rsid w:val="005551E9"/>
    <w:rsid w:val="0055680D"/>
    <w:rsid w:val="00557670"/>
    <w:rsid w:val="00557C2D"/>
    <w:rsid w:val="00560094"/>
    <w:rsid w:val="0056054A"/>
    <w:rsid w:val="00560C62"/>
    <w:rsid w:val="00562A61"/>
    <w:rsid w:val="00562E78"/>
    <w:rsid w:val="005638A2"/>
    <w:rsid w:val="00563D60"/>
    <w:rsid w:val="00564E45"/>
    <w:rsid w:val="005652D5"/>
    <w:rsid w:val="005652FA"/>
    <w:rsid w:val="00565E52"/>
    <w:rsid w:val="00567227"/>
    <w:rsid w:val="00567CD0"/>
    <w:rsid w:val="00570C7B"/>
    <w:rsid w:val="00571C77"/>
    <w:rsid w:val="00572BCD"/>
    <w:rsid w:val="00572D5B"/>
    <w:rsid w:val="00574614"/>
    <w:rsid w:val="00574A70"/>
    <w:rsid w:val="00574D35"/>
    <w:rsid w:val="00574EFB"/>
    <w:rsid w:val="00575C75"/>
    <w:rsid w:val="00575CEA"/>
    <w:rsid w:val="005762CA"/>
    <w:rsid w:val="005770CF"/>
    <w:rsid w:val="00577904"/>
    <w:rsid w:val="00577922"/>
    <w:rsid w:val="00577AC3"/>
    <w:rsid w:val="00580577"/>
    <w:rsid w:val="00580E97"/>
    <w:rsid w:val="005815A8"/>
    <w:rsid w:val="00581915"/>
    <w:rsid w:val="0058284A"/>
    <w:rsid w:val="00583431"/>
    <w:rsid w:val="005835B0"/>
    <w:rsid w:val="005846C0"/>
    <w:rsid w:val="00584D04"/>
    <w:rsid w:val="005853F5"/>
    <w:rsid w:val="0058567E"/>
    <w:rsid w:val="00585DE1"/>
    <w:rsid w:val="0058659E"/>
    <w:rsid w:val="005869EE"/>
    <w:rsid w:val="005872DD"/>
    <w:rsid w:val="00587CF2"/>
    <w:rsid w:val="00587D3A"/>
    <w:rsid w:val="00590197"/>
    <w:rsid w:val="00590346"/>
    <w:rsid w:val="00590353"/>
    <w:rsid w:val="0059093F"/>
    <w:rsid w:val="00590BA2"/>
    <w:rsid w:val="00590CA7"/>
    <w:rsid w:val="00590E93"/>
    <w:rsid w:val="005915E1"/>
    <w:rsid w:val="0059177A"/>
    <w:rsid w:val="00591C75"/>
    <w:rsid w:val="00592D10"/>
    <w:rsid w:val="0059388B"/>
    <w:rsid w:val="00593A5F"/>
    <w:rsid w:val="0059404E"/>
    <w:rsid w:val="00594269"/>
    <w:rsid w:val="005950C2"/>
    <w:rsid w:val="00595539"/>
    <w:rsid w:val="00597108"/>
    <w:rsid w:val="005976DB"/>
    <w:rsid w:val="005A06DA"/>
    <w:rsid w:val="005A1A84"/>
    <w:rsid w:val="005A21AC"/>
    <w:rsid w:val="005A3282"/>
    <w:rsid w:val="005A3E82"/>
    <w:rsid w:val="005A4287"/>
    <w:rsid w:val="005A482E"/>
    <w:rsid w:val="005A4DB0"/>
    <w:rsid w:val="005A5095"/>
    <w:rsid w:val="005A5597"/>
    <w:rsid w:val="005A57BF"/>
    <w:rsid w:val="005A6AC2"/>
    <w:rsid w:val="005A7A65"/>
    <w:rsid w:val="005A7B26"/>
    <w:rsid w:val="005A7B80"/>
    <w:rsid w:val="005A7B8E"/>
    <w:rsid w:val="005A7C10"/>
    <w:rsid w:val="005B012B"/>
    <w:rsid w:val="005B03E2"/>
    <w:rsid w:val="005B0C87"/>
    <w:rsid w:val="005B0FE9"/>
    <w:rsid w:val="005B2195"/>
    <w:rsid w:val="005B26C7"/>
    <w:rsid w:val="005B27AA"/>
    <w:rsid w:val="005B2D1F"/>
    <w:rsid w:val="005B2D65"/>
    <w:rsid w:val="005B3877"/>
    <w:rsid w:val="005B3AC8"/>
    <w:rsid w:val="005B3CC1"/>
    <w:rsid w:val="005B4002"/>
    <w:rsid w:val="005B45AB"/>
    <w:rsid w:val="005B46DF"/>
    <w:rsid w:val="005B4D8F"/>
    <w:rsid w:val="005B526C"/>
    <w:rsid w:val="005B541E"/>
    <w:rsid w:val="005B6551"/>
    <w:rsid w:val="005B6930"/>
    <w:rsid w:val="005B71A8"/>
    <w:rsid w:val="005B744B"/>
    <w:rsid w:val="005C0A6F"/>
    <w:rsid w:val="005C0FA7"/>
    <w:rsid w:val="005C155F"/>
    <w:rsid w:val="005C1C0E"/>
    <w:rsid w:val="005C1C42"/>
    <w:rsid w:val="005C1FF5"/>
    <w:rsid w:val="005C259E"/>
    <w:rsid w:val="005C36E2"/>
    <w:rsid w:val="005C3E9E"/>
    <w:rsid w:val="005C400C"/>
    <w:rsid w:val="005C410C"/>
    <w:rsid w:val="005C4BF1"/>
    <w:rsid w:val="005C4BF2"/>
    <w:rsid w:val="005C52D4"/>
    <w:rsid w:val="005C5624"/>
    <w:rsid w:val="005C5967"/>
    <w:rsid w:val="005C5BED"/>
    <w:rsid w:val="005C5D86"/>
    <w:rsid w:val="005C6167"/>
    <w:rsid w:val="005C6ADB"/>
    <w:rsid w:val="005C6EE2"/>
    <w:rsid w:val="005C74DC"/>
    <w:rsid w:val="005C7A07"/>
    <w:rsid w:val="005C7DDC"/>
    <w:rsid w:val="005C7E9D"/>
    <w:rsid w:val="005C7F7C"/>
    <w:rsid w:val="005D0BAD"/>
    <w:rsid w:val="005D0C0A"/>
    <w:rsid w:val="005D107D"/>
    <w:rsid w:val="005D123A"/>
    <w:rsid w:val="005D2506"/>
    <w:rsid w:val="005D2BB5"/>
    <w:rsid w:val="005D3600"/>
    <w:rsid w:val="005D3677"/>
    <w:rsid w:val="005D3A10"/>
    <w:rsid w:val="005D42B7"/>
    <w:rsid w:val="005D4CFB"/>
    <w:rsid w:val="005D4E4C"/>
    <w:rsid w:val="005D57A3"/>
    <w:rsid w:val="005D5B5E"/>
    <w:rsid w:val="005D5C85"/>
    <w:rsid w:val="005D5CA0"/>
    <w:rsid w:val="005D5F27"/>
    <w:rsid w:val="005D69AB"/>
    <w:rsid w:val="005D72FC"/>
    <w:rsid w:val="005D7DFC"/>
    <w:rsid w:val="005E035A"/>
    <w:rsid w:val="005E0464"/>
    <w:rsid w:val="005E0681"/>
    <w:rsid w:val="005E1143"/>
    <w:rsid w:val="005E1218"/>
    <w:rsid w:val="005E18EC"/>
    <w:rsid w:val="005E1A55"/>
    <w:rsid w:val="005E1B6B"/>
    <w:rsid w:val="005E1F61"/>
    <w:rsid w:val="005E2127"/>
    <w:rsid w:val="005E2281"/>
    <w:rsid w:val="005E236C"/>
    <w:rsid w:val="005E2FAE"/>
    <w:rsid w:val="005E32C9"/>
    <w:rsid w:val="005E351B"/>
    <w:rsid w:val="005E38A8"/>
    <w:rsid w:val="005E39F9"/>
    <w:rsid w:val="005E3D9B"/>
    <w:rsid w:val="005E44B6"/>
    <w:rsid w:val="005E4828"/>
    <w:rsid w:val="005E4887"/>
    <w:rsid w:val="005E5016"/>
    <w:rsid w:val="005E5231"/>
    <w:rsid w:val="005E55BB"/>
    <w:rsid w:val="005E5D11"/>
    <w:rsid w:val="005E667C"/>
    <w:rsid w:val="005E68BC"/>
    <w:rsid w:val="005E692A"/>
    <w:rsid w:val="005E6A1D"/>
    <w:rsid w:val="005E6F12"/>
    <w:rsid w:val="005E733E"/>
    <w:rsid w:val="005E7428"/>
    <w:rsid w:val="005F0694"/>
    <w:rsid w:val="005F06E1"/>
    <w:rsid w:val="005F077C"/>
    <w:rsid w:val="005F0B88"/>
    <w:rsid w:val="005F1735"/>
    <w:rsid w:val="005F187E"/>
    <w:rsid w:val="005F252A"/>
    <w:rsid w:val="005F367B"/>
    <w:rsid w:val="005F3CC3"/>
    <w:rsid w:val="005F3CE8"/>
    <w:rsid w:val="005F4CE3"/>
    <w:rsid w:val="005F4F41"/>
    <w:rsid w:val="005F4F70"/>
    <w:rsid w:val="005F566D"/>
    <w:rsid w:val="005F648F"/>
    <w:rsid w:val="005F68C3"/>
    <w:rsid w:val="005F7D87"/>
    <w:rsid w:val="00601794"/>
    <w:rsid w:val="00601E94"/>
    <w:rsid w:val="006021B1"/>
    <w:rsid w:val="00602412"/>
    <w:rsid w:val="006029A7"/>
    <w:rsid w:val="00602F40"/>
    <w:rsid w:val="006037C5"/>
    <w:rsid w:val="00603CC8"/>
    <w:rsid w:val="006040CE"/>
    <w:rsid w:val="0060467D"/>
    <w:rsid w:val="00604DF3"/>
    <w:rsid w:val="0060585E"/>
    <w:rsid w:val="00605B4D"/>
    <w:rsid w:val="00605B9D"/>
    <w:rsid w:val="00606213"/>
    <w:rsid w:val="00606830"/>
    <w:rsid w:val="00606B57"/>
    <w:rsid w:val="00606B85"/>
    <w:rsid w:val="00607390"/>
    <w:rsid w:val="006076D8"/>
    <w:rsid w:val="00607C43"/>
    <w:rsid w:val="00607E6D"/>
    <w:rsid w:val="00610490"/>
    <w:rsid w:val="0061061D"/>
    <w:rsid w:val="00610B97"/>
    <w:rsid w:val="00611708"/>
    <w:rsid w:val="00611816"/>
    <w:rsid w:val="00611A3B"/>
    <w:rsid w:val="006120CA"/>
    <w:rsid w:val="00612389"/>
    <w:rsid w:val="00612570"/>
    <w:rsid w:val="006127BD"/>
    <w:rsid w:val="00612871"/>
    <w:rsid w:val="00612929"/>
    <w:rsid w:val="006129DD"/>
    <w:rsid w:val="00612A44"/>
    <w:rsid w:val="00612A8E"/>
    <w:rsid w:val="00612CA8"/>
    <w:rsid w:val="00613098"/>
    <w:rsid w:val="0061348F"/>
    <w:rsid w:val="006134D9"/>
    <w:rsid w:val="006135DA"/>
    <w:rsid w:val="00613BDC"/>
    <w:rsid w:val="00613F64"/>
    <w:rsid w:val="00614921"/>
    <w:rsid w:val="00615564"/>
    <w:rsid w:val="006155E2"/>
    <w:rsid w:val="00615CD9"/>
    <w:rsid w:val="00615ECA"/>
    <w:rsid w:val="00615F26"/>
    <w:rsid w:val="00616974"/>
    <w:rsid w:val="00616CCC"/>
    <w:rsid w:val="00617A81"/>
    <w:rsid w:val="00617C11"/>
    <w:rsid w:val="00617DEC"/>
    <w:rsid w:val="00617EEC"/>
    <w:rsid w:val="00620542"/>
    <w:rsid w:val="00620573"/>
    <w:rsid w:val="00620579"/>
    <w:rsid w:val="006208AA"/>
    <w:rsid w:val="0062128D"/>
    <w:rsid w:val="00621C96"/>
    <w:rsid w:val="00622161"/>
    <w:rsid w:val="0062228D"/>
    <w:rsid w:val="006224D1"/>
    <w:rsid w:val="0062258F"/>
    <w:rsid w:val="00622732"/>
    <w:rsid w:val="00622E6D"/>
    <w:rsid w:val="00623BC7"/>
    <w:rsid w:val="00623E70"/>
    <w:rsid w:val="006241D0"/>
    <w:rsid w:val="00624425"/>
    <w:rsid w:val="00624665"/>
    <w:rsid w:val="00624B06"/>
    <w:rsid w:val="00625316"/>
    <w:rsid w:val="00625434"/>
    <w:rsid w:val="0062576B"/>
    <w:rsid w:val="00625C5F"/>
    <w:rsid w:val="00625FF2"/>
    <w:rsid w:val="00626032"/>
    <w:rsid w:val="0062719D"/>
    <w:rsid w:val="00627643"/>
    <w:rsid w:val="00627788"/>
    <w:rsid w:val="006300CD"/>
    <w:rsid w:val="0063017E"/>
    <w:rsid w:val="00630723"/>
    <w:rsid w:val="00630EAE"/>
    <w:rsid w:val="006312D0"/>
    <w:rsid w:val="00631866"/>
    <w:rsid w:val="006318A4"/>
    <w:rsid w:val="00631A11"/>
    <w:rsid w:val="00631D4F"/>
    <w:rsid w:val="006321B6"/>
    <w:rsid w:val="006327C6"/>
    <w:rsid w:val="00633496"/>
    <w:rsid w:val="006338D2"/>
    <w:rsid w:val="00633F92"/>
    <w:rsid w:val="0063435E"/>
    <w:rsid w:val="00634CB2"/>
    <w:rsid w:val="0063571A"/>
    <w:rsid w:val="006357E2"/>
    <w:rsid w:val="00635923"/>
    <w:rsid w:val="00635FD8"/>
    <w:rsid w:val="00636651"/>
    <w:rsid w:val="006368E4"/>
    <w:rsid w:val="006369C3"/>
    <w:rsid w:val="00636A1C"/>
    <w:rsid w:val="00636F7B"/>
    <w:rsid w:val="00637784"/>
    <w:rsid w:val="00640140"/>
    <w:rsid w:val="0064019C"/>
    <w:rsid w:val="00640288"/>
    <w:rsid w:val="006405AC"/>
    <w:rsid w:val="0064099D"/>
    <w:rsid w:val="00640E9A"/>
    <w:rsid w:val="006412CD"/>
    <w:rsid w:val="006413D8"/>
    <w:rsid w:val="00641420"/>
    <w:rsid w:val="00641610"/>
    <w:rsid w:val="00641B7B"/>
    <w:rsid w:val="00641C55"/>
    <w:rsid w:val="00642405"/>
    <w:rsid w:val="00642645"/>
    <w:rsid w:val="006437E8"/>
    <w:rsid w:val="006438E0"/>
    <w:rsid w:val="006443D6"/>
    <w:rsid w:val="00644BED"/>
    <w:rsid w:val="00644F27"/>
    <w:rsid w:val="006453C4"/>
    <w:rsid w:val="006455CB"/>
    <w:rsid w:val="00645D0D"/>
    <w:rsid w:val="00646FD5"/>
    <w:rsid w:val="006472F8"/>
    <w:rsid w:val="00647680"/>
    <w:rsid w:val="00647743"/>
    <w:rsid w:val="00647CE0"/>
    <w:rsid w:val="0065069B"/>
    <w:rsid w:val="006510C0"/>
    <w:rsid w:val="00651DC7"/>
    <w:rsid w:val="00652092"/>
    <w:rsid w:val="00652472"/>
    <w:rsid w:val="00652A5F"/>
    <w:rsid w:val="00652F31"/>
    <w:rsid w:val="006535E5"/>
    <w:rsid w:val="0065394E"/>
    <w:rsid w:val="00653B2B"/>
    <w:rsid w:val="00653B38"/>
    <w:rsid w:val="0065419F"/>
    <w:rsid w:val="006549B4"/>
    <w:rsid w:val="00654D37"/>
    <w:rsid w:val="00654F06"/>
    <w:rsid w:val="00656385"/>
    <w:rsid w:val="00656F19"/>
    <w:rsid w:val="00657274"/>
    <w:rsid w:val="00657BB7"/>
    <w:rsid w:val="00660299"/>
    <w:rsid w:val="00660552"/>
    <w:rsid w:val="00660DBE"/>
    <w:rsid w:val="00661113"/>
    <w:rsid w:val="0066127D"/>
    <w:rsid w:val="00661AB0"/>
    <w:rsid w:val="006623A4"/>
    <w:rsid w:val="006627B5"/>
    <w:rsid w:val="0066351C"/>
    <w:rsid w:val="006635BF"/>
    <w:rsid w:val="00663CBA"/>
    <w:rsid w:val="00663DBD"/>
    <w:rsid w:val="00664498"/>
    <w:rsid w:val="00664693"/>
    <w:rsid w:val="00664C4B"/>
    <w:rsid w:val="00664DC0"/>
    <w:rsid w:val="00664F24"/>
    <w:rsid w:val="006651CC"/>
    <w:rsid w:val="0066582B"/>
    <w:rsid w:val="006658DA"/>
    <w:rsid w:val="00665B9B"/>
    <w:rsid w:val="00665CA1"/>
    <w:rsid w:val="00666438"/>
    <w:rsid w:val="00666676"/>
    <w:rsid w:val="00666F2F"/>
    <w:rsid w:val="00667421"/>
    <w:rsid w:val="0066780E"/>
    <w:rsid w:val="00667A31"/>
    <w:rsid w:val="00667E6C"/>
    <w:rsid w:val="00670702"/>
    <w:rsid w:val="006708EB"/>
    <w:rsid w:val="0067147C"/>
    <w:rsid w:val="0067225F"/>
    <w:rsid w:val="00672895"/>
    <w:rsid w:val="00672A8A"/>
    <w:rsid w:val="00673524"/>
    <w:rsid w:val="00673F50"/>
    <w:rsid w:val="00674EEA"/>
    <w:rsid w:val="0067549D"/>
    <w:rsid w:val="006759B0"/>
    <w:rsid w:val="0067636E"/>
    <w:rsid w:val="00677012"/>
    <w:rsid w:val="0067705C"/>
    <w:rsid w:val="006771EA"/>
    <w:rsid w:val="006772F9"/>
    <w:rsid w:val="00677C53"/>
    <w:rsid w:val="00680D0E"/>
    <w:rsid w:val="00680F00"/>
    <w:rsid w:val="006825A6"/>
    <w:rsid w:val="006825B4"/>
    <w:rsid w:val="006829BA"/>
    <w:rsid w:val="00682AF2"/>
    <w:rsid w:val="00682C1D"/>
    <w:rsid w:val="00682E8A"/>
    <w:rsid w:val="00682FB7"/>
    <w:rsid w:val="006837DE"/>
    <w:rsid w:val="00683CE0"/>
    <w:rsid w:val="00684FA5"/>
    <w:rsid w:val="00685026"/>
    <w:rsid w:val="0068537F"/>
    <w:rsid w:val="00685E0D"/>
    <w:rsid w:val="00686104"/>
    <w:rsid w:val="00686334"/>
    <w:rsid w:val="00686C3A"/>
    <w:rsid w:val="00686EEB"/>
    <w:rsid w:val="00687628"/>
    <w:rsid w:val="00687CFE"/>
    <w:rsid w:val="0069035A"/>
    <w:rsid w:val="006906FD"/>
    <w:rsid w:val="00690EB8"/>
    <w:rsid w:val="0069109D"/>
    <w:rsid w:val="006915E5"/>
    <w:rsid w:val="0069180F"/>
    <w:rsid w:val="00692401"/>
    <w:rsid w:val="00692AD4"/>
    <w:rsid w:val="00693B7A"/>
    <w:rsid w:val="006940BE"/>
    <w:rsid w:val="006941CC"/>
    <w:rsid w:val="006942BA"/>
    <w:rsid w:val="006945D4"/>
    <w:rsid w:val="00694EC0"/>
    <w:rsid w:val="00695852"/>
    <w:rsid w:val="00695F56"/>
    <w:rsid w:val="0069690E"/>
    <w:rsid w:val="00696E17"/>
    <w:rsid w:val="0069758B"/>
    <w:rsid w:val="00697F88"/>
    <w:rsid w:val="006A050B"/>
    <w:rsid w:val="006A07FF"/>
    <w:rsid w:val="006A0A70"/>
    <w:rsid w:val="006A0B6C"/>
    <w:rsid w:val="006A1692"/>
    <w:rsid w:val="006A16E1"/>
    <w:rsid w:val="006A179F"/>
    <w:rsid w:val="006A188D"/>
    <w:rsid w:val="006A3293"/>
    <w:rsid w:val="006A36DF"/>
    <w:rsid w:val="006A3C8A"/>
    <w:rsid w:val="006A3E61"/>
    <w:rsid w:val="006A5213"/>
    <w:rsid w:val="006A6003"/>
    <w:rsid w:val="006A6737"/>
    <w:rsid w:val="006B0AE6"/>
    <w:rsid w:val="006B1AF3"/>
    <w:rsid w:val="006B1E08"/>
    <w:rsid w:val="006B2099"/>
    <w:rsid w:val="006B26B1"/>
    <w:rsid w:val="006B2741"/>
    <w:rsid w:val="006B275D"/>
    <w:rsid w:val="006B2E45"/>
    <w:rsid w:val="006B341B"/>
    <w:rsid w:val="006B3875"/>
    <w:rsid w:val="006B3937"/>
    <w:rsid w:val="006B425B"/>
    <w:rsid w:val="006B4986"/>
    <w:rsid w:val="006B4A56"/>
    <w:rsid w:val="006B545C"/>
    <w:rsid w:val="006B5AC8"/>
    <w:rsid w:val="006B5D32"/>
    <w:rsid w:val="006B6AC1"/>
    <w:rsid w:val="006B6EDF"/>
    <w:rsid w:val="006B758B"/>
    <w:rsid w:val="006B78A5"/>
    <w:rsid w:val="006B7BF8"/>
    <w:rsid w:val="006C00A0"/>
    <w:rsid w:val="006C0A9F"/>
    <w:rsid w:val="006C0E54"/>
    <w:rsid w:val="006C0F11"/>
    <w:rsid w:val="006C23E1"/>
    <w:rsid w:val="006C25D5"/>
    <w:rsid w:val="006C25F9"/>
    <w:rsid w:val="006C262B"/>
    <w:rsid w:val="006C27DC"/>
    <w:rsid w:val="006C2866"/>
    <w:rsid w:val="006C31C6"/>
    <w:rsid w:val="006C32BE"/>
    <w:rsid w:val="006C3A2D"/>
    <w:rsid w:val="006C4666"/>
    <w:rsid w:val="006C49BF"/>
    <w:rsid w:val="006C4BB3"/>
    <w:rsid w:val="006C63D7"/>
    <w:rsid w:val="006C6894"/>
    <w:rsid w:val="006C69D9"/>
    <w:rsid w:val="006C6C2D"/>
    <w:rsid w:val="006C6DE2"/>
    <w:rsid w:val="006C7535"/>
    <w:rsid w:val="006C76A6"/>
    <w:rsid w:val="006C796D"/>
    <w:rsid w:val="006D0525"/>
    <w:rsid w:val="006D08DC"/>
    <w:rsid w:val="006D09D1"/>
    <w:rsid w:val="006D10C4"/>
    <w:rsid w:val="006D23FF"/>
    <w:rsid w:val="006D2F09"/>
    <w:rsid w:val="006D2FD2"/>
    <w:rsid w:val="006D33E6"/>
    <w:rsid w:val="006D3783"/>
    <w:rsid w:val="006D3DC0"/>
    <w:rsid w:val="006D40C4"/>
    <w:rsid w:val="006D4162"/>
    <w:rsid w:val="006D447A"/>
    <w:rsid w:val="006D44D2"/>
    <w:rsid w:val="006D453E"/>
    <w:rsid w:val="006D4F80"/>
    <w:rsid w:val="006D5303"/>
    <w:rsid w:val="006D5E84"/>
    <w:rsid w:val="006D7A4C"/>
    <w:rsid w:val="006D7C99"/>
    <w:rsid w:val="006E0369"/>
    <w:rsid w:val="006E0443"/>
    <w:rsid w:val="006E0C50"/>
    <w:rsid w:val="006E0DCF"/>
    <w:rsid w:val="006E0FFF"/>
    <w:rsid w:val="006E1006"/>
    <w:rsid w:val="006E14D6"/>
    <w:rsid w:val="006E1647"/>
    <w:rsid w:val="006E1BA2"/>
    <w:rsid w:val="006E2298"/>
    <w:rsid w:val="006E2C5A"/>
    <w:rsid w:val="006E2F3A"/>
    <w:rsid w:val="006E310A"/>
    <w:rsid w:val="006E3C3E"/>
    <w:rsid w:val="006E3FBD"/>
    <w:rsid w:val="006E40C7"/>
    <w:rsid w:val="006E429F"/>
    <w:rsid w:val="006E47E0"/>
    <w:rsid w:val="006E50E4"/>
    <w:rsid w:val="006E6F30"/>
    <w:rsid w:val="006E6FE9"/>
    <w:rsid w:val="006E7082"/>
    <w:rsid w:val="006E709F"/>
    <w:rsid w:val="006E7F73"/>
    <w:rsid w:val="006F00BE"/>
    <w:rsid w:val="006F030F"/>
    <w:rsid w:val="006F03AF"/>
    <w:rsid w:val="006F193C"/>
    <w:rsid w:val="006F1B58"/>
    <w:rsid w:val="006F27DC"/>
    <w:rsid w:val="006F2B89"/>
    <w:rsid w:val="006F36F1"/>
    <w:rsid w:val="006F379D"/>
    <w:rsid w:val="006F3B81"/>
    <w:rsid w:val="006F4163"/>
    <w:rsid w:val="006F4860"/>
    <w:rsid w:val="006F4D59"/>
    <w:rsid w:val="006F4F79"/>
    <w:rsid w:val="006F4F80"/>
    <w:rsid w:val="006F5532"/>
    <w:rsid w:val="006F5ADA"/>
    <w:rsid w:val="006F62CC"/>
    <w:rsid w:val="006F644B"/>
    <w:rsid w:val="006F66C1"/>
    <w:rsid w:val="006F681D"/>
    <w:rsid w:val="006F6FA1"/>
    <w:rsid w:val="006F731E"/>
    <w:rsid w:val="006F78E9"/>
    <w:rsid w:val="00700251"/>
    <w:rsid w:val="00700C66"/>
    <w:rsid w:val="0070235F"/>
    <w:rsid w:val="00702BC3"/>
    <w:rsid w:val="00702FF3"/>
    <w:rsid w:val="007032AC"/>
    <w:rsid w:val="00703496"/>
    <w:rsid w:val="007036FE"/>
    <w:rsid w:val="00703AB1"/>
    <w:rsid w:val="00704614"/>
    <w:rsid w:val="00704C5F"/>
    <w:rsid w:val="00704DEB"/>
    <w:rsid w:val="00705623"/>
    <w:rsid w:val="00705B37"/>
    <w:rsid w:val="0070658A"/>
    <w:rsid w:val="00706B65"/>
    <w:rsid w:val="007070DA"/>
    <w:rsid w:val="007071AF"/>
    <w:rsid w:val="00707C1A"/>
    <w:rsid w:val="00710023"/>
    <w:rsid w:val="00710207"/>
    <w:rsid w:val="0071023D"/>
    <w:rsid w:val="007103CD"/>
    <w:rsid w:val="007104C6"/>
    <w:rsid w:val="007104CB"/>
    <w:rsid w:val="00710530"/>
    <w:rsid w:val="0071078C"/>
    <w:rsid w:val="007107BD"/>
    <w:rsid w:val="00710A67"/>
    <w:rsid w:val="00710A79"/>
    <w:rsid w:val="00711E77"/>
    <w:rsid w:val="00712912"/>
    <w:rsid w:val="00712C25"/>
    <w:rsid w:val="00713AAC"/>
    <w:rsid w:val="00713B8D"/>
    <w:rsid w:val="00713C1D"/>
    <w:rsid w:val="007141DC"/>
    <w:rsid w:val="00714B04"/>
    <w:rsid w:val="00714F75"/>
    <w:rsid w:val="007155CE"/>
    <w:rsid w:val="007168A0"/>
    <w:rsid w:val="00716BC6"/>
    <w:rsid w:val="00716C95"/>
    <w:rsid w:val="00717762"/>
    <w:rsid w:val="00717F1A"/>
    <w:rsid w:val="007204DA"/>
    <w:rsid w:val="00721A63"/>
    <w:rsid w:val="00721DED"/>
    <w:rsid w:val="00721FF9"/>
    <w:rsid w:val="0072229E"/>
    <w:rsid w:val="00722F53"/>
    <w:rsid w:val="0072337E"/>
    <w:rsid w:val="00723696"/>
    <w:rsid w:val="00723E16"/>
    <w:rsid w:val="00723FAF"/>
    <w:rsid w:val="0072442F"/>
    <w:rsid w:val="00725189"/>
    <w:rsid w:val="0072541E"/>
    <w:rsid w:val="00725735"/>
    <w:rsid w:val="00725BB8"/>
    <w:rsid w:val="007260A3"/>
    <w:rsid w:val="0072630D"/>
    <w:rsid w:val="00726A2A"/>
    <w:rsid w:val="007271E9"/>
    <w:rsid w:val="007273BC"/>
    <w:rsid w:val="007275FD"/>
    <w:rsid w:val="007276E5"/>
    <w:rsid w:val="00730943"/>
    <w:rsid w:val="007310EF"/>
    <w:rsid w:val="00731D5E"/>
    <w:rsid w:val="00732492"/>
    <w:rsid w:val="00733549"/>
    <w:rsid w:val="00733E5A"/>
    <w:rsid w:val="00733F25"/>
    <w:rsid w:val="0073416D"/>
    <w:rsid w:val="00736395"/>
    <w:rsid w:val="00736459"/>
    <w:rsid w:val="0073685F"/>
    <w:rsid w:val="00737821"/>
    <w:rsid w:val="0074058F"/>
    <w:rsid w:val="00740E86"/>
    <w:rsid w:val="00741175"/>
    <w:rsid w:val="007419FB"/>
    <w:rsid w:val="0074218C"/>
    <w:rsid w:val="00742606"/>
    <w:rsid w:val="007441FF"/>
    <w:rsid w:val="007448A7"/>
    <w:rsid w:val="00744EE8"/>
    <w:rsid w:val="00744F42"/>
    <w:rsid w:val="007459F5"/>
    <w:rsid w:val="00745D9E"/>
    <w:rsid w:val="007466DC"/>
    <w:rsid w:val="00746713"/>
    <w:rsid w:val="007467E4"/>
    <w:rsid w:val="00746B08"/>
    <w:rsid w:val="00747569"/>
    <w:rsid w:val="00750238"/>
    <w:rsid w:val="0075023C"/>
    <w:rsid w:val="00750F06"/>
    <w:rsid w:val="007518E3"/>
    <w:rsid w:val="007518E9"/>
    <w:rsid w:val="00752247"/>
    <w:rsid w:val="007523E7"/>
    <w:rsid w:val="007524C4"/>
    <w:rsid w:val="00752AE5"/>
    <w:rsid w:val="007531CA"/>
    <w:rsid w:val="00754252"/>
    <w:rsid w:val="00755894"/>
    <w:rsid w:val="007560D3"/>
    <w:rsid w:val="00756258"/>
    <w:rsid w:val="007569B0"/>
    <w:rsid w:val="007577B1"/>
    <w:rsid w:val="00757CB3"/>
    <w:rsid w:val="00757D87"/>
    <w:rsid w:val="00757DB4"/>
    <w:rsid w:val="00757E79"/>
    <w:rsid w:val="00760EED"/>
    <w:rsid w:val="0076109F"/>
    <w:rsid w:val="00761399"/>
    <w:rsid w:val="00761615"/>
    <w:rsid w:val="007616DA"/>
    <w:rsid w:val="007619CE"/>
    <w:rsid w:val="00761F4F"/>
    <w:rsid w:val="007620DC"/>
    <w:rsid w:val="00762102"/>
    <w:rsid w:val="0076255D"/>
    <w:rsid w:val="007625F6"/>
    <w:rsid w:val="00762B8B"/>
    <w:rsid w:val="00762D40"/>
    <w:rsid w:val="0076325B"/>
    <w:rsid w:val="007632C6"/>
    <w:rsid w:val="00763A04"/>
    <w:rsid w:val="00764AF9"/>
    <w:rsid w:val="007650AD"/>
    <w:rsid w:val="00765D18"/>
    <w:rsid w:val="0076640B"/>
    <w:rsid w:val="007673DE"/>
    <w:rsid w:val="00770C54"/>
    <w:rsid w:val="00771344"/>
    <w:rsid w:val="0077213A"/>
    <w:rsid w:val="00772613"/>
    <w:rsid w:val="00772B41"/>
    <w:rsid w:val="00772CED"/>
    <w:rsid w:val="00773EA1"/>
    <w:rsid w:val="00775215"/>
    <w:rsid w:val="00775748"/>
    <w:rsid w:val="007757B1"/>
    <w:rsid w:val="00776ACC"/>
    <w:rsid w:val="00776AD5"/>
    <w:rsid w:val="00777AE2"/>
    <w:rsid w:val="00777BCB"/>
    <w:rsid w:val="00777C71"/>
    <w:rsid w:val="00777D6B"/>
    <w:rsid w:val="00777F20"/>
    <w:rsid w:val="0078080B"/>
    <w:rsid w:val="00781148"/>
    <w:rsid w:val="0078120F"/>
    <w:rsid w:val="00781F98"/>
    <w:rsid w:val="007820DF"/>
    <w:rsid w:val="0078265B"/>
    <w:rsid w:val="00782AFE"/>
    <w:rsid w:val="00782D1E"/>
    <w:rsid w:val="00782E10"/>
    <w:rsid w:val="00784926"/>
    <w:rsid w:val="00784DB8"/>
    <w:rsid w:val="00784FDD"/>
    <w:rsid w:val="0078508F"/>
    <w:rsid w:val="00786448"/>
    <w:rsid w:val="007875D7"/>
    <w:rsid w:val="007906B2"/>
    <w:rsid w:val="0079134E"/>
    <w:rsid w:val="007925F0"/>
    <w:rsid w:val="0079278E"/>
    <w:rsid w:val="00792DCA"/>
    <w:rsid w:val="00792E3C"/>
    <w:rsid w:val="00792FDF"/>
    <w:rsid w:val="00793040"/>
    <w:rsid w:val="007930C1"/>
    <w:rsid w:val="0079315D"/>
    <w:rsid w:val="00793B45"/>
    <w:rsid w:val="007946EE"/>
    <w:rsid w:val="0079477A"/>
    <w:rsid w:val="007956CD"/>
    <w:rsid w:val="00795706"/>
    <w:rsid w:val="007960E3"/>
    <w:rsid w:val="00796F7C"/>
    <w:rsid w:val="00797131"/>
    <w:rsid w:val="00797254"/>
    <w:rsid w:val="00797430"/>
    <w:rsid w:val="00797AF4"/>
    <w:rsid w:val="007A0F8D"/>
    <w:rsid w:val="007A1078"/>
    <w:rsid w:val="007A180A"/>
    <w:rsid w:val="007A21E4"/>
    <w:rsid w:val="007A2304"/>
    <w:rsid w:val="007A257D"/>
    <w:rsid w:val="007A2CB0"/>
    <w:rsid w:val="007A343D"/>
    <w:rsid w:val="007A38CE"/>
    <w:rsid w:val="007A3F1C"/>
    <w:rsid w:val="007A457D"/>
    <w:rsid w:val="007A46E6"/>
    <w:rsid w:val="007A48D8"/>
    <w:rsid w:val="007A5ACE"/>
    <w:rsid w:val="007A5C5C"/>
    <w:rsid w:val="007A6528"/>
    <w:rsid w:val="007A6A64"/>
    <w:rsid w:val="007A7B48"/>
    <w:rsid w:val="007A7FD7"/>
    <w:rsid w:val="007B08FD"/>
    <w:rsid w:val="007B0A0A"/>
    <w:rsid w:val="007B18C6"/>
    <w:rsid w:val="007B20C2"/>
    <w:rsid w:val="007B25D5"/>
    <w:rsid w:val="007B27E4"/>
    <w:rsid w:val="007B2818"/>
    <w:rsid w:val="007B2910"/>
    <w:rsid w:val="007B301D"/>
    <w:rsid w:val="007B3264"/>
    <w:rsid w:val="007B35F6"/>
    <w:rsid w:val="007B3F87"/>
    <w:rsid w:val="007B404F"/>
    <w:rsid w:val="007B44A6"/>
    <w:rsid w:val="007B494E"/>
    <w:rsid w:val="007B4C5E"/>
    <w:rsid w:val="007B51F8"/>
    <w:rsid w:val="007B7462"/>
    <w:rsid w:val="007B7B52"/>
    <w:rsid w:val="007B7EEE"/>
    <w:rsid w:val="007C02A3"/>
    <w:rsid w:val="007C0C55"/>
    <w:rsid w:val="007C1507"/>
    <w:rsid w:val="007C1857"/>
    <w:rsid w:val="007C207E"/>
    <w:rsid w:val="007C290B"/>
    <w:rsid w:val="007C2E40"/>
    <w:rsid w:val="007C2F60"/>
    <w:rsid w:val="007C3639"/>
    <w:rsid w:val="007C3757"/>
    <w:rsid w:val="007C3DF2"/>
    <w:rsid w:val="007C4D8D"/>
    <w:rsid w:val="007C5144"/>
    <w:rsid w:val="007C5613"/>
    <w:rsid w:val="007C6138"/>
    <w:rsid w:val="007C6153"/>
    <w:rsid w:val="007C6849"/>
    <w:rsid w:val="007C6BC6"/>
    <w:rsid w:val="007C6C12"/>
    <w:rsid w:val="007C73B2"/>
    <w:rsid w:val="007D0435"/>
    <w:rsid w:val="007D0D3E"/>
    <w:rsid w:val="007D116E"/>
    <w:rsid w:val="007D1772"/>
    <w:rsid w:val="007D1B24"/>
    <w:rsid w:val="007D1F5C"/>
    <w:rsid w:val="007D267F"/>
    <w:rsid w:val="007D3341"/>
    <w:rsid w:val="007D399C"/>
    <w:rsid w:val="007D3A3E"/>
    <w:rsid w:val="007D400A"/>
    <w:rsid w:val="007D4365"/>
    <w:rsid w:val="007D44C1"/>
    <w:rsid w:val="007D4B0E"/>
    <w:rsid w:val="007D4DD2"/>
    <w:rsid w:val="007D558F"/>
    <w:rsid w:val="007D5D0F"/>
    <w:rsid w:val="007D6EA8"/>
    <w:rsid w:val="007D7B3C"/>
    <w:rsid w:val="007E010B"/>
    <w:rsid w:val="007E042B"/>
    <w:rsid w:val="007E05DB"/>
    <w:rsid w:val="007E1247"/>
    <w:rsid w:val="007E168B"/>
    <w:rsid w:val="007E1A44"/>
    <w:rsid w:val="007E2419"/>
    <w:rsid w:val="007E2E7D"/>
    <w:rsid w:val="007E3FF5"/>
    <w:rsid w:val="007E4219"/>
    <w:rsid w:val="007E577E"/>
    <w:rsid w:val="007E635E"/>
    <w:rsid w:val="007E6A9C"/>
    <w:rsid w:val="007E6C0C"/>
    <w:rsid w:val="007E7300"/>
    <w:rsid w:val="007E767B"/>
    <w:rsid w:val="007E7B54"/>
    <w:rsid w:val="007F038C"/>
    <w:rsid w:val="007F0428"/>
    <w:rsid w:val="007F0C82"/>
    <w:rsid w:val="007F0F24"/>
    <w:rsid w:val="007F1755"/>
    <w:rsid w:val="007F1C20"/>
    <w:rsid w:val="007F222B"/>
    <w:rsid w:val="007F2443"/>
    <w:rsid w:val="007F2CBC"/>
    <w:rsid w:val="007F3092"/>
    <w:rsid w:val="007F30F9"/>
    <w:rsid w:val="007F39B8"/>
    <w:rsid w:val="007F3C03"/>
    <w:rsid w:val="007F3E3F"/>
    <w:rsid w:val="007F45DF"/>
    <w:rsid w:val="007F4A6F"/>
    <w:rsid w:val="007F4FBC"/>
    <w:rsid w:val="007F5975"/>
    <w:rsid w:val="007F5AB9"/>
    <w:rsid w:val="007F6497"/>
    <w:rsid w:val="007F6836"/>
    <w:rsid w:val="007F6F3B"/>
    <w:rsid w:val="007F7DF2"/>
    <w:rsid w:val="008005E6"/>
    <w:rsid w:val="00800A35"/>
    <w:rsid w:val="00800D91"/>
    <w:rsid w:val="008015F2"/>
    <w:rsid w:val="00801A0E"/>
    <w:rsid w:val="008024FE"/>
    <w:rsid w:val="00803362"/>
    <w:rsid w:val="00803C65"/>
    <w:rsid w:val="00804BC0"/>
    <w:rsid w:val="00804E3C"/>
    <w:rsid w:val="00804E4C"/>
    <w:rsid w:val="00806272"/>
    <w:rsid w:val="008064DD"/>
    <w:rsid w:val="0080662C"/>
    <w:rsid w:val="008070B2"/>
    <w:rsid w:val="00807D79"/>
    <w:rsid w:val="00810102"/>
    <w:rsid w:val="008102BC"/>
    <w:rsid w:val="008116F3"/>
    <w:rsid w:val="008117C4"/>
    <w:rsid w:val="0081222E"/>
    <w:rsid w:val="00812461"/>
    <w:rsid w:val="008127E0"/>
    <w:rsid w:val="00812810"/>
    <w:rsid w:val="0081398E"/>
    <w:rsid w:val="00813F02"/>
    <w:rsid w:val="008149D8"/>
    <w:rsid w:val="00815714"/>
    <w:rsid w:val="00815A2A"/>
    <w:rsid w:val="00816559"/>
    <w:rsid w:val="0081724D"/>
    <w:rsid w:val="0081788A"/>
    <w:rsid w:val="00817927"/>
    <w:rsid w:val="00817CFC"/>
    <w:rsid w:val="00817E82"/>
    <w:rsid w:val="00820A3F"/>
    <w:rsid w:val="00821D81"/>
    <w:rsid w:val="00822A52"/>
    <w:rsid w:val="00822F31"/>
    <w:rsid w:val="00823654"/>
    <w:rsid w:val="0082374A"/>
    <w:rsid w:val="008237F3"/>
    <w:rsid w:val="00823A90"/>
    <w:rsid w:val="00823D01"/>
    <w:rsid w:val="00825C68"/>
    <w:rsid w:val="00826434"/>
    <w:rsid w:val="00826883"/>
    <w:rsid w:val="00826AD5"/>
    <w:rsid w:val="0082757E"/>
    <w:rsid w:val="0082769C"/>
    <w:rsid w:val="008277D4"/>
    <w:rsid w:val="008279D2"/>
    <w:rsid w:val="00827B6C"/>
    <w:rsid w:val="00827D77"/>
    <w:rsid w:val="00830259"/>
    <w:rsid w:val="00830561"/>
    <w:rsid w:val="00831115"/>
    <w:rsid w:val="00832092"/>
    <w:rsid w:val="0083249C"/>
    <w:rsid w:val="00832D42"/>
    <w:rsid w:val="008333A9"/>
    <w:rsid w:val="00833419"/>
    <w:rsid w:val="008342A5"/>
    <w:rsid w:val="00834B7C"/>
    <w:rsid w:val="00834BE2"/>
    <w:rsid w:val="00834EA4"/>
    <w:rsid w:val="00835049"/>
    <w:rsid w:val="008354B9"/>
    <w:rsid w:val="00835DCB"/>
    <w:rsid w:val="00836090"/>
    <w:rsid w:val="00836921"/>
    <w:rsid w:val="00837237"/>
    <w:rsid w:val="008376C0"/>
    <w:rsid w:val="0084035D"/>
    <w:rsid w:val="008405F9"/>
    <w:rsid w:val="0084060B"/>
    <w:rsid w:val="0084139B"/>
    <w:rsid w:val="0084143B"/>
    <w:rsid w:val="008417D4"/>
    <w:rsid w:val="00842547"/>
    <w:rsid w:val="008427D3"/>
    <w:rsid w:val="008428CA"/>
    <w:rsid w:val="008429CF"/>
    <w:rsid w:val="0084324C"/>
    <w:rsid w:val="00843910"/>
    <w:rsid w:val="00843B9B"/>
    <w:rsid w:val="00843D9D"/>
    <w:rsid w:val="008451F8"/>
    <w:rsid w:val="008456C8"/>
    <w:rsid w:val="008457D2"/>
    <w:rsid w:val="00846212"/>
    <w:rsid w:val="008468E0"/>
    <w:rsid w:val="0084767E"/>
    <w:rsid w:val="0084790F"/>
    <w:rsid w:val="00847BE7"/>
    <w:rsid w:val="00850881"/>
    <w:rsid w:val="00850EAB"/>
    <w:rsid w:val="00851C80"/>
    <w:rsid w:val="00851D70"/>
    <w:rsid w:val="00852760"/>
    <w:rsid w:val="008529B3"/>
    <w:rsid w:val="008529BB"/>
    <w:rsid w:val="00852ADD"/>
    <w:rsid w:val="00853883"/>
    <w:rsid w:val="00853EB9"/>
    <w:rsid w:val="00854CF7"/>
    <w:rsid w:val="00854DA7"/>
    <w:rsid w:val="0085561B"/>
    <w:rsid w:val="008557A0"/>
    <w:rsid w:val="00855FA6"/>
    <w:rsid w:val="00856258"/>
    <w:rsid w:val="0085629D"/>
    <w:rsid w:val="00856607"/>
    <w:rsid w:val="00857AA1"/>
    <w:rsid w:val="008602F1"/>
    <w:rsid w:val="008604A8"/>
    <w:rsid w:val="00860ADD"/>
    <w:rsid w:val="00860CA2"/>
    <w:rsid w:val="008616A2"/>
    <w:rsid w:val="00861C6C"/>
    <w:rsid w:val="008636AC"/>
    <w:rsid w:val="00863862"/>
    <w:rsid w:val="00863AAD"/>
    <w:rsid w:val="00863AB5"/>
    <w:rsid w:val="00864644"/>
    <w:rsid w:val="00864F4D"/>
    <w:rsid w:val="008658DE"/>
    <w:rsid w:val="00865F5C"/>
    <w:rsid w:val="00866296"/>
    <w:rsid w:val="008665C7"/>
    <w:rsid w:val="00866DC1"/>
    <w:rsid w:val="00867BBF"/>
    <w:rsid w:val="008707A3"/>
    <w:rsid w:val="00870A36"/>
    <w:rsid w:val="008711AE"/>
    <w:rsid w:val="0087143E"/>
    <w:rsid w:val="00871A36"/>
    <w:rsid w:val="00871E97"/>
    <w:rsid w:val="00872F21"/>
    <w:rsid w:val="00873736"/>
    <w:rsid w:val="0087378E"/>
    <w:rsid w:val="008737DF"/>
    <w:rsid w:val="00874E4E"/>
    <w:rsid w:val="008755E7"/>
    <w:rsid w:val="00875A46"/>
    <w:rsid w:val="00875E16"/>
    <w:rsid w:val="00877D03"/>
    <w:rsid w:val="00877E96"/>
    <w:rsid w:val="0088023D"/>
    <w:rsid w:val="008803CE"/>
    <w:rsid w:val="00880D8F"/>
    <w:rsid w:val="00882077"/>
    <w:rsid w:val="008820D9"/>
    <w:rsid w:val="00882F34"/>
    <w:rsid w:val="00883496"/>
    <w:rsid w:val="00883613"/>
    <w:rsid w:val="0088557F"/>
    <w:rsid w:val="00886393"/>
    <w:rsid w:val="00886579"/>
    <w:rsid w:val="00886F19"/>
    <w:rsid w:val="00887090"/>
    <w:rsid w:val="00887865"/>
    <w:rsid w:val="00887B37"/>
    <w:rsid w:val="00890598"/>
    <w:rsid w:val="0089065A"/>
    <w:rsid w:val="00890DEB"/>
    <w:rsid w:val="0089177A"/>
    <w:rsid w:val="00891AA9"/>
    <w:rsid w:val="00891D7A"/>
    <w:rsid w:val="00891DFC"/>
    <w:rsid w:val="00892791"/>
    <w:rsid w:val="00892B98"/>
    <w:rsid w:val="008945D2"/>
    <w:rsid w:val="008949A3"/>
    <w:rsid w:val="00894CB5"/>
    <w:rsid w:val="008959FC"/>
    <w:rsid w:val="0089605E"/>
    <w:rsid w:val="00896668"/>
    <w:rsid w:val="00896E9A"/>
    <w:rsid w:val="00897619"/>
    <w:rsid w:val="008978D6"/>
    <w:rsid w:val="008A0533"/>
    <w:rsid w:val="008A097C"/>
    <w:rsid w:val="008A0CCC"/>
    <w:rsid w:val="008A1D0E"/>
    <w:rsid w:val="008A25EA"/>
    <w:rsid w:val="008A276E"/>
    <w:rsid w:val="008A31C7"/>
    <w:rsid w:val="008A3215"/>
    <w:rsid w:val="008A3630"/>
    <w:rsid w:val="008A3E8B"/>
    <w:rsid w:val="008A47BE"/>
    <w:rsid w:val="008A4AEC"/>
    <w:rsid w:val="008A5609"/>
    <w:rsid w:val="008A5697"/>
    <w:rsid w:val="008A5B35"/>
    <w:rsid w:val="008A6DD5"/>
    <w:rsid w:val="008A6DF0"/>
    <w:rsid w:val="008A6FA0"/>
    <w:rsid w:val="008B0385"/>
    <w:rsid w:val="008B05E6"/>
    <w:rsid w:val="008B0E76"/>
    <w:rsid w:val="008B105C"/>
    <w:rsid w:val="008B15CE"/>
    <w:rsid w:val="008B1B05"/>
    <w:rsid w:val="008B1C8F"/>
    <w:rsid w:val="008B21F8"/>
    <w:rsid w:val="008B2570"/>
    <w:rsid w:val="008B2B19"/>
    <w:rsid w:val="008B2F40"/>
    <w:rsid w:val="008B2FCD"/>
    <w:rsid w:val="008B3627"/>
    <w:rsid w:val="008B3EAD"/>
    <w:rsid w:val="008B4208"/>
    <w:rsid w:val="008B49B6"/>
    <w:rsid w:val="008B534B"/>
    <w:rsid w:val="008B55A6"/>
    <w:rsid w:val="008B56A0"/>
    <w:rsid w:val="008B5AA1"/>
    <w:rsid w:val="008B5C51"/>
    <w:rsid w:val="008B5E49"/>
    <w:rsid w:val="008B5E61"/>
    <w:rsid w:val="008B64CE"/>
    <w:rsid w:val="008B68B4"/>
    <w:rsid w:val="008B756F"/>
    <w:rsid w:val="008B7633"/>
    <w:rsid w:val="008B7914"/>
    <w:rsid w:val="008C04F4"/>
    <w:rsid w:val="008C0D0C"/>
    <w:rsid w:val="008C127A"/>
    <w:rsid w:val="008C179E"/>
    <w:rsid w:val="008C18BD"/>
    <w:rsid w:val="008C1932"/>
    <w:rsid w:val="008C1CC8"/>
    <w:rsid w:val="008C1CD3"/>
    <w:rsid w:val="008C1ECC"/>
    <w:rsid w:val="008C2C41"/>
    <w:rsid w:val="008C2C7F"/>
    <w:rsid w:val="008C2F0D"/>
    <w:rsid w:val="008C346A"/>
    <w:rsid w:val="008C364D"/>
    <w:rsid w:val="008C500C"/>
    <w:rsid w:val="008C58A2"/>
    <w:rsid w:val="008C5BC0"/>
    <w:rsid w:val="008C5D2A"/>
    <w:rsid w:val="008C62E8"/>
    <w:rsid w:val="008C6754"/>
    <w:rsid w:val="008C6C16"/>
    <w:rsid w:val="008C6F7D"/>
    <w:rsid w:val="008C74FB"/>
    <w:rsid w:val="008C7AF4"/>
    <w:rsid w:val="008C7B0F"/>
    <w:rsid w:val="008C7DA4"/>
    <w:rsid w:val="008C7F6E"/>
    <w:rsid w:val="008C7FAE"/>
    <w:rsid w:val="008D0210"/>
    <w:rsid w:val="008D033E"/>
    <w:rsid w:val="008D0851"/>
    <w:rsid w:val="008D0AF5"/>
    <w:rsid w:val="008D0DEF"/>
    <w:rsid w:val="008D0FCD"/>
    <w:rsid w:val="008D1074"/>
    <w:rsid w:val="008D1079"/>
    <w:rsid w:val="008D2643"/>
    <w:rsid w:val="008D280F"/>
    <w:rsid w:val="008D2F60"/>
    <w:rsid w:val="008D318B"/>
    <w:rsid w:val="008D3994"/>
    <w:rsid w:val="008D3C3D"/>
    <w:rsid w:val="008D478E"/>
    <w:rsid w:val="008D4DB6"/>
    <w:rsid w:val="008D534E"/>
    <w:rsid w:val="008D619B"/>
    <w:rsid w:val="008D6D6B"/>
    <w:rsid w:val="008D6E81"/>
    <w:rsid w:val="008D7739"/>
    <w:rsid w:val="008D7A64"/>
    <w:rsid w:val="008D7A92"/>
    <w:rsid w:val="008E0302"/>
    <w:rsid w:val="008E03F3"/>
    <w:rsid w:val="008E1267"/>
    <w:rsid w:val="008E19FD"/>
    <w:rsid w:val="008E1B7B"/>
    <w:rsid w:val="008E22F8"/>
    <w:rsid w:val="008E23EE"/>
    <w:rsid w:val="008E25D0"/>
    <w:rsid w:val="008E25EC"/>
    <w:rsid w:val="008E3672"/>
    <w:rsid w:val="008E39D8"/>
    <w:rsid w:val="008E5313"/>
    <w:rsid w:val="008E5D73"/>
    <w:rsid w:val="008E606F"/>
    <w:rsid w:val="008E6300"/>
    <w:rsid w:val="008E6AD9"/>
    <w:rsid w:val="008E6E25"/>
    <w:rsid w:val="008F022A"/>
    <w:rsid w:val="008F06FD"/>
    <w:rsid w:val="008F1172"/>
    <w:rsid w:val="008F27E3"/>
    <w:rsid w:val="008F3485"/>
    <w:rsid w:val="008F3AC3"/>
    <w:rsid w:val="008F42C1"/>
    <w:rsid w:val="008F51FF"/>
    <w:rsid w:val="008F52FC"/>
    <w:rsid w:val="008F5DEF"/>
    <w:rsid w:val="008F6031"/>
    <w:rsid w:val="008F61F2"/>
    <w:rsid w:val="008F636D"/>
    <w:rsid w:val="008F7C0A"/>
    <w:rsid w:val="00901140"/>
    <w:rsid w:val="00901613"/>
    <w:rsid w:val="00901DBB"/>
    <w:rsid w:val="009026CB"/>
    <w:rsid w:val="00902876"/>
    <w:rsid w:val="00902C0B"/>
    <w:rsid w:val="009030FF"/>
    <w:rsid w:val="009036E9"/>
    <w:rsid w:val="009038F6"/>
    <w:rsid w:val="00903EDE"/>
    <w:rsid w:val="00903FB2"/>
    <w:rsid w:val="00904038"/>
    <w:rsid w:val="009041AF"/>
    <w:rsid w:val="009042AA"/>
    <w:rsid w:val="009049AB"/>
    <w:rsid w:val="00904C8C"/>
    <w:rsid w:val="009050B7"/>
    <w:rsid w:val="0090510D"/>
    <w:rsid w:val="00905130"/>
    <w:rsid w:val="009053BD"/>
    <w:rsid w:val="00905728"/>
    <w:rsid w:val="009061B8"/>
    <w:rsid w:val="009064BF"/>
    <w:rsid w:val="009069B8"/>
    <w:rsid w:val="0091015D"/>
    <w:rsid w:val="009130CC"/>
    <w:rsid w:val="009133EC"/>
    <w:rsid w:val="00913AF7"/>
    <w:rsid w:val="00913B37"/>
    <w:rsid w:val="00914683"/>
    <w:rsid w:val="00914861"/>
    <w:rsid w:val="009148D8"/>
    <w:rsid w:val="00914B5F"/>
    <w:rsid w:val="00914E71"/>
    <w:rsid w:val="0091504C"/>
    <w:rsid w:val="00915417"/>
    <w:rsid w:val="0091573F"/>
    <w:rsid w:val="00915897"/>
    <w:rsid w:val="00915B44"/>
    <w:rsid w:val="00915CD5"/>
    <w:rsid w:val="00916093"/>
    <w:rsid w:val="009160E3"/>
    <w:rsid w:val="0091639C"/>
    <w:rsid w:val="00916A8C"/>
    <w:rsid w:val="00916E99"/>
    <w:rsid w:val="00917D73"/>
    <w:rsid w:val="0092002E"/>
    <w:rsid w:val="0092050A"/>
    <w:rsid w:val="009209A1"/>
    <w:rsid w:val="00920EC6"/>
    <w:rsid w:val="0092101E"/>
    <w:rsid w:val="009225D6"/>
    <w:rsid w:val="0092383B"/>
    <w:rsid w:val="00923B92"/>
    <w:rsid w:val="00923DCE"/>
    <w:rsid w:val="00924119"/>
    <w:rsid w:val="0092492A"/>
    <w:rsid w:val="00925120"/>
    <w:rsid w:val="009251B3"/>
    <w:rsid w:val="009255FA"/>
    <w:rsid w:val="009262E4"/>
    <w:rsid w:val="009266D2"/>
    <w:rsid w:val="00927361"/>
    <w:rsid w:val="00927D4E"/>
    <w:rsid w:val="00927F89"/>
    <w:rsid w:val="00930AC2"/>
    <w:rsid w:val="00930D2A"/>
    <w:rsid w:val="009312BF"/>
    <w:rsid w:val="00931680"/>
    <w:rsid w:val="00931B84"/>
    <w:rsid w:val="00931DA9"/>
    <w:rsid w:val="0093220A"/>
    <w:rsid w:val="009322B2"/>
    <w:rsid w:val="009328DA"/>
    <w:rsid w:val="00932E7E"/>
    <w:rsid w:val="00933846"/>
    <w:rsid w:val="00933A80"/>
    <w:rsid w:val="00933C37"/>
    <w:rsid w:val="0093442D"/>
    <w:rsid w:val="00934CD2"/>
    <w:rsid w:val="00935A35"/>
    <w:rsid w:val="009366FD"/>
    <w:rsid w:val="009375E5"/>
    <w:rsid w:val="0093785F"/>
    <w:rsid w:val="00937BC5"/>
    <w:rsid w:val="00937D30"/>
    <w:rsid w:val="00941692"/>
    <w:rsid w:val="00941848"/>
    <w:rsid w:val="00942258"/>
    <w:rsid w:val="009423BB"/>
    <w:rsid w:val="0094337A"/>
    <w:rsid w:val="009437F2"/>
    <w:rsid w:val="009442E8"/>
    <w:rsid w:val="00944BA7"/>
    <w:rsid w:val="0094519B"/>
    <w:rsid w:val="0094636D"/>
    <w:rsid w:val="00946854"/>
    <w:rsid w:val="00947222"/>
    <w:rsid w:val="0094759C"/>
    <w:rsid w:val="009503FE"/>
    <w:rsid w:val="00950448"/>
    <w:rsid w:val="009507D4"/>
    <w:rsid w:val="00950ACD"/>
    <w:rsid w:val="00950E37"/>
    <w:rsid w:val="00951666"/>
    <w:rsid w:val="0095182F"/>
    <w:rsid w:val="00952524"/>
    <w:rsid w:val="0095278F"/>
    <w:rsid w:val="00953D2D"/>
    <w:rsid w:val="00953EAF"/>
    <w:rsid w:val="0095426C"/>
    <w:rsid w:val="00955EE9"/>
    <w:rsid w:val="009562AE"/>
    <w:rsid w:val="0095654A"/>
    <w:rsid w:val="00956BF5"/>
    <w:rsid w:val="009570CF"/>
    <w:rsid w:val="009571C2"/>
    <w:rsid w:val="009575C3"/>
    <w:rsid w:val="0095770C"/>
    <w:rsid w:val="009579AF"/>
    <w:rsid w:val="00957CC8"/>
    <w:rsid w:val="00957EE7"/>
    <w:rsid w:val="0096086A"/>
    <w:rsid w:val="009612A9"/>
    <w:rsid w:val="00961453"/>
    <w:rsid w:val="009616D4"/>
    <w:rsid w:val="0096182D"/>
    <w:rsid w:val="00962150"/>
    <w:rsid w:val="009627E5"/>
    <w:rsid w:val="00962CCD"/>
    <w:rsid w:val="00963847"/>
    <w:rsid w:val="00964036"/>
    <w:rsid w:val="00964166"/>
    <w:rsid w:val="00964429"/>
    <w:rsid w:val="009645AD"/>
    <w:rsid w:val="0096475C"/>
    <w:rsid w:val="0096546E"/>
    <w:rsid w:val="0096562A"/>
    <w:rsid w:val="00965865"/>
    <w:rsid w:val="00966096"/>
    <w:rsid w:val="009661BA"/>
    <w:rsid w:val="00966A13"/>
    <w:rsid w:val="00966BAF"/>
    <w:rsid w:val="00967473"/>
    <w:rsid w:val="00967730"/>
    <w:rsid w:val="00970D56"/>
    <w:rsid w:val="00970E50"/>
    <w:rsid w:val="00971074"/>
    <w:rsid w:val="009725B2"/>
    <w:rsid w:val="00972969"/>
    <w:rsid w:val="009747AA"/>
    <w:rsid w:val="00974B99"/>
    <w:rsid w:val="00974BCB"/>
    <w:rsid w:val="0097529C"/>
    <w:rsid w:val="00975361"/>
    <w:rsid w:val="009758CD"/>
    <w:rsid w:val="00975AEF"/>
    <w:rsid w:val="00975BF2"/>
    <w:rsid w:val="0097616C"/>
    <w:rsid w:val="009763E4"/>
    <w:rsid w:val="0097649D"/>
    <w:rsid w:val="0097654D"/>
    <w:rsid w:val="009766B7"/>
    <w:rsid w:val="00976D58"/>
    <w:rsid w:val="00977109"/>
    <w:rsid w:val="00977A66"/>
    <w:rsid w:val="00977C23"/>
    <w:rsid w:val="00980A22"/>
    <w:rsid w:val="00980D85"/>
    <w:rsid w:val="0098167D"/>
    <w:rsid w:val="00981E09"/>
    <w:rsid w:val="00983094"/>
    <w:rsid w:val="00983599"/>
    <w:rsid w:val="009843DE"/>
    <w:rsid w:val="00984BE4"/>
    <w:rsid w:val="0098536A"/>
    <w:rsid w:val="0098544F"/>
    <w:rsid w:val="00985B04"/>
    <w:rsid w:val="0098661B"/>
    <w:rsid w:val="00986A6D"/>
    <w:rsid w:val="00986BEF"/>
    <w:rsid w:val="00987298"/>
    <w:rsid w:val="00987B34"/>
    <w:rsid w:val="00990282"/>
    <w:rsid w:val="00990769"/>
    <w:rsid w:val="00991DF8"/>
    <w:rsid w:val="00992499"/>
    <w:rsid w:val="009928A3"/>
    <w:rsid w:val="00992986"/>
    <w:rsid w:val="009936E2"/>
    <w:rsid w:val="00994B55"/>
    <w:rsid w:val="00995D86"/>
    <w:rsid w:val="00995FB2"/>
    <w:rsid w:val="00996A5A"/>
    <w:rsid w:val="0099781E"/>
    <w:rsid w:val="00997A68"/>
    <w:rsid w:val="009A0071"/>
    <w:rsid w:val="009A00EA"/>
    <w:rsid w:val="009A0403"/>
    <w:rsid w:val="009A0587"/>
    <w:rsid w:val="009A0DA2"/>
    <w:rsid w:val="009A1F6B"/>
    <w:rsid w:val="009A21F0"/>
    <w:rsid w:val="009A2616"/>
    <w:rsid w:val="009A2C4C"/>
    <w:rsid w:val="009A2DD8"/>
    <w:rsid w:val="009A30DE"/>
    <w:rsid w:val="009A39D5"/>
    <w:rsid w:val="009A3D29"/>
    <w:rsid w:val="009A509F"/>
    <w:rsid w:val="009A5453"/>
    <w:rsid w:val="009A5635"/>
    <w:rsid w:val="009A6A7B"/>
    <w:rsid w:val="009A7532"/>
    <w:rsid w:val="009A7883"/>
    <w:rsid w:val="009B04B7"/>
    <w:rsid w:val="009B0596"/>
    <w:rsid w:val="009B1D50"/>
    <w:rsid w:val="009B237F"/>
    <w:rsid w:val="009B2760"/>
    <w:rsid w:val="009B308D"/>
    <w:rsid w:val="009B31D6"/>
    <w:rsid w:val="009B3707"/>
    <w:rsid w:val="009B38D5"/>
    <w:rsid w:val="009B3B62"/>
    <w:rsid w:val="009B3C8D"/>
    <w:rsid w:val="009B3DE3"/>
    <w:rsid w:val="009B4FFB"/>
    <w:rsid w:val="009B53C7"/>
    <w:rsid w:val="009B54FD"/>
    <w:rsid w:val="009B7489"/>
    <w:rsid w:val="009B7987"/>
    <w:rsid w:val="009B7B0A"/>
    <w:rsid w:val="009C0519"/>
    <w:rsid w:val="009C07C9"/>
    <w:rsid w:val="009C08D7"/>
    <w:rsid w:val="009C0B63"/>
    <w:rsid w:val="009C0DC5"/>
    <w:rsid w:val="009C1866"/>
    <w:rsid w:val="009C1FDE"/>
    <w:rsid w:val="009C23FE"/>
    <w:rsid w:val="009C24C8"/>
    <w:rsid w:val="009C274A"/>
    <w:rsid w:val="009C327D"/>
    <w:rsid w:val="009C375C"/>
    <w:rsid w:val="009C4E0D"/>
    <w:rsid w:val="009C4F09"/>
    <w:rsid w:val="009C4F1B"/>
    <w:rsid w:val="009C503B"/>
    <w:rsid w:val="009C542B"/>
    <w:rsid w:val="009C5793"/>
    <w:rsid w:val="009C5816"/>
    <w:rsid w:val="009C61EA"/>
    <w:rsid w:val="009C63EC"/>
    <w:rsid w:val="009C6DF1"/>
    <w:rsid w:val="009C7DAC"/>
    <w:rsid w:val="009C7DBA"/>
    <w:rsid w:val="009C7F93"/>
    <w:rsid w:val="009D077D"/>
    <w:rsid w:val="009D08A6"/>
    <w:rsid w:val="009D0EC0"/>
    <w:rsid w:val="009D1915"/>
    <w:rsid w:val="009D1B69"/>
    <w:rsid w:val="009D1EB3"/>
    <w:rsid w:val="009D25DE"/>
    <w:rsid w:val="009D2ABF"/>
    <w:rsid w:val="009D3AD2"/>
    <w:rsid w:val="009D3E06"/>
    <w:rsid w:val="009D5843"/>
    <w:rsid w:val="009D638D"/>
    <w:rsid w:val="009D6393"/>
    <w:rsid w:val="009D6B6C"/>
    <w:rsid w:val="009D766F"/>
    <w:rsid w:val="009E0885"/>
    <w:rsid w:val="009E1CC8"/>
    <w:rsid w:val="009E20F7"/>
    <w:rsid w:val="009E2827"/>
    <w:rsid w:val="009E2863"/>
    <w:rsid w:val="009E30D2"/>
    <w:rsid w:val="009E31B5"/>
    <w:rsid w:val="009E40B4"/>
    <w:rsid w:val="009E4885"/>
    <w:rsid w:val="009E49C6"/>
    <w:rsid w:val="009E4E65"/>
    <w:rsid w:val="009E508B"/>
    <w:rsid w:val="009E5EDF"/>
    <w:rsid w:val="009E5FBE"/>
    <w:rsid w:val="009E6068"/>
    <w:rsid w:val="009E6A00"/>
    <w:rsid w:val="009E6DB4"/>
    <w:rsid w:val="009F0086"/>
    <w:rsid w:val="009F03AB"/>
    <w:rsid w:val="009F0619"/>
    <w:rsid w:val="009F068A"/>
    <w:rsid w:val="009F08C5"/>
    <w:rsid w:val="009F0A85"/>
    <w:rsid w:val="009F1260"/>
    <w:rsid w:val="009F15CA"/>
    <w:rsid w:val="009F1B71"/>
    <w:rsid w:val="009F220A"/>
    <w:rsid w:val="009F3171"/>
    <w:rsid w:val="009F335D"/>
    <w:rsid w:val="009F36D6"/>
    <w:rsid w:val="009F3860"/>
    <w:rsid w:val="009F47DD"/>
    <w:rsid w:val="009F6575"/>
    <w:rsid w:val="009F7ADC"/>
    <w:rsid w:val="00A0002A"/>
    <w:rsid w:val="00A01F3A"/>
    <w:rsid w:val="00A0236D"/>
    <w:rsid w:val="00A026A4"/>
    <w:rsid w:val="00A02985"/>
    <w:rsid w:val="00A02B2B"/>
    <w:rsid w:val="00A02FA8"/>
    <w:rsid w:val="00A03F1A"/>
    <w:rsid w:val="00A03F74"/>
    <w:rsid w:val="00A03F88"/>
    <w:rsid w:val="00A044B9"/>
    <w:rsid w:val="00A046BF"/>
    <w:rsid w:val="00A04709"/>
    <w:rsid w:val="00A05A37"/>
    <w:rsid w:val="00A05B25"/>
    <w:rsid w:val="00A05C04"/>
    <w:rsid w:val="00A05EC0"/>
    <w:rsid w:val="00A06254"/>
    <w:rsid w:val="00A06842"/>
    <w:rsid w:val="00A07459"/>
    <w:rsid w:val="00A07D78"/>
    <w:rsid w:val="00A07DB6"/>
    <w:rsid w:val="00A10573"/>
    <w:rsid w:val="00A10972"/>
    <w:rsid w:val="00A11406"/>
    <w:rsid w:val="00A11A0E"/>
    <w:rsid w:val="00A11C82"/>
    <w:rsid w:val="00A12602"/>
    <w:rsid w:val="00A13205"/>
    <w:rsid w:val="00A132A1"/>
    <w:rsid w:val="00A13422"/>
    <w:rsid w:val="00A148F0"/>
    <w:rsid w:val="00A15132"/>
    <w:rsid w:val="00A15331"/>
    <w:rsid w:val="00A1554D"/>
    <w:rsid w:val="00A15792"/>
    <w:rsid w:val="00A158E3"/>
    <w:rsid w:val="00A1591A"/>
    <w:rsid w:val="00A16E4B"/>
    <w:rsid w:val="00A172E0"/>
    <w:rsid w:val="00A17527"/>
    <w:rsid w:val="00A211C5"/>
    <w:rsid w:val="00A221A3"/>
    <w:rsid w:val="00A22337"/>
    <w:rsid w:val="00A223D5"/>
    <w:rsid w:val="00A235E4"/>
    <w:rsid w:val="00A23F41"/>
    <w:rsid w:val="00A23FDF"/>
    <w:rsid w:val="00A254D5"/>
    <w:rsid w:val="00A25547"/>
    <w:rsid w:val="00A2563D"/>
    <w:rsid w:val="00A25A2E"/>
    <w:rsid w:val="00A25F76"/>
    <w:rsid w:val="00A3003E"/>
    <w:rsid w:val="00A31E14"/>
    <w:rsid w:val="00A331DC"/>
    <w:rsid w:val="00A3325E"/>
    <w:rsid w:val="00A34276"/>
    <w:rsid w:val="00A34524"/>
    <w:rsid w:val="00A345B6"/>
    <w:rsid w:val="00A3502D"/>
    <w:rsid w:val="00A354D1"/>
    <w:rsid w:val="00A357A4"/>
    <w:rsid w:val="00A35AF5"/>
    <w:rsid w:val="00A35CDF"/>
    <w:rsid w:val="00A36453"/>
    <w:rsid w:val="00A373E1"/>
    <w:rsid w:val="00A378CE"/>
    <w:rsid w:val="00A37970"/>
    <w:rsid w:val="00A37A68"/>
    <w:rsid w:val="00A37B0C"/>
    <w:rsid w:val="00A37CE6"/>
    <w:rsid w:val="00A37D1C"/>
    <w:rsid w:val="00A37FFE"/>
    <w:rsid w:val="00A404BE"/>
    <w:rsid w:val="00A40C08"/>
    <w:rsid w:val="00A40ECF"/>
    <w:rsid w:val="00A411C9"/>
    <w:rsid w:val="00A41B47"/>
    <w:rsid w:val="00A41FEF"/>
    <w:rsid w:val="00A42476"/>
    <w:rsid w:val="00A43204"/>
    <w:rsid w:val="00A433CA"/>
    <w:rsid w:val="00A43A1A"/>
    <w:rsid w:val="00A43D48"/>
    <w:rsid w:val="00A43F3C"/>
    <w:rsid w:val="00A447A5"/>
    <w:rsid w:val="00A44D18"/>
    <w:rsid w:val="00A45B83"/>
    <w:rsid w:val="00A4646E"/>
    <w:rsid w:val="00A468FD"/>
    <w:rsid w:val="00A46921"/>
    <w:rsid w:val="00A47249"/>
    <w:rsid w:val="00A47723"/>
    <w:rsid w:val="00A47E3B"/>
    <w:rsid w:val="00A501C7"/>
    <w:rsid w:val="00A5058A"/>
    <w:rsid w:val="00A50905"/>
    <w:rsid w:val="00A513FD"/>
    <w:rsid w:val="00A517D0"/>
    <w:rsid w:val="00A5254B"/>
    <w:rsid w:val="00A52BC1"/>
    <w:rsid w:val="00A52D47"/>
    <w:rsid w:val="00A5347F"/>
    <w:rsid w:val="00A534A0"/>
    <w:rsid w:val="00A537EA"/>
    <w:rsid w:val="00A539AD"/>
    <w:rsid w:val="00A53D1B"/>
    <w:rsid w:val="00A53E3E"/>
    <w:rsid w:val="00A540B2"/>
    <w:rsid w:val="00A5414D"/>
    <w:rsid w:val="00A54A3E"/>
    <w:rsid w:val="00A556B7"/>
    <w:rsid w:val="00A56454"/>
    <w:rsid w:val="00A564A6"/>
    <w:rsid w:val="00A567AE"/>
    <w:rsid w:val="00A56819"/>
    <w:rsid w:val="00A568AC"/>
    <w:rsid w:val="00A57809"/>
    <w:rsid w:val="00A57B07"/>
    <w:rsid w:val="00A6025F"/>
    <w:rsid w:val="00A60E9C"/>
    <w:rsid w:val="00A61196"/>
    <w:rsid w:val="00A6131E"/>
    <w:rsid w:val="00A616AF"/>
    <w:rsid w:val="00A61879"/>
    <w:rsid w:val="00A628B4"/>
    <w:rsid w:val="00A62B65"/>
    <w:rsid w:val="00A62E6A"/>
    <w:rsid w:val="00A63E32"/>
    <w:rsid w:val="00A63E4E"/>
    <w:rsid w:val="00A6444F"/>
    <w:rsid w:val="00A651CB"/>
    <w:rsid w:val="00A652FF"/>
    <w:rsid w:val="00A65567"/>
    <w:rsid w:val="00A6598D"/>
    <w:rsid w:val="00A65A0D"/>
    <w:rsid w:val="00A65C27"/>
    <w:rsid w:val="00A65F3C"/>
    <w:rsid w:val="00A661FD"/>
    <w:rsid w:val="00A66FB3"/>
    <w:rsid w:val="00A67DF5"/>
    <w:rsid w:val="00A709A3"/>
    <w:rsid w:val="00A71216"/>
    <w:rsid w:val="00A714A3"/>
    <w:rsid w:val="00A71B8B"/>
    <w:rsid w:val="00A74456"/>
    <w:rsid w:val="00A7502A"/>
    <w:rsid w:val="00A75089"/>
    <w:rsid w:val="00A754D1"/>
    <w:rsid w:val="00A75832"/>
    <w:rsid w:val="00A75EDC"/>
    <w:rsid w:val="00A80404"/>
    <w:rsid w:val="00A80548"/>
    <w:rsid w:val="00A8085F"/>
    <w:rsid w:val="00A80A3D"/>
    <w:rsid w:val="00A817A8"/>
    <w:rsid w:val="00A81E50"/>
    <w:rsid w:val="00A81F1C"/>
    <w:rsid w:val="00A82241"/>
    <w:rsid w:val="00A82602"/>
    <w:rsid w:val="00A82DA0"/>
    <w:rsid w:val="00A83E49"/>
    <w:rsid w:val="00A8401C"/>
    <w:rsid w:val="00A8415A"/>
    <w:rsid w:val="00A841A6"/>
    <w:rsid w:val="00A84221"/>
    <w:rsid w:val="00A843CA"/>
    <w:rsid w:val="00A84B45"/>
    <w:rsid w:val="00A84B7A"/>
    <w:rsid w:val="00A85063"/>
    <w:rsid w:val="00A85367"/>
    <w:rsid w:val="00A86359"/>
    <w:rsid w:val="00A865DC"/>
    <w:rsid w:val="00A86FBC"/>
    <w:rsid w:val="00A879C5"/>
    <w:rsid w:val="00A87FA2"/>
    <w:rsid w:val="00A902AD"/>
    <w:rsid w:val="00A90302"/>
    <w:rsid w:val="00A9099E"/>
    <w:rsid w:val="00A91FB7"/>
    <w:rsid w:val="00A921CE"/>
    <w:rsid w:val="00A92967"/>
    <w:rsid w:val="00A9298F"/>
    <w:rsid w:val="00A929D7"/>
    <w:rsid w:val="00A92FC3"/>
    <w:rsid w:val="00A9301E"/>
    <w:rsid w:val="00A93E3A"/>
    <w:rsid w:val="00A94BFF"/>
    <w:rsid w:val="00A95186"/>
    <w:rsid w:val="00A951AD"/>
    <w:rsid w:val="00A952F8"/>
    <w:rsid w:val="00A9561B"/>
    <w:rsid w:val="00A961BD"/>
    <w:rsid w:val="00A9652F"/>
    <w:rsid w:val="00A973B1"/>
    <w:rsid w:val="00A9747D"/>
    <w:rsid w:val="00AA027E"/>
    <w:rsid w:val="00AA1224"/>
    <w:rsid w:val="00AA14F2"/>
    <w:rsid w:val="00AA17D9"/>
    <w:rsid w:val="00AA180B"/>
    <w:rsid w:val="00AA1D43"/>
    <w:rsid w:val="00AA2358"/>
    <w:rsid w:val="00AA2469"/>
    <w:rsid w:val="00AA274C"/>
    <w:rsid w:val="00AA2CD7"/>
    <w:rsid w:val="00AA2FA4"/>
    <w:rsid w:val="00AA2FC4"/>
    <w:rsid w:val="00AA3301"/>
    <w:rsid w:val="00AA3360"/>
    <w:rsid w:val="00AA386B"/>
    <w:rsid w:val="00AA4C2E"/>
    <w:rsid w:val="00AA5B16"/>
    <w:rsid w:val="00AA6384"/>
    <w:rsid w:val="00AA6B93"/>
    <w:rsid w:val="00AA7959"/>
    <w:rsid w:val="00AA7A06"/>
    <w:rsid w:val="00AA7A7F"/>
    <w:rsid w:val="00AA7F56"/>
    <w:rsid w:val="00AB1984"/>
    <w:rsid w:val="00AB1CBB"/>
    <w:rsid w:val="00AB215B"/>
    <w:rsid w:val="00AB266D"/>
    <w:rsid w:val="00AB2E7D"/>
    <w:rsid w:val="00AB3146"/>
    <w:rsid w:val="00AB333E"/>
    <w:rsid w:val="00AB37DB"/>
    <w:rsid w:val="00AB3ECC"/>
    <w:rsid w:val="00AB54B5"/>
    <w:rsid w:val="00AB573A"/>
    <w:rsid w:val="00AB5A73"/>
    <w:rsid w:val="00AB5F48"/>
    <w:rsid w:val="00AB66FC"/>
    <w:rsid w:val="00AB7156"/>
    <w:rsid w:val="00AB716D"/>
    <w:rsid w:val="00AB72BB"/>
    <w:rsid w:val="00AB7472"/>
    <w:rsid w:val="00AB7BF3"/>
    <w:rsid w:val="00AC039D"/>
    <w:rsid w:val="00AC09D5"/>
    <w:rsid w:val="00AC0C1D"/>
    <w:rsid w:val="00AC0D8E"/>
    <w:rsid w:val="00AC175B"/>
    <w:rsid w:val="00AC1AA3"/>
    <w:rsid w:val="00AC1F8E"/>
    <w:rsid w:val="00AC22C1"/>
    <w:rsid w:val="00AC374B"/>
    <w:rsid w:val="00AC3798"/>
    <w:rsid w:val="00AC3ED5"/>
    <w:rsid w:val="00AC4CB3"/>
    <w:rsid w:val="00AC4D7C"/>
    <w:rsid w:val="00AC53B0"/>
    <w:rsid w:val="00AC6473"/>
    <w:rsid w:val="00AC6644"/>
    <w:rsid w:val="00AC6655"/>
    <w:rsid w:val="00AC6CA2"/>
    <w:rsid w:val="00AC6EF2"/>
    <w:rsid w:val="00AC6FD3"/>
    <w:rsid w:val="00AC71A6"/>
    <w:rsid w:val="00AC742F"/>
    <w:rsid w:val="00AC7664"/>
    <w:rsid w:val="00AC774F"/>
    <w:rsid w:val="00AC780D"/>
    <w:rsid w:val="00AC787B"/>
    <w:rsid w:val="00AC78A0"/>
    <w:rsid w:val="00AC7956"/>
    <w:rsid w:val="00AC7E18"/>
    <w:rsid w:val="00AD1B79"/>
    <w:rsid w:val="00AD3208"/>
    <w:rsid w:val="00AD3496"/>
    <w:rsid w:val="00AD3C00"/>
    <w:rsid w:val="00AD4A3C"/>
    <w:rsid w:val="00AD4F6A"/>
    <w:rsid w:val="00AD50F8"/>
    <w:rsid w:val="00AD719F"/>
    <w:rsid w:val="00AD738C"/>
    <w:rsid w:val="00AD7447"/>
    <w:rsid w:val="00AD752A"/>
    <w:rsid w:val="00AD7D36"/>
    <w:rsid w:val="00AE0A0E"/>
    <w:rsid w:val="00AE0DED"/>
    <w:rsid w:val="00AE1D05"/>
    <w:rsid w:val="00AE2780"/>
    <w:rsid w:val="00AE284A"/>
    <w:rsid w:val="00AE307E"/>
    <w:rsid w:val="00AE3450"/>
    <w:rsid w:val="00AE392E"/>
    <w:rsid w:val="00AE3E11"/>
    <w:rsid w:val="00AE40B3"/>
    <w:rsid w:val="00AE4BAB"/>
    <w:rsid w:val="00AE4BDC"/>
    <w:rsid w:val="00AE4CFD"/>
    <w:rsid w:val="00AE4EA6"/>
    <w:rsid w:val="00AE51FF"/>
    <w:rsid w:val="00AE55AD"/>
    <w:rsid w:val="00AE5D8F"/>
    <w:rsid w:val="00AE67D5"/>
    <w:rsid w:val="00AE67FA"/>
    <w:rsid w:val="00AE78ED"/>
    <w:rsid w:val="00AE7AC2"/>
    <w:rsid w:val="00AE7EC9"/>
    <w:rsid w:val="00AF0117"/>
    <w:rsid w:val="00AF1117"/>
    <w:rsid w:val="00AF1555"/>
    <w:rsid w:val="00AF174E"/>
    <w:rsid w:val="00AF18BA"/>
    <w:rsid w:val="00AF19AE"/>
    <w:rsid w:val="00AF1CA5"/>
    <w:rsid w:val="00AF228C"/>
    <w:rsid w:val="00AF2C0E"/>
    <w:rsid w:val="00AF2DB9"/>
    <w:rsid w:val="00AF3928"/>
    <w:rsid w:val="00AF3B55"/>
    <w:rsid w:val="00AF3D62"/>
    <w:rsid w:val="00AF4146"/>
    <w:rsid w:val="00AF56FE"/>
    <w:rsid w:val="00AF5C45"/>
    <w:rsid w:val="00AF62A7"/>
    <w:rsid w:val="00AF6AC5"/>
    <w:rsid w:val="00AF7809"/>
    <w:rsid w:val="00AF7CA7"/>
    <w:rsid w:val="00AF7F7B"/>
    <w:rsid w:val="00B00BDE"/>
    <w:rsid w:val="00B0104B"/>
    <w:rsid w:val="00B01FA1"/>
    <w:rsid w:val="00B021E0"/>
    <w:rsid w:val="00B03A30"/>
    <w:rsid w:val="00B03A35"/>
    <w:rsid w:val="00B0430C"/>
    <w:rsid w:val="00B04F99"/>
    <w:rsid w:val="00B057B6"/>
    <w:rsid w:val="00B05A7C"/>
    <w:rsid w:val="00B06361"/>
    <w:rsid w:val="00B0651D"/>
    <w:rsid w:val="00B06955"/>
    <w:rsid w:val="00B0758A"/>
    <w:rsid w:val="00B07BEA"/>
    <w:rsid w:val="00B07F41"/>
    <w:rsid w:val="00B102F9"/>
    <w:rsid w:val="00B1081F"/>
    <w:rsid w:val="00B11C80"/>
    <w:rsid w:val="00B11F33"/>
    <w:rsid w:val="00B12152"/>
    <w:rsid w:val="00B12DCA"/>
    <w:rsid w:val="00B138BC"/>
    <w:rsid w:val="00B13ECB"/>
    <w:rsid w:val="00B1524F"/>
    <w:rsid w:val="00B15A54"/>
    <w:rsid w:val="00B15ECF"/>
    <w:rsid w:val="00B16666"/>
    <w:rsid w:val="00B169CD"/>
    <w:rsid w:val="00B16C0A"/>
    <w:rsid w:val="00B1785C"/>
    <w:rsid w:val="00B17F60"/>
    <w:rsid w:val="00B2039A"/>
    <w:rsid w:val="00B20AC8"/>
    <w:rsid w:val="00B21063"/>
    <w:rsid w:val="00B2124A"/>
    <w:rsid w:val="00B215D5"/>
    <w:rsid w:val="00B21D55"/>
    <w:rsid w:val="00B225CB"/>
    <w:rsid w:val="00B22870"/>
    <w:rsid w:val="00B22A22"/>
    <w:rsid w:val="00B22AA6"/>
    <w:rsid w:val="00B23D1A"/>
    <w:rsid w:val="00B23F4C"/>
    <w:rsid w:val="00B24233"/>
    <w:rsid w:val="00B246DD"/>
    <w:rsid w:val="00B248D8"/>
    <w:rsid w:val="00B24BA7"/>
    <w:rsid w:val="00B25494"/>
    <w:rsid w:val="00B25A6F"/>
    <w:rsid w:val="00B25CD9"/>
    <w:rsid w:val="00B268D0"/>
    <w:rsid w:val="00B269D3"/>
    <w:rsid w:val="00B27886"/>
    <w:rsid w:val="00B27F44"/>
    <w:rsid w:val="00B301ED"/>
    <w:rsid w:val="00B30448"/>
    <w:rsid w:val="00B3048B"/>
    <w:rsid w:val="00B30875"/>
    <w:rsid w:val="00B30C49"/>
    <w:rsid w:val="00B30D75"/>
    <w:rsid w:val="00B30DAD"/>
    <w:rsid w:val="00B31315"/>
    <w:rsid w:val="00B3260E"/>
    <w:rsid w:val="00B32C4B"/>
    <w:rsid w:val="00B339D5"/>
    <w:rsid w:val="00B3407E"/>
    <w:rsid w:val="00B34C84"/>
    <w:rsid w:val="00B34D6A"/>
    <w:rsid w:val="00B35021"/>
    <w:rsid w:val="00B35749"/>
    <w:rsid w:val="00B35D00"/>
    <w:rsid w:val="00B35EF5"/>
    <w:rsid w:val="00B3677F"/>
    <w:rsid w:val="00B36872"/>
    <w:rsid w:val="00B3704D"/>
    <w:rsid w:val="00B37071"/>
    <w:rsid w:val="00B40162"/>
    <w:rsid w:val="00B401B6"/>
    <w:rsid w:val="00B4054D"/>
    <w:rsid w:val="00B405CD"/>
    <w:rsid w:val="00B40903"/>
    <w:rsid w:val="00B40FDB"/>
    <w:rsid w:val="00B41C6D"/>
    <w:rsid w:val="00B420B2"/>
    <w:rsid w:val="00B42800"/>
    <w:rsid w:val="00B42832"/>
    <w:rsid w:val="00B42863"/>
    <w:rsid w:val="00B430F6"/>
    <w:rsid w:val="00B43511"/>
    <w:rsid w:val="00B43CE6"/>
    <w:rsid w:val="00B4468B"/>
    <w:rsid w:val="00B45528"/>
    <w:rsid w:val="00B468B0"/>
    <w:rsid w:val="00B46B6E"/>
    <w:rsid w:val="00B475AB"/>
    <w:rsid w:val="00B478FA"/>
    <w:rsid w:val="00B50156"/>
    <w:rsid w:val="00B501E8"/>
    <w:rsid w:val="00B502A3"/>
    <w:rsid w:val="00B506D4"/>
    <w:rsid w:val="00B506ED"/>
    <w:rsid w:val="00B507AA"/>
    <w:rsid w:val="00B50953"/>
    <w:rsid w:val="00B509AE"/>
    <w:rsid w:val="00B50E13"/>
    <w:rsid w:val="00B51581"/>
    <w:rsid w:val="00B518AD"/>
    <w:rsid w:val="00B51BB6"/>
    <w:rsid w:val="00B52056"/>
    <w:rsid w:val="00B52B0E"/>
    <w:rsid w:val="00B52D81"/>
    <w:rsid w:val="00B5355B"/>
    <w:rsid w:val="00B536C1"/>
    <w:rsid w:val="00B5402E"/>
    <w:rsid w:val="00B540E8"/>
    <w:rsid w:val="00B54681"/>
    <w:rsid w:val="00B55852"/>
    <w:rsid w:val="00B55E43"/>
    <w:rsid w:val="00B560A9"/>
    <w:rsid w:val="00B56866"/>
    <w:rsid w:val="00B56CC4"/>
    <w:rsid w:val="00B604BB"/>
    <w:rsid w:val="00B6062A"/>
    <w:rsid w:val="00B60A96"/>
    <w:rsid w:val="00B60DD7"/>
    <w:rsid w:val="00B60EB6"/>
    <w:rsid w:val="00B60EE5"/>
    <w:rsid w:val="00B614ED"/>
    <w:rsid w:val="00B616A5"/>
    <w:rsid w:val="00B628BE"/>
    <w:rsid w:val="00B62B67"/>
    <w:rsid w:val="00B637FB"/>
    <w:rsid w:val="00B6386F"/>
    <w:rsid w:val="00B649BD"/>
    <w:rsid w:val="00B65295"/>
    <w:rsid w:val="00B65D9B"/>
    <w:rsid w:val="00B667E1"/>
    <w:rsid w:val="00B66E51"/>
    <w:rsid w:val="00B66E68"/>
    <w:rsid w:val="00B672CB"/>
    <w:rsid w:val="00B67346"/>
    <w:rsid w:val="00B67865"/>
    <w:rsid w:val="00B6793A"/>
    <w:rsid w:val="00B67AC3"/>
    <w:rsid w:val="00B70880"/>
    <w:rsid w:val="00B71422"/>
    <w:rsid w:val="00B71486"/>
    <w:rsid w:val="00B71607"/>
    <w:rsid w:val="00B71EF7"/>
    <w:rsid w:val="00B720BE"/>
    <w:rsid w:val="00B72361"/>
    <w:rsid w:val="00B74AB0"/>
    <w:rsid w:val="00B75345"/>
    <w:rsid w:val="00B7584B"/>
    <w:rsid w:val="00B76327"/>
    <w:rsid w:val="00B76400"/>
    <w:rsid w:val="00B76C94"/>
    <w:rsid w:val="00B76D4E"/>
    <w:rsid w:val="00B76D6E"/>
    <w:rsid w:val="00B771A8"/>
    <w:rsid w:val="00B771AA"/>
    <w:rsid w:val="00B772D0"/>
    <w:rsid w:val="00B80A99"/>
    <w:rsid w:val="00B80F4E"/>
    <w:rsid w:val="00B814CF"/>
    <w:rsid w:val="00B81A33"/>
    <w:rsid w:val="00B8256C"/>
    <w:rsid w:val="00B82B2D"/>
    <w:rsid w:val="00B83117"/>
    <w:rsid w:val="00B8319C"/>
    <w:rsid w:val="00B83620"/>
    <w:rsid w:val="00B83B71"/>
    <w:rsid w:val="00B86BD5"/>
    <w:rsid w:val="00B87E20"/>
    <w:rsid w:val="00B90351"/>
    <w:rsid w:val="00B90532"/>
    <w:rsid w:val="00B906F2"/>
    <w:rsid w:val="00B90D9B"/>
    <w:rsid w:val="00B91259"/>
    <w:rsid w:val="00B91AD5"/>
    <w:rsid w:val="00B91B81"/>
    <w:rsid w:val="00B91F36"/>
    <w:rsid w:val="00B91FF0"/>
    <w:rsid w:val="00B92164"/>
    <w:rsid w:val="00B926A8"/>
    <w:rsid w:val="00B92B6F"/>
    <w:rsid w:val="00B92FFF"/>
    <w:rsid w:val="00B93538"/>
    <w:rsid w:val="00B936F8"/>
    <w:rsid w:val="00B9492E"/>
    <w:rsid w:val="00B94B06"/>
    <w:rsid w:val="00B960DB"/>
    <w:rsid w:val="00B96799"/>
    <w:rsid w:val="00B96DE5"/>
    <w:rsid w:val="00B97A76"/>
    <w:rsid w:val="00BA0166"/>
    <w:rsid w:val="00BA0584"/>
    <w:rsid w:val="00BA0755"/>
    <w:rsid w:val="00BA1E9D"/>
    <w:rsid w:val="00BA249D"/>
    <w:rsid w:val="00BA2F9B"/>
    <w:rsid w:val="00BA38D5"/>
    <w:rsid w:val="00BA3C66"/>
    <w:rsid w:val="00BA4D00"/>
    <w:rsid w:val="00BA4D30"/>
    <w:rsid w:val="00BA4F9B"/>
    <w:rsid w:val="00BA4FE9"/>
    <w:rsid w:val="00BA51C0"/>
    <w:rsid w:val="00BA5665"/>
    <w:rsid w:val="00BA6825"/>
    <w:rsid w:val="00BA72D9"/>
    <w:rsid w:val="00BA74E8"/>
    <w:rsid w:val="00BB02DB"/>
    <w:rsid w:val="00BB0AB5"/>
    <w:rsid w:val="00BB195B"/>
    <w:rsid w:val="00BB1BBA"/>
    <w:rsid w:val="00BB1DB7"/>
    <w:rsid w:val="00BB204A"/>
    <w:rsid w:val="00BB2BD1"/>
    <w:rsid w:val="00BB31DF"/>
    <w:rsid w:val="00BB33E9"/>
    <w:rsid w:val="00BB34B7"/>
    <w:rsid w:val="00BB37AF"/>
    <w:rsid w:val="00BB3BE4"/>
    <w:rsid w:val="00BB44DB"/>
    <w:rsid w:val="00BB57D3"/>
    <w:rsid w:val="00BB58EE"/>
    <w:rsid w:val="00BB64EC"/>
    <w:rsid w:val="00BB704A"/>
    <w:rsid w:val="00BB7589"/>
    <w:rsid w:val="00BB7668"/>
    <w:rsid w:val="00BB767D"/>
    <w:rsid w:val="00BB7D3C"/>
    <w:rsid w:val="00BB7E42"/>
    <w:rsid w:val="00BC06ED"/>
    <w:rsid w:val="00BC077E"/>
    <w:rsid w:val="00BC0DE5"/>
    <w:rsid w:val="00BC0E57"/>
    <w:rsid w:val="00BC1F5F"/>
    <w:rsid w:val="00BC21BE"/>
    <w:rsid w:val="00BC2465"/>
    <w:rsid w:val="00BC2A8A"/>
    <w:rsid w:val="00BC3E36"/>
    <w:rsid w:val="00BC4B2D"/>
    <w:rsid w:val="00BC4CE8"/>
    <w:rsid w:val="00BC4D54"/>
    <w:rsid w:val="00BC5645"/>
    <w:rsid w:val="00BC6E2F"/>
    <w:rsid w:val="00BC728A"/>
    <w:rsid w:val="00BC7632"/>
    <w:rsid w:val="00BC77A4"/>
    <w:rsid w:val="00BC7C9E"/>
    <w:rsid w:val="00BD1E79"/>
    <w:rsid w:val="00BD23A5"/>
    <w:rsid w:val="00BD2937"/>
    <w:rsid w:val="00BD2AFC"/>
    <w:rsid w:val="00BD2CD4"/>
    <w:rsid w:val="00BD3143"/>
    <w:rsid w:val="00BD330C"/>
    <w:rsid w:val="00BD359B"/>
    <w:rsid w:val="00BD3663"/>
    <w:rsid w:val="00BD367F"/>
    <w:rsid w:val="00BD46DF"/>
    <w:rsid w:val="00BD4871"/>
    <w:rsid w:val="00BD48A9"/>
    <w:rsid w:val="00BD4B47"/>
    <w:rsid w:val="00BD5712"/>
    <w:rsid w:val="00BD581A"/>
    <w:rsid w:val="00BD5C02"/>
    <w:rsid w:val="00BD658C"/>
    <w:rsid w:val="00BD678A"/>
    <w:rsid w:val="00BD6819"/>
    <w:rsid w:val="00BD7EC6"/>
    <w:rsid w:val="00BE063A"/>
    <w:rsid w:val="00BE0FF2"/>
    <w:rsid w:val="00BE1345"/>
    <w:rsid w:val="00BE18BC"/>
    <w:rsid w:val="00BE2147"/>
    <w:rsid w:val="00BE239E"/>
    <w:rsid w:val="00BE3B83"/>
    <w:rsid w:val="00BE3C67"/>
    <w:rsid w:val="00BE3CF7"/>
    <w:rsid w:val="00BE3FED"/>
    <w:rsid w:val="00BE42FC"/>
    <w:rsid w:val="00BE53CB"/>
    <w:rsid w:val="00BE5888"/>
    <w:rsid w:val="00BE6085"/>
    <w:rsid w:val="00BE63FE"/>
    <w:rsid w:val="00BE6494"/>
    <w:rsid w:val="00BE66FC"/>
    <w:rsid w:val="00BE73FA"/>
    <w:rsid w:val="00BF00D1"/>
    <w:rsid w:val="00BF0353"/>
    <w:rsid w:val="00BF090A"/>
    <w:rsid w:val="00BF0918"/>
    <w:rsid w:val="00BF2001"/>
    <w:rsid w:val="00BF208E"/>
    <w:rsid w:val="00BF2575"/>
    <w:rsid w:val="00BF31A0"/>
    <w:rsid w:val="00BF323A"/>
    <w:rsid w:val="00BF36C0"/>
    <w:rsid w:val="00BF3CC3"/>
    <w:rsid w:val="00BF3F0A"/>
    <w:rsid w:val="00BF4331"/>
    <w:rsid w:val="00BF4C22"/>
    <w:rsid w:val="00BF4E35"/>
    <w:rsid w:val="00BF5098"/>
    <w:rsid w:val="00BF5FB3"/>
    <w:rsid w:val="00BF6F82"/>
    <w:rsid w:val="00BF70E2"/>
    <w:rsid w:val="00BF7B9B"/>
    <w:rsid w:val="00C0083F"/>
    <w:rsid w:val="00C00976"/>
    <w:rsid w:val="00C020CD"/>
    <w:rsid w:val="00C02DDE"/>
    <w:rsid w:val="00C0362D"/>
    <w:rsid w:val="00C0367B"/>
    <w:rsid w:val="00C04E51"/>
    <w:rsid w:val="00C05074"/>
    <w:rsid w:val="00C05AF9"/>
    <w:rsid w:val="00C0606E"/>
    <w:rsid w:val="00C060A3"/>
    <w:rsid w:val="00C060B0"/>
    <w:rsid w:val="00C06D2C"/>
    <w:rsid w:val="00C06EA8"/>
    <w:rsid w:val="00C072F0"/>
    <w:rsid w:val="00C07344"/>
    <w:rsid w:val="00C079A3"/>
    <w:rsid w:val="00C07C1F"/>
    <w:rsid w:val="00C07C79"/>
    <w:rsid w:val="00C11A79"/>
    <w:rsid w:val="00C1211E"/>
    <w:rsid w:val="00C13607"/>
    <w:rsid w:val="00C137B1"/>
    <w:rsid w:val="00C13811"/>
    <w:rsid w:val="00C13B43"/>
    <w:rsid w:val="00C14152"/>
    <w:rsid w:val="00C147CC"/>
    <w:rsid w:val="00C15E81"/>
    <w:rsid w:val="00C174C9"/>
    <w:rsid w:val="00C17A25"/>
    <w:rsid w:val="00C17B6E"/>
    <w:rsid w:val="00C200BA"/>
    <w:rsid w:val="00C20748"/>
    <w:rsid w:val="00C20754"/>
    <w:rsid w:val="00C21378"/>
    <w:rsid w:val="00C220A5"/>
    <w:rsid w:val="00C22307"/>
    <w:rsid w:val="00C22BB2"/>
    <w:rsid w:val="00C22EAF"/>
    <w:rsid w:val="00C23150"/>
    <w:rsid w:val="00C23F7D"/>
    <w:rsid w:val="00C24580"/>
    <w:rsid w:val="00C24908"/>
    <w:rsid w:val="00C250E8"/>
    <w:rsid w:val="00C25150"/>
    <w:rsid w:val="00C2515F"/>
    <w:rsid w:val="00C251F1"/>
    <w:rsid w:val="00C25B30"/>
    <w:rsid w:val="00C25DCF"/>
    <w:rsid w:val="00C26AEA"/>
    <w:rsid w:val="00C276EC"/>
    <w:rsid w:val="00C27C0A"/>
    <w:rsid w:val="00C30530"/>
    <w:rsid w:val="00C305D9"/>
    <w:rsid w:val="00C31184"/>
    <w:rsid w:val="00C31197"/>
    <w:rsid w:val="00C31AD4"/>
    <w:rsid w:val="00C31C63"/>
    <w:rsid w:val="00C31C8C"/>
    <w:rsid w:val="00C31CD9"/>
    <w:rsid w:val="00C32481"/>
    <w:rsid w:val="00C3394C"/>
    <w:rsid w:val="00C34278"/>
    <w:rsid w:val="00C34581"/>
    <w:rsid w:val="00C34A4C"/>
    <w:rsid w:val="00C34AD7"/>
    <w:rsid w:val="00C3516D"/>
    <w:rsid w:val="00C351E4"/>
    <w:rsid w:val="00C353D8"/>
    <w:rsid w:val="00C35B43"/>
    <w:rsid w:val="00C361A6"/>
    <w:rsid w:val="00C365C5"/>
    <w:rsid w:val="00C3670F"/>
    <w:rsid w:val="00C36E1A"/>
    <w:rsid w:val="00C36E26"/>
    <w:rsid w:val="00C371DF"/>
    <w:rsid w:val="00C37818"/>
    <w:rsid w:val="00C37EFC"/>
    <w:rsid w:val="00C37FF9"/>
    <w:rsid w:val="00C40126"/>
    <w:rsid w:val="00C41099"/>
    <w:rsid w:val="00C41425"/>
    <w:rsid w:val="00C41B4A"/>
    <w:rsid w:val="00C4213A"/>
    <w:rsid w:val="00C42C11"/>
    <w:rsid w:val="00C43344"/>
    <w:rsid w:val="00C43ADB"/>
    <w:rsid w:val="00C44065"/>
    <w:rsid w:val="00C44949"/>
    <w:rsid w:val="00C44B4C"/>
    <w:rsid w:val="00C450E3"/>
    <w:rsid w:val="00C456CC"/>
    <w:rsid w:val="00C45830"/>
    <w:rsid w:val="00C45C56"/>
    <w:rsid w:val="00C45CCD"/>
    <w:rsid w:val="00C46734"/>
    <w:rsid w:val="00C46C24"/>
    <w:rsid w:val="00C50112"/>
    <w:rsid w:val="00C5105D"/>
    <w:rsid w:val="00C511F0"/>
    <w:rsid w:val="00C513C7"/>
    <w:rsid w:val="00C51639"/>
    <w:rsid w:val="00C51871"/>
    <w:rsid w:val="00C53220"/>
    <w:rsid w:val="00C533A0"/>
    <w:rsid w:val="00C537E7"/>
    <w:rsid w:val="00C53AFE"/>
    <w:rsid w:val="00C53E9D"/>
    <w:rsid w:val="00C5426B"/>
    <w:rsid w:val="00C54C18"/>
    <w:rsid w:val="00C573DA"/>
    <w:rsid w:val="00C5772E"/>
    <w:rsid w:val="00C5781B"/>
    <w:rsid w:val="00C609E1"/>
    <w:rsid w:val="00C61117"/>
    <w:rsid w:val="00C616B4"/>
    <w:rsid w:val="00C621A7"/>
    <w:rsid w:val="00C62AA0"/>
    <w:rsid w:val="00C62AEC"/>
    <w:rsid w:val="00C62BF2"/>
    <w:rsid w:val="00C62D1B"/>
    <w:rsid w:val="00C62D43"/>
    <w:rsid w:val="00C638A6"/>
    <w:rsid w:val="00C63FB9"/>
    <w:rsid w:val="00C64266"/>
    <w:rsid w:val="00C647DF"/>
    <w:rsid w:val="00C64F8E"/>
    <w:rsid w:val="00C66306"/>
    <w:rsid w:val="00C66CE8"/>
    <w:rsid w:val="00C70074"/>
    <w:rsid w:val="00C703BA"/>
    <w:rsid w:val="00C70D51"/>
    <w:rsid w:val="00C70DF4"/>
    <w:rsid w:val="00C71252"/>
    <w:rsid w:val="00C7277F"/>
    <w:rsid w:val="00C72960"/>
    <w:rsid w:val="00C73C07"/>
    <w:rsid w:val="00C74759"/>
    <w:rsid w:val="00C74930"/>
    <w:rsid w:val="00C74B47"/>
    <w:rsid w:val="00C74D80"/>
    <w:rsid w:val="00C754BD"/>
    <w:rsid w:val="00C75D3A"/>
    <w:rsid w:val="00C769A9"/>
    <w:rsid w:val="00C772BC"/>
    <w:rsid w:val="00C774C9"/>
    <w:rsid w:val="00C77F1B"/>
    <w:rsid w:val="00C80987"/>
    <w:rsid w:val="00C80A3F"/>
    <w:rsid w:val="00C8180E"/>
    <w:rsid w:val="00C818A9"/>
    <w:rsid w:val="00C81F34"/>
    <w:rsid w:val="00C82436"/>
    <w:rsid w:val="00C82933"/>
    <w:rsid w:val="00C82BE2"/>
    <w:rsid w:val="00C835D3"/>
    <w:rsid w:val="00C84BBF"/>
    <w:rsid w:val="00C84BE9"/>
    <w:rsid w:val="00C854B7"/>
    <w:rsid w:val="00C85D08"/>
    <w:rsid w:val="00C85DEF"/>
    <w:rsid w:val="00C85E1C"/>
    <w:rsid w:val="00C85E40"/>
    <w:rsid w:val="00C86D76"/>
    <w:rsid w:val="00C86DA6"/>
    <w:rsid w:val="00C87A64"/>
    <w:rsid w:val="00C910F8"/>
    <w:rsid w:val="00C91106"/>
    <w:rsid w:val="00C9117B"/>
    <w:rsid w:val="00C91D19"/>
    <w:rsid w:val="00C93286"/>
    <w:rsid w:val="00C93B58"/>
    <w:rsid w:val="00C93C2F"/>
    <w:rsid w:val="00C93F13"/>
    <w:rsid w:val="00C9437C"/>
    <w:rsid w:val="00C946E4"/>
    <w:rsid w:val="00C946FF"/>
    <w:rsid w:val="00C94A14"/>
    <w:rsid w:val="00C94CDA"/>
    <w:rsid w:val="00C95BED"/>
    <w:rsid w:val="00C95EB3"/>
    <w:rsid w:val="00C96725"/>
    <w:rsid w:val="00C96FD9"/>
    <w:rsid w:val="00C97A66"/>
    <w:rsid w:val="00CA007B"/>
    <w:rsid w:val="00CA01BB"/>
    <w:rsid w:val="00CA0AA4"/>
    <w:rsid w:val="00CA0C1E"/>
    <w:rsid w:val="00CA15B0"/>
    <w:rsid w:val="00CA183B"/>
    <w:rsid w:val="00CA1C71"/>
    <w:rsid w:val="00CA1D4C"/>
    <w:rsid w:val="00CA1D50"/>
    <w:rsid w:val="00CA1DAB"/>
    <w:rsid w:val="00CA20E0"/>
    <w:rsid w:val="00CA2598"/>
    <w:rsid w:val="00CA3347"/>
    <w:rsid w:val="00CA41A6"/>
    <w:rsid w:val="00CA523D"/>
    <w:rsid w:val="00CA6FDA"/>
    <w:rsid w:val="00CA77CF"/>
    <w:rsid w:val="00CA7B58"/>
    <w:rsid w:val="00CB0836"/>
    <w:rsid w:val="00CB0CB9"/>
    <w:rsid w:val="00CB1413"/>
    <w:rsid w:val="00CB18D4"/>
    <w:rsid w:val="00CB24D9"/>
    <w:rsid w:val="00CB2518"/>
    <w:rsid w:val="00CB3156"/>
    <w:rsid w:val="00CB3920"/>
    <w:rsid w:val="00CB469E"/>
    <w:rsid w:val="00CB4C4C"/>
    <w:rsid w:val="00CB4DBA"/>
    <w:rsid w:val="00CB6413"/>
    <w:rsid w:val="00CB696F"/>
    <w:rsid w:val="00CB6A00"/>
    <w:rsid w:val="00CB6DA1"/>
    <w:rsid w:val="00CB7059"/>
    <w:rsid w:val="00CB7097"/>
    <w:rsid w:val="00CB709D"/>
    <w:rsid w:val="00CB73EE"/>
    <w:rsid w:val="00CB77F4"/>
    <w:rsid w:val="00CB780D"/>
    <w:rsid w:val="00CC00E9"/>
    <w:rsid w:val="00CC0F1C"/>
    <w:rsid w:val="00CC109F"/>
    <w:rsid w:val="00CC1983"/>
    <w:rsid w:val="00CC1BBB"/>
    <w:rsid w:val="00CC259D"/>
    <w:rsid w:val="00CC299A"/>
    <w:rsid w:val="00CC3039"/>
    <w:rsid w:val="00CC32B7"/>
    <w:rsid w:val="00CC36DE"/>
    <w:rsid w:val="00CC4498"/>
    <w:rsid w:val="00CC4F99"/>
    <w:rsid w:val="00CC5CDC"/>
    <w:rsid w:val="00CC5FC3"/>
    <w:rsid w:val="00CC6369"/>
    <w:rsid w:val="00CC6576"/>
    <w:rsid w:val="00CC65D6"/>
    <w:rsid w:val="00CC73F3"/>
    <w:rsid w:val="00CC7B85"/>
    <w:rsid w:val="00CD0635"/>
    <w:rsid w:val="00CD081C"/>
    <w:rsid w:val="00CD14DA"/>
    <w:rsid w:val="00CD1B5A"/>
    <w:rsid w:val="00CD1E9C"/>
    <w:rsid w:val="00CD27DB"/>
    <w:rsid w:val="00CD2E70"/>
    <w:rsid w:val="00CD386B"/>
    <w:rsid w:val="00CD3D06"/>
    <w:rsid w:val="00CD4A09"/>
    <w:rsid w:val="00CD4C67"/>
    <w:rsid w:val="00CD4C7B"/>
    <w:rsid w:val="00CD5125"/>
    <w:rsid w:val="00CD5397"/>
    <w:rsid w:val="00CD5E93"/>
    <w:rsid w:val="00CD6D2E"/>
    <w:rsid w:val="00CD7963"/>
    <w:rsid w:val="00CE061C"/>
    <w:rsid w:val="00CE1344"/>
    <w:rsid w:val="00CE15AE"/>
    <w:rsid w:val="00CE1CFC"/>
    <w:rsid w:val="00CE235A"/>
    <w:rsid w:val="00CE37A3"/>
    <w:rsid w:val="00CE3814"/>
    <w:rsid w:val="00CE3FC0"/>
    <w:rsid w:val="00CE4AC7"/>
    <w:rsid w:val="00CE56B7"/>
    <w:rsid w:val="00CE6543"/>
    <w:rsid w:val="00CE6660"/>
    <w:rsid w:val="00CE6855"/>
    <w:rsid w:val="00CE6B6F"/>
    <w:rsid w:val="00CE7033"/>
    <w:rsid w:val="00CE7075"/>
    <w:rsid w:val="00CE770A"/>
    <w:rsid w:val="00CF02A6"/>
    <w:rsid w:val="00CF05A6"/>
    <w:rsid w:val="00CF060D"/>
    <w:rsid w:val="00CF06CF"/>
    <w:rsid w:val="00CF101C"/>
    <w:rsid w:val="00CF15C5"/>
    <w:rsid w:val="00CF1E77"/>
    <w:rsid w:val="00CF1EFE"/>
    <w:rsid w:val="00CF2682"/>
    <w:rsid w:val="00CF2DC1"/>
    <w:rsid w:val="00CF2EE2"/>
    <w:rsid w:val="00CF37AD"/>
    <w:rsid w:val="00CF3948"/>
    <w:rsid w:val="00CF3ACF"/>
    <w:rsid w:val="00CF441D"/>
    <w:rsid w:val="00CF4FCF"/>
    <w:rsid w:val="00CF4FDC"/>
    <w:rsid w:val="00CF53F2"/>
    <w:rsid w:val="00CF56AF"/>
    <w:rsid w:val="00CF58F1"/>
    <w:rsid w:val="00CF5BE0"/>
    <w:rsid w:val="00CF5BF1"/>
    <w:rsid w:val="00CF5D64"/>
    <w:rsid w:val="00CF6001"/>
    <w:rsid w:val="00CF61CB"/>
    <w:rsid w:val="00CF666F"/>
    <w:rsid w:val="00CF686F"/>
    <w:rsid w:val="00CF6CA7"/>
    <w:rsid w:val="00CF6E7D"/>
    <w:rsid w:val="00CF76FB"/>
    <w:rsid w:val="00CF7705"/>
    <w:rsid w:val="00D00175"/>
    <w:rsid w:val="00D00223"/>
    <w:rsid w:val="00D00312"/>
    <w:rsid w:val="00D0045E"/>
    <w:rsid w:val="00D008D8"/>
    <w:rsid w:val="00D009BC"/>
    <w:rsid w:val="00D00DBF"/>
    <w:rsid w:val="00D0149B"/>
    <w:rsid w:val="00D01AAA"/>
    <w:rsid w:val="00D01F5D"/>
    <w:rsid w:val="00D01FA9"/>
    <w:rsid w:val="00D02D17"/>
    <w:rsid w:val="00D03755"/>
    <w:rsid w:val="00D03DBE"/>
    <w:rsid w:val="00D03EED"/>
    <w:rsid w:val="00D0597D"/>
    <w:rsid w:val="00D06274"/>
    <w:rsid w:val="00D066D8"/>
    <w:rsid w:val="00D07FB9"/>
    <w:rsid w:val="00D10C27"/>
    <w:rsid w:val="00D10E78"/>
    <w:rsid w:val="00D11949"/>
    <w:rsid w:val="00D11A69"/>
    <w:rsid w:val="00D11CB2"/>
    <w:rsid w:val="00D12C98"/>
    <w:rsid w:val="00D12FFC"/>
    <w:rsid w:val="00D13CA3"/>
    <w:rsid w:val="00D1484F"/>
    <w:rsid w:val="00D14BA0"/>
    <w:rsid w:val="00D14D7B"/>
    <w:rsid w:val="00D1516D"/>
    <w:rsid w:val="00D158B0"/>
    <w:rsid w:val="00D15B1C"/>
    <w:rsid w:val="00D15BBB"/>
    <w:rsid w:val="00D1707A"/>
    <w:rsid w:val="00D17CC2"/>
    <w:rsid w:val="00D20EED"/>
    <w:rsid w:val="00D21435"/>
    <w:rsid w:val="00D2242C"/>
    <w:rsid w:val="00D224FA"/>
    <w:rsid w:val="00D23033"/>
    <w:rsid w:val="00D23D60"/>
    <w:rsid w:val="00D23DA6"/>
    <w:rsid w:val="00D2402F"/>
    <w:rsid w:val="00D245C2"/>
    <w:rsid w:val="00D255BC"/>
    <w:rsid w:val="00D25660"/>
    <w:rsid w:val="00D2569B"/>
    <w:rsid w:val="00D258EB"/>
    <w:rsid w:val="00D25AEB"/>
    <w:rsid w:val="00D26C14"/>
    <w:rsid w:val="00D271CD"/>
    <w:rsid w:val="00D27BD2"/>
    <w:rsid w:val="00D27C94"/>
    <w:rsid w:val="00D30480"/>
    <w:rsid w:val="00D3064E"/>
    <w:rsid w:val="00D315CC"/>
    <w:rsid w:val="00D316A5"/>
    <w:rsid w:val="00D31DDA"/>
    <w:rsid w:val="00D31F05"/>
    <w:rsid w:val="00D32067"/>
    <w:rsid w:val="00D327A3"/>
    <w:rsid w:val="00D3346D"/>
    <w:rsid w:val="00D33893"/>
    <w:rsid w:val="00D33AE9"/>
    <w:rsid w:val="00D34224"/>
    <w:rsid w:val="00D34927"/>
    <w:rsid w:val="00D34C82"/>
    <w:rsid w:val="00D36550"/>
    <w:rsid w:val="00D36C97"/>
    <w:rsid w:val="00D379EC"/>
    <w:rsid w:val="00D37C94"/>
    <w:rsid w:val="00D37E9F"/>
    <w:rsid w:val="00D40D88"/>
    <w:rsid w:val="00D41E42"/>
    <w:rsid w:val="00D41F6B"/>
    <w:rsid w:val="00D42380"/>
    <w:rsid w:val="00D42C9B"/>
    <w:rsid w:val="00D4348D"/>
    <w:rsid w:val="00D436D7"/>
    <w:rsid w:val="00D43ADD"/>
    <w:rsid w:val="00D44029"/>
    <w:rsid w:val="00D44116"/>
    <w:rsid w:val="00D44E42"/>
    <w:rsid w:val="00D44FC3"/>
    <w:rsid w:val="00D45072"/>
    <w:rsid w:val="00D450E2"/>
    <w:rsid w:val="00D453D7"/>
    <w:rsid w:val="00D4552D"/>
    <w:rsid w:val="00D462D6"/>
    <w:rsid w:val="00D46898"/>
    <w:rsid w:val="00D4714D"/>
    <w:rsid w:val="00D474AB"/>
    <w:rsid w:val="00D4754E"/>
    <w:rsid w:val="00D50460"/>
    <w:rsid w:val="00D50961"/>
    <w:rsid w:val="00D50A02"/>
    <w:rsid w:val="00D512A1"/>
    <w:rsid w:val="00D518D6"/>
    <w:rsid w:val="00D51FDC"/>
    <w:rsid w:val="00D52AB4"/>
    <w:rsid w:val="00D52F26"/>
    <w:rsid w:val="00D531F5"/>
    <w:rsid w:val="00D5373C"/>
    <w:rsid w:val="00D538C1"/>
    <w:rsid w:val="00D538D5"/>
    <w:rsid w:val="00D53B5C"/>
    <w:rsid w:val="00D54640"/>
    <w:rsid w:val="00D54916"/>
    <w:rsid w:val="00D55455"/>
    <w:rsid w:val="00D559B5"/>
    <w:rsid w:val="00D55DC2"/>
    <w:rsid w:val="00D56420"/>
    <w:rsid w:val="00D5658A"/>
    <w:rsid w:val="00D56A94"/>
    <w:rsid w:val="00D56C0C"/>
    <w:rsid w:val="00D56F9E"/>
    <w:rsid w:val="00D570B4"/>
    <w:rsid w:val="00D5798B"/>
    <w:rsid w:val="00D602DF"/>
    <w:rsid w:val="00D60736"/>
    <w:rsid w:val="00D6170E"/>
    <w:rsid w:val="00D61972"/>
    <w:rsid w:val="00D61B58"/>
    <w:rsid w:val="00D6307D"/>
    <w:rsid w:val="00D63632"/>
    <w:rsid w:val="00D63732"/>
    <w:rsid w:val="00D637F5"/>
    <w:rsid w:val="00D63925"/>
    <w:rsid w:val="00D63D9C"/>
    <w:rsid w:val="00D6405D"/>
    <w:rsid w:val="00D6568E"/>
    <w:rsid w:val="00D65893"/>
    <w:rsid w:val="00D658EC"/>
    <w:rsid w:val="00D66816"/>
    <w:rsid w:val="00D6684E"/>
    <w:rsid w:val="00D6742A"/>
    <w:rsid w:val="00D67B9B"/>
    <w:rsid w:val="00D71733"/>
    <w:rsid w:val="00D718AC"/>
    <w:rsid w:val="00D719A3"/>
    <w:rsid w:val="00D71BAD"/>
    <w:rsid w:val="00D71E7A"/>
    <w:rsid w:val="00D72DE7"/>
    <w:rsid w:val="00D7302F"/>
    <w:rsid w:val="00D7329E"/>
    <w:rsid w:val="00D7340B"/>
    <w:rsid w:val="00D73870"/>
    <w:rsid w:val="00D73BB2"/>
    <w:rsid w:val="00D74575"/>
    <w:rsid w:val="00D74C57"/>
    <w:rsid w:val="00D74D14"/>
    <w:rsid w:val="00D74E74"/>
    <w:rsid w:val="00D74F3B"/>
    <w:rsid w:val="00D752E7"/>
    <w:rsid w:val="00D7574B"/>
    <w:rsid w:val="00D75913"/>
    <w:rsid w:val="00D75E82"/>
    <w:rsid w:val="00D76270"/>
    <w:rsid w:val="00D767C6"/>
    <w:rsid w:val="00D769C5"/>
    <w:rsid w:val="00D76E76"/>
    <w:rsid w:val="00D77ED7"/>
    <w:rsid w:val="00D80161"/>
    <w:rsid w:val="00D80631"/>
    <w:rsid w:val="00D818EC"/>
    <w:rsid w:val="00D81A20"/>
    <w:rsid w:val="00D81F55"/>
    <w:rsid w:val="00D8292F"/>
    <w:rsid w:val="00D8321A"/>
    <w:rsid w:val="00D83F57"/>
    <w:rsid w:val="00D84A86"/>
    <w:rsid w:val="00D8507B"/>
    <w:rsid w:val="00D85152"/>
    <w:rsid w:val="00D85D1A"/>
    <w:rsid w:val="00D85F2C"/>
    <w:rsid w:val="00D86030"/>
    <w:rsid w:val="00D861BD"/>
    <w:rsid w:val="00D86D55"/>
    <w:rsid w:val="00D8789C"/>
    <w:rsid w:val="00D8789D"/>
    <w:rsid w:val="00D87B3F"/>
    <w:rsid w:val="00D9003D"/>
    <w:rsid w:val="00D90279"/>
    <w:rsid w:val="00D90558"/>
    <w:rsid w:val="00D9082F"/>
    <w:rsid w:val="00D90C79"/>
    <w:rsid w:val="00D914EB"/>
    <w:rsid w:val="00D91B36"/>
    <w:rsid w:val="00D9305B"/>
    <w:rsid w:val="00D94085"/>
    <w:rsid w:val="00D9445B"/>
    <w:rsid w:val="00D944D2"/>
    <w:rsid w:val="00D95ECE"/>
    <w:rsid w:val="00D96D4F"/>
    <w:rsid w:val="00DA1806"/>
    <w:rsid w:val="00DA1BD1"/>
    <w:rsid w:val="00DA212B"/>
    <w:rsid w:val="00DA3155"/>
    <w:rsid w:val="00DA3A76"/>
    <w:rsid w:val="00DA5713"/>
    <w:rsid w:val="00DA5792"/>
    <w:rsid w:val="00DA5B51"/>
    <w:rsid w:val="00DA5F95"/>
    <w:rsid w:val="00DA6856"/>
    <w:rsid w:val="00DA6D6D"/>
    <w:rsid w:val="00DA73C1"/>
    <w:rsid w:val="00DA7457"/>
    <w:rsid w:val="00DA7478"/>
    <w:rsid w:val="00DA770D"/>
    <w:rsid w:val="00DA77A8"/>
    <w:rsid w:val="00DA7851"/>
    <w:rsid w:val="00DA7DC1"/>
    <w:rsid w:val="00DB00EE"/>
    <w:rsid w:val="00DB0132"/>
    <w:rsid w:val="00DB2754"/>
    <w:rsid w:val="00DB2D88"/>
    <w:rsid w:val="00DB3067"/>
    <w:rsid w:val="00DB3687"/>
    <w:rsid w:val="00DB38D1"/>
    <w:rsid w:val="00DB3DC3"/>
    <w:rsid w:val="00DB41CB"/>
    <w:rsid w:val="00DB5114"/>
    <w:rsid w:val="00DB681B"/>
    <w:rsid w:val="00DB6D37"/>
    <w:rsid w:val="00DB73C2"/>
    <w:rsid w:val="00DB7E24"/>
    <w:rsid w:val="00DC0445"/>
    <w:rsid w:val="00DC115F"/>
    <w:rsid w:val="00DC17A9"/>
    <w:rsid w:val="00DC2082"/>
    <w:rsid w:val="00DC225F"/>
    <w:rsid w:val="00DC254E"/>
    <w:rsid w:val="00DC2883"/>
    <w:rsid w:val="00DC2B0D"/>
    <w:rsid w:val="00DC2C48"/>
    <w:rsid w:val="00DC46B5"/>
    <w:rsid w:val="00DC4B28"/>
    <w:rsid w:val="00DC4B5D"/>
    <w:rsid w:val="00DC4CD0"/>
    <w:rsid w:val="00DC525E"/>
    <w:rsid w:val="00DC535C"/>
    <w:rsid w:val="00DC5DCB"/>
    <w:rsid w:val="00DC6C0D"/>
    <w:rsid w:val="00DC6CCF"/>
    <w:rsid w:val="00DC75E7"/>
    <w:rsid w:val="00DD074A"/>
    <w:rsid w:val="00DD0D70"/>
    <w:rsid w:val="00DD1941"/>
    <w:rsid w:val="00DD26A5"/>
    <w:rsid w:val="00DD2812"/>
    <w:rsid w:val="00DD2CE3"/>
    <w:rsid w:val="00DD34F2"/>
    <w:rsid w:val="00DD3C6B"/>
    <w:rsid w:val="00DD4A56"/>
    <w:rsid w:val="00DD54ED"/>
    <w:rsid w:val="00DD6861"/>
    <w:rsid w:val="00DD697F"/>
    <w:rsid w:val="00DD699C"/>
    <w:rsid w:val="00DD6A5A"/>
    <w:rsid w:val="00DD72F3"/>
    <w:rsid w:val="00DD739F"/>
    <w:rsid w:val="00DD7631"/>
    <w:rsid w:val="00DD7762"/>
    <w:rsid w:val="00DD781E"/>
    <w:rsid w:val="00DD7A2C"/>
    <w:rsid w:val="00DD7F63"/>
    <w:rsid w:val="00DE0A1B"/>
    <w:rsid w:val="00DE1238"/>
    <w:rsid w:val="00DE1966"/>
    <w:rsid w:val="00DE1FFE"/>
    <w:rsid w:val="00DE2F9E"/>
    <w:rsid w:val="00DE31B1"/>
    <w:rsid w:val="00DE32E7"/>
    <w:rsid w:val="00DE3703"/>
    <w:rsid w:val="00DE3BB8"/>
    <w:rsid w:val="00DE40EB"/>
    <w:rsid w:val="00DE5117"/>
    <w:rsid w:val="00DE51F6"/>
    <w:rsid w:val="00DE5648"/>
    <w:rsid w:val="00DE568A"/>
    <w:rsid w:val="00DE56B7"/>
    <w:rsid w:val="00DE595E"/>
    <w:rsid w:val="00DE5CD9"/>
    <w:rsid w:val="00DE6A70"/>
    <w:rsid w:val="00DE70B5"/>
    <w:rsid w:val="00DE7113"/>
    <w:rsid w:val="00DF00F9"/>
    <w:rsid w:val="00DF0576"/>
    <w:rsid w:val="00DF1981"/>
    <w:rsid w:val="00DF1D07"/>
    <w:rsid w:val="00DF1E89"/>
    <w:rsid w:val="00DF1EC8"/>
    <w:rsid w:val="00DF2144"/>
    <w:rsid w:val="00DF24D9"/>
    <w:rsid w:val="00DF2EA5"/>
    <w:rsid w:val="00DF310B"/>
    <w:rsid w:val="00DF3E47"/>
    <w:rsid w:val="00DF5362"/>
    <w:rsid w:val="00DF56E8"/>
    <w:rsid w:val="00DF5C01"/>
    <w:rsid w:val="00DF5FF5"/>
    <w:rsid w:val="00DF6655"/>
    <w:rsid w:val="00DF6EB6"/>
    <w:rsid w:val="00DF7133"/>
    <w:rsid w:val="00DF722A"/>
    <w:rsid w:val="00DF764C"/>
    <w:rsid w:val="00DF7FBF"/>
    <w:rsid w:val="00E00108"/>
    <w:rsid w:val="00E00BB4"/>
    <w:rsid w:val="00E00CAA"/>
    <w:rsid w:val="00E01441"/>
    <w:rsid w:val="00E01682"/>
    <w:rsid w:val="00E01D4A"/>
    <w:rsid w:val="00E02F4B"/>
    <w:rsid w:val="00E03D04"/>
    <w:rsid w:val="00E04332"/>
    <w:rsid w:val="00E043BB"/>
    <w:rsid w:val="00E047A0"/>
    <w:rsid w:val="00E04ECF"/>
    <w:rsid w:val="00E0502A"/>
    <w:rsid w:val="00E0584C"/>
    <w:rsid w:val="00E05902"/>
    <w:rsid w:val="00E067C4"/>
    <w:rsid w:val="00E06A36"/>
    <w:rsid w:val="00E074C9"/>
    <w:rsid w:val="00E1198B"/>
    <w:rsid w:val="00E11C0C"/>
    <w:rsid w:val="00E126B2"/>
    <w:rsid w:val="00E127E3"/>
    <w:rsid w:val="00E13AFB"/>
    <w:rsid w:val="00E13E8F"/>
    <w:rsid w:val="00E14818"/>
    <w:rsid w:val="00E148E8"/>
    <w:rsid w:val="00E151ED"/>
    <w:rsid w:val="00E1610C"/>
    <w:rsid w:val="00E162BD"/>
    <w:rsid w:val="00E16660"/>
    <w:rsid w:val="00E16A1D"/>
    <w:rsid w:val="00E16C78"/>
    <w:rsid w:val="00E16D73"/>
    <w:rsid w:val="00E17296"/>
    <w:rsid w:val="00E17833"/>
    <w:rsid w:val="00E17981"/>
    <w:rsid w:val="00E17B91"/>
    <w:rsid w:val="00E17CD2"/>
    <w:rsid w:val="00E17E36"/>
    <w:rsid w:val="00E201F2"/>
    <w:rsid w:val="00E206D8"/>
    <w:rsid w:val="00E20A87"/>
    <w:rsid w:val="00E2113A"/>
    <w:rsid w:val="00E21C65"/>
    <w:rsid w:val="00E2307E"/>
    <w:rsid w:val="00E2352B"/>
    <w:rsid w:val="00E23C63"/>
    <w:rsid w:val="00E23E84"/>
    <w:rsid w:val="00E23F9B"/>
    <w:rsid w:val="00E24D23"/>
    <w:rsid w:val="00E2546F"/>
    <w:rsid w:val="00E26285"/>
    <w:rsid w:val="00E26649"/>
    <w:rsid w:val="00E2703D"/>
    <w:rsid w:val="00E271F9"/>
    <w:rsid w:val="00E27F0A"/>
    <w:rsid w:val="00E304DF"/>
    <w:rsid w:val="00E30712"/>
    <w:rsid w:val="00E309B0"/>
    <w:rsid w:val="00E30A3E"/>
    <w:rsid w:val="00E30E67"/>
    <w:rsid w:val="00E32143"/>
    <w:rsid w:val="00E325F3"/>
    <w:rsid w:val="00E326E9"/>
    <w:rsid w:val="00E32AB7"/>
    <w:rsid w:val="00E32B61"/>
    <w:rsid w:val="00E33106"/>
    <w:rsid w:val="00E33585"/>
    <w:rsid w:val="00E339AE"/>
    <w:rsid w:val="00E345C2"/>
    <w:rsid w:val="00E34D99"/>
    <w:rsid w:val="00E352C3"/>
    <w:rsid w:val="00E35476"/>
    <w:rsid w:val="00E355C0"/>
    <w:rsid w:val="00E359A5"/>
    <w:rsid w:val="00E35C28"/>
    <w:rsid w:val="00E372F7"/>
    <w:rsid w:val="00E37431"/>
    <w:rsid w:val="00E37DC0"/>
    <w:rsid w:val="00E37E0A"/>
    <w:rsid w:val="00E37EC6"/>
    <w:rsid w:val="00E40432"/>
    <w:rsid w:val="00E40850"/>
    <w:rsid w:val="00E40D52"/>
    <w:rsid w:val="00E41187"/>
    <w:rsid w:val="00E411B3"/>
    <w:rsid w:val="00E41585"/>
    <w:rsid w:val="00E41F94"/>
    <w:rsid w:val="00E421ED"/>
    <w:rsid w:val="00E4220D"/>
    <w:rsid w:val="00E4231E"/>
    <w:rsid w:val="00E4279A"/>
    <w:rsid w:val="00E429ED"/>
    <w:rsid w:val="00E4319C"/>
    <w:rsid w:val="00E43894"/>
    <w:rsid w:val="00E44AC7"/>
    <w:rsid w:val="00E44E08"/>
    <w:rsid w:val="00E45B2D"/>
    <w:rsid w:val="00E45D26"/>
    <w:rsid w:val="00E45DF9"/>
    <w:rsid w:val="00E468F2"/>
    <w:rsid w:val="00E477C4"/>
    <w:rsid w:val="00E478EF"/>
    <w:rsid w:val="00E47A20"/>
    <w:rsid w:val="00E47BBA"/>
    <w:rsid w:val="00E5065D"/>
    <w:rsid w:val="00E5084C"/>
    <w:rsid w:val="00E50871"/>
    <w:rsid w:val="00E50AD9"/>
    <w:rsid w:val="00E50B4C"/>
    <w:rsid w:val="00E512FE"/>
    <w:rsid w:val="00E5198D"/>
    <w:rsid w:val="00E52063"/>
    <w:rsid w:val="00E52C66"/>
    <w:rsid w:val="00E53533"/>
    <w:rsid w:val="00E537ED"/>
    <w:rsid w:val="00E5384D"/>
    <w:rsid w:val="00E53F2E"/>
    <w:rsid w:val="00E54004"/>
    <w:rsid w:val="00E546C9"/>
    <w:rsid w:val="00E54BB9"/>
    <w:rsid w:val="00E54D3F"/>
    <w:rsid w:val="00E55F1F"/>
    <w:rsid w:val="00E56735"/>
    <w:rsid w:val="00E56866"/>
    <w:rsid w:val="00E56904"/>
    <w:rsid w:val="00E56FA9"/>
    <w:rsid w:val="00E57DFD"/>
    <w:rsid w:val="00E60423"/>
    <w:rsid w:val="00E60438"/>
    <w:rsid w:val="00E60545"/>
    <w:rsid w:val="00E606F4"/>
    <w:rsid w:val="00E607E5"/>
    <w:rsid w:val="00E60A16"/>
    <w:rsid w:val="00E610CB"/>
    <w:rsid w:val="00E6125B"/>
    <w:rsid w:val="00E615AF"/>
    <w:rsid w:val="00E6170A"/>
    <w:rsid w:val="00E62816"/>
    <w:rsid w:val="00E629EF"/>
    <w:rsid w:val="00E62ADF"/>
    <w:rsid w:val="00E62FA7"/>
    <w:rsid w:val="00E637A3"/>
    <w:rsid w:val="00E63A08"/>
    <w:rsid w:val="00E645CC"/>
    <w:rsid w:val="00E659FD"/>
    <w:rsid w:val="00E65B0C"/>
    <w:rsid w:val="00E66783"/>
    <w:rsid w:val="00E66B16"/>
    <w:rsid w:val="00E66BA2"/>
    <w:rsid w:val="00E677DB"/>
    <w:rsid w:val="00E700F8"/>
    <w:rsid w:val="00E71B42"/>
    <w:rsid w:val="00E71C2D"/>
    <w:rsid w:val="00E72187"/>
    <w:rsid w:val="00E725EB"/>
    <w:rsid w:val="00E7266C"/>
    <w:rsid w:val="00E72BB6"/>
    <w:rsid w:val="00E72CD0"/>
    <w:rsid w:val="00E730AC"/>
    <w:rsid w:val="00E7310C"/>
    <w:rsid w:val="00E733ED"/>
    <w:rsid w:val="00E734CE"/>
    <w:rsid w:val="00E73D33"/>
    <w:rsid w:val="00E74DAE"/>
    <w:rsid w:val="00E750CB"/>
    <w:rsid w:val="00E778DC"/>
    <w:rsid w:val="00E77FD3"/>
    <w:rsid w:val="00E80336"/>
    <w:rsid w:val="00E80D00"/>
    <w:rsid w:val="00E810BD"/>
    <w:rsid w:val="00E815CE"/>
    <w:rsid w:val="00E81611"/>
    <w:rsid w:val="00E81800"/>
    <w:rsid w:val="00E81863"/>
    <w:rsid w:val="00E81C42"/>
    <w:rsid w:val="00E81C5C"/>
    <w:rsid w:val="00E81FDB"/>
    <w:rsid w:val="00E82064"/>
    <w:rsid w:val="00E82912"/>
    <w:rsid w:val="00E82B6E"/>
    <w:rsid w:val="00E82DA0"/>
    <w:rsid w:val="00E82DC6"/>
    <w:rsid w:val="00E8347E"/>
    <w:rsid w:val="00E835C5"/>
    <w:rsid w:val="00E83ACD"/>
    <w:rsid w:val="00E83D4B"/>
    <w:rsid w:val="00E848F0"/>
    <w:rsid w:val="00E84D1C"/>
    <w:rsid w:val="00E84D9C"/>
    <w:rsid w:val="00E85069"/>
    <w:rsid w:val="00E8628F"/>
    <w:rsid w:val="00E86888"/>
    <w:rsid w:val="00E8695C"/>
    <w:rsid w:val="00E87D1E"/>
    <w:rsid w:val="00E90DE0"/>
    <w:rsid w:val="00E90F2A"/>
    <w:rsid w:val="00E91191"/>
    <w:rsid w:val="00E92C96"/>
    <w:rsid w:val="00E93F01"/>
    <w:rsid w:val="00E942B8"/>
    <w:rsid w:val="00E944ED"/>
    <w:rsid w:val="00E945AF"/>
    <w:rsid w:val="00E94A0B"/>
    <w:rsid w:val="00E94A2C"/>
    <w:rsid w:val="00E9544C"/>
    <w:rsid w:val="00E95799"/>
    <w:rsid w:val="00E95A53"/>
    <w:rsid w:val="00E95D93"/>
    <w:rsid w:val="00E9683D"/>
    <w:rsid w:val="00E970B7"/>
    <w:rsid w:val="00E97D95"/>
    <w:rsid w:val="00EA0035"/>
    <w:rsid w:val="00EA010D"/>
    <w:rsid w:val="00EA04C5"/>
    <w:rsid w:val="00EA0507"/>
    <w:rsid w:val="00EA07EC"/>
    <w:rsid w:val="00EA09B6"/>
    <w:rsid w:val="00EA0BB5"/>
    <w:rsid w:val="00EA1A8A"/>
    <w:rsid w:val="00EA21FA"/>
    <w:rsid w:val="00EA25EB"/>
    <w:rsid w:val="00EA26D5"/>
    <w:rsid w:val="00EA2775"/>
    <w:rsid w:val="00EA305D"/>
    <w:rsid w:val="00EA3106"/>
    <w:rsid w:val="00EA3874"/>
    <w:rsid w:val="00EA5697"/>
    <w:rsid w:val="00EA5AB6"/>
    <w:rsid w:val="00EA5FB0"/>
    <w:rsid w:val="00EA612E"/>
    <w:rsid w:val="00EA6F91"/>
    <w:rsid w:val="00EA7618"/>
    <w:rsid w:val="00EA761C"/>
    <w:rsid w:val="00EA7D7F"/>
    <w:rsid w:val="00EB0810"/>
    <w:rsid w:val="00EB0AF9"/>
    <w:rsid w:val="00EB0B5F"/>
    <w:rsid w:val="00EB1CF7"/>
    <w:rsid w:val="00EB25C2"/>
    <w:rsid w:val="00EB2B6F"/>
    <w:rsid w:val="00EB2CAD"/>
    <w:rsid w:val="00EB2FA2"/>
    <w:rsid w:val="00EB3272"/>
    <w:rsid w:val="00EB37B2"/>
    <w:rsid w:val="00EB3FF9"/>
    <w:rsid w:val="00EB5047"/>
    <w:rsid w:val="00EB5F0B"/>
    <w:rsid w:val="00EB6EA4"/>
    <w:rsid w:val="00EB7352"/>
    <w:rsid w:val="00EB769A"/>
    <w:rsid w:val="00EC08CF"/>
    <w:rsid w:val="00EC11E4"/>
    <w:rsid w:val="00EC14E1"/>
    <w:rsid w:val="00EC183C"/>
    <w:rsid w:val="00EC1AB4"/>
    <w:rsid w:val="00EC1CDD"/>
    <w:rsid w:val="00EC2A3F"/>
    <w:rsid w:val="00EC2E64"/>
    <w:rsid w:val="00EC2F37"/>
    <w:rsid w:val="00EC3A35"/>
    <w:rsid w:val="00EC3C52"/>
    <w:rsid w:val="00EC3E5B"/>
    <w:rsid w:val="00EC3E69"/>
    <w:rsid w:val="00EC41A7"/>
    <w:rsid w:val="00EC4257"/>
    <w:rsid w:val="00EC46CE"/>
    <w:rsid w:val="00EC4F94"/>
    <w:rsid w:val="00EC5162"/>
    <w:rsid w:val="00EC5554"/>
    <w:rsid w:val="00EC572B"/>
    <w:rsid w:val="00EC5B8E"/>
    <w:rsid w:val="00EC7356"/>
    <w:rsid w:val="00EC75F6"/>
    <w:rsid w:val="00EC75FC"/>
    <w:rsid w:val="00ED0065"/>
    <w:rsid w:val="00ED17B5"/>
    <w:rsid w:val="00ED1BA0"/>
    <w:rsid w:val="00ED1D2D"/>
    <w:rsid w:val="00ED353D"/>
    <w:rsid w:val="00ED3B56"/>
    <w:rsid w:val="00ED4C59"/>
    <w:rsid w:val="00ED4FF4"/>
    <w:rsid w:val="00ED588C"/>
    <w:rsid w:val="00ED5B71"/>
    <w:rsid w:val="00ED6E7A"/>
    <w:rsid w:val="00ED6EA1"/>
    <w:rsid w:val="00ED7A7F"/>
    <w:rsid w:val="00ED7B85"/>
    <w:rsid w:val="00EE060B"/>
    <w:rsid w:val="00EE07AC"/>
    <w:rsid w:val="00EE0891"/>
    <w:rsid w:val="00EE0C94"/>
    <w:rsid w:val="00EE0F24"/>
    <w:rsid w:val="00EE1062"/>
    <w:rsid w:val="00EE17F2"/>
    <w:rsid w:val="00EE188A"/>
    <w:rsid w:val="00EE1B01"/>
    <w:rsid w:val="00EE1C62"/>
    <w:rsid w:val="00EE1DB8"/>
    <w:rsid w:val="00EE210D"/>
    <w:rsid w:val="00EE2746"/>
    <w:rsid w:val="00EE2FD8"/>
    <w:rsid w:val="00EE3256"/>
    <w:rsid w:val="00EE4759"/>
    <w:rsid w:val="00EE4C20"/>
    <w:rsid w:val="00EE4F2D"/>
    <w:rsid w:val="00EE524C"/>
    <w:rsid w:val="00EE589E"/>
    <w:rsid w:val="00EE6755"/>
    <w:rsid w:val="00EE6C4A"/>
    <w:rsid w:val="00EE78D6"/>
    <w:rsid w:val="00EF03DC"/>
    <w:rsid w:val="00EF0437"/>
    <w:rsid w:val="00EF0568"/>
    <w:rsid w:val="00EF0BFE"/>
    <w:rsid w:val="00EF1878"/>
    <w:rsid w:val="00EF1A4D"/>
    <w:rsid w:val="00EF1DE8"/>
    <w:rsid w:val="00EF2AC7"/>
    <w:rsid w:val="00EF3397"/>
    <w:rsid w:val="00EF40BF"/>
    <w:rsid w:val="00EF429A"/>
    <w:rsid w:val="00EF4557"/>
    <w:rsid w:val="00EF493F"/>
    <w:rsid w:val="00EF5947"/>
    <w:rsid w:val="00EF5E22"/>
    <w:rsid w:val="00EF60CA"/>
    <w:rsid w:val="00EF63C1"/>
    <w:rsid w:val="00EF6557"/>
    <w:rsid w:val="00EF69B7"/>
    <w:rsid w:val="00EF6C2B"/>
    <w:rsid w:val="00F00059"/>
    <w:rsid w:val="00F00084"/>
    <w:rsid w:val="00F008BD"/>
    <w:rsid w:val="00F021A9"/>
    <w:rsid w:val="00F02B50"/>
    <w:rsid w:val="00F02C54"/>
    <w:rsid w:val="00F02CD0"/>
    <w:rsid w:val="00F02D03"/>
    <w:rsid w:val="00F035DB"/>
    <w:rsid w:val="00F03B30"/>
    <w:rsid w:val="00F0448C"/>
    <w:rsid w:val="00F04BAF"/>
    <w:rsid w:val="00F0553C"/>
    <w:rsid w:val="00F0571E"/>
    <w:rsid w:val="00F06BA7"/>
    <w:rsid w:val="00F06C50"/>
    <w:rsid w:val="00F071BA"/>
    <w:rsid w:val="00F108BD"/>
    <w:rsid w:val="00F11A39"/>
    <w:rsid w:val="00F11D2E"/>
    <w:rsid w:val="00F1284F"/>
    <w:rsid w:val="00F13228"/>
    <w:rsid w:val="00F136A4"/>
    <w:rsid w:val="00F1377B"/>
    <w:rsid w:val="00F13C5E"/>
    <w:rsid w:val="00F14108"/>
    <w:rsid w:val="00F148D5"/>
    <w:rsid w:val="00F14C10"/>
    <w:rsid w:val="00F1601A"/>
    <w:rsid w:val="00F160BF"/>
    <w:rsid w:val="00F16173"/>
    <w:rsid w:val="00F1675C"/>
    <w:rsid w:val="00F16768"/>
    <w:rsid w:val="00F16A3C"/>
    <w:rsid w:val="00F16B84"/>
    <w:rsid w:val="00F17428"/>
    <w:rsid w:val="00F17EAC"/>
    <w:rsid w:val="00F20046"/>
    <w:rsid w:val="00F20CC1"/>
    <w:rsid w:val="00F20D22"/>
    <w:rsid w:val="00F21A58"/>
    <w:rsid w:val="00F2302A"/>
    <w:rsid w:val="00F23048"/>
    <w:rsid w:val="00F23538"/>
    <w:rsid w:val="00F239CD"/>
    <w:rsid w:val="00F23DCC"/>
    <w:rsid w:val="00F24158"/>
    <w:rsid w:val="00F24294"/>
    <w:rsid w:val="00F2477C"/>
    <w:rsid w:val="00F24E5D"/>
    <w:rsid w:val="00F24EBB"/>
    <w:rsid w:val="00F27696"/>
    <w:rsid w:val="00F2777F"/>
    <w:rsid w:val="00F27F06"/>
    <w:rsid w:val="00F30C26"/>
    <w:rsid w:val="00F314E8"/>
    <w:rsid w:val="00F31518"/>
    <w:rsid w:val="00F316A2"/>
    <w:rsid w:val="00F323A2"/>
    <w:rsid w:val="00F32850"/>
    <w:rsid w:val="00F332D4"/>
    <w:rsid w:val="00F333DF"/>
    <w:rsid w:val="00F33B57"/>
    <w:rsid w:val="00F33CA8"/>
    <w:rsid w:val="00F33D5C"/>
    <w:rsid w:val="00F34BB2"/>
    <w:rsid w:val="00F356D6"/>
    <w:rsid w:val="00F36284"/>
    <w:rsid w:val="00F372DB"/>
    <w:rsid w:val="00F3785D"/>
    <w:rsid w:val="00F378BE"/>
    <w:rsid w:val="00F37D37"/>
    <w:rsid w:val="00F400E3"/>
    <w:rsid w:val="00F4021A"/>
    <w:rsid w:val="00F40855"/>
    <w:rsid w:val="00F40876"/>
    <w:rsid w:val="00F4363B"/>
    <w:rsid w:val="00F44642"/>
    <w:rsid w:val="00F454A2"/>
    <w:rsid w:val="00F45E89"/>
    <w:rsid w:val="00F47845"/>
    <w:rsid w:val="00F47B6C"/>
    <w:rsid w:val="00F50039"/>
    <w:rsid w:val="00F50675"/>
    <w:rsid w:val="00F5071D"/>
    <w:rsid w:val="00F50BD6"/>
    <w:rsid w:val="00F50E16"/>
    <w:rsid w:val="00F513B2"/>
    <w:rsid w:val="00F51520"/>
    <w:rsid w:val="00F52140"/>
    <w:rsid w:val="00F521E4"/>
    <w:rsid w:val="00F52CCE"/>
    <w:rsid w:val="00F53151"/>
    <w:rsid w:val="00F535A9"/>
    <w:rsid w:val="00F53F3D"/>
    <w:rsid w:val="00F53F92"/>
    <w:rsid w:val="00F54096"/>
    <w:rsid w:val="00F5480F"/>
    <w:rsid w:val="00F54AA5"/>
    <w:rsid w:val="00F552F7"/>
    <w:rsid w:val="00F553A7"/>
    <w:rsid w:val="00F554EB"/>
    <w:rsid w:val="00F5562D"/>
    <w:rsid w:val="00F55710"/>
    <w:rsid w:val="00F55BC7"/>
    <w:rsid w:val="00F56631"/>
    <w:rsid w:val="00F566EA"/>
    <w:rsid w:val="00F567A4"/>
    <w:rsid w:val="00F578EB"/>
    <w:rsid w:val="00F605BE"/>
    <w:rsid w:val="00F60778"/>
    <w:rsid w:val="00F60AF6"/>
    <w:rsid w:val="00F60DDC"/>
    <w:rsid w:val="00F610A9"/>
    <w:rsid w:val="00F617BE"/>
    <w:rsid w:val="00F6185D"/>
    <w:rsid w:val="00F61C7A"/>
    <w:rsid w:val="00F625F7"/>
    <w:rsid w:val="00F632C2"/>
    <w:rsid w:val="00F64702"/>
    <w:rsid w:val="00F64D5A"/>
    <w:rsid w:val="00F65399"/>
    <w:rsid w:val="00F65B68"/>
    <w:rsid w:val="00F65C22"/>
    <w:rsid w:val="00F65EC9"/>
    <w:rsid w:val="00F66CB1"/>
    <w:rsid w:val="00F672BD"/>
    <w:rsid w:val="00F677CB"/>
    <w:rsid w:val="00F67E15"/>
    <w:rsid w:val="00F67FCA"/>
    <w:rsid w:val="00F70815"/>
    <w:rsid w:val="00F709F4"/>
    <w:rsid w:val="00F71019"/>
    <w:rsid w:val="00F710A9"/>
    <w:rsid w:val="00F72119"/>
    <w:rsid w:val="00F72823"/>
    <w:rsid w:val="00F7284D"/>
    <w:rsid w:val="00F72CFE"/>
    <w:rsid w:val="00F72FB0"/>
    <w:rsid w:val="00F73336"/>
    <w:rsid w:val="00F73423"/>
    <w:rsid w:val="00F7365E"/>
    <w:rsid w:val="00F737A4"/>
    <w:rsid w:val="00F73950"/>
    <w:rsid w:val="00F74242"/>
    <w:rsid w:val="00F75481"/>
    <w:rsid w:val="00F76664"/>
    <w:rsid w:val="00F76A4C"/>
    <w:rsid w:val="00F76AB3"/>
    <w:rsid w:val="00F80B27"/>
    <w:rsid w:val="00F816A4"/>
    <w:rsid w:val="00F8194C"/>
    <w:rsid w:val="00F81AE9"/>
    <w:rsid w:val="00F827D0"/>
    <w:rsid w:val="00F82B9D"/>
    <w:rsid w:val="00F82C78"/>
    <w:rsid w:val="00F82E2E"/>
    <w:rsid w:val="00F83186"/>
    <w:rsid w:val="00F83601"/>
    <w:rsid w:val="00F837E6"/>
    <w:rsid w:val="00F8389A"/>
    <w:rsid w:val="00F83AE9"/>
    <w:rsid w:val="00F83EC8"/>
    <w:rsid w:val="00F843D4"/>
    <w:rsid w:val="00F84A40"/>
    <w:rsid w:val="00F84B50"/>
    <w:rsid w:val="00F84DBD"/>
    <w:rsid w:val="00F8516E"/>
    <w:rsid w:val="00F852E5"/>
    <w:rsid w:val="00F85C0D"/>
    <w:rsid w:val="00F86741"/>
    <w:rsid w:val="00F86796"/>
    <w:rsid w:val="00F87138"/>
    <w:rsid w:val="00F87C3F"/>
    <w:rsid w:val="00F87C5B"/>
    <w:rsid w:val="00F87FEA"/>
    <w:rsid w:val="00F90613"/>
    <w:rsid w:val="00F906F4"/>
    <w:rsid w:val="00F915F3"/>
    <w:rsid w:val="00F91800"/>
    <w:rsid w:val="00F91853"/>
    <w:rsid w:val="00F918B6"/>
    <w:rsid w:val="00F91987"/>
    <w:rsid w:val="00F91CCD"/>
    <w:rsid w:val="00F9208E"/>
    <w:rsid w:val="00F92571"/>
    <w:rsid w:val="00F93837"/>
    <w:rsid w:val="00F93B2F"/>
    <w:rsid w:val="00F93CAE"/>
    <w:rsid w:val="00F9453D"/>
    <w:rsid w:val="00F954E4"/>
    <w:rsid w:val="00F95BFB"/>
    <w:rsid w:val="00F95CCE"/>
    <w:rsid w:val="00F966D3"/>
    <w:rsid w:val="00F9692D"/>
    <w:rsid w:val="00F975FE"/>
    <w:rsid w:val="00F978BE"/>
    <w:rsid w:val="00F97D7B"/>
    <w:rsid w:val="00FA0013"/>
    <w:rsid w:val="00FA0154"/>
    <w:rsid w:val="00FA0288"/>
    <w:rsid w:val="00FA0C62"/>
    <w:rsid w:val="00FA0F71"/>
    <w:rsid w:val="00FA23E2"/>
    <w:rsid w:val="00FA26BC"/>
    <w:rsid w:val="00FA2D8E"/>
    <w:rsid w:val="00FA3520"/>
    <w:rsid w:val="00FA3872"/>
    <w:rsid w:val="00FA3A97"/>
    <w:rsid w:val="00FA3AEA"/>
    <w:rsid w:val="00FA4219"/>
    <w:rsid w:val="00FA48A3"/>
    <w:rsid w:val="00FA48C7"/>
    <w:rsid w:val="00FA54FF"/>
    <w:rsid w:val="00FA5570"/>
    <w:rsid w:val="00FA59E0"/>
    <w:rsid w:val="00FA5C0B"/>
    <w:rsid w:val="00FA70F5"/>
    <w:rsid w:val="00FA7902"/>
    <w:rsid w:val="00FB005D"/>
    <w:rsid w:val="00FB183E"/>
    <w:rsid w:val="00FB1CD3"/>
    <w:rsid w:val="00FB1D54"/>
    <w:rsid w:val="00FB2EE5"/>
    <w:rsid w:val="00FB3363"/>
    <w:rsid w:val="00FB4048"/>
    <w:rsid w:val="00FB446E"/>
    <w:rsid w:val="00FB4629"/>
    <w:rsid w:val="00FB577F"/>
    <w:rsid w:val="00FB5E5D"/>
    <w:rsid w:val="00FB5FC4"/>
    <w:rsid w:val="00FB6A07"/>
    <w:rsid w:val="00FB6E1F"/>
    <w:rsid w:val="00FB6FB1"/>
    <w:rsid w:val="00FB7460"/>
    <w:rsid w:val="00FB7747"/>
    <w:rsid w:val="00FB7A10"/>
    <w:rsid w:val="00FB7D91"/>
    <w:rsid w:val="00FC0F81"/>
    <w:rsid w:val="00FC3798"/>
    <w:rsid w:val="00FC577C"/>
    <w:rsid w:val="00FC5958"/>
    <w:rsid w:val="00FC59AF"/>
    <w:rsid w:val="00FC5BDD"/>
    <w:rsid w:val="00FC5C43"/>
    <w:rsid w:val="00FC5F72"/>
    <w:rsid w:val="00FC62B5"/>
    <w:rsid w:val="00FC6D4E"/>
    <w:rsid w:val="00FC7073"/>
    <w:rsid w:val="00FC736F"/>
    <w:rsid w:val="00FD0CDB"/>
    <w:rsid w:val="00FD1FA7"/>
    <w:rsid w:val="00FD226A"/>
    <w:rsid w:val="00FD2282"/>
    <w:rsid w:val="00FD2D42"/>
    <w:rsid w:val="00FD30B5"/>
    <w:rsid w:val="00FD3453"/>
    <w:rsid w:val="00FD39CF"/>
    <w:rsid w:val="00FD4B7B"/>
    <w:rsid w:val="00FD4D84"/>
    <w:rsid w:val="00FD5468"/>
    <w:rsid w:val="00FD58F5"/>
    <w:rsid w:val="00FD6287"/>
    <w:rsid w:val="00FD754C"/>
    <w:rsid w:val="00FD7696"/>
    <w:rsid w:val="00FE0669"/>
    <w:rsid w:val="00FE0895"/>
    <w:rsid w:val="00FE0DAE"/>
    <w:rsid w:val="00FE0E6B"/>
    <w:rsid w:val="00FE1370"/>
    <w:rsid w:val="00FE1510"/>
    <w:rsid w:val="00FE2121"/>
    <w:rsid w:val="00FE2387"/>
    <w:rsid w:val="00FE254A"/>
    <w:rsid w:val="00FE321B"/>
    <w:rsid w:val="00FE3D07"/>
    <w:rsid w:val="00FE4411"/>
    <w:rsid w:val="00FE46BC"/>
    <w:rsid w:val="00FE4B6F"/>
    <w:rsid w:val="00FE6788"/>
    <w:rsid w:val="00FE6818"/>
    <w:rsid w:val="00FE6A9E"/>
    <w:rsid w:val="00FE6BFB"/>
    <w:rsid w:val="00FF009D"/>
    <w:rsid w:val="00FF0CF5"/>
    <w:rsid w:val="00FF0D6F"/>
    <w:rsid w:val="00FF0E9E"/>
    <w:rsid w:val="00FF1103"/>
    <w:rsid w:val="00FF1712"/>
    <w:rsid w:val="00FF213D"/>
    <w:rsid w:val="00FF251D"/>
    <w:rsid w:val="00FF37DC"/>
    <w:rsid w:val="00FF37F2"/>
    <w:rsid w:val="00FF4243"/>
    <w:rsid w:val="00FF43D9"/>
    <w:rsid w:val="00FF44E9"/>
    <w:rsid w:val="00FF5B3C"/>
    <w:rsid w:val="00FF69C8"/>
    <w:rsid w:val="00FF6D3D"/>
    <w:rsid w:val="00FF7866"/>
    <w:rsid w:val="024D7E2C"/>
    <w:rsid w:val="0D2EB883"/>
    <w:rsid w:val="0D8163B6"/>
    <w:rsid w:val="1BB32F19"/>
    <w:rsid w:val="1F2C3AF5"/>
    <w:rsid w:val="1FF4886A"/>
    <w:rsid w:val="22D2584A"/>
    <w:rsid w:val="28751A95"/>
    <w:rsid w:val="29FA8189"/>
    <w:rsid w:val="2C00A012"/>
    <w:rsid w:val="389994B3"/>
    <w:rsid w:val="3B30A011"/>
    <w:rsid w:val="3B93C128"/>
    <w:rsid w:val="3CFBE104"/>
    <w:rsid w:val="467F9A7B"/>
    <w:rsid w:val="510454D8"/>
    <w:rsid w:val="5395A1E2"/>
    <w:rsid w:val="5D8505AD"/>
    <w:rsid w:val="6F81B597"/>
    <w:rsid w:val="71443FBB"/>
    <w:rsid w:val="7563E76A"/>
    <w:rsid w:val="79A6159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127A6B"/>
  <w15:docId w15:val="{9003D52C-EAFF-4023-919F-C462EC874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07E5"/>
  </w:style>
  <w:style w:type="paragraph" w:styleId="Ttulo1">
    <w:name w:val="heading 1"/>
    <w:basedOn w:val="Normal"/>
    <w:link w:val="Ttulo1Car"/>
    <w:uiPriority w:val="9"/>
    <w:qFormat/>
    <w:rsid w:val="00CD2E7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B3044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B30448"/>
    <w:pPr>
      <w:spacing w:after="0" w:line="240" w:lineRule="auto"/>
    </w:pPr>
    <w:rPr>
      <w:sz w:val="20"/>
      <w:szCs w:val="20"/>
      <w:lang w:val="es-MX"/>
    </w:rPr>
  </w:style>
  <w:style w:type="character" w:customStyle="1" w:styleId="TextonotapieCar1">
    <w:name w:val="Texto nota pie Car1"/>
    <w:basedOn w:val="Fuentedeprrafopredeter"/>
    <w:uiPriority w:val="99"/>
    <w:semiHidden/>
    <w:rsid w:val="00B3044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B30448"/>
    <w:rPr>
      <w:vertAlign w:val="superscript"/>
    </w:rPr>
  </w:style>
  <w:style w:type="paragraph" w:customStyle="1" w:styleId="Appelnotedebasde">
    <w:name w:val="Appel note de bas de..."/>
    <w:basedOn w:val="Normal"/>
    <w:link w:val="Refdenotaalpie"/>
    <w:uiPriority w:val="99"/>
    <w:rsid w:val="00B30448"/>
    <w:pPr>
      <w:spacing w:line="240" w:lineRule="exact"/>
    </w:pPr>
    <w:rPr>
      <w:vertAlign w:val="superscript"/>
    </w:rPr>
  </w:style>
  <w:style w:type="paragraph" w:styleId="Encabezado">
    <w:name w:val="header"/>
    <w:basedOn w:val="Normal"/>
    <w:link w:val="EncabezadoCar"/>
    <w:uiPriority w:val="99"/>
    <w:unhideWhenUsed/>
    <w:rsid w:val="00B3044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30448"/>
  </w:style>
  <w:style w:type="paragraph" w:styleId="Piedepgina">
    <w:name w:val="footer"/>
    <w:basedOn w:val="Normal"/>
    <w:link w:val="PiedepginaCar"/>
    <w:uiPriority w:val="99"/>
    <w:unhideWhenUsed/>
    <w:rsid w:val="00B3044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30448"/>
  </w:style>
  <w:style w:type="table" w:styleId="Tablaconcuadrcula">
    <w:name w:val="Table Grid"/>
    <w:basedOn w:val="Tablanormal"/>
    <w:uiPriority w:val="39"/>
    <w:qFormat/>
    <w:rsid w:val="00B304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C22307"/>
    <w:rPr>
      <w:color w:val="0563C1" w:themeColor="hyperlink"/>
      <w:u w:val="single"/>
    </w:rPr>
  </w:style>
  <w:style w:type="character" w:styleId="Mencinsinresolver">
    <w:name w:val="Unresolved Mention"/>
    <w:basedOn w:val="Fuentedeprrafopredeter"/>
    <w:uiPriority w:val="99"/>
    <w:semiHidden/>
    <w:unhideWhenUsed/>
    <w:rsid w:val="00C22307"/>
    <w:rPr>
      <w:color w:val="605E5C"/>
      <w:shd w:val="clear" w:color="auto" w:fill="E1DFDD"/>
    </w:rPr>
  </w:style>
  <w:style w:type="character" w:styleId="Hipervnculovisitado">
    <w:name w:val="FollowedHyperlink"/>
    <w:basedOn w:val="Fuentedeprrafopredeter"/>
    <w:uiPriority w:val="99"/>
    <w:semiHidden/>
    <w:unhideWhenUsed/>
    <w:rsid w:val="00C22307"/>
    <w:rPr>
      <w:color w:val="954F72" w:themeColor="followedHyperlink"/>
      <w:u w:val="single"/>
    </w:rPr>
  </w:style>
  <w:style w:type="character" w:styleId="Refdecomentario">
    <w:name w:val="annotation reference"/>
    <w:basedOn w:val="Fuentedeprrafopredeter"/>
    <w:uiPriority w:val="99"/>
    <w:semiHidden/>
    <w:unhideWhenUsed/>
    <w:rsid w:val="00A37D1C"/>
    <w:rPr>
      <w:sz w:val="16"/>
      <w:szCs w:val="16"/>
    </w:rPr>
  </w:style>
  <w:style w:type="paragraph" w:styleId="Textocomentario">
    <w:name w:val="annotation text"/>
    <w:basedOn w:val="Normal"/>
    <w:link w:val="TextocomentarioCar"/>
    <w:uiPriority w:val="99"/>
    <w:unhideWhenUsed/>
    <w:rsid w:val="00A37D1C"/>
    <w:pPr>
      <w:spacing w:line="240" w:lineRule="auto"/>
    </w:pPr>
    <w:rPr>
      <w:sz w:val="20"/>
      <w:szCs w:val="20"/>
    </w:rPr>
  </w:style>
  <w:style w:type="character" w:customStyle="1" w:styleId="TextocomentarioCar">
    <w:name w:val="Texto comentario Car"/>
    <w:basedOn w:val="Fuentedeprrafopredeter"/>
    <w:link w:val="Textocomentario"/>
    <w:uiPriority w:val="99"/>
    <w:rsid w:val="00A37D1C"/>
    <w:rPr>
      <w:sz w:val="20"/>
      <w:szCs w:val="20"/>
    </w:rPr>
  </w:style>
  <w:style w:type="paragraph" w:styleId="Asuntodelcomentario">
    <w:name w:val="annotation subject"/>
    <w:basedOn w:val="Textocomentario"/>
    <w:next w:val="Textocomentario"/>
    <w:link w:val="AsuntodelcomentarioCar"/>
    <w:uiPriority w:val="99"/>
    <w:semiHidden/>
    <w:unhideWhenUsed/>
    <w:rsid w:val="00A37D1C"/>
    <w:rPr>
      <w:b/>
      <w:bCs/>
    </w:rPr>
  </w:style>
  <w:style w:type="character" w:customStyle="1" w:styleId="AsuntodelcomentarioCar">
    <w:name w:val="Asunto del comentario Car"/>
    <w:basedOn w:val="TextocomentarioCar"/>
    <w:link w:val="Asuntodelcomentario"/>
    <w:uiPriority w:val="99"/>
    <w:semiHidden/>
    <w:rsid w:val="00A37D1C"/>
    <w:rPr>
      <w:b/>
      <w:bCs/>
      <w:sz w:val="20"/>
      <w:szCs w:val="20"/>
    </w:rPr>
  </w:style>
  <w:style w:type="paragraph" w:customStyle="1" w:styleId="Normal11pt">
    <w:name w:val="Normal + 11 pt"/>
    <w:aliases w:val="Negro,Justificado,Izquierda:  -0,95 cm,Derecha:  0,04 cm"/>
    <w:basedOn w:val="Normal"/>
    <w:uiPriority w:val="99"/>
    <w:rsid w:val="00B76C94"/>
    <w:pPr>
      <w:spacing w:after="0" w:line="240" w:lineRule="auto"/>
      <w:ind w:left="-540"/>
      <w:jc w:val="both"/>
    </w:pPr>
    <w:rPr>
      <w:rFonts w:ascii="Arial" w:eastAsia="Times New Roman" w:hAnsi="Arial" w:cs="Arial"/>
      <w:color w:val="000000"/>
      <w:lang w:val="es-ES_tradnl" w:eastAsia="es-ES"/>
    </w:rPr>
  </w:style>
  <w:style w:type="paragraph" w:styleId="Revisin">
    <w:name w:val="Revision"/>
    <w:hidden/>
    <w:uiPriority w:val="99"/>
    <w:semiHidden/>
    <w:rsid w:val="00F64D5A"/>
    <w:pPr>
      <w:spacing w:after="0" w:line="240" w:lineRule="auto"/>
    </w:pPr>
  </w:style>
  <w:style w:type="character" w:customStyle="1" w:styleId="cf01">
    <w:name w:val="cf01"/>
    <w:basedOn w:val="Fuentedeprrafopredeter"/>
    <w:rsid w:val="005019AA"/>
    <w:rPr>
      <w:rFonts w:ascii="Segoe UI" w:hAnsi="Segoe UI" w:cs="Segoe UI" w:hint="default"/>
      <w:i/>
      <w:iCs/>
      <w:sz w:val="18"/>
      <w:szCs w:val="18"/>
    </w:rPr>
  </w:style>
  <w:style w:type="character" w:customStyle="1" w:styleId="normaltextrun">
    <w:name w:val="normaltextrun"/>
    <w:basedOn w:val="Fuentedeprrafopredeter"/>
    <w:rsid w:val="5D8505AD"/>
  </w:style>
  <w:style w:type="character" w:customStyle="1" w:styleId="eop">
    <w:name w:val="eop"/>
    <w:basedOn w:val="Fuentedeprrafopredeter"/>
    <w:rsid w:val="5D8505AD"/>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E84D1C"/>
    <w:pPr>
      <w:spacing w:after="0" w:line="240" w:lineRule="auto"/>
      <w:ind w:left="720"/>
      <w:contextualSpacing/>
    </w:pPr>
    <w:rPr>
      <w:sz w:val="24"/>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E84D1C"/>
    <w:rPr>
      <w:sz w:val="24"/>
      <w:lang w:val="es-MX"/>
    </w:rPr>
  </w:style>
  <w:style w:type="character" w:customStyle="1" w:styleId="Ttulo1Car">
    <w:name w:val="Título 1 Car"/>
    <w:basedOn w:val="Fuentedeprrafopredeter"/>
    <w:link w:val="Ttulo1"/>
    <w:uiPriority w:val="9"/>
    <w:rsid w:val="00CD2E70"/>
    <w:rPr>
      <w:rFonts w:ascii="Times New Roman" w:eastAsia="Times New Roman" w:hAnsi="Times New Roman" w:cs="Times New Roman"/>
      <w:b/>
      <w:bCs/>
      <w:kern w:val="36"/>
      <w:sz w:val="48"/>
      <w:szCs w:val="48"/>
      <w:lang w:eastAsia="es-ES_tradnl"/>
    </w:rPr>
  </w:style>
  <w:style w:type="paragraph" w:customStyle="1" w:styleId="paragraph">
    <w:name w:val="paragraph"/>
    <w:basedOn w:val="Normal"/>
    <w:rsid w:val="00CD2E70"/>
    <w:pPr>
      <w:spacing w:before="100" w:beforeAutospacing="1" w:after="100" w:afterAutospacing="1" w:line="240" w:lineRule="auto"/>
    </w:pPr>
    <w:rPr>
      <w:rFonts w:ascii="Times New Roman" w:eastAsia="Times New Roman" w:hAnsi="Times New Roman" w:cs="Times New Roman"/>
      <w:sz w:val="24"/>
      <w:szCs w:val="24"/>
      <w:lang w:eastAsia="es-ES_tradnl"/>
    </w:rPr>
  </w:style>
  <w:style w:type="character" w:customStyle="1" w:styleId="superscript">
    <w:name w:val="superscript"/>
    <w:basedOn w:val="Fuentedeprrafopredeter"/>
    <w:rsid w:val="003651AC"/>
  </w:style>
  <w:style w:type="paragraph" w:styleId="NormalWeb">
    <w:name w:val="Normal (Web)"/>
    <w:basedOn w:val="Normal"/>
    <w:link w:val="NormalWebCar"/>
    <w:uiPriority w:val="99"/>
    <w:unhideWhenUsed/>
    <w:rsid w:val="00FB5FC4"/>
    <w:rPr>
      <w:rFonts w:ascii="Times New Roman" w:hAnsi="Times New Roman" w:cs="Times New Roman"/>
      <w:sz w:val="24"/>
      <w:szCs w:val="24"/>
    </w:rPr>
  </w:style>
  <w:style w:type="character" w:customStyle="1" w:styleId="Hipervnculo1">
    <w:name w:val="Hipervínculo1"/>
    <w:basedOn w:val="Fuentedeprrafopredeter"/>
    <w:uiPriority w:val="99"/>
    <w:unhideWhenUsed/>
    <w:rsid w:val="00FB5FC4"/>
    <w:rPr>
      <w:color w:val="F2F2F2"/>
      <w:u w:val="single"/>
    </w:rPr>
  </w:style>
  <w:style w:type="character" w:styleId="Fuerte">
    <w:name w:val="Strong"/>
    <w:basedOn w:val="Fuentedeprrafopredeter"/>
    <w:uiPriority w:val="22"/>
    <w:qFormat/>
    <w:rsid w:val="00FB5FC4"/>
    <w:rPr>
      <w:b/>
      <w:bCs/>
    </w:rPr>
  </w:style>
  <w:style w:type="character" w:styleId="nfasis">
    <w:name w:val="Emphasis"/>
    <w:basedOn w:val="Fuentedeprrafopredeter"/>
    <w:uiPriority w:val="20"/>
    <w:qFormat/>
    <w:rsid w:val="00FB5FC4"/>
    <w:rPr>
      <w:i/>
      <w:iCs/>
    </w:rPr>
  </w:style>
  <w:style w:type="paragraph" w:customStyle="1" w:styleId="Textoindependiente21">
    <w:name w:val="Texto independiente 21"/>
    <w:basedOn w:val="Normal"/>
    <w:rsid w:val="007A6528"/>
    <w:pPr>
      <w:overflowPunct w:val="0"/>
      <w:autoSpaceDE w:val="0"/>
      <w:autoSpaceDN w:val="0"/>
      <w:adjustRightInd w:val="0"/>
      <w:spacing w:after="0" w:line="360" w:lineRule="auto"/>
      <w:ind w:firstLine="710"/>
      <w:jc w:val="both"/>
      <w:textAlignment w:val="baseline"/>
    </w:pPr>
    <w:rPr>
      <w:rFonts w:ascii="Arial" w:eastAsia="Times New Roman" w:hAnsi="Arial" w:cs="Times New Roman"/>
      <w:sz w:val="24"/>
      <w:szCs w:val="20"/>
      <w:lang w:eastAsia="es-ES"/>
    </w:rPr>
  </w:style>
  <w:style w:type="paragraph" w:styleId="Textoindependiente">
    <w:name w:val="Body Text"/>
    <w:basedOn w:val="Normal"/>
    <w:link w:val="TextoindependienteCar"/>
    <w:uiPriority w:val="99"/>
    <w:unhideWhenUsed/>
    <w:rsid w:val="00002D5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extoindependienteCar">
    <w:name w:val="Texto independiente Car"/>
    <w:basedOn w:val="Fuentedeprrafopredeter"/>
    <w:link w:val="Textoindependiente"/>
    <w:uiPriority w:val="99"/>
    <w:rsid w:val="00002D55"/>
    <w:rPr>
      <w:rFonts w:ascii="Times New Roman" w:eastAsia="Times New Roman" w:hAnsi="Times New Roman" w:cs="Times New Roman"/>
      <w:sz w:val="24"/>
      <w:szCs w:val="24"/>
      <w:lang w:eastAsia="es-CO"/>
    </w:rPr>
  </w:style>
  <w:style w:type="character" w:customStyle="1" w:styleId="FontStyle23">
    <w:name w:val="Font Style23"/>
    <w:basedOn w:val="Fuentedeprrafopredeter"/>
    <w:rsid w:val="0081788A"/>
    <w:rPr>
      <w:rFonts w:ascii="Times New Roman" w:hAnsi="Times New Roman" w:cs="Times New Roman" w:hint="default"/>
      <w:sz w:val="20"/>
      <w:szCs w:val="20"/>
    </w:rPr>
  </w:style>
  <w:style w:type="character" w:customStyle="1" w:styleId="baj">
    <w:name w:val="b_aj"/>
    <w:basedOn w:val="Fuentedeprrafopredeter"/>
    <w:rsid w:val="00B43CE6"/>
  </w:style>
  <w:style w:type="character" w:customStyle="1" w:styleId="author-name">
    <w:name w:val="author-name"/>
    <w:basedOn w:val="Fuentedeprrafopredeter"/>
    <w:rsid w:val="00CA01BB"/>
  </w:style>
  <w:style w:type="character" w:customStyle="1" w:styleId="s15">
    <w:name w:val="s15"/>
    <w:basedOn w:val="Fuentedeprrafopredeter"/>
    <w:rsid w:val="00F11A39"/>
  </w:style>
  <w:style w:type="character" w:customStyle="1" w:styleId="apple-converted-space">
    <w:name w:val="apple-converted-space"/>
    <w:basedOn w:val="Fuentedeprrafopredeter"/>
    <w:rsid w:val="00F11A39"/>
  </w:style>
  <w:style w:type="character" w:customStyle="1" w:styleId="NormalWebCar">
    <w:name w:val="Normal (Web) Car"/>
    <w:link w:val="NormalWeb"/>
    <w:uiPriority w:val="99"/>
    <w:locked/>
    <w:rsid w:val="009E49C6"/>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134882">
      <w:bodyDiv w:val="1"/>
      <w:marLeft w:val="0"/>
      <w:marRight w:val="0"/>
      <w:marTop w:val="0"/>
      <w:marBottom w:val="0"/>
      <w:divBdr>
        <w:top w:val="none" w:sz="0" w:space="0" w:color="auto"/>
        <w:left w:val="none" w:sz="0" w:space="0" w:color="auto"/>
        <w:bottom w:val="none" w:sz="0" w:space="0" w:color="auto"/>
        <w:right w:val="none" w:sz="0" w:space="0" w:color="auto"/>
      </w:divBdr>
    </w:div>
    <w:div w:id="31460425">
      <w:bodyDiv w:val="1"/>
      <w:marLeft w:val="0"/>
      <w:marRight w:val="0"/>
      <w:marTop w:val="0"/>
      <w:marBottom w:val="0"/>
      <w:divBdr>
        <w:top w:val="none" w:sz="0" w:space="0" w:color="auto"/>
        <w:left w:val="none" w:sz="0" w:space="0" w:color="auto"/>
        <w:bottom w:val="none" w:sz="0" w:space="0" w:color="auto"/>
        <w:right w:val="none" w:sz="0" w:space="0" w:color="auto"/>
      </w:divBdr>
    </w:div>
    <w:div w:id="46149373">
      <w:bodyDiv w:val="1"/>
      <w:marLeft w:val="0"/>
      <w:marRight w:val="0"/>
      <w:marTop w:val="0"/>
      <w:marBottom w:val="0"/>
      <w:divBdr>
        <w:top w:val="none" w:sz="0" w:space="0" w:color="auto"/>
        <w:left w:val="none" w:sz="0" w:space="0" w:color="auto"/>
        <w:bottom w:val="none" w:sz="0" w:space="0" w:color="auto"/>
        <w:right w:val="none" w:sz="0" w:space="0" w:color="auto"/>
      </w:divBdr>
    </w:div>
    <w:div w:id="65763639">
      <w:bodyDiv w:val="1"/>
      <w:marLeft w:val="0"/>
      <w:marRight w:val="0"/>
      <w:marTop w:val="0"/>
      <w:marBottom w:val="0"/>
      <w:divBdr>
        <w:top w:val="none" w:sz="0" w:space="0" w:color="auto"/>
        <w:left w:val="none" w:sz="0" w:space="0" w:color="auto"/>
        <w:bottom w:val="none" w:sz="0" w:space="0" w:color="auto"/>
        <w:right w:val="none" w:sz="0" w:space="0" w:color="auto"/>
      </w:divBdr>
    </w:div>
    <w:div w:id="107549441">
      <w:bodyDiv w:val="1"/>
      <w:marLeft w:val="0"/>
      <w:marRight w:val="0"/>
      <w:marTop w:val="0"/>
      <w:marBottom w:val="0"/>
      <w:divBdr>
        <w:top w:val="none" w:sz="0" w:space="0" w:color="auto"/>
        <w:left w:val="none" w:sz="0" w:space="0" w:color="auto"/>
        <w:bottom w:val="none" w:sz="0" w:space="0" w:color="auto"/>
        <w:right w:val="none" w:sz="0" w:space="0" w:color="auto"/>
      </w:divBdr>
    </w:div>
    <w:div w:id="112671991">
      <w:bodyDiv w:val="1"/>
      <w:marLeft w:val="0"/>
      <w:marRight w:val="0"/>
      <w:marTop w:val="0"/>
      <w:marBottom w:val="0"/>
      <w:divBdr>
        <w:top w:val="none" w:sz="0" w:space="0" w:color="auto"/>
        <w:left w:val="none" w:sz="0" w:space="0" w:color="auto"/>
        <w:bottom w:val="none" w:sz="0" w:space="0" w:color="auto"/>
        <w:right w:val="none" w:sz="0" w:space="0" w:color="auto"/>
      </w:divBdr>
    </w:div>
    <w:div w:id="125584597">
      <w:bodyDiv w:val="1"/>
      <w:marLeft w:val="0"/>
      <w:marRight w:val="0"/>
      <w:marTop w:val="0"/>
      <w:marBottom w:val="0"/>
      <w:divBdr>
        <w:top w:val="none" w:sz="0" w:space="0" w:color="auto"/>
        <w:left w:val="none" w:sz="0" w:space="0" w:color="auto"/>
        <w:bottom w:val="none" w:sz="0" w:space="0" w:color="auto"/>
        <w:right w:val="none" w:sz="0" w:space="0" w:color="auto"/>
      </w:divBdr>
    </w:div>
    <w:div w:id="139424028">
      <w:bodyDiv w:val="1"/>
      <w:marLeft w:val="0"/>
      <w:marRight w:val="0"/>
      <w:marTop w:val="0"/>
      <w:marBottom w:val="0"/>
      <w:divBdr>
        <w:top w:val="none" w:sz="0" w:space="0" w:color="auto"/>
        <w:left w:val="none" w:sz="0" w:space="0" w:color="auto"/>
        <w:bottom w:val="none" w:sz="0" w:space="0" w:color="auto"/>
        <w:right w:val="none" w:sz="0" w:space="0" w:color="auto"/>
      </w:divBdr>
      <w:divsChild>
        <w:div w:id="1821341347">
          <w:marLeft w:val="0"/>
          <w:marRight w:val="0"/>
          <w:marTop w:val="0"/>
          <w:marBottom w:val="0"/>
          <w:divBdr>
            <w:top w:val="none" w:sz="0" w:space="0" w:color="auto"/>
            <w:left w:val="none" w:sz="0" w:space="0" w:color="auto"/>
            <w:bottom w:val="none" w:sz="0" w:space="0" w:color="auto"/>
            <w:right w:val="none" w:sz="0" w:space="0" w:color="auto"/>
          </w:divBdr>
          <w:divsChild>
            <w:div w:id="91904659">
              <w:marLeft w:val="0"/>
              <w:marRight w:val="0"/>
              <w:marTop w:val="0"/>
              <w:marBottom w:val="0"/>
              <w:divBdr>
                <w:top w:val="none" w:sz="0" w:space="0" w:color="auto"/>
                <w:left w:val="none" w:sz="0" w:space="0" w:color="auto"/>
                <w:bottom w:val="none" w:sz="0" w:space="0" w:color="auto"/>
                <w:right w:val="none" w:sz="0" w:space="0" w:color="auto"/>
              </w:divBdr>
              <w:divsChild>
                <w:div w:id="205610424">
                  <w:marLeft w:val="0"/>
                  <w:marRight w:val="0"/>
                  <w:marTop w:val="0"/>
                  <w:marBottom w:val="0"/>
                  <w:divBdr>
                    <w:top w:val="none" w:sz="0" w:space="0" w:color="auto"/>
                    <w:left w:val="none" w:sz="0" w:space="0" w:color="auto"/>
                    <w:bottom w:val="none" w:sz="0" w:space="0" w:color="auto"/>
                    <w:right w:val="none" w:sz="0" w:space="0" w:color="auto"/>
                  </w:divBdr>
                  <w:divsChild>
                    <w:div w:id="744687126">
                      <w:marLeft w:val="0"/>
                      <w:marRight w:val="0"/>
                      <w:marTop w:val="0"/>
                      <w:marBottom w:val="0"/>
                      <w:divBdr>
                        <w:top w:val="none" w:sz="0" w:space="0" w:color="auto"/>
                        <w:left w:val="none" w:sz="0" w:space="0" w:color="auto"/>
                        <w:bottom w:val="none" w:sz="0" w:space="0" w:color="auto"/>
                        <w:right w:val="none" w:sz="0" w:space="0" w:color="auto"/>
                      </w:divBdr>
                      <w:divsChild>
                        <w:div w:id="658389621">
                          <w:marLeft w:val="0"/>
                          <w:marRight w:val="0"/>
                          <w:marTop w:val="0"/>
                          <w:marBottom w:val="0"/>
                          <w:divBdr>
                            <w:top w:val="none" w:sz="0" w:space="0" w:color="auto"/>
                            <w:left w:val="none" w:sz="0" w:space="0" w:color="auto"/>
                            <w:bottom w:val="none" w:sz="0" w:space="0" w:color="auto"/>
                            <w:right w:val="none" w:sz="0" w:space="0" w:color="auto"/>
                          </w:divBdr>
                          <w:divsChild>
                            <w:div w:id="49117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047657">
      <w:bodyDiv w:val="1"/>
      <w:marLeft w:val="0"/>
      <w:marRight w:val="0"/>
      <w:marTop w:val="0"/>
      <w:marBottom w:val="0"/>
      <w:divBdr>
        <w:top w:val="none" w:sz="0" w:space="0" w:color="auto"/>
        <w:left w:val="none" w:sz="0" w:space="0" w:color="auto"/>
        <w:bottom w:val="none" w:sz="0" w:space="0" w:color="auto"/>
        <w:right w:val="none" w:sz="0" w:space="0" w:color="auto"/>
      </w:divBdr>
    </w:div>
    <w:div w:id="182283863">
      <w:bodyDiv w:val="1"/>
      <w:marLeft w:val="0"/>
      <w:marRight w:val="0"/>
      <w:marTop w:val="0"/>
      <w:marBottom w:val="0"/>
      <w:divBdr>
        <w:top w:val="none" w:sz="0" w:space="0" w:color="auto"/>
        <w:left w:val="none" w:sz="0" w:space="0" w:color="auto"/>
        <w:bottom w:val="none" w:sz="0" w:space="0" w:color="auto"/>
        <w:right w:val="none" w:sz="0" w:space="0" w:color="auto"/>
      </w:divBdr>
    </w:div>
    <w:div w:id="188226555">
      <w:bodyDiv w:val="1"/>
      <w:marLeft w:val="0"/>
      <w:marRight w:val="0"/>
      <w:marTop w:val="0"/>
      <w:marBottom w:val="0"/>
      <w:divBdr>
        <w:top w:val="none" w:sz="0" w:space="0" w:color="auto"/>
        <w:left w:val="none" w:sz="0" w:space="0" w:color="auto"/>
        <w:bottom w:val="none" w:sz="0" w:space="0" w:color="auto"/>
        <w:right w:val="none" w:sz="0" w:space="0" w:color="auto"/>
      </w:divBdr>
    </w:div>
    <w:div w:id="192960455">
      <w:bodyDiv w:val="1"/>
      <w:marLeft w:val="0"/>
      <w:marRight w:val="0"/>
      <w:marTop w:val="0"/>
      <w:marBottom w:val="0"/>
      <w:divBdr>
        <w:top w:val="none" w:sz="0" w:space="0" w:color="auto"/>
        <w:left w:val="none" w:sz="0" w:space="0" w:color="auto"/>
        <w:bottom w:val="none" w:sz="0" w:space="0" w:color="auto"/>
        <w:right w:val="none" w:sz="0" w:space="0" w:color="auto"/>
      </w:divBdr>
    </w:div>
    <w:div w:id="271516540">
      <w:bodyDiv w:val="1"/>
      <w:marLeft w:val="0"/>
      <w:marRight w:val="0"/>
      <w:marTop w:val="0"/>
      <w:marBottom w:val="0"/>
      <w:divBdr>
        <w:top w:val="none" w:sz="0" w:space="0" w:color="auto"/>
        <w:left w:val="none" w:sz="0" w:space="0" w:color="auto"/>
        <w:bottom w:val="none" w:sz="0" w:space="0" w:color="auto"/>
        <w:right w:val="none" w:sz="0" w:space="0" w:color="auto"/>
      </w:divBdr>
    </w:div>
    <w:div w:id="277950301">
      <w:bodyDiv w:val="1"/>
      <w:marLeft w:val="0"/>
      <w:marRight w:val="0"/>
      <w:marTop w:val="0"/>
      <w:marBottom w:val="0"/>
      <w:divBdr>
        <w:top w:val="none" w:sz="0" w:space="0" w:color="auto"/>
        <w:left w:val="none" w:sz="0" w:space="0" w:color="auto"/>
        <w:bottom w:val="none" w:sz="0" w:space="0" w:color="auto"/>
        <w:right w:val="none" w:sz="0" w:space="0" w:color="auto"/>
      </w:divBdr>
    </w:div>
    <w:div w:id="283849664">
      <w:bodyDiv w:val="1"/>
      <w:marLeft w:val="0"/>
      <w:marRight w:val="0"/>
      <w:marTop w:val="0"/>
      <w:marBottom w:val="0"/>
      <w:divBdr>
        <w:top w:val="none" w:sz="0" w:space="0" w:color="auto"/>
        <w:left w:val="none" w:sz="0" w:space="0" w:color="auto"/>
        <w:bottom w:val="none" w:sz="0" w:space="0" w:color="auto"/>
        <w:right w:val="none" w:sz="0" w:space="0" w:color="auto"/>
      </w:divBdr>
    </w:div>
    <w:div w:id="302009774">
      <w:bodyDiv w:val="1"/>
      <w:marLeft w:val="0"/>
      <w:marRight w:val="0"/>
      <w:marTop w:val="0"/>
      <w:marBottom w:val="0"/>
      <w:divBdr>
        <w:top w:val="none" w:sz="0" w:space="0" w:color="auto"/>
        <w:left w:val="none" w:sz="0" w:space="0" w:color="auto"/>
        <w:bottom w:val="none" w:sz="0" w:space="0" w:color="auto"/>
        <w:right w:val="none" w:sz="0" w:space="0" w:color="auto"/>
      </w:divBdr>
    </w:div>
    <w:div w:id="311446626">
      <w:bodyDiv w:val="1"/>
      <w:marLeft w:val="0"/>
      <w:marRight w:val="0"/>
      <w:marTop w:val="0"/>
      <w:marBottom w:val="0"/>
      <w:divBdr>
        <w:top w:val="none" w:sz="0" w:space="0" w:color="auto"/>
        <w:left w:val="none" w:sz="0" w:space="0" w:color="auto"/>
        <w:bottom w:val="none" w:sz="0" w:space="0" w:color="auto"/>
        <w:right w:val="none" w:sz="0" w:space="0" w:color="auto"/>
      </w:divBdr>
    </w:div>
    <w:div w:id="329917147">
      <w:bodyDiv w:val="1"/>
      <w:marLeft w:val="0"/>
      <w:marRight w:val="0"/>
      <w:marTop w:val="0"/>
      <w:marBottom w:val="0"/>
      <w:divBdr>
        <w:top w:val="none" w:sz="0" w:space="0" w:color="auto"/>
        <w:left w:val="none" w:sz="0" w:space="0" w:color="auto"/>
        <w:bottom w:val="none" w:sz="0" w:space="0" w:color="auto"/>
        <w:right w:val="none" w:sz="0" w:space="0" w:color="auto"/>
      </w:divBdr>
    </w:div>
    <w:div w:id="334461891">
      <w:bodyDiv w:val="1"/>
      <w:marLeft w:val="0"/>
      <w:marRight w:val="0"/>
      <w:marTop w:val="0"/>
      <w:marBottom w:val="0"/>
      <w:divBdr>
        <w:top w:val="none" w:sz="0" w:space="0" w:color="auto"/>
        <w:left w:val="none" w:sz="0" w:space="0" w:color="auto"/>
        <w:bottom w:val="none" w:sz="0" w:space="0" w:color="auto"/>
        <w:right w:val="none" w:sz="0" w:space="0" w:color="auto"/>
      </w:divBdr>
    </w:div>
    <w:div w:id="337804836">
      <w:bodyDiv w:val="1"/>
      <w:marLeft w:val="0"/>
      <w:marRight w:val="0"/>
      <w:marTop w:val="0"/>
      <w:marBottom w:val="0"/>
      <w:divBdr>
        <w:top w:val="none" w:sz="0" w:space="0" w:color="auto"/>
        <w:left w:val="none" w:sz="0" w:space="0" w:color="auto"/>
        <w:bottom w:val="none" w:sz="0" w:space="0" w:color="auto"/>
        <w:right w:val="none" w:sz="0" w:space="0" w:color="auto"/>
      </w:divBdr>
    </w:div>
    <w:div w:id="341471648">
      <w:bodyDiv w:val="1"/>
      <w:marLeft w:val="0"/>
      <w:marRight w:val="0"/>
      <w:marTop w:val="0"/>
      <w:marBottom w:val="0"/>
      <w:divBdr>
        <w:top w:val="none" w:sz="0" w:space="0" w:color="auto"/>
        <w:left w:val="none" w:sz="0" w:space="0" w:color="auto"/>
        <w:bottom w:val="none" w:sz="0" w:space="0" w:color="auto"/>
        <w:right w:val="none" w:sz="0" w:space="0" w:color="auto"/>
      </w:divBdr>
    </w:div>
    <w:div w:id="374045247">
      <w:bodyDiv w:val="1"/>
      <w:marLeft w:val="0"/>
      <w:marRight w:val="0"/>
      <w:marTop w:val="0"/>
      <w:marBottom w:val="0"/>
      <w:divBdr>
        <w:top w:val="none" w:sz="0" w:space="0" w:color="auto"/>
        <w:left w:val="none" w:sz="0" w:space="0" w:color="auto"/>
        <w:bottom w:val="none" w:sz="0" w:space="0" w:color="auto"/>
        <w:right w:val="none" w:sz="0" w:space="0" w:color="auto"/>
      </w:divBdr>
      <w:divsChild>
        <w:div w:id="506864930">
          <w:marLeft w:val="0"/>
          <w:marRight w:val="0"/>
          <w:marTop w:val="0"/>
          <w:marBottom w:val="160"/>
          <w:divBdr>
            <w:top w:val="none" w:sz="0" w:space="0" w:color="auto"/>
            <w:left w:val="none" w:sz="0" w:space="0" w:color="auto"/>
            <w:bottom w:val="none" w:sz="0" w:space="0" w:color="auto"/>
            <w:right w:val="none" w:sz="0" w:space="0" w:color="auto"/>
          </w:divBdr>
        </w:div>
        <w:div w:id="563570546">
          <w:marLeft w:val="0"/>
          <w:marRight w:val="0"/>
          <w:marTop w:val="0"/>
          <w:marBottom w:val="160"/>
          <w:divBdr>
            <w:top w:val="none" w:sz="0" w:space="0" w:color="auto"/>
            <w:left w:val="none" w:sz="0" w:space="0" w:color="auto"/>
            <w:bottom w:val="none" w:sz="0" w:space="0" w:color="auto"/>
            <w:right w:val="none" w:sz="0" w:space="0" w:color="auto"/>
          </w:divBdr>
        </w:div>
        <w:div w:id="773287731">
          <w:marLeft w:val="0"/>
          <w:marRight w:val="0"/>
          <w:marTop w:val="0"/>
          <w:marBottom w:val="160"/>
          <w:divBdr>
            <w:top w:val="none" w:sz="0" w:space="0" w:color="auto"/>
            <w:left w:val="none" w:sz="0" w:space="0" w:color="auto"/>
            <w:bottom w:val="none" w:sz="0" w:space="0" w:color="auto"/>
            <w:right w:val="none" w:sz="0" w:space="0" w:color="auto"/>
          </w:divBdr>
        </w:div>
      </w:divsChild>
    </w:div>
    <w:div w:id="428160872">
      <w:bodyDiv w:val="1"/>
      <w:marLeft w:val="0"/>
      <w:marRight w:val="0"/>
      <w:marTop w:val="0"/>
      <w:marBottom w:val="0"/>
      <w:divBdr>
        <w:top w:val="none" w:sz="0" w:space="0" w:color="auto"/>
        <w:left w:val="none" w:sz="0" w:space="0" w:color="auto"/>
        <w:bottom w:val="none" w:sz="0" w:space="0" w:color="auto"/>
        <w:right w:val="none" w:sz="0" w:space="0" w:color="auto"/>
      </w:divBdr>
    </w:div>
    <w:div w:id="432018390">
      <w:bodyDiv w:val="1"/>
      <w:marLeft w:val="0"/>
      <w:marRight w:val="0"/>
      <w:marTop w:val="0"/>
      <w:marBottom w:val="0"/>
      <w:divBdr>
        <w:top w:val="none" w:sz="0" w:space="0" w:color="auto"/>
        <w:left w:val="none" w:sz="0" w:space="0" w:color="auto"/>
        <w:bottom w:val="none" w:sz="0" w:space="0" w:color="auto"/>
        <w:right w:val="none" w:sz="0" w:space="0" w:color="auto"/>
      </w:divBdr>
    </w:div>
    <w:div w:id="438305584">
      <w:bodyDiv w:val="1"/>
      <w:marLeft w:val="0"/>
      <w:marRight w:val="0"/>
      <w:marTop w:val="0"/>
      <w:marBottom w:val="0"/>
      <w:divBdr>
        <w:top w:val="none" w:sz="0" w:space="0" w:color="auto"/>
        <w:left w:val="none" w:sz="0" w:space="0" w:color="auto"/>
        <w:bottom w:val="none" w:sz="0" w:space="0" w:color="auto"/>
        <w:right w:val="none" w:sz="0" w:space="0" w:color="auto"/>
      </w:divBdr>
    </w:div>
    <w:div w:id="493691612">
      <w:bodyDiv w:val="1"/>
      <w:marLeft w:val="0"/>
      <w:marRight w:val="0"/>
      <w:marTop w:val="0"/>
      <w:marBottom w:val="0"/>
      <w:divBdr>
        <w:top w:val="none" w:sz="0" w:space="0" w:color="auto"/>
        <w:left w:val="none" w:sz="0" w:space="0" w:color="auto"/>
        <w:bottom w:val="none" w:sz="0" w:space="0" w:color="auto"/>
        <w:right w:val="none" w:sz="0" w:space="0" w:color="auto"/>
      </w:divBdr>
    </w:div>
    <w:div w:id="497113796">
      <w:bodyDiv w:val="1"/>
      <w:marLeft w:val="0"/>
      <w:marRight w:val="0"/>
      <w:marTop w:val="0"/>
      <w:marBottom w:val="0"/>
      <w:divBdr>
        <w:top w:val="none" w:sz="0" w:space="0" w:color="auto"/>
        <w:left w:val="none" w:sz="0" w:space="0" w:color="auto"/>
        <w:bottom w:val="none" w:sz="0" w:space="0" w:color="auto"/>
        <w:right w:val="none" w:sz="0" w:space="0" w:color="auto"/>
      </w:divBdr>
      <w:divsChild>
        <w:div w:id="932205885">
          <w:marLeft w:val="0"/>
          <w:marRight w:val="0"/>
          <w:marTop w:val="0"/>
          <w:marBottom w:val="0"/>
          <w:divBdr>
            <w:top w:val="none" w:sz="0" w:space="0" w:color="auto"/>
            <w:left w:val="none" w:sz="0" w:space="0" w:color="auto"/>
            <w:bottom w:val="none" w:sz="0" w:space="0" w:color="auto"/>
            <w:right w:val="none" w:sz="0" w:space="0" w:color="auto"/>
          </w:divBdr>
          <w:divsChild>
            <w:div w:id="396978682">
              <w:marLeft w:val="0"/>
              <w:marRight w:val="0"/>
              <w:marTop w:val="0"/>
              <w:marBottom w:val="0"/>
              <w:divBdr>
                <w:top w:val="none" w:sz="0" w:space="0" w:color="auto"/>
                <w:left w:val="none" w:sz="0" w:space="0" w:color="auto"/>
                <w:bottom w:val="none" w:sz="0" w:space="0" w:color="auto"/>
                <w:right w:val="none" w:sz="0" w:space="0" w:color="auto"/>
              </w:divBdr>
              <w:divsChild>
                <w:div w:id="1886520651">
                  <w:marLeft w:val="0"/>
                  <w:marRight w:val="0"/>
                  <w:marTop w:val="0"/>
                  <w:marBottom w:val="0"/>
                  <w:divBdr>
                    <w:top w:val="none" w:sz="0" w:space="0" w:color="auto"/>
                    <w:left w:val="none" w:sz="0" w:space="0" w:color="auto"/>
                    <w:bottom w:val="none" w:sz="0" w:space="0" w:color="auto"/>
                    <w:right w:val="none" w:sz="0" w:space="0" w:color="auto"/>
                  </w:divBdr>
                  <w:divsChild>
                    <w:div w:id="1561600205">
                      <w:marLeft w:val="0"/>
                      <w:marRight w:val="0"/>
                      <w:marTop w:val="0"/>
                      <w:marBottom w:val="0"/>
                      <w:divBdr>
                        <w:top w:val="none" w:sz="0" w:space="0" w:color="auto"/>
                        <w:left w:val="none" w:sz="0" w:space="0" w:color="auto"/>
                        <w:bottom w:val="none" w:sz="0" w:space="0" w:color="auto"/>
                        <w:right w:val="none" w:sz="0" w:space="0" w:color="auto"/>
                      </w:divBdr>
                      <w:divsChild>
                        <w:div w:id="312949149">
                          <w:marLeft w:val="0"/>
                          <w:marRight w:val="0"/>
                          <w:marTop w:val="0"/>
                          <w:marBottom w:val="0"/>
                          <w:divBdr>
                            <w:top w:val="none" w:sz="0" w:space="0" w:color="auto"/>
                            <w:left w:val="none" w:sz="0" w:space="0" w:color="auto"/>
                            <w:bottom w:val="none" w:sz="0" w:space="0" w:color="auto"/>
                            <w:right w:val="none" w:sz="0" w:space="0" w:color="auto"/>
                          </w:divBdr>
                          <w:divsChild>
                            <w:div w:id="1128743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12574583">
      <w:bodyDiv w:val="1"/>
      <w:marLeft w:val="0"/>
      <w:marRight w:val="0"/>
      <w:marTop w:val="0"/>
      <w:marBottom w:val="0"/>
      <w:divBdr>
        <w:top w:val="none" w:sz="0" w:space="0" w:color="auto"/>
        <w:left w:val="none" w:sz="0" w:space="0" w:color="auto"/>
        <w:bottom w:val="none" w:sz="0" w:space="0" w:color="auto"/>
        <w:right w:val="none" w:sz="0" w:space="0" w:color="auto"/>
      </w:divBdr>
    </w:div>
    <w:div w:id="569076646">
      <w:bodyDiv w:val="1"/>
      <w:marLeft w:val="0"/>
      <w:marRight w:val="0"/>
      <w:marTop w:val="0"/>
      <w:marBottom w:val="0"/>
      <w:divBdr>
        <w:top w:val="none" w:sz="0" w:space="0" w:color="auto"/>
        <w:left w:val="none" w:sz="0" w:space="0" w:color="auto"/>
        <w:bottom w:val="none" w:sz="0" w:space="0" w:color="auto"/>
        <w:right w:val="none" w:sz="0" w:space="0" w:color="auto"/>
      </w:divBdr>
    </w:div>
    <w:div w:id="582882439">
      <w:bodyDiv w:val="1"/>
      <w:marLeft w:val="0"/>
      <w:marRight w:val="0"/>
      <w:marTop w:val="0"/>
      <w:marBottom w:val="0"/>
      <w:divBdr>
        <w:top w:val="none" w:sz="0" w:space="0" w:color="auto"/>
        <w:left w:val="none" w:sz="0" w:space="0" w:color="auto"/>
        <w:bottom w:val="none" w:sz="0" w:space="0" w:color="auto"/>
        <w:right w:val="none" w:sz="0" w:space="0" w:color="auto"/>
      </w:divBdr>
    </w:div>
    <w:div w:id="588775434">
      <w:bodyDiv w:val="1"/>
      <w:marLeft w:val="0"/>
      <w:marRight w:val="0"/>
      <w:marTop w:val="0"/>
      <w:marBottom w:val="0"/>
      <w:divBdr>
        <w:top w:val="none" w:sz="0" w:space="0" w:color="auto"/>
        <w:left w:val="none" w:sz="0" w:space="0" w:color="auto"/>
        <w:bottom w:val="none" w:sz="0" w:space="0" w:color="auto"/>
        <w:right w:val="none" w:sz="0" w:space="0" w:color="auto"/>
      </w:divBdr>
      <w:divsChild>
        <w:div w:id="686953851">
          <w:marLeft w:val="0"/>
          <w:marRight w:val="0"/>
          <w:marTop w:val="0"/>
          <w:marBottom w:val="0"/>
          <w:divBdr>
            <w:top w:val="none" w:sz="0" w:space="0" w:color="auto"/>
            <w:left w:val="none" w:sz="0" w:space="0" w:color="auto"/>
            <w:bottom w:val="none" w:sz="0" w:space="0" w:color="auto"/>
            <w:right w:val="none" w:sz="0" w:space="0" w:color="auto"/>
          </w:divBdr>
          <w:divsChild>
            <w:div w:id="172259401">
              <w:marLeft w:val="0"/>
              <w:marRight w:val="0"/>
              <w:marTop w:val="0"/>
              <w:marBottom w:val="0"/>
              <w:divBdr>
                <w:top w:val="none" w:sz="0" w:space="0" w:color="auto"/>
                <w:left w:val="none" w:sz="0" w:space="0" w:color="auto"/>
                <w:bottom w:val="none" w:sz="0" w:space="0" w:color="auto"/>
                <w:right w:val="none" w:sz="0" w:space="0" w:color="auto"/>
              </w:divBdr>
              <w:divsChild>
                <w:div w:id="2105608189">
                  <w:marLeft w:val="0"/>
                  <w:marRight w:val="0"/>
                  <w:marTop w:val="0"/>
                  <w:marBottom w:val="0"/>
                  <w:divBdr>
                    <w:top w:val="none" w:sz="0" w:space="0" w:color="auto"/>
                    <w:left w:val="none" w:sz="0" w:space="0" w:color="auto"/>
                    <w:bottom w:val="none" w:sz="0" w:space="0" w:color="auto"/>
                    <w:right w:val="none" w:sz="0" w:space="0" w:color="auto"/>
                  </w:divBdr>
                  <w:divsChild>
                    <w:div w:id="1691952384">
                      <w:marLeft w:val="0"/>
                      <w:marRight w:val="0"/>
                      <w:marTop w:val="0"/>
                      <w:marBottom w:val="0"/>
                      <w:divBdr>
                        <w:top w:val="none" w:sz="0" w:space="0" w:color="auto"/>
                        <w:left w:val="none" w:sz="0" w:space="0" w:color="auto"/>
                        <w:bottom w:val="none" w:sz="0" w:space="0" w:color="auto"/>
                        <w:right w:val="none" w:sz="0" w:space="0" w:color="auto"/>
                      </w:divBdr>
                      <w:divsChild>
                        <w:div w:id="1490360998">
                          <w:marLeft w:val="0"/>
                          <w:marRight w:val="0"/>
                          <w:marTop w:val="0"/>
                          <w:marBottom w:val="0"/>
                          <w:divBdr>
                            <w:top w:val="none" w:sz="0" w:space="0" w:color="auto"/>
                            <w:left w:val="none" w:sz="0" w:space="0" w:color="auto"/>
                            <w:bottom w:val="none" w:sz="0" w:space="0" w:color="auto"/>
                            <w:right w:val="none" w:sz="0" w:space="0" w:color="auto"/>
                          </w:divBdr>
                          <w:divsChild>
                            <w:div w:id="626544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03080197">
      <w:bodyDiv w:val="1"/>
      <w:marLeft w:val="0"/>
      <w:marRight w:val="0"/>
      <w:marTop w:val="0"/>
      <w:marBottom w:val="0"/>
      <w:divBdr>
        <w:top w:val="none" w:sz="0" w:space="0" w:color="auto"/>
        <w:left w:val="none" w:sz="0" w:space="0" w:color="auto"/>
        <w:bottom w:val="none" w:sz="0" w:space="0" w:color="auto"/>
        <w:right w:val="none" w:sz="0" w:space="0" w:color="auto"/>
      </w:divBdr>
    </w:div>
    <w:div w:id="639845968">
      <w:bodyDiv w:val="1"/>
      <w:marLeft w:val="0"/>
      <w:marRight w:val="0"/>
      <w:marTop w:val="0"/>
      <w:marBottom w:val="0"/>
      <w:divBdr>
        <w:top w:val="none" w:sz="0" w:space="0" w:color="auto"/>
        <w:left w:val="none" w:sz="0" w:space="0" w:color="auto"/>
        <w:bottom w:val="none" w:sz="0" w:space="0" w:color="auto"/>
        <w:right w:val="none" w:sz="0" w:space="0" w:color="auto"/>
      </w:divBdr>
    </w:div>
    <w:div w:id="696200587">
      <w:bodyDiv w:val="1"/>
      <w:marLeft w:val="0"/>
      <w:marRight w:val="0"/>
      <w:marTop w:val="0"/>
      <w:marBottom w:val="0"/>
      <w:divBdr>
        <w:top w:val="none" w:sz="0" w:space="0" w:color="auto"/>
        <w:left w:val="none" w:sz="0" w:space="0" w:color="auto"/>
        <w:bottom w:val="none" w:sz="0" w:space="0" w:color="auto"/>
        <w:right w:val="none" w:sz="0" w:space="0" w:color="auto"/>
      </w:divBdr>
    </w:div>
    <w:div w:id="719481719">
      <w:bodyDiv w:val="1"/>
      <w:marLeft w:val="0"/>
      <w:marRight w:val="0"/>
      <w:marTop w:val="0"/>
      <w:marBottom w:val="0"/>
      <w:divBdr>
        <w:top w:val="none" w:sz="0" w:space="0" w:color="auto"/>
        <w:left w:val="none" w:sz="0" w:space="0" w:color="auto"/>
        <w:bottom w:val="none" w:sz="0" w:space="0" w:color="auto"/>
        <w:right w:val="none" w:sz="0" w:space="0" w:color="auto"/>
      </w:divBdr>
    </w:div>
    <w:div w:id="723599209">
      <w:bodyDiv w:val="1"/>
      <w:marLeft w:val="0"/>
      <w:marRight w:val="0"/>
      <w:marTop w:val="0"/>
      <w:marBottom w:val="0"/>
      <w:divBdr>
        <w:top w:val="none" w:sz="0" w:space="0" w:color="auto"/>
        <w:left w:val="none" w:sz="0" w:space="0" w:color="auto"/>
        <w:bottom w:val="none" w:sz="0" w:space="0" w:color="auto"/>
        <w:right w:val="none" w:sz="0" w:space="0" w:color="auto"/>
      </w:divBdr>
    </w:div>
    <w:div w:id="745341291">
      <w:bodyDiv w:val="1"/>
      <w:marLeft w:val="0"/>
      <w:marRight w:val="0"/>
      <w:marTop w:val="0"/>
      <w:marBottom w:val="0"/>
      <w:divBdr>
        <w:top w:val="none" w:sz="0" w:space="0" w:color="auto"/>
        <w:left w:val="none" w:sz="0" w:space="0" w:color="auto"/>
        <w:bottom w:val="none" w:sz="0" w:space="0" w:color="auto"/>
        <w:right w:val="none" w:sz="0" w:space="0" w:color="auto"/>
      </w:divBdr>
    </w:div>
    <w:div w:id="784926870">
      <w:bodyDiv w:val="1"/>
      <w:marLeft w:val="0"/>
      <w:marRight w:val="0"/>
      <w:marTop w:val="0"/>
      <w:marBottom w:val="0"/>
      <w:divBdr>
        <w:top w:val="none" w:sz="0" w:space="0" w:color="auto"/>
        <w:left w:val="none" w:sz="0" w:space="0" w:color="auto"/>
        <w:bottom w:val="none" w:sz="0" w:space="0" w:color="auto"/>
        <w:right w:val="none" w:sz="0" w:space="0" w:color="auto"/>
      </w:divBdr>
    </w:div>
    <w:div w:id="850341528">
      <w:bodyDiv w:val="1"/>
      <w:marLeft w:val="0"/>
      <w:marRight w:val="0"/>
      <w:marTop w:val="0"/>
      <w:marBottom w:val="0"/>
      <w:divBdr>
        <w:top w:val="none" w:sz="0" w:space="0" w:color="auto"/>
        <w:left w:val="none" w:sz="0" w:space="0" w:color="auto"/>
        <w:bottom w:val="none" w:sz="0" w:space="0" w:color="auto"/>
        <w:right w:val="none" w:sz="0" w:space="0" w:color="auto"/>
      </w:divBdr>
    </w:div>
    <w:div w:id="905454849">
      <w:bodyDiv w:val="1"/>
      <w:marLeft w:val="0"/>
      <w:marRight w:val="0"/>
      <w:marTop w:val="0"/>
      <w:marBottom w:val="0"/>
      <w:divBdr>
        <w:top w:val="none" w:sz="0" w:space="0" w:color="auto"/>
        <w:left w:val="none" w:sz="0" w:space="0" w:color="auto"/>
        <w:bottom w:val="none" w:sz="0" w:space="0" w:color="auto"/>
        <w:right w:val="none" w:sz="0" w:space="0" w:color="auto"/>
      </w:divBdr>
      <w:divsChild>
        <w:div w:id="591283175">
          <w:marLeft w:val="0"/>
          <w:marRight w:val="0"/>
          <w:marTop w:val="0"/>
          <w:marBottom w:val="160"/>
          <w:divBdr>
            <w:top w:val="none" w:sz="0" w:space="0" w:color="auto"/>
            <w:left w:val="none" w:sz="0" w:space="0" w:color="auto"/>
            <w:bottom w:val="none" w:sz="0" w:space="0" w:color="auto"/>
            <w:right w:val="none" w:sz="0" w:space="0" w:color="auto"/>
          </w:divBdr>
        </w:div>
        <w:div w:id="2145074026">
          <w:marLeft w:val="0"/>
          <w:marRight w:val="0"/>
          <w:marTop w:val="0"/>
          <w:marBottom w:val="160"/>
          <w:divBdr>
            <w:top w:val="none" w:sz="0" w:space="0" w:color="auto"/>
            <w:left w:val="none" w:sz="0" w:space="0" w:color="auto"/>
            <w:bottom w:val="none" w:sz="0" w:space="0" w:color="auto"/>
            <w:right w:val="none" w:sz="0" w:space="0" w:color="auto"/>
          </w:divBdr>
        </w:div>
        <w:div w:id="1578511561">
          <w:marLeft w:val="0"/>
          <w:marRight w:val="0"/>
          <w:marTop w:val="0"/>
          <w:marBottom w:val="160"/>
          <w:divBdr>
            <w:top w:val="none" w:sz="0" w:space="0" w:color="auto"/>
            <w:left w:val="none" w:sz="0" w:space="0" w:color="auto"/>
            <w:bottom w:val="none" w:sz="0" w:space="0" w:color="auto"/>
            <w:right w:val="none" w:sz="0" w:space="0" w:color="auto"/>
          </w:divBdr>
        </w:div>
      </w:divsChild>
    </w:div>
    <w:div w:id="935362018">
      <w:bodyDiv w:val="1"/>
      <w:marLeft w:val="0"/>
      <w:marRight w:val="0"/>
      <w:marTop w:val="0"/>
      <w:marBottom w:val="0"/>
      <w:divBdr>
        <w:top w:val="none" w:sz="0" w:space="0" w:color="auto"/>
        <w:left w:val="none" w:sz="0" w:space="0" w:color="auto"/>
        <w:bottom w:val="none" w:sz="0" w:space="0" w:color="auto"/>
        <w:right w:val="none" w:sz="0" w:space="0" w:color="auto"/>
      </w:divBdr>
    </w:div>
    <w:div w:id="951672208">
      <w:bodyDiv w:val="1"/>
      <w:marLeft w:val="0"/>
      <w:marRight w:val="0"/>
      <w:marTop w:val="0"/>
      <w:marBottom w:val="0"/>
      <w:divBdr>
        <w:top w:val="none" w:sz="0" w:space="0" w:color="auto"/>
        <w:left w:val="none" w:sz="0" w:space="0" w:color="auto"/>
        <w:bottom w:val="none" w:sz="0" w:space="0" w:color="auto"/>
        <w:right w:val="none" w:sz="0" w:space="0" w:color="auto"/>
      </w:divBdr>
    </w:div>
    <w:div w:id="1015158801">
      <w:bodyDiv w:val="1"/>
      <w:marLeft w:val="0"/>
      <w:marRight w:val="0"/>
      <w:marTop w:val="0"/>
      <w:marBottom w:val="0"/>
      <w:divBdr>
        <w:top w:val="none" w:sz="0" w:space="0" w:color="auto"/>
        <w:left w:val="none" w:sz="0" w:space="0" w:color="auto"/>
        <w:bottom w:val="none" w:sz="0" w:space="0" w:color="auto"/>
        <w:right w:val="none" w:sz="0" w:space="0" w:color="auto"/>
      </w:divBdr>
    </w:div>
    <w:div w:id="1017657566">
      <w:bodyDiv w:val="1"/>
      <w:marLeft w:val="0"/>
      <w:marRight w:val="0"/>
      <w:marTop w:val="0"/>
      <w:marBottom w:val="0"/>
      <w:divBdr>
        <w:top w:val="none" w:sz="0" w:space="0" w:color="auto"/>
        <w:left w:val="none" w:sz="0" w:space="0" w:color="auto"/>
        <w:bottom w:val="none" w:sz="0" w:space="0" w:color="auto"/>
        <w:right w:val="none" w:sz="0" w:space="0" w:color="auto"/>
      </w:divBdr>
    </w:div>
    <w:div w:id="1022704690">
      <w:bodyDiv w:val="1"/>
      <w:marLeft w:val="0"/>
      <w:marRight w:val="0"/>
      <w:marTop w:val="0"/>
      <w:marBottom w:val="0"/>
      <w:divBdr>
        <w:top w:val="none" w:sz="0" w:space="0" w:color="auto"/>
        <w:left w:val="none" w:sz="0" w:space="0" w:color="auto"/>
        <w:bottom w:val="none" w:sz="0" w:space="0" w:color="auto"/>
        <w:right w:val="none" w:sz="0" w:space="0" w:color="auto"/>
      </w:divBdr>
    </w:div>
    <w:div w:id="1067846211">
      <w:bodyDiv w:val="1"/>
      <w:marLeft w:val="0"/>
      <w:marRight w:val="0"/>
      <w:marTop w:val="0"/>
      <w:marBottom w:val="0"/>
      <w:divBdr>
        <w:top w:val="none" w:sz="0" w:space="0" w:color="auto"/>
        <w:left w:val="none" w:sz="0" w:space="0" w:color="auto"/>
        <w:bottom w:val="none" w:sz="0" w:space="0" w:color="auto"/>
        <w:right w:val="none" w:sz="0" w:space="0" w:color="auto"/>
      </w:divBdr>
    </w:div>
    <w:div w:id="1072897937">
      <w:bodyDiv w:val="1"/>
      <w:marLeft w:val="0"/>
      <w:marRight w:val="0"/>
      <w:marTop w:val="0"/>
      <w:marBottom w:val="0"/>
      <w:divBdr>
        <w:top w:val="none" w:sz="0" w:space="0" w:color="auto"/>
        <w:left w:val="none" w:sz="0" w:space="0" w:color="auto"/>
        <w:bottom w:val="none" w:sz="0" w:space="0" w:color="auto"/>
        <w:right w:val="none" w:sz="0" w:space="0" w:color="auto"/>
      </w:divBdr>
    </w:div>
    <w:div w:id="1090585167">
      <w:bodyDiv w:val="1"/>
      <w:marLeft w:val="0"/>
      <w:marRight w:val="0"/>
      <w:marTop w:val="0"/>
      <w:marBottom w:val="0"/>
      <w:divBdr>
        <w:top w:val="none" w:sz="0" w:space="0" w:color="auto"/>
        <w:left w:val="none" w:sz="0" w:space="0" w:color="auto"/>
        <w:bottom w:val="none" w:sz="0" w:space="0" w:color="auto"/>
        <w:right w:val="none" w:sz="0" w:space="0" w:color="auto"/>
      </w:divBdr>
    </w:div>
    <w:div w:id="1107236897">
      <w:bodyDiv w:val="1"/>
      <w:marLeft w:val="0"/>
      <w:marRight w:val="0"/>
      <w:marTop w:val="0"/>
      <w:marBottom w:val="0"/>
      <w:divBdr>
        <w:top w:val="none" w:sz="0" w:space="0" w:color="auto"/>
        <w:left w:val="none" w:sz="0" w:space="0" w:color="auto"/>
        <w:bottom w:val="none" w:sz="0" w:space="0" w:color="auto"/>
        <w:right w:val="none" w:sz="0" w:space="0" w:color="auto"/>
      </w:divBdr>
      <w:divsChild>
        <w:div w:id="477647396">
          <w:marLeft w:val="0"/>
          <w:marRight w:val="0"/>
          <w:marTop w:val="0"/>
          <w:marBottom w:val="0"/>
          <w:divBdr>
            <w:top w:val="none" w:sz="0" w:space="0" w:color="auto"/>
            <w:left w:val="none" w:sz="0" w:space="0" w:color="auto"/>
            <w:bottom w:val="none" w:sz="0" w:space="0" w:color="auto"/>
            <w:right w:val="none" w:sz="0" w:space="0" w:color="auto"/>
          </w:divBdr>
          <w:divsChild>
            <w:div w:id="796800405">
              <w:marLeft w:val="0"/>
              <w:marRight w:val="0"/>
              <w:marTop w:val="0"/>
              <w:marBottom w:val="0"/>
              <w:divBdr>
                <w:top w:val="none" w:sz="0" w:space="0" w:color="auto"/>
                <w:left w:val="none" w:sz="0" w:space="0" w:color="auto"/>
                <w:bottom w:val="none" w:sz="0" w:space="0" w:color="auto"/>
                <w:right w:val="none" w:sz="0" w:space="0" w:color="auto"/>
              </w:divBdr>
              <w:divsChild>
                <w:div w:id="969165727">
                  <w:marLeft w:val="0"/>
                  <w:marRight w:val="0"/>
                  <w:marTop w:val="0"/>
                  <w:marBottom w:val="0"/>
                  <w:divBdr>
                    <w:top w:val="none" w:sz="0" w:space="0" w:color="auto"/>
                    <w:left w:val="none" w:sz="0" w:space="0" w:color="auto"/>
                    <w:bottom w:val="none" w:sz="0" w:space="0" w:color="auto"/>
                    <w:right w:val="none" w:sz="0" w:space="0" w:color="auto"/>
                  </w:divBdr>
                  <w:divsChild>
                    <w:div w:id="324626554">
                      <w:marLeft w:val="0"/>
                      <w:marRight w:val="0"/>
                      <w:marTop w:val="0"/>
                      <w:marBottom w:val="0"/>
                      <w:divBdr>
                        <w:top w:val="none" w:sz="0" w:space="0" w:color="auto"/>
                        <w:left w:val="none" w:sz="0" w:space="0" w:color="auto"/>
                        <w:bottom w:val="none" w:sz="0" w:space="0" w:color="auto"/>
                        <w:right w:val="none" w:sz="0" w:space="0" w:color="auto"/>
                      </w:divBdr>
                      <w:divsChild>
                        <w:div w:id="1435707499">
                          <w:marLeft w:val="0"/>
                          <w:marRight w:val="0"/>
                          <w:marTop w:val="0"/>
                          <w:marBottom w:val="0"/>
                          <w:divBdr>
                            <w:top w:val="none" w:sz="0" w:space="0" w:color="auto"/>
                            <w:left w:val="none" w:sz="0" w:space="0" w:color="auto"/>
                            <w:bottom w:val="none" w:sz="0" w:space="0" w:color="auto"/>
                            <w:right w:val="none" w:sz="0" w:space="0" w:color="auto"/>
                          </w:divBdr>
                          <w:divsChild>
                            <w:div w:id="330301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10246720">
      <w:bodyDiv w:val="1"/>
      <w:marLeft w:val="0"/>
      <w:marRight w:val="0"/>
      <w:marTop w:val="0"/>
      <w:marBottom w:val="0"/>
      <w:divBdr>
        <w:top w:val="none" w:sz="0" w:space="0" w:color="auto"/>
        <w:left w:val="none" w:sz="0" w:space="0" w:color="auto"/>
        <w:bottom w:val="none" w:sz="0" w:space="0" w:color="auto"/>
        <w:right w:val="none" w:sz="0" w:space="0" w:color="auto"/>
      </w:divBdr>
    </w:div>
    <w:div w:id="1153371148">
      <w:bodyDiv w:val="1"/>
      <w:marLeft w:val="0"/>
      <w:marRight w:val="0"/>
      <w:marTop w:val="0"/>
      <w:marBottom w:val="0"/>
      <w:divBdr>
        <w:top w:val="none" w:sz="0" w:space="0" w:color="auto"/>
        <w:left w:val="none" w:sz="0" w:space="0" w:color="auto"/>
        <w:bottom w:val="none" w:sz="0" w:space="0" w:color="auto"/>
        <w:right w:val="none" w:sz="0" w:space="0" w:color="auto"/>
      </w:divBdr>
      <w:divsChild>
        <w:div w:id="578834935">
          <w:marLeft w:val="0"/>
          <w:marRight w:val="0"/>
          <w:marTop w:val="0"/>
          <w:marBottom w:val="160"/>
          <w:divBdr>
            <w:top w:val="none" w:sz="0" w:space="0" w:color="auto"/>
            <w:left w:val="none" w:sz="0" w:space="0" w:color="auto"/>
            <w:bottom w:val="none" w:sz="0" w:space="0" w:color="auto"/>
            <w:right w:val="none" w:sz="0" w:space="0" w:color="auto"/>
          </w:divBdr>
        </w:div>
        <w:div w:id="86193346">
          <w:marLeft w:val="0"/>
          <w:marRight w:val="0"/>
          <w:marTop w:val="0"/>
          <w:marBottom w:val="160"/>
          <w:divBdr>
            <w:top w:val="none" w:sz="0" w:space="0" w:color="auto"/>
            <w:left w:val="none" w:sz="0" w:space="0" w:color="auto"/>
            <w:bottom w:val="none" w:sz="0" w:space="0" w:color="auto"/>
            <w:right w:val="none" w:sz="0" w:space="0" w:color="auto"/>
          </w:divBdr>
        </w:div>
        <w:div w:id="185557124">
          <w:marLeft w:val="0"/>
          <w:marRight w:val="0"/>
          <w:marTop w:val="0"/>
          <w:marBottom w:val="160"/>
          <w:divBdr>
            <w:top w:val="none" w:sz="0" w:space="0" w:color="auto"/>
            <w:left w:val="none" w:sz="0" w:space="0" w:color="auto"/>
            <w:bottom w:val="none" w:sz="0" w:space="0" w:color="auto"/>
            <w:right w:val="none" w:sz="0" w:space="0" w:color="auto"/>
          </w:divBdr>
        </w:div>
      </w:divsChild>
    </w:div>
    <w:div w:id="1165128992">
      <w:bodyDiv w:val="1"/>
      <w:marLeft w:val="0"/>
      <w:marRight w:val="0"/>
      <w:marTop w:val="0"/>
      <w:marBottom w:val="0"/>
      <w:divBdr>
        <w:top w:val="none" w:sz="0" w:space="0" w:color="auto"/>
        <w:left w:val="none" w:sz="0" w:space="0" w:color="auto"/>
        <w:bottom w:val="none" w:sz="0" w:space="0" w:color="auto"/>
        <w:right w:val="none" w:sz="0" w:space="0" w:color="auto"/>
      </w:divBdr>
    </w:div>
    <w:div w:id="1189367032">
      <w:bodyDiv w:val="1"/>
      <w:marLeft w:val="0"/>
      <w:marRight w:val="0"/>
      <w:marTop w:val="0"/>
      <w:marBottom w:val="0"/>
      <w:divBdr>
        <w:top w:val="none" w:sz="0" w:space="0" w:color="auto"/>
        <w:left w:val="none" w:sz="0" w:space="0" w:color="auto"/>
        <w:bottom w:val="none" w:sz="0" w:space="0" w:color="auto"/>
        <w:right w:val="none" w:sz="0" w:space="0" w:color="auto"/>
      </w:divBdr>
    </w:div>
    <w:div w:id="1200049807">
      <w:bodyDiv w:val="1"/>
      <w:marLeft w:val="0"/>
      <w:marRight w:val="0"/>
      <w:marTop w:val="0"/>
      <w:marBottom w:val="0"/>
      <w:divBdr>
        <w:top w:val="none" w:sz="0" w:space="0" w:color="auto"/>
        <w:left w:val="none" w:sz="0" w:space="0" w:color="auto"/>
        <w:bottom w:val="none" w:sz="0" w:space="0" w:color="auto"/>
        <w:right w:val="none" w:sz="0" w:space="0" w:color="auto"/>
      </w:divBdr>
    </w:div>
    <w:div w:id="1243177627">
      <w:bodyDiv w:val="1"/>
      <w:marLeft w:val="0"/>
      <w:marRight w:val="0"/>
      <w:marTop w:val="0"/>
      <w:marBottom w:val="0"/>
      <w:divBdr>
        <w:top w:val="none" w:sz="0" w:space="0" w:color="auto"/>
        <w:left w:val="none" w:sz="0" w:space="0" w:color="auto"/>
        <w:bottom w:val="none" w:sz="0" w:space="0" w:color="auto"/>
        <w:right w:val="none" w:sz="0" w:space="0" w:color="auto"/>
      </w:divBdr>
    </w:div>
    <w:div w:id="1320504720">
      <w:bodyDiv w:val="1"/>
      <w:marLeft w:val="0"/>
      <w:marRight w:val="0"/>
      <w:marTop w:val="0"/>
      <w:marBottom w:val="0"/>
      <w:divBdr>
        <w:top w:val="none" w:sz="0" w:space="0" w:color="auto"/>
        <w:left w:val="none" w:sz="0" w:space="0" w:color="auto"/>
        <w:bottom w:val="none" w:sz="0" w:space="0" w:color="auto"/>
        <w:right w:val="none" w:sz="0" w:space="0" w:color="auto"/>
      </w:divBdr>
    </w:div>
    <w:div w:id="1347245505">
      <w:bodyDiv w:val="1"/>
      <w:marLeft w:val="0"/>
      <w:marRight w:val="0"/>
      <w:marTop w:val="0"/>
      <w:marBottom w:val="0"/>
      <w:divBdr>
        <w:top w:val="none" w:sz="0" w:space="0" w:color="auto"/>
        <w:left w:val="none" w:sz="0" w:space="0" w:color="auto"/>
        <w:bottom w:val="none" w:sz="0" w:space="0" w:color="auto"/>
        <w:right w:val="none" w:sz="0" w:space="0" w:color="auto"/>
      </w:divBdr>
    </w:div>
    <w:div w:id="1350988023">
      <w:bodyDiv w:val="1"/>
      <w:marLeft w:val="0"/>
      <w:marRight w:val="0"/>
      <w:marTop w:val="0"/>
      <w:marBottom w:val="0"/>
      <w:divBdr>
        <w:top w:val="none" w:sz="0" w:space="0" w:color="auto"/>
        <w:left w:val="none" w:sz="0" w:space="0" w:color="auto"/>
        <w:bottom w:val="none" w:sz="0" w:space="0" w:color="auto"/>
        <w:right w:val="none" w:sz="0" w:space="0" w:color="auto"/>
      </w:divBdr>
    </w:div>
    <w:div w:id="1383409235">
      <w:bodyDiv w:val="1"/>
      <w:marLeft w:val="0"/>
      <w:marRight w:val="0"/>
      <w:marTop w:val="0"/>
      <w:marBottom w:val="0"/>
      <w:divBdr>
        <w:top w:val="none" w:sz="0" w:space="0" w:color="auto"/>
        <w:left w:val="none" w:sz="0" w:space="0" w:color="auto"/>
        <w:bottom w:val="none" w:sz="0" w:space="0" w:color="auto"/>
        <w:right w:val="none" w:sz="0" w:space="0" w:color="auto"/>
      </w:divBdr>
    </w:div>
    <w:div w:id="1391033297">
      <w:bodyDiv w:val="1"/>
      <w:marLeft w:val="0"/>
      <w:marRight w:val="0"/>
      <w:marTop w:val="0"/>
      <w:marBottom w:val="0"/>
      <w:divBdr>
        <w:top w:val="none" w:sz="0" w:space="0" w:color="auto"/>
        <w:left w:val="none" w:sz="0" w:space="0" w:color="auto"/>
        <w:bottom w:val="none" w:sz="0" w:space="0" w:color="auto"/>
        <w:right w:val="none" w:sz="0" w:space="0" w:color="auto"/>
      </w:divBdr>
      <w:divsChild>
        <w:div w:id="1302231751">
          <w:marLeft w:val="0"/>
          <w:marRight w:val="0"/>
          <w:marTop w:val="0"/>
          <w:marBottom w:val="0"/>
          <w:divBdr>
            <w:top w:val="none" w:sz="0" w:space="0" w:color="auto"/>
            <w:left w:val="none" w:sz="0" w:space="0" w:color="auto"/>
            <w:bottom w:val="none" w:sz="0" w:space="0" w:color="auto"/>
            <w:right w:val="none" w:sz="0" w:space="0" w:color="auto"/>
          </w:divBdr>
          <w:divsChild>
            <w:div w:id="1910311305">
              <w:marLeft w:val="0"/>
              <w:marRight w:val="0"/>
              <w:marTop w:val="0"/>
              <w:marBottom w:val="0"/>
              <w:divBdr>
                <w:top w:val="none" w:sz="0" w:space="0" w:color="auto"/>
                <w:left w:val="none" w:sz="0" w:space="0" w:color="auto"/>
                <w:bottom w:val="none" w:sz="0" w:space="0" w:color="auto"/>
                <w:right w:val="none" w:sz="0" w:space="0" w:color="auto"/>
              </w:divBdr>
              <w:divsChild>
                <w:div w:id="245462431">
                  <w:marLeft w:val="0"/>
                  <w:marRight w:val="0"/>
                  <w:marTop w:val="0"/>
                  <w:marBottom w:val="0"/>
                  <w:divBdr>
                    <w:top w:val="none" w:sz="0" w:space="0" w:color="auto"/>
                    <w:left w:val="none" w:sz="0" w:space="0" w:color="auto"/>
                    <w:bottom w:val="none" w:sz="0" w:space="0" w:color="auto"/>
                    <w:right w:val="none" w:sz="0" w:space="0" w:color="auto"/>
                  </w:divBdr>
                  <w:divsChild>
                    <w:div w:id="1029255869">
                      <w:marLeft w:val="0"/>
                      <w:marRight w:val="0"/>
                      <w:marTop w:val="0"/>
                      <w:marBottom w:val="0"/>
                      <w:divBdr>
                        <w:top w:val="none" w:sz="0" w:space="0" w:color="auto"/>
                        <w:left w:val="none" w:sz="0" w:space="0" w:color="auto"/>
                        <w:bottom w:val="none" w:sz="0" w:space="0" w:color="auto"/>
                        <w:right w:val="none" w:sz="0" w:space="0" w:color="auto"/>
                      </w:divBdr>
                      <w:divsChild>
                        <w:div w:id="613244225">
                          <w:marLeft w:val="0"/>
                          <w:marRight w:val="0"/>
                          <w:marTop w:val="0"/>
                          <w:marBottom w:val="0"/>
                          <w:divBdr>
                            <w:top w:val="none" w:sz="0" w:space="0" w:color="auto"/>
                            <w:left w:val="none" w:sz="0" w:space="0" w:color="auto"/>
                            <w:bottom w:val="none" w:sz="0" w:space="0" w:color="auto"/>
                            <w:right w:val="none" w:sz="0" w:space="0" w:color="auto"/>
                          </w:divBdr>
                          <w:divsChild>
                            <w:div w:id="582883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6247560">
      <w:bodyDiv w:val="1"/>
      <w:marLeft w:val="0"/>
      <w:marRight w:val="0"/>
      <w:marTop w:val="0"/>
      <w:marBottom w:val="0"/>
      <w:divBdr>
        <w:top w:val="none" w:sz="0" w:space="0" w:color="auto"/>
        <w:left w:val="none" w:sz="0" w:space="0" w:color="auto"/>
        <w:bottom w:val="none" w:sz="0" w:space="0" w:color="auto"/>
        <w:right w:val="none" w:sz="0" w:space="0" w:color="auto"/>
      </w:divBdr>
    </w:div>
    <w:div w:id="1448115632">
      <w:bodyDiv w:val="1"/>
      <w:marLeft w:val="0"/>
      <w:marRight w:val="0"/>
      <w:marTop w:val="0"/>
      <w:marBottom w:val="0"/>
      <w:divBdr>
        <w:top w:val="none" w:sz="0" w:space="0" w:color="auto"/>
        <w:left w:val="none" w:sz="0" w:space="0" w:color="auto"/>
        <w:bottom w:val="none" w:sz="0" w:space="0" w:color="auto"/>
        <w:right w:val="none" w:sz="0" w:space="0" w:color="auto"/>
      </w:divBdr>
    </w:div>
    <w:div w:id="1475366781">
      <w:bodyDiv w:val="1"/>
      <w:marLeft w:val="0"/>
      <w:marRight w:val="0"/>
      <w:marTop w:val="0"/>
      <w:marBottom w:val="0"/>
      <w:divBdr>
        <w:top w:val="none" w:sz="0" w:space="0" w:color="auto"/>
        <w:left w:val="none" w:sz="0" w:space="0" w:color="auto"/>
        <w:bottom w:val="none" w:sz="0" w:space="0" w:color="auto"/>
        <w:right w:val="none" w:sz="0" w:space="0" w:color="auto"/>
      </w:divBdr>
    </w:div>
    <w:div w:id="1496920400">
      <w:bodyDiv w:val="1"/>
      <w:marLeft w:val="0"/>
      <w:marRight w:val="0"/>
      <w:marTop w:val="0"/>
      <w:marBottom w:val="0"/>
      <w:divBdr>
        <w:top w:val="none" w:sz="0" w:space="0" w:color="auto"/>
        <w:left w:val="none" w:sz="0" w:space="0" w:color="auto"/>
        <w:bottom w:val="none" w:sz="0" w:space="0" w:color="auto"/>
        <w:right w:val="none" w:sz="0" w:space="0" w:color="auto"/>
      </w:divBdr>
    </w:div>
    <w:div w:id="1498619727">
      <w:bodyDiv w:val="1"/>
      <w:marLeft w:val="0"/>
      <w:marRight w:val="0"/>
      <w:marTop w:val="0"/>
      <w:marBottom w:val="0"/>
      <w:divBdr>
        <w:top w:val="none" w:sz="0" w:space="0" w:color="auto"/>
        <w:left w:val="none" w:sz="0" w:space="0" w:color="auto"/>
        <w:bottom w:val="none" w:sz="0" w:space="0" w:color="auto"/>
        <w:right w:val="none" w:sz="0" w:space="0" w:color="auto"/>
      </w:divBdr>
      <w:divsChild>
        <w:div w:id="797839195">
          <w:marLeft w:val="0"/>
          <w:marRight w:val="0"/>
          <w:marTop w:val="0"/>
          <w:marBottom w:val="160"/>
          <w:divBdr>
            <w:top w:val="none" w:sz="0" w:space="0" w:color="auto"/>
            <w:left w:val="none" w:sz="0" w:space="0" w:color="auto"/>
            <w:bottom w:val="none" w:sz="0" w:space="0" w:color="auto"/>
            <w:right w:val="none" w:sz="0" w:space="0" w:color="auto"/>
          </w:divBdr>
        </w:div>
        <w:div w:id="560681091">
          <w:marLeft w:val="0"/>
          <w:marRight w:val="0"/>
          <w:marTop w:val="0"/>
          <w:marBottom w:val="160"/>
          <w:divBdr>
            <w:top w:val="none" w:sz="0" w:space="0" w:color="auto"/>
            <w:left w:val="none" w:sz="0" w:space="0" w:color="auto"/>
            <w:bottom w:val="none" w:sz="0" w:space="0" w:color="auto"/>
            <w:right w:val="none" w:sz="0" w:space="0" w:color="auto"/>
          </w:divBdr>
        </w:div>
        <w:div w:id="1153833297">
          <w:marLeft w:val="0"/>
          <w:marRight w:val="0"/>
          <w:marTop w:val="0"/>
          <w:marBottom w:val="160"/>
          <w:divBdr>
            <w:top w:val="none" w:sz="0" w:space="0" w:color="auto"/>
            <w:left w:val="none" w:sz="0" w:space="0" w:color="auto"/>
            <w:bottom w:val="none" w:sz="0" w:space="0" w:color="auto"/>
            <w:right w:val="none" w:sz="0" w:space="0" w:color="auto"/>
          </w:divBdr>
        </w:div>
      </w:divsChild>
    </w:div>
    <w:div w:id="1505320125">
      <w:bodyDiv w:val="1"/>
      <w:marLeft w:val="0"/>
      <w:marRight w:val="0"/>
      <w:marTop w:val="0"/>
      <w:marBottom w:val="0"/>
      <w:divBdr>
        <w:top w:val="none" w:sz="0" w:space="0" w:color="auto"/>
        <w:left w:val="none" w:sz="0" w:space="0" w:color="auto"/>
        <w:bottom w:val="none" w:sz="0" w:space="0" w:color="auto"/>
        <w:right w:val="none" w:sz="0" w:space="0" w:color="auto"/>
      </w:divBdr>
    </w:div>
    <w:div w:id="1541283808">
      <w:bodyDiv w:val="1"/>
      <w:marLeft w:val="0"/>
      <w:marRight w:val="0"/>
      <w:marTop w:val="0"/>
      <w:marBottom w:val="0"/>
      <w:divBdr>
        <w:top w:val="none" w:sz="0" w:space="0" w:color="auto"/>
        <w:left w:val="none" w:sz="0" w:space="0" w:color="auto"/>
        <w:bottom w:val="none" w:sz="0" w:space="0" w:color="auto"/>
        <w:right w:val="none" w:sz="0" w:space="0" w:color="auto"/>
      </w:divBdr>
    </w:div>
    <w:div w:id="1547184175">
      <w:bodyDiv w:val="1"/>
      <w:marLeft w:val="0"/>
      <w:marRight w:val="0"/>
      <w:marTop w:val="0"/>
      <w:marBottom w:val="0"/>
      <w:divBdr>
        <w:top w:val="none" w:sz="0" w:space="0" w:color="auto"/>
        <w:left w:val="none" w:sz="0" w:space="0" w:color="auto"/>
        <w:bottom w:val="none" w:sz="0" w:space="0" w:color="auto"/>
        <w:right w:val="none" w:sz="0" w:space="0" w:color="auto"/>
      </w:divBdr>
    </w:div>
    <w:div w:id="1548563183">
      <w:bodyDiv w:val="1"/>
      <w:marLeft w:val="0"/>
      <w:marRight w:val="0"/>
      <w:marTop w:val="0"/>
      <w:marBottom w:val="0"/>
      <w:divBdr>
        <w:top w:val="none" w:sz="0" w:space="0" w:color="auto"/>
        <w:left w:val="none" w:sz="0" w:space="0" w:color="auto"/>
        <w:bottom w:val="none" w:sz="0" w:space="0" w:color="auto"/>
        <w:right w:val="none" w:sz="0" w:space="0" w:color="auto"/>
      </w:divBdr>
    </w:div>
    <w:div w:id="1555891875">
      <w:bodyDiv w:val="1"/>
      <w:marLeft w:val="0"/>
      <w:marRight w:val="0"/>
      <w:marTop w:val="0"/>
      <w:marBottom w:val="0"/>
      <w:divBdr>
        <w:top w:val="none" w:sz="0" w:space="0" w:color="auto"/>
        <w:left w:val="none" w:sz="0" w:space="0" w:color="auto"/>
        <w:bottom w:val="none" w:sz="0" w:space="0" w:color="auto"/>
        <w:right w:val="none" w:sz="0" w:space="0" w:color="auto"/>
      </w:divBdr>
    </w:div>
    <w:div w:id="1562521597">
      <w:bodyDiv w:val="1"/>
      <w:marLeft w:val="0"/>
      <w:marRight w:val="0"/>
      <w:marTop w:val="0"/>
      <w:marBottom w:val="0"/>
      <w:divBdr>
        <w:top w:val="none" w:sz="0" w:space="0" w:color="auto"/>
        <w:left w:val="none" w:sz="0" w:space="0" w:color="auto"/>
        <w:bottom w:val="none" w:sz="0" w:space="0" w:color="auto"/>
        <w:right w:val="none" w:sz="0" w:space="0" w:color="auto"/>
      </w:divBdr>
    </w:div>
    <w:div w:id="1568610026">
      <w:bodyDiv w:val="1"/>
      <w:marLeft w:val="0"/>
      <w:marRight w:val="0"/>
      <w:marTop w:val="0"/>
      <w:marBottom w:val="0"/>
      <w:divBdr>
        <w:top w:val="none" w:sz="0" w:space="0" w:color="auto"/>
        <w:left w:val="none" w:sz="0" w:space="0" w:color="auto"/>
        <w:bottom w:val="none" w:sz="0" w:space="0" w:color="auto"/>
        <w:right w:val="none" w:sz="0" w:space="0" w:color="auto"/>
      </w:divBdr>
    </w:div>
    <w:div w:id="1606376211">
      <w:bodyDiv w:val="1"/>
      <w:marLeft w:val="0"/>
      <w:marRight w:val="0"/>
      <w:marTop w:val="0"/>
      <w:marBottom w:val="0"/>
      <w:divBdr>
        <w:top w:val="none" w:sz="0" w:space="0" w:color="auto"/>
        <w:left w:val="none" w:sz="0" w:space="0" w:color="auto"/>
        <w:bottom w:val="none" w:sz="0" w:space="0" w:color="auto"/>
        <w:right w:val="none" w:sz="0" w:space="0" w:color="auto"/>
      </w:divBdr>
      <w:divsChild>
        <w:div w:id="729840230">
          <w:marLeft w:val="0"/>
          <w:marRight w:val="0"/>
          <w:marTop w:val="0"/>
          <w:marBottom w:val="160"/>
          <w:divBdr>
            <w:top w:val="none" w:sz="0" w:space="0" w:color="auto"/>
            <w:left w:val="none" w:sz="0" w:space="0" w:color="auto"/>
            <w:bottom w:val="none" w:sz="0" w:space="0" w:color="auto"/>
            <w:right w:val="none" w:sz="0" w:space="0" w:color="auto"/>
          </w:divBdr>
        </w:div>
        <w:div w:id="1459761652">
          <w:marLeft w:val="0"/>
          <w:marRight w:val="0"/>
          <w:marTop w:val="0"/>
          <w:marBottom w:val="160"/>
          <w:divBdr>
            <w:top w:val="none" w:sz="0" w:space="0" w:color="auto"/>
            <w:left w:val="none" w:sz="0" w:space="0" w:color="auto"/>
            <w:bottom w:val="none" w:sz="0" w:space="0" w:color="auto"/>
            <w:right w:val="none" w:sz="0" w:space="0" w:color="auto"/>
          </w:divBdr>
        </w:div>
        <w:div w:id="2021463511">
          <w:marLeft w:val="0"/>
          <w:marRight w:val="0"/>
          <w:marTop w:val="0"/>
          <w:marBottom w:val="160"/>
          <w:divBdr>
            <w:top w:val="none" w:sz="0" w:space="0" w:color="auto"/>
            <w:left w:val="none" w:sz="0" w:space="0" w:color="auto"/>
            <w:bottom w:val="none" w:sz="0" w:space="0" w:color="auto"/>
            <w:right w:val="none" w:sz="0" w:space="0" w:color="auto"/>
          </w:divBdr>
        </w:div>
      </w:divsChild>
    </w:div>
    <w:div w:id="1607687474">
      <w:bodyDiv w:val="1"/>
      <w:marLeft w:val="0"/>
      <w:marRight w:val="0"/>
      <w:marTop w:val="0"/>
      <w:marBottom w:val="0"/>
      <w:divBdr>
        <w:top w:val="none" w:sz="0" w:space="0" w:color="auto"/>
        <w:left w:val="none" w:sz="0" w:space="0" w:color="auto"/>
        <w:bottom w:val="none" w:sz="0" w:space="0" w:color="auto"/>
        <w:right w:val="none" w:sz="0" w:space="0" w:color="auto"/>
      </w:divBdr>
    </w:div>
    <w:div w:id="1607956335">
      <w:bodyDiv w:val="1"/>
      <w:marLeft w:val="0"/>
      <w:marRight w:val="0"/>
      <w:marTop w:val="0"/>
      <w:marBottom w:val="0"/>
      <w:divBdr>
        <w:top w:val="none" w:sz="0" w:space="0" w:color="auto"/>
        <w:left w:val="none" w:sz="0" w:space="0" w:color="auto"/>
        <w:bottom w:val="none" w:sz="0" w:space="0" w:color="auto"/>
        <w:right w:val="none" w:sz="0" w:space="0" w:color="auto"/>
      </w:divBdr>
    </w:div>
    <w:div w:id="1612129035">
      <w:bodyDiv w:val="1"/>
      <w:marLeft w:val="0"/>
      <w:marRight w:val="0"/>
      <w:marTop w:val="0"/>
      <w:marBottom w:val="0"/>
      <w:divBdr>
        <w:top w:val="none" w:sz="0" w:space="0" w:color="auto"/>
        <w:left w:val="none" w:sz="0" w:space="0" w:color="auto"/>
        <w:bottom w:val="none" w:sz="0" w:space="0" w:color="auto"/>
        <w:right w:val="none" w:sz="0" w:space="0" w:color="auto"/>
      </w:divBdr>
    </w:div>
    <w:div w:id="1626696393">
      <w:bodyDiv w:val="1"/>
      <w:marLeft w:val="0"/>
      <w:marRight w:val="0"/>
      <w:marTop w:val="0"/>
      <w:marBottom w:val="0"/>
      <w:divBdr>
        <w:top w:val="none" w:sz="0" w:space="0" w:color="auto"/>
        <w:left w:val="none" w:sz="0" w:space="0" w:color="auto"/>
        <w:bottom w:val="none" w:sz="0" w:space="0" w:color="auto"/>
        <w:right w:val="none" w:sz="0" w:space="0" w:color="auto"/>
      </w:divBdr>
    </w:div>
    <w:div w:id="1641811474">
      <w:bodyDiv w:val="1"/>
      <w:marLeft w:val="0"/>
      <w:marRight w:val="0"/>
      <w:marTop w:val="0"/>
      <w:marBottom w:val="0"/>
      <w:divBdr>
        <w:top w:val="none" w:sz="0" w:space="0" w:color="auto"/>
        <w:left w:val="none" w:sz="0" w:space="0" w:color="auto"/>
        <w:bottom w:val="none" w:sz="0" w:space="0" w:color="auto"/>
        <w:right w:val="none" w:sz="0" w:space="0" w:color="auto"/>
      </w:divBdr>
    </w:div>
    <w:div w:id="1647588101">
      <w:bodyDiv w:val="1"/>
      <w:marLeft w:val="0"/>
      <w:marRight w:val="0"/>
      <w:marTop w:val="0"/>
      <w:marBottom w:val="0"/>
      <w:divBdr>
        <w:top w:val="none" w:sz="0" w:space="0" w:color="auto"/>
        <w:left w:val="none" w:sz="0" w:space="0" w:color="auto"/>
        <w:bottom w:val="none" w:sz="0" w:space="0" w:color="auto"/>
        <w:right w:val="none" w:sz="0" w:space="0" w:color="auto"/>
      </w:divBdr>
    </w:div>
    <w:div w:id="1669096844">
      <w:bodyDiv w:val="1"/>
      <w:marLeft w:val="0"/>
      <w:marRight w:val="0"/>
      <w:marTop w:val="0"/>
      <w:marBottom w:val="0"/>
      <w:divBdr>
        <w:top w:val="none" w:sz="0" w:space="0" w:color="auto"/>
        <w:left w:val="none" w:sz="0" w:space="0" w:color="auto"/>
        <w:bottom w:val="none" w:sz="0" w:space="0" w:color="auto"/>
        <w:right w:val="none" w:sz="0" w:space="0" w:color="auto"/>
      </w:divBdr>
      <w:divsChild>
        <w:div w:id="518936356">
          <w:marLeft w:val="0"/>
          <w:marRight w:val="0"/>
          <w:marTop w:val="0"/>
          <w:marBottom w:val="160"/>
          <w:divBdr>
            <w:top w:val="none" w:sz="0" w:space="0" w:color="auto"/>
            <w:left w:val="none" w:sz="0" w:space="0" w:color="auto"/>
            <w:bottom w:val="none" w:sz="0" w:space="0" w:color="auto"/>
            <w:right w:val="none" w:sz="0" w:space="0" w:color="auto"/>
          </w:divBdr>
        </w:div>
        <w:div w:id="528104072">
          <w:marLeft w:val="0"/>
          <w:marRight w:val="0"/>
          <w:marTop w:val="0"/>
          <w:marBottom w:val="160"/>
          <w:divBdr>
            <w:top w:val="none" w:sz="0" w:space="0" w:color="auto"/>
            <w:left w:val="none" w:sz="0" w:space="0" w:color="auto"/>
            <w:bottom w:val="none" w:sz="0" w:space="0" w:color="auto"/>
            <w:right w:val="none" w:sz="0" w:space="0" w:color="auto"/>
          </w:divBdr>
        </w:div>
        <w:div w:id="273513336">
          <w:marLeft w:val="0"/>
          <w:marRight w:val="0"/>
          <w:marTop w:val="0"/>
          <w:marBottom w:val="160"/>
          <w:divBdr>
            <w:top w:val="none" w:sz="0" w:space="0" w:color="auto"/>
            <w:left w:val="none" w:sz="0" w:space="0" w:color="auto"/>
            <w:bottom w:val="none" w:sz="0" w:space="0" w:color="auto"/>
            <w:right w:val="none" w:sz="0" w:space="0" w:color="auto"/>
          </w:divBdr>
        </w:div>
      </w:divsChild>
    </w:div>
    <w:div w:id="1695689083">
      <w:bodyDiv w:val="1"/>
      <w:marLeft w:val="0"/>
      <w:marRight w:val="0"/>
      <w:marTop w:val="0"/>
      <w:marBottom w:val="0"/>
      <w:divBdr>
        <w:top w:val="none" w:sz="0" w:space="0" w:color="auto"/>
        <w:left w:val="none" w:sz="0" w:space="0" w:color="auto"/>
        <w:bottom w:val="none" w:sz="0" w:space="0" w:color="auto"/>
        <w:right w:val="none" w:sz="0" w:space="0" w:color="auto"/>
      </w:divBdr>
    </w:div>
    <w:div w:id="1761637096">
      <w:bodyDiv w:val="1"/>
      <w:marLeft w:val="0"/>
      <w:marRight w:val="0"/>
      <w:marTop w:val="0"/>
      <w:marBottom w:val="0"/>
      <w:divBdr>
        <w:top w:val="none" w:sz="0" w:space="0" w:color="auto"/>
        <w:left w:val="none" w:sz="0" w:space="0" w:color="auto"/>
        <w:bottom w:val="none" w:sz="0" w:space="0" w:color="auto"/>
        <w:right w:val="none" w:sz="0" w:space="0" w:color="auto"/>
      </w:divBdr>
      <w:divsChild>
        <w:div w:id="423385161">
          <w:marLeft w:val="0"/>
          <w:marRight w:val="0"/>
          <w:marTop w:val="0"/>
          <w:marBottom w:val="160"/>
          <w:divBdr>
            <w:top w:val="none" w:sz="0" w:space="0" w:color="auto"/>
            <w:left w:val="none" w:sz="0" w:space="0" w:color="auto"/>
            <w:bottom w:val="none" w:sz="0" w:space="0" w:color="auto"/>
            <w:right w:val="none" w:sz="0" w:space="0" w:color="auto"/>
          </w:divBdr>
        </w:div>
        <w:div w:id="2126801678">
          <w:marLeft w:val="0"/>
          <w:marRight w:val="0"/>
          <w:marTop w:val="0"/>
          <w:marBottom w:val="160"/>
          <w:divBdr>
            <w:top w:val="none" w:sz="0" w:space="0" w:color="auto"/>
            <w:left w:val="none" w:sz="0" w:space="0" w:color="auto"/>
            <w:bottom w:val="none" w:sz="0" w:space="0" w:color="auto"/>
            <w:right w:val="none" w:sz="0" w:space="0" w:color="auto"/>
          </w:divBdr>
        </w:div>
        <w:div w:id="827133892">
          <w:marLeft w:val="0"/>
          <w:marRight w:val="0"/>
          <w:marTop w:val="0"/>
          <w:marBottom w:val="160"/>
          <w:divBdr>
            <w:top w:val="none" w:sz="0" w:space="0" w:color="auto"/>
            <w:left w:val="none" w:sz="0" w:space="0" w:color="auto"/>
            <w:bottom w:val="none" w:sz="0" w:space="0" w:color="auto"/>
            <w:right w:val="none" w:sz="0" w:space="0" w:color="auto"/>
          </w:divBdr>
        </w:div>
      </w:divsChild>
    </w:div>
    <w:div w:id="1799494866">
      <w:bodyDiv w:val="1"/>
      <w:marLeft w:val="0"/>
      <w:marRight w:val="0"/>
      <w:marTop w:val="0"/>
      <w:marBottom w:val="0"/>
      <w:divBdr>
        <w:top w:val="none" w:sz="0" w:space="0" w:color="auto"/>
        <w:left w:val="none" w:sz="0" w:space="0" w:color="auto"/>
        <w:bottom w:val="none" w:sz="0" w:space="0" w:color="auto"/>
        <w:right w:val="none" w:sz="0" w:space="0" w:color="auto"/>
      </w:divBdr>
    </w:div>
    <w:div w:id="1806041921">
      <w:bodyDiv w:val="1"/>
      <w:marLeft w:val="0"/>
      <w:marRight w:val="0"/>
      <w:marTop w:val="0"/>
      <w:marBottom w:val="0"/>
      <w:divBdr>
        <w:top w:val="none" w:sz="0" w:space="0" w:color="auto"/>
        <w:left w:val="none" w:sz="0" w:space="0" w:color="auto"/>
        <w:bottom w:val="none" w:sz="0" w:space="0" w:color="auto"/>
        <w:right w:val="none" w:sz="0" w:space="0" w:color="auto"/>
      </w:divBdr>
    </w:div>
    <w:div w:id="1806653743">
      <w:bodyDiv w:val="1"/>
      <w:marLeft w:val="0"/>
      <w:marRight w:val="0"/>
      <w:marTop w:val="0"/>
      <w:marBottom w:val="0"/>
      <w:divBdr>
        <w:top w:val="none" w:sz="0" w:space="0" w:color="auto"/>
        <w:left w:val="none" w:sz="0" w:space="0" w:color="auto"/>
        <w:bottom w:val="none" w:sz="0" w:space="0" w:color="auto"/>
        <w:right w:val="none" w:sz="0" w:space="0" w:color="auto"/>
      </w:divBdr>
    </w:div>
    <w:div w:id="1831869620">
      <w:bodyDiv w:val="1"/>
      <w:marLeft w:val="0"/>
      <w:marRight w:val="0"/>
      <w:marTop w:val="0"/>
      <w:marBottom w:val="0"/>
      <w:divBdr>
        <w:top w:val="none" w:sz="0" w:space="0" w:color="auto"/>
        <w:left w:val="none" w:sz="0" w:space="0" w:color="auto"/>
        <w:bottom w:val="none" w:sz="0" w:space="0" w:color="auto"/>
        <w:right w:val="none" w:sz="0" w:space="0" w:color="auto"/>
      </w:divBdr>
    </w:div>
    <w:div w:id="1834879058">
      <w:bodyDiv w:val="1"/>
      <w:marLeft w:val="0"/>
      <w:marRight w:val="0"/>
      <w:marTop w:val="0"/>
      <w:marBottom w:val="0"/>
      <w:divBdr>
        <w:top w:val="none" w:sz="0" w:space="0" w:color="auto"/>
        <w:left w:val="none" w:sz="0" w:space="0" w:color="auto"/>
        <w:bottom w:val="none" w:sz="0" w:space="0" w:color="auto"/>
        <w:right w:val="none" w:sz="0" w:space="0" w:color="auto"/>
      </w:divBdr>
    </w:div>
    <w:div w:id="1838374371">
      <w:bodyDiv w:val="1"/>
      <w:marLeft w:val="0"/>
      <w:marRight w:val="0"/>
      <w:marTop w:val="0"/>
      <w:marBottom w:val="0"/>
      <w:divBdr>
        <w:top w:val="none" w:sz="0" w:space="0" w:color="auto"/>
        <w:left w:val="none" w:sz="0" w:space="0" w:color="auto"/>
        <w:bottom w:val="none" w:sz="0" w:space="0" w:color="auto"/>
        <w:right w:val="none" w:sz="0" w:space="0" w:color="auto"/>
      </w:divBdr>
    </w:div>
    <w:div w:id="1843085015">
      <w:bodyDiv w:val="1"/>
      <w:marLeft w:val="0"/>
      <w:marRight w:val="0"/>
      <w:marTop w:val="0"/>
      <w:marBottom w:val="0"/>
      <w:divBdr>
        <w:top w:val="none" w:sz="0" w:space="0" w:color="auto"/>
        <w:left w:val="none" w:sz="0" w:space="0" w:color="auto"/>
        <w:bottom w:val="none" w:sz="0" w:space="0" w:color="auto"/>
        <w:right w:val="none" w:sz="0" w:space="0" w:color="auto"/>
      </w:divBdr>
    </w:div>
    <w:div w:id="1902983792">
      <w:bodyDiv w:val="1"/>
      <w:marLeft w:val="0"/>
      <w:marRight w:val="0"/>
      <w:marTop w:val="0"/>
      <w:marBottom w:val="0"/>
      <w:divBdr>
        <w:top w:val="none" w:sz="0" w:space="0" w:color="auto"/>
        <w:left w:val="none" w:sz="0" w:space="0" w:color="auto"/>
        <w:bottom w:val="none" w:sz="0" w:space="0" w:color="auto"/>
        <w:right w:val="none" w:sz="0" w:space="0" w:color="auto"/>
      </w:divBdr>
    </w:div>
    <w:div w:id="1951625272">
      <w:bodyDiv w:val="1"/>
      <w:marLeft w:val="0"/>
      <w:marRight w:val="0"/>
      <w:marTop w:val="0"/>
      <w:marBottom w:val="0"/>
      <w:divBdr>
        <w:top w:val="none" w:sz="0" w:space="0" w:color="auto"/>
        <w:left w:val="none" w:sz="0" w:space="0" w:color="auto"/>
        <w:bottom w:val="none" w:sz="0" w:space="0" w:color="auto"/>
        <w:right w:val="none" w:sz="0" w:space="0" w:color="auto"/>
      </w:divBdr>
    </w:div>
    <w:div w:id="1958440709">
      <w:bodyDiv w:val="1"/>
      <w:marLeft w:val="0"/>
      <w:marRight w:val="0"/>
      <w:marTop w:val="0"/>
      <w:marBottom w:val="0"/>
      <w:divBdr>
        <w:top w:val="none" w:sz="0" w:space="0" w:color="auto"/>
        <w:left w:val="none" w:sz="0" w:space="0" w:color="auto"/>
        <w:bottom w:val="none" w:sz="0" w:space="0" w:color="auto"/>
        <w:right w:val="none" w:sz="0" w:space="0" w:color="auto"/>
      </w:divBdr>
    </w:div>
    <w:div w:id="2011717450">
      <w:bodyDiv w:val="1"/>
      <w:marLeft w:val="0"/>
      <w:marRight w:val="0"/>
      <w:marTop w:val="0"/>
      <w:marBottom w:val="0"/>
      <w:divBdr>
        <w:top w:val="none" w:sz="0" w:space="0" w:color="auto"/>
        <w:left w:val="none" w:sz="0" w:space="0" w:color="auto"/>
        <w:bottom w:val="none" w:sz="0" w:space="0" w:color="auto"/>
        <w:right w:val="none" w:sz="0" w:space="0" w:color="auto"/>
      </w:divBdr>
    </w:div>
    <w:div w:id="2021278799">
      <w:bodyDiv w:val="1"/>
      <w:marLeft w:val="0"/>
      <w:marRight w:val="0"/>
      <w:marTop w:val="0"/>
      <w:marBottom w:val="0"/>
      <w:divBdr>
        <w:top w:val="none" w:sz="0" w:space="0" w:color="auto"/>
        <w:left w:val="none" w:sz="0" w:space="0" w:color="auto"/>
        <w:bottom w:val="none" w:sz="0" w:space="0" w:color="auto"/>
        <w:right w:val="none" w:sz="0" w:space="0" w:color="auto"/>
      </w:divBdr>
    </w:div>
    <w:div w:id="2077781944">
      <w:bodyDiv w:val="1"/>
      <w:marLeft w:val="0"/>
      <w:marRight w:val="0"/>
      <w:marTop w:val="0"/>
      <w:marBottom w:val="0"/>
      <w:divBdr>
        <w:top w:val="none" w:sz="0" w:space="0" w:color="auto"/>
        <w:left w:val="none" w:sz="0" w:space="0" w:color="auto"/>
        <w:bottom w:val="none" w:sz="0" w:space="0" w:color="auto"/>
        <w:right w:val="none" w:sz="0" w:space="0" w:color="auto"/>
      </w:divBdr>
    </w:div>
    <w:div w:id="2110271813">
      <w:bodyDiv w:val="1"/>
      <w:marLeft w:val="0"/>
      <w:marRight w:val="0"/>
      <w:marTop w:val="0"/>
      <w:marBottom w:val="0"/>
      <w:divBdr>
        <w:top w:val="none" w:sz="0" w:space="0" w:color="auto"/>
        <w:left w:val="none" w:sz="0" w:space="0" w:color="auto"/>
        <w:bottom w:val="none" w:sz="0" w:space="0" w:color="auto"/>
        <w:right w:val="none" w:sz="0" w:space="0" w:color="auto"/>
      </w:divBdr>
    </w:div>
    <w:div w:id="2115590451">
      <w:bodyDiv w:val="1"/>
      <w:marLeft w:val="0"/>
      <w:marRight w:val="0"/>
      <w:marTop w:val="0"/>
      <w:marBottom w:val="0"/>
      <w:divBdr>
        <w:top w:val="none" w:sz="0" w:space="0" w:color="auto"/>
        <w:left w:val="none" w:sz="0" w:space="0" w:color="auto"/>
        <w:bottom w:val="none" w:sz="0" w:space="0" w:color="auto"/>
        <w:right w:val="none" w:sz="0" w:space="0" w:color="auto"/>
      </w:divBdr>
      <w:divsChild>
        <w:div w:id="428045146">
          <w:marLeft w:val="0"/>
          <w:marRight w:val="0"/>
          <w:marTop w:val="0"/>
          <w:marBottom w:val="0"/>
          <w:divBdr>
            <w:top w:val="none" w:sz="0" w:space="0" w:color="auto"/>
            <w:left w:val="none" w:sz="0" w:space="0" w:color="auto"/>
            <w:bottom w:val="none" w:sz="0" w:space="0" w:color="auto"/>
            <w:right w:val="none" w:sz="0" w:space="0" w:color="auto"/>
          </w:divBdr>
          <w:divsChild>
            <w:div w:id="1917788406">
              <w:marLeft w:val="0"/>
              <w:marRight w:val="0"/>
              <w:marTop w:val="0"/>
              <w:marBottom w:val="0"/>
              <w:divBdr>
                <w:top w:val="none" w:sz="0" w:space="0" w:color="auto"/>
                <w:left w:val="none" w:sz="0" w:space="0" w:color="auto"/>
                <w:bottom w:val="none" w:sz="0" w:space="0" w:color="auto"/>
                <w:right w:val="none" w:sz="0" w:space="0" w:color="auto"/>
              </w:divBdr>
              <w:divsChild>
                <w:div w:id="109321855">
                  <w:marLeft w:val="0"/>
                  <w:marRight w:val="0"/>
                  <w:marTop w:val="0"/>
                  <w:marBottom w:val="0"/>
                  <w:divBdr>
                    <w:top w:val="none" w:sz="0" w:space="0" w:color="auto"/>
                    <w:left w:val="none" w:sz="0" w:space="0" w:color="auto"/>
                    <w:bottom w:val="none" w:sz="0" w:space="0" w:color="auto"/>
                    <w:right w:val="none" w:sz="0" w:space="0" w:color="auto"/>
                  </w:divBdr>
                  <w:divsChild>
                    <w:div w:id="824205549">
                      <w:marLeft w:val="0"/>
                      <w:marRight w:val="0"/>
                      <w:marTop w:val="0"/>
                      <w:marBottom w:val="0"/>
                      <w:divBdr>
                        <w:top w:val="none" w:sz="0" w:space="0" w:color="auto"/>
                        <w:left w:val="none" w:sz="0" w:space="0" w:color="auto"/>
                        <w:bottom w:val="none" w:sz="0" w:space="0" w:color="auto"/>
                        <w:right w:val="none" w:sz="0" w:space="0" w:color="auto"/>
                      </w:divBdr>
                      <w:divsChild>
                        <w:div w:id="1492217882">
                          <w:marLeft w:val="0"/>
                          <w:marRight w:val="0"/>
                          <w:marTop w:val="0"/>
                          <w:marBottom w:val="0"/>
                          <w:divBdr>
                            <w:top w:val="none" w:sz="0" w:space="0" w:color="auto"/>
                            <w:left w:val="none" w:sz="0" w:space="0" w:color="auto"/>
                            <w:bottom w:val="none" w:sz="0" w:space="0" w:color="auto"/>
                            <w:right w:val="none" w:sz="0" w:space="0" w:color="auto"/>
                          </w:divBdr>
                          <w:divsChild>
                            <w:div w:id="1675567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8236239">
      <w:bodyDiv w:val="1"/>
      <w:marLeft w:val="0"/>
      <w:marRight w:val="0"/>
      <w:marTop w:val="0"/>
      <w:marBottom w:val="0"/>
      <w:divBdr>
        <w:top w:val="none" w:sz="0" w:space="0" w:color="auto"/>
        <w:left w:val="none" w:sz="0" w:space="0" w:color="auto"/>
        <w:bottom w:val="none" w:sz="0" w:space="0" w:color="auto"/>
        <w:right w:val="none" w:sz="0" w:space="0" w:color="auto"/>
      </w:divBdr>
    </w:div>
    <w:div w:id="213386748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busqueda/conceptos" TargetMode="External"/><Relationship Id="rId18" Type="http://schemas.openxmlformats.org/officeDocument/2006/relationships/image" Target="media/image2.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fernandog213@hotmail.com" TargetMode="External"/><Relationship Id="rId17" Type="http://schemas.openxmlformats.org/officeDocument/2006/relationships/hyperlink" Target="https://nam02.safelinks.protection.outlook.com/?url=https%3A%2F%2Fwww.colombiacompra.gov.co%2Farchivos%2Fboletin%2Fboletin-edicion-n-3-de-2026-radar-de-la-compra-publica&amp;data=05%7C02%7Ctatiana.baquero%40colombiacompra.gov.co%7C7128555136e04fa6887d08dee99e1b50%7C7b09041e245149d08cb179d5e3d8c1be%7C0%7C0%7C639205062450972052%7CUnknown%7CTWFpbGZsb3d8eyJFbXB0eU1hcGkiOnRydWUsIlYiOiIwLjAuMDAwMCIsIlAiOiJXaW4zMiIsIkFOIjoiTWFpbCIsIldUIjoyfQ%3D%3D%7C0%7C%7C%7C&amp;sdata=ngIfOSul6%2FIYwaP3ShmRxU6EMjPXXDKeUCuzgZ8UYuY%3D&amp;reserved=0" TargetMode="External"/><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archivos%2Fcircular%2Fcircular-externa-002-de-2026&amp;data=05%7C02%7Ctatiana.baquero%40colombiacompra.gov.co%7C7128555136e04fa6887d08dee99e1b50%7C7b09041e245149d08cb179d5e3d8c1be%7C0%7C0%7C639205062450922843%7CUnknown%7CTWFpbGZsb3d8eyJFbXB0eU1hcGkiOnRydWUsIlYiOiIwLjAuMDAwMCIsIlAiOiJXaW4zMiIsIkFOIjoiTWFpbCIsIldUIjoyfQ%3D%3D%7C0%7C%7C%7C&amp;sdata=bLkuj%2F1DdqlO%2FR2uZ73mZRHPww5FGil6IeBR7uyBmq4%3D&amp;reserved=0"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yperlink" Target="https://nam02.safelinks.protection.outlook.com/?url=https%3A%2F%2Fwww.colombiacompra.gov.co%2Farchivos%2Fcircular%2Fcircular-externa-003-de-2026&amp;data=05%7C02%7Ctatiana.baquero%40colombiacompra.gov.co%7C7128555136e04fa6887d08dee99e1b50%7C7b09041e245149d08cb179d5e3d8c1be%7C0%7C0%7C639205062450833668%7CUnknown%7CTWFpbGZsb3d8eyJFbXB0eU1hcGkiOnRydWUsIlYiOiIwLjAuMDAwMCIsIlAiOiJXaW4zMiIsIkFOIjoiTWFpbCIsIldUIjoyfQ%3D%3D%7C0%7C%7C%7C&amp;sdata=giqymQNNNmUoeT4tdRU5Za2hp3r64T%2BETOnL33%2BpGoQ%3D&amp;reserved=0"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nam02.safelinks.protection.outlook.com/?url=https%3A%2F%2Fwww.colombiacompra.gov.co%2Farchivos%2Fmanual%2Fguia-de-garantias-en-procesos-de-contratacion&amp;data=05%7C02%7Ctatiana.baquero%40colombiacompra.gov.co%7C7128555136e04fa6887d08dee99e1b50%7C7b09041e245149d08cb179d5e3d8c1be%7C0%7C0%7C639205062450802688%7CUnknown%7CTWFpbGZsb3d8eyJFbXB0eU1hcGkiOnRydWUsIlYiOiIwLjAuMDAwMCIsIlAiOiJXaW4zMiIsIkFOIjoiTWFpbCIsIldUIjoyfQ%3D%3D%7C0%7C%7C%7C&amp;sdata=lIeIj8SX2uajtdSKcop2FcVwduTm7IqX5cc%2BNrzmczU%3D&amp;reserved=0"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www.secretariasenado.gov.co/senado/basedoc/ley_2056_2020.html" TargetMode="External"/><Relationship Id="rId2" Type="http://schemas.openxmlformats.org/officeDocument/2006/relationships/hyperlink" Target="http://www.secretariasenado.gov.co/senado/basedoc/ley_2056_2020.html" TargetMode="External"/><Relationship Id="rId1" Type="http://schemas.openxmlformats.org/officeDocument/2006/relationships/hyperlink" Target="http://www.secretariasenado.gov.co/senado/basedoc/ley_2056_2020.html" TargetMode="External"/><Relationship Id="rId5" Type="http://schemas.openxmlformats.org/officeDocument/2006/relationships/hyperlink" Target="https://leyes.senado.gov.co/proyectos/index.php/proyectos-ley/cuatrenio-2018-2022/2020-2021/article/200-por-el-cual-se-regula-la-organizacion-y-el-funcionamiento-del-sistema-general-de-regalias-mensaje-de-urgencia" TargetMode="External"/><Relationship Id="rId4" Type="http://schemas.openxmlformats.org/officeDocument/2006/relationships/hyperlink" Target="http://www.secretariasenado.gov.co/senado/basedoc/ley_2056_2020.html"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_Flow_SignoffStatus xmlns="9d85dbaf-23eb-4e57-a637-93dcacc8b1a1" xsi:nil="true"/>
    <SharedWithUsers xmlns="a6cb9e4b-f1d1-4245-83ec-6cad768d538a">
      <UserInfo>
        <DisplayName>Alejandro Sarmiento</DisplayName>
        <AccountId>129</AccountId>
        <AccountType/>
      </UserInfo>
    </SharedWithUsers>
  </documentManagement>
</p:properties>
</file>

<file path=customXml/itemProps1.xml><?xml version="1.0" encoding="utf-8"?>
<ds:datastoreItem xmlns:ds="http://schemas.openxmlformats.org/officeDocument/2006/customXml" ds:itemID="{72F56B94-5DD2-4774-B9EF-D49C29560E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524EFD2-6506-4654-A0AC-DEF36450FF53}">
  <ds:schemaRefs>
    <ds:schemaRef ds:uri="http://schemas.microsoft.com/sharepoint/v3/contenttype/forms"/>
  </ds:schemaRefs>
</ds:datastoreItem>
</file>

<file path=customXml/itemProps3.xml><?xml version="1.0" encoding="utf-8"?>
<ds:datastoreItem xmlns:ds="http://schemas.openxmlformats.org/officeDocument/2006/customXml" ds:itemID="{206954CD-A18B-4BC8-BDFD-948A7B8E2372}">
  <ds:schemaRefs>
    <ds:schemaRef ds:uri="http://schemas.openxmlformats.org/officeDocument/2006/bibliography"/>
  </ds:schemaRefs>
</ds:datastoreItem>
</file>

<file path=customXml/itemProps4.xml><?xml version="1.0" encoding="utf-8"?>
<ds:datastoreItem xmlns:ds="http://schemas.openxmlformats.org/officeDocument/2006/customXml" ds:itemID="{B3B8AE37-E1F3-4B08-98E9-52F0B3FA79CF}">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25</Pages>
  <Words>8824</Words>
  <Characters>48532</Characters>
  <Application>Microsoft Office Word</Application>
  <DocSecurity>0</DocSecurity>
  <Lines>404</Lines>
  <Paragraphs>114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57242</CharactersWithSpaces>
  <SharedDoc>false</SharedDoc>
  <HLinks>
    <vt:vector size="48" baseType="variant">
      <vt:variant>
        <vt:i4>5439494</vt:i4>
      </vt:variant>
      <vt:variant>
        <vt:i4>15</vt:i4>
      </vt:variant>
      <vt:variant>
        <vt:i4>0</vt:i4>
      </vt:variant>
      <vt:variant>
        <vt:i4>5</vt:i4>
      </vt:variant>
      <vt:variant>
        <vt:lpwstr>https://www.colombiacompra.gov.co/sala-de-prensa/boletin-digital</vt:lpwstr>
      </vt:variant>
      <vt:variant>
        <vt:lpwstr/>
      </vt:variant>
      <vt:variant>
        <vt:i4>7471218</vt:i4>
      </vt:variant>
      <vt:variant>
        <vt:i4>12</vt:i4>
      </vt:variant>
      <vt:variant>
        <vt:i4>0</vt:i4>
      </vt:variant>
      <vt:variant>
        <vt:i4>5</vt:i4>
      </vt:variant>
      <vt:variant>
        <vt:lpwstr>https://relatoria.colombiacompra.gov.co/busqueda/conceptos</vt:lpwstr>
      </vt:variant>
      <vt:variant>
        <vt:lpwstr/>
      </vt:variant>
      <vt:variant>
        <vt:i4>5111895</vt:i4>
      </vt:variant>
      <vt:variant>
        <vt:i4>9</vt:i4>
      </vt:variant>
      <vt:variant>
        <vt:i4>0</vt:i4>
      </vt:variant>
      <vt:variant>
        <vt:i4>5</vt:i4>
      </vt:variant>
      <vt:variant>
        <vt:lpwstr>https://www.colombiacompra.gov.co/manuales-guias-y-pliegos-tipo/manuales-y-guias</vt:lpwstr>
      </vt:variant>
      <vt:variant>
        <vt:lpwstr/>
      </vt:variant>
      <vt:variant>
        <vt:i4>3801145</vt:i4>
      </vt:variant>
      <vt:variant>
        <vt:i4>6</vt:i4>
      </vt:variant>
      <vt:variant>
        <vt:i4>0</vt:i4>
      </vt:variant>
      <vt:variant>
        <vt:i4>5</vt:i4>
      </vt:variant>
      <vt:variant>
        <vt:lpwstr>https://relatoria.colombiacompra.gov.co/providencias-consejo-de-estado/</vt:lpwstr>
      </vt:variant>
      <vt:variant>
        <vt:lpwstr/>
      </vt:variant>
      <vt:variant>
        <vt:i4>3145787</vt:i4>
      </vt:variant>
      <vt:variant>
        <vt:i4>3</vt:i4>
      </vt:variant>
      <vt:variant>
        <vt:i4>0</vt:i4>
      </vt:variant>
      <vt:variant>
        <vt:i4>5</vt:i4>
      </vt:variant>
      <vt:variant>
        <vt:lpwstr>https://www.colombiacompra.gov.co/content/04-documentos-tipo-de-licitacion-de-obra-publica-para-proyectos-de-infraestructura-social</vt:lpwstr>
      </vt:variant>
      <vt:variant>
        <vt:lpwstr/>
      </vt:variant>
      <vt:variant>
        <vt:i4>7208987</vt:i4>
      </vt:variant>
      <vt:variant>
        <vt:i4>0</vt:i4>
      </vt:variant>
      <vt:variant>
        <vt:i4>0</vt:i4>
      </vt:variant>
      <vt:variant>
        <vt:i4>5</vt:i4>
      </vt:variant>
      <vt:variant>
        <vt:lpwstr>https://www.colombiacompra.gov.co/sites/cce_public/files/cce_circulares/circular_externa_unica_version_3_vf49.pdf</vt:lpwstr>
      </vt:variant>
      <vt:variant>
        <vt:lpwstr/>
      </vt:variant>
      <vt:variant>
        <vt:i4>6619182</vt:i4>
      </vt:variant>
      <vt:variant>
        <vt:i4>3</vt:i4>
      </vt:variant>
      <vt:variant>
        <vt:i4>0</vt:i4>
      </vt:variant>
      <vt:variant>
        <vt:i4>5</vt:i4>
      </vt:variant>
      <vt:variant>
        <vt:lpwstr>https://www.culturarecreacionydeporte.gov.co/es/bogotanitos/bogodatos/las-plazas-de-mercado-de-bogota</vt:lpwstr>
      </vt:variant>
      <vt:variant>
        <vt:lpwstr>:~:text=Muchos%20tienen%20diferentes%20conceptos%20sobre,en%20un%20sitio%20abierto%20o</vt:lpwstr>
      </vt:variant>
      <vt:variant>
        <vt:i4>2883621</vt:i4>
      </vt:variant>
      <vt:variant>
        <vt:i4>0</vt:i4>
      </vt:variant>
      <vt:variant>
        <vt:i4>0</vt:i4>
      </vt:variant>
      <vt:variant>
        <vt:i4>5</vt:i4>
      </vt:variant>
      <vt:variant>
        <vt:lpwstr>https://www.colombiacompra.gov.co/content/03-documentos-tipo-transversales-de-licitacion-de-obra-publica-de-infraestructura-social-con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ANCP-SGC</dc:creator>
  <cp:keywords/>
  <dc:description/>
  <cp:lastModifiedBy>Sergio Andrés Rivera Cano</cp:lastModifiedBy>
  <cp:revision>7</cp:revision>
  <dcterms:created xsi:type="dcterms:W3CDTF">2026-08-30T03:03:00Z</dcterms:created>
  <dcterms:modified xsi:type="dcterms:W3CDTF">2026-08-31T17:22:00Z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