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1AA4D" w14:textId="77777777" w:rsidR="002445EA" w:rsidRPr="00153DCC" w:rsidRDefault="002445EA" w:rsidP="002445EA">
      <w:pPr>
        <w:pStyle w:val="Sinespaciado"/>
        <w:widowControl w:val="0"/>
        <w:autoSpaceDE w:val="0"/>
        <w:autoSpaceDN w:val="0"/>
        <w:jc w:val="both"/>
        <w:rPr>
          <w:rFonts w:ascii="Verdana" w:hAnsi="Verdana" w:cs="Arial"/>
          <w:b/>
          <w:sz w:val="22"/>
        </w:rPr>
      </w:pPr>
      <w:r w:rsidRPr="00153DCC">
        <w:rPr>
          <w:rFonts w:ascii="Verdana" w:hAnsi="Verdana" w:cs="Arial"/>
          <w:b/>
          <w:sz w:val="22"/>
        </w:rPr>
        <w:t xml:space="preserve">EVALUACIÓN DEL PRECIO </w:t>
      </w:r>
      <w:r w:rsidRPr="00153DCC">
        <w:rPr>
          <w:rFonts w:ascii="Verdana" w:eastAsia="Calibri" w:hAnsi="Verdana" w:cs="Arial"/>
          <w:b/>
          <w:sz w:val="22"/>
        </w:rPr>
        <w:t>–</w:t>
      </w:r>
      <w:r w:rsidRPr="00153DCC">
        <w:rPr>
          <w:rFonts w:ascii="Verdana" w:hAnsi="Verdana" w:cs="Arial"/>
          <w:b/>
          <w:sz w:val="22"/>
        </w:rPr>
        <w:t xml:space="preserve"> Principio de selección objetiva </w:t>
      </w:r>
    </w:p>
    <w:p w14:paraId="6F8F2B0E" w14:textId="77777777" w:rsidR="002445EA" w:rsidRPr="00153DCC" w:rsidRDefault="002445EA" w:rsidP="002445EA">
      <w:pPr>
        <w:pStyle w:val="Sinespaciado"/>
        <w:widowControl w:val="0"/>
        <w:autoSpaceDE w:val="0"/>
        <w:autoSpaceDN w:val="0"/>
        <w:jc w:val="both"/>
        <w:rPr>
          <w:rFonts w:ascii="Verdana" w:hAnsi="Verdana" w:cs="Arial"/>
          <w:b/>
          <w:sz w:val="20"/>
          <w:szCs w:val="20"/>
        </w:rPr>
      </w:pPr>
    </w:p>
    <w:p w14:paraId="6273A52E" w14:textId="77777777" w:rsidR="002445EA" w:rsidRDefault="002445EA" w:rsidP="002445EA">
      <w:pPr>
        <w:pStyle w:val="Sinespaciado"/>
        <w:jc w:val="both"/>
        <w:rPr>
          <w:rFonts w:ascii="Verdana" w:hAnsi="Verdana" w:cs="Arial"/>
          <w:sz w:val="20"/>
          <w:szCs w:val="20"/>
        </w:rPr>
      </w:pPr>
      <w:r>
        <w:rPr>
          <w:rFonts w:ascii="Verdana" w:hAnsi="Verdana" w:cs="Arial"/>
          <w:sz w:val="20"/>
          <w:szCs w:val="20"/>
        </w:rPr>
        <w:t>P</w:t>
      </w:r>
      <w:r w:rsidRPr="00153DCC">
        <w:rPr>
          <w:rFonts w:ascii="Verdana" w:hAnsi="Verdana" w:cs="Arial"/>
          <w:sz w:val="20"/>
          <w:szCs w:val="20"/>
        </w:rPr>
        <w:t>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encuentran incluidos los impuestos aplicables. De esta manera, el principio de selección objetiva, antes que permitir que la entidad compare las ofertas económicas sin tener en cuenta la carga tributaria, busca que la comparación se haga sobre la realidad de lo ofrecido por cada proponente, es decir, el valor total de lo que terminará pagando la entidad cuando adjudique el contrato.</w:t>
      </w:r>
    </w:p>
    <w:p w14:paraId="0994C189" w14:textId="77777777" w:rsidR="002445EA" w:rsidRPr="00153DCC" w:rsidRDefault="002445EA" w:rsidP="002445EA">
      <w:pPr>
        <w:pStyle w:val="Sinespaciado"/>
        <w:jc w:val="both"/>
        <w:rPr>
          <w:rFonts w:ascii="Verdana" w:hAnsi="Verdana" w:cs="Arial"/>
          <w:sz w:val="20"/>
          <w:szCs w:val="20"/>
        </w:rPr>
      </w:pPr>
    </w:p>
    <w:p w14:paraId="2AD166DC" w14:textId="77777777" w:rsidR="002445EA" w:rsidRPr="009B2362" w:rsidRDefault="002445EA" w:rsidP="002445EA">
      <w:pPr>
        <w:pStyle w:val="Sinespaciado"/>
        <w:jc w:val="both"/>
        <w:rPr>
          <w:rFonts w:ascii="Verdana" w:hAnsi="Verdana" w:cs="Arial"/>
          <w:b/>
          <w:bCs/>
          <w:sz w:val="22"/>
        </w:rPr>
      </w:pPr>
      <w:r w:rsidRPr="009B2362">
        <w:rPr>
          <w:rFonts w:ascii="Verdana" w:hAnsi="Verdana" w:cs="Arial"/>
          <w:b/>
          <w:bCs/>
          <w:sz w:val="22"/>
        </w:rPr>
        <w:t xml:space="preserve">EVALUACIÓN DEL PRECIO ‒ Costo real </w:t>
      </w:r>
      <w:r w:rsidRPr="009B2362">
        <w:rPr>
          <w:rFonts w:ascii="Verdana" w:eastAsia="Calibri" w:hAnsi="Verdana" w:cs="Arial"/>
          <w:b/>
          <w:sz w:val="22"/>
        </w:rPr>
        <w:t>–</w:t>
      </w:r>
      <w:r w:rsidRPr="009B2362">
        <w:rPr>
          <w:rFonts w:ascii="Verdana" w:hAnsi="Verdana" w:cs="Arial"/>
          <w:b/>
          <w:bCs/>
          <w:sz w:val="22"/>
        </w:rPr>
        <w:t xml:space="preserve"> Impuestos ‒ IVA</w:t>
      </w:r>
    </w:p>
    <w:p w14:paraId="3E63C157" w14:textId="77777777" w:rsidR="002445EA" w:rsidRPr="00153DCC" w:rsidRDefault="002445EA" w:rsidP="002445EA">
      <w:pPr>
        <w:pStyle w:val="Sinespaciado"/>
        <w:jc w:val="both"/>
        <w:rPr>
          <w:rFonts w:ascii="Verdana" w:hAnsi="Verdana" w:cs="Arial"/>
          <w:b/>
          <w:bCs/>
          <w:sz w:val="20"/>
          <w:szCs w:val="20"/>
        </w:rPr>
      </w:pPr>
    </w:p>
    <w:p w14:paraId="13FD0205" w14:textId="77777777" w:rsidR="002445EA" w:rsidRDefault="002445EA" w:rsidP="002445EA">
      <w:pPr>
        <w:spacing w:after="0" w:line="240" w:lineRule="auto"/>
        <w:jc w:val="both"/>
        <w:rPr>
          <w:rFonts w:ascii="Verdana" w:hAnsi="Verdana" w:cs="Arial"/>
          <w:sz w:val="20"/>
          <w:szCs w:val="20"/>
          <w:lang w:val="es-MX"/>
        </w:rPr>
      </w:pPr>
      <w:r>
        <w:rPr>
          <w:rFonts w:ascii="Verdana" w:hAnsi="Verdana" w:cs="Arial"/>
          <w:sz w:val="20"/>
          <w:szCs w:val="20"/>
          <w:lang w:val="es-MX"/>
        </w:rPr>
        <w:t>L</w:t>
      </w:r>
      <w:r w:rsidRPr="002C41AE">
        <w:rPr>
          <w:rFonts w:ascii="Verdana" w:hAnsi="Verdana" w:cs="Arial"/>
          <w:sz w:val="20"/>
          <w:szCs w:val="20"/>
          <w:lang w:val="es-MX"/>
        </w:rPr>
        <w:t>a posición que ha adoptado esta Subdirección de Gestión Contractual de tiempo atrás es que el IVA hace parte del precio que ofrece cada proponente, y así debe ser ponderado al momento de la evaluación de las ofertas. Por tanto, si un proponente, de acuerdo con su régimen tributario, no es responsable del IVA y no está obligado a cobrarlo ni discriminarlo, dicha circunstancia hace parte de las condiciones económicas de su oferta y no puede ser desconocida por la entidad al momento de efectuar la comparación.</w:t>
      </w:r>
    </w:p>
    <w:p w14:paraId="6C43445E" w14:textId="77777777" w:rsidR="002445EA" w:rsidRPr="002C41AE" w:rsidRDefault="002445EA" w:rsidP="002445EA">
      <w:pPr>
        <w:spacing w:after="0" w:line="240" w:lineRule="auto"/>
        <w:jc w:val="both"/>
        <w:rPr>
          <w:rFonts w:ascii="Verdana" w:hAnsi="Verdana" w:cs="Arial"/>
          <w:sz w:val="20"/>
          <w:szCs w:val="20"/>
          <w:lang w:val="es-MX"/>
        </w:rPr>
      </w:pPr>
    </w:p>
    <w:p w14:paraId="6BA2C015" w14:textId="77777777" w:rsidR="002445EA" w:rsidRDefault="002445EA" w:rsidP="002445EA">
      <w:pPr>
        <w:spacing w:after="0" w:line="240" w:lineRule="auto"/>
        <w:jc w:val="both"/>
        <w:rPr>
          <w:rFonts w:ascii="Verdana" w:hAnsi="Verdana" w:cs="Arial"/>
          <w:sz w:val="20"/>
          <w:szCs w:val="20"/>
          <w:lang w:val="es-MX"/>
        </w:rPr>
      </w:pPr>
      <w:r w:rsidRPr="002C41AE">
        <w:rPr>
          <w:rFonts w:ascii="Verdana" w:hAnsi="Verdana" w:cs="Arial"/>
          <w:sz w:val="20"/>
          <w:szCs w:val="20"/>
          <w:lang w:val="es-MX"/>
        </w:rPr>
        <w:t xml:space="preserve">En consecuencia, el hecho de que la entidad haya determinado sus precios o su presupuesto oficial con valores que incluyen IVA no significa que todos los proponentes deban incorporar o discriminar dicho impuesto en sus ofertas. El proponente no responsable del IVA deberá presentar el precio que efectivamente cobrará por los bienes, de acuerdo con su situación tributaria, sin adicionar, descontar o discriminar un impuesto que legalmente no está obligado a recaudar. </w:t>
      </w:r>
    </w:p>
    <w:p w14:paraId="5DAFE23C" w14:textId="77777777" w:rsidR="002445EA" w:rsidRPr="002C41AE" w:rsidRDefault="002445EA" w:rsidP="002445EA">
      <w:pPr>
        <w:spacing w:after="0" w:line="240" w:lineRule="auto"/>
        <w:jc w:val="both"/>
        <w:rPr>
          <w:rFonts w:ascii="Verdana" w:hAnsi="Verdana" w:cs="Arial"/>
          <w:sz w:val="20"/>
          <w:szCs w:val="20"/>
          <w:lang w:val="es-MX"/>
        </w:rPr>
      </w:pPr>
    </w:p>
    <w:p w14:paraId="3F86F455" w14:textId="77777777" w:rsidR="002445EA" w:rsidRPr="002C41AE" w:rsidRDefault="002445EA" w:rsidP="002445EA">
      <w:pPr>
        <w:spacing w:after="0" w:line="240" w:lineRule="auto"/>
        <w:jc w:val="both"/>
        <w:rPr>
          <w:rFonts w:ascii="Verdana" w:hAnsi="Verdana" w:cs="Arial"/>
          <w:sz w:val="20"/>
          <w:szCs w:val="20"/>
          <w:lang w:val="es-MX"/>
        </w:rPr>
      </w:pPr>
      <w:r w:rsidRPr="002C41AE">
        <w:rPr>
          <w:rFonts w:ascii="Verdana" w:hAnsi="Verdana" w:cs="Arial"/>
          <w:sz w:val="20"/>
          <w:szCs w:val="20"/>
          <w:lang w:val="es-MX"/>
        </w:rPr>
        <w:t>Así, cuando en un mismo proceso concurran proponentes responsables y no responsables del IVA, la entidad deberá evaluar sus ofertas con fundamento en el precio efectivamente ofrecido por cada uno, de conformidad con las reglas previstas en los documentos del proceso y con el régimen tributario aplicable. La eventual ventaja económica que pueda derivarse de la situación tributaria de un proponente no constituye, por sí misma, una vulneración del principio de igualdad, pues corresponde a una diferencia establecida por el ordenamiento jurídico y no a un tratamiento diferenciado determinado por la entidad estatal.</w:t>
      </w:r>
    </w:p>
    <w:p w14:paraId="3758473B" w14:textId="77777777" w:rsidR="002445EA" w:rsidRDefault="002445EA" w:rsidP="002445EA">
      <w:pPr>
        <w:spacing w:after="0" w:line="240" w:lineRule="auto"/>
        <w:rPr>
          <w:rFonts w:ascii="Verdana" w:eastAsia="Geomanist Light" w:hAnsi="Verdana" w:cs="Arial"/>
          <w:color w:val="000000" w:themeColor="text1"/>
          <w:lang w:val="es-MX"/>
        </w:rPr>
      </w:pPr>
    </w:p>
    <w:p w14:paraId="50B180EB" w14:textId="77777777" w:rsidR="002445EA" w:rsidRDefault="002445EA" w:rsidP="002445EA">
      <w:pPr>
        <w:spacing w:after="0" w:line="240" w:lineRule="auto"/>
        <w:rPr>
          <w:rFonts w:ascii="Verdana" w:eastAsia="Geomanist Light" w:hAnsi="Verdana" w:cs="Arial"/>
          <w:color w:val="000000" w:themeColor="text1"/>
          <w:lang w:val="es-MX"/>
        </w:rPr>
      </w:pPr>
    </w:p>
    <w:p w14:paraId="44AB9315" w14:textId="77777777" w:rsidR="002445EA" w:rsidRDefault="002445EA" w:rsidP="002445EA">
      <w:pPr>
        <w:spacing w:after="0" w:line="240" w:lineRule="auto"/>
        <w:rPr>
          <w:rFonts w:ascii="Verdana" w:eastAsia="Geomanist Light" w:hAnsi="Verdana" w:cs="Arial"/>
          <w:color w:val="000000" w:themeColor="text1"/>
          <w:lang w:val="es-MX"/>
        </w:rPr>
      </w:pPr>
    </w:p>
    <w:p w14:paraId="0536730F" w14:textId="77777777" w:rsidR="002445EA" w:rsidRDefault="002445EA" w:rsidP="002445EA">
      <w:pPr>
        <w:spacing w:after="0" w:line="240" w:lineRule="auto"/>
        <w:rPr>
          <w:rFonts w:ascii="Verdana" w:eastAsia="Geomanist Light" w:hAnsi="Verdana" w:cs="Arial"/>
          <w:color w:val="000000" w:themeColor="text1"/>
          <w:lang w:val="es-MX"/>
        </w:rPr>
      </w:pPr>
    </w:p>
    <w:p w14:paraId="14E8C58B" w14:textId="77777777" w:rsidR="002445EA" w:rsidRDefault="002445EA" w:rsidP="002445EA">
      <w:pPr>
        <w:spacing w:after="0" w:line="240" w:lineRule="auto"/>
        <w:rPr>
          <w:rFonts w:ascii="Verdana" w:eastAsia="Geomanist Light" w:hAnsi="Verdana" w:cs="Arial"/>
          <w:color w:val="000000" w:themeColor="text1"/>
          <w:lang w:val="es-MX"/>
        </w:rPr>
      </w:pPr>
    </w:p>
    <w:p w14:paraId="40EF16B9" w14:textId="77777777" w:rsidR="002445EA" w:rsidRDefault="002445EA" w:rsidP="002445EA">
      <w:pPr>
        <w:spacing w:after="0" w:line="240" w:lineRule="auto"/>
        <w:rPr>
          <w:rFonts w:ascii="Verdana" w:eastAsia="Geomanist Light" w:hAnsi="Verdana" w:cs="Arial"/>
          <w:color w:val="000000" w:themeColor="text1"/>
          <w:lang w:val="es-MX"/>
        </w:rPr>
      </w:pPr>
    </w:p>
    <w:p w14:paraId="2F479E03" w14:textId="77777777" w:rsidR="002445EA" w:rsidRDefault="002445EA" w:rsidP="002445EA">
      <w:pPr>
        <w:spacing w:after="0" w:line="240" w:lineRule="auto"/>
        <w:rPr>
          <w:rFonts w:ascii="Verdana" w:eastAsia="Geomanist Light" w:hAnsi="Verdana" w:cs="Arial"/>
          <w:color w:val="000000" w:themeColor="text1"/>
          <w:lang w:val="es-MX"/>
        </w:rPr>
      </w:pPr>
    </w:p>
    <w:p w14:paraId="698594A8" w14:textId="77777777" w:rsidR="002445EA" w:rsidRDefault="002445EA" w:rsidP="002445EA">
      <w:pPr>
        <w:spacing w:after="0" w:line="240" w:lineRule="auto"/>
        <w:rPr>
          <w:rFonts w:ascii="Verdana" w:eastAsia="Geomanist Light" w:hAnsi="Verdana" w:cs="Arial"/>
          <w:color w:val="000000" w:themeColor="text1"/>
          <w:lang w:val="es-MX"/>
        </w:rPr>
      </w:pPr>
    </w:p>
    <w:p w14:paraId="44A4DA61" w14:textId="49B832E1" w:rsidR="002445EA" w:rsidRPr="00241376" w:rsidRDefault="002445EA" w:rsidP="002445EA">
      <w:pPr>
        <w:spacing w:after="0" w:line="240" w:lineRule="auto"/>
        <w:rPr>
          <w:rFonts w:ascii="Verdana" w:eastAsia="Geomanist Light" w:hAnsi="Verdana" w:cs="Arial"/>
          <w:color w:val="201F1E"/>
          <w:lang w:val="es-MX"/>
        </w:rPr>
      </w:pPr>
      <w:r w:rsidRPr="006D0E8A">
        <w:rPr>
          <w:rFonts w:ascii="Verdana" w:eastAsia="Geomanist Light" w:hAnsi="Verdana" w:cs="Arial"/>
          <w:color w:val="000000" w:themeColor="text1"/>
          <w:lang w:val="es-MX"/>
        </w:rPr>
        <w:lastRenderedPageBreak/>
        <w:t>Bogotá D.C., </w:t>
      </w:r>
      <w:r w:rsidR="00E73CD6">
        <w:rPr>
          <w:rFonts w:ascii="Verdana" w:eastAsia="Geomanist Light" w:hAnsi="Verdana" w:cs="Arial"/>
          <w:color w:val="201F1E"/>
        </w:rPr>
        <w:t>31 de agosto de 2026</w:t>
      </w:r>
    </w:p>
    <w:p w14:paraId="035AA3EB" w14:textId="7E218A27" w:rsidR="002445EA" w:rsidRPr="006D0E8A" w:rsidRDefault="00E73CD6" w:rsidP="00E73CD6">
      <w:pPr>
        <w:spacing w:after="0" w:line="240" w:lineRule="auto"/>
        <w:jc w:val="right"/>
        <w:rPr>
          <w:rFonts w:ascii="Verdana" w:eastAsia="Geomanist Light" w:hAnsi="Verdana" w:cs="Arial"/>
          <w:color w:val="201F1E"/>
          <w:lang w:val="es-MX"/>
        </w:rPr>
      </w:pPr>
      <w:r w:rsidRPr="00E73CD6">
        <w:rPr>
          <w:rFonts w:ascii="Verdana" w:eastAsia="Geomanist Light" w:hAnsi="Verdana" w:cs="Arial"/>
          <w:noProof/>
          <w:color w:val="201F1E"/>
          <w:lang w:val="es-MX"/>
        </w:rPr>
        <w:drawing>
          <wp:anchor distT="0" distB="0" distL="114300" distR="114300" simplePos="0" relativeHeight="251658240" behindDoc="0" locked="0" layoutInCell="1" allowOverlap="1" wp14:anchorId="5BC91746" wp14:editId="0A16B911">
            <wp:simplePos x="0" y="0"/>
            <wp:positionH relativeFrom="column">
              <wp:posOffset>3362325</wp:posOffset>
            </wp:positionH>
            <wp:positionV relativeFrom="paragraph">
              <wp:posOffset>-2540</wp:posOffset>
            </wp:positionV>
            <wp:extent cx="2247900" cy="891540"/>
            <wp:effectExtent l="0" t="0" r="0" b="3810"/>
            <wp:wrapSquare wrapText="bothSides"/>
            <wp:docPr id="11419542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7900" cy="891540"/>
                    </a:xfrm>
                    <a:prstGeom prst="rect">
                      <a:avLst/>
                    </a:prstGeom>
                    <a:noFill/>
                    <a:ln>
                      <a:noFill/>
                    </a:ln>
                  </pic:spPr>
                </pic:pic>
              </a:graphicData>
            </a:graphic>
          </wp:anchor>
        </w:drawing>
      </w:r>
    </w:p>
    <w:p w14:paraId="474F1855" w14:textId="77777777" w:rsidR="002445EA" w:rsidRPr="006D0E8A" w:rsidRDefault="002445EA" w:rsidP="002445EA">
      <w:pPr>
        <w:spacing w:after="0" w:line="240" w:lineRule="auto"/>
        <w:jc w:val="both"/>
        <w:rPr>
          <w:rFonts w:ascii="Verdana" w:eastAsia="Calibri" w:hAnsi="Verdana" w:cs="Arial"/>
          <w:color w:val="000000"/>
          <w:lang w:val="es-ES"/>
        </w:rPr>
      </w:pPr>
    </w:p>
    <w:p w14:paraId="406543EE" w14:textId="77777777" w:rsidR="002445EA" w:rsidRDefault="002445EA" w:rsidP="002445EA">
      <w:pPr>
        <w:spacing w:after="0" w:line="240" w:lineRule="auto"/>
        <w:jc w:val="both"/>
        <w:rPr>
          <w:rFonts w:ascii="Verdana" w:eastAsia="Calibri" w:hAnsi="Verdana" w:cs="Arial"/>
          <w:lang w:val="es-ES" w:eastAsia="es-ES"/>
        </w:rPr>
      </w:pPr>
      <w:r w:rsidRPr="006D0E8A">
        <w:rPr>
          <w:rFonts w:ascii="Verdana" w:eastAsia="Calibri" w:hAnsi="Verdana" w:cs="Arial"/>
          <w:lang w:val="es-ES" w:eastAsia="es-ES"/>
        </w:rPr>
        <w:t>Señor</w:t>
      </w:r>
      <w:r>
        <w:rPr>
          <w:rFonts w:ascii="Verdana" w:eastAsia="Calibri" w:hAnsi="Verdana" w:cs="Arial"/>
          <w:lang w:val="es-ES" w:eastAsia="es-ES"/>
        </w:rPr>
        <w:t>a</w:t>
      </w:r>
    </w:p>
    <w:p w14:paraId="07EBCD24" w14:textId="77777777" w:rsidR="002445EA" w:rsidRDefault="002445EA" w:rsidP="002445EA">
      <w:pPr>
        <w:spacing w:after="0" w:line="240" w:lineRule="auto"/>
        <w:jc w:val="both"/>
        <w:rPr>
          <w:rFonts w:ascii="Verdana" w:eastAsia="Calibri" w:hAnsi="Verdana" w:cs="Arial"/>
          <w:b/>
          <w:bCs/>
          <w:lang w:eastAsia="es-ES"/>
        </w:rPr>
      </w:pPr>
      <w:r w:rsidRPr="00273622">
        <w:rPr>
          <w:rFonts w:ascii="Verdana" w:eastAsia="Calibri" w:hAnsi="Verdana" w:cs="Arial"/>
          <w:b/>
          <w:bCs/>
          <w:lang w:eastAsia="es-ES"/>
        </w:rPr>
        <w:t>Lidia Stella Buitra</w:t>
      </w:r>
      <w:r>
        <w:rPr>
          <w:rFonts w:ascii="Verdana" w:eastAsia="Calibri" w:hAnsi="Verdana" w:cs="Arial"/>
          <w:b/>
          <w:bCs/>
          <w:lang w:eastAsia="es-ES"/>
        </w:rPr>
        <w:t>go</w:t>
      </w:r>
      <w:r w:rsidRPr="00273622">
        <w:rPr>
          <w:rFonts w:ascii="Verdana" w:eastAsia="Calibri" w:hAnsi="Verdana" w:cs="Arial"/>
          <w:b/>
          <w:bCs/>
          <w:lang w:eastAsia="es-ES"/>
        </w:rPr>
        <w:t xml:space="preserve"> Ramírez</w:t>
      </w:r>
    </w:p>
    <w:p w14:paraId="7C29A315" w14:textId="77777777" w:rsidR="002445EA" w:rsidRPr="008F094D" w:rsidRDefault="002445EA" w:rsidP="002445EA">
      <w:pPr>
        <w:spacing w:after="0" w:line="240" w:lineRule="auto"/>
        <w:jc w:val="both"/>
        <w:rPr>
          <w:rFonts w:ascii="Verdana" w:eastAsia="Calibri" w:hAnsi="Verdana" w:cs="Arial"/>
          <w:lang w:val="es-ES" w:eastAsia="es-ES"/>
        </w:rPr>
      </w:pPr>
      <w:hyperlink r:id="rId12" w:history="1">
        <w:r w:rsidRPr="008F094D">
          <w:rPr>
            <w:rStyle w:val="Hipervnculo"/>
            <w:rFonts w:ascii="Verdana" w:eastAsia="Calibri" w:hAnsi="Verdana" w:cs="Arial"/>
            <w:lang w:val="es-ES" w:eastAsia="es-ES"/>
          </w:rPr>
          <w:t>lidiabuitrago2026@gmail.com</w:t>
        </w:r>
      </w:hyperlink>
      <w:r w:rsidRPr="008F094D">
        <w:rPr>
          <w:rFonts w:ascii="Verdana" w:eastAsia="Calibri" w:hAnsi="Verdana" w:cs="Arial"/>
          <w:lang w:val="es-ES" w:eastAsia="es-ES"/>
        </w:rPr>
        <w:t xml:space="preserve"> </w:t>
      </w:r>
    </w:p>
    <w:p w14:paraId="646267FE" w14:textId="77777777" w:rsidR="002445EA" w:rsidRPr="006D0E8A" w:rsidRDefault="002445EA" w:rsidP="002445EA">
      <w:pPr>
        <w:spacing w:after="0" w:line="240" w:lineRule="auto"/>
        <w:rPr>
          <w:rFonts w:ascii="Verdana" w:eastAsia="Calibri" w:hAnsi="Verdana" w:cs="Arial"/>
          <w:lang w:val="es-ES" w:eastAsia="es-ES"/>
        </w:rPr>
      </w:pPr>
      <w:r w:rsidRPr="006D0E8A">
        <w:rPr>
          <w:rFonts w:ascii="Verdana" w:eastAsia="Calibri" w:hAnsi="Verdana" w:cs="Arial"/>
          <w:lang w:val="es-ES" w:eastAsia="es-ES"/>
        </w:rPr>
        <w:t xml:space="preserve">Bogotá D.C. </w:t>
      </w:r>
    </w:p>
    <w:p w14:paraId="2E3C75C8" w14:textId="77777777" w:rsidR="002445EA" w:rsidRPr="006D0E8A" w:rsidRDefault="002445EA" w:rsidP="002445EA">
      <w:pPr>
        <w:spacing w:after="0" w:line="240" w:lineRule="auto"/>
        <w:rPr>
          <w:rFonts w:ascii="Verdana" w:eastAsia="Calibri" w:hAnsi="Verdana" w:cs="Arial"/>
          <w:b/>
          <w:bCs/>
          <w:color w:val="000000"/>
          <w:lang w:val="es-ES_tradnl" w:eastAsia="es-ES_tradnl"/>
        </w:rPr>
      </w:pPr>
    </w:p>
    <w:p w14:paraId="607F52D2" w14:textId="77777777" w:rsidR="002445EA" w:rsidRPr="006D0E8A" w:rsidRDefault="002445EA" w:rsidP="002445E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445EA" w:rsidRPr="006D0E8A" w14:paraId="59E34341" w14:textId="77777777" w:rsidTr="00D8597D">
        <w:trPr>
          <w:trHeight w:val="884"/>
        </w:trPr>
        <w:tc>
          <w:tcPr>
            <w:tcW w:w="2689" w:type="dxa"/>
          </w:tcPr>
          <w:p w14:paraId="0F9921FA" w14:textId="77777777" w:rsidR="002445EA" w:rsidRPr="006D0E8A" w:rsidRDefault="002445EA" w:rsidP="00D8597D">
            <w:pPr>
              <w:jc w:val="both"/>
              <w:rPr>
                <w:rFonts w:ascii="Verdana" w:eastAsia="Calibri" w:hAnsi="Verdana" w:cs="Arial"/>
                <w:b/>
                <w:bCs/>
                <w:color w:val="7030A0"/>
                <w:lang w:val="es-ES_tradnl" w:eastAsia="es-ES_tradnl"/>
              </w:rPr>
            </w:pPr>
          </w:p>
        </w:tc>
        <w:tc>
          <w:tcPr>
            <w:tcW w:w="6100" w:type="dxa"/>
          </w:tcPr>
          <w:p w14:paraId="00B92594" w14:textId="0E0FFAFD" w:rsidR="002445EA" w:rsidRPr="006D0E8A" w:rsidRDefault="002445EA" w:rsidP="00D8597D">
            <w:pPr>
              <w:jc w:val="both"/>
              <w:rPr>
                <w:rFonts w:ascii="Verdana" w:eastAsia="Calibri" w:hAnsi="Verdana" w:cs="Arial"/>
                <w:b/>
                <w:bCs/>
                <w:color w:val="7030A0"/>
                <w:lang w:val="es-ES" w:eastAsia="es-ES"/>
              </w:rPr>
            </w:pPr>
            <w:r w:rsidRPr="006D0E8A">
              <w:rPr>
                <w:rFonts w:ascii="Verdana" w:eastAsia="Calibri" w:hAnsi="Verdana" w:cs="Arial"/>
                <w:b/>
                <w:bCs/>
                <w:lang w:val="es-ES" w:eastAsia="es-ES"/>
              </w:rPr>
              <w:t>Concepto C</w:t>
            </w:r>
            <w:r w:rsidR="009B2362">
              <w:rPr>
                <w:rFonts w:ascii="Verdana" w:eastAsia="Calibri" w:hAnsi="Verdana" w:cs="Arial"/>
                <w:b/>
                <w:bCs/>
                <w:lang w:val="es-ES" w:eastAsia="es-ES"/>
              </w:rPr>
              <w:t>-</w:t>
            </w:r>
            <w:r w:rsidRPr="6E815D84">
              <w:rPr>
                <w:rFonts w:ascii="Verdana" w:eastAsia="Calibri" w:hAnsi="Verdana" w:cs="Arial"/>
                <w:b/>
                <w:bCs/>
                <w:lang w:val="es-ES" w:eastAsia="es-ES"/>
              </w:rPr>
              <w:t>1256</w:t>
            </w:r>
            <w:r w:rsidRPr="006D0E8A">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2445EA" w:rsidRPr="006D0E8A" w14:paraId="4F116A9F" w14:textId="77777777" w:rsidTr="00D8597D">
        <w:trPr>
          <w:trHeight w:val="884"/>
        </w:trPr>
        <w:tc>
          <w:tcPr>
            <w:tcW w:w="2689" w:type="dxa"/>
          </w:tcPr>
          <w:p w14:paraId="7E98000F" w14:textId="77777777" w:rsidR="002445EA" w:rsidRPr="006D0E8A" w:rsidRDefault="002445EA" w:rsidP="00D8597D">
            <w:pPr>
              <w:jc w:val="both"/>
              <w:rPr>
                <w:rFonts w:ascii="Verdana" w:eastAsia="Calibri" w:hAnsi="Verdana" w:cs="Arial"/>
                <w:color w:val="000000"/>
                <w:lang w:val="es-ES_tradnl" w:eastAsia="es-ES_tradnl"/>
              </w:rPr>
            </w:pPr>
            <w:r w:rsidRPr="006D0E8A">
              <w:rPr>
                <w:rFonts w:ascii="Verdana" w:eastAsia="Calibri" w:hAnsi="Verdana" w:cs="Arial"/>
                <w:b/>
                <w:color w:val="000000"/>
                <w:lang w:val="es-ES_tradnl" w:eastAsia="es-ES_tradnl"/>
              </w:rPr>
              <w:t>Temas:</w:t>
            </w:r>
            <w:r w:rsidRPr="006D0E8A">
              <w:rPr>
                <w:rFonts w:ascii="Verdana" w:eastAsia="Calibri" w:hAnsi="Verdana" w:cs="Arial"/>
                <w:color w:val="000000"/>
                <w:lang w:val="es-ES_tradnl" w:eastAsia="es-ES_tradnl"/>
              </w:rPr>
              <w:t xml:space="preserve">                   </w:t>
            </w:r>
          </w:p>
        </w:tc>
        <w:tc>
          <w:tcPr>
            <w:tcW w:w="6100" w:type="dxa"/>
          </w:tcPr>
          <w:p w14:paraId="284736E3" w14:textId="77777777" w:rsidR="002445EA" w:rsidRPr="0014754D" w:rsidRDefault="002445EA" w:rsidP="00D8597D">
            <w:pPr>
              <w:widowControl w:val="0"/>
              <w:autoSpaceDE w:val="0"/>
              <w:autoSpaceDN w:val="0"/>
              <w:spacing w:after="160" w:line="276" w:lineRule="auto"/>
              <w:jc w:val="both"/>
              <w:rPr>
                <w:rFonts w:ascii="Verdana" w:eastAsia="Calibri" w:hAnsi="Verdana" w:cs="Arial"/>
                <w:b/>
                <w:bCs/>
                <w:lang w:eastAsia="es-ES"/>
              </w:rPr>
            </w:pPr>
            <w:r w:rsidRPr="00826BEE">
              <w:rPr>
                <w:rFonts w:ascii="Verdana" w:eastAsia="Calibri" w:hAnsi="Verdana" w:cs="Arial"/>
                <w:lang w:val="es-ES" w:eastAsia="es-ES"/>
              </w:rPr>
              <w:t>EVALUACIÓN DEL PRECIO ‒ Selección objetiva</w:t>
            </w:r>
            <w:r>
              <w:rPr>
                <w:rFonts w:ascii="Verdana" w:eastAsia="Calibri" w:hAnsi="Verdana" w:cs="Arial"/>
                <w:lang w:val="es-ES" w:eastAsia="es-ES"/>
              </w:rPr>
              <w:t xml:space="preserve"> </w:t>
            </w:r>
            <w:r w:rsidRPr="00826BEE">
              <w:rPr>
                <w:rFonts w:ascii="Verdana" w:eastAsia="Calibri" w:hAnsi="Verdana" w:cs="Arial"/>
                <w:lang w:val="es-ES" w:eastAsia="es-ES"/>
              </w:rPr>
              <w:t xml:space="preserve">/ EVALUACIÓN DEL PRECIO – Costo real ‒ </w:t>
            </w:r>
            <w:r>
              <w:rPr>
                <w:rFonts w:ascii="Verdana" w:eastAsia="Calibri" w:hAnsi="Verdana" w:cs="Arial"/>
                <w:lang w:val="es-ES" w:eastAsia="es-ES"/>
              </w:rPr>
              <w:t>Impuestos</w:t>
            </w:r>
            <w:r w:rsidRPr="00826BEE">
              <w:rPr>
                <w:rFonts w:ascii="Verdana" w:eastAsia="Calibri" w:hAnsi="Verdana" w:cs="Arial"/>
                <w:lang w:val="es-ES" w:eastAsia="es-ES"/>
              </w:rPr>
              <w:t xml:space="preserve"> ‒</w:t>
            </w:r>
            <w:r>
              <w:rPr>
                <w:rFonts w:ascii="Verdana" w:eastAsia="Calibri" w:hAnsi="Verdana" w:cs="Arial"/>
                <w:lang w:val="es-ES" w:eastAsia="es-ES"/>
              </w:rPr>
              <w:t xml:space="preserve"> IVA</w:t>
            </w:r>
          </w:p>
        </w:tc>
      </w:tr>
      <w:tr w:rsidR="002445EA" w:rsidRPr="006D0E8A" w14:paraId="1C91A946" w14:textId="77777777" w:rsidTr="00D8597D">
        <w:tc>
          <w:tcPr>
            <w:tcW w:w="2689" w:type="dxa"/>
          </w:tcPr>
          <w:p w14:paraId="6A342C87" w14:textId="77777777" w:rsidR="002445EA" w:rsidRPr="006D0E8A" w:rsidRDefault="002445EA" w:rsidP="00D8597D">
            <w:pPr>
              <w:jc w:val="both"/>
              <w:rPr>
                <w:rFonts w:ascii="Verdana" w:eastAsia="Calibri" w:hAnsi="Verdana" w:cs="Arial"/>
                <w:b/>
                <w:lang w:val="es-ES_tradnl" w:eastAsia="es-ES_tradnl"/>
              </w:rPr>
            </w:pPr>
            <w:r w:rsidRPr="006D0E8A">
              <w:rPr>
                <w:rFonts w:ascii="Verdana" w:eastAsia="Calibri" w:hAnsi="Verdana" w:cs="Arial"/>
                <w:b/>
                <w:lang w:val="es-ES_tradnl" w:eastAsia="es-ES_tradnl"/>
              </w:rPr>
              <w:t>Radicación:</w:t>
            </w:r>
            <w:r w:rsidRPr="006D0E8A">
              <w:rPr>
                <w:rFonts w:ascii="Verdana" w:eastAsia="Calibri" w:hAnsi="Verdana" w:cs="Arial"/>
                <w:lang w:val="es-ES_tradnl" w:eastAsia="es-ES_tradnl"/>
              </w:rPr>
              <w:t xml:space="preserve">               </w:t>
            </w:r>
          </w:p>
        </w:tc>
        <w:tc>
          <w:tcPr>
            <w:tcW w:w="6100" w:type="dxa"/>
          </w:tcPr>
          <w:p w14:paraId="6E9D1DEB" w14:textId="77777777" w:rsidR="002445EA" w:rsidRPr="006D0E8A" w:rsidRDefault="002445EA" w:rsidP="00D8597D">
            <w:pPr>
              <w:spacing w:line="276" w:lineRule="auto"/>
              <w:jc w:val="both"/>
              <w:rPr>
                <w:rFonts w:ascii="Verdana" w:eastAsia="Calibri" w:hAnsi="Verdana" w:cs="Arial"/>
                <w:lang w:val="es-ES_tradnl" w:eastAsia="es-ES_tradnl"/>
              </w:rPr>
            </w:pPr>
            <w:r w:rsidRPr="006D0E8A">
              <w:rPr>
                <w:rFonts w:ascii="Verdana" w:eastAsia="Calibri" w:hAnsi="Verdana" w:cs="Arial"/>
                <w:lang w:val="es-ES_tradnl" w:eastAsia="es-ES_tradnl"/>
              </w:rPr>
              <w:t>Respuesta a la consulta con radicado No.</w:t>
            </w:r>
            <w:r w:rsidRPr="00AB0334">
              <w:rPr>
                <w:rFonts w:ascii="Verdana" w:eastAsia="Calibri" w:hAnsi="Verdana" w:cs="Arial"/>
                <w:lang w:val="es-ES_tradnl" w:eastAsia="es-ES_tradnl"/>
              </w:rPr>
              <w:t xml:space="preserve"> 1_2026_08_11_010549</w:t>
            </w:r>
            <w:r w:rsidRPr="006D0E8A">
              <w:rPr>
                <w:rFonts w:ascii="Verdana" w:eastAsia="Calibri" w:hAnsi="Verdana" w:cs="Arial"/>
                <w:lang w:val="es-ES_tradnl" w:eastAsia="es-ES_tradnl"/>
              </w:rPr>
              <w:t xml:space="preserve"> </w:t>
            </w:r>
          </w:p>
        </w:tc>
      </w:tr>
    </w:tbl>
    <w:p w14:paraId="1B17A14C" w14:textId="77777777" w:rsidR="002445EA" w:rsidRPr="006D0E8A" w:rsidRDefault="002445EA" w:rsidP="002445EA">
      <w:pPr>
        <w:spacing w:after="0" w:line="240" w:lineRule="auto"/>
        <w:jc w:val="both"/>
        <w:rPr>
          <w:rFonts w:ascii="Verdana" w:eastAsia="Calibri" w:hAnsi="Verdana" w:cs="Arial"/>
          <w:color w:val="000000"/>
          <w:lang w:val="es-ES_tradnl" w:eastAsia="es-ES_tradnl"/>
        </w:rPr>
      </w:pPr>
    </w:p>
    <w:p w14:paraId="7493A34B" w14:textId="77777777" w:rsidR="002445EA" w:rsidRPr="006D0E8A" w:rsidRDefault="002445EA" w:rsidP="002445EA">
      <w:pPr>
        <w:spacing w:after="0" w:line="240" w:lineRule="auto"/>
        <w:jc w:val="both"/>
        <w:rPr>
          <w:rFonts w:ascii="Verdana" w:eastAsia="Calibri" w:hAnsi="Verdana" w:cs="Arial"/>
          <w:color w:val="000000"/>
          <w:lang w:val="es-ES_tradnl" w:eastAsia="es-ES_tradnl"/>
        </w:rPr>
      </w:pPr>
    </w:p>
    <w:p w14:paraId="5EEC6769" w14:textId="77777777" w:rsidR="002445EA" w:rsidRPr="006D0E8A" w:rsidRDefault="002445EA" w:rsidP="002445EA">
      <w:pPr>
        <w:spacing w:after="0" w:line="276" w:lineRule="auto"/>
        <w:jc w:val="both"/>
        <w:rPr>
          <w:rFonts w:ascii="Verdana" w:eastAsia="Calibri" w:hAnsi="Verdana" w:cs="Arial"/>
          <w:lang w:val="es-ES" w:eastAsia="es-ES"/>
        </w:rPr>
      </w:pPr>
      <w:r w:rsidRPr="006D0E8A">
        <w:rPr>
          <w:rFonts w:ascii="Verdana" w:eastAsia="Calibri" w:hAnsi="Verdana" w:cs="Arial"/>
          <w:lang w:val="es-ES" w:eastAsia="es-ES"/>
        </w:rPr>
        <w:t>Estimad</w:t>
      </w:r>
      <w:r>
        <w:rPr>
          <w:rFonts w:ascii="Verdana" w:eastAsia="Calibri" w:hAnsi="Verdana" w:cs="Arial"/>
          <w:lang w:val="es-ES" w:eastAsia="es-ES"/>
        </w:rPr>
        <w:t>a</w:t>
      </w:r>
      <w:r w:rsidRPr="006D0E8A">
        <w:rPr>
          <w:rFonts w:ascii="Verdana" w:eastAsia="Calibri" w:hAnsi="Verdana" w:cs="Arial"/>
          <w:lang w:val="es-ES" w:eastAsia="es-ES"/>
        </w:rPr>
        <w:t xml:space="preserve"> señor</w:t>
      </w:r>
      <w:r>
        <w:rPr>
          <w:rFonts w:ascii="Verdana" w:eastAsia="Calibri" w:hAnsi="Verdana" w:cs="Arial"/>
          <w:lang w:val="es-ES" w:eastAsia="es-ES"/>
        </w:rPr>
        <w:t>a Buitrago</w:t>
      </w:r>
      <w:r w:rsidRPr="006D0E8A">
        <w:rPr>
          <w:rFonts w:ascii="Verdana" w:eastAsia="Calibri" w:hAnsi="Verdana" w:cs="Arial"/>
          <w:lang w:val="es-ES" w:eastAsia="es-ES"/>
        </w:rPr>
        <w:t xml:space="preserve">: </w:t>
      </w:r>
    </w:p>
    <w:p w14:paraId="2E480807" w14:textId="77777777" w:rsidR="002445EA" w:rsidRPr="006D0E8A" w:rsidRDefault="002445EA" w:rsidP="002445EA">
      <w:pPr>
        <w:tabs>
          <w:tab w:val="left" w:pos="3768"/>
        </w:tabs>
        <w:spacing w:after="0" w:line="276" w:lineRule="auto"/>
        <w:jc w:val="both"/>
        <w:rPr>
          <w:rFonts w:ascii="Verdana" w:eastAsia="Calibri" w:hAnsi="Verdana" w:cs="Arial"/>
          <w:color w:val="000000" w:themeColor="text1"/>
          <w:lang w:val="es-ES" w:eastAsia="es-ES"/>
        </w:rPr>
      </w:pPr>
      <w:r w:rsidRPr="006D0E8A">
        <w:rPr>
          <w:rFonts w:ascii="Verdana" w:eastAsia="Calibri" w:hAnsi="Verdana" w:cs="Arial"/>
          <w:color w:val="000000" w:themeColor="text1"/>
          <w:lang w:val="es-ES" w:eastAsia="es-ES"/>
        </w:rPr>
        <w:tab/>
      </w:r>
    </w:p>
    <w:p w14:paraId="1C68C911" w14:textId="77777777" w:rsidR="002445EA" w:rsidRPr="006D0E8A" w:rsidRDefault="002445EA" w:rsidP="002445EA">
      <w:pPr>
        <w:spacing w:after="0" w:line="276" w:lineRule="auto"/>
        <w:jc w:val="both"/>
        <w:rPr>
          <w:rFonts w:ascii="Verdana" w:eastAsia="Calibri" w:hAnsi="Verdana" w:cs="Arial"/>
          <w:color w:val="7030A0"/>
          <w:lang w:val="es-ES" w:eastAsia="es-ES"/>
        </w:rPr>
      </w:pPr>
      <w:r w:rsidRPr="006D0E8A">
        <w:rPr>
          <w:rFonts w:ascii="Verdana" w:eastAsia="Calibri" w:hAnsi="Verdana" w:cs="Arial"/>
          <w:color w:val="000000" w:themeColor="text1"/>
          <w:lang w:val="es-ES" w:eastAsia="es-ES"/>
        </w:rPr>
        <w:t>En ejercicio de la competencia otorgada por los artículos 3, numeral 5º, y 11, numeral 8º, del Decreto Ley 4170 de 2011,</w:t>
      </w:r>
      <w:r w:rsidRPr="006D0E8A">
        <w:rPr>
          <w:rFonts w:ascii="Verdana" w:eastAsia="Arial MT" w:hAnsi="Verdana" w:cs="Arial MT"/>
          <w:lang w:val="es-ES" w:eastAsia="es-ES"/>
        </w:rPr>
        <w:t xml:space="preserve"> </w:t>
      </w:r>
      <w:r w:rsidRPr="001B3C5D">
        <w:rPr>
          <w:rFonts w:ascii="Verdana" w:eastAsia="Calibri" w:hAnsi="Verdana" w:cs="Arial"/>
        </w:rPr>
        <w:t>así como lo establecido en la Resolución No. 469 del 2025 expedida por esta Entidad</w:t>
      </w:r>
      <w:r w:rsidRPr="006D0E8A">
        <w:rPr>
          <w:rFonts w:ascii="Verdana" w:hAnsi="Verdana" w:cs="Arial"/>
        </w:rPr>
        <w:t xml:space="preserve">, </w:t>
      </w:r>
      <w:r w:rsidRPr="006D0E8A">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 xml:space="preserve">el punto primero de </w:t>
      </w:r>
      <w:r w:rsidRPr="006D0E8A">
        <w:rPr>
          <w:rFonts w:ascii="Verdana" w:eastAsia="Calibri" w:hAnsi="Verdana" w:cs="Arial"/>
          <w:color w:val="000000" w:themeColor="text1"/>
          <w:lang w:val="es-ES" w:eastAsia="es-ES"/>
        </w:rPr>
        <w:t>su</w:t>
      </w:r>
      <w:r>
        <w:rPr>
          <w:rFonts w:ascii="Verdana" w:eastAsia="Calibri" w:hAnsi="Verdana" w:cs="Arial"/>
          <w:color w:val="000000" w:themeColor="text1"/>
          <w:lang w:val="es-ES" w:eastAsia="es-ES"/>
        </w:rPr>
        <w:t xml:space="preserve"> </w:t>
      </w:r>
      <w:r w:rsidRPr="006D0E8A">
        <w:rPr>
          <w:rFonts w:ascii="Verdana" w:eastAsia="Calibri" w:hAnsi="Verdana" w:cs="Arial"/>
          <w:color w:val="000000" w:themeColor="text1"/>
          <w:lang w:val="es-ES" w:eastAsia="es-ES"/>
        </w:rPr>
        <w:t>consulta</w:t>
      </w:r>
      <w:r>
        <w:rPr>
          <w:rFonts w:ascii="Verdana" w:eastAsia="Calibri" w:hAnsi="Verdana" w:cs="Arial"/>
          <w:color w:val="000000" w:themeColor="text1"/>
          <w:lang w:val="es-ES" w:eastAsia="es-ES"/>
        </w:rPr>
        <w:t xml:space="preserve"> remitida por competencia por la Dirección de Impuestos y Aduanas Nacionales – DIAN- </w:t>
      </w:r>
      <w:r w:rsidRPr="006D0E8A">
        <w:rPr>
          <w:rFonts w:ascii="Verdana" w:eastAsia="Calibri" w:hAnsi="Verdana" w:cs="Arial"/>
          <w:color w:val="000000" w:themeColor="text1"/>
          <w:lang w:val="es-ES" w:eastAsia="es-ES"/>
        </w:rPr>
        <w:t>e</w:t>
      </w:r>
      <w:r>
        <w:rPr>
          <w:rFonts w:ascii="Verdana" w:eastAsia="Calibri" w:hAnsi="Verdana" w:cs="Arial"/>
          <w:color w:val="000000" w:themeColor="text1"/>
          <w:lang w:val="es-ES" w:eastAsia="es-ES"/>
        </w:rPr>
        <w:t xml:space="preserve">l 11 de agosto de 2026, </w:t>
      </w:r>
      <w:r w:rsidRPr="006D0E8A">
        <w:rPr>
          <w:rFonts w:ascii="Verdana" w:eastAsia="Calibri" w:hAnsi="Verdana" w:cs="Arial"/>
          <w:lang w:val="es-ES" w:eastAsia="es-ES"/>
        </w:rPr>
        <w:t>en la cual pregunta</w:t>
      </w:r>
      <w:r>
        <w:rPr>
          <w:rFonts w:ascii="Verdana" w:eastAsia="Calibri" w:hAnsi="Verdana" w:cs="Arial"/>
          <w:lang w:val="es-ES" w:eastAsia="es-ES"/>
        </w:rPr>
        <w:t xml:space="preserve"> lo siguiente</w:t>
      </w:r>
      <w:r w:rsidRPr="006D0E8A">
        <w:rPr>
          <w:rFonts w:ascii="Verdana" w:eastAsia="Calibri" w:hAnsi="Verdana" w:cs="Arial"/>
          <w:lang w:val="es-ES" w:eastAsia="es-ES"/>
        </w:rPr>
        <w:t xml:space="preserve">: </w:t>
      </w:r>
    </w:p>
    <w:p w14:paraId="7AF64074" w14:textId="77777777" w:rsidR="002445EA" w:rsidRPr="006D0E8A" w:rsidRDefault="002445EA" w:rsidP="002445EA">
      <w:pPr>
        <w:tabs>
          <w:tab w:val="left" w:pos="142"/>
          <w:tab w:val="left" w:pos="284"/>
        </w:tabs>
        <w:spacing w:after="0" w:line="276" w:lineRule="auto"/>
        <w:contextualSpacing/>
        <w:jc w:val="both"/>
        <w:rPr>
          <w:rFonts w:ascii="Verdana" w:eastAsia="Century Gothic" w:hAnsi="Verdana" w:cs="Century Gothic"/>
          <w:b/>
          <w:bCs/>
          <w:lang w:val="es-ES"/>
        </w:rPr>
      </w:pPr>
    </w:p>
    <w:p w14:paraId="54139395" w14:textId="77777777" w:rsidR="002445EA" w:rsidRDefault="002445EA" w:rsidP="002445EA">
      <w:pPr>
        <w:spacing w:after="0" w:line="240" w:lineRule="auto"/>
        <w:ind w:left="709" w:right="709"/>
        <w:jc w:val="both"/>
        <w:rPr>
          <w:rFonts w:ascii="Verdana" w:eastAsia="Century Gothic" w:hAnsi="Verdana" w:cs="Century Gothic"/>
          <w:sz w:val="20"/>
          <w:szCs w:val="20"/>
          <w:lang w:val="es-ES"/>
        </w:rPr>
      </w:pPr>
      <w:bookmarkStart w:id="0" w:name="_Hlk95313578"/>
      <w:r w:rsidRPr="00A903AB">
        <w:rPr>
          <w:rFonts w:ascii="Verdana" w:eastAsia="Century Gothic" w:hAnsi="Verdana" w:cs="Century Gothic"/>
          <w:sz w:val="20"/>
          <w:szCs w:val="20"/>
          <w:lang w:val="es-ES"/>
        </w:rPr>
        <w:t>“</w:t>
      </w:r>
      <w:bookmarkEnd w:id="0"/>
      <w:r w:rsidRPr="00A903AB">
        <w:rPr>
          <w:rFonts w:ascii="Verdana" w:eastAsia="Century Gothic" w:hAnsi="Verdana" w:cs="Century Gothic"/>
          <w:sz w:val="20"/>
          <w:szCs w:val="20"/>
          <w:lang w:val="es-ES"/>
        </w:rPr>
        <w:t xml:space="preserve">[…] </w:t>
      </w:r>
    </w:p>
    <w:p w14:paraId="0E119545" w14:textId="77777777" w:rsidR="002445EA" w:rsidRPr="00A903AB" w:rsidRDefault="002445EA" w:rsidP="002445EA">
      <w:pPr>
        <w:spacing w:after="0" w:line="240" w:lineRule="auto"/>
        <w:ind w:left="709" w:right="709"/>
        <w:jc w:val="both"/>
        <w:rPr>
          <w:rFonts w:ascii="Verdana" w:eastAsia="Century Gothic" w:hAnsi="Verdana" w:cs="Century Gothic"/>
          <w:sz w:val="20"/>
          <w:szCs w:val="20"/>
          <w:lang w:val="es-ES"/>
        </w:rPr>
      </w:pPr>
    </w:p>
    <w:p w14:paraId="53983F3F" w14:textId="77777777" w:rsidR="002445EA" w:rsidRDefault="002445EA" w:rsidP="002445EA">
      <w:pPr>
        <w:spacing w:after="0" w:line="240" w:lineRule="auto"/>
        <w:ind w:left="709" w:right="709"/>
        <w:jc w:val="both"/>
        <w:rPr>
          <w:rFonts w:ascii="Verdana" w:eastAsia="Century Gothic" w:hAnsi="Verdana" w:cs="Century Gothic"/>
          <w:sz w:val="20"/>
          <w:szCs w:val="20"/>
        </w:rPr>
      </w:pPr>
      <w:r w:rsidRPr="0057502C">
        <w:rPr>
          <w:rFonts w:ascii="Verdana" w:eastAsia="Century Gothic" w:hAnsi="Verdana" w:cs="Century Gothic"/>
          <w:sz w:val="20"/>
          <w:szCs w:val="20"/>
        </w:rPr>
        <w:t>PRIMERO: En consecuencia, respetuosamente solicito a la Dirección Seccional de Impuestos y Aduanas Nacionales DIAN Sogamoso que emita una respuesta clara, precisa, completa y de fondo, con fundamento en las disposiciones contenidas en el Estatuto Tributario, la doctrina oficial vigente de la DIAN y las normas que regulan la contratación estatal, respecto de los siguientes interrogantes</w:t>
      </w:r>
      <w:r>
        <w:rPr>
          <w:rFonts w:ascii="Verdana" w:eastAsia="Century Gothic" w:hAnsi="Verdana" w:cs="Century Gothic"/>
          <w:sz w:val="20"/>
          <w:szCs w:val="20"/>
        </w:rPr>
        <w:t>:</w:t>
      </w:r>
    </w:p>
    <w:p w14:paraId="12BF4329" w14:textId="77777777" w:rsidR="002445EA" w:rsidRPr="00A903AB" w:rsidRDefault="002445EA" w:rsidP="002445EA">
      <w:pPr>
        <w:spacing w:after="0" w:line="240" w:lineRule="auto"/>
        <w:ind w:left="709" w:right="709"/>
        <w:jc w:val="both"/>
        <w:rPr>
          <w:rFonts w:ascii="Verdana" w:eastAsia="Century Gothic" w:hAnsi="Verdana" w:cs="Century Gothic"/>
          <w:sz w:val="20"/>
          <w:szCs w:val="20"/>
          <w:lang w:val="es-ES"/>
        </w:rPr>
      </w:pPr>
    </w:p>
    <w:p w14:paraId="4E802541" w14:textId="77777777" w:rsidR="002445EA" w:rsidRPr="00A903AB" w:rsidRDefault="002445EA" w:rsidP="002445EA">
      <w:pPr>
        <w:spacing w:after="0" w:line="240" w:lineRule="auto"/>
        <w:ind w:left="709" w:right="709"/>
        <w:jc w:val="both"/>
        <w:rPr>
          <w:rFonts w:ascii="Verdana" w:hAnsi="Verdana"/>
          <w:sz w:val="20"/>
          <w:szCs w:val="20"/>
        </w:rPr>
      </w:pPr>
      <w:r w:rsidRPr="00A903AB">
        <w:rPr>
          <w:rFonts w:ascii="Verdana" w:eastAsia="Century Gothic" w:hAnsi="Verdana" w:cs="Century Gothic"/>
          <w:sz w:val="20"/>
          <w:szCs w:val="20"/>
          <w:lang w:val="es-ES"/>
        </w:rPr>
        <w:t xml:space="preserve">1. </w:t>
      </w:r>
      <w:r w:rsidRPr="00A903AB">
        <w:rPr>
          <w:rFonts w:ascii="Verdana" w:hAnsi="Verdana"/>
          <w:sz w:val="20"/>
          <w:szCs w:val="20"/>
        </w:rPr>
        <w:t xml:space="preserve">Cuando una entidad pública adelanta un proceso contractual de suministro y determina su presupuesto oficial y los precios unitarios con fundamento en un estudio de mercado </w:t>
      </w:r>
      <w:r>
        <w:rPr>
          <w:rFonts w:ascii="Verdana" w:hAnsi="Verdana"/>
          <w:sz w:val="20"/>
          <w:szCs w:val="20"/>
        </w:rPr>
        <w:t>o</w:t>
      </w:r>
      <w:r w:rsidRPr="00A903AB">
        <w:rPr>
          <w:rFonts w:ascii="Verdana" w:hAnsi="Verdana"/>
          <w:sz w:val="20"/>
          <w:szCs w:val="20"/>
        </w:rPr>
        <w:t xml:space="preserve"> estudio del sector que contempla </w:t>
      </w:r>
      <w:r w:rsidRPr="00A903AB">
        <w:rPr>
          <w:rFonts w:ascii="Verdana" w:hAnsi="Verdana"/>
          <w:sz w:val="20"/>
          <w:szCs w:val="20"/>
        </w:rPr>
        <w:lastRenderedPageBreak/>
        <w:t xml:space="preserve">valores que incluyen el Impuesto sobre las Ventas — IVA, ¿cuál es el procedimiento que debe seguir un proponente que, de acuerdo con su condición tributaria, no es responsable del IVA y, por tanto, no está obligado a cobrar ni discriminar dicho impuesto en sus operaciones? </w:t>
      </w:r>
    </w:p>
    <w:p w14:paraId="252212A5" w14:textId="77777777" w:rsidR="002445EA" w:rsidRPr="00A903AB" w:rsidRDefault="002445EA" w:rsidP="002445EA">
      <w:pPr>
        <w:spacing w:after="0" w:line="240" w:lineRule="auto"/>
        <w:ind w:left="709" w:right="709"/>
        <w:jc w:val="both"/>
        <w:rPr>
          <w:rFonts w:ascii="Verdana" w:hAnsi="Verdana"/>
          <w:sz w:val="20"/>
          <w:szCs w:val="20"/>
        </w:rPr>
      </w:pPr>
    </w:p>
    <w:p w14:paraId="27320A3A" w14:textId="77777777" w:rsidR="002445EA" w:rsidRPr="00A903AB" w:rsidRDefault="002445EA" w:rsidP="002445EA">
      <w:pPr>
        <w:spacing w:after="0" w:line="240" w:lineRule="auto"/>
        <w:ind w:left="709" w:right="709"/>
        <w:jc w:val="both"/>
        <w:rPr>
          <w:rFonts w:ascii="Verdana" w:hAnsi="Verdana"/>
          <w:sz w:val="20"/>
          <w:szCs w:val="20"/>
        </w:rPr>
      </w:pPr>
      <w:r w:rsidRPr="00A903AB">
        <w:rPr>
          <w:rFonts w:ascii="Verdana" w:hAnsi="Verdana"/>
          <w:sz w:val="20"/>
          <w:szCs w:val="20"/>
        </w:rPr>
        <w:t xml:space="preserve">2. En un proceso de selección en el cual concurren proponentes con diferentes responsabilidades tributarias frente al IVA, unos responsables del impuesto y </w:t>
      </w:r>
      <w:r>
        <w:rPr>
          <w:rFonts w:ascii="Verdana" w:hAnsi="Verdana"/>
          <w:sz w:val="20"/>
          <w:szCs w:val="20"/>
        </w:rPr>
        <w:t>o</w:t>
      </w:r>
      <w:r w:rsidRPr="00A903AB">
        <w:rPr>
          <w:rFonts w:ascii="Verdana" w:hAnsi="Verdana"/>
          <w:sz w:val="20"/>
          <w:szCs w:val="20"/>
        </w:rPr>
        <w:t xml:space="preserve">tros no responsables del mismo, ¿la propuesta económica del oferente no responsable del IVA debe presentarse por el valor total de los bienes a suministrar sin discriminar impuesto alguno, o debe efectuar algún ajuste respecto de los precios unitarios establecidos por la entidad contratante? </w:t>
      </w:r>
    </w:p>
    <w:p w14:paraId="45BF1515" w14:textId="77777777" w:rsidR="002445EA" w:rsidRPr="00A903AB" w:rsidRDefault="002445EA" w:rsidP="002445EA">
      <w:pPr>
        <w:spacing w:after="0" w:line="240" w:lineRule="auto"/>
        <w:ind w:left="709" w:right="709"/>
        <w:jc w:val="both"/>
        <w:rPr>
          <w:rFonts w:ascii="Verdana" w:hAnsi="Verdana"/>
          <w:sz w:val="20"/>
          <w:szCs w:val="20"/>
        </w:rPr>
      </w:pPr>
    </w:p>
    <w:p w14:paraId="4E98A171" w14:textId="77777777" w:rsidR="002445EA" w:rsidRPr="00A903AB" w:rsidRDefault="002445EA" w:rsidP="002445EA">
      <w:pPr>
        <w:spacing w:after="0" w:line="240" w:lineRule="auto"/>
        <w:ind w:left="709" w:right="709"/>
        <w:jc w:val="both"/>
        <w:rPr>
          <w:rFonts w:ascii="Verdana" w:hAnsi="Verdana"/>
          <w:sz w:val="20"/>
          <w:szCs w:val="20"/>
        </w:rPr>
      </w:pPr>
      <w:r w:rsidRPr="00A903AB">
        <w:rPr>
          <w:rFonts w:ascii="Verdana" w:hAnsi="Verdana"/>
          <w:sz w:val="20"/>
          <w:szCs w:val="20"/>
        </w:rPr>
        <w:t xml:space="preserve">3. Sírvase indicar si existe disposición legal, reglamentaria </w:t>
      </w:r>
      <w:r>
        <w:rPr>
          <w:rFonts w:ascii="Verdana" w:hAnsi="Verdana"/>
          <w:sz w:val="20"/>
          <w:szCs w:val="20"/>
        </w:rPr>
        <w:t>o</w:t>
      </w:r>
      <w:r w:rsidRPr="00A903AB">
        <w:rPr>
          <w:rFonts w:ascii="Verdana" w:hAnsi="Verdana"/>
          <w:sz w:val="20"/>
          <w:szCs w:val="20"/>
        </w:rPr>
        <w:t xml:space="preserve"> doctrina Oficial de la DIAN que obligue al proponente no responsable del IVA a descontar </w:t>
      </w:r>
      <w:r>
        <w:rPr>
          <w:rFonts w:ascii="Verdana" w:hAnsi="Verdana"/>
          <w:sz w:val="20"/>
          <w:szCs w:val="20"/>
        </w:rPr>
        <w:t>o</w:t>
      </w:r>
      <w:r w:rsidRPr="00A903AB">
        <w:rPr>
          <w:rFonts w:ascii="Verdana" w:hAnsi="Verdana"/>
          <w:sz w:val="20"/>
          <w:szCs w:val="20"/>
        </w:rPr>
        <w:t xml:space="preserve"> restar del valor de los precios unitarios publicados por la entidad estatal e</w:t>
      </w:r>
      <w:r>
        <w:rPr>
          <w:rFonts w:ascii="Verdana" w:hAnsi="Verdana"/>
          <w:sz w:val="20"/>
          <w:szCs w:val="20"/>
        </w:rPr>
        <w:t>l</w:t>
      </w:r>
      <w:r w:rsidRPr="00A903AB">
        <w:rPr>
          <w:rFonts w:ascii="Verdana" w:hAnsi="Verdana"/>
          <w:sz w:val="20"/>
          <w:szCs w:val="20"/>
        </w:rPr>
        <w:t xml:space="preserve"> porcentaje correspondiente al IVA que haya sido considerado dentro del estudio del sector o presupuesto oficial. </w:t>
      </w:r>
    </w:p>
    <w:p w14:paraId="50764B95" w14:textId="77777777" w:rsidR="002445EA" w:rsidRPr="00A903AB" w:rsidRDefault="002445EA" w:rsidP="002445EA">
      <w:pPr>
        <w:spacing w:after="0" w:line="240" w:lineRule="auto"/>
        <w:ind w:left="709" w:right="709"/>
        <w:jc w:val="both"/>
        <w:rPr>
          <w:rFonts w:ascii="Verdana" w:hAnsi="Verdana"/>
          <w:sz w:val="20"/>
          <w:szCs w:val="20"/>
        </w:rPr>
      </w:pPr>
    </w:p>
    <w:p w14:paraId="653E83AB" w14:textId="77777777" w:rsidR="002445EA" w:rsidRPr="00A903AB" w:rsidRDefault="002445EA" w:rsidP="002445EA">
      <w:pPr>
        <w:spacing w:after="0" w:line="240" w:lineRule="auto"/>
        <w:ind w:left="709" w:right="709"/>
        <w:jc w:val="both"/>
        <w:rPr>
          <w:rFonts w:ascii="Verdana" w:hAnsi="Verdana"/>
          <w:sz w:val="20"/>
          <w:szCs w:val="20"/>
        </w:rPr>
      </w:pPr>
      <w:r w:rsidRPr="00A903AB">
        <w:rPr>
          <w:rFonts w:ascii="Verdana" w:hAnsi="Verdana"/>
          <w:sz w:val="20"/>
          <w:szCs w:val="20"/>
        </w:rPr>
        <w:t xml:space="preserve">4. Se solicita informar si, para efectos de la evaluación económica de las ofertas, el proponente no responsable del IVA puede presentar su propuesta con los precios finales que efectivamente cobrará a la entidad contratante, sin efectuar discriminación del impuesto sobre las ventas, teniendo en cuenta que legalmente no está facultado para recaudar ni facturar dicho tributo. </w:t>
      </w:r>
    </w:p>
    <w:p w14:paraId="2A4E3095" w14:textId="77777777" w:rsidR="002445EA" w:rsidRPr="00A903AB" w:rsidRDefault="002445EA" w:rsidP="002445EA">
      <w:pPr>
        <w:spacing w:after="0" w:line="240" w:lineRule="auto"/>
        <w:ind w:left="709" w:right="709"/>
        <w:jc w:val="both"/>
        <w:rPr>
          <w:rFonts w:ascii="Verdana" w:hAnsi="Verdana"/>
          <w:sz w:val="20"/>
          <w:szCs w:val="20"/>
        </w:rPr>
      </w:pPr>
    </w:p>
    <w:p w14:paraId="14AA8877" w14:textId="77777777" w:rsidR="002445EA" w:rsidRPr="00A903AB" w:rsidRDefault="002445EA" w:rsidP="002445EA">
      <w:pPr>
        <w:spacing w:after="0" w:line="240" w:lineRule="auto"/>
        <w:ind w:left="709" w:right="709"/>
        <w:jc w:val="both"/>
        <w:rPr>
          <w:rFonts w:ascii="Verdana" w:hAnsi="Verdana"/>
          <w:sz w:val="20"/>
          <w:szCs w:val="20"/>
        </w:rPr>
      </w:pPr>
      <w:r w:rsidRPr="00A903AB">
        <w:rPr>
          <w:rFonts w:ascii="Verdana" w:hAnsi="Verdana"/>
          <w:sz w:val="20"/>
          <w:szCs w:val="20"/>
        </w:rPr>
        <w:t>5. Sírvase precisar cuál es el tratamiento tributario correcto y cuál debe ser la forma de presentación de la oferta económica por parte de un proveedor no responsable del IVA cuando compite en igualdad de condiciones con proveedores responsables del impuesto dentro de un proceso de contratación estatal</w:t>
      </w:r>
    </w:p>
    <w:p w14:paraId="6D4209E1" w14:textId="77777777" w:rsidR="002445EA" w:rsidRDefault="002445EA" w:rsidP="002445EA">
      <w:pPr>
        <w:spacing w:after="0" w:line="240" w:lineRule="auto"/>
        <w:ind w:left="709" w:right="709"/>
        <w:jc w:val="both"/>
        <w:rPr>
          <w:rFonts w:ascii="Verdana" w:hAnsi="Verdana"/>
          <w:sz w:val="20"/>
          <w:szCs w:val="20"/>
        </w:rPr>
      </w:pPr>
    </w:p>
    <w:p w14:paraId="1981F5FA" w14:textId="77777777" w:rsidR="002445EA" w:rsidRPr="006D0E8A" w:rsidRDefault="002445EA" w:rsidP="002445EA">
      <w:pPr>
        <w:tabs>
          <w:tab w:val="left" w:pos="142"/>
          <w:tab w:val="left" w:pos="284"/>
        </w:tabs>
        <w:spacing w:after="0" w:line="276" w:lineRule="auto"/>
        <w:contextualSpacing/>
        <w:jc w:val="both"/>
        <w:rPr>
          <w:rFonts w:ascii="Verdana" w:eastAsia="Century Gothic" w:hAnsi="Verdana" w:cs="Century Gothic"/>
          <w:b/>
          <w:bCs/>
          <w:lang w:val="es-ES"/>
        </w:rPr>
      </w:pPr>
    </w:p>
    <w:p w14:paraId="29C62767" w14:textId="77777777" w:rsidR="002445EA" w:rsidRPr="006D0E8A" w:rsidRDefault="002445EA" w:rsidP="002445EA">
      <w:pPr>
        <w:spacing w:after="120" w:line="276" w:lineRule="auto"/>
        <w:ind w:firstLine="709"/>
        <w:jc w:val="both"/>
        <w:rPr>
          <w:rFonts w:ascii="Verdana" w:eastAsia="Calibri" w:hAnsi="Verdana" w:cs="Arial"/>
          <w:color w:val="000000"/>
          <w:lang w:val="es-ES" w:eastAsia="es-ES"/>
        </w:rPr>
      </w:pPr>
      <w:r w:rsidRPr="006D0E8A">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w:t>
      </w:r>
      <w:r w:rsidRPr="006D0E8A">
        <w:rPr>
          <w:rFonts w:ascii="Verdana" w:eastAsia="Calibri" w:hAnsi="Verdana" w:cs="Arial"/>
          <w:color w:val="000000"/>
          <w:lang w:val="es-ES" w:eastAsia="es-ES"/>
        </w:rPr>
        <w:lastRenderedPageBreak/>
        <w:t xml:space="preserve">normas generales, por definición, no puede extenderse a la resolución de controversias ni a brindar asesorías sobre casos puntuales. </w:t>
      </w:r>
      <w:r w:rsidRPr="006D0E8A">
        <w:rPr>
          <w:rFonts w:ascii="Verdana" w:eastAsia="Calibri" w:hAnsi="Verdana" w:cs="Arial"/>
          <w:color w:val="000000"/>
          <w:szCs w:val="24"/>
          <w:lang w:val="es-ES_tradnl" w:eastAsia="es-ES_tradnl"/>
        </w:rPr>
        <w:tab/>
      </w:r>
    </w:p>
    <w:p w14:paraId="31E25B02" w14:textId="77777777" w:rsidR="002445EA" w:rsidRPr="006D0E8A" w:rsidRDefault="002445EA" w:rsidP="002445EA">
      <w:pPr>
        <w:spacing w:after="0" w:line="276" w:lineRule="auto"/>
        <w:ind w:firstLine="709"/>
        <w:jc w:val="both"/>
        <w:rPr>
          <w:rFonts w:ascii="Verdana" w:eastAsia="Calibri" w:hAnsi="Verdana" w:cs="Arial"/>
          <w:color w:val="000000"/>
          <w:lang w:val="es-ES" w:eastAsia="es-ES"/>
        </w:rPr>
      </w:pPr>
      <w:r w:rsidRPr="006D0E8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específicas que la hayan motivado, pero haciendo unas consideraciones sobre las normas generales relacionadas con el</w:t>
      </w:r>
      <w:r w:rsidRPr="006D0E8A">
        <w:rPr>
          <w:rFonts w:ascii="Verdana" w:eastAsia="Calibri" w:hAnsi="Verdana" w:cs="Arial"/>
          <w:color w:val="7030A0"/>
          <w:lang w:val="es-ES" w:eastAsia="es-ES"/>
        </w:rPr>
        <w:t xml:space="preserve"> </w:t>
      </w:r>
      <w:r w:rsidRPr="006D0E8A">
        <w:rPr>
          <w:rFonts w:ascii="Verdana" w:eastAsia="Calibri" w:hAnsi="Verdana" w:cs="Arial"/>
          <w:color w:val="000000"/>
          <w:lang w:val="es-ES" w:eastAsia="es-ES"/>
        </w:rPr>
        <w:t>problema</w:t>
      </w:r>
      <w:r w:rsidRPr="006D0E8A">
        <w:rPr>
          <w:rFonts w:ascii="Verdana" w:eastAsia="Calibri" w:hAnsi="Verdana" w:cs="Arial"/>
          <w:color w:val="7030A0"/>
          <w:lang w:val="es-ES" w:eastAsia="es-ES"/>
        </w:rPr>
        <w:t xml:space="preserve"> </w:t>
      </w:r>
      <w:r w:rsidRPr="006D0E8A">
        <w:rPr>
          <w:rFonts w:ascii="Verdana" w:eastAsia="Calibri" w:hAnsi="Verdana" w:cs="Arial"/>
          <w:color w:val="000000"/>
          <w:lang w:val="es-ES" w:eastAsia="es-ES"/>
        </w:rPr>
        <w:t>jurídico</w:t>
      </w:r>
      <w:r w:rsidRPr="006D0E8A">
        <w:rPr>
          <w:rFonts w:ascii="Verdana" w:eastAsia="Calibri" w:hAnsi="Verdana" w:cs="Arial"/>
          <w:color w:val="7030A0"/>
          <w:lang w:val="es-ES" w:eastAsia="es-ES"/>
        </w:rPr>
        <w:t xml:space="preserve"> </w:t>
      </w:r>
      <w:r w:rsidRPr="006D0E8A">
        <w:rPr>
          <w:rFonts w:ascii="Verdana" w:eastAsia="Calibri" w:hAnsi="Verdana" w:cs="Arial"/>
          <w:color w:val="000000"/>
          <w:lang w:val="es-ES" w:eastAsia="es-ES"/>
        </w:rPr>
        <w:t xml:space="preserve">de su consulta.  </w:t>
      </w:r>
    </w:p>
    <w:p w14:paraId="53CA253B" w14:textId="77777777" w:rsidR="002445EA" w:rsidRPr="006D0E8A" w:rsidRDefault="002445EA" w:rsidP="002445EA">
      <w:pPr>
        <w:spacing w:after="0" w:line="276" w:lineRule="auto"/>
        <w:ind w:firstLine="709"/>
        <w:jc w:val="both"/>
        <w:rPr>
          <w:rFonts w:ascii="Verdana" w:eastAsia="Calibri" w:hAnsi="Verdana" w:cs="Arial"/>
          <w:color w:val="000000"/>
          <w:lang w:val="es-ES" w:eastAsia="es-ES"/>
        </w:rPr>
      </w:pPr>
    </w:p>
    <w:p w14:paraId="0D03298B" w14:textId="77777777" w:rsidR="002445EA" w:rsidRPr="006D0E8A" w:rsidRDefault="002445EA" w:rsidP="002445EA">
      <w:pPr>
        <w:numPr>
          <w:ilvl w:val="0"/>
          <w:numId w:val="18"/>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6D0E8A">
        <w:rPr>
          <w:rFonts w:ascii="Verdana" w:eastAsia="Century Gothic" w:hAnsi="Verdana" w:cs="Century Gothic"/>
          <w:b/>
          <w:bCs/>
          <w:lang w:val="es-ES"/>
        </w:rPr>
        <w:t>Problema planteado:</w:t>
      </w:r>
    </w:p>
    <w:p w14:paraId="4D5D7C8E" w14:textId="77777777" w:rsidR="002445EA" w:rsidRPr="006D0E8A" w:rsidRDefault="002445EA" w:rsidP="002445EA">
      <w:pPr>
        <w:tabs>
          <w:tab w:val="left" w:pos="426"/>
        </w:tabs>
        <w:spacing w:after="0" w:line="276" w:lineRule="auto"/>
        <w:jc w:val="both"/>
        <w:rPr>
          <w:rFonts w:ascii="Verdana" w:eastAsia="Century Gothic" w:hAnsi="Verdana" w:cs="Century Gothic"/>
          <w:lang w:val="es-ES"/>
        </w:rPr>
      </w:pPr>
    </w:p>
    <w:p w14:paraId="1680433B" w14:textId="77777777" w:rsidR="002445EA" w:rsidRPr="006D0E8A" w:rsidRDefault="002445EA" w:rsidP="002445EA">
      <w:pPr>
        <w:spacing w:after="0" w:line="276" w:lineRule="auto"/>
        <w:jc w:val="both"/>
        <w:rPr>
          <w:rFonts w:ascii="Verdana" w:eastAsia="Century Gothic" w:hAnsi="Verdana" w:cs="Century Gothic"/>
        </w:rPr>
      </w:pPr>
      <w:r w:rsidRPr="006D0E8A">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6D0E8A">
        <w:rPr>
          <w:rFonts w:ascii="Verdana" w:eastAsia="Century Gothic" w:hAnsi="Verdana" w:cs="Century Gothic"/>
        </w:rPr>
        <w:t xml:space="preserve"> siguiente problema jurídico:</w:t>
      </w:r>
      <w:r>
        <w:rPr>
          <w:rFonts w:ascii="Verdana" w:eastAsia="Century Gothic" w:hAnsi="Verdana" w:cs="Century Gothic"/>
        </w:rPr>
        <w:t xml:space="preserve"> ¿C</w:t>
      </w:r>
      <w:r w:rsidRPr="00C83D57">
        <w:rPr>
          <w:rFonts w:ascii="Verdana" w:eastAsia="Century Gothic" w:hAnsi="Verdana" w:cs="Century Gothic"/>
        </w:rPr>
        <w:t>ómo debe presentar</w:t>
      </w:r>
      <w:r>
        <w:rPr>
          <w:rFonts w:ascii="Verdana" w:eastAsia="Century Gothic" w:hAnsi="Verdana" w:cs="Century Gothic"/>
        </w:rPr>
        <w:t>se</w:t>
      </w:r>
      <w:r w:rsidRPr="00C83D57">
        <w:rPr>
          <w:rFonts w:ascii="Verdana" w:eastAsia="Century Gothic" w:hAnsi="Verdana" w:cs="Century Gothic"/>
        </w:rPr>
        <w:t xml:space="preserve"> y evaluarse la oferta económica de un proponente no responsable del IVA cuando los precios establecidos por la entidad incluyen dicho impuesto?</w:t>
      </w:r>
    </w:p>
    <w:p w14:paraId="519FFAA3" w14:textId="77777777" w:rsidR="002445EA" w:rsidRPr="006D0E8A" w:rsidRDefault="002445EA" w:rsidP="002445EA">
      <w:pPr>
        <w:spacing w:after="0" w:line="276" w:lineRule="auto"/>
        <w:jc w:val="both"/>
        <w:rPr>
          <w:rFonts w:ascii="Verdana" w:eastAsia="Calibri" w:hAnsi="Verdana" w:cs="Arial"/>
          <w:color w:val="7030A0"/>
        </w:rPr>
      </w:pPr>
    </w:p>
    <w:p w14:paraId="015F0EA5" w14:textId="77777777" w:rsidR="002445EA" w:rsidRPr="006D0E8A" w:rsidRDefault="002445EA" w:rsidP="002445EA">
      <w:pPr>
        <w:numPr>
          <w:ilvl w:val="0"/>
          <w:numId w:val="18"/>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Respuesta:</w:t>
      </w:r>
    </w:p>
    <w:p w14:paraId="36C171BC" w14:textId="77777777" w:rsidR="002445EA" w:rsidRPr="006D0E8A" w:rsidRDefault="002445EA" w:rsidP="002445E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445EA" w:rsidRPr="006D0E8A" w14:paraId="6315742A" w14:textId="77777777" w:rsidTr="00D8597D">
        <w:trPr>
          <w:jc w:val="center"/>
        </w:trPr>
        <w:tc>
          <w:tcPr>
            <w:tcW w:w="8828" w:type="dxa"/>
          </w:tcPr>
          <w:p w14:paraId="36351011" w14:textId="77777777" w:rsidR="002445EA" w:rsidRDefault="002445EA" w:rsidP="00D8597D">
            <w:pPr>
              <w:spacing w:after="120" w:line="276" w:lineRule="auto"/>
              <w:jc w:val="both"/>
              <w:rPr>
                <w:rFonts w:ascii="Verdana" w:hAnsi="Verdana" w:cs="Arial"/>
                <w:color w:val="000000" w:themeColor="text1"/>
                <w:lang w:val="es-MX"/>
              </w:rPr>
            </w:pPr>
            <w:bookmarkStart w:id="1" w:name="_Hlk171694685"/>
            <w:r w:rsidRPr="00CD57AC">
              <w:rPr>
                <w:rFonts w:ascii="Verdana" w:hAnsi="Verdana" w:cs="Arial"/>
                <w:color w:val="000000" w:themeColor="text1"/>
                <w:lang w:val="es-MX"/>
              </w:rPr>
              <w:t xml:space="preserve">El principio de selección objetiva exige que las ofertas económicas se comparen a partir del precio real ofrecido por cada proponente, teniendo en cuenta las cargas tributarias que jurídicamente le resulten aplicables. En este sentido, la posición que ha adoptado esta Subdirección de Gestión Contractual </w:t>
            </w:r>
            <w:r>
              <w:rPr>
                <w:rFonts w:ascii="Verdana" w:hAnsi="Verdana" w:cs="Arial"/>
                <w:color w:val="000000" w:themeColor="text1"/>
                <w:lang w:val="es-MX"/>
              </w:rPr>
              <w:t xml:space="preserve">de tiempo atrás </w:t>
            </w:r>
            <w:r w:rsidRPr="00CD57AC">
              <w:rPr>
                <w:rFonts w:ascii="Verdana" w:hAnsi="Verdana" w:cs="Arial"/>
                <w:color w:val="000000" w:themeColor="text1"/>
                <w:lang w:val="es-MX"/>
              </w:rPr>
              <w:t xml:space="preserve">es que </w:t>
            </w:r>
            <w:r>
              <w:rPr>
                <w:rFonts w:ascii="Verdana" w:hAnsi="Verdana" w:cs="Arial"/>
                <w:color w:val="000000" w:themeColor="text1"/>
                <w:lang w:val="es-MX"/>
              </w:rPr>
              <w:t xml:space="preserve">el IVA </w:t>
            </w:r>
            <w:r w:rsidRPr="00AE4F2F">
              <w:rPr>
                <w:rFonts w:ascii="Verdana" w:hAnsi="Verdana" w:cs="Arial"/>
                <w:color w:val="000000" w:themeColor="text1"/>
                <w:lang w:val="es-MX"/>
              </w:rPr>
              <w:t>hace parte del precio que ofrece cada proponente, y así debe ser ponderado al momento de la evaluación de las ofertas</w:t>
            </w:r>
            <w:r w:rsidRPr="00CD57AC">
              <w:rPr>
                <w:rFonts w:ascii="Verdana" w:hAnsi="Verdana" w:cs="Arial"/>
                <w:color w:val="000000" w:themeColor="text1"/>
                <w:lang w:val="es-MX"/>
              </w:rPr>
              <w:t>. Por tanto, si un proponente, de acuerdo con su régimen tributario, no es responsable del IVA y no está obligado a cobrarlo ni discriminarlo, dicha circunstancia hace parte de las condiciones económicas de su oferta y no puede ser desconocida por la entidad al momento de efectuar la comparación.</w:t>
            </w:r>
          </w:p>
          <w:p w14:paraId="2CB62828" w14:textId="77777777" w:rsidR="002445EA" w:rsidRDefault="002445EA" w:rsidP="00D8597D">
            <w:pPr>
              <w:spacing w:after="120" w:line="276" w:lineRule="auto"/>
              <w:ind w:firstLine="743"/>
              <w:jc w:val="both"/>
              <w:rPr>
                <w:rFonts w:ascii="Verdana" w:hAnsi="Verdana" w:cs="Arial"/>
                <w:color w:val="000000" w:themeColor="text1"/>
                <w:lang w:val="es-MX"/>
              </w:rPr>
            </w:pPr>
            <w:r w:rsidRPr="00CD57AC">
              <w:rPr>
                <w:rFonts w:ascii="Verdana" w:hAnsi="Verdana" w:cs="Arial"/>
                <w:color w:val="000000" w:themeColor="text1"/>
                <w:lang w:val="es-MX"/>
              </w:rPr>
              <w:t>En consecuencia, el hecho de que la entidad haya determinado sus precios o su presupuesto oficial con valores que incluyen IVA no significa que todos los proponentes deban incorporar o discriminar dicho impuesto en sus ofertas. El proponente no responsable del IVA deberá presentar el precio que efectivamente cobrará por los bienes, de acuerdo con su situación tributaria, sin adicionar</w:t>
            </w:r>
            <w:r>
              <w:rPr>
                <w:rFonts w:ascii="Verdana" w:hAnsi="Verdana" w:cs="Arial"/>
                <w:color w:val="000000" w:themeColor="text1"/>
                <w:lang w:val="es-MX"/>
              </w:rPr>
              <w:t>, ajustar o</w:t>
            </w:r>
            <w:r w:rsidRPr="00CD57AC">
              <w:rPr>
                <w:rFonts w:ascii="Verdana" w:hAnsi="Verdana" w:cs="Arial"/>
                <w:color w:val="000000" w:themeColor="text1"/>
                <w:lang w:val="es-MX"/>
              </w:rPr>
              <w:t xml:space="preserve"> discriminar un impuesto que legalmente no está obligado a recaudar. </w:t>
            </w:r>
          </w:p>
          <w:p w14:paraId="632F410C" w14:textId="77777777" w:rsidR="002445EA" w:rsidRDefault="002445EA" w:rsidP="00D8597D">
            <w:pPr>
              <w:spacing w:after="120" w:line="276" w:lineRule="auto"/>
              <w:ind w:firstLine="743"/>
              <w:jc w:val="both"/>
              <w:rPr>
                <w:rFonts w:ascii="Verdana" w:hAnsi="Verdana" w:cs="Arial"/>
                <w:color w:val="000000" w:themeColor="text1"/>
                <w:lang w:val="es-MX"/>
              </w:rPr>
            </w:pPr>
            <w:r w:rsidRPr="00CD57AC">
              <w:rPr>
                <w:rFonts w:ascii="Verdana" w:hAnsi="Verdana" w:cs="Arial"/>
                <w:color w:val="000000" w:themeColor="text1"/>
                <w:lang w:val="es-MX"/>
              </w:rPr>
              <w:lastRenderedPageBreak/>
              <w:t xml:space="preserve">Así, cuando en un mismo proceso concurran proponentes responsables y no responsables del IVA, la entidad deberá evaluar sus ofertas con fundamento en el precio efectivamente ofrecido por cada uno, de conformidad con las reglas previstas en los documentos del proceso y con el régimen tributario aplicable. La eventual ventaja económica que pueda derivarse de la situación tributaria de un proponente no constituye, por sí misma, una vulneración del principio de igualdad, pues corresponde a una diferencia establecida por el ordenamiento jurídico y no a un tratamiento diferenciado </w:t>
            </w:r>
            <w:r>
              <w:rPr>
                <w:rFonts w:ascii="Verdana" w:hAnsi="Verdana" w:cs="Arial"/>
                <w:color w:val="000000" w:themeColor="text1"/>
                <w:lang w:val="es-MX"/>
              </w:rPr>
              <w:t>determinado</w:t>
            </w:r>
            <w:r w:rsidRPr="00CD57AC">
              <w:rPr>
                <w:rFonts w:ascii="Verdana" w:hAnsi="Verdana" w:cs="Arial"/>
                <w:color w:val="000000" w:themeColor="text1"/>
                <w:lang w:val="es-MX"/>
              </w:rPr>
              <w:t xml:space="preserve"> por la entidad estatal.</w:t>
            </w:r>
          </w:p>
          <w:p w14:paraId="26DF643E" w14:textId="77777777" w:rsidR="002445EA" w:rsidRPr="006D0E8A" w:rsidRDefault="002445EA" w:rsidP="00D8597D">
            <w:pPr>
              <w:spacing w:after="120" w:line="276" w:lineRule="auto"/>
              <w:ind w:firstLine="743"/>
              <w:jc w:val="both"/>
              <w:rPr>
                <w:rFonts w:ascii="Verdana" w:eastAsia="Calibri" w:hAnsi="Verdana" w:cs="Arial"/>
                <w:bCs/>
                <w:color w:val="000000" w:themeColor="text1"/>
              </w:rPr>
            </w:pPr>
            <w:r w:rsidRPr="00CD57AC">
              <w:rPr>
                <w:rFonts w:ascii="Verdana" w:hAnsi="Verdana" w:cs="Arial"/>
                <w:color w:val="000000" w:themeColor="text1"/>
                <w:lang w:val="es-MX"/>
              </w:rPr>
              <w:t xml:space="preserve">En este sentido, </w:t>
            </w:r>
            <w:r w:rsidRPr="00D61978">
              <w:rPr>
                <w:rFonts w:ascii="Verdana" w:hAnsi="Verdana" w:cs="Arial"/>
                <w:color w:val="000000" w:themeColor="text1"/>
                <w:lang w:val="es-MX"/>
              </w:rPr>
              <w:t xml:space="preserve">si una diferencia en los costos deriva de una </w:t>
            </w:r>
            <w:r>
              <w:rPr>
                <w:rFonts w:ascii="Verdana" w:hAnsi="Verdana" w:cs="Arial"/>
                <w:color w:val="000000" w:themeColor="text1"/>
                <w:lang w:val="es-MX"/>
              </w:rPr>
              <w:t xml:space="preserve">situación </w:t>
            </w:r>
            <w:r w:rsidRPr="00D61978">
              <w:rPr>
                <w:rFonts w:ascii="Verdana" w:hAnsi="Verdana" w:cs="Arial"/>
                <w:color w:val="000000" w:themeColor="text1"/>
                <w:lang w:val="es-MX"/>
              </w:rPr>
              <w:t>tributaria expresamente reconocida por la ley, dicha circunstancia constituye un elemento propio de la estructura económica de</w:t>
            </w:r>
            <w:r>
              <w:rPr>
                <w:rFonts w:ascii="Verdana" w:hAnsi="Verdana" w:cs="Arial"/>
                <w:color w:val="000000" w:themeColor="text1"/>
                <w:lang w:val="es-MX"/>
              </w:rPr>
              <w:t xml:space="preserve"> la oferta del proponente </w:t>
            </w:r>
            <w:r w:rsidRPr="00D61978">
              <w:rPr>
                <w:rFonts w:ascii="Verdana" w:hAnsi="Verdana" w:cs="Arial"/>
                <w:color w:val="000000" w:themeColor="text1"/>
                <w:lang w:val="es-MX"/>
              </w:rPr>
              <w:t xml:space="preserve">y no una situación que la entidad deba desconocer mediante reglas de </w:t>
            </w:r>
            <w:r>
              <w:rPr>
                <w:rFonts w:ascii="Verdana" w:hAnsi="Verdana" w:cs="Arial"/>
                <w:color w:val="000000" w:themeColor="text1"/>
                <w:lang w:val="es-MX"/>
              </w:rPr>
              <w:t xml:space="preserve">evaluación. </w:t>
            </w:r>
            <w:r w:rsidRPr="00125E5D">
              <w:rPr>
                <w:rFonts w:ascii="Verdana" w:hAnsi="Verdana" w:cs="Arial"/>
                <w:color w:val="000000" w:themeColor="text1"/>
              </w:rPr>
              <w:t>De esta manera, aunque la administración dispone de un amplio margen de configuración para elaborar los pliegos de condiciones, dicha facultad se encuentra limitada por los fines</w:t>
            </w:r>
            <w:r>
              <w:rPr>
                <w:rFonts w:ascii="Verdana" w:hAnsi="Verdana" w:cs="Arial"/>
                <w:color w:val="000000" w:themeColor="text1"/>
              </w:rPr>
              <w:t xml:space="preserve"> y</w:t>
            </w:r>
            <w:r w:rsidRPr="00125E5D">
              <w:rPr>
                <w:rFonts w:ascii="Verdana" w:hAnsi="Verdana" w:cs="Arial"/>
                <w:color w:val="000000" w:themeColor="text1"/>
              </w:rPr>
              <w:t xml:space="preserve"> principios</w:t>
            </w:r>
            <w:r>
              <w:rPr>
                <w:rFonts w:ascii="Verdana" w:hAnsi="Verdana" w:cs="Arial"/>
                <w:color w:val="000000" w:themeColor="text1"/>
              </w:rPr>
              <w:t xml:space="preserve"> de la contratación estatal, por lo que </w:t>
            </w:r>
            <w:r w:rsidRPr="00125E5D">
              <w:rPr>
                <w:rFonts w:ascii="Verdana" w:hAnsi="Verdana" w:cs="Arial"/>
                <w:color w:val="000000" w:themeColor="text1"/>
              </w:rPr>
              <w:t>las entidades no pueden incorporar mecanismos de evaluación que, sin un fundamento legal expreso, desconozcan los efectos del régimen tributario que el legislador ha establecido para determinados sujetos, cuando ello pueda afectar los principios de selección objetiva y</w:t>
            </w:r>
            <w:r>
              <w:rPr>
                <w:rFonts w:ascii="Verdana" w:hAnsi="Verdana" w:cs="Arial"/>
                <w:color w:val="000000" w:themeColor="text1"/>
              </w:rPr>
              <w:t xml:space="preserve"> de</w:t>
            </w:r>
            <w:r w:rsidRPr="00125E5D">
              <w:rPr>
                <w:rFonts w:ascii="Verdana" w:hAnsi="Verdana" w:cs="Arial"/>
                <w:color w:val="000000" w:themeColor="text1"/>
              </w:rPr>
              <w:t xml:space="preserve"> libre concurrencia. </w:t>
            </w:r>
          </w:p>
        </w:tc>
      </w:tr>
    </w:tbl>
    <w:p w14:paraId="491660B3" w14:textId="77777777" w:rsidR="002445EA" w:rsidRPr="006D0E8A" w:rsidRDefault="002445EA" w:rsidP="002445EA">
      <w:pPr>
        <w:tabs>
          <w:tab w:val="left" w:pos="142"/>
          <w:tab w:val="left" w:pos="284"/>
        </w:tabs>
        <w:spacing w:after="0" w:line="276" w:lineRule="auto"/>
        <w:jc w:val="both"/>
        <w:rPr>
          <w:rFonts w:ascii="Verdana" w:eastAsia="Century Gothic" w:hAnsi="Verdana" w:cs="Century Gothic"/>
          <w:b/>
          <w:bCs/>
          <w:lang w:val="es-ES"/>
        </w:rPr>
      </w:pPr>
    </w:p>
    <w:bookmarkEnd w:id="1"/>
    <w:p w14:paraId="7A888D03" w14:textId="77777777" w:rsidR="002445EA" w:rsidRPr="006D0E8A" w:rsidRDefault="002445EA" w:rsidP="002445EA">
      <w:pPr>
        <w:numPr>
          <w:ilvl w:val="0"/>
          <w:numId w:val="18"/>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Razones de la respuesta:</w:t>
      </w:r>
    </w:p>
    <w:p w14:paraId="6396B20F" w14:textId="77777777" w:rsidR="002445EA" w:rsidRPr="006D0E8A" w:rsidRDefault="002445EA" w:rsidP="002445EA">
      <w:pPr>
        <w:spacing w:after="0" w:line="276" w:lineRule="auto"/>
        <w:jc w:val="both"/>
        <w:rPr>
          <w:rFonts w:ascii="Verdana" w:eastAsia="Calibri" w:hAnsi="Verdana" w:cs="Arial"/>
          <w:color w:val="7030A0"/>
          <w:lang w:val="es-ES"/>
        </w:rPr>
      </w:pPr>
    </w:p>
    <w:p w14:paraId="2739E0F6" w14:textId="77777777" w:rsidR="002445EA" w:rsidRPr="006D0E8A" w:rsidRDefault="002445EA" w:rsidP="002445EA">
      <w:pPr>
        <w:spacing w:after="0" w:line="276" w:lineRule="auto"/>
        <w:jc w:val="both"/>
        <w:rPr>
          <w:rFonts w:ascii="Verdana" w:eastAsia="Calibri" w:hAnsi="Verdana" w:cs="Arial"/>
          <w:lang w:val="es-ES"/>
        </w:rPr>
      </w:pPr>
      <w:r w:rsidRPr="006D0E8A">
        <w:rPr>
          <w:rFonts w:ascii="Verdana" w:eastAsia="Calibri" w:hAnsi="Verdana" w:cs="Arial"/>
          <w:lang w:val="es-ES"/>
        </w:rPr>
        <w:t>Lo anterior se sustenta en las siguientes consideraciones:</w:t>
      </w:r>
    </w:p>
    <w:p w14:paraId="72780C57" w14:textId="77777777" w:rsidR="002445EA" w:rsidRPr="006D0E8A" w:rsidRDefault="002445EA" w:rsidP="002445EA">
      <w:pPr>
        <w:spacing w:after="0" w:line="276" w:lineRule="auto"/>
        <w:jc w:val="both"/>
        <w:rPr>
          <w:rFonts w:ascii="Verdana" w:eastAsia="Calibri" w:hAnsi="Verdana" w:cs="Arial"/>
          <w:lang w:val="es-ES"/>
        </w:rPr>
      </w:pPr>
    </w:p>
    <w:p w14:paraId="027E50AF" w14:textId="77777777" w:rsidR="002445EA" w:rsidRPr="00DC39AE" w:rsidRDefault="002445EA" w:rsidP="002445EA">
      <w:pPr>
        <w:spacing w:after="120" w:line="276" w:lineRule="auto"/>
        <w:jc w:val="both"/>
        <w:rPr>
          <w:rFonts w:ascii="Verdana" w:hAnsi="Verdana" w:cs="Arial"/>
          <w:color w:val="000000" w:themeColor="text1"/>
          <w:spacing w:val="4"/>
        </w:rPr>
      </w:pPr>
      <w:r w:rsidRPr="00DC39AE">
        <w:rPr>
          <w:rFonts w:ascii="Verdana" w:hAnsi="Verdana" w:cs="Arial"/>
          <w:color w:val="000000" w:themeColor="text1"/>
          <w:spacing w:val="4"/>
        </w:rPr>
        <w:t xml:space="preserve">Las actuaciones de quienes intervengan en la contratación estatal se desarrollarán con arreglo al deber de </w:t>
      </w:r>
      <w:r w:rsidRPr="00DC39AE">
        <w:rPr>
          <w:rFonts w:ascii="Verdana" w:hAnsi="Verdana" w:cs="Arial"/>
          <w:bCs/>
          <w:color w:val="000000" w:themeColor="text1"/>
          <w:lang w:val="es-ES"/>
        </w:rPr>
        <w:t>selección objetiva, el cual debe interpretarse de manera conjunta e integrada con los principios orientadores de la actividad contractual, como lo son el de transparencia, economía y responsabilidad, consagrados en los artículos 24, 25 y 26 de la Ley 80 de 1993.</w:t>
      </w:r>
    </w:p>
    <w:p w14:paraId="42E9EC6B" w14:textId="77777777" w:rsidR="002445EA" w:rsidRPr="00DC39AE" w:rsidRDefault="002445EA" w:rsidP="002445EA">
      <w:pPr>
        <w:spacing w:after="120" w:line="276" w:lineRule="auto"/>
        <w:ind w:firstLine="709"/>
        <w:jc w:val="both"/>
        <w:rPr>
          <w:rFonts w:ascii="Verdana" w:hAnsi="Verdana" w:cs="Arial"/>
          <w:color w:val="000000" w:themeColor="text1"/>
          <w:spacing w:val="4"/>
        </w:rPr>
      </w:pPr>
      <w:r w:rsidRPr="00DC39AE">
        <w:rPr>
          <w:rFonts w:ascii="Verdana" w:hAnsi="Verdana" w:cs="Arial"/>
          <w:bCs/>
          <w:color w:val="000000" w:themeColor="text1"/>
          <w:lang w:val="es-ES"/>
        </w:rPr>
        <w:t xml:space="preserve">El artículo 5º de la Ley 1150 de 2007, mediante la cual se introdujeron algunas modificaciones a la Ley 80 de 1993, se refiere a la </w:t>
      </w:r>
      <w:r w:rsidRPr="00DC39AE">
        <w:rPr>
          <w:rFonts w:ascii="Verdana" w:hAnsi="Verdana" w:cs="Arial"/>
          <w:bCs/>
          <w:i/>
          <w:iCs/>
          <w:color w:val="000000" w:themeColor="text1"/>
          <w:lang w:val="es-ES"/>
        </w:rPr>
        <w:t>“</w:t>
      </w:r>
      <w:r w:rsidRPr="00A04392">
        <w:rPr>
          <w:rFonts w:ascii="Verdana" w:hAnsi="Verdana" w:cs="Arial"/>
          <w:bCs/>
          <w:color w:val="000000" w:themeColor="text1"/>
          <w:lang w:val="es-ES"/>
        </w:rPr>
        <w:t>selección objetiva</w:t>
      </w:r>
      <w:r w:rsidRPr="00DC39AE">
        <w:rPr>
          <w:rFonts w:ascii="Verdana" w:hAnsi="Verdana" w:cs="Arial"/>
          <w:bCs/>
          <w:i/>
          <w:iCs/>
          <w:color w:val="000000" w:themeColor="text1"/>
          <w:lang w:val="es-ES"/>
        </w:rPr>
        <w:t>”</w:t>
      </w:r>
      <w:r w:rsidRPr="00DC39AE">
        <w:rPr>
          <w:rFonts w:ascii="Verdana" w:hAnsi="Verdana" w:cs="Arial"/>
          <w:bCs/>
          <w:color w:val="000000" w:themeColor="text1"/>
          <w:lang w:val="es-ES"/>
        </w:rPr>
        <w:t xml:space="preserve"> y la define como oferta más favorable aquella que resulte ser más ventajosa para la entidad, después de haber sido aplicados los criterios de escogencia y su </w:t>
      </w:r>
      <w:r w:rsidRPr="00DC39AE">
        <w:rPr>
          <w:rFonts w:ascii="Verdana" w:hAnsi="Verdana" w:cs="Arial"/>
          <w:bCs/>
          <w:color w:val="000000" w:themeColor="text1"/>
          <w:lang w:val="es-ES"/>
        </w:rPr>
        <w:lastRenderedPageBreak/>
        <w:t>ponderación, determinados de manera precisa y detallada en el pliego de condiciones, sin que tal favorabilidad la constituyan elementos extraños a los factores contemplados en ellos.</w:t>
      </w:r>
      <w:r>
        <w:rPr>
          <w:rFonts w:ascii="Verdana" w:hAnsi="Verdana" w:cs="Arial"/>
          <w:color w:val="000000" w:themeColor="text1"/>
          <w:lang w:val="es-ES"/>
        </w:rPr>
        <w:t xml:space="preserve"> </w:t>
      </w:r>
      <w:r w:rsidRPr="00DC39AE">
        <w:rPr>
          <w:rFonts w:ascii="Verdana" w:hAnsi="Verdana" w:cs="Arial"/>
          <w:color w:val="000000" w:themeColor="text1"/>
          <w:spacing w:val="4"/>
        </w:rPr>
        <w:t>En ese sentido, no cabe duda de que la selección objetiva se fundamenta en aplicar rigurosamente los requisitos de selección de los oferentes y los criterios o factores de evaluación o calificación de las ofertas de forma precisa, detallada y concreta, que permitan a la entidad seleccionar una óptima propuesta o la más ventajosa para la entidad.</w:t>
      </w:r>
    </w:p>
    <w:p w14:paraId="231F8A1C" w14:textId="77777777" w:rsidR="002445EA" w:rsidRDefault="002445EA" w:rsidP="002445EA">
      <w:pPr>
        <w:spacing w:after="0" w:line="276" w:lineRule="auto"/>
        <w:ind w:firstLine="709"/>
        <w:jc w:val="both"/>
        <w:rPr>
          <w:rFonts w:ascii="Verdana" w:hAnsi="Verdana" w:cs="Arial"/>
          <w:color w:val="000000" w:themeColor="text1"/>
          <w:lang w:val="es-MX"/>
        </w:rPr>
      </w:pPr>
      <w:bookmarkStart w:id="2" w:name="_Hlk108685728"/>
      <w:r w:rsidRPr="00DC39AE">
        <w:rPr>
          <w:rFonts w:ascii="Verdana" w:hAnsi="Verdana" w:cs="Arial"/>
          <w:color w:val="000000" w:themeColor="text1"/>
          <w:lang w:val="es-MX"/>
        </w:rPr>
        <w:t>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w:t>
      </w:r>
      <w:r>
        <w:rPr>
          <w:rFonts w:ascii="Verdana" w:hAnsi="Verdana" w:cs="Arial"/>
          <w:color w:val="000000" w:themeColor="text1"/>
          <w:lang w:val="es-MX"/>
        </w:rPr>
        <w:t>n</w:t>
      </w:r>
      <w:r w:rsidRPr="00DC39AE">
        <w:rPr>
          <w:rFonts w:ascii="Verdana" w:hAnsi="Verdana" w:cs="Arial"/>
          <w:color w:val="000000" w:themeColor="text1"/>
          <w:lang w:val="es-MX"/>
        </w:rPr>
        <w:t xml:space="preserve"> incluido</w:t>
      </w:r>
      <w:r>
        <w:rPr>
          <w:rFonts w:ascii="Verdana" w:hAnsi="Verdana" w:cs="Arial"/>
          <w:color w:val="000000" w:themeColor="text1"/>
          <w:lang w:val="es-MX"/>
        </w:rPr>
        <w:t>s</w:t>
      </w:r>
      <w:r w:rsidRPr="00DC39AE">
        <w:rPr>
          <w:rFonts w:ascii="Verdana" w:hAnsi="Verdana" w:cs="Arial"/>
          <w:color w:val="000000" w:themeColor="text1"/>
          <w:lang w:val="es-MX"/>
        </w:rPr>
        <w:t xml:space="preserve"> </w:t>
      </w:r>
      <w:bookmarkEnd w:id="2"/>
      <w:r>
        <w:rPr>
          <w:rFonts w:ascii="Verdana" w:hAnsi="Verdana" w:cs="Arial"/>
          <w:color w:val="000000" w:themeColor="text1"/>
          <w:lang w:val="es-MX"/>
        </w:rPr>
        <w:t>los impuestos aplicables</w:t>
      </w:r>
      <w:r w:rsidRPr="00DC39AE">
        <w:rPr>
          <w:rFonts w:ascii="Verdana" w:hAnsi="Verdana" w:cs="Arial"/>
          <w:color w:val="000000" w:themeColor="text1"/>
          <w:lang w:val="es-MX"/>
        </w:rPr>
        <w:t xml:space="preserve">. De esta manera, el principio de selección objetiva, antes que permitir que la entidad compare las ofertas económicas sin tener en cuenta </w:t>
      </w:r>
      <w:r>
        <w:rPr>
          <w:rFonts w:ascii="Verdana" w:hAnsi="Verdana" w:cs="Arial"/>
          <w:color w:val="000000" w:themeColor="text1"/>
          <w:lang w:val="es-MX"/>
        </w:rPr>
        <w:t>la carga tributaria</w:t>
      </w:r>
      <w:r w:rsidRPr="00DC39AE">
        <w:rPr>
          <w:rFonts w:ascii="Verdana" w:hAnsi="Verdana" w:cs="Arial"/>
          <w:color w:val="000000" w:themeColor="text1"/>
          <w:lang w:val="es-MX"/>
        </w:rPr>
        <w:t xml:space="preserve">, busca que la comparación se haga sobre la realidad de lo ofrecido por cada proponente, es decir, el valor total de lo que terminará pagando la entidad cuando adjudique el contrato. </w:t>
      </w:r>
      <w:r>
        <w:rPr>
          <w:rFonts w:ascii="Verdana" w:hAnsi="Verdana" w:cs="Arial"/>
          <w:color w:val="000000" w:themeColor="text1"/>
          <w:lang w:val="es-MX"/>
        </w:rPr>
        <w:t>Para la doctrina:</w:t>
      </w:r>
    </w:p>
    <w:p w14:paraId="0C02185C" w14:textId="77777777" w:rsidR="002445EA" w:rsidRDefault="002445EA" w:rsidP="002445EA">
      <w:pPr>
        <w:spacing w:after="0" w:line="276" w:lineRule="auto"/>
        <w:ind w:firstLine="709"/>
        <w:jc w:val="both"/>
        <w:rPr>
          <w:rFonts w:ascii="Verdana" w:hAnsi="Verdana" w:cs="Arial"/>
          <w:color w:val="000000" w:themeColor="text1"/>
          <w:lang w:val="es-MX"/>
        </w:rPr>
      </w:pPr>
    </w:p>
    <w:p w14:paraId="476D4023" w14:textId="77777777" w:rsidR="002445EA" w:rsidRPr="00A41F79" w:rsidRDefault="002445EA" w:rsidP="002445EA">
      <w:pPr>
        <w:spacing w:after="120" w:line="240" w:lineRule="auto"/>
        <w:ind w:left="709" w:right="709"/>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 el precio debe incluir los costos en que incurrirá el contratista para cumplir sus obligaciones y obtener la utilidad que espera del negocio. Esto significa que hacen parte del precio las inversiones y gastos que deba hacer, más la utilidad que espera.</w:t>
      </w:r>
    </w:p>
    <w:p w14:paraId="454259D4" w14:textId="77777777" w:rsidR="002445EA" w:rsidRPr="00A41F79" w:rsidRDefault="002445EA" w:rsidP="002445EA">
      <w:pPr>
        <w:spacing w:after="0" w:line="240" w:lineRule="auto"/>
        <w:ind w:left="709" w:right="709"/>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 xml:space="preserve">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w:t>
      </w:r>
      <w:proofErr w:type="spellStart"/>
      <w:r w:rsidRPr="00A41F79">
        <w:rPr>
          <w:rFonts w:ascii="Verdana" w:hAnsi="Verdana" w:cs="Arial"/>
          <w:color w:val="000000" w:themeColor="text1"/>
          <w:sz w:val="20"/>
          <w:szCs w:val="20"/>
          <w:lang w:val="es-MX"/>
        </w:rPr>
        <w:t>el</w:t>
      </w:r>
      <w:proofErr w:type="spellEnd"/>
      <w:r w:rsidRPr="00A41F79">
        <w:rPr>
          <w:rFonts w:ascii="Verdana" w:hAnsi="Verdana" w:cs="Arial"/>
          <w:color w:val="000000" w:themeColor="text1"/>
          <w:sz w:val="20"/>
          <w:szCs w:val="20"/>
          <w:lang w:val="es-MX"/>
        </w:rPr>
        <w:t xml:space="preserve">, so pena de no poder cobrarlo luego. </w:t>
      </w:r>
      <w:r w:rsidRPr="007458E9">
        <w:rPr>
          <w:rFonts w:ascii="Verdana" w:hAnsi="Verdana" w:cs="Arial"/>
          <w:i/>
          <w:iCs/>
          <w:color w:val="000000" w:themeColor="text1"/>
          <w:sz w:val="20"/>
          <w:szCs w:val="20"/>
          <w:lang w:val="es-MX"/>
        </w:rPr>
        <w:t>En otras palabras, es absurdo presentar una oferta que no incluya los impuestos que gravan la actividad o los productos, guardando la esperanza de que se adjudique el contrato por ese precio -que será bajo-, y confiando en que posteriormente se podrá facturar el impuesto, so pretexto de que al fin y al cabo la</w:t>
      </w:r>
      <w:r>
        <w:rPr>
          <w:rFonts w:ascii="Verdana" w:hAnsi="Verdana" w:cs="Arial"/>
          <w:i/>
          <w:iCs/>
          <w:color w:val="000000" w:themeColor="text1"/>
          <w:sz w:val="20"/>
          <w:szCs w:val="20"/>
          <w:lang w:val="es-MX"/>
        </w:rPr>
        <w:t xml:space="preserve"> </w:t>
      </w:r>
      <w:r w:rsidRPr="007458E9">
        <w:rPr>
          <w:rFonts w:ascii="Verdana" w:hAnsi="Verdana" w:cs="Arial"/>
          <w:i/>
          <w:iCs/>
          <w:color w:val="000000" w:themeColor="text1"/>
          <w:sz w:val="20"/>
          <w:szCs w:val="20"/>
          <w:lang w:val="es-MX"/>
        </w:rPr>
        <w:t>ley grava la actividad</w:t>
      </w:r>
      <w:r w:rsidRPr="00A41F79">
        <w:rPr>
          <w:rFonts w:ascii="Verdana" w:hAnsi="Verdana" w:cs="Arial"/>
          <w:color w:val="000000" w:themeColor="text1"/>
          <w:sz w:val="20"/>
          <w:szCs w:val="20"/>
          <w:lang w:val="es-MX"/>
        </w:rPr>
        <w:t xml:space="preserve">. Por el contrario, el oferente tiene la obligación de incluir todos los gastos en que incurrirá para vender sus bienes o servicios, so pena de que la entidad entienda que el precio ofrecido los incluye, y luego sólo pagará el precio ofertado, pues allí se </w:t>
      </w:r>
      <w:r w:rsidRPr="00A41F79">
        <w:rPr>
          <w:rFonts w:ascii="Verdana" w:hAnsi="Verdana" w:cs="Arial"/>
          <w:color w:val="000000" w:themeColor="text1"/>
          <w:sz w:val="20"/>
          <w:szCs w:val="20"/>
          <w:lang w:val="es-MX"/>
        </w:rPr>
        <w:lastRenderedPageBreak/>
        <w:t>debieron incluir -es lo lógico y así debe entenderse- todos los gastos en que incurrirá el proponente.</w:t>
      </w:r>
    </w:p>
    <w:p w14:paraId="1D7CEF10" w14:textId="77777777" w:rsidR="002445EA" w:rsidRPr="00A41F79" w:rsidRDefault="002445EA" w:rsidP="002445EA">
      <w:pPr>
        <w:spacing w:after="120" w:line="240" w:lineRule="auto"/>
        <w:ind w:left="709" w:right="709"/>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w:t>
      </w:r>
    </w:p>
    <w:p w14:paraId="5CEBF281" w14:textId="77777777" w:rsidR="002445EA" w:rsidRDefault="002445EA" w:rsidP="002445EA">
      <w:pPr>
        <w:spacing w:after="0" w:line="240" w:lineRule="auto"/>
        <w:ind w:left="709" w:right="709"/>
        <w:jc w:val="both"/>
        <w:rPr>
          <w:rFonts w:ascii="Verdana" w:hAnsi="Verdana" w:cs="Arial"/>
          <w:color w:val="000000" w:themeColor="text1"/>
          <w:lang w:val="es-MX"/>
        </w:rPr>
      </w:pPr>
      <w:r w:rsidRPr="00A41F79">
        <w:rPr>
          <w:rFonts w:ascii="Verdana" w:hAnsi="Verdana" w:cs="Arial"/>
          <w:color w:val="000000" w:themeColor="text1"/>
          <w:sz w:val="20"/>
          <w:szCs w:val="20"/>
          <w:lang w:val="es-MX"/>
        </w:rPr>
        <w:t>Esta misma idea aplica para elaborar el presupuesto oficial del contrato estatal, e igualmente para obtener el certificado de disponibilidad presupuestal, porque la entidad, cuando calcula los costos probables del contrato, naturalmente debe incluir los impuestos que gravan los productos o servicios que desea adquirir, pues en el mercado no se los venderán sin ellos. Acaso comprará un vehículo sin IVA o una carretera sin el impuesto de guerra o contribución especial? Del mismo modo, la disponibilidad presupuestal debe incluir el impuesto, pues de no hacerlo el contrato quedará desfinanciado, y la entidad asumiría compromisos económicos sin tener la cobertura económica suficiente para no incurrir en mora”</w:t>
      </w:r>
      <w:r w:rsidRPr="00A41F79">
        <w:rPr>
          <w:rStyle w:val="Refdenotaalpie"/>
          <w:rFonts w:ascii="Verdana" w:hAnsi="Verdana" w:cs="Arial"/>
          <w:color w:val="000000" w:themeColor="text1"/>
          <w:sz w:val="20"/>
          <w:szCs w:val="20"/>
          <w:lang w:val="es-MX"/>
        </w:rPr>
        <w:footnoteReference w:id="2"/>
      </w:r>
      <w:r w:rsidRPr="00A41F79">
        <w:rPr>
          <w:rFonts w:ascii="Verdana" w:hAnsi="Verdana" w:cs="Arial"/>
          <w:color w:val="000000" w:themeColor="text1"/>
          <w:sz w:val="20"/>
          <w:szCs w:val="20"/>
          <w:lang w:val="es-MX"/>
        </w:rPr>
        <w:t>.</w:t>
      </w:r>
      <w:r>
        <w:rPr>
          <w:rFonts w:ascii="Verdana" w:hAnsi="Verdana" w:cs="Arial"/>
          <w:color w:val="000000" w:themeColor="text1"/>
          <w:sz w:val="20"/>
          <w:szCs w:val="20"/>
          <w:lang w:val="es-MX"/>
        </w:rPr>
        <w:t xml:space="preserve"> (Énfasis por fuera de texto)</w:t>
      </w:r>
    </w:p>
    <w:p w14:paraId="62C339D2" w14:textId="77777777" w:rsidR="002445EA" w:rsidRDefault="002445EA" w:rsidP="002445EA">
      <w:pPr>
        <w:spacing w:after="0" w:line="276" w:lineRule="auto"/>
        <w:jc w:val="both"/>
        <w:rPr>
          <w:rFonts w:ascii="Verdana" w:hAnsi="Verdana" w:cs="Arial"/>
          <w:color w:val="000000" w:themeColor="text1"/>
          <w:lang w:val="es-MX"/>
        </w:rPr>
      </w:pPr>
    </w:p>
    <w:p w14:paraId="768E09E6" w14:textId="77777777" w:rsidR="002445EA" w:rsidRPr="00DC39AE" w:rsidRDefault="002445EA" w:rsidP="002445EA">
      <w:pPr>
        <w:spacing w:after="120" w:line="276" w:lineRule="auto"/>
        <w:ind w:firstLine="708"/>
        <w:jc w:val="both"/>
        <w:rPr>
          <w:rFonts w:ascii="Verdana" w:hAnsi="Verdana" w:cs="Arial"/>
          <w:color w:val="000000" w:themeColor="text1"/>
          <w:lang w:val="es-MX"/>
        </w:rPr>
      </w:pPr>
      <w:r w:rsidRPr="00DC39AE">
        <w:rPr>
          <w:rFonts w:ascii="Verdana" w:hAnsi="Verdana" w:cs="Arial"/>
          <w:color w:val="000000" w:themeColor="text1"/>
          <w:lang w:val="es-MX"/>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Pr="00DC39AE">
        <w:rPr>
          <w:rFonts w:ascii="Verdana" w:hAnsi="Verdana" w:cs="Arial"/>
          <w:color w:val="000000" w:themeColor="text1"/>
          <w:vertAlign w:val="superscript"/>
          <w:lang w:val="es-MX"/>
        </w:rPr>
        <w:footnoteReference w:id="3"/>
      </w:r>
      <w:r w:rsidRPr="00DC39AE">
        <w:rPr>
          <w:rFonts w:ascii="Verdana" w:hAnsi="Verdana" w:cs="Arial"/>
          <w:color w:val="000000" w:themeColor="text1"/>
          <w:lang w:val="es-MX"/>
        </w:rPr>
        <w:t xml:space="preserve">. 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421EA9E0" w14:textId="77777777" w:rsidR="002445EA" w:rsidRPr="00DC39AE" w:rsidRDefault="002445EA" w:rsidP="002445EA">
      <w:pPr>
        <w:spacing w:before="120" w:after="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w:t>
      </w:r>
      <w:r w:rsidRPr="00DC39AE">
        <w:rPr>
          <w:rFonts w:ascii="Verdana" w:hAnsi="Verdana" w:cs="Arial"/>
          <w:color w:val="000000" w:themeColor="text1"/>
          <w:lang w:val="es-MX"/>
        </w:rPr>
        <w:lastRenderedPageBreak/>
        <w:t xml:space="preserve">contratación supone que las condiciones a las que se enfrentan los proponentes sean las mismas para todos y que la oferta adjudicada sea la más favorable a la entidad. Por ello el Consejo de Estado ha determinado que la aplicación del principio de igualdad en la contratación pública materializa otros principios de similar importancia como la selección objetiva y la transparencia: </w:t>
      </w:r>
    </w:p>
    <w:p w14:paraId="2D67D0D1" w14:textId="77777777" w:rsidR="002445EA" w:rsidRPr="00DC39AE" w:rsidRDefault="002445EA" w:rsidP="002445EA">
      <w:pPr>
        <w:spacing w:after="0" w:line="276" w:lineRule="auto"/>
        <w:ind w:left="709"/>
        <w:contextualSpacing/>
        <w:jc w:val="both"/>
        <w:rPr>
          <w:rFonts w:ascii="Verdana" w:hAnsi="Verdana" w:cs="Arial"/>
          <w:color w:val="000000" w:themeColor="text1"/>
          <w:lang w:val="es-MX"/>
        </w:rPr>
      </w:pPr>
    </w:p>
    <w:p w14:paraId="02C29E9F" w14:textId="77777777" w:rsidR="002445EA" w:rsidRPr="00A41F79" w:rsidRDefault="002445EA" w:rsidP="002445EA">
      <w:pPr>
        <w:spacing w:line="240" w:lineRule="auto"/>
        <w:ind w:left="709" w:right="709"/>
        <w:contextualSpacing/>
        <w:jc w:val="both"/>
        <w:rPr>
          <w:rFonts w:ascii="Verdana" w:hAnsi="Verdana" w:cs="Arial"/>
          <w:color w:val="000000" w:themeColor="text1"/>
          <w:sz w:val="20"/>
          <w:szCs w:val="20"/>
          <w:lang w:val="es-MX"/>
        </w:rPr>
      </w:pPr>
      <w:r w:rsidRPr="00A41F79">
        <w:rPr>
          <w:rFonts w:ascii="Verdana" w:hAnsi="Verdana" w:cs="Arial"/>
          <w:color w:val="000000" w:themeColor="text1"/>
          <w:sz w:val="20"/>
          <w:szCs w:val="20"/>
          <w:lang w:val="es-MX"/>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A41F79">
        <w:rPr>
          <w:rFonts w:ascii="Verdana" w:hAnsi="Verdana" w:cs="Arial"/>
          <w:color w:val="000000" w:themeColor="text1"/>
          <w:sz w:val="20"/>
          <w:szCs w:val="20"/>
          <w:vertAlign w:val="superscript"/>
          <w:lang w:val="es-MX"/>
        </w:rPr>
        <w:footnoteReference w:id="4"/>
      </w:r>
      <w:r w:rsidRPr="00A41F79">
        <w:rPr>
          <w:rFonts w:ascii="Verdana" w:hAnsi="Verdana" w:cs="Arial"/>
          <w:color w:val="000000" w:themeColor="text1"/>
          <w:sz w:val="20"/>
          <w:szCs w:val="20"/>
          <w:lang w:val="es-MX"/>
        </w:rPr>
        <w:t>.</w:t>
      </w:r>
    </w:p>
    <w:p w14:paraId="7F4BF22E" w14:textId="77777777" w:rsidR="002445EA" w:rsidRPr="00DC39AE" w:rsidRDefault="002445EA" w:rsidP="002445EA">
      <w:pPr>
        <w:spacing w:line="276" w:lineRule="auto"/>
        <w:contextualSpacing/>
        <w:jc w:val="both"/>
        <w:rPr>
          <w:rFonts w:ascii="Verdana" w:hAnsi="Verdana" w:cs="Arial"/>
          <w:color w:val="000000" w:themeColor="text1"/>
          <w:lang w:val="es-MX"/>
        </w:rPr>
      </w:pPr>
    </w:p>
    <w:p w14:paraId="1F96C64D" w14:textId="77777777" w:rsidR="002445EA" w:rsidRDefault="002445EA" w:rsidP="002445EA">
      <w:pPr>
        <w:spacing w:after="120" w:line="276" w:lineRule="auto"/>
        <w:ind w:firstLine="709"/>
        <w:jc w:val="both"/>
        <w:rPr>
          <w:rFonts w:ascii="Verdana" w:hAnsi="Verdana" w:cs="Arial"/>
          <w:color w:val="000000" w:themeColor="text1"/>
          <w:lang w:val="es-MX"/>
        </w:rPr>
      </w:pPr>
      <w:bookmarkStart w:id="4" w:name="_Hlk108689460"/>
      <w:bookmarkStart w:id="5" w:name="_Hlk108448910"/>
      <w:r>
        <w:rPr>
          <w:rFonts w:ascii="Verdana" w:hAnsi="Verdana" w:cs="Arial"/>
          <w:color w:val="000000" w:themeColor="text1"/>
          <w:lang w:val="es-MX"/>
        </w:rPr>
        <w:t xml:space="preserve">Ahora bien, en el escenario de un procedimiento de selección en el que se presentan varios oferentes, unos que según su régimen tributario son responsables de determinados impuestos y otros que no, hay que preguntarse ¿el principio de igualdad obliga a que la entidad evalúe las ofertas económicas sin tener en cuenta los impuestos en el precio ofertado? La respuesta es negativa. </w:t>
      </w:r>
    </w:p>
    <w:p w14:paraId="76423EA1" w14:textId="77777777" w:rsidR="002445EA" w:rsidRDefault="002445EA" w:rsidP="002445EA">
      <w:pPr>
        <w:spacing w:before="120"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Al respecto, vale la pena señalar que la posición que ha adoptado esta Subdirección Gestión Contractual desde tiempo atrás es que el IVA hace parte del precio que ofrece cada proponente, y así debe ser ponderado al momento de la evaluación de las ofertas</w:t>
      </w:r>
      <w:r>
        <w:rPr>
          <w:rStyle w:val="Refdenotaalpie"/>
          <w:rFonts w:ascii="Verdana" w:hAnsi="Verdana" w:cs="Arial"/>
          <w:color w:val="000000" w:themeColor="text1"/>
          <w:lang w:val="es-MX"/>
        </w:rPr>
        <w:footnoteReference w:id="5"/>
      </w:r>
      <w:r>
        <w:rPr>
          <w:rFonts w:ascii="Verdana" w:hAnsi="Verdana" w:cs="Arial"/>
          <w:color w:val="000000" w:themeColor="text1"/>
          <w:lang w:val="es-MX"/>
        </w:rPr>
        <w:t xml:space="preserve">. Si un proponente está en capacidad de ofrecer un precio menor porque, según su régimen tributario, no es responsable de IVA o de cualquier otro impuesto que incida en el precio,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66698B57" w14:textId="77777777" w:rsidR="002445EA" w:rsidRDefault="002445EA" w:rsidP="002445EA">
      <w:pPr>
        <w:spacing w:before="120"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 xml:space="preserve">La misma reflexión cabría, por ejemplo, si un proponente es capaz de ofertar a unos precios significativamente inferiores que el resto de los competidores porque su estructura de costos se lo permite, o porque tiene </w:t>
      </w:r>
      <w:r>
        <w:rPr>
          <w:rFonts w:ascii="Verdana" w:hAnsi="Verdana" w:cs="Arial"/>
          <w:color w:val="000000" w:themeColor="text1"/>
          <w:lang w:val="es-MX"/>
        </w:rPr>
        <w:lastRenderedPageBreak/>
        <w:t xml:space="preserve">acceso a créditos a una tasa de interés más baja que el resto o porque es propietario de la maquinaria y no debe pagar alquiler. Todas estas situaciones, incluida la del IVA u otros impuestos, son aspectos que inciden en el precio que puede ofrecer cada proponente y en la calidad de su oferta. </w:t>
      </w:r>
    </w:p>
    <w:bookmarkEnd w:id="4"/>
    <w:bookmarkEnd w:id="5"/>
    <w:p w14:paraId="7A137553" w14:textId="77777777" w:rsidR="002445EA" w:rsidRDefault="002445EA" w:rsidP="002445EA">
      <w:pPr>
        <w:spacing w:before="120" w:after="120" w:line="276" w:lineRule="auto"/>
        <w:ind w:firstLine="709"/>
        <w:jc w:val="both"/>
        <w:rPr>
          <w:rFonts w:ascii="Verdana" w:hAnsi="Verdana" w:cs="Arial"/>
          <w:color w:val="000000" w:themeColor="text1"/>
          <w:lang w:val="es-MX"/>
        </w:rPr>
      </w:pPr>
      <w:r w:rsidRPr="00DC39AE">
        <w:rPr>
          <w:rFonts w:ascii="Verdana" w:hAnsi="Verdana" w:cs="Arial"/>
          <w:color w:val="000000" w:themeColor="text1"/>
          <w:lang w:val="es-MX"/>
        </w:rPr>
        <w:t xml:space="preserve">Por ello, la Corte Constitucional ha señalado que un correcto entendimiento del derecho a la igualdad parte de la consideración de tratar igual a quienes estén en situaciones esencialmente similares y desigual a quienes estén en situaciones diferentes: De esta manera, </w:t>
      </w:r>
      <w:r>
        <w:rPr>
          <w:rFonts w:ascii="Verdana" w:hAnsi="Verdana" w:cs="Arial"/>
          <w:color w:val="000000" w:themeColor="text1"/>
          <w:lang w:val="es-MX"/>
        </w:rPr>
        <w:t>“</w:t>
      </w:r>
      <w:r w:rsidRPr="00DC39AE">
        <w:rPr>
          <w:rFonts w:ascii="Verdana" w:hAnsi="Verdana" w:cs="Arial"/>
          <w:color w:val="000000" w:themeColor="text1"/>
          <w:lang w:val="es-MX"/>
        </w:rPr>
        <w:t>La correcta aplicación del derecho a la igualdad no sólo supone la igualdad de trato respecto de los privilegios, oportunidades y cargas entre los iguales, sino también el tratamiento desigual entre supuestos disímiles</w:t>
      </w:r>
      <w:r>
        <w:rPr>
          <w:rFonts w:ascii="Verdana" w:hAnsi="Verdana" w:cs="Arial"/>
          <w:color w:val="000000" w:themeColor="text1"/>
          <w:lang w:val="es-MX"/>
        </w:rPr>
        <w:t>”</w:t>
      </w:r>
      <w:r w:rsidRPr="00DC39AE">
        <w:rPr>
          <w:rFonts w:ascii="Verdana" w:hAnsi="Verdana" w:cs="Arial"/>
          <w:color w:val="000000" w:themeColor="text1"/>
          <w:vertAlign w:val="superscript"/>
          <w:lang w:val="es-MX"/>
        </w:rPr>
        <w:footnoteReference w:id="6"/>
      </w:r>
      <w:r w:rsidRPr="00DC39AE">
        <w:rPr>
          <w:rFonts w:ascii="Verdana" w:hAnsi="Verdana" w:cs="Arial"/>
          <w:color w:val="000000" w:themeColor="text1"/>
          <w:lang w:val="es-MX"/>
        </w:rPr>
        <w:t xml:space="preserve">. </w:t>
      </w:r>
    </w:p>
    <w:p w14:paraId="5788E07F" w14:textId="77777777" w:rsidR="002445EA" w:rsidRDefault="002445EA" w:rsidP="002445EA">
      <w:pPr>
        <w:spacing w:after="120" w:line="276" w:lineRule="auto"/>
        <w:ind w:firstLine="709"/>
        <w:jc w:val="both"/>
        <w:rPr>
          <w:rFonts w:ascii="Verdana" w:hAnsi="Verdana" w:cs="Arial"/>
          <w:color w:val="000000" w:themeColor="text1"/>
          <w:lang w:val="es-MX"/>
        </w:rPr>
      </w:pPr>
      <w:bookmarkStart w:id="6" w:name="_Hlk108448925"/>
      <w:bookmarkStart w:id="7" w:name="_Hlk108689480"/>
      <w:r>
        <w:rPr>
          <w:rFonts w:ascii="Verdana" w:hAnsi="Verdana" w:cs="Arial"/>
          <w:color w:val="000000" w:themeColor="text1"/>
          <w:lang w:val="es-MX"/>
        </w:rPr>
        <w:t>Así las cosas,</w:t>
      </w:r>
      <w:r w:rsidRPr="001264CA">
        <w:rPr>
          <w:rFonts w:ascii="Verdana" w:hAnsi="Verdana" w:cs="Arial"/>
          <w:color w:val="000000" w:themeColor="text1"/>
          <w:lang w:val="es-MX"/>
        </w:rPr>
        <w:t xml:space="preserve"> </w:t>
      </w:r>
      <w:r>
        <w:rPr>
          <w:rFonts w:ascii="Verdana" w:hAnsi="Verdana" w:cs="Arial"/>
          <w:color w:val="000000" w:themeColor="text1"/>
          <w:lang w:val="es-MX"/>
        </w:rPr>
        <w:t xml:space="preserve">no puede predicarse igualdad de trato frente a quienes no se encuentran en la misma situación. Entonces, no podría justificarse que en un proceso de selección donde existen oferentes que proponen un precio incluyendo determinados impuestos, por ser responsables de este, y otros que no, </w:t>
      </w:r>
      <w:r w:rsidRPr="00651A05">
        <w:rPr>
          <w:rFonts w:ascii="Verdana" w:hAnsi="Verdana" w:cs="Arial"/>
          <w:color w:val="000000" w:themeColor="text1"/>
          <w:lang w:val="es-MX"/>
        </w:rPr>
        <w:t>la ponderación de las ofertas se efectúe descontando o adicionando tales impuestos de manera uniforme. Una actuación en ese sentido, lejos de materializar el principio de igualdad, implicaría desconocer las diferencias jurídicas establecidas por el legislador y alterar las condiciones reales de competencia entre los proponentes.</w:t>
      </w:r>
      <w:r>
        <w:rPr>
          <w:rFonts w:ascii="Verdana" w:hAnsi="Verdana" w:cs="Arial"/>
          <w:color w:val="000000" w:themeColor="text1"/>
          <w:lang w:val="es-MX"/>
        </w:rPr>
        <w:t xml:space="preserve"> </w:t>
      </w:r>
    </w:p>
    <w:p w14:paraId="39193EFB" w14:textId="77777777" w:rsidR="002445EA" w:rsidRPr="00DC39AE" w:rsidRDefault="002445EA" w:rsidP="002445EA">
      <w:pPr>
        <w:spacing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 xml:space="preserve"> En efecto, no se encuentran en la misma situación quienes ofrecen un precio con determinado impuesto y quienes son capaces de ofrecerle a la entidad ese precio sin este,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bookmarkEnd w:id="6"/>
      <w:bookmarkEnd w:id="7"/>
    </w:p>
    <w:p w14:paraId="1891EAAB" w14:textId="77777777" w:rsidR="002445EA" w:rsidRDefault="002445EA" w:rsidP="002445EA">
      <w:pPr>
        <w:spacing w:after="120" w:line="276" w:lineRule="auto"/>
        <w:ind w:firstLine="709"/>
        <w:jc w:val="both"/>
        <w:rPr>
          <w:rFonts w:ascii="Verdana" w:hAnsi="Verdana" w:cs="Arial"/>
          <w:color w:val="000000" w:themeColor="text1"/>
          <w:lang w:val="es-MX"/>
        </w:rPr>
      </w:pPr>
      <w:bookmarkStart w:id="8" w:name="_Hlk108448954"/>
      <w:r>
        <w:rPr>
          <w:rFonts w:ascii="Verdana" w:hAnsi="Verdana" w:cs="Arial"/>
          <w:color w:val="000000" w:themeColor="text1"/>
          <w:lang w:val="es-MX"/>
        </w:rPr>
        <w:t>L</w:t>
      </w:r>
      <w:r w:rsidRPr="00DC39AE">
        <w:rPr>
          <w:rFonts w:ascii="Verdana" w:hAnsi="Verdana" w:cs="Arial"/>
          <w:color w:val="000000" w:themeColor="text1"/>
          <w:lang w:val="es-MX"/>
        </w:rPr>
        <w:t xml:space="preserve">os impuestos son parte integral del precio, pues es lo que finalmente terminará pagando la entidad cuando adjudique el contrato, por lo cual en aplicación de los principios de selección objetiva y de igualdad, la entidad contratante debe evaluar las ofertas con base en el precio final o real que ofrezca cada proponente, toda vez que de esa comparación es que surgirá la oferta más favorable o ventajosa para el Estado. </w:t>
      </w:r>
      <w:bookmarkEnd w:id="8"/>
      <w:r w:rsidRPr="008979BE">
        <w:rPr>
          <w:rFonts w:ascii="Verdana" w:hAnsi="Verdana" w:cs="Arial"/>
          <w:color w:val="000000" w:themeColor="text1"/>
          <w:lang w:val="es-MX"/>
        </w:rPr>
        <w:t xml:space="preserve">Esta carga hace parte del componente de Administración del AIU por ser un costo indirecto del negocio, </w:t>
      </w:r>
      <w:r>
        <w:rPr>
          <w:rFonts w:ascii="Verdana" w:hAnsi="Verdana" w:cs="Arial"/>
          <w:color w:val="000000" w:themeColor="text1"/>
          <w:lang w:val="es-MX"/>
        </w:rPr>
        <w:t xml:space="preserve">en los contratos </w:t>
      </w:r>
      <w:r>
        <w:rPr>
          <w:rFonts w:ascii="Verdana" w:hAnsi="Verdana" w:cs="Arial"/>
          <w:color w:val="000000" w:themeColor="text1"/>
          <w:lang w:val="es-MX"/>
        </w:rPr>
        <w:lastRenderedPageBreak/>
        <w:t xml:space="preserve">que se estructuren bajo esta figura, </w:t>
      </w:r>
      <w:r w:rsidRPr="008979BE">
        <w:rPr>
          <w:rFonts w:ascii="Verdana" w:hAnsi="Verdana" w:cs="Arial"/>
          <w:color w:val="000000" w:themeColor="text1"/>
          <w:lang w:val="es-MX"/>
        </w:rPr>
        <w:t xml:space="preserve">y está a cargo del sujeto pasivo que dé lugar al hecho generador conforme a las normas tributarias. </w:t>
      </w:r>
    </w:p>
    <w:p w14:paraId="30E4608A" w14:textId="77777777" w:rsidR="002445EA" w:rsidRPr="00D61978" w:rsidRDefault="002445EA" w:rsidP="002445EA">
      <w:pPr>
        <w:spacing w:after="120" w:line="276" w:lineRule="auto"/>
        <w:ind w:firstLine="709"/>
        <w:jc w:val="both"/>
        <w:rPr>
          <w:rFonts w:ascii="Verdana" w:hAnsi="Verdana" w:cs="Arial"/>
          <w:color w:val="000000" w:themeColor="text1"/>
          <w:lang w:val="es-MX"/>
        </w:rPr>
      </w:pPr>
      <w:r>
        <w:rPr>
          <w:rFonts w:ascii="Verdana" w:hAnsi="Verdana" w:cs="Arial"/>
          <w:color w:val="000000" w:themeColor="text1"/>
          <w:lang w:val="es-MX"/>
        </w:rPr>
        <w:t>Bajo estas consideraciones, n</w:t>
      </w:r>
      <w:r w:rsidRPr="00D61978">
        <w:rPr>
          <w:rFonts w:ascii="Verdana" w:hAnsi="Verdana" w:cs="Arial"/>
          <w:color w:val="000000" w:themeColor="text1"/>
          <w:lang w:val="es-MX"/>
        </w:rPr>
        <w:t>o es posible afirmar que la participación de un</w:t>
      </w:r>
      <w:r>
        <w:rPr>
          <w:rFonts w:ascii="Verdana" w:hAnsi="Verdana" w:cs="Arial"/>
          <w:color w:val="000000" w:themeColor="text1"/>
          <w:lang w:val="es-MX"/>
        </w:rPr>
        <w:t xml:space="preserve"> proponente que no sea responsable de IVA </w:t>
      </w:r>
      <w:r w:rsidRPr="00D61978">
        <w:rPr>
          <w:rFonts w:ascii="Verdana" w:hAnsi="Verdana" w:cs="Arial"/>
          <w:color w:val="000000" w:themeColor="text1"/>
          <w:lang w:val="es-MX"/>
        </w:rPr>
        <w:t>resulte incompatible con el principio de igualdad por el solo hecho de que est</w:t>
      </w:r>
      <w:r>
        <w:rPr>
          <w:rFonts w:ascii="Verdana" w:hAnsi="Verdana" w:cs="Arial"/>
          <w:color w:val="000000" w:themeColor="text1"/>
          <w:lang w:val="es-MX"/>
        </w:rPr>
        <w:t>e goce</w:t>
      </w:r>
      <w:r w:rsidRPr="00D61978">
        <w:rPr>
          <w:rFonts w:ascii="Verdana" w:hAnsi="Verdana" w:cs="Arial"/>
          <w:color w:val="000000" w:themeColor="text1"/>
          <w:lang w:val="es-MX"/>
        </w:rPr>
        <w:t xml:space="preserve"> de beneficios tributarios previstos por el ordenamiento jurídico.</w:t>
      </w:r>
      <w:r>
        <w:rPr>
          <w:rFonts w:ascii="Verdana" w:hAnsi="Verdana" w:cs="Arial"/>
          <w:color w:val="000000" w:themeColor="text1"/>
          <w:lang w:val="es-MX"/>
        </w:rPr>
        <w:t xml:space="preserve"> Como se explicó</w:t>
      </w:r>
      <w:r w:rsidRPr="00D61978">
        <w:rPr>
          <w:rFonts w:ascii="Verdana" w:hAnsi="Verdana" w:cs="Arial"/>
          <w:color w:val="000000" w:themeColor="text1"/>
          <w:lang w:val="es-MX"/>
        </w:rPr>
        <w:t>, el principio de igualdad no exige eliminar las diferencias jurídicas que el propio legislador ha establecido entre los distintos sujetos de derecho, sino garantizar que quienes se encuentran en una misma situación jurídica reciban el mismo tratamiento. En consecuencia, cuando el ordenamiento tributario reconoce determinados beneficios</w:t>
      </w:r>
      <w:r>
        <w:rPr>
          <w:rFonts w:ascii="Verdana" w:hAnsi="Verdana" w:cs="Arial"/>
          <w:color w:val="000000" w:themeColor="text1"/>
          <w:lang w:val="es-MX"/>
        </w:rPr>
        <w:t xml:space="preserve"> </w:t>
      </w:r>
      <w:r w:rsidRPr="00D61978">
        <w:rPr>
          <w:rFonts w:ascii="Verdana" w:hAnsi="Verdana" w:cs="Arial"/>
          <w:color w:val="000000" w:themeColor="text1"/>
          <w:lang w:val="es-MX"/>
        </w:rPr>
        <w:t xml:space="preserve">a ciertas </w:t>
      </w:r>
      <w:r>
        <w:rPr>
          <w:rFonts w:ascii="Verdana" w:hAnsi="Verdana" w:cs="Arial"/>
          <w:color w:val="000000" w:themeColor="text1"/>
          <w:lang w:val="es-MX"/>
        </w:rPr>
        <w:t xml:space="preserve">personas </w:t>
      </w:r>
      <w:r w:rsidRPr="00D61978">
        <w:rPr>
          <w:rFonts w:ascii="Verdana" w:hAnsi="Verdana" w:cs="Arial"/>
          <w:color w:val="000000" w:themeColor="text1"/>
          <w:lang w:val="es-MX"/>
        </w:rPr>
        <w:t>tales diferencias constituyen una decisión del legislador que no puede ser desconocida por las entidades estatales mediante los pliegos de condiciones.</w:t>
      </w:r>
    </w:p>
    <w:p w14:paraId="44584D5F" w14:textId="77777777" w:rsidR="002445EA" w:rsidRPr="006028A6" w:rsidRDefault="002445EA" w:rsidP="002445EA">
      <w:pPr>
        <w:spacing w:after="120" w:line="276" w:lineRule="auto"/>
        <w:ind w:firstLine="709"/>
        <w:jc w:val="both"/>
        <w:rPr>
          <w:rFonts w:ascii="Verdana" w:hAnsi="Verdana" w:cs="Arial"/>
          <w:b/>
          <w:bCs/>
          <w:color w:val="000000" w:themeColor="text1"/>
          <w:lang w:val="es-MX"/>
        </w:rPr>
      </w:pPr>
      <w:r w:rsidRPr="00D61978">
        <w:rPr>
          <w:rFonts w:ascii="Verdana" w:hAnsi="Verdana" w:cs="Arial"/>
          <w:color w:val="000000" w:themeColor="text1"/>
          <w:lang w:val="es-MX"/>
        </w:rPr>
        <w:t xml:space="preserve">En ese sentido, si una diferencia en los costos deriva de una </w:t>
      </w:r>
      <w:r>
        <w:rPr>
          <w:rFonts w:ascii="Verdana" w:hAnsi="Verdana" w:cs="Arial"/>
          <w:color w:val="000000" w:themeColor="text1"/>
          <w:lang w:val="es-MX"/>
        </w:rPr>
        <w:t xml:space="preserve">situación </w:t>
      </w:r>
      <w:r w:rsidRPr="00D61978">
        <w:rPr>
          <w:rFonts w:ascii="Verdana" w:hAnsi="Verdana" w:cs="Arial"/>
          <w:color w:val="000000" w:themeColor="text1"/>
          <w:lang w:val="es-MX"/>
        </w:rPr>
        <w:t>tributaria expresamente reconocida por la ley, dicha circunstancia constituye un elemento propio de la estructura económica de</w:t>
      </w:r>
      <w:r>
        <w:rPr>
          <w:rFonts w:ascii="Verdana" w:hAnsi="Verdana" w:cs="Arial"/>
          <w:color w:val="000000" w:themeColor="text1"/>
          <w:lang w:val="es-MX"/>
        </w:rPr>
        <w:t xml:space="preserve"> la oferta del proponente </w:t>
      </w:r>
      <w:r w:rsidRPr="00D61978">
        <w:rPr>
          <w:rFonts w:ascii="Verdana" w:hAnsi="Verdana" w:cs="Arial"/>
          <w:color w:val="000000" w:themeColor="text1"/>
          <w:lang w:val="es-MX"/>
        </w:rPr>
        <w:t xml:space="preserve">y no una situación que la entidad deba desconocer mediante reglas de </w:t>
      </w:r>
      <w:r>
        <w:rPr>
          <w:rFonts w:ascii="Verdana" w:hAnsi="Verdana" w:cs="Arial"/>
          <w:color w:val="000000" w:themeColor="text1"/>
          <w:lang w:val="es-MX"/>
        </w:rPr>
        <w:t xml:space="preserve">evaluación. </w:t>
      </w:r>
      <w:r w:rsidRPr="00125E5D">
        <w:rPr>
          <w:rFonts w:ascii="Verdana" w:hAnsi="Verdana" w:cs="Arial"/>
          <w:color w:val="000000" w:themeColor="text1"/>
        </w:rPr>
        <w:t>De esta manera, aunque la administración dispone de un amplio margen de configuración para elaborar los pliegos de condiciones, dicha facultad se encuentra limitada por los fines</w:t>
      </w:r>
      <w:r>
        <w:rPr>
          <w:rFonts w:ascii="Verdana" w:hAnsi="Verdana" w:cs="Arial"/>
          <w:color w:val="000000" w:themeColor="text1"/>
        </w:rPr>
        <w:t xml:space="preserve"> y</w:t>
      </w:r>
      <w:r w:rsidRPr="00125E5D">
        <w:rPr>
          <w:rFonts w:ascii="Verdana" w:hAnsi="Verdana" w:cs="Arial"/>
          <w:color w:val="000000" w:themeColor="text1"/>
        </w:rPr>
        <w:t xml:space="preserve"> principios</w:t>
      </w:r>
      <w:r>
        <w:rPr>
          <w:rFonts w:ascii="Verdana" w:hAnsi="Verdana" w:cs="Arial"/>
          <w:color w:val="000000" w:themeColor="text1"/>
        </w:rPr>
        <w:t xml:space="preserve"> de la contratación estatal, por lo que </w:t>
      </w:r>
      <w:r w:rsidRPr="00125E5D">
        <w:rPr>
          <w:rFonts w:ascii="Verdana" w:hAnsi="Verdana" w:cs="Arial"/>
          <w:color w:val="000000" w:themeColor="text1"/>
        </w:rPr>
        <w:t>las entidades no pueden incorporar mecanismos de evaluación que, sin un fundamento legal expreso, desconozcan los efectos del régimen tributario que el legislador ha establecido para determinados sujetos, cuando ello pueda afectar los principios de selección objetiva y</w:t>
      </w:r>
      <w:r>
        <w:rPr>
          <w:rFonts w:ascii="Verdana" w:hAnsi="Verdana" w:cs="Arial"/>
          <w:color w:val="000000" w:themeColor="text1"/>
        </w:rPr>
        <w:t xml:space="preserve"> de</w:t>
      </w:r>
      <w:r w:rsidRPr="00125E5D">
        <w:rPr>
          <w:rFonts w:ascii="Verdana" w:hAnsi="Verdana" w:cs="Arial"/>
          <w:color w:val="000000" w:themeColor="text1"/>
        </w:rPr>
        <w:t xml:space="preserve"> libre concurrencia. Por tanto, la autonomía para estructurar los pliegos no habilita a las entidades para alterar las condiciones económicas derivadas del régimen tributario aplicable a cada proponente</w:t>
      </w:r>
      <w:r>
        <w:rPr>
          <w:rFonts w:ascii="Verdana" w:hAnsi="Verdana" w:cs="Arial"/>
          <w:color w:val="000000" w:themeColor="text1"/>
        </w:rPr>
        <w:t>, que, por demás, han sido establecidas por el legislador</w:t>
      </w:r>
      <w:r w:rsidRPr="00125E5D">
        <w:rPr>
          <w:rFonts w:ascii="Verdana" w:hAnsi="Verdana" w:cs="Arial"/>
          <w:color w:val="000000" w:themeColor="text1"/>
        </w:rPr>
        <w:t>.</w:t>
      </w:r>
      <w:r>
        <w:rPr>
          <w:rFonts w:ascii="Verdana" w:hAnsi="Verdana" w:cs="Arial"/>
          <w:color w:val="000000" w:themeColor="text1"/>
        </w:rPr>
        <w:t xml:space="preserve"> </w:t>
      </w:r>
    </w:p>
    <w:p w14:paraId="0A9D1B0B" w14:textId="77777777" w:rsidR="002445EA" w:rsidRDefault="002445EA" w:rsidP="002445EA">
      <w:pPr>
        <w:spacing w:after="120" w:line="276" w:lineRule="auto"/>
        <w:ind w:firstLine="709"/>
        <w:jc w:val="both"/>
        <w:rPr>
          <w:rFonts w:ascii="Verdana" w:hAnsi="Verdana" w:cs="Arial"/>
          <w:color w:val="000000" w:themeColor="text1"/>
        </w:rPr>
      </w:pPr>
      <w:r>
        <w:rPr>
          <w:rFonts w:ascii="Verdana" w:hAnsi="Verdana" w:cs="Arial"/>
          <w:color w:val="000000" w:themeColor="text1"/>
        </w:rPr>
        <w:t>Sobre el particular, el Consejo de Estado se ha referido a los límites de la facultad administrativa de configuración de los pliegos de condiciones:</w:t>
      </w:r>
    </w:p>
    <w:p w14:paraId="48232D31" w14:textId="77777777" w:rsidR="002445EA" w:rsidRDefault="002445EA" w:rsidP="002445EA">
      <w:pPr>
        <w:spacing w:after="0" w:line="240" w:lineRule="auto"/>
        <w:ind w:right="758" w:firstLine="709"/>
        <w:jc w:val="both"/>
        <w:rPr>
          <w:rFonts w:ascii="Verdana" w:hAnsi="Verdana" w:cs="Arial"/>
          <w:color w:val="000000" w:themeColor="text1"/>
        </w:rPr>
      </w:pPr>
      <w:r>
        <w:rPr>
          <w:rFonts w:ascii="Verdana" w:hAnsi="Verdana" w:cs="Arial"/>
          <w:color w:val="000000" w:themeColor="text1"/>
        </w:rPr>
        <w:t xml:space="preserve">  </w:t>
      </w:r>
    </w:p>
    <w:p w14:paraId="0889937C" w14:textId="77777777" w:rsidR="002445EA" w:rsidRPr="00FF3652" w:rsidRDefault="002445EA" w:rsidP="002445EA">
      <w:pPr>
        <w:spacing w:after="0" w:line="240" w:lineRule="auto"/>
        <w:ind w:left="709" w:right="758"/>
        <w:contextualSpacing/>
        <w:jc w:val="both"/>
        <w:rPr>
          <w:rFonts w:ascii="Verdana" w:hAnsi="Verdana" w:cs="Arial"/>
          <w:color w:val="000000" w:themeColor="text1"/>
          <w:sz w:val="20"/>
          <w:szCs w:val="20"/>
          <w:lang w:val="es-MX"/>
        </w:rPr>
      </w:pPr>
      <w:r w:rsidRPr="00FF3652">
        <w:rPr>
          <w:rFonts w:ascii="Verdana" w:hAnsi="Verdana" w:cs="Arial"/>
          <w:color w:val="000000" w:themeColor="text1"/>
          <w:sz w:val="20"/>
          <w:szCs w:val="20"/>
        </w:rPr>
        <w:t xml:space="preserve"> </w:t>
      </w:r>
      <w:r w:rsidRPr="00FF3652">
        <w:rPr>
          <w:rFonts w:ascii="Verdana" w:hAnsi="Verdana" w:cs="Arial"/>
          <w:color w:val="000000" w:themeColor="text1"/>
          <w:sz w:val="20"/>
          <w:szCs w:val="20"/>
          <w:lang w:val="es-MX"/>
        </w:rPr>
        <w:t>“</w:t>
      </w:r>
      <w:r>
        <w:rPr>
          <w:rFonts w:ascii="Verdana" w:hAnsi="Verdana" w:cs="Arial"/>
          <w:color w:val="000000" w:themeColor="text1"/>
          <w:sz w:val="20"/>
          <w:szCs w:val="20"/>
          <w:lang w:val="es-MX"/>
        </w:rPr>
        <w:t xml:space="preserve">(…) </w:t>
      </w:r>
      <w:r w:rsidRPr="00FF3652">
        <w:rPr>
          <w:rFonts w:ascii="Verdana" w:hAnsi="Verdana" w:cs="Arial"/>
          <w:color w:val="000000" w:themeColor="text1"/>
          <w:sz w:val="20"/>
          <w:szCs w:val="20"/>
          <w:lang w:val="es-MX"/>
        </w:rPr>
        <w:t xml:space="preserve">De ahí que la Sala considere que, si bien la Administración goza de autonomía en la elaboración de los pliegos de condiciones o términos de referencia de acuerdo con sus particulares necesidades, no es menos cierto que ella está enmarcada en los fines de la contratación estatal y, por consiguiente, los criterios de selección susceptibles de calificación, deben ser congruentes con ellos y comprender los elementos necesarios para llevar a cabo el contrato en las condiciones de modo, tiempo y lugar </w:t>
      </w:r>
      <w:r w:rsidRPr="00FF3652">
        <w:rPr>
          <w:rFonts w:ascii="Verdana" w:hAnsi="Verdana" w:cs="Arial"/>
          <w:color w:val="000000" w:themeColor="text1"/>
          <w:sz w:val="20"/>
          <w:szCs w:val="20"/>
          <w:lang w:val="es-MX"/>
        </w:rPr>
        <w:lastRenderedPageBreak/>
        <w:t>requeridas por ella. La objetividad que reclama la Ley </w:t>
      </w:r>
      <w:hyperlink r:id="rId13" w:history="1">
        <w:r w:rsidRPr="00FF3652">
          <w:rPr>
            <w:rFonts w:ascii="Verdana" w:hAnsi="Verdana" w:cs="Arial"/>
            <w:color w:val="000000" w:themeColor="text1"/>
            <w:sz w:val="20"/>
            <w:szCs w:val="20"/>
            <w:lang w:val="es-MX"/>
          </w:rPr>
          <w:t>80</w:t>
        </w:r>
      </w:hyperlink>
      <w:r w:rsidRPr="00FF3652">
        <w:rPr>
          <w:rFonts w:ascii="Verdana" w:hAnsi="Verdana" w:cs="Arial"/>
          <w:color w:val="000000" w:themeColor="text1"/>
          <w:sz w:val="20"/>
          <w:szCs w:val="20"/>
          <w:lang w:val="es-MX"/>
        </w:rPr>
        <w:t> de 1993 en la contratación estatal, en varias de sus disposiciones, solo se cumple a condición de que existan en los pliegos de condiciones o términos de referencia reglas necesarias al fin del contrato</w:t>
      </w:r>
      <w:r w:rsidRPr="00FF3652">
        <w:rPr>
          <w:rFonts w:ascii="Verdana" w:hAnsi="Verdana"/>
          <w:color w:val="000000" w:themeColor="text1"/>
          <w:sz w:val="20"/>
          <w:szCs w:val="20"/>
          <w:lang w:val="es-MX"/>
        </w:rPr>
        <w:t xml:space="preserve"> [</w:t>
      </w:r>
      <w:r w:rsidRPr="00FF3652">
        <w:rPr>
          <w:rFonts w:ascii="Verdana" w:hAnsi="Verdana" w:cs="Arial"/>
          <w:color w:val="000000" w:themeColor="text1"/>
          <w:sz w:val="20"/>
          <w:szCs w:val="20"/>
          <w:lang w:val="es-MX"/>
        </w:rPr>
        <w:t>28]</w:t>
      </w:r>
      <w:r>
        <w:rPr>
          <w:rStyle w:val="Refdenotaalpie"/>
          <w:rFonts w:ascii="Verdana" w:hAnsi="Verdana" w:cs="Arial"/>
          <w:color w:val="000000" w:themeColor="text1"/>
          <w:sz w:val="20"/>
          <w:szCs w:val="20"/>
          <w:lang w:val="es-MX"/>
        </w:rPr>
        <w:footnoteReference w:id="7"/>
      </w:r>
      <w:r w:rsidRPr="00FF3652">
        <w:rPr>
          <w:rFonts w:ascii="Verdana" w:hAnsi="Verdana" w:cs="Arial"/>
          <w:color w:val="000000" w:themeColor="text1"/>
          <w:sz w:val="20"/>
          <w:szCs w:val="20"/>
          <w:lang w:val="es-MX"/>
        </w:rPr>
        <w:t>”.</w:t>
      </w:r>
    </w:p>
    <w:p w14:paraId="20EBB7FE" w14:textId="77777777" w:rsidR="002445EA" w:rsidRPr="00FF3652" w:rsidRDefault="002445EA" w:rsidP="002445EA">
      <w:pPr>
        <w:spacing w:after="0" w:line="276" w:lineRule="auto"/>
        <w:ind w:left="709"/>
        <w:contextualSpacing/>
        <w:jc w:val="both"/>
        <w:rPr>
          <w:rFonts w:ascii="Verdana" w:hAnsi="Verdana" w:cs="Arial"/>
          <w:color w:val="000000" w:themeColor="text1"/>
          <w:lang w:val="es-MX"/>
        </w:rPr>
      </w:pPr>
    </w:p>
    <w:p w14:paraId="0DFE4ABE" w14:textId="77777777" w:rsidR="002445EA" w:rsidRDefault="002445EA" w:rsidP="002445EA">
      <w:pPr>
        <w:spacing w:after="120" w:line="276" w:lineRule="auto"/>
        <w:ind w:firstLine="709"/>
        <w:jc w:val="both"/>
        <w:rPr>
          <w:rFonts w:ascii="Verdana" w:hAnsi="Verdana" w:cs="Arial"/>
          <w:color w:val="000000" w:themeColor="text1"/>
          <w:lang w:val="es-MX"/>
        </w:rPr>
      </w:pPr>
      <w:r w:rsidRPr="001A0649">
        <w:rPr>
          <w:rFonts w:ascii="Verdana" w:hAnsi="Verdana" w:cs="Arial"/>
          <w:color w:val="000000" w:themeColor="text1"/>
        </w:rPr>
        <w:t xml:space="preserve">En este contexto, no </w:t>
      </w:r>
      <w:r>
        <w:rPr>
          <w:rFonts w:ascii="Verdana" w:hAnsi="Verdana" w:cs="Arial"/>
          <w:color w:val="000000" w:themeColor="text1"/>
        </w:rPr>
        <w:t xml:space="preserve">se considera viable, ni atiende a criterios de objetividad, que </w:t>
      </w:r>
      <w:r w:rsidRPr="001A0649">
        <w:rPr>
          <w:rFonts w:ascii="Verdana" w:hAnsi="Verdana" w:cs="Arial"/>
          <w:color w:val="000000" w:themeColor="text1"/>
        </w:rPr>
        <w:t xml:space="preserve">las entidades estatales incorporen una metodología de comparación de ofertas basada en ajustes de precios </w:t>
      </w:r>
      <w:r>
        <w:rPr>
          <w:rFonts w:ascii="Verdana" w:hAnsi="Verdana" w:cs="Arial"/>
          <w:color w:val="000000" w:themeColor="text1"/>
        </w:rPr>
        <w:t xml:space="preserve">asociados con </w:t>
      </w:r>
      <w:r w:rsidRPr="001A0649">
        <w:rPr>
          <w:rFonts w:ascii="Verdana" w:hAnsi="Verdana" w:cs="Arial"/>
          <w:color w:val="000000" w:themeColor="text1"/>
        </w:rPr>
        <w:t>el régimen tributario aplicable a determinados proponentes</w:t>
      </w:r>
      <w:r>
        <w:rPr>
          <w:rFonts w:ascii="Verdana" w:hAnsi="Verdana" w:cs="Arial"/>
          <w:color w:val="000000" w:themeColor="text1"/>
        </w:rPr>
        <w:t>,</w:t>
      </w:r>
      <w:r w:rsidRPr="001A0649">
        <w:rPr>
          <w:rFonts w:ascii="Verdana" w:hAnsi="Verdana" w:cs="Arial"/>
          <w:color w:val="000000" w:themeColor="text1"/>
        </w:rPr>
        <w:t xml:space="preserve"> en la medida en que</w:t>
      </w:r>
      <w:r>
        <w:rPr>
          <w:rFonts w:ascii="Verdana" w:hAnsi="Verdana" w:cs="Arial"/>
          <w:color w:val="000000" w:themeColor="text1"/>
        </w:rPr>
        <w:t xml:space="preserve"> ello implicaría que </w:t>
      </w:r>
      <w:r w:rsidRPr="009E4AEC">
        <w:rPr>
          <w:rFonts w:ascii="Verdana" w:hAnsi="Verdana" w:cs="Arial"/>
          <w:color w:val="000000" w:themeColor="text1"/>
        </w:rPr>
        <w:t xml:space="preserve">la evaluación económica no </w:t>
      </w:r>
      <w:r>
        <w:rPr>
          <w:rFonts w:ascii="Verdana" w:hAnsi="Verdana" w:cs="Arial"/>
          <w:color w:val="000000" w:themeColor="text1"/>
        </w:rPr>
        <w:t xml:space="preserve">se realice </w:t>
      </w:r>
      <w:r w:rsidRPr="009E4AEC">
        <w:rPr>
          <w:rFonts w:ascii="Verdana" w:hAnsi="Verdana" w:cs="Arial"/>
          <w:color w:val="000000" w:themeColor="text1"/>
        </w:rPr>
        <w:t>sobre el precio real y efectivamente ofertado</w:t>
      </w:r>
      <w:r>
        <w:rPr>
          <w:rFonts w:ascii="Verdana" w:hAnsi="Verdana" w:cs="Arial"/>
          <w:color w:val="000000" w:themeColor="text1"/>
        </w:rPr>
        <w:t xml:space="preserve"> por cada proponente. Debe resaltarse, que</w:t>
      </w:r>
      <w:r w:rsidRPr="008C6D9B">
        <w:rPr>
          <w:rFonts w:ascii="Verdana" w:hAnsi="Verdana" w:cs="Arial"/>
          <w:bCs/>
          <w:szCs w:val="24"/>
          <w:lang w:val="es-ES" w:eastAsia="es-ES_tradnl"/>
        </w:rPr>
        <w:t xml:space="preserve"> </w:t>
      </w:r>
      <w:r w:rsidRPr="0068390B">
        <w:rPr>
          <w:rFonts w:ascii="Verdana" w:hAnsi="Verdana" w:cs="Arial"/>
          <w:bCs/>
          <w:szCs w:val="24"/>
          <w:lang w:val="es-ES" w:eastAsia="es-ES_tradnl"/>
        </w:rPr>
        <w:t>el precio es el total del valor que paga el comprador por un bien o servicio, y eso incluye los</w:t>
      </w:r>
      <w:r>
        <w:rPr>
          <w:rFonts w:ascii="Verdana" w:hAnsi="Verdana" w:cs="Arial"/>
          <w:bCs/>
          <w:szCs w:val="24"/>
          <w:lang w:val="es-ES" w:eastAsia="es-ES_tradnl"/>
        </w:rPr>
        <w:t xml:space="preserve"> tributos que apliquen</w:t>
      </w:r>
      <w:r w:rsidRPr="0068390B">
        <w:rPr>
          <w:rFonts w:ascii="Verdana" w:hAnsi="Verdana" w:cs="Arial"/>
          <w:bCs/>
          <w:szCs w:val="24"/>
          <w:lang w:val="es-ES" w:eastAsia="es-ES_tradnl"/>
        </w:rPr>
        <w:t xml:space="preserve">, por una sencilla razón, ningún comprador podrá hacerse a la propiedad de una cosa o beneficiarse de un servicio sino paga la totalidad de lo que incluye el precio. </w:t>
      </w:r>
      <w:r>
        <w:rPr>
          <w:rFonts w:ascii="Verdana" w:hAnsi="Verdana" w:cs="Arial"/>
          <w:bCs/>
          <w:szCs w:val="24"/>
          <w:lang w:val="es-ES" w:eastAsia="es-ES_tradnl"/>
        </w:rPr>
        <w:t xml:space="preserve">Por tanto, </w:t>
      </w:r>
      <w:r w:rsidRPr="007F7D8D">
        <w:rPr>
          <w:rFonts w:ascii="Verdana" w:hAnsi="Verdana" w:cs="Arial"/>
          <w:bCs/>
          <w:szCs w:val="24"/>
          <w:lang w:val="es-ES" w:eastAsia="es-ES_tradnl"/>
        </w:rPr>
        <w:t xml:space="preserve">cuando el precio ofertado </w:t>
      </w:r>
      <w:r>
        <w:rPr>
          <w:rFonts w:ascii="Verdana" w:hAnsi="Verdana" w:cs="Arial"/>
          <w:bCs/>
          <w:szCs w:val="24"/>
          <w:lang w:val="es-ES" w:eastAsia="es-ES_tradnl"/>
        </w:rPr>
        <w:t xml:space="preserve">no tiene IVA </w:t>
      </w:r>
      <w:r w:rsidRPr="007F7D8D">
        <w:rPr>
          <w:rFonts w:ascii="Verdana" w:hAnsi="Verdana" w:cs="Arial"/>
          <w:bCs/>
          <w:szCs w:val="24"/>
          <w:lang w:val="es-ES" w:eastAsia="es-ES_tradnl"/>
        </w:rPr>
        <w:t xml:space="preserve">por disposición expresa del legislador, la entidad estatal no puede excluir los efectos jurídicos y económicos de dicho beneficio tributario </w:t>
      </w:r>
      <w:r>
        <w:rPr>
          <w:rFonts w:ascii="Verdana" w:hAnsi="Verdana" w:cs="Arial"/>
          <w:bCs/>
          <w:szCs w:val="24"/>
          <w:lang w:val="es-ES" w:eastAsia="es-ES_tradnl"/>
        </w:rPr>
        <w:t>con fundamento en la</w:t>
      </w:r>
      <w:r w:rsidRPr="007F7D8D">
        <w:rPr>
          <w:rFonts w:ascii="Verdana" w:hAnsi="Verdana" w:cs="Arial"/>
          <w:bCs/>
          <w:szCs w:val="24"/>
          <w:lang w:val="es-ES" w:eastAsia="es-ES_tradnl"/>
        </w:rPr>
        <w:t xml:space="preserve"> facultad d</w:t>
      </w:r>
      <w:r>
        <w:rPr>
          <w:rFonts w:ascii="Verdana" w:hAnsi="Verdana" w:cs="Arial"/>
          <w:bCs/>
          <w:szCs w:val="24"/>
          <w:lang w:val="es-ES" w:eastAsia="es-ES_tradnl"/>
        </w:rPr>
        <w:t>iscrecional de</w:t>
      </w:r>
      <w:r w:rsidRPr="007F7D8D">
        <w:rPr>
          <w:rFonts w:ascii="Verdana" w:hAnsi="Verdana" w:cs="Arial"/>
          <w:bCs/>
          <w:szCs w:val="24"/>
          <w:lang w:val="es-ES" w:eastAsia="es-ES_tradnl"/>
        </w:rPr>
        <w:t xml:space="preserve"> configuración de los pliegos de condiciones</w:t>
      </w:r>
      <w:r>
        <w:rPr>
          <w:rFonts w:ascii="Verdana" w:hAnsi="Verdana" w:cs="Arial"/>
          <w:bCs/>
          <w:szCs w:val="24"/>
          <w:lang w:val="es-ES" w:eastAsia="es-ES_tradnl"/>
        </w:rPr>
        <w:t xml:space="preserve">, pues ello implicaría no solo desconocer </w:t>
      </w:r>
      <w:r w:rsidRPr="00A00BC3">
        <w:rPr>
          <w:rFonts w:ascii="Verdana" w:hAnsi="Verdana" w:cs="Arial"/>
          <w:bCs/>
          <w:szCs w:val="24"/>
          <w:lang w:val="es-ES" w:eastAsia="es-ES_tradnl"/>
        </w:rPr>
        <w:t>el régimen tributario especial reconocido por la ley a ciertos sujetos</w:t>
      </w:r>
      <w:r>
        <w:rPr>
          <w:rFonts w:ascii="Verdana" w:hAnsi="Verdana" w:cs="Arial"/>
          <w:bCs/>
          <w:szCs w:val="24"/>
          <w:lang w:val="es-ES" w:eastAsia="es-ES_tradnl"/>
        </w:rPr>
        <w:t>, sino que también vulnera la selección objetiva y la libre concurrencia del proceso de contratación.</w:t>
      </w:r>
      <w:r w:rsidRPr="00F4700A">
        <w:rPr>
          <w:rFonts w:ascii="Verdana" w:hAnsi="Verdana" w:cs="Arial"/>
          <w:color w:val="000000" w:themeColor="text1"/>
          <w:lang w:val="es-MX"/>
        </w:rPr>
        <w:t xml:space="preserve"> </w:t>
      </w:r>
    </w:p>
    <w:p w14:paraId="6F8608BA" w14:textId="77777777" w:rsidR="002445EA" w:rsidRDefault="002445EA" w:rsidP="002445EA">
      <w:pPr>
        <w:spacing w:after="120" w:line="276" w:lineRule="auto"/>
        <w:ind w:firstLine="709"/>
        <w:jc w:val="both"/>
        <w:rPr>
          <w:rFonts w:ascii="Verdana" w:hAnsi="Verdana" w:cs="Arial"/>
          <w:color w:val="000000" w:themeColor="text1"/>
          <w:lang w:val="es-MX"/>
        </w:rPr>
      </w:pPr>
      <w:r w:rsidRPr="000E0BC1">
        <w:rPr>
          <w:rFonts w:ascii="Verdana" w:hAnsi="Verdana" w:cs="Arial"/>
          <w:color w:val="000000" w:themeColor="text1"/>
        </w:rPr>
        <w:t>Lo anterior no significa que la entidad estatal carezca de herramientas para asegurar la comparabilidad de las ofertas económicas. Por el contrario, en ejercicio de su facultad de configuración de los documentos del proceso, la entidad debe definir con precisión qué comprende el precio ofertado —incluidos los impuestos, tasas, contribuciones, estampillas y demás gravámenes aplicables al contratista—, de manera que todos los proponentes coticen sobre la misma base y la evaluación recaiga sobre valores homogéneos. La comparabilidad se logra, entonces, mediante la definición clara del contenido del precio en los documentos del proceso, y no mediante ajustes que alteren el valor efectivamente ofertado por cada proponente</w:t>
      </w:r>
      <w:r>
        <w:rPr>
          <w:rFonts w:ascii="Verdana" w:hAnsi="Verdana" w:cs="Arial"/>
          <w:color w:val="000000" w:themeColor="text1"/>
          <w:lang w:val="es-MX"/>
        </w:rPr>
        <w:t xml:space="preserve">. </w:t>
      </w:r>
    </w:p>
    <w:p w14:paraId="0409C022" w14:textId="77777777" w:rsidR="002445EA" w:rsidRPr="00FA4501" w:rsidRDefault="002445EA" w:rsidP="002445EA">
      <w:pPr>
        <w:widowControl w:val="0"/>
        <w:autoSpaceDE w:val="0"/>
        <w:autoSpaceDN w:val="0"/>
        <w:spacing w:after="120" w:line="276" w:lineRule="auto"/>
        <w:ind w:firstLine="708"/>
        <w:jc w:val="both"/>
        <w:rPr>
          <w:rFonts w:ascii="Verdana" w:eastAsia="Calibri" w:hAnsi="Verdana" w:cs="Arial"/>
        </w:rPr>
      </w:pPr>
      <w:r w:rsidRPr="00FA4501">
        <w:rPr>
          <w:rFonts w:ascii="Verdana" w:eastAsia="Calibri" w:hAnsi="Verdana" w:cs="Arial"/>
        </w:rPr>
        <w:t xml:space="preserve">Sin perjuicio de lo anterior, las afirmaciones aquí realizadas no pueden interpretarse como juicios de valor sobre circunstancias concretas relacionadas con los hechos que motivan la consulta. Por lo anterior, previo concepto de sus </w:t>
      </w:r>
      <w:r w:rsidRPr="00FA4501">
        <w:rPr>
          <w:rFonts w:ascii="Verdana" w:eastAsia="Calibri" w:hAnsi="Verdana" w:cs="Arial"/>
        </w:rPr>
        <w:lastRenderedPageBreak/>
        <w:t>asesores, la solución de situaciones particulares corresponde a los interesados adoptar la decisión correspondiente y, en caso de conflicto, a las autoridades judiciales, fiscales y disciplinarias.</w:t>
      </w:r>
    </w:p>
    <w:p w14:paraId="051C95DF" w14:textId="77777777" w:rsidR="002445EA" w:rsidRPr="001A44DB" w:rsidRDefault="002445EA" w:rsidP="002445EA">
      <w:pPr>
        <w:widowControl w:val="0"/>
        <w:autoSpaceDE w:val="0"/>
        <w:autoSpaceDN w:val="0"/>
        <w:spacing w:after="0" w:line="276" w:lineRule="auto"/>
        <w:ind w:firstLine="709"/>
        <w:jc w:val="both"/>
        <w:rPr>
          <w:rFonts w:ascii="Verdana" w:eastAsia="Times New Roman" w:hAnsi="Verdana" w:cs="Arial"/>
          <w:iCs/>
          <w:lang w:eastAsia="es-ES_tradnl"/>
        </w:rPr>
      </w:pPr>
      <w:r w:rsidRPr="00FA4501">
        <w:rPr>
          <w:rFonts w:ascii="Verdana" w:eastAsia="Calibri" w:hAnsi="Verdana" w:cs="Ari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4AE445C" w14:textId="77777777" w:rsidR="002445EA" w:rsidRPr="006D0E8A" w:rsidRDefault="002445EA" w:rsidP="002445EA">
      <w:pPr>
        <w:spacing w:after="0" w:line="276" w:lineRule="auto"/>
        <w:jc w:val="both"/>
        <w:rPr>
          <w:rFonts w:ascii="Verdana" w:hAnsi="Verdana"/>
        </w:rPr>
      </w:pPr>
    </w:p>
    <w:p w14:paraId="1C8147AE" w14:textId="77777777" w:rsidR="002445EA" w:rsidRPr="006D0E8A" w:rsidRDefault="002445EA" w:rsidP="002445EA">
      <w:pPr>
        <w:numPr>
          <w:ilvl w:val="0"/>
          <w:numId w:val="18"/>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Referencias normativas</w:t>
      </w:r>
      <w:r>
        <w:rPr>
          <w:rFonts w:ascii="Verdana" w:eastAsia="Century Gothic" w:hAnsi="Verdana" w:cs="Century Gothic"/>
          <w:b/>
          <w:bCs/>
          <w:lang w:val="es-ES"/>
        </w:rPr>
        <w:t xml:space="preserve"> </w:t>
      </w:r>
    </w:p>
    <w:p w14:paraId="26A791EA" w14:textId="77777777" w:rsidR="002445EA" w:rsidRPr="006D0E8A" w:rsidRDefault="002445EA" w:rsidP="002445E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45EA" w:rsidRPr="006D0E8A" w14:paraId="3CA2957E" w14:textId="77777777" w:rsidTr="00D8597D">
        <w:trPr>
          <w:trHeight w:val="870"/>
          <w:jc w:val="center"/>
        </w:trPr>
        <w:tc>
          <w:tcPr>
            <w:tcW w:w="8647" w:type="dxa"/>
          </w:tcPr>
          <w:p w14:paraId="05957E3A" w14:textId="77777777" w:rsidR="002445EA" w:rsidRPr="003E737F" w:rsidRDefault="002445EA" w:rsidP="002445EA">
            <w:pPr>
              <w:widowControl w:val="0"/>
              <w:numPr>
                <w:ilvl w:val="0"/>
                <w:numId w:val="20"/>
              </w:numPr>
              <w:autoSpaceDE w:val="0"/>
              <w:autoSpaceDN w:val="0"/>
              <w:spacing w:line="276" w:lineRule="auto"/>
              <w:contextualSpacing/>
              <w:jc w:val="both"/>
              <w:rPr>
                <w:rFonts w:ascii="Verdana" w:eastAsia="Calibri" w:hAnsi="Verdana" w:cs="Arial"/>
              </w:rPr>
            </w:pPr>
            <w:r w:rsidRPr="003E737F">
              <w:rPr>
                <w:rFonts w:ascii="Verdana" w:eastAsia="Calibri" w:hAnsi="Verdana" w:cs="Arial"/>
              </w:rPr>
              <w:t>Constitución Política de 1991, artículos 13 y 209</w:t>
            </w:r>
          </w:p>
          <w:p w14:paraId="53181DBC" w14:textId="77777777" w:rsidR="002445EA" w:rsidRPr="003E737F" w:rsidRDefault="002445EA" w:rsidP="002445EA">
            <w:pPr>
              <w:widowControl w:val="0"/>
              <w:numPr>
                <w:ilvl w:val="0"/>
                <w:numId w:val="20"/>
              </w:numPr>
              <w:autoSpaceDE w:val="0"/>
              <w:autoSpaceDN w:val="0"/>
              <w:spacing w:line="276" w:lineRule="auto"/>
              <w:contextualSpacing/>
              <w:jc w:val="both"/>
              <w:rPr>
                <w:rFonts w:ascii="Verdana" w:eastAsia="Calibri" w:hAnsi="Verdana" w:cs="Arial"/>
              </w:rPr>
            </w:pPr>
            <w:r w:rsidRPr="003E737F">
              <w:rPr>
                <w:rFonts w:ascii="Verdana" w:eastAsia="Calibri" w:hAnsi="Verdana" w:cs="Arial"/>
              </w:rPr>
              <w:t>Ley 80 de 1993, artículos</w:t>
            </w:r>
            <w:r>
              <w:rPr>
                <w:rFonts w:ascii="Verdana" w:eastAsia="Calibri" w:hAnsi="Verdana" w:cs="Arial"/>
              </w:rPr>
              <w:t xml:space="preserve"> 6, 7,</w:t>
            </w:r>
            <w:r w:rsidRPr="003E737F">
              <w:rPr>
                <w:rFonts w:ascii="Verdana" w:eastAsia="Calibri" w:hAnsi="Verdana" w:cs="Arial"/>
              </w:rPr>
              <w:t xml:space="preserve"> 24, 25</w:t>
            </w:r>
            <w:r>
              <w:rPr>
                <w:rFonts w:ascii="Verdana" w:eastAsia="Calibri" w:hAnsi="Verdana" w:cs="Arial"/>
              </w:rPr>
              <w:t xml:space="preserve"> y </w:t>
            </w:r>
            <w:r w:rsidRPr="003E737F">
              <w:rPr>
                <w:rFonts w:ascii="Verdana" w:eastAsia="Calibri" w:hAnsi="Verdana" w:cs="Arial"/>
              </w:rPr>
              <w:t>26</w:t>
            </w:r>
          </w:p>
          <w:p w14:paraId="5F3984A5" w14:textId="77777777" w:rsidR="002445EA" w:rsidRPr="008D2BE7" w:rsidRDefault="002445EA" w:rsidP="002445EA">
            <w:pPr>
              <w:widowControl w:val="0"/>
              <w:numPr>
                <w:ilvl w:val="0"/>
                <w:numId w:val="20"/>
              </w:numPr>
              <w:autoSpaceDE w:val="0"/>
              <w:autoSpaceDN w:val="0"/>
              <w:spacing w:line="276" w:lineRule="auto"/>
              <w:contextualSpacing/>
              <w:jc w:val="both"/>
              <w:rPr>
                <w:rFonts w:ascii="Verdana" w:eastAsia="Calibri" w:hAnsi="Verdana" w:cs="Arial"/>
              </w:rPr>
            </w:pPr>
            <w:r w:rsidRPr="003E737F">
              <w:rPr>
                <w:rFonts w:ascii="Verdana" w:eastAsia="Calibri" w:hAnsi="Verdana" w:cs="Arial"/>
              </w:rPr>
              <w:t xml:space="preserve">Ley 1150 de 2007, artículo </w:t>
            </w:r>
            <w:r>
              <w:rPr>
                <w:rFonts w:ascii="Verdana" w:eastAsia="Calibri" w:hAnsi="Verdana" w:cs="Arial"/>
              </w:rPr>
              <w:t>5</w:t>
            </w:r>
          </w:p>
        </w:tc>
      </w:tr>
    </w:tbl>
    <w:p w14:paraId="444DDDA9" w14:textId="77777777" w:rsidR="002445EA" w:rsidRPr="006D0E8A" w:rsidRDefault="002445EA" w:rsidP="002445EA">
      <w:pPr>
        <w:widowControl w:val="0"/>
        <w:autoSpaceDE w:val="0"/>
        <w:autoSpaceDN w:val="0"/>
        <w:spacing w:after="0" w:line="276" w:lineRule="auto"/>
        <w:jc w:val="both"/>
        <w:rPr>
          <w:rFonts w:ascii="Verdana" w:hAnsi="Verdana" w:cs="Arial"/>
        </w:rPr>
      </w:pPr>
    </w:p>
    <w:p w14:paraId="7A3D82E5" w14:textId="77777777" w:rsidR="002445EA" w:rsidRPr="006D0E8A" w:rsidRDefault="002445EA" w:rsidP="002445EA">
      <w:pPr>
        <w:numPr>
          <w:ilvl w:val="0"/>
          <w:numId w:val="18"/>
        </w:numPr>
        <w:tabs>
          <w:tab w:val="left" w:pos="142"/>
          <w:tab w:val="left" w:pos="284"/>
        </w:tabs>
        <w:spacing w:after="0" w:line="276" w:lineRule="auto"/>
        <w:ind w:left="0" w:firstLine="0"/>
        <w:jc w:val="both"/>
        <w:rPr>
          <w:rFonts w:ascii="Verdana" w:eastAsia="Century Gothic" w:hAnsi="Verdana" w:cs="Century Gothic"/>
          <w:b/>
          <w:bCs/>
          <w:lang w:val="es-ES"/>
        </w:rPr>
      </w:pPr>
      <w:r w:rsidRPr="006D0E8A">
        <w:rPr>
          <w:rFonts w:ascii="Verdana" w:eastAsia="Century Gothic" w:hAnsi="Verdana" w:cs="Century Gothic"/>
          <w:b/>
          <w:bCs/>
          <w:lang w:val="es-ES"/>
        </w:rPr>
        <w:t>Doctrina de la Agencia Nacional de Contratación Pública:</w:t>
      </w:r>
    </w:p>
    <w:p w14:paraId="24D3779D" w14:textId="77777777" w:rsidR="002445EA" w:rsidRPr="006D0E8A" w:rsidRDefault="002445EA" w:rsidP="002445EA">
      <w:pPr>
        <w:widowControl w:val="0"/>
        <w:autoSpaceDE w:val="0"/>
        <w:autoSpaceDN w:val="0"/>
        <w:spacing w:after="0" w:line="276" w:lineRule="auto"/>
        <w:jc w:val="both"/>
        <w:rPr>
          <w:rFonts w:ascii="Verdana" w:hAnsi="Verdana" w:cs="Arial"/>
        </w:rPr>
      </w:pPr>
    </w:p>
    <w:p w14:paraId="5FA09594" w14:textId="77777777" w:rsidR="002445EA" w:rsidRPr="008E63C5" w:rsidRDefault="002445EA" w:rsidP="002445EA">
      <w:pPr>
        <w:spacing w:after="0" w:line="276" w:lineRule="auto"/>
        <w:jc w:val="both"/>
        <w:rPr>
          <w:rFonts w:ascii="Verdana" w:hAnsi="Verdana" w:cs="Arial"/>
          <w:shd w:val="clear" w:color="auto" w:fill="FFFFFF"/>
          <w:lang w:val="es-ES"/>
        </w:rPr>
      </w:pPr>
      <w:r w:rsidRPr="00F4700A">
        <w:rPr>
          <w:rFonts w:ascii="Verdana" w:eastAsia="Calibri" w:hAnsi="Verdana" w:cs="Arial"/>
          <w:lang w:val="es-ES"/>
        </w:rPr>
        <w:t>La Agencia Nacional de Contratación Pública – Colombia Compra Eficiente</w:t>
      </w:r>
      <w:r w:rsidRPr="00F4700A">
        <w:rPr>
          <w:rStyle w:val="normaltextrun"/>
          <w:rFonts w:ascii="Verdana" w:hAnsi="Verdana" w:cs="Arial"/>
          <w:shd w:val="clear" w:color="auto" w:fill="FFFFFF"/>
          <w:lang w:val="es-ES"/>
        </w:rPr>
        <w:t xml:space="preserve"> unificó</w:t>
      </w:r>
      <w:r>
        <w:rPr>
          <w:rStyle w:val="normaltextrun"/>
          <w:rFonts w:ascii="Verdana" w:hAnsi="Verdana" w:cs="Arial"/>
          <w:shd w:val="clear" w:color="auto" w:fill="FFFFFF"/>
          <w:lang w:val="es-ES"/>
        </w:rPr>
        <w:t xml:space="preserve"> su postura frente a la inclusión del IVA en el precio de los contratos estatales y en la evaluación de las ofertas económicas en el Concepto CU-182 del 31 de marzo de 2020. Esta tesis se ha retomado en los Conceptos C-204 del 31 de marzo de 2020, C-439 del 27 de septiembre de 2020, C-469 del 27 de septiembre de 2020, C-480 del 16 de septiembre de 2020, C-772 del 13 de enero de 2021, C-059 del 10 de marzo de 2021, C-432 del 27 de septiembre de 2021, C-469 del 6 de septiembre de 2021, C-572 del 12 de octubre de 2021, C-678 del 18 de enero de 2022, C-440 del 14 de julio de 2022, C-606 del 10 de junio de 2025, C-125 del 16 de febrero de 2026, C-1045 del 18 de julio de 2026, entre otros</w:t>
      </w:r>
      <w:r w:rsidRPr="006D0E8A">
        <w:rPr>
          <w:rFonts w:ascii="Verdana" w:hAnsi="Verdana" w:cs="Arial"/>
          <w:shd w:val="clear" w:color="auto" w:fill="FFFFFF"/>
        </w:rPr>
        <w:t xml:space="preserve">. Estos </w:t>
      </w:r>
      <w:r>
        <w:rPr>
          <w:rFonts w:ascii="Verdana" w:hAnsi="Verdana" w:cs="Arial"/>
          <w:shd w:val="clear" w:color="auto" w:fill="FFFFFF"/>
        </w:rPr>
        <w:t xml:space="preserve">conceptos </w:t>
      </w:r>
      <w:r w:rsidRPr="006D0E8A">
        <w:rPr>
          <w:rFonts w:ascii="Verdana" w:hAnsi="Verdana" w:cs="Arial"/>
          <w:shd w:val="clear" w:color="auto" w:fill="FFFFFF"/>
        </w:rPr>
        <w:t xml:space="preserve">se encuentran disponibles para consulta en el Sistema de relatoría de la Agencia, al cual puede accederse a través del siguiente enlace: </w:t>
      </w:r>
      <w:hyperlink r:id="rId14" w:history="1">
        <w:r w:rsidRPr="006D0E8A">
          <w:rPr>
            <w:rFonts w:ascii="Verdana" w:hAnsi="Verdana" w:cs="Arial"/>
            <w:color w:val="0000FF"/>
            <w:u w:val="single"/>
            <w:shd w:val="clear" w:color="auto" w:fill="FFFFFF"/>
          </w:rPr>
          <w:t>https://relatoria.colombiacompra.gov.co/busqueda/conceptos</w:t>
        </w:r>
      </w:hyperlink>
      <w:r w:rsidRPr="006D0E8A">
        <w:rPr>
          <w:rFonts w:ascii="Verdana" w:hAnsi="Verdana" w:cs="Arial"/>
          <w:shd w:val="clear" w:color="auto" w:fill="FFFFFF"/>
        </w:rPr>
        <w:t xml:space="preserve">. </w:t>
      </w:r>
      <w:r w:rsidRPr="006D0E8A">
        <w:rPr>
          <w:rFonts w:ascii="Verdana" w:hAnsi="Verdana" w:cs="Arial"/>
          <w:color w:val="FF0000"/>
          <w:shd w:val="clear" w:color="auto" w:fill="FFFFFF"/>
          <w:lang w:val="es-ES"/>
        </w:rPr>
        <w:t xml:space="preserve"> </w:t>
      </w:r>
    </w:p>
    <w:p w14:paraId="2E973CE9" w14:textId="77777777" w:rsidR="002445EA" w:rsidRPr="006D0E8A" w:rsidRDefault="002445EA" w:rsidP="002445EA">
      <w:pPr>
        <w:widowControl w:val="0"/>
        <w:autoSpaceDE w:val="0"/>
        <w:autoSpaceDN w:val="0"/>
        <w:spacing w:after="0" w:line="276" w:lineRule="auto"/>
        <w:jc w:val="both"/>
        <w:rPr>
          <w:rFonts w:ascii="Verdana" w:hAnsi="Verdana" w:cs="Arial"/>
          <w:color w:val="000000" w:themeColor="text1"/>
          <w:shd w:val="clear" w:color="auto" w:fill="FFFFFF"/>
        </w:rPr>
      </w:pPr>
    </w:p>
    <w:p w14:paraId="7B0890EE" w14:textId="77777777" w:rsidR="002445EA" w:rsidRPr="00FA4501" w:rsidRDefault="002445EA" w:rsidP="002445EA">
      <w:pPr>
        <w:widowControl w:val="0"/>
        <w:autoSpaceDE w:val="0"/>
        <w:autoSpaceDN w:val="0"/>
        <w:spacing w:after="120" w:line="276" w:lineRule="auto"/>
        <w:jc w:val="both"/>
        <w:rPr>
          <w:rFonts w:ascii="Verdana" w:hAnsi="Verdana" w:cs="Arial"/>
          <w:color w:val="000000" w:themeColor="text1"/>
          <w:shd w:val="clear" w:color="auto" w:fill="FFFFFF"/>
        </w:rPr>
      </w:pPr>
      <w:r w:rsidRPr="00FA4501">
        <w:rPr>
          <w:rFonts w:ascii="Verdana" w:eastAsia="Times New Roman" w:hAnsi="Verdana" w:cs="Times New Roman"/>
          <w:color w:val="000000"/>
          <w:lang w:eastAsia="es-CO"/>
        </w:rPr>
        <w:t xml:space="preserve">Las garantías no son un requisito formal: son el instrumento con el que se </w:t>
      </w:r>
      <w:r w:rsidRPr="00FA4501">
        <w:rPr>
          <w:rFonts w:ascii="Verdana" w:eastAsia="Times New Roman" w:hAnsi="Verdana" w:cs="Times New Roman"/>
          <w:color w:val="000000"/>
          <w:lang w:eastAsia="es-CO"/>
        </w:rPr>
        <w:lastRenderedPageBreak/>
        <w:t>protege el patrimonio público frente a los riesgos del contrato. Por ello, la Agencia Nacional de Contratación Pública –Colombia Compra Eficiente– te invita a consultar la nueva versión de la </w:t>
      </w:r>
      <w:r w:rsidRPr="00FA4501">
        <w:rPr>
          <w:rFonts w:ascii="Verdana" w:eastAsia="Times New Roman" w:hAnsi="Verdana" w:cs="Times New Roman"/>
          <w:b/>
          <w:bCs/>
          <w:color w:val="000000"/>
          <w:lang w:eastAsia="es-CO"/>
        </w:rPr>
        <w:t>Guía para la Exigencia y Constitución de Garantías en los Procesos de Contratación</w:t>
      </w:r>
      <w:r w:rsidRPr="00FA4501">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tgtFrame="_blank" w:tooltip="Dirección URL original: https://www.colombiacompra.gov.co/archivos/manual/guia-de-garantias-en-procesos-de-contratacion. Haga clic o pulse si confía en este vínculo." w:history="1">
        <w:r w:rsidRPr="00FA4501">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12ACF5F2" w14:textId="77777777" w:rsidR="002445EA" w:rsidRPr="00FA4501" w:rsidRDefault="002445EA" w:rsidP="002445EA">
      <w:pPr>
        <w:shd w:val="clear" w:color="auto" w:fill="FFFFFF"/>
        <w:spacing w:after="120" w:line="276" w:lineRule="auto"/>
        <w:jc w:val="both"/>
        <w:textAlignment w:val="baseline"/>
        <w:rPr>
          <w:rFonts w:ascii="Verdana" w:eastAsia="Times New Roman" w:hAnsi="Verdana" w:cs="Times New Roman"/>
          <w:color w:val="000000"/>
          <w:lang w:eastAsia="es-CO"/>
        </w:rPr>
      </w:pPr>
      <w:r w:rsidRPr="00FA4501">
        <w:rPr>
          <w:rFonts w:ascii="Verdana" w:eastAsia="Times New Roman" w:hAnsi="Verdana" w:cs="Times New Roman"/>
          <w:color w:val="000000"/>
          <w:lang w:eastAsia="es-CO"/>
        </w:rPr>
        <w:t>De otro lado, te contamos que el Decreto 287 del 19 de marzo de 2026 sustituyó los artículos 2.2.1.2.4.2.6., 2.2.1.2.4.2.7. y 2.2.1.2.4.2.8. del Decreto 1082 de 2015 y estructuró el </w:t>
      </w:r>
      <w:r w:rsidRPr="00FA4501">
        <w:rPr>
          <w:rFonts w:ascii="Verdana" w:eastAsia="Times New Roman" w:hAnsi="Verdana" w:cs="Times New Roman"/>
          <w:b/>
          <w:bCs/>
          <w:color w:val="000000"/>
          <w:lang w:eastAsia="es-CO"/>
        </w:rPr>
        <w:t>Sistema Integral de Preferencias en favor de las personas con discapacidad</w:t>
      </w:r>
      <w:r w:rsidRPr="00FA4501">
        <w:rPr>
          <w:rFonts w:ascii="Verdana" w:eastAsia="Times New Roman" w:hAnsi="Verdana" w:cs="Times New Roman"/>
          <w:color w:val="000000"/>
          <w:lang w:eastAsia="es-CO"/>
        </w:rPr>
        <w:t>, en cumplimiento del artículo 13 de la Ley Estatutaria 1618 de 2013. Para orientar su aplicación, esta Agencia expidió la </w:t>
      </w:r>
      <w:r w:rsidRPr="00FA4501">
        <w:rPr>
          <w:rFonts w:ascii="Verdana" w:eastAsia="Times New Roman" w:hAnsi="Verdana" w:cs="Times New Roman"/>
          <w:b/>
          <w:bCs/>
          <w:color w:val="000000"/>
          <w:lang w:eastAsia="es-CO"/>
        </w:rPr>
        <w:t>Circular Externa 003 del 12 de mayo de 2026, </w:t>
      </w:r>
      <w:r w:rsidRPr="00FA4501">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FA4501">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10640595" w14:textId="77777777" w:rsidR="002445EA" w:rsidRPr="00FA4501" w:rsidRDefault="002445EA" w:rsidP="002445EA">
      <w:pPr>
        <w:shd w:val="clear" w:color="auto" w:fill="FFFFFF"/>
        <w:spacing w:after="120" w:line="276" w:lineRule="auto"/>
        <w:jc w:val="both"/>
        <w:textAlignment w:val="baseline"/>
        <w:rPr>
          <w:rFonts w:ascii="Verdana" w:eastAsia="Times New Roman" w:hAnsi="Verdana" w:cs="Times New Roman"/>
          <w:color w:val="000000"/>
          <w:lang w:eastAsia="es-CO"/>
        </w:rPr>
      </w:pPr>
      <w:r w:rsidRPr="00FA4501">
        <w:rPr>
          <w:rFonts w:ascii="Verdana" w:eastAsia="Times New Roman" w:hAnsi="Verdana" w:cs="Times New Roman"/>
          <w:color w:val="000000"/>
          <w:lang w:eastAsia="es-CO"/>
        </w:rPr>
        <w:t>Recuerda también que la</w:t>
      </w:r>
      <w:r w:rsidRPr="00FA4501">
        <w:rPr>
          <w:rFonts w:ascii="Verdana" w:eastAsia="Times New Roman" w:hAnsi="Verdana" w:cs="Times New Roman"/>
          <w:b/>
          <w:bCs/>
          <w:color w:val="000000"/>
          <w:lang w:eastAsia="es-CO"/>
        </w:rPr>
        <w:t> información sobre sanciones e inhabilidades </w:t>
      </w:r>
      <w:r w:rsidRPr="00FA4501">
        <w:rPr>
          <w:rFonts w:ascii="Verdana" w:eastAsia="Times New Roman" w:hAnsi="Verdana" w:cs="Times New Roman"/>
          <w:color w:val="000000"/>
          <w:lang w:eastAsia="es-CO"/>
        </w:rPr>
        <w:t>solo cumple su función preventiva si llega oportunamente a los registros públicos. Sobre este deber, esta Agencia expidió la </w:t>
      </w:r>
      <w:r w:rsidRPr="00FA4501">
        <w:rPr>
          <w:rFonts w:ascii="Verdana" w:eastAsia="Times New Roman" w:hAnsi="Verdana" w:cs="Times New Roman"/>
          <w:b/>
          <w:bCs/>
          <w:color w:val="000000"/>
          <w:lang w:eastAsia="es-CO"/>
        </w:rPr>
        <w:t>Circular Externa 002 del 5 de mayo de 2026,</w:t>
      </w:r>
      <w:r w:rsidRPr="00FA4501">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FA4501">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6836CF3D" w14:textId="77777777" w:rsidR="002445EA" w:rsidRPr="00FA4501" w:rsidRDefault="002445EA" w:rsidP="002445EA">
      <w:pPr>
        <w:shd w:val="clear" w:color="auto" w:fill="FFFFFF"/>
        <w:spacing w:after="120" w:line="276" w:lineRule="auto"/>
        <w:jc w:val="both"/>
        <w:textAlignment w:val="baseline"/>
        <w:rPr>
          <w:rFonts w:ascii="Verdana" w:eastAsia="Times New Roman" w:hAnsi="Verdana" w:cs="Times New Roman"/>
          <w:color w:val="000000"/>
          <w:lang w:eastAsia="es-CO"/>
        </w:rPr>
      </w:pPr>
      <w:r w:rsidRPr="00FA4501">
        <w:rPr>
          <w:rFonts w:ascii="Verdana" w:eastAsia="Times New Roman" w:hAnsi="Verdana" w:cs="Times New Roman"/>
          <w:color w:val="000000"/>
          <w:lang w:eastAsia="es-CO"/>
        </w:rPr>
        <w:t>Finalmente, si quieres seguir de cerca la actividad de la Agencia, la tercera edición de 2026 del</w:t>
      </w:r>
      <w:r w:rsidRPr="00FA4501">
        <w:rPr>
          <w:rFonts w:ascii="Verdana" w:eastAsia="Times New Roman" w:hAnsi="Verdana" w:cs="Times New Roman"/>
          <w:b/>
          <w:bCs/>
          <w:color w:val="000000"/>
          <w:lang w:eastAsia="es-CO"/>
        </w:rPr>
        <w:t> Radar de la Compra Pública</w:t>
      </w:r>
      <w:r w:rsidRPr="00FA4501">
        <w:rPr>
          <w:rFonts w:ascii="Verdana" w:eastAsia="Times New Roman" w:hAnsi="Verdana" w:cs="Times New Roman"/>
          <w:color w:val="000000"/>
          <w:lang w:eastAsia="es-CO"/>
        </w:rPr>
        <w:t xml:space="preserve"> reúne, entre otros contenidos, la Circular Externa 003 de 2026, el Decreto 552 de 2026, un estudio </w:t>
      </w:r>
      <w:r w:rsidRPr="00FA4501">
        <w:rPr>
          <w:rFonts w:ascii="Verdana" w:eastAsia="Times New Roman" w:hAnsi="Verdana" w:cs="Times New Roman"/>
          <w:color w:val="000000"/>
          <w:lang w:eastAsia="es-CO"/>
        </w:rPr>
        <w:lastRenderedPageBreak/>
        <w:t>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FA4501">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A4501">
        <w:rPr>
          <w:rFonts w:ascii="Verdana" w:eastAsia="Times New Roman" w:hAnsi="Verdana" w:cs="Times New Roman"/>
          <w:color w:val="000000"/>
          <w:lang w:eastAsia="es-CO"/>
        </w:rPr>
        <w:t>"</w:t>
      </w:r>
    </w:p>
    <w:p w14:paraId="19B93426" w14:textId="77777777" w:rsidR="002445EA" w:rsidRPr="00FA4501" w:rsidRDefault="002445EA" w:rsidP="002445EA">
      <w:pPr>
        <w:spacing w:after="0" w:line="276" w:lineRule="auto"/>
        <w:jc w:val="both"/>
        <w:rPr>
          <w:rFonts w:ascii="Verdana" w:hAnsi="Verdana"/>
          <w:lang w:val="es-ES"/>
        </w:rPr>
      </w:pPr>
      <w:r w:rsidRPr="00FA4501">
        <w:rPr>
          <w:rFonts w:ascii="Verdana" w:hAnsi="Verdana"/>
          <w:lang w:val="es-ES"/>
        </w:rPr>
        <w:t xml:space="preserve">Por último, lo invitamos a seguirnos en las redes sociales en las cuales se difunde información institucional: </w:t>
      </w:r>
    </w:p>
    <w:p w14:paraId="7112593D" w14:textId="77777777" w:rsidR="002445EA" w:rsidRPr="00FA4501" w:rsidRDefault="002445EA" w:rsidP="002445EA">
      <w:pPr>
        <w:spacing w:after="0" w:line="276" w:lineRule="auto"/>
        <w:jc w:val="both"/>
        <w:rPr>
          <w:rFonts w:ascii="Verdana" w:hAnsi="Verdana"/>
          <w:lang w:val="es-ES"/>
        </w:rPr>
      </w:pPr>
    </w:p>
    <w:p w14:paraId="67F66548" w14:textId="77777777" w:rsidR="002445EA" w:rsidRPr="00FA4501" w:rsidRDefault="002445EA" w:rsidP="002445EA">
      <w:pPr>
        <w:spacing w:after="0" w:line="276" w:lineRule="auto"/>
        <w:jc w:val="both"/>
        <w:rPr>
          <w:rFonts w:ascii="Verdana" w:hAnsi="Verdana"/>
          <w:lang w:val="es-ES"/>
        </w:rPr>
      </w:pPr>
      <w:r w:rsidRPr="00FA4501">
        <w:rPr>
          <w:rFonts w:ascii="Verdana" w:hAnsi="Verdana"/>
          <w:lang w:val="es-ES"/>
        </w:rPr>
        <w:t xml:space="preserve">Twitter: </w:t>
      </w:r>
      <w:r w:rsidRPr="00FA4501">
        <w:rPr>
          <w:rFonts w:ascii="Verdana" w:hAnsi="Verdana" w:cs="Arial"/>
          <w:color w:val="0000FF"/>
          <w:u w:val="single"/>
          <w:shd w:val="clear" w:color="auto" w:fill="FFFFFF"/>
          <w:lang w:val="es-ES"/>
        </w:rPr>
        <w:t>@colombiacompra</w:t>
      </w:r>
      <w:r w:rsidRPr="00FA4501">
        <w:rPr>
          <w:rFonts w:ascii="Verdana" w:hAnsi="Verdana"/>
          <w:color w:val="4472C4" w:themeColor="accent1"/>
          <w:lang w:val="es-ES"/>
        </w:rPr>
        <w:t xml:space="preserve"> </w:t>
      </w:r>
    </w:p>
    <w:p w14:paraId="72985930" w14:textId="77777777" w:rsidR="002445EA" w:rsidRPr="00FA4501" w:rsidRDefault="002445EA" w:rsidP="002445EA">
      <w:pPr>
        <w:spacing w:after="0" w:line="276" w:lineRule="auto"/>
        <w:jc w:val="both"/>
        <w:rPr>
          <w:rFonts w:ascii="Verdana" w:hAnsi="Verdana"/>
          <w:lang w:val="es-ES"/>
        </w:rPr>
      </w:pPr>
      <w:r w:rsidRPr="00FA4501">
        <w:rPr>
          <w:rFonts w:ascii="Verdana" w:hAnsi="Verdana"/>
          <w:lang w:val="es-ES"/>
        </w:rPr>
        <w:t xml:space="preserve">Facebook: </w:t>
      </w:r>
      <w:proofErr w:type="spellStart"/>
      <w:r w:rsidRPr="00FA4501">
        <w:rPr>
          <w:rFonts w:ascii="Verdana" w:hAnsi="Verdana" w:cs="Arial"/>
          <w:color w:val="0000FF"/>
          <w:u w:val="single"/>
          <w:shd w:val="clear" w:color="auto" w:fill="FFFFFF"/>
          <w:lang w:val="es-ES"/>
        </w:rPr>
        <w:t>ColombiaCompraEficiente</w:t>
      </w:r>
      <w:proofErr w:type="spellEnd"/>
    </w:p>
    <w:p w14:paraId="59A28511" w14:textId="77777777" w:rsidR="002445EA" w:rsidRPr="00FA4501" w:rsidRDefault="002445EA" w:rsidP="002445EA">
      <w:pPr>
        <w:spacing w:after="0" w:line="276" w:lineRule="auto"/>
        <w:jc w:val="both"/>
        <w:rPr>
          <w:rFonts w:ascii="Verdana" w:hAnsi="Verdana"/>
          <w:lang w:val="es-ES"/>
        </w:rPr>
      </w:pPr>
      <w:r w:rsidRPr="00FA4501">
        <w:rPr>
          <w:rFonts w:ascii="Verdana" w:hAnsi="Verdana"/>
          <w:lang w:val="es-ES"/>
        </w:rPr>
        <w:t xml:space="preserve">LinkedIn: </w:t>
      </w:r>
      <w:r w:rsidRPr="00FA4501">
        <w:rPr>
          <w:rFonts w:ascii="Verdana" w:hAnsi="Verdana" w:cs="Arial"/>
          <w:color w:val="0000FF"/>
          <w:u w:val="single"/>
          <w:shd w:val="clear" w:color="auto" w:fill="FFFFFF"/>
          <w:lang w:val="es-ES"/>
        </w:rPr>
        <w:t xml:space="preserve">Agencia Nacional de Contratación Pública - Colombia Compra Eficiente </w:t>
      </w:r>
      <w:r w:rsidRPr="00FA4501">
        <w:rPr>
          <w:rFonts w:ascii="Verdana" w:hAnsi="Verdana"/>
          <w:lang w:val="es-ES"/>
        </w:rPr>
        <w:t xml:space="preserve">Instagram: </w:t>
      </w:r>
      <w:r w:rsidRPr="00FA4501">
        <w:rPr>
          <w:rFonts w:ascii="Verdana" w:hAnsi="Verdana" w:cs="Arial"/>
          <w:color w:val="0000FF"/>
          <w:u w:val="single"/>
          <w:shd w:val="clear" w:color="auto" w:fill="FFFFFF"/>
          <w:lang w:val="es-ES"/>
        </w:rPr>
        <w:t>@colombiacompraeficiente_cce</w:t>
      </w:r>
    </w:p>
    <w:p w14:paraId="4AD7B61E" w14:textId="77777777" w:rsidR="002445EA" w:rsidRPr="00EA47D8" w:rsidRDefault="002445EA" w:rsidP="002445EA">
      <w:pPr>
        <w:widowControl w:val="0"/>
        <w:autoSpaceDE w:val="0"/>
        <w:autoSpaceDN w:val="0"/>
        <w:spacing w:after="0" w:line="276" w:lineRule="auto"/>
        <w:jc w:val="both"/>
        <w:rPr>
          <w:rFonts w:ascii="Verdana" w:hAnsi="Verdana" w:cs="Arial"/>
          <w:lang w:val="es-ES"/>
        </w:rPr>
      </w:pPr>
    </w:p>
    <w:p w14:paraId="507267AD" w14:textId="77777777" w:rsidR="002445EA" w:rsidRPr="00EA47D8" w:rsidRDefault="002445EA" w:rsidP="002445EA">
      <w:pPr>
        <w:widowControl w:val="0"/>
        <w:autoSpaceDE w:val="0"/>
        <w:autoSpaceDN w:val="0"/>
        <w:spacing w:after="0" w:line="276" w:lineRule="auto"/>
        <w:jc w:val="both"/>
        <w:rPr>
          <w:rFonts w:ascii="Verdana" w:hAnsi="Verdana" w:cs="Arial"/>
          <w:lang w:val="es-ES"/>
        </w:rPr>
      </w:pPr>
      <w:r w:rsidRPr="00EA47D8">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003C53" w14:textId="77777777" w:rsidR="002445EA" w:rsidRPr="00EA47D8" w:rsidRDefault="002445EA" w:rsidP="002445EA">
      <w:pPr>
        <w:widowControl w:val="0"/>
        <w:autoSpaceDE w:val="0"/>
        <w:autoSpaceDN w:val="0"/>
        <w:spacing w:after="0" w:line="276" w:lineRule="auto"/>
        <w:jc w:val="both"/>
        <w:rPr>
          <w:rFonts w:ascii="Verdana" w:hAnsi="Verdana" w:cs="Arial"/>
          <w:lang w:val="es-ES"/>
        </w:rPr>
      </w:pPr>
    </w:p>
    <w:p w14:paraId="34172C3F" w14:textId="77777777" w:rsidR="002445EA" w:rsidRPr="00EA47D8" w:rsidRDefault="002445EA" w:rsidP="002445EA">
      <w:pPr>
        <w:spacing w:after="0" w:line="276" w:lineRule="auto"/>
        <w:rPr>
          <w:rFonts w:ascii="Verdana" w:hAnsi="Verdana" w:cs="Arial"/>
          <w:color w:val="000000" w:themeColor="text1"/>
          <w:lang w:val="es-ES" w:eastAsia="es-CO"/>
        </w:rPr>
      </w:pPr>
      <w:r w:rsidRPr="00EA47D8">
        <w:rPr>
          <w:rFonts w:ascii="Verdana" w:eastAsia="Times New Roman" w:hAnsi="Verdana" w:cs="Arial"/>
          <w:color w:val="000000" w:themeColor="text1"/>
          <w:lang w:val="es-ES" w:eastAsia="es-CO"/>
        </w:rPr>
        <w:t>Atentamente,</w:t>
      </w:r>
      <w:r w:rsidRPr="00EA47D8">
        <w:rPr>
          <w:rFonts w:ascii="Verdana" w:hAnsi="Verdana" w:cs="Arial"/>
          <w:color w:val="000000" w:themeColor="text1"/>
          <w:lang w:val="es-ES" w:eastAsia="es-CO"/>
        </w:rPr>
        <w:t xml:space="preserve"> </w:t>
      </w:r>
    </w:p>
    <w:p w14:paraId="78093C88" w14:textId="77777777" w:rsidR="002445EA" w:rsidRPr="00EA47D8" w:rsidRDefault="002445EA" w:rsidP="002445EA">
      <w:pPr>
        <w:spacing w:after="0" w:line="276" w:lineRule="auto"/>
        <w:rPr>
          <w:rFonts w:ascii="Verdana" w:hAnsi="Verdana" w:cs="Arial"/>
          <w:color w:val="000000" w:themeColor="text1"/>
          <w:lang w:val="es-ES" w:eastAsia="es-CO"/>
        </w:rPr>
      </w:pPr>
    </w:p>
    <w:p w14:paraId="156430D5" w14:textId="607BAD20" w:rsidR="002445EA" w:rsidRPr="00A27102" w:rsidRDefault="00E1081F" w:rsidP="002445EA">
      <w:pPr>
        <w:spacing w:line="276" w:lineRule="auto"/>
        <w:jc w:val="center"/>
        <w:rPr>
          <w:rFonts w:ascii="Verdana" w:hAnsi="Verdana" w:cs="Arial"/>
          <w:color w:val="000000"/>
          <w:lang w:val="es-ES_tradnl" w:eastAsia="es-CO"/>
        </w:rPr>
      </w:pPr>
      <w:r>
        <w:rPr>
          <w:noProof/>
        </w:rPr>
        <w:drawing>
          <wp:inline distT="0" distB="0" distL="0" distR="0" wp14:anchorId="03AD825D" wp14:editId="326EE62E">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9"/>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445EA" w:rsidRPr="00A27102" w14:paraId="2A941C55" w14:textId="77777777" w:rsidTr="00D8597D">
        <w:trPr>
          <w:trHeight w:val="315"/>
        </w:trPr>
        <w:tc>
          <w:tcPr>
            <w:tcW w:w="893" w:type="dxa"/>
            <w:vAlign w:val="center"/>
            <w:hideMark/>
          </w:tcPr>
          <w:p w14:paraId="3FB225EF" w14:textId="77777777" w:rsidR="002445EA" w:rsidRPr="00A27102" w:rsidRDefault="002445EA" w:rsidP="00D8597D">
            <w:pPr>
              <w:contextualSpacing/>
              <w:rPr>
                <w:rFonts w:ascii="Verdana" w:hAnsi="Verdana" w:cs="Arial"/>
                <w:sz w:val="16"/>
                <w:szCs w:val="16"/>
                <w:lang w:val="es-ES" w:eastAsia="es-ES"/>
              </w:rPr>
            </w:pPr>
            <w:r w:rsidRPr="00A2710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0661166" w14:textId="77777777" w:rsidR="002445EA" w:rsidRPr="00A27102" w:rsidRDefault="002445EA" w:rsidP="00D8597D">
            <w:pPr>
              <w:contextualSpacing/>
              <w:rPr>
                <w:rFonts w:ascii="Verdana" w:hAnsi="Verdana"/>
                <w:sz w:val="16"/>
                <w:szCs w:val="16"/>
              </w:rPr>
            </w:pPr>
            <w:r w:rsidRPr="00A27102">
              <w:rPr>
                <w:rFonts w:ascii="Verdana" w:hAnsi="Verdana"/>
                <w:sz w:val="16"/>
                <w:szCs w:val="16"/>
              </w:rPr>
              <w:t>Tatiana Baquero Iguarán</w:t>
            </w:r>
          </w:p>
          <w:p w14:paraId="56B64C25" w14:textId="77777777" w:rsidR="002445EA" w:rsidRPr="00A27102" w:rsidRDefault="002445EA" w:rsidP="00D8597D">
            <w:pPr>
              <w:contextualSpacing/>
              <w:rPr>
                <w:rFonts w:ascii="Verdana" w:eastAsia="Arial" w:hAnsi="Verdana" w:cs="Arial"/>
                <w:sz w:val="16"/>
                <w:szCs w:val="16"/>
              </w:rPr>
            </w:pPr>
            <w:r w:rsidRPr="00A27102">
              <w:rPr>
                <w:rFonts w:ascii="Verdana" w:hAnsi="Verdana"/>
                <w:sz w:val="16"/>
                <w:szCs w:val="16"/>
              </w:rPr>
              <w:t>Contratista de la Subdirección de Gestión Contractual</w:t>
            </w:r>
          </w:p>
        </w:tc>
      </w:tr>
      <w:tr w:rsidR="002445EA" w:rsidRPr="00A27102" w14:paraId="557D06AF" w14:textId="77777777" w:rsidTr="00D8597D">
        <w:trPr>
          <w:trHeight w:val="330"/>
        </w:trPr>
        <w:tc>
          <w:tcPr>
            <w:tcW w:w="893" w:type="dxa"/>
            <w:vAlign w:val="center"/>
            <w:hideMark/>
          </w:tcPr>
          <w:p w14:paraId="0F0FAA25" w14:textId="77777777" w:rsidR="002445EA" w:rsidRPr="00A27102" w:rsidRDefault="002445EA" w:rsidP="00D8597D">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FF08EF" w14:textId="77777777" w:rsidR="002445EA" w:rsidRPr="00A27102" w:rsidRDefault="002445EA" w:rsidP="00D8597D">
            <w:pPr>
              <w:spacing w:before="100" w:beforeAutospacing="1" w:afterAutospacing="1"/>
              <w:contextualSpacing/>
              <w:textAlignment w:val="baseline"/>
              <w:rPr>
                <w:rFonts w:ascii="Verdana" w:eastAsia="Times New Roman" w:hAnsi="Verdana" w:cs="Arial"/>
                <w:sz w:val="16"/>
                <w:szCs w:val="16"/>
                <w:lang w:val="es-ES" w:eastAsia="es-ES_tradnl"/>
              </w:rPr>
            </w:pPr>
            <w:r w:rsidRPr="00A27102">
              <w:rPr>
                <w:rFonts w:ascii="Verdana" w:eastAsia="Times New Roman" w:hAnsi="Verdana" w:cs="Arial"/>
                <w:sz w:val="16"/>
                <w:szCs w:val="16"/>
                <w:lang w:val="es-ES" w:eastAsia="es-ES_tradnl"/>
              </w:rPr>
              <w:t>Alejandro Sarmiento Cantillo</w:t>
            </w:r>
          </w:p>
          <w:p w14:paraId="61069B34" w14:textId="77777777" w:rsidR="002445EA" w:rsidRPr="00A27102" w:rsidRDefault="002445EA" w:rsidP="00D8597D">
            <w:pPr>
              <w:contextualSpacing/>
              <w:textAlignment w:val="baseline"/>
              <w:rPr>
                <w:rFonts w:ascii="Verdana" w:eastAsia="Times New Roman" w:hAnsi="Verdana" w:cs="Segoe UI"/>
                <w:sz w:val="16"/>
                <w:szCs w:val="16"/>
                <w:lang w:eastAsia="es-ES_tradnl"/>
              </w:rPr>
            </w:pPr>
            <w:r w:rsidRPr="00A27102">
              <w:rPr>
                <w:rFonts w:ascii="Verdana" w:eastAsia="Times New Roman" w:hAnsi="Verdana" w:cs="Arial"/>
                <w:sz w:val="16"/>
                <w:szCs w:val="16"/>
                <w:lang w:val="es-ES" w:eastAsia="es-ES_tradnl"/>
              </w:rPr>
              <w:t>Gestor T1 ‒ 15 de la Subdirección de Gestión Contractual</w:t>
            </w:r>
            <w:r w:rsidRPr="00A27102">
              <w:rPr>
                <w:rFonts w:ascii="Verdana" w:eastAsia="Times New Roman" w:hAnsi="Verdana" w:cs="Arial"/>
                <w:sz w:val="16"/>
                <w:szCs w:val="16"/>
                <w:lang w:eastAsia="es-ES_tradnl"/>
              </w:rPr>
              <w:t> </w:t>
            </w:r>
          </w:p>
        </w:tc>
      </w:tr>
      <w:tr w:rsidR="002445EA" w:rsidRPr="00A27102" w14:paraId="1B3C5FB9" w14:textId="77777777" w:rsidTr="00D8597D">
        <w:trPr>
          <w:trHeight w:val="300"/>
        </w:trPr>
        <w:tc>
          <w:tcPr>
            <w:tcW w:w="893" w:type="dxa"/>
            <w:vAlign w:val="center"/>
          </w:tcPr>
          <w:p w14:paraId="38765DE3" w14:textId="77777777" w:rsidR="002445EA" w:rsidRPr="00A27102" w:rsidRDefault="002445EA" w:rsidP="00D8597D">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FFCA00A" w14:textId="77777777" w:rsidR="002445EA" w:rsidRPr="00A27102" w:rsidRDefault="002445EA" w:rsidP="00D8597D">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 xml:space="preserve">Carolina Quintero </w:t>
            </w:r>
            <w:proofErr w:type="spellStart"/>
            <w:r w:rsidRPr="00A27102">
              <w:rPr>
                <w:rFonts w:ascii="Verdana" w:eastAsia="Calibri" w:hAnsi="Verdana" w:cs="Arial"/>
                <w:sz w:val="16"/>
                <w:szCs w:val="16"/>
                <w:lang w:val="pt-BR" w:eastAsia="es-ES"/>
              </w:rPr>
              <w:t>Gacharná</w:t>
            </w:r>
            <w:proofErr w:type="spellEnd"/>
          </w:p>
          <w:p w14:paraId="0994598E" w14:textId="77777777" w:rsidR="002445EA" w:rsidRPr="00A27102" w:rsidRDefault="002445EA" w:rsidP="00D8597D">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tbl>
    <w:p w14:paraId="76310C74" w14:textId="77777777" w:rsidR="002445EA" w:rsidRPr="00F16D67" w:rsidRDefault="002445EA" w:rsidP="002445EA">
      <w:pPr>
        <w:spacing w:after="0" w:line="240" w:lineRule="auto"/>
        <w:textAlignment w:val="baseline"/>
        <w:rPr>
          <w:rFonts w:ascii="Verdana" w:eastAsia="Verdana" w:hAnsi="Verdana" w:cs="Verdana"/>
          <w:lang w:eastAsia="es-CO"/>
        </w:rPr>
      </w:pPr>
    </w:p>
    <w:p w14:paraId="52B7AC96" w14:textId="77777777" w:rsidR="002445EA" w:rsidRPr="000E2B93" w:rsidRDefault="002445EA" w:rsidP="002445EA">
      <w:pPr>
        <w:spacing w:after="0" w:line="240" w:lineRule="auto"/>
        <w:jc w:val="both"/>
        <w:textAlignment w:val="baseline"/>
        <w:rPr>
          <w:rFonts w:ascii="Verdana" w:eastAsia="Verdana" w:hAnsi="Verdana" w:cs="Verdana"/>
          <w:lang w:eastAsia="es-CO"/>
        </w:rPr>
      </w:pPr>
    </w:p>
    <w:p w14:paraId="6B64C670" w14:textId="4A3B1DEB" w:rsidR="002445EA" w:rsidRPr="005E7AE9" w:rsidRDefault="002445EA" w:rsidP="002445EA">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5542018F" w14:textId="77777777" w:rsidR="008D6B17" w:rsidRPr="004D2729" w:rsidRDefault="008D6B17" w:rsidP="004D2729"/>
    <w:sectPr w:rsidR="008D6B17" w:rsidRPr="004D272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89C23" w14:textId="77777777" w:rsidR="00611048" w:rsidRDefault="00611048" w:rsidP="004A1847">
      <w:pPr>
        <w:spacing w:after="0" w:line="240" w:lineRule="auto"/>
      </w:pPr>
      <w:r>
        <w:separator/>
      </w:r>
    </w:p>
  </w:endnote>
  <w:endnote w:type="continuationSeparator" w:id="0">
    <w:p w14:paraId="121FA024" w14:textId="77777777" w:rsidR="00611048" w:rsidRDefault="00611048" w:rsidP="004A1847">
      <w:pPr>
        <w:spacing w:after="0" w:line="240" w:lineRule="auto"/>
      </w:pPr>
      <w:r>
        <w:continuationSeparator/>
      </w:r>
    </w:p>
  </w:endnote>
  <w:endnote w:type="continuationNotice" w:id="1">
    <w:p w14:paraId="181644C6" w14:textId="77777777" w:rsidR="00611048" w:rsidRDefault="006110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C24FB" w14:textId="77777777" w:rsidR="00611048" w:rsidRDefault="00611048" w:rsidP="004A1847">
      <w:pPr>
        <w:spacing w:after="0" w:line="240" w:lineRule="auto"/>
      </w:pPr>
      <w:r>
        <w:separator/>
      </w:r>
    </w:p>
  </w:footnote>
  <w:footnote w:type="continuationSeparator" w:id="0">
    <w:p w14:paraId="49F7031F" w14:textId="77777777" w:rsidR="00611048" w:rsidRDefault="00611048" w:rsidP="004A1847">
      <w:pPr>
        <w:spacing w:after="0" w:line="240" w:lineRule="auto"/>
      </w:pPr>
      <w:r>
        <w:continuationSeparator/>
      </w:r>
    </w:p>
  </w:footnote>
  <w:footnote w:type="continuationNotice" w:id="1">
    <w:p w14:paraId="368AF3D3" w14:textId="77777777" w:rsidR="00611048" w:rsidRDefault="00611048">
      <w:pPr>
        <w:spacing w:after="0" w:line="240" w:lineRule="auto"/>
      </w:pPr>
    </w:p>
  </w:footnote>
  <w:footnote w:id="2">
    <w:p w14:paraId="20A80AE6" w14:textId="77777777" w:rsidR="002445EA" w:rsidRPr="00021A30" w:rsidRDefault="002445EA" w:rsidP="002445EA">
      <w:pPr>
        <w:pStyle w:val="Textonotapie"/>
        <w:ind w:firstLine="708"/>
        <w:jc w:val="both"/>
        <w:rPr>
          <w:rFonts w:ascii="Verdana" w:hAnsi="Verdana"/>
          <w:sz w:val="16"/>
          <w:szCs w:val="16"/>
          <w:lang w:val="es-CO"/>
        </w:rPr>
      </w:pPr>
      <w:r w:rsidRPr="00021A30">
        <w:rPr>
          <w:rStyle w:val="Refdenotaalpie"/>
          <w:rFonts w:ascii="Verdana" w:hAnsi="Verdana"/>
          <w:sz w:val="16"/>
          <w:szCs w:val="16"/>
        </w:rPr>
        <w:footnoteRef/>
      </w:r>
      <w:r w:rsidRPr="00021A30">
        <w:rPr>
          <w:rFonts w:ascii="Verdana" w:hAnsi="Verdana"/>
          <w:sz w:val="16"/>
          <w:szCs w:val="16"/>
        </w:rPr>
        <w:t xml:space="preserve"> MARÍN CORTÉS, Fabián G. El precio. Medellín: Editorial Jurídica Sánchez R LTDA y Centro de Estudios de Derecho Administrativo, 2012. pp. 59-63.</w:t>
      </w:r>
    </w:p>
  </w:footnote>
  <w:footnote w:id="3">
    <w:p w14:paraId="69B6DB57" w14:textId="77777777" w:rsidR="002445EA" w:rsidRPr="00021A30" w:rsidRDefault="002445EA" w:rsidP="002445EA">
      <w:pPr>
        <w:pStyle w:val="Textonotapie"/>
        <w:ind w:firstLine="708"/>
        <w:contextualSpacing/>
        <w:jc w:val="both"/>
        <w:rPr>
          <w:rFonts w:ascii="Verdana" w:eastAsia="Times New Roman" w:hAnsi="Verdana" w:cs="Arial"/>
          <w:color w:val="000000" w:themeColor="text1"/>
          <w:sz w:val="16"/>
          <w:szCs w:val="16"/>
          <w:lang w:eastAsia="es-ES_tradnl"/>
        </w:rPr>
      </w:pPr>
      <w:r w:rsidRPr="00021A30">
        <w:rPr>
          <w:rStyle w:val="Refdenotaalpie"/>
          <w:rFonts w:ascii="Verdana" w:hAnsi="Verdana" w:cs="Arial"/>
          <w:color w:val="000000" w:themeColor="text1"/>
          <w:sz w:val="16"/>
          <w:szCs w:val="16"/>
        </w:rPr>
        <w:footnoteRef/>
      </w:r>
      <w:r w:rsidRPr="00021A30">
        <w:rPr>
          <w:rFonts w:ascii="Verdana" w:hAnsi="Verdana" w:cs="Arial"/>
          <w:color w:val="000000" w:themeColor="text1"/>
          <w:sz w:val="16"/>
          <w:szCs w:val="16"/>
        </w:rPr>
        <w:t xml:space="preserve"> </w:t>
      </w:r>
      <w:r w:rsidRPr="00021A30">
        <w:rPr>
          <w:rFonts w:ascii="Verdana" w:eastAsia="Times New Roman" w:hAnsi="Verdana" w:cs="Arial"/>
          <w:color w:val="000000" w:themeColor="text1"/>
          <w:sz w:val="16"/>
          <w:szCs w:val="16"/>
          <w:lang w:eastAsia="es-ES_tradnl"/>
        </w:rPr>
        <w:t>“La igualdad tiene un triple rol en el ordenamiento constitucional: el de valor, el de principio y el de derecho</w:t>
      </w:r>
      <w:bookmarkStart w:id="3" w:name="_ftnref57"/>
      <w:bookmarkEnd w:id="3"/>
      <w:r w:rsidRPr="00021A30">
        <w:rPr>
          <w:rFonts w:ascii="Verdana" w:eastAsia="Times New Roman" w:hAnsi="Verdana" w:cs="Arial"/>
          <w:color w:val="000000" w:themeColor="text1"/>
          <w:sz w:val="16"/>
          <w:szCs w:val="16"/>
          <w:lang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footnote>
  <w:footnote w:id="4">
    <w:p w14:paraId="270984E1" w14:textId="77777777" w:rsidR="002445EA" w:rsidRPr="00021A30" w:rsidRDefault="002445EA" w:rsidP="002445EA">
      <w:pPr>
        <w:pStyle w:val="Textonotapie"/>
        <w:ind w:firstLine="708"/>
        <w:contextualSpacing/>
        <w:jc w:val="both"/>
        <w:rPr>
          <w:rFonts w:ascii="Verdana" w:eastAsia="Times New Roman" w:hAnsi="Verdana" w:cs="Arial"/>
          <w:color w:val="000000" w:themeColor="text1"/>
          <w:sz w:val="16"/>
          <w:szCs w:val="16"/>
          <w:lang w:eastAsia="es-ES_tradnl"/>
        </w:rPr>
      </w:pPr>
      <w:r w:rsidRPr="00021A30">
        <w:rPr>
          <w:rStyle w:val="Refdenotaalpie"/>
          <w:rFonts w:ascii="Verdana" w:hAnsi="Verdana" w:cs="Arial"/>
          <w:color w:val="000000" w:themeColor="text1"/>
          <w:sz w:val="16"/>
          <w:szCs w:val="16"/>
        </w:rPr>
        <w:footnoteRef/>
      </w:r>
      <w:r w:rsidRPr="00021A30">
        <w:rPr>
          <w:rFonts w:ascii="Verdana" w:hAnsi="Verdana" w:cs="Arial"/>
          <w:color w:val="000000" w:themeColor="text1"/>
          <w:sz w:val="16"/>
          <w:szCs w:val="16"/>
        </w:rPr>
        <w:t xml:space="preserve"> </w:t>
      </w:r>
      <w:r w:rsidRPr="00021A30">
        <w:rPr>
          <w:rFonts w:ascii="Verdana" w:eastAsia="Times New Roman" w:hAnsi="Verdana" w:cs="Arial"/>
          <w:color w:val="000000" w:themeColor="text1"/>
          <w:sz w:val="16"/>
          <w:szCs w:val="16"/>
          <w:lang w:eastAsia="es-ES_tradnl"/>
        </w:rPr>
        <w:t xml:space="preserve">Consejo de Estado. Sección Tercera. Sentencia del 19 de julio de 2001. Rad. 1996-3771-01 (12.037). C.P. Alier Eduardo Hernández Enríquez. </w:t>
      </w:r>
    </w:p>
  </w:footnote>
  <w:footnote w:id="5">
    <w:p w14:paraId="333B7146" w14:textId="77777777" w:rsidR="002445EA" w:rsidRPr="00021A30" w:rsidRDefault="002445EA" w:rsidP="002445EA">
      <w:pPr>
        <w:pStyle w:val="Textonotapie"/>
        <w:ind w:firstLine="709"/>
        <w:jc w:val="both"/>
        <w:rPr>
          <w:rFonts w:ascii="Verdana" w:hAnsi="Verdana"/>
          <w:sz w:val="16"/>
          <w:szCs w:val="16"/>
          <w:lang w:val="es-CO"/>
        </w:rPr>
      </w:pPr>
      <w:r w:rsidRPr="00021A30">
        <w:rPr>
          <w:rStyle w:val="Refdenotaalpie"/>
          <w:rFonts w:ascii="Verdana" w:hAnsi="Verdana"/>
          <w:sz w:val="16"/>
          <w:szCs w:val="16"/>
        </w:rPr>
        <w:footnoteRef/>
      </w:r>
      <w:r w:rsidRPr="00021A30">
        <w:rPr>
          <w:rFonts w:ascii="Verdana" w:hAnsi="Verdana"/>
          <w:sz w:val="16"/>
          <w:szCs w:val="16"/>
        </w:rPr>
        <w:t xml:space="preserve"> </w:t>
      </w:r>
      <w:r w:rsidRPr="00021A30">
        <w:rPr>
          <w:rFonts w:ascii="Verdana" w:hAnsi="Verdana"/>
          <w:sz w:val="16"/>
          <w:szCs w:val="16"/>
          <w:lang w:val="es-CO"/>
        </w:rPr>
        <w:t xml:space="preserve">Para tales efectos se pueden consultar el concepto C-059 del 13 de marzo 2021. </w:t>
      </w:r>
    </w:p>
  </w:footnote>
  <w:footnote w:id="6">
    <w:p w14:paraId="0A75537D" w14:textId="77777777" w:rsidR="002445EA" w:rsidRPr="00021A30" w:rsidRDefault="002445EA" w:rsidP="002445EA">
      <w:pPr>
        <w:pStyle w:val="Textonotapie"/>
        <w:ind w:firstLine="708"/>
        <w:contextualSpacing/>
        <w:jc w:val="both"/>
        <w:rPr>
          <w:rFonts w:ascii="Verdana" w:hAnsi="Verdana" w:cs="Arial"/>
          <w:color w:val="000000" w:themeColor="text1"/>
          <w:sz w:val="16"/>
          <w:szCs w:val="16"/>
        </w:rPr>
      </w:pPr>
      <w:r w:rsidRPr="00021A30">
        <w:rPr>
          <w:rStyle w:val="Refdenotaalpie"/>
          <w:rFonts w:ascii="Verdana" w:hAnsi="Verdana" w:cs="Arial"/>
          <w:color w:val="000000" w:themeColor="text1"/>
          <w:sz w:val="16"/>
          <w:szCs w:val="16"/>
        </w:rPr>
        <w:footnoteRef/>
      </w:r>
      <w:r w:rsidRPr="00021A30">
        <w:rPr>
          <w:rFonts w:ascii="Verdana" w:hAnsi="Verdana" w:cs="Arial"/>
          <w:color w:val="000000" w:themeColor="text1"/>
          <w:sz w:val="16"/>
          <w:szCs w:val="16"/>
        </w:rPr>
        <w:t xml:space="preserve"> </w:t>
      </w:r>
      <w:r w:rsidRPr="00021A30">
        <w:rPr>
          <w:rFonts w:ascii="Verdana" w:eastAsia="Times New Roman" w:hAnsi="Verdana" w:cs="Arial"/>
          <w:color w:val="000000" w:themeColor="text1"/>
          <w:sz w:val="16"/>
          <w:szCs w:val="16"/>
          <w:lang w:eastAsia="es-ES_tradnl"/>
        </w:rPr>
        <w:t>Corte Constitucional. Sentencia C-862 de 2008. M.P. Marco Gerardo Monroy Cabra.</w:t>
      </w:r>
      <w:r w:rsidRPr="00021A30">
        <w:rPr>
          <w:rFonts w:ascii="Verdana" w:hAnsi="Verdana" w:cs="Arial"/>
          <w:color w:val="000000" w:themeColor="text1"/>
          <w:sz w:val="16"/>
          <w:szCs w:val="16"/>
        </w:rPr>
        <w:t xml:space="preserve"> </w:t>
      </w:r>
    </w:p>
  </w:footnote>
  <w:footnote w:id="7">
    <w:p w14:paraId="521099B5" w14:textId="77777777" w:rsidR="002445EA" w:rsidRPr="00021A30" w:rsidRDefault="002445EA" w:rsidP="002445EA">
      <w:pPr>
        <w:pStyle w:val="Textonotapie"/>
        <w:ind w:firstLine="709"/>
        <w:jc w:val="both"/>
        <w:rPr>
          <w:rFonts w:ascii="Verdana" w:hAnsi="Verdana"/>
          <w:sz w:val="16"/>
          <w:szCs w:val="16"/>
          <w:lang w:val="es-CO"/>
        </w:rPr>
      </w:pPr>
      <w:r w:rsidRPr="00021A30">
        <w:rPr>
          <w:rStyle w:val="Refdenotaalpie"/>
          <w:rFonts w:ascii="Verdana" w:hAnsi="Verdana"/>
          <w:sz w:val="16"/>
          <w:szCs w:val="16"/>
        </w:rPr>
        <w:footnoteRef/>
      </w:r>
      <w:r w:rsidRPr="00021A30">
        <w:rPr>
          <w:rFonts w:ascii="Verdana" w:hAnsi="Verdana"/>
          <w:sz w:val="16"/>
          <w:szCs w:val="16"/>
        </w:rPr>
        <w:t xml:space="preserve"> </w:t>
      </w:r>
      <w:r w:rsidRPr="00021A30">
        <w:rPr>
          <w:rFonts w:ascii="Verdana" w:eastAsia="Times New Roman" w:hAnsi="Verdana" w:cs="Arial"/>
          <w:color w:val="000000" w:themeColor="text1"/>
          <w:sz w:val="16"/>
          <w:szCs w:val="16"/>
          <w:lang w:eastAsia="es-ES_tradnl"/>
        </w:rPr>
        <w:t xml:space="preserve">Consejo de Estado. Sección Tercera. Sentencia del 14 de marzo de 2013. Rad. </w:t>
      </w:r>
      <w:r w:rsidRPr="00021A30">
        <w:rPr>
          <w:rFonts w:ascii="Verdana" w:eastAsia="Times New Roman" w:hAnsi="Verdana" w:cs="Arial"/>
          <w:color w:val="000000" w:themeColor="text1"/>
          <w:sz w:val="16"/>
          <w:szCs w:val="16"/>
          <w:lang w:val="es-CO" w:eastAsia="es-ES_tradnl"/>
        </w:rPr>
        <w:t>44001-23-31-000-1999-00827-01(24059). C.P: Mauricio Fajardo Gómez.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5pt;height:15.05pt" o:bullet="t">
        <v:imagedata r:id="rId1" o:title="mso1B13"/>
      </v:shape>
    </w:pict>
  </w:numPicBullet>
  <w:abstractNum w:abstractNumId="0" w15:restartNumberingAfterBreak="0">
    <w:nsid w:val="01C06310"/>
    <w:multiLevelType w:val="multilevel"/>
    <w:tmpl w:val="04207A36"/>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153255849">
    <w:abstractNumId w:val="11"/>
  </w:num>
  <w:num w:numId="17" w16cid:durableId="1337683695">
    <w:abstractNumId w:val="12"/>
  </w:num>
  <w:num w:numId="18" w16cid:durableId="1330140246">
    <w:abstractNumId w:val="0"/>
  </w:num>
  <w:num w:numId="19" w16cid:durableId="679089576">
    <w:abstractNumId w:val="9"/>
  </w:num>
  <w:num w:numId="20" w16cid:durableId="1300108123">
    <w:abstractNumId w:val="13"/>
  </w:num>
  <w:num w:numId="21" w16cid:durableId="9928286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87C"/>
    <w:rsid w:val="00003467"/>
    <w:rsid w:val="0000593C"/>
    <w:rsid w:val="0000795F"/>
    <w:rsid w:val="00013834"/>
    <w:rsid w:val="00015BBB"/>
    <w:rsid w:val="00015DB2"/>
    <w:rsid w:val="00016F78"/>
    <w:rsid w:val="00021A30"/>
    <w:rsid w:val="00023A10"/>
    <w:rsid w:val="00024C1C"/>
    <w:rsid w:val="00025145"/>
    <w:rsid w:val="00027FBA"/>
    <w:rsid w:val="000345C1"/>
    <w:rsid w:val="00036AA7"/>
    <w:rsid w:val="00040458"/>
    <w:rsid w:val="00046945"/>
    <w:rsid w:val="0004761A"/>
    <w:rsid w:val="00052857"/>
    <w:rsid w:val="000564C9"/>
    <w:rsid w:val="00061B2A"/>
    <w:rsid w:val="00063615"/>
    <w:rsid w:val="000670A6"/>
    <w:rsid w:val="00070063"/>
    <w:rsid w:val="00074C5E"/>
    <w:rsid w:val="00082362"/>
    <w:rsid w:val="00086D8D"/>
    <w:rsid w:val="0009047A"/>
    <w:rsid w:val="000A0CC2"/>
    <w:rsid w:val="000A28CE"/>
    <w:rsid w:val="000A683E"/>
    <w:rsid w:val="000B19B9"/>
    <w:rsid w:val="000B3855"/>
    <w:rsid w:val="000C531C"/>
    <w:rsid w:val="000C59AE"/>
    <w:rsid w:val="000C658E"/>
    <w:rsid w:val="000D0334"/>
    <w:rsid w:val="000D0AE6"/>
    <w:rsid w:val="000D0FC9"/>
    <w:rsid w:val="000D4BA1"/>
    <w:rsid w:val="000D5483"/>
    <w:rsid w:val="000D5DA7"/>
    <w:rsid w:val="000D6EBE"/>
    <w:rsid w:val="000E568A"/>
    <w:rsid w:val="000E657C"/>
    <w:rsid w:val="000F2EB8"/>
    <w:rsid w:val="000F61AB"/>
    <w:rsid w:val="000F6486"/>
    <w:rsid w:val="000F698C"/>
    <w:rsid w:val="001002AD"/>
    <w:rsid w:val="00104FA1"/>
    <w:rsid w:val="0010639C"/>
    <w:rsid w:val="00112840"/>
    <w:rsid w:val="00116940"/>
    <w:rsid w:val="00117864"/>
    <w:rsid w:val="0012230A"/>
    <w:rsid w:val="00125105"/>
    <w:rsid w:val="00125E5D"/>
    <w:rsid w:val="001264CA"/>
    <w:rsid w:val="00127233"/>
    <w:rsid w:val="0012779F"/>
    <w:rsid w:val="00130E4B"/>
    <w:rsid w:val="00133F43"/>
    <w:rsid w:val="00135C72"/>
    <w:rsid w:val="00136711"/>
    <w:rsid w:val="001367AB"/>
    <w:rsid w:val="00136A45"/>
    <w:rsid w:val="00137580"/>
    <w:rsid w:val="00140F1A"/>
    <w:rsid w:val="00142DDD"/>
    <w:rsid w:val="00146030"/>
    <w:rsid w:val="0014754D"/>
    <w:rsid w:val="00152B46"/>
    <w:rsid w:val="00153DCC"/>
    <w:rsid w:val="00155A89"/>
    <w:rsid w:val="0015699B"/>
    <w:rsid w:val="00162582"/>
    <w:rsid w:val="00163105"/>
    <w:rsid w:val="0016317A"/>
    <w:rsid w:val="001651E8"/>
    <w:rsid w:val="00165408"/>
    <w:rsid w:val="0016549D"/>
    <w:rsid w:val="001703E0"/>
    <w:rsid w:val="00172273"/>
    <w:rsid w:val="00175FAF"/>
    <w:rsid w:val="001800A4"/>
    <w:rsid w:val="00184C33"/>
    <w:rsid w:val="00186169"/>
    <w:rsid w:val="00190628"/>
    <w:rsid w:val="00191F69"/>
    <w:rsid w:val="001936B6"/>
    <w:rsid w:val="00194DC4"/>
    <w:rsid w:val="00196129"/>
    <w:rsid w:val="001A0649"/>
    <w:rsid w:val="001A292F"/>
    <w:rsid w:val="001A33BF"/>
    <w:rsid w:val="001A44DB"/>
    <w:rsid w:val="001A6E19"/>
    <w:rsid w:val="001C05C1"/>
    <w:rsid w:val="001C108D"/>
    <w:rsid w:val="001C35C1"/>
    <w:rsid w:val="001C4083"/>
    <w:rsid w:val="001C4BF7"/>
    <w:rsid w:val="001C5C1A"/>
    <w:rsid w:val="001D015D"/>
    <w:rsid w:val="001D4B82"/>
    <w:rsid w:val="001D5DE8"/>
    <w:rsid w:val="001E0B4E"/>
    <w:rsid w:val="001E4177"/>
    <w:rsid w:val="001F05BA"/>
    <w:rsid w:val="001F0B24"/>
    <w:rsid w:val="001F5C8D"/>
    <w:rsid w:val="001F7DC6"/>
    <w:rsid w:val="00203934"/>
    <w:rsid w:val="00203FA0"/>
    <w:rsid w:val="00210865"/>
    <w:rsid w:val="0021327D"/>
    <w:rsid w:val="002176AB"/>
    <w:rsid w:val="002209E3"/>
    <w:rsid w:val="0022400B"/>
    <w:rsid w:val="00233FAD"/>
    <w:rsid w:val="00236130"/>
    <w:rsid w:val="00237851"/>
    <w:rsid w:val="00241B7F"/>
    <w:rsid w:val="002421BB"/>
    <w:rsid w:val="002445EA"/>
    <w:rsid w:val="00244FF0"/>
    <w:rsid w:val="002462E4"/>
    <w:rsid w:val="00246DE1"/>
    <w:rsid w:val="0025249D"/>
    <w:rsid w:val="00257061"/>
    <w:rsid w:val="0025796E"/>
    <w:rsid w:val="00263FF6"/>
    <w:rsid w:val="00267BE9"/>
    <w:rsid w:val="002707A2"/>
    <w:rsid w:val="00273622"/>
    <w:rsid w:val="00273A22"/>
    <w:rsid w:val="002758C3"/>
    <w:rsid w:val="002765B8"/>
    <w:rsid w:val="00277169"/>
    <w:rsid w:val="002811B8"/>
    <w:rsid w:val="0028259E"/>
    <w:rsid w:val="00283399"/>
    <w:rsid w:val="0028783B"/>
    <w:rsid w:val="00290E63"/>
    <w:rsid w:val="002950E4"/>
    <w:rsid w:val="002951A0"/>
    <w:rsid w:val="002962BC"/>
    <w:rsid w:val="002A093D"/>
    <w:rsid w:val="002A0DD0"/>
    <w:rsid w:val="002A49AC"/>
    <w:rsid w:val="002A64FD"/>
    <w:rsid w:val="002B4931"/>
    <w:rsid w:val="002B5541"/>
    <w:rsid w:val="002C3BEA"/>
    <w:rsid w:val="002C41AE"/>
    <w:rsid w:val="002C43AF"/>
    <w:rsid w:val="002C4BAD"/>
    <w:rsid w:val="002C51D2"/>
    <w:rsid w:val="002C6AD0"/>
    <w:rsid w:val="002C7A84"/>
    <w:rsid w:val="002D4B52"/>
    <w:rsid w:val="002D7090"/>
    <w:rsid w:val="002E2BF8"/>
    <w:rsid w:val="002E4FD9"/>
    <w:rsid w:val="002E641B"/>
    <w:rsid w:val="002E7260"/>
    <w:rsid w:val="002F4E77"/>
    <w:rsid w:val="003021F3"/>
    <w:rsid w:val="00302987"/>
    <w:rsid w:val="0030657A"/>
    <w:rsid w:val="00310BBF"/>
    <w:rsid w:val="00314F44"/>
    <w:rsid w:val="00317BC5"/>
    <w:rsid w:val="00317FD8"/>
    <w:rsid w:val="00322A85"/>
    <w:rsid w:val="00324168"/>
    <w:rsid w:val="00330834"/>
    <w:rsid w:val="003423EC"/>
    <w:rsid w:val="003448F4"/>
    <w:rsid w:val="003513CE"/>
    <w:rsid w:val="00353B5E"/>
    <w:rsid w:val="00374F5E"/>
    <w:rsid w:val="00375128"/>
    <w:rsid w:val="00377292"/>
    <w:rsid w:val="00377E3E"/>
    <w:rsid w:val="00395916"/>
    <w:rsid w:val="0039693E"/>
    <w:rsid w:val="003A1640"/>
    <w:rsid w:val="003A25DE"/>
    <w:rsid w:val="003A35E3"/>
    <w:rsid w:val="003A39D6"/>
    <w:rsid w:val="003A779E"/>
    <w:rsid w:val="003C075E"/>
    <w:rsid w:val="003C0C02"/>
    <w:rsid w:val="003C3993"/>
    <w:rsid w:val="003D0F4D"/>
    <w:rsid w:val="003D5B0D"/>
    <w:rsid w:val="003E0499"/>
    <w:rsid w:val="003E1E49"/>
    <w:rsid w:val="003E4F80"/>
    <w:rsid w:val="003E6439"/>
    <w:rsid w:val="003E6708"/>
    <w:rsid w:val="003E737F"/>
    <w:rsid w:val="003F3941"/>
    <w:rsid w:val="003F6406"/>
    <w:rsid w:val="00403098"/>
    <w:rsid w:val="0040343A"/>
    <w:rsid w:val="00405551"/>
    <w:rsid w:val="00406305"/>
    <w:rsid w:val="00406575"/>
    <w:rsid w:val="00411462"/>
    <w:rsid w:val="00411CBF"/>
    <w:rsid w:val="00413BA7"/>
    <w:rsid w:val="00414C74"/>
    <w:rsid w:val="0041563E"/>
    <w:rsid w:val="0041570A"/>
    <w:rsid w:val="004169F9"/>
    <w:rsid w:val="00417CBA"/>
    <w:rsid w:val="00420B40"/>
    <w:rsid w:val="0042722E"/>
    <w:rsid w:val="00427C20"/>
    <w:rsid w:val="0043057E"/>
    <w:rsid w:val="0044528D"/>
    <w:rsid w:val="00446D00"/>
    <w:rsid w:val="004500A6"/>
    <w:rsid w:val="00455AD9"/>
    <w:rsid w:val="00455B84"/>
    <w:rsid w:val="00461B5C"/>
    <w:rsid w:val="004668C3"/>
    <w:rsid w:val="00466E39"/>
    <w:rsid w:val="00473127"/>
    <w:rsid w:val="00481670"/>
    <w:rsid w:val="00484955"/>
    <w:rsid w:val="004915F3"/>
    <w:rsid w:val="00495896"/>
    <w:rsid w:val="004958E4"/>
    <w:rsid w:val="004A1440"/>
    <w:rsid w:val="004A1847"/>
    <w:rsid w:val="004A305D"/>
    <w:rsid w:val="004A7F0E"/>
    <w:rsid w:val="004B18C3"/>
    <w:rsid w:val="004B4114"/>
    <w:rsid w:val="004B4FC5"/>
    <w:rsid w:val="004B56D9"/>
    <w:rsid w:val="004D2729"/>
    <w:rsid w:val="004D5C1D"/>
    <w:rsid w:val="004F21C4"/>
    <w:rsid w:val="004F3368"/>
    <w:rsid w:val="004F685F"/>
    <w:rsid w:val="004F7642"/>
    <w:rsid w:val="005064F3"/>
    <w:rsid w:val="00514CA0"/>
    <w:rsid w:val="00515F5A"/>
    <w:rsid w:val="005165A4"/>
    <w:rsid w:val="00523493"/>
    <w:rsid w:val="005305F6"/>
    <w:rsid w:val="005349D4"/>
    <w:rsid w:val="00535061"/>
    <w:rsid w:val="005356A3"/>
    <w:rsid w:val="00540DE8"/>
    <w:rsid w:val="00541E80"/>
    <w:rsid w:val="00541FAB"/>
    <w:rsid w:val="005566E8"/>
    <w:rsid w:val="00560240"/>
    <w:rsid w:val="00563EA1"/>
    <w:rsid w:val="0056534E"/>
    <w:rsid w:val="0057010E"/>
    <w:rsid w:val="00574867"/>
    <w:rsid w:val="0057502C"/>
    <w:rsid w:val="00583C10"/>
    <w:rsid w:val="00584E19"/>
    <w:rsid w:val="00586CF1"/>
    <w:rsid w:val="00591460"/>
    <w:rsid w:val="00591C10"/>
    <w:rsid w:val="00592FAE"/>
    <w:rsid w:val="0059604C"/>
    <w:rsid w:val="005962FA"/>
    <w:rsid w:val="005A207D"/>
    <w:rsid w:val="005A32E1"/>
    <w:rsid w:val="005A65E0"/>
    <w:rsid w:val="005A6EAA"/>
    <w:rsid w:val="005B556C"/>
    <w:rsid w:val="005C04C5"/>
    <w:rsid w:val="005C11A4"/>
    <w:rsid w:val="005C3777"/>
    <w:rsid w:val="005C450C"/>
    <w:rsid w:val="005C5399"/>
    <w:rsid w:val="005C5CDC"/>
    <w:rsid w:val="005D01D1"/>
    <w:rsid w:val="005D3474"/>
    <w:rsid w:val="005D476C"/>
    <w:rsid w:val="005E216E"/>
    <w:rsid w:val="005E3EF6"/>
    <w:rsid w:val="005F2A9F"/>
    <w:rsid w:val="005F6CAA"/>
    <w:rsid w:val="006028A6"/>
    <w:rsid w:val="00602DDB"/>
    <w:rsid w:val="00611048"/>
    <w:rsid w:val="006123BB"/>
    <w:rsid w:val="00613344"/>
    <w:rsid w:val="006140E5"/>
    <w:rsid w:val="006200BF"/>
    <w:rsid w:val="006219F8"/>
    <w:rsid w:val="0063017B"/>
    <w:rsid w:val="006302F7"/>
    <w:rsid w:val="006324A6"/>
    <w:rsid w:val="006341AC"/>
    <w:rsid w:val="006415EB"/>
    <w:rsid w:val="006416ED"/>
    <w:rsid w:val="006425F1"/>
    <w:rsid w:val="00646B9F"/>
    <w:rsid w:val="00651A05"/>
    <w:rsid w:val="0065207A"/>
    <w:rsid w:val="00656C5A"/>
    <w:rsid w:val="00660BA9"/>
    <w:rsid w:val="00663ABD"/>
    <w:rsid w:val="00663C1C"/>
    <w:rsid w:val="00665D70"/>
    <w:rsid w:val="00670958"/>
    <w:rsid w:val="00673A00"/>
    <w:rsid w:val="00680FA2"/>
    <w:rsid w:val="00681EB8"/>
    <w:rsid w:val="00687B50"/>
    <w:rsid w:val="006900D9"/>
    <w:rsid w:val="00691737"/>
    <w:rsid w:val="00694FFA"/>
    <w:rsid w:val="006A39FE"/>
    <w:rsid w:val="006A68AA"/>
    <w:rsid w:val="006A72EA"/>
    <w:rsid w:val="006B002F"/>
    <w:rsid w:val="006C10F6"/>
    <w:rsid w:val="006C518E"/>
    <w:rsid w:val="006C635A"/>
    <w:rsid w:val="006C696D"/>
    <w:rsid w:val="006C6D09"/>
    <w:rsid w:val="006C76A4"/>
    <w:rsid w:val="006D032B"/>
    <w:rsid w:val="006D0E8A"/>
    <w:rsid w:val="006D3F0D"/>
    <w:rsid w:val="006D7ADD"/>
    <w:rsid w:val="006E4F7E"/>
    <w:rsid w:val="006E6CA1"/>
    <w:rsid w:val="006F145D"/>
    <w:rsid w:val="007000A5"/>
    <w:rsid w:val="00702552"/>
    <w:rsid w:val="00702DEE"/>
    <w:rsid w:val="00706C16"/>
    <w:rsid w:val="0071081F"/>
    <w:rsid w:val="00710915"/>
    <w:rsid w:val="00721F75"/>
    <w:rsid w:val="00723B06"/>
    <w:rsid w:val="00726E1F"/>
    <w:rsid w:val="00731381"/>
    <w:rsid w:val="007340C3"/>
    <w:rsid w:val="0074432E"/>
    <w:rsid w:val="007450CF"/>
    <w:rsid w:val="007458E9"/>
    <w:rsid w:val="0075058F"/>
    <w:rsid w:val="00750813"/>
    <w:rsid w:val="00752354"/>
    <w:rsid w:val="0075235A"/>
    <w:rsid w:val="00754FB8"/>
    <w:rsid w:val="00754FEF"/>
    <w:rsid w:val="007555B0"/>
    <w:rsid w:val="00756841"/>
    <w:rsid w:val="007604E0"/>
    <w:rsid w:val="00761338"/>
    <w:rsid w:val="0076133E"/>
    <w:rsid w:val="00761B27"/>
    <w:rsid w:val="00762955"/>
    <w:rsid w:val="007649AB"/>
    <w:rsid w:val="00770354"/>
    <w:rsid w:val="00771D0C"/>
    <w:rsid w:val="0077546D"/>
    <w:rsid w:val="00777EFC"/>
    <w:rsid w:val="00780974"/>
    <w:rsid w:val="00782D77"/>
    <w:rsid w:val="007833AC"/>
    <w:rsid w:val="00787494"/>
    <w:rsid w:val="00791B47"/>
    <w:rsid w:val="007951C8"/>
    <w:rsid w:val="007A1324"/>
    <w:rsid w:val="007A15D6"/>
    <w:rsid w:val="007A1892"/>
    <w:rsid w:val="007A2C05"/>
    <w:rsid w:val="007A7747"/>
    <w:rsid w:val="007B268C"/>
    <w:rsid w:val="007B2A07"/>
    <w:rsid w:val="007B46A0"/>
    <w:rsid w:val="007B7171"/>
    <w:rsid w:val="007C0A2B"/>
    <w:rsid w:val="007C0C0F"/>
    <w:rsid w:val="007C3DC2"/>
    <w:rsid w:val="007C725D"/>
    <w:rsid w:val="007D308D"/>
    <w:rsid w:val="007D4CFA"/>
    <w:rsid w:val="007D535E"/>
    <w:rsid w:val="007D5FE8"/>
    <w:rsid w:val="007E5497"/>
    <w:rsid w:val="007E6450"/>
    <w:rsid w:val="007E6D80"/>
    <w:rsid w:val="007F3BED"/>
    <w:rsid w:val="007F49A7"/>
    <w:rsid w:val="007F7D8D"/>
    <w:rsid w:val="00801DCF"/>
    <w:rsid w:val="00801ED8"/>
    <w:rsid w:val="00804B8A"/>
    <w:rsid w:val="008053F4"/>
    <w:rsid w:val="0080600A"/>
    <w:rsid w:val="00806C4F"/>
    <w:rsid w:val="00806F5F"/>
    <w:rsid w:val="008109A7"/>
    <w:rsid w:val="00814FC2"/>
    <w:rsid w:val="00815097"/>
    <w:rsid w:val="00820278"/>
    <w:rsid w:val="00820DD8"/>
    <w:rsid w:val="008258C9"/>
    <w:rsid w:val="00825B8D"/>
    <w:rsid w:val="00826BEE"/>
    <w:rsid w:val="00827C62"/>
    <w:rsid w:val="00835D30"/>
    <w:rsid w:val="00836CA4"/>
    <w:rsid w:val="00837DBF"/>
    <w:rsid w:val="00844AE9"/>
    <w:rsid w:val="00850DED"/>
    <w:rsid w:val="00852714"/>
    <w:rsid w:val="00853CD8"/>
    <w:rsid w:val="0086587B"/>
    <w:rsid w:val="008663DC"/>
    <w:rsid w:val="00867F95"/>
    <w:rsid w:val="008711E4"/>
    <w:rsid w:val="00871875"/>
    <w:rsid w:val="00874416"/>
    <w:rsid w:val="008843B6"/>
    <w:rsid w:val="00886318"/>
    <w:rsid w:val="00886C81"/>
    <w:rsid w:val="008878CB"/>
    <w:rsid w:val="00887F5A"/>
    <w:rsid w:val="00891928"/>
    <w:rsid w:val="008973FA"/>
    <w:rsid w:val="008A047B"/>
    <w:rsid w:val="008A0E0E"/>
    <w:rsid w:val="008A446D"/>
    <w:rsid w:val="008A67EA"/>
    <w:rsid w:val="008B25F1"/>
    <w:rsid w:val="008C6D9B"/>
    <w:rsid w:val="008D05BE"/>
    <w:rsid w:val="008D0668"/>
    <w:rsid w:val="008D180B"/>
    <w:rsid w:val="008D2BE7"/>
    <w:rsid w:val="008D5B36"/>
    <w:rsid w:val="008D69F8"/>
    <w:rsid w:val="008D6B17"/>
    <w:rsid w:val="008E08C5"/>
    <w:rsid w:val="008E3DBE"/>
    <w:rsid w:val="008E63C5"/>
    <w:rsid w:val="008F094D"/>
    <w:rsid w:val="008F0EA7"/>
    <w:rsid w:val="008F1CE5"/>
    <w:rsid w:val="008F44BE"/>
    <w:rsid w:val="009025D4"/>
    <w:rsid w:val="00903122"/>
    <w:rsid w:val="00913A83"/>
    <w:rsid w:val="00914EC6"/>
    <w:rsid w:val="0091710D"/>
    <w:rsid w:val="00922442"/>
    <w:rsid w:val="00923EEF"/>
    <w:rsid w:val="009310A1"/>
    <w:rsid w:val="00931BDF"/>
    <w:rsid w:val="00937E90"/>
    <w:rsid w:val="009419F9"/>
    <w:rsid w:val="00947923"/>
    <w:rsid w:val="00955CBA"/>
    <w:rsid w:val="0095685E"/>
    <w:rsid w:val="009619AC"/>
    <w:rsid w:val="00961B09"/>
    <w:rsid w:val="009637B6"/>
    <w:rsid w:val="00963E8E"/>
    <w:rsid w:val="00965334"/>
    <w:rsid w:val="0097093E"/>
    <w:rsid w:val="009735E1"/>
    <w:rsid w:val="009749E9"/>
    <w:rsid w:val="00980A56"/>
    <w:rsid w:val="00981995"/>
    <w:rsid w:val="00991E71"/>
    <w:rsid w:val="009923D5"/>
    <w:rsid w:val="00993A1C"/>
    <w:rsid w:val="009A078B"/>
    <w:rsid w:val="009A0DFA"/>
    <w:rsid w:val="009A1074"/>
    <w:rsid w:val="009A1C6F"/>
    <w:rsid w:val="009A1FF6"/>
    <w:rsid w:val="009A69AD"/>
    <w:rsid w:val="009A7521"/>
    <w:rsid w:val="009B1715"/>
    <w:rsid w:val="009B2362"/>
    <w:rsid w:val="009B2D26"/>
    <w:rsid w:val="009B6C08"/>
    <w:rsid w:val="009C0C7A"/>
    <w:rsid w:val="009C1FE1"/>
    <w:rsid w:val="009C52EA"/>
    <w:rsid w:val="009C531E"/>
    <w:rsid w:val="009C71FA"/>
    <w:rsid w:val="009C72E7"/>
    <w:rsid w:val="009C7F7E"/>
    <w:rsid w:val="009D2B51"/>
    <w:rsid w:val="009D3058"/>
    <w:rsid w:val="009D7052"/>
    <w:rsid w:val="009E27D4"/>
    <w:rsid w:val="009E4AEC"/>
    <w:rsid w:val="009E4D11"/>
    <w:rsid w:val="009E637B"/>
    <w:rsid w:val="009E66C1"/>
    <w:rsid w:val="009F3A13"/>
    <w:rsid w:val="00A00A3A"/>
    <w:rsid w:val="00A00BC3"/>
    <w:rsid w:val="00A03198"/>
    <w:rsid w:val="00A03859"/>
    <w:rsid w:val="00A047AA"/>
    <w:rsid w:val="00A05C9C"/>
    <w:rsid w:val="00A05FCC"/>
    <w:rsid w:val="00A113F8"/>
    <w:rsid w:val="00A122D3"/>
    <w:rsid w:val="00A138A0"/>
    <w:rsid w:val="00A14468"/>
    <w:rsid w:val="00A17F13"/>
    <w:rsid w:val="00A20739"/>
    <w:rsid w:val="00A23A49"/>
    <w:rsid w:val="00A23AF9"/>
    <w:rsid w:val="00A262DE"/>
    <w:rsid w:val="00A26F29"/>
    <w:rsid w:val="00A30E20"/>
    <w:rsid w:val="00A33522"/>
    <w:rsid w:val="00A33C78"/>
    <w:rsid w:val="00A5471E"/>
    <w:rsid w:val="00A55092"/>
    <w:rsid w:val="00A5679D"/>
    <w:rsid w:val="00A63061"/>
    <w:rsid w:val="00A639C8"/>
    <w:rsid w:val="00A75CE6"/>
    <w:rsid w:val="00A81F70"/>
    <w:rsid w:val="00A85412"/>
    <w:rsid w:val="00A86538"/>
    <w:rsid w:val="00A865FB"/>
    <w:rsid w:val="00A87787"/>
    <w:rsid w:val="00A903AB"/>
    <w:rsid w:val="00A93BC9"/>
    <w:rsid w:val="00A97092"/>
    <w:rsid w:val="00AA2120"/>
    <w:rsid w:val="00AA48B9"/>
    <w:rsid w:val="00AA7BB8"/>
    <w:rsid w:val="00AB016F"/>
    <w:rsid w:val="00AB0334"/>
    <w:rsid w:val="00AB0923"/>
    <w:rsid w:val="00AB0ADB"/>
    <w:rsid w:val="00AB3BC5"/>
    <w:rsid w:val="00AB5338"/>
    <w:rsid w:val="00AC0871"/>
    <w:rsid w:val="00AC13BE"/>
    <w:rsid w:val="00AC3EFB"/>
    <w:rsid w:val="00AC6459"/>
    <w:rsid w:val="00AD37CF"/>
    <w:rsid w:val="00AD3B73"/>
    <w:rsid w:val="00AD5C40"/>
    <w:rsid w:val="00AE2D2C"/>
    <w:rsid w:val="00AE4F2F"/>
    <w:rsid w:val="00AE50A5"/>
    <w:rsid w:val="00AE6AB2"/>
    <w:rsid w:val="00AE6E0E"/>
    <w:rsid w:val="00AF0008"/>
    <w:rsid w:val="00AF233C"/>
    <w:rsid w:val="00AF426F"/>
    <w:rsid w:val="00AF4881"/>
    <w:rsid w:val="00AF6CB8"/>
    <w:rsid w:val="00AF744C"/>
    <w:rsid w:val="00B00C0E"/>
    <w:rsid w:val="00B01905"/>
    <w:rsid w:val="00B01B1A"/>
    <w:rsid w:val="00B034F7"/>
    <w:rsid w:val="00B0381D"/>
    <w:rsid w:val="00B258BA"/>
    <w:rsid w:val="00B44A47"/>
    <w:rsid w:val="00B452B2"/>
    <w:rsid w:val="00B50C95"/>
    <w:rsid w:val="00B554D3"/>
    <w:rsid w:val="00B61BA1"/>
    <w:rsid w:val="00B72CD3"/>
    <w:rsid w:val="00B72FFF"/>
    <w:rsid w:val="00B85924"/>
    <w:rsid w:val="00B869CD"/>
    <w:rsid w:val="00B9394F"/>
    <w:rsid w:val="00B9463F"/>
    <w:rsid w:val="00B97470"/>
    <w:rsid w:val="00B975D0"/>
    <w:rsid w:val="00BA2AE4"/>
    <w:rsid w:val="00BA7E80"/>
    <w:rsid w:val="00BB4273"/>
    <w:rsid w:val="00BC3D36"/>
    <w:rsid w:val="00BD54A6"/>
    <w:rsid w:val="00BD7CB5"/>
    <w:rsid w:val="00BD7F72"/>
    <w:rsid w:val="00BF0FA1"/>
    <w:rsid w:val="00BF3A72"/>
    <w:rsid w:val="00BF73A6"/>
    <w:rsid w:val="00BF7425"/>
    <w:rsid w:val="00C00996"/>
    <w:rsid w:val="00C04FB3"/>
    <w:rsid w:val="00C10EED"/>
    <w:rsid w:val="00C11354"/>
    <w:rsid w:val="00C11D8B"/>
    <w:rsid w:val="00C12813"/>
    <w:rsid w:val="00C12C62"/>
    <w:rsid w:val="00C15139"/>
    <w:rsid w:val="00C16BEE"/>
    <w:rsid w:val="00C16CC7"/>
    <w:rsid w:val="00C21ADE"/>
    <w:rsid w:val="00C22B4A"/>
    <w:rsid w:val="00C26D9F"/>
    <w:rsid w:val="00C27C70"/>
    <w:rsid w:val="00C330EB"/>
    <w:rsid w:val="00C337CD"/>
    <w:rsid w:val="00C33B4F"/>
    <w:rsid w:val="00C375E8"/>
    <w:rsid w:val="00C41F9F"/>
    <w:rsid w:val="00C42AFF"/>
    <w:rsid w:val="00C43CF9"/>
    <w:rsid w:val="00C465BB"/>
    <w:rsid w:val="00C50D69"/>
    <w:rsid w:val="00C5365C"/>
    <w:rsid w:val="00C5379E"/>
    <w:rsid w:val="00C54759"/>
    <w:rsid w:val="00C55D75"/>
    <w:rsid w:val="00C56BB6"/>
    <w:rsid w:val="00C578D9"/>
    <w:rsid w:val="00C5792D"/>
    <w:rsid w:val="00C602B1"/>
    <w:rsid w:val="00C60EED"/>
    <w:rsid w:val="00C6180C"/>
    <w:rsid w:val="00C632DE"/>
    <w:rsid w:val="00C73472"/>
    <w:rsid w:val="00C74891"/>
    <w:rsid w:val="00C751EF"/>
    <w:rsid w:val="00C754BE"/>
    <w:rsid w:val="00C76B1C"/>
    <w:rsid w:val="00C77C34"/>
    <w:rsid w:val="00C832A2"/>
    <w:rsid w:val="00C83D57"/>
    <w:rsid w:val="00C864BD"/>
    <w:rsid w:val="00C92378"/>
    <w:rsid w:val="00C925AC"/>
    <w:rsid w:val="00C9428F"/>
    <w:rsid w:val="00CA2A1D"/>
    <w:rsid w:val="00CA564E"/>
    <w:rsid w:val="00CB0D8A"/>
    <w:rsid w:val="00CB47AC"/>
    <w:rsid w:val="00CB6357"/>
    <w:rsid w:val="00CB74D4"/>
    <w:rsid w:val="00CC1B26"/>
    <w:rsid w:val="00CC2E72"/>
    <w:rsid w:val="00CC3990"/>
    <w:rsid w:val="00CC5569"/>
    <w:rsid w:val="00CC7966"/>
    <w:rsid w:val="00CD57AC"/>
    <w:rsid w:val="00CD5C26"/>
    <w:rsid w:val="00CE4322"/>
    <w:rsid w:val="00CF1842"/>
    <w:rsid w:val="00CF5E49"/>
    <w:rsid w:val="00CF78AF"/>
    <w:rsid w:val="00D00D10"/>
    <w:rsid w:val="00D141E6"/>
    <w:rsid w:val="00D146D4"/>
    <w:rsid w:val="00D22817"/>
    <w:rsid w:val="00D22DC0"/>
    <w:rsid w:val="00D25368"/>
    <w:rsid w:val="00D321A6"/>
    <w:rsid w:val="00D33C09"/>
    <w:rsid w:val="00D34958"/>
    <w:rsid w:val="00D35152"/>
    <w:rsid w:val="00D361FD"/>
    <w:rsid w:val="00D36A4E"/>
    <w:rsid w:val="00D404D3"/>
    <w:rsid w:val="00D40A09"/>
    <w:rsid w:val="00D423A2"/>
    <w:rsid w:val="00D4350D"/>
    <w:rsid w:val="00D4355C"/>
    <w:rsid w:val="00D44E26"/>
    <w:rsid w:val="00D520D8"/>
    <w:rsid w:val="00D53A3C"/>
    <w:rsid w:val="00D60368"/>
    <w:rsid w:val="00D61165"/>
    <w:rsid w:val="00D61978"/>
    <w:rsid w:val="00D62FCB"/>
    <w:rsid w:val="00D634EE"/>
    <w:rsid w:val="00D63AC2"/>
    <w:rsid w:val="00D64BD9"/>
    <w:rsid w:val="00D7383B"/>
    <w:rsid w:val="00D7473A"/>
    <w:rsid w:val="00D7788A"/>
    <w:rsid w:val="00D80161"/>
    <w:rsid w:val="00D808CE"/>
    <w:rsid w:val="00D85788"/>
    <w:rsid w:val="00D91D4F"/>
    <w:rsid w:val="00D92BA6"/>
    <w:rsid w:val="00DA04F3"/>
    <w:rsid w:val="00DA231B"/>
    <w:rsid w:val="00DA3530"/>
    <w:rsid w:val="00DA5DE4"/>
    <w:rsid w:val="00DB21DD"/>
    <w:rsid w:val="00DB4ABE"/>
    <w:rsid w:val="00DC30DD"/>
    <w:rsid w:val="00DC39FC"/>
    <w:rsid w:val="00DC4276"/>
    <w:rsid w:val="00DC7242"/>
    <w:rsid w:val="00DD7048"/>
    <w:rsid w:val="00DE0ED7"/>
    <w:rsid w:val="00DE1BA8"/>
    <w:rsid w:val="00DE1EFF"/>
    <w:rsid w:val="00DF3CE1"/>
    <w:rsid w:val="00DF5254"/>
    <w:rsid w:val="00DF5E43"/>
    <w:rsid w:val="00DF7FB0"/>
    <w:rsid w:val="00E02524"/>
    <w:rsid w:val="00E073BC"/>
    <w:rsid w:val="00E1081F"/>
    <w:rsid w:val="00E11A51"/>
    <w:rsid w:val="00E16408"/>
    <w:rsid w:val="00E16E6D"/>
    <w:rsid w:val="00E20894"/>
    <w:rsid w:val="00E20F22"/>
    <w:rsid w:val="00E245AB"/>
    <w:rsid w:val="00E25F3A"/>
    <w:rsid w:val="00E2764C"/>
    <w:rsid w:val="00E27F2E"/>
    <w:rsid w:val="00E30CE7"/>
    <w:rsid w:val="00E314D2"/>
    <w:rsid w:val="00E32F7E"/>
    <w:rsid w:val="00E40E2D"/>
    <w:rsid w:val="00E43D38"/>
    <w:rsid w:val="00E44733"/>
    <w:rsid w:val="00E50AFE"/>
    <w:rsid w:val="00E554A1"/>
    <w:rsid w:val="00E617E3"/>
    <w:rsid w:val="00E67D6D"/>
    <w:rsid w:val="00E73CD6"/>
    <w:rsid w:val="00E75C92"/>
    <w:rsid w:val="00E771DC"/>
    <w:rsid w:val="00E8293E"/>
    <w:rsid w:val="00E8597A"/>
    <w:rsid w:val="00E8772A"/>
    <w:rsid w:val="00E905E2"/>
    <w:rsid w:val="00E90F6B"/>
    <w:rsid w:val="00E92C27"/>
    <w:rsid w:val="00EA0DCB"/>
    <w:rsid w:val="00EA0E3D"/>
    <w:rsid w:val="00EA1650"/>
    <w:rsid w:val="00EA1846"/>
    <w:rsid w:val="00EA1E94"/>
    <w:rsid w:val="00EA2C69"/>
    <w:rsid w:val="00EA65DE"/>
    <w:rsid w:val="00EB26A2"/>
    <w:rsid w:val="00EC2096"/>
    <w:rsid w:val="00EC38A7"/>
    <w:rsid w:val="00EC79A2"/>
    <w:rsid w:val="00ED300E"/>
    <w:rsid w:val="00EE1AA8"/>
    <w:rsid w:val="00EE1AE6"/>
    <w:rsid w:val="00EE3E0F"/>
    <w:rsid w:val="00EE40BC"/>
    <w:rsid w:val="00EF437B"/>
    <w:rsid w:val="00F033F3"/>
    <w:rsid w:val="00F03C66"/>
    <w:rsid w:val="00F070D7"/>
    <w:rsid w:val="00F133E0"/>
    <w:rsid w:val="00F15EA5"/>
    <w:rsid w:val="00F17C48"/>
    <w:rsid w:val="00F207E2"/>
    <w:rsid w:val="00F21A9D"/>
    <w:rsid w:val="00F23FEA"/>
    <w:rsid w:val="00F26B5A"/>
    <w:rsid w:val="00F31EDC"/>
    <w:rsid w:val="00F32FEC"/>
    <w:rsid w:val="00F34B7E"/>
    <w:rsid w:val="00F37728"/>
    <w:rsid w:val="00F37ADE"/>
    <w:rsid w:val="00F42A4A"/>
    <w:rsid w:val="00F446E3"/>
    <w:rsid w:val="00F44936"/>
    <w:rsid w:val="00F462B3"/>
    <w:rsid w:val="00F4700A"/>
    <w:rsid w:val="00F502EE"/>
    <w:rsid w:val="00F5188A"/>
    <w:rsid w:val="00F52600"/>
    <w:rsid w:val="00F53AAD"/>
    <w:rsid w:val="00F54D53"/>
    <w:rsid w:val="00F5664F"/>
    <w:rsid w:val="00F56851"/>
    <w:rsid w:val="00F578BA"/>
    <w:rsid w:val="00F62223"/>
    <w:rsid w:val="00F666C4"/>
    <w:rsid w:val="00F76AFC"/>
    <w:rsid w:val="00F80A26"/>
    <w:rsid w:val="00F87489"/>
    <w:rsid w:val="00F90306"/>
    <w:rsid w:val="00F93473"/>
    <w:rsid w:val="00F97C59"/>
    <w:rsid w:val="00FA47C0"/>
    <w:rsid w:val="00FB2EB2"/>
    <w:rsid w:val="00FB560F"/>
    <w:rsid w:val="00FB59D7"/>
    <w:rsid w:val="00FB5DD1"/>
    <w:rsid w:val="00FB7E3A"/>
    <w:rsid w:val="00FC2B5D"/>
    <w:rsid w:val="00FC6DA1"/>
    <w:rsid w:val="00FC7076"/>
    <w:rsid w:val="00FC76C0"/>
    <w:rsid w:val="00FD002B"/>
    <w:rsid w:val="00FD1E41"/>
    <w:rsid w:val="00FD20EF"/>
    <w:rsid w:val="00FD3E16"/>
    <w:rsid w:val="00FE0A8B"/>
    <w:rsid w:val="00FE3E7C"/>
    <w:rsid w:val="00FF1449"/>
    <w:rsid w:val="00FF2108"/>
    <w:rsid w:val="00FF3652"/>
    <w:rsid w:val="00FF4119"/>
    <w:rsid w:val="00FF745C"/>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E670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E6708"/>
    <w:rPr>
      <w:rFonts w:ascii="Geomanist Light" w:hAnsi="Geomanist Light"/>
      <w:lang w:val="es-ES"/>
    </w:rPr>
  </w:style>
  <w:style w:type="character" w:customStyle="1" w:styleId="NormalWebCar">
    <w:name w:val="Normal (Web) Car"/>
    <w:link w:val="NormalWeb"/>
    <w:uiPriority w:val="99"/>
    <w:rsid w:val="003E6708"/>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3E6708"/>
    <w:pPr>
      <w:spacing w:after="0" w:line="240" w:lineRule="auto"/>
    </w:pPr>
    <w:rPr>
      <w:sz w:val="24"/>
      <w:lang w:val="es-MX"/>
    </w:rPr>
  </w:style>
  <w:style w:type="character" w:customStyle="1" w:styleId="grame">
    <w:name w:val="grame"/>
    <w:basedOn w:val="Fuentedeprrafopredeter"/>
    <w:rsid w:val="00FF3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caldiabogota.gov.co/sisjur/normas/Norma1.jsp?dt=S&amp;i=304" TargetMode="External"/><Relationship Id="rId18"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lidiabuitrago2026@gmail.com" TargetMode="External"/><Relationship Id="rId17"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8D9AC-23A5-4DC8-A911-AFBF83196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8A93531D-73E5-46E8-8A49-6F98E2DD0E9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14</Pages>
  <Words>5248</Words>
  <Characters>28864</Characters>
  <Application>Microsoft Office Word</Application>
  <DocSecurity>0</DocSecurity>
  <Lines>240</Lines>
  <Paragraphs>68</Paragraphs>
  <ScaleCrop>false</ScaleCrop>
  <Company/>
  <LinksUpToDate>false</LinksUpToDate>
  <CharactersWithSpaces>34044</CharactersWithSpaces>
  <SharedDoc>false</SharedDoc>
  <HLinks>
    <vt:vector size="6" baseType="variant">
      <vt:variant>
        <vt:i4>7209021</vt:i4>
      </vt:variant>
      <vt:variant>
        <vt:i4>0</vt:i4>
      </vt:variant>
      <vt:variant>
        <vt:i4>0</vt:i4>
      </vt:variant>
      <vt:variant>
        <vt:i4>5</vt:i4>
      </vt:variant>
      <vt:variant>
        <vt:lpwstr>https://relatoria.colombiacompra.gov.co/busqueda/concept 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2026-08-31T21:05:00Z</dcterms:created>
  <dcterms:modified xsi:type="dcterms:W3CDTF">2026-08-31T21:45:00Z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