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29FEC" w14:textId="77777777" w:rsidR="00AA73C0" w:rsidRPr="00BB3BE4" w:rsidRDefault="00AA73C0" w:rsidP="00AA73C0">
      <w:pPr>
        <w:tabs>
          <w:tab w:val="left" w:pos="709"/>
        </w:tabs>
        <w:spacing w:after="0" w:line="240" w:lineRule="auto"/>
        <w:jc w:val="both"/>
        <w:rPr>
          <w:rFonts w:ascii="Verdana" w:eastAsia="Calibri" w:hAnsi="Verdana" w:cs="Arial"/>
          <w:b/>
          <w:lang w:val="es-ES_tradnl" w:eastAsia="es-ES_tradnl"/>
        </w:rPr>
      </w:pPr>
      <w:r w:rsidRPr="00BB3BE4">
        <w:rPr>
          <w:rFonts w:ascii="Verdana" w:eastAsia="Calibri" w:hAnsi="Verdana" w:cs="Arial"/>
          <w:b/>
          <w:lang w:val="es-ES_tradnl" w:eastAsia="es-ES_tradnl"/>
        </w:rPr>
        <w:t>PROPONENTE PLURAL ‒ Consorcio ‒ Uni</w:t>
      </w:r>
      <w:r w:rsidRPr="00BB3BE4">
        <w:rPr>
          <w:rFonts w:ascii="Verdana" w:eastAsia="Calibri" w:hAnsi="Verdana" w:cs="Century Gothic"/>
          <w:b/>
          <w:lang w:val="es-ES_tradnl" w:eastAsia="es-ES_tradnl"/>
        </w:rPr>
        <w:t>ó</w:t>
      </w:r>
      <w:r w:rsidRPr="00BB3BE4">
        <w:rPr>
          <w:rFonts w:ascii="Verdana" w:eastAsia="Calibri" w:hAnsi="Verdana" w:cs="Arial"/>
          <w:b/>
          <w:lang w:val="es-ES_tradnl" w:eastAsia="es-ES_tradnl"/>
        </w:rPr>
        <w:t xml:space="preserve">n temporal ‒ Concepto </w:t>
      </w:r>
      <w:r w:rsidRPr="00BB3BE4">
        <w:rPr>
          <w:rFonts w:ascii="Verdana" w:eastAsia="Calibri" w:hAnsi="Verdana" w:cs="Century Gothic"/>
          <w:b/>
          <w:lang w:val="es-ES_tradnl" w:eastAsia="es-ES_tradnl"/>
        </w:rPr>
        <w:t>–</w:t>
      </w:r>
      <w:r w:rsidRPr="00BB3BE4">
        <w:rPr>
          <w:rFonts w:ascii="Verdana" w:eastAsia="Calibri" w:hAnsi="Verdana" w:cs="Arial"/>
          <w:b/>
          <w:lang w:val="es-ES_tradnl" w:eastAsia="es-ES_tradnl"/>
        </w:rPr>
        <w:t xml:space="preserve"> Diferencias</w:t>
      </w:r>
    </w:p>
    <w:p w14:paraId="688E061C" w14:textId="77777777" w:rsidR="00AA73C0" w:rsidRPr="00BB3BE4" w:rsidRDefault="00AA73C0" w:rsidP="00AA73C0">
      <w:pPr>
        <w:tabs>
          <w:tab w:val="left" w:pos="709"/>
        </w:tabs>
        <w:spacing w:after="0" w:line="240" w:lineRule="auto"/>
        <w:jc w:val="both"/>
        <w:rPr>
          <w:rFonts w:ascii="Verdana" w:eastAsia="Calibri" w:hAnsi="Verdana" w:cs="Arial"/>
          <w:bCs/>
          <w:sz w:val="20"/>
          <w:szCs w:val="20"/>
          <w:lang w:val="es-ES_tradnl" w:eastAsia="es-ES_tradnl"/>
        </w:rPr>
      </w:pPr>
    </w:p>
    <w:p w14:paraId="2B8D5729" w14:textId="77777777" w:rsidR="00AA73C0" w:rsidRPr="00BB3BE4" w:rsidRDefault="00AA73C0" w:rsidP="00AA73C0">
      <w:pPr>
        <w:spacing w:after="0" w:line="240" w:lineRule="auto"/>
        <w:jc w:val="both"/>
        <w:rPr>
          <w:rFonts w:ascii="Verdana" w:hAnsi="Verdana" w:cs="Arial"/>
          <w:color w:val="000000" w:themeColor="text1"/>
          <w:sz w:val="20"/>
          <w:szCs w:val="20"/>
        </w:rPr>
      </w:pPr>
      <w:r w:rsidRPr="00BB3BE4">
        <w:rPr>
          <w:rFonts w:ascii="Verdana" w:hAnsi="Verdana" w:cs="Arial"/>
          <w:color w:val="000000" w:themeColor="text1"/>
          <w:sz w:val="20"/>
          <w:szCs w:val="20"/>
        </w:rPr>
        <w:t xml:space="preserve">[…] los consorcios o uniones temporales son convenios de asociación provenientes de la colaboración empresarial, mediante los cuales sus integrantes se unen y se organizan mancomunadamente para lograr con mayor eficacia un fin común de contenido patrimonial y lucrativo, como lo es la obtención del derecho a ser adjudicatarios de un contrato estatal, compartiendo recursos, de toda índole, para su ejecución, así como las utilidades y los riesgos. La diferencia radica en la responsabilidad frente a las eventuales sanciones por el incumplimiento de las obligaciones, toda vez que tratándose de una unión temporal, estas se individualizan según la participación de sus miembros, mientras que en el consorcio los miembros responden solidariamente, con independencia de este aspecto.  </w:t>
      </w:r>
    </w:p>
    <w:p w14:paraId="68558474" w14:textId="77777777" w:rsidR="00AA73C0" w:rsidRPr="00BB3BE4" w:rsidRDefault="00AA73C0" w:rsidP="00AA73C0">
      <w:pPr>
        <w:spacing w:after="0" w:line="240" w:lineRule="auto"/>
        <w:jc w:val="both"/>
        <w:rPr>
          <w:rFonts w:ascii="Verdana" w:hAnsi="Verdana" w:cs="Arial"/>
          <w:color w:val="000000" w:themeColor="text1"/>
          <w:sz w:val="20"/>
          <w:szCs w:val="20"/>
        </w:rPr>
      </w:pPr>
      <w:r w:rsidRPr="00BB3BE4">
        <w:rPr>
          <w:rFonts w:ascii="Verdana" w:hAnsi="Verdana" w:cs="Arial"/>
          <w:color w:val="000000" w:themeColor="text1"/>
          <w:sz w:val="20"/>
          <w:szCs w:val="20"/>
        </w:rPr>
        <w:t xml:space="preserve"> </w:t>
      </w:r>
    </w:p>
    <w:p w14:paraId="33C737B3" w14:textId="77777777" w:rsidR="00AA73C0" w:rsidRPr="00BB3BE4" w:rsidRDefault="00AA73C0" w:rsidP="00AA73C0">
      <w:pPr>
        <w:tabs>
          <w:tab w:val="left" w:pos="709"/>
        </w:tabs>
        <w:spacing w:after="0" w:line="240" w:lineRule="auto"/>
        <w:jc w:val="both"/>
        <w:rPr>
          <w:rFonts w:ascii="Verdana" w:eastAsia="Calibri" w:hAnsi="Verdana" w:cs="Arial"/>
          <w:b/>
          <w:color w:val="000000" w:themeColor="text1"/>
        </w:rPr>
      </w:pPr>
      <w:r w:rsidRPr="00BB3BE4">
        <w:rPr>
          <w:rFonts w:ascii="Verdana" w:eastAsia="Calibri" w:hAnsi="Verdana" w:cs="Arial"/>
          <w:b/>
          <w:lang w:val="es-ES_tradnl" w:eastAsia="es-ES_tradnl"/>
        </w:rPr>
        <w:t xml:space="preserve">CONSORCIOS Y UNIONES TEMPORALES – </w:t>
      </w:r>
      <w:r>
        <w:rPr>
          <w:rFonts w:ascii="Verdana" w:eastAsia="Calibri" w:hAnsi="Verdana" w:cs="Arial"/>
          <w:b/>
          <w:lang w:val="es-ES_tradnl" w:eastAsia="es-ES_tradnl"/>
        </w:rPr>
        <w:t>Responsabilidad solidaria</w:t>
      </w:r>
      <w:r w:rsidRPr="00BB3BE4">
        <w:rPr>
          <w:rFonts w:ascii="Verdana" w:eastAsia="Calibri" w:hAnsi="Verdana" w:cs="Arial"/>
          <w:b/>
          <w:lang w:val="es-ES_tradnl" w:eastAsia="es-ES_tradnl"/>
        </w:rPr>
        <w:t xml:space="preserve"> </w:t>
      </w:r>
    </w:p>
    <w:p w14:paraId="7CB09488" w14:textId="77777777" w:rsidR="00AA73C0" w:rsidRPr="00BB3BE4" w:rsidRDefault="00AA73C0" w:rsidP="00AA73C0">
      <w:pPr>
        <w:spacing w:after="0" w:line="240" w:lineRule="auto"/>
        <w:jc w:val="both"/>
        <w:rPr>
          <w:rFonts w:ascii="Verdana" w:eastAsia="Calibri" w:hAnsi="Verdana" w:cs="Arial"/>
          <w:bCs/>
          <w:sz w:val="20"/>
          <w:szCs w:val="20"/>
          <w:lang w:val="es-ES_tradnl" w:eastAsia="es-ES_tradnl"/>
        </w:rPr>
      </w:pPr>
    </w:p>
    <w:p w14:paraId="1D3F22B0" w14:textId="77777777" w:rsidR="00AA73C0" w:rsidRDefault="00AA73C0" w:rsidP="00AA73C0">
      <w:pPr>
        <w:spacing w:after="0" w:line="240" w:lineRule="auto"/>
        <w:jc w:val="both"/>
        <w:rPr>
          <w:rFonts w:ascii="Verdana" w:hAnsi="Verdana" w:cs="Arial"/>
          <w:color w:val="000000" w:themeColor="text1"/>
          <w:sz w:val="20"/>
          <w:szCs w:val="20"/>
        </w:rPr>
      </w:pPr>
      <w:r>
        <w:rPr>
          <w:rFonts w:ascii="Verdana" w:eastAsia="Calibri" w:hAnsi="Verdana" w:cs="Arial"/>
          <w:bCs/>
          <w:color w:val="000000" w:themeColor="text1"/>
          <w:sz w:val="20"/>
          <w:szCs w:val="20"/>
          <w:lang w:val="es-ES"/>
        </w:rPr>
        <w:t>D</w:t>
      </w:r>
      <w:r w:rsidRPr="00B97F89">
        <w:rPr>
          <w:rFonts w:ascii="Verdana" w:eastAsia="Calibri" w:hAnsi="Verdana" w:cs="Arial"/>
          <w:bCs/>
          <w:color w:val="000000" w:themeColor="text1"/>
          <w:sz w:val="20"/>
          <w:szCs w:val="20"/>
          <w:lang w:val="es-ES"/>
        </w:rPr>
        <w:t>e acuerdo con los numerales 6 y 7 del artículo 7 de la Ley 80 de 1993, el consorcio o la unión temporal se da “Cuando dos o más personas en forma conjunta presentan una misma propuesta para la adjudicación, celebración y ejecución de un contrato, respondiendo solidariamente de todas y cada una de las obligaciones derivadas de la propuesta y del contrato […]”.</w:t>
      </w:r>
      <w:r>
        <w:rPr>
          <w:rFonts w:ascii="Verdana" w:eastAsia="Calibri" w:hAnsi="Verdana" w:cs="Arial"/>
          <w:bCs/>
          <w:color w:val="000000" w:themeColor="text1"/>
          <w:sz w:val="20"/>
          <w:szCs w:val="20"/>
          <w:lang w:val="es-ES"/>
        </w:rPr>
        <w:t xml:space="preserve"> </w:t>
      </w:r>
      <w:r w:rsidRPr="00B97F89">
        <w:rPr>
          <w:rFonts w:ascii="Verdana" w:eastAsia="Calibri" w:hAnsi="Verdana" w:cs="Arial"/>
          <w:bCs/>
          <w:color w:val="000000" w:themeColor="text1"/>
          <w:sz w:val="20"/>
          <w:szCs w:val="20"/>
          <w:lang w:val="es-ES"/>
        </w:rPr>
        <w:t>Así como existe participación conjunta en la presentación de la propuesta, todos los integrantes de la estructura plural deben participar en la ejecución del contrato, pues existe solidaridad en el cumplimiento de las obligaciones. Por remisión de los artículos 13, 32 y 40 del EGCAP al artículo 1568 del Código Civil, las obligaciones son solidarias cuando “[…] existiendo varios deudores de un mismo objeto divisible, el acreedor puede exigir, por el ministerio de la ley o por la convención, el total a cada uno de ellos, y el pago que haga cualquiera de los deudores extingue la obligación respecto de todos”. Esto significa que la entidad contratante puede exigir a cualquiera de los miembros del consorcio o la unión temporal el cumplimiento de lo pactado; razón por la cual, todos los integrantes de la estructura plural deben estar en capacidad para desarrollar actividades tendientes a la prestación de lo debido</w:t>
      </w:r>
      <w:r w:rsidRPr="00BB3BE4">
        <w:rPr>
          <w:rFonts w:ascii="Verdana" w:hAnsi="Verdana" w:cs="Arial"/>
          <w:color w:val="000000" w:themeColor="text1"/>
          <w:sz w:val="20"/>
          <w:szCs w:val="20"/>
        </w:rPr>
        <w:t>.</w:t>
      </w:r>
    </w:p>
    <w:p w14:paraId="1A228864" w14:textId="77777777" w:rsidR="00AA73C0" w:rsidRPr="005F4A7C" w:rsidRDefault="00AA73C0" w:rsidP="00AA73C0">
      <w:pPr>
        <w:spacing w:after="0" w:line="240" w:lineRule="auto"/>
        <w:jc w:val="both"/>
        <w:rPr>
          <w:rFonts w:ascii="Verdana" w:eastAsia="Calibri" w:hAnsi="Verdana" w:cs="Arial"/>
          <w:bCs/>
          <w:color w:val="000000" w:themeColor="text1"/>
          <w:sz w:val="20"/>
          <w:szCs w:val="20"/>
          <w:lang w:val="es-ES"/>
        </w:rPr>
      </w:pPr>
    </w:p>
    <w:p w14:paraId="39D71E9F" w14:textId="77777777" w:rsidR="00AA73C0" w:rsidRPr="005F4A7C" w:rsidRDefault="00AA73C0" w:rsidP="00AA73C0">
      <w:pPr>
        <w:tabs>
          <w:tab w:val="left" w:pos="6551"/>
        </w:tabs>
        <w:spacing w:after="0" w:line="240" w:lineRule="auto"/>
        <w:jc w:val="both"/>
        <w:rPr>
          <w:rFonts w:ascii="Verdana" w:eastAsia="Calibri" w:hAnsi="Verdana" w:cs="Arial"/>
          <w:b/>
          <w:color w:val="000000" w:themeColor="text1"/>
          <w:lang w:val="es-ES_tradnl"/>
        </w:rPr>
      </w:pPr>
      <w:r w:rsidRPr="005F4A7C">
        <w:rPr>
          <w:rFonts w:ascii="Verdana" w:eastAsia="Calibri" w:hAnsi="Verdana" w:cs="Arial"/>
          <w:b/>
          <w:color w:val="000000" w:themeColor="text1"/>
          <w:lang w:val="es-ES_tradnl"/>
        </w:rPr>
        <w:t xml:space="preserve">PROCEDIMIENTOS CONTRACTUALES – </w:t>
      </w:r>
      <w:bookmarkStart w:id="0" w:name="_Hlk143674453"/>
      <w:r w:rsidRPr="005F4A7C">
        <w:rPr>
          <w:rFonts w:ascii="Verdana" w:eastAsia="Calibri" w:hAnsi="Verdana" w:cs="Arial"/>
          <w:b/>
          <w:color w:val="000000" w:themeColor="text1"/>
          <w:lang w:val="es-ES_tradnl"/>
        </w:rPr>
        <w:t xml:space="preserve">Principios de igualdad y libre concurrencia </w:t>
      </w:r>
      <w:bookmarkEnd w:id="0"/>
      <w:r w:rsidRPr="005F4A7C">
        <w:rPr>
          <w:rFonts w:ascii="Verdana" w:eastAsia="Calibri" w:hAnsi="Verdana" w:cs="Arial"/>
          <w:b/>
          <w:color w:val="000000" w:themeColor="text1"/>
          <w:lang w:val="es-ES_tradnl"/>
        </w:rPr>
        <w:t xml:space="preserve">– Entidades sometidas – Alcance  </w:t>
      </w:r>
    </w:p>
    <w:p w14:paraId="0CBE9FBE" w14:textId="77777777" w:rsidR="00AA73C0" w:rsidRPr="005F4A7C" w:rsidRDefault="00AA73C0" w:rsidP="00AA73C0">
      <w:pPr>
        <w:tabs>
          <w:tab w:val="left" w:pos="6551"/>
        </w:tabs>
        <w:spacing w:after="0" w:line="240" w:lineRule="auto"/>
        <w:jc w:val="both"/>
        <w:rPr>
          <w:rFonts w:ascii="Verdana" w:eastAsia="Calibri" w:hAnsi="Verdana" w:cs="Arial"/>
          <w:b/>
          <w:color w:val="000000" w:themeColor="text1"/>
          <w:lang w:val="es-ES_tradnl"/>
        </w:rPr>
      </w:pPr>
    </w:p>
    <w:p w14:paraId="0802F7AC" w14:textId="77777777" w:rsidR="00AA73C0" w:rsidRPr="005F4A7C" w:rsidRDefault="00AA73C0" w:rsidP="00AA73C0">
      <w:pPr>
        <w:widowControl w:val="0"/>
        <w:autoSpaceDE w:val="0"/>
        <w:autoSpaceDN w:val="0"/>
        <w:spacing w:line="240" w:lineRule="auto"/>
        <w:contextualSpacing/>
        <w:jc w:val="both"/>
        <w:rPr>
          <w:rFonts w:ascii="Verdana" w:eastAsia="Calibri" w:hAnsi="Verdana" w:cs="Arial"/>
          <w:bCs/>
          <w:sz w:val="20"/>
          <w:szCs w:val="20"/>
        </w:rPr>
      </w:pPr>
      <w:r w:rsidRPr="005F4A7C">
        <w:rPr>
          <w:rFonts w:ascii="Verdana" w:eastAsia="Calibri" w:hAnsi="Verdana" w:cs="Arial"/>
          <w:bCs/>
          <w:sz w:val="20"/>
          <w:szCs w:val="20"/>
        </w:rPr>
        <w:t xml:space="preserve">Salvo las </w:t>
      </w:r>
      <w:bookmarkStart w:id="1" w:name="_Hlk143674710"/>
      <w:r w:rsidRPr="005F4A7C">
        <w:rPr>
          <w:rFonts w:ascii="Verdana" w:eastAsia="Calibri" w:hAnsi="Verdana" w:cs="Arial"/>
          <w:bCs/>
          <w:sz w:val="20"/>
          <w:szCs w:val="20"/>
        </w:rPr>
        <w:t xml:space="preserve">convocatorias limitadas a </w:t>
      </w:r>
      <w:proofErr w:type="spellStart"/>
      <w:r w:rsidRPr="005F4A7C">
        <w:rPr>
          <w:rFonts w:ascii="Verdana" w:eastAsia="Calibri" w:hAnsi="Verdana" w:cs="Arial"/>
          <w:bCs/>
          <w:sz w:val="20"/>
          <w:szCs w:val="20"/>
        </w:rPr>
        <w:t>Mipymes</w:t>
      </w:r>
      <w:bookmarkEnd w:id="1"/>
      <w:proofErr w:type="spellEnd"/>
      <w:r w:rsidRPr="005F4A7C">
        <w:rPr>
          <w:rFonts w:ascii="Verdana" w:eastAsia="Calibri" w:hAnsi="Verdana" w:cs="Arial"/>
          <w:bCs/>
          <w:sz w:val="20"/>
          <w:szCs w:val="20"/>
        </w:rPr>
        <w:t xml:space="preserve"> nacionales o territoriales, en los procedimientos de selección competitivos del artículo 2 de la Ley 1150 de 2007 rige el principio de igualdad y concurrencia. Esto significa que debe garantizarse la pluralidad de oferentes como condición necesaria para escoger la oferta más favorable a los intereses de la entidad. Esta prohibición de trato discriminatorio respecto a la posibilidad que tienen los proponentes de presentarse a las licitaciones o concursos es acorde al principio de selección objetiva, el cual define el artículo 5 de la Ley 1150 de 2007 como la escogencia realizada sin tener en consideración factores de afecto o de interés y, en general, cualquier clase de motivación subjetiva.</w:t>
      </w:r>
    </w:p>
    <w:p w14:paraId="74E42513" w14:textId="77777777" w:rsidR="00AA73C0" w:rsidRPr="005F4A7C" w:rsidRDefault="00AA73C0" w:rsidP="00AA73C0">
      <w:pPr>
        <w:widowControl w:val="0"/>
        <w:autoSpaceDE w:val="0"/>
        <w:autoSpaceDN w:val="0"/>
        <w:spacing w:line="240" w:lineRule="auto"/>
        <w:contextualSpacing/>
        <w:jc w:val="both"/>
        <w:rPr>
          <w:rFonts w:ascii="Verdana" w:eastAsia="Calibri" w:hAnsi="Verdana" w:cs="Arial"/>
          <w:bCs/>
          <w:sz w:val="20"/>
          <w:szCs w:val="20"/>
        </w:rPr>
      </w:pPr>
    </w:p>
    <w:p w14:paraId="6F6F2E74" w14:textId="77777777" w:rsidR="00AA73C0" w:rsidRDefault="00AA73C0" w:rsidP="00AA73C0">
      <w:pPr>
        <w:widowControl w:val="0"/>
        <w:autoSpaceDE w:val="0"/>
        <w:autoSpaceDN w:val="0"/>
        <w:spacing w:line="240" w:lineRule="auto"/>
        <w:contextualSpacing/>
        <w:jc w:val="both"/>
        <w:rPr>
          <w:rFonts w:ascii="Verdana" w:eastAsia="Calibri" w:hAnsi="Verdana" w:cs="Arial"/>
          <w:bCs/>
          <w:sz w:val="20"/>
          <w:szCs w:val="20"/>
        </w:rPr>
      </w:pPr>
      <w:r w:rsidRPr="005F4A7C">
        <w:rPr>
          <w:rFonts w:ascii="Verdana" w:eastAsia="Calibri" w:hAnsi="Verdana" w:cs="Arial"/>
          <w:bCs/>
          <w:sz w:val="20"/>
          <w:szCs w:val="20"/>
        </w:rPr>
        <w:lastRenderedPageBreak/>
        <w:t xml:space="preserve">El principio jurídico de la libre concurrencia garantiza la oposición entre los oferentes, y –como contrapartida– establece una prohibición para el Estado de restringir su participación. En esta perspectiva, es una derivación del principio de igualdad, pues supone la intervención del mayor número de candidatos en un régimen de libre competencia. Ambos se concretan en la prohibición de limitar la presentación de ofertas, pues son importantes para evitar discriminaciones por razón de la nacionalidad pretendiendo favorecer a los nacionales frente a extranjeros, y también se oponen a la exigencia de criterios de territorialidad que vulneren la libertad de empresa en una economía de mercado. Por ello, en el Concepto 2201913000006511 del 3 de septiembre de 2019, la Agencia sostuvo que, por regla general, las entidades no pueden exigir como requisito habilitante que el proponente tenga residencia en el lugar donde se ejecutará el contrato, pues afecta la libre competencia de los procesos de contratación y es una cláusula discriminatoria, sin dejar de lado que no garantiza la aptitud del proponente para ejecutar el objeto del contrato.  </w:t>
      </w:r>
    </w:p>
    <w:p w14:paraId="17560F34" w14:textId="77777777" w:rsidR="00AA73C0" w:rsidRPr="005F4A7C" w:rsidRDefault="00AA73C0" w:rsidP="00AA73C0">
      <w:pPr>
        <w:widowControl w:val="0"/>
        <w:autoSpaceDE w:val="0"/>
        <w:autoSpaceDN w:val="0"/>
        <w:spacing w:line="240" w:lineRule="auto"/>
        <w:contextualSpacing/>
        <w:jc w:val="both"/>
        <w:rPr>
          <w:rFonts w:ascii="Verdana" w:eastAsia="Calibri" w:hAnsi="Verdana" w:cs="Arial"/>
          <w:b/>
          <w:color w:val="000000" w:themeColor="text1"/>
          <w:lang w:val="es-ES_tradnl"/>
        </w:rPr>
      </w:pPr>
    </w:p>
    <w:p w14:paraId="5B92097E" w14:textId="77777777" w:rsidR="00AA73C0" w:rsidRPr="005F4A7C" w:rsidRDefault="00AA73C0" w:rsidP="00AA73C0">
      <w:pPr>
        <w:tabs>
          <w:tab w:val="left" w:pos="6551"/>
        </w:tabs>
        <w:spacing w:after="0" w:line="240" w:lineRule="auto"/>
        <w:jc w:val="both"/>
        <w:rPr>
          <w:rFonts w:ascii="Verdana" w:eastAsia="Calibri" w:hAnsi="Verdana" w:cs="Arial"/>
          <w:b/>
          <w:color w:val="000000" w:themeColor="text1"/>
          <w:lang w:val="es-ES_tradnl"/>
        </w:rPr>
      </w:pPr>
      <w:r w:rsidRPr="005F4A7C">
        <w:rPr>
          <w:rFonts w:ascii="Verdana" w:eastAsia="Calibri" w:hAnsi="Verdana" w:cs="Arial"/>
          <w:b/>
          <w:color w:val="000000" w:themeColor="text1"/>
          <w:lang w:val="es-ES_tradnl"/>
        </w:rPr>
        <w:t xml:space="preserve">CONVOCATORIAS LIMITADAS A MIPYMES – Limitación nacional y territorial – Trato preferencial  </w:t>
      </w:r>
    </w:p>
    <w:p w14:paraId="0C830B2E" w14:textId="77777777" w:rsidR="00AA73C0" w:rsidRPr="005F4A7C" w:rsidRDefault="00AA73C0" w:rsidP="00AA73C0">
      <w:pPr>
        <w:tabs>
          <w:tab w:val="left" w:pos="6551"/>
        </w:tabs>
        <w:spacing w:after="0" w:line="240" w:lineRule="auto"/>
        <w:jc w:val="both"/>
        <w:rPr>
          <w:rFonts w:ascii="Verdana" w:eastAsia="Calibri" w:hAnsi="Verdana" w:cs="Arial"/>
          <w:b/>
          <w:color w:val="000000" w:themeColor="text1"/>
          <w:lang w:val="es-ES_tradnl"/>
        </w:rPr>
      </w:pPr>
    </w:p>
    <w:p w14:paraId="1A50A67A" w14:textId="77777777" w:rsidR="00AA73C0" w:rsidRPr="005F4A7C" w:rsidRDefault="00AA73C0" w:rsidP="00AA73C0">
      <w:pPr>
        <w:widowControl w:val="0"/>
        <w:autoSpaceDE w:val="0"/>
        <w:autoSpaceDN w:val="0"/>
        <w:spacing w:line="240" w:lineRule="auto"/>
        <w:contextualSpacing/>
        <w:jc w:val="both"/>
        <w:rPr>
          <w:rFonts w:ascii="Verdana" w:eastAsia="Calibri" w:hAnsi="Verdana" w:cs="Arial"/>
          <w:bCs/>
          <w:sz w:val="20"/>
          <w:szCs w:val="20"/>
        </w:rPr>
      </w:pPr>
      <w:r w:rsidRPr="005F4A7C">
        <w:rPr>
          <w:rFonts w:ascii="Verdana" w:eastAsia="Calibri" w:hAnsi="Verdana" w:cs="Arial"/>
          <w:bCs/>
          <w:sz w:val="20"/>
          <w:szCs w:val="20"/>
        </w:rPr>
        <w:t xml:space="preserve">Si la convocatoria de se limita a </w:t>
      </w:r>
      <w:proofErr w:type="spellStart"/>
      <w:r w:rsidRPr="005F4A7C">
        <w:rPr>
          <w:rFonts w:ascii="Verdana" w:eastAsia="Calibri" w:hAnsi="Verdana" w:cs="Arial"/>
          <w:bCs/>
          <w:sz w:val="20"/>
          <w:szCs w:val="20"/>
        </w:rPr>
        <w:t>Mipymes</w:t>
      </w:r>
      <w:proofErr w:type="spellEnd"/>
      <w:r w:rsidRPr="005F4A7C">
        <w:rPr>
          <w:rFonts w:ascii="Verdana" w:eastAsia="Calibri" w:hAnsi="Verdana" w:cs="Arial"/>
          <w:bCs/>
          <w:sz w:val="20"/>
          <w:szCs w:val="20"/>
        </w:rPr>
        <w:t xml:space="preserve"> nacionales, quedan excluidos no solo las grandes empresas ubicadas en el territorio colombiano sino también los proponentes extranjeros. En otras palabras, el inciso primero del artículo 12 de la Ley 1150 de 2007 y el artículo 2.2.1.2.4.2.2 del Decreto 1082 de 2015 establece un trato preferencial en razón de la nacionalidad. En contraste, si la convocatoria limitada beneficia a las </w:t>
      </w:r>
      <w:proofErr w:type="spellStart"/>
      <w:r w:rsidRPr="005F4A7C">
        <w:rPr>
          <w:rFonts w:ascii="Verdana" w:eastAsia="Calibri" w:hAnsi="Verdana" w:cs="Arial"/>
          <w:bCs/>
          <w:sz w:val="20"/>
          <w:szCs w:val="20"/>
        </w:rPr>
        <w:t>Mipymes</w:t>
      </w:r>
      <w:proofErr w:type="spellEnd"/>
      <w:r w:rsidRPr="005F4A7C">
        <w:rPr>
          <w:rFonts w:ascii="Verdana" w:eastAsia="Calibri" w:hAnsi="Verdana" w:cs="Arial"/>
          <w:bCs/>
          <w:sz w:val="20"/>
          <w:szCs w:val="20"/>
        </w:rPr>
        <w:t xml:space="preserve"> del municipio o departamento correspondiente al de la ejecución del contrato, también quedan excluidas –además de los anteriores– las </w:t>
      </w:r>
      <w:proofErr w:type="spellStart"/>
      <w:r w:rsidRPr="005F4A7C">
        <w:rPr>
          <w:rFonts w:ascii="Verdana" w:eastAsia="Calibri" w:hAnsi="Verdana" w:cs="Arial"/>
          <w:bCs/>
          <w:sz w:val="20"/>
          <w:szCs w:val="20"/>
        </w:rPr>
        <w:t>Mipymes</w:t>
      </w:r>
      <w:proofErr w:type="spellEnd"/>
      <w:r w:rsidRPr="005F4A7C">
        <w:rPr>
          <w:rFonts w:ascii="Verdana" w:eastAsia="Calibri" w:hAnsi="Verdana" w:cs="Arial"/>
          <w:bCs/>
          <w:sz w:val="20"/>
          <w:szCs w:val="20"/>
        </w:rPr>
        <w:t xml:space="preserve"> de otros lugares de Colombia. Es decir, el parágrafo 1 del artículo 12 de la Ley 1150 de 2007 y el artículo 2.2.1.2.4.2.3 del Decreto 1082 de 2015 establece un trato privilegiado que se fundamenta en el territorio.  </w:t>
      </w:r>
    </w:p>
    <w:p w14:paraId="230F43BB" w14:textId="77777777" w:rsidR="00AA73C0" w:rsidRPr="005F4A7C" w:rsidRDefault="00AA73C0" w:rsidP="00AA73C0">
      <w:pPr>
        <w:widowControl w:val="0"/>
        <w:autoSpaceDE w:val="0"/>
        <w:autoSpaceDN w:val="0"/>
        <w:spacing w:line="240" w:lineRule="auto"/>
        <w:contextualSpacing/>
        <w:jc w:val="both"/>
        <w:rPr>
          <w:rFonts w:ascii="Verdana" w:eastAsia="Calibri" w:hAnsi="Verdana" w:cs="Arial"/>
          <w:b/>
          <w:color w:val="000000" w:themeColor="text1"/>
          <w:lang w:val="es-ES_tradnl"/>
        </w:rPr>
      </w:pPr>
    </w:p>
    <w:p w14:paraId="1BA61342" w14:textId="77777777" w:rsidR="00AA73C0" w:rsidRPr="005F4A7C" w:rsidRDefault="00AA73C0" w:rsidP="00AA73C0">
      <w:pPr>
        <w:tabs>
          <w:tab w:val="left" w:pos="6551"/>
        </w:tabs>
        <w:spacing w:after="0" w:line="240" w:lineRule="auto"/>
        <w:jc w:val="both"/>
        <w:rPr>
          <w:rFonts w:ascii="Verdana" w:eastAsia="Calibri" w:hAnsi="Verdana" w:cs="Arial"/>
          <w:b/>
          <w:color w:val="000000" w:themeColor="text1"/>
          <w:lang w:val="es-ES_tradnl"/>
        </w:rPr>
      </w:pPr>
      <w:r w:rsidRPr="005F4A7C">
        <w:rPr>
          <w:rFonts w:ascii="Verdana" w:eastAsia="Calibri" w:hAnsi="Verdana" w:cs="Arial"/>
          <w:b/>
          <w:color w:val="000000" w:themeColor="text1"/>
          <w:lang w:val="es-ES_tradnl"/>
        </w:rPr>
        <w:t xml:space="preserve">SOCIEDADES EXTRANJERAS CON NEGOCIO PERMANENTE EN EL PAÍS – Integrantes de proponente plural – Obligación de constituir sucursal   </w:t>
      </w:r>
    </w:p>
    <w:p w14:paraId="4D3D98E7" w14:textId="77777777" w:rsidR="00AA73C0" w:rsidRPr="005F4A7C" w:rsidRDefault="00AA73C0" w:rsidP="00AA73C0">
      <w:pPr>
        <w:tabs>
          <w:tab w:val="left" w:pos="6551"/>
        </w:tabs>
        <w:spacing w:after="0" w:line="240" w:lineRule="auto"/>
        <w:jc w:val="both"/>
        <w:rPr>
          <w:rFonts w:ascii="Verdana" w:eastAsia="Calibri" w:hAnsi="Verdana" w:cs="Arial"/>
          <w:b/>
          <w:color w:val="000000" w:themeColor="text1"/>
          <w:lang w:val="es-ES_tradnl"/>
        </w:rPr>
      </w:pPr>
    </w:p>
    <w:p w14:paraId="4F1FAC29" w14:textId="77777777" w:rsidR="00AA73C0" w:rsidRPr="005F4A7C" w:rsidRDefault="00AA73C0" w:rsidP="00AA73C0">
      <w:pPr>
        <w:widowControl w:val="0"/>
        <w:autoSpaceDE w:val="0"/>
        <w:autoSpaceDN w:val="0"/>
        <w:spacing w:line="240" w:lineRule="auto"/>
        <w:contextualSpacing/>
        <w:jc w:val="both"/>
        <w:rPr>
          <w:rFonts w:ascii="Verdana" w:eastAsia="Calibri" w:hAnsi="Verdana" w:cs="Arial"/>
          <w:bCs/>
          <w:sz w:val="20"/>
          <w:szCs w:val="20"/>
        </w:rPr>
      </w:pPr>
      <w:r>
        <w:rPr>
          <w:rFonts w:ascii="Verdana" w:eastAsia="Calibri" w:hAnsi="Verdana" w:cs="Arial"/>
          <w:bCs/>
          <w:sz w:val="20"/>
          <w:szCs w:val="20"/>
        </w:rPr>
        <w:t>S</w:t>
      </w:r>
      <w:r w:rsidRPr="005F4A7C">
        <w:rPr>
          <w:rFonts w:ascii="Verdana" w:eastAsia="Calibri" w:hAnsi="Verdana" w:cs="Arial"/>
          <w:bCs/>
          <w:sz w:val="20"/>
          <w:szCs w:val="20"/>
        </w:rPr>
        <w:t xml:space="preserve">i los proponentes extranjeros pueden presentarse al proceso de selección de forma individual, con mayor razón por hacerlo a través de un consorcio o una unión temporal. Al respecto, es necesario tener en cuenta que –en armonía con las normas del Código de Comercio– el acápite IV de la “Guía de Asuntos Corporativos en los Procesos de </w:t>
      </w:r>
      <w:proofErr w:type="spellStart"/>
      <w:r w:rsidRPr="005F4A7C">
        <w:rPr>
          <w:rFonts w:ascii="Verdana" w:eastAsia="Calibri" w:hAnsi="Verdana" w:cs="Arial"/>
          <w:bCs/>
          <w:sz w:val="20"/>
          <w:szCs w:val="20"/>
        </w:rPr>
        <w:t>Contratación</w:t>
      </w:r>
      <w:proofErr w:type="spellEnd"/>
      <w:r w:rsidRPr="005F4A7C">
        <w:rPr>
          <w:rFonts w:ascii="Verdana" w:eastAsia="Calibri" w:hAnsi="Verdana" w:cs="Arial"/>
          <w:bCs/>
          <w:sz w:val="20"/>
          <w:szCs w:val="20"/>
        </w:rPr>
        <w:t>”, expedida por la Agencia Nacional de Contratación Pública – Colombia Compra Eficiente, precisa que “Para la presentación de la oferta no será necesario que se constituya una sucursal en Colombia pues esto solo es obligatorio si se resulta adjudicatario en Procesos de Contratación que tengan por objeto la construcción de obras o la prestación de servicios, pues en estos dos casos, se entiende que la persona jurídica extranjera está ejerciendo negocios permanentes en Colombia”.</w:t>
      </w:r>
    </w:p>
    <w:p w14:paraId="0D1C7D5C" w14:textId="77777777" w:rsidR="00AA73C0" w:rsidRPr="005F4A7C" w:rsidRDefault="00AA73C0" w:rsidP="00AA73C0">
      <w:pPr>
        <w:widowControl w:val="0"/>
        <w:autoSpaceDE w:val="0"/>
        <w:autoSpaceDN w:val="0"/>
        <w:spacing w:line="240" w:lineRule="auto"/>
        <w:contextualSpacing/>
        <w:jc w:val="both"/>
        <w:rPr>
          <w:rFonts w:ascii="Verdana" w:eastAsia="Calibri" w:hAnsi="Verdana" w:cs="Arial"/>
          <w:bCs/>
          <w:sz w:val="20"/>
          <w:szCs w:val="20"/>
        </w:rPr>
      </w:pPr>
    </w:p>
    <w:p w14:paraId="1901EB72" w14:textId="77777777" w:rsidR="00AA73C0" w:rsidRPr="005F4A7C" w:rsidRDefault="00AA73C0" w:rsidP="00AA73C0">
      <w:pPr>
        <w:widowControl w:val="0"/>
        <w:autoSpaceDE w:val="0"/>
        <w:autoSpaceDN w:val="0"/>
        <w:spacing w:line="240" w:lineRule="auto"/>
        <w:contextualSpacing/>
        <w:jc w:val="both"/>
        <w:rPr>
          <w:rFonts w:ascii="Verdana" w:eastAsia="Calibri" w:hAnsi="Verdana" w:cs="Arial"/>
          <w:bCs/>
          <w:sz w:val="20"/>
          <w:szCs w:val="20"/>
        </w:rPr>
      </w:pPr>
      <w:r w:rsidRPr="005F4A7C">
        <w:rPr>
          <w:rFonts w:ascii="Verdana" w:eastAsia="Calibri" w:hAnsi="Verdana" w:cs="Arial"/>
          <w:bCs/>
          <w:sz w:val="20"/>
          <w:szCs w:val="20"/>
        </w:rPr>
        <w:t xml:space="preserve">Por lo tanto, para que una sociedad extrajera pueda desarrollar una actividad comercial considerada permanente según el artículo 474 del Código de Comercio deberá establecer </w:t>
      </w:r>
      <w:r w:rsidRPr="005F4A7C">
        <w:rPr>
          <w:rFonts w:ascii="Verdana" w:eastAsia="Calibri" w:hAnsi="Verdana" w:cs="Arial"/>
          <w:bCs/>
          <w:sz w:val="20"/>
          <w:szCs w:val="20"/>
        </w:rPr>
        <w:lastRenderedPageBreak/>
        <w:t xml:space="preserve">una sucursal con domicilio en el territorio nacional –art. 471 </w:t>
      </w:r>
      <w:r w:rsidRPr="005F4A7C">
        <w:rPr>
          <w:rFonts w:ascii="Verdana" w:eastAsia="Calibri" w:hAnsi="Verdana" w:cs="Arial"/>
          <w:bCs/>
          <w:i/>
          <w:iCs/>
          <w:sz w:val="20"/>
          <w:szCs w:val="20"/>
        </w:rPr>
        <w:t>ibidem</w:t>
      </w:r>
      <w:r w:rsidRPr="005F4A7C">
        <w:rPr>
          <w:rFonts w:ascii="Verdana" w:eastAsia="Calibri" w:hAnsi="Verdana" w:cs="Arial"/>
          <w:bCs/>
          <w:sz w:val="20"/>
          <w:szCs w:val="20"/>
        </w:rPr>
        <w:t>–, y la presencia de la sucursal en el territorio colombiano supone el cumplimiento de las obligaciones previstas en el ordenamiento jurídico, ya que “Es deber de los nacionales y de los extranjeros en Colombia acatar la Constitución y las leyes, y respetar y obedecer a las autoridades” –art. 3, inc. 2, de la Constitución Política–, por lo que “La ley es obligatoria tanto a los nacionales como a los extranjeros residentes en Colombia” –art. 18 del Código Civil–.</w:t>
      </w:r>
      <w:r>
        <w:rPr>
          <w:rFonts w:ascii="Verdana" w:eastAsia="Calibri" w:hAnsi="Verdana" w:cs="Arial"/>
          <w:bCs/>
          <w:sz w:val="20"/>
          <w:szCs w:val="20"/>
        </w:rPr>
        <w:t xml:space="preserve"> </w:t>
      </w:r>
      <w:r w:rsidRPr="00557081">
        <w:rPr>
          <w:rFonts w:ascii="Verdana" w:eastAsia="Calibri" w:hAnsi="Verdana" w:cs="Arial"/>
          <w:bCs/>
          <w:sz w:val="20"/>
          <w:szCs w:val="20"/>
        </w:rPr>
        <w:t>Dicha exigencia aplica por igual a consorcios y uniones temporales, pues el marco normativo citado no plantea distinciones al respecto, además de que contribuye a hacer efectiva la responsabilidad solidaria de los integrantes del proponente plural por la falta de ejecución, ejecución imperfecta o ejecución tardía del objeto contratado conforme al artículo 1613 del Código Civil.</w:t>
      </w:r>
    </w:p>
    <w:p w14:paraId="6641D2E4" w14:textId="77777777" w:rsidR="00AA73C0" w:rsidRPr="00AA73C0" w:rsidRDefault="00AA73C0" w:rsidP="00433276">
      <w:pPr>
        <w:spacing w:after="0" w:line="240" w:lineRule="auto"/>
        <w:rPr>
          <w:rFonts w:ascii="Verdana" w:eastAsia="Geomanist Light" w:hAnsi="Verdana" w:cs="Arial"/>
          <w:color w:val="000000" w:themeColor="text1"/>
        </w:rPr>
      </w:pPr>
    </w:p>
    <w:p w14:paraId="0879060B" w14:textId="77777777" w:rsidR="00AA73C0" w:rsidRDefault="00AA73C0" w:rsidP="00433276">
      <w:pPr>
        <w:spacing w:after="0" w:line="240" w:lineRule="auto"/>
        <w:rPr>
          <w:rFonts w:ascii="Verdana" w:eastAsia="Geomanist Light" w:hAnsi="Verdana" w:cs="Arial"/>
          <w:color w:val="000000" w:themeColor="text1"/>
          <w:lang w:val="es-MX"/>
        </w:rPr>
      </w:pPr>
    </w:p>
    <w:p w14:paraId="0AB721DE" w14:textId="77777777" w:rsidR="00AA73C0" w:rsidRDefault="00AA73C0" w:rsidP="00433276">
      <w:pPr>
        <w:spacing w:after="0" w:line="240" w:lineRule="auto"/>
        <w:rPr>
          <w:rFonts w:ascii="Verdana" w:eastAsia="Geomanist Light" w:hAnsi="Verdana" w:cs="Arial"/>
          <w:color w:val="000000" w:themeColor="text1"/>
          <w:lang w:val="es-MX"/>
        </w:rPr>
      </w:pPr>
    </w:p>
    <w:p w14:paraId="07DA93E6" w14:textId="77777777" w:rsidR="00AA73C0" w:rsidRDefault="00AA73C0" w:rsidP="00433276">
      <w:pPr>
        <w:spacing w:after="0" w:line="240" w:lineRule="auto"/>
        <w:rPr>
          <w:rFonts w:ascii="Verdana" w:eastAsia="Geomanist Light" w:hAnsi="Verdana" w:cs="Arial"/>
          <w:color w:val="000000" w:themeColor="text1"/>
          <w:lang w:val="es-MX"/>
        </w:rPr>
      </w:pPr>
    </w:p>
    <w:p w14:paraId="34066AE3" w14:textId="77777777" w:rsidR="00AA73C0" w:rsidRDefault="00AA73C0" w:rsidP="00433276">
      <w:pPr>
        <w:spacing w:after="0" w:line="240" w:lineRule="auto"/>
        <w:rPr>
          <w:rFonts w:ascii="Verdana" w:eastAsia="Geomanist Light" w:hAnsi="Verdana" w:cs="Arial"/>
          <w:color w:val="000000" w:themeColor="text1"/>
          <w:lang w:val="es-MX"/>
        </w:rPr>
      </w:pPr>
    </w:p>
    <w:p w14:paraId="19F7122D" w14:textId="77777777" w:rsidR="00AA73C0" w:rsidRDefault="00AA73C0" w:rsidP="00433276">
      <w:pPr>
        <w:spacing w:after="0" w:line="240" w:lineRule="auto"/>
        <w:rPr>
          <w:rFonts w:ascii="Verdana" w:eastAsia="Geomanist Light" w:hAnsi="Verdana" w:cs="Arial"/>
          <w:color w:val="000000" w:themeColor="text1"/>
          <w:lang w:val="es-MX"/>
        </w:rPr>
      </w:pPr>
    </w:p>
    <w:p w14:paraId="0FB0C3A7" w14:textId="77777777" w:rsidR="00AA73C0" w:rsidRDefault="00AA73C0" w:rsidP="00433276">
      <w:pPr>
        <w:spacing w:after="0" w:line="240" w:lineRule="auto"/>
        <w:rPr>
          <w:rFonts w:ascii="Verdana" w:eastAsia="Geomanist Light" w:hAnsi="Verdana" w:cs="Arial"/>
          <w:color w:val="000000" w:themeColor="text1"/>
          <w:lang w:val="es-MX"/>
        </w:rPr>
      </w:pPr>
    </w:p>
    <w:p w14:paraId="60230A1D" w14:textId="77777777" w:rsidR="00AA73C0" w:rsidRDefault="00AA73C0" w:rsidP="00433276">
      <w:pPr>
        <w:spacing w:after="0" w:line="240" w:lineRule="auto"/>
        <w:rPr>
          <w:rFonts w:ascii="Verdana" w:eastAsia="Geomanist Light" w:hAnsi="Verdana" w:cs="Arial"/>
          <w:color w:val="000000" w:themeColor="text1"/>
          <w:lang w:val="es-MX"/>
        </w:rPr>
      </w:pPr>
    </w:p>
    <w:p w14:paraId="4D99F953" w14:textId="77777777" w:rsidR="00AA73C0" w:rsidRDefault="00AA73C0" w:rsidP="00433276">
      <w:pPr>
        <w:spacing w:after="0" w:line="240" w:lineRule="auto"/>
        <w:rPr>
          <w:rFonts w:ascii="Verdana" w:eastAsia="Geomanist Light" w:hAnsi="Verdana" w:cs="Arial"/>
          <w:color w:val="000000" w:themeColor="text1"/>
          <w:lang w:val="es-MX"/>
        </w:rPr>
      </w:pPr>
    </w:p>
    <w:p w14:paraId="13D58043" w14:textId="77777777" w:rsidR="00AA73C0" w:rsidRDefault="00AA73C0" w:rsidP="00433276">
      <w:pPr>
        <w:spacing w:after="0" w:line="240" w:lineRule="auto"/>
        <w:rPr>
          <w:rFonts w:ascii="Verdana" w:eastAsia="Geomanist Light" w:hAnsi="Verdana" w:cs="Arial"/>
          <w:color w:val="000000" w:themeColor="text1"/>
          <w:lang w:val="es-MX"/>
        </w:rPr>
      </w:pPr>
    </w:p>
    <w:p w14:paraId="05AC8072" w14:textId="77777777" w:rsidR="00AA73C0" w:rsidRDefault="00AA73C0" w:rsidP="00433276">
      <w:pPr>
        <w:spacing w:after="0" w:line="240" w:lineRule="auto"/>
        <w:rPr>
          <w:rFonts w:ascii="Verdana" w:eastAsia="Geomanist Light" w:hAnsi="Verdana" w:cs="Arial"/>
          <w:color w:val="000000" w:themeColor="text1"/>
          <w:lang w:val="es-MX"/>
        </w:rPr>
      </w:pPr>
    </w:p>
    <w:p w14:paraId="2F00373F" w14:textId="77777777" w:rsidR="00AA73C0" w:rsidRDefault="00AA73C0" w:rsidP="00433276">
      <w:pPr>
        <w:spacing w:after="0" w:line="240" w:lineRule="auto"/>
        <w:rPr>
          <w:rFonts w:ascii="Verdana" w:eastAsia="Geomanist Light" w:hAnsi="Verdana" w:cs="Arial"/>
          <w:color w:val="000000" w:themeColor="text1"/>
          <w:lang w:val="es-MX"/>
        </w:rPr>
      </w:pPr>
    </w:p>
    <w:p w14:paraId="567D2AD9" w14:textId="77777777" w:rsidR="00AA73C0" w:rsidRDefault="00AA73C0" w:rsidP="00433276">
      <w:pPr>
        <w:spacing w:after="0" w:line="240" w:lineRule="auto"/>
        <w:rPr>
          <w:rFonts w:ascii="Verdana" w:eastAsia="Geomanist Light" w:hAnsi="Verdana" w:cs="Arial"/>
          <w:color w:val="000000" w:themeColor="text1"/>
          <w:lang w:val="es-MX"/>
        </w:rPr>
      </w:pPr>
    </w:p>
    <w:p w14:paraId="60FF8890" w14:textId="77777777" w:rsidR="00AA73C0" w:rsidRDefault="00AA73C0" w:rsidP="00433276">
      <w:pPr>
        <w:spacing w:after="0" w:line="240" w:lineRule="auto"/>
        <w:rPr>
          <w:rFonts w:ascii="Verdana" w:eastAsia="Geomanist Light" w:hAnsi="Verdana" w:cs="Arial"/>
          <w:color w:val="000000" w:themeColor="text1"/>
          <w:lang w:val="es-MX"/>
        </w:rPr>
      </w:pPr>
    </w:p>
    <w:p w14:paraId="5D930993" w14:textId="77777777" w:rsidR="00AA73C0" w:rsidRDefault="00AA73C0" w:rsidP="00433276">
      <w:pPr>
        <w:spacing w:after="0" w:line="240" w:lineRule="auto"/>
        <w:rPr>
          <w:rFonts w:ascii="Verdana" w:eastAsia="Geomanist Light" w:hAnsi="Verdana" w:cs="Arial"/>
          <w:color w:val="000000" w:themeColor="text1"/>
          <w:lang w:val="es-MX"/>
        </w:rPr>
      </w:pPr>
    </w:p>
    <w:p w14:paraId="662431CF" w14:textId="77777777" w:rsidR="00AA73C0" w:rsidRDefault="00AA73C0" w:rsidP="00433276">
      <w:pPr>
        <w:spacing w:after="0" w:line="240" w:lineRule="auto"/>
        <w:rPr>
          <w:rFonts w:ascii="Verdana" w:eastAsia="Geomanist Light" w:hAnsi="Verdana" w:cs="Arial"/>
          <w:color w:val="000000" w:themeColor="text1"/>
          <w:lang w:val="es-MX"/>
        </w:rPr>
      </w:pPr>
    </w:p>
    <w:p w14:paraId="77900337" w14:textId="77777777" w:rsidR="00AA73C0" w:rsidRDefault="00AA73C0" w:rsidP="00433276">
      <w:pPr>
        <w:spacing w:after="0" w:line="240" w:lineRule="auto"/>
        <w:rPr>
          <w:rFonts w:ascii="Verdana" w:eastAsia="Geomanist Light" w:hAnsi="Verdana" w:cs="Arial"/>
          <w:color w:val="000000" w:themeColor="text1"/>
          <w:lang w:val="es-MX"/>
        </w:rPr>
      </w:pPr>
    </w:p>
    <w:p w14:paraId="0609D7B1" w14:textId="77777777" w:rsidR="00AA73C0" w:rsidRDefault="00AA73C0" w:rsidP="00433276">
      <w:pPr>
        <w:spacing w:after="0" w:line="240" w:lineRule="auto"/>
        <w:rPr>
          <w:rFonts w:ascii="Verdana" w:eastAsia="Geomanist Light" w:hAnsi="Verdana" w:cs="Arial"/>
          <w:color w:val="000000" w:themeColor="text1"/>
          <w:lang w:val="es-MX"/>
        </w:rPr>
      </w:pPr>
    </w:p>
    <w:p w14:paraId="335B3EBA" w14:textId="77777777" w:rsidR="00AA73C0" w:rsidRDefault="00AA73C0" w:rsidP="00433276">
      <w:pPr>
        <w:spacing w:after="0" w:line="240" w:lineRule="auto"/>
        <w:rPr>
          <w:rFonts w:ascii="Verdana" w:eastAsia="Geomanist Light" w:hAnsi="Verdana" w:cs="Arial"/>
          <w:color w:val="000000" w:themeColor="text1"/>
          <w:lang w:val="es-MX"/>
        </w:rPr>
      </w:pPr>
    </w:p>
    <w:p w14:paraId="752C37CC" w14:textId="77777777" w:rsidR="00AA73C0" w:rsidRDefault="00AA73C0" w:rsidP="00433276">
      <w:pPr>
        <w:spacing w:after="0" w:line="240" w:lineRule="auto"/>
        <w:rPr>
          <w:rFonts w:ascii="Verdana" w:eastAsia="Geomanist Light" w:hAnsi="Verdana" w:cs="Arial"/>
          <w:color w:val="000000" w:themeColor="text1"/>
          <w:lang w:val="es-MX"/>
        </w:rPr>
      </w:pPr>
    </w:p>
    <w:p w14:paraId="1DB495C7" w14:textId="77777777" w:rsidR="00AA73C0" w:rsidRDefault="00AA73C0" w:rsidP="00433276">
      <w:pPr>
        <w:spacing w:after="0" w:line="240" w:lineRule="auto"/>
        <w:rPr>
          <w:rFonts w:ascii="Verdana" w:eastAsia="Geomanist Light" w:hAnsi="Verdana" w:cs="Arial"/>
          <w:color w:val="000000" w:themeColor="text1"/>
          <w:lang w:val="es-MX"/>
        </w:rPr>
      </w:pPr>
    </w:p>
    <w:p w14:paraId="1D941228" w14:textId="77777777" w:rsidR="00AA73C0" w:rsidRDefault="00AA73C0" w:rsidP="00433276">
      <w:pPr>
        <w:spacing w:after="0" w:line="240" w:lineRule="auto"/>
        <w:rPr>
          <w:rFonts w:ascii="Verdana" w:eastAsia="Geomanist Light" w:hAnsi="Verdana" w:cs="Arial"/>
          <w:color w:val="000000" w:themeColor="text1"/>
          <w:lang w:val="es-MX"/>
        </w:rPr>
      </w:pPr>
    </w:p>
    <w:p w14:paraId="3303258B" w14:textId="77777777" w:rsidR="00AA73C0" w:rsidRDefault="00AA73C0" w:rsidP="00433276">
      <w:pPr>
        <w:spacing w:after="0" w:line="240" w:lineRule="auto"/>
        <w:rPr>
          <w:rFonts w:ascii="Verdana" w:eastAsia="Geomanist Light" w:hAnsi="Verdana" w:cs="Arial"/>
          <w:color w:val="000000" w:themeColor="text1"/>
          <w:lang w:val="es-MX"/>
        </w:rPr>
      </w:pPr>
    </w:p>
    <w:p w14:paraId="6D58416D" w14:textId="77777777" w:rsidR="00AA73C0" w:rsidRDefault="00AA73C0" w:rsidP="00433276">
      <w:pPr>
        <w:spacing w:after="0" w:line="240" w:lineRule="auto"/>
        <w:rPr>
          <w:rFonts w:ascii="Verdana" w:eastAsia="Geomanist Light" w:hAnsi="Verdana" w:cs="Arial"/>
          <w:color w:val="000000" w:themeColor="text1"/>
          <w:lang w:val="es-MX"/>
        </w:rPr>
      </w:pPr>
    </w:p>
    <w:p w14:paraId="4DAE7731" w14:textId="77777777" w:rsidR="00AA73C0" w:rsidRDefault="00AA73C0" w:rsidP="00433276">
      <w:pPr>
        <w:spacing w:after="0" w:line="240" w:lineRule="auto"/>
        <w:rPr>
          <w:rFonts w:ascii="Verdana" w:eastAsia="Geomanist Light" w:hAnsi="Verdana" w:cs="Arial"/>
          <w:color w:val="000000" w:themeColor="text1"/>
          <w:lang w:val="es-MX"/>
        </w:rPr>
      </w:pPr>
    </w:p>
    <w:p w14:paraId="062D1A87" w14:textId="77777777" w:rsidR="00AA73C0" w:rsidRDefault="00AA73C0" w:rsidP="00433276">
      <w:pPr>
        <w:spacing w:after="0" w:line="240" w:lineRule="auto"/>
        <w:rPr>
          <w:rFonts w:ascii="Verdana" w:eastAsia="Geomanist Light" w:hAnsi="Verdana" w:cs="Arial"/>
          <w:color w:val="000000" w:themeColor="text1"/>
          <w:lang w:val="es-MX"/>
        </w:rPr>
      </w:pPr>
    </w:p>
    <w:p w14:paraId="6756C558" w14:textId="77777777" w:rsidR="00AA73C0" w:rsidRDefault="00AA73C0" w:rsidP="00433276">
      <w:pPr>
        <w:spacing w:after="0" w:line="240" w:lineRule="auto"/>
        <w:rPr>
          <w:rFonts w:ascii="Verdana" w:eastAsia="Geomanist Light" w:hAnsi="Verdana" w:cs="Arial"/>
          <w:color w:val="000000" w:themeColor="text1"/>
          <w:lang w:val="es-MX"/>
        </w:rPr>
      </w:pPr>
    </w:p>
    <w:p w14:paraId="03798FF9" w14:textId="77777777" w:rsidR="00AA73C0" w:rsidRDefault="00AA73C0" w:rsidP="00433276">
      <w:pPr>
        <w:spacing w:after="0" w:line="240" w:lineRule="auto"/>
        <w:rPr>
          <w:rFonts w:ascii="Verdana" w:eastAsia="Geomanist Light" w:hAnsi="Verdana" w:cs="Arial"/>
          <w:color w:val="000000" w:themeColor="text1"/>
          <w:lang w:val="es-MX"/>
        </w:rPr>
      </w:pPr>
    </w:p>
    <w:p w14:paraId="1139D2DD" w14:textId="77777777" w:rsidR="00AA73C0" w:rsidRDefault="00AA73C0" w:rsidP="00433276">
      <w:pPr>
        <w:spacing w:after="0" w:line="240" w:lineRule="auto"/>
        <w:rPr>
          <w:rFonts w:ascii="Verdana" w:eastAsia="Geomanist Light" w:hAnsi="Verdana" w:cs="Arial"/>
          <w:color w:val="000000" w:themeColor="text1"/>
          <w:lang w:val="es-MX"/>
        </w:rPr>
      </w:pPr>
    </w:p>
    <w:p w14:paraId="2DA9497A" w14:textId="77777777" w:rsidR="00AA73C0" w:rsidRDefault="00AA73C0" w:rsidP="00433276">
      <w:pPr>
        <w:spacing w:after="0" w:line="240" w:lineRule="auto"/>
        <w:rPr>
          <w:rFonts w:ascii="Verdana" w:eastAsia="Geomanist Light" w:hAnsi="Verdana" w:cs="Arial"/>
          <w:color w:val="000000" w:themeColor="text1"/>
          <w:lang w:val="es-MX"/>
        </w:rPr>
      </w:pPr>
    </w:p>
    <w:p w14:paraId="5E54F78D" w14:textId="77777777" w:rsidR="00AA73C0" w:rsidRDefault="00AA73C0" w:rsidP="00433276">
      <w:pPr>
        <w:spacing w:after="0" w:line="240" w:lineRule="auto"/>
        <w:rPr>
          <w:rFonts w:ascii="Verdana" w:eastAsia="Geomanist Light" w:hAnsi="Verdana" w:cs="Arial"/>
          <w:color w:val="000000" w:themeColor="text1"/>
          <w:lang w:val="es-MX"/>
        </w:rPr>
      </w:pPr>
    </w:p>
    <w:p w14:paraId="08BD9BE3" w14:textId="77777777" w:rsidR="0060671D" w:rsidRDefault="0060671D" w:rsidP="00433276">
      <w:pPr>
        <w:spacing w:after="0" w:line="240" w:lineRule="auto"/>
        <w:rPr>
          <w:rFonts w:ascii="Verdana" w:eastAsia="Geomanist Light" w:hAnsi="Verdana" w:cs="Arial"/>
          <w:color w:val="000000" w:themeColor="text1"/>
          <w:lang w:val="es-MX"/>
        </w:rPr>
      </w:pPr>
    </w:p>
    <w:p w14:paraId="7ACA50A0" w14:textId="6581D5AA" w:rsidR="00433276" w:rsidRPr="00E363A6" w:rsidRDefault="00433276" w:rsidP="00433276">
      <w:pPr>
        <w:spacing w:after="0" w:line="240" w:lineRule="auto"/>
        <w:rPr>
          <w:rFonts w:ascii="Verdana" w:eastAsia="Geomanist Light" w:hAnsi="Verdana" w:cs="Arial"/>
          <w:color w:val="201F1E"/>
        </w:rPr>
      </w:pPr>
      <w:r w:rsidRPr="00593A5F">
        <w:rPr>
          <w:rFonts w:ascii="Verdana" w:eastAsia="Geomanist Light" w:hAnsi="Verdana" w:cs="Arial"/>
          <w:color w:val="000000" w:themeColor="text1"/>
          <w:lang w:val="es-MX"/>
        </w:rPr>
        <w:lastRenderedPageBreak/>
        <w:t>Bogotá D.C., </w:t>
      </w:r>
      <w:r w:rsidR="00E363A6" w:rsidRPr="00E363A6">
        <w:rPr>
          <w:rFonts w:ascii="Verdana" w:eastAsia="Geomanist Light" w:hAnsi="Verdana" w:cs="Arial"/>
          <w:color w:val="000000" w:themeColor="text1"/>
          <w:lang w:val="es-MX"/>
        </w:rPr>
        <w:t xml:space="preserve">24 de </w:t>
      </w:r>
      <w:r w:rsidR="0060671D" w:rsidRPr="00E363A6">
        <w:rPr>
          <w:rFonts w:ascii="Verdana" w:eastAsia="Geomanist Light" w:hAnsi="Verdana" w:cs="Arial"/>
          <w:color w:val="000000" w:themeColor="text1"/>
          <w:lang w:val="es-MX"/>
        </w:rPr>
        <w:t>agosto</w:t>
      </w:r>
      <w:r w:rsidR="00E363A6" w:rsidRPr="00E363A6">
        <w:rPr>
          <w:rFonts w:ascii="Verdana" w:eastAsia="Geomanist Light" w:hAnsi="Verdana" w:cs="Arial"/>
          <w:color w:val="000000" w:themeColor="text1"/>
          <w:lang w:val="es-MX"/>
        </w:rPr>
        <w:t xml:space="preserve"> de 2026</w:t>
      </w:r>
    </w:p>
    <w:p w14:paraId="3E83F51F" w14:textId="0401A3AA" w:rsidR="00433276" w:rsidRDefault="00433276" w:rsidP="00433276">
      <w:pPr>
        <w:spacing w:after="0" w:line="240" w:lineRule="auto"/>
        <w:jc w:val="both"/>
        <w:rPr>
          <w:rFonts w:ascii="Verdana" w:eastAsia="Calibri" w:hAnsi="Verdana" w:cs="Arial"/>
          <w:color w:val="000000"/>
          <w:lang w:val="es-ES"/>
        </w:rPr>
      </w:pPr>
    </w:p>
    <w:p w14:paraId="281F62E6" w14:textId="768F5F8F" w:rsidR="00E363A6" w:rsidRDefault="00E363A6" w:rsidP="00E363A6">
      <w:pPr>
        <w:spacing w:after="0" w:line="240" w:lineRule="auto"/>
        <w:jc w:val="right"/>
        <w:rPr>
          <w:rFonts w:ascii="Verdana" w:eastAsia="Calibri" w:hAnsi="Verdana" w:cs="Arial"/>
          <w:color w:val="000000"/>
          <w:lang w:val="es-ES"/>
        </w:rPr>
      </w:pPr>
    </w:p>
    <w:p w14:paraId="675F8EC9" w14:textId="47C05843" w:rsidR="00433276" w:rsidRPr="00593A5F" w:rsidRDefault="00433276" w:rsidP="00433276">
      <w:pPr>
        <w:spacing w:after="0" w:line="240" w:lineRule="auto"/>
        <w:jc w:val="both"/>
        <w:rPr>
          <w:rFonts w:ascii="Verdana" w:eastAsia="Calibri" w:hAnsi="Verdana" w:cs="Arial"/>
          <w:color w:val="000000"/>
          <w:lang w:val="es-ES"/>
        </w:rPr>
      </w:pPr>
    </w:p>
    <w:p w14:paraId="57F59DC5" w14:textId="4DF06774" w:rsidR="00433276" w:rsidRPr="00B96799" w:rsidRDefault="0060671D" w:rsidP="00433276">
      <w:pPr>
        <w:spacing w:after="0" w:line="240" w:lineRule="auto"/>
        <w:jc w:val="both"/>
        <w:rPr>
          <w:rFonts w:ascii="Verdana" w:eastAsia="Calibri" w:hAnsi="Verdana" w:cs="Arial"/>
          <w:lang w:val="es-ES" w:eastAsia="es-ES"/>
        </w:rPr>
      </w:pPr>
      <w:r w:rsidRPr="00E363A6">
        <w:rPr>
          <w:rFonts w:ascii="Verdana" w:eastAsia="Calibri" w:hAnsi="Verdana" w:cs="Arial"/>
          <w:noProof/>
          <w:color w:val="000000"/>
          <w:lang w:val="es-ES"/>
        </w:rPr>
        <w:drawing>
          <wp:anchor distT="0" distB="0" distL="114300" distR="114300" simplePos="0" relativeHeight="251658240" behindDoc="0" locked="0" layoutInCell="1" allowOverlap="1" wp14:anchorId="12712879" wp14:editId="1ABDBDE9">
            <wp:simplePos x="0" y="0"/>
            <wp:positionH relativeFrom="margin">
              <wp:align>right</wp:align>
            </wp:positionH>
            <wp:positionV relativeFrom="paragraph">
              <wp:posOffset>5715</wp:posOffset>
            </wp:positionV>
            <wp:extent cx="2400300" cy="882015"/>
            <wp:effectExtent l="0" t="0" r="0" b="0"/>
            <wp:wrapSquare wrapText="bothSides"/>
            <wp:docPr id="807227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2731" name=""/>
                    <pic:cNvPicPr/>
                  </pic:nvPicPr>
                  <pic:blipFill>
                    <a:blip r:embed="rId10">
                      <a:extLst>
                        <a:ext uri="{28A0092B-C50C-407E-A947-70E740481C1C}">
                          <a14:useLocalDpi xmlns:a14="http://schemas.microsoft.com/office/drawing/2010/main" val="0"/>
                        </a:ext>
                      </a:extLst>
                    </a:blip>
                    <a:stretch>
                      <a:fillRect/>
                    </a:stretch>
                  </pic:blipFill>
                  <pic:spPr>
                    <a:xfrm>
                      <a:off x="0" y="0"/>
                      <a:ext cx="2400300" cy="882015"/>
                    </a:xfrm>
                    <a:prstGeom prst="rect">
                      <a:avLst/>
                    </a:prstGeom>
                  </pic:spPr>
                </pic:pic>
              </a:graphicData>
            </a:graphic>
            <wp14:sizeRelV relativeFrom="margin">
              <wp14:pctHeight>0</wp14:pctHeight>
            </wp14:sizeRelV>
          </wp:anchor>
        </w:drawing>
      </w:r>
      <w:r w:rsidR="00433276">
        <w:rPr>
          <w:rFonts w:ascii="Verdana" w:eastAsia="Calibri" w:hAnsi="Verdana" w:cs="Arial"/>
          <w:lang w:val="es-ES" w:eastAsia="es-ES"/>
        </w:rPr>
        <w:t>Señora</w:t>
      </w:r>
    </w:p>
    <w:p w14:paraId="04B265DD" w14:textId="77777777" w:rsidR="00433276" w:rsidRDefault="00433276" w:rsidP="00433276">
      <w:pPr>
        <w:spacing w:after="0" w:line="240" w:lineRule="auto"/>
        <w:rPr>
          <w:rFonts w:ascii="Verdana" w:eastAsia="Calibri" w:hAnsi="Verdana" w:cs="Arial"/>
          <w:b/>
          <w:lang w:val="es-ES_tradnl" w:eastAsia="es-ES_tradnl"/>
        </w:rPr>
      </w:pPr>
      <w:r w:rsidRPr="000B4EA8">
        <w:rPr>
          <w:rFonts w:ascii="Verdana" w:eastAsia="Calibri" w:hAnsi="Verdana" w:cs="Arial"/>
          <w:b/>
          <w:lang w:val="es-ES_tradnl" w:eastAsia="es-ES_tradnl"/>
        </w:rPr>
        <w:t>Julieth Latorre</w:t>
      </w:r>
      <w:r w:rsidRPr="008777D5">
        <w:rPr>
          <w:rFonts w:ascii="Verdana" w:eastAsia="Calibri" w:hAnsi="Verdana" w:cs="Arial"/>
          <w:b/>
          <w:lang w:val="es-ES_tradnl" w:eastAsia="es-ES_tradnl"/>
        </w:rPr>
        <w:t xml:space="preserve"> </w:t>
      </w:r>
    </w:p>
    <w:p w14:paraId="4AFA73DA" w14:textId="77777777" w:rsidR="00433276" w:rsidRPr="000B4EA8" w:rsidRDefault="00433276" w:rsidP="00433276">
      <w:pPr>
        <w:spacing w:after="0" w:line="240" w:lineRule="auto"/>
        <w:rPr>
          <w:rFonts w:ascii="Verdana" w:hAnsi="Verdana"/>
        </w:rPr>
      </w:pPr>
      <w:hyperlink r:id="rId11" w:history="1">
        <w:r w:rsidRPr="0055439A">
          <w:rPr>
            <w:rStyle w:val="Hipervnculo"/>
            <w:rFonts w:ascii="Verdana" w:hAnsi="Verdana"/>
          </w:rPr>
          <w:t>nortedesantanderthinktank@gmail.com</w:t>
        </w:r>
      </w:hyperlink>
      <w:r>
        <w:rPr>
          <w:rFonts w:ascii="Verdana" w:hAnsi="Verdana"/>
        </w:rPr>
        <w:t xml:space="preserve"> </w:t>
      </w:r>
      <w:r w:rsidRPr="000B4EA8">
        <w:rPr>
          <w:rFonts w:ascii="Verdana" w:hAnsi="Verdana"/>
        </w:rPr>
        <w:t xml:space="preserve">                     </w:t>
      </w:r>
      <w:r w:rsidRPr="000B4EA8">
        <w:rPr>
          <w:rFonts w:ascii="Verdana" w:eastAsia="Calibri" w:hAnsi="Verdana" w:cs="Arial"/>
          <w:lang w:val="es-ES" w:eastAsia="es-ES"/>
        </w:rPr>
        <w:t xml:space="preserve">    </w:t>
      </w:r>
    </w:p>
    <w:p w14:paraId="053B3E40" w14:textId="77777777" w:rsidR="00433276" w:rsidRDefault="00433276" w:rsidP="00433276">
      <w:pPr>
        <w:spacing w:after="0" w:line="240" w:lineRule="auto"/>
        <w:rPr>
          <w:rFonts w:ascii="Verdana" w:eastAsia="Calibri" w:hAnsi="Verdana" w:cs="Arial"/>
          <w:lang w:val="es-ES" w:eastAsia="es-ES"/>
        </w:rPr>
      </w:pPr>
      <w:r>
        <w:rPr>
          <w:rFonts w:ascii="Verdana" w:eastAsia="Calibri" w:hAnsi="Verdana" w:cs="Arial"/>
          <w:lang w:val="es-ES" w:eastAsia="es-ES"/>
        </w:rPr>
        <w:t>Cúcuta</w:t>
      </w:r>
      <w:r w:rsidRPr="00A77B49">
        <w:rPr>
          <w:rFonts w:ascii="Verdana" w:eastAsia="Calibri" w:hAnsi="Verdana" w:cs="Arial"/>
          <w:lang w:val="es-ES" w:eastAsia="es-ES"/>
        </w:rPr>
        <w:t xml:space="preserve">, </w:t>
      </w:r>
      <w:r>
        <w:rPr>
          <w:rFonts w:ascii="Verdana" w:eastAsia="Calibri" w:hAnsi="Verdana" w:cs="Arial"/>
          <w:lang w:val="es-ES" w:eastAsia="es-ES"/>
        </w:rPr>
        <w:t xml:space="preserve">Norte de Santander </w:t>
      </w:r>
    </w:p>
    <w:p w14:paraId="4CCFDEBD" w14:textId="77777777" w:rsidR="00433276" w:rsidRPr="00593A5F" w:rsidRDefault="00433276" w:rsidP="00433276">
      <w:pPr>
        <w:spacing w:after="0" w:line="240" w:lineRule="auto"/>
        <w:rPr>
          <w:rFonts w:ascii="Verdana" w:eastAsia="Calibri" w:hAnsi="Verdana" w:cs="Arial"/>
          <w:b/>
          <w:bCs/>
          <w:color w:val="000000"/>
          <w:lang w:val="es-ES_tradnl" w:eastAsia="es-ES_tradnl"/>
        </w:rPr>
      </w:pPr>
    </w:p>
    <w:p w14:paraId="5DA0C90F" w14:textId="77777777" w:rsidR="00433276" w:rsidRPr="00593A5F" w:rsidRDefault="00433276" w:rsidP="00433276">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433276" w:rsidRPr="00593A5F" w14:paraId="2EB5DEA1" w14:textId="77777777" w:rsidTr="00511EE9">
        <w:trPr>
          <w:trHeight w:val="884"/>
        </w:trPr>
        <w:tc>
          <w:tcPr>
            <w:tcW w:w="2689" w:type="dxa"/>
          </w:tcPr>
          <w:p w14:paraId="7C4E1A77" w14:textId="77777777" w:rsidR="00433276" w:rsidRPr="00C00976" w:rsidRDefault="00433276" w:rsidP="00511EE9">
            <w:pPr>
              <w:jc w:val="both"/>
              <w:rPr>
                <w:rFonts w:ascii="Verdana" w:eastAsia="Calibri" w:hAnsi="Verdana" w:cs="Arial"/>
                <w:b/>
                <w:bCs/>
                <w:color w:val="7030A0"/>
                <w:lang w:val="es-ES_tradnl" w:eastAsia="es-ES_tradnl"/>
              </w:rPr>
            </w:pPr>
          </w:p>
        </w:tc>
        <w:tc>
          <w:tcPr>
            <w:tcW w:w="6100" w:type="dxa"/>
          </w:tcPr>
          <w:p w14:paraId="5B5A3526" w14:textId="147CED67" w:rsidR="00433276" w:rsidRPr="00C00976" w:rsidRDefault="00433276" w:rsidP="00511EE9">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60671D">
              <w:rPr>
                <w:rFonts w:ascii="Verdana" w:eastAsia="Calibri" w:hAnsi="Verdana" w:cs="Arial"/>
                <w:b/>
                <w:bCs/>
                <w:lang w:val="es-ES" w:eastAsia="es-ES"/>
              </w:rPr>
              <w:t>-</w:t>
            </w:r>
            <w:r>
              <w:rPr>
                <w:rFonts w:ascii="Verdana" w:eastAsia="Calibri" w:hAnsi="Verdana" w:cs="Arial"/>
                <w:b/>
                <w:bCs/>
                <w:lang w:val="es-ES" w:eastAsia="es-ES"/>
              </w:rPr>
              <w:t xml:space="preserve">1258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433276" w:rsidRPr="00593A5F" w14:paraId="7E00ACF6" w14:textId="77777777" w:rsidTr="00511EE9">
        <w:trPr>
          <w:trHeight w:val="884"/>
        </w:trPr>
        <w:tc>
          <w:tcPr>
            <w:tcW w:w="2689" w:type="dxa"/>
          </w:tcPr>
          <w:p w14:paraId="122A8894" w14:textId="77777777" w:rsidR="00433276" w:rsidRPr="00593A5F" w:rsidRDefault="00433276" w:rsidP="00511EE9">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04C65130" w14:textId="77777777" w:rsidR="00433276" w:rsidRPr="00A11406" w:rsidRDefault="00433276" w:rsidP="00511EE9">
            <w:pPr>
              <w:spacing w:line="276" w:lineRule="auto"/>
              <w:jc w:val="both"/>
              <w:rPr>
                <w:rFonts w:ascii="Verdana" w:eastAsia="Calibri" w:hAnsi="Verdana" w:cs="Arial"/>
                <w:lang w:val="es-ES" w:eastAsia="es-ES"/>
              </w:rPr>
            </w:pPr>
            <w:r w:rsidRPr="00EE1D70">
              <w:rPr>
                <w:rFonts w:ascii="Verdana" w:eastAsia="Calibri" w:hAnsi="Verdana" w:cs="Arial"/>
                <w:lang w:val="es-ES" w:eastAsia="es-ES"/>
              </w:rPr>
              <w:t>PROPONENTE PLURAL ‒ Consorcio ‒ Unión temporal ‒ Concepto – Diferencias</w:t>
            </w:r>
            <w:r>
              <w:rPr>
                <w:rFonts w:ascii="Verdana" w:eastAsia="Calibri" w:hAnsi="Verdana" w:cs="Arial"/>
                <w:lang w:val="es-ES" w:eastAsia="es-ES"/>
              </w:rPr>
              <w:t xml:space="preserve"> / </w:t>
            </w:r>
            <w:r w:rsidRPr="00EE1D70">
              <w:rPr>
                <w:rFonts w:ascii="Verdana" w:eastAsia="Calibri" w:hAnsi="Verdana" w:cs="Arial"/>
                <w:lang w:val="es-ES" w:eastAsia="es-ES"/>
              </w:rPr>
              <w:t>CONSORCIOS Y UNIONES TEMPORALES – Responsabilidad solidaria</w:t>
            </w:r>
            <w:r>
              <w:rPr>
                <w:rFonts w:ascii="Verdana" w:eastAsia="Calibri" w:hAnsi="Verdana" w:cs="Arial"/>
                <w:lang w:val="es-ES" w:eastAsia="es-ES"/>
              </w:rPr>
              <w:t xml:space="preserve"> / </w:t>
            </w:r>
            <w:r w:rsidRPr="00EE1D70">
              <w:rPr>
                <w:rFonts w:ascii="Verdana" w:eastAsia="Calibri" w:hAnsi="Verdana" w:cs="Arial"/>
                <w:lang w:val="es-ES" w:eastAsia="es-ES"/>
              </w:rPr>
              <w:t>PROCEDIMIENTOS CONTRACTUALES – Principios de igualdad y libre concurrencia – Entidades sometidas – Alcance</w:t>
            </w:r>
            <w:r>
              <w:rPr>
                <w:rFonts w:ascii="Verdana" w:eastAsia="Calibri" w:hAnsi="Verdana" w:cs="Arial"/>
                <w:lang w:val="es-ES" w:eastAsia="es-ES"/>
              </w:rPr>
              <w:t xml:space="preserve"> / </w:t>
            </w:r>
            <w:r w:rsidRPr="00EE1D70">
              <w:rPr>
                <w:rFonts w:ascii="Verdana" w:eastAsia="Calibri" w:hAnsi="Verdana" w:cs="Arial"/>
                <w:lang w:val="es-ES" w:eastAsia="es-ES"/>
              </w:rPr>
              <w:t>CONVOCATORIAS LIMITADAS A MIPYMES – Limitación nacional y territorial – Trato preferencial</w:t>
            </w:r>
            <w:r>
              <w:rPr>
                <w:rFonts w:ascii="Verdana" w:eastAsia="Calibri" w:hAnsi="Verdana" w:cs="Arial"/>
                <w:lang w:val="es-ES" w:eastAsia="es-ES"/>
              </w:rPr>
              <w:t xml:space="preserve"> / </w:t>
            </w:r>
            <w:r w:rsidRPr="00EE1D70">
              <w:rPr>
                <w:rFonts w:ascii="Verdana" w:eastAsia="Calibri" w:hAnsi="Verdana" w:cs="Arial"/>
                <w:lang w:val="es-ES" w:eastAsia="es-ES"/>
              </w:rPr>
              <w:t xml:space="preserve">SOCIEDADES EXTRANJERAS CON NEGOCIO PERMANENTE EN EL PAÍS – Integrantes de proponente plural – Obligación de constituir sucursal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4725537D" w14:textId="77777777" w:rsidR="00433276" w:rsidRPr="00593A5F" w:rsidRDefault="00433276" w:rsidP="00511EE9">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433276" w:rsidRPr="008E6AD9" w14:paraId="6732FF8F" w14:textId="77777777" w:rsidTr="00511EE9">
        <w:tc>
          <w:tcPr>
            <w:tcW w:w="2689" w:type="dxa"/>
          </w:tcPr>
          <w:p w14:paraId="7AF84F4D" w14:textId="77777777" w:rsidR="00433276" w:rsidRPr="008E6AD9" w:rsidRDefault="00433276" w:rsidP="00511EE9">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2307396E" w14:textId="77777777" w:rsidR="00433276" w:rsidRPr="00B92340" w:rsidRDefault="00433276" w:rsidP="00511EE9">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F12F43">
              <w:rPr>
                <w:rFonts w:ascii="Verdana" w:eastAsia="Calibri" w:hAnsi="Verdana" w:cs="Arial"/>
                <w:lang w:val="es-ES_tradnl" w:eastAsia="es-ES_tradnl"/>
              </w:rPr>
              <w:t>1_2026_08_11_010566</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2A82FF8C" w14:textId="77777777" w:rsidR="00433276" w:rsidRPr="00593A5F" w:rsidRDefault="00433276" w:rsidP="00433276">
      <w:pPr>
        <w:spacing w:after="0" w:line="240" w:lineRule="auto"/>
        <w:jc w:val="both"/>
        <w:rPr>
          <w:rFonts w:ascii="Verdana" w:eastAsia="Calibri" w:hAnsi="Verdana" w:cs="Arial"/>
          <w:color w:val="000000"/>
          <w:lang w:val="es-ES_tradnl" w:eastAsia="es-ES_tradnl"/>
        </w:rPr>
      </w:pPr>
    </w:p>
    <w:p w14:paraId="7E92553A" w14:textId="77777777" w:rsidR="00433276" w:rsidRPr="00593A5F" w:rsidRDefault="00433276" w:rsidP="00433276">
      <w:pPr>
        <w:spacing w:after="0" w:line="240" w:lineRule="auto"/>
        <w:jc w:val="both"/>
        <w:rPr>
          <w:rFonts w:ascii="Verdana" w:eastAsia="Calibri" w:hAnsi="Verdana" w:cs="Arial"/>
          <w:color w:val="000000"/>
          <w:lang w:val="es-ES_tradnl" w:eastAsia="es-ES_tradnl"/>
        </w:rPr>
      </w:pPr>
    </w:p>
    <w:p w14:paraId="4EDC9B30" w14:textId="77777777" w:rsidR="00433276" w:rsidRPr="008E6AD9" w:rsidRDefault="00433276" w:rsidP="00433276">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a</w:t>
      </w:r>
      <w:r w:rsidRPr="008E6AD9">
        <w:rPr>
          <w:rFonts w:ascii="Verdana" w:eastAsia="Calibri" w:hAnsi="Verdana" w:cs="Arial"/>
          <w:lang w:val="es-ES" w:eastAsia="es-ES"/>
        </w:rPr>
        <w:t xml:space="preserve"> </w:t>
      </w:r>
      <w:r>
        <w:rPr>
          <w:rFonts w:ascii="Verdana" w:eastAsia="Calibri" w:hAnsi="Verdana" w:cs="Arial"/>
          <w:lang w:val="es-ES" w:eastAsia="es-ES"/>
        </w:rPr>
        <w:t>señora Latorre</w:t>
      </w:r>
      <w:r w:rsidRPr="008E6AD9">
        <w:rPr>
          <w:rFonts w:ascii="Verdana" w:eastAsia="Calibri" w:hAnsi="Verdana" w:cs="Arial"/>
          <w:lang w:val="es-ES" w:eastAsia="es-ES"/>
        </w:rPr>
        <w:t xml:space="preserve">: </w:t>
      </w:r>
    </w:p>
    <w:p w14:paraId="003A69B7" w14:textId="77777777" w:rsidR="00433276" w:rsidRDefault="00433276" w:rsidP="00433276">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5BF64CD3" w14:textId="77777777" w:rsidR="00433276" w:rsidRPr="00593A5F" w:rsidRDefault="00433276" w:rsidP="00433276">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10 de agosto de 2026, donde solicita conceptuar sobre los siguientes aspectos</w:t>
      </w:r>
      <w:r w:rsidRPr="008E6AD9">
        <w:rPr>
          <w:rFonts w:ascii="Verdana" w:eastAsia="Calibri" w:hAnsi="Verdana" w:cs="Arial"/>
          <w:lang w:val="es-ES" w:eastAsia="es-ES"/>
        </w:rPr>
        <w:t xml:space="preserve">: </w:t>
      </w:r>
    </w:p>
    <w:p w14:paraId="12EE0F1A" w14:textId="77777777" w:rsidR="00433276" w:rsidRPr="00272A7B" w:rsidRDefault="00433276" w:rsidP="00433276">
      <w:pPr>
        <w:pStyle w:val="Prrafodelista"/>
        <w:tabs>
          <w:tab w:val="left" w:pos="142"/>
          <w:tab w:val="left" w:pos="284"/>
        </w:tabs>
        <w:spacing w:after="0" w:line="276" w:lineRule="auto"/>
        <w:ind w:left="0"/>
        <w:jc w:val="both"/>
        <w:rPr>
          <w:rFonts w:ascii="Verdana" w:eastAsia="Century Gothic" w:hAnsi="Verdana" w:cs="Century Gothic"/>
          <w:b/>
          <w:bCs/>
        </w:rPr>
      </w:pPr>
    </w:p>
    <w:p w14:paraId="51C60F24" w14:textId="77777777" w:rsidR="00433276" w:rsidRDefault="00433276" w:rsidP="00433276">
      <w:pPr>
        <w:spacing w:after="120" w:line="240" w:lineRule="auto"/>
        <w:ind w:left="709" w:right="709"/>
        <w:jc w:val="both"/>
        <w:rPr>
          <w:rFonts w:ascii="Verdana" w:eastAsia="Century Gothic" w:hAnsi="Verdana" w:cs="Century Gothic"/>
          <w:sz w:val="20"/>
          <w:szCs w:val="20"/>
          <w:lang w:val="es-ES"/>
        </w:rPr>
      </w:pPr>
      <w:bookmarkStart w:id="2" w:name="_Hlk95313578"/>
      <w:r w:rsidRPr="001904AF">
        <w:rPr>
          <w:rFonts w:ascii="Verdana" w:eastAsia="Century Gothic" w:hAnsi="Verdana" w:cs="Century Gothic"/>
          <w:sz w:val="20"/>
          <w:szCs w:val="20"/>
          <w:lang w:val="es-ES"/>
        </w:rPr>
        <w:t>“</w:t>
      </w:r>
      <w:bookmarkEnd w:id="2"/>
      <w:r w:rsidRPr="004610A9">
        <w:rPr>
          <w:rFonts w:ascii="Verdana" w:eastAsia="Century Gothic" w:hAnsi="Verdana" w:cs="Century Gothic"/>
          <w:b/>
          <w:bCs/>
          <w:sz w:val="20"/>
          <w:szCs w:val="20"/>
          <w:lang w:val="es-ES"/>
        </w:rPr>
        <w:t>A. Preguntas dirigidas a Colombia Compra Eficiente</w:t>
      </w:r>
    </w:p>
    <w:p w14:paraId="363FC8D9" w14:textId="77777777" w:rsidR="00433276" w:rsidRPr="004610A9" w:rsidRDefault="00433276" w:rsidP="00433276">
      <w:pPr>
        <w:spacing w:after="120" w:line="240" w:lineRule="auto"/>
        <w:ind w:left="709" w:right="709"/>
        <w:jc w:val="both"/>
        <w:rPr>
          <w:rFonts w:ascii="Verdana" w:eastAsia="Century Gothic" w:hAnsi="Verdana" w:cs="Century Gothic"/>
          <w:sz w:val="20"/>
          <w:szCs w:val="20"/>
          <w:lang w:val="es-ES"/>
        </w:rPr>
      </w:pPr>
      <w:r w:rsidRPr="004610A9">
        <w:rPr>
          <w:rFonts w:ascii="Verdana" w:eastAsia="Century Gothic" w:hAnsi="Verdana" w:cs="Century Gothic"/>
          <w:sz w:val="20"/>
          <w:szCs w:val="20"/>
          <w:lang w:val="es-ES"/>
        </w:rPr>
        <w:lastRenderedPageBreak/>
        <w:t>1.- Para efectos del régimen general de contratación estatal, ¿la calidad de integrante de un consorcio o unión temporal adjudicatario de un contrato estatal de prestación de servicios implica que cada miembro debe considerarse individualmente contratista y ejecutor de la totalidad de las actividades comprendidas en el objeto contractual, o la ejecución atribuible a cada miembro se determina de acuerdo con los términos y la extensión de su participación establecidos en el acuerdo de conformación, sin perjuicio de la responsabilidad solidaria frente a la entidad estatal?</w:t>
      </w:r>
    </w:p>
    <w:p w14:paraId="4808EE78" w14:textId="77777777" w:rsidR="00433276" w:rsidRPr="004610A9" w:rsidRDefault="00433276" w:rsidP="00433276">
      <w:pPr>
        <w:spacing w:after="120" w:line="240" w:lineRule="auto"/>
        <w:ind w:left="709" w:right="709"/>
        <w:jc w:val="both"/>
        <w:rPr>
          <w:rFonts w:ascii="Verdana" w:eastAsia="Century Gothic" w:hAnsi="Verdana" w:cs="Century Gothic"/>
          <w:sz w:val="20"/>
          <w:szCs w:val="20"/>
          <w:lang w:val="es-ES"/>
        </w:rPr>
      </w:pPr>
      <w:r w:rsidRPr="004610A9">
        <w:rPr>
          <w:rFonts w:ascii="Verdana" w:eastAsia="Century Gothic" w:hAnsi="Verdana" w:cs="Century Gothic"/>
          <w:sz w:val="20"/>
          <w:szCs w:val="20"/>
          <w:lang w:val="es-ES"/>
        </w:rPr>
        <w:t>2.- Cuando dos sociedades extranjeras integran una estructura plural contratista, pero el acuerdo de conformación asigna únicamente a una de ellas la prestación material de los servicios en Colombia, ¿puede la entidad estatal exigir que ambas constituyan sucursal exclusivamente por razón de la solidaridad contractual? En caso afirmativo, sírvase indicar la norma que sustenta esa exigencia.</w:t>
      </w:r>
    </w:p>
    <w:p w14:paraId="19B14FEE" w14:textId="77777777" w:rsidR="00433276" w:rsidRPr="004610A9" w:rsidRDefault="00433276" w:rsidP="00433276">
      <w:pPr>
        <w:spacing w:after="120" w:line="240" w:lineRule="auto"/>
        <w:ind w:left="709" w:right="709"/>
        <w:jc w:val="both"/>
        <w:rPr>
          <w:rFonts w:ascii="Verdana" w:eastAsia="Century Gothic" w:hAnsi="Verdana" w:cs="Century Gothic"/>
          <w:sz w:val="20"/>
          <w:szCs w:val="20"/>
          <w:lang w:val="es-ES"/>
        </w:rPr>
      </w:pPr>
      <w:r w:rsidRPr="004610A9">
        <w:rPr>
          <w:rFonts w:ascii="Verdana" w:eastAsia="Century Gothic" w:hAnsi="Verdana" w:cs="Century Gothic"/>
          <w:sz w:val="20"/>
          <w:szCs w:val="20"/>
          <w:lang w:val="es-ES"/>
        </w:rPr>
        <w:t>3.- Para establecer si cada integrante extranjero debe constituir sucursal, ¿la entidad contratante debe atender al acuerdo de conformación, a la distribución real de actividades, al contenido de la oferta y del contrato, o a la sola condición de miembro solidariamente responsable?</w:t>
      </w:r>
    </w:p>
    <w:p w14:paraId="42542B3D" w14:textId="77777777" w:rsidR="00433276" w:rsidRDefault="00433276" w:rsidP="00433276">
      <w:pPr>
        <w:spacing w:after="0" w:line="240" w:lineRule="auto"/>
        <w:ind w:left="709" w:right="709"/>
        <w:jc w:val="both"/>
        <w:rPr>
          <w:rFonts w:ascii="Verdana" w:eastAsia="Century Gothic" w:hAnsi="Verdana" w:cs="Century Gothic"/>
          <w:sz w:val="20"/>
          <w:szCs w:val="20"/>
          <w:lang w:val="es-ES"/>
        </w:rPr>
      </w:pPr>
      <w:r w:rsidRPr="004610A9">
        <w:rPr>
          <w:rFonts w:ascii="Verdana" w:eastAsia="Century Gothic" w:hAnsi="Verdana" w:cs="Century Gothic"/>
          <w:sz w:val="20"/>
          <w:szCs w:val="20"/>
          <w:lang w:val="es-ES"/>
        </w:rPr>
        <w:t>4.- ¿La respuesta varía según se trate de un consorcio o de una unión temporal, teniendo en cuenta que en ambas figuras existe solidaridad respecto del cumplimiento total, pero difiere el tratamiento de las sanciones por incumplimiento?</w:t>
      </w:r>
    </w:p>
    <w:p w14:paraId="320B8B78" w14:textId="77777777" w:rsidR="00433276" w:rsidRDefault="00433276" w:rsidP="00433276">
      <w:pPr>
        <w:spacing w:after="120" w:line="240" w:lineRule="auto"/>
        <w:ind w:left="709" w:right="709"/>
        <w:jc w:val="both"/>
        <w:rPr>
          <w:rFonts w:ascii="Verdana" w:eastAsia="Century Gothic" w:hAnsi="Verdana" w:cs="Century Gothic"/>
          <w:sz w:val="20"/>
          <w:szCs w:val="20"/>
          <w:lang w:val="es-ES"/>
        </w:rPr>
      </w:pPr>
      <w:r>
        <w:rPr>
          <w:rFonts w:ascii="Verdana" w:eastAsia="Century Gothic" w:hAnsi="Verdana" w:cs="Century Gothic"/>
          <w:sz w:val="20"/>
          <w:szCs w:val="20"/>
          <w:lang w:val="es-ES"/>
        </w:rPr>
        <w:t>[…]</w:t>
      </w:r>
    </w:p>
    <w:p w14:paraId="7FF238EE" w14:textId="77777777" w:rsidR="00433276" w:rsidRPr="004610A9" w:rsidRDefault="00433276" w:rsidP="00433276">
      <w:pPr>
        <w:spacing w:after="120" w:line="240" w:lineRule="auto"/>
        <w:ind w:left="709" w:right="709"/>
        <w:jc w:val="both"/>
        <w:rPr>
          <w:rFonts w:ascii="Verdana" w:eastAsia="Century Gothic" w:hAnsi="Verdana" w:cs="Century Gothic"/>
          <w:b/>
          <w:bCs/>
          <w:sz w:val="20"/>
          <w:szCs w:val="20"/>
          <w:lang w:val="es-ES"/>
        </w:rPr>
      </w:pPr>
      <w:r w:rsidRPr="004610A9">
        <w:rPr>
          <w:rFonts w:ascii="Verdana" w:eastAsia="Century Gothic" w:hAnsi="Verdana" w:cs="Century Gothic"/>
          <w:b/>
          <w:bCs/>
          <w:sz w:val="20"/>
          <w:szCs w:val="20"/>
          <w:lang w:val="es-ES"/>
        </w:rPr>
        <w:t>C. Pregunta común</w:t>
      </w:r>
    </w:p>
    <w:p w14:paraId="0A7F0776" w14:textId="77777777" w:rsidR="00433276" w:rsidRPr="008E6AD9" w:rsidRDefault="00433276" w:rsidP="00433276">
      <w:pPr>
        <w:spacing w:after="0" w:line="240" w:lineRule="auto"/>
        <w:ind w:left="709" w:right="709"/>
        <w:jc w:val="both"/>
        <w:rPr>
          <w:rFonts w:ascii="Verdana" w:eastAsia="Century Gothic" w:hAnsi="Verdana" w:cs="Century Gothic"/>
          <w:b/>
          <w:bCs/>
        </w:rPr>
      </w:pPr>
      <w:r w:rsidRPr="004610A9">
        <w:rPr>
          <w:rFonts w:ascii="Verdana" w:eastAsia="Century Gothic" w:hAnsi="Verdana" w:cs="Century Gothic"/>
          <w:sz w:val="20"/>
          <w:szCs w:val="20"/>
          <w:lang w:val="es-ES"/>
        </w:rPr>
        <w:t>11.- Desde el ámbito de competencia de cada entidad, ¿cuál es el criterio jurídico que permite armonizar la solidaridad propia de la estructura plural con el carácter individual del régimen de capacidad, existencia, representación y establecimiento de negocios permanentes aplicable a cada sociedad extranjera?</w:t>
      </w:r>
      <w:r>
        <w:rPr>
          <w:rFonts w:ascii="Verdana" w:eastAsia="Century Gothic" w:hAnsi="Verdana" w:cs="Century Gothic"/>
          <w:sz w:val="20"/>
          <w:szCs w:val="20"/>
          <w:lang w:val="es-ES"/>
        </w:rPr>
        <w:t>”.</w:t>
      </w:r>
    </w:p>
    <w:p w14:paraId="464DFD3A" w14:textId="77777777" w:rsidR="00433276" w:rsidRPr="00481B98" w:rsidRDefault="00433276" w:rsidP="00433276">
      <w:pPr>
        <w:spacing w:after="0" w:line="276" w:lineRule="auto"/>
        <w:ind w:firstLine="709"/>
        <w:jc w:val="both"/>
        <w:rPr>
          <w:rFonts w:ascii="Verdana" w:eastAsia="Calibri" w:hAnsi="Verdana" w:cs="Arial"/>
          <w:color w:val="000000"/>
          <w:lang w:eastAsia="es-ES"/>
        </w:rPr>
      </w:pPr>
    </w:p>
    <w:p w14:paraId="38F87F39" w14:textId="77777777" w:rsidR="00433276" w:rsidRPr="00A652FF" w:rsidRDefault="00433276" w:rsidP="00433276">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w:t>
      </w:r>
      <w:r w:rsidRPr="00593A5F">
        <w:rPr>
          <w:rFonts w:ascii="Verdana" w:eastAsia="Calibri" w:hAnsi="Verdana" w:cs="Arial"/>
          <w:color w:val="000000"/>
          <w:lang w:val="es-ES" w:eastAsia="es-ES"/>
        </w:rPr>
        <w:lastRenderedPageBreak/>
        <w:t xml:space="preserve">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30358FCA" w14:textId="77777777" w:rsidR="00433276" w:rsidRDefault="00433276" w:rsidP="00433276">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11DA094F" w14:textId="77777777" w:rsidR="00433276" w:rsidRPr="00593A5F" w:rsidRDefault="00433276" w:rsidP="00433276">
      <w:pPr>
        <w:spacing w:after="0" w:line="276" w:lineRule="auto"/>
        <w:ind w:firstLine="709"/>
        <w:jc w:val="both"/>
        <w:rPr>
          <w:rFonts w:ascii="Verdana" w:eastAsia="Calibri" w:hAnsi="Verdana" w:cs="Arial"/>
          <w:color w:val="000000"/>
          <w:lang w:val="es-ES" w:eastAsia="es-ES"/>
        </w:rPr>
      </w:pPr>
    </w:p>
    <w:p w14:paraId="74A3D5C4" w14:textId="77777777" w:rsidR="00433276" w:rsidRPr="00593A5F" w:rsidRDefault="00433276" w:rsidP="00433276">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w:t>
      </w:r>
      <w:r>
        <w:rPr>
          <w:rFonts w:ascii="Verdana" w:eastAsia="Century Gothic" w:hAnsi="Verdana" w:cs="Century Gothic"/>
          <w:b/>
          <w:bCs/>
        </w:rPr>
        <w:t>s</w:t>
      </w:r>
      <w:r w:rsidRPr="00593A5F">
        <w:rPr>
          <w:rFonts w:ascii="Verdana" w:eastAsia="Century Gothic" w:hAnsi="Verdana" w:cs="Century Gothic"/>
          <w:b/>
          <w:bCs/>
        </w:rPr>
        <w:t xml:space="preserve"> planteado</w:t>
      </w:r>
      <w:r>
        <w:rPr>
          <w:rFonts w:ascii="Verdana" w:eastAsia="Century Gothic" w:hAnsi="Verdana" w:cs="Century Gothic"/>
          <w:b/>
          <w:bCs/>
        </w:rPr>
        <w:t>s</w:t>
      </w:r>
      <w:r w:rsidRPr="00593A5F">
        <w:rPr>
          <w:rFonts w:ascii="Verdana" w:eastAsia="Century Gothic" w:hAnsi="Verdana" w:cs="Century Gothic"/>
          <w:b/>
          <w:bCs/>
        </w:rPr>
        <w:t>:</w:t>
      </w:r>
    </w:p>
    <w:p w14:paraId="4C4CB7A3" w14:textId="77777777" w:rsidR="00433276" w:rsidRPr="00593A5F" w:rsidRDefault="00433276" w:rsidP="00433276">
      <w:pPr>
        <w:tabs>
          <w:tab w:val="left" w:pos="426"/>
        </w:tabs>
        <w:spacing w:after="0" w:line="276" w:lineRule="auto"/>
        <w:jc w:val="both"/>
        <w:rPr>
          <w:rFonts w:ascii="Verdana" w:eastAsia="Century Gothic" w:hAnsi="Verdana" w:cs="Century Gothic"/>
          <w:lang w:val="es-ES"/>
        </w:rPr>
      </w:pPr>
    </w:p>
    <w:p w14:paraId="362DD696" w14:textId="77777777" w:rsidR="00433276" w:rsidRPr="00593A5F" w:rsidRDefault="00433276" w:rsidP="00433276">
      <w:pPr>
        <w:spacing w:after="0" w:line="276" w:lineRule="auto"/>
        <w:jc w:val="both"/>
        <w:rPr>
          <w:rFonts w:ascii="Verdana" w:eastAsia="Century Gothic" w:hAnsi="Verdana" w:cs="Century Gothic"/>
        </w:rPr>
      </w:pPr>
      <w:r w:rsidRPr="0010610A">
        <w:rPr>
          <w:rFonts w:ascii="Verdana" w:eastAsia="Century Gothic" w:hAnsi="Verdana" w:cs="Century Gothic"/>
        </w:rPr>
        <w:t xml:space="preserve">De acuerdo con el contenido de su solicitud, esta Agencia resolverá </w:t>
      </w:r>
      <w:r>
        <w:rPr>
          <w:rFonts w:ascii="Verdana" w:eastAsia="Century Gothic" w:hAnsi="Verdana" w:cs="Century Gothic"/>
        </w:rPr>
        <w:t>los</w:t>
      </w:r>
      <w:r w:rsidRPr="0010610A">
        <w:rPr>
          <w:rFonts w:ascii="Verdana" w:eastAsia="Century Gothic" w:hAnsi="Verdana" w:cs="Century Gothic"/>
        </w:rPr>
        <w:t xml:space="preserve"> siguiente</w:t>
      </w:r>
      <w:r>
        <w:rPr>
          <w:rFonts w:ascii="Verdana" w:eastAsia="Century Gothic" w:hAnsi="Verdana" w:cs="Century Gothic"/>
        </w:rPr>
        <w:t>s</w:t>
      </w:r>
      <w:r w:rsidRPr="0010610A">
        <w:rPr>
          <w:rFonts w:ascii="Verdana" w:eastAsia="Century Gothic" w:hAnsi="Verdana" w:cs="Century Gothic"/>
        </w:rPr>
        <w:t xml:space="preserve"> problema jurídico</w:t>
      </w:r>
      <w:r>
        <w:rPr>
          <w:rFonts w:ascii="Verdana" w:eastAsia="Century Gothic" w:hAnsi="Verdana" w:cs="Century Gothic"/>
        </w:rPr>
        <w:t>s</w:t>
      </w:r>
      <w:r w:rsidRPr="0010610A">
        <w:rPr>
          <w:rFonts w:ascii="Verdana" w:eastAsia="Century Gothic" w:hAnsi="Verdana" w:cs="Century Gothic"/>
        </w:rPr>
        <w:t>:</w:t>
      </w:r>
      <w:r>
        <w:rPr>
          <w:rFonts w:ascii="Verdana" w:eastAsia="Century Gothic" w:hAnsi="Verdana" w:cs="Century Gothic"/>
        </w:rPr>
        <w:t xml:space="preserve"> i) ¿cuáles son las características de los consorcios y uniones temporales?, </w:t>
      </w:r>
      <w:proofErr w:type="spellStart"/>
      <w:r>
        <w:rPr>
          <w:rFonts w:ascii="Verdana" w:eastAsia="Century Gothic" w:hAnsi="Verdana" w:cs="Century Gothic"/>
        </w:rPr>
        <w:t>ii</w:t>
      </w:r>
      <w:proofErr w:type="spellEnd"/>
      <w:r>
        <w:rPr>
          <w:rFonts w:ascii="Verdana" w:eastAsia="Century Gothic" w:hAnsi="Verdana" w:cs="Century Gothic"/>
        </w:rPr>
        <w:t xml:space="preserve">) </w:t>
      </w:r>
      <w:r w:rsidRPr="00D93945">
        <w:rPr>
          <w:rFonts w:ascii="Verdana" w:eastAsia="Century Gothic" w:hAnsi="Verdana" w:cs="Century Gothic"/>
        </w:rPr>
        <w:t>¿pueden existir consorcios o uniones temporales en los que uno o varios de sus integrantes no estén obligados a desarrollar actividades para la ejecución del contrato?</w:t>
      </w:r>
      <w:r>
        <w:rPr>
          <w:rFonts w:ascii="Verdana" w:eastAsia="Century Gothic" w:hAnsi="Verdana" w:cs="Century Gothic"/>
        </w:rPr>
        <w:t xml:space="preserve">, </w:t>
      </w:r>
      <w:proofErr w:type="spellStart"/>
      <w:r>
        <w:rPr>
          <w:rFonts w:ascii="Verdana" w:eastAsia="Century Gothic" w:hAnsi="Verdana" w:cs="Century Gothic"/>
        </w:rPr>
        <w:t>iii</w:t>
      </w:r>
      <w:proofErr w:type="spellEnd"/>
      <w:r>
        <w:rPr>
          <w:rFonts w:ascii="Verdana" w:eastAsia="Century Gothic" w:hAnsi="Verdana" w:cs="Century Gothic"/>
        </w:rPr>
        <w:t xml:space="preserve">) ¿bajo qué restricciones pueden ser conformados por personas jurídicas extranjeras? y </w:t>
      </w:r>
      <w:proofErr w:type="spellStart"/>
      <w:r>
        <w:rPr>
          <w:rFonts w:ascii="Verdana" w:eastAsia="Century Gothic" w:hAnsi="Verdana" w:cs="Century Gothic"/>
        </w:rPr>
        <w:t>iv</w:t>
      </w:r>
      <w:proofErr w:type="spellEnd"/>
      <w:r>
        <w:rPr>
          <w:rFonts w:ascii="Verdana" w:eastAsia="Century Gothic" w:hAnsi="Verdana" w:cs="Century Gothic"/>
        </w:rPr>
        <w:t xml:space="preserve">) ¿todos los integrantes del proponente plural conformado por sociedades extranjeras están obligados a cumplir el artículo </w:t>
      </w:r>
      <w:r>
        <w:rPr>
          <w:rFonts w:ascii="Verdana" w:hAnsi="Verdana" w:cs="Arial"/>
        </w:rPr>
        <w:t>471 del Código de Comercio para emprender negocios permanentes en Colombia?</w:t>
      </w:r>
      <w:r>
        <w:rPr>
          <w:rFonts w:ascii="Verdana" w:eastAsia="Century Gothic" w:hAnsi="Verdana" w:cs="Century Gothic"/>
        </w:rPr>
        <w:t xml:space="preserve"> </w:t>
      </w:r>
    </w:p>
    <w:p w14:paraId="178E0153" w14:textId="77777777" w:rsidR="00433276" w:rsidRPr="004B140F" w:rsidRDefault="00433276" w:rsidP="00433276">
      <w:pPr>
        <w:spacing w:after="0" w:line="276" w:lineRule="auto"/>
        <w:jc w:val="both"/>
        <w:rPr>
          <w:rFonts w:ascii="Verdana" w:eastAsia="Calibri" w:hAnsi="Verdana" w:cs="Arial"/>
          <w:color w:val="7030A0"/>
        </w:rPr>
      </w:pPr>
    </w:p>
    <w:p w14:paraId="3DD595E8" w14:textId="77777777" w:rsidR="00433276" w:rsidRPr="00593A5F" w:rsidRDefault="00433276" w:rsidP="0043327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r>
        <w:rPr>
          <w:rFonts w:ascii="Verdana" w:eastAsia="Century Gothic" w:hAnsi="Verdana" w:cs="Century Gothic"/>
          <w:b/>
          <w:bCs/>
        </w:rPr>
        <w:t>s</w:t>
      </w:r>
      <w:r w:rsidRPr="00593A5F">
        <w:rPr>
          <w:rFonts w:ascii="Verdana" w:eastAsia="Century Gothic" w:hAnsi="Verdana" w:cs="Century Gothic"/>
          <w:b/>
          <w:bCs/>
        </w:rPr>
        <w:t>:</w:t>
      </w:r>
    </w:p>
    <w:p w14:paraId="45E4CD6E" w14:textId="77777777" w:rsidR="00433276" w:rsidRPr="00593A5F" w:rsidRDefault="00433276" w:rsidP="00433276">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433276" w:rsidRPr="00593A5F" w14:paraId="2E093FC7" w14:textId="77777777" w:rsidTr="00511EE9">
        <w:trPr>
          <w:jc w:val="center"/>
        </w:trPr>
        <w:tc>
          <w:tcPr>
            <w:tcW w:w="8828" w:type="dxa"/>
          </w:tcPr>
          <w:p w14:paraId="75A9E13B" w14:textId="77777777" w:rsidR="00433276" w:rsidRPr="0007432B" w:rsidRDefault="00433276" w:rsidP="00511EE9">
            <w:pPr>
              <w:widowControl w:val="0"/>
              <w:autoSpaceDE w:val="0"/>
              <w:autoSpaceDN w:val="0"/>
              <w:spacing w:after="120" w:line="276" w:lineRule="auto"/>
              <w:jc w:val="both"/>
              <w:rPr>
                <w:rFonts w:ascii="Verdana" w:eastAsia="Calibri" w:hAnsi="Verdana" w:cs="Arial"/>
                <w:bCs/>
                <w:color w:val="000000" w:themeColor="text1"/>
                <w:lang w:val="es-ES"/>
              </w:rPr>
            </w:pPr>
            <w:bookmarkStart w:id="3" w:name="_Hlk171694685"/>
            <w:r w:rsidRPr="000955E3">
              <w:rPr>
                <w:rFonts w:ascii="Verdana" w:eastAsia="Calibri" w:hAnsi="Verdana" w:cs="Arial"/>
                <w:bCs/>
                <w:color w:val="000000" w:themeColor="text1"/>
              </w:rPr>
              <w:t>Conforme a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w:t>
            </w:r>
            <w:r>
              <w:rPr>
                <w:rFonts w:ascii="Verdana" w:eastAsia="Calibri" w:hAnsi="Verdana" w:cs="Arial"/>
                <w:lang w:val="es-ES"/>
              </w:rPr>
              <w:t xml:space="preserve">de acuerdo con los numerales 6 y 7 del artículo 7 de la Ley 80 de 1993, </w:t>
            </w:r>
            <w:r w:rsidRPr="008A4AEC">
              <w:rPr>
                <w:rFonts w:ascii="Verdana" w:eastAsia="Calibri" w:hAnsi="Verdana" w:cs="Arial"/>
                <w:bCs/>
                <w:color w:val="000000" w:themeColor="text1"/>
                <w:lang w:val="es-ES"/>
              </w:rPr>
              <w:t>el consorcio o la unión temporal se da “</w:t>
            </w:r>
            <w:r w:rsidRPr="002A6691">
              <w:rPr>
                <w:rFonts w:ascii="Verdana" w:eastAsia="Calibri" w:hAnsi="Verdana" w:cs="Arial"/>
                <w:bCs/>
                <w:color w:val="000000" w:themeColor="text1"/>
                <w:lang w:val="es-ES"/>
              </w:rPr>
              <w:t>Cuando dos o más personas en forma conjunta presentan una misma propuesta para la adjudicación, celebración y ejecución de un contrato, respondiendo solidariamente de todas y cada una de las obligaciones derivadas de la propuesta y del contrato</w:t>
            </w:r>
            <w:r w:rsidRPr="008A4AEC">
              <w:rPr>
                <w:rFonts w:ascii="Verdana" w:eastAsia="Calibri" w:hAnsi="Verdana" w:cs="Arial"/>
                <w:bCs/>
                <w:color w:val="000000" w:themeColor="text1"/>
                <w:lang w:val="es-ES"/>
              </w:rPr>
              <w:t xml:space="preserve"> […]”.</w:t>
            </w:r>
            <w:r>
              <w:rPr>
                <w:rFonts w:ascii="Verdana" w:eastAsia="Calibri" w:hAnsi="Verdana" w:cs="Arial"/>
                <w:bCs/>
                <w:color w:val="000000" w:themeColor="text1"/>
                <w:lang w:val="es-ES"/>
              </w:rPr>
              <w:t xml:space="preserve"> Como no tienen el carácter de personas jurídicas,</w:t>
            </w:r>
            <w:r w:rsidRPr="008A4AEC">
              <w:rPr>
                <w:rFonts w:ascii="Verdana" w:hAnsi="Verdana" w:cs="Arial"/>
                <w:color w:val="000000" w:themeColor="text1"/>
              </w:rPr>
              <w:t xml:space="preserve"> son convenios de asociación provenientes de la colaboración empresarial, mediante los cuales sus integrantes se unen y se organizan mancomunadamente para lograr con mayor eficacia un fin común de contenido patrimonial y lucrativo, como lo es la obtención del derecho a ser adjudicatarios de un contrato estatal, compartiendo recursos, de toda índole, para su ejecución, así como las utilidades y los riesgos. La diferencia radica en la responsabilidad frente a las eventuales sanciones por el incumplimiento de las obligaciones, toda vez que tratándose de una unión temporal, estas se individualizan según la </w:t>
            </w:r>
            <w:r w:rsidRPr="008A4AEC">
              <w:rPr>
                <w:rFonts w:ascii="Verdana" w:hAnsi="Verdana" w:cs="Arial"/>
                <w:color w:val="000000" w:themeColor="text1"/>
              </w:rPr>
              <w:lastRenderedPageBreak/>
              <w:t>participación de sus miembros, mientras que en el consorcio los miembros responden solidariamente, con independencia de este aspecto.</w:t>
            </w:r>
            <w:r>
              <w:rPr>
                <w:rFonts w:ascii="Verdana" w:hAnsi="Verdana" w:cs="Arial"/>
                <w:color w:val="000000" w:themeColor="text1"/>
              </w:rPr>
              <w:t xml:space="preserve"> (Respuesta a las preguntas 1 y 4)</w:t>
            </w:r>
          </w:p>
          <w:p w14:paraId="11328055" w14:textId="77777777" w:rsidR="00433276" w:rsidRDefault="00433276" w:rsidP="00511EE9">
            <w:pPr>
              <w:widowControl w:val="0"/>
              <w:autoSpaceDE w:val="0"/>
              <w:autoSpaceDN w:val="0"/>
              <w:spacing w:after="120" w:line="276" w:lineRule="auto"/>
              <w:ind w:firstLine="738"/>
              <w:jc w:val="both"/>
              <w:rPr>
                <w:rFonts w:ascii="Verdana" w:hAnsi="Verdana" w:cs="Arial"/>
                <w:color w:val="000000" w:themeColor="text1"/>
              </w:rPr>
            </w:pPr>
            <w:r>
              <w:rPr>
                <w:rFonts w:ascii="Verdana" w:hAnsi="Verdana" w:cs="Arial"/>
                <w:color w:val="000000" w:themeColor="text1"/>
              </w:rPr>
              <w:t>Como existe participación conjunta en la presentación de la propuesta, todos los integrantes de la estructura plural deben participar en la ejecución del contrato, pues existe solidaridad en el cumplimiento de las obligaciones.</w:t>
            </w:r>
            <w:r>
              <w:rPr>
                <w:rFonts w:ascii="Verdana" w:eastAsia="Calibri" w:hAnsi="Verdana" w:cs="Arial"/>
                <w:lang w:val="es-ES"/>
              </w:rPr>
              <w:t xml:space="preserve"> Por </w:t>
            </w:r>
            <w:r>
              <w:rPr>
                <w:rFonts w:ascii="Verdana" w:hAnsi="Verdana" w:cs="Arial"/>
                <w:color w:val="000000" w:themeColor="text1"/>
              </w:rPr>
              <w:t xml:space="preserve">remisión de los artículos 13, 32 y 40 del EGCAP al artículo 1568 del Código Civil, las obligaciones son solidarias cuando “[…] </w:t>
            </w:r>
            <w:r w:rsidRPr="00EA1B06">
              <w:rPr>
                <w:rFonts w:ascii="Verdana" w:hAnsi="Verdana" w:cs="Arial"/>
                <w:color w:val="000000" w:themeColor="text1"/>
              </w:rPr>
              <w:t>existiendo varios deudores de un mismo objeto</w:t>
            </w:r>
            <w:r>
              <w:rPr>
                <w:rFonts w:ascii="Verdana" w:hAnsi="Verdana" w:cs="Arial"/>
                <w:color w:val="000000" w:themeColor="text1"/>
              </w:rPr>
              <w:t xml:space="preserve"> </w:t>
            </w:r>
            <w:r w:rsidRPr="00EA1B06">
              <w:rPr>
                <w:rFonts w:ascii="Verdana" w:hAnsi="Verdana" w:cs="Arial"/>
                <w:color w:val="000000" w:themeColor="text1"/>
              </w:rPr>
              <w:t>divisible, el acreedor puede exigir, por el ministerio de la ley o por la</w:t>
            </w:r>
            <w:r>
              <w:rPr>
                <w:rFonts w:ascii="Verdana" w:hAnsi="Verdana" w:cs="Arial"/>
                <w:color w:val="000000" w:themeColor="text1"/>
              </w:rPr>
              <w:t xml:space="preserve"> </w:t>
            </w:r>
            <w:r w:rsidRPr="00EA1B06">
              <w:rPr>
                <w:rFonts w:ascii="Verdana" w:hAnsi="Verdana" w:cs="Arial"/>
                <w:color w:val="000000" w:themeColor="text1"/>
              </w:rPr>
              <w:t>convención, el total a cada uno de ellos, y el pago que haga cualquiera de los deudores extingue la obligación respecto de todos</w:t>
            </w:r>
            <w:r>
              <w:rPr>
                <w:rFonts w:ascii="Verdana" w:hAnsi="Verdana" w:cs="Arial"/>
                <w:color w:val="000000" w:themeColor="text1"/>
              </w:rPr>
              <w:t>”</w:t>
            </w:r>
            <w:r w:rsidRPr="00EA1B06">
              <w:rPr>
                <w:rFonts w:ascii="Verdana" w:hAnsi="Verdana" w:cs="Arial"/>
                <w:color w:val="000000" w:themeColor="text1"/>
              </w:rPr>
              <w:t>.</w:t>
            </w:r>
            <w:r>
              <w:rPr>
                <w:rFonts w:ascii="Verdana" w:hAnsi="Verdana" w:cs="Arial"/>
                <w:color w:val="000000" w:themeColor="text1"/>
              </w:rPr>
              <w:t xml:space="preserve"> Esto significa que la entidad contratante puede exigir a cualquiera de los miembros del consorcio o la unión temporal el cumplimiento de lo pactado; razón por la cual, todos los integrantes de la estructura plural deben estar en capacidad para desarrollar actividades tendientes a la prestación de lo debido. </w:t>
            </w:r>
          </w:p>
          <w:p w14:paraId="597205EF" w14:textId="77777777" w:rsidR="00433276" w:rsidRDefault="00433276" w:rsidP="00511EE9">
            <w:pPr>
              <w:widowControl w:val="0"/>
              <w:autoSpaceDE w:val="0"/>
              <w:autoSpaceDN w:val="0"/>
              <w:spacing w:after="120" w:line="276" w:lineRule="auto"/>
              <w:ind w:firstLine="738"/>
              <w:jc w:val="both"/>
              <w:rPr>
                <w:rFonts w:ascii="Verdana" w:hAnsi="Verdana" w:cs="Arial"/>
              </w:rPr>
            </w:pPr>
            <w:r>
              <w:rPr>
                <w:rFonts w:ascii="Verdana" w:hAnsi="Verdana" w:cs="Arial"/>
              </w:rPr>
              <w:t xml:space="preserve">Lo explicado en el párrafo anterior aplica a las sociedades extranjeras que conformen un consorcio o una unión temporal, pues –con excepción de las convocatorias limitadas a </w:t>
            </w:r>
            <w:proofErr w:type="spellStart"/>
            <w:r>
              <w:rPr>
                <w:rFonts w:ascii="Verdana" w:hAnsi="Verdana" w:cs="Arial"/>
              </w:rPr>
              <w:t>Mipymes</w:t>
            </w:r>
            <w:proofErr w:type="spellEnd"/>
            <w:r>
              <w:rPr>
                <w:rFonts w:ascii="Verdana" w:hAnsi="Verdana" w:cs="Arial"/>
              </w:rPr>
              <w:t xml:space="preserve">– pueden concurrir de forma individual o conjunta a los procesos de selección conforme a los artículos 13, 16 y 100 de la Constitución Política de 1991, en armonía con el artículo 1502 del Código Civil y el inciso primero del artículo 6 del Estatuto General de Contratación de la Administración Pública. Aunque estas sociedades pueden beneficiarse del trato nacional conforme al artículo 20 de la Ley 80 de 1993 y sus decretos reglamentarios para el puntaje de la </w:t>
            </w:r>
            <w:r w:rsidRPr="00BF319B">
              <w:rPr>
                <w:rFonts w:ascii="Verdana" w:eastAsia="Calibri" w:hAnsi="Verdana" w:cs="Arial"/>
                <w:bCs/>
                <w:color w:val="000000" w:themeColor="text1"/>
                <w:lang w:val="es-ES_tradnl"/>
              </w:rPr>
              <w:t>Ley 816 de 2003</w:t>
            </w:r>
            <w:r>
              <w:rPr>
                <w:rFonts w:ascii="Verdana" w:hAnsi="Verdana" w:cs="Arial"/>
              </w:rPr>
              <w:t xml:space="preserve">, ello no obsta para que, en virtud de la solidaridad prevista en el EGCAP y dada la imposibilidad de que existan </w:t>
            </w:r>
            <w:r>
              <w:rPr>
                <w:rFonts w:ascii="Verdana" w:hAnsi="Verdana" w:cs="Arial"/>
                <w:color w:val="000000" w:themeColor="text1"/>
              </w:rPr>
              <w:t>integrantes de estructura plural que no participen en la ejecución del contrato</w:t>
            </w:r>
            <w:r>
              <w:rPr>
                <w:rFonts w:ascii="Verdana" w:hAnsi="Verdana" w:cs="Arial"/>
              </w:rPr>
              <w:t xml:space="preserve">, deban cumplir el requisito del artículo 471 del Código de Comercio para emprender negocios permanentes en Colombia. </w:t>
            </w:r>
          </w:p>
          <w:p w14:paraId="065A7F7D" w14:textId="77777777" w:rsidR="00433276" w:rsidRPr="006A4CE1" w:rsidRDefault="00433276" w:rsidP="00511EE9">
            <w:pPr>
              <w:widowControl w:val="0"/>
              <w:autoSpaceDE w:val="0"/>
              <w:autoSpaceDN w:val="0"/>
              <w:spacing w:after="120" w:line="276" w:lineRule="auto"/>
              <w:ind w:firstLine="738"/>
              <w:jc w:val="both"/>
              <w:rPr>
                <w:rFonts w:ascii="Verdana" w:hAnsi="Verdana" w:cs="Arial"/>
              </w:rPr>
            </w:pPr>
            <w:r>
              <w:rPr>
                <w:rFonts w:ascii="Verdana" w:hAnsi="Verdana" w:cs="Arial"/>
              </w:rPr>
              <w:t xml:space="preserve">Por tanto, </w:t>
            </w:r>
            <w:r w:rsidRPr="00BF319B">
              <w:rPr>
                <w:rFonts w:ascii="Verdana" w:eastAsia="Calibri" w:hAnsi="Verdana" w:cs="Arial"/>
                <w:color w:val="000000" w:themeColor="text1"/>
              </w:rPr>
              <w:t>el acápite IV</w:t>
            </w:r>
            <w:r w:rsidRPr="00BF319B">
              <w:rPr>
                <w:rFonts w:ascii="Verdana" w:hAnsi="Verdana" w:cs="Arial"/>
                <w:color w:val="000000" w:themeColor="text1"/>
              </w:rPr>
              <w:t xml:space="preserve"> de la “Guía de Asuntos Corporativos en los Procesos de </w:t>
            </w:r>
            <w:proofErr w:type="spellStart"/>
            <w:r w:rsidRPr="00BF319B">
              <w:rPr>
                <w:rFonts w:ascii="Verdana" w:hAnsi="Verdana" w:cs="Arial"/>
                <w:color w:val="000000" w:themeColor="text1"/>
              </w:rPr>
              <w:t>Contratación</w:t>
            </w:r>
            <w:proofErr w:type="spellEnd"/>
            <w:r w:rsidRPr="00BF319B">
              <w:rPr>
                <w:rFonts w:ascii="Verdana" w:hAnsi="Verdana" w:cs="Arial"/>
                <w:color w:val="000000" w:themeColor="text1"/>
              </w:rPr>
              <w:t xml:space="preserve">”, expedida por la </w:t>
            </w:r>
            <w:r w:rsidRPr="00BF319B">
              <w:rPr>
                <w:rFonts w:ascii="Verdana" w:eastAsia="Calibri" w:hAnsi="Verdana" w:cs="Arial"/>
                <w:color w:val="000000" w:themeColor="text1"/>
              </w:rPr>
              <w:t>Agencia Nacional de Contratación Pública – Colombia Compra Eficiente, precisa que “</w:t>
            </w:r>
            <w:r w:rsidRPr="00BF319B">
              <w:rPr>
                <w:rFonts w:ascii="Verdana" w:eastAsia="Calibri" w:hAnsi="Verdana" w:cs="Arial"/>
                <w:color w:val="000000" w:themeColor="text1"/>
                <w:lang w:val="es-MX"/>
              </w:rPr>
              <w:t xml:space="preserve">Para la presentación de la oferta no será necesario que se constituya una sucursal en Colombia pues esto solo es obligatorio si se resulta adjudicatario en Procesos de Contratación que tengan por objeto la construcción de obras o la prestación de servicios, pues en estos dos casos, se entiende que la persona jurídica extranjera está </w:t>
            </w:r>
            <w:r w:rsidRPr="00BF319B">
              <w:rPr>
                <w:rFonts w:ascii="Verdana" w:eastAsia="Calibri" w:hAnsi="Verdana" w:cs="Arial"/>
                <w:color w:val="000000" w:themeColor="text1"/>
                <w:lang w:val="es-MX"/>
              </w:rPr>
              <w:lastRenderedPageBreak/>
              <w:t>ejerciendo negocios permanentes en Colombia”</w:t>
            </w:r>
            <w:r>
              <w:rPr>
                <w:rFonts w:ascii="Verdana" w:eastAsia="Calibri" w:hAnsi="Verdana" w:cs="Arial"/>
                <w:color w:val="000000" w:themeColor="text1"/>
                <w:lang w:val="es-MX"/>
              </w:rPr>
              <w:t>. Dicha exigencia aplica por igual a consorcios y uniones temporales, pues el marco normativo citado no plantea distinciones al respecto, además de que contribuye a hacer efectiva la responsabilidad solidaria de los integrantes del proponente plural por la falta de ejecución, ejecución imperfecta o ejecución tardía del objeto contratado conforme al artículo 1613 del Código Civil.</w:t>
            </w:r>
            <w:r>
              <w:rPr>
                <w:rFonts w:ascii="Verdana" w:hAnsi="Verdana" w:cs="Arial"/>
              </w:rPr>
              <w:t xml:space="preserve"> (Respuesta a las preguntas 2, 3 y 11)   </w:t>
            </w:r>
          </w:p>
          <w:p w14:paraId="58D993D5" w14:textId="77777777" w:rsidR="00433276" w:rsidRPr="001941FD" w:rsidRDefault="00433276" w:rsidP="00511EE9">
            <w:pPr>
              <w:spacing w:line="276" w:lineRule="auto"/>
              <w:ind w:firstLine="737"/>
              <w:jc w:val="both"/>
              <w:rPr>
                <w:rFonts w:ascii="Verdana" w:eastAsia="Calibri" w:hAnsi="Verdana" w:cs="Arial"/>
                <w:bCs/>
                <w:color w:val="000000" w:themeColor="text1"/>
              </w:rPr>
            </w:pPr>
            <w:r w:rsidRPr="00A47393">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33E07043" w14:textId="77777777" w:rsidR="00433276" w:rsidRPr="00593A5F" w:rsidRDefault="00433276" w:rsidP="00433276">
      <w:pPr>
        <w:tabs>
          <w:tab w:val="left" w:pos="142"/>
          <w:tab w:val="left" w:pos="284"/>
        </w:tabs>
        <w:spacing w:after="0" w:line="276" w:lineRule="auto"/>
        <w:jc w:val="both"/>
        <w:rPr>
          <w:rFonts w:ascii="Verdana" w:eastAsia="Century Gothic" w:hAnsi="Verdana" w:cs="Century Gothic"/>
          <w:b/>
          <w:bCs/>
          <w:lang w:val="es-ES"/>
        </w:rPr>
      </w:pPr>
    </w:p>
    <w:bookmarkEnd w:id="3"/>
    <w:p w14:paraId="443F924E" w14:textId="77777777" w:rsidR="00433276" w:rsidRPr="00593A5F" w:rsidRDefault="00433276" w:rsidP="0043327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w:t>
      </w:r>
      <w:r>
        <w:rPr>
          <w:rFonts w:ascii="Verdana" w:eastAsia="Century Gothic" w:hAnsi="Verdana" w:cs="Century Gothic"/>
          <w:b/>
          <w:bCs/>
        </w:rPr>
        <w:t>s</w:t>
      </w:r>
      <w:r w:rsidRPr="00593A5F">
        <w:rPr>
          <w:rFonts w:ascii="Verdana" w:eastAsia="Century Gothic" w:hAnsi="Verdana" w:cs="Century Gothic"/>
          <w:b/>
          <w:bCs/>
        </w:rPr>
        <w:t xml:space="preserve"> respuesta</w:t>
      </w:r>
      <w:r>
        <w:rPr>
          <w:rFonts w:ascii="Verdana" w:eastAsia="Century Gothic" w:hAnsi="Verdana" w:cs="Century Gothic"/>
          <w:b/>
          <w:bCs/>
        </w:rPr>
        <w:t>s</w:t>
      </w:r>
      <w:r w:rsidRPr="00593A5F">
        <w:rPr>
          <w:rFonts w:ascii="Verdana" w:eastAsia="Century Gothic" w:hAnsi="Verdana" w:cs="Century Gothic"/>
          <w:b/>
          <w:bCs/>
        </w:rPr>
        <w:t>:</w:t>
      </w:r>
    </w:p>
    <w:p w14:paraId="55DC9D9D" w14:textId="77777777" w:rsidR="00433276" w:rsidRPr="00593A5F" w:rsidRDefault="00433276" w:rsidP="00433276">
      <w:pPr>
        <w:spacing w:after="0" w:line="276" w:lineRule="auto"/>
        <w:jc w:val="both"/>
        <w:rPr>
          <w:rFonts w:ascii="Verdana" w:eastAsia="Calibri" w:hAnsi="Verdana" w:cs="Arial"/>
          <w:color w:val="7030A0"/>
          <w:lang w:val="es-ES"/>
        </w:rPr>
      </w:pPr>
    </w:p>
    <w:p w14:paraId="0B9783BA" w14:textId="77777777" w:rsidR="00433276" w:rsidRDefault="00433276" w:rsidP="00433276">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4EA53B6E" w14:textId="77777777" w:rsidR="00433276" w:rsidRPr="00415608" w:rsidRDefault="00433276" w:rsidP="00433276">
      <w:pPr>
        <w:spacing w:after="0" w:line="276" w:lineRule="auto"/>
        <w:jc w:val="both"/>
        <w:rPr>
          <w:rFonts w:ascii="Verdana" w:eastAsia="Calibri" w:hAnsi="Verdana" w:cs="Arial"/>
          <w:lang w:val="es-ES"/>
        </w:rPr>
      </w:pPr>
    </w:p>
    <w:p w14:paraId="33E5C207" w14:textId="77777777" w:rsidR="00433276" w:rsidRPr="008A4AEC" w:rsidRDefault="00433276" w:rsidP="00433276">
      <w:pPr>
        <w:spacing w:after="120" w:line="276" w:lineRule="auto"/>
        <w:jc w:val="both"/>
        <w:rPr>
          <w:rFonts w:ascii="Verdana" w:eastAsia="Calibri" w:hAnsi="Verdana" w:cs="Arial"/>
          <w:lang w:val="es-MX"/>
        </w:rPr>
      </w:pPr>
      <w:r>
        <w:rPr>
          <w:rFonts w:ascii="Verdana" w:hAnsi="Verdana"/>
          <w:lang w:val="es-ES" w:eastAsia="es-ES"/>
        </w:rPr>
        <w:t xml:space="preserve">i. </w:t>
      </w:r>
      <w:r w:rsidRPr="008A4AEC">
        <w:rPr>
          <w:rFonts w:ascii="Verdana" w:hAnsi="Verdana" w:cs="Arial"/>
          <w:lang w:val="es-ES_tradnl"/>
        </w:rPr>
        <w:t xml:space="preserve">Si bien las personas pueden presentarse individualmente a los procesos de selección, también pueden hacerlo en forma plural a través de consorcios o uniones temporales. En efecto, </w:t>
      </w:r>
      <w:r w:rsidRPr="008A4AEC">
        <w:rPr>
          <w:rFonts w:ascii="Verdana" w:eastAsia="Calibri" w:hAnsi="Verdana" w:cs="Arial"/>
          <w:lang w:val="es-MX"/>
        </w:rPr>
        <w:t>de acuerdo con el Código Civil, la capacidad se refiere a la facultad que la ley le confiere a la persona para ejercer derechos y contraer obligaciones. Esta norma parte del supuesto de que todas las personas naturales mayores de edad son capaces, con excepción de aquellas que la ley expresamente excluye de esta presunción –artículos 1502, 1503 y 1504–, y de que la capacidad de las personas jurídicas se circunscribe a su objeto social –artículo 99 del Código de Comercio–. Al respecto, el artículo 6 de la Ley 80 de 1993 –modificado por el artículo 1 de la Ley 2160 de 2021– dispone que: “Pueden celebrar contratos con las entidades estatales las personas consideradas legalmente capaces en las disposiciones vigentes. También podrán celebrar contratos con las entidades estatales […] los consorcios y uniones temporales”.</w:t>
      </w:r>
    </w:p>
    <w:p w14:paraId="105162EF" w14:textId="77777777" w:rsidR="00433276" w:rsidRPr="008A4AEC" w:rsidRDefault="00433276" w:rsidP="00433276">
      <w:pPr>
        <w:spacing w:after="0" w:line="276" w:lineRule="auto"/>
        <w:ind w:firstLine="720"/>
        <w:jc w:val="both"/>
        <w:rPr>
          <w:rFonts w:ascii="Verdana" w:eastAsia="Calibri" w:hAnsi="Verdana" w:cs="Arial"/>
          <w:bCs/>
          <w:color w:val="000000" w:themeColor="text1"/>
          <w:lang w:val="es-ES"/>
        </w:rPr>
      </w:pPr>
      <w:r w:rsidRPr="008A4AEC">
        <w:rPr>
          <w:rFonts w:ascii="Verdana" w:eastAsia="Calibri" w:hAnsi="Verdana" w:cs="Arial"/>
          <w:bCs/>
          <w:color w:val="000000" w:themeColor="text1"/>
          <w:lang w:val="es-ES"/>
        </w:rPr>
        <w:lastRenderedPageBreak/>
        <w:t>La capacidad para contratar, e incluso la de realizar actos jurídicamente vinculantes como la presentación de una oferta en un procedimiento de selección de contratistas, se consideró por mucho tiempo uno de los atributos de la personalidad reservado, en tanto tal, a las personas jurídicas y naturales. No obstante, el progreso en las formas negociales y asociativas hizo necesario reconocer nuevas estructuras plurales y otorgarles ciertos atributos que tradicionalmente habían estado reservados a las personas jurídicas. Tal es precisamente el caso de la capacidad para contratar otorgada a los consorcios y uniones temporales. En este sentido, la Corte Constitucional ha sostenido:</w:t>
      </w:r>
    </w:p>
    <w:p w14:paraId="1D4D1CE1" w14:textId="77777777" w:rsidR="00433276" w:rsidRPr="008A4AEC" w:rsidRDefault="00433276" w:rsidP="00433276">
      <w:pPr>
        <w:spacing w:after="0" w:line="276" w:lineRule="auto"/>
        <w:jc w:val="both"/>
        <w:rPr>
          <w:rFonts w:ascii="Verdana" w:eastAsia="Calibri" w:hAnsi="Verdana" w:cs="Arial"/>
          <w:bCs/>
          <w:color w:val="000000" w:themeColor="text1"/>
          <w:lang w:val="es-ES"/>
        </w:rPr>
      </w:pPr>
    </w:p>
    <w:p w14:paraId="3259A41A" w14:textId="77777777" w:rsidR="00433276" w:rsidRPr="006635B1" w:rsidRDefault="00433276" w:rsidP="00433276">
      <w:pPr>
        <w:spacing w:after="0" w:line="240" w:lineRule="auto"/>
        <w:ind w:left="709" w:right="709"/>
        <w:jc w:val="both"/>
        <w:rPr>
          <w:rFonts w:ascii="Verdana" w:eastAsia="Calibri" w:hAnsi="Verdana" w:cs="Arial"/>
          <w:bCs/>
          <w:color w:val="000000" w:themeColor="text1"/>
          <w:sz w:val="20"/>
          <w:szCs w:val="20"/>
        </w:rPr>
      </w:pPr>
      <w:r w:rsidRPr="006635B1">
        <w:rPr>
          <w:rFonts w:ascii="Verdana" w:eastAsia="Calibri" w:hAnsi="Verdana" w:cs="Arial"/>
          <w:bCs/>
          <w:color w:val="000000" w:themeColor="text1"/>
          <w:sz w:val="20"/>
          <w:szCs w:val="20"/>
        </w:rPr>
        <w:t>“Respecto de la capacidad legal para contratar y la personalidad jurídica señala, que la Ley 80 de 1993 al crear las figuras de los consorcios y uniones temporales, y construirlas como sujetos de la contratación administrativa, reconoce una realidad del mundo negocial: la necesidad de los contratos de colaboración económica para la efectiva realización de proyectos de contratación pública, altamente especializados e intensivos en capital y, así mismo, indispensables para que el Estado Social de Derecho, cumpla los cometidos para los cuales fue instituido- Preámbulo, artículos 1 y 2 de la Carta Política.</w:t>
      </w:r>
    </w:p>
    <w:p w14:paraId="33F95469" w14:textId="77777777" w:rsidR="00433276" w:rsidRPr="006635B1" w:rsidRDefault="00433276" w:rsidP="00433276">
      <w:pPr>
        <w:spacing w:after="120" w:line="240" w:lineRule="auto"/>
        <w:ind w:left="709" w:right="709"/>
        <w:jc w:val="both"/>
        <w:rPr>
          <w:rFonts w:ascii="Verdana" w:eastAsia="Calibri" w:hAnsi="Verdana" w:cs="Arial"/>
          <w:bCs/>
          <w:color w:val="000000" w:themeColor="text1"/>
          <w:sz w:val="20"/>
          <w:szCs w:val="20"/>
        </w:rPr>
      </w:pPr>
      <w:r w:rsidRPr="006635B1">
        <w:rPr>
          <w:rFonts w:ascii="Verdana" w:eastAsia="Calibri" w:hAnsi="Verdana" w:cs="Arial"/>
          <w:bCs/>
          <w:color w:val="000000" w:themeColor="text1"/>
          <w:sz w:val="20"/>
          <w:szCs w:val="20"/>
        </w:rPr>
        <w:t>[…]</w:t>
      </w:r>
    </w:p>
    <w:p w14:paraId="7F28073F" w14:textId="77777777" w:rsidR="00433276" w:rsidRPr="008A4AEC" w:rsidRDefault="00433276" w:rsidP="00433276">
      <w:pPr>
        <w:spacing w:after="0" w:line="240" w:lineRule="auto"/>
        <w:ind w:left="709" w:right="709"/>
        <w:jc w:val="both"/>
        <w:rPr>
          <w:rFonts w:ascii="Verdana" w:eastAsia="Calibri" w:hAnsi="Verdana" w:cs="Arial"/>
          <w:bCs/>
          <w:color w:val="000000" w:themeColor="text1"/>
          <w:sz w:val="21"/>
          <w:szCs w:val="21"/>
        </w:rPr>
      </w:pPr>
      <w:r w:rsidRPr="006635B1">
        <w:rPr>
          <w:rFonts w:ascii="Verdana" w:eastAsia="Calibri" w:hAnsi="Verdana" w:cs="Arial"/>
          <w:bCs/>
          <w:color w:val="000000" w:themeColor="text1"/>
          <w:sz w:val="20"/>
          <w:szCs w:val="20"/>
        </w:rPr>
        <w:t>En torno a la capacidad contractual de los consorcios y uniones temporales la jurisprudencia constitucional ha expresado que el Estatuto de contratación les reconoce este atributo sin exigirles como condición de su ejercicio la de ser personas morales. También ha dicho que el consorcio es un convenio de asociación, o mejor, un sistema de mediación que permite a sus miembros organizarse mancomunadamente para la celebración y ejecución de un contrato con el Estado, sin que por ello pierdan su individualidad jurídica, pero asumiendo un grado de responsabilidad solidaria en el cumplimiento de las obligaciones contractuales”</w:t>
      </w:r>
      <w:r w:rsidRPr="006635B1">
        <w:rPr>
          <w:rStyle w:val="Refdenotaalpie"/>
          <w:rFonts w:ascii="Verdana" w:eastAsia="Calibri" w:hAnsi="Verdana" w:cs="Arial"/>
          <w:bCs/>
          <w:color w:val="000000" w:themeColor="text1"/>
          <w:sz w:val="20"/>
          <w:szCs w:val="20"/>
        </w:rPr>
        <w:footnoteReference w:id="1"/>
      </w:r>
      <w:r w:rsidRPr="006635B1">
        <w:rPr>
          <w:rFonts w:ascii="Verdana" w:eastAsia="Calibri" w:hAnsi="Verdana" w:cs="Arial"/>
          <w:bCs/>
          <w:color w:val="000000" w:themeColor="text1"/>
          <w:sz w:val="20"/>
          <w:szCs w:val="20"/>
        </w:rPr>
        <w:t>.</w:t>
      </w:r>
    </w:p>
    <w:p w14:paraId="3DAB0A8D" w14:textId="77777777" w:rsidR="00433276" w:rsidRPr="008A4AEC" w:rsidRDefault="00433276" w:rsidP="00433276">
      <w:pPr>
        <w:spacing w:after="0"/>
        <w:ind w:left="720" w:right="730"/>
        <w:jc w:val="both"/>
        <w:rPr>
          <w:rFonts w:ascii="Verdana" w:eastAsia="Calibri" w:hAnsi="Verdana" w:cs="Arial"/>
          <w:bCs/>
          <w:color w:val="000000" w:themeColor="text1"/>
          <w:sz w:val="21"/>
          <w:szCs w:val="21"/>
        </w:rPr>
      </w:pPr>
    </w:p>
    <w:p w14:paraId="65C09711" w14:textId="77777777" w:rsidR="00433276" w:rsidRPr="008A4AEC" w:rsidRDefault="00433276" w:rsidP="00433276">
      <w:pPr>
        <w:spacing w:after="120" w:line="276" w:lineRule="auto"/>
        <w:ind w:firstLine="720"/>
        <w:jc w:val="both"/>
        <w:rPr>
          <w:rFonts w:ascii="Verdana" w:eastAsia="Calibri" w:hAnsi="Verdana" w:cs="Arial"/>
          <w:bCs/>
          <w:color w:val="000000" w:themeColor="text1"/>
          <w:lang w:val="es-ES"/>
        </w:rPr>
      </w:pPr>
      <w:bookmarkStart w:id="4" w:name="_Hlk135067740"/>
      <w:r w:rsidRPr="008A4AEC">
        <w:rPr>
          <w:rFonts w:ascii="Verdana" w:eastAsia="Calibri" w:hAnsi="Verdana" w:cs="Arial"/>
          <w:bCs/>
          <w:color w:val="000000" w:themeColor="text1"/>
          <w:lang w:val="es-ES"/>
        </w:rPr>
        <w:t xml:space="preserve">La Corte Constitucional destaca, de un lado, que las estructuras plurales son el reconocimiento de una realidad negocial en materia de contratación estatal, y del otro, que esta colaboración económica entre sujetos de derecho permite la materialización de los fines del estado, al facilitar la efectiva ejecución de los contratos. Adicionalmente, puntualiza que la capacidad contractual de los consorcios y uniones temporales se reconoce sin necesidad de exigirles como </w:t>
      </w:r>
      <w:r w:rsidRPr="008A4AEC">
        <w:rPr>
          <w:rFonts w:ascii="Verdana" w:eastAsia="Calibri" w:hAnsi="Verdana" w:cs="Arial"/>
          <w:bCs/>
          <w:color w:val="000000" w:themeColor="text1"/>
          <w:lang w:val="es-ES"/>
        </w:rPr>
        <w:lastRenderedPageBreak/>
        <w:t>condición de su ejercicio que sean personas morales lo que, hasta cierto punto, podría considerarse una evolución en la teoría de la personalidad jurídica.</w:t>
      </w:r>
    </w:p>
    <w:bookmarkEnd w:id="4"/>
    <w:p w14:paraId="28704AD5" w14:textId="77777777" w:rsidR="00433276" w:rsidRPr="008A4AEC" w:rsidRDefault="00433276" w:rsidP="00433276">
      <w:pPr>
        <w:spacing w:after="0" w:line="276" w:lineRule="auto"/>
        <w:ind w:firstLine="709"/>
        <w:jc w:val="both"/>
        <w:rPr>
          <w:rFonts w:ascii="Verdana" w:hAnsi="Verdana" w:cs="Arial"/>
        </w:rPr>
      </w:pPr>
      <w:r w:rsidRPr="008A4AEC">
        <w:rPr>
          <w:rFonts w:ascii="Verdana" w:hAnsi="Verdana" w:cs="Arial"/>
        </w:rPr>
        <w:t>Debido a que los consorcios y las uniones temporales no son personas jurídicas, su creación depende de un acuerdo en el que concurre la voluntad de sus integrantes para regular su objeto, la participación de los miembros, las obligaciones frente al proyecto, su responsabilidad, la forma en que regirán sus relaciones internas y el relacionamiento con la entidad contratante, mediante la designación de un representante, de conformidad con el parágrafo 1 del artículo 7 de la Ley 80 de 1993. En lo pertinente, la norma precitada dispone que:</w:t>
      </w:r>
    </w:p>
    <w:p w14:paraId="76F3972E" w14:textId="77777777" w:rsidR="00433276" w:rsidRPr="008A4AEC" w:rsidRDefault="00433276" w:rsidP="00433276">
      <w:pPr>
        <w:spacing w:after="0" w:line="276" w:lineRule="auto"/>
        <w:ind w:firstLine="709"/>
        <w:jc w:val="both"/>
        <w:rPr>
          <w:rFonts w:ascii="Verdana" w:eastAsia="Calibri" w:hAnsi="Verdana" w:cs="Arial"/>
          <w:bCs/>
          <w:color w:val="000000" w:themeColor="text1"/>
          <w:lang w:val="es-ES"/>
        </w:rPr>
      </w:pPr>
    </w:p>
    <w:p w14:paraId="79FBBCB0" w14:textId="77777777" w:rsidR="00433276" w:rsidRPr="00E22306" w:rsidRDefault="00433276" w:rsidP="00433276">
      <w:pPr>
        <w:spacing w:after="0" w:line="240" w:lineRule="auto"/>
        <w:ind w:left="709" w:right="709"/>
        <w:jc w:val="both"/>
        <w:rPr>
          <w:rFonts w:ascii="Verdana" w:eastAsia="Calibri" w:hAnsi="Verdana" w:cs="Arial"/>
          <w:bCs/>
          <w:color w:val="000000" w:themeColor="text1"/>
          <w:sz w:val="20"/>
          <w:szCs w:val="20"/>
          <w:lang w:val="es-ES"/>
        </w:rPr>
      </w:pPr>
      <w:r w:rsidRPr="00E22306">
        <w:rPr>
          <w:rFonts w:ascii="Verdana" w:eastAsia="Calibri" w:hAnsi="Verdana" w:cs="Arial"/>
          <w:bCs/>
          <w:color w:val="000000" w:themeColor="text1"/>
          <w:sz w:val="20"/>
          <w:szCs w:val="20"/>
          <w:lang w:val="es-ES"/>
        </w:rPr>
        <w:t>“Artículo 7º.- ENTIDADES A CONTRATAR. Artículo modificado por el artículo 3 de la Ley 2160 de 2021. Para los efectos de esta Ley se entiende por:</w:t>
      </w:r>
    </w:p>
    <w:p w14:paraId="4982AB3E" w14:textId="77777777" w:rsidR="00433276" w:rsidRPr="00E22306" w:rsidRDefault="00433276" w:rsidP="00433276">
      <w:pPr>
        <w:spacing w:after="120" w:line="240" w:lineRule="auto"/>
        <w:ind w:left="709" w:right="709"/>
        <w:jc w:val="both"/>
        <w:rPr>
          <w:rFonts w:ascii="Verdana" w:eastAsia="Calibri" w:hAnsi="Verdana" w:cs="Arial"/>
          <w:bCs/>
          <w:color w:val="000000" w:themeColor="text1"/>
          <w:sz w:val="20"/>
          <w:szCs w:val="20"/>
          <w:lang w:val="es-ES"/>
        </w:rPr>
      </w:pPr>
      <w:r w:rsidRPr="00E22306">
        <w:rPr>
          <w:rFonts w:ascii="Verdana" w:eastAsia="Calibri" w:hAnsi="Verdana" w:cs="Arial"/>
          <w:bCs/>
          <w:color w:val="000000" w:themeColor="text1"/>
          <w:sz w:val="20"/>
          <w:szCs w:val="20"/>
          <w:lang w:val="es-ES"/>
        </w:rPr>
        <w:t>[…]</w:t>
      </w:r>
    </w:p>
    <w:p w14:paraId="34F03461" w14:textId="77777777" w:rsidR="00433276" w:rsidRPr="00E22306" w:rsidRDefault="00433276" w:rsidP="00433276">
      <w:pPr>
        <w:spacing w:after="120" w:line="240" w:lineRule="auto"/>
        <w:ind w:left="709" w:right="709"/>
        <w:jc w:val="both"/>
        <w:rPr>
          <w:rFonts w:ascii="Verdana" w:eastAsia="Calibri" w:hAnsi="Verdana" w:cs="Arial"/>
          <w:bCs/>
          <w:color w:val="000000" w:themeColor="text1"/>
          <w:sz w:val="20"/>
          <w:szCs w:val="20"/>
          <w:lang w:val="es-ES"/>
        </w:rPr>
      </w:pPr>
      <w:r w:rsidRPr="00E22306">
        <w:rPr>
          <w:rFonts w:ascii="Verdana" w:eastAsia="Calibri" w:hAnsi="Verdana" w:cs="Arial"/>
          <w:bCs/>
          <w:color w:val="000000" w:themeColor="text1"/>
          <w:sz w:val="20"/>
          <w:szCs w:val="20"/>
          <w:lang w:val="es-ES"/>
        </w:rPr>
        <w:t>6. Consorcio: Cuando dos o más personas en forma conjunta presentan una misma propuesta para la adjudicación, celebración y ejecución de un contrato, respondiendo solidariamente de todas y cada una de las obligaciones derivadas de la propuesta y del contrato. En consecuencia, las actuaciones, hechos y omisiones que se presenten en desarrollo de la propuesta y del contrato, afectarán a todos los miembros que lo conforman.</w:t>
      </w:r>
    </w:p>
    <w:p w14:paraId="7E163252" w14:textId="77777777" w:rsidR="00433276" w:rsidRPr="00E22306" w:rsidRDefault="00433276" w:rsidP="00433276">
      <w:pPr>
        <w:spacing w:after="0" w:line="240" w:lineRule="auto"/>
        <w:ind w:left="709" w:right="709"/>
        <w:jc w:val="both"/>
        <w:rPr>
          <w:rFonts w:ascii="Verdana" w:eastAsia="Calibri" w:hAnsi="Verdana" w:cs="Arial"/>
          <w:bCs/>
          <w:color w:val="000000" w:themeColor="text1"/>
          <w:sz w:val="20"/>
          <w:szCs w:val="20"/>
          <w:lang w:val="es-ES"/>
        </w:rPr>
      </w:pPr>
      <w:r w:rsidRPr="00E22306">
        <w:rPr>
          <w:rFonts w:ascii="Verdana" w:eastAsia="Calibri" w:hAnsi="Verdana" w:cs="Arial"/>
          <w:bCs/>
          <w:color w:val="000000" w:themeColor="text1"/>
          <w:sz w:val="20"/>
          <w:szCs w:val="20"/>
          <w:lang w:val="es-ES"/>
        </w:rPr>
        <w:t>7. Unión Temporal: Cuando dos o más personas en forma conjunta presentan una misma propuesta para la adjudicación, celebración y ejecución de un contrato, respondiendo solidariamente por el cumplimiento total de la propuesta y del objeto contratado, pero las sanciones por el incumplimiento de las obligaciones derivadas de la propuesta y del contrato se impondrán de acuerdo con la participación en la ejecución de cada uno de los miembros de la unión temporal. </w:t>
      </w:r>
    </w:p>
    <w:p w14:paraId="34955FC3" w14:textId="77777777" w:rsidR="00433276" w:rsidRPr="00E22306" w:rsidRDefault="00433276" w:rsidP="00433276">
      <w:pPr>
        <w:spacing w:after="120" w:line="240" w:lineRule="auto"/>
        <w:ind w:left="709" w:right="709"/>
        <w:jc w:val="both"/>
        <w:rPr>
          <w:rFonts w:ascii="Verdana" w:eastAsia="Calibri" w:hAnsi="Verdana" w:cs="Arial"/>
          <w:bCs/>
          <w:color w:val="000000" w:themeColor="text1"/>
          <w:sz w:val="20"/>
          <w:szCs w:val="20"/>
          <w:lang w:val="es-ES"/>
        </w:rPr>
      </w:pPr>
      <w:r w:rsidRPr="00E22306">
        <w:rPr>
          <w:rFonts w:ascii="Verdana" w:eastAsia="Calibri" w:hAnsi="Verdana" w:cs="Arial"/>
          <w:bCs/>
          <w:color w:val="000000" w:themeColor="text1"/>
          <w:sz w:val="20"/>
          <w:szCs w:val="20"/>
          <w:lang w:val="es-ES"/>
        </w:rPr>
        <w:t>[…]</w:t>
      </w:r>
    </w:p>
    <w:p w14:paraId="61878BF0" w14:textId="77777777" w:rsidR="00433276" w:rsidRPr="00E22306" w:rsidRDefault="00433276" w:rsidP="00433276">
      <w:pPr>
        <w:spacing w:after="120" w:line="240" w:lineRule="auto"/>
        <w:ind w:left="709" w:right="709"/>
        <w:jc w:val="both"/>
        <w:rPr>
          <w:rFonts w:ascii="Verdana" w:eastAsia="Calibri" w:hAnsi="Verdana" w:cs="Arial"/>
          <w:bCs/>
          <w:color w:val="000000" w:themeColor="text1"/>
          <w:sz w:val="20"/>
          <w:szCs w:val="20"/>
          <w:lang w:val="es-ES"/>
        </w:rPr>
      </w:pPr>
      <w:r w:rsidRPr="00E22306">
        <w:rPr>
          <w:rFonts w:ascii="Verdana" w:eastAsia="Calibri" w:hAnsi="Verdana" w:cs="Arial"/>
          <w:bCs/>
          <w:color w:val="000000" w:themeColor="text1"/>
          <w:sz w:val="20"/>
          <w:szCs w:val="20"/>
          <w:lang w:val="es-ES"/>
        </w:rPr>
        <w:t>Parágrafo 1º.- Los proponentes indicarán si su participación es a título de consorcio o unión temporal y, en este último caso, señalarán los términos y extensión de la participación en la propuesta y en su ejecución, los cuales no podrán ser modificados sin el consentimiento previo de la entidad estatal contratante.</w:t>
      </w:r>
    </w:p>
    <w:p w14:paraId="281056B2" w14:textId="77777777" w:rsidR="00433276" w:rsidRPr="00E22306" w:rsidRDefault="00433276" w:rsidP="00433276">
      <w:pPr>
        <w:spacing w:after="0" w:line="240" w:lineRule="auto"/>
        <w:ind w:left="709" w:right="709"/>
        <w:jc w:val="both"/>
        <w:rPr>
          <w:rFonts w:ascii="Verdana" w:eastAsia="Calibri" w:hAnsi="Verdana" w:cs="Arial"/>
          <w:bCs/>
          <w:color w:val="000000" w:themeColor="text1"/>
          <w:sz w:val="20"/>
          <w:szCs w:val="20"/>
          <w:lang w:val="es-ES"/>
        </w:rPr>
      </w:pPr>
      <w:r w:rsidRPr="00E22306">
        <w:rPr>
          <w:rFonts w:ascii="Verdana" w:eastAsia="Calibri" w:hAnsi="Verdana" w:cs="Arial"/>
          <w:bCs/>
          <w:color w:val="000000" w:themeColor="text1"/>
          <w:sz w:val="20"/>
          <w:szCs w:val="20"/>
          <w:lang w:val="es-ES"/>
        </w:rPr>
        <w:t>Los miembros del consorcio y de la unión temporal deberán designar la persona que, para todos los efectos, representará al consorcio o unión temporal y señalarán las reglas básicas que regulen las relaciones entre ellos y su responsabilidad.</w:t>
      </w:r>
    </w:p>
    <w:p w14:paraId="15DAC2B5" w14:textId="77777777" w:rsidR="00433276" w:rsidRPr="008A4AEC" w:rsidRDefault="00433276" w:rsidP="00433276">
      <w:pPr>
        <w:spacing w:after="0" w:line="240" w:lineRule="auto"/>
        <w:ind w:left="709" w:right="709"/>
        <w:jc w:val="both"/>
        <w:rPr>
          <w:rFonts w:ascii="Verdana" w:eastAsia="Calibri" w:hAnsi="Verdana" w:cs="Arial"/>
          <w:bCs/>
          <w:color w:val="000000" w:themeColor="text1"/>
          <w:sz w:val="21"/>
          <w:lang w:val="es-ES"/>
        </w:rPr>
      </w:pPr>
      <w:r w:rsidRPr="00E22306">
        <w:rPr>
          <w:rFonts w:ascii="Verdana" w:eastAsia="Calibri" w:hAnsi="Verdana" w:cs="Arial"/>
          <w:bCs/>
          <w:color w:val="000000" w:themeColor="text1"/>
          <w:sz w:val="20"/>
          <w:szCs w:val="20"/>
          <w:lang w:val="es-ES"/>
        </w:rPr>
        <w:t>[…]”.</w:t>
      </w:r>
    </w:p>
    <w:p w14:paraId="046C5DA5" w14:textId="77777777" w:rsidR="00433276" w:rsidRPr="008A4AEC" w:rsidRDefault="00433276" w:rsidP="00433276">
      <w:pPr>
        <w:spacing w:after="0" w:line="276" w:lineRule="auto"/>
        <w:ind w:left="720" w:right="731"/>
        <w:jc w:val="both"/>
        <w:rPr>
          <w:rFonts w:ascii="Verdana" w:eastAsia="Calibri" w:hAnsi="Verdana" w:cs="Arial"/>
          <w:bCs/>
          <w:color w:val="000000" w:themeColor="text1"/>
          <w:lang w:val="es-ES"/>
        </w:rPr>
      </w:pPr>
    </w:p>
    <w:p w14:paraId="4C5125C8" w14:textId="77777777" w:rsidR="00433276" w:rsidRPr="008A4AEC" w:rsidRDefault="00433276" w:rsidP="00433276">
      <w:pPr>
        <w:spacing w:after="120" w:line="276" w:lineRule="auto"/>
        <w:jc w:val="both"/>
        <w:rPr>
          <w:rFonts w:ascii="Verdana" w:hAnsi="Verdana" w:cs="Arial"/>
          <w:color w:val="000000" w:themeColor="text1"/>
        </w:rPr>
      </w:pPr>
      <w:r w:rsidRPr="008A4AEC">
        <w:rPr>
          <w:rFonts w:ascii="Verdana" w:eastAsia="Calibri" w:hAnsi="Verdana" w:cs="Arial"/>
          <w:bCs/>
          <w:color w:val="000000" w:themeColor="text1"/>
          <w:lang w:val="es-ES"/>
        </w:rPr>
        <w:lastRenderedPageBreak/>
        <w:tab/>
        <w:t>Como se observa, el artículo citado señala que el consorcio o la unión temporal se da “</w:t>
      </w:r>
      <w:r w:rsidRPr="001F0AFE">
        <w:rPr>
          <w:rFonts w:ascii="Verdana" w:eastAsia="Calibri" w:hAnsi="Verdana" w:cs="Arial"/>
          <w:bCs/>
          <w:color w:val="000000" w:themeColor="text1"/>
          <w:lang w:val="es-ES"/>
        </w:rPr>
        <w:t>Cuando dos o más personas en forma conjunta presentan una misma propuesta para la adjudicación, celebración y ejecución de un contrato, respondiendo solidariamente de todas y cada una de las obligaciones derivadas de la propuesta y del contrato […]</w:t>
      </w:r>
      <w:r w:rsidRPr="008A4AEC">
        <w:rPr>
          <w:rFonts w:ascii="Verdana" w:eastAsia="Calibri" w:hAnsi="Verdana" w:cs="Arial"/>
          <w:bCs/>
          <w:color w:val="000000" w:themeColor="text1"/>
          <w:lang w:val="es-ES"/>
        </w:rPr>
        <w:t>”.</w:t>
      </w:r>
      <w:r w:rsidRPr="008A4AEC">
        <w:rPr>
          <w:rFonts w:ascii="Verdana" w:hAnsi="Verdana" w:cs="Arial"/>
          <w:color w:val="000000" w:themeColor="text1"/>
        </w:rPr>
        <w:t xml:space="preserve"> Desde esta perspectiva, su capacidad para participar en la adjudicación, celebración y ejecución de los contratos estatales depende de que los integrantes de la estructura plural adopten la decisión conjunta de presentar una misma propuesta al proceso de selección. Como existe una relación de medio – fin, sin la entrega de la oferta no surge la habilitación legal para todo lo demás. </w:t>
      </w:r>
      <w:r>
        <w:rPr>
          <w:rFonts w:ascii="Verdana" w:hAnsi="Verdana" w:cs="Arial"/>
          <w:color w:val="000000" w:themeColor="text1"/>
        </w:rPr>
        <w:t xml:space="preserve"> </w:t>
      </w:r>
    </w:p>
    <w:p w14:paraId="60235540" w14:textId="77777777" w:rsidR="00433276" w:rsidRDefault="00433276" w:rsidP="00433276">
      <w:pPr>
        <w:spacing w:after="120" w:line="276" w:lineRule="auto"/>
        <w:jc w:val="both"/>
        <w:rPr>
          <w:rFonts w:ascii="Verdana" w:hAnsi="Verdana" w:cs="Arial"/>
          <w:color w:val="000000" w:themeColor="text1"/>
        </w:rPr>
      </w:pPr>
      <w:r w:rsidRPr="008A4AEC">
        <w:rPr>
          <w:rFonts w:ascii="Verdana" w:hAnsi="Verdana" w:cs="Arial"/>
          <w:color w:val="000000" w:themeColor="text1"/>
        </w:rPr>
        <w:tab/>
        <w:t xml:space="preserve">De esta manera, los consorcios o uniones temporales son convenios de asociación provenientes de la colaboración empresarial, mediante los cuales sus integrantes se unen y se organizan mancomunadamente para lograr con mayor eficacia un fin común de contenido patrimonial y lucrativo, como lo es la obtención del derecho a ser adjudicatarios de un contrato estatal, compartiendo recursos, de toda índole, para su ejecución, así como las utilidades y los riesgos. La diferencia radica en la responsabilidad frente a las eventuales sanciones por el incumplimiento de las obligaciones, toda vez que tratándose de una unión temporal, estas se individualizan según la participación de sus miembros, mientras que en el consorcio los miembros responden solidariamente, con independencia de este aspecto.   </w:t>
      </w:r>
    </w:p>
    <w:p w14:paraId="468A7229" w14:textId="77777777" w:rsidR="00433276" w:rsidRPr="008A4AEC" w:rsidRDefault="00433276" w:rsidP="00433276">
      <w:pPr>
        <w:spacing w:after="120" w:line="276" w:lineRule="auto"/>
        <w:jc w:val="both"/>
        <w:rPr>
          <w:rFonts w:ascii="Verdana" w:hAnsi="Verdana" w:cs="Arial"/>
          <w:color w:val="000000" w:themeColor="text1"/>
        </w:rPr>
      </w:pPr>
      <w:r>
        <w:rPr>
          <w:rFonts w:ascii="Verdana" w:hAnsi="Verdana" w:cs="Arial"/>
          <w:color w:val="000000" w:themeColor="text1"/>
        </w:rPr>
        <w:tab/>
        <w:t xml:space="preserve">Como existe participación conjunta en la presentación de la propuesta, todos los integrantes de la estructura plural deben participar en la ejecución del contrato, pues existe solidaridad en el cumplimiento de las obligaciones. En efecto, conforme a la remisión de los artículos 13, 32 y 40 de la Ley 80 de 1993 al derecho privado, el artículo 1568 del Código Civil dispone que si bien “[…] </w:t>
      </w:r>
      <w:r w:rsidRPr="00DE31A0">
        <w:rPr>
          <w:rFonts w:ascii="Verdana" w:hAnsi="Verdana" w:cs="Arial"/>
          <w:color w:val="000000" w:themeColor="text1"/>
        </w:rPr>
        <w:t>cuando se ha contraído por muchas personas o para con muchas la obligación de una cosa divisible, cada uno de los deudores, en el primer caso, es obligado solamente a su parte o cuota en la deuda, y cada uno de los acreedores, en el segundo, sólo tiene derecho para demandar su parte o cuota en el crédito</w:t>
      </w:r>
      <w:r>
        <w:rPr>
          <w:rFonts w:ascii="Verdana" w:hAnsi="Verdana" w:cs="Arial"/>
          <w:color w:val="000000" w:themeColor="text1"/>
        </w:rPr>
        <w:t xml:space="preserve">” –inciso 1˚–, lo cierto es que “[…] </w:t>
      </w:r>
      <w:r w:rsidRPr="00DE31A0">
        <w:rPr>
          <w:rFonts w:ascii="Verdana" w:hAnsi="Verdana" w:cs="Arial"/>
          <w:color w:val="000000" w:themeColor="text1"/>
        </w:rPr>
        <w:t xml:space="preserve">en virtud de la convención, del testamento o de la ley puede exigirse a cada uno de los deudores o por cada uno de los acreedores el total de la deuda, y entonces la obligación es solidaria o </w:t>
      </w:r>
      <w:r w:rsidRPr="00DE31A0">
        <w:rPr>
          <w:rFonts w:ascii="Verdana" w:hAnsi="Verdana" w:cs="Arial"/>
          <w:i/>
          <w:iCs/>
          <w:color w:val="000000" w:themeColor="text1"/>
        </w:rPr>
        <w:t xml:space="preserve">in </w:t>
      </w:r>
      <w:proofErr w:type="spellStart"/>
      <w:r w:rsidRPr="00DE31A0">
        <w:rPr>
          <w:rFonts w:ascii="Verdana" w:hAnsi="Verdana" w:cs="Arial"/>
          <w:i/>
          <w:iCs/>
          <w:color w:val="000000" w:themeColor="text1"/>
        </w:rPr>
        <w:t>solidum</w:t>
      </w:r>
      <w:proofErr w:type="spellEnd"/>
      <w:r>
        <w:rPr>
          <w:rFonts w:ascii="Verdana" w:hAnsi="Verdana" w:cs="Arial"/>
          <w:color w:val="000000" w:themeColor="text1"/>
        </w:rPr>
        <w:t>” –inciso 2˚–</w:t>
      </w:r>
      <w:r w:rsidRPr="00DE31A0">
        <w:rPr>
          <w:rFonts w:ascii="Verdana" w:hAnsi="Verdana" w:cs="Arial"/>
          <w:color w:val="000000" w:themeColor="text1"/>
        </w:rPr>
        <w:t>.</w:t>
      </w:r>
      <w:r>
        <w:rPr>
          <w:rFonts w:ascii="Verdana" w:hAnsi="Verdana" w:cs="Arial"/>
          <w:color w:val="000000" w:themeColor="text1"/>
        </w:rPr>
        <w:t xml:space="preserve"> </w:t>
      </w:r>
    </w:p>
    <w:p w14:paraId="484A56AD" w14:textId="77777777" w:rsidR="00433276" w:rsidRDefault="00433276" w:rsidP="00433276">
      <w:pPr>
        <w:spacing w:after="120" w:line="276" w:lineRule="auto"/>
        <w:jc w:val="both"/>
        <w:rPr>
          <w:rFonts w:ascii="Verdana" w:hAnsi="Verdana" w:cs="Arial"/>
          <w:color w:val="000000" w:themeColor="text1"/>
        </w:rPr>
      </w:pPr>
      <w:r>
        <w:rPr>
          <w:rFonts w:ascii="Verdana" w:hAnsi="Verdana" w:cs="Arial"/>
          <w:color w:val="000000" w:themeColor="text1"/>
        </w:rPr>
        <w:lastRenderedPageBreak/>
        <w:tab/>
        <w:t xml:space="preserve">En el aspecto pasivo, las obligaciones son solidarias cuando “[…] </w:t>
      </w:r>
      <w:r w:rsidRPr="00EA1B06">
        <w:rPr>
          <w:rFonts w:ascii="Verdana" w:hAnsi="Verdana" w:cs="Arial"/>
          <w:color w:val="000000" w:themeColor="text1"/>
        </w:rPr>
        <w:t>existiendo varios deudores de un mismo objeto</w:t>
      </w:r>
      <w:r>
        <w:rPr>
          <w:rFonts w:ascii="Verdana" w:hAnsi="Verdana" w:cs="Arial"/>
          <w:color w:val="000000" w:themeColor="text1"/>
        </w:rPr>
        <w:t xml:space="preserve"> </w:t>
      </w:r>
      <w:r w:rsidRPr="00EA1B06">
        <w:rPr>
          <w:rFonts w:ascii="Verdana" w:hAnsi="Verdana" w:cs="Arial"/>
          <w:color w:val="000000" w:themeColor="text1"/>
        </w:rPr>
        <w:t>divisible, el acreedor puede exigir, por el ministerio de la ley o por la</w:t>
      </w:r>
      <w:r>
        <w:rPr>
          <w:rFonts w:ascii="Verdana" w:hAnsi="Verdana" w:cs="Arial"/>
          <w:color w:val="000000" w:themeColor="text1"/>
        </w:rPr>
        <w:t xml:space="preserve"> </w:t>
      </w:r>
      <w:r w:rsidRPr="00EA1B06">
        <w:rPr>
          <w:rFonts w:ascii="Verdana" w:hAnsi="Verdana" w:cs="Arial"/>
          <w:color w:val="000000" w:themeColor="text1"/>
        </w:rPr>
        <w:t>convención, el total a cada uno de ellos, y el pago que haga cualquiera de los deudores extingue la obligación respecto de todos</w:t>
      </w:r>
      <w:r>
        <w:rPr>
          <w:rFonts w:ascii="Verdana" w:hAnsi="Verdana" w:cs="Arial"/>
          <w:color w:val="000000" w:themeColor="text1"/>
        </w:rPr>
        <w:t>”</w:t>
      </w:r>
      <w:r>
        <w:rPr>
          <w:rStyle w:val="Refdenotaalpie"/>
          <w:rFonts w:ascii="Verdana" w:hAnsi="Verdana" w:cs="Arial"/>
          <w:color w:val="000000" w:themeColor="text1"/>
        </w:rPr>
        <w:footnoteReference w:id="2"/>
      </w:r>
      <w:r w:rsidRPr="00EA1B06">
        <w:rPr>
          <w:rFonts w:ascii="Verdana" w:hAnsi="Verdana" w:cs="Arial"/>
          <w:color w:val="000000" w:themeColor="text1"/>
        </w:rPr>
        <w:t>.</w:t>
      </w:r>
      <w:r>
        <w:rPr>
          <w:rFonts w:ascii="Verdana" w:hAnsi="Verdana" w:cs="Arial"/>
          <w:color w:val="000000" w:themeColor="text1"/>
        </w:rPr>
        <w:t xml:space="preserve"> Esto significa que la entidad contratante puede exigir a cualquiera de los miembros del consorcio o la unión temporal el cumplimiento de lo pactado; razón por la cual, todos los integrantes de la estructura plural deben estar en capacidad para desarrollar actividades tendientes a la prestación de lo debido.</w:t>
      </w:r>
    </w:p>
    <w:p w14:paraId="66EC0522" w14:textId="77777777" w:rsidR="00433276" w:rsidRDefault="00433276" w:rsidP="00433276">
      <w:pPr>
        <w:spacing w:after="120" w:line="276" w:lineRule="auto"/>
        <w:jc w:val="both"/>
        <w:rPr>
          <w:rFonts w:ascii="Verdana" w:hAnsi="Verdana" w:cs="Arial"/>
          <w:color w:val="000000" w:themeColor="text1"/>
        </w:rPr>
      </w:pPr>
      <w:r>
        <w:rPr>
          <w:rFonts w:ascii="Verdana" w:hAnsi="Verdana" w:cs="Arial"/>
          <w:color w:val="000000" w:themeColor="text1"/>
        </w:rPr>
        <w:tab/>
        <w:t xml:space="preserve">Para efectos de los procesos de selección publicados en la plataforma transaccional, el literal b) del apartado II de la “Guía de Creación de Proponentes Plurales en el SECOP II” explica que se debe “[…] </w:t>
      </w:r>
      <w:r w:rsidRPr="00525EC3">
        <w:rPr>
          <w:rFonts w:ascii="Verdana" w:hAnsi="Verdana" w:cs="Arial"/>
          <w:color w:val="000000" w:themeColor="text1"/>
        </w:rPr>
        <w:t>indicar el porcentaje de participación de cada</w:t>
      </w:r>
      <w:r>
        <w:rPr>
          <w:rFonts w:ascii="Verdana" w:hAnsi="Verdana" w:cs="Arial"/>
          <w:color w:val="000000" w:themeColor="text1"/>
        </w:rPr>
        <w:t xml:space="preserve"> </w:t>
      </w:r>
      <w:r w:rsidRPr="00525EC3">
        <w:rPr>
          <w:rFonts w:ascii="Verdana" w:hAnsi="Verdana" w:cs="Arial"/>
          <w:color w:val="000000" w:themeColor="text1"/>
        </w:rPr>
        <w:t>integrante</w:t>
      </w:r>
      <w:r>
        <w:rPr>
          <w:rFonts w:ascii="Verdana" w:hAnsi="Verdana" w:cs="Arial"/>
          <w:color w:val="000000" w:themeColor="text1"/>
        </w:rPr>
        <w:t xml:space="preserve"> […]”, para lo cual “[…] </w:t>
      </w:r>
      <w:r w:rsidRPr="00CF41C0">
        <w:rPr>
          <w:rFonts w:ascii="Verdana" w:hAnsi="Verdana" w:cs="Arial"/>
          <w:color w:val="000000" w:themeColor="text1"/>
        </w:rPr>
        <w:t>la suma de participación de los Proveedores debe ser</w:t>
      </w:r>
      <w:r>
        <w:rPr>
          <w:rFonts w:ascii="Verdana" w:hAnsi="Verdana" w:cs="Arial"/>
          <w:color w:val="000000" w:themeColor="text1"/>
        </w:rPr>
        <w:t xml:space="preserve"> </w:t>
      </w:r>
      <w:r w:rsidRPr="00CF41C0">
        <w:rPr>
          <w:rFonts w:ascii="Verdana" w:hAnsi="Verdana" w:cs="Arial"/>
          <w:color w:val="000000" w:themeColor="text1"/>
        </w:rPr>
        <w:t>igual al 100%</w:t>
      </w:r>
      <w:r>
        <w:rPr>
          <w:rFonts w:ascii="Verdana" w:hAnsi="Verdana" w:cs="Arial"/>
          <w:color w:val="000000" w:themeColor="text1"/>
        </w:rPr>
        <w:t xml:space="preserve"> […]”</w:t>
      </w:r>
      <w:r>
        <w:rPr>
          <w:rStyle w:val="Refdenotaalpie"/>
          <w:rFonts w:ascii="Verdana" w:hAnsi="Verdana" w:cs="Arial"/>
          <w:color w:val="000000" w:themeColor="text1"/>
        </w:rPr>
        <w:footnoteReference w:id="3"/>
      </w:r>
      <w:r>
        <w:rPr>
          <w:rFonts w:ascii="Verdana" w:hAnsi="Verdana" w:cs="Arial"/>
          <w:color w:val="000000" w:themeColor="text1"/>
        </w:rPr>
        <w:t xml:space="preserve">. Sin perjuicio de la solidaridad, esta instrucción aplica tanto a consorcios como a uniones temporales, por lo cual no pueden existir integrantes de estructura plural que no participen en la ejecución del contrato. De hecho, es más necesaria en el segundo caso, ya que el artículo 7.7 de la Ley 80 de 1993 dispone que “[…] </w:t>
      </w:r>
      <w:r w:rsidRPr="00EE5DA9">
        <w:rPr>
          <w:rFonts w:ascii="Verdana" w:hAnsi="Verdana" w:cs="Arial"/>
          <w:color w:val="000000" w:themeColor="text1"/>
        </w:rPr>
        <w:t>las sanciones por el incumplimiento de las obligaciones derivadas de la propuesta y del contrato se impondrán de acuerdo con la participación en la ejecución de cada uno de los miembros de la unión temporal</w:t>
      </w:r>
      <w:r>
        <w:rPr>
          <w:rFonts w:ascii="Verdana" w:hAnsi="Verdana" w:cs="Arial"/>
          <w:color w:val="000000" w:themeColor="text1"/>
        </w:rPr>
        <w:t>”.</w:t>
      </w:r>
    </w:p>
    <w:p w14:paraId="078DE4D6" w14:textId="77777777" w:rsidR="00433276" w:rsidRDefault="00433276" w:rsidP="00433276">
      <w:pPr>
        <w:spacing w:after="120" w:line="276" w:lineRule="auto"/>
        <w:jc w:val="both"/>
        <w:rPr>
          <w:rFonts w:ascii="Verdana" w:hAnsi="Verdana" w:cs="Arial"/>
          <w:color w:val="000000" w:themeColor="text1"/>
        </w:rPr>
      </w:pPr>
      <w:r>
        <w:rPr>
          <w:rFonts w:ascii="Verdana" w:hAnsi="Verdana" w:cs="Arial"/>
          <w:color w:val="000000" w:themeColor="text1"/>
        </w:rPr>
        <w:tab/>
        <w:t xml:space="preserve">Incluso, al margen de la publicidad en el SECOP II, </w:t>
      </w:r>
      <w:r w:rsidRPr="00384800">
        <w:rPr>
          <w:rFonts w:ascii="Verdana" w:hAnsi="Verdana" w:cs="Arial"/>
          <w:color w:val="000000" w:themeColor="text1"/>
        </w:rPr>
        <w:t xml:space="preserve">el documento de conformación del proponente plural </w:t>
      </w:r>
      <w:r>
        <w:rPr>
          <w:rFonts w:ascii="Verdana" w:hAnsi="Verdana" w:cs="Arial"/>
          <w:color w:val="000000" w:themeColor="text1"/>
        </w:rPr>
        <w:t>incide en</w:t>
      </w:r>
      <w:r w:rsidRPr="00384800">
        <w:rPr>
          <w:rFonts w:ascii="Verdana" w:hAnsi="Verdana" w:cs="Arial"/>
          <w:color w:val="000000" w:themeColor="text1"/>
        </w:rPr>
        <w:t xml:space="preserve"> la acreditación </w:t>
      </w:r>
      <w:r>
        <w:rPr>
          <w:rFonts w:ascii="Verdana" w:hAnsi="Verdana" w:cs="Arial"/>
          <w:color w:val="000000" w:themeColor="text1"/>
        </w:rPr>
        <w:t>de requisitos habilitantes o criterios de evaluación, por lo que es importante discriminar el porcentaje de participación. Por ejemplo, tratándose de los documentos tipo de licitación para obra pública de infraestructura de transporte, ello es relevante para la acreditación de la experiencia de los consorcios y las uniones temporales</w:t>
      </w:r>
      <w:r>
        <w:rPr>
          <w:rStyle w:val="Refdenotaalpie"/>
          <w:rFonts w:ascii="Verdana" w:hAnsi="Verdana" w:cs="Arial"/>
          <w:color w:val="000000" w:themeColor="text1"/>
        </w:rPr>
        <w:footnoteReference w:id="4"/>
      </w:r>
      <w:r>
        <w:rPr>
          <w:rFonts w:ascii="Verdana" w:hAnsi="Verdana" w:cs="Arial"/>
          <w:color w:val="000000" w:themeColor="text1"/>
        </w:rPr>
        <w:t xml:space="preserve">. Por ello, el literal E del numeral 3.3.3 del pliego de condiciones </w:t>
      </w:r>
      <w:r>
        <w:rPr>
          <w:rFonts w:ascii="Verdana" w:hAnsi="Verdana" w:cs="Arial"/>
          <w:color w:val="000000" w:themeColor="text1"/>
        </w:rPr>
        <w:lastRenderedPageBreak/>
        <w:t>prescribe que en el documento de conformación del consorcio o la unión temporal “</w:t>
      </w:r>
      <w:r w:rsidRPr="003A381F">
        <w:rPr>
          <w:rFonts w:ascii="Verdana" w:hAnsi="Verdana" w:cs="Arial"/>
          <w:color w:val="000000" w:themeColor="text1"/>
        </w:rPr>
        <w:t>El proponente plural debe señalar expresamente cuál es el porcentaje de participación de cada uno de sus miembros. La sumatoria del porcentaje de participación no podrá ser diferente al 100%</w:t>
      </w:r>
      <w:r>
        <w:rPr>
          <w:rFonts w:ascii="Verdana" w:hAnsi="Verdana" w:cs="Arial"/>
          <w:color w:val="000000" w:themeColor="text1"/>
        </w:rPr>
        <w:t>”</w:t>
      </w:r>
      <w:r w:rsidRPr="003A381F">
        <w:rPr>
          <w:rFonts w:ascii="Verdana" w:hAnsi="Verdana" w:cs="Arial"/>
          <w:color w:val="000000" w:themeColor="text1"/>
        </w:rPr>
        <w:t>.</w:t>
      </w:r>
    </w:p>
    <w:p w14:paraId="6990A667" w14:textId="77777777" w:rsidR="00433276" w:rsidRDefault="00433276" w:rsidP="00433276">
      <w:pPr>
        <w:spacing w:after="0" w:line="276" w:lineRule="auto"/>
        <w:jc w:val="both"/>
        <w:rPr>
          <w:rFonts w:ascii="Verdana" w:hAnsi="Verdana" w:cs="Arial"/>
          <w:color w:val="000000" w:themeColor="text1"/>
        </w:rPr>
      </w:pPr>
      <w:r>
        <w:rPr>
          <w:rFonts w:ascii="Verdana" w:hAnsi="Verdana" w:cs="Arial"/>
          <w:color w:val="000000" w:themeColor="text1"/>
        </w:rPr>
        <w:tab/>
        <w:t xml:space="preserve">Asimismo, algunos factores de evaluación aplican en función del porcentaje de participación. Por ejemplo, respecto a los incentivos de los artículos 32 y 33 de la Ley de Emprendimiento, </w:t>
      </w:r>
      <w:r w:rsidRPr="005846D2">
        <w:rPr>
          <w:rFonts w:ascii="Verdana" w:hAnsi="Verdana" w:cs="Arial"/>
          <w:color w:val="000000" w:themeColor="text1"/>
        </w:rPr>
        <w:t>los artículos 2.2.1.2.4.2.15 –Parágrafo 1– y 2.2.1.2.4.2.18 –Parágrafo 2– del Decreto 1082 de 2015</w:t>
      </w:r>
      <w:r>
        <w:rPr>
          <w:rFonts w:ascii="Verdana" w:hAnsi="Verdana" w:cs="Arial"/>
          <w:color w:val="000000" w:themeColor="text1"/>
        </w:rPr>
        <w:t xml:space="preserve"> precisan que </w:t>
      </w:r>
      <w:r w:rsidRPr="00EF550E">
        <w:rPr>
          <w:rFonts w:ascii="Verdana" w:hAnsi="Verdana" w:cs="Arial"/>
          <w:color w:val="000000" w:themeColor="text1"/>
        </w:rPr>
        <w:t>los criterios diferenciales y los puntajes adicionales solo se aplicarán si por lo menos uno de los integrantes acredita que es emprendimiento y empresa</w:t>
      </w:r>
      <w:r>
        <w:rPr>
          <w:rFonts w:ascii="Verdana" w:hAnsi="Verdana" w:cs="Arial"/>
          <w:color w:val="000000" w:themeColor="text1"/>
        </w:rPr>
        <w:t xml:space="preserve"> de mujeres</w:t>
      </w:r>
      <w:r w:rsidRPr="00EF550E">
        <w:rPr>
          <w:rFonts w:ascii="Verdana" w:hAnsi="Verdana" w:cs="Arial"/>
          <w:color w:val="000000" w:themeColor="text1"/>
        </w:rPr>
        <w:t xml:space="preserve"> </w:t>
      </w:r>
      <w:r>
        <w:rPr>
          <w:rFonts w:ascii="Verdana" w:hAnsi="Verdana" w:cs="Arial"/>
          <w:color w:val="000000" w:themeColor="text1"/>
        </w:rPr>
        <w:t xml:space="preserve">o </w:t>
      </w:r>
      <w:proofErr w:type="spellStart"/>
      <w:r>
        <w:rPr>
          <w:rFonts w:ascii="Verdana" w:hAnsi="Verdana" w:cs="Arial"/>
          <w:color w:val="000000" w:themeColor="text1"/>
        </w:rPr>
        <w:t>Mipyme</w:t>
      </w:r>
      <w:proofErr w:type="spellEnd"/>
      <w:r>
        <w:rPr>
          <w:rFonts w:ascii="Verdana" w:hAnsi="Verdana" w:cs="Arial"/>
          <w:color w:val="000000" w:themeColor="text1"/>
        </w:rPr>
        <w:t>,</w:t>
      </w:r>
      <w:r w:rsidRPr="00EF550E">
        <w:rPr>
          <w:rFonts w:ascii="Verdana" w:hAnsi="Verdana" w:cs="Arial"/>
          <w:color w:val="000000" w:themeColor="text1"/>
        </w:rPr>
        <w:t xml:space="preserve"> y que tiene una participación igual o superior al diez por ciento (10%) en el consorcio o la unión tempora</w:t>
      </w:r>
      <w:r>
        <w:rPr>
          <w:rFonts w:ascii="Verdana" w:hAnsi="Verdana" w:cs="Arial"/>
          <w:color w:val="000000" w:themeColor="text1"/>
        </w:rPr>
        <w:t xml:space="preserve">l. </w:t>
      </w:r>
      <w:r w:rsidRPr="00E3311D">
        <w:rPr>
          <w:rFonts w:ascii="Verdana" w:hAnsi="Verdana" w:cs="Arial"/>
          <w:color w:val="000000" w:themeColor="text1"/>
        </w:rPr>
        <w:t>En este contexto, sobre la base de la relevancia de los porcentajes de participación en el proponente plural, es adecuado y proporcional incluir de reglas en el los pliegos de condiciones sobre la discriminación de tales porcentajes</w:t>
      </w:r>
      <w:r>
        <w:rPr>
          <w:rFonts w:ascii="Verdana" w:hAnsi="Verdana" w:cs="Arial"/>
          <w:color w:val="000000" w:themeColor="text1"/>
        </w:rPr>
        <w:t>.</w:t>
      </w:r>
    </w:p>
    <w:p w14:paraId="6D4CB440" w14:textId="77777777" w:rsidR="00433276" w:rsidRDefault="00433276" w:rsidP="00433276">
      <w:pPr>
        <w:spacing w:after="0" w:line="276" w:lineRule="auto"/>
        <w:jc w:val="both"/>
        <w:rPr>
          <w:rFonts w:ascii="Verdana" w:hAnsi="Verdana" w:cs="Arial"/>
          <w:color w:val="000000" w:themeColor="text1"/>
        </w:rPr>
      </w:pPr>
    </w:p>
    <w:p w14:paraId="32ABFE9A" w14:textId="77777777" w:rsidR="00433276" w:rsidRDefault="00433276" w:rsidP="00433276">
      <w:pPr>
        <w:spacing w:after="120" w:line="276" w:lineRule="auto"/>
        <w:jc w:val="both"/>
        <w:rPr>
          <w:rFonts w:ascii="Verdana" w:eastAsia="Calibri" w:hAnsi="Verdana" w:cs="Arial"/>
          <w:color w:val="000000" w:themeColor="text1"/>
        </w:rPr>
      </w:pPr>
      <w:proofErr w:type="spellStart"/>
      <w:r>
        <w:rPr>
          <w:rFonts w:ascii="Verdana" w:hAnsi="Verdana" w:cs="Arial"/>
          <w:color w:val="000000" w:themeColor="text1"/>
        </w:rPr>
        <w:t>ii</w:t>
      </w:r>
      <w:proofErr w:type="spellEnd"/>
      <w:r>
        <w:rPr>
          <w:rFonts w:ascii="Verdana" w:hAnsi="Verdana" w:cs="Arial"/>
          <w:color w:val="000000" w:themeColor="text1"/>
        </w:rPr>
        <w:t xml:space="preserve">. </w:t>
      </w:r>
      <w:r w:rsidRPr="00BF319B">
        <w:rPr>
          <w:rFonts w:ascii="Verdana" w:eastAsia="Calibri" w:hAnsi="Verdana" w:cs="Arial"/>
          <w:color w:val="000000" w:themeColor="text1"/>
        </w:rPr>
        <w:t xml:space="preserve">Salvo las convocatorias limitadas a </w:t>
      </w:r>
      <w:proofErr w:type="spellStart"/>
      <w:r w:rsidRPr="00BF319B">
        <w:rPr>
          <w:rFonts w:ascii="Verdana" w:eastAsia="Calibri" w:hAnsi="Verdana" w:cs="Arial"/>
          <w:color w:val="000000" w:themeColor="text1"/>
        </w:rPr>
        <w:t>Mipymes</w:t>
      </w:r>
      <w:proofErr w:type="spellEnd"/>
      <w:r w:rsidRPr="00BF319B">
        <w:rPr>
          <w:rFonts w:ascii="Verdana" w:eastAsia="Calibri" w:hAnsi="Verdana" w:cs="Arial"/>
          <w:color w:val="000000" w:themeColor="text1"/>
        </w:rPr>
        <w:t xml:space="preserve"> nacionales o territoriales</w:t>
      </w:r>
      <w:r>
        <w:rPr>
          <w:rFonts w:ascii="Verdana" w:eastAsia="Calibri" w:hAnsi="Verdana" w:cs="Arial"/>
          <w:color w:val="000000" w:themeColor="text1"/>
        </w:rPr>
        <w:t xml:space="preserve">, </w:t>
      </w:r>
      <w:r w:rsidRPr="00BF319B">
        <w:rPr>
          <w:rFonts w:ascii="Verdana" w:eastAsia="Calibri" w:hAnsi="Verdana" w:cs="Arial"/>
          <w:color w:val="000000" w:themeColor="text1"/>
        </w:rPr>
        <w:t>los principios de igualdad y concurrencia rigen en los procedimientos de selección competitivos de las entidades sometidas al Estatuto General de Contratación</w:t>
      </w:r>
      <w:r>
        <w:rPr>
          <w:rFonts w:ascii="Verdana" w:eastAsia="Calibri" w:hAnsi="Verdana" w:cs="Arial"/>
          <w:color w:val="000000" w:themeColor="text1"/>
        </w:rPr>
        <w:t xml:space="preserve"> de la Administración Pública – en adelante EGCAP –</w:t>
      </w:r>
      <w:r w:rsidRPr="00BF319B">
        <w:rPr>
          <w:rFonts w:ascii="Verdana" w:eastAsia="Calibri" w:hAnsi="Verdana" w:cs="Arial"/>
          <w:color w:val="000000" w:themeColor="text1"/>
        </w:rPr>
        <w:t xml:space="preserve">. Con las excepciones previstas en el ordenamiento jurídico, esto significa que debe garantizarse la pluralidad de oferentes como condición necesaria para escoger la oferta más favorable a los intereses de la entidad. </w:t>
      </w:r>
    </w:p>
    <w:p w14:paraId="0B531D76" w14:textId="77777777" w:rsidR="00433276" w:rsidRPr="00BF319B" w:rsidRDefault="00433276" w:rsidP="00433276">
      <w:pPr>
        <w:spacing w:after="0" w:line="276" w:lineRule="auto"/>
        <w:ind w:firstLine="708"/>
        <w:jc w:val="both"/>
        <w:rPr>
          <w:rFonts w:ascii="Verdana" w:eastAsia="Calibri" w:hAnsi="Verdana" w:cs="Arial"/>
          <w:color w:val="000000" w:themeColor="text1"/>
        </w:rPr>
      </w:pPr>
      <w:r w:rsidRPr="00BF319B">
        <w:rPr>
          <w:rFonts w:ascii="Verdana" w:eastAsia="Calibri" w:hAnsi="Verdana" w:cs="Arial"/>
          <w:color w:val="000000" w:themeColor="text1"/>
        </w:rPr>
        <w:t>Esta prohibición de trato discriminatorio respecto a la posibilidad que tienen los proponentes de presentarse a las licitaciones o concursos es acorde al principio de selección objetiva, el cual define el artículo 5 de la Ley 1150 de 2007 como la escogencia realizada sin tener en consideración factores de afecto o de interés y, en general, cualquier clase de motivación subjetiva. En el mismo sentido, la doctrina considera que:</w:t>
      </w:r>
    </w:p>
    <w:p w14:paraId="0E9DDE3C" w14:textId="77777777" w:rsidR="00433276" w:rsidRPr="00BF319B" w:rsidRDefault="00433276" w:rsidP="00433276">
      <w:pPr>
        <w:spacing w:after="0" w:line="276" w:lineRule="auto"/>
        <w:jc w:val="both"/>
        <w:rPr>
          <w:rFonts w:ascii="Verdana" w:eastAsia="Calibri" w:hAnsi="Verdana" w:cs="Arial"/>
          <w:color w:val="000000" w:themeColor="text1"/>
        </w:rPr>
      </w:pPr>
    </w:p>
    <w:p w14:paraId="59635745" w14:textId="77777777" w:rsidR="00433276" w:rsidRPr="0017107E" w:rsidRDefault="00433276" w:rsidP="00433276">
      <w:pPr>
        <w:spacing w:after="0" w:line="240" w:lineRule="auto"/>
        <w:ind w:left="709" w:right="709"/>
        <w:jc w:val="both"/>
        <w:rPr>
          <w:rFonts w:ascii="Verdana" w:eastAsia="Calibri" w:hAnsi="Verdana" w:cs="Arial"/>
          <w:color w:val="000000" w:themeColor="text1"/>
          <w:sz w:val="20"/>
          <w:szCs w:val="20"/>
        </w:rPr>
      </w:pPr>
      <w:r w:rsidRPr="0017107E">
        <w:rPr>
          <w:rFonts w:ascii="Verdana" w:eastAsia="Calibri" w:hAnsi="Verdana" w:cs="Arial"/>
          <w:color w:val="000000" w:themeColor="text1"/>
          <w:sz w:val="20"/>
          <w:szCs w:val="20"/>
        </w:rPr>
        <w:t xml:space="preserve">“La concurrencia tiene por objeto lograr que al procedimiento licitatorio se presente la mayor cantidad posible de oferentes; porque si lo que la Administración pretende para satisfacer en la mejor forma sus intereses públicos, es contratar con el particular que ofrezca las mejores garantías </w:t>
      </w:r>
      <w:r w:rsidRPr="0017107E">
        <w:rPr>
          <w:rFonts w:ascii="Verdana" w:eastAsia="Calibri" w:hAnsi="Verdana" w:cs="Arial"/>
          <w:color w:val="000000" w:themeColor="text1"/>
          <w:sz w:val="20"/>
          <w:szCs w:val="20"/>
        </w:rPr>
        <w:lastRenderedPageBreak/>
        <w:t>para el cumplimiento del objeto contractual, es necesario que a la compulsa hayan podido acudir todos los interesados en participar que estén capacitados para brindar la prestación requerida.</w:t>
      </w:r>
    </w:p>
    <w:p w14:paraId="5317EA1A" w14:textId="77777777" w:rsidR="00433276" w:rsidRDefault="00433276" w:rsidP="00433276">
      <w:pPr>
        <w:spacing w:after="120" w:line="240" w:lineRule="auto"/>
        <w:ind w:left="709" w:right="709"/>
        <w:jc w:val="both"/>
        <w:rPr>
          <w:rFonts w:ascii="Verdana" w:eastAsia="Calibri" w:hAnsi="Verdana" w:cs="Arial"/>
          <w:color w:val="000000" w:themeColor="text1"/>
          <w:sz w:val="20"/>
          <w:szCs w:val="20"/>
        </w:rPr>
      </w:pPr>
      <w:r w:rsidRPr="0017107E">
        <w:rPr>
          <w:rFonts w:ascii="Verdana" w:eastAsia="Calibri" w:hAnsi="Verdana" w:cs="Arial"/>
          <w:color w:val="000000" w:themeColor="text1"/>
          <w:sz w:val="20"/>
          <w:szCs w:val="20"/>
        </w:rPr>
        <w:t>[…]</w:t>
      </w:r>
    </w:p>
    <w:p w14:paraId="577CC0D5" w14:textId="77777777" w:rsidR="00433276" w:rsidRDefault="00433276" w:rsidP="00433276">
      <w:pPr>
        <w:spacing w:after="120" w:line="240" w:lineRule="auto"/>
        <w:ind w:left="709" w:right="709"/>
        <w:jc w:val="both"/>
        <w:rPr>
          <w:rFonts w:ascii="Verdana" w:eastAsia="Calibri" w:hAnsi="Verdana" w:cs="Arial"/>
          <w:color w:val="000000" w:themeColor="text1"/>
          <w:sz w:val="20"/>
          <w:szCs w:val="20"/>
        </w:rPr>
      </w:pPr>
      <w:r w:rsidRPr="0017107E">
        <w:rPr>
          <w:rFonts w:ascii="Verdana" w:eastAsia="Calibri" w:hAnsi="Verdana" w:cs="Arial"/>
          <w:color w:val="000000" w:themeColor="text1"/>
          <w:sz w:val="20"/>
          <w:szCs w:val="20"/>
        </w:rPr>
        <w:t>La concurrencia no significa enfrentamiento en el sentido de disputa entre los interesados, ella no supone el litigio en el sentido técnico procesal; es decir, que no hay litis, porque los participantes no acuden ante la autoridad administrativa para que ésta resuelva, como juez, un conflicto jurídico; los participantes son, en realidad, proponentes cuya actividad se limita, en principio, a presentar sus antecedentes y propuestas, en orden al emprendimiento licitado.</w:t>
      </w:r>
    </w:p>
    <w:p w14:paraId="67FE9FF7" w14:textId="77777777" w:rsidR="00433276" w:rsidRPr="0017107E" w:rsidRDefault="00433276" w:rsidP="00433276">
      <w:pPr>
        <w:spacing w:after="0" w:line="240" w:lineRule="auto"/>
        <w:ind w:left="709" w:right="709"/>
        <w:jc w:val="both"/>
        <w:rPr>
          <w:rFonts w:ascii="Verdana" w:eastAsia="Calibri" w:hAnsi="Verdana" w:cs="Arial"/>
          <w:color w:val="000000" w:themeColor="text1"/>
          <w:sz w:val="20"/>
          <w:szCs w:val="20"/>
        </w:rPr>
      </w:pPr>
      <w:r w:rsidRPr="0017107E">
        <w:rPr>
          <w:rFonts w:ascii="Verdana" w:eastAsia="Calibri" w:hAnsi="Verdana" w:cs="Arial"/>
          <w:color w:val="000000" w:themeColor="text1"/>
          <w:sz w:val="20"/>
          <w:szCs w:val="20"/>
        </w:rPr>
        <w:t>Existe, sí, oposición, la que consiste en un procedimiento selectivo que da lugar a que se comparen y evalúen las distintas ofertas, para escoger de entre ellas la más conveniente; pero no se da entre los postulantes una situación de contienda, sino, en todo caso, de competencia industrial, comercial, profesional, técnica o de todas ellas combinadas, entre quienes aspiran a ser admitidos en igualdad de condiciones en ese procedimiento y tratados con equidad”</w:t>
      </w:r>
      <w:r w:rsidRPr="0017107E">
        <w:rPr>
          <w:rStyle w:val="Refdenotaalpie"/>
          <w:rFonts w:ascii="Verdana" w:eastAsia="Calibri" w:hAnsi="Verdana" w:cs="Arial"/>
          <w:color w:val="000000" w:themeColor="text1"/>
          <w:sz w:val="20"/>
          <w:szCs w:val="20"/>
        </w:rPr>
        <w:footnoteReference w:id="5"/>
      </w:r>
      <w:r w:rsidRPr="0017107E">
        <w:rPr>
          <w:rFonts w:ascii="Verdana" w:eastAsia="Calibri" w:hAnsi="Verdana" w:cs="Arial"/>
          <w:color w:val="000000" w:themeColor="text1"/>
          <w:sz w:val="20"/>
          <w:szCs w:val="20"/>
        </w:rPr>
        <w:t>.</w:t>
      </w:r>
    </w:p>
    <w:p w14:paraId="2E4BB8D9" w14:textId="77777777" w:rsidR="00433276" w:rsidRPr="00BF319B" w:rsidRDefault="00433276" w:rsidP="00433276">
      <w:pPr>
        <w:spacing w:after="0" w:line="276" w:lineRule="auto"/>
        <w:jc w:val="both"/>
        <w:rPr>
          <w:rFonts w:ascii="Verdana" w:eastAsia="Calibri" w:hAnsi="Verdana" w:cs="Arial"/>
          <w:color w:val="000000" w:themeColor="text1"/>
        </w:rPr>
      </w:pPr>
    </w:p>
    <w:p w14:paraId="29FF28D0" w14:textId="77777777" w:rsidR="00433276" w:rsidRDefault="00433276" w:rsidP="00433276">
      <w:pPr>
        <w:spacing w:after="120" w:line="276" w:lineRule="auto"/>
        <w:ind w:firstLine="708"/>
        <w:jc w:val="both"/>
        <w:rPr>
          <w:rFonts w:ascii="Verdana" w:eastAsia="Calibri" w:hAnsi="Verdana" w:cs="Arial"/>
          <w:color w:val="000000" w:themeColor="text1"/>
        </w:rPr>
      </w:pPr>
      <w:r w:rsidRPr="00BF319B">
        <w:rPr>
          <w:rFonts w:ascii="Verdana" w:eastAsia="Calibri" w:hAnsi="Verdana" w:cs="Arial"/>
          <w:color w:val="000000" w:themeColor="text1"/>
        </w:rPr>
        <w:t>El principio jurídico de la libre concurrencia garantiza la oposición entre los oferentes, y –como contrapartida– establece una prohibición para el Estado de restringir su participación</w:t>
      </w:r>
      <w:r w:rsidRPr="00BF319B">
        <w:rPr>
          <w:rStyle w:val="Refdenotaalpie"/>
          <w:rFonts w:ascii="Verdana" w:eastAsia="Calibri" w:hAnsi="Verdana" w:cs="Arial"/>
          <w:color w:val="000000" w:themeColor="text1"/>
        </w:rPr>
        <w:footnoteReference w:id="6"/>
      </w:r>
      <w:r w:rsidRPr="00BF319B">
        <w:rPr>
          <w:rFonts w:ascii="Verdana" w:eastAsia="Calibri" w:hAnsi="Verdana" w:cs="Arial"/>
          <w:color w:val="000000" w:themeColor="text1"/>
        </w:rPr>
        <w:t>. En esta perspectiva, es una derivación del principio de igualdad, pues supone la intervención del mayor número de candidatos en un régimen de libre competencia. Ambos se concretan en la prohibición de limitar la presentación de ofertas, pues son importantes para evitar discriminaciones por razón de la nacionalidad pretendiendo favorecer a los nacionales frente a extranjeros, y también se oponen a la exigencia de criterios de territorialidad que vulneren la libertad de empresa en una economía de mercado</w:t>
      </w:r>
      <w:r w:rsidRPr="00BF319B">
        <w:rPr>
          <w:rStyle w:val="Refdenotaalpie"/>
          <w:rFonts w:ascii="Verdana" w:eastAsia="Calibri" w:hAnsi="Verdana" w:cs="Arial"/>
          <w:color w:val="000000" w:themeColor="text1"/>
        </w:rPr>
        <w:footnoteReference w:id="7"/>
      </w:r>
      <w:r w:rsidRPr="00BF319B">
        <w:rPr>
          <w:rFonts w:ascii="Verdana" w:eastAsia="Calibri" w:hAnsi="Verdana" w:cs="Arial"/>
          <w:color w:val="000000" w:themeColor="text1"/>
        </w:rPr>
        <w:t xml:space="preserve">. </w:t>
      </w:r>
    </w:p>
    <w:p w14:paraId="3CCD6E15" w14:textId="77777777" w:rsidR="00433276" w:rsidRPr="00BF319B" w:rsidRDefault="00433276" w:rsidP="00433276">
      <w:pPr>
        <w:spacing w:after="120" w:line="276" w:lineRule="auto"/>
        <w:ind w:firstLine="708"/>
        <w:jc w:val="both"/>
        <w:rPr>
          <w:rFonts w:ascii="Verdana" w:eastAsia="Calibri" w:hAnsi="Verdana" w:cs="Arial"/>
          <w:color w:val="000000" w:themeColor="text1"/>
        </w:rPr>
      </w:pPr>
      <w:r w:rsidRPr="00BF319B">
        <w:rPr>
          <w:rFonts w:ascii="Verdana" w:eastAsia="Calibri" w:hAnsi="Verdana" w:cs="Arial"/>
          <w:color w:val="000000" w:themeColor="text1"/>
        </w:rPr>
        <w:lastRenderedPageBreak/>
        <w:t>Por ello, en el Concepto</w:t>
      </w:r>
      <w:r w:rsidRPr="00BF319B">
        <w:rPr>
          <w:rFonts w:ascii="Verdana" w:eastAsia="Calibri" w:hAnsi="Verdana" w:cs="Arial"/>
          <w:color w:val="000000" w:themeColor="text1"/>
          <w:lang w:val="es-ES"/>
        </w:rPr>
        <w:t xml:space="preserve"> 2201913000006511 del 3 de septiembre de 2019, la Agencia sostuvo que, por regla general, las entidades no pueden exigir como requisito habilitante que el proponente tenga residencia en el lugar donde se ejecutará el contrato, pues afecta la libre competencia de los procesos de contratación y es una cláusula discriminatoria, sin dejar de lado que no garantiza la aptitud del proponente para ejecutar el objeto del contrato</w:t>
      </w:r>
      <w:r w:rsidRPr="00BF319B">
        <w:rPr>
          <w:rStyle w:val="Refdenotaalpie"/>
          <w:rFonts w:ascii="Verdana" w:eastAsia="Calibri" w:hAnsi="Verdana" w:cs="Arial"/>
          <w:color w:val="000000" w:themeColor="text1"/>
          <w:lang w:val="es-ES"/>
        </w:rPr>
        <w:footnoteReference w:id="8"/>
      </w:r>
      <w:r w:rsidRPr="00BF319B">
        <w:rPr>
          <w:rFonts w:ascii="Verdana" w:eastAsia="Calibri" w:hAnsi="Verdana" w:cs="Arial"/>
          <w:color w:val="000000" w:themeColor="text1"/>
          <w:lang w:val="es-ES"/>
        </w:rPr>
        <w:t xml:space="preserve"> </w:t>
      </w:r>
      <w:r w:rsidRPr="00BF319B">
        <w:rPr>
          <w:rStyle w:val="Refdenotaalpie"/>
          <w:rFonts w:ascii="Verdana" w:eastAsia="Calibri" w:hAnsi="Verdana" w:cs="Arial"/>
          <w:color w:val="000000" w:themeColor="text1"/>
          <w:lang w:val="es-ES"/>
        </w:rPr>
        <w:footnoteReference w:id="9"/>
      </w:r>
      <w:r w:rsidRPr="00BF319B">
        <w:rPr>
          <w:rFonts w:ascii="Verdana" w:eastAsia="Calibri" w:hAnsi="Verdana" w:cs="Arial"/>
          <w:color w:val="000000" w:themeColor="text1"/>
          <w:lang w:val="es-ES"/>
        </w:rPr>
        <w:t>.</w:t>
      </w:r>
      <w:r w:rsidRPr="00BF319B">
        <w:rPr>
          <w:rFonts w:ascii="Verdana" w:eastAsia="Calibri" w:hAnsi="Verdana" w:cs="Arial"/>
          <w:color w:val="000000" w:themeColor="text1"/>
        </w:rPr>
        <w:t xml:space="preserve">    </w:t>
      </w:r>
    </w:p>
    <w:p w14:paraId="3004F026" w14:textId="77777777" w:rsidR="00433276" w:rsidRPr="00BF319B" w:rsidRDefault="00433276" w:rsidP="00433276">
      <w:pPr>
        <w:spacing w:after="120" w:line="276" w:lineRule="auto"/>
        <w:ind w:firstLine="708"/>
        <w:jc w:val="both"/>
        <w:rPr>
          <w:rFonts w:ascii="Verdana" w:eastAsia="Calibri" w:hAnsi="Verdana" w:cs="Arial"/>
          <w:color w:val="000000"/>
          <w:lang w:val="es-ES"/>
        </w:rPr>
      </w:pPr>
      <w:r w:rsidRPr="50259C15">
        <w:rPr>
          <w:rFonts w:ascii="Verdana" w:eastAsia="Calibri" w:hAnsi="Verdana" w:cs="Arial"/>
          <w:color w:val="000000" w:themeColor="text1"/>
          <w:lang w:val="es-ES"/>
        </w:rPr>
        <w:t>Lo anterior es congruente con el inciso primero del artículo 13 superior, el cual dispone que “Todas las personas nacen libres e iguales ante la ley, recibirán la misma protección y trato de las autoridades y gozarán de los mismos derechos, libertades y oportunidades sin ninguna discriminación por razones […] origen nacional […]”. Asimismo, conforme al artículo 100 constitucional, “</w:t>
      </w:r>
      <w:r w:rsidRPr="50259C15">
        <w:rPr>
          <w:rFonts w:ascii="Verdana" w:eastAsia="Calibri" w:hAnsi="Verdana" w:cs="Arial"/>
          <w:i/>
          <w:iCs/>
          <w:color w:val="000000" w:themeColor="text1"/>
          <w:lang w:val="es-ES"/>
        </w:rPr>
        <w:t>Los extranjeros disfrutarán en Colombia de los mismos derechos civiles que se conceden a los colombianos</w:t>
      </w:r>
      <w:r w:rsidRPr="50259C15">
        <w:rPr>
          <w:rFonts w:ascii="Verdana" w:eastAsia="Calibri" w:hAnsi="Verdana" w:cs="Arial"/>
          <w:color w:val="000000" w:themeColor="text1"/>
          <w:lang w:val="es-ES"/>
        </w:rPr>
        <w:t xml:space="preserve">. No obstante, la ley podrá, por razones de orden público, subordinar a condiciones especiales o negar el ejercicio de determinados derechos civiles a los extranjeros” (Énfasis fuera de texto). De esta manera, como explica la Corte Constitucional en la Sentencia T-147 de 1996, con ponencia de Eduardo Cifuentes Muñoz, “[…] Es evidente que si la Carta excluye la diferenciación de trato sustentado en el origen nacional, está igualmente descartada, inclusive de una manera más perentoria, la discriminación entre </w:t>
      </w:r>
      <w:r w:rsidRPr="50259C15">
        <w:rPr>
          <w:rFonts w:ascii="Verdana" w:eastAsia="Calibri" w:hAnsi="Verdana" w:cs="Arial"/>
          <w:color w:val="000000" w:themeColor="text1"/>
          <w:lang w:val="es-ES"/>
        </w:rPr>
        <w:lastRenderedPageBreak/>
        <w:t xml:space="preserve">nacionales […]”, lo que reitera la prohibición de trato desigual por razón de la nacionalidad o el territorio. </w:t>
      </w:r>
    </w:p>
    <w:p w14:paraId="487DB773" w14:textId="77777777" w:rsidR="00433276" w:rsidRDefault="00433276" w:rsidP="00433276">
      <w:pPr>
        <w:spacing w:after="120" w:line="276" w:lineRule="auto"/>
        <w:ind w:firstLine="708"/>
        <w:jc w:val="both"/>
        <w:rPr>
          <w:rFonts w:ascii="Verdana" w:eastAsia="Calibri" w:hAnsi="Verdana" w:cs="Arial"/>
          <w:color w:val="000000"/>
          <w:lang w:val="es-ES_tradnl"/>
        </w:rPr>
      </w:pPr>
      <w:r w:rsidRPr="00BF319B">
        <w:rPr>
          <w:rFonts w:ascii="Verdana" w:eastAsia="Calibri" w:hAnsi="Verdana" w:cs="Arial"/>
          <w:color w:val="000000"/>
          <w:lang w:val="es-ES_tradnl"/>
        </w:rPr>
        <w:t xml:space="preserve">Por lo demás, </w:t>
      </w:r>
      <w:r w:rsidRPr="00BF319B">
        <w:rPr>
          <w:rFonts w:ascii="Verdana" w:hAnsi="Verdana" w:cs="Arial"/>
          <w:color w:val="000000" w:themeColor="text1"/>
        </w:rPr>
        <w:t>en concordancia con el numeral 1 del artículo 1502 del Código Civil</w:t>
      </w:r>
      <w:r w:rsidRPr="00BF319B">
        <w:rPr>
          <w:rStyle w:val="Refdenotaalpie"/>
          <w:rFonts w:ascii="Verdana" w:hAnsi="Verdana" w:cs="Arial"/>
          <w:color w:val="000000" w:themeColor="text1"/>
        </w:rPr>
        <w:footnoteReference w:id="10"/>
      </w:r>
      <w:r w:rsidRPr="00BF319B">
        <w:rPr>
          <w:rFonts w:ascii="Verdana" w:hAnsi="Verdana" w:cs="Arial"/>
          <w:color w:val="000000" w:themeColor="text1"/>
        </w:rPr>
        <w:t xml:space="preserve">, el inciso primero del artículo 6 de la Ley 80 de 1993 –modificado por el artículo 1 de la Ley 2160 de 2021– dispone que “Pueden celebrar contratos con las entidades estatales las personas consideradas legalmente capaces en las disposiciones vigentes […]”. Esta norma es acorde al reconocimiento de la personalidad jurídica del artículo 16 constitucional, de donde </w:t>
      </w:r>
      <w:r w:rsidRPr="00BF319B">
        <w:rPr>
          <w:rFonts w:ascii="Verdana" w:eastAsia="Calibri" w:hAnsi="Verdana" w:cs="Arial"/>
          <w:color w:val="000000"/>
          <w:lang w:val="es-ES_tradnl"/>
        </w:rPr>
        <w:t>se infiere que las personas extranjeras –al igual que las nacionales– pueden concurrir en la celebración de contratos estatales, siempre que no se encuentren en alguna causal de inhabilidad o incompatibilidad que la afecte</w:t>
      </w:r>
      <w:r w:rsidRPr="00BF319B">
        <w:rPr>
          <w:rStyle w:val="Refdenotaalpie"/>
          <w:rFonts w:ascii="Verdana" w:eastAsia="Calibri" w:hAnsi="Verdana" w:cs="Arial"/>
          <w:color w:val="000000"/>
          <w:lang w:val="es-ES_tradnl"/>
        </w:rPr>
        <w:footnoteReference w:id="11"/>
      </w:r>
      <w:r w:rsidRPr="00BF319B">
        <w:rPr>
          <w:rFonts w:ascii="Verdana" w:eastAsia="Calibri" w:hAnsi="Verdana" w:cs="Arial"/>
          <w:color w:val="000000"/>
          <w:lang w:val="es-ES_tradnl"/>
        </w:rPr>
        <w:t>.</w:t>
      </w:r>
      <w:r>
        <w:rPr>
          <w:rFonts w:ascii="Verdana" w:eastAsia="Calibri" w:hAnsi="Verdana" w:cs="Arial"/>
          <w:color w:val="000000"/>
          <w:lang w:val="es-ES_tradnl"/>
        </w:rPr>
        <w:t xml:space="preserve"> Por tanto, las sociedades extranjeras pueden participar tanto de forma individual como en consorcio o unión temporal, de acuerdo con la explicación del acápite precedente.</w:t>
      </w:r>
    </w:p>
    <w:p w14:paraId="19F381DC" w14:textId="77777777" w:rsidR="00433276" w:rsidRDefault="00433276" w:rsidP="00433276">
      <w:pPr>
        <w:spacing w:after="120" w:line="276" w:lineRule="auto"/>
        <w:ind w:firstLine="708"/>
        <w:jc w:val="both"/>
        <w:rPr>
          <w:rFonts w:ascii="Verdana" w:hAnsi="Verdana" w:cs="Arial"/>
          <w:color w:val="000000" w:themeColor="text1"/>
        </w:rPr>
      </w:pPr>
      <w:r w:rsidRPr="00BF319B">
        <w:rPr>
          <w:rFonts w:ascii="Verdana" w:eastAsia="Calibri" w:hAnsi="Verdana" w:cs="Arial"/>
          <w:bCs/>
          <w:color w:val="000000" w:themeColor="text1"/>
          <w:lang w:val="es-ES_tradnl"/>
        </w:rPr>
        <w:t xml:space="preserve">En todo caso, en línea con el artículo 12 de la Ley 1150 de 2007, el citado </w:t>
      </w:r>
      <w:r w:rsidRPr="00BF319B">
        <w:rPr>
          <w:rFonts w:ascii="Verdana" w:eastAsia="Calibri" w:hAnsi="Verdana" w:cs="Arial"/>
          <w:color w:val="000000" w:themeColor="text1"/>
        </w:rPr>
        <w:t>Concepto</w:t>
      </w:r>
      <w:r w:rsidRPr="00BF319B">
        <w:rPr>
          <w:rFonts w:ascii="Verdana" w:eastAsia="Calibri" w:hAnsi="Verdana" w:cs="Arial"/>
          <w:color w:val="000000" w:themeColor="text1"/>
          <w:lang w:val="es-ES"/>
        </w:rPr>
        <w:t xml:space="preserve"> 2201913000006511 del 3 de septiembre de 2019 precisa que “Si la entidad estatal limita el proceso de contratación a </w:t>
      </w:r>
      <w:proofErr w:type="spellStart"/>
      <w:r w:rsidRPr="00BF319B">
        <w:rPr>
          <w:rFonts w:ascii="Verdana" w:eastAsia="Calibri" w:hAnsi="Verdana" w:cs="Arial"/>
          <w:color w:val="000000" w:themeColor="text1"/>
          <w:lang w:val="es-ES"/>
        </w:rPr>
        <w:t>Mipymes</w:t>
      </w:r>
      <w:proofErr w:type="spellEnd"/>
      <w:r w:rsidRPr="00BF319B">
        <w:rPr>
          <w:rFonts w:ascii="Verdana" w:eastAsia="Calibri" w:hAnsi="Verdana" w:cs="Arial"/>
          <w:color w:val="000000" w:themeColor="text1"/>
          <w:lang w:val="es-ES"/>
        </w:rPr>
        <w:t xml:space="preserve"> nacionales, de acuerdo con el artículo 2.2.1.2.4.2.2 del Decreto 1082 de 2015, las entidades tienen la facultad de limitar la convocatoria a </w:t>
      </w:r>
      <w:proofErr w:type="spellStart"/>
      <w:r w:rsidRPr="00BF319B">
        <w:rPr>
          <w:rFonts w:ascii="Verdana" w:eastAsia="Calibri" w:hAnsi="Verdana" w:cs="Arial"/>
          <w:color w:val="000000" w:themeColor="text1"/>
          <w:lang w:val="es-ES"/>
        </w:rPr>
        <w:t>Mipymes</w:t>
      </w:r>
      <w:proofErr w:type="spellEnd"/>
      <w:r w:rsidRPr="00BF319B">
        <w:rPr>
          <w:rFonts w:ascii="Verdana" w:eastAsia="Calibri" w:hAnsi="Verdana" w:cs="Arial"/>
          <w:color w:val="000000" w:themeColor="text1"/>
          <w:lang w:val="es-ES"/>
        </w:rPr>
        <w:t xml:space="preserve"> nacionales domiciliadas en los departamentos o municipios en donde se va a ejecutar el contrato. En este caso, la entidad estatal podrá fijar como requisito habilitante que la </w:t>
      </w:r>
      <w:proofErr w:type="spellStart"/>
      <w:r w:rsidRPr="00BF319B">
        <w:rPr>
          <w:rFonts w:ascii="Verdana" w:eastAsia="Calibri" w:hAnsi="Verdana" w:cs="Arial"/>
          <w:color w:val="000000" w:themeColor="text1"/>
          <w:lang w:val="es-ES"/>
        </w:rPr>
        <w:t>Mipyme</w:t>
      </w:r>
      <w:proofErr w:type="spellEnd"/>
      <w:r w:rsidRPr="00BF319B">
        <w:rPr>
          <w:rFonts w:ascii="Verdana" w:eastAsia="Calibri" w:hAnsi="Verdana" w:cs="Arial"/>
          <w:color w:val="000000" w:themeColor="text1"/>
          <w:lang w:val="es-ES"/>
        </w:rPr>
        <w:t xml:space="preserve"> acredite […] que está domiciliada en el departamento o municipio en donde se va a ejecutar el contrato”</w:t>
      </w:r>
      <w:r w:rsidRPr="00BF319B">
        <w:rPr>
          <w:rStyle w:val="Refdenotaalpie"/>
          <w:rFonts w:ascii="Verdana" w:eastAsia="Calibri" w:hAnsi="Verdana" w:cs="Arial"/>
          <w:color w:val="000000" w:themeColor="text1"/>
          <w:lang w:val="es-ES"/>
        </w:rPr>
        <w:footnoteReference w:id="12"/>
      </w:r>
      <w:r w:rsidRPr="00BF319B">
        <w:rPr>
          <w:rFonts w:ascii="Verdana" w:eastAsia="Calibri" w:hAnsi="Verdana" w:cs="Arial"/>
          <w:color w:val="000000" w:themeColor="text1"/>
          <w:lang w:val="es-ES"/>
        </w:rPr>
        <w:t>.</w:t>
      </w:r>
    </w:p>
    <w:p w14:paraId="2DC9888D" w14:textId="77777777" w:rsidR="00433276" w:rsidRDefault="00433276" w:rsidP="00433276">
      <w:pPr>
        <w:spacing w:after="0" w:line="276" w:lineRule="auto"/>
        <w:ind w:firstLine="708"/>
        <w:jc w:val="both"/>
        <w:rPr>
          <w:rFonts w:ascii="Verdana" w:eastAsia="Calibri" w:hAnsi="Verdana" w:cs="Arial"/>
          <w:color w:val="000000" w:themeColor="text1"/>
        </w:rPr>
      </w:pPr>
      <w:r>
        <w:rPr>
          <w:rFonts w:ascii="Verdana" w:eastAsia="Arial" w:hAnsi="Verdana" w:cs="Arial"/>
          <w:color w:val="000000"/>
        </w:rPr>
        <w:lastRenderedPageBreak/>
        <w:t xml:space="preserve">Por ello, </w:t>
      </w:r>
      <w:r w:rsidRPr="00BF319B">
        <w:rPr>
          <w:rFonts w:ascii="Verdana" w:eastAsia="Arial" w:hAnsi="Verdana" w:cs="Arial"/>
          <w:color w:val="000000"/>
        </w:rPr>
        <w:t xml:space="preserve">si la convocatoria de se limita a </w:t>
      </w:r>
      <w:proofErr w:type="spellStart"/>
      <w:r w:rsidRPr="00BF319B">
        <w:rPr>
          <w:rFonts w:ascii="Verdana" w:eastAsia="Arial" w:hAnsi="Verdana" w:cs="Arial"/>
          <w:color w:val="000000"/>
        </w:rPr>
        <w:t>Mipymes</w:t>
      </w:r>
      <w:proofErr w:type="spellEnd"/>
      <w:r w:rsidRPr="00BF319B">
        <w:rPr>
          <w:rFonts w:ascii="Verdana" w:eastAsia="Arial" w:hAnsi="Verdana" w:cs="Arial"/>
          <w:color w:val="000000"/>
        </w:rPr>
        <w:t xml:space="preserve"> nacionales, quedan excluidos no solo las grandes empresas ubicadas en el territorio colombiano sino también los proponentes extranjeros. En otras palabras, el inciso primero del artículo 12 de la Ley 1150 de 2007 y el artículo </w:t>
      </w:r>
      <w:r w:rsidRPr="00BF319B">
        <w:rPr>
          <w:rFonts w:ascii="Verdana" w:eastAsia="Calibri" w:hAnsi="Verdana" w:cs="Arial"/>
          <w:color w:val="000000" w:themeColor="text1"/>
        </w:rPr>
        <w:t xml:space="preserve">2.2.1.2.4.2.2 del Decreto 1082 de 2015 establece un trato preferencial en razón de la nacionalidad. En contraste, si la convocatoria limitada beneficia a las </w:t>
      </w:r>
      <w:proofErr w:type="spellStart"/>
      <w:r w:rsidRPr="00BF319B">
        <w:rPr>
          <w:rFonts w:ascii="Verdana" w:eastAsia="Calibri" w:hAnsi="Verdana" w:cs="Arial"/>
          <w:color w:val="000000" w:themeColor="text1"/>
        </w:rPr>
        <w:t>Mipymes</w:t>
      </w:r>
      <w:proofErr w:type="spellEnd"/>
      <w:r w:rsidRPr="00BF319B">
        <w:rPr>
          <w:rFonts w:ascii="Verdana" w:eastAsia="Calibri" w:hAnsi="Verdana" w:cs="Arial"/>
          <w:color w:val="000000" w:themeColor="text1"/>
        </w:rPr>
        <w:t xml:space="preserve"> del municipio o departamento correspondiente al de la ejecución del contrato, también quedan excluidas –además de los anteriores– las </w:t>
      </w:r>
      <w:proofErr w:type="spellStart"/>
      <w:r w:rsidRPr="00BF319B">
        <w:rPr>
          <w:rFonts w:ascii="Verdana" w:eastAsia="Calibri" w:hAnsi="Verdana" w:cs="Arial"/>
          <w:color w:val="000000" w:themeColor="text1"/>
        </w:rPr>
        <w:t>Mipymes</w:t>
      </w:r>
      <w:proofErr w:type="spellEnd"/>
      <w:r w:rsidRPr="00BF319B">
        <w:rPr>
          <w:rFonts w:ascii="Verdana" w:eastAsia="Calibri" w:hAnsi="Verdana" w:cs="Arial"/>
          <w:color w:val="000000" w:themeColor="text1"/>
        </w:rPr>
        <w:t xml:space="preserve"> de otros lugares de Colombia. Es decir, el parágrafo 1 </w:t>
      </w:r>
      <w:r w:rsidRPr="00BF319B">
        <w:rPr>
          <w:rFonts w:ascii="Verdana" w:eastAsia="Arial" w:hAnsi="Verdana" w:cs="Arial"/>
          <w:color w:val="000000"/>
        </w:rPr>
        <w:t xml:space="preserve">del artículo 12 de la Ley 1150 de 2007 y el artículo </w:t>
      </w:r>
      <w:r w:rsidRPr="00BF319B">
        <w:rPr>
          <w:rFonts w:ascii="Verdana" w:eastAsia="Calibri" w:hAnsi="Verdana" w:cs="Arial"/>
          <w:color w:val="000000" w:themeColor="text1"/>
        </w:rPr>
        <w:t xml:space="preserve">2.2.1.2.4.2.3 del Decreto 1082 de 2015 establece un trato privilegiado que se fundamenta en el territorio. </w:t>
      </w:r>
    </w:p>
    <w:p w14:paraId="27884278" w14:textId="77777777" w:rsidR="00433276" w:rsidRDefault="00433276" w:rsidP="00433276">
      <w:pPr>
        <w:spacing w:after="0" w:line="276" w:lineRule="auto"/>
        <w:ind w:firstLine="708"/>
        <w:jc w:val="both"/>
        <w:rPr>
          <w:rFonts w:ascii="Verdana" w:eastAsia="Arial" w:hAnsi="Verdana" w:cs="Arial"/>
          <w:color w:val="000000"/>
        </w:rPr>
      </w:pPr>
      <w:r w:rsidRPr="00BF319B">
        <w:rPr>
          <w:rFonts w:ascii="Verdana" w:eastAsia="Arial" w:hAnsi="Verdana" w:cs="Arial"/>
          <w:color w:val="000000"/>
        </w:rPr>
        <w:t xml:space="preserve"> </w:t>
      </w:r>
    </w:p>
    <w:p w14:paraId="316AC6BE" w14:textId="77777777" w:rsidR="00433276" w:rsidRPr="00BF319B" w:rsidRDefault="00433276" w:rsidP="00433276">
      <w:pPr>
        <w:tabs>
          <w:tab w:val="left" w:pos="0"/>
        </w:tabs>
        <w:spacing w:after="120" w:line="276" w:lineRule="auto"/>
        <w:jc w:val="both"/>
        <w:rPr>
          <w:rFonts w:ascii="Verdana" w:eastAsia="Calibri" w:hAnsi="Verdana" w:cs="Arial"/>
          <w:bCs/>
          <w:color w:val="000000" w:themeColor="text1"/>
          <w:lang w:val="es-ES_tradnl"/>
        </w:rPr>
      </w:pPr>
      <w:proofErr w:type="spellStart"/>
      <w:r>
        <w:rPr>
          <w:rFonts w:ascii="Verdana" w:eastAsia="Arial" w:hAnsi="Verdana" w:cs="Arial"/>
          <w:color w:val="000000"/>
        </w:rPr>
        <w:t>iii</w:t>
      </w:r>
      <w:proofErr w:type="spellEnd"/>
      <w:r>
        <w:rPr>
          <w:rFonts w:ascii="Verdana" w:eastAsia="Arial" w:hAnsi="Verdana" w:cs="Arial"/>
          <w:color w:val="000000"/>
        </w:rPr>
        <w:t xml:space="preserve">. Con las restricciones mencionadas en los dos (2) párrafos precedentes, </w:t>
      </w:r>
      <w:r>
        <w:rPr>
          <w:rFonts w:ascii="Verdana" w:eastAsia="Calibri" w:hAnsi="Verdana" w:cs="Arial"/>
          <w:color w:val="000000"/>
          <w:lang w:val="es-ES_tradnl"/>
        </w:rPr>
        <w:t>la</w:t>
      </w:r>
      <w:r w:rsidRPr="00BF319B">
        <w:rPr>
          <w:rFonts w:ascii="Verdana" w:eastAsia="Calibri" w:hAnsi="Verdana" w:cs="Arial"/>
          <w:color w:val="000000"/>
          <w:lang w:val="es-ES_tradnl"/>
        </w:rPr>
        <w:t xml:space="preserve"> posibilidad de que los extranjeros concurran a los procedimientos de selección adelantados en Colombia también se fundamenta en el artículo 20 de la Ley 80 de 1993</w:t>
      </w:r>
      <w:r w:rsidRPr="00BF319B">
        <w:rPr>
          <w:rStyle w:val="Refdenotaalpie"/>
          <w:rFonts w:ascii="Verdana" w:eastAsia="Calibri" w:hAnsi="Verdana" w:cs="Arial"/>
          <w:bCs/>
          <w:color w:val="000000" w:themeColor="text1"/>
          <w:lang w:val="es-ES_tradnl"/>
        </w:rPr>
        <w:footnoteReference w:id="13"/>
      </w:r>
      <w:r w:rsidRPr="00BF319B">
        <w:rPr>
          <w:rFonts w:ascii="Verdana" w:eastAsia="Calibri" w:hAnsi="Verdana" w:cs="Arial"/>
          <w:color w:val="000000"/>
          <w:lang w:val="es-ES_tradnl"/>
        </w:rPr>
        <w:t xml:space="preserve">. Dicha norma </w:t>
      </w:r>
      <w:r w:rsidRPr="00BF319B">
        <w:rPr>
          <w:rFonts w:ascii="Verdana" w:eastAsia="Calibri" w:hAnsi="Verdana" w:cs="Arial"/>
          <w:bCs/>
          <w:color w:val="000000" w:themeColor="text1"/>
          <w:lang w:val="es-ES_tradnl"/>
        </w:rPr>
        <w:t xml:space="preserve">consagra el </w:t>
      </w:r>
      <w:r w:rsidRPr="00BF319B">
        <w:rPr>
          <w:rFonts w:ascii="Verdana" w:eastAsia="Calibri" w:hAnsi="Verdana" w:cs="Arial"/>
          <w:bCs/>
          <w:i/>
          <w:iCs/>
          <w:color w:val="000000" w:themeColor="text1"/>
          <w:lang w:val="es-ES_tradnl"/>
        </w:rPr>
        <w:t>principio de reciprocidad</w:t>
      </w:r>
      <w:r w:rsidRPr="00BF319B">
        <w:rPr>
          <w:rFonts w:ascii="Verdana" w:eastAsia="Calibri" w:hAnsi="Verdana" w:cs="Arial"/>
          <w:bCs/>
          <w:color w:val="000000" w:themeColor="text1"/>
          <w:lang w:val="es-ES_tradnl"/>
        </w:rPr>
        <w:t xml:space="preserve"> en la contratación estatal, entendido como el compromiso asumido por el Estado de brindar a los oferentes de bienes y servicios de origen extranjero un trato semejante al que les conceden a los colombianos en otros Estados con los cuales se ha celebrado acuerdo o tratado comercial, cuando, en ausencia de tratado, se certifica dicha reciprocidad, o en virtud de procesos de integración regional.</w:t>
      </w:r>
    </w:p>
    <w:p w14:paraId="685735FF" w14:textId="77777777" w:rsidR="00433276" w:rsidRPr="00BF319B" w:rsidRDefault="00433276" w:rsidP="00433276">
      <w:pPr>
        <w:spacing w:after="120" w:line="276" w:lineRule="auto"/>
        <w:ind w:firstLine="709"/>
        <w:jc w:val="both"/>
        <w:rPr>
          <w:rFonts w:ascii="Verdana" w:eastAsia="Calibri" w:hAnsi="Verdana" w:cs="Arial"/>
          <w:color w:val="000000" w:themeColor="text1"/>
          <w:lang w:val="es-ES"/>
        </w:rPr>
      </w:pPr>
      <w:r w:rsidRPr="50259C15">
        <w:rPr>
          <w:rFonts w:ascii="Verdana" w:eastAsia="Calibri" w:hAnsi="Verdana" w:cs="Arial"/>
          <w:color w:val="000000" w:themeColor="text1"/>
          <w:lang w:val="es-ES"/>
        </w:rPr>
        <w:lastRenderedPageBreak/>
        <w:t xml:space="preserve">En otras palabras, el </w:t>
      </w:r>
      <w:r w:rsidRPr="50259C15">
        <w:rPr>
          <w:rFonts w:ascii="Verdana" w:eastAsia="Calibri" w:hAnsi="Verdana" w:cs="Arial"/>
          <w:i/>
          <w:iCs/>
          <w:color w:val="000000" w:themeColor="text1"/>
          <w:lang w:val="es-ES"/>
        </w:rPr>
        <w:t xml:space="preserve">trato nacional </w:t>
      </w:r>
      <w:r w:rsidRPr="50259C15">
        <w:rPr>
          <w:rFonts w:ascii="Verdana" w:eastAsia="Calibri" w:hAnsi="Verdana" w:cs="Arial"/>
          <w:color w:val="000000" w:themeColor="text1"/>
          <w:lang w:val="es-ES"/>
        </w:rPr>
        <w:t xml:space="preserve">consiste en la consideración especial en la asignación de puntaje, que se tiene sobre los oferentes, bienes y servicios colombianos, en los procedimientos de selección, pero que, en virtud del principio de reciprocidad, se extiende a los oferentes, bienes o servicios extranjeros. Dicho privilegio que puede provenir de alguna de estas tres (3) fuentes: i) un tratado o acuerdo comercial en el que se haya negociado dicho trato nacional, </w:t>
      </w:r>
      <w:proofErr w:type="spellStart"/>
      <w:r w:rsidRPr="50259C15">
        <w:rPr>
          <w:rFonts w:ascii="Verdana" w:eastAsia="Calibri" w:hAnsi="Verdana" w:cs="Arial"/>
          <w:color w:val="000000" w:themeColor="text1"/>
          <w:lang w:val="es-ES"/>
        </w:rPr>
        <w:t>ii</w:t>
      </w:r>
      <w:proofErr w:type="spellEnd"/>
      <w:r w:rsidRPr="50259C15">
        <w:rPr>
          <w:rFonts w:ascii="Verdana" w:eastAsia="Calibri" w:hAnsi="Verdana" w:cs="Arial"/>
          <w:color w:val="000000" w:themeColor="text1"/>
          <w:lang w:val="es-ES"/>
        </w:rPr>
        <w:t xml:space="preserve">) un certificado de reciprocidad expedido por el Ministerio de Relaciones Exteriores –ante la ausencia de un tratado o acuerdo comercial– o </w:t>
      </w:r>
      <w:proofErr w:type="spellStart"/>
      <w:r w:rsidRPr="50259C15">
        <w:rPr>
          <w:rFonts w:ascii="Verdana" w:eastAsia="Calibri" w:hAnsi="Verdana" w:cs="Arial"/>
          <w:color w:val="000000" w:themeColor="text1"/>
          <w:lang w:val="es-ES"/>
        </w:rPr>
        <w:t>iii</w:t>
      </w:r>
      <w:proofErr w:type="spellEnd"/>
      <w:r w:rsidRPr="50259C15">
        <w:rPr>
          <w:rFonts w:ascii="Verdana" w:eastAsia="Calibri" w:hAnsi="Verdana" w:cs="Arial"/>
          <w:color w:val="000000" w:themeColor="text1"/>
          <w:lang w:val="es-ES"/>
        </w:rPr>
        <w:t>) la regulación andina. Las tres fuentes se reconocen no solo en el precitado artículo 20 de la Ley 80 de 1993, sino también en el artículo 2.2.1.2.4.1.3 del Decreto 1082 de 2015</w:t>
      </w:r>
      <w:r w:rsidRPr="50259C15">
        <w:rPr>
          <w:rStyle w:val="Refdenotaalpie"/>
          <w:rFonts w:ascii="Verdana" w:eastAsia="Calibri" w:hAnsi="Verdana" w:cs="Arial"/>
          <w:color w:val="000000" w:themeColor="text1"/>
          <w:lang w:val="es-ES"/>
        </w:rPr>
        <w:footnoteReference w:id="14"/>
      </w:r>
      <w:r w:rsidRPr="50259C15">
        <w:rPr>
          <w:rFonts w:ascii="Verdana" w:eastAsia="Calibri" w:hAnsi="Verdana" w:cs="Arial"/>
          <w:color w:val="000000" w:themeColor="text1"/>
          <w:lang w:val="es-ES"/>
        </w:rPr>
        <w:t>.</w:t>
      </w:r>
    </w:p>
    <w:p w14:paraId="74BF62B5" w14:textId="77777777" w:rsidR="00433276" w:rsidRDefault="00433276" w:rsidP="00433276">
      <w:pPr>
        <w:tabs>
          <w:tab w:val="left" w:pos="0"/>
        </w:tabs>
        <w:spacing w:after="120" w:line="276" w:lineRule="auto"/>
        <w:ind w:firstLine="709"/>
        <w:jc w:val="both"/>
        <w:rPr>
          <w:rFonts w:ascii="Verdana" w:eastAsia="Calibri" w:hAnsi="Verdana" w:cs="Arial"/>
          <w:bCs/>
          <w:color w:val="000000" w:themeColor="text1"/>
          <w:lang w:val="es-ES_tradnl"/>
        </w:rPr>
      </w:pPr>
      <w:r w:rsidRPr="00BF319B">
        <w:rPr>
          <w:rFonts w:ascii="Verdana" w:eastAsia="Calibri" w:hAnsi="Verdana" w:cs="Arial"/>
          <w:bCs/>
          <w:color w:val="000000" w:themeColor="text1"/>
          <w:lang w:val="es-ES_tradnl"/>
        </w:rPr>
        <w:t xml:space="preserve">En cuanto a la primera de ellas, cabe señalar que el trato nacional puede estar estipulado en un </w:t>
      </w:r>
      <w:r w:rsidRPr="00BF319B">
        <w:rPr>
          <w:rFonts w:ascii="Verdana" w:eastAsia="Calibri" w:hAnsi="Verdana" w:cs="Arial"/>
          <w:bCs/>
          <w:i/>
          <w:iCs/>
          <w:color w:val="000000" w:themeColor="text1"/>
          <w:lang w:val="es-ES_tradnl"/>
        </w:rPr>
        <w:t>tratado o acuerdo comercial</w:t>
      </w:r>
      <w:r w:rsidRPr="00BF319B">
        <w:rPr>
          <w:rFonts w:ascii="Verdana" w:eastAsia="Calibri" w:hAnsi="Verdana" w:cs="Arial"/>
          <w:bCs/>
          <w:color w:val="000000" w:themeColor="text1"/>
          <w:lang w:val="es-ES_tradnl"/>
        </w:rPr>
        <w:t xml:space="preserve"> suscrito entre Colombia y uno o varios Estados, adoptando como cláusula que a los oferentes, bienes o servicios extranjeros de dichos Estados se les considerará en nuestro país como nacionales, bajo las condiciones establecidas en la respectiva negociación</w:t>
      </w:r>
      <w:r w:rsidRPr="00BF319B">
        <w:rPr>
          <w:rStyle w:val="Refdenotaalpie"/>
          <w:rFonts w:ascii="Verdana" w:eastAsia="Calibri" w:hAnsi="Verdana" w:cs="Arial"/>
          <w:bCs/>
          <w:color w:val="000000" w:themeColor="text1"/>
          <w:lang w:val="es-ES_tradnl"/>
        </w:rPr>
        <w:footnoteReference w:id="15"/>
      </w:r>
      <w:r w:rsidRPr="00BF319B">
        <w:rPr>
          <w:rFonts w:ascii="Verdana" w:eastAsia="Calibri" w:hAnsi="Verdana" w:cs="Arial"/>
          <w:bCs/>
          <w:color w:val="000000" w:themeColor="text1"/>
          <w:lang w:val="es-ES_tradnl"/>
        </w:rPr>
        <w:t xml:space="preserve">. Así, el tratado correspondiente puede contener un acápite en el que se establezca </w:t>
      </w:r>
      <w:r w:rsidRPr="00BF319B">
        <w:rPr>
          <w:rFonts w:ascii="Verdana" w:eastAsia="Calibri" w:hAnsi="Verdana" w:cs="Arial"/>
          <w:bCs/>
          <w:color w:val="000000" w:themeColor="text1"/>
          <w:lang w:val="es-ES_tradnl"/>
        </w:rPr>
        <w:lastRenderedPageBreak/>
        <w:t xml:space="preserve">que determinados bienes o servicios cubiertos se beneficiarán por el trato nacional; lo que a veces también puede suceder con los proveedores. </w:t>
      </w:r>
    </w:p>
    <w:p w14:paraId="6D3AA93F" w14:textId="77777777" w:rsidR="00433276" w:rsidRPr="00BF319B" w:rsidRDefault="00433276" w:rsidP="00433276">
      <w:pPr>
        <w:tabs>
          <w:tab w:val="left" w:pos="0"/>
        </w:tabs>
        <w:spacing w:after="120" w:line="276" w:lineRule="auto"/>
        <w:ind w:firstLine="709"/>
        <w:jc w:val="both"/>
        <w:rPr>
          <w:rFonts w:ascii="Verdana" w:eastAsia="Calibri" w:hAnsi="Verdana" w:cs="Arial"/>
          <w:bCs/>
          <w:color w:val="000000" w:themeColor="text1"/>
          <w:lang w:val="es-ES_tradnl"/>
        </w:rPr>
      </w:pPr>
      <w:r w:rsidRPr="00BF319B">
        <w:rPr>
          <w:rFonts w:ascii="Verdana" w:eastAsia="Calibri" w:hAnsi="Verdana" w:cs="Arial"/>
          <w:bCs/>
          <w:color w:val="000000" w:themeColor="text1"/>
          <w:lang w:val="es-ES_tradnl"/>
        </w:rPr>
        <w:t>A título de ejemplo, la cláusula 11.2 del tratado de libre comercio suscrito entre Colombia y los países del Triángulo Norte de Centroamérica –El Salvador, Guatemala y Honduras–</w:t>
      </w:r>
      <w:r w:rsidRPr="00BF319B">
        <w:rPr>
          <w:rStyle w:val="Refdenotaalpie"/>
          <w:rFonts w:ascii="Verdana" w:eastAsia="Calibri" w:hAnsi="Verdana" w:cs="Arial"/>
          <w:bCs/>
          <w:color w:val="000000" w:themeColor="text1"/>
          <w:lang w:val="es-ES_tradnl"/>
        </w:rPr>
        <w:footnoteReference w:id="16"/>
      </w:r>
      <w:r w:rsidRPr="00BF319B">
        <w:rPr>
          <w:rFonts w:ascii="Verdana" w:eastAsia="Calibri" w:hAnsi="Verdana" w:cs="Arial"/>
          <w:bCs/>
          <w:color w:val="000000" w:themeColor="text1"/>
          <w:lang w:val="es-ES_tradnl"/>
        </w:rPr>
        <w:t xml:space="preserve"> establece que, con respecto a la cobertura negociada en dicho acuerdo, “cada Parte concederá a las mercancías, servicios, incluidos los servicios de construcción, y proveedores de la otra Parte, un trato no menos favorable que el que conceda a sus propias mercancías, servicios y proveedores”. Asimismo, el artículo 9.2 del tratado de libre comercio celebrado entre Colombia y los Estados Unidos de Norteamérica</w:t>
      </w:r>
      <w:r w:rsidRPr="00BF319B">
        <w:rPr>
          <w:rStyle w:val="Refdenotaalpie"/>
          <w:rFonts w:ascii="Verdana" w:eastAsia="Calibri" w:hAnsi="Verdana" w:cs="Arial"/>
          <w:bCs/>
          <w:color w:val="000000" w:themeColor="text1"/>
          <w:lang w:val="es-ES_tradnl"/>
        </w:rPr>
        <w:footnoteReference w:id="17"/>
      </w:r>
      <w:r w:rsidRPr="00BF319B">
        <w:rPr>
          <w:rFonts w:ascii="Verdana" w:eastAsia="Calibri" w:hAnsi="Verdana" w:cs="Arial"/>
          <w:bCs/>
          <w:color w:val="000000" w:themeColor="text1"/>
          <w:lang w:val="es-ES_tradnl"/>
        </w:rPr>
        <w:t>, prevé que “Con respecto a cualquier medida cubierta por este Capítulo, cada Parte otorgará incondicionalmente a las mercancías y servicios de la otra Parte y a los proveedores de tales mercancías y servicios, un trato no menos favorable que el trato más favorable otorgado por dicha Parte a sus propias mercancías, servicios y proveedores”.</w:t>
      </w:r>
    </w:p>
    <w:p w14:paraId="7E7BBA83" w14:textId="77777777" w:rsidR="00433276" w:rsidRPr="00BF319B" w:rsidRDefault="00433276" w:rsidP="00433276">
      <w:pPr>
        <w:spacing w:after="120" w:line="276" w:lineRule="auto"/>
        <w:ind w:firstLine="709"/>
        <w:jc w:val="both"/>
        <w:rPr>
          <w:rFonts w:ascii="Verdana" w:eastAsia="Calibri" w:hAnsi="Verdana" w:cs="Arial"/>
          <w:color w:val="000000" w:themeColor="text1"/>
          <w:lang w:val="es-ES"/>
        </w:rPr>
      </w:pPr>
      <w:r w:rsidRPr="50259C15">
        <w:rPr>
          <w:rFonts w:ascii="Verdana" w:eastAsia="Calibri" w:hAnsi="Verdana" w:cs="Arial"/>
          <w:color w:val="000000" w:themeColor="text1"/>
          <w:lang w:val="es-ES"/>
        </w:rPr>
        <w:t xml:space="preserve">En consecuencia, para que pueda aplicarse el trato nacional en virtud del pacto contenido en un tratado o acuerdo comercial, la contratación debe versar sobre los bienes, servicios o proveedores </w:t>
      </w:r>
      <w:r w:rsidRPr="50259C15">
        <w:rPr>
          <w:rFonts w:ascii="Verdana" w:eastAsia="Calibri" w:hAnsi="Verdana" w:cs="Arial"/>
          <w:i/>
          <w:iCs/>
          <w:color w:val="000000" w:themeColor="text1"/>
          <w:lang w:val="es-ES"/>
        </w:rPr>
        <w:t>cubiertos</w:t>
      </w:r>
      <w:r w:rsidRPr="50259C15">
        <w:rPr>
          <w:rFonts w:ascii="Verdana" w:eastAsia="Calibri" w:hAnsi="Verdana" w:cs="Arial"/>
          <w:color w:val="000000" w:themeColor="text1"/>
          <w:lang w:val="es-ES"/>
        </w:rPr>
        <w:t xml:space="preserve"> por dicho tratado, pues la autonomía de la voluntad de los Estados, que es expresión de su soberanía, les permite negociar en el acuerdo comercial un alcance o cobertura </w:t>
      </w:r>
      <w:proofErr w:type="gramStart"/>
      <w:r w:rsidRPr="50259C15">
        <w:rPr>
          <w:rFonts w:ascii="Verdana" w:eastAsia="Calibri" w:hAnsi="Verdana" w:cs="Arial"/>
          <w:color w:val="000000" w:themeColor="text1"/>
          <w:lang w:val="es-ES"/>
        </w:rPr>
        <w:t>del mismo</w:t>
      </w:r>
      <w:proofErr w:type="gramEnd"/>
      <w:r w:rsidRPr="50259C15">
        <w:rPr>
          <w:rFonts w:ascii="Verdana" w:eastAsia="Calibri" w:hAnsi="Verdana" w:cs="Arial"/>
          <w:color w:val="000000" w:themeColor="text1"/>
          <w:lang w:val="es-ES"/>
        </w:rPr>
        <w:t xml:space="preserve">, según razones de oportunidad o conveniencia. Es por esto </w:t>
      </w:r>
      <w:proofErr w:type="gramStart"/>
      <w:r w:rsidRPr="50259C15">
        <w:rPr>
          <w:rFonts w:ascii="Verdana" w:eastAsia="Calibri" w:hAnsi="Verdana" w:cs="Arial"/>
          <w:color w:val="000000" w:themeColor="text1"/>
          <w:lang w:val="es-ES"/>
        </w:rPr>
        <w:t>que</w:t>
      </w:r>
      <w:proofErr w:type="gramEnd"/>
      <w:r w:rsidRPr="50259C15">
        <w:rPr>
          <w:rFonts w:ascii="Verdana" w:eastAsia="Calibri" w:hAnsi="Verdana" w:cs="Arial"/>
          <w:color w:val="000000" w:themeColor="text1"/>
          <w:lang w:val="es-ES"/>
        </w:rPr>
        <w:t xml:space="preserve"> los tratados establecen las entidades cubiertas, así como los umbrales, es decir, los valores o montos que, al igualarse o superarse en un procedimiento de contratación, hacen que este quede amparado por el tratado. De igual manera, este también puede contener exclusiones explícitas a su cobertura</w:t>
      </w:r>
      <w:r w:rsidRPr="50259C15">
        <w:rPr>
          <w:rStyle w:val="Refdenotaalpie"/>
          <w:rFonts w:ascii="Verdana" w:eastAsia="Calibri" w:hAnsi="Verdana" w:cs="Arial"/>
          <w:color w:val="000000" w:themeColor="text1"/>
          <w:lang w:val="es-ES"/>
        </w:rPr>
        <w:footnoteReference w:id="18"/>
      </w:r>
      <w:r w:rsidRPr="50259C15">
        <w:rPr>
          <w:rFonts w:ascii="Verdana" w:eastAsia="Calibri" w:hAnsi="Verdana" w:cs="Arial"/>
          <w:color w:val="000000" w:themeColor="text1"/>
          <w:lang w:val="es-ES"/>
        </w:rPr>
        <w:t>.</w:t>
      </w:r>
    </w:p>
    <w:p w14:paraId="6BAF31B1" w14:textId="77777777" w:rsidR="00433276" w:rsidRDefault="00433276" w:rsidP="00433276">
      <w:pPr>
        <w:tabs>
          <w:tab w:val="left" w:pos="0"/>
        </w:tabs>
        <w:spacing w:after="120" w:line="276" w:lineRule="auto"/>
        <w:ind w:firstLine="709"/>
        <w:jc w:val="both"/>
        <w:rPr>
          <w:rFonts w:ascii="Verdana" w:eastAsia="Calibri" w:hAnsi="Verdana" w:cs="Arial"/>
          <w:bCs/>
          <w:color w:val="000000" w:themeColor="text1"/>
          <w:lang w:val="es-ES_tradnl"/>
        </w:rPr>
      </w:pPr>
      <w:r w:rsidRPr="00BF319B">
        <w:rPr>
          <w:rFonts w:ascii="Verdana" w:eastAsia="Calibri" w:hAnsi="Verdana" w:cs="Arial"/>
          <w:bCs/>
          <w:color w:val="000000" w:themeColor="text1"/>
          <w:lang w:val="es-ES_tradnl"/>
        </w:rPr>
        <w:t xml:space="preserve">En relación con la segunda fuente del trato nacional, esto es, el </w:t>
      </w:r>
      <w:r w:rsidRPr="00BF319B">
        <w:rPr>
          <w:rFonts w:ascii="Verdana" w:eastAsia="Calibri" w:hAnsi="Verdana" w:cs="Arial"/>
          <w:bCs/>
          <w:i/>
          <w:iCs/>
          <w:color w:val="000000" w:themeColor="text1"/>
          <w:lang w:val="es-ES_tradnl"/>
        </w:rPr>
        <w:t>certificado de reciprocidad</w:t>
      </w:r>
      <w:r w:rsidRPr="00BF319B">
        <w:rPr>
          <w:rFonts w:ascii="Verdana" w:eastAsia="Calibri" w:hAnsi="Verdana" w:cs="Arial"/>
          <w:bCs/>
          <w:color w:val="000000" w:themeColor="text1"/>
          <w:lang w:val="es-ES_tradnl"/>
        </w:rPr>
        <w:t xml:space="preserve">, el artículo 20 de la Ley 80 de 1993 establece que cuando “[…] no se hubiere celebrado acuerdo, tratado o convenio, los proponentes de bienes y servicios de origen extranjero podrán participar en los procesos de </w:t>
      </w:r>
      <w:r w:rsidRPr="00BF319B">
        <w:rPr>
          <w:rFonts w:ascii="Verdana" w:eastAsia="Calibri" w:hAnsi="Verdana" w:cs="Arial"/>
          <w:bCs/>
          <w:color w:val="000000" w:themeColor="text1"/>
          <w:lang w:val="es-ES_tradnl"/>
        </w:rPr>
        <w:lastRenderedPageBreak/>
        <w:t xml:space="preserve">contratación en las mismas condiciones y con los mismos requisitos exigidos a los nacionales colombianos, siempre y cuando en sus respectivos países los proponentes de bienes y servicios de origen colombiano gocen de iguales oportunidades”. </w:t>
      </w:r>
    </w:p>
    <w:p w14:paraId="3B12481D" w14:textId="77777777" w:rsidR="00433276" w:rsidRPr="00BF319B" w:rsidRDefault="00433276" w:rsidP="00433276">
      <w:pPr>
        <w:tabs>
          <w:tab w:val="left" w:pos="0"/>
        </w:tabs>
        <w:spacing w:after="120" w:line="276" w:lineRule="auto"/>
        <w:ind w:firstLine="709"/>
        <w:jc w:val="both"/>
        <w:rPr>
          <w:rFonts w:ascii="Verdana" w:eastAsia="Calibri" w:hAnsi="Verdana" w:cs="Arial"/>
          <w:bCs/>
          <w:color w:val="000000" w:themeColor="text1"/>
          <w:lang w:val="es-ES_tradnl"/>
        </w:rPr>
      </w:pPr>
      <w:r w:rsidRPr="00BF319B">
        <w:rPr>
          <w:rFonts w:ascii="Verdana" w:eastAsia="Calibri" w:hAnsi="Verdana" w:cs="Arial"/>
          <w:bCs/>
          <w:color w:val="000000" w:themeColor="text1"/>
          <w:lang w:val="es-ES_tradnl"/>
        </w:rPr>
        <w:t>Esto significa que la ausencia de tratado o acuerdo comercial no inhabilita por ese solo hecho al oferente extranjero para participar en el procedimiento de selección abierto por una entidad estatal colombiana, ni le impide ser tratado como nacional de nuestro país, pero, si pretende gozar de este último beneficio, debe contar con un certificado de reciprocidad. Este certificado es un documento que, según el artículo 2.2.1.2.4.1.3 del Decreto 1082 de 2015, debe expedir el Ministerio de Relaciones Exteriores frente “[…] a los bienes y servicios provenientes de Estados con los cuales no exista un Acuerdo Comercial pero respecto de los cuales el Gobierno Nacional haya certificado que los oferentes de Bienes y Servicios Nacionales gozan de trato nacional, con base en la revisión y comparación de la normativa en materia de compras y contratación pública de dicho Estado”. Tal certificado solo puede expedirse, entonces, cuando no exista tratado o acuerdo comercial suscrito con el Estado del que provenga el oferente, bien o servicio</w:t>
      </w:r>
      <w:r w:rsidRPr="00BF319B">
        <w:rPr>
          <w:rStyle w:val="Refdenotaalpie"/>
          <w:rFonts w:ascii="Verdana" w:eastAsia="Calibri" w:hAnsi="Verdana" w:cs="Arial"/>
          <w:bCs/>
          <w:color w:val="000000" w:themeColor="text1"/>
          <w:lang w:val="es-ES_tradnl"/>
        </w:rPr>
        <w:footnoteReference w:id="19"/>
      </w:r>
      <w:r w:rsidRPr="00BF319B">
        <w:rPr>
          <w:rFonts w:ascii="Verdana" w:eastAsia="Calibri" w:hAnsi="Verdana" w:cs="Arial"/>
          <w:bCs/>
          <w:color w:val="000000" w:themeColor="text1"/>
          <w:lang w:val="es-ES_tradnl"/>
        </w:rPr>
        <w:t>.</w:t>
      </w:r>
    </w:p>
    <w:p w14:paraId="47656144" w14:textId="77777777" w:rsidR="00433276" w:rsidRPr="00BF319B" w:rsidRDefault="00433276" w:rsidP="00433276">
      <w:pPr>
        <w:tabs>
          <w:tab w:val="left" w:pos="0"/>
        </w:tabs>
        <w:spacing w:after="120" w:line="276" w:lineRule="auto"/>
        <w:ind w:firstLine="709"/>
        <w:jc w:val="both"/>
        <w:rPr>
          <w:rFonts w:ascii="Verdana" w:eastAsia="Calibri" w:hAnsi="Verdana" w:cs="Arial"/>
          <w:bCs/>
          <w:color w:val="000000" w:themeColor="text1"/>
          <w:lang w:val="es-ES_tradnl"/>
        </w:rPr>
      </w:pPr>
      <w:r w:rsidRPr="00BF319B">
        <w:rPr>
          <w:rFonts w:ascii="Verdana" w:eastAsia="Calibri" w:hAnsi="Verdana" w:cs="Arial"/>
          <w:bCs/>
          <w:color w:val="000000" w:themeColor="text1"/>
          <w:lang w:val="es-ES_tradnl"/>
        </w:rPr>
        <w:t>La tercera fuente del deber de trato nacional es el conjunto de las disposiciones de la Comunidad Andina que consagran este principio</w:t>
      </w:r>
      <w:r w:rsidRPr="00BF319B">
        <w:rPr>
          <w:rStyle w:val="Refdenotaalpie"/>
          <w:rFonts w:ascii="Verdana" w:eastAsia="Calibri" w:hAnsi="Verdana" w:cs="Arial"/>
          <w:bCs/>
          <w:color w:val="000000" w:themeColor="text1"/>
          <w:lang w:val="es-ES_tradnl"/>
        </w:rPr>
        <w:footnoteReference w:id="20"/>
      </w:r>
      <w:r w:rsidRPr="00BF319B">
        <w:rPr>
          <w:rFonts w:ascii="Verdana" w:eastAsia="Calibri" w:hAnsi="Verdana" w:cs="Arial"/>
          <w:bCs/>
          <w:color w:val="000000" w:themeColor="text1"/>
          <w:lang w:val="es-ES_tradnl"/>
        </w:rPr>
        <w:t xml:space="preserve">. Así lo reconoce el literal c) del mencionado artículo del Decreto 1082 de 2015, al establecer que las entidades estatales también deben conceder trato nacional “[…] a los servicios prestados por oferentes miembros de la Comunidad Andina de Naciones teniendo en cuenta la regulación andina aplicable a la materia”. Así, </w:t>
      </w:r>
      <w:r w:rsidRPr="00BF319B">
        <w:rPr>
          <w:rFonts w:ascii="Verdana" w:eastAsia="Calibri" w:hAnsi="Verdana" w:cs="Arial"/>
          <w:bCs/>
          <w:color w:val="000000" w:themeColor="text1"/>
          <w:lang w:val="es-ES_tradnl"/>
        </w:rPr>
        <w:lastRenderedPageBreak/>
        <w:t>por ejemplo, el artículo 4 de la Decisión 439 de la Comisión de la Comunidad Andina, dispuso que “La adquisición de servicios por parte de organismos gubernamentales o de entidades públicas de los Países Miembros estará sujeta al principio de trato nacional entre los Países Miembros, mediante Decisión que será adoptada a más tardar el 1º de enero del año 2002. En caso de no adoptarse dicha Decisión en el plazo señalado, los Países Miembros otorgarán trato nacional en forma inmediata”.</w:t>
      </w:r>
    </w:p>
    <w:p w14:paraId="17515AA7" w14:textId="77777777" w:rsidR="00433276" w:rsidRPr="00BF319B" w:rsidRDefault="00433276" w:rsidP="00433276">
      <w:pPr>
        <w:tabs>
          <w:tab w:val="left" w:pos="0"/>
        </w:tabs>
        <w:spacing w:after="120" w:line="276" w:lineRule="auto"/>
        <w:ind w:firstLine="709"/>
        <w:jc w:val="both"/>
        <w:rPr>
          <w:rFonts w:ascii="Verdana" w:eastAsia="Calibri" w:hAnsi="Verdana" w:cs="Arial"/>
          <w:bCs/>
          <w:color w:val="000000" w:themeColor="text1"/>
          <w:lang w:val="es-ES_tradnl"/>
        </w:rPr>
      </w:pPr>
      <w:r w:rsidRPr="00BF319B">
        <w:rPr>
          <w:rFonts w:ascii="Verdana" w:eastAsia="Calibri" w:hAnsi="Verdana" w:cs="Arial"/>
          <w:bCs/>
          <w:color w:val="000000" w:themeColor="text1"/>
          <w:lang w:val="es-ES_tradnl"/>
        </w:rPr>
        <w:t>Actualmente el artículo 20 de la Ley 80 de 1993, así como los artículos 2.2.1.2.4.1.1 y 2.2.1.2.4.1.2 del Decreto 1082 de 2015, consagran la prevalencia de los compromisos contenidos en los tratados o acuerdos comerciales suscritos por Colombia con otros Estados, sobre lo que establezca el derecho interno, el cual no puede ser contrario a los tratados. Esto se deduce de los artículos 26 y 27 de la Convención de Viena sobre el derecho de los tratados</w:t>
      </w:r>
      <w:r w:rsidRPr="00BF319B">
        <w:rPr>
          <w:rStyle w:val="Refdenotaalpie"/>
          <w:rFonts w:ascii="Verdana" w:eastAsia="Calibri" w:hAnsi="Verdana" w:cs="Arial"/>
          <w:bCs/>
          <w:color w:val="000000" w:themeColor="text1"/>
          <w:lang w:val="es-ES_tradnl"/>
        </w:rPr>
        <w:footnoteReference w:id="21"/>
      </w:r>
      <w:r w:rsidRPr="00BF319B">
        <w:rPr>
          <w:rFonts w:ascii="Verdana" w:eastAsia="Calibri" w:hAnsi="Verdana" w:cs="Arial"/>
          <w:bCs/>
          <w:color w:val="000000" w:themeColor="text1"/>
          <w:lang w:val="es-ES_tradnl"/>
        </w:rPr>
        <w:t xml:space="preserve">. </w:t>
      </w:r>
    </w:p>
    <w:p w14:paraId="270F7031" w14:textId="77777777" w:rsidR="00433276" w:rsidRDefault="00433276" w:rsidP="00433276">
      <w:pPr>
        <w:spacing w:after="0" w:line="276" w:lineRule="auto"/>
        <w:ind w:firstLine="708"/>
        <w:jc w:val="both"/>
        <w:rPr>
          <w:rFonts w:ascii="Verdana" w:eastAsia="Calibri" w:hAnsi="Verdana" w:cs="Arial"/>
          <w:color w:val="000000" w:themeColor="text1"/>
          <w:lang w:val="es-ES"/>
        </w:rPr>
      </w:pPr>
      <w:bookmarkStart w:id="5" w:name="_Hlk101515095"/>
      <w:r w:rsidRPr="60281D4A">
        <w:rPr>
          <w:rFonts w:ascii="Verdana" w:eastAsia="Calibri" w:hAnsi="Verdana" w:cs="Arial"/>
          <w:color w:val="000000" w:themeColor="text1"/>
          <w:lang w:val="es-ES"/>
        </w:rPr>
        <w:t>Una vez analizadas las tres (3) fuentes del trato nacional en la contratación pública, el efecto de dicho beneficio es la asignación del puntaje previsto en la Ley 816 de 2003. El artículo 1 dispone que las entidades estatales, en los procedimientos de selección que realicen e independientemente del régimen contractual que les sea aplicable, deben adoptar criterios que apoyen la industria nacional</w:t>
      </w:r>
      <w:bookmarkEnd w:id="5"/>
      <w:r w:rsidRPr="60281D4A">
        <w:rPr>
          <w:rFonts w:ascii="Verdana" w:eastAsia="Calibri" w:hAnsi="Verdana" w:cs="Arial"/>
          <w:color w:val="000000" w:themeColor="text1"/>
          <w:lang w:val="es-ES"/>
        </w:rPr>
        <w:t xml:space="preserve">. En consonancia con lo anterior, el parágrafo </w:t>
      </w:r>
      <w:r w:rsidRPr="60281D4A">
        <w:rPr>
          <w:rFonts w:ascii="Verdana" w:eastAsia="Calibri" w:hAnsi="Verdana" w:cs="Arial"/>
          <w:i/>
          <w:color w:val="000000" w:themeColor="text1"/>
          <w:lang w:val="es-ES"/>
        </w:rPr>
        <w:t>ibidem</w:t>
      </w:r>
      <w:r w:rsidRPr="60281D4A">
        <w:rPr>
          <w:rFonts w:ascii="Verdana" w:eastAsia="Calibri" w:hAnsi="Verdana" w:cs="Arial"/>
          <w:color w:val="000000" w:themeColor="text1"/>
          <w:lang w:val="es-ES"/>
        </w:rPr>
        <w:t xml:space="preserve"> dispone lo siguiente: “Se otorgará tratamiento de bienes y servicios nacionales a aquellos bienes y servicios originarios de los países con los que Colombia ha negociado trato nacional en materia de compras estatales y de aquellos países en los cuales a las ofertas de bienes y servicios colombianos se les conceda el mismo tratamiento otorgado a sus bienes y servicios nacionales. La acreditación o demostración de tal circunstancia se hará en los términos que señale el reglamento”. Por tanto, si los extranjeros pueden acceder a este puntaje, es precisamente porque –al igual que los nacionales– están facultados para participar en los procedimientos de selección.</w:t>
      </w:r>
    </w:p>
    <w:p w14:paraId="164FD222" w14:textId="77777777" w:rsidR="00433276" w:rsidRDefault="00433276" w:rsidP="00433276">
      <w:pPr>
        <w:spacing w:after="0" w:line="276" w:lineRule="auto"/>
        <w:ind w:firstLine="708"/>
        <w:jc w:val="both"/>
        <w:rPr>
          <w:rFonts w:ascii="Verdana" w:eastAsia="Calibri" w:hAnsi="Verdana" w:cs="Arial"/>
          <w:bCs/>
          <w:color w:val="000000" w:themeColor="text1"/>
          <w:lang w:val="es-ES_tradnl"/>
        </w:rPr>
      </w:pPr>
    </w:p>
    <w:p w14:paraId="0F3D1D06" w14:textId="77777777" w:rsidR="00433276" w:rsidRPr="00BF319B" w:rsidRDefault="00433276" w:rsidP="00433276">
      <w:pPr>
        <w:spacing w:after="120" w:line="276" w:lineRule="auto"/>
        <w:jc w:val="both"/>
        <w:rPr>
          <w:rFonts w:ascii="Verdana" w:hAnsi="Verdana" w:cs="Arial"/>
        </w:rPr>
      </w:pPr>
      <w:proofErr w:type="spellStart"/>
      <w:r>
        <w:rPr>
          <w:rFonts w:ascii="Verdana" w:hAnsi="Verdana" w:cs="Arial"/>
          <w:color w:val="000000" w:themeColor="text1"/>
        </w:rPr>
        <w:t>iv</w:t>
      </w:r>
      <w:proofErr w:type="spellEnd"/>
      <w:r>
        <w:rPr>
          <w:rFonts w:ascii="Verdana" w:hAnsi="Verdana" w:cs="Arial"/>
          <w:color w:val="000000" w:themeColor="text1"/>
        </w:rPr>
        <w:t xml:space="preserve">. Aunque los integrantes de un proponente plural puede beneficiarse o no del trato nacional conforme a la explicación anterior, </w:t>
      </w:r>
      <w:r w:rsidRPr="00BF319B">
        <w:rPr>
          <w:rFonts w:ascii="Verdana" w:hAnsi="Verdana" w:cs="Arial"/>
          <w:color w:val="000000" w:themeColor="text1"/>
        </w:rPr>
        <w:t xml:space="preserve">el artículo 469 del Código de </w:t>
      </w:r>
      <w:r w:rsidRPr="00BF319B">
        <w:rPr>
          <w:rFonts w:ascii="Verdana" w:hAnsi="Verdana" w:cs="Arial"/>
          <w:color w:val="000000" w:themeColor="text1"/>
        </w:rPr>
        <w:lastRenderedPageBreak/>
        <w:t xml:space="preserve">Comercio define </w:t>
      </w:r>
      <w:r>
        <w:rPr>
          <w:rFonts w:ascii="Verdana" w:hAnsi="Verdana" w:cs="Arial"/>
          <w:color w:val="000000" w:themeColor="text1"/>
        </w:rPr>
        <w:t>l</w:t>
      </w:r>
      <w:r w:rsidRPr="00BF319B">
        <w:rPr>
          <w:rFonts w:ascii="Verdana" w:hAnsi="Verdana" w:cs="Arial"/>
          <w:color w:val="000000" w:themeColor="text1"/>
        </w:rPr>
        <w:t>a sociedad extrajera como “aquella constituida conforme a la ley de otro país y con domicilio principal en el exterior”. A su vez, el artículo 471 del Código de Comercio dispone que “Para que una sociedad extranjera pueda emprender negocios permanentes en Colombia, establecerá una sucursal con domicilio en el territorio nacional […]”, cumpliendo con los siguientes requisitos: i</w:t>
      </w:r>
      <w:r w:rsidRPr="00BF319B">
        <w:rPr>
          <w:rFonts w:ascii="Verdana" w:hAnsi="Verdana" w:cs="Arial"/>
        </w:rPr>
        <w:t>) p</w:t>
      </w:r>
      <w:r w:rsidRPr="00BF319B">
        <w:rPr>
          <w:rFonts w:ascii="Verdana" w:hAnsi="Verdana" w:cs="Arial"/>
          <w:color w:val="000000"/>
        </w:rPr>
        <w:t xml:space="preserve">rotocolizar en una notaría del lugar elegido para su domicilio en el país copias auténticas del documento de su fundación, de sus estatutos, la resolución o el acto que acordó su establecimiento en Colombia y de los que acrediten que existe la sociedad y la personería de sus representantes y; </w:t>
      </w:r>
      <w:proofErr w:type="spellStart"/>
      <w:r w:rsidRPr="00BF319B">
        <w:rPr>
          <w:rFonts w:ascii="Verdana" w:hAnsi="Verdana" w:cs="Arial"/>
          <w:color w:val="000000"/>
        </w:rPr>
        <w:t>ii</w:t>
      </w:r>
      <w:proofErr w:type="spellEnd"/>
      <w:r w:rsidRPr="00BF319B">
        <w:rPr>
          <w:rFonts w:ascii="Verdana" w:hAnsi="Verdana" w:cs="Arial"/>
          <w:color w:val="000000"/>
        </w:rPr>
        <w:t xml:space="preserve">) obtener permiso para funcionar en el país de parte de la Superintendencia de Sociedades o de la Superintendencia Bancaria, según el caso. </w:t>
      </w:r>
    </w:p>
    <w:p w14:paraId="368F2B46" w14:textId="77777777" w:rsidR="00433276" w:rsidRPr="00BF319B" w:rsidRDefault="00433276" w:rsidP="00433276">
      <w:pPr>
        <w:spacing w:after="0" w:line="276" w:lineRule="auto"/>
        <w:ind w:right="51" w:firstLine="709"/>
        <w:jc w:val="both"/>
        <w:rPr>
          <w:rFonts w:ascii="Verdana" w:hAnsi="Verdana" w:cs="Arial"/>
          <w:color w:val="000000" w:themeColor="text1"/>
          <w:lang w:val="es-MX"/>
        </w:rPr>
      </w:pPr>
      <w:r w:rsidRPr="00BF319B">
        <w:rPr>
          <w:rFonts w:ascii="Verdana" w:hAnsi="Verdana" w:cs="Arial"/>
          <w:color w:val="000000" w:themeColor="text1"/>
        </w:rPr>
        <w:t xml:space="preserve">Adicionalmente, para las sociedades extranjeras que pretendan realizar actividades permanentes en el territorio nacional, el artículo 482 del Código de Comercio dispone que “Quienes actúen a nombre y representación de personas extranjeras sin dar cumplimiento a las normas del presente Título, responderán solidariamente con dichas personas de las obligaciones que contraigan en Colombia”. De esta manera, el artículo 483 </w:t>
      </w:r>
      <w:r w:rsidRPr="00BF319B">
        <w:rPr>
          <w:rFonts w:ascii="Verdana" w:hAnsi="Verdana" w:cs="Arial"/>
          <w:i/>
          <w:iCs/>
          <w:color w:val="000000" w:themeColor="text1"/>
        </w:rPr>
        <w:t>ibidem</w:t>
      </w:r>
      <w:r w:rsidRPr="00BF319B">
        <w:rPr>
          <w:rFonts w:ascii="Verdana" w:hAnsi="Verdana" w:cs="Arial"/>
          <w:color w:val="000000" w:themeColor="text1"/>
          <w:lang w:val="es-MX"/>
        </w:rPr>
        <w:t xml:space="preserve"> también dispone que “</w:t>
      </w:r>
      <w:r w:rsidRPr="00BF319B">
        <w:rPr>
          <w:rFonts w:ascii="Verdana" w:hAnsi="Verdana" w:cs="Arial"/>
          <w:color w:val="000000" w:themeColor="text1"/>
        </w:rPr>
        <w:t>El Superintendente de Sociedades o el Bancario, según el caso, podrá sancionar con multas sucesivas hasta de cincuenta mil pesos a las personas extranjeras que inicien o desarrollen actividades sin dar cumplimiento a las normas del presente Título, así como a sus representantes, gerentes, apoderados, directores o gestores. El respectivo superintendente tendrá, respecto de las sucursales, las atribuciones que le confieren las leyes en relación con la vigilancia de las sociedades nacionales”.</w:t>
      </w:r>
      <w:r w:rsidRPr="00BF319B">
        <w:rPr>
          <w:rFonts w:ascii="Verdana" w:hAnsi="Verdana" w:cs="Arial"/>
          <w:color w:val="000000" w:themeColor="text1"/>
          <w:lang w:val="es-MX"/>
        </w:rPr>
        <w:t xml:space="preserve"> Por su parte, el artículo 474 del Código de Comercio entiende por actividades permanentes para efectos del artículo 471: </w:t>
      </w:r>
    </w:p>
    <w:p w14:paraId="2D7BE9D5" w14:textId="77777777" w:rsidR="00433276" w:rsidRPr="00BF319B" w:rsidRDefault="00433276" w:rsidP="00433276">
      <w:pPr>
        <w:spacing w:after="0" w:line="276" w:lineRule="auto"/>
        <w:ind w:right="49"/>
        <w:jc w:val="both"/>
        <w:rPr>
          <w:rFonts w:ascii="Verdana" w:hAnsi="Verdana" w:cs="Arial"/>
          <w:color w:val="000000" w:themeColor="text1"/>
        </w:rPr>
      </w:pPr>
    </w:p>
    <w:p w14:paraId="05C65C36" w14:textId="77777777" w:rsidR="00433276" w:rsidRPr="005400E2" w:rsidRDefault="00433276" w:rsidP="00433276">
      <w:pPr>
        <w:spacing w:after="120" w:line="240" w:lineRule="auto"/>
        <w:ind w:left="709" w:right="709"/>
        <w:jc w:val="both"/>
        <w:rPr>
          <w:rFonts w:ascii="Verdana" w:hAnsi="Verdana" w:cs="Arial"/>
          <w:color w:val="000000" w:themeColor="text1"/>
          <w:sz w:val="20"/>
          <w:szCs w:val="20"/>
          <w:lang w:val="es-MX"/>
        </w:rPr>
      </w:pPr>
      <w:r w:rsidRPr="005400E2">
        <w:rPr>
          <w:rFonts w:ascii="Verdana" w:hAnsi="Verdana" w:cs="Arial"/>
          <w:color w:val="000000" w:themeColor="text1"/>
          <w:sz w:val="20"/>
          <w:szCs w:val="20"/>
        </w:rPr>
        <w:t>“1) Abrir dentro del territorio de la República establecimientos mercantiles u oficinas de negocios aunque éstas solamente tengan un carácter técnico o de asesoría;</w:t>
      </w:r>
    </w:p>
    <w:p w14:paraId="25CC3034" w14:textId="77777777" w:rsidR="00433276" w:rsidRPr="005400E2" w:rsidRDefault="00433276" w:rsidP="00433276">
      <w:pPr>
        <w:spacing w:after="120" w:line="240" w:lineRule="auto"/>
        <w:ind w:left="709" w:right="709"/>
        <w:jc w:val="both"/>
        <w:rPr>
          <w:rFonts w:ascii="Verdana" w:hAnsi="Verdana" w:cs="Arial"/>
          <w:color w:val="000000" w:themeColor="text1"/>
          <w:sz w:val="20"/>
          <w:szCs w:val="20"/>
        </w:rPr>
      </w:pPr>
      <w:r w:rsidRPr="005400E2">
        <w:rPr>
          <w:rFonts w:ascii="Verdana" w:hAnsi="Verdana" w:cs="Arial"/>
          <w:color w:val="000000" w:themeColor="text1"/>
          <w:sz w:val="20"/>
          <w:szCs w:val="20"/>
        </w:rPr>
        <w:t>2) Intervenir como contratista en la ejecución de obras o en la prestación de servicios;</w:t>
      </w:r>
    </w:p>
    <w:p w14:paraId="2561F14A" w14:textId="77777777" w:rsidR="00433276" w:rsidRPr="005400E2" w:rsidRDefault="00433276" w:rsidP="00433276">
      <w:pPr>
        <w:spacing w:after="120" w:line="240" w:lineRule="auto"/>
        <w:ind w:left="709" w:right="709"/>
        <w:jc w:val="both"/>
        <w:rPr>
          <w:rFonts w:ascii="Verdana" w:hAnsi="Verdana" w:cs="Arial"/>
          <w:color w:val="000000" w:themeColor="text1"/>
          <w:sz w:val="20"/>
          <w:szCs w:val="20"/>
        </w:rPr>
      </w:pPr>
      <w:r w:rsidRPr="005400E2">
        <w:rPr>
          <w:rFonts w:ascii="Verdana" w:hAnsi="Verdana" w:cs="Arial"/>
          <w:color w:val="000000" w:themeColor="text1"/>
          <w:sz w:val="20"/>
          <w:szCs w:val="20"/>
        </w:rPr>
        <w:t>3) Participar en cualquier forma en actividades que tengan por objeto el manejo, aprovechamiento o inversión de fondos provenientes del ahorro privado;</w:t>
      </w:r>
    </w:p>
    <w:p w14:paraId="397278C7" w14:textId="77777777" w:rsidR="00433276" w:rsidRPr="005400E2" w:rsidRDefault="00433276" w:rsidP="00433276">
      <w:pPr>
        <w:spacing w:after="120" w:line="240" w:lineRule="auto"/>
        <w:ind w:left="709" w:right="709"/>
        <w:jc w:val="both"/>
        <w:rPr>
          <w:rFonts w:ascii="Verdana" w:hAnsi="Verdana" w:cs="Arial"/>
          <w:color w:val="000000" w:themeColor="text1"/>
          <w:sz w:val="20"/>
          <w:szCs w:val="20"/>
        </w:rPr>
      </w:pPr>
      <w:r w:rsidRPr="005400E2">
        <w:rPr>
          <w:rFonts w:ascii="Verdana" w:hAnsi="Verdana" w:cs="Arial"/>
          <w:color w:val="000000" w:themeColor="text1"/>
          <w:sz w:val="20"/>
          <w:szCs w:val="20"/>
        </w:rPr>
        <w:t>4) Dedicarse a la industria extractiva en cualquiera de sus ramas o servicios;</w:t>
      </w:r>
    </w:p>
    <w:p w14:paraId="77903C69" w14:textId="77777777" w:rsidR="00433276" w:rsidRPr="005400E2" w:rsidRDefault="00433276" w:rsidP="00433276">
      <w:pPr>
        <w:spacing w:after="120" w:line="240" w:lineRule="auto"/>
        <w:ind w:left="709" w:right="709"/>
        <w:jc w:val="both"/>
        <w:rPr>
          <w:rFonts w:ascii="Verdana" w:hAnsi="Verdana" w:cs="Arial"/>
          <w:color w:val="000000" w:themeColor="text1"/>
          <w:sz w:val="20"/>
          <w:szCs w:val="20"/>
        </w:rPr>
      </w:pPr>
      <w:r w:rsidRPr="005400E2">
        <w:rPr>
          <w:rFonts w:ascii="Verdana" w:hAnsi="Verdana" w:cs="Arial"/>
          <w:color w:val="000000" w:themeColor="text1"/>
          <w:sz w:val="20"/>
          <w:szCs w:val="20"/>
        </w:rPr>
        <w:lastRenderedPageBreak/>
        <w:t>5) Obtener del Estado colombiano una concesión o que ésta le hubiere sido cedida a cualquier título, o que en alguna forma participe en la explotación de la misma y,</w:t>
      </w:r>
    </w:p>
    <w:p w14:paraId="736A8B57" w14:textId="77777777" w:rsidR="00433276" w:rsidRPr="0017107E" w:rsidRDefault="00433276" w:rsidP="00433276">
      <w:pPr>
        <w:spacing w:after="0" w:line="240" w:lineRule="auto"/>
        <w:ind w:left="709" w:right="709"/>
        <w:jc w:val="both"/>
        <w:rPr>
          <w:rFonts w:ascii="Verdana" w:hAnsi="Verdana" w:cs="Arial"/>
          <w:color w:val="000000" w:themeColor="text1"/>
          <w:sz w:val="20"/>
          <w:szCs w:val="20"/>
        </w:rPr>
      </w:pPr>
      <w:r w:rsidRPr="005400E2">
        <w:rPr>
          <w:rFonts w:ascii="Verdana" w:hAnsi="Verdana" w:cs="Arial"/>
          <w:color w:val="000000" w:themeColor="text1"/>
          <w:sz w:val="20"/>
          <w:szCs w:val="20"/>
        </w:rPr>
        <w:t>6) El funcionamiento de sus asambleas de asociados, juntas directivas, gerencia o administración en el territorio nacional”.</w:t>
      </w:r>
    </w:p>
    <w:p w14:paraId="59708AE8" w14:textId="77777777" w:rsidR="00433276" w:rsidRPr="00BF319B" w:rsidRDefault="00433276" w:rsidP="00433276">
      <w:pPr>
        <w:spacing w:after="0" w:line="276" w:lineRule="auto"/>
        <w:ind w:right="49"/>
        <w:jc w:val="both"/>
        <w:rPr>
          <w:rFonts w:ascii="Verdana" w:hAnsi="Verdana" w:cs="Arial"/>
          <w:color w:val="000000" w:themeColor="text1"/>
        </w:rPr>
      </w:pPr>
    </w:p>
    <w:p w14:paraId="4D8DBB53" w14:textId="77777777" w:rsidR="00433276" w:rsidRPr="00BF319B" w:rsidRDefault="00433276" w:rsidP="00433276">
      <w:pPr>
        <w:spacing w:after="120" w:line="276" w:lineRule="auto"/>
        <w:ind w:right="51" w:firstLine="709"/>
        <w:jc w:val="both"/>
        <w:rPr>
          <w:rFonts w:ascii="Verdana" w:eastAsia="Calibri" w:hAnsi="Verdana" w:cs="Arial"/>
          <w:color w:val="000000" w:themeColor="text1"/>
          <w:lang w:val="es-MX"/>
        </w:rPr>
      </w:pPr>
      <w:r w:rsidRPr="00BF319B">
        <w:rPr>
          <w:rFonts w:ascii="Verdana" w:hAnsi="Verdana" w:cs="Arial"/>
          <w:color w:val="000000" w:themeColor="text1"/>
        </w:rPr>
        <w:t xml:space="preserve">De acuerdo a lo anterior, </w:t>
      </w:r>
      <w:r w:rsidRPr="00BF319B">
        <w:rPr>
          <w:rFonts w:ascii="Verdana" w:eastAsia="Calibri" w:hAnsi="Verdana" w:cs="Arial"/>
          <w:color w:val="000000" w:themeColor="text1"/>
        </w:rPr>
        <w:t>el acápite IV</w:t>
      </w:r>
      <w:r w:rsidRPr="00BF319B">
        <w:rPr>
          <w:rFonts w:ascii="Verdana" w:hAnsi="Verdana" w:cs="Arial"/>
          <w:color w:val="000000" w:themeColor="text1"/>
        </w:rPr>
        <w:t xml:space="preserve"> de la “Guía de Asuntos Corporativos en los Procesos de </w:t>
      </w:r>
      <w:proofErr w:type="spellStart"/>
      <w:r w:rsidRPr="00BF319B">
        <w:rPr>
          <w:rFonts w:ascii="Verdana" w:hAnsi="Verdana" w:cs="Arial"/>
          <w:color w:val="000000" w:themeColor="text1"/>
        </w:rPr>
        <w:t>Contratación</w:t>
      </w:r>
      <w:proofErr w:type="spellEnd"/>
      <w:r w:rsidRPr="00BF319B">
        <w:rPr>
          <w:rFonts w:ascii="Verdana" w:hAnsi="Verdana" w:cs="Arial"/>
          <w:color w:val="000000" w:themeColor="text1"/>
        </w:rPr>
        <w:t xml:space="preserve">”, expedida por la </w:t>
      </w:r>
      <w:r w:rsidRPr="00BF319B">
        <w:rPr>
          <w:rFonts w:ascii="Verdana" w:eastAsia="Calibri" w:hAnsi="Verdana" w:cs="Arial"/>
          <w:color w:val="000000" w:themeColor="text1"/>
        </w:rPr>
        <w:t>Agencia Nacional de Contratación Pública – Colombia Compra Eficiente, precisa que “</w:t>
      </w:r>
      <w:r w:rsidRPr="00BF319B">
        <w:rPr>
          <w:rFonts w:ascii="Verdana" w:eastAsia="Calibri" w:hAnsi="Verdana" w:cs="Arial"/>
          <w:color w:val="000000" w:themeColor="text1"/>
          <w:lang w:val="es-MX"/>
        </w:rPr>
        <w:t>Para la presentación de la oferta no será necesario que se constituya una sucursal en Colombia pues esto solo es obligatorio si se resulta adjudicatario en Procesos de Contratación que tengan por objeto la construcción de obras o la prestación de servicios, pues en estos dos casos, se entiende que la persona jurídica extranjera está ejerciendo negocios permanentes en Colombia”</w:t>
      </w:r>
      <w:r w:rsidRPr="00BF319B">
        <w:rPr>
          <w:rStyle w:val="Refdenotaalpie"/>
          <w:rFonts w:ascii="Verdana" w:hAnsi="Verdana" w:cs="Arial"/>
          <w:color w:val="000000" w:themeColor="text1"/>
        </w:rPr>
        <w:footnoteReference w:id="22"/>
      </w:r>
      <w:r w:rsidRPr="00BF319B">
        <w:rPr>
          <w:rFonts w:ascii="Verdana" w:eastAsia="Calibri" w:hAnsi="Verdana" w:cs="Arial"/>
          <w:color w:val="000000" w:themeColor="text1"/>
          <w:lang w:val="es-MX"/>
        </w:rPr>
        <w:t>.</w:t>
      </w:r>
      <w:r w:rsidRPr="00BF319B">
        <w:rPr>
          <w:rFonts w:ascii="Verdana" w:eastAsia="Calibri" w:hAnsi="Verdana" w:cs="Arial"/>
          <w:color w:val="000000" w:themeColor="text1"/>
        </w:rPr>
        <w:t xml:space="preserve"> </w:t>
      </w:r>
    </w:p>
    <w:p w14:paraId="51583F36" w14:textId="77777777" w:rsidR="00433276" w:rsidRDefault="00433276" w:rsidP="00433276">
      <w:pPr>
        <w:spacing w:after="0" w:line="276" w:lineRule="auto"/>
        <w:ind w:right="49" w:firstLine="708"/>
        <w:jc w:val="both"/>
        <w:rPr>
          <w:rFonts w:ascii="Verdana" w:hAnsi="Verdana" w:cs="Arial"/>
          <w:color w:val="000000" w:themeColor="text1"/>
        </w:rPr>
      </w:pPr>
      <w:r w:rsidRPr="00BF319B">
        <w:rPr>
          <w:rFonts w:ascii="Verdana" w:hAnsi="Verdana" w:cs="Arial"/>
          <w:color w:val="000000" w:themeColor="text1"/>
        </w:rPr>
        <w:t xml:space="preserve">Por lo tanto, para que una sociedad extrajera pueda desarrollar una actividad comercial considerada permanente según el artículo 474 del Código de Comercio deberá establecer una sucursal con domicilio en el territorio nacional –art. 471 </w:t>
      </w:r>
      <w:r w:rsidRPr="00BF319B">
        <w:rPr>
          <w:rFonts w:ascii="Verdana" w:hAnsi="Verdana" w:cs="Arial"/>
          <w:i/>
          <w:iCs/>
          <w:color w:val="000000" w:themeColor="text1"/>
        </w:rPr>
        <w:t>ibidem</w:t>
      </w:r>
      <w:r w:rsidRPr="00BF319B">
        <w:rPr>
          <w:rFonts w:ascii="Verdana" w:hAnsi="Verdana" w:cs="Arial"/>
          <w:color w:val="000000" w:themeColor="text1"/>
        </w:rPr>
        <w:t xml:space="preserve">–, y la presencia de la sucursal en el territorio colombiano supone el cumplimiento de las obligaciones previstas en el ordenamiento jurídico, ya que “Es deber de los nacionales y de los extranjeros en Colombia acatar la Constitución y las leyes, y respetar y obedecer a las autoridades” –art. 3, inc. 2, de la Constitución Política–, por lo que “La ley es obligatoria tanto a los nacionales como a los extranjeros residentes en Colombia” –art. 18 del Código Civil–. </w:t>
      </w:r>
      <w:r>
        <w:rPr>
          <w:rFonts w:ascii="Verdana" w:eastAsia="Calibri" w:hAnsi="Verdana" w:cs="Arial"/>
          <w:color w:val="000000" w:themeColor="text1"/>
          <w:lang w:val="es-MX"/>
        </w:rPr>
        <w:t>Dicha exigencia aplica por igual a consorcios y uniones temporales, pues el marco normativo citado no plantea distinciones al respecto, además de que contribuye a hacer efectiva la responsabilidad solidaria de los integrantes del proponente plural por la falta de ejecución, ejecución imperfecta o ejecución tardía del objeto contratado conforme al artículo 1613 del Código Civil.</w:t>
      </w:r>
    </w:p>
    <w:p w14:paraId="417DCF36" w14:textId="77777777" w:rsidR="00433276" w:rsidRDefault="00433276" w:rsidP="00433276">
      <w:pPr>
        <w:spacing w:after="0" w:line="276" w:lineRule="auto"/>
        <w:ind w:right="49" w:firstLine="708"/>
        <w:jc w:val="both"/>
        <w:rPr>
          <w:rFonts w:ascii="Verdana" w:hAnsi="Verdana" w:cs="Arial"/>
          <w:color w:val="000000" w:themeColor="text1"/>
        </w:rPr>
      </w:pPr>
    </w:p>
    <w:p w14:paraId="1283273B" w14:textId="77777777" w:rsidR="00433276" w:rsidRPr="00CE3CA4" w:rsidRDefault="00433276" w:rsidP="00433276">
      <w:pPr>
        <w:spacing w:after="120" w:line="276" w:lineRule="auto"/>
        <w:jc w:val="both"/>
        <w:rPr>
          <w:rFonts w:ascii="Verdana" w:hAnsi="Verdana"/>
          <w:lang w:val="es-ES" w:eastAsia="es-ES"/>
        </w:rPr>
      </w:pPr>
      <w:r>
        <w:rPr>
          <w:rFonts w:ascii="Verdana" w:hAnsi="Verdana" w:cs="Arial"/>
          <w:color w:val="000000" w:themeColor="text1"/>
        </w:rPr>
        <w:t xml:space="preserve">v. </w:t>
      </w:r>
      <w:r w:rsidRPr="00A47393">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w:t>
      </w:r>
      <w:r w:rsidRPr="00A47393">
        <w:rPr>
          <w:rFonts w:ascii="Verdana" w:eastAsia="Calibri" w:hAnsi="Verdana" w:cs="Arial"/>
          <w:bCs/>
          <w:color w:val="000000" w:themeColor="text1"/>
        </w:rPr>
        <w:lastRenderedPageBreak/>
        <w:t>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C84C964" w14:textId="77777777" w:rsidR="00433276" w:rsidRPr="00185EE9" w:rsidRDefault="00433276" w:rsidP="00433276">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1D2EDBB2" w14:textId="77777777" w:rsidR="00433276" w:rsidRPr="00182C89" w:rsidRDefault="00433276" w:rsidP="00433276">
      <w:pPr>
        <w:tabs>
          <w:tab w:val="left" w:pos="709"/>
        </w:tabs>
        <w:spacing w:after="0" w:line="276" w:lineRule="auto"/>
        <w:jc w:val="both"/>
        <w:rPr>
          <w:rFonts w:ascii="Verdana" w:eastAsia="Calibri" w:hAnsi="Verdana" w:cs="Arial"/>
          <w:color w:val="000000" w:themeColor="text1"/>
        </w:rPr>
      </w:pPr>
    </w:p>
    <w:p w14:paraId="29AEF164" w14:textId="77777777" w:rsidR="00433276" w:rsidRPr="00593A5F" w:rsidRDefault="00433276" w:rsidP="0043327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376F45DF" w14:textId="77777777" w:rsidR="00433276" w:rsidRPr="00593A5F" w:rsidRDefault="00433276" w:rsidP="00433276">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433276" w:rsidRPr="002407CE" w14:paraId="0EA4973B" w14:textId="77777777" w:rsidTr="00511EE9">
        <w:trPr>
          <w:trHeight w:val="56"/>
          <w:jc w:val="center"/>
        </w:trPr>
        <w:tc>
          <w:tcPr>
            <w:tcW w:w="8647" w:type="dxa"/>
          </w:tcPr>
          <w:p w14:paraId="42D84CDC" w14:textId="77777777" w:rsidR="00433276" w:rsidRPr="0061148A" w:rsidRDefault="00433276" w:rsidP="00433276">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Constitución Política de 1991, artículos 3, 13, 16 y 100.</w:t>
            </w:r>
          </w:p>
          <w:p w14:paraId="7F096D62" w14:textId="77777777" w:rsidR="00433276" w:rsidRDefault="00433276" w:rsidP="00433276">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80 de 1993, artículos 6, 7, 13, 20, 32 y 40.</w:t>
            </w:r>
          </w:p>
          <w:p w14:paraId="27B64429" w14:textId="77777777" w:rsidR="00433276" w:rsidRDefault="00433276" w:rsidP="00433276">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816 de 2003, artículo 1.</w:t>
            </w:r>
          </w:p>
          <w:p w14:paraId="1661A09B" w14:textId="77777777" w:rsidR="00433276" w:rsidRDefault="00433276" w:rsidP="00433276">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artículos 5 y 12.</w:t>
            </w:r>
          </w:p>
          <w:p w14:paraId="3A5B0744" w14:textId="77777777" w:rsidR="00433276" w:rsidRDefault="00433276" w:rsidP="00433276">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2069 de 2020, artículos 32 y 33.</w:t>
            </w:r>
          </w:p>
          <w:p w14:paraId="513294F1" w14:textId="77777777" w:rsidR="00433276" w:rsidRDefault="00433276" w:rsidP="00433276">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Código Civil, artículos 18, 1502, 1503, 1504, 1508 y 1613.</w:t>
            </w:r>
          </w:p>
          <w:p w14:paraId="1C88C834" w14:textId="77777777" w:rsidR="00433276" w:rsidRDefault="00433276" w:rsidP="00433276">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Código de Comercio, artículo 99, 469, 471, 474, 482 y 483.</w:t>
            </w:r>
          </w:p>
          <w:p w14:paraId="467546E3" w14:textId="77777777" w:rsidR="00433276" w:rsidRPr="009D4B08" w:rsidRDefault="00433276" w:rsidP="00433276">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 xml:space="preserve">Decreto 1082 de 2015, artículos </w:t>
            </w:r>
            <w:r w:rsidRPr="00BF319B">
              <w:rPr>
                <w:rFonts w:ascii="Verdana" w:eastAsia="Calibri" w:hAnsi="Verdana" w:cs="Arial"/>
                <w:bCs/>
                <w:color w:val="000000" w:themeColor="text1"/>
                <w:lang w:val="es-ES_tradnl"/>
              </w:rPr>
              <w:t>2.2.1.2.4.1.1</w:t>
            </w:r>
            <w:r>
              <w:rPr>
                <w:rFonts w:ascii="Verdana" w:eastAsia="Calibri" w:hAnsi="Verdana" w:cs="Arial"/>
                <w:bCs/>
                <w:color w:val="000000" w:themeColor="text1"/>
                <w:lang w:val="es-ES_tradnl"/>
              </w:rPr>
              <w:t xml:space="preserve">, </w:t>
            </w:r>
            <w:r w:rsidRPr="00BF319B">
              <w:rPr>
                <w:rFonts w:ascii="Verdana" w:eastAsia="Calibri" w:hAnsi="Verdana" w:cs="Arial"/>
                <w:bCs/>
                <w:color w:val="000000" w:themeColor="text1"/>
                <w:lang w:val="es-ES_tradnl"/>
              </w:rPr>
              <w:t>2.2.1.2.4.1.2</w:t>
            </w:r>
            <w:r>
              <w:rPr>
                <w:rFonts w:ascii="Verdana" w:eastAsia="Calibri" w:hAnsi="Verdana" w:cs="Arial"/>
                <w:bCs/>
                <w:color w:val="000000" w:themeColor="text1"/>
                <w:lang w:val="es-ES_tradnl"/>
              </w:rPr>
              <w:t xml:space="preserve">, </w:t>
            </w:r>
            <w:r w:rsidRPr="50259C15">
              <w:rPr>
                <w:rFonts w:ascii="Verdana" w:eastAsia="Calibri" w:hAnsi="Verdana" w:cs="Arial"/>
                <w:color w:val="000000" w:themeColor="text1"/>
              </w:rPr>
              <w:t>2.2.1.2.4.1.3</w:t>
            </w:r>
            <w:r>
              <w:rPr>
                <w:rFonts w:ascii="Verdana" w:eastAsia="Calibri" w:hAnsi="Verdana" w:cs="Arial"/>
                <w:color w:val="000000" w:themeColor="text1"/>
              </w:rPr>
              <w:t xml:space="preserve">, </w:t>
            </w:r>
            <w:r w:rsidRPr="00BF319B">
              <w:rPr>
                <w:rFonts w:ascii="Verdana" w:eastAsia="Calibri" w:hAnsi="Verdana" w:cs="Arial"/>
                <w:color w:val="000000" w:themeColor="text1"/>
              </w:rPr>
              <w:t>2.2.1.2.4.2.2</w:t>
            </w:r>
            <w:r>
              <w:rPr>
                <w:rFonts w:ascii="Verdana" w:eastAsia="Calibri" w:hAnsi="Verdana" w:cs="Arial"/>
                <w:color w:val="000000" w:themeColor="text1"/>
              </w:rPr>
              <w:t xml:space="preserve">, </w:t>
            </w:r>
            <w:r w:rsidRPr="00BF319B">
              <w:rPr>
                <w:rFonts w:ascii="Verdana" w:eastAsia="Calibri" w:hAnsi="Verdana" w:cs="Arial"/>
                <w:color w:val="000000" w:themeColor="text1"/>
              </w:rPr>
              <w:t>2.2.1.2.4.2.3</w:t>
            </w:r>
            <w:r>
              <w:rPr>
                <w:rFonts w:ascii="Verdana" w:eastAsia="Calibri" w:hAnsi="Verdana" w:cs="Arial"/>
                <w:color w:val="000000" w:themeColor="text1"/>
              </w:rPr>
              <w:t xml:space="preserve">, </w:t>
            </w:r>
            <w:r w:rsidRPr="005846D2">
              <w:rPr>
                <w:rFonts w:ascii="Verdana" w:hAnsi="Verdana" w:cs="Arial"/>
                <w:color w:val="000000" w:themeColor="text1"/>
              </w:rPr>
              <w:t>2.2.1.2.4.2.15</w:t>
            </w:r>
            <w:r>
              <w:rPr>
                <w:rFonts w:ascii="Verdana" w:hAnsi="Verdana" w:cs="Arial"/>
                <w:color w:val="000000" w:themeColor="text1"/>
              </w:rPr>
              <w:t xml:space="preserve"> y </w:t>
            </w:r>
            <w:r w:rsidRPr="005846D2">
              <w:rPr>
                <w:rFonts w:ascii="Verdana" w:hAnsi="Verdana" w:cs="Arial"/>
                <w:color w:val="000000" w:themeColor="text1"/>
              </w:rPr>
              <w:t>2.2.1.2.4.2.18</w:t>
            </w:r>
            <w:r>
              <w:rPr>
                <w:rFonts w:ascii="Verdana" w:hAnsi="Verdana" w:cs="Arial"/>
                <w:color w:val="000000" w:themeColor="text1"/>
              </w:rPr>
              <w:t>.</w:t>
            </w:r>
          </w:p>
          <w:p w14:paraId="1C2D3DB2" w14:textId="77777777" w:rsidR="00433276" w:rsidRPr="00112573" w:rsidRDefault="00433276" w:rsidP="00433276">
            <w:pPr>
              <w:pStyle w:val="Prrafodelista"/>
              <w:widowControl w:val="0"/>
              <w:numPr>
                <w:ilvl w:val="0"/>
                <w:numId w:val="17"/>
              </w:numPr>
              <w:autoSpaceDE w:val="0"/>
              <w:autoSpaceDN w:val="0"/>
              <w:spacing w:line="276" w:lineRule="auto"/>
              <w:jc w:val="both"/>
              <w:rPr>
                <w:rFonts w:ascii="Verdana" w:hAnsi="Verdana" w:cs="Arial"/>
              </w:rPr>
            </w:pPr>
            <w:r w:rsidRPr="00112573">
              <w:rPr>
                <w:rFonts w:ascii="Verdana" w:hAnsi="Verdana" w:cs="Arial"/>
              </w:rPr>
              <w:t>Guía de Asuntos Corporativos</w:t>
            </w:r>
            <w:r>
              <w:rPr>
                <w:rFonts w:ascii="Verdana" w:hAnsi="Verdana" w:cs="Arial"/>
              </w:rPr>
              <w:t xml:space="preserve"> </w:t>
            </w:r>
            <w:r w:rsidRPr="00112573">
              <w:rPr>
                <w:rFonts w:ascii="Verdana" w:hAnsi="Verdana" w:cs="Arial"/>
              </w:rPr>
              <w:t xml:space="preserve">en los Procesos de Contratación del </w:t>
            </w:r>
            <w:r>
              <w:rPr>
                <w:rFonts w:ascii="Verdana" w:hAnsi="Verdana" w:cs="Arial"/>
              </w:rPr>
              <w:t>23 de agosto de 2018</w:t>
            </w:r>
            <w:r w:rsidRPr="00112573">
              <w:rPr>
                <w:rFonts w:ascii="Verdana" w:hAnsi="Verdana" w:cs="Arial"/>
              </w:rPr>
              <w:t xml:space="preserve">. Disponible en: </w:t>
            </w:r>
            <w:hyperlink r:id="rId12" w:history="1">
              <w:r w:rsidRPr="0055439A">
                <w:rPr>
                  <w:rStyle w:val="Hipervnculo"/>
                  <w:rFonts w:ascii="Verdana" w:hAnsi="Verdana" w:cs="Arial"/>
                </w:rPr>
                <w:t>https://www.colombiacompra.gov.co/wp-content/uploads/2024/08/cce_guia_asuntos_corporativos.pdf</w:t>
              </w:r>
            </w:hyperlink>
            <w:r>
              <w:rPr>
                <w:rFonts w:ascii="Verdana" w:hAnsi="Verdana" w:cs="Arial"/>
              </w:rPr>
              <w:t xml:space="preserve"> </w:t>
            </w:r>
          </w:p>
        </w:tc>
      </w:tr>
    </w:tbl>
    <w:p w14:paraId="5B4A636F" w14:textId="77777777" w:rsidR="00433276" w:rsidRPr="002407CE" w:rsidRDefault="00433276" w:rsidP="00433276">
      <w:pPr>
        <w:widowControl w:val="0"/>
        <w:autoSpaceDE w:val="0"/>
        <w:autoSpaceDN w:val="0"/>
        <w:spacing w:after="0" w:line="276" w:lineRule="auto"/>
        <w:jc w:val="both"/>
        <w:rPr>
          <w:rFonts w:ascii="Verdana" w:hAnsi="Verdana" w:cs="Arial"/>
        </w:rPr>
      </w:pPr>
    </w:p>
    <w:p w14:paraId="4FD59195" w14:textId="77777777" w:rsidR="00433276" w:rsidRPr="00593A5F" w:rsidRDefault="00433276" w:rsidP="0043327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lastRenderedPageBreak/>
        <w:t>Doctrina de la Agencia Nacional de Contratación Pública</w:t>
      </w:r>
      <w:r w:rsidRPr="00593A5F">
        <w:rPr>
          <w:rFonts w:ascii="Verdana" w:eastAsia="Century Gothic" w:hAnsi="Verdana" w:cs="Century Gothic"/>
          <w:b/>
          <w:bCs/>
        </w:rPr>
        <w:t>:</w:t>
      </w:r>
    </w:p>
    <w:p w14:paraId="4F3EEF6C" w14:textId="77777777" w:rsidR="00433276" w:rsidRPr="00593A5F" w:rsidRDefault="00433276" w:rsidP="00433276">
      <w:pPr>
        <w:widowControl w:val="0"/>
        <w:autoSpaceDE w:val="0"/>
        <w:autoSpaceDN w:val="0"/>
        <w:spacing w:after="0" w:line="276" w:lineRule="auto"/>
        <w:jc w:val="both"/>
        <w:rPr>
          <w:rFonts w:ascii="Verdana" w:hAnsi="Verdana" w:cs="Arial"/>
        </w:rPr>
      </w:pPr>
    </w:p>
    <w:p w14:paraId="3C73EA76" w14:textId="77777777" w:rsidR="00433276" w:rsidRPr="00ED0098" w:rsidRDefault="00433276" w:rsidP="00433276">
      <w:pPr>
        <w:widowControl w:val="0"/>
        <w:autoSpaceDE w:val="0"/>
        <w:autoSpaceDN w:val="0"/>
        <w:spacing w:after="0" w:line="276" w:lineRule="auto"/>
        <w:jc w:val="both"/>
        <w:rPr>
          <w:rStyle w:val="normaltextrun"/>
          <w:rFonts w:ascii="Verdana" w:hAnsi="Verdana" w:cs="Arial"/>
          <w:shd w:val="clear" w:color="auto" w:fill="FFFFFF"/>
        </w:rPr>
      </w:pPr>
      <w:r w:rsidRPr="00D70051">
        <w:rPr>
          <w:rFonts w:ascii="Verdana" w:hAnsi="Verdana" w:cs="Arial"/>
          <w:shd w:val="clear" w:color="auto" w:fill="FFFFFF"/>
        </w:rPr>
        <w:t>Esta Subdirección se ha pronunciado sobre la capacidad jurídica de los consorcios y las uniones temporales en los Conceptos 4201913000007643 del 26 de diciembre de 2019, C-343 del 17 de junio de 2020, C-518 del 9 de septiembre de 2020, C-614 del 5 de octubre de 2022, C-882 del 21 de diciembre de 2022, C-172 del 6 de junio de 2023, C-032 del 16 de abril de 2024, C-100 del 12 de junio de 2024</w:t>
      </w:r>
      <w:r>
        <w:rPr>
          <w:rFonts w:ascii="Verdana" w:hAnsi="Verdana" w:cs="Arial"/>
          <w:shd w:val="clear" w:color="auto" w:fill="FFFFFF"/>
        </w:rPr>
        <w:t xml:space="preserve">, </w:t>
      </w:r>
      <w:r w:rsidRPr="00D70051">
        <w:rPr>
          <w:rFonts w:ascii="Verdana" w:hAnsi="Verdana" w:cs="Arial"/>
          <w:shd w:val="clear" w:color="auto" w:fill="FFFFFF"/>
        </w:rPr>
        <w:t>C-924 del 18 de julio de 2025</w:t>
      </w:r>
      <w:r>
        <w:rPr>
          <w:rFonts w:ascii="Verdana" w:hAnsi="Verdana" w:cs="Arial"/>
          <w:shd w:val="clear" w:color="auto" w:fill="FFFFFF"/>
        </w:rPr>
        <w:t xml:space="preserve"> y C-1109 del 24 de agosto de 2025</w:t>
      </w:r>
      <w:r>
        <w:rPr>
          <w:rFonts w:ascii="Verdana" w:eastAsia="Calibri" w:hAnsi="Verdana" w:cs="Arial"/>
          <w:shd w:val="clear" w:color="auto" w:fill="FFFFFF"/>
        </w:rPr>
        <w:t>.</w:t>
      </w:r>
      <w:r>
        <w:rPr>
          <w:rStyle w:val="normaltextrun"/>
          <w:rFonts w:ascii="Verdana" w:hAnsi="Verdana" w:cs="Arial"/>
          <w:shd w:val="clear" w:color="auto" w:fill="FFFFFF"/>
        </w:rPr>
        <w:t xml:space="preserve"> Asimismo, ha reflexionado sobre la capacidad jurídica de los extranjeros en los Conceptos C-032 del 16 de abril de 2024, C-102 del 8 de julio de 2024 y C-447 del 21 de mayo de 2025.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3"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45F67DBE" w14:textId="77777777" w:rsidR="00433276" w:rsidRPr="00096788" w:rsidRDefault="00433276" w:rsidP="00433276">
      <w:pPr>
        <w:widowControl w:val="0"/>
        <w:autoSpaceDE w:val="0"/>
        <w:autoSpaceDN w:val="0"/>
        <w:spacing w:after="0" w:line="276" w:lineRule="auto"/>
        <w:jc w:val="both"/>
        <w:rPr>
          <w:rFonts w:ascii="Verdana" w:hAnsi="Verdana" w:cs="Arial"/>
          <w:color w:val="000000" w:themeColor="text1"/>
          <w:shd w:val="clear" w:color="auto" w:fill="FFFFFF"/>
        </w:rPr>
      </w:pPr>
    </w:p>
    <w:p w14:paraId="1C42C9CD" w14:textId="77777777" w:rsidR="00433276" w:rsidRPr="00F42673" w:rsidRDefault="00433276" w:rsidP="00433276">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42673">
        <w:rPr>
          <w:rFonts w:ascii="Verdana" w:eastAsia="Times New Roman" w:hAnsi="Verdana" w:cs="Times New Roman"/>
          <w:b/>
          <w:bCs/>
          <w:color w:val="000000"/>
          <w:lang w:eastAsia="es-MX"/>
        </w:rPr>
        <w:t>Guía para la Exigencia y Constitución de Garantías en los Procesos de Contratación</w:t>
      </w:r>
      <w:r w:rsidRPr="00F42673">
        <w:rPr>
          <w:rFonts w:ascii="Verdana" w:eastAsia="Times New Roman" w:hAnsi="Verdana" w:cs="Times New Roman"/>
          <w:color w:val="000000"/>
          <w:lang w:eastAsia="es-MX"/>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ooltip="Original URL:&#10;https://www.colombiacompra.gov.co/archivos/manual/guia-de-garantias-en-procesos-de-contratacion&#10;&#10;Click to follow link." w:history="1">
        <w:r w:rsidRPr="00F42673">
          <w:rPr>
            <w:rFonts w:ascii="Verdana" w:eastAsia="Times New Roman" w:hAnsi="Verdana" w:cs="Times New Roman"/>
            <w:color w:val="0086F0"/>
            <w:u w:val="single"/>
            <w:lang w:eastAsia="es-MX"/>
          </w:rPr>
          <w:t>https://www.colombiacompra.gov.co/archivos/manual/guia-de-garantias-en-procesos-de-contratacion</w:t>
        </w:r>
      </w:hyperlink>
    </w:p>
    <w:p w14:paraId="494486E7" w14:textId="77777777" w:rsidR="00433276" w:rsidRPr="00F42673" w:rsidRDefault="00433276" w:rsidP="00433276">
      <w:pPr>
        <w:spacing w:after="0" w:line="276" w:lineRule="auto"/>
        <w:jc w:val="both"/>
        <w:rPr>
          <w:rFonts w:ascii="Verdana" w:eastAsia="Times New Roman" w:hAnsi="Verdana" w:cs="Times New Roman"/>
          <w:color w:val="000000"/>
          <w:lang w:eastAsia="es-MX"/>
        </w:rPr>
      </w:pPr>
    </w:p>
    <w:p w14:paraId="64F8260E" w14:textId="77777777" w:rsidR="00433276" w:rsidRPr="00F42673" w:rsidRDefault="00433276" w:rsidP="00433276">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De otro lado, te contamos que el Decreto 287 del 19 de marzo de 2026 sustituyó los artículos 2.2.1.2.4.2.6., 2.2.1.2.4.2.7. y 2.2.1.2.4.2.8. del Decreto 1082 de 2015 y estructuró el </w:t>
      </w:r>
      <w:r w:rsidRPr="00F42673">
        <w:rPr>
          <w:rFonts w:ascii="Verdana" w:eastAsia="Times New Roman" w:hAnsi="Verdana" w:cs="Times New Roman"/>
          <w:b/>
          <w:bCs/>
          <w:color w:val="000000"/>
          <w:lang w:eastAsia="es-MX"/>
        </w:rPr>
        <w:t>Sistema Integral de Preferencias en favor de las personas con discapacidad</w:t>
      </w:r>
      <w:r w:rsidRPr="00F42673">
        <w:rPr>
          <w:rFonts w:ascii="Verdana" w:eastAsia="Times New Roman" w:hAnsi="Verdana" w:cs="Times New Roman"/>
          <w:color w:val="000000"/>
          <w:lang w:eastAsia="es-MX"/>
        </w:rPr>
        <w:t>, en cumplimiento del artículo 13 de la Ley Estatutaria 1618 de 2013. Para orientar su aplicación, esta Agencia expidió la </w:t>
      </w:r>
      <w:r w:rsidRPr="00F42673">
        <w:rPr>
          <w:rFonts w:ascii="Verdana" w:eastAsia="Times New Roman" w:hAnsi="Verdana" w:cs="Times New Roman"/>
          <w:b/>
          <w:bCs/>
          <w:color w:val="000000"/>
          <w:lang w:eastAsia="es-MX"/>
        </w:rPr>
        <w:t>Circular Externa 003 del 12 de mayo de 2026, </w:t>
      </w:r>
      <w:r w:rsidRPr="00F42673">
        <w:rPr>
          <w:rFonts w:ascii="Verdana" w:eastAsia="Times New Roman" w:hAnsi="Verdana" w:cs="Times New Roman"/>
          <w:color w:val="000000"/>
          <w:lang w:eastAsia="es-MX"/>
        </w:rPr>
        <w:t xml:space="preserve">en la que precisa quiénes son los beneficiarios, las cinco medidas que integran el sistema y su obligatoriedad según la modalidad de selección, y el régimen de transición aplicable a los procesos en curso. Consúltala </w:t>
      </w:r>
      <w:r w:rsidRPr="00F42673">
        <w:rPr>
          <w:rFonts w:ascii="Verdana" w:eastAsia="Times New Roman" w:hAnsi="Verdana" w:cs="Times New Roman"/>
          <w:color w:val="000000"/>
          <w:lang w:eastAsia="es-MX"/>
        </w:rPr>
        <w:lastRenderedPageBreak/>
        <w:t>aquí: </w:t>
      </w:r>
      <w:hyperlink r:id="rId15" w:tooltip="Original URL:&#10;https://www.colombiacompra.gov.co/archivos/circular/circular-externa-003-de-2026&#10;&#10;Click to follow link." w:history="1">
        <w:r w:rsidRPr="00F42673">
          <w:rPr>
            <w:rFonts w:ascii="Verdana" w:eastAsia="Times New Roman" w:hAnsi="Verdana" w:cs="Times New Roman"/>
            <w:color w:val="0086F0"/>
            <w:u w:val="single"/>
            <w:lang w:eastAsia="es-MX"/>
          </w:rPr>
          <w:t>https://www.colombiacompra.gov.co/archivos/circular/circular-externa-003-de-2026</w:t>
        </w:r>
      </w:hyperlink>
    </w:p>
    <w:p w14:paraId="1ED8D4A2" w14:textId="77777777" w:rsidR="00433276" w:rsidRPr="00F42673" w:rsidRDefault="00433276" w:rsidP="00433276">
      <w:pPr>
        <w:spacing w:after="0" w:line="276" w:lineRule="auto"/>
        <w:jc w:val="both"/>
        <w:rPr>
          <w:rFonts w:ascii="Verdana" w:eastAsia="Times New Roman" w:hAnsi="Verdana" w:cs="Times New Roman"/>
          <w:color w:val="000000"/>
          <w:lang w:eastAsia="es-MX"/>
        </w:rPr>
      </w:pPr>
    </w:p>
    <w:p w14:paraId="7F6213C1" w14:textId="77777777" w:rsidR="00433276" w:rsidRPr="00F42673" w:rsidRDefault="00433276" w:rsidP="00433276">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Recuerda también que la</w:t>
      </w:r>
      <w:r w:rsidRPr="00F42673">
        <w:rPr>
          <w:rFonts w:ascii="Verdana" w:eastAsia="Times New Roman" w:hAnsi="Verdana" w:cs="Times New Roman"/>
          <w:b/>
          <w:bCs/>
          <w:color w:val="000000"/>
          <w:lang w:eastAsia="es-MX"/>
        </w:rPr>
        <w:t> información sobre sanciones e inhabilidades </w:t>
      </w:r>
      <w:r w:rsidRPr="00F42673">
        <w:rPr>
          <w:rFonts w:ascii="Verdana" w:eastAsia="Times New Roman" w:hAnsi="Verdana" w:cs="Times New Roman"/>
          <w:color w:val="000000"/>
          <w:lang w:eastAsia="es-MX"/>
        </w:rPr>
        <w:t>solo cumple su función preventiva si llega oportunamente a los registros públicos. Sobre este deber, esta Agencia expidió la </w:t>
      </w:r>
      <w:r w:rsidRPr="00F42673">
        <w:rPr>
          <w:rFonts w:ascii="Verdana" w:eastAsia="Times New Roman" w:hAnsi="Verdana" w:cs="Times New Roman"/>
          <w:b/>
          <w:bCs/>
          <w:color w:val="000000"/>
          <w:lang w:eastAsia="es-MX"/>
        </w:rPr>
        <w:t>Circular Externa 002 del 5 de mayo de 2026,</w:t>
      </w:r>
      <w:r w:rsidRPr="00F42673">
        <w:rPr>
          <w:rFonts w:ascii="Verdana" w:eastAsia="Times New Roman" w:hAnsi="Verdana" w:cs="Times New Roman"/>
          <w:color w:val="000000"/>
          <w:lang w:eastAsia="es-MX"/>
        </w:rPr>
        <w:t>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ooltip="Original URL:&#10;https://www.colombiacompra.gov.co/archivos/circular/circular-externa-002-de-2026&#10;&#10;Click to follow link." w:history="1">
        <w:r w:rsidRPr="00F42673">
          <w:rPr>
            <w:rFonts w:ascii="Verdana" w:eastAsia="Times New Roman" w:hAnsi="Verdana" w:cs="Times New Roman"/>
            <w:color w:val="0086F0"/>
            <w:u w:val="single"/>
            <w:lang w:eastAsia="es-MX"/>
          </w:rPr>
          <w:t>https://www.colombiacompra.gov.co/archivos/circular/circular-externa-002-de-2026</w:t>
        </w:r>
      </w:hyperlink>
    </w:p>
    <w:p w14:paraId="709CC933" w14:textId="77777777" w:rsidR="00433276" w:rsidRPr="00F42673" w:rsidRDefault="00433276" w:rsidP="00433276">
      <w:pPr>
        <w:spacing w:after="0" w:line="276" w:lineRule="auto"/>
        <w:jc w:val="both"/>
        <w:rPr>
          <w:rFonts w:ascii="Verdana" w:eastAsia="Times New Roman" w:hAnsi="Verdana" w:cs="Times New Roman"/>
          <w:color w:val="000000"/>
          <w:lang w:eastAsia="es-MX"/>
        </w:rPr>
      </w:pPr>
    </w:p>
    <w:p w14:paraId="49DF8D8E" w14:textId="77777777" w:rsidR="00433276" w:rsidRPr="00797CA8" w:rsidRDefault="00433276" w:rsidP="00433276">
      <w:pPr>
        <w:spacing w:after="0" w:line="276" w:lineRule="auto"/>
        <w:jc w:val="both"/>
        <w:rPr>
          <w:rFonts w:ascii="Aptos" w:eastAsia="Times New Roman" w:hAnsi="Aptos" w:cs="Times New Roman"/>
          <w:color w:val="000000"/>
          <w:lang w:eastAsia="es-MX"/>
        </w:rPr>
      </w:pPr>
      <w:r w:rsidRPr="00F42673">
        <w:rPr>
          <w:rFonts w:ascii="Verdana" w:eastAsia="Times New Roman" w:hAnsi="Verdana" w:cs="Times New Roman"/>
          <w:color w:val="000000"/>
          <w:lang w:eastAsia="es-MX"/>
        </w:rPr>
        <w:t>Finalmente, si quieres seguir de cerca la actividad de la Agencia, la tercera edición de 2026 del</w:t>
      </w:r>
      <w:r w:rsidRPr="00F42673">
        <w:rPr>
          <w:rFonts w:ascii="Verdana" w:eastAsia="Times New Roman" w:hAnsi="Verdana" w:cs="Times New Roman"/>
          <w:b/>
          <w:bCs/>
          <w:color w:val="000000"/>
          <w:lang w:eastAsia="es-MX"/>
        </w:rPr>
        <w:t> Radar de la Compra Pública</w:t>
      </w:r>
      <w:r w:rsidRPr="00F42673">
        <w:rPr>
          <w:rFonts w:ascii="Verdana" w:eastAsia="Times New Roman" w:hAnsi="Verdana" w:cs="Times New Roman"/>
          <w:color w:val="000000"/>
          <w:lang w:eastAsia="es-MX"/>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ooltip="Original URL:&#10;https://www.colombiacompra.gov.co/archivos/boletin/boletin-edicion-n-3-de-2026-radar-de-la-compra-publica&#10;&#10;Click to follow link." w:history="1">
        <w:r w:rsidRPr="00F42673">
          <w:rPr>
            <w:rFonts w:ascii="Verdana" w:eastAsia="Times New Roman" w:hAnsi="Verdana" w:cs="Times New Roman"/>
            <w:color w:val="0086F0"/>
            <w:u w:val="single"/>
            <w:lang w:eastAsia="es-MX"/>
          </w:rPr>
          <w:t>https://www.colombiacompra.gov.co/archivos/boletin/boletin-edicion-n-3-de-2026-radar-de-la-compra-publica</w:t>
        </w:r>
      </w:hyperlink>
    </w:p>
    <w:p w14:paraId="20466D4F" w14:textId="77777777" w:rsidR="00433276" w:rsidRDefault="00433276" w:rsidP="00433276">
      <w:pPr>
        <w:shd w:val="clear" w:color="auto" w:fill="FFFFFF"/>
        <w:spacing w:after="0" w:line="276" w:lineRule="auto"/>
        <w:jc w:val="both"/>
        <w:rPr>
          <w:rFonts w:ascii="Verdana" w:hAnsi="Verdana"/>
          <w:color w:val="000000"/>
          <w:u w:val="single"/>
        </w:rPr>
      </w:pPr>
    </w:p>
    <w:p w14:paraId="48DC38AE" w14:textId="77777777" w:rsidR="00433276" w:rsidRPr="00116940" w:rsidRDefault="00433276" w:rsidP="00433276">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437741E7" w14:textId="77777777" w:rsidR="00433276" w:rsidRPr="00116940" w:rsidRDefault="00433276" w:rsidP="00433276">
      <w:pPr>
        <w:spacing w:after="0"/>
        <w:jc w:val="both"/>
        <w:rPr>
          <w:rFonts w:ascii="Verdana" w:hAnsi="Verdana"/>
        </w:rPr>
      </w:pPr>
    </w:p>
    <w:p w14:paraId="51281AD3" w14:textId="77777777" w:rsidR="00433276" w:rsidRPr="00116940" w:rsidRDefault="00433276" w:rsidP="00433276">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0A99FDAD" w14:textId="77777777" w:rsidR="00433276" w:rsidRPr="00116940" w:rsidRDefault="00433276" w:rsidP="00433276">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50A59456" w14:textId="77777777" w:rsidR="00433276" w:rsidRPr="00116940" w:rsidRDefault="00433276" w:rsidP="00433276">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7B3893CF" w14:textId="77777777" w:rsidR="00433276" w:rsidRPr="00116940" w:rsidRDefault="00433276" w:rsidP="00433276">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lastRenderedPageBreak/>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448B73F8" w14:textId="77777777" w:rsidR="00433276" w:rsidRPr="00116940" w:rsidRDefault="00433276" w:rsidP="00433276">
      <w:pPr>
        <w:spacing w:after="0" w:line="240" w:lineRule="auto"/>
        <w:ind w:left="720"/>
        <w:jc w:val="both"/>
        <w:rPr>
          <w:rFonts w:ascii="Verdana" w:hAnsi="Verdana"/>
        </w:rPr>
      </w:pPr>
    </w:p>
    <w:p w14:paraId="34ECD007" w14:textId="77777777" w:rsidR="00433276" w:rsidRPr="00116940" w:rsidRDefault="00433276" w:rsidP="00433276">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20"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7BF57BB3" w14:textId="77777777" w:rsidR="00433276" w:rsidRPr="00116940" w:rsidRDefault="00433276" w:rsidP="00433276">
      <w:pPr>
        <w:spacing w:after="0" w:line="240" w:lineRule="auto"/>
        <w:rPr>
          <w:rFonts w:ascii="Verdana" w:hAnsi="Verdana"/>
        </w:rPr>
      </w:pPr>
    </w:p>
    <w:p w14:paraId="13977618" w14:textId="77777777" w:rsidR="00433276" w:rsidRPr="00116940" w:rsidRDefault="00433276" w:rsidP="00433276">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349A3822" w14:textId="77777777" w:rsidR="00433276" w:rsidRPr="00116940" w:rsidRDefault="00433276" w:rsidP="00433276">
      <w:pPr>
        <w:spacing w:after="0" w:line="240" w:lineRule="auto"/>
        <w:jc w:val="both"/>
        <w:rPr>
          <w:rFonts w:ascii="Verdana" w:hAnsi="Verdana"/>
        </w:rPr>
      </w:pPr>
    </w:p>
    <w:p w14:paraId="1B6839C9" w14:textId="77777777" w:rsidR="00433276" w:rsidRPr="00116940" w:rsidRDefault="00433276" w:rsidP="00433276">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087D87CC" w14:textId="77777777" w:rsidR="00433276" w:rsidRPr="00116940" w:rsidRDefault="00433276" w:rsidP="00433276">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52CF644A" w14:textId="77777777" w:rsidR="00433276" w:rsidRPr="00116940" w:rsidRDefault="00433276" w:rsidP="00433276">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79475A26" w14:textId="77777777" w:rsidR="00433276" w:rsidRPr="009C4035" w:rsidRDefault="00433276" w:rsidP="00433276">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415A59E4" w14:textId="77777777" w:rsidR="00433276" w:rsidRPr="00593A5F" w:rsidRDefault="00433276" w:rsidP="00433276">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423763DC" w14:textId="77777777" w:rsidR="00433276" w:rsidRPr="00593A5F" w:rsidRDefault="00433276" w:rsidP="00433276">
      <w:pPr>
        <w:widowControl w:val="0"/>
        <w:autoSpaceDE w:val="0"/>
        <w:autoSpaceDN w:val="0"/>
        <w:spacing w:after="0" w:line="276" w:lineRule="auto"/>
        <w:jc w:val="both"/>
        <w:rPr>
          <w:rFonts w:ascii="Verdana" w:hAnsi="Verdana" w:cs="Arial"/>
        </w:rPr>
      </w:pPr>
    </w:p>
    <w:p w14:paraId="61FEB534" w14:textId="77777777" w:rsidR="00433276" w:rsidRPr="00593A5F" w:rsidRDefault="00433276" w:rsidP="00433276">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037A7445" w14:textId="4BC98230" w:rsidR="00433276" w:rsidRPr="00593A5F" w:rsidRDefault="00D84915" w:rsidP="00433276">
      <w:pPr>
        <w:spacing w:line="276" w:lineRule="auto"/>
        <w:jc w:val="center"/>
        <w:rPr>
          <w:rFonts w:ascii="Verdana" w:hAnsi="Verdana" w:cs="Arial"/>
          <w:color w:val="000000"/>
          <w:lang w:val="es-ES_tradnl" w:eastAsia="es-CO"/>
        </w:rPr>
      </w:pPr>
      <w:r>
        <w:rPr>
          <w:noProof/>
        </w:rPr>
        <w:drawing>
          <wp:inline distT="0" distB="0" distL="0" distR="0" wp14:anchorId="0C9436AC" wp14:editId="2D0216B0">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1"/>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433276" w:rsidRPr="00593A5F" w14:paraId="58F2CEF3" w14:textId="77777777" w:rsidTr="00511EE9">
        <w:trPr>
          <w:trHeight w:val="315"/>
        </w:trPr>
        <w:tc>
          <w:tcPr>
            <w:tcW w:w="893" w:type="dxa"/>
            <w:vAlign w:val="center"/>
            <w:hideMark/>
          </w:tcPr>
          <w:p w14:paraId="0BCB2F85" w14:textId="77777777" w:rsidR="00433276" w:rsidRPr="003751C7" w:rsidRDefault="00433276" w:rsidP="00511EE9">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0CEABA7D" w14:textId="77777777" w:rsidR="00433276" w:rsidRPr="00254A7A" w:rsidRDefault="00433276" w:rsidP="00511EE9">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24011797" w14:textId="77777777" w:rsidR="00433276" w:rsidRPr="00254A7A" w:rsidRDefault="00433276" w:rsidP="00511EE9">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433276" w:rsidRPr="00593A5F" w14:paraId="5D468BAD" w14:textId="77777777" w:rsidTr="00511EE9">
        <w:trPr>
          <w:trHeight w:val="330"/>
        </w:trPr>
        <w:tc>
          <w:tcPr>
            <w:tcW w:w="893" w:type="dxa"/>
            <w:vAlign w:val="center"/>
            <w:hideMark/>
          </w:tcPr>
          <w:p w14:paraId="75FA2AF9" w14:textId="77777777" w:rsidR="00433276" w:rsidRPr="003751C7" w:rsidRDefault="00433276" w:rsidP="00511EE9">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94F857A" w14:textId="77777777" w:rsidR="00433276" w:rsidRPr="000377DD" w:rsidRDefault="00433276" w:rsidP="00511EE9">
            <w:pPr>
              <w:pStyle w:val="paragraph"/>
              <w:spacing w:after="0"/>
              <w:contextualSpacing/>
              <w:textAlignment w:val="baseline"/>
              <w:rPr>
                <w:rStyle w:val="normaltextrun"/>
                <w:rFonts w:ascii="Verdana" w:hAnsi="Verdana" w:cs="Arial"/>
                <w:sz w:val="16"/>
                <w:szCs w:val="16"/>
                <w:lang w:val="es-ES_tradnl"/>
              </w:rPr>
            </w:pPr>
            <w:r w:rsidRPr="000377DD">
              <w:rPr>
                <w:rStyle w:val="normaltextrun"/>
                <w:rFonts w:ascii="Verdana" w:hAnsi="Verdana" w:cs="Arial"/>
                <w:sz w:val="16"/>
                <w:szCs w:val="16"/>
                <w:lang w:val="es-ES_tradnl"/>
              </w:rPr>
              <w:t>Alejandro Sarmiento Cantillo</w:t>
            </w:r>
          </w:p>
          <w:p w14:paraId="1AC045E8" w14:textId="77777777" w:rsidR="00433276" w:rsidRPr="00A40FD0" w:rsidRDefault="00433276" w:rsidP="00511EE9">
            <w:pPr>
              <w:pStyle w:val="paragraph"/>
              <w:spacing w:before="0" w:beforeAutospacing="0" w:after="0" w:afterAutospacing="0"/>
              <w:contextualSpacing/>
              <w:textAlignment w:val="baseline"/>
              <w:rPr>
                <w:rFonts w:ascii="Verdana" w:hAnsi="Verdana" w:cs="Segoe UI"/>
                <w:sz w:val="16"/>
                <w:szCs w:val="16"/>
              </w:rPr>
            </w:pPr>
            <w:r w:rsidRPr="000377DD">
              <w:rPr>
                <w:rStyle w:val="normaltextrun"/>
                <w:rFonts w:ascii="Verdana" w:hAnsi="Verdana" w:cs="Arial"/>
                <w:sz w:val="16"/>
                <w:szCs w:val="16"/>
                <w:lang w:val="es-ES_tradnl"/>
              </w:rPr>
              <w:t>Gestor T1 ‒ 15 de la Subdirección de Gestión Contractual</w:t>
            </w:r>
          </w:p>
        </w:tc>
      </w:tr>
      <w:tr w:rsidR="00433276" w:rsidRPr="00593A5F" w14:paraId="53B0D278" w14:textId="77777777" w:rsidTr="00511EE9">
        <w:trPr>
          <w:trHeight w:val="300"/>
        </w:trPr>
        <w:tc>
          <w:tcPr>
            <w:tcW w:w="893" w:type="dxa"/>
            <w:vAlign w:val="center"/>
          </w:tcPr>
          <w:p w14:paraId="7669671A" w14:textId="77777777" w:rsidR="00433276" w:rsidRPr="003751C7" w:rsidRDefault="00433276" w:rsidP="00511EE9">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4A548EE" w14:textId="77777777" w:rsidR="00433276" w:rsidRPr="00FE00BE" w:rsidRDefault="00433276" w:rsidP="00511EE9">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13EBAF4D" w14:textId="77777777" w:rsidR="00433276" w:rsidRPr="00FE00BE" w:rsidRDefault="00433276" w:rsidP="00511EE9">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418739F5" w14:textId="77777777" w:rsidR="00433276" w:rsidRDefault="00433276" w:rsidP="00433276"/>
    <w:p w14:paraId="7BC74936" w14:textId="022C03B8" w:rsidR="00433276" w:rsidRPr="00543BFE" w:rsidRDefault="00433276" w:rsidP="00433276"/>
    <w:p w14:paraId="27509B53" w14:textId="77777777" w:rsidR="00433276" w:rsidRPr="00543BFE" w:rsidRDefault="00433276" w:rsidP="00433276"/>
    <w:sectPr w:rsidR="00433276" w:rsidRPr="00543BFE"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CD356" w14:textId="77777777" w:rsidR="00914A38" w:rsidRDefault="00914A38" w:rsidP="004A1847">
      <w:pPr>
        <w:spacing w:after="0" w:line="240" w:lineRule="auto"/>
      </w:pPr>
      <w:r>
        <w:separator/>
      </w:r>
    </w:p>
  </w:endnote>
  <w:endnote w:type="continuationSeparator" w:id="0">
    <w:p w14:paraId="7338F550" w14:textId="77777777" w:rsidR="00914A38" w:rsidRDefault="00914A38"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9C428" w14:textId="77777777" w:rsidR="00914A38" w:rsidRDefault="00914A38" w:rsidP="004A1847">
      <w:pPr>
        <w:spacing w:after="0" w:line="240" w:lineRule="auto"/>
      </w:pPr>
      <w:r>
        <w:separator/>
      </w:r>
    </w:p>
  </w:footnote>
  <w:footnote w:type="continuationSeparator" w:id="0">
    <w:p w14:paraId="03267AA1" w14:textId="77777777" w:rsidR="00914A38" w:rsidRDefault="00914A38" w:rsidP="004A1847">
      <w:pPr>
        <w:spacing w:after="0" w:line="240" w:lineRule="auto"/>
      </w:pPr>
      <w:r>
        <w:continuationSeparator/>
      </w:r>
    </w:p>
  </w:footnote>
  <w:footnote w:id="1">
    <w:p w14:paraId="7DFE3891" w14:textId="77777777" w:rsidR="00433276" w:rsidRPr="008376CC" w:rsidRDefault="00433276" w:rsidP="00433276">
      <w:pPr>
        <w:pStyle w:val="Textonotapie"/>
        <w:ind w:firstLine="720"/>
        <w:jc w:val="both"/>
        <w:rPr>
          <w:rFonts w:ascii="Verdana" w:hAnsi="Verdana" w:cs="Arial"/>
          <w:sz w:val="15"/>
          <w:szCs w:val="15"/>
        </w:rPr>
      </w:pPr>
      <w:r w:rsidRPr="008376CC">
        <w:rPr>
          <w:rStyle w:val="Refdenotaalpie"/>
          <w:rFonts w:ascii="Verdana" w:hAnsi="Verdana" w:cs="Arial"/>
          <w:sz w:val="15"/>
          <w:szCs w:val="15"/>
        </w:rPr>
        <w:footnoteRef/>
      </w:r>
      <w:r w:rsidRPr="008376CC">
        <w:rPr>
          <w:rFonts w:ascii="Verdana" w:hAnsi="Verdana" w:cs="Arial"/>
          <w:sz w:val="15"/>
          <w:szCs w:val="15"/>
        </w:rPr>
        <w:t xml:space="preserve"> CORTE CONSTITUCIONAL. Sentencia C-949 del 5 de septiembre de 2001. M.P. Clara Inés Vargas Hernández.  </w:t>
      </w:r>
    </w:p>
  </w:footnote>
  <w:footnote w:id="2">
    <w:p w14:paraId="1CCD1654" w14:textId="77777777" w:rsidR="00433276" w:rsidRPr="008376CC" w:rsidRDefault="00433276" w:rsidP="00433276">
      <w:pPr>
        <w:pStyle w:val="Textonotapie"/>
        <w:ind w:firstLine="708"/>
        <w:jc w:val="both"/>
        <w:rPr>
          <w:rFonts w:ascii="Verdana" w:hAnsi="Verdana"/>
          <w:sz w:val="15"/>
          <w:szCs w:val="15"/>
          <w:lang w:val="es-CO"/>
        </w:rPr>
      </w:pPr>
      <w:r w:rsidRPr="008376CC">
        <w:rPr>
          <w:rStyle w:val="Refdenotaalpie"/>
          <w:rFonts w:ascii="Verdana" w:hAnsi="Verdana"/>
          <w:sz w:val="15"/>
          <w:szCs w:val="15"/>
        </w:rPr>
        <w:footnoteRef/>
      </w:r>
      <w:r w:rsidRPr="008376CC">
        <w:rPr>
          <w:rFonts w:ascii="Verdana" w:hAnsi="Verdana"/>
          <w:sz w:val="15"/>
          <w:szCs w:val="15"/>
        </w:rPr>
        <w:t xml:space="preserve"> SOMARRIVA UNDURRAGA, Manuel. Tratado de las cauciones. Santiago: Editorial Nascimento, 1943. pp. 39-40.</w:t>
      </w:r>
    </w:p>
  </w:footnote>
  <w:footnote w:id="3">
    <w:p w14:paraId="02DE4D8A" w14:textId="77777777" w:rsidR="00433276" w:rsidRPr="008376CC" w:rsidRDefault="00433276" w:rsidP="00433276">
      <w:pPr>
        <w:pStyle w:val="Textonotapie"/>
        <w:ind w:firstLine="708"/>
        <w:jc w:val="both"/>
        <w:rPr>
          <w:rFonts w:ascii="Verdana" w:hAnsi="Verdana"/>
          <w:sz w:val="15"/>
          <w:szCs w:val="15"/>
          <w:lang w:val="es-CO"/>
        </w:rPr>
      </w:pPr>
      <w:r w:rsidRPr="008376CC">
        <w:rPr>
          <w:rStyle w:val="Refdenotaalpie"/>
          <w:rFonts w:ascii="Verdana" w:hAnsi="Verdana"/>
          <w:sz w:val="15"/>
          <w:szCs w:val="15"/>
        </w:rPr>
        <w:footnoteRef/>
      </w:r>
      <w:r w:rsidRPr="008376CC">
        <w:rPr>
          <w:rFonts w:ascii="Verdana" w:hAnsi="Verdana"/>
          <w:sz w:val="15"/>
          <w:szCs w:val="15"/>
        </w:rPr>
        <w:t xml:space="preserve"> Cfr. </w:t>
      </w:r>
      <w:hyperlink r:id="rId1" w:history="1">
        <w:r w:rsidRPr="008376CC">
          <w:rPr>
            <w:rStyle w:val="Hipervnculo"/>
            <w:rFonts w:ascii="Verdana" w:hAnsi="Verdana"/>
            <w:sz w:val="15"/>
            <w:szCs w:val="15"/>
          </w:rPr>
          <w:t>https://www.colombiacompra.gov.co/wp-content/uploads/2024/10/cce-sec-gi-06_guia_de_creacion_de_proponentes_plurales_en_el_secop_ii_29-05-2024.pdf?_gl=1*un01d0*_ga*MTc5MzEwNzY5OC4xNzU1NjUyMTk1*_ga_FE1Z7272J6*czE3NTU2NTIxOTUkbzEkZzAkdDE3NTU2NTIxOTUkajYwJGwwJGgw</w:t>
        </w:r>
      </w:hyperlink>
      <w:r w:rsidRPr="008376CC">
        <w:rPr>
          <w:rFonts w:ascii="Verdana" w:hAnsi="Verdana"/>
          <w:sz w:val="15"/>
          <w:szCs w:val="15"/>
        </w:rPr>
        <w:t>, consultado el 19 de agosto de 2025.</w:t>
      </w:r>
    </w:p>
  </w:footnote>
  <w:footnote w:id="4">
    <w:p w14:paraId="25516361" w14:textId="77777777" w:rsidR="00433276" w:rsidRPr="008376CC" w:rsidRDefault="00433276" w:rsidP="00433276">
      <w:pPr>
        <w:pStyle w:val="Textonotapie"/>
        <w:ind w:firstLine="708"/>
        <w:jc w:val="both"/>
        <w:rPr>
          <w:rFonts w:ascii="Verdana" w:hAnsi="Verdana"/>
          <w:sz w:val="15"/>
          <w:szCs w:val="15"/>
          <w:lang w:val="es-CO"/>
        </w:rPr>
      </w:pPr>
      <w:r w:rsidRPr="008376CC">
        <w:rPr>
          <w:rStyle w:val="Refdenotaalpie"/>
          <w:rFonts w:ascii="Verdana" w:hAnsi="Verdana"/>
          <w:sz w:val="15"/>
          <w:szCs w:val="15"/>
        </w:rPr>
        <w:footnoteRef/>
      </w:r>
      <w:r w:rsidRPr="008376CC">
        <w:rPr>
          <w:rFonts w:ascii="Verdana" w:hAnsi="Verdana"/>
          <w:sz w:val="15"/>
          <w:szCs w:val="15"/>
        </w:rPr>
        <w:t xml:space="preserve"> El literal D del numeral 3.5.3 del documento base dispone que “Tratándose de Proponentes Plurales se tendrá en cuenta lo siguiente: i) uno de los integrantes debe aportar como mínimo el cincuenta por ciento (50 %) de la experiencia solicitada; </w:t>
      </w:r>
      <w:proofErr w:type="spellStart"/>
      <w:r w:rsidRPr="008376CC">
        <w:rPr>
          <w:rFonts w:ascii="Verdana" w:hAnsi="Verdana"/>
          <w:sz w:val="15"/>
          <w:szCs w:val="15"/>
        </w:rPr>
        <w:t>ii</w:t>
      </w:r>
      <w:proofErr w:type="spellEnd"/>
      <w:r w:rsidRPr="008376CC">
        <w:rPr>
          <w:rFonts w:ascii="Verdana" w:hAnsi="Verdana"/>
          <w:sz w:val="15"/>
          <w:szCs w:val="15"/>
        </w:rPr>
        <w:t xml:space="preserve">) los demás integrantes deben acreditar al menos el cinco por ciento (5 %) de la experiencia solicitada; y </w:t>
      </w:r>
      <w:proofErr w:type="spellStart"/>
      <w:r w:rsidRPr="008376CC">
        <w:rPr>
          <w:rFonts w:ascii="Verdana" w:hAnsi="Verdana"/>
          <w:sz w:val="15"/>
          <w:szCs w:val="15"/>
        </w:rPr>
        <w:t>iii</w:t>
      </w:r>
      <w:proofErr w:type="spellEnd"/>
      <w:r w:rsidRPr="008376CC">
        <w:rPr>
          <w:rFonts w:ascii="Verdana" w:hAnsi="Verdana"/>
          <w:sz w:val="15"/>
          <w:szCs w:val="15"/>
        </w:rPr>
        <w:t xml:space="preserve">) </w:t>
      </w:r>
      <w:r w:rsidRPr="008376CC">
        <w:rPr>
          <w:rFonts w:ascii="Verdana" w:hAnsi="Verdana"/>
          <w:i/>
          <w:iCs/>
          <w:sz w:val="15"/>
          <w:szCs w:val="15"/>
        </w:rPr>
        <w:t>sin perjuicio de lo anterior, solo uno (1) de los integrantes, si así lo considera pertinente, podrá no acreditar experiencia. En este último caso, el porcentaje de participación del integrante que no aporta experiencia en la estructura plural no podrá superar el diez por ciento (10 %)</w:t>
      </w:r>
      <w:r w:rsidRPr="008376CC">
        <w:rPr>
          <w:rFonts w:ascii="Verdana" w:hAnsi="Verdana"/>
          <w:sz w:val="15"/>
          <w:szCs w:val="15"/>
        </w:rPr>
        <w:t>” (Énfasis fuera de texto).</w:t>
      </w:r>
    </w:p>
  </w:footnote>
  <w:footnote w:id="5">
    <w:p w14:paraId="3E5E3537" w14:textId="77777777" w:rsidR="00433276" w:rsidRPr="008376CC" w:rsidRDefault="00433276" w:rsidP="00433276">
      <w:pPr>
        <w:pStyle w:val="Textonotapie"/>
        <w:ind w:firstLine="708"/>
        <w:jc w:val="both"/>
        <w:rPr>
          <w:rFonts w:ascii="Verdana" w:hAnsi="Verdana" w:cs="Arial"/>
          <w:sz w:val="15"/>
          <w:szCs w:val="15"/>
        </w:rPr>
      </w:pPr>
      <w:r w:rsidRPr="008376CC">
        <w:rPr>
          <w:rStyle w:val="Refdenotaalpie"/>
          <w:rFonts w:ascii="Verdana" w:hAnsi="Verdana" w:cs="Arial"/>
          <w:sz w:val="15"/>
          <w:szCs w:val="15"/>
        </w:rPr>
        <w:footnoteRef/>
      </w:r>
      <w:r w:rsidRPr="008376CC">
        <w:rPr>
          <w:rFonts w:ascii="Verdana" w:hAnsi="Verdana" w:cs="Arial"/>
          <w:sz w:val="15"/>
          <w:szCs w:val="15"/>
        </w:rPr>
        <w:t xml:space="preserve"> COMADIRA, Julio Rodolfo. La licitación pública como procedimiento administrativo especial: protección jurídica al oferente. En: El procedimiento administrativo y el control judicial de la administración pública. Madrid: Instituto Nacional de Administración Pública, 2001. pp. 305-307.</w:t>
      </w:r>
    </w:p>
  </w:footnote>
  <w:footnote w:id="6">
    <w:p w14:paraId="3F2C5992" w14:textId="77777777" w:rsidR="00433276" w:rsidRPr="008376CC" w:rsidRDefault="00433276" w:rsidP="00433276">
      <w:pPr>
        <w:pStyle w:val="Textonotapie"/>
        <w:ind w:firstLine="708"/>
        <w:jc w:val="both"/>
        <w:rPr>
          <w:rFonts w:ascii="Verdana" w:hAnsi="Verdana" w:cs="Arial"/>
          <w:sz w:val="15"/>
          <w:szCs w:val="15"/>
        </w:rPr>
      </w:pPr>
      <w:r w:rsidRPr="008376CC">
        <w:rPr>
          <w:rStyle w:val="Refdenotaalpie"/>
          <w:rFonts w:ascii="Verdana" w:hAnsi="Verdana" w:cs="Arial"/>
          <w:sz w:val="15"/>
          <w:szCs w:val="15"/>
        </w:rPr>
        <w:footnoteRef/>
      </w:r>
      <w:r w:rsidRPr="008376CC">
        <w:rPr>
          <w:rFonts w:ascii="Verdana" w:hAnsi="Verdana" w:cs="Arial"/>
          <w:sz w:val="15"/>
          <w:szCs w:val="15"/>
        </w:rPr>
        <w:t xml:space="preserve"> Cfr. DROMI, Roberto. La licitación pública. Buenos Aires: Ciudad Argentina, 1980. p. 134. Para ESCOBAR GIL, “La finalidad del principio es doble: en primer término, asegura a los asociados la igualdad de oportunidades promoviendo la participación del mayor número de oferentes, </w:t>
      </w:r>
      <w:proofErr w:type="gramStart"/>
      <w:r w:rsidRPr="008376CC">
        <w:rPr>
          <w:rFonts w:ascii="Verdana" w:hAnsi="Verdana" w:cs="Arial"/>
          <w:sz w:val="15"/>
          <w:szCs w:val="15"/>
        </w:rPr>
        <w:t>y</w:t>
      </w:r>
      <w:proofErr w:type="gramEnd"/>
      <w:r w:rsidRPr="008376CC">
        <w:rPr>
          <w:rFonts w:ascii="Verdana" w:hAnsi="Verdana" w:cs="Arial"/>
          <w:sz w:val="15"/>
          <w:szCs w:val="15"/>
        </w:rPr>
        <w:t xml:space="preserve"> en segundo lugar, facilitar la selección de quien presente la propuesta más favorable en beneficio del interés público […].</w:t>
      </w:r>
    </w:p>
    <w:p w14:paraId="237500AB" w14:textId="77777777" w:rsidR="00433276" w:rsidRPr="008376CC" w:rsidRDefault="00433276" w:rsidP="00433276">
      <w:pPr>
        <w:pStyle w:val="Textonotapie"/>
        <w:ind w:firstLine="708"/>
        <w:jc w:val="both"/>
        <w:rPr>
          <w:rFonts w:ascii="Verdana" w:hAnsi="Verdana" w:cs="Arial"/>
          <w:sz w:val="15"/>
          <w:szCs w:val="15"/>
        </w:rPr>
      </w:pPr>
      <w:r w:rsidRPr="008376CC">
        <w:rPr>
          <w:rFonts w:ascii="Verdana" w:hAnsi="Verdana" w:cs="Arial"/>
          <w:sz w:val="15"/>
          <w:szCs w:val="15"/>
        </w:rPr>
        <w:t>[…]</w:t>
      </w:r>
    </w:p>
    <w:p w14:paraId="5AA776A9" w14:textId="77777777" w:rsidR="00433276" w:rsidRPr="008376CC" w:rsidRDefault="00433276" w:rsidP="00433276">
      <w:pPr>
        <w:pStyle w:val="Textonotapie"/>
        <w:ind w:firstLine="708"/>
        <w:jc w:val="both"/>
        <w:rPr>
          <w:rFonts w:ascii="Verdana" w:hAnsi="Verdana" w:cs="Arial"/>
          <w:sz w:val="15"/>
          <w:szCs w:val="15"/>
        </w:rPr>
      </w:pPr>
      <w:r w:rsidRPr="008376CC">
        <w:rPr>
          <w:rFonts w:ascii="Verdana" w:hAnsi="Verdana" w:cs="Arial"/>
          <w:sz w:val="15"/>
          <w:szCs w:val="15"/>
        </w:rPr>
        <w:t xml:space="preserve">Así mismo, repugna al principio de libertad de concurrencia, la fijación por parte de la Administración Pública de obstáculos y trabas a la participación de los proponentes […]” (Cfr. ESCOBAR GIL, Rodrigo. Teoría general de los contratos de la Administración Pública. Bogotá: Legis, 2000. pp. 154-155).   </w:t>
      </w:r>
    </w:p>
  </w:footnote>
  <w:footnote w:id="7">
    <w:p w14:paraId="658029BA" w14:textId="77777777" w:rsidR="00433276" w:rsidRPr="008376CC" w:rsidRDefault="00433276" w:rsidP="00433276">
      <w:pPr>
        <w:pStyle w:val="Textonotapie"/>
        <w:ind w:firstLine="708"/>
        <w:jc w:val="both"/>
        <w:rPr>
          <w:rFonts w:ascii="Verdana" w:hAnsi="Verdana" w:cs="Arial"/>
          <w:sz w:val="15"/>
          <w:szCs w:val="15"/>
        </w:rPr>
      </w:pPr>
      <w:r w:rsidRPr="008376CC">
        <w:rPr>
          <w:rStyle w:val="Refdenotaalpie"/>
          <w:rFonts w:ascii="Verdana" w:hAnsi="Verdana" w:cs="Arial"/>
          <w:sz w:val="15"/>
          <w:szCs w:val="15"/>
        </w:rPr>
        <w:footnoteRef/>
      </w:r>
      <w:r w:rsidRPr="008376CC">
        <w:rPr>
          <w:rFonts w:ascii="Verdana" w:hAnsi="Verdana" w:cs="Arial"/>
          <w:sz w:val="15"/>
          <w:szCs w:val="15"/>
        </w:rPr>
        <w:t xml:space="preserve"> Cfr. RAZQUIN LIZARRAGA, Martín María. Los principios generales de la contratación pública. En: Tratado de los contratos del sector público. Tomo I. Valencia: Tirant lo Blanch, 2018. p. 194 y 210.</w:t>
      </w:r>
    </w:p>
  </w:footnote>
  <w:footnote w:id="8">
    <w:p w14:paraId="00CDB9D6" w14:textId="77777777" w:rsidR="00433276" w:rsidRPr="008376CC" w:rsidRDefault="00433276" w:rsidP="00433276">
      <w:pPr>
        <w:pStyle w:val="Textonotapie"/>
        <w:ind w:firstLine="708"/>
        <w:jc w:val="both"/>
        <w:rPr>
          <w:rFonts w:ascii="Verdana" w:hAnsi="Verdana" w:cs="Arial"/>
          <w:sz w:val="15"/>
          <w:szCs w:val="15"/>
        </w:rPr>
      </w:pPr>
      <w:r w:rsidRPr="008376CC">
        <w:rPr>
          <w:rStyle w:val="Refdenotaalpie"/>
          <w:rFonts w:ascii="Verdana" w:hAnsi="Verdana" w:cs="Arial"/>
          <w:sz w:val="15"/>
          <w:szCs w:val="15"/>
        </w:rPr>
        <w:footnoteRef/>
      </w:r>
      <w:r w:rsidRPr="008376CC">
        <w:rPr>
          <w:rFonts w:ascii="Verdana" w:hAnsi="Verdana" w:cs="Arial"/>
          <w:sz w:val="15"/>
          <w:szCs w:val="15"/>
        </w:rPr>
        <w:t xml:space="preserve"> Respecto a los factores de evaluación, PALACIO HINCAPIÉ considera que “No puede incluirse como factor de escogencia el hecho de que el proponente resida en el domicilio de la entidad contratante, pues ello viola la igualdad de los oferentes; […] tampoco ser nacional o pertenecer a la industria nacional, pues no hay esa protección […]” (PALACIO HINCAPIÉ, Juan Ángel. La contratación de las entidades estatales. Octava edición. Medellín: Librería Jurídica Sánchez R. SAS, 2020. pp. 251-252). Por su parte, GONZÁLEZ LÓPEZ estima que “[…] sería violatorio del principio de igualdad el establecer criterios de ponderación superiores respecto de su origen local y departamental” (p. GONZÁLEZ LÓPEZ, Edgar. El pliego de condiciones en la contratación estatal: la reforma consagrada en la Ley 1150 de 2007 y sus decretos reglamentarios. Bogotá: Universidad Externado de Colombia, 2012. p. 120).</w:t>
      </w:r>
    </w:p>
    <w:p w14:paraId="6F5F047B" w14:textId="77777777" w:rsidR="00433276" w:rsidRPr="008376CC" w:rsidRDefault="00433276" w:rsidP="00433276">
      <w:pPr>
        <w:pStyle w:val="Textonotapie"/>
        <w:ind w:firstLine="708"/>
        <w:jc w:val="both"/>
        <w:rPr>
          <w:rFonts w:ascii="Verdana" w:hAnsi="Verdana" w:cs="Arial"/>
          <w:sz w:val="15"/>
          <w:szCs w:val="15"/>
        </w:rPr>
      </w:pPr>
      <w:r w:rsidRPr="008376CC">
        <w:rPr>
          <w:rFonts w:ascii="Verdana" w:hAnsi="Verdana" w:cs="Arial"/>
          <w:sz w:val="15"/>
          <w:szCs w:val="15"/>
        </w:rPr>
        <w:t>Por ello, el Concepto 2201913000006511 del 3 de septiembre de 2019 menciona los siguiente: “[…] si la jurisprudencia proscribió fijar este criterio como factor de evaluación, con más razón se debe prohibir como requisito habilitante, porque ellos verifican la aptitud del proponente para presentarse a un proceso de contratación y esta exigencia no determina la aptitud del proponente para ejecutar el contrato. En este sentido, las entidades estatales no deben establecer como requisito habilitante la exigencia que el proponente resida en el lugar donde se ejecutará el contrato”.</w:t>
      </w:r>
    </w:p>
  </w:footnote>
  <w:footnote w:id="9">
    <w:p w14:paraId="2B3BD64D" w14:textId="77777777" w:rsidR="00433276" w:rsidRPr="008376CC" w:rsidRDefault="00433276" w:rsidP="00433276">
      <w:pPr>
        <w:pStyle w:val="Textonotapie"/>
        <w:ind w:firstLine="708"/>
        <w:jc w:val="both"/>
        <w:rPr>
          <w:rFonts w:ascii="Verdana" w:hAnsi="Verdana" w:cs="Arial"/>
          <w:sz w:val="15"/>
          <w:szCs w:val="15"/>
        </w:rPr>
      </w:pPr>
      <w:r w:rsidRPr="008376CC">
        <w:rPr>
          <w:rStyle w:val="Refdenotaalpie"/>
          <w:rFonts w:ascii="Verdana" w:hAnsi="Verdana" w:cs="Arial"/>
          <w:sz w:val="15"/>
          <w:szCs w:val="15"/>
        </w:rPr>
        <w:footnoteRef/>
      </w:r>
      <w:r w:rsidRPr="008376CC">
        <w:rPr>
          <w:rFonts w:ascii="Verdana" w:hAnsi="Verdana" w:cs="Arial"/>
          <w:sz w:val="15"/>
          <w:szCs w:val="15"/>
        </w:rPr>
        <w:t xml:space="preserve"> Excepcionalmente, algunas normas acotan ámbitos territoriales para la ejecución negocio jurídico. Por ejemplo, el inciso primero del artículo 95 de la Ley 2166 del 2021 dispone que “Se autoriza a los entes territoriales del orden Nacional, Departamental, Distrital y municipal para celebrar directamente convenios solidarios con los Organismos de Acción Comunal con el fin de ejecutar obras hasta por la menor cuantía. Para la ejecución de estas deberán contratar con los habitantes de la comunidad”. Esta norma debe concordarse con el artículo 9 </w:t>
      </w:r>
      <w:r w:rsidRPr="008376CC">
        <w:rPr>
          <w:rFonts w:ascii="Verdana" w:hAnsi="Verdana" w:cs="Arial"/>
          <w:i/>
          <w:iCs/>
          <w:sz w:val="15"/>
          <w:szCs w:val="15"/>
        </w:rPr>
        <w:t>ibidem</w:t>
      </w:r>
      <w:r w:rsidRPr="008376CC">
        <w:rPr>
          <w:rFonts w:ascii="Verdana" w:hAnsi="Verdana" w:cs="Arial"/>
          <w:sz w:val="15"/>
          <w:szCs w:val="15"/>
        </w:rPr>
        <w:t>, el cual dispone lo siguiente: “</w:t>
      </w:r>
      <w:r w:rsidRPr="008376CC">
        <w:rPr>
          <w:rFonts w:ascii="Verdana" w:hAnsi="Verdana" w:cs="Arial"/>
          <w:i/>
          <w:iCs/>
          <w:sz w:val="15"/>
          <w:szCs w:val="15"/>
        </w:rPr>
        <w:t>Cada organismo de acción comunal desarrollará sus actividades dentro de un territorio delimitado</w:t>
      </w:r>
      <w:r w:rsidRPr="008376CC">
        <w:rPr>
          <w:rFonts w:ascii="Verdana" w:hAnsi="Verdana" w:cs="Arial"/>
          <w:sz w:val="15"/>
          <w:szCs w:val="15"/>
        </w:rPr>
        <w:t xml:space="preserve"> […]” (Énfasis fuera de texto).</w:t>
      </w:r>
    </w:p>
    <w:p w14:paraId="31991154" w14:textId="77777777" w:rsidR="00433276" w:rsidRPr="008376CC" w:rsidRDefault="00433276" w:rsidP="00433276">
      <w:pPr>
        <w:pStyle w:val="Textonotapie"/>
        <w:ind w:firstLine="708"/>
        <w:jc w:val="both"/>
        <w:rPr>
          <w:rFonts w:ascii="Verdana" w:hAnsi="Verdana" w:cs="Arial"/>
          <w:sz w:val="15"/>
          <w:szCs w:val="15"/>
        </w:rPr>
      </w:pPr>
      <w:r w:rsidRPr="008376CC">
        <w:rPr>
          <w:rFonts w:ascii="Verdana" w:hAnsi="Verdana" w:cs="Arial"/>
          <w:sz w:val="15"/>
          <w:szCs w:val="15"/>
        </w:rPr>
        <w:t xml:space="preserve">Asimismo, de acuerdo con el artículo 101.1 de la Ley 2294 de 2023, a través de las Asociaciones de Iniciativa Público Popular “[…] se podrá desarrollar el diseño, construcción, renovación, reparación, mejoramiento, equipamiento, gestión, operación y mantenimiento de proyectos de infraestructura y demás actividades técnicas necesarias </w:t>
      </w:r>
      <w:r w:rsidRPr="008376CC">
        <w:rPr>
          <w:rFonts w:ascii="Verdana" w:hAnsi="Verdana" w:cs="Arial"/>
          <w:i/>
          <w:iCs/>
          <w:sz w:val="15"/>
          <w:szCs w:val="15"/>
        </w:rPr>
        <w:t>para el cumplimiento del contrato en el respectivo territorio de la respectiva comunidad</w:t>
      </w:r>
      <w:r w:rsidRPr="008376CC">
        <w:rPr>
          <w:rFonts w:ascii="Verdana" w:hAnsi="Verdana" w:cs="Arial"/>
          <w:sz w:val="15"/>
          <w:szCs w:val="15"/>
        </w:rPr>
        <w:t>” (Énfasis fuera de texto).</w:t>
      </w:r>
    </w:p>
  </w:footnote>
  <w:footnote w:id="10">
    <w:p w14:paraId="583A96AF" w14:textId="77777777" w:rsidR="00433276" w:rsidRPr="008376CC" w:rsidRDefault="00433276" w:rsidP="00433276">
      <w:pPr>
        <w:pStyle w:val="Textonotapie"/>
        <w:ind w:firstLine="708"/>
        <w:jc w:val="both"/>
        <w:rPr>
          <w:rFonts w:ascii="Verdana" w:hAnsi="Verdana" w:cs="Arial"/>
          <w:color w:val="000000" w:themeColor="text1"/>
          <w:sz w:val="15"/>
          <w:szCs w:val="15"/>
        </w:rPr>
      </w:pPr>
      <w:r w:rsidRPr="008376CC">
        <w:rPr>
          <w:rStyle w:val="Refdenotaalpie"/>
          <w:rFonts w:ascii="Verdana" w:hAnsi="Verdana" w:cs="Arial"/>
          <w:color w:val="000000" w:themeColor="text1"/>
          <w:sz w:val="15"/>
          <w:szCs w:val="15"/>
        </w:rPr>
        <w:footnoteRef/>
      </w:r>
      <w:r w:rsidRPr="008376CC">
        <w:rPr>
          <w:rFonts w:ascii="Verdana" w:hAnsi="Verdana" w:cs="Arial"/>
          <w:color w:val="000000" w:themeColor="text1"/>
          <w:sz w:val="15"/>
          <w:szCs w:val="15"/>
        </w:rPr>
        <w:t xml:space="preserve"> Esta norma prescribe que “Para que una persona se obligue a otra por un acto o declaración de voluntad, es necesario:</w:t>
      </w:r>
    </w:p>
    <w:p w14:paraId="5AB3A93D" w14:textId="77777777" w:rsidR="00433276" w:rsidRPr="008376CC" w:rsidRDefault="00433276" w:rsidP="00433276">
      <w:pPr>
        <w:pStyle w:val="Textonotapie"/>
        <w:ind w:firstLine="708"/>
        <w:jc w:val="both"/>
        <w:rPr>
          <w:rFonts w:ascii="Verdana" w:hAnsi="Verdana" w:cs="Arial"/>
          <w:color w:val="000000" w:themeColor="text1"/>
          <w:sz w:val="15"/>
          <w:szCs w:val="15"/>
        </w:rPr>
      </w:pPr>
      <w:r w:rsidRPr="008376CC">
        <w:rPr>
          <w:rFonts w:ascii="Verdana" w:hAnsi="Verdana" w:cs="Arial"/>
          <w:color w:val="000000" w:themeColor="text1"/>
          <w:sz w:val="15"/>
          <w:szCs w:val="15"/>
        </w:rPr>
        <w:t>1o.) que sea legalmente capaz;</w:t>
      </w:r>
    </w:p>
    <w:p w14:paraId="3970780E" w14:textId="77777777" w:rsidR="00433276" w:rsidRPr="008376CC" w:rsidRDefault="00433276" w:rsidP="00433276">
      <w:pPr>
        <w:pStyle w:val="Textonotapie"/>
        <w:ind w:firstLine="708"/>
        <w:jc w:val="both"/>
        <w:rPr>
          <w:rFonts w:ascii="Verdana" w:hAnsi="Verdana" w:cs="Arial"/>
          <w:color w:val="000000" w:themeColor="text1"/>
          <w:sz w:val="15"/>
          <w:szCs w:val="15"/>
        </w:rPr>
      </w:pPr>
      <w:r w:rsidRPr="008376CC">
        <w:rPr>
          <w:rFonts w:ascii="Verdana" w:hAnsi="Verdana" w:cs="Arial"/>
          <w:color w:val="000000" w:themeColor="text1"/>
          <w:sz w:val="15"/>
          <w:szCs w:val="15"/>
        </w:rPr>
        <w:t>2o.) que consienta en dicho acto o declaración y su consentimiento no adolezca de vicio;</w:t>
      </w:r>
    </w:p>
    <w:p w14:paraId="2ABA8455" w14:textId="77777777" w:rsidR="00433276" w:rsidRPr="008376CC" w:rsidRDefault="00433276" w:rsidP="00433276">
      <w:pPr>
        <w:pStyle w:val="Textonotapie"/>
        <w:ind w:firstLine="708"/>
        <w:jc w:val="both"/>
        <w:rPr>
          <w:rFonts w:ascii="Verdana" w:hAnsi="Verdana" w:cs="Arial"/>
          <w:color w:val="000000" w:themeColor="text1"/>
          <w:sz w:val="15"/>
          <w:szCs w:val="15"/>
        </w:rPr>
      </w:pPr>
      <w:r w:rsidRPr="008376CC">
        <w:rPr>
          <w:rFonts w:ascii="Verdana" w:hAnsi="Verdana" w:cs="Arial"/>
          <w:color w:val="000000" w:themeColor="text1"/>
          <w:sz w:val="15"/>
          <w:szCs w:val="15"/>
        </w:rPr>
        <w:t>3o.) que recaiga sobre un objeto lícito;</w:t>
      </w:r>
    </w:p>
    <w:p w14:paraId="50738326" w14:textId="77777777" w:rsidR="00433276" w:rsidRPr="008376CC" w:rsidRDefault="00433276" w:rsidP="00433276">
      <w:pPr>
        <w:pStyle w:val="Textonotapie"/>
        <w:ind w:firstLine="708"/>
        <w:jc w:val="both"/>
        <w:rPr>
          <w:rFonts w:ascii="Verdana" w:hAnsi="Verdana" w:cs="Arial"/>
          <w:color w:val="000000" w:themeColor="text1"/>
          <w:sz w:val="15"/>
          <w:szCs w:val="15"/>
        </w:rPr>
      </w:pPr>
      <w:r w:rsidRPr="008376CC">
        <w:rPr>
          <w:rFonts w:ascii="Verdana" w:hAnsi="Verdana" w:cs="Arial"/>
          <w:color w:val="000000" w:themeColor="text1"/>
          <w:sz w:val="15"/>
          <w:szCs w:val="15"/>
        </w:rPr>
        <w:t>4o.) que tenga una causa lícita.</w:t>
      </w:r>
    </w:p>
    <w:p w14:paraId="7A7B3393" w14:textId="77777777" w:rsidR="00433276" w:rsidRPr="008376CC" w:rsidRDefault="00433276" w:rsidP="00433276">
      <w:pPr>
        <w:pStyle w:val="Textonotapie"/>
        <w:ind w:firstLine="708"/>
        <w:jc w:val="both"/>
        <w:rPr>
          <w:rFonts w:ascii="Verdana" w:hAnsi="Verdana" w:cs="Arial"/>
          <w:color w:val="000000" w:themeColor="text1"/>
          <w:sz w:val="15"/>
          <w:szCs w:val="15"/>
        </w:rPr>
      </w:pPr>
      <w:r w:rsidRPr="008376CC">
        <w:rPr>
          <w:rFonts w:ascii="Verdana" w:hAnsi="Verdana" w:cs="Arial"/>
          <w:color w:val="000000" w:themeColor="text1"/>
          <w:sz w:val="15"/>
          <w:szCs w:val="15"/>
        </w:rPr>
        <w:t>La capacidad legal de una persona consiste en poderse obligar por sí misma, y sin el ministerio o la autorización de otra”.</w:t>
      </w:r>
    </w:p>
  </w:footnote>
  <w:footnote w:id="11">
    <w:p w14:paraId="63768862" w14:textId="77777777" w:rsidR="00433276" w:rsidRPr="008376CC" w:rsidRDefault="00433276" w:rsidP="00433276">
      <w:pPr>
        <w:pStyle w:val="Textonotapie"/>
        <w:ind w:firstLine="708"/>
        <w:jc w:val="both"/>
        <w:rPr>
          <w:rFonts w:ascii="Verdana" w:hAnsi="Verdana" w:cs="Arial"/>
          <w:sz w:val="15"/>
          <w:szCs w:val="15"/>
        </w:rPr>
      </w:pPr>
      <w:r w:rsidRPr="008376CC">
        <w:rPr>
          <w:rStyle w:val="Refdenotaalpie"/>
          <w:rFonts w:ascii="Verdana" w:hAnsi="Verdana" w:cs="Arial"/>
          <w:sz w:val="15"/>
          <w:szCs w:val="15"/>
        </w:rPr>
        <w:footnoteRef/>
      </w:r>
      <w:r w:rsidRPr="008376CC">
        <w:rPr>
          <w:rFonts w:ascii="Verdana" w:hAnsi="Verdana" w:cs="Arial"/>
          <w:sz w:val="15"/>
          <w:szCs w:val="15"/>
        </w:rPr>
        <w:t xml:space="preserve"> Para el Consejo de Estado “[…] la capacidad jurídica en la contratación estatal se integra no solamente por la capacidad de goce y la capacidad de ejercicio del proponente sino también por la ausencia de inhabilidades o incompatibilidades de su parte. En otros términos, en la actividad negocial de la administración tiene capacidad jurídica el proponente que existe, que tiene plena capacidad de ejercicio o de obrar y que no tiene inhabilidad o impedimento alguno para intervenir en el </w:t>
      </w:r>
      <w:proofErr w:type="spellStart"/>
      <w:r w:rsidRPr="008376CC">
        <w:rPr>
          <w:rFonts w:ascii="Verdana" w:hAnsi="Verdana" w:cs="Arial"/>
          <w:sz w:val="15"/>
          <w:szCs w:val="15"/>
        </w:rPr>
        <w:t>iter</w:t>
      </w:r>
      <w:proofErr w:type="spellEnd"/>
      <w:r w:rsidRPr="008376CC">
        <w:rPr>
          <w:rFonts w:ascii="Verdana" w:hAnsi="Verdana" w:cs="Arial"/>
          <w:sz w:val="15"/>
          <w:szCs w:val="15"/>
        </w:rPr>
        <w:t xml:space="preserve"> contractual” (CONSEJO DE ESTADO. Sección Tercera. Sentencia del 26 de enero de 2011. Rad. 36.408. C.P. Jaime Orlando Santofimio Gamboa).</w:t>
      </w:r>
    </w:p>
  </w:footnote>
  <w:footnote w:id="12">
    <w:p w14:paraId="555B0CB7" w14:textId="77777777" w:rsidR="00433276" w:rsidRPr="008376CC" w:rsidRDefault="00433276" w:rsidP="00433276">
      <w:pPr>
        <w:pStyle w:val="Textonotapie"/>
        <w:ind w:firstLine="708"/>
        <w:jc w:val="both"/>
        <w:rPr>
          <w:rFonts w:ascii="Verdana" w:hAnsi="Verdana" w:cs="Arial"/>
          <w:sz w:val="15"/>
          <w:szCs w:val="15"/>
        </w:rPr>
      </w:pPr>
      <w:r w:rsidRPr="008376CC">
        <w:rPr>
          <w:rStyle w:val="Refdenotaalpie"/>
          <w:rFonts w:ascii="Verdana" w:hAnsi="Verdana" w:cs="Arial"/>
          <w:sz w:val="15"/>
          <w:szCs w:val="15"/>
        </w:rPr>
        <w:footnoteRef/>
      </w:r>
      <w:r w:rsidRPr="008376CC">
        <w:rPr>
          <w:rFonts w:ascii="Verdana" w:hAnsi="Verdana" w:cs="Arial"/>
          <w:sz w:val="15"/>
          <w:szCs w:val="15"/>
        </w:rPr>
        <w:t xml:space="preserve"> En lo pertinente, el artículo 12 de la Ley 1150 de 2007 –</w:t>
      </w:r>
      <w:r w:rsidRPr="008376CC">
        <w:rPr>
          <w:rFonts w:ascii="Verdana" w:hAnsi="Verdana"/>
          <w:sz w:val="15"/>
          <w:szCs w:val="15"/>
        </w:rPr>
        <w:t xml:space="preserve"> </w:t>
      </w:r>
      <w:r w:rsidRPr="008376CC">
        <w:rPr>
          <w:rFonts w:ascii="Verdana" w:hAnsi="Verdana" w:cs="Arial"/>
          <w:sz w:val="15"/>
          <w:szCs w:val="15"/>
        </w:rPr>
        <w:t xml:space="preserve">modificado por el artículo 34 de la Ley de Emprendimiento– dispone que “De conformidad con lo dispuesto en los artículos 13, 333 y 334 de la Constitución Política, el Gobierno Nacional definirá las condiciones y los montos de acuerdo con los compromisos internacionales vigentes, para que, en desarrollo de los Procesos de Contratación, las Entidades Estatales indistintamente de su régimen de contratación, los patrimonios autónomos constituidos por Entidades Estatales y los particulares que ejecuten recursos públicos, adopten en beneficio de las </w:t>
      </w:r>
      <w:proofErr w:type="spellStart"/>
      <w:r w:rsidRPr="008376CC">
        <w:rPr>
          <w:rFonts w:ascii="Verdana" w:hAnsi="Verdana" w:cs="Arial"/>
          <w:sz w:val="15"/>
          <w:szCs w:val="15"/>
        </w:rPr>
        <w:t>Mipyme</w:t>
      </w:r>
      <w:proofErr w:type="spellEnd"/>
      <w:r w:rsidRPr="008376CC">
        <w:rPr>
          <w:rFonts w:ascii="Verdana" w:hAnsi="Verdana" w:cs="Arial"/>
          <w:sz w:val="15"/>
          <w:szCs w:val="15"/>
        </w:rPr>
        <w:t xml:space="preserve">, convocatorias limitadas a estas en las que, previo a la Resolución de apertura del proceso respectivo, se haya manifestado el interés de por lo menos dos (2) </w:t>
      </w:r>
      <w:proofErr w:type="spellStart"/>
      <w:r w:rsidRPr="008376CC">
        <w:rPr>
          <w:rFonts w:ascii="Verdana" w:hAnsi="Verdana" w:cs="Arial"/>
          <w:sz w:val="15"/>
          <w:szCs w:val="15"/>
        </w:rPr>
        <w:t>Mipyme</w:t>
      </w:r>
      <w:proofErr w:type="spellEnd"/>
      <w:r w:rsidRPr="008376CC">
        <w:rPr>
          <w:rFonts w:ascii="Verdana" w:hAnsi="Verdana" w:cs="Arial"/>
          <w:sz w:val="15"/>
          <w:szCs w:val="15"/>
        </w:rPr>
        <w:t>.</w:t>
      </w:r>
    </w:p>
    <w:p w14:paraId="21039EA6" w14:textId="77777777" w:rsidR="00433276" w:rsidRPr="008376CC" w:rsidRDefault="00433276" w:rsidP="00433276">
      <w:pPr>
        <w:pStyle w:val="Textonotapie"/>
        <w:ind w:firstLine="708"/>
        <w:jc w:val="both"/>
        <w:rPr>
          <w:rFonts w:ascii="Verdana" w:hAnsi="Verdana" w:cs="Arial"/>
          <w:sz w:val="15"/>
          <w:szCs w:val="15"/>
        </w:rPr>
      </w:pPr>
      <w:r w:rsidRPr="008376CC">
        <w:rPr>
          <w:rFonts w:ascii="Verdana" w:hAnsi="Verdana" w:cs="Arial"/>
          <w:sz w:val="15"/>
          <w:szCs w:val="15"/>
        </w:rPr>
        <w:t>[…]</w:t>
      </w:r>
    </w:p>
    <w:p w14:paraId="22EA1BCD" w14:textId="77777777" w:rsidR="00433276" w:rsidRPr="008376CC" w:rsidRDefault="00433276" w:rsidP="00433276">
      <w:pPr>
        <w:pStyle w:val="Textonotapie"/>
        <w:ind w:firstLine="708"/>
        <w:jc w:val="both"/>
        <w:rPr>
          <w:rFonts w:ascii="Verdana" w:hAnsi="Verdana" w:cs="Arial"/>
          <w:sz w:val="15"/>
          <w:szCs w:val="15"/>
        </w:rPr>
      </w:pPr>
      <w:r w:rsidRPr="008376CC">
        <w:rPr>
          <w:rFonts w:ascii="Verdana" w:hAnsi="Verdana" w:cs="Arial"/>
          <w:sz w:val="15"/>
          <w:szCs w:val="15"/>
        </w:rPr>
        <w:t xml:space="preserve">PARÁGRAFO 1o. En los Procesos de Contratación que se desarrollen con base en el primer inciso, las entidades podrán realizar las convocatorias limitadas que beneficien a las </w:t>
      </w:r>
      <w:proofErr w:type="spellStart"/>
      <w:r w:rsidRPr="008376CC">
        <w:rPr>
          <w:rFonts w:ascii="Verdana" w:hAnsi="Verdana" w:cs="Arial"/>
          <w:sz w:val="15"/>
          <w:szCs w:val="15"/>
        </w:rPr>
        <w:t>Mipyme</w:t>
      </w:r>
      <w:proofErr w:type="spellEnd"/>
      <w:r w:rsidRPr="008376CC">
        <w:rPr>
          <w:rFonts w:ascii="Verdana" w:hAnsi="Verdana" w:cs="Arial"/>
          <w:sz w:val="15"/>
          <w:szCs w:val="15"/>
        </w:rPr>
        <w:t xml:space="preserve"> del ámbito municipal o departamental correspondiente al de la ejecución del contrato.</w:t>
      </w:r>
    </w:p>
    <w:p w14:paraId="0A39449E" w14:textId="77777777" w:rsidR="00433276" w:rsidRPr="008376CC" w:rsidRDefault="00433276" w:rsidP="00433276">
      <w:pPr>
        <w:pStyle w:val="Textonotapie"/>
        <w:ind w:firstLine="708"/>
        <w:jc w:val="both"/>
        <w:rPr>
          <w:rFonts w:ascii="Verdana" w:hAnsi="Verdana" w:cs="Arial"/>
          <w:sz w:val="15"/>
          <w:szCs w:val="15"/>
        </w:rPr>
      </w:pPr>
      <w:r w:rsidRPr="008376CC">
        <w:rPr>
          <w:rFonts w:ascii="Verdana" w:hAnsi="Verdana" w:cs="Arial"/>
          <w:sz w:val="15"/>
          <w:szCs w:val="15"/>
        </w:rPr>
        <w:t xml:space="preserve">[…]”. </w:t>
      </w:r>
    </w:p>
  </w:footnote>
  <w:footnote w:id="13">
    <w:p w14:paraId="520A1D44" w14:textId="77777777" w:rsidR="00433276" w:rsidRPr="008376CC" w:rsidRDefault="00433276" w:rsidP="00433276">
      <w:pPr>
        <w:pStyle w:val="Textonotapie"/>
        <w:ind w:firstLine="709"/>
        <w:jc w:val="both"/>
        <w:rPr>
          <w:rFonts w:ascii="Verdana" w:hAnsi="Verdana" w:cs="Arial"/>
          <w:color w:val="000000" w:themeColor="text1"/>
          <w:sz w:val="15"/>
          <w:szCs w:val="15"/>
          <w:lang w:val="es-ES"/>
        </w:rPr>
      </w:pPr>
      <w:r w:rsidRPr="008376CC">
        <w:rPr>
          <w:rStyle w:val="Refdenotaalpie"/>
          <w:rFonts w:ascii="Verdana" w:hAnsi="Verdana" w:cs="Arial"/>
          <w:color w:val="000000" w:themeColor="text1"/>
          <w:sz w:val="15"/>
          <w:szCs w:val="15"/>
        </w:rPr>
        <w:footnoteRef/>
      </w:r>
      <w:r w:rsidRPr="008376CC">
        <w:rPr>
          <w:rFonts w:ascii="Verdana" w:hAnsi="Verdana" w:cs="Arial"/>
          <w:color w:val="000000" w:themeColor="text1"/>
          <w:sz w:val="15"/>
          <w:szCs w:val="15"/>
        </w:rPr>
        <w:t xml:space="preserve"> </w:t>
      </w:r>
      <w:r w:rsidRPr="008376CC">
        <w:rPr>
          <w:rFonts w:ascii="Verdana" w:hAnsi="Verdana" w:cs="Arial"/>
          <w:color w:val="000000" w:themeColor="text1"/>
          <w:sz w:val="15"/>
          <w:szCs w:val="15"/>
          <w:lang w:val="es-ES"/>
        </w:rPr>
        <w:t>El tenor del artículo 20 es el siguiente: “En los procesos de contratación estatal se concederá al proponente de bienes y servicios de origen extranjero, el mismo tratamiento y en las mismas condiciones, requisitos, procedimientos y criterios de adjudicación que el tratamiento concedido al nacional, exclusivamente bajo el principio de reciprocidad.</w:t>
      </w:r>
    </w:p>
    <w:p w14:paraId="6911988F" w14:textId="77777777" w:rsidR="00433276" w:rsidRPr="008376CC" w:rsidRDefault="00433276" w:rsidP="00433276">
      <w:pPr>
        <w:pStyle w:val="Textonotapie"/>
        <w:ind w:firstLine="709"/>
        <w:jc w:val="both"/>
        <w:rPr>
          <w:rFonts w:ascii="Verdana" w:hAnsi="Verdana" w:cs="Arial"/>
          <w:color w:val="000000" w:themeColor="text1"/>
          <w:sz w:val="15"/>
          <w:szCs w:val="15"/>
          <w:lang w:val="es-ES"/>
        </w:rPr>
      </w:pPr>
      <w:r w:rsidRPr="008376CC">
        <w:rPr>
          <w:rFonts w:ascii="Verdana" w:hAnsi="Verdana" w:cs="Arial"/>
          <w:color w:val="000000" w:themeColor="text1"/>
          <w:sz w:val="15"/>
          <w:szCs w:val="15"/>
          <w:lang w:val="es-ES"/>
        </w:rPr>
        <w:t>Se entiende por principio de reciprocidad, el compromiso adquirido por otro país, mediante acuerdo, tratado o convenio celebrado con Colombia, en el sentido de que a las ofertas de bienes y servicios colombianos se les concederá en ese país el mismo tratamiento otorgado a sus nacionales en cuanto a las condiciones, requisitos, procedimientos y criterios para la adjudicación de los contratos celebrados con el sector público.</w:t>
      </w:r>
    </w:p>
    <w:p w14:paraId="6316A480" w14:textId="77777777" w:rsidR="00433276" w:rsidRPr="008376CC" w:rsidRDefault="00433276" w:rsidP="00433276">
      <w:pPr>
        <w:pStyle w:val="Textonotapie"/>
        <w:ind w:firstLine="709"/>
        <w:jc w:val="both"/>
        <w:rPr>
          <w:rFonts w:ascii="Verdana" w:hAnsi="Verdana" w:cs="Arial"/>
          <w:color w:val="000000" w:themeColor="text1"/>
          <w:sz w:val="15"/>
          <w:szCs w:val="15"/>
          <w:lang w:val="es-ES"/>
        </w:rPr>
      </w:pPr>
      <w:r w:rsidRPr="008376CC">
        <w:rPr>
          <w:rFonts w:ascii="Verdana" w:hAnsi="Verdana" w:cs="Arial"/>
          <w:color w:val="000000" w:themeColor="text1"/>
          <w:sz w:val="15"/>
          <w:szCs w:val="15"/>
          <w:lang w:val="es-ES"/>
        </w:rPr>
        <w:t>PARÁGRAFO 1o. El Gobierno Nacional, en los acuerdos, tratados o convenios que celebre para estos efectos, deberá establecer todos los mecanismos necesarios para hacer cumplir el tratamiento igualitario entre el nacional y el extranjero tanto en Colombia como en el territorio del país con quien se celebre el mencionado acuerdo, convenio o tratado.</w:t>
      </w:r>
    </w:p>
    <w:p w14:paraId="76B1BAAF" w14:textId="77777777" w:rsidR="00433276" w:rsidRPr="008376CC" w:rsidRDefault="00433276" w:rsidP="00433276">
      <w:pPr>
        <w:pStyle w:val="Textonotapie"/>
        <w:ind w:firstLine="709"/>
        <w:jc w:val="both"/>
        <w:rPr>
          <w:rFonts w:ascii="Verdana" w:hAnsi="Verdana" w:cs="Arial"/>
          <w:color w:val="000000" w:themeColor="text1"/>
          <w:sz w:val="15"/>
          <w:szCs w:val="15"/>
          <w:lang w:val="es-ES"/>
        </w:rPr>
      </w:pPr>
      <w:r w:rsidRPr="008376CC">
        <w:rPr>
          <w:rFonts w:ascii="Verdana" w:hAnsi="Verdana" w:cs="Arial"/>
          <w:color w:val="000000" w:themeColor="text1"/>
          <w:sz w:val="15"/>
          <w:szCs w:val="15"/>
          <w:lang w:val="es-ES"/>
        </w:rPr>
        <w:t>PARÁGRAFO 2o. Cuando para los efectos previstos en este artículo no se hubiere celebrado acuerdo, tratado o convenio, los proponentes de bienes y servicios de origen extranjero podrán participar en los procesos de contratación en las mismas condiciones y con los mismos requisitos exigidos a los nacionales colombianos, siempre y cuando en sus respectivos países los proponentes de bienes y servicios de origen colombiano gocen de iguales oportunidades. El Gobierno Nacional establecerá los mecanismos para asegurar el cumplimiento de la reciprocidad prevista en este parágrafo”.</w:t>
      </w:r>
    </w:p>
  </w:footnote>
  <w:footnote w:id="14">
    <w:p w14:paraId="1B53B2E7" w14:textId="77777777" w:rsidR="00433276" w:rsidRPr="008376CC" w:rsidRDefault="00433276" w:rsidP="00433276">
      <w:pPr>
        <w:pStyle w:val="Textonotapie"/>
        <w:ind w:firstLine="709"/>
        <w:jc w:val="both"/>
        <w:rPr>
          <w:rFonts w:ascii="Verdana" w:hAnsi="Verdana" w:cs="Arial"/>
          <w:color w:val="000000" w:themeColor="text1"/>
          <w:sz w:val="15"/>
          <w:szCs w:val="15"/>
          <w:lang w:val="es-ES"/>
        </w:rPr>
      </w:pPr>
      <w:r w:rsidRPr="008376CC">
        <w:rPr>
          <w:rStyle w:val="Refdenotaalpie"/>
          <w:rFonts w:ascii="Verdana" w:hAnsi="Verdana" w:cs="Arial"/>
          <w:color w:val="000000" w:themeColor="text1"/>
          <w:sz w:val="15"/>
          <w:szCs w:val="15"/>
        </w:rPr>
        <w:footnoteRef/>
      </w:r>
      <w:r w:rsidRPr="008376CC">
        <w:rPr>
          <w:rFonts w:ascii="Verdana" w:hAnsi="Verdana" w:cs="Arial"/>
          <w:color w:val="000000" w:themeColor="text1"/>
          <w:sz w:val="15"/>
          <w:szCs w:val="15"/>
        </w:rPr>
        <w:t xml:space="preserve"> </w:t>
      </w:r>
      <w:r w:rsidRPr="008376CC">
        <w:rPr>
          <w:rFonts w:ascii="Verdana" w:hAnsi="Verdana" w:cs="Arial"/>
          <w:color w:val="000000" w:themeColor="text1"/>
          <w:sz w:val="15"/>
          <w:szCs w:val="15"/>
          <w:lang w:val="es-ES"/>
        </w:rPr>
        <w:t>“Artículo 2.2.1.2.4.1.3. Existencia de trato nacional. La Entidad Estatal debe conceder trato nacional a: (a) los oferentes, bienes y servicios provenientes de Estados con los cuales Colombia tenga Acuerdos Comerciales, en los términos establecidos en tales Acuerdos Comerciales; (b) a los bienes y servicios provenientes de Estados con los cuales no exista un Acuerdo Comercial pero respecto de los cuales el Gobierno Nacional haya certificado que los oferentes de Bienes y Servicios Nacionales gozan de trato nacional, con base en la revisión y comparación de la normativa en materia de compras y contratación pública de dicho Estado; y (c) a los servicios prestados por oferentes miembros de la Comunidad Andina de Naciones teniendo en cuenta la regulación andina aplicable a la materia.</w:t>
      </w:r>
    </w:p>
    <w:p w14:paraId="75030DF9" w14:textId="77777777" w:rsidR="00433276" w:rsidRPr="008376CC" w:rsidRDefault="00433276" w:rsidP="00433276">
      <w:pPr>
        <w:pStyle w:val="Textonotapie"/>
        <w:ind w:firstLine="709"/>
        <w:jc w:val="both"/>
        <w:rPr>
          <w:rFonts w:ascii="Verdana" w:hAnsi="Verdana" w:cs="Arial"/>
          <w:color w:val="000000" w:themeColor="text1"/>
          <w:sz w:val="15"/>
          <w:szCs w:val="15"/>
          <w:lang w:val="es-ES"/>
        </w:rPr>
      </w:pPr>
      <w:r w:rsidRPr="008376CC">
        <w:rPr>
          <w:rFonts w:ascii="Verdana" w:hAnsi="Verdana" w:cs="Arial"/>
          <w:color w:val="000000" w:themeColor="text1"/>
          <w:sz w:val="15"/>
          <w:szCs w:val="15"/>
          <w:lang w:val="es-ES"/>
        </w:rPr>
        <w:t>El Ministerio de Relaciones Exteriores debe expedir el certificado por medio del cual se acredite la situación mencionada en el literal (b) anterior en relación con un Estado en particular, lo cual no es requerido para acreditar las situaciones a las que se refieren los literales (a) y (c) anteriores. Para constatar que los oferentes de Bienes y Servicios Nacionales gozan de trato nacional en un Estado, el Ministerio de Relaciones Exteriores debe revisar y comparar la normativa en materia de compras y contratación pública del respectivo Estado para lo cual puede solicitar el apoyo técnico del Ministerio de Comercio, Industria y Turismo y de Colombia Compra Eficiente, dentro de sus competencias legales.</w:t>
      </w:r>
    </w:p>
    <w:p w14:paraId="113C034B" w14:textId="77777777" w:rsidR="00433276" w:rsidRPr="008376CC" w:rsidRDefault="00433276" w:rsidP="00433276">
      <w:pPr>
        <w:pStyle w:val="Textonotapie"/>
        <w:ind w:firstLine="709"/>
        <w:jc w:val="both"/>
        <w:rPr>
          <w:rFonts w:ascii="Verdana" w:hAnsi="Verdana" w:cs="Arial"/>
          <w:color w:val="000000" w:themeColor="text1"/>
          <w:sz w:val="15"/>
          <w:szCs w:val="15"/>
          <w:lang w:val="es-ES"/>
        </w:rPr>
      </w:pPr>
      <w:r w:rsidRPr="008376CC">
        <w:rPr>
          <w:rFonts w:ascii="Verdana" w:hAnsi="Verdana" w:cs="Arial"/>
          <w:color w:val="000000" w:themeColor="text1"/>
          <w:sz w:val="15"/>
          <w:szCs w:val="15"/>
          <w:lang w:val="es-ES"/>
        </w:rPr>
        <w:t>Los certificados para acreditar la condición a la que se refiere el literal (b) anterior deben ser publicados en la</w:t>
      </w:r>
      <w:r w:rsidRPr="008376CC">
        <w:rPr>
          <w:rFonts w:ascii="Verdana" w:hAnsi="Verdana" w:cs="Arial"/>
          <w:color w:val="000000" w:themeColor="text1"/>
          <w:sz w:val="15"/>
          <w:szCs w:val="15"/>
          <w:lang w:val="es-ES"/>
        </w:rPr>
        <w:t xml:space="preserve"> forma y oportunidad que para el efecto disponga Colombia Compra Eficiente. La vigencia de los certificados será de dos años contados a partir de la fecha de su expedición, sin perjuicio de que el Ministerio de Comercio, Industria y Turismo o Colombia Compra Eficiente soliciten al Ministerio de Relaciones Exteriores su revisión con ocasión de la expedición de nueva normativa en el Estado sobre el cual se expide el certificado. Colombia Compra Eficiente puede determinar vía circular la forma como el Ministerio de Relaciones Exteriores debe constatar que los oferentes de Bienes y Servicios Nacionales gozan de trato nacional y de revisar y comparar la normativa en materia de compras y contratación pública para la expedición del certificado”.</w:t>
      </w:r>
    </w:p>
  </w:footnote>
  <w:footnote w:id="15">
    <w:p w14:paraId="4657150F" w14:textId="77777777" w:rsidR="00433276" w:rsidRPr="008376CC" w:rsidRDefault="00433276" w:rsidP="00433276">
      <w:pPr>
        <w:tabs>
          <w:tab w:val="left" w:pos="0"/>
        </w:tabs>
        <w:spacing w:after="0" w:line="240" w:lineRule="auto"/>
        <w:ind w:firstLine="709"/>
        <w:jc w:val="both"/>
        <w:rPr>
          <w:rFonts w:ascii="Verdana" w:eastAsia="Calibri" w:hAnsi="Verdana" w:cs="Arial"/>
          <w:bCs/>
          <w:color w:val="000000" w:themeColor="text1"/>
          <w:sz w:val="15"/>
          <w:szCs w:val="15"/>
          <w:lang w:val="es-ES_tradnl"/>
        </w:rPr>
      </w:pPr>
      <w:r w:rsidRPr="008376CC">
        <w:rPr>
          <w:rStyle w:val="Refdenotaalpie"/>
          <w:rFonts w:ascii="Verdana" w:hAnsi="Verdana" w:cs="Arial"/>
          <w:color w:val="000000" w:themeColor="text1"/>
          <w:sz w:val="15"/>
          <w:szCs w:val="15"/>
        </w:rPr>
        <w:footnoteRef/>
      </w:r>
      <w:r w:rsidRPr="008376CC">
        <w:rPr>
          <w:rFonts w:ascii="Verdana" w:hAnsi="Verdana" w:cs="Arial"/>
          <w:color w:val="000000" w:themeColor="text1"/>
          <w:sz w:val="15"/>
          <w:szCs w:val="15"/>
        </w:rPr>
        <w:t xml:space="preserve"> </w:t>
      </w:r>
      <w:r w:rsidRPr="008376CC">
        <w:rPr>
          <w:rFonts w:ascii="Verdana" w:eastAsia="Calibri" w:hAnsi="Verdana" w:cs="Arial"/>
          <w:bCs/>
          <w:color w:val="000000" w:themeColor="text1"/>
          <w:sz w:val="15"/>
          <w:szCs w:val="15"/>
          <w:lang w:val="es-ES_tradnl"/>
        </w:rPr>
        <w:t>Como lo ha indicado la Corte Constitucional, “La cláusula del trato nacional es una clásica manifestación del principio de igualdad en las relaciones internacionales. Su objetivo apunta a que las mercancías que ingresan a un Estado Parte no sean sometidas a un trato discriminatorio en relación con los productos del país receptor. En otras palabras, se busca asegurar la existencia de unas reglas de competencia leal y transparente entre el producto importado y el nacional. La existencia de tales cláusulas-tipo en los tratados internacionales de integración o de inversión extranjera siempre ha sido considerada conforme con la Constitución por la Corte” (Sentencia C-608/10, M.P. Humberto Antonio Sierra Porto).</w:t>
      </w:r>
    </w:p>
  </w:footnote>
  <w:footnote w:id="16">
    <w:p w14:paraId="15CFBEDD" w14:textId="77777777" w:rsidR="00433276" w:rsidRPr="008376CC" w:rsidRDefault="00433276" w:rsidP="00433276">
      <w:pPr>
        <w:pStyle w:val="Textonotapie"/>
        <w:ind w:firstLine="709"/>
        <w:jc w:val="both"/>
        <w:rPr>
          <w:rFonts w:ascii="Verdana" w:hAnsi="Verdana" w:cs="Arial"/>
          <w:color w:val="000000" w:themeColor="text1"/>
          <w:sz w:val="15"/>
          <w:szCs w:val="15"/>
          <w:lang w:val="es-ES"/>
        </w:rPr>
      </w:pPr>
      <w:r w:rsidRPr="008376CC">
        <w:rPr>
          <w:rStyle w:val="Refdenotaalpie"/>
          <w:rFonts w:ascii="Verdana" w:hAnsi="Verdana" w:cs="Arial"/>
          <w:color w:val="000000" w:themeColor="text1"/>
          <w:sz w:val="15"/>
          <w:szCs w:val="15"/>
        </w:rPr>
        <w:footnoteRef/>
      </w:r>
      <w:r w:rsidRPr="008376CC">
        <w:rPr>
          <w:rFonts w:ascii="Verdana" w:hAnsi="Verdana" w:cs="Arial"/>
          <w:color w:val="000000" w:themeColor="text1"/>
          <w:sz w:val="15"/>
          <w:szCs w:val="15"/>
        </w:rPr>
        <w:t xml:space="preserve"> </w:t>
      </w:r>
      <w:r w:rsidRPr="008376CC">
        <w:rPr>
          <w:rFonts w:ascii="Verdana" w:hAnsi="Verdana" w:cs="Arial"/>
          <w:color w:val="000000" w:themeColor="text1"/>
          <w:sz w:val="15"/>
          <w:szCs w:val="15"/>
          <w:lang w:val="es-ES"/>
        </w:rPr>
        <w:t>Aprobado mediante Ley 1241 de 2008.</w:t>
      </w:r>
    </w:p>
  </w:footnote>
  <w:footnote w:id="17">
    <w:p w14:paraId="5DD9D2AA" w14:textId="77777777" w:rsidR="00433276" w:rsidRPr="008376CC" w:rsidRDefault="00433276" w:rsidP="00433276">
      <w:pPr>
        <w:pStyle w:val="Textonotapie"/>
        <w:ind w:firstLine="709"/>
        <w:jc w:val="both"/>
        <w:rPr>
          <w:rFonts w:ascii="Verdana" w:hAnsi="Verdana" w:cs="Arial"/>
          <w:color w:val="000000" w:themeColor="text1"/>
          <w:sz w:val="15"/>
          <w:szCs w:val="15"/>
        </w:rPr>
      </w:pPr>
      <w:r w:rsidRPr="008376CC">
        <w:rPr>
          <w:rStyle w:val="Refdenotaalpie"/>
          <w:rFonts w:ascii="Verdana" w:hAnsi="Verdana" w:cs="Arial"/>
          <w:color w:val="000000" w:themeColor="text1"/>
          <w:sz w:val="15"/>
          <w:szCs w:val="15"/>
        </w:rPr>
        <w:footnoteRef/>
      </w:r>
      <w:r w:rsidRPr="008376CC">
        <w:rPr>
          <w:rFonts w:ascii="Verdana" w:hAnsi="Verdana" w:cs="Arial"/>
          <w:color w:val="000000" w:themeColor="text1"/>
          <w:sz w:val="15"/>
          <w:szCs w:val="15"/>
        </w:rPr>
        <w:t xml:space="preserve"> Aprobado por la Ley 1143 de 2007.</w:t>
      </w:r>
    </w:p>
  </w:footnote>
  <w:footnote w:id="18">
    <w:p w14:paraId="0873AE4F" w14:textId="77777777" w:rsidR="00433276" w:rsidRPr="008376CC" w:rsidRDefault="00433276" w:rsidP="00433276">
      <w:pPr>
        <w:pStyle w:val="Textonotapie"/>
        <w:ind w:firstLine="709"/>
        <w:jc w:val="both"/>
        <w:rPr>
          <w:rFonts w:ascii="Verdana" w:hAnsi="Verdana" w:cs="Arial"/>
          <w:color w:val="000000" w:themeColor="text1"/>
          <w:sz w:val="15"/>
          <w:szCs w:val="15"/>
          <w:lang w:val="es-ES"/>
        </w:rPr>
      </w:pPr>
      <w:r w:rsidRPr="008376CC">
        <w:rPr>
          <w:rStyle w:val="Refdenotaalpie"/>
          <w:rFonts w:ascii="Verdana" w:hAnsi="Verdana" w:cs="Arial"/>
          <w:color w:val="000000" w:themeColor="text1"/>
          <w:sz w:val="15"/>
          <w:szCs w:val="15"/>
        </w:rPr>
        <w:footnoteRef/>
      </w:r>
      <w:r w:rsidRPr="008376CC">
        <w:rPr>
          <w:rFonts w:ascii="Verdana" w:hAnsi="Verdana" w:cs="Arial"/>
          <w:color w:val="000000" w:themeColor="text1"/>
          <w:sz w:val="15"/>
          <w:szCs w:val="15"/>
        </w:rPr>
        <w:t xml:space="preserve"> </w:t>
      </w:r>
      <w:r w:rsidRPr="008376CC">
        <w:rPr>
          <w:rFonts w:ascii="Verdana" w:hAnsi="Verdana" w:cs="Arial"/>
          <w:color w:val="000000" w:themeColor="text1"/>
          <w:sz w:val="15"/>
          <w:szCs w:val="15"/>
          <w:lang w:val="es-ES"/>
        </w:rPr>
        <w:t>Por ejemplo, la nota 2 del Anexo 9.1 del tratado de libre comercio entre Colombia y los Estados Unidos de Norteamérica dispone que, si bien el Ministerio de Defensa Nacional es una entidad cubierta, “No estarán cubiertas por este Capítulo las contrataciones de bienes contenidas en la Sección 2 (Alimentos, Bebidas y Tabaco; Textil y Confección y Productos de Cuero) del Clasificador Central de Productos (CPC versión 1.0) de las Naciones Unidas, para el Comando General de las Fuerzas Militares, el Ejército Nacional, la Armada Nacional, la Fuerza Aérea Colombiana, y la Policía Nacional”.</w:t>
      </w:r>
    </w:p>
  </w:footnote>
  <w:footnote w:id="19">
    <w:p w14:paraId="58F2CB6A" w14:textId="77777777" w:rsidR="00433276" w:rsidRPr="008376CC" w:rsidRDefault="00433276" w:rsidP="00433276">
      <w:pPr>
        <w:spacing w:after="0" w:line="240" w:lineRule="auto"/>
        <w:ind w:firstLine="709"/>
        <w:jc w:val="both"/>
        <w:rPr>
          <w:rFonts w:ascii="Verdana" w:hAnsi="Verdana" w:cs="Arial"/>
          <w:color w:val="000000" w:themeColor="text1"/>
          <w:sz w:val="15"/>
          <w:szCs w:val="15"/>
        </w:rPr>
      </w:pPr>
      <w:r w:rsidRPr="008376CC">
        <w:rPr>
          <w:rStyle w:val="Refdenotaalpie"/>
          <w:rFonts w:ascii="Verdana" w:hAnsi="Verdana" w:cs="Arial"/>
          <w:color w:val="000000" w:themeColor="text1"/>
          <w:sz w:val="15"/>
          <w:szCs w:val="15"/>
        </w:rPr>
        <w:footnoteRef/>
      </w:r>
      <w:r w:rsidRPr="008376CC">
        <w:rPr>
          <w:rFonts w:ascii="Verdana" w:hAnsi="Verdana" w:cs="Arial"/>
          <w:color w:val="000000" w:themeColor="text1"/>
          <w:sz w:val="15"/>
          <w:szCs w:val="15"/>
        </w:rPr>
        <w:t xml:space="preserve"> Esta es la tesis que ha prohijado esta Agencia en el Manual para el Manejo de los Acuerdos Comerciales en Procesos de Contratación, en las siguientes palabras: “La Entidad Estatal contratante también debe conceder el mismo trato que da a los proponentes de colombianos que ofertan bienes y servicios colombianos, a aquellos oferentes de bienes y servicios originarios de Estados con los cuales, a pesar de no existir o no estar vigente un Acuerdo Comercial, el Gobierno Nacional ha certificado reciprocidad. Esto supone que, el Gobierno Nacional, con base en la revisión y comparación de la normativa vigente en materia de compras públicas de dicho Estado, determine y certifique que en el respectivo Estado, los bienes, servicios y/o proveedores colombianos gozan del mismo trato que se le da a los bienes, servicios y/o proveedores de tal Estado, o que no existe en ese Estado ninguna medida que fomente el desarrollo local o mejore las cuentas de la balanza de pagos en detrimento de los bienes o servicios o proveedores colombianos.</w:t>
      </w:r>
    </w:p>
    <w:p w14:paraId="75727C9E" w14:textId="77777777" w:rsidR="00433276" w:rsidRPr="008376CC" w:rsidRDefault="00433276" w:rsidP="00433276">
      <w:pPr>
        <w:spacing w:after="0" w:line="240" w:lineRule="auto"/>
        <w:ind w:firstLine="709"/>
        <w:jc w:val="both"/>
        <w:rPr>
          <w:rFonts w:ascii="Verdana" w:hAnsi="Verdana" w:cs="Arial"/>
          <w:color w:val="000000" w:themeColor="text1"/>
          <w:sz w:val="15"/>
          <w:szCs w:val="15"/>
        </w:rPr>
      </w:pPr>
      <w:r w:rsidRPr="008376CC">
        <w:rPr>
          <w:rFonts w:ascii="Verdana" w:hAnsi="Verdana" w:cs="Arial"/>
          <w:color w:val="000000" w:themeColor="text1"/>
          <w:sz w:val="15"/>
          <w:szCs w:val="15"/>
        </w:rPr>
        <w:t xml:space="preserve">La existencia de un Acuerdo Comercial que prevea el Trato Nacional en materia de contratación pública excluye la posibilidad de que el Gobierno Nacional certifique el Trato Nacional por reciprocidad. Así, por ejemplo, en ningún caso el Ministerio de Relaciones Exteriores podría certificar Trato Nacional por reciprocidad con México, pues existe un Acuerdo Comercial con dicha parte”. </w:t>
      </w:r>
    </w:p>
  </w:footnote>
  <w:footnote w:id="20">
    <w:p w14:paraId="4423B4CE" w14:textId="77777777" w:rsidR="00433276" w:rsidRPr="008376CC" w:rsidRDefault="00433276" w:rsidP="00433276">
      <w:pPr>
        <w:pStyle w:val="Textonotapie"/>
        <w:ind w:firstLine="709"/>
        <w:jc w:val="both"/>
        <w:rPr>
          <w:rFonts w:ascii="Verdana" w:hAnsi="Verdana" w:cs="Arial"/>
          <w:color w:val="000000" w:themeColor="text1"/>
          <w:sz w:val="15"/>
          <w:szCs w:val="15"/>
          <w:lang w:val="es-ES"/>
        </w:rPr>
      </w:pPr>
      <w:r w:rsidRPr="008376CC">
        <w:rPr>
          <w:rStyle w:val="Refdenotaalpie"/>
          <w:rFonts w:ascii="Verdana" w:hAnsi="Verdana" w:cs="Arial"/>
          <w:color w:val="000000" w:themeColor="text1"/>
          <w:sz w:val="15"/>
          <w:szCs w:val="15"/>
        </w:rPr>
        <w:footnoteRef/>
      </w:r>
      <w:r w:rsidRPr="008376CC">
        <w:rPr>
          <w:rFonts w:ascii="Verdana" w:hAnsi="Verdana" w:cs="Arial"/>
          <w:color w:val="000000" w:themeColor="text1"/>
          <w:sz w:val="15"/>
          <w:szCs w:val="15"/>
        </w:rPr>
        <w:t xml:space="preserve"> </w:t>
      </w:r>
      <w:r w:rsidRPr="008376CC">
        <w:rPr>
          <w:rFonts w:ascii="Verdana" w:hAnsi="Verdana" w:cs="Arial"/>
          <w:color w:val="000000" w:themeColor="text1"/>
          <w:sz w:val="15"/>
          <w:szCs w:val="15"/>
          <w:lang w:val="es-ES"/>
        </w:rPr>
        <w:t>La Comunidad Andina de Naciones –CAN– es un mecanismo subregional de integración creado mediante el Acuerdo de Cartagena del 26 de mayo de 1969, entre Bolivia, Colombia, Ecuador, Perú y Venezuela. Este último país perteneció a la Comunidad hasta el 2006.</w:t>
      </w:r>
    </w:p>
  </w:footnote>
  <w:footnote w:id="21">
    <w:p w14:paraId="28DC22F8" w14:textId="77777777" w:rsidR="00433276" w:rsidRPr="008376CC" w:rsidRDefault="00433276" w:rsidP="00433276">
      <w:pPr>
        <w:pStyle w:val="Textonotapie"/>
        <w:ind w:firstLine="709"/>
        <w:jc w:val="both"/>
        <w:rPr>
          <w:rFonts w:ascii="Verdana" w:hAnsi="Verdana" w:cs="Arial"/>
          <w:color w:val="000000" w:themeColor="text1"/>
          <w:sz w:val="15"/>
          <w:szCs w:val="15"/>
          <w:lang w:val="es-ES"/>
        </w:rPr>
      </w:pPr>
      <w:r w:rsidRPr="008376CC">
        <w:rPr>
          <w:rStyle w:val="Refdenotaalpie"/>
          <w:rFonts w:ascii="Verdana" w:hAnsi="Verdana" w:cs="Arial"/>
          <w:color w:val="000000" w:themeColor="text1"/>
          <w:sz w:val="15"/>
          <w:szCs w:val="15"/>
        </w:rPr>
        <w:footnoteRef/>
      </w:r>
      <w:r w:rsidRPr="008376CC">
        <w:rPr>
          <w:rFonts w:ascii="Verdana" w:hAnsi="Verdana" w:cs="Arial"/>
          <w:color w:val="000000" w:themeColor="text1"/>
          <w:sz w:val="15"/>
          <w:szCs w:val="15"/>
        </w:rPr>
        <w:t xml:space="preserve"> </w:t>
      </w:r>
      <w:r w:rsidRPr="008376CC">
        <w:rPr>
          <w:rFonts w:ascii="Verdana" w:hAnsi="Verdana" w:cs="Arial"/>
          <w:color w:val="000000" w:themeColor="text1"/>
          <w:sz w:val="15"/>
          <w:szCs w:val="15"/>
          <w:lang w:val="es-ES"/>
        </w:rPr>
        <w:t>“26. "Pacta sunt servanda". Todo tratado en vigor obliga a las partes y debe ser cumplido por ellas de buena fe.</w:t>
      </w:r>
    </w:p>
    <w:p w14:paraId="20365FA9" w14:textId="77777777" w:rsidR="00433276" w:rsidRPr="008376CC" w:rsidRDefault="00433276" w:rsidP="00433276">
      <w:pPr>
        <w:pStyle w:val="Textonotapie"/>
        <w:ind w:firstLine="709"/>
        <w:jc w:val="both"/>
        <w:rPr>
          <w:rFonts w:ascii="Verdana" w:hAnsi="Verdana" w:cs="Arial"/>
          <w:color w:val="000000" w:themeColor="text1"/>
          <w:sz w:val="15"/>
          <w:szCs w:val="15"/>
          <w:lang w:val="es-ES"/>
        </w:rPr>
      </w:pPr>
      <w:r w:rsidRPr="008376CC">
        <w:rPr>
          <w:rFonts w:ascii="Verdana" w:hAnsi="Verdana" w:cs="Arial"/>
          <w:color w:val="000000" w:themeColor="text1"/>
          <w:sz w:val="15"/>
          <w:szCs w:val="15"/>
          <w:lang w:val="es-ES"/>
        </w:rPr>
        <w:t>27. El derecho interno y la observancia de los tratados. Una parte no podrá invocar las disposiciones de su derecho interno como justificación del incumplimiento de un tratado.</w:t>
      </w:r>
    </w:p>
    <w:p w14:paraId="61008885" w14:textId="77777777" w:rsidR="00433276" w:rsidRPr="008376CC" w:rsidRDefault="00433276" w:rsidP="00433276">
      <w:pPr>
        <w:pStyle w:val="Textonotapie"/>
        <w:ind w:firstLine="709"/>
        <w:jc w:val="both"/>
        <w:rPr>
          <w:rFonts w:ascii="Verdana" w:hAnsi="Verdana" w:cs="Arial"/>
          <w:color w:val="000000" w:themeColor="text1"/>
          <w:sz w:val="15"/>
          <w:szCs w:val="15"/>
          <w:lang w:val="es-ES"/>
        </w:rPr>
      </w:pPr>
      <w:r w:rsidRPr="008376CC">
        <w:rPr>
          <w:rFonts w:ascii="Verdana" w:hAnsi="Verdana" w:cs="Arial"/>
          <w:color w:val="000000" w:themeColor="text1"/>
          <w:sz w:val="15"/>
          <w:szCs w:val="15"/>
          <w:lang w:val="es-ES"/>
        </w:rPr>
        <w:t xml:space="preserve">[…]”. </w:t>
      </w:r>
    </w:p>
  </w:footnote>
  <w:footnote w:id="22">
    <w:p w14:paraId="6C824402" w14:textId="77777777" w:rsidR="00433276" w:rsidRPr="008376CC" w:rsidRDefault="00433276" w:rsidP="00433276">
      <w:pPr>
        <w:pStyle w:val="Textonotapie"/>
        <w:ind w:firstLine="709"/>
        <w:jc w:val="both"/>
        <w:rPr>
          <w:rFonts w:ascii="Verdana" w:hAnsi="Verdana" w:cs="Arial"/>
          <w:sz w:val="15"/>
          <w:szCs w:val="15"/>
        </w:rPr>
      </w:pPr>
      <w:r w:rsidRPr="008376CC">
        <w:rPr>
          <w:rStyle w:val="Refdenotaalpie"/>
          <w:rFonts w:ascii="Verdana" w:hAnsi="Verdana" w:cs="Arial"/>
          <w:sz w:val="15"/>
          <w:szCs w:val="15"/>
        </w:rPr>
        <w:footnoteRef/>
      </w:r>
      <w:hyperlink r:id="rId2" w:history="1">
        <w:r w:rsidRPr="008376CC">
          <w:rPr>
            <w:rStyle w:val="Hipervnculo"/>
            <w:rFonts w:ascii="Verdana" w:hAnsi="Verdana" w:cs="Arial"/>
            <w:sz w:val="15"/>
            <w:szCs w:val="15"/>
          </w:rPr>
          <w:t>https://colombiacompra.gov.co/sites/cce_public/files/cce_documents/cce_guia_asuntos_corporativos.pdf</w:t>
        </w:r>
      </w:hyperlink>
      <w:r w:rsidRPr="008376CC">
        <w:rPr>
          <w:rFonts w:ascii="Verdana" w:hAnsi="Verdana" w:cs="Arial"/>
          <w:sz w:val="15"/>
          <w:szCs w:val="15"/>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70B4C"/>
    <w:rsid w:val="00082362"/>
    <w:rsid w:val="000918D8"/>
    <w:rsid w:val="000A683E"/>
    <w:rsid w:val="000B19B9"/>
    <w:rsid w:val="000D0334"/>
    <w:rsid w:val="000D5DA7"/>
    <w:rsid w:val="000F6486"/>
    <w:rsid w:val="00116940"/>
    <w:rsid w:val="00125105"/>
    <w:rsid w:val="00127233"/>
    <w:rsid w:val="00151D27"/>
    <w:rsid w:val="0015699B"/>
    <w:rsid w:val="001A33BF"/>
    <w:rsid w:val="001D6DB5"/>
    <w:rsid w:val="001E4177"/>
    <w:rsid w:val="001F0B24"/>
    <w:rsid w:val="001F6F7C"/>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337F"/>
    <w:rsid w:val="0042722E"/>
    <w:rsid w:val="00433276"/>
    <w:rsid w:val="0044528D"/>
    <w:rsid w:val="00466E39"/>
    <w:rsid w:val="004A1847"/>
    <w:rsid w:val="004A305D"/>
    <w:rsid w:val="004F21C4"/>
    <w:rsid w:val="004F685F"/>
    <w:rsid w:val="005566E8"/>
    <w:rsid w:val="00574867"/>
    <w:rsid w:val="00591460"/>
    <w:rsid w:val="005A65E0"/>
    <w:rsid w:val="005C3777"/>
    <w:rsid w:val="005C5CDC"/>
    <w:rsid w:val="005D476C"/>
    <w:rsid w:val="0060671D"/>
    <w:rsid w:val="006200BF"/>
    <w:rsid w:val="006219F8"/>
    <w:rsid w:val="006302F7"/>
    <w:rsid w:val="00646B9F"/>
    <w:rsid w:val="00665D70"/>
    <w:rsid w:val="006900D9"/>
    <w:rsid w:val="00706C16"/>
    <w:rsid w:val="00727721"/>
    <w:rsid w:val="007340C3"/>
    <w:rsid w:val="0075235A"/>
    <w:rsid w:val="00756841"/>
    <w:rsid w:val="007649AB"/>
    <w:rsid w:val="007707EA"/>
    <w:rsid w:val="00771D0C"/>
    <w:rsid w:val="007833AC"/>
    <w:rsid w:val="007B07FF"/>
    <w:rsid w:val="007B268C"/>
    <w:rsid w:val="007B7171"/>
    <w:rsid w:val="007C0C0F"/>
    <w:rsid w:val="007C3DC2"/>
    <w:rsid w:val="007E5497"/>
    <w:rsid w:val="00806F5F"/>
    <w:rsid w:val="00811495"/>
    <w:rsid w:val="00820278"/>
    <w:rsid w:val="008258C9"/>
    <w:rsid w:val="00844AE9"/>
    <w:rsid w:val="00867F95"/>
    <w:rsid w:val="008843B6"/>
    <w:rsid w:val="00891928"/>
    <w:rsid w:val="008A446D"/>
    <w:rsid w:val="008B25F1"/>
    <w:rsid w:val="008D180B"/>
    <w:rsid w:val="008F0EA7"/>
    <w:rsid w:val="00914A38"/>
    <w:rsid w:val="00923EEF"/>
    <w:rsid w:val="009419F9"/>
    <w:rsid w:val="0095685E"/>
    <w:rsid w:val="00961B09"/>
    <w:rsid w:val="00965334"/>
    <w:rsid w:val="0097093E"/>
    <w:rsid w:val="00994316"/>
    <w:rsid w:val="009A0DFA"/>
    <w:rsid w:val="009A1C6F"/>
    <w:rsid w:val="009B2D26"/>
    <w:rsid w:val="009C71FA"/>
    <w:rsid w:val="009C72E7"/>
    <w:rsid w:val="009C7F7E"/>
    <w:rsid w:val="009D3058"/>
    <w:rsid w:val="009F3A13"/>
    <w:rsid w:val="00A122D3"/>
    <w:rsid w:val="00A14468"/>
    <w:rsid w:val="00A17F13"/>
    <w:rsid w:val="00A20739"/>
    <w:rsid w:val="00A23AF9"/>
    <w:rsid w:val="00A32486"/>
    <w:rsid w:val="00A33C78"/>
    <w:rsid w:val="00AA73C0"/>
    <w:rsid w:val="00AB0ADB"/>
    <w:rsid w:val="00B00C0E"/>
    <w:rsid w:val="00B01B1A"/>
    <w:rsid w:val="00B0381D"/>
    <w:rsid w:val="00B44A47"/>
    <w:rsid w:val="00B72CD3"/>
    <w:rsid w:val="00B72FFF"/>
    <w:rsid w:val="00BC3D36"/>
    <w:rsid w:val="00BD54A6"/>
    <w:rsid w:val="00BD7F72"/>
    <w:rsid w:val="00BF7425"/>
    <w:rsid w:val="00C014B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84915"/>
    <w:rsid w:val="00DA231B"/>
    <w:rsid w:val="00DC39FC"/>
    <w:rsid w:val="00DC602B"/>
    <w:rsid w:val="00DE18C6"/>
    <w:rsid w:val="00DF5254"/>
    <w:rsid w:val="00E02524"/>
    <w:rsid w:val="00E16408"/>
    <w:rsid w:val="00E20894"/>
    <w:rsid w:val="00E245AB"/>
    <w:rsid w:val="00E2764C"/>
    <w:rsid w:val="00E27F2E"/>
    <w:rsid w:val="00E363A6"/>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3802"/>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0281D4A"/>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rsid w:val="00433276"/>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433276"/>
    <w:rPr>
      <w:rFonts w:ascii="Geomanist Light" w:hAnsi="Geomanist Light"/>
      <w:lang w:val="es-ES"/>
    </w:rPr>
  </w:style>
  <w:style w:type="character" w:customStyle="1" w:styleId="s15">
    <w:name w:val="s15"/>
    <w:basedOn w:val="Fuentedeprrafopredeter"/>
    <w:rsid w:val="00433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yperlink" Target="https://www.colombiacompra.gov.co/wp-content/uploads/2024/08/cce_guia_asuntos_corporativos.pdf" TargetMode="External"/><Relationship Id="rId17" Type="http://schemas.openxmlformats.org/officeDocument/2006/relationships/hyperlink" Target="https://nam02.safelinks.protection.outlook.com/?url=https%3A%2F%2Fwww.colombiacompra.gov.co%2Farchivos%2Fboletin%2Fboletin-edicion-n-3-de-2026-radar-de-la-compra-publica&amp;data=05%7C02%7Cjuan.montoya%40colombiacompra.gov.co%7C7128555136e04fa6887d08dee99e1b50%7C7b09041e245149d08cb179d5e3d8c1be%7C0%7C0%7C639205062451356630%7CUnknown%7CTWFpbGZsb3d8eyJFbXB0eU1hcGkiOnRydWUsIlYiOiIwLjAuMDAwMCIsIlAiOiJXaW4zMiIsIkFOIjoiTWFpbCIsIldUIjoyfQ%3D%3D%7C0%7C%7C%7C&amp;sdata=BAEerpr5LJv1S5EMjF4wsWYXvi5rJvYw5HldhbMOmZk%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juan.montoya%40colombiacompra.gov.co%7C7128555136e04fa6887d08dee99e1b50%7C7b09041e245149d08cb179d5e3d8c1be%7C0%7C0%7C639205062451334414%7CUnknown%7CTWFpbGZsb3d8eyJFbXB0eU1hcGkiOnRydWUsIlYiOiIwLjAuMDAwMCIsIlAiOiJXaW4zMiIsIkFOIjoiTWFpbCIsIldUIjoyfQ%3D%3D%7C0%7C%7C%7C&amp;sdata=afoCV6jibHbTjlvaQik3Cm4faTAldy%2BPjeYD7F9ArKA%3D&amp;reserved=0"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ortedesantanderthinktank@gmail.com"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juan.montoya%40colombiacompra.gov.co%7C7128555136e04fa6887d08dee99e1b50%7C7b09041e245149d08cb179d5e3d8c1be%7C0%7C0%7C639205062451311236%7CUnknown%7CTWFpbGZsb3d8eyJFbXB0eU1hcGkiOnRydWUsIlYiOiIwLjAuMDAwMCIsIlAiOiJXaW4zMiIsIkFOIjoiTWFpbCIsIldUIjoyfQ%3D%3D%7C0%7C%7C%7C&amp;sdata=%2FIK%2BCWYsSGOFYBZnWf4YWtYLVNUxZLARHnAsDCfX018%3D&amp;reserved=0"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colombiacompra.gov.co/pqrsd/informacion-importante-antes-de-formular-una-pqrs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juan.montoya%40colombiacompra.gov.co%7C7128555136e04fa6887d08dee99e1b50%7C7b09041e245149d08cb179d5e3d8c1be%7C0%7C0%7C639205062451279556%7CUnknown%7CTWFpbGZsb3d8eyJFbXB0eU1hcGkiOnRydWUsIlYiOiIwLjAuMDAwMCIsIlAiOiJXaW4zMiIsIkFOIjoiTWFpbCIsIldUIjoyfQ%3D%3D%7C0%7C%7C%7C&amp;sdata=i4ge%2BIRzNcFc6YLVHBS9VTZEZfbIWHprkVqyLu5AvlY%3D&amp;reserved=0"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colombiacompra.gov.co/sites/cce_public/files/cce_documents/cce_guia_asuntos_corporativos.pdf" TargetMode="External"/><Relationship Id="rId1" Type="http://schemas.openxmlformats.org/officeDocument/2006/relationships/hyperlink" Target="https://www.colombiacompra.gov.co/wp-content/uploads/2024/10/cce-sec-gi-06_guia_de_creacion_de_proponentes_plurales_en_el_secop_ii_29-05-2024.pdf?_gl=1*un01d0*_ga*MTc5MzEwNzY5OC4xNzU1NjUyMTk1*_ga_FE1Z7272J6*czE3NTU2NTIxOTUkbzEkZzAkdDE3NTU2NTIxOTUkajYwJGwwJGgw"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C667DCF5-B35F-4B7B-A4D5-5E4F2BD63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27</Pages>
  <Words>9019</Words>
  <Characters>49607</Characters>
  <Application>Microsoft Office Word</Application>
  <DocSecurity>0</DocSecurity>
  <Lines>413</Lines>
  <Paragraphs>117</Paragraphs>
  <ScaleCrop>false</ScaleCrop>
  <Company/>
  <LinksUpToDate>false</LinksUpToDate>
  <CharactersWithSpaces>58509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2026-08-25T00:23:00Z</dcterms:created>
  <dcterms:modified xsi:type="dcterms:W3CDTF">2026-08-27T17:23:00Z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