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43684" w14:textId="77777777" w:rsidR="00453674" w:rsidRPr="004A13BA" w:rsidRDefault="00453674" w:rsidP="00453674">
      <w:pPr>
        <w:spacing w:after="0" w:line="240" w:lineRule="auto"/>
        <w:jc w:val="both"/>
        <w:rPr>
          <w:rFonts w:ascii="Verdana" w:eastAsia="Calibri" w:hAnsi="Verdana" w:cs="Arial"/>
          <w:b/>
          <w:bCs/>
          <w:lang w:val="es-MX"/>
        </w:rPr>
      </w:pPr>
      <w:r w:rsidRPr="004A13BA">
        <w:rPr>
          <w:rFonts w:ascii="Verdana" w:eastAsia="Calibri" w:hAnsi="Verdana" w:cs="Arial"/>
          <w:b/>
          <w:bCs/>
          <w:lang w:val="es-MX"/>
        </w:rPr>
        <w:t>PRINCIPIO DE SELECCIÓN OBJETIVA – Alcance</w:t>
      </w:r>
    </w:p>
    <w:p w14:paraId="391C34A1" w14:textId="77777777" w:rsidR="00453674" w:rsidRPr="004A13BA" w:rsidRDefault="00453674" w:rsidP="00453674">
      <w:pPr>
        <w:spacing w:after="0" w:line="240" w:lineRule="auto"/>
        <w:jc w:val="both"/>
        <w:rPr>
          <w:rFonts w:ascii="Verdana" w:eastAsia="Calibri" w:hAnsi="Verdana" w:cs="Arial"/>
          <w:b/>
          <w:sz w:val="20"/>
          <w:szCs w:val="20"/>
          <w:lang w:val="es-MX"/>
        </w:rPr>
      </w:pPr>
    </w:p>
    <w:p w14:paraId="0A1BD3B1" w14:textId="77777777" w:rsidR="00453674" w:rsidRPr="004A13BA" w:rsidRDefault="00453674" w:rsidP="00453674">
      <w:pPr>
        <w:spacing w:after="0" w:line="240" w:lineRule="auto"/>
        <w:jc w:val="both"/>
        <w:rPr>
          <w:rFonts w:ascii="Verdana" w:eastAsia="Calibri" w:hAnsi="Verdana" w:cs="Arial"/>
          <w:color w:val="000000" w:themeColor="text1"/>
          <w:sz w:val="20"/>
          <w:szCs w:val="20"/>
          <w:lang w:val="es-ES_tradnl"/>
        </w:rPr>
      </w:pPr>
      <w:r w:rsidRPr="004A13BA">
        <w:rPr>
          <w:rFonts w:ascii="Verdana" w:eastAsia="Calibri" w:hAnsi="Verdana" w:cs="Arial"/>
          <w:color w:val="000000" w:themeColor="text1"/>
          <w:sz w:val="20"/>
          <w:szCs w:val="20"/>
          <w:lang w:val="es-ES_tradnl"/>
        </w:rPr>
        <w:t xml:space="preserve">Dado que la selección objetiva es uno de los principios medulares de la contratación estatal, la selección del futuro contratista no puede motivarse en razones subjetivas que afecten la imparcialidad de la entidad pública. Así lo determina el primer inciso del artículo 5 de la Ley 1150 de 2007, indicando que </w:t>
      </w:r>
      <w:r>
        <w:rPr>
          <w:rFonts w:ascii="Verdana" w:eastAsia="Calibri" w:hAnsi="Verdana" w:cs="Arial"/>
          <w:color w:val="000000" w:themeColor="text1"/>
          <w:sz w:val="20"/>
          <w:szCs w:val="20"/>
          <w:lang w:val="es-ES_tradnl"/>
        </w:rPr>
        <w:t>“</w:t>
      </w:r>
      <w:r w:rsidRPr="004A13BA">
        <w:rPr>
          <w:rFonts w:ascii="Verdana" w:eastAsia="Calibri" w:hAnsi="Verdana" w:cs="Arial"/>
          <w:color w:val="000000" w:themeColor="text1"/>
          <w:sz w:val="20"/>
          <w:szCs w:val="20"/>
          <w:lang w:val="es-ES_tradnl"/>
        </w:rPr>
        <w:t>Es objetiva la selección en la cual la escogencia se haga al ofrecimiento más favorable a la entidad y a los fines que ella busca, sin tener en consideración factores de afecto o de interés y, en general, cualquier clase de motivación subjetiva</w:t>
      </w:r>
      <w:r>
        <w:rPr>
          <w:rFonts w:ascii="Verdana" w:eastAsia="Calibri" w:hAnsi="Verdana" w:cs="Arial"/>
          <w:color w:val="000000" w:themeColor="text1"/>
          <w:sz w:val="20"/>
          <w:szCs w:val="20"/>
          <w:lang w:val="es-ES_tradnl"/>
        </w:rPr>
        <w:t>”</w:t>
      </w:r>
      <w:r w:rsidRPr="004A13BA">
        <w:rPr>
          <w:rFonts w:ascii="Verdana" w:eastAsia="Calibri" w:hAnsi="Verdana" w:cs="Arial"/>
          <w:color w:val="000000" w:themeColor="text1"/>
          <w:sz w:val="20"/>
          <w:szCs w:val="20"/>
          <w:lang w:val="es-ES_tradnl"/>
        </w:rPr>
        <w:t xml:space="preserve">. Además, la norma citada agrega que los factores de escogencia y calificación que establezcan las entidades en los pliegos de condiciones o sus </w:t>
      </w:r>
      <w:proofErr w:type="gramStart"/>
      <w:r w:rsidRPr="004A13BA">
        <w:rPr>
          <w:rFonts w:ascii="Verdana" w:eastAsia="Calibri" w:hAnsi="Verdana" w:cs="Arial"/>
          <w:color w:val="000000" w:themeColor="text1"/>
          <w:sz w:val="20"/>
          <w:szCs w:val="20"/>
          <w:lang w:val="es-ES_tradnl"/>
        </w:rPr>
        <w:t>equivalentes,</w:t>
      </w:r>
      <w:proofErr w:type="gramEnd"/>
      <w:r w:rsidRPr="004A13BA">
        <w:rPr>
          <w:rFonts w:ascii="Verdana" w:eastAsia="Calibri" w:hAnsi="Verdana" w:cs="Arial"/>
          <w:color w:val="000000" w:themeColor="text1"/>
          <w:sz w:val="20"/>
          <w:szCs w:val="20"/>
          <w:lang w:val="es-ES_tradnl"/>
        </w:rPr>
        <w:t xml:space="preserve"> tendrán en cuenta criterios como la experiencia y la capacidad jurídica, financiera y de organización, entre otros elementos que garanticen la escogencia de la mejor opción de negocio para la entidad estatal.</w:t>
      </w:r>
      <w:r>
        <w:rPr>
          <w:rFonts w:ascii="Verdana" w:eastAsia="Calibri" w:hAnsi="Verdana" w:cs="Arial"/>
          <w:color w:val="000000" w:themeColor="text1"/>
          <w:sz w:val="20"/>
          <w:szCs w:val="20"/>
          <w:lang w:val="es-ES_tradnl"/>
        </w:rPr>
        <w:t xml:space="preserve"> </w:t>
      </w:r>
      <w:r w:rsidRPr="004A13BA">
        <w:rPr>
          <w:rFonts w:ascii="Verdana" w:eastAsia="Calibri" w:hAnsi="Verdana" w:cs="Arial"/>
          <w:color w:val="000000" w:themeColor="text1"/>
          <w:sz w:val="20"/>
          <w:szCs w:val="20"/>
          <w:lang w:val="es-ES_tradnl"/>
        </w:rPr>
        <w:t xml:space="preserve">En esta perspectiva, los requisitos habilitantes o de participación, así como los criterios de evaluación o de calificación con puntos, son instrumentos por medio de los cuales se pretende la materialización del principio de selección objetiva en la contratación pública. </w:t>
      </w:r>
    </w:p>
    <w:p w14:paraId="6894E08D" w14:textId="77777777" w:rsidR="00453674" w:rsidRPr="004A13BA" w:rsidRDefault="00453674" w:rsidP="00453674">
      <w:pPr>
        <w:tabs>
          <w:tab w:val="left" w:pos="0"/>
        </w:tabs>
        <w:spacing w:after="0" w:line="240" w:lineRule="auto"/>
        <w:jc w:val="both"/>
        <w:rPr>
          <w:rFonts w:ascii="Verdana" w:eastAsia="Calibri" w:hAnsi="Verdana" w:cs="Arial"/>
          <w:b/>
          <w:sz w:val="20"/>
          <w:szCs w:val="20"/>
        </w:rPr>
      </w:pPr>
    </w:p>
    <w:p w14:paraId="3277645B" w14:textId="77777777" w:rsidR="00453674" w:rsidRPr="004A13BA" w:rsidRDefault="00453674" w:rsidP="00453674">
      <w:pPr>
        <w:spacing w:after="0" w:line="240" w:lineRule="auto"/>
        <w:contextualSpacing/>
        <w:jc w:val="both"/>
        <w:rPr>
          <w:rFonts w:ascii="Verdana" w:hAnsi="Verdana" w:cs="Arial"/>
          <w:b/>
          <w:bCs/>
          <w:lang w:val="es-ES_tradnl"/>
        </w:rPr>
      </w:pPr>
      <w:r w:rsidRPr="004A13BA">
        <w:rPr>
          <w:rFonts w:ascii="Verdana" w:hAnsi="Verdana" w:cs="Arial"/>
          <w:b/>
          <w:bCs/>
          <w:lang w:val="es-ES_tradnl"/>
        </w:rPr>
        <w:t xml:space="preserve">REQUISITOS HABILITANTES – Concepto </w:t>
      </w:r>
    </w:p>
    <w:p w14:paraId="2951B673" w14:textId="77777777" w:rsidR="00453674" w:rsidRPr="004A13BA" w:rsidRDefault="00453674" w:rsidP="00453674">
      <w:pPr>
        <w:spacing w:after="0" w:line="240" w:lineRule="auto"/>
        <w:contextualSpacing/>
        <w:jc w:val="both"/>
        <w:rPr>
          <w:rFonts w:ascii="Verdana" w:hAnsi="Verdana" w:cs="Arial"/>
          <w:b/>
          <w:bCs/>
          <w:sz w:val="20"/>
          <w:szCs w:val="20"/>
          <w:lang w:val="es-ES_tradnl"/>
        </w:rPr>
      </w:pPr>
    </w:p>
    <w:p w14:paraId="3ED126E1" w14:textId="77777777" w:rsidR="00453674" w:rsidRPr="004A13BA" w:rsidRDefault="00453674" w:rsidP="00453674">
      <w:pPr>
        <w:spacing w:after="0" w:line="240" w:lineRule="auto"/>
        <w:contextualSpacing/>
        <w:jc w:val="both"/>
        <w:rPr>
          <w:rFonts w:ascii="Verdana" w:hAnsi="Verdana" w:cs="Arial"/>
          <w:sz w:val="20"/>
          <w:szCs w:val="20"/>
        </w:rPr>
      </w:pPr>
      <w:r w:rsidRPr="004A13BA">
        <w:rPr>
          <w:rFonts w:ascii="Verdana" w:hAnsi="Verdana" w:cs="Arial"/>
          <w:sz w:val="20"/>
          <w:szCs w:val="20"/>
        </w:rPr>
        <w:t xml:space="preserve">Los requisitos habilitantes se definen como aquellas exigencias de participación en los procedimientos de selección, establecidas en disposiciones normativas, de carácter legal o reglamentario, o contenidas en el acto administrativo que regula las reglas de la convocatoria–es decir, en el pliego de condiciones o el documento equivalente a este–. Se diferencian de los criterios de evaluación –también conocidos como criterios de calificación– en que estos son los factores definidos por la entidad estatal para la asignación de puntaje en el momento de la comparación de las ofertas, y que, a partir de su ponderación, permiten establecer el orden de elegibilidad y, por ende, la propuesta ganadora. </w:t>
      </w:r>
    </w:p>
    <w:p w14:paraId="78CD5C0D" w14:textId="77777777" w:rsidR="00453674" w:rsidRPr="004A13BA" w:rsidRDefault="00453674" w:rsidP="00453674">
      <w:pPr>
        <w:spacing w:after="0" w:line="240" w:lineRule="auto"/>
        <w:contextualSpacing/>
        <w:jc w:val="both"/>
        <w:rPr>
          <w:rFonts w:ascii="Verdana" w:hAnsi="Verdana" w:cs="Arial"/>
          <w:sz w:val="20"/>
          <w:szCs w:val="20"/>
        </w:rPr>
      </w:pPr>
    </w:p>
    <w:p w14:paraId="79516883" w14:textId="77777777" w:rsidR="00453674" w:rsidRPr="004A13BA" w:rsidRDefault="00453674" w:rsidP="00453674">
      <w:pPr>
        <w:spacing w:after="0" w:line="240" w:lineRule="auto"/>
        <w:contextualSpacing/>
        <w:jc w:val="both"/>
        <w:rPr>
          <w:rFonts w:ascii="Verdana" w:eastAsia="Calibri" w:hAnsi="Verdana" w:cs="Arial"/>
          <w:sz w:val="20"/>
          <w:szCs w:val="20"/>
          <w:lang w:val="es-ES_tradnl"/>
        </w:rPr>
      </w:pPr>
      <w:r w:rsidRPr="004A13BA">
        <w:rPr>
          <w:rFonts w:ascii="Verdana" w:hAnsi="Verdana" w:cs="Arial"/>
          <w:sz w:val="20"/>
          <w:szCs w:val="20"/>
        </w:rPr>
        <w:t xml:space="preserve">[…] </w:t>
      </w:r>
      <w:r w:rsidRPr="004A13BA">
        <w:rPr>
          <w:rFonts w:ascii="Verdana" w:eastAsia="Calibri" w:hAnsi="Verdana" w:cs="Arial"/>
          <w:sz w:val="20"/>
          <w:szCs w:val="20"/>
          <w:lang w:val="es-ES_tradnl"/>
        </w:rPr>
        <w:t xml:space="preserve">Específicamente, el numeral 1º del artículo referido establece que en los procesos de selección de contratistas serán objeto de verificación, como requisitos habilitantes, entre otros, los siguientes: i) la capacidad jurídica; </w:t>
      </w:r>
      <w:proofErr w:type="spellStart"/>
      <w:r w:rsidRPr="004A13BA">
        <w:rPr>
          <w:rFonts w:ascii="Verdana" w:eastAsia="Calibri" w:hAnsi="Verdana" w:cs="Arial"/>
          <w:sz w:val="20"/>
          <w:szCs w:val="20"/>
          <w:lang w:val="es-ES_tradnl"/>
        </w:rPr>
        <w:t>ii</w:t>
      </w:r>
      <w:proofErr w:type="spellEnd"/>
      <w:r w:rsidRPr="004A13BA">
        <w:rPr>
          <w:rFonts w:ascii="Verdana" w:eastAsia="Calibri" w:hAnsi="Verdana" w:cs="Arial"/>
          <w:sz w:val="20"/>
          <w:szCs w:val="20"/>
          <w:lang w:val="es-ES_tradnl"/>
        </w:rPr>
        <w:t xml:space="preserve">) la experiencia; </w:t>
      </w:r>
      <w:proofErr w:type="spellStart"/>
      <w:r w:rsidRPr="004A13BA">
        <w:rPr>
          <w:rFonts w:ascii="Verdana" w:eastAsia="Calibri" w:hAnsi="Verdana" w:cs="Arial"/>
          <w:sz w:val="20"/>
          <w:szCs w:val="20"/>
          <w:lang w:val="es-ES_tradnl"/>
        </w:rPr>
        <w:t>iii</w:t>
      </w:r>
      <w:proofErr w:type="spellEnd"/>
      <w:r w:rsidRPr="004A13BA">
        <w:rPr>
          <w:rFonts w:ascii="Verdana" w:eastAsia="Calibri" w:hAnsi="Verdana" w:cs="Arial"/>
          <w:sz w:val="20"/>
          <w:szCs w:val="20"/>
          <w:lang w:val="es-ES_tradnl"/>
        </w:rPr>
        <w:t xml:space="preserve">) la capacidad financiera y </w:t>
      </w:r>
      <w:proofErr w:type="spellStart"/>
      <w:r w:rsidRPr="004A13BA">
        <w:rPr>
          <w:rFonts w:ascii="Verdana" w:eastAsia="Calibri" w:hAnsi="Verdana" w:cs="Arial"/>
          <w:sz w:val="20"/>
          <w:szCs w:val="20"/>
          <w:lang w:val="es-ES_tradnl"/>
        </w:rPr>
        <w:t>iv</w:t>
      </w:r>
      <w:proofErr w:type="spellEnd"/>
      <w:r w:rsidRPr="004A13BA">
        <w:rPr>
          <w:rFonts w:ascii="Verdana" w:eastAsia="Calibri" w:hAnsi="Verdana" w:cs="Arial"/>
          <w:sz w:val="20"/>
          <w:szCs w:val="20"/>
          <w:lang w:val="es-ES_tradnl"/>
        </w:rPr>
        <w:t>) la capacidad de organización.</w:t>
      </w:r>
    </w:p>
    <w:p w14:paraId="43236B4A" w14:textId="77777777" w:rsidR="00453674" w:rsidRPr="004A13BA" w:rsidRDefault="00453674" w:rsidP="00453674">
      <w:pPr>
        <w:tabs>
          <w:tab w:val="left" w:pos="0"/>
        </w:tabs>
        <w:spacing w:after="0" w:line="240" w:lineRule="auto"/>
        <w:jc w:val="both"/>
        <w:rPr>
          <w:rFonts w:ascii="Verdana" w:eastAsia="Calibri" w:hAnsi="Verdana" w:cs="Arial"/>
          <w:b/>
          <w:sz w:val="20"/>
          <w:szCs w:val="20"/>
        </w:rPr>
      </w:pPr>
    </w:p>
    <w:p w14:paraId="40D7DFE8" w14:textId="77777777" w:rsidR="00453674" w:rsidRPr="004A13BA" w:rsidRDefault="00453674" w:rsidP="00453674">
      <w:pPr>
        <w:spacing w:after="0" w:line="240" w:lineRule="auto"/>
        <w:contextualSpacing/>
        <w:jc w:val="both"/>
        <w:rPr>
          <w:rFonts w:ascii="Verdana" w:hAnsi="Verdana" w:cs="Arial"/>
          <w:b/>
          <w:bCs/>
          <w:lang w:val="es-ES_tradnl"/>
        </w:rPr>
      </w:pPr>
      <w:r w:rsidRPr="004A13BA">
        <w:rPr>
          <w:rFonts w:ascii="Verdana" w:hAnsi="Verdana" w:cs="Arial"/>
          <w:b/>
          <w:bCs/>
        </w:rPr>
        <w:t>EXPERIENCIA</w:t>
      </w:r>
      <w:r w:rsidRPr="004A13BA">
        <w:rPr>
          <w:rFonts w:ascii="Verdana" w:hAnsi="Verdana" w:cs="Arial"/>
        </w:rPr>
        <w:t xml:space="preserve"> </w:t>
      </w:r>
      <w:r w:rsidRPr="004A13BA">
        <w:rPr>
          <w:rFonts w:ascii="Verdana" w:hAnsi="Verdana" w:cs="Arial"/>
          <w:b/>
          <w:bCs/>
          <w:lang w:val="es-ES_tradnl"/>
        </w:rPr>
        <w:t>– Concepto</w:t>
      </w:r>
    </w:p>
    <w:p w14:paraId="34B5A1F2" w14:textId="77777777" w:rsidR="00453674" w:rsidRPr="004A13BA" w:rsidRDefault="00453674" w:rsidP="00453674">
      <w:pPr>
        <w:spacing w:after="0" w:line="240" w:lineRule="auto"/>
        <w:contextualSpacing/>
        <w:jc w:val="both"/>
        <w:rPr>
          <w:rFonts w:ascii="Verdana" w:hAnsi="Verdana" w:cs="Arial"/>
          <w:b/>
          <w:bCs/>
          <w:sz w:val="20"/>
          <w:szCs w:val="20"/>
          <w:lang w:val="es-ES_tradnl"/>
        </w:rPr>
      </w:pPr>
    </w:p>
    <w:p w14:paraId="37129283" w14:textId="77777777" w:rsidR="00453674" w:rsidRPr="004A13BA" w:rsidRDefault="00453674" w:rsidP="00453674">
      <w:pPr>
        <w:spacing w:after="0" w:line="240" w:lineRule="auto"/>
        <w:contextualSpacing/>
        <w:jc w:val="both"/>
        <w:rPr>
          <w:rFonts w:ascii="Verdana" w:hAnsi="Verdana" w:cs="Arial"/>
          <w:sz w:val="20"/>
          <w:szCs w:val="20"/>
        </w:rPr>
      </w:pPr>
      <w:r w:rsidRPr="004A13BA">
        <w:rPr>
          <w:rFonts w:ascii="Verdana" w:hAnsi="Verdana" w:cs="Arial"/>
          <w:sz w:val="20"/>
          <w:szCs w:val="20"/>
        </w:rPr>
        <w:t xml:space="preserve">Dentro de los requisitos habilitantes establecidos por el artículo 5 de la Ley 1150 de 2007 se destaca la experiencia. En el </w:t>
      </w:r>
      <w:r>
        <w:rPr>
          <w:rFonts w:ascii="Verdana" w:hAnsi="Verdana" w:cs="Arial"/>
          <w:sz w:val="20"/>
          <w:szCs w:val="20"/>
        </w:rPr>
        <w:t>“</w:t>
      </w:r>
      <w:r w:rsidRPr="004A13BA">
        <w:rPr>
          <w:rFonts w:ascii="Verdana" w:hAnsi="Verdana" w:cs="Arial"/>
          <w:sz w:val="20"/>
          <w:szCs w:val="20"/>
        </w:rPr>
        <w:t>Manual para determinar y verificar requisitos habilitantes en los procesos de contratación</w:t>
      </w:r>
      <w:r>
        <w:rPr>
          <w:rFonts w:ascii="Verdana" w:hAnsi="Verdana" w:cs="Arial"/>
          <w:sz w:val="20"/>
          <w:szCs w:val="20"/>
        </w:rPr>
        <w:t>”</w:t>
      </w:r>
      <w:r w:rsidRPr="004A13BA">
        <w:rPr>
          <w:rFonts w:ascii="Verdana" w:hAnsi="Verdana" w:cs="Arial"/>
          <w:sz w:val="20"/>
          <w:szCs w:val="20"/>
        </w:rPr>
        <w:t xml:space="preserve"> expedido por Colombia Compra Eficiente se define a la experiencia como </w:t>
      </w:r>
      <w:r>
        <w:rPr>
          <w:rFonts w:ascii="Verdana" w:hAnsi="Verdana" w:cs="Arial"/>
          <w:sz w:val="20"/>
          <w:szCs w:val="20"/>
        </w:rPr>
        <w:t>“</w:t>
      </w:r>
      <w:r w:rsidRPr="004A13BA">
        <w:rPr>
          <w:rFonts w:ascii="Verdana" w:hAnsi="Verdana" w:cs="Arial"/>
          <w:sz w:val="20"/>
          <w:szCs w:val="20"/>
        </w:rPr>
        <w:t>[…] el conocimiento del proponente derivado de su participación previa en actividades iguales o similares a las previstas en el objeto del contrato</w:t>
      </w:r>
      <w:r>
        <w:rPr>
          <w:rFonts w:ascii="Verdana" w:hAnsi="Verdana" w:cs="Arial"/>
          <w:sz w:val="20"/>
          <w:szCs w:val="20"/>
        </w:rPr>
        <w:t>”</w:t>
      </w:r>
      <w:r w:rsidRPr="004A13BA">
        <w:rPr>
          <w:rFonts w:ascii="Verdana" w:hAnsi="Verdana" w:cs="Arial"/>
          <w:sz w:val="20"/>
          <w:szCs w:val="20"/>
        </w:rPr>
        <w:t>. Precisamente, de la experiencia se deriva el conocimiento del proponente, el cual en el marco de la contratación pública se reviste de particular importancia, en la medida en que garantiza en cierto grado que no habrá improvisación ni mayores costos por errores o dificultades originadas en realizar una actividad por primera vez. […]</w:t>
      </w:r>
    </w:p>
    <w:p w14:paraId="5E8B7E02" w14:textId="77777777" w:rsidR="00453674" w:rsidRPr="004A13BA" w:rsidRDefault="00453674" w:rsidP="00453674">
      <w:pPr>
        <w:spacing w:after="0" w:line="240" w:lineRule="auto"/>
        <w:contextualSpacing/>
        <w:jc w:val="both"/>
        <w:rPr>
          <w:rFonts w:ascii="Verdana" w:hAnsi="Verdana" w:cs="Arial"/>
          <w:sz w:val="20"/>
          <w:szCs w:val="20"/>
        </w:rPr>
      </w:pPr>
    </w:p>
    <w:p w14:paraId="286E0B70" w14:textId="77777777" w:rsidR="00453674" w:rsidRPr="00B53D4E" w:rsidRDefault="00453674" w:rsidP="00453674">
      <w:pPr>
        <w:pStyle w:val="s16"/>
        <w:spacing w:before="0" w:beforeAutospacing="0" w:after="0" w:afterAutospacing="0"/>
        <w:jc w:val="both"/>
        <w:rPr>
          <w:rFonts w:ascii="Verdana" w:hAnsi="Verdana" w:cs="Arial"/>
          <w:b/>
          <w:bCs/>
          <w:color w:val="000000"/>
          <w:sz w:val="22"/>
          <w:szCs w:val="22"/>
        </w:rPr>
      </w:pPr>
      <w:r>
        <w:rPr>
          <w:rStyle w:val="s15"/>
          <w:rFonts w:ascii="Verdana" w:hAnsi="Verdana" w:cs="Arial"/>
          <w:b/>
          <w:bCs/>
          <w:color w:val="000000"/>
          <w:sz w:val="22"/>
          <w:szCs w:val="22"/>
        </w:rPr>
        <w:lastRenderedPageBreak/>
        <w:t>SELECCIÓN DE CONSULTORES</w:t>
      </w:r>
      <w:r w:rsidRPr="00B53D4E">
        <w:rPr>
          <w:rStyle w:val="s15"/>
          <w:rFonts w:ascii="Verdana" w:hAnsi="Verdana" w:cs="Arial"/>
          <w:b/>
          <w:bCs/>
          <w:color w:val="000000"/>
          <w:sz w:val="22"/>
          <w:szCs w:val="22"/>
        </w:rPr>
        <w:t xml:space="preserve"> – </w:t>
      </w:r>
      <w:r>
        <w:rPr>
          <w:rStyle w:val="s15"/>
          <w:rFonts w:ascii="Verdana" w:hAnsi="Verdana" w:cs="Arial"/>
          <w:b/>
          <w:bCs/>
          <w:color w:val="000000"/>
          <w:sz w:val="22"/>
          <w:szCs w:val="22"/>
        </w:rPr>
        <w:t>E</w:t>
      </w:r>
      <w:r w:rsidRPr="00376E97">
        <w:rPr>
          <w:rStyle w:val="s15"/>
          <w:rFonts w:ascii="Verdana" w:hAnsi="Verdana" w:cs="Arial"/>
          <w:b/>
          <w:bCs/>
          <w:color w:val="000000"/>
          <w:sz w:val="22"/>
          <w:szCs w:val="22"/>
        </w:rPr>
        <w:t>xperiencia habilitante</w:t>
      </w:r>
      <w:r>
        <w:rPr>
          <w:rStyle w:val="s15"/>
          <w:rFonts w:ascii="Verdana" w:hAnsi="Verdana" w:cs="Arial"/>
          <w:b/>
          <w:bCs/>
          <w:color w:val="000000"/>
          <w:sz w:val="22"/>
          <w:szCs w:val="22"/>
        </w:rPr>
        <w:t xml:space="preserve"> – E</w:t>
      </w:r>
      <w:r w:rsidRPr="00376E97">
        <w:rPr>
          <w:rStyle w:val="s15"/>
          <w:rFonts w:ascii="Verdana" w:hAnsi="Verdana" w:cs="Arial"/>
          <w:b/>
          <w:bCs/>
          <w:color w:val="000000"/>
          <w:sz w:val="22"/>
          <w:szCs w:val="22"/>
        </w:rPr>
        <w:t>xperiencia adicional puntuable</w:t>
      </w:r>
      <w:r>
        <w:rPr>
          <w:rStyle w:val="s15"/>
          <w:rFonts w:ascii="Verdana" w:hAnsi="Verdana" w:cs="Arial"/>
          <w:b/>
          <w:bCs/>
          <w:color w:val="000000"/>
          <w:sz w:val="22"/>
          <w:szCs w:val="22"/>
        </w:rPr>
        <w:t xml:space="preserve"> </w:t>
      </w:r>
    </w:p>
    <w:p w14:paraId="20B99311" w14:textId="77777777" w:rsidR="00453674" w:rsidRPr="00B53D4E" w:rsidRDefault="00453674" w:rsidP="00453674">
      <w:pPr>
        <w:pStyle w:val="s17"/>
        <w:spacing w:before="0" w:beforeAutospacing="0" w:after="0" w:afterAutospacing="0"/>
        <w:jc w:val="both"/>
        <w:rPr>
          <w:rFonts w:ascii="Verdana" w:hAnsi="Verdana" w:cs="Arial"/>
          <w:color w:val="000000"/>
          <w:sz w:val="20"/>
          <w:szCs w:val="20"/>
        </w:rPr>
      </w:pPr>
      <w:r w:rsidRPr="00B53D4E">
        <w:rPr>
          <w:rFonts w:ascii="Verdana" w:hAnsi="Verdana" w:cs="Arial"/>
          <w:color w:val="000000"/>
          <w:sz w:val="20"/>
          <w:szCs w:val="20"/>
        </w:rPr>
        <w:t> </w:t>
      </w:r>
    </w:p>
    <w:p w14:paraId="0A4BC2AE" w14:textId="77777777" w:rsidR="00453674" w:rsidRDefault="00453674" w:rsidP="00453674">
      <w:pPr>
        <w:spacing w:after="0" w:line="240" w:lineRule="auto"/>
        <w:jc w:val="both"/>
        <w:textAlignment w:val="baseline"/>
        <w:rPr>
          <w:rFonts w:ascii="Verdana" w:eastAsia="Times New Roman" w:hAnsi="Verdana" w:cs="Arial"/>
          <w:color w:val="000000"/>
          <w:sz w:val="20"/>
          <w:szCs w:val="20"/>
          <w:lang w:eastAsia="es-MX"/>
        </w:rPr>
      </w:pPr>
      <w:r>
        <w:rPr>
          <w:rFonts w:ascii="Verdana" w:eastAsia="Times New Roman" w:hAnsi="Verdana" w:cs="Arial"/>
          <w:color w:val="000000"/>
          <w:sz w:val="20"/>
          <w:szCs w:val="20"/>
          <w:lang w:eastAsia="es-MX"/>
        </w:rPr>
        <w:t>E</w:t>
      </w:r>
      <w:r w:rsidRPr="00376E97">
        <w:rPr>
          <w:rFonts w:ascii="Verdana" w:eastAsia="Times New Roman" w:hAnsi="Verdana" w:cs="Arial"/>
          <w:color w:val="000000"/>
          <w:sz w:val="20"/>
          <w:szCs w:val="20"/>
          <w:lang w:eastAsia="es-MX"/>
        </w:rPr>
        <w:t>l ordenamiento no existe una definición concreta de “experiencia adicional puntuable” en materia contractual. Este es un concepto abstracto que obedece a la acreditación de los proponentes como factor de asignación de puntaje, en lo que tiene que ver con la selección de consultores. Dicha experiencia también corresponde a “[…] el conocimiento del proponente derivado de su participación previa en actividades iguales o similares a las previstas en el objeto del contrato”, pero cuya exigencia se realiza con un mayor grado de concreción y precisión respecto a un alcance más genérico de la “experiencia habilitante” del proponente.</w:t>
      </w:r>
    </w:p>
    <w:p w14:paraId="177835FA" w14:textId="77777777" w:rsidR="00453674" w:rsidRPr="00376E97" w:rsidRDefault="00453674" w:rsidP="00453674">
      <w:pPr>
        <w:spacing w:after="0" w:line="240" w:lineRule="auto"/>
        <w:jc w:val="both"/>
        <w:textAlignment w:val="baseline"/>
        <w:rPr>
          <w:rFonts w:ascii="Verdana" w:eastAsia="Times New Roman" w:hAnsi="Verdana" w:cs="Arial"/>
          <w:color w:val="000000"/>
          <w:sz w:val="20"/>
          <w:szCs w:val="20"/>
          <w:lang w:eastAsia="es-MX"/>
        </w:rPr>
      </w:pPr>
    </w:p>
    <w:p w14:paraId="79BB641A" w14:textId="77777777" w:rsidR="00453674" w:rsidRDefault="00453674" w:rsidP="00453674">
      <w:pPr>
        <w:spacing w:after="0" w:line="240" w:lineRule="auto"/>
        <w:jc w:val="both"/>
        <w:textAlignment w:val="baseline"/>
        <w:rPr>
          <w:rFonts w:ascii="Verdana" w:eastAsia="Times New Roman" w:hAnsi="Verdana" w:cs="Arial"/>
          <w:color w:val="000000"/>
          <w:sz w:val="20"/>
          <w:szCs w:val="20"/>
          <w:lang w:eastAsia="es-MX"/>
        </w:rPr>
      </w:pPr>
      <w:r w:rsidRPr="00376E97">
        <w:rPr>
          <w:rFonts w:ascii="Verdana" w:eastAsia="Times New Roman" w:hAnsi="Verdana" w:cs="Arial"/>
          <w:color w:val="000000"/>
          <w:sz w:val="20"/>
          <w:szCs w:val="20"/>
          <w:lang w:eastAsia="es-MX"/>
        </w:rPr>
        <w:t>En este sentido, para los concursos de méritos, la “experiencia habilitante” suele tener una exigencia menor en cuanto a su precisión, que permite una mayor posibilidad de acreditación por los proponentes. Por su parte, la  “experiencia adicional puntuable” se incluye para exigir que los oferentes demuestren un alcance más concreto respecto de su experiencia, que suele tener una relación más estrecha con el contrato a ejecutar. Esto debido a la razonabilidad que encuentra la entidad de conocer que el proponente cuenta con la idoneidad para ejecutar algunas actividades concretas, que son especialmente relevantes para el proceso contractual.</w:t>
      </w:r>
    </w:p>
    <w:p w14:paraId="24FC20B3" w14:textId="77777777" w:rsidR="00453674" w:rsidRDefault="00453674" w:rsidP="00453674">
      <w:pPr>
        <w:spacing w:after="0" w:line="240" w:lineRule="auto"/>
        <w:jc w:val="both"/>
        <w:textAlignment w:val="baseline"/>
        <w:rPr>
          <w:rFonts w:ascii="Verdana" w:eastAsia="Times New Roman" w:hAnsi="Verdana" w:cs="Arial"/>
          <w:color w:val="000000"/>
          <w:sz w:val="20"/>
          <w:szCs w:val="20"/>
          <w:lang w:eastAsia="es-MX"/>
        </w:rPr>
      </w:pPr>
    </w:p>
    <w:p w14:paraId="777F320A" w14:textId="77777777" w:rsidR="00453674" w:rsidRPr="00BB3BE4" w:rsidRDefault="00453674" w:rsidP="00453674">
      <w:pPr>
        <w:tabs>
          <w:tab w:val="left" w:pos="709"/>
        </w:tabs>
        <w:spacing w:after="0" w:line="240" w:lineRule="auto"/>
        <w:jc w:val="both"/>
        <w:rPr>
          <w:rFonts w:ascii="Verdana" w:eastAsia="Calibri" w:hAnsi="Verdana" w:cs="Arial"/>
          <w:b/>
          <w:lang w:val="es-ES_tradnl" w:eastAsia="es-ES_tradnl"/>
        </w:rPr>
      </w:pPr>
      <w:r w:rsidRPr="00BB3BE4">
        <w:rPr>
          <w:rFonts w:ascii="Verdana" w:eastAsia="Calibri" w:hAnsi="Verdana" w:cs="Arial"/>
          <w:b/>
          <w:lang w:val="es-ES_tradnl" w:eastAsia="es-ES_tradnl"/>
        </w:rPr>
        <w:t>PROPONENTE PLURAL ‒ Consorcio ‒ Uni</w:t>
      </w:r>
      <w:r w:rsidRPr="00BB3BE4">
        <w:rPr>
          <w:rFonts w:ascii="Verdana" w:eastAsia="Calibri" w:hAnsi="Verdana" w:cs="Century Gothic"/>
          <w:b/>
          <w:lang w:val="es-ES_tradnl" w:eastAsia="es-ES_tradnl"/>
        </w:rPr>
        <w:t>ó</w:t>
      </w:r>
      <w:r w:rsidRPr="00BB3BE4">
        <w:rPr>
          <w:rFonts w:ascii="Verdana" w:eastAsia="Calibri" w:hAnsi="Verdana" w:cs="Arial"/>
          <w:b/>
          <w:lang w:val="es-ES_tradnl" w:eastAsia="es-ES_tradnl"/>
        </w:rPr>
        <w:t xml:space="preserve">n temporal ‒ Concepto </w:t>
      </w:r>
      <w:r w:rsidRPr="00BB3BE4">
        <w:rPr>
          <w:rFonts w:ascii="Verdana" w:eastAsia="Calibri" w:hAnsi="Verdana" w:cs="Century Gothic"/>
          <w:b/>
          <w:lang w:val="es-ES_tradnl" w:eastAsia="es-ES_tradnl"/>
        </w:rPr>
        <w:t>–</w:t>
      </w:r>
      <w:r w:rsidRPr="00BB3BE4">
        <w:rPr>
          <w:rFonts w:ascii="Verdana" w:eastAsia="Calibri" w:hAnsi="Verdana" w:cs="Arial"/>
          <w:b/>
          <w:lang w:val="es-ES_tradnl" w:eastAsia="es-ES_tradnl"/>
        </w:rPr>
        <w:t xml:space="preserve"> Diferencias</w:t>
      </w:r>
    </w:p>
    <w:p w14:paraId="65AFA09E" w14:textId="77777777" w:rsidR="00453674" w:rsidRPr="00BB3BE4" w:rsidRDefault="00453674" w:rsidP="00453674">
      <w:pPr>
        <w:tabs>
          <w:tab w:val="left" w:pos="709"/>
        </w:tabs>
        <w:spacing w:after="0" w:line="240" w:lineRule="auto"/>
        <w:jc w:val="both"/>
        <w:rPr>
          <w:rFonts w:ascii="Verdana" w:eastAsia="Calibri" w:hAnsi="Verdana" w:cs="Arial"/>
          <w:bCs/>
          <w:sz w:val="20"/>
          <w:szCs w:val="20"/>
          <w:lang w:val="es-ES_tradnl" w:eastAsia="es-ES_tradnl"/>
        </w:rPr>
      </w:pPr>
    </w:p>
    <w:p w14:paraId="1DB1B853" w14:textId="77777777" w:rsidR="00453674" w:rsidRPr="00BB3BE4" w:rsidRDefault="00453674" w:rsidP="00453674">
      <w:pPr>
        <w:spacing w:after="0" w:line="240" w:lineRule="auto"/>
        <w:jc w:val="both"/>
        <w:rPr>
          <w:rFonts w:ascii="Verdana" w:hAnsi="Verdana" w:cs="Arial"/>
          <w:color w:val="000000" w:themeColor="text1"/>
          <w:sz w:val="20"/>
          <w:szCs w:val="20"/>
        </w:rPr>
      </w:pPr>
      <w:r w:rsidRPr="00BB3BE4">
        <w:rPr>
          <w:rFonts w:ascii="Verdana" w:hAnsi="Verdana" w:cs="Arial"/>
          <w:color w:val="000000" w:themeColor="text1"/>
          <w:sz w:val="20"/>
          <w:szCs w:val="20"/>
        </w:rPr>
        <w:t xml:space="preserve">[…]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45F90358" w14:textId="77777777" w:rsidR="00453674" w:rsidRPr="00BB3BE4" w:rsidRDefault="00453674" w:rsidP="00453674">
      <w:pPr>
        <w:spacing w:after="0" w:line="240" w:lineRule="auto"/>
        <w:jc w:val="both"/>
        <w:rPr>
          <w:rFonts w:ascii="Verdana" w:hAnsi="Verdana" w:cs="Arial"/>
          <w:color w:val="000000" w:themeColor="text1"/>
          <w:sz w:val="20"/>
          <w:szCs w:val="20"/>
        </w:rPr>
      </w:pPr>
      <w:r w:rsidRPr="00BB3BE4">
        <w:rPr>
          <w:rFonts w:ascii="Verdana" w:hAnsi="Verdana" w:cs="Arial"/>
          <w:color w:val="000000" w:themeColor="text1"/>
          <w:sz w:val="20"/>
          <w:szCs w:val="20"/>
        </w:rPr>
        <w:t xml:space="preserve"> </w:t>
      </w:r>
    </w:p>
    <w:p w14:paraId="7D0233D6" w14:textId="77777777" w:rsidR="00453674" w:rsidRPr="00BB3BE4" w:rsidRDefault="00453674" w:rsidP="00453674">
      <w:pPr>
        <w:tabs>
          <w:tab w:val="left" w:pos="709"/>
        </w:tabs>
        <w:spacing w:after="0" w:line="240" w:lineRule="auto"/>
        <w:jc w:val="both"/>
        <w:rPr>
          <w:rFonts w:ascii="Verdana" w:eastAsia="Calibri" w:hAnsi="Verdana" w:cs="Arial"/>
          <w:b/>
          <w:color w:val="000000" w:themeColor="text1"/>
        </w:rPr>
      </w:pPr>
      <w:r w:rsidRPr="00BB3BE4">
        <w:rPr>
          <w:rFonts w:ascii="Verdana" w:eastAsia="Calibri" w:hAnsi="Verdana" w:cs="Arial"/>
          <w:b/>
          <w:lang w:val="es-ES_tradnl" w:eastAsia="es-ES_tradnl"/>
        </w:rPr>
        <w:t xml:space="preserve">CONSORCIOS Y UNIONES TEMPORALES – </w:t>
      </w:r>
      <w:r>
        <w:rPr>
          <w:rFonts w:ascii="Verdana" w:eastAsia="Calibri" w:hAnsi="Verdana" w:cs="Arial"/>
          <w:b/>
          <w:lang w:val="es-ES_tradnl" w:eastAsia="es-ES_tradnl"/>
        </w:rPr>
        <w:t>Responsabilidad solidaria</w:t>
      </w:r>
      <w:r w:rsidRPr="00BB3BE4">
        <w:rPr>
          <w:rFonts w:ascii="Verdana" w:eastAsia="Calibri" w:hAnsi="Verdana" w:cs="Arial"/>
          <w:b/>
          <w:lang w:val="es-ES_tradnl" w:eastAsia="es-ES_tradnl"/>
        </w:rPr>
        <w:t xml:space="preserve"> </w:t>
      </w:r>
    </w:p>
    <w:p w14:paraId="588B9605" w14:textId="77777777" w:rsidR="00453674" w:rsidRPr="00BB3BE4" w:rsidRDefault="00453674" w:rsidP="00453674">
      <w:pPr>
        <w:spacing w:after="0" w:line="240" w:lineRule="auto"/>
        <w:jc w:val="both"/>
        <w:rPr>
          <w:rFonts w:ascii="Verdana" w:eastAsia="Calibri" w:hAnsi="Verdana" w:cs="Arial"/>
          <w:bCs/>
          <w:sz w:val="20"/>
          <w:szCs w:val="20"/>
          <w:lang w:val="es-ES_tradnl" w:eastAsia="es-ES_tradnl"/>
        </w:rPr>
      </w:pPr>
    </w:p>
    <w:p w14:paraId="7E0732A0" w14:textId="77777777" w:rsidR="00453674" w:rsidRPr="00B97F89" w:rsidRDefault="00453674" w:rsidP="00453674">
      <w:pPr>
        <w:spacing w:after="0" w:line="240" w:lineRule="auto"/>
        <w:jc w:val="both"/>
        <w:rPr>
          <w:rFonts w:ascii="Verdana" w:eastAsia="Calibri" w:hAnsi="Verdana" w:cs="Arial"/>
          <w:bCs/>
          <w:color w:val="000000" w:themeColor="text1"/>
          <w:sz w:val="20"/>
          <w:szCs w:val="20"/>
          <w:lang w:val="es-ES"/>
        </w:rPr>
      </w:pPr>
      <w:r>
        <w:rPr>
          <w:rFonts w:ascii="Verdana" w:eastAsia="Calibri" w:hAnsi="Verdana" w:cs="Arial"/>
          <w:bCs/>
          <w:color w:val="000000" w:themeColor="text1"/>
          <w:sz w:val="20"/>
          <w:szCs w:val="20"/>
          <w:lang w:val="es-ES"/>
        </w:rPr>
        <w:t>D</w:t>
      </w:r>
      <w:r w:rsidRPr="00B97F89">
        <w:rPr>
          <w:rFonts w:ascii="Verdana" w:eastAsia="Calibri" w:hAnsi="Verdana" w:cs="Arial"/>
          <w:bCs/>
          <w:color w:val="000000" w:themeColor="text1"/>
          <w:sz w:val="20"/>
          <w:szCs w:val="20"/>
          <w:lang w:val="es-ES"/>
        </w:rPr>
        <w:t>e acuerdo con los numerales 6 y 7 del artículo 7 de la Ley 80 de 1993, el consorcio o la unión temporal se da “Cuando dos o más personas en forma conjunta presentan una misma propuesta para la adjudicación, celebración y ejecución de un contrato, respondiendo solidariamente de todas y cada una de las obligaciones derivadas de la propuesta y del contrato […]”.</w:t>
      </w:r>
      <w:r>
        <w:rPr>
          <w:rFonts w:ascii="Verdana" w:eastAsia="Calibri" w:hAnsi="Verdana" w:cs="Arial"/>
          <w:bCs/>
          <w:color w:val="000000" w:themeColor="text1"/>
          <w:sz w:val="20"/>
          <w:szCs w:val="20"/>
          <w:lang w:val="es-ES"/>
        </w:rPr>
        <w:t xml:space="preserve"> </w:t>
      </w:r>
      <w:r w:rsidRPr="00B97F89">
        <w:rPr>
          <w:rFonts w:ascii="Verdana" w:eastAsia="Calibri" w:hAnsi="Verdana" w:cs="Arial"/>
          <w:bCs/>
          <w:color w:val="000000" w:themeColor="text1"/>
          <w:sz w:val="20"/>
          <w:szCs w:val="20"/>
          <w:lang w:val="es-ES"/>
        </w:rPr>
        <w:t xml:space="preserve">Así como existe participación conjunta en la presentación de la propuesta, todos los integrantes de la estructura plural deben participar en la ejecución del contrato, pues existe solidaridad en el cumplimiento de las obligaciones. Por remisión de los artículos 13, 32 y 40 del EGCAP al artículo 1568 del Código Civil, las </w:t>
      </w:r>
      <w:r w:rsidRPr="00B97F89">
        <w:rPr>
          <w:rFonts w:ascii="Verdana" w:eastAsia="Calibri" w:hAnsi="Verdana" w:cs="Arial"/>
          <w:bCs/>
          <w:color w:val="000000" w:themeColor="text1"/>
          <w:sz w:val="20"/>
          <w:szCs w:val="20"/>
          <w:lang w:val="es-ES"/>
        </w:rPr>
        <w:lastRenderedPageBreak/>
        <w:t>obligaciones son solidarias cuando “[…] existiendo varios deudores de un mismo objeto divisible, el acreedor puede exigir, por el ministerio de la ley o por la convención, el total a cada uno de ellos, y el pago que haga cualquiera de los deudores extingue la obligación respecto de todos”. Esto significa que la entidad contratante puede exigir a cualquiera de los miembros del consorcio o la unión temporal el cumplimiento de lo pactado; razón por la cual, todos los integrantes de la estructura plural deben estar en capacidad para desarrollar actividades tendientes a la prestación de lo debido</w:t>
      </w:r>
      <w:r w:rsidRPr="00BB3BE4">
        <w:rPr>
          <w:rFonts w:ascii="Verdana" w:hAnsi="Verdana" w:cs="Arial"/>
          <w:color w:val="000000" w:themeColor="text1"/>
          <w:sz w:val="20"/>
          <w:szCs w:val="20"/>
        </w:rPr>
        <w:t>.</w:t>
      </w:r>
    </w:p>
    <w:p w14:paraId="752E2B25" w14:textId="77777777" w:rsidR="00453674" w:rsidRDefault="00453674" w:rsidP="00453674">
      <w:pPr>
        <w:spacing w:after="0" w:line="240" w:lineRule="auto"/>
        <w:jc w:val="both"/>
        <w:textAlignment w:val="baseline"/>
        <w:rPr>
          <w:rFonts w:ascii="Verdana" w:hAnsi="Verdana" w:cs="Arial"/>
          <w:bCs/>
          <w:sz w:val="20"/>
          <w:szCs w:val="20"/>
          <w:lang w:val="es-ES"/>
        </w:rPr>
      </w:pPr>
    </w:p>
    <w:p w14:paraId="073A106C" w14:textId="77777777" w:rsidR="00453674" w:rsidRPr="00EB4126" w:rsidRDefault="00453674" w:rsidP="00453674">
      <w:pPr>
        <w:spacing w:after="0" w:line="240" w:lineRule="auto"/>
        <w:jc w:val="both"/>
        <w:textAlignment w:val="baseline"/>
        <w:rPr>
          <w:rFonts w:ascii="Verdana" w:hAnsi="Verdana" w:cs="Arial"/>
          <w:bCs/>
          <w:sz w:val="20"/>
          <w:szCs w:val="20"/>
          <w:lang w:val="es-ES"/>
        </w:rPr>
      </w:pPr>
      <w:r w:rsidRPr="00BB3BE4">
        <w:rPr>
          <w:rFonts w:ascii="Verdana" w:eastAsia="Calibri" w:hAnsi="Verdana" w:cs="Arial"/>
          <w:b/>
          <w:lang w:val="es-ES_tradnl" w:eastAsia="es-ES_tradnl"/>
        </w:rPr>
        <w:t>CONSORCIOS Y UNIONES TEMPORALES</w:t>
      </w:r>
      <w:r>
        <w:rPr>
          <w:rFonts w:ascii="Verdana" w:eastAsia="Calibri" w:hAnsi="Verdana" w:cs="Arial"/>
          <w:b/>
          <w:lang w:val="es-ES_tradnl" w:eastAsia="es-ES_tradnl"/>
        </w:rPr>
        <w:t xml:space="preserve"> – Experiencia – Acreditación – Proporcionalidad – </w:t>
      </w:r>
      <w:r>
        <w:rPr>
          <w:rStyle w:val="s15"/>
          <w:rFonts w:ascii="Verdana" w:hAnsi="Verdana" w:cs="Arial"/>
          <w:b/>
          <w:bCs/>
          <w:color w:val="000000"/>
        </w:rPr>
        <w:t>E</w:t>
      </w:r>
      <w:r w:rsidRPr="00376E97">
        <w:rPr>
          <w:rStyle w:val="s15"/>
          <w:rFonts w:ascii="Verdana" w:hAnsi="Verdana" w:cs="Arial"/>
          <w:b/>
          <w:bCs/>
          <w:color w:val="000000"/>
        </w:rPr>
        <w:t>xperiencia habilitante</w:t>
      </w:r>
      <w:r>
        <w:rPr>
          <w:rStyle w:val="s15"/>
          <w:rFonts w:ascii="Verdana" w:hAnsi="Verdana" w:cs="Arial"/>
          <w:b/>
          <w:bCs/>
          <w:color w:val="000000"/>
        </w:rPr>
        <w:t xml:space="preserve"> y</w:t>
      </w:r>
      <w:r w:rsidRPr="00376E97">
        <w:rPr>
          <w:rStyle w:val="s15"/>
          <w:rFonts w:ascii="Verdana" w:hAnsi="Verdana" w:cs="Arial"/>
          <w:b/>
          <w:bCs/>
          <w:color w:val="000000"/>
        </w:rPr>
        <w:t xml:space="preserve"> puntuable</w:t>
      </w:r>
    </w:p>
    <w:p w14:paraId="5994BAF3" w14:textId="77777777" w:rsidR="00453674" w:rsidRDefault="00453674" w:rsidP="00453674">
      <w:pPr>
        <w:spacing w:after="0" w:line="240" w:lineRule="auto"/>
        <w:jc w:val="both"/>
        <w:rPr>
          <w:rFonts w:ascii="Verdana" w:eastAsia="Calibri" w:hAnsi="Verdana" w:cs="Arial"/>
          <w:bCs/>
          <w:color w:val="000000" w:themeColor="text1"/>
          <w:sz w:val="20"/>
          <w:szCs w:val="20"/>
          <w:lang w:val="es-ES"/>
        </w:rPr>
      </w:pPr>
    </w:p>
    <w:p w14:paraId="39D4F390" w14:textId="77777777" w:rsidR="00453674" w:rsidRDefault="00453674" w:rsidP="00453674">
      <w:pPr>
        <w:spacing w:after="0" w:line="240" w:lineRule="auto"/>
        <w:jc w:val="both"/>
        <w:rPr>
          <w:rFonts w:ascii="Verdana" w:eastAsia="Calibri" w:hAnsi="Verdana" w:cs="Arial"/>
          <w:bCs/>
          <w:color w:val="000000" w:themeColor="text1"/>
          <w:sz w:val="20"/>
          <w:szCs w:val="20"/>
          <w:lang w:val="es-ES"/>
        </w:rPr>
      </w:pPr>
      <w:r>
        <w:rPr>
          <w:rFonts w:ascii="Verdana" w:eastAsia="Calibri" w:hAnsi="Verdana" w:cs="Arial"/>
          <w:bCs/>
          <w:color w:val="000000" w:themeColor="text1"/>
          <w:sz w:val="20"/>
          <w:szCs w:val="20"/>
          <w:lang w:val="es-ES"/>
        </w:rPr>
        <w:t>D</w:t>
      </w:r>
      <w:r w:rsidRPr="00EB4126">
        <w:rPr>
          <w:rFonts w:ascii="Verdana" w:eastAsia="Calibri" w:hAnsi="Verdana" w:cs="Arial"/>
          <w:bCs/>
          <w:color w:val="000000" w:themeColor="text1"/>
          <w:sz w:val="20"/>
          <w:szCs w:val="20"/>
          <w:lang w:val="es-ES"/>
        </w:rPr>
        <w:t xml:space="preserve">e acuerdo con el “Manual para determinar y verificar los requisitos habilitantes en los procesos de contratación”, Colombia </w:t>
      </w:r>
      <w:r>
        <w:rPr>
          <w:rFonts w:ascii="Verdana" w:eastAsia="Calibri" w:hAnsi="Verdana" w:cs="Arial"/>
          <w:bCs/>
          <w:color w:val="000000" w:themeColor="text1"/>
          <w:sz w:val="20"/>
          <w:szCs w:val="20"/>
          <w:lang w:val="es-ES"/>
        </w:rPr>
        <w:t>Compra Eficiente</w:t>
      </w:r>
      <w:r w:rsidRPr="00EB4126">
        <w:rPr>
          <w:rFonts w:ascii="Verdana" w:eastAsia="Calibri" w:hAnsi="Verdana" w:cs="Arial"/>
          <w:bCs/>
          <w:color w:val="000000" w:themeColor="text1"/>
          <w:sz w:val="20"/>
          <w:szCs w:val="20"/>
          <w:lang w:val="es-ES"/>
        </w:rPr>
        <w:t xml:space="preserve"> ha precisado que “[…] la experiencia de los oferentes plurales debe ser proporcional a la participación de cada uno de sus integrantes en el consorcio o unión temporal. Sin perjuicio del carácter personal de la experiencia, entre los integrantes del oferente plural la experiencia se puede compartir, sin que implique que la experiencia compartida con alguna de las partes se entienda como propia. Dentro del procedimiento contractual se reflejará que uno de los integrantes del proponente plural comparte la experiencia de otra. Esto es claro en el caso de las figuras asociativas donde se verificará en el documento privado de constitución”. </w:t>
      </w:r>
    </w:p>
    <w:p w14:paraId="3990BBBF" w14:textId="77777777" w:rsidR="00453674" w:rsidRDefault="00453674" w:rsidP="00453674">
      <w:pPr>
        <w:spacing w:after="0" w:line="240" w:lineRule="auto"/>
        <w:jc w:val="both"/>
        <w:rPr>
          <w:rFonts w:ascii="Verdana" w:eastAsia="Calibri" w:hAnsi="Verdana" w:cs="Arial"/>
          <w:bCs/>
          <w:color w:val="000000" w:themeColor="text1"/>
          <w:sz w:val="20"/>
          <w:szCs w:val="20"/>
          <w:lang w:val="es-ES"/>
        </w:rPr>
      </w:pPr>
      <w:r w:rsidRPr="00EB4126">
        <w:rPr>
          <w:rFonts w:ascii="Verdana" w:eastAsia="Calibri" w:hAnsi="Verdana" w:cs="Arial"/>
          <w:bCs/>
          <w:color w:val="000000" w:themeColor="text1"/>
          <w:sz w:val="20"/>
          <w:szCs w:val="20"/>
          <w:lang w:val="es-ES"/>
        </w:rPr>
        <w:t xml:space="preserve"> </w:t>
      </w:r>
    </w:p>
    <w:p w14:paraId="007F5F77" w14:textId="77777777" w:rsidR="00453674" w:rsidRPr="00B97F89" w:rsidRDefault="00453674" w:rsidP="00453674">
      <w:pPr>
        <w:spacing w:after="0" w:line="240" w:lineRule="auto"/>
        <w:jc w:val="both"/>
        <w:rPr>
          <w:rFonts w:ascii="Verdana" w:eastAsia="Calibri" w:hAnsi="Verdana" w:cs="Arial"/>
          <w:bCs/>
          <w:color w:val="000000" w:themeColor="text1"/>
          <w:sz w:val="20"/>
          <w:szCs w:val="20"/>
          <w:lang w:val="es-ES"/>
        </w:rPr>
      </w:pPr>
      <w:r w:rsidRPr="00EB4126">
        <w:rPr>
          <w:rFonts w:ascii="Verdana" w:eastAsia="Calibri" w:hAnsi="Verdana" w:cs="Arial"/>
          <w:bCs/>
          <w:color w:val="000000" w:themeColor="text1"/>
          <w:sz w:val="20"/>
          <w:szCs w:val="20"/>
          <w:lang w:val="es-ES"/>
        </w:rPr>
        <w:t xml:space="preserve">Este razonamiento aplica tanto a la “experiencia habilitante” como a la “experiencia adicional puntuable”. Si bien la guía de la ANCP – CCE alude al criterio de proporcionalidad tratándose de los requisitos de verificación, la Agencia no observa obstáculo para extender el razonamiento a la ponderación de la experiencia de los consultores en los concursos de méritos. La conclusión se sustenta en el artículo 8 de la Ley 153 de 1887, puesto que “Cuando no hay ley exactamente aplicable al caso controvertido, se aplicarán las leyes que regulen casos o materias semejantes […]”. La semejanza parte de que ambas experiencias se acreditan a través del RUP, por lo que el porcentaje de participación del integrante del consorcio o la unión temporal circunscribe la experiencia habilitante y puntuable, sin que exista alguna razón de peso para un trato diferenciado en su acreditación. </w:t>
      </w:r>
    </w:p>
    <w:p w14:paraId="317DF9E0" w14:textId="77777777" w:rsidR="00453674" w:rsidRDefault="00453674" w:rsidP="00453674">
      <w:pPr>
        <w:spacing w:after="0" w:line="240" w:lineRule="auto"/>
        <w:jc w:val="both"/>
        <w:textAlignment w:val="baseline"/>
        <w:rPr>
          <w:rFonts w:ascii="Verdana" w:hAnsi="Verdana" w:cs="Arial"/>
          <w:bCs/>
          <w:sz w:val="20"/>
          <w:szCs w:val="20"/>
          <w:lang w:val="es-ES"/>
        </w:rPr>
      </w:pPr>
    </w:p>
    <w:p w14:paraId="48E7CF35" w14:textId="77777777" w:rsidR="00453674" w:rsidRPr="00EB4126" w:rsidRDefault="00453674" w:rsidP="00453674">
      <w:pPr>
        <w:spacing w:after="0" w:line="240" w:lineRule="auto"/>
        <w:jc w:val="both"/>
        <w:textAlignment w:val="baseline"/>
        <w:rPr>
          <w:rFonts w:ascii="Verdana" w:hAnsi="Verdana" w:cs="Arial"/>
          <w:bCs/>
          <w:sz w:val="20"/>
          <w:szCs w:val="20"/>
          <w:lang w:val="es-ES" w:eastAsia="es-CO"/>
        </w:rPr>
      </w:pPr>
    </w:p>
    <w:p w14:paraId="0004F884" w14:textId="77777777" w:rsidR="00453674" w:rsidRDefault="00453674" w:rsidP="00453674">
      <w:pPr>
        <w:spacing w:after="0" w:line="240" w:lineRule="auto"/>
        <w:rPr>
          <w:rFonts w:ascii="Verdana" w:eastAsia="Geomanist Light" w:hAnsi="Verdana" w:cs="Arial"/>
          <w:color w:val="000000" w:themeColor="text1"/>
          <w:lang w:val="es-MX"/>
        </w:rPr>
      </w:pPr>
    </w:p>
    <w:p w14:paraId="59BE8A10" w14:textId="77777777" w:rsidR="00453674" w:rsidRDefault="00453674" w:rsidP="00453674">
      <w:pPr>
        <w:spacing w:after="0" w:line="240" w:lineRule="auto"/>
        <w:rPr>
          <w:rFonts w:ascii="Verdana" w:eastAsia="Geomanist Light" w:hAnsi="Verdana" w:cs="Arial"/>
          <w:color w:val="000000" w:themeColor="text1"/>
          <w:lang w:val="es-MX"/>
        </w:rPr>
      </w:pPr>
    </w:p>
    <w:p w14:paraId="7DC364CC" w14:textId="77777777" w:rsidR="00453674" w:rsidRDefault="00453674" w:rsidP="00453674">
      <w:pPr>
        <w:spacing w:after="0" w:line="240" w:lineRule="auto"/>
        <w:rPr>
          <w:rFonts w:ascii="Verdana" w:eastAsia="Geomanist Light" w:hAnsi="Verdana" w:cs="Arial"/>
          <w:color w:val="000000" w:themeColor="text1"/>
          <w:lang w:val="es-MX"/>
        </w:rPr>
      </w:pPr>
    </w:p>
    <w:p w14:paraId="4BFEDDC5" w14:textId="77777777" w:rsidR="00453674" w:rsidRDefault="00453674" w:rsidP="00453674">
      <w:pPr>
        <w:spacing w:after="0" w:line="240" w:lineRule="auto"/>
        <w:rPr>
          <w:rFonts w:ascii="Verdana" w:eastAsia="Geomanist Light" w:hAnsi="Verdana" w:cs="Arial"/>
          <w:color w:val="000000" w:themeColor="text1"/>
          <w:lang w:val="es-MX"/>
        </w:rPr>
      </w:pPr>
    </w:p>
    <w:p w14:paraId="0B8EAB8E" w14:textId="77777777" w:rsidR="00453674" w:rsidRDefault="00453674" w:rsidP="00453674">
      <w:pPr>
        <w:spacing w:after="0" w:line="240" w:lineRule="auto"/>
        <w:rPr>
          <w:rFonts w:ascii="Verdana" w:eastAsia="Geomanist Light" w:hAnsi="Verdana" w:cs="Arial"/>
          <w:color w:val="000000" w:themeColor="text1"/>
          <w:lang w:val="es-MX"/>
        </w:rPr>
      </w:pPr>
    </w:p>
    <w:p w14:paraId="532561D4" w14:textId="77777777" w:rsidR="00453674" w:rsidRDefault="00453674" w:rsidP="005C2959">
      <w:pPr>
        <w:spacing w:after="0" w:line="240" w:lineRule="auto"/>
        <w:rPr>
          <w:rFonts w:ascii="Verdana" w:eastAsia="Geomanist Light" w:hAnsi="Verdana" w:cs="Arial"/>
          <w:color w:val="000000" w:themeColor="text1"/>
          <w:lang w:val="es-MX"/>
        </w:rPr>
      </w:pPr>
    </w:p>
    <w:p w14:paraId="5C56C179" w14:textId="77777777" w:rsidR="00453674" w:rsidRDefault="00453674" w:rsidP="005C2959">
      <w:pPr>
        <w:spacing w:after="0" w:line="240" w:lineRule="auto"/>
        <w:rPr>
          <w:rFonts w:ascii="Verdana" w:eastAsia="Geomanist Light" w:hAnsi="Verdana" w:cs="Arial"/>
          <w:color w:val="000000" w:themeColor="text1"/>
          <w:lang w:val="es-MX"/>
        </w:rPr>
      </w:pPr>
    </w:p>
    <w:p w14:paraId="5C0C185D" w14:textId="77777777" w:rsidR="00453674" w:rsidRDefault="00453674" w:rsidP="005C2959">
      <w:pPr>
        <w:spacing w:after="0" w:line="240" w:lineRule="auto"/>
        <w:rPr>
          <w:rFonts w:ascii="Verdana" w:eastAsia="Geomanist Light" w:hAnsi="Verdana" w:cs="Arial"/>
          <w:color w:val="000000" w:themeColor="text1"/>
          <w:lang w:val="es-MX"/>
        </w:rPr>
      </w:pPr>
    </w:p>
    <w:p w14:paraId="0BD2476F" w14:textId="77777777" w:rsidR="00453674" w:rsidRDefault="00453674" w:rsidP="005C2959">
      <w:pPr>
        <w:spacing w:after="0" w:line="240" w:lineRule="auto"/>
        <w:rPr>
          <w:rFonts w:ascii="Verdana" w:eastAsia="Geomanist Light" w:hAnsi="Verdana" w:cs="Arial"/>
          <w:color w:val="000000" w:themeColor="text1"/>
          <w:lang w:val="es-MX"/>
        </w:rPr>
      </w:pPr>
    </w:p>
    <w:p w14:paraId="49EDD15F" w14:textId="77777777" w:rsidR="008D1015" w:rsidRDefault="008D1015" w:rsidP="005C2959">
      <w:pPr>
        <w:spacing w:after="0" w:line="240" w:lineRule="auto"/>
        <w:rPr>
          <w:rFonts w:ascii="Verdana" w:eastAsia="Geomanist Light" w:hAnsi="Verdana" w:cs="Arial"/>
          <w:color w:val="000000" w:themeColor="text1"/>
          <w:lang w:val="es-MX"/>
        </w:rPr>
      </w:pPr>
    </w:p>
    <w:p w14:paraId="607DF142" w14:textId="086937CB" w:rsidR="005C2959" w:rsidRPr="00593A5F" w:rsidRDefault="005C2959" w:rsidP="005C2959">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F54ACB">
        <w:rPr>
          <w:rFonts w:ascii="Verdana" w:eastAsia="Geomanist Light" w:hAnsi="Verdana" w:cs="Arial"/>
          <w:color w:val="000000" w:themeColor="text1"/>
          <w:lang w:val="es-MX"/>
        </w:rPr>
        <w:t>31</w:t>
      </w:r>
      <w:r w:rsidR="00F54ACB" w:rsidRPr="00F54ACB">
        <w:rPr>
          <w:rFonts w:ascii="Verdana" w:eastAsia="Geomanist Light" w:hAnsi="Verdana" w:cs="Arial"/>
          <w:color w:val="000000" w:themeColor="text1"/>
          <w:lang w:val="es-MX"/>
        </w:rPr>
        <w:t xml:space="preserve"> de </w:t>
      </w:r>
      <w:r w:rsidR="008D1015" w:rsidRPr="00F54ACB">
        <w:rPr>
          <w:rFonts w:ascii="Verdana" w:eastAsia="Geomanist Light" w:hAnsi="Verdana" w:cs="Arial"/>
          <w:color w:val="000000" w:themeColor="text1"/>
          <w:lang w:val="es-MX"/>
        </w:rPr>
        <w:t>agosto</w:t>
      </w:r>
      <w:r w:rsidR="00F54ACB" w:rsidRPr="00F54ACB">
        <w:rPr>
          <w:rFonts w:ascii="Verdana" w:eastAsia="Geomanist Light" w:hAnsi="Verdana" w:cs="Arial"/>
          <w:color w:val="000000" w:themeColor="text1"/>
          <w:lang w:val="es-MX"/>
        </w:rPr>
        <w:t xml:space="preserve"> de 2026</w:t>
      </w:r>
    </w:p>
    <w:p w14:paraId="5A9D5B26" w14:textId="32A9A49B" w:rsidR="005C2959" w:rsidRDefault="005C2959" w:rsidP="005C2959">
      <w:pPr>
        <w:spacing w:after="0" w:line="240" w:lineRule="auto"/>
        <w:jc w:val="both"/>
        <w:rPr>
          <w:rFonts w:ascii="Verdana" w:eastAsia="Calibri" w:hAnsi="Verdana" w:cs="Arial"/>
          <w:color w:val="000000"/>
          <w:lang w:val="es-ES"/>
        </w:rPr>
      </w:pPr>
    </w:p>
    <w:p w14:paraId="61BEA967" w14:textId="658D3A01" w:rsidR="005C2959" w:rsidRDefault="005C2959" w:rsidP="008805E9">
      <w:pPr>
        <w:spacing w:after="0" w:line="240" w:lineRule="auto"/>
        <w:jc w:val="right"/>
        <w:rPr>
          <w:rFonts w:ascii="Verdana" w:eastAsia="Calibri" w:hAnsi="Verdana" w:cs="Arial"/>
          <w:color w:val="000000"/>
          <w:lang w:val="es-ES"/>
        </w:rPr>
      </w:pPr>
    </w:p>
    <w:p w14:paraId="636C1CEB" w14:textId="311C933E" w:rsidR="008805E9" w:rsidRPr="00593A5F" w:rsidRDefault="008D1015" w:rsidP="005C2959">
      <w:pPr>
        <w:spacing w:after="0" w:line="240" w:lineRule="auto"/>
        <w:jc w:val="both"/>
        <w:rPr>
          <w:rFonts w:ascii="Verdana" w:eastAsia="Calibri" w:hAnsi="Verdana" w:cs="Arial"/>
          <w:color w:val="000000"/>
          <w:lang w:val="es-ES"/>
        </w:rPr>
      </w:pPr>
      <w:r w:rsidRPr="008805E9">
        <w:rPr>
          <w:rFonts w:ascii="Verdana" w:eastAsia="Calibri" w:hAnsi="Verdana" w:cs="Arial"/>
          <w:noProof/>
          <w:color w:val="000000"/>
          <w:lang w:val="es-ES"/>
        </w:rPr>
        <w:drawing>
          <wp:anchor distT="0" distB="0" distL="114300" distR="114300" simplePos="0" relativeHeight="251658240" behindDoc="0" locked="0" layoutInCell="1" allowOverlap="1" wp14:anchorId="74DC5E7D" wp14:editId="30498F8F">
            <wp:simplePos x="0" y="0"/>
            <wp:positionH relativeFrom="margin">
              <wp:align>right</wp:align>
            </wp:positionH>
            <wp:positionV relativeFrom="paragraph">
              <wp:posOffset>135779</wp:posOffset>
            </wp:positionV>
            <wp:extent cx="2400300" cy="834390"/>
            <wp:effectExtent l="0" t="0" r="0" b="3810"/>
            <wp:wrapSquare wrapText="bothSides"/>
            <wp:docPr id="1318331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31443"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834390"/>
                    </a:xfrm>
                    <a:prstGeom prst="rect">
                      <a:avLst/>
                    </a:prstGeom>
                  </pic:spPr>
                </pic:pic>
              </a:graphicData>
            </a:graphic>
            <wp14:sizeRelV relativeFrom="margin">
              <wp14:pctHeight>0</wp14:pctHeight>
            </wp14:sizeRelV>
          </wp:anchor>
        </w:drawing>
      </w:r>
    </w:p>
    <w:p w14:paraId="6A75C422" w14:textId="77777777" w:rsidR="005C2959" w:rsidRPr="00B96799" w:rsidRDefault="005C2959" w:rsidP="005C2959">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42F245E3" w14:textId="77777777" w:rsidR="005C2959" w:rsidRDefault="005C2959" w:rsidP="005C2959">
      <w:pPr>
        <w:spacing w:after="0" w:line="240" w:lineRule="auto"/>
        <w:rPr>
          <w:rFonts w:ascii="Verdana" w:eastAsia="Calibri" w:hAnsi="Verdana" w:cs="Arial"/>
          <w:b/>
          <w:lang w:val="es-ES_tradnl" w:eastAsia="es-ES_tradnl"/>
        </w:rPr>
      </w:pPr>
      <w:r w:rsidRPr="008030DC">
        <w:rPr>
          <w:rFonts w:ascii="Verdana" w:eastAsia="Calibri" w:hAnsi="Verdana" w:cs="Arial"/>
          <w:b/>
          <w:lang w:val="es-ES_tradnl" w:eastAsia="es-ES_tradnl"/>
        </w:rPr>
        <w:t xml:space="preserve">Diego Alejandro Osorio González </w:t>
      </w:r>
      <w:r w:rsidRPr="008777D5">
        <w:rPr>
          <w:rFonts w:ascii="Verdana" w:eastAsia="Calibri" w:hAnsi="Verdana" w:cs="Arial"/>
          <w:b/>
          <w:lang w:val="es-ES_tradnl" w:eastAsia="es-ES_tradnl"/>
        </w:rPr>
        <w:t xml:space="preserve"> </w:t>
      </w:r>
    </w:p>
    <w:p w14:paraId="636FE0C4" w14:textId="77777777" w:rsidR="005C2959" w:rsidRPr="00F42673" w:rsidRDefault="005C2959" w:rsidP="005C2959">
      <w:pPr>
        <w:spacing w:after="0" w:line="240" w:lineRule="auto"/>
        <w:rPr>
          <w:rFonts w:ascii="Verdana" w:eastAsia="Calibri" w:hAnsi="Verdana" w:cs="Arial"/>
          <w:lang w:val="es-ES" w:eastAsia="es-ES"/>
        </w:rPr>
      </w:pPr>
      <w:hyperlink r:id="rId11" w:history="1">
        <w:r w:rsidRPr="00FB676D">
          <w:rPr>
            <w:rStyle w:val="Hipervnculo"/>
            <w:rFonts w:ascii="Verdana" w:hAnsi="Verdana"/>
          </w:rPr>
          <w:t>info@gesprode.org.co</w:t>
        </w:r>
      </w:hyperlink>
      <w:r>
        <w:rPr>
          <w:rFonts w:ascii="Verdana" w:hAnsi="Verdana"/>
        </w:rPr>
        <w:t xml:space="preserve"> </w:t>
      </w:r>
      <w:r w:rsidRPr="00F42673">
        <w:rPr>
          <w:rFonts w:ascii="Verdana" w:hAnsi="Verdana"/>
        </w:rPr>
        <w:t xml:space="preserve">                    </w:t>
      </w:r>
      <w:r w:rsidRPr="00F42673">
        <w:rPr>
          <w:rFonts w:ascii="Verdana" w:eastAsia="Calibri" w:hAnsi="Verdana" w:cs="Arial"/>
          <w:lang w:val="es-ES" w:eastAsia="es-ES"/>
        </w:rPr>
        <w:t xml:space="preserve">    </w:t>
      </w:r>
    </w:p>
    <w:p w14:paraId="560EAE19" w14:textId="77777777" w:rsidR="005C2959" w:rsidRDefault="005C2959" w:rsidP="005C2959">
      <w:pPr>
        <w:spacing w:after="0" w:line="240" w:lineRule="auto"/>
        <w:rPr>
          <w:rFonts w:ascii="Verdana" w:eastAsia="Calibri" w:hAnsi="Verdana" w:cs="Arial"/>
          <w:lang w:val="es-ES" w:eastAsia="es-ES"/>
        </w:rPr>
      </w:pPr>
      <w:r w:rsidRPr="005934A7">
        <w:rPr>
          <w:rFonts w:ascii="Verdana" w:eastAsia="Calibri" w:hAnsi="Verdana" w:cs="Arial"/>
          <w:lang w:val="es-ES" w:eastAsia="es-ES"/>
        </w:rPr>
        <w:t>Bogotá D.C.</w:t>
      </w:r>
      <w:r>
        <w:rPr>
          <w:rFonts w:ascii="Verdana" w:eastAsia="Calibri" w:hAnsi="Verdana" w:cs="Arial"/>
          <w:lang w:val="es-ES" w:eastAsia="es-ES"/>
        </w:rPr>
        <w:t xml:space="preserve"> </w:t>
      </w:r>
    </w:p>
    <w:p w14:paraId="0C39C855" w14:textId="77777777" w:rsidR="005C2959" w:rsidRPr="00593A5F" w:rsidRDefault="005C2959" w:rsidP="005C2959">
      <w:pPr>
        <w:spacing w:after="0" w:line="240" w:lineRule="auto"/>
        <w:rPr>
          <w:rFonts w:ascii="Verdana" w:eastAsia="Calibri" w:hAnsi="Verdana" w:cs="Arial"/>
          <w:b/>
          <w:bCs/>
          <w:color w:val="000000"/>
          <w:lang w:val="es-ES_tradnl" w:eastAsia="es-ES_tradnl"/>
        </w:rPr>
      </w:pPr>
    </w:p>
    <w:p w14:paraId="1FC710CA" w14:textId="77777777" w:rsidR="005C2959" w:rsidRPr="00593A5F" w:rsidRDefault="005C2959" w:rsidP="005C2959">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C2959" w:rsidRPr="00593A5F" w14:paraId="09FD28E7" w14:textId="77777777" w:rsidTr="00C9527B">
        <w:trPr>
          <w:trHeight w:val="884"/>
        </w:trPr>
        <w:tc>
          <w:tcPr>
            <w:tcW w:w="2689" w:type="dxa"/>
          </w:tcPr>
          <w:p w14:paraId="32DBD9CB" w14:textId="77777777" w:rsidR="005C2959" w:rsidRPr="00C00976" w:rsidRDefault="005C2959" w:rsidP="00C9527B">
            <w:pPr>
              <w:jc w:val="both"/>
              <w:rPr>
                <w:rFonts w:ascii="Verdana" w:eastAsia="Calibri" w:hAnsi="Verdana" w:cs="Arial"/>
                <w:b/>
                <w:bCs/>
                <w:color w:val="7030A0"/>
                <w:lang w:val="es-ES_tradnl" w:eastAsia="es-ES_tradnl"/>
              </w:rPr>
            </w:pPr>
          </w:p>
        </w:tc>
        <w:tc>
          <w:tcPr>
            <w:tcW w:w="6100" w:type="dxa"/>
          </w:tcPr>
          <w:p w14:paraId="373F145E" w14:textId="68C09D49" w:rsidR="005C2959" w:rsidRPr="00C00976" w:rsidRDefault="005C2959" w:rsidP="00C9527B">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8D1015">
              <w:rPr>
                <w:rFonts w:ascii="Verdana" w:eastAsia="Calibri" w:hAnsi="Verdana" w:cs="Arial"/>
                <w:b/>
                <w:bCs/>
                <w:lang w:val="es-ES" w:eastAsia="es-ES"/>
              </w:rPr>
              <w:t>-</w:t>
            </w:r>
            <w:r>
              <w:rPr>
                <w:rFonts w:ascii="Verdana" w:eastAsia="Calibri" w:hAnsi="Verdana" w:cs="Arial"/>
                <w:b/>
                <w:bCs/>
                <w:lang w:val="es-ES" w:eastAsia="es-ES"/>
              </w:rPr>
              <w:t xml:space="preserve">1289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5C2959" w:rsidRPr="00593A5F" w14:paraId="091A08A4" w14:textId="77777777" w:rsidTr="00C9527B">
        <w:trPr>
          <w:trHeight w:val="884"/>
        </w:trPr>
        <w:tc>
          <w:tcPr>
            <w:tcW w:w="2689" w:type="dxa"/>
          </w:tcPr>
          <w:p w14:paraId="5016D5B9" w14:textId="77777777" w:rsidR="005C2959" w:rsidRPr="00593A5F" w:rsidRDefault="005C2959" w:rsidP="00C9527B">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1711EFB4" w14:textId="77777777" w:rsidR="005C2959" w:rsidRPr="00A11406" w:rsidRDefault="005C2959" w:rsidP="00C9527B">
            <w:pPr>
              <w:spacing w:line="276" w:lineRule="auto"/>
              <w:jc w:val="both"/>
              <w:rPr>
                <w:rFonts w:ascii="Verdana" w:eastAsia="Calibri" w:hAnsi="Verdana" w:cs="Arial"/>
                <w:lang w:val="es-ES" w:eastAsia="es-ES"/>
              </w:rPr>
            </w:pPr>
            <w:r w:rsidRPr="00F8327E">
              <w:rPr>
                <w:rFonts w:ascii="Verdana" w:eastAsia="Calibri" w:hAnsi="Verdana" w:cs="Arial"/>
                <w:lang w:val="es-ES" w:eastAsia="es-ES"/>
              </w:rPr>
              <w:t>PRINCIPIO DE SELECCIÓN OBJETIVA – Alcance</w:t>
            </w:r>
            <w:r>
              <w:rPr>
                <w:rFonts w:ascii="Verdana" w:eastAsia="Calibri" w:hAnsi="Verdana" w:cs="Arial"/>
                <w:lang w:val="es-ES" w:eastAsia="es-ES"/>
              </w:rPr>
              <w:t xml:space="preserve"> / </w:t>
            </w:r>
            <w:r w:rsidRPr="00F8327E">
              <w:rPr>
                <w:rFonts w:ascii="Verdana" w:eastAsia="Calibri" w:hAnsi="Verdana" w:cs="Arial"/>
                <w:lang w:val="es-ES" w:eastAsia="es-ES"/>
              </w:rPr>
              <w:t xml:space="preserve">REQUISITOS HABILITANTES – Concepto </w:t>
            </w:r>
            <w:r>
              <w:rPr>
                <w:rFonts w:ascii="Verdana" w:eastAsia="Calibri" w:hAnsi="Verdana" w:cs="Arial"/>
                <w:lang w:val="es-ES" w:eastAsia="es-ES"/>
              </w:rPr>
              <w:t xml:space="preserve">/ </w:t>
            </w:r>
            <w:r w:rsidRPr="00F8327E">
              <w:rPr>
                <w:rFonts w:ascii="Verdana" w:eastAsia="Calibri" w:hAnsi="Verdana" w:cs="Arial"/>
                <w:lang w:val="es-ES" w:eastAsia="es-ES"/>
              </w:rPr>
              <w:t>EXPERIENCIA – Concepto</w:t>
            </w:r>
            <w:r>
              <w:rPr>
                <w:rFonts w:ascii="Verdana" w:eastAsia="Calibri" w:hAnsi="Verdana" w:cs="Arial"/>
                <w:lang w:val="es-ES" w:eastAsia="es-ES"/>
              </w:rPr>
              <w:t xml:space="preserve"> / </w:t>
            </w:r>
            <w:r w:rsidRPr="00F8327E">
              <w:rPr>
                <w:rFonts w:ascii="Verdana" w:eastAsia="Calibri" w:hAnsi="Verdana" w:cs="Arial"/>
                <w:lang w:val="es-ES" w:eastAsia="es-ES"/>
              </w:rPr>
              <w:t xml:space="preserve">SELECCIÓN DE CONSULTORES – Experiencia habilitante – Experiencia adicional puntuable </w:t>
            </w:r>
            <w:r>
              <w:rPr>
                <w:rFonts w:ascii="Verdana" w:eastAsia="Calibri" w:hAnsi="Verdana" w:cs="Arial"/>
                <w:lang w:val="es-ES" w:eastAsia="es-ES"/>
              </w:rPr>
              <w:t xml:space="preserve">/ </w:t>
            </w:r>
            <w:r w:rsidRPr="00F8327E">
              <w:rPr>
                <w:rFonts w:ascii="Verdana" w:eastAsia="Calibri" w:hAnsi="Verdana" w:cs="Arial"/>
                <w:lang w:val="es-ES" w:eastAsia="es-ES"/>
              </w:rPr>
              <w:t>PROPONENTE PLURAL ‒ Consorcio ‒ Unión temporal ‒ Concepto – Diferencias</w:t>
            </w:r>
            <w:r>
              <w:rPr>
                <w:rFonts w:ascii="Verdana" w:eastAsia="Calibri" w:hAnsi="Verdana" w:cs="Arial"/>
                <w:lang w:val="es-ES" w:eastAsia="es-ES"/>
              </w:rPr>
              <w:t xml:space="preserve"> / </w:t>
            </w:r>
            <w:r w:rsidRPr="00F8327E">
              <w:rPr>
                <w:rFonts w:ascii="Verdana" w:eastAsia="Calibri" w:hAnsi="Verdana" w:cs="Arial"/>
                <w:lang w:val="es-ES" w:eastAsia="es-ES"/>
              </w:rPr>
              <w:t xml:space="preserve">CONSORCIOS Y UNIONES TEMPORALES – Responsabilidad solidaria </w:t>
            </w:r>
            <w:r>
              <w:rPr>
                <w:rFonts w:ascii="Verdana" w:eastAsia="Calibri" w:hAnsi="Verdana" w:cs="Arial"/>
                <w:lang w:val="es-ES" w:eastAsia="es-ES"/>
              </w:rPr>
              <w:t xml:space="preserve">/ </w:t>
            </w:r>
            <w:r w:rsidRPr="00F8327E">
              <w:rPr>
                <w:rFonts w:ascii="Verdana" w:eastAsia="Calibri" w:hAnsi="Verdana" w:cs="Arial"/>
                <w:lang w:val="es-ES" w:eastAsia="es-ES"/>
              </w:rPr>
              <w:t>CONSORCIOS Y UNIONES TEMPORALES – Experiencia – Acreditación – Proporcionalidad – Experiencia habilitante y puntuable</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26258989" w14:textId="77777777" w:rsidR="005C2959" w:rsidRPr="00593A5F" w:rsidRDefault="005C2959" w:rsidP="00C9527B">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5C2959" w:rsidRPr="008E6AD9" w14:paraId="6D308B8A" w14:textId="77777777" w:rsidTr="00C9527B">
        <w:tc>
          <w:tcPr>
            <w:tcW w:w="2689" w:type="dxa"/>
          </w:tcPr>
          <w:p w14:paraId="46CA3413" w14:textId="77777777" w:rsidR="005C2959" w:rsidRPr="008E6AD9" w:rsidRDefault="005C2959" w:rsidP="00C9527B">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563C9518" w14:textId="77777777" w:rsidR="005C2959" w:rsidRPr="00B92340" w:rsidRDefault="005C2959" w:rsidP="00C9527B">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E84936">
              <w:rPr>
                <w:rFonts w:ascii="Verdana" w:eastAsia="Calibri" w:hAnsi="Verdana" w:cs="Arial"/>
                <w:lang w:val="es-ES_tradnl" w:eastAsia="es-ES_tradnl"/>
              </w:rPr>
              <w:t>1_2026_08_13_010786</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7A661475" w14:textId="77777777" w:rsidR="005C2959" w:rsidRPr="00593A5F" w:rsidRDefault="005C2959" w:rsidP="005C2959">
      <w:pPr>
        <w:spacing w:after="0" w:line="240" w:lineRule="auto"/>
        <w:jc w:val="both"/>
        <w:rPr>
          <w:rFonts w:ascii="Verdana" w:eastAsia="Calibri" w:hAnsi="Verdana" w:cs="Arial"/>
          <w:color w:val="000000"/>
          <w:lang w:val="es-ES_tradnl" w:eastAsia="es-ES_tradnl"/>
        </w:rPr>
      </w:pPr>
    </w:p>
    <w:p w14:paraId="392BB8ED" w14:textId="77777777" w:rsidR="005C2959" w:rsidRPr="00593A5F" w:rsidRDefault="005C2959" w:rsidP="005C2959">
      <w:pPr>
        <w:spacing w:after="0" w:line="240" w:lineRule="auto"/>
        <w:jc w:val="both"/>
        <w:rPr>
          <w:rFonts w:ascii="Verdana" w:eastAsia="Calibri" w:hAnsi="Verdana" w:cs="Arial"/>
          <w:color w:val="000000"/>
          <w:lang w:val="es-ES_tradnl" w:eastAsia="es-ES_tradnl"/>
        </w:rPr>
      </w:pPr>
    </w:p>
    <w:p w14:paraId="5D622FA4" w14:textId="77777777" w:rsidR="005C2959" w:rsidRPr="008E6AD9" w:rsidRDefault="005C2959" w:rsidP="005C2959">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F72D8F">
        <w:rPr>
          <w:rFonts w:ascii="Verdana" w:eastAsia="Calibri" w:hAnsi="Verdana" w:cs="Arial"/>
          <w:lang w:val="es-ES" w:eastAsia="es-ES"/>
        </w:rPr>
        <w:t>Osorio González</w:t>
      </w:r>
      <w:r w:rsidRPr="008E6AD9">
        <w:rPr>
          <w:rFonts w:ascii="Verdana" w:eastAsia="Calibri" w:hAnsi="Verdana" w:cs="Arial"/>
          <w:lang w:val="es-ES" w:eastAsia="es-ES"/>
        </w:rPr>
        <w:t xml:space="preserve">: </w:t>
      </w:r>
    </w:p>
    <w:p w14:paraId="1ACA94BA" w14:textId="77777777" w:rsidR="005C2959" w:rsidRDefault="005C2959" w:rsidP="005C2959">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68B8577E" w14:textId="77777777" w:rsidR="005C2959" w:rsidRPr="00593A5F" w:rsidRDefault="005C2959" w:rsidP="005C2959">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23 de agosto de 2026, donde solicita conceptuar sobre los siguientes aspectos</w:t>
      </w:r>
      <w:r w:rsidRPr="008E6AD9">
        <w:rPr>
          <w:rFonts w:ascii="Verdana" w:eastAsia="Calibri" w:hAnsi="Verdana" w:cs="Arial"/>
          <w:lang w:val="es-ES" w:eastAsia="es-ES"/>
        </w:rPr>
        <w:t xml:space="preserve">: </w:t>
      </w:r>
    </w:p>
    <w:p w14:paraId="03017842" w14:textId="77777777" w:rsidR="005C2959" w:rsidRPr="00272A7B" w:rsidRDefault="005C2959" w:rsidP="005C2959">
      <w:pPr>
        <w:pStyle w:val="Prrafodelista"/>
        <w:tabs>
          <w:tab w:val="left" w:pos="142"/>
          <w:tab w:val="left" w:pos="284"/>
        </w:tabs>
        <w:spacing w:after="0" w:line="276" w:lineRule="auto"/>
        <w:ind w:left="0"/>
        <w:jc w:val="both"/>
        <w:rPr>
          <w:rFonts w:ascii="Verdana" w:eastAsia="Century Gothic" w:hAnsi="Verdana" w:cs="Century Gothic"/>
          <w:b/>
          <w:bCs/>
        </w:rPr>
      </w:pPr>
    </w:p>
    <w:p w14:paraId="6A6F3CA3"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F72D8F">
        <w:rPr>
          <w:rFonts w:ascii="Verdana" w:eastAsia="Century Gothic" w:hAnsi="Verdana" w:cs="Century Gothic"/>
          <w:sz w:val="20"/>
          <w:szCs w:val="20"/>
          <w:lang w:val="es-ES"/>
        </w:rPr>
        <w:t xml:space="preserve">Problema jurídico general </w:t>
      </w:r>
    </w:p>
    <w:p w14:paraId="4876300E"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lastRenderedPageBreak/>
        <w:t xml:space="preserve">[A] </w:t>
      </w:r>
      <w:r w:rsidRPr="00F72D8F">
        <w:rPr>
          <w:rFonts w:ascii="Verdana" w:eastAsia="Century Gothic" w:hAnsi="Verdana" w:cs="Century Gothic"/>
          <w:sz w:val="20"/>
          <w:szCs w:val="20"/>
          <w:lang w:val="es-ES"/>
        </w:rPr>
        <w:t xml:space="preserve">¿Cuándo una persona natural o jurídica pretende acreditar experiencia derivada de un contrato ejecutado como integrante de un consorcio o unión temporal, debe entenderse que su experiencia personal equivale al valor total ejecutado del contrato o únicamente al valor resultante de aplicar su porcentaje de participación en la estructura plural? </w:t>
      </w:r>
    </w:p>
    <w:p w14:paraId="791E56B5"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 xml:space="preserve">[B] </w:t>
      </w:r>
      <w:r w:rsidRPr="00F72D8F">
        <w:rPr>
          <w:rFonts w:ascii="Verdana" w:eastAsia="Century Gothic" w:hAnsi="Verdana" w:cs="Century Gothic"/>
          <w:sz w:val="20"/>
          <w:szCs w:val="20"/>
          <w:lang w:val="es-ES"/>
        </w:rPr>
        <w:t xml:space="preserve">Derivado de lo anterior, se solicita precisar si dicha regla de atribución debe mantenerse tanto para la experiencia habilitante como para la experiencia adicional puntuable, especialmente cuando el mismo contrato se utiliza para ambos componentes. </w:t>
      </w:r>
    </w:p>
    <w:p w14:paraId="1BF164DA"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Carácter personal y proporcional de la experiencia </w:t>
      </w:r>
    </w:p>
    <w:p w14:paraId="16B6C5DB"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1.- ¿La experiencia adquirida por una persona mediante la ejecución de un contrato en calidad de integrante de un consorcio o unión temporal es personal y proporcional a su porcentaje de participación en la respectiva estructura plural? </w:t>
      </w:r>
    </w:p>
    <w:p w14:paraId="7CD1210C"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2.- ¿El valor total del contrato constituye únicamente el valor de la ejecución conjunta de la estructura plural, mientras que la experiencia individual de cada integrante corresponde al resultado de aplicar su porcentaje de participación? </w:t>
      </w:r>
    </w:p>
    <w:p w14:paraId="7DEDB5ED" w14:textId="77777777" w:rsidR="005C2959"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3.- ¿Sería jurídicamente procedente que cada integrante de un consorcio o unión temporal acreditara individualmente el 100 % del valor del mismo contrato, pese a haber participado solamente en una proporción determinada? </w:t>
      </w:r>
    </w:p>
    <w:p w14:paraId="23694CF2" w14:textId="77777777" w:rsidR="005C2959"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Alcance probatorio del RUP</w:t>
      </w:r>
    </w:p>
    <w:p w14:paraId="19B99F88"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4.- Cuando el RUP registra el valor total ejecutado del contrato y, simultáneamente, el porcentaje de participación del proponente, ¿deben ambos datos interpretarse y aplicarse conjuntamente para establecer la experiencia atribuible al interesado? </w:t>
      </w:r>
    </w:p>
    <w:p w14:paraId="0129E00E" w14:textId="77777777" w:rsidR="005C2959" w:rsidRPr="00F72D8F" w:rsidRDefault="005C2959" w:rsidP="005C2959">
      <w:pPr>
        <w:spacing w:after="12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 xml:space="preserve">5.- ¿La regla según la cual el certificado del RUP constituye plena prueba permite tomar el valor total del contrato como experiencia individual, o exige aplicar también el porcentaje certificado en el propio registro? </w:t>
      </w:r>
    </w:p>
    <w:p w14:paraId="3E851CAD" w14:textId="77777777" w:rsidR="005C2959" w:rsidRPr="00F72D8F" w:rsidRDefault="005C2959" w:rsidP="005C2959">
      <w:pPr>
        <w:spacing w:after="0" w:line="240" w:lineRule="auto"/>
        <w:ind w:left="709" w:right="709"/>
        <w:jc w:val="both"/>
        <w:rPr>
          <w:rFonts w:ascii="Verdana" w:eastAsia="Century Gothic" w:hAnsi="Verdana" w:cs="Century Gothic"/>
          <w:sz w:val="20"/>
          <w:szCs w:val="20"/>
          <w:lang w:val="es-ES"/>
        </w:rPr>
      </w:pPr>
      <w:r w:rsidRPr="00F72D8F">
        <w:rPr>
          <w:rFonts w:ascii="Verdana" w:eastAsia="Century Gothic" w:hAnsi="Verdana" w:cs="Century Gothic"/>
          <w:sz w:val="20"/>
          <w:szCs w:val="20"/>
          <w:lang w:val="es-ES"/>
        </w:rPr>
        <w:t>6.- ¿La circunstancia de que el RUP reporte el valor total del contrato implica que la cámara de comercio atribuyó ese valor íntegramente a cada integrante, o el porcentaje registrado delimita la experiencia individual que puede acreditarse en los procesos de contratación?</w:t>
      </w:r>
      <w:r>
        <w:rPr>
          <w:rFonts w:ascii="Verdana" w:eastAsia="Century Gothic" w:hAnsi="Verdana" w:cs="Century Gothic"/>
          <w:sz w:val="20"/>
          <w:szCs w:val="20"/>
          <w:lang w:val="es-ES"/>
        </w:rPr>
        <w:t>”. (Corchetes fuera de texto)</w:t>
      </w:r>
    </w:p>
    <w:p w14:paraId="13A9FD68" w14:textId="77777777" w:rsidR="005C2959" w:rsidRPr="00481B98" w:rsidRDefault="005C2959" w:rsidP="005C2959">
      <w:pPr>
        <w:spacing w:after="0" w:line="276" w:lineRule="auto"/>
        <w:ind w:firstLine="709"/>
        <w:jc w:val="both"/>
        <w:rPr>
          <w:rFonts w:ascii="Verdana" w:eastAsia="Calibri" w:hAnsi="Verdana" w:cs="Arial"/>
          <w:color w:val="000000"/>
          <w:lang w:eastAsia="es-ES"/>
        </w:rPr>
      </w:pPr>
    </w:p>
    <w:p w14:paraId="7B6B3494" w14:textId="77777777" w:rsidR="005C2959" w:rsidRPr="00A652FF" w:rsidRDefault="005C2959" w:rsidP="005C2959">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w:t>
      </w:r>
      <w:r w:rsidRPr="00593A5F">
        <w:rPr>
          <w:rFonts w:ascii="Verdana" w:eastAsia="Calibri" w:hAnsi="Verdana" w:cs="Arial"/>
          <w:color w:val="000000"/>
          <w:lang w:val="es-ES" w:eastAsia="es-ES"/>
        </w:rPr>
        <w:lastRenderedPageBreak/>
        <w:t xml:space="preserve">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5ACCFBA3" w14:textId="77777777" w:rsidR="005C2959" w:rsidRDefault="005C2959" w:rsidP="005C2959">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04DE8F62" w14:textId="77777777" w:rsidR="005C2959" w:rsidRPr="00593A5F" w:rsidRDefault="005C2959" w:rsidP="005C2959">
      <w:pPr>
        <w:spacing w:after="0" w:line="276" w:lineRule="auto"/>
        <w:ind w:firstLine="709"/>
        <w:jc w:val="both"/>
        <w:rPr>
          <w:rFonts w:ascii="Verdana" w:eastAsia="Calibri" w:hAnsi="Verdana" w:cs="Arial"/>
          <w:color w:val="000000"/>
          <w:lang w:val="es-ES" w:eastAsia="es-ES"/>
        </w:rPr>
      </w:pPr>
    </w:p>
    <w:p w14:paraId="692F5D0B" w14:textId="77777777" w:rsidR="005C2959" w:rsidRPr="00593A5F" w:rsidRDefault="005C2959" w:rsidP="005C2959">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591162E9" w14:textId="77777777" w:rsidR="005C2959" w:rsidRPr="00593A5F" w:rsidRDefault="005C2959" w:rsidP="005C2959">
      <w:pPr>
        <w:tabs>
          <w:tab w:val="left" w:pos="426"/>
        </w:tabs>
        <w:spacing w:after="0" w:line="276" w:lineRule="auto"/>
        <w:jc w:val="both"/>
        <w:rPr>
          <w:rFonts w:ascii="Verdana" w:eastAsia="Century Gothic" w:hAnsi="Verdana" w:cs="Century Gothic"/>
          <w:lang w:val="es-ES"/>
        </w:rPr>
      </w:pPr>
    </w:p>
    <w:p w14:paraId="0B0C5E6A" w14:textId="77777777" w:rsidR="005C2959" w:rsidRPr="00593A5F" w:rsidRDefault="005C2959" w:rsidP="005C2959">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¿la experiencia adquirida por el integrante del consorcio o la unión temporal equivale al 100% de lo ejecutado por la estructura plural o ésta es proporcional al porcentaje de participación correspondiente a dicho integrante?</w:t>
      </w:r>
    </w:p>
    <w:p w14:paraId="748EACD8" w14:textId="77777777" w:rsidR="005C2959" w:rsidRPr="004B140F" w:rsidRDefault="005C2959" w:rsidP="005C2959">
      <w:pPr>
        <w:spacing w:after="0" w:line="276" w:lineRule="auto"/>
        <w:jc w:val="both"/>
        <w:rPr>
          <w:rFonts w:ascii="Verdana" w:eastAsia="Calibri" w:hAnsi="Verdana" w:cs="Arial"/>
          <w:color w:val="7030A0"/>
        </w:rPr>
      </w:pPr>
    </w:p>
    <w:p w14:paraId="2089DE58" w14:textId="77777777" w:rsidR="005C2959" w:rsidRPr="00593A5F" w:rsidRDefault="005C2959" w:rsidP="005C295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6423A3D1" w14:textId="77777777" w:rsidR="005C2959" w:rsidRPr="00593A5F" w:rsidRDefault="005C2959" w:rsidP="005C295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C2959" w:rsidRPr="00593A5F" w14:paraId="4FBA4ABF" w14:textId="77777777" w:rsidTr="00C9527B">
        <w:trPr>
          <w:jc w:val="center"/>
        </w:trPr>
        <w:tc>
          <w:tcPr>
            <w:tcW w:w="8828" w:type="dxa"/>
          </w:tcPr>
          <w:p w14:paraId="46507E90" w14:textId="77777777" w:rsidR="005C2959" w:rsidRPr="00502997" w:rsidRDefault="005C2959" w:rsidP="00C9527B">
            <w:pPr>
              <w:spacing w:after="120" w:line="276" w:lineRule="auto"/>
              <w:jc w:val="both"/>
              <w:rPr>
                <w:rFonts w:ascii="Verdana" w:eastAsia="Calibri" w:hAnsi="Verdana" w:cs="Arial"/>
                <w:bCs/>
                <w:color w:val="000000" w:themeColor="text1"/>
                <w:lang w:val="es-ES_tradnl"/>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de acuerdo con </w:t>
            </w:r>
            <w:r>
              <w:rPr>
                <w:rFonts w:ascii="Verdana" w:eastAsia="Calibri" w:hAnsi="Verdana" w:cs="Arial"/>
                <w:lang w:val="es-ES"/>
              </w:rPr>
              <w:t xml:space="preserve">el “Manual </w:t>
            </w:r>
            <w:r w:rsidRPr="007616FA">
              <w:rPr>
                <w:rFonts w:ascii="Verdana" w:eastAsia="Calibri" w:hAnsi="Verdana" w:cs="Arial"/>
              </w:rPr>
              <w:t>para determinar y verificar los requisitos habilitantes en los procesos de contratació</w:t>
            </w:r>
            <w:r>
              <w:rPr>
                <w:rFonts w:ascii="Verdana" w:eastAsia="Calibri" w:hAnsi="Verdana" w:cs="Arial"/>
              </w:rPr>
              <w:t xml:space="preserve">n”, Colombia Compra Eficiente ha precisado que “[…] </w:t>
            </w:r>
            <w:r w:rsidRPr="005D0249">
              <w:rPr>
                <w:rFonts w:ascii="Verdana" w:eastAsia="Calibri" w:hAnsi="Verdana" w:cs="Arial"/>
              </w:rPr>
              <w:t xml:space="preserve">la experiencia de los oferentes plurales debe ser proporcional a la participación de cada uno de sus integrantes en el consorcio o unión temporal. Sin perjuicio del carácter personal de la experiencia, entre los integrantes del oferente plural la experiencia se puede compartir, sin que implique que la experiencia compartida con alguna de las partes se entienda como propia. Dentro del procedimiento contractual se reflejará que uno de los integrantes del proponente plural comparte la experiencia de otra. Esto es </w:t>
            </w:r>
            <w:r w:rsidRPr="005D0249">
              <w:rPr>
                <w:rFonts w:ascii="Verdana" w:eastAsia="Calibri" w:hAnsi="Verdana" w:cs="Arial"/>
              </w:rPr>
              <w:lastRenderedPageBreak/>
              <w:t>claro en el caso de las figuras asociativas donde se verificará en el documento privado de constitución</w:t>
            </w:r>
            <w:r>
              <w:rPr>
                <w:rFonts w:ascii="Verdana" w:eastAsia="Calibri" w:hAnsi="Verdana" w:cs="Arial"/>
              </w:rPr>
              <w:t>”. (Respuesta a la pregunta [A])</w:t>
            </w:r>
          </w:p>
          <w:p w14:paraId="19143AE6" w14:textId="77777777" w:rsidR="005C2959" w:rsidRDefault="005C2959" w:rsidP="00C9527B">
            <w:pPr>
              <w:spacing w:after="120" w:line="276" w:lineRule="auto"/>
              <w:ind w:firstLine="708"/>
              <w:jc w:val="both"/>
              <w:rPr>
                <w:rFonts w:ascii="Verdana" w:eastAsia="Calibri" w:hAnsi="Verdana" w:cs="Arial"/>
                <w:lang w:val="es-ES"/>
              </w:rPr>
            </w:pPr>
            <w:r>
              <w:rPr>
                <w:rFonts w:ascii="Verdana" w:eastAsia="Calibri" w:hAnsi="Verdana" w:cs="Arial"/>
                <w:lang w:val="es-ES"/>
              </w:rPr>
              <w:t>Esto significa que, tratándose de proponente plurales, la experiencia de quienes lo integran equivale al valor resultante de aplicar el porcentaje de participación que le corresponda al monto total ejecutado por el consorcio o la unión temporal. Como la experiencia es personal y proporcional al porcentaje de participación, es necesario diferenciar el valor de la ejecución conjunta de la estructura plural de la experiencia individual de cada integrante. Esta última, se reitera, resulta de aplicar el porcentaje de participación correspondiente, sin que sea posible que cada miembro acredite individualmente el 100% de la experiencia adquirida en la ejecución. (Respuesta a las preguntas 1, 2 y 3)</w:t>
            </w:r>
          </w:p>
          <w:p w14:paraId="38244234" w14:textId="77777777" w:rsidR="005C2959" w:rsidRDefault="005C2959" w:rsidP="00C9527B">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Lo descrito en el párrafo anterior concuerda con el alcance probatorio del RUP, ya que la experiencia adquirida debe interpretarse </w:t>
            </w:r>
            <w:proofErr w:type="gramStart"/>
            <w:r>
              <w:rPr>
                <w:rFonts w:ascii="Verdana" w:eastAsia="Calibri" w:hAnsi="Verdana" w:cs="Arial"/>
                <w:lang w:val="es-ES"/>
              </w:rPr>
              <w:t>conjuntamente con</w:t>
            </w:r>
            <w:proofErr w:type="gramEnd"/>
            <w:r>
              <w:rPr>
                <w:rFonts w:ascii="Verdana" w:eastAsia="Calibri" w:hAnsi="Verdana" w:cs="Arial"/>
                <w:lang w:val="es-ES"/>
              </w:rPr>
              <w:t xml:space="preserve"> el porcentaje de participación del integrante en el consorcio o la unión temporal. De esta manera, no es posible tomar el valor total del contrato como criterio para determinar la experiencia individual, pues –sin perjuicio de la solidaridad– solo les corresponde una porción determinada de la ejecución; razón por la cual, el porcentaje registrado delimita la experiencia que pueden acreditar en los procesos de selección. (Respuesta a las preguntas 4, 5 y 6)</w:t>
            </w:r>
          </w:p>
          <w:p w14:paraId="620C84A7" w14:textId="77777777" w:rsidR="005C2959" w:rsidRPr="005D0249" w:rsidRDefault="005C2959" w:rsidP="00C9527B">
            <w:pPr>
              <w:spacing w:after="120" w:line="276" w:lineRule="auto"/>
              <w:ind w:firstLine="708"/>
              <w:jc w:val="both"/>
              <w:rPr>
                <w:rFonts w:ascii="Verdana" w:eastAsia="Calibri" w:hAnsi="Verdana" w:cs="Arial"/>
                <w:color w:val="000000"/>
                <w:lang w:val="es-ES" w:eastAsia="es-ES_tradnl"/>
              </w:rPr>
            </w:pPr>
            <w:r>
              <w:rPr>
                <w:rFonts w:ascii="Verdana" w:eastAsia="Calibri" w:hAnsi="Verdana" w:cs="Arial"/>
                <w:lang w:val="es-ES"/>
              </w:rPr>
              <w:t xml:space="preserve">Este razonamiento aplica tanto a la </w:t>
            </w:r>
            <w:r>
              <w:rPr>
                <w:rFonts w:ascii="Verdana" w:eastAsia="Calibri" w:hAnsi="Verdana" w:cs="Arial"/>
              </w:rPr>
              <w:t>“</w:t>
            </w:r>
            <w:r w:rsidRPr="002D0F95">
              <w:rPr>
                <w:rFonts w:ascii="Verdana" w:eastAsia="Calibri" w:hAnsi="Verdana" w:cs="Arial"/>
              </w:rPr>
              <w:t xml:space="preserve">experiencia </w:t>
            </w:r>
            <w:r>
              <w:rPr>
                <w:rFonts w:ascii="Verdana" w:eastAsia="Calibri" w:hAnsi="Verdana" w:cs="Arial"/>
              </w:rPr>
              <w:t>habilitante” como a la “experiencia adicional puntuable”. Si bien la guía de la ANCP – CCE alude al criterio de proporcionalidad tratándose de los requisitos de verificación, la Agencia no observa obstáculo para extender el razonamiento a la ponderación de la experiencia de los consultores en los concursos de méritos. La conclusión se sustenta en el artículo 8 de la Ley 153 de 1887, puesto que “</w:t>
            </w:r>
            <w:r w:rsidRPr="00D62C24">
              <w:rPr>
                <w:rFonts w:ascii="Verdana" w:eastAsia="Calibri" w:hAnsi="Verdana" w:cs="Arial"/>
              </w:rPr>
              <w:t xml:space="preserve">Cuando no hay ley exactamente aplicable al caso controvertido, se aplicarán las leyes que regulen casos </w:t>
            </w:r>
            <w:r>
              <w:rPr>
                <w:rFonts w:ascii="Verdana" w:eastAsia="Calibri" w:hAnsi="Verdana" w:cs="Arial"/>
              </w:rPr>
              <w:t>o</w:t>
            </w:r>
            <w:r w:rsidRPr="00D62C24">
              <w:rPr>
                <w:rFonts w:ascii="Verdana" w:eastAsia="Calibri" w:hAnsi="Verdana" w:cs="Arial"/>
              </w:rPr>
              <w:t xml:space="preserve"> materias semejantes</w:t>
            </w:r>
            <w:r>
              <w:rPr>
                <w:rFonts w:ascii="Verdana" w:eastAsia="Calibri" w:hAnsi="Verdana" w:cs="Arial"/>
              </w:rPr>
              <w:t xml:space="preserve"> […]”. La semejanza parte de que ambas experiencias se acreditan a través del RUP, por lo que el porcentaje de participación del integrante del consorcio o la unión temporal circunscribe la experiencia habilitante y puntuable, sin que exista alguna razón de peso para un trato diferenciado en su acreditación. (Respuesta a la pregunta [B])</w:t>
            </w:r>
          </w:p>
          <w:p w14:paraId="1549EA9D" w14:textId="77777777" w:rsidR="005C2959" w:rsidRPr="001941FD" w:rsidRDefault="005C2959" w:rsidP="00C9527B">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w:t>
            </w:r>
            <w:r w:rsidRPr="00A47393">
              <w:rPr>
                <w:rStyle w:val="s15"/>
                <w:rFonts w:ascii="Verdana" w:hAnsi="Verdana"/>
                <w:color w:val="000000"/>
              </w:rPr>
              <w:lastRenderedPageBreak/>
              <w:t>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8D266B1" w14:textId="77777777" w:rsidR="005C2959" w:rsidRPr="00593A5F" w:rsidRDefault="005C2959" w:rsidP="005C2959">
      <w:pPr>
        <w:tabs>
          <w:tab w:val="left" w:pos="142"/>
          <w:tab w:val="left" w:pos="284"/>
        </w:tabs>
        <w:spacing w:after="0" w:line="276" w:lineRule="auto"/>
        <w:jc w:val="both"/>
        <w:rPr>
          <w:rFonts w:ascii="Verdana" w:eastAsia="Century Gothic" w:hAnsi="Verdana" w:cs="Century Gothic"/>
          <w:b/>
          <w:bCs/>
          <w:lang w:val="es-ES"/>
        </w:rPr>
      </w:pPr>
    </w:p>
    <w:bookmarkEnd w:id="1"/>
    <w:p w14:paraId="7ABA5DF4" w14:textId="77777777" w:rsidR="005C2959" w:rsidRPr="00593A5F" w:rsidRDefault="005C2959" w:rsidP="005C295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AB348AF" w14:textId="77777777" w:rsidR="005C2959" w:rsidRPr="00593A5F" w:rsidRDefault="005C2959" w:rsidP="005C2959">
      <w:pPr>
        <w:spacing w:after="0" w:line="276" w:lineRule="auto"/>
        <w:jc w:val="both"/>
        <w:rPr>
          <w:rFonts w:ascii="Verdana" w:eastAsia="Calibri" w:hAnsi="Verdana" w:cs="Arial"/>
          <w:color w:val="7030A0"/>
          <w:lang w:val="es-ES"/>
        </w:rPr>
      </w:pPr>
    </w:p>
    <w:p w14:paraId="2AF842C2" w14:textId="77777777" w:rsidR="005C2959" w:rsidRDefault="005C2959" w:rsidP="005C2959">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1125D682" w14:textId="77777777" w:rsidR="005C2959" w:rsidRPr="00415608" w:rsidRDefault="005C2959" w:rsidP="005C2959">
      <w:pPr>
        <w:spacing w:after="0" w:line="276" w:lineRule="auto"/>
        <w:jc w:val="both"/>
        <w:rPr>
          <w:rFonts w:ascii="Verdana" w:eastAsia="Calibri" w:hAnsi="Verdana" w:cs="Arial"/>
          <w:lang w:val="es-ES"/>
        </w:rPr>
      </w:pPr>
    </w:p>
    <w:p w14:paraId="73A2FE62" w14:textId="77777777" w:rsidR="005C2959" w:rsidRPr="00073791" w:rsidRDefault="005C2959" w:rsidP="005C2959">
      <w:pPr>
        <w:spacing w:after="120" w:line="276" w:lineRule="auto"/>
        <w:jc w:val="both"/>
        <w:rPr>
          <w:rFonts w:ascii="Verdana" w:eastAsia="Calibri" w:hAnsi="Verdana" w:cs="Arial"/>
          <w:color w:val="000000" w:themeColor="text1"/>
          <w:lang w:val="es-ES_tradnl"/>
        </w:rPr>
      </w:pPr>
      <w:r>
        <w:rPr>
          <w:rFonts w:ascii="Verdana" w:hAnsi="Verdana"/>
          <w:lang w:val="es-ES" w:eastAsia="es-ES"/>
        </w:rPr>
        <w:t xml:space="preserve">i. </w:t>
      </w:r>
      <w:r w:rsidRPr="00073791">
        <w:rPr>
          <w:rFonts w:ascii="Verdana" w:eastAsia="Calibri" w:hAnsi="Verdana" w:cs="Arial"/>
          <w:color w:val="000000" w:themeColor="text1"/>
          <w:lang w:val="es-ES_tradnl"/>
        </w:rPr>
        <w:t xml:space="preserve">El artículo 5 de la Ley 1150 de 2007 establece que se considera “objetiva la selección en la cual la escogencia se haga al ofrecimiento más favorable a la entidad y a los fines que ella busca, sin tener en consideración factores de afecto o de interés y, en general, cualquier clase de motivación subjetiva”. En ese contexto, los factores de escogencia y calificación que establezcan las entidades en los pliegos de condiciones o sus documentos equivalentes deberán tener en cuenta, entre otras cuestiones, los criterios establecidos en dicha disposición. </w:t>
      </w:r>
    </w:p>
    <w:p w14:paraId="4F05E88A" w14:textId="77777777" w:rsidR="005C2959" w:rsidRPr="00073791" w:rsidRDefault="005C2959" w:rsidP="005C2959">
      <w:pPr>
        <w:spacing w:after="0" w:line="276" w:lineRule="auto"/>
        <w:ind w:firstLine="709"/>
        <w:jc w:val="both"/>
        <w:rPr>
          <w:rFonts w:ascii="Verdana" w:eastAsia="Calibri" w:hAnsi="Verdana" w:cs="Arial"/>
          <w:color w:val="000000" w:themeColor="text1"/>
          <w:lang w:val="es-ES_tradnl"/>
        </w:rPr>
      </w:pPr>
      <w:r w:rsidRPr="00073791">
        <w:rPr>
          <w:rFonts w:ascii="Verdana" w:eastAsia="Calibri" w:hAnsi="Verdana" w:cs="Arial"/>
          <w:color w:val="000000" w:themeColor="text1"/>
          <w:lang w:val="es-ES_tradnl"/>
        </w:rPr>
        <w:t xml:space="preserve">Específicamente, el numeral 1º del artículo referido establece que en los procesos de selección de contratistas serán objeto de verificación, como requisitos habilitantes, </w:t>
      </w:r>
      <w:r w:rsidRPr="00073791">
        <w:rPr>
          <w:rFonts w:ascii="Verdana" w:eastAsia="Calibri" w:hAnsi="Verdana" w:cs="Arial"/>
          <w:i/>
          <w:iCs/>
          <w:color w:val="000000" w:themeColor="text1"/>
          <w:lang w:val="es-ES_tradnl"/>
        </w:rPr>
        <w:t>entre otros</w:t>
      </w:r>
      <w:r w:rsidRPr="00073791">
        <w:rPr>
          <w:rFonts w:ascii="Verdana" w:eastAsia="Calibri" w:hAnsi="Verdana" w:cs="Arial"/>
          <w:color w:val="000000" w:themeColor="text1"/>
          <w:lang w:val="es-ES_tradnl"/>
        </w:rPr>
        <w:t xml:space="preserve">, los siguientes: i) la capacidad jurídica; </w:t>
      </w:r>
      <w:proofErr w:type="spellStart"/>
      <w:r w:rsidRPr="00073791">
        <w:rPr>
          <w:rFonts w:ascii="Verdana" w:eastAsia="Calibri" w:hAnsi="Verdana" w:cs="Arial"/>
          <w:color w:val="000000" w:themeColor="text1"/>
          <w:lang w:val="es-ES_tradnl"/>
        </w:rPr>
        <w:t>ii</w:t>
      </w:r>
      <w:proofErr w:type="spellEnd"/>
      <w:r w:rsidRPr="00073791">
        <w:rPr>
          <w:rFonts w:ascii="Verdana" w:eastAsia="Calibri" w:hAnsi="Verdana" w:cs="Arial"/>
          <w:color w:val="000000" w:themeColor="text1"/>
          <w:lang w:val="es-ES_tradnl"/>
        </w:rPr>
        <w:t xml:space="preserve">) la experiencia; </w:t>
      </w:r>
      <w:proofErr w:type="spellStart"/>
      <w:r w:rsidRPr="00073791">
        <w:rPr>
          <w:rFonts w:ascii="Verdana" w:eastAsia="Calibri" w:hAnsi="Verdana" w:cs="Arial"/>
          <w:color w:val="000000" w:themeColor="text1"/>
          <w:lang w:val="es-ES_tradnl"/>
        </w:rPr>
        <w:t>iii</w:t>
      </w:r>
      <w:proofErr w:type="spellEnd"/>
      <w:r w:rsidRPr="00073791">
        <w:rPr>
          <w:rFonts w:ascii="Verdana" w:eastAsia="Calibri" w:hAnsi="Verdana" w:cs="Arial"/>
          <w:color w:val="000000" w:themeColor="text1"/>
          <w:lang w:val="es-ES_tradnl"/>
        </w:rPr>
        <w:t xml:space="preserve">) la capacidad financiera y </w:t>
      </w:r>
      <w:proofErr w:type="spellStart"/>
      <w:r w:rsidRPr="00073791">
        <w:rPr>
          <w:rFonts w:ascii="Verdana" w:eastAsia="Calibri" w:hAnsi="Verdana" w:cs="Arial"/>
          <w:color w:val="000000" w:themeColor="text1"/>
          <w:lang w:val="es-ES_tradnl"/>
        </w:rPr>
        <w:t>iv</w:t>
      </w:r>
      <w:proofErr w:type="spellEnd"/>
      <w:r w:rsidRPr="00073791">
        <w:rPr>
          <w:rFonts w:ascii="Verdana" w:eastAsia="Calibri" w:hAnsi="Verdana" w:cs="Arial"/>
          <w:color w:val="000000" w:themeColor="text1"/>
          <w:lang w:val="es-ES_tradnl"/>
        </w:rPr>
        <w:t xml:space="preserve">) la capacidad de organización. En efecto, la norma citada dispone lo siguiente: </w:t>
      </w:r>
    </w:p>
    <w:p w14:paraId="30B6E866" w14:textId="77777777" w:rsidR="005C2959" w:rsidRPr="00073791" w:rsidRDefault="005C2959" w:rsidP="005C2959">
      <w:pPr>
        <w:spacing w:after="0"/>
        <w:jc w:val="both"/>
        <w:rPr>
          <w:rFonts w:ascii="Verdana" w:eastAsia="Calibri" w:hAnsi="Verdana" w:cs="Arial"/>
          <w:color w:val="000000" w:themeColor="text1"/>
          <w:lang w:val="es-ES_tradnl"/>
        </w:rPr>
      </w:pPr>
    </w:p>
    <w:p w14:paraId="73FE6AF7" w14:textId="77777777" w:rsidR="005C2959" w:rsidRPr="00EA7B89" w:rsidRDefault="005C2959" w:rsidP="005C2959">
      <w:pPr>
        <w:spacing w:after="0" w:line="240" w:lineRule="auto"/>
        <w:ind w:left="709" w:right="709"/>
        <w:jc w:val="both"/>
        <w:rPr>
          <w:rFonts w:ascii="Verdana" w:eastAsia="Calibri" w:hAnsi="Verdana" w:cs="Arial"/>
          <w:color w:val="000000" w:themeColor="text1"/>
          <w:sz w:val="20"/>
          <w:szCs w:val="20"/>
          <w:lang w:val="es-ES_tradnl"/>
        </w:rPr>
      </w:pPr>
      <w:r w:rsidRPr="00EA7B89">
        <w:rPr>
          <w:rFonts w:ascii="Verdana" w:eastAsia="Calibri" w:hAnsi="Verdana" w:cs="Arial"/>
          <w:color w:val="000000" w:themeColor="text1"/>
          <w:sz w:val="20"/>
          <w:szCs w:val="20"/>
          <w:lang w:val="es-ES_tradnl"/>
        </w:rPr>
        <w:t xml:space="preserve">“Artículo 5. De la Selección Objetiva. </w:t>
      </w:r>
    </w:p>
    <w:p w14:paraId="025A84BD" w14:textId="77777777" w:rsidR="005C2959" w:rsidRPr="00EA7B89" w:rsidRDefault="005C2959" w:rsidP="005C2959">
      <w:pPr>
        <w:spacing w:after="120" w:line="240" w:lineRule="auto"/>
        <w:ind w:left="709" w:right="709"/>
        <w:jc w:val="both"/>
        <w:rPr>
          <w:rFonts w:ascii="Verdana" w:eastAsia="Calibri" w:hAnsi="Verdana" w:cs="Arial"/>
          <w:color w:val="000000" w:themeColor="text1"/>
          <w:sz w:val="20"/>
          <w:szCs w:val="20"/>
          <w:lang w:val="es-ES_tradnl"/>
        </w:rPr>
      </w:pPr>
      <w:r w:rsidRPr="00EA7B89">
        <w:rPr>
          <w:rFonts w:ascii="Verdana" w:eastAsia="Calibri" w:hAnsi="Verdana" w:cs="Arial"/>
          <w:color w:val="000000" w:themeColor="text1"/>
          <w:sz w:val="20"/>
          <w:szCs w:val="20"/>
          <w:lang w:val="es-ES_tradnl"/>
        </w:rPr>
        <w:t>[…]</w:t>
      </w:r>
    </w:p>
    <w:p w14:paraId="65A2F5A3" w14:textId="77777777" w:rsidR="005C2959" w:rsidRPr="00073791" w:rsidRDefault="005C2959" w:rsidP="005C2959">
      <w:pPr>
        <w:spacing w:after="0" w:line="240" w:lineRule="auto"/>
        <w:ind w:left="709" w:right="709"/>
        <w:jc w:val="both"/>
        <w:rPr>
          <w:rFonts w:ascii="Verdana" w:eastAsia="Calibri" w:hAnsi="Verdana" w:cs="Arial"/>
          <w:color w:val="000000" w:themeColor="text1"/>
          <w:sz w:val="21"/>
          <w:szCs w:val="21"/>
          <w:lang w:val="es-ES_tradnl"/>
        </w:rPr>
      </w:pPr>
      <w:r w:rsidRPr="00EA7B89">
        <w:rPr>
          <w:rFonts w:ascii="Verdana" w:eastAsia="Calibri" w:hAnsi="Verdana" w:cs="Arial"/>
          <w:color w:val="000000" w:themeColor="text1"/>
          <w:sz w:val="20"/>
          <w:szCs w:val="20"/>
          <w:lang w:val="es-ES_tradnl"/>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37B66A26" w14:textId="77777777" w:rsidR="005C2959" w:rsidRPr="00073791" w:rsidRDefault="005C2959" w:rsidP="005C2959">
      <w:pPr>
        <w:spacing w:after="0" w:line="276" w:lineRule="auto"/>
        <w:jc w:val="both"/>
        <w:rPr>
          <w:rFonts w:ascii="Verdana" w:eastAsia="Calibri" w:hAnsi="Verdana" w:cs="Arial"/>
          <w:color w:val="000000" w:themeColor="text1"/>
          <w:lang w:val="es-ES_tradnl"/>
        </w:rPr>
      </w:pPr>
      <w:r w:rsidRPr="00073791">
        <w:rPr>
          <w:rFonts w:ascii="Verdana" w:eastAsia="Calibri" w:hAnsi="Verdana" w:cs="Arial"/>
          <w:color w:val="000000" w:themeColor="text1"/>
          <w:lang w:val="es-ES_tradnl"/>
        </w:rPr>
        <w:t xml:space="preserve"> </w:t>
      </w:r>
    </w:p>
    <w:p w14:paraId="6C130EEA" w14:textId="77777777" w:rsidR="005C2959" w:rsidRDefault="005C2959" w:rsidP="005C2959">
      <w:pPr>
        <w:spacing w:after="120" w:line="276" w:lineRule="auto"/>
        <w:ind w:firstLine="708"/>
        <w:jc w:val="both"/>
        <w:rPr>
          <w:rFonts w:ascii="Verdana" w:eastAsia="Calibri" w:hAnsi="Verdana" w:cs="Arial"/>
          <w:color w:val="000000" w:themeColor="text1"/>
        </w:rPr>
      </w:pPr>
      <w:r w:rsidRPr="004D5C75">
        <w:rPr>
          <w:rFonts w:ascii="Verdana" w:eastAsia="Calibri" w:hAnsi="Verdana" w:cs="Arial"/>
          <w:color w:val="000000" w:themeColor="text1"/>
        </w:rPr>
        <w:t xml:space="preserve">Los oferentes que cumplan estos requisitos habilitantes son considerados idóneos para ejecutar el objeto contractual, de manera que sus ofertas pueden </w:t>
      </w:r>
      <w:r w:rsidRPr="004D5C75">
        <w:rPr>
          <w:rFonts w:ascii="Verdana" w:eastAsia="Calibri" w:hAnsi="Verdana" w:cs="Arial"/>
          <w:color w:val="000000" w:themeColor="text1"/>
        </w:rPr>
        <w:lastRenderedPageBreak/>
        <w:t xml:space="preserve">ser consideradas en la evaluación dirigida a determinar cuál es la más favorable para la entidad y los fines de la contratación. En este sentido, los </w:t>
      </w:r>
      <w:r w:rsidRPr="004D5C75">
        <w:rPr>
          <w:rFonts w:ascii="Verdana" w:eastAsia="Calibri" w:hAnsi="Verdana" w:cs="Arial"/>
          <w:i/>
          <w:iCs/>
          <w:color w:val="000000" w:themeColor="text1"/>
        </w:rPr>
        <w:t>requisitos</w:t>
      </w:r>
      <w:r w:rsidRPr="004D5C75">
        <w:rPr>
          <w:rFonts w:ascii="Verdana" w:eastAsia="Calibri" w:hAnsi="Verdana" w:cs="Arial"/>
          <w:color w:val="000000" w:themeColor="text1"/>
        </w:rPr>
        <w:t xml:space="preserve"> </w:t>
      </w:r>
      <w:r w:rsidRPr="004D5C75">
        <w:rPr>
          <w:rFonts w:ascii="Verdana" w:eastAsia="Calibri" w:hAnsi="Verdana" w:cs="Arial"/>
          <w:i/>
          <w:color w:val="000000" w:themeColor="text1"/>
        </w:rPr>
        <w:t>habilitantes</w:t>
      </w:r>
      <w:r>
        <w:rPr>
          <w:rFonts w:ascii="Verdana" w:eastAsia="Calibri" w:hAnsi="Verdana" w:cs="Arial"/>
          <w:i/>
          <w:color w:val="000000" w:themeColor="text1"/>
        </w:rPr>
        <w:t xml:space="preserve"> </w:t>
      </w:r>
      <w:r>
        <w:rPr>
          <w:rFonts w:ascii="Verdana" w:eastAsia="Calibri" w:hAnsi="Verdana" w:cs="Arial"/>
          <w:iCs/>
          <w:color w:val="000000" w:themeColor="text1"/>
        </w:rPr>
        <w:t xml:space="preserve">–entre éstos, el de experiencia– </w:t>
      </w:r>
      <w:r w:rsidRPr="004D5C75">
        <w:rPr>
          <w:rFonts w:ascii="Verdana" w:eastAsia="Calibri" w:hAnsi="Verdana" w:cs="Arial"/>
          <w:color w:val="000000" w:themeColor="text1"/>
        </w:rPr>
        <w:t>son aquellos que deben cumplir en igualdad de condiciones los proponentes y cumplido el mínimo establecido en el pliego de condiciones o documento equivalente hacen que los proponentes se habiliten en el procedimiento de selección y sean susceptibles de ser seleccionados como futuros contratistas.</w:t>
      </w:r>
    </w:p>
    <w:p w14:paraId="3230226A" w14:textId="77777777" w:rsidR="005C2959" w:rsidRPr="00DA0E69" w:rsidRDefault="005C2959" w:rsidP="005C2959">
      <w:pPr>
        <w:tabs>
          <w:tab w:val="left" w:pos="0"/>
        </w:tabs>
        <w:spacing w:after="120" w:line="276" w:lineRule="auto"/>
        <w:jc w:val="both"/>
        <w:rPr>
          <w:rFonts w:ascii="Verdana" w:eastAsia="Arial" w:hAnsi="Verdana" w:cs="Arial"/>
          <w:color w:val="000000"/>
        </w:rPr>
      </w:pPr>
      <w:r>
        <w:rPr>
          <w:rFonts w:ascii="Verdana" w:eastAsia="Calibri" w:hAnsi="Verdana" w:cs="Arial"/>
          <w:color w:val="000000" w:themeColor="text1"/>
        </w:rPr>
        <w:tab/>
      </w:r>
      <w:r w:rsidRPr="00DA0E69">
        <w:rPr>
          <w:rFonts w:ascii="Verdana" w:eastAsia="Arial" w:hAnsi="Verdana" w:cs="Arial"/>
          <w:color w:val="000000"/>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El numeral 2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2 se divide en dos literales, cada uno de los cuales hace referencia a los mecanismos por los que pueden optar las entidades para ponderar los elementos de calidad y precio de las ofertas. El literal a) alude a la ponderación de los referidos elementos mediante puntajes o fórmulas, mientras que el literal b) se refiere la elección de la oferta que represente la mejor relación costo – beneficio para la entidad. </w:t>
      </w:r>
    </w:p>
    <w:p w14:paraId="7BA51CA3" w14:textId="77777777" w:rsidR="005C2959" w:rsidRPr="00DA0E69" w:rsidRDefault="005C2959" w:rsidP="005C2959">
      <w:pPr>
        <w:tabs>
          <w:tab w:val="left" w:pos="0"/>
        </w:tabs>
        <w:spacing w:after="120" w:line="276" w:lineRule="auto"/>
        <w:jc w:val="both"/>
        <w:rPr>
          <w:rFonts w:ascii="Verdana" w:eastAsia="Arial" w:hAnsi="Verdana" w:cs="Arial"/>
          <w:color w:val="000000"/>
        </w:rPr>
      </w:pPr>
      <w:r w:rsidRPr="00DA0E69">
        <w:rPr>
          <w:rFonts w:ascii="Verdana" w:eastAsia="Arial" w:hAnsi="Verdana" w:cs="Arial"/>
          <w:color w:val="000000"/>
        </w:rPr>
        <w:tab/>
        <w:t>Por su parte, el numeral 3 establece que en los procesos de selección de bienes y servicios de características técnicas uniformes y de común utilización el único factor de evaluación consiste en el menor precio. Por último, el numeral 4, referente a procedimientos para selección de consultores, señala que debe hacerse uso de factores de calificación, para valorar los aspectos técnicos de la oferta, permitiendo que entre ellos se pondere la experiencia.</w:t>
      </w:r>
    </w:p>
    <w:p w14:paraId="08489B25" w14:textId="77777777" w:rsidR="005C2959" w:rsidRDefault="005C2959" w:rsidP="005C2959">
      <w:pPr>
        <w:spacing w:after="0" w:line="276" w:lineRule="auto"/>
        <w:jc w:val="both"/>
        <w:rPr>
          <w:rFonts w:ascii="Verdana" w:eastAsia="Arial" w:hAnsi="Verdana" w:cs="Arial"/>
          <w:color w:val="000000"/>
        </w:rPr>
      </w:pPr>
      <w:r w:rsidRPr="00DA0E69">
        <w:rPr>
          <w:rFonts w:ascii="Verdana" w:eastAsia="Arial" w:hAnsi="Verdana" w:cs="Arial"/>
          <w:color w:val="000000"/>
        </w:rPr>
        <w:tab/>
        <w:t xml:space="preserve">Conforme a lo anterior, el artículo 5 de la Ley 1150 de 2007, alude a diferentes conceptos como factores de escogencia, de calificación, técnicos y económicos de escogencia, de evaluación y calificación. Además, el artículo alude a unos factores que no otorgan puntaje y de otros que inciden en la comparación de ofertas. Por ello, la doctrina define los requisitos o factores ponderables como “[…] aquellas condiciones de la oferta y no de quien la presenta, que sí entrarán a ser evaluadas por la Administración y que en </w:t>
      </w:r>
      <w:r w:rsidRPr="00DA0E69">
        <w:rPr>
          <w:rFonts w:ascii="Verdana" w:eastAsia="Arial" w:hAnsi="Verdana" w:cs="Arial"/>
          <w:color w:val="000000"/>
        </w:rPr>
        <w:lastRenderedPageBreak/>
        <w:t>consecuencia, darán lugar a la escogencia objetiva de la mejor propuesta para la entidad”</w:t>
      </w:r>
      <w:r w:rsidRPr="00DA0E69">
        <w:rPr>
          <w:rFonts w:ascii="Verdana" w:eastAsia="Arial" w:hAnsi="Verdana" w:cs="Arial"/>
          <w:color w:val="000000"/>
          <w:vertAlign w:val="superscript"/>
        </w:rPr>
        <w:footnoteReference w:id="1"/>
      </w:r>
      <w:r w:rsidRPr="00DA0E69">
        <w:rPr>
          <w:rFonts w:ascii="Verdana" w:eastAsia="Arial" w:hAnsi="Verdana" w:cs="Arial"/>
          <w:color w:val="000000"/>
        </w:rPr>
        <w:t>. Todas estas categorías designan los “[…] factores a los cuales cabe otorgarles puntajes o que pueden ser ponderados, precisamente, pues estos son los factores que en últimas permiten una comparación de ofertas y una diferenciación entre ellas”</w:t>
      </w:r>
      <w:r w:rsidRPr="00DA0E69">
        <w:rPr>
          <w:rFonts w:ascii="Verdana" w:eastAsia="Arial" w:hAnsi="Verdana" w:cs="Arial"/>
          <w:color w:val="000000"/>
          <w:vertAlign w:val="superscript"/>
        </w:rPr>
        <w:footnoteReference w:id="2"/>
      </w:r>
      <w:r>
        <w:rPr>
          <w:rFonts w:ascii="Verdana" w:eastAsia="Arial" w:hAnsi="Verdana" w:cs="Arial"/>
          <w:color w:val="000000"/>
        </w:rPr>
        <w:t>.</w:t>
      </w:r>
    </w:p>
    <w:p w14:paraId="64748C91" w14:textId="77777777" w:rsidR="005C2959" w:rsidRDefault="005C2959" w:rsidP="005C2959">
      <w:pPr>
        <w:spacing w:after="0" w:line="276" w:lineRule="auto"/>
        <w:jc w:val="both"/>
        <w:rPr>
          <w:rFonts w:ascii="Verdana" w:eastAsia="Arial" w:hAnsi="Verdana" w:cs="Arial"/>
          <w:color w:val="000000"/>
        </w:rPr>
      </w:pPr>
    </w:p>
    <w:p w14:paraId="6641845E" w14:textId="77777777" w:rsidR="005C2959" w:rsidRPr="007136EF" w:rsidRDefault="005C2959" w:rsidP="005C2959">
      <w:pPr>
        <w:spacing w:after="120" w:line="276" w:lineRule="auto"/>
        <w:jc w:val="both"/>
        <w:rPr>
          <w:rFonts w:ascii="Verdana" w:hAnsi="Verdana" w:cs="Arial"/>
          <w:color w:val="000000" w:themeColor="text1"/>
          <w:lang w:val="es-ES_tradnl"/>
        </w:rPr>
      </w:pPr>
      <w:proofErr w:type="spellStart"/>
      <w:r>
        <w:rPr>
          <w:rFonts w:ascii="Verdana" w:eastAsia="Arial" w:hAnsi="Verdana" w:cs="Arial"/>
          <w:color w:val="000000"/>
        </w:rPr>
        <w:t>ii</w:t>
      </w:r>
      <w:proofErr w:type="spellEnd"/>
      <w:r>
        <w:rPr>
          <w:rFonts w:ascii="Verdana" w:eastAsia="Arial" w:hAnsi="Verdana" w:cs="Arial"/>
          <w:color w:val="000000"/>
        </w:rPr>
        <w:t xml:space="preserve">. </w:t>
      </w:r>
      <w:r w:rsidRPr="007136EF">
        <w:rPr>
          <w:rFonts w:ascii="Verdana" w:hAnsi="Verdana" w:cs="Arial"/>
          <w:color w:val="000000" w:themeColor="text1"/>
          <w:lang w:val="es-ES_tradnl"/>
        </w:rPr>
        <w:t xml:space="preserve">A través del “Manual para determinar y verificar los requisitos habilitantes en los Procesos de Contratación”, la Agencia precisó los parámetros para </w:t>
      </w:r>
      <w:r w:rsidRPr="007136EF">
        <w:rPr>
          <w:rFonts w:ascii="Verdana" w:hAnsi="Verdana" w:cs="Arial"/>
          <w:i/>
          <w:iCs/>
          <w:color w:val="000000" w:themeColor="text1"/>
          <w:lang w:val="es-ES_tradnl"/>
        </w:rPr>
        <w:t>establecer</w:t>
      </w:r>
      <w:r w:rsidRPr="007136EF">
        <w:rPr>
          <w:rFonts w:ascii="Verdana" w:hAnsi="Verdana" w:cs="Arial"/>
          <w:color w:val="000000" w:themeColor="text1"/>
          <w:lang w:val="es-ES_tradnl"/>
        </w:rPr>
        <w:t xml:space="preserve">, </w:t>
      </w:r>
      <w:r w:rsidRPr="007136EF">
        <w:rPr>
          <w:rFonts w:ascii="Verdana" w:hAnsi="Verdana" w:cs="Arial"/>
          <w:i/>
          <w:iCs/>
          <w:color w:val="000000" w:themeColor="text1"/>
          <w:lang w:val="es-ES_tradnl"/>
        </w:rPr>
        <w:t>acreditar</w:t>
      </w:r>
      <w:r w:rsidRPr="007136EF">
        <w:rPr>
          <w:rFonts w:ascii="Verdana" w:hAnsi="Verdana" w:cs="Arial"/>
          <w:color w:val="000000" w:themeColor="text1"/>
          <w:lang w:val="es-ES_tradnl"/>
        </w:rPr>
        <w:t xml:space="preserve"> y </w:t>
      </w:r>
      <w:r w:rsidRPr="007136EF">
        <w:rPr>
          <w:rFonts w:ascii="Verdana" w:hAnsi="Verdana" w:cs="Arial"/>
          <w:i/>
          <w:iCs/>
          <w:color w:val="000000" w:themeColor="text1"/>
          <w:lang w:val="es-ES_tradnl"/>
        </w:rPr>
        <w:t>subsanar</w:t>
      </w:r>
      <w:r w:rsidRPr="007136EF">
        <w:rPr>
          <w:rFonts w:ascii="Verdana" w:hAnsi="Verdana" w:cs="Arial"/>
          <w:color w:val="000000" w:themeColor="text1"/>
          <w:lang w:val="es-ES_tradnl"/>
        </w:rPr>
        <w:t xml:space="preserve"> los requisitos habilitantes en los procedimientos de selección. </w:t>
      </w:r>
      <w:r>
        <w:rPr>
          <w:rFonts w:ascii="Verdana" w:hAnsi="Verdana" w:cs="Arial"/>
          <w:color w:val="000000" w:themeColor="text1"/>
          <w:lang w:val="es-ES_tradnl"/>
        </w:rPr>
        <w:t>Éstos tienen</w:t>
      </w:r>
      <w:r w:rsidRPr="007136EF">
        <w:rPr>
          <w:rFonts w:ascii="Verdana" w:hAnsi="Verdana" w:cs="Arial"/>
          <w:color w:val="000000" w:themeColor="text1"/>
          <w:lang w:val="es-ES_tradnl"/>
        </w:rPr>
        <w:t xml:space="preserve"> como fin primordial medir la aptitud del proponente para participar en un Proceso de Contratación como oferente y están referidos a su capacidad jurídica, financiera, organizacional y su experiencia. Su propósito es</w:t>
      </w:r>
      <w:r>
        <w:rPr>
          <w:rFonts w:ascii="Verdana" w:hAnsi="Verdana" w:cs="Arial"/>
          <w:color w:val="000000" w:themeColor="text1"/>
          <w:lang w:val="es-ES_tradnl"/>
        </w:rPr>
        <w:t xml:space="preserve"> </w:t>
      </w:r>
      <w:r w:rsidRPr="007136EF">
        <w:rPr>
          <w:rFonts w:ascii="Verdana" w:hAnsi="Verdana" w:cs="Arial"/>
          <w:color w:val="000000" w:themeColor="text1"/>
          <w:lang w:val="es-ES_tradnl"/>
        </w:rPr>
        <w:t xml:space="preserve">establecer unas condiciones mínimas para los proponentes de tal manera que la Entidad Estatal sólo evalúe las ofertas de aquellos que están en condiciones de cumplir con el objeto del Proceso de Contratación. </w:t>
      </w:r>
    </w:p>
    <w:p w14:paraId="7A80075A" w14:textId="77777777" w:rsidR="005C2959" w:rsidRPr="007136EF" w:rsidRDefault="005C2959" w:rsidP="005C2959">
      <w:pPr>
        <w:spacing w:after="120" w:line="276" w:lineRule="auto"/>
        <w:ind w:firstLine="709"/>
        <w:jc w:val="both"/>
        <w:rPr>
          <w:rFonts w:ascii="Verdana" w:hAnsi="Verdana" w:cs="Arial"/>
          <w:color w:val="000000" w:themeColor="text1"/>
          <w:lang w:val="es-ES_tradnl"/>
        </w:rPr>
      </w:pPr>
      <w:bookmarkStart w:id="2" w:name="_Hlk34917473"/>
      <w:r w:rsidRPr="007136EF">
        <w:rPr>
          <w:rFonts w:ascii="Verdana" w:hAnsi="Verdana" w:cs="Arial"/>
          <w:color w:val="000000" w:themeColor="text1"/>
          <w:lang w:val="es-ES_tradnl"/>
        </w:rPr>
        <w:t xml:space="preserve">En consecuencia, corresponde a las entidades estatales, durante la etapa de planeación del contrato estatal, estudiar y </w:t>
      </w:r>
      <w:r w:rsidRPr="007136EF">
        <w:rPr>
          <w:rFonts w:ascii="Verdana" w:hAnsi="Verdana" w:cs="Arial"/>
          <w:bCs/>
          <w:iCs/>
          <w:color w:val="000000" w:themeColor="text1"/>
          <w:lang w:val="es-ES_tradnl"/>
        </w:rPr>
        <w:t>determinar</w:t>
      </w:r>
      <w:r w:rsidRPr="007136EF">
        <w:rPr>
          <w:rFonts w:ascii="Verdana" w:hAnsi="Verdana" w:cs="Arial"/>
          <w:color w:val="000000" w:themeColor="text1"/>
          <w:lang w:val="es-ES_tradnl"/>
        </w:rPr>
        <w:t xml:space="preserve"> los </w:t>
      </w:r>
      <w:r w:rsidRPr="007A7B34">
        <w:rPr>
          <w:rFonts w:ascii="Verdana" w:hAnsi="Verdana" w:cs="Arial"/>
          <w:i/>
          <w:iCs/>
          <w:color w:val="000000" w:themeColor="text1"/>
          <w:lang w:val="es-ES_tradnl"/>
        </w:rPr>
        <w:t>requisitos habilitantes</w:t>
      </w:r>
      <w:r w:rsidRPr="007136EF">
        <w:rPr>
          <w:rFonts w:ascii="Verdana" w:hAnsi="Verdana" w:cs="Arial"/>
          <w:color w:val="000000" w:themeColor="text1"/>
          <w:lang w:val="es-ES_tradnl"/>
        </w:rPr>
        <w:t xml:space="preserve"> que establecerán en los pliegos de condiciones, los cuales deben fijarse de forma adecuada y proporcional. Esto último, según se deriva de la lectura del artículo 2.2.1.1.1.6.2 del Decreto 1082 de 2015, debe hacerse de acuerdo con la naturaleza, el valor del contrato, la forma de pago, los riesgos asociados al contrato, el plazo y la complejidad de ejecución del objeto. Todo porque la facultad de establecer los requisitos habilitantes no puede ejercerse de forma arbitraria, caprichosa y, mucho menos, con el ánimo de direccionar el proceso de contratación o favorecer a alguno de los proponentes, así como tampoco puede ejercerse desconociendo límites legales, como, por ejemplo, el que estable el artículo 5, parágrafo 2, de la Ley 1150 de 2007, relacionado con la prohibición de exigir certificaciones de sistemas de gestión de calidad como requisito habilitante. </w:t>
      </w:r>
    </w:p>
    <w:bookmarkEnd w:id="2"/>
    <w:p w14:paraId="1CA6F58B" w14:textId="77777777" w:rsidR="005C2959" w:rsidRPr="007136EF" w:rsidRDefault="005C2959" w:rsidP="005C2959">
      <w:pPr>
        <w:spacing w:after="0" w:line="276" w:lineRule="auto"/>
        <w:ind w:firstLine="709"/>
        <w:jc w:val="both"/>
        <w:rPr>
          <w:rFonts w:ascii="Verdana" w:hAnsi="Verdana" w:cs="Arial"/>
          <w:color w:val="000000" w:themeColor="text1"/>
          <w:lang w:val="es-ES_tradnl"/>
        </w:rPr>
      </w:pPr>
      <w:r w:rsidRPr="007136EF">
        <w:rPr>
          <w:rFonts w:ascii="Verdana" w:hAnsi="Verdana" w:cs="Arial"/>
          <w:color w:val="000000" w:themeColor="text1"/>
          <w:lang w:val="es-ES_tradnl"/>
        </w:rPr>
        <w:t xml:space="preserve">Al respecto, en la sentencia C-004 de 2017, la Corte Constitucional señaló que “[l]a determinación de dichas condiciones habilitantes para participar, es </w:t>
      </w:r>
      <w:r w:rsidRPr="007136EF">
        <w:rPr>
          <w:rFonts w:ascii="Verdana" w:hAnsi="Verdana" w:cs="Arial"/>
          <w:color w:val="000000" w:themeColor="text1"/>
          <w:lang w:val="es-ES_tradnl"/>
        </w:rPr>
        <w:lastRenderedPageBreak/>
        <w:t>competencia de la entidad que planee la celebración del contrato, a través de la valoración en concreto de las características mínimas de idoneidad, experiencia, capacidad jurídica y financiera para que la realización del objeto contractual resulte eficiente y eficaz frente a la necesidad identificada”.</w:t>
      </w:r>
      <w:r>
        <w:rPr>
          <w:rFonts w:ascii="Verdana" w:hAnsi="Verdana" w:cs="Arial"/>
          <w:color w:val="000000" w:themeColor="text1"/>
          <w:lang w:val="es-ES_tradnl"/>
        </w:rPr>
        <w:t xml:space="preserve"> </w:t>
      </w:r>
      <w:r w:rsidRPr="007136EF">
        <w:rPr>
          <w:rFonts w:ascii="Verdana" w:hAnsi="Verdana" w:cs="Arial"/>
          <w:color w:val="000000" w:themeColor="text1"/>
          <w:lang w:val="es-ES_tradnl"/>
        </w:rPr>
        <w:t xml:space="preserve">Una vez fijados los requisitos habilitantes por la entidad estatal, quienes presenten ofertas deben </w:t>
      </w:r>
      <w:r w:rsidRPr="007136EF">
        <w:rPr>
          <w:rFonts w:ascii="Verdana" w:hAnsi="Verdana" w:cs="Arial"/>
          <w:bCs/>
          <w:i/>
          <w:iCs/>
          <w:color w:val="000000" w:themeColor="text1"/>
          <w:lang w:val="es-ES_tradnl"/>
        </w:rPr>
        <w:t>acreditar</w:t>
      </w:r>
      <w:r w:rsidRPr="007136EF">
        <w:rPr>
          <w:rFonts w:ascii="Verdana" w:hAnsi="Verdana" w:cs="Arial"/>
          <w:color w:val="000000" w:themeColor="text1"/>
          <w:lang w:val="es-ES_tradnl"/>
        </w:rPr>
        <w:t xml:space="preserve"> que cumplen con los mismos, pues, en el evento contrario, las propuestas deberán ser rechazadas. Lo anterior, sin perjuicio de la posibilidad de </w:t>
      </w:r>
      <w:r w:rsidRPr="007136EF">
        <w:rPr>
          <w:rFonts w:ascii="Verdana" w:hAnsi="Verdana" w:cs="Arial"/>
          <w:bCs/>
          <w:i/>
          <w:iCs/>
          <w:color w:val="000000" w:themeColor="text1"/>
          <w:lang w:val="es-ES_tradnl"/>
        </w:rPr>
        <w:t>subsanar</w:t>
      </w:r>
      <w:r w:rsidRPr="007136EF">
        <w:rPr>
          <w:rFonts w:ascii="Verdana" w:hAnsi="Verdana" w:cs="Arial"/>
          <w:color w:val="000000" w:themeColor="text1"/>
          <w:lang w:val="es-ES_tradnl"/>
        </w:rPr>
        <w:t>, prevista en el artículo 5 de la Ley 1882 de 2018, que modificó el parágrafo 1º del artículo 5 de la Ley 1150 de 2007, en los siguientes términos:</w:t>
      </w:r>
    </w:p>
    <w:p w14:paraId="4C2693E9" w14:textId="77777777" w:rsidR="005C2959" w:rsidRPr="007136EF" w:rsidRDefault="005C2959" w:rsidP="005C2959">
      <w:pPr>
        <w:spacing w:after="0" w:line="276" w:lineRule="auto"/>
        <w:jc w:val="both"/>
        <w:rPr>
          <w:rFonts w:ascii="Verdana" w:hAnsi="Verdana" w:cs="Arial"/>
          <w:color w:val="000000" w:themeColor="text1"/>
          <w:lang w:val="es-ES_tradnl"/>
        </w:rPr>
      </w:pPr>
    </w:p>
    <w:p w14:paraId="7F05373E" w14:textId="77777777" w:rsidR="005C2959" w:rsidRPr="0023736B" w:rsidRDefault="005C2959" w:rsidP="005C2959">
      <w:pPr>
        <w:spacing w:after="0" w:line="240" w:lineRule="auto"/>
        <w:ind w:left="703" w:right="760"/>
        <w:jc w:val="both"/>
        <w:rPr>
          <w:rFonts w:ascii="Verdana" w:hAnsi="Verdana" w:cs="Arial"/>
          <w:color w:val="000000" w:themeColor="text1"/>
          <w:sz w:val="20"/>
          <w:szCs w:val="20"/>
          <w:lang w:val="es-ES_tradnl"/>
        </w:rPr>
      </w:pPr>
      <w:r w:rsidRPr="0023736B">
        <w:rPr>
          <w:rFonts w:ascii="Verdana" w:hAnsi="Verdana" w:cs="Arial"/>
          <w:color w:val="000000" w:themeColor="text1"/>
          <w:sz w:val="20"/>
          <w:szCs w:val="20"/>
          <w:lang w:val="es-ES_tradnl"/>
        </w:rPr>
        <w:t xml:space="preserve">“Artículo 5°. De la selección objetiva. </w:t>
      </w:r>
    </w:p>
    <w:p w14:paraId="0625516B" w14:textId="77777777" w:rsidR="005C2959" w:rsidRPr="0023736B" w:rsidRDefault="005C2959" w:rsidP="005C2959">
      <w:pPr>
        <w:spacing w:after="120" w:line="240" w:lineRule="auto"/>
        <w:ind w:left="703" w:right="760"/>
        <w:jc w:val="both"/>
        <w:rPr>
          <w:rFonts w:ascii="Verdana" w:hAnsi="Verdana" w:cs="Arial"/>
          <w:color w:val="000000" w:themeColor="text1"/>
          <w:sz w:val="20"/>
          <w:szCs w:val="20"/>
          <w:lang w:val="es-ES_tradnl"/>
        </w:rPr>
      </w:pPr>
      <w:r w:rsidRPr="0023736B">
        <w:rPr>
          <w:rFonts w:ascii="Verdana" w:hAnsi="Verdana" w:cs="Arial"/>
          <w:color w:val="000000" w:themeColor="text1"/>
          <w:sz w:val="20"/>
          <w:szCs w:val="20"/>
          <w:lang w:val="es-ES_tradnl"/>
        </w:rPr>
        <w:t xml:space="preserve">[...] </w:t>
      </w:r>
    </w:p>
    <w:p w14:paraId="60B12E24" w14:textId="77777777" w:rsidR="005C2959" w:rsidRPr="007136EF" w:rsidRDefault="005C2959" w:rsidP="005C2959">
      <w:pPr>
        <w:spacing w:after="0" w:line="240" w:lineRule="auto"/>
        <w:ind w:left="703" w:right="760"/>
        <w:jc w:val="both"/>
        <w:rPr>
          <w:rFonts w:ascii="Verdana" w:hAnsi="Verdana" w:cs="Arial"/>
          <w:color w:val="000000" w:themeColor="text1"/>
          <w:sz w:val="21"/>
          <w:szCs w:val="21"/>
          <w:lang w:val="es-ES_tradnl"/>
        </w:rPr>
      </w:pPr>
      <w:r w:rsidRPr="0023736B">
        <w:rPr>
          <w:rFonts w:ascii="Verdana" w:hAnsi="Verdana" w:cs="Arial"/>
          <w:color w:val="000000" w:themeColor="text1"/>
          <w:sz w:val="20"/>
          <w:szCs w:val="20"/>
          <w:lang w:val="es-ES_tradnl"/>
        </w:rPr>
        <w:t xml:space="preserve">Parágrafo 1º.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proofErr w:type="gramStart"/>
      <w:r w:rsidRPr="0023736B">
        <w:rPr>
          <w:rFonts w:ascii="Verdana" w:hAnsi="Verdana" w:cs="Arial"/>
          <w:color w:val="000000" w:themeColor="text1"/>
          <w:sz w:val="20"/>
          <w:szCs w:val="20"/>
          <w:lang w:val="es-ES_tradnl"/>
        </w:rPr>
        <w:t>puntaje,</w:t>
      </w:r>
      <w:proofErr w:type="gramEnd"/>
      <w:r w:rsidRPr="0023736B">
        <w:rPr>
          <w:rFonts w:ascii="Verdana" w:hAnsi="Verdana" w:cs="Arial"/>
          <w:color w:val="000000" w:themeColor="text1"/>
          <w:sz w:val="20"/>
          <w:szCs w:val="20"/>
          <w:lang w:val="es-ES_tradnl"/>
        </w:rPr>
        <w:t xml:space="preserv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 </w:t>
      </w:r>
    </w:p>
    <w:p w14:paraId="084404BB" w14:textId="77777777" w:rsidR="005C2959" w:rsidRPr="007136EF" w:rsidRDefault="005C2959" w:rsidP="005C2959">
      <w:pPr>
        <w:spacing w:after="0" w:line="276" w:lineRule="auto"/>
        <w:jc w:val="both"/>
        <w:rPr>
          <w:rFonts w:ascii="Verdana" w:hAnsi="Verdana" w:cs="Arial"/>
          <w:b/>
          <w:color w:val="000000" w:themeColor="text1"/>
          <w:lang w:val="es-ES_tradnl"/>
        </w:rPr>
      </w:pPr>
    </w:p>
    <w:p w14:paraId="347631C2" w14:textId="77777777" w:rsidR="005C2959" w:rsidRDefault="005C2959" w:rsidP="005C2959">
      <w:pPr>
        <w:spacing w:after="120" w:line="276" w:lineRule="auto"/>
        <w:ind w:firstLine="709"/>
        <w:jc w:val="both"/>
        <w:rPr>
          <w:rFonts w:ascii="Verdana" w:eastAsia="Calibri" w:hAnsi="Verdana" w:cs="Arial"/>
          <w:color w:val="000000" w:themeColor="text1"/>
          <w:lang w:val="es-ES_tradnl"/>
        </w:rPr>
      </w:pPr>
      <w:r w:rsidRPr="007136EF">
        <w:rPr>
          <w:rFonts w:ascii="Verdana" w:hAnsi="Verdana" w:cs="Arial"/>
          <w:color w:val="000000" w:themeColor="text1"/>
          <w:lang w:val="es-ES_tradnl"/>
        </w:rPr>
        <w:t xml:space="preserve">Esta norma, como lo indicó esta Subdirección en el Concepto CU-060 de 2020, por un lado, mantiene el criterio de la Ley 80 de 1993, relativo a que todo lo que no sea necesario para la comparación de propuestas no es título suficiente para su rechazo y, por el otro, conserva la idea aclaratoria de la Ley 1150 de 2007, según el cual todo lo que no afecte la asignación de puntaje puede subsanarse. También introduce modificaciones en relación con: i) el ámbito temporal para ejercer la facultad de subsanar la oferta; </w:t>
      </w:r>
      <w:proofErr w:type="spellStart"/>
      <w:r w:rsidRPr="007136EF">
        <w:rPr>
          <w:rFonts w:ascii="Verdana" w:hAnsi="Verdana" w:cs="Arial"/>
          <w:color w:val="000000" w:themeColor="text1"/>
          <w:lang w:val="es-ES_tradnl"/>
        </w:rPr>
        <w:t>ii</w:t>
      </w:r>
      <w:proofErr w:type="spellEnd"/>
      <w:r w:rsidRPr="007136EF">
        <w:rPr>
          <w:rFonts w:ascii="Verdana" w:hAnsi="Verdana" w:cs="Arial"/>
          <w:color w:val="000000" w:themeColor="text1"/>
          <w:lang w:val="es-ES_tradnl"/>
        </w:rPr>
        <w:t xml:space="preserve">) </w:t>
      </w:r>
      <w:r w:rsidRPr="007136EF">
        <w:rPr>
          <w:rFonts w:ascii="Verdana" w:eastAsia="Calibri" w:hAnsi="Verdana" w:cs="Arial"/>
          <w:color w:val="000000" w:themeColor="text1"/>
          <w:lang w:val="es-ES_tradnl"/>
        </w:rPr>
        <w:t>la consagración de un criterio material, directamente relacionado con los aspectos subsanables: “</w:t>
      </w:r>
      <w:r w:rsidRPr="007136EF">
        <w:rPr>
          <w:rFonts w:ascii="Verdana" w:hAnsi="Verdana" w:cs="Arial"/>
          <w:color w:val="000000" w:themeColor="text1"/>
          <w:lang w:val="es-ES_tradnl"/>
        </w:rPr>
        <w:t xml:space="preserve">los proponentes no podrán acreditar circunstancias ocurridas con posterioridad al cierre del proceso”; y </w:t>
      </w:r>
      <w:proofErr w:type="spellStart"/>
      <w:r w:rsidRPr="007136EF">
        <w:rPr>
          <w:rFonts w:ascii="Verdana" w:hAnsi="Verdana" w:cs="Arial"/>
          <w:color w:val="000000" w:themeColor="text1"/>
          <w:lang w:val="es-ES_tradnl"/>
        </w:rPr>
        <w:t>iii</w:t>
      </w:r>
      <w:proofErr w:type="spellEnd"/>
      <w:r w:rsidRPr="007136EF">
        <w:rPr>
          <w:rFonts w:ascii="Verdana" w:hAnsi="Verdana" w:cs="Arial"/>
          <w:color w:val="000000" w:themeColor="text1"/>
          <w:lang w:val="es-ES_tradnl"/>
        </w:rPr>
        <w:t xml:space="preserve">) la determinación </w:t>
      </w:r>
      <w:r w:rsidRPr="007136EF">
        <w:rPr>
          <w:rFonts w:ascii="Verdana" w:eastAsia="Calibri" w:hAnsi="Verdana" w:cs="Arial"/>
          <w:color w:val="000000" w:themeColor="text1"/>
          <w:lang w:val="es-ES_tradnl"/>
        </w:rPr>
        <w:t xml:space="preserve">expresa de que “la no entrega de la garantía de seriedad junto con la propuesta no será subsanable y será causal de </w:t>
      </w:r>
      <w:r w:rsidRPr="007136EF">
        <w:rPr>
          <w:rFonts w:ascii="Verdana" w:eastAsia="Calibri" w:hAnsi="Verdana" w:cs="Arial"/>
          <w:color w:val="000000" w:themeColor="text1"/>
          <w:lang w:val="es-ES_tradnl"/>
        </w:rPr>
        <w:lastRenderedPageBreak/>
        <w:t>rechazo de la misma”, dejando claro que se trata de un documento de obligatoria presentación junto con la propuesta y que materializa los principios de seriedad e irrevocabilidad de la oferta.</w:t>
      </w:r>
    </w:p>
    <w:p w14:paraId="355F9F51" w14:textId="77777777" w:rsidR="005C2959" w:rsidRDefault="005C2959" w:rsidP="005C2959">
      <w:pPr>
        <w:spacing w:after="0" w:line="276" w:lineRule="auto"/>
        <w:ind w:firstLine="708"/>
        <w:jc w:val="both"/>
        <w:rPr>
          <w:rFonts w:ascii="Verdana" w:eastAsia="Calibri" w:hAnsi="Verdana" w:cs="Arial"/>
          <w:color w:val="000000" w:themeColor="text1"/>
          <w:lang w:val="es-ES_tradnl"/>
        </w:rPr>
      </w:pPr>
      <w:r w:rsidRPr="007A7B34">
        <w:rPr>
          <w:rFonts w:ascii="Verdana" w:eastAsia="Calibri" w:hAnsi="Verdana" w:cs="Arial"/>
          <w:color w:val="000000" w:themeColor="text1"/>
          <w:lang w:val="es-ES_tradnl"/>
        </w:rPr>
        <w:t>Por tanto, con excepción de los procedimientos regidos por documentos tipo, es necesario tener en cuenta que existe un margen de discrecionalidad para definir el contenido del pliego de condiciones</w:t>
      </w:r>
      <w:r w:rsidRPr="007A7B34">
        <w:rPr>
          <w:rStyle w:val="Refdenotaalpie"/>
          <w:rFonts w:ascii="Verdana" w:eastAsia="Calibri" w:hAnsi="Verdana" w:cs="Arial"/>
          <w:color w:val="000000" w:themeColor="text1"/>
          <w:lang w:val="es-ES_tradnl"/>
        </w:rPr>
        <w:footnoteReference w:id="3"/>
      </w:r>
      <w:r w:rsidRPr="007A7B34">
        <w:rPr>
          <w:rFonts w:ascii="Verdana" w:eastAsia="Calibri" w:hAnsi="Verdana" w:cs="Arial"/>
          <w:color w:val="000000" w:themeColor="text1"/>
          <w:lang w:val="es-ES_tradnl"/>
        </w:rPr>
        <w:t>. Salvo los aspectos que se encuentren reglados en la actuación administrativa, esto implica libertad de las entidades para determinar los requisitos habilitantes sujetos a verificación en los documentos del proceso. Lo anterior en la medida que no existen potestades completamente discrecionales, por lo que dichos elementos reglados son una limitación efectiva a la libertad de configuración</w:t>
      </w:r>
      <w:r w:rsidRPr="007A7B34">
        <w:rPr>
          <w:rStyle w:val="Refdenotaalpie"/>
          <w:rFonts w:ascii="Verdana" w:eastAsia="Calibri" w:hAnsi="Verdana" w:cs="Arial"/>
          <w:color w:val="000000" w:themeColor="text1"/>
          <w:lang w:val="es-ES_tradnl"/>
        </w:rPr>
        <w:footnoteReference w:id="4"/>
      </w:r>
      <w:r w:rsidRPr="007A7B34">
        <w:rPr>
          <w:rFonts w:ascii="Verdana" w:eastAsia="Calibri" w:hAnsi="Verdana" w:cs="Arial"/>
          <w:color w:val="000000" w:themeColor="text1"/>
          <w:lang w:val="es-ES_tradnl"/>
        </w:rPr>
        <w:t>.</w:t>
      </w:r>
    </w:p>
    <w:p w14:paraId="306FB6FA" w14:textId="77777777" w:rsidR="005C2959" w:rsidRDefault="005C2959" w:rsidP="005C2959">
      <w:pPr>
        <w:spacing w:after="0" w:line="276" w:lineRule="auto"/>
        <w:jc w:val="both"/>
        <w:rPr>
          <w:rFonts w:ascii="Verdana" w:eastAsia="Calibri" w:hAnsi="Verdana" w:cs="Arial"/>
          <w:color w:val="000000" w:themeColor="text1"/>
          <w:lang w:val="es-ES_tradnl"/>
        </w:rPr>
      </w:pPr>
    </w:p>
    <w:p w14:paraId="48CB5269" w14:textId="77777777" w:rsidR="005C2959" w:rsidRPr="00073791" w:rsidRDefault="005C2959" w:rsidP="005C2959">
      <w:pPr>
        <w:spacing w:after="120" w:line="276" w:lineRule="auto"/>
        <w:jc w:val="both"/>
        <w:rPr>
          <w:rFonts w:ascii="Verdana" w:eastAsia="Calibri" w:hAnsi="Verdana" w:cs="Arial"/>
          <w:color w:val="000000" w:themeColor="text1"/>
          <w:lang w:val="es-ES_tradnl"/>
        </w:rPr>
      </w:pPr>
      <w:proofErr w:type="spellStart"/>
      <w:r>
        <w:rPr>
          <w:rFonts w:ascii="Verdana" w:eastAsia="Calibri" w:hAnsi="Verdana" w:cs="Arial"/>
          <w:color w:val="000000" w:themeColor="text1"/>
          <w:lang w:val="es-ES_tradnl"/>
        </w:rPr>
        <w:t>iii</w:t>
      </w:r>
      <w:proofErr w:type="spellEnd"/>
      <w:r>
        <w:rPr>
          <w:rFonts w:ascii="Verdana" w:eastAsia="Calibri" w:hAnsi="Verdana" w:cs="Arial"/>
          <w:color w:val="000000" w:themeColor="text1"/>
          <w:lang w:val="es-ES_tradnl"/>
        </w:rPr>
        <w:t xml:space="preserve">. Conforme al Manual mencionado </w:t>
      </w:r>
      <w:r w:rsidRPr="002D0F95">
        <w:rPr>
          <w:rFonts w:ascii="Verdana" w:eastAsia="Calibri" w:hAnsi="Verdana" w:cs="Arial"/>
          <w:i/>
          <w:iCs/>
          <w:color w:val="000000" w:themeColor="text1"/>
          <w:lang w:val="es-ES_tradnl"/>
        </w:rPr>
        <w:t>ut supra</w:t>
      </w:r>
      <w:r>
        <w:rPr>
          <w:rFonts w:ascii="Verdana" w:eastAsia="Calibri" w:hAnsi="Verdana" w:cs="Arial"/>
          <w:color w:val="000000" w:themeColor="text1"/>
          <w:lang w:val="es-ES_tradnl"/>
        </w:rPr>
        <w:t>, l</w:t>
      </w:r>
      <w:r w:rsidRPr="00073791">
        <w:rPr>
          <w:rFonts w:ascii="Verdana" w:eastAsia="Calibri" w:hAnsi="Verdana" w:cs="Arial"/>
          <w:color w:val="000000" w:themeColor="text1"/>
          <w:lang w:val="es-ES_tradnl"/>
        </w:rPr>
        <w:t xml:space="preserve">a </w:t>
      </w:r>
      <w:r w:rsidRPr="00073791">
        <w:rPr>
          <w:rFonts w:ascii="Verdana" w:eastAsia="Calibri" w:hAnsi="Verdana" w:cs="Arial"/>
          <w:bCs/>
          <w:i/>
          <w:iCs/>
          <w:color w:val="000000" w:themeColor="text1"/>
          <w:lang w:val="es-ES_tradnl"/>
        </w:rPr>
        <w:t>experiencia</w:t>
      </w:r>
      <w:r w:rsidRPr="00073791">
        <w:rPr>
          <w:rFonts w:ascii="Verdana" w:eastAsia="Calibri" w:hAnsi="Verdana" w:cs="Arial"/>
          <w:i/>
          <w:iCs/>
          <w:color w:val="000000" w:themeColor="text1"/>
          <w:lang w:val="es-ES_tradnl"/>
        </w:rPr>
        <w:t xml:space="preserve"> </w:t>
      </w:r>
      <w:r w:rsidRPr="00073791">
        <w:rPr>
          <w:rFonts w:ascii="Verdana" w:eastAsia="Calibri" w:hAnsi="Verdana" w:cs="Arial"/>
          <w:color w:val="000000" w:themeColor="text1"/>
          <w:lang w:val="es-ES_tradnl"/>
        </w:rPr>
        <w:t>como requisito habilitante</w:t>
      </w:r>
      <w:r>
        <w:rPr>
          <w:rFonts w:ascii="Verdana" w:eastAsia="Calibri" w:hAnsi="Verdana" w:cs="Arial"/>
          <w:color w:val="000000" w:themeColor="text1"/>
          <w:lang w:val="es-ES_tradnl"/>
        </w:rPr>
        <w:t xml:space="preserve"> </w:t>
      </w:r>
      <w:r w:rsidRPr="006661CC">
        <w:rPr>
          <w:rFonts w:ascii="Verdana" w:eastAsia="Calibri" w:hAnsi="Verdana" w:cs="Arial"/>
        </w:rPr>
        <w:t xml:space="preserve">es </w:t>
      </w:r>
      <w:r>
        <w:rPr>
          <w:rFonts w:ascii="Verdana" w:eastAsia="Calibri" w:hAnsi="Verdana" w:cs="Arial"/>
        </w:rPr>
        <w:t xml:space="preserve">“[…] </w:t>
      </w:r>
      <w:r w:rsidRPr="006661CC">
        <w:rPr>
          <w:rFonts w:ascii="Verdana" w:eastAsia="Calibri" w:hAnsi="Verdana" w:cs="Arial"/>
        </w:rPr>
        <w:t>el conocimiento del proponente derivado de su participación previa en actividades iguales o similares a las previstas en el objeto del contrato</w:t>
      </w:r>
      <w:r>
        <w:rPr>
          <w:rFonts w:ascii="Verdana" w:eastAsia="Calibri" w:hAnsi="Verdana" w:cs="Arial"/>
        </w:rPr>
        <w:t>”</w:t>
      </w:r>
      <w:r w:rsidRPr="00073791">
        <w:rPr>
          <w:rStyle w:val="normaltextrun"/>
          <w:rFonts w:ascii="Verdana" w:hAnsi="Verdana" w:cs="Arial"/>
          <w:color w:val="000000" w:themeColor="text1"/>
          <w:lang w:val="es-ES_tradnl"/>
        </w:rPr>
        <w:t>. La entidad, como responsable de la estructuración del proceso de contratación, en principio, es autónoma para requerir la experiencia necesaria para el objeto contractual, para lo cual, de acuerdo con el artículo 2.2.1.1.1.6.2 del Decreto 1082 de 2015, debe tener en cuenta el estudio del sector y sus diferentes componentes, tales como la identificación de riesgos, el mercado y el precio del bien, obra o servicio a contratar</w:t>
      </w:r>
      <w:r w:rsidRPr="00073791">
        <w:rPr>
          <w:rStyle w:val="Refdenotaalpie"/>
          <w:rFonts w:ascii="Verdana" w:hAnsi="Verdana" w:cs="Arial"/>
          <w:color w:val="000000" w:themeColor="text1"/>
          <w:lang w:val="es-ES_tradnl"/>
        </w:rPr>
        <w:footnoteReference w:id="5"/>
      </w:r>
      <w:r w:rsidRPr="00073791">
        <w:rPr>
          <w:rStyle w:val="normaltextrun"/>
          <w:rFonts w:ascii="Verdana" w:hAnsi="Verdana" w:cs="Arial"/>
          <w:color w:val="000000" w:themeColor="text1"/>
          <w:lang w:val="es-ES_tradnl"/>
        </w:rPr>
        <w:t>.</w:t>
      </w:r>
    </w:p>
    <w:p w14:paraId="3B256BD3"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sidRPr="00073791">
        <w:rPr>
          <w:rStyle w:val="normaltextrun"/>
          <w:rFonts w:ascii="Verdana" w:hAnsi="Verdana" w:cs="Arial"/>
          <w:color w:val="000000" w:themeColor="text1"/>
          <w:sz w:val="22"/>
          <w:szCs w:val="22"/>
          <w:lang w:val="es-ES_tradnl"/>
        </w:rPr>
        <w:lastRenderedPageBreak/>
        <w:t>La experiencia que se deriva de la ejecución de los contratos que el proponente ha celebrado y ejecutado con diferentes contratantes, sin importar la naturaleza de estos últimos, se verifica con el Registro Único de Proponentes (RUP)</w:t>
      </w:r>
      <w:r w:rsidRPr="00073791">
        <w:rPr>
          <w:rStyle w:val="Refdenotaalpie"/>
          <w:rFonts w:ascii="Verdana" w:hAnsi="Verdana" w:cs="Arial"/>
          <w:color w:val="000000" w:themeColor="text1"/>
          <w:sz w:val="22"/>
          <w:szCs w:val="22"/>
          <w:lang w:val="es-ES_tradnl"/>
        </w:rPr>
        <w:footnoteReference w:id="6"/>
      </w:r>
      <w:r w:rsidRPr="00073791">
        <w:rPr>
          <w:rStyle w:val="normaltextrun"/>
          <w:rFonts w:ascii="Verdana" w:hAnsi="Verdana" w:cs="Arial"/>
          <w:color w:val="000000" w:themeColor="text1"/>
          <w:sz w:val="22"/>
          <w:szCs w:val="22"/>
          <w:lang w:val="es-ES_tradnl"/>
        </w:rPr>
        <w:t>, claro está, cuando este certificado sea exigible. Allí constan únicamente los requisitos habilitantes que se evalúan con este documento, de los cuales el mismo es plena prueba, sin que le sea posible a la entidad o al proponente solicitar o aportar documentación distinta</w:t>
      </w:r>
      <w:r w:rsidRPr="00073791">
        <w:rPr>
          <w:rStyle w:val="Refdenotaalpie"/>
          <w:rFonts w:ascii="Verdana" w:hAnsi="Verdana" w:cs="Arial"/>
          <w:color w:val="000000" w:themeColor="text1"/>
          <w:sz w:val="22"/>
          <w:szCs w:val="22"/>
          <w:lang w:val="es-ES_tradnl"/>
        </w:rPr>
        <w:footnoteReference w:id="7"/>
      </w:r>
      <w:r w:rsidRPr="00073791">
        <w:rPr>
          <w:rStyle w:val="normaltextrun"/>
          <w:rFonts w:ascii="Verdana" w:hAnsi="Verdana" w:cs="Arial"/>
          <w:color w:val="000000" w:themeColor="text1"/>
          <w:sz w:val="22"/>
          <w:szCs w:val="22"/>
          <w:lang w:val="es-ES_tradnl"/>
        </w:rPr>
        <w:t>.</w:t>
      </w:r>
    </w:p>
    <w:p w14:paraId="25A643CA"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sidRPr="00073791">
        <w:rPr>
          <w:rStyle w:val="normaltextrun"/>
          <w:rFonts w:ascii="Verdana" w:hAnsi="Verdana" w:cs="Arial"/>
          <w:color w:val="000000" w:themeColor="text1"/>
          <w:sz w:val="22"/>
          <w:szCs w:val="22"/>
          <w:lang w:val="es-ES_tradnl"/>
        </w:rPr>
        <w:t>La experiencia debe inscribirse, renovarse o actualizarse en el RUP con copia de los contratos o con certificados de los contratos celebrados por el proponente con diferentes contratantes, quienes los expiden dando cuenta del contrato ejecutado y de que recibieron los bienes, obras o servicios de parte del proponente. Estos documentos deben codificarse de acuerdo con el clasificador de bienes y servicios en el tercer nivel</w:t>
      </w:r>
      <w:r w:rsidRPr="00073791">
        <w:rPr>
          <w:rStyle w:val="Refdenotaalpie"/>
          <w:rFonts w:ascii="Verdana" w:hAnsi="Verdana" w:cs="Arial"/>
          <w:color w:val="000000" w:themeColor="text1"/>
          <w:sz w:val="22"/>
          <w:szCs w:val="22"/>
          <w:lang w:val="es-ES_tradnl"/>
        </w:rPr>
        <w:footnoteReference w:id="8"/>
      </w:r>
      <w:r w:rsidRPr="00073791">
        <w:rPr>
          <w:rStyle w:val="normaltextrun"/>
          <w:rFonts w:ascii="Verdana" w:hAnsi="Verdana" w:cs="Arial"/>
          <w:color w:val="000000" w:themeColor="text1"/>
          <w:sz w:val="22"/>
          <w:szCs w:val="22"/>
          <w:lang w:val="es-ES_tradnl"/>
        </w:rPr>
        <w:t xml:space="preserve">. De esta manera, lo que se verifica con el RUP es que el proponente tenga experiencia en la ejecución del objeto que </w:t>
      </w:r>
      <w:r w:rsidRPr="00073791">
        <w:rPr>
          <w:rStyle w:val="normaltextrun"/>
          <w:rFonts w:ascii="Verdana" w:hAnsi="Verdana" w:cs="Arial"/>
          <w:color w:val="000000" w:themeColor="text1"/>
          <w:sz w:val="22"/>
          <w:szCs w:val="22"/>
          <w:lang w:val="es-ES_tradnl"/>
        </w:rPr>
        <w:lastRenderedPageBreak/>
        <w:t>pretende contratar la entidad, esto es, que haya celebrado y ejecutado contratos que se asimilen a la necesidad que la entidad requiere satisfacer con el procedimiento contractual, sin que sea necesario que su objeto sea totalmente idéntico. Es pertinente aclarar que los códigos del clasificador de bienes y servicios ayudan a que exista un lenguaje común en la denominación de los bienes, obras o servicios que los proveedores ofrecen y que las entidades solicitan.</w:t>
      </w:r>
      <w:r w:rsidRPr="00073791">
        <w:rPr>
          <w:rStyle w:val="eop"/>
          <w:rFonts w:ascii="Verdana" w:hAnsi="Verdana" w:cs="Arial"/>
          <w:color w:val="000000" w:themeColor="text1"/>
          <w:sz w:val="22"/>
          <w:szCs w:val="22"/>
          <w:lang w:val="es-ES_tradnl"/>
        </w:rPr>
        <w:t> </w:t>
      </w:r>
    </w:p>
    <w:p w14:paraId="76835074"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sidRPr="00073791">
        <w:rPr>
          <w:rStyle w:val="normaltextrun"/>
          <w:rFonts w:ascii="Verdana" w:hAnsi="Verdana" w:cs="Arial"/>
          <w:color w:val="000000" w:themeColor="text1"/>
          <w:sz w:val="22"/>
          <w:szCs w:val="22"/>
          <w:lang w:val="es-ES_tradnl"/>
        </w:rPr>
        <w:t>Colombia Compra Eficiente considera que no es posible tener experiencia si en la práctica no se ha ejercido o ejecutado lo que se ofrece a otros contratantes. Precisamente, de esa experiencia es que se deriva el conocimiento que tiene el proponente, el cual es importante para la contratación pública, en la medida en que garantiza que no existirán improvisación o mayores costos por errores o dificultades originadas en realizar una actividad por primera vez. Adicionalmente, se entiende que la experiencia puede ser obtenida directamente o por participar asociado con otra persona, como es el caso de proponentes plurales como consorcios o uniones temporales, caso en el cual, aunque la experiencia no deja de ser personal, es compartida por tratarse de esquemas asociativos. Por otra parte, la Agencia recomienda que la experiencia que se solicite sea proporcional y no igual al objeto que se va a contratar, ya que esto puede limitar la participación de los proveedores por no haber ejecutado un objeto igual, aunque sí hubieran ejecutado uno similar, afectando con eso la pluralidad de oferentes. Igualmente, es importante resaltar que:</w:t>
      </w:r>
    </w:p>
    <w:p w14:paraId="26B27B90"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Pr>
          <w:rStyle w:val="normaltextrun"/>
          <w:rFonts w:ascii="Verdana" w:hAnsi="Verdana" w:cs="Arial"/>
          <w:color w:val="000000" w:themeColor="text1"/>
          <w:sz w:val="22"/>
          <w:szCs w:val="22"/>
          <w:lang w:val="es-ES_tradnl"/>
        </w:rPr>
        <w:t>1</w:t>
      </w:r>
      <w:r w:rsidRPr="00073791">
        <w:rPr>
          <w:rStyle w:val="normaltextrun"/>
          <w:rFonts w:ascii="Verdana" w:hAnsi="Verdana" w:cs="Arial"/>
          <w:color w:val="000000" w:themeColor="text1"/>
          <w:sz w:val="22"/>
          <w:szCs w:val="22"/>
          <w:lang w:val="es-ES_tradnl"/>
        </w:rPr>
        <w:t>) La experiencia es personal, esto es, se adquiere participando, directa o indirectamente, sin que sea posible no participar y tener una experiencia que no es propia.</w:t>
      </w:r>
    </w:p>
    <w:p w14:paraId="283AFBBC"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Pr>
          <w:rStyle w:val="spellingerror"/>
          <w:rFonts w:ascii="Verdana" w:hAnsi="Verdana" w:cs="Arial"/>
          <w:color w:val="000000" w:themeColor="text1"/>
          <w:sz w:val="22"/>
          <w:szCs w:val="22"/>
          <w:lang w:val="es-ES_tradnl"/>
        </w:rPr>
        <w:t>2</w:t>
      </w:r>
      <w:r w:rsidRPr="00073791">
        <w:rPr>
          <w:rStyle w:val="normaltextrun"/>
          <w:rFonts w:ascii="Verdana" w:hAnsi="Verdana" w:cs="Arial"/>
          <w:color w:val="000000" w:themeColor="text1"/>
          <w:sz w:val="22"/>
          <w:szCs w:val="22"/>
          <w:lang w:val="es-ES_tradnl"/>
        </w:rPr>
        <w:t xml:space="preserve">) La experiencia se puede compartir, sin que implique que la que se haya compartido a una persona se entienda suya, ya que dentro del procedimiento contractual se reflejará que esa persona tiene la experiencia de otra, como es el caso de la que </w:t>
      </w:r>
      <w:proofErr w:type="gramStart"/>
      <w:r w:rsidRPr="00073791">
        <w:rPr>
          <w:rStyle w:val="normaltextrun"/>
          <w:rFonts w:ascii="Verdana" w:hAnsi="Verdana" w:cs="Arial"/>
          <w:color w:val="000000" w:themeColor="text1"/>
          <w:sz w:val="22"/>
          <w:szCs w:val="22"/>
          <w:lang w:val="es-ES_tradnl"/>
        </w:rPr>
        <w:t>le</w:t>
      </w:r>
      <w:proofErr w:type="gramEnd"/>
      <w:r w:rsidRPr="00073791">
        <w:rPr>
          <w:rStyle w:val="normaltextrun"/>
          <w:rFonts w:ascii="Verdana" w:hAnsi="Verdana" w:cs="Arial"/>
          <w:color w:val="000000" w:themeColor="text1"/>
          <w:sz w:val="22"/>
          <w:szCs w:val="22"/>
          <w:lang w:val="es-ES_tradnl"/>
        </w:rPr>
        <w:t xml:space="preserve"> aportan los socios a las sociedades con menos de 3 años de constitución, lo cual constará en el RUP; o el de las figuras asociativas –consorcios y uniones temporales–, evento que se verificará en el correspondiente documento privado de constitución.</w:t>
      </w:r>
    </w:p>
    <w:p w14:paraId="79D82C84" w14:textId="77777777" w:rsidR="005C2959" w:rsidRPr="00073791" w:rsidRDefault="005C2959" w:rsidP="005C2959">
      <w:pPr>
        <w:pStyle w:val="paragraph"/>
        <w:spacing w:before="0" w:beforeAutospacing="0" w:after="120" w:afterAutospacing="0" w:line="276" w:lineRule="auto"/>
        <w:ind w:firstLine="709"/>
        <w:jc w:val="both"/>
        <w:textAlignment w:val="baseline"/>
        <w:rPr>
          <w:rFonts w:ascii="Verdana" w:hAnsi="Verdana" w:cs="Arial"/>
          <w:color w:val="000000" w:themeColor="text1"/>
          <w:sz w:val="22"/>
          <w:szCs w:val="22"/>
          <w:lang w:val="es-ES_tradnl"/>
        </w:rPr>
      </w:pPr>
      <w:r>
        <w:rPr>
          <w:rStyle w:val="spellingerror"/>
          <w:rFonts w:ascii="Verdana" w:hAnsi="Verdana" w:cs="Arial"/>
          <w:color w:val="000000" w:themeColor="text1"/>
          <w:sz w:val="22"/>
          <w:szCs w:val="22"/>
          <w:lang w:val="es-ES_tradnl"/>
        </w:rPr>
        <w:t>3</w:t>
      </w:r>
      <w:r w:rsidRPr="00073791">
        <w:rPr>
          <w:rStyle w:val="normaltextrun"/>
          <w:rFonts w:ascii="Verdana" w:hAnsi="Verdana" w:cs="Arial"/>
          <w:color w:val="000000" w:themeColor="text1"/>
          <w:sz w:val="22"/>
          <w:szCs w:val="22"/>
          <w:lang w:val="es-ES_tradnl"/>
        </w:rPr>
        <w:t>) La experiencia se puede transferir y esto es diferente a compartirla, puesto que implica que la experiencia de una persona se traslada a otra, y esta última acredita esa experiencia como propia.</w:t>
      </w:r>
      <w:r w:rsidRPr="00073791">
        <w:rPr>
          <w:rStyle w:val="eop"/>
          <w:rFonts w:ascii="Verdana" w:hAnsi="Verdana" w:cs="Arial"/>
          <w:color w:val="000000" w:themeColor="text1"/>
          <w:sz w:val="22"/>
          <w:szCs w:val="22"/>
          <w:lang w:val="es-ES_tradnl"/>
        </w:rPr>
        <w:t> </w:t>
      </w:r>
    </w:p>
    <w:p w14:paraId="7530C042" w14:textId="77777777" w:rsidR="005C2959" w:rsidRDefault="005C2959" w:rsidP="005C2959">
      <w:pPr>
        <w:pStyle w:val="paragraph"/>
        <w:spacing w:before="0" w:beforeAutospacing="0" w:after="120" w:afterAutospacing="0" w:line="276" w:lineRule="auto"/>
        <w:ind w:firstLine="709"/>
        <w:jc w:val="both"/>
        <w:textAlignment w:val="baseline"/>
        <w:rPr>
          <w:rStyle w:val="normaltextrun"/>
          <w:rFonts w:ascii="Verdana" w:hAnsi="Verdana" w:cs="Arial"/>
          <w:color w:val="000000" w:themeColor="text1"/>
          <w:sz w:val="22"/>
          <w:szCs w:val="22"/>
          <w:lang w:val="es-ES_tradnl"/>
        </w:rPr>
      </w:pPr>
      <w:r>
        <w:rPr>
          <w:rStyle w:val="spellingerror"/>
          <w:rFonts w:ascii="Verdana" w:hAnsi="Verdana" w:cs="Arial"/>
          <w:color w:val="000000" w:themeColor="text1"/>
          <w:sz w:val="22"/>
          <w:szCs w:val="22"/>
          <w:lang w:val="es-ES_tradnl"/>
        </w:rPr>
        <w:lastRenderedPageBreak/>
        <w:t>4</w:t>
      </w:r>
      <w:r w:rsidRPr="00073791">
        <w:rPr>
          <w:rStyle w:val="normaltextrun"/>
          <w:rFonts w:ascii="Verdana" w:hAnsi="Verdana" w:cs="Arial"/>
          <w:color w:val="000000" w:themeColor="text1"/>
          <w:sz w:val="22"/>
          <w:szCs w:val="22"/>
          <w:lang w:val="es-ES_tradnl"/>
        </w:rPr>
        <w:t>) Cuando la persona que adquirió la experiencia desaparece o se liquida, no es posible que comparta o transfiera su experiencia, porque al ser personal sigue la suerte de quien la adquirió.</w:t>
      </w:r>
    </w:p>
    <w:p w14:paraId="6A4C8B00" w14:textId="77777777" w:rsidR="005C2959" w:rsidRDefault="005C2959" w:rsidP="005C2959">
      <w:pPr>
        <w:spacing w:after="120" w:line="276" w:lineRule="auto"/>
        <w:ind w:firstLine="708"/>
        <w:jc w:val="both"/>
        <w:rPr>
          <w:rFonts w:ascii="Verdana" w:eastAsia="Calibri" w:hAnsi="Verdana" w:cs="Arial"/>
        </w:rPr>
      </w:pPr>
      <w:r>
        <w:rPr>
          <w:rStyle w:val="normaltextrun"/>
          <w:rFonts w:ascii="Verdana" w:hAnsi="Verdana" w:cs="Arial"/>
          <w:color w:val="000000" w:themeColor="text1"/>
          <w:lang w:val="es-ES_tradnl"/>
        </w:rPr>
        <w:t>Por lo demás</w:t>
      </w:r>
      <w:r w:rsidRPr="006661CC">
        <w:rPr>
          <w:rStyle w:val="normaltextrun"/>
          <w:rFonts w:ascii="Verdana" w:hAnsi="Verdana" w:cs="Arial"/>
          <w:color w:val="000000" w:themeColor="text1"/>
          <w:lang w:val="es-ES_tradnl"/>
        </w:rPr>
        <w:t xml:space="preserve">, </w:t>
      </w:r>
      <w:r w:rsidRPr="006661CC">
        <w:rPr>
          <w:rFonts w:ascii="Verdana" w:eastAsia="Calibri" w:hAnsi="Verdana" w:cs="Arial"/>
        </w:rPr>
        <w:t xml:space="preserve">el ordenamiento no existe una definición concreta de </w:t>
      </w:r>
      <w:r>
        <w:rPr>
          <w:rFonts w:ascii="Verdana" w:eastAsia="Calibri" w:hAnsi="Verdana" w:cs="Arial"/>
        </w:rPr>
        <w:t>“experiencia adicional puntuable”</w:t>
      </w:r>
      <w:r w:rsidRPr="006661CC">
        <w:rPr>
          <w:rFonts w:ascii="Verdana" w:eastAsia="Calibri" w:hAnsi="Verdana" w:cs="Arial"/>
        </w:rPr>
        <w:t xml:space="preserve"> en materia contractual. Este es un concepto abstracto que obedece</w:t>
      </w:r>
      <w:r>
        <w:rPr>
          <w:rFonts w:ascii="Verdana" w:eastAsia="Calibri" w:hAnsi="Verdana" w:cs="Arial"/>
        </w:rPr>
        <w:t xml:space="preserve"> </w:t>
      </w:r>
      <w:r w:rsidRPr="006661CC">
        <w:rPr>
          <w:rFonts w:ascii="Verdana" w:eastAsia="Calibri" w:hAnsi="Verdana" w:cs="Arial"/>
        </w:rPr>
        <w:t xml:space="preserve">a la acreditación de los proponentes como factor de asignación de puntaje, en lo que tiene que ver con la selección de consultores. </w:t>
      </w:r>
      <w:r>
        <w:rPr>
          <w:rFonts w:ascii="Verdana" w:eastAsia="Calibri" w:hAnsi="Verdana" w:cs="Arial"/>
        </w:rPr>
        <w:t>Dicha experiencia también corresponde a</w:t>
      </w:r>
      <w:r w:rsidRPr="006661CC">
        <w:rPr>
          <w:rFonts w:ascii="Verdana" w:eastAsia="Calibri" w:hAnsi="Verdana" w:cs="Arial"/>
        </w:rPr>
        <w:t xml:space="preserve"> </w:t>
      </w:r>
      <w:r>
        <w:rPr>
          <w:rFonts w:ascii="Verdana" w:eastAsia="Calibri" w:hAnsi="Verdana" w:cs="Arial"/>
        </w:rPr>
        <w:t xml:space="preserve">“[…] </w:t>
      </w:r>
      <w:r w:rsidRPr="006661CC">
        <w:rPr>
          <w:rFonts w:ascii="Verdana" w:eastAsia="Calibri" w:hAnsi="Verdana" w:cs="Arial"/>
        </w:rPr>
        <w:t>el conocimiento del proponente derivado de su participación previa en actividades iguales o similares a las previstas en el objeto del contrato</w:t>
      </w:r>
      <w:r>
        <w:rPr>
          <w:rFonts w:ascii="Verdana" w:eastAsia="Calibri" w:hAnsi="Verdana" w:cs="Arial"/>
        </w:rPr>
        <w:t>”</w:t>
      </w:r>
      <w:r w:rsidRPr="006661CC">
        <w:rPr>
          <w:rFonts w:ascii="Verdana" w:eastAsia="Calibri" w:hAnsi="Verdana" w:cs="Arial"/>
        </w:rPr>
        <w:t xml:space="preserve">, pero cuya exigencia se realiza con un mayor grado de concreción y precisión respecto a un alcance más </w:t>
      </w:r>
      <w:r>
        <w:rPr>
          <w:rFonts w:ascii="Verdana" w:eastAsia="Calibri" w:hAnsi="Verdana" w:cs="Arial"/>
        </w:rPr>
        <w:t>genérico</w:t>
      </w:r>
      <w:r w:rsidRPr="006661CC">
        <w:rPr>
          <w:rFonts w:ascii="Verdana" w:eastAsia="Calibri" w:hAnsi="Verdana" w:cs="Arial"/>
        </w:rPr>
        <w:t xml:space="preserve"> de la </w:t>
      </w:r>
      <w:r>
        <w:rPr>
          <w:rFonts w:ascii="Verdana" w:eastAsia="Calibri" w:hAnsi="Verdana" w:cs="Arial"/>
        </w:rPr>
        <w:t>“</w:t>
      </w:r>
      <w:r w:rsidRPr="006661CC">
        <w:rPr>
          <w:rFonts w:ascii="Verdana" w:eastAsia="Calibri" w:hAnsi="Verdana" w:cs="Arial"/>
        </w:rPr>
        <w:t xml:space="preserve">experiencia </w:t>
      </w:r>
      <w:r>
        <w:rPr>
          <w:rFonts w:ascii="Verdana" w:eastAsia="Calibri" w:hAnsi="Verdana" w:cs="Arial"/>
        </w:rPr>
        <w:t xml:space="preserve">habilitante” </w:t>
      </w:r>
      <w:r w:rsidRPr="006661CC">
        <w:rPr>
          <w:rFonts w:ascii="Verdana" w:eastAsia="Calibri" w:hAnsi="Verdana" w:cs="Arial"/>
        </w:rPr>
        <w:t>del proponente.</w:t>
      </w:r>
    </w:p>
    <w:p w14:paraId="157D75EA" w14:textId="77777777" w:rsidR="005C2959" w:rsidRDefault="005C2959" w:rsidP="005C2959">
      <w:pPr>
        <w:spacing w:after="120" w:line="276" w:lineRule="auto"/>
        <w:ind w:firstLine="709"/>
        <w:jc w:val="both"/>
        <w:rPr>
          <w:rFonts w:ascii="Verdana" w:eastAsia="Calibri" w:hAnsi="Verdana" w:cs="Arial"/>
        </w:rPr>
      </w:pPr>
      <w:r w:rsidRPr="002D0F95">
        <w:rPr>
          <w:rFonts w:ascii="Verdana" w:eastAsia="Calibri" w:hAnsi="Verdana" w:cs="Arial"/>
        </w:rPr>
        <w:t>En este sentido,</w:t>
      </w:r>
      <w:r>
        <w:rPr>
          <w:rFonts w:ascii="Verdana" w:eastAsia="Calibri" w:hAnsi="Verdana" w:cs="Arial"/>
        </w:rPr>
        <w:t xml:space="preserve"> para los concursos de méritos,</w:t>
      </w:r>
      <w:r w:rsidRPr="002D0F95">
        <w:rPr>
          <w:rFonts w:ascii="Verdana" w:eastAsia="Calibri" w:hAnsi="Verdana" w:cs="Arial"/>
        </w:rPr>
        <w:t xml:space="preserve"> la </w:t>
      </w:r>
      <w:r>
        <w:rPr>
          <w:rFonts w:ascii="Verdana" w:eastAsia="Calibri" w:hAnsi="Verdana" w:cs="Arial"/>
        </w:rPr>
        <w:t>“</w:t>
      </w:r>
      <w:r w:rsidRPr="002D0F95">
        <w:rPr>
          <w:rFonts w:ascii="Verdana" w:eastAsia="Calibri" w:hAnsi="Verdana" w:cs="Arial"/>
        </w:rPr>
        <w:t xml:space="preserve">experiencia </w:t>
      </w:r>
      <w:r>
        <w:rPr>
          <w:rFonts w:ascii="Verdana" w:eastAsia="Calibri" w:hAnsi="Verdana" w:cs="Arial"/>
        </w:rPr>
        <w:t xml:space="preserve">habilitante” </w:t>
      </w:r>
      <w:r w:rsidRPr="002D0F95">
        <w:rPr>
          <w:rFonts w:ascii="Verdana" w:eastAsia="Calibri" w:hAnsi="Verdana" w:cs="Arial"/>
        </w:rPr>
        <w:t>suele tener una exigencia menor en cuanto a su precisión, que permite una mayor posibilidad de acreditación por los proponentes</w:t>
      </w:r>
      <w:r>
        <w:rPr>
          <w:rFonts w:ascii="Verdana" w:eastAsia="Calibri" w:hAnsi="Verdana" w:cs="Arial"/>
        </w:rPr>
        <w:t>. Por su parte,</w:t>
      </w:r>
      <w:r w:rsidRPr="002D0F95">
        <w:rPr>
          <w:rFonts w:ascii="Verdana" w:eastAsia="Calibri" w:hAnsi="Verdana" w:cs="Arial"/>
        </w:rPr>
        <w:t xml:space="preserve"> </w:t>
      </w:r>
      <w:r>
        <w:rPr>
          <w:rFonts w:ascii="Verdana" w:eastAsia="Calibri" w:hAnsi="Verdana" w:cs="Arial"/>
        </w:rPr>
        <w:t xml:space="preserve">la </w:t>
      </w:r>
      <w:r w:rsidRPr="002D0F95">
        <w:rPr>
          <w:rFonts w:ascii="Verdana" w:eastAsia="Calibri" w:hAnsi="Verdana" w:cs="Arial"/>
        </w:rPr>
        <w:t xml:space="preserve"> </w:t>
      </w:r>
      <w:r>
        <w:rPr>
          <w:rFonts w:ascii="Verdana" w:eastAsia="Calibri" w:hAnsi="Verdana" w:cs="Arial"/>
        </w:rPr>
        <w:t xml:space="preserve">“experiencia adicional puntuable” se incluye </w:t>
      </w:r>
      <w:r w:rsidRPr="002D0F95">
        <w:rPr>
          <w:rFonts w:ascii="Verdana" w:eastAsia="Calibri" w:hAnsi="Verdana" w:cs="Arial"/>
        </w:rPr>
        <w:t>para exigir que los oferentes demuestren un alcance más concreto respecto de su experiencia, que suele tener una relación más estrecha con el contrato a ejecutar</w:t>
      </w:r>
      <w:r>
        <w:rPr>
          <w:rFonts w:ascii="Verdana" w:eastAsia="Calibri" w:hAnsi="Verdana" w:cs="Arial"/>
        </w:rPr>
        <w:t>. Esto d</w:t>
      </w:r>
      <w:r w:rsidRPr="002D0F95">
        <w:rPr>
          <w:rFonts w:ascii="Verdana" w:eastAsia="Calibri" w:hAnsi="Verdana" w:cs="Arial"/>
        </w:rPr>
        <w:t>ebido a la razonabilidad que encuentra la entidad de conocer que el proponente cuenta con la idoneidad para ejecutar algunas actividades concretas, que son especialmente relevantes para el proceso contractual.</w:t>
      </w:r>
    </w:p>
    <w:p w14:paraId="09214F9A" w14:textId="77777777" w:rsidR="005C2959" w:rsidRPr="009E5C78" w:rsidRDefault="005C2959" w:rsidP="005C2959">
      <w:pPr>
        <w:spacing w:after="0" w:line="276" w:lineRule="auto"/>
        <w:ind w:firstLine="708"/>
        <w:jc w:val="both"/>
        <w:rPr>
          <w:rFonts w:ascii="Verdana" w:eastAsia="Calibri" w:hAnsi="Verdana" w:cs="Arial"/>
          <w:color w:val="000000"/>
          <w:lang w:val="es-ES" w:eastAsia="es-ES_tradnl"/>
        </w:rPr>
      </w:pPr>
      <w:r>
        <w:rPr>
          <w:rFonts w:ascii="Verdana" w:eastAsia="Calibri" w:hAnsi="Verdana" w:cs="Arial"/>
          <w:lang w:eastAsia="es-CO"/>
        </w:rPr>
        <w:t>L</w:t>
      </w:r>
      <w:r w:rsidRPr="005E6288">
        <w:rPr>
          <w:rFonts w:ascii="Verdana" w:eastAsia="Calibri" w:hAnsi="Verdana" w:cs="Arial"/>
          <w:lang w:eastAsia="es-CO"/>
        </w:rPr>
        <w:t xml:space="preserve">a experiencia puede ser adquirida directamente de manera singularizada o </w:t>
      </w:r>
      <w:r>
        <w:rPr>
          <w:rFonts w:ascii="Verdana" w:eastAsia="Calibri" w:hAnsi="Verdana" w:cs="Arial"/>
          <w:lang w:eastAsia="es-CO"/>
        </w:rPr>
        <w:t xml:space="preserve">de manera asociada </w:t>
      </w:r>
      <w:r w:rsidRPr="005E6288">
        <w:rPr>
          <w:rFonts w:ascii="Verdana" w:eastAsia="Calibri" w:hAnsi="Verdana" w:cs="Arial"/>
          <w:lang w:eastAsia="es-CO"/>
        </w:rPr>
        <w:t>con otras personas, como es el caso de los proponentes plurales, cuya experiencia no deja de ser personal, sino que, por tratarse de esquemas asociativos, se evalúa de forma proporcional a la participación de los miembros en los respectivos consorcios y/o uniones temporales</w:t>
      </w:r>
      <w:r w:rsidRPr="00574EF1">
        <w:rPr>
          <w:rFonts w:ascii="Verdana" w:eastAsia="Calibri" w:hAnsi="Verdana" w:cs="Arial"/>
          <w:vertAlign w:val="superscript"/>
          <w:lang w:eastAsia="es-CO"/>
        </w:rPr>
        <w:footnoteReference w:id="9"/>
      </w:r>
      <w:r w:rsidRPr="00574EF1">
        <w:rPr>
          <w:rFonts w:ascii="Verdana" w:eastAsia="Calibri" w:hAnsi="Verdana" w:cs="Arial"/>
          <w:lang w:eastAsia="es-CO"/>
        </w:rPr>
        <w:t>.</w:t>
      </w:r>
      <w:r>
        <w:rPr>
          <w:rFonts w:ascii="Verdana" w:eastAsia="Calibri" w:hAnsi="Verdana" w:cs="Arial"/>
          <w:lang w:eastAsia="es-CO"/>
        </w:rPr>
        <w:t xml:space="preserve"> </w:t>
      </w:r>
      <w:r w:rsidRPr="00F9120E">
        <w:rPr>
          <w:rFonts w:ascii="Verdana" w:eastAsia="Calibri" w:hAnsi="Verdana" w:cs="Arial"/>
          <w:color w:val="000000"/>
          <w:lang w:val="es-ES" w:eastAsia="es-ES_tradnl"/>
        </w:rPr>
        <w:t xml:space="preserve">Para este fin, </w:t>
      </w:r>
      <w:r w:rsidRPr="00F9120E">
        <w:rPr>
          <w:rFonts w:ascii="Verdana" w:eastAsia="Calibri" w:hAnsi="Verdana" w:cs="Arial"/>
          <w:color w:val="000000"/>
          <w:lang w:val="es-ES" w:eastAsia="es-ES_tradnl"/>
        </w:rPr>
        <w:lastRenderedPageBreak/>
        <w:t xml:space="preserve">la Entidad Estatal, como responsable de la estructuración de su procedimiento de selección, es autónoma para determinar </w:t>
      </w:r>
      <w:r>
        <w:rPr>
          <w:rFonts w:ascii="Verdana" w:eastAsia="Calibri" w:hAnsi="Verdana" w:cs="Arial"/>
          <w:color w:val="000000"/>
          <w:lang w:val="es-ES" w:eastAsia="es-ES_tradnl"/>
        </w:rPr>
        <w:t xml:space="preserve">los requisitos para acreditar la experiencia </w:t>
      </w:r>
      <w:r w:rsidRPr="00F9120E">
        <w:rPr>
          <w:rFonts w:ascii="Verdana" w:eastAsia="Calibri" w:hAnsi="Verdana" w:cs="Arial"/>
          <w:color w:val="000000"/>
          <w:lang w:val="es-ES" w:eastAsia="es-ES_tradnl"/>
        </w:rPr>
        <w:t>de acuerdo con el objeto contractual que pretende satisfacer. No obstante, en atención a lo dispuesto en el artículo 2.2.1.1.1.6.2 del Decreto 1082 de 2015, debe establecerla con sustento en el estudio del sector</w:t>
      </w:r>
      <w:r w:rsidRPr="00F9120E">
        <w:rPr>
          <w:rFonts w:ascii="Verdana" w:hAnsi="Verdana" w:cs="Arial"/>
          <w:color w:val="000000"/>
          <w:vertAlign w:val="superscript"/>
          <w:lang w:val="es-ES" w:eastAsia="es-ES_tradnl"/>
        </w:rPr>
        <w:footnoteReference w:id="10"/>
      </w:r>
      <w:r w:rsidRPr="00F9120E">
        <w:rPr>
          <w:rFonts w:ascii="Verdana" w:eastAsia="Calibri" w:hAnsi="Verdana" w:cs="Arial"/>
          <w:color w:val="000000"/>
          <w:lang w:val="es-ES" w:eastAsia="es-ES_tradnl"/>
        </w:rPr>
        <w:t xml:space="preserve"> y sus componentes, como la identificación de riesgos, el mercado y precio del bien, obra o servicio a contratar</w:t>
      </w:r>
      <w:r w:rsidRPr="00F9120E">
        <w:rPr>
          <w:rFonts w:ascii="Verdana" w:hAnsi="Verdana" w:cs="Arial"/>
          <w:color w:val="000000"/>
          <w:vertAlign w:val="superscript"/>
          <w:lang w:val="es-ES" w:eastAsia="es-ES_tradnl"/>
        </w:rPr>
        <w:footnoteReference w:id="11"/>
      </w:r>
      <w:r w:rsidRPr="00F9120E">
        <w:rPr>
          <w:rFonts w:ascii="Verdana" w:eastAsia="Calibri" w:hAnsi="Verdana" w:cs="Arial"/>
          <w:color w:val="000000"/>
          <w:lang w:val="es-ES" w:eastAsia="es-ES_tradnl"/>
        </w:rPr>
        <w:t>.</w:t>
      </w:r>
    </w:p>
    <w:p w14:paraId="5DF78642" w14:textId="77777777" w:rsidR="005C2959" w:rsidRDefault="005C2959" w:rsidP="005C2959">
      <w:pPr>
        <w:spacing w:after="0" w:line="276" w:lineRule="auto"/>
        <w:ind w:firstLine="708"/>
        <w:jc w:val="both"/>
        <w:rPr>
          <w:rFonts w:ascii="Verdana" w:hAnsi="Verdana"/>
          <w:color w:val="000000" w:themeColor="text1"/>
          <w:lang w:val="es-ES"/>
        </w:rPr>
      </w:pPr>
    </w:p>
    <w:p w14:paraId="7BE67E78" w14:textId="77777777" w:rsidR="005C2959" w:rsidRPr="008A4AEC" w:rsidRDefault="005C2959" w:rsidP="005C2959">
      <w:pPr>
        <w:spacing w:after="120" w:line="276" w:lineRule="auto"/>
        <w:jc w:val="both"/>
        <w:rPr>
          <w:rFonts w:ascii="Verdana" w:eastAsia="Calibri" w:hAnsi="Verdana" w:cs="Arial"/>
          <w:lang w:val="es-MX"/>
        </w:rPr>
      </w:pPr>
      <w:proofErr w:type="spellStart"/>
      <w:r>
        <w:rPr>
          <w:rFonts w:ascii="Verdana" w:hAnsi="Verdana"/>
          <w:color w:val="000000" w:themeColor="text1"/>
          <w:lang w:val="es-ES"/>
        </w:rPr>
        <w:t>iv</w:t>
      </w:r>
      <w:proofErr w:type="spellEnd"/>
      <w:r>
        <w:rPr>
          <w:rFonts w:ascii="Verdana" w:hAnsi="Verdana"/>
          <w:color w:val="000000" w:themeColor="text1"/>
          <w:lang w:val="es-ES"/>
        </w:rPr>
        <w:t xml:space="preserve">. </w:t>
      </w:r>
      <w:r w:rsidRPr="008A4AEC">
        <w:rPr>
          <w:rFonts w:ascii="Verdana" w:hAnsi="Verdana" w:cs="Arial"/>
          <w:lang w:val="es-ES_tradnl"/>
        </w:rPr>
        <w:t xml:space="preserve">Si bien las personas pueden presentarse individualmente a los procesos de selección, también pueden hacerlo en forma plural a través de consorcios o uniones temporales. En efecto, </w:t>
      </w:r>
      <w:r w:rsidRPr="008A4AEC">
        <w:rPr>
          <w:rFonts w:ascii="Verdana" w:eastAsia="Calibri" w:hAnsi="Verdana" w:cs="Arial"/>
          <w:lang w:val="es-MX"/>
        </w:rPr>
        <w:t>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548EC265" w14:textId="77777777" w:rsidR="005C2959" w:rsidRPr="008A4AEC" w:rsidRDefault="005C2959" w:rsidP="005C2959">
      <w:pPr>
        <w:spacing w:after="0" w:line="276" w:lineRule="auto"/>
        <w:ind w:firstLine="720"/>
        <w:jc w:val="both"/>
        <w:rPr>
          <w:rFonts w:ascii="Verdana" w:eastAsia="Calibri" w:hAnsi="Verdana" w:cs="Arial"/>
          <w:bCs/>
          <w:color w:val="000000" w:themeColor="text1"/>
          <w:lang w:val="es-ES"/>
        </w:rPr>
      </w:pPr>
      <w:r w:rsidRPr="008A4AEC">
        <w:rPr>
          <w:rFonts w:ascii="Verdana" w:eastAsia="Calibri" w:hAnsi="Verdana" w:cs="Arial"/>
          <w:bCs/>
          <w:color w:val="000000" w:themeColor="text1"/>
          <w:lang w:val="es-ES"/>
        </w:rPr>
        <w:t xml:space="preserve">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w:t>
      </w:r>
      <w:r w:rsidRPr="008A4AEC">
        <w:rPr>
          <w:rFonts w:ascii="Verdana" w:eastAsia="Calibri" w:hAnsi="Verdana" w:cs="Arial"/>
          <w:bCs/>
          <w:color w:val="000000" w:themeColor="text1"/>
          <w:lang w:val="es-ES"/>
        </w:rPr>
        <w:lastRenderedPageBreak/>
        <w:t>precisamente el caso de la capacidad para contratar otorgada a los consorcios y uniones temporales. En este sentido, la Corte Constitucional ha sostenido:</w:t>
      </w:r>
    </w:p>
    <w:p w14:paraId="03C47FD3" w14:textId="77777777" w:rsidR="005C2959" w:rsidRPr="008A4AEC" w:rsidRDefault="005C2959" w:rsidP="005C2959">
      <w:pPr>
        <w:spacing w:after="0" w:line="276" w:lineRule="auto"/>
        <w:jc w:val="both"/>
        <w:rPr>
          <w:rFonts w:ascii="Verdana" w:eastAsia="Calibri" w:hAnsi="Verdana" w:cs="Arial"/>
          <w:bCs/>
          <w:color w:val="000000" w:themeColor="text1"/>
          <w:lang w:val="es-ES"/>
        </w:rPr>
      </w:pPr>
    </w:p>
    <w:p w14:paraId="2468810B" w14:textId="77777777" w:rsidR="005C2959" w:rsidRPr="006635B1" w:rsidRDefault="005C2959" w:rsidP="005C2959">
      <w:pPr>
        <w:spacing w:after="0" w:line="240" w:lineRule="auto"/>
        <w:ind w:left="709" w:right="709"/>
        <w:jc w:val="both"/>
        <w:rPr>
          <w:rFonts w:ascii="Verdana" w:eastAsia="Calibri" w:hAnsi="Verdana" w:cs="Arial"/>
          <w:bCs/>
          <w:color w:val="000000" w:themeColor="text1"/>
          <w:sz w:val="20"/>
          <w:szCs w:val="20"/>
        </w:rPr>
      </w:pPr>
      <w:r w:rsidRPr="006635B1">
        <w:rPr>
          <w:rFonts w:ascii="Verdana" w:eastAsia="Calibri" w:hAnsi="Verdana" w:cs="Arial"/>
          <w:bCs/>
          <w:color w:val="000000" w:themeColor="text1"/>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582B5019" w14:textId="77777777" w:rsidR="005C2959" w:rsidRPr="006635B1" w:rsidRDefault="005C2959" w:rsidP="005C2959">
      <w:pPr>
        <w:spacing w:after="120" w:line="240" w:lineRule="auto"/>
        <w:ind w:left="709" w:right="709"/>
        <w:jc w:val="both"/>
        <w:rPr>
          <w:rFonts w:ascii="Verdana" w:eastAsia="Calibri" w:hAnsi="Verdana" w:cs="Arial"/>
          <w:bCs/>
          <w:color w:val="000000" w:themeColor="text1"/>
          <w:sz w:val="20"/>
          <w:szCs w:val="20"/>
        </w:rPr>
      </w:pPr>
      <w:r w:rsidRPr="006635B1">
        <w:rPr>
          <w:rFonts w:ascii="Verdana" w:eastAsia="Calibri" w:hAnsi="Verdana" w:cs="Arial"/>
          <w:bCs/>
          <w:color w:val="000000" w:themeColor="text1"/>
          <w:sz w:val="20"/>
          <w:szCs w:val="20"/>
        </w:rPr>
        <w:t>[…]</w:t>
      </w:r>
    </w:p>
    <w:p w14:paraId="10ACA567" w14:textId="77777777" w:rsidR="005C2959" w:rsidRPr="008A4AEC" w:rsidRDefault="005C2959" w:rsidP="005C2959">
      <w:pPr>
        <w:spacing w:after="0" w:line="240" w:lineRule="auto"/>
        <w:ind w:left="709" w:right="709"/>
        <w:jc w:val="both"/>
        <w:rPr>
          <w:rFonts w:ascii="Verdana" w:eastAsia="Calibri" w:hAnsi="Verdana" w:cs="Arial"/>
          <w:bCs/>
          <w:color w:val="000000" w:themeColor="text1"/>
          <w:sz w:val="21"/>
          <w:szCs w:val="21"/>
        </w:rPr>
      </w:pPr>
      <w:r w:rsidRPr="006635B1">
        <w:rPr>
          <w:rFonts w:ascii="Verdana" w:eastAsia="Calibri" w:hAnsi="Verdana" w:cs="Arial"/>
          <w:bCs/>
          <w:color w:val="000000" w:themeColor="text1"/>
          <w:sz w:val="20"/>
          <w:szCs w:val="20"/>
        </w:rPr>
        <w:t>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6635B1">
        <w:rPr>
          <w:rStyle w:val="Refdenotaalpie"/>
          <w:rFonts w:ascii="Verdana" w:eastAsia="Calibri" w:hAnsi="Verdana" w:cs="Arial"/>
          <w:bCs/>
          <w:color w:val="000000" w:themeColor="text1"/>
          <w:sz w:val="20"/>
          <w:szCs w:val="20"/>
        </w:rPr>
        <w:footnoteReference w:id="12"/>
      </w:r>
      <w:r w:rsidRPr="006635B1">
        <w:rPr>
          <w:rFonts w:ascii="Verdana" w:eastAsia="Calibri" w:hAnsi="Verdana" w:cs="Arial"/>
          <w:bCs/>
          <w:color w:val="000000" w:themeColor="text1"/>
          <w:sz w:val="20"/>
          <w:szCs w:val="20"/>
        </w:rPr>
        <w:t>.</w:t>
      </w:r>
    </w:p>
    <w:p w14:paraId="4A521D7C" w14:textId="77777777" w:rsidR="005C2959" w:rsidRPr="008A4AEC" w:rsidRDefault="005C2959" w:rsidP="005C2959">
      <w:pPr>
        <w:spacing w:after="0"/>
        <w:ind w:left="720" w:right="730"/>
        <w:jc w:val="both"/>
        <w:rPr>
          <w:rFonts w:ascii="Verdana" w:eastAsia="Calibri" w:hAnsi="Verdana" w:cs="Arial"/>
          <w:bCs/>
          <w:color w:val="000000" w:themeColor="text1"/>
          <w:sz w:val="21"/>
          <w:szCs w:val="21"/>
        </w:rPr>
      </w:pPr>
    </w:p>
    <w:p w14:paraId="4B41F94F" w14:textId="77777777" w:rsidR="005C2959" w:rsidRPr="008A4AEC" w:rsidRDefault="005C2959" w:rsidP="005C2959">
      <w:pPr>
        <w:spacing w:after="120" w:line="276" w:lineRule="auto"/>
        <w:ind w:firstLine="720"/>
        <w:jc w:val="both"/>
        <w:rPr>
          <w:rFonts w:ascii="Verdana" w:eastAsia="Calibri" w:hAnsi="Verdana" w:cs="Arial"/>
          <w:bCs/>
          <w:color w:val="000000" w:themeColor="text1"/>
          <w:lang w:val="es-ES"/>
        </w:rPr>
      </w:pPr>
      <w:bookmarkStart w:id="3" w:name="_Hlk135067740"/>
      <w:r w:rsidRPr="008A4AEC">
        <w:rPr>
          <w:rFonts w:ascii="Verdana" w:eastAsia="Calibri" w:hAnsi="Verdana" w:cs="Arial"/>
          <w:bCs/>
          <w:color w:val="000000" w:themeColor="text1"/>
          <w:lang w:val="es-ES"/>
        </w:rPr>
        <w:t>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bookmarkEnd w:id="3"/>
    <w:p w14:paraId="3D062EAE" w14:textId="77777777" w:rsidR="005C2959" w:rsidRPr="008A4AEC" w:rsidRDefault="005C2959" w:rsidP="005C2959">
      <w:pPr>
        <w:spacing w:after="0" w:line="276" w:lineRule="auto"/>
        <w:ind w:firstLine="709"/>
        <w:jc w:val="both"/>
        <w:rPr>
          <w:rFonts w:ascii="Verdana" w:hAnsi="Verdana" w:cs="Arial"/>
        </w:rPr>
      </w:pPr>
      <w:r w:rsidRPr="008A4AEC">
        <w:rPr>
          <w:rFonts w:ascii="Verdana" w:hAnsi="Verdana" w:cs="Arial"/>
        </w:rPr>
        <w:t xml:space="preserve">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w:t>
      </w:r>
      <w:r w:rsidRPr="008A4AEC">
        <w:rPr>
          <w:rFonts w:ascii="Verdana" w:hAnsi="Verdana" w:cs="Arial"/>
        </w:rPr>
        <w:lastRenderedPageBreak/>
        <w:t>designación de un representante, de conformidad con el parágrafo 1 del artículo 7 de la Ley 80 de 1993. En lo pertinente, la norma precitada dispone que:</w:t>
      </w:r>
    </w:p>
    <w:p w14:paraId="3139A107" w14:textId="77777777" w:rsidR="005C2959" w:rsidRPr="008A4AEC" w:rsidRDefault="005C2959" w:rsidP="005C2959">
      <w:pPr>
        <w:spacing w:after="0" w:line="276" w:lineRule="auto"/>
        <w:ind w:firstLine="709"/>
        <w:jc w:val="both"/>
        <w:rPr>
          <w:rFonts w:ascii="Verdana" w:eastAsia="Calibri" w:hAnsi="Verdana" w:cs="Arial"/>
          <w:bCs/>
          <w:color w:val="000000" w:themeColor="text1"/>
          <w:lang w:val="es-ES"/>
        </w:rPr>
      </w:pPr>
    </w:p>
    <w:p w14:paraId="0AE35EE4" w14:textId="77777777" w:rsidR="005C2959" w:rsidRPr="00E22306" w:rsidRDefault="005C2959" w:rsidP="005C2959">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“Artículo 7º.- ENTIDADES A CONTRATAR. Artículo modificado por el artículo 3 de la Ley 2160 de 2021. Para los efectos de esta Ley se entiende por:</w:t>
      </w:r>
    </w:p>
    <w:p w14:paraId="4FBC0008" w14:textId="77777777" w:rsidR="005C2959" w:rsidRPr="00E22306" w:rsidRDefault="005C2959" w:rsidP="005C2959">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w:t>
      </w:r>
    </w:p>
    <w:p w14:paraId="7A5A1D60" w14:textId="77777777" w:rsidR="005C2959" w:rsidRPr="00E22306" w:rsidRDefault="005C2959" w:rsidP="005C2959">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6. Consorcio: Cuando dos o más personas en forma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6E25F059" w14:textId="77777777" w:rsidR="005C2959" w:rsidRPr="00E22306" w:rsidRDefault="005C2959" w:rsidP="005C2959">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7. Unión Temporal: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impondrán de acuerdo con la participación en la ejecución de cada uno de los miembros de la unión temporal. </w:t>
      </w:r>
    </w:p>
    <w:p w14:paraId="40826591" w14:textId="77777777" w:rsidR="005C2959" w:rsidRPr="00E22306" w:rsidRDefault="005C2959" w:rsidP="005C2959">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w:t>
      </w:r>
    </w:p>
    <w:p w14:paraId="657F406B" w14:textId="77777777" w:rsidR="005C2959" w:rsidRPr="00E22306" w:rsidRDefault="005C2959" w:rsidP="005C2959">
      <w:pPr>
        <w:spacing w:after="12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Parágrafo 1º.-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w:t>
      </w:r>
    </w:p>
    <w:p w14:paraId="5DD7336B" w14:textId="77777777" w:rsidR="005C2959" w:rsidRPr="00E22306" w:rsidRDefault="005C2959" w:rsidP="005C2959">
      <w:pPr>
        <w:spacing w:after="0" w:line="240" w:lineRule="auto"/>
        <w:ind w:left="709" w:right="709"/>
        <w:jc w:val="both"/>
        <w:rPr>
          <w:rFonts w:ascii="Verdana" w:eastAsia="Calibri" w:hAnsi="Verdana" w:cs="Arial"/>
          <w:bCs/>
          <w:color w:val="000000" w:themeColor="text1"/>
          <w:sz w:val="20"/>
          <w:szCs w:val="20"/>
          <w:lang w:val="es-ES"/>
        </w:rPr>
      </w:pPr>
      <w:r w:rsidRPr="00E22306">
        <w:rPr>
          <w:rFonts w:ascii="Verdana" w:eastAsia="Calibri" w:hAnsi="Verdana" w:cs="Arial"/>
          <w:bCs/>
          <w:color w:val="000000" w:themeColor="text1"/>
          <w:sz w:val="20"/>
          <w:szCs w:val="20"/>
          <w:lang w:val="es-ES"/>
        </w:rPr>
        <w:t>Los miembros del consorcio y de la unión temporal deberán designar la persona que, para todos los efectos, representará al consorcio o unión temporal y señalarán las reglas básicas que regulen las relaciones entre ellos y su responsabilidad.</w:t>
      </w:r>
    </w:p>
    <w:p w14:paraId="23DC74F4" w14:textId="77777777" w:rsidR="005C2959" w:rsidRPr="008A4AEC" w:rsidRDefault="005C2959" w:rsidP="005C2959">
      <w:pPr>
        <w:spacing w:after="0" w:line="240" w:lineRule="auto"/>
        <w:ind w:left="709" w:right="709"/>
        <w:jc w:val="both"/>
        <w:rPr>
          <w:rFonts w:ascii="Verdana" w:eastAsia="Calibri" w:hAnsi="Verdana" w:cs="Arial"/>
          <w:bCs/>
          <w:color w:val="000000" w:themeColor="text1"/>
          <w:sz w:val="21"/>
          <w:lang w:val="es-ES"/>
        </w:rPr>
      </w:pPr>
      <w:r w:rsidRPr="00E22306">
        <w:rPr>
          <w:rFonts w:ascii="Verdana" w:eastAsia="Calibri" w:hAnsi="Verdana" w:cs="Arial"/>
          <w:bCs/>
          <w:color w:val="000000" w:themeColor="text1"/>
          <w:sz w:val="20"/>
          <w:szCs w:val="20"/>
          <w:lang w:val="es-ES"/>
        </w:rPr>
        <w:t>[…]”.</w:t>
      </w:r>
    </w:p>
    <w:p w14:paraId="5B7F6964" w14:textId="77777777" w:rsidR="005C2959" w:rsidRPr="008A4AEC" w:rsidRDefault="005C2959" w:rsidP="005C2959">
      <w:pPr>
        <w:spacing w:after="0" w:line="276" w:lineRule="auto"/>
        <w:ind w:left="720" w:right="731"/>
        <w:jc w:val="both"/>
        <w:rPr>
          <w:rFonts w:ascii="Verdana" w:eastAsia="Calibri" w:hAnsi="Verdana" w:cs="Arial"/>
          <w:bCs/>
          <w:color w:val="000000" w:themeColor="text1"/>
          <w:lang w:val="es-ES"/>
        </w:rPr>
      </w:pPr>
    </w:p>
    <w:p w14:paraId="41FAF65F" w14:textId="77777777" w:rsidR="005C2959" w:rsidRPr="008A4AEC" w:rsidRDefault="005C2959" w:rsidP="005C2959">
      <w:pPr>
        <w:spacing w:after="120" w:line="276" w:lineRule="auto"/>
        <w:jc w:val="both"/>
        <w:rPr>
          <w:rFonts w:ascii="Verdana" w:hAnsi="Verdana" w:cs="Arial"/>
          <w:color w:val="000000" w:themeColor="text1"/>
        </w:rPr>
      </w:pPr>
      <w:r w:rsidRPr="008A4AEC">
        <w:rPr>
          <w:rFonts w:ascii="Verdana" w:eastAsia="Calibri" w:hAnsi="Verdana" w:cs="Arial"/>
          <w:bCs/>
          <w:color w:val="000000" w:themeColor="text1"/>
          <w:lang w:val="es-ES"/>
        </w:rPr>
        <w:tab/>
        <w:t>Como se observa, el artículo citado señala que el consorcio o la unión temporal se da “</w:t>
      </w:r>
      <w:r w:rsidRPr="001F0AFE">
        <w:rPr>
          <w:rFonts w:ascii="Verdana" w:eastAsia="Calibri" w:hAnsi="Verdana" w:cs="Arial"/>
          <w:bCs/>
          <w:color w:val="000000" w:themeColor="text1"/>
          <w:lang w:val="es-ES"/>
        </w:rPr>
        <w:t>Cuando dos o más personas en forma conjunta presentan una misma propuesta para la adjudicación, celebración y ejecución de un contrato, respondiendo solidariamente de todas y cada una de las obligaciones derivadas de la propuesta y del contrato […]</w:t>
      </w:r>
      <w:r w:rsidRPr="008A4AEC">
        <w:rPr>
          <w:rFonts w:ascii="Verdana" w:eastAsia="Calibri" w:hAnsi="Verdana" w:cs="Arial"/>
          <w:bCs/>
          <w:color w:val="000000" w:themeColor="text1"/>
          <w:lang w:val="es-ES"/>
        </w:rPr>
        <w:t>”.</w:t>
      </w:r>
      <w:r w:rsidRPr="008A4AEC">
        <w:rPr>
          <w:rFonts w:ascii="Verdana" w:hAnsi="Verdana" w:cs="Arial"/>
          <w:color w:val="000000" w:themeColor="text1"/>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w:t>
      </w:r>
      <w:r w:rsidRPr="008A4AEC">
        <w:rPr>
          <w:rFonts w:ascii="Verdana" w:hAnsi="Verdana" w:cs="Arial"/>
          <w:color w:val="000000" w:themeColor="text1"/>
        </w:rPr>
        <w:lastRenderedPageBreak/>
        <w:t xml:space="preserve">existe una relación de medio – fin, sin la entrega de la oferta no surge la habilitación legal para todo lo demás. </w:t>
      </w:r>
      <w:r>
        <w:rPr>
          <w:rFonts w:ascii="Verdana" w:hAnsi="Verdana" w:cs="Arial"/>
          <w:color w:val="000000" w:themeColor="text1"/>
        </w:rPr>
        <w:t xml:space="preserve"> </w:t>
      </w:r>
    </w:p>
    <w:p w14:paraId="53CA7A92" w14:textId="77777777" w:rsidR="005C2959" w:rsidRDefault="005C2959" w:rsidP="005C2959">
      <w:pPr>
        <w:spacing w:after="120" w:line="276" w:lineRule="auto"/>
        <w:jc w:val="both"/>
        <w:rPr>
          <w:rFonts w:ascii="Verdana" w:hAnsi="Verdana" w:cs="Arial"/>
          <w:color w:val="000000" w:themeColor="text1"/>
        </w:rPr>
      </w:pPr>
      <w:r w:rsidRPr="008A4AEC">
        <w:rPr>
          <w:rFonts w:ascii="Verdana" w:hAnsi="Verdana" w:cs="Arial"/>
          <w:color w:val="000000" w:themeColor="text1"/>
        </w:rPr>
        <w:tab/>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19CD07A3" w14:textId="77777777" w:rsidR="005C2959" w:rsidRPr="008A4AEC" w:rsidRDefault="005C2959" w:rsidP="005C2959">
      <w:pPr>
        <w:spacing w:after="120" w:line="276" w:lineRule="auto"/>
        <w:jc w:val="both"/>
        <w:rPr>
          <w:rFonts w:ascii="Verdana" w:hAnsi="Verdana" w:cs="Arial"/>
          <w:color w:val="000000" w:themeColor="text1"/>
        </w:rPr>
      </w:pPr>
      <w:r>
        <w:rPr>
          <w:rFonts w:ascii="Verdana" w:hAnsi="Verdana" w:cs="Arial"/>
          <w:color w:val="000000" w:themeColor="text1"/>
        </w:rPr>
        <w:tab/>
        <w:t xml:space="preserve">Como existe participación conjunta en la presentación de la propuesta, todos los integrantes de la estructura plural deben participar en la ejecución del contrato, pues existe solidaridad en el cumplimiento de las obligaciones. En efecto, conforme a la remisión de los artículos 13, 32 y 40 de la Ley 80 de 1993 al derecho privado, el artículo 1568 del Código Civil dispone que si bien “[…] </w:t>
      </w:r>
      <w:r w:rsidRPr="00DE31A0">
        <w:rPr>
          <w:rFonts w:ascii="Verdana" w:hAnsi="Verdana" w:cs="Arial"/>
          <w:color w:val="000000" w:themeColor="text1"/>
        </w:rPr>
        <w:t>cuando se ha contraído por muchas personas o para con muchas la obligación de una cosa divisible, cada uno de los deudores, en el primer caso, es obligado solamente a su parte o cuota en la deuda, y cada uno de los acreedores, en el segundo, sólo tiene derecho para demandar su parte o cuota en el crédito</w:t>
      </w:r>
      <w:r>
        <w:rPr>
          <w:rFonts w:ascii="Verdana" w:hAnsi="Verdana" w:cs="Arial"/>
          <w:color w:val="000000" w:themeColor="text1"/>
        </w:rPr>
        <w:t xml:space="preserve">” –inciso 1˚–, lo cierto es que “[…] </w:t>
      </w:r>
      <w:r w:rsidRPr="00DE31A0">
        <w:rPr>
          <w:rFonts w:ascii="Verdana" w:hAnsi="Verdana" w:cs="Arial"/>
          <w:color w:val="000000" w:themeColor="text1"/>
        </w:rPr>
        <w:t xml:space="preserve">en virtud de la convención, del testamento o de la ley puede exigirse a cada uno de los deudores o por cada uno de los acreedores el total de la deuda, y entonces la obligación es solidaria o </w:t>
      </w:r>
      <w:r w:rsidRPr="00DE31A0">
        <w:rPr>
          <w:rFonts w:ascii="Verdana" w:hAnsi="Verdana" w:cs="Arial"/>
          <w:i/>
          <w:iCs/>
          <w:color w:val="000000" w:themeColor="text1"/>
        </w:rPr>
        <w:t xml:space="preserve">in </w:t>
      </w:r>
      <w:proofErr w:type="spellStart"/>
      <w:r w:rsidRPr="00DE31A0">
        <w:rPr>
          <w:rFonts w:ascii="Verdana" w:hAnsi="Verdana" w:cs="Arial"/>
          <w:i/>
          <w:iCs/>
          <w:color w:val="000000" w:themeColor="text1"/>
        </w:rPr>
        <w:t>solidum</w:t>
      </w:r>
      <w:proofErr w:type="spellEnd"/>
      <w:r>
        <w:rPr>
          <w:rFonts w:ascii="Verdana" w:hAnsi="Verdana" w:cs="Arial"/>
          <w:color w:val="000000" w:themeColor="text1"/>
        </w:rPr>
        <w:t>” –inciso 2˚–</w:t>
      </w:r>
      <w:r w:rsidRPr="00DE31A0">
        <w:rPr>
          <w:rFonts w:ascii="Verdana" w:hAnsi="Verdana" w:cs="Arial"/>
          <w:color w:val="000000" w:themeColor="text1"/>
        </w:rPr>
        <w:t>.</w:t>
      </w:r>
      <w:r>
        <w:rPr>
          <w:rFonts w:ascii="Verdana" w:hAnsi="Verdana" w:cs="Arial"/>
          <w:color w:val="000000" w:themeColor="text1"/>
        </w:rPr>
        <w:t xml:space="preserve"> </w:t>
      </w:r>
    </w:p>
    <w:p w14:paraId="69AAAE76" w14:textId="77777777" w:rsidR="005C2959" w:rsidRDefault="005C2959" w:rsidP="005C2959">
      <w:pPr>
        <w:spacing w:after="120" w:line="276" w:lineRule="auto"/>
        <w:jc w:val="both"/>
        <w:rPr>
          <w:rFonts w:ascii="Verdana" w:hAnsi="Verdana" w:cs="Arial"/>
          <w:color w:val="000000" w:themeColor="text1"/>
        </w:rPr>
      </w:pPr>
      <w:r>
        <w:rPr>
          <w:rFonts w:ascii="Verdana" w:hAnsi="Verdana" w:cs="Arial"/>
          <w:color w:val="000000" w:themeColor="text1"/>
        </w:rPr>
        <w:tab/>
        <w:t xml:space="preserve">En el aspecto pasivo, las obligaciones son solidarias cuando “[…] </w:t>
      </w:r>
      <w:r w:rsidRPr="00EA1B06">
        <w:rPr>
          <w:rFonts w:ascii="Verdana" w:hAnsi="Verdana" w:cs="Arial"/>
          <w:color w:val="000000" w:themeColor="text1"/>
        </w:rPr>
        <w:t>existiendo varios deudores de un mismo objeto</w:t>
      </w:r>
      <w:r>
        <w:rPr>
          <w:rFonts w:ascii="Verdana" w:hAnsi="Verdana" w:cs="Arial"/>
          <w:color w:val="000000" w:themeColor="text1"/>
        </w:rPr>
        <w:t xml:space="preserve"> </w:t>
      </w:r>
      <w:r w:rsidRPr="00EA1B06">
        <w:rPr>
          <w:rFonts w:ascii="Verdana" w:hAnsi="Verdana" w:cs="Arial"/>
          <w:color w:val="000000" w:themeColor="text1"/>
        </w:rPr>
        <w:t>divisible, el acreedor puede exigir, por el ministerio de la ley o por la</w:t>
      </w:r>
      <w:r>
        <w:rPr>
          <w:rFonts w:ascii="Verdana" w:hAnsi="Verdana" w:cs="Arial"/>
          <w:color w:val="000000" w:themeColor="text1"/>
        </w:rPr>
        <w:t xml:space="preserve"> </w:t>
      </w:r>
      <w:r w:rsidRPr="00EA1B06">
        <w:rPr>
          <w:rFonts w:ascii="Verdana" w:hAnsi="Verdana" w:cs="Arial"/>
          <w:color w:val="000000" w:themeColor="text1"/>
        </w:rPr>
        <w:t>convención, el total a cada uno de ellos, y el pago que haga cualquiera de los deudores extingue la obligación respecto de todos</w:t>
      </w:r>
      <w:r>
        <w:rPr>
          <w:rFonts w:ascii="Verdana" w:hAnsi="Verdana" w:cs="Arial"/>
          <w:color w:val="000000" w:themeColor="text1"/>
        </w:rPr>
        <w:t>”</w:t>
      </w:r>
      <w:r>
        <w:rPr>
          <w:rStyle w:val="Refdenotaalpie"/>
          <w:rFonts w:ascii="Verdana" w:hAnsi="Verdana" w:cs="Arial"/>
          <w:color w:val="000000" w:themeColor="text1"/>
        </w:rPr>
        <w:footnoteReference w:id="13"/>
      </w:r>
      <w:r w:rsidRPr="00EA1B06">
        <w:rPr>
          <w:rFonts w:ascii="Verdana" w:hAnsi="Verdana" w:cs="Arial"/>
          <w:color w:val="000000" w:themeColor="text1"/>
        </w:rPr>
        <w:t>.</w:t>
      </w:r>
      <w:r>
        <w:rPr>
          <w:rFonts w:ascii="Verdana" w:hAnsi="Verdana" w:cs="Arial"/>
          <w:color w:val="000000" w:themeColor="text1"/>
        </w:rPr>
        <w:t xml:space="preserve"> Esto significa que la entidad contratante puede exigir a cualquiera de los miembros del consorcio o la unión temporal el cumplimiento de lo pactado; razón por la cual, todos los integrantes de la estructura plural deben </w:t>
      </w:r>
      <w:r>
        <w:rPr>
          <w:rFonts w:ascii="Verdana" w:hAnsi="Verdana" w:cs="Arial"/>
          <w:color w:val="000000" w:themeColor="text1"/>
        </w:rPr>
        <w:lastRenderedPageBreak/>
        <w:t>estar en capacidad para desarrollar actividades tendientes a la prestación de lo debido.</w:t>
      </w:r>
    </w:p>
    <w:p w14:paraId="53F3D230" w14:textId="77777777" w:rsidR="005C2959" w:rsidRDefault="005C2959" w:rsidP="005C2959">
      <w:pPr>
        <w:spacing w:after="120" w:line="276" w:lineRule="auto"/>
        <w:jc w:val="both"/>
        <w:rPr>
          <w:rFonts w:ascii="Verdana" w:hAnsi="Verdana" w:cs="Arial"/>
          <w:color w:val="000000" w:themeColor="text1"/>
        </w:rPr>
      </w:pPr>
      <w:r>
        <w:rPr>
          <w:rFonts w:ascii="Verdana" w:hAnsi="Verdana" w:cs="Arial"/>
          <w:color w:val="000000" w:themeColor="text1"/>
        </w:rPr>
        <w:tab/>
        <w:t xml:space="preserve">Para efectos de los procesos de selección publicados en la plataforma transaccional, el literal b) del apartado II de la “Guía de Creación de Proponentes Plurales en el SECOP II” explica que se debe “[…] </w:t>
      </w:r>
      <w:r w:rsidRPr="00525EC3">
        <w:rPr>
          <w:rFonts w:ascii="Verdana" w:hAnsi="Verdana" w:cs="Arial"/>
          <w:color w:val="000000" w:themeColor="text1"/>
        </w:rPr>
        <w:t>indicar el porcentaje de participación de cada</w:t>
      </w:r>
      <w:r>
        <w:rPr>
          <w:rFonts w:ascii="Verdana" w:hAnsi="Verdana" w:cs="Arial"/>
          <w:color w:val="000000" w:themeColor="text1"/>
        </w:rPr>
        <w:t xml:space="preserve"> </w:t>
      </w:r>
      <w:r w:rsidRPr="00525EC3">
        <w:rPr>
          <w:rFonts w:ascii="Verdana" w:hAnsi="Verdana" w:cs="Arial"/>
          <w:color w:val="000000" w:themeColor="text1"/>
        </w:rPr>
        <w:t>integrante</w:t>
      </w:r>
      <w:r>
        <w:rPr>
          <w:rFonts w:ascii="Verdana" w:hAnsi="Verdana" w:cs="Arial"/>
          <w:color w:val="000000" w:themeColor="text1"/>
        </w:rPr>
        <w:t xml:space="preserve"> […]”, para lo cual “[…] </w:t>
      </w:r>
      <w:r w:rsidRPr="00CF41C0">
        <w:rPr>
          <w:rFonts w:ascii="Verdana" w:hAnsi="Verdana" w:cs="Arial"/>
          <w:color w:val="000000" w:themeColor="text1"/>
        </w:rPr>
        <w:t>la suma de participación de los Proveedores debe ser</w:t>
      </w:r>
      <w:r>
        <w:rPr>
          <w:rFonts w:ascii="Verdana" w:hAnsi="Verdana" w:cs="Arial"/>
          <w:color w:val="000000" w:themeColor="text1"/>
        </w:rPr>
        <w:t xml:space="preserve"> </w:t>
      </w:r>
      <w:r w:rsidRPr="00CF41C0">
        <w:rPr>
          <w:rFonts w:ascii="Verdana" w:hAnsi="Verdana" w:cs="Arial"/>
          <w:color w:val="000000" w:themeColor="text1"/>
        </w:rPr>
        <w:t>igual al 100%</w:t>
      </w:r>
      <w:r>
        <w:rPr>
          <w:rFonts w:ascii="Verdana" w:hAnsi="Verdana" w:cs="Arial"/>
          <w:color w:val="000000" w:themeColor="text1"/>
        </w:rPr>
        <w:t xml:space="preserve"> […]”</w:t>
      </w:r>
      <w:r>
        <w:rPr>
          <w:rStyle w:val="Refdenotaalpie"/>
          <w:rFonts w:ascii="Verdana" w:hAnsi="Verdana" w:cs="Arial"/>
          <w:color w:val="000000" w:themeColor="text1"/>
        </w:rPr>
        <w:footnoteReference w:id="14"/>
      </w:r>
      <w:r>
        <w:rPr>
          <w:rFonts w:ascii="Verdana" w:hAnsi="Verdana" w:cs="Arial"/>
          <w:color w:val="000000" w:themeColor="text1"/>
        </w:rPr>
        <w:t xml:space="preserve">. Sin perjuicio de la solidaridad, esta instrucción aplica tanto a consorcios como a uniones temporales, por lo cual no pueden existir integrantes de estructura plural que no participen en la ejecución del contrato. De hecho, es más necesaria en el segundo caso, ya que el artículo 7.7 de la Ley 80 de 1993 dispone que “[…] </w:t>
      </w:r>
      <w:r w:rsidRPr="00EE5DA9">
        <w:rPr>
          <w:rFonts w:ascii="Verdana" w:hAnsi="Verdana" w:cs="Arial"/>
          <w:color w:val="000000" w:themeColor="text1"/>
        </w:rPr>
        <w:t>las sanciones por el incumplimiento de las obligaciones derivadas de la propuesta y del contrato se impondrán de acuerdo con la participación en la ejecución de cada uno de los miembros de la unión temporal</w:t>
      </w:r>
      <w:r>
        <w:rPr>
          <w:rFonts w:ascii="Verdana" w:hAnsi="Verdana" w:cs="Arial"/>
          <w:color w:val="000000" w:themeColor="text1"/>
        </w:rPr>
        <w:t>”.</w:t>
      </w:r>
    </w:p>
    <w:p w14:paraId="4BD355CD" w14:textId="77777777" w:rsidR="005C2959" w:rsidRDefault="005C2959" w:rsidP="005C2959">
      <w:pPr>
        <w:spacing w:after="120" w:line="276" w:lineRule="auto"/>
        <w:jc w:val="both"/>
        <w:rPr>
          <w:rFonts w:ascii="Verdana" w:hAnsi="Verdana" w:cs="Arial"/>
          <w:color w:val="000000" w:themeColor="text1"/>
        </w:rPr>
      </w:pPr>
      <w:r>
        <w:rPr>
          <w:rFonts w:ascii="Verdana" w:hAnsi="Verdana" w:cs="Arial"/>
          <w:color w:val="000000" w:themeColor="text1"/>
        </w:rPr>
        <w:tab/>
        <w:t xml:space="preserve">Incluso, al margen de la publicidad en el SECOP II, </w:t>
      </w:r>
      <w:r w:rsidRPr="00384800">
        <w:rPr>
          <w:rFonts w:ascii="Verdana" w:hAnsi="Verdana" w:cs="Arial"/>
          <w:color w:val="000000" w:themeColor="text1"/>
        </w:rPr>
        <w:t xml:space="preserve">el documento de conformación del proponente plural </w:t>
      </w:r>
      <w:r>
        <w:rPr>
          <w:rFonts w:ascii="Verdana" w:hAnsi="Verdana" w:cs="Arial"/>
          <w:color w:val="000000" w:themeColor="text1"/>
        </w:rPr>
        <w:t>incide en</w:t>
      </w:r>
      <w:r w:rsidRPr="00384800">
        <w:rPr>
          <w:rFonts w:ascii="Verdana" w:hAnsi="Verdana" w:cs="Arial"/>
          <w:color w:val="000000" w:themeColor="text1"/>
        </w:rPr>
        <w:t xml:space="preserve"> la acreditación </w:t>
      </w:r>
      <w:r>
        <w:rPr>
          <w:rFonts w:ascii="Verdana" w:hAnsi="Verdana" w:cs="Arial"/>
          <w:color w:val="000000" w:themeColor="text1"/>
        </w:rPr>
        <w:t>de requisitos habilitantes o criterios de evaluación, por lo que es importante discriminar el porcentaje de participación. Por ejemplo, tratándose de los documentos tipo de licitación para obra pública de infraestructura de transporte, ello es relevante para la acreditación de la experiencia de los consorcios y las uniones temporales</w:t>
      </w:r>
      <w:r>
        <w:rPr>
          <w:rStyle w:val="Refdenotaalpie"/>
          <w:rFonts w:ascii="Verdana" w:hAnsi="Verdana" w:cs="Arial"/>
          <w:color w:val="000000" w:themeColor="text1"/>
        </w:rPr>
        <w:footnoteReference w:id="15"/>
      </w:r>
      <w:r>
        <w:rPr>
          <w:rFonts w:ascii="Verdana" w:hAnsi="Verdana" w:cs="Arial"/>
          <w:color w:val="000000" w:themeColor="text1"/>
        </w:rPr>
        <w:t>. Por ello, el literal E del numeral 3.3.3 del pliego de condiciones prescribe que en el documento de conformación del consorcio o la unión temporal “</w:t>
      </w:r>
      <w:r w:rsidRPr="003A381F">
        <w:rPr>
          <w:rFonts w:ascii="Verdana" w:hAnsi="Verdana" w:cs="Arial"/>
          <w:color w:val="000000" w:themeColor="text1"/>
        </w:rPr>
        <w:t>El proponente plural debe señalar expresamente cuál es el porcentaje de participación de cada uno de sus miembros. La sumatoria del porcentaje de participación no podrá ser diferente al 100%</w:t>
      </w:r>
      <w:r>
        <w:rPr>
          <w:rFonts w:ascii="Verdana" w:hAnsi="Verdana" w:cs="Arial"/>
          <w:color w:val="000000" w:themeColor="text1"/>
        </w:rPr>
        <w:t>”</w:t>
      </w:r>
      <w:r w:rsidRPr="003A381F">
        <w:rPr>
          <w:rFonts w:ascii="Verdana" w:hAnsi="Verdana" w:cs="Arial"/>
          <w:color w:val="000000" w:themeColor="text1"/>
        </w:rPr>
        <w:t>.</w:t>
      </w:r>
    </w:p>
    <w:p w14:paraId="058F7590" w14:textId="77777777" w:rsidR="005C2959" w:rsidRDefault="005C2959" w:rsidP="005C2959">
      <w:pPr>
        <w:spacing w:after="120" w:line="276" w:lineRule="auto"/>
        <w:jc w:val="both"/>
        <w:rPr>
          <w:rFonts w:ascii="Verdana" w:hAnsi="Verdana" w:cs="Arial"/>
          <w:color w:val="000000" w:themeColor="text1"/>
        </w:rPr>
      </w:pPr>
      <w:r>
        <w:rPr>
          <w:rFonts w:ascii="Verdana" w:hAnsi="Verdana" w:cs="Arial"/>
          <w:color w:val="000000" w:themeColor="text1"/>
        </w:rPr>
        <w:tab/>
        <w:t xml:space="preserve">Asimismo, algunos factores de evaluación aplican en función del porcentaje de participación. Por ejemplo, respecto a los incentivos de los artículos 32 y 33 de la Ley de Emprendimiento, </w:t>
      </w:r>
      <w:r w:rsidRPr="005846D2">
        <w:rPr>
          <w:rFonts w:ascii="Verdana" w:hAnsi="Verdana" w:cs="Arial"/>
          <w:color w:val="000000" w:themeColor="text1"/>
        </w:rPr>
        <w:t>los artículos 2.2.1.2.4.2.15 –</w:t>
      </w:r>
      <w:r w:rsidRPr="005846D2">
        <w:rPr>
          <w:rFonts w:ascii="Verdana" w:hAnsi="Verdana" w:cs="Arial"/>
          <w:color w:val="000000" w:themeColor="text1"/>
        </w:rPr>
        <w:lastRenderedPageBreak/>
        <w:t>Parágrafo 1– y 2.2.1.2.4.2.18 –Parágrafo 2– del Decreto 1082 de 2015</w:t>
      </w:r>
      <w:r>
        <w:rPr>
          <w:rFonts w:ascii="Verdana" w:hAnsi="Verdana" w:cs="Arial"/>
          <w:color w:val="000000" w:themeColor="text1"/>
        </w:rPr>
        <w:t xml:space="preserve"> precisan que </w:t>
      </w:r>
      <w:r w:rsidRPr="00EF550E">
        <w:rPr>
          <w:rFonts w:ascii="Verdana" w:hAnsi="Verdana" w:cs="Arial"/>
          <w:color w:val="000000" w:themeColor="text1"/>
        </w:rPr>
        <w:t>los criterios diferenciales y los puntajes adicionales solo se aplicarán si por lo menos uno de los integrantes acredita que es emprendimiento y empresa</w:t>
      </w:r>
      <w:r>
        <w:rPr>
          <w:rFonts w:ascii="Verdana" w:hAnsi="Verdana" w:cs="Arial"/>
          <w:color w:val="000000" w:themeColor="text1"/>
        </w:rPr>
        <w:t xml:space="preserve"> de mujeres</w:t>
      </w:r>
      <w:r w:rsidRPr="00EF550E">
        <w:rPr>
          <w:rFonts w:ascii="Verdana" w:hAnsi="Verdana" w:cs="Arial"/>
          <w:color w:val="000000" w:themeColor="text1"/>
        </w:rPr>
        <w:t xml:space="preserve"> </w:t>
      </w:r>
      <w:r>
        <w:rPr>
          <w:rFonts w:ascii="Verdana" w:hAnsi="Verdana" w:cs="Arial"/>
          <w:color w:val="000000" w:themeColor="text1"/>
        </w:rPr>
        <w:t xml:space="preserve">o </w:t>
      </w:r>
      <w:proofErr w:type="spellStart"/>
      <w:r>
        <w:rPr>
          <w:rFonts w:ascii="Verdana" w:hAnsi="Verdana" w:cs="Arial"/>
          <w:color w:val="000000" w:themeColor="text1"/>
        </w:rPr>
        <w:t>Mipyme</w:t>
      </w:r>
      <w:proofErr w:type="spellEnd"/>
      <w:r>
        <w:rPr>
          <w:rFonts w:ascii="Verdana" w:hAnsi="Verdana" w:cs="Arial"/>
          <w:color w:val="000000" w:themeColor="text1"/>
        </w:rPr>
        <w:t>,</w:t>
      </w:r>
      <w:r w:rsidRPr="00EF550E">
        <w:rPr>
          <w:rFonts w:ascii="Verdana" w:hAnsi="Verdana" w:cs="Arial"/>
          <w:color w:val="000000" w:themeColor="text1"/>
        </w:rPr>
        <w:t xml:space="preserve"> y que tiene una participación igual o superior al diez por ciento (10%) en el consorcio o la unión tempora</w:t>
      </w:r>
      <w:r>
        <w:rPr>
          <w:rFonts w:ascii="Verdana" w:hAnsi="Verdana" w:cs="Arial"/>
          <w:color w:val="000000" w:themeColor="text1"/>
        </w:rPr>
        <w:t xml:space="preserve">l. </w:t>
      </w:r>
      <w:r w:rsidRPr="00E3311D">
        <w:rPr>
          <w:rFonts w:ascii="Verdana" w:hAnsi="Verdana" w:cs="Arial"/>
          <w:color w:val="000000" w:themeColor="text1"/>
        </w:rPr>
        <w:t>En este contexto, sobre la base de la relevancia de los porcentajes de participación en el proponente plural, es adecuado y proporcional incluir de reglas en el los pliegos de condiciones sobre la discriminación de tales porcentajes</w:t>
      </w:r>
      <w:r>
        <w:rPr>
          <w:rFonts w:ascii="Verdana" w:hAnsi="Verdana" w:cs="Arial"/>
          <w:color w:val="000000" w:themeColor="text1"/>
        </w:rPr>
        <w:t>.</w:t>
      </w:r>
    </w:p>
    <w:p w14:paraId="6B9DD1DA" w14:textId="77777777" w:rsidR="005C2959" w:rsidRDefault="005C2959" w:rsidP="005C2959">
      <w:pPr>
        <w:spacing w:after="0" w:line="276" w:lineRule="auto"/>
        <w:ind w:firstLine="709"/>
        <w:jc w:val="both"/>
        <w:rPr>
          <w:rFonts w:ascii="Verdana" w:eastAsia="Calibri" w:hAnsi="Verdana" w:cs="Arial"/>
        </w:rPr>
      </w:pPr>
      <w:r>
        <w:rPr>
          <w:rFonts w:ascii="Verdana" w:eastAsia="Calibri" w:hAnsi="Verdana" w:cs="Arial"/>
          <w:lang w:val="es-ES"/>
        </w:rPr>
        <w:t xml:space="preserve">De acuerdo con lo anterior, </w:t>
      </w:r>
      <w:r w:rsidRPr="00E15BAA">
        <w:rPr>
          <w:rFonts w:ascii="Verdana" w:eastAsia="Calibri" w:hAnsi="Verdana" w:cs="Arial"/>
          <w:lang w:val="es-ES"/>
        </w:rPr>
        <w:t xml:space="preserve">los proponentes plurales deberán aportar el acta de conformación consorcial o el acta de conformación de unión temporal indicando claramente la individualización de la persona natural o jurídica, el porcentaje de participación y demás compromisos entre las partes </w:t>
      </w:r>
      <w:r w:rsidRPr="081E2AC1">
        <w:rPr>
          <w:rFonts w:ascii="Verdana" w:eastAsia="Calibri" w:hAnsi="Verdana" w:cs="Arial"/>
          <w:lang w:val="es-ES"/>
        </w:rPr>
        <w:t>seg</w:t>
      </w:r>
      <w:r>
        <w:rPr>
          <w:rFonts w:ascii="Verdana" w:eastAsia="Calibri" w:hAnsi="Verdana" w:cs="Arial"/>
          <w:lang w:val="es-ES"/>
        </w:rPr>
        <w:t>ú</w:t>
      </w:r>
      <w:r w:rsidRPr="081E2AC1">
        <w:rPr>
          <w:rFonts w:ascii="Verdana" w:eastAsia="Calibri" w:hAnsi="Verdana" w:cs="Arial"/>
          <w:lang w:val="es-ES"/>
        </w:rPr>
        <w:t xml:space="preserve">n lo previsto </w:t>
      </w:r>
      <w:r w:rsidRPr="00E15BAA">
        <w:rPr>
          <w:rFonts w:ascii="Verdana" w:eastAsia="Calibri" w:hAnsi="Verdana" w:cs="Arial"/>
          <w:lang w:val="es-ES"/>
        </w:rPr>
        <w:t>en los pliegos de condiciones y anexos del proceso contractual</w:t>
      </w:r>
      <w:r>
        <w:rPr>
          <w:rFonts w:ascii="Verdana" w:eastAsia="Calibri" w:hAnsi="Verdana" w:cs="Arial"/>
          <w:lang w:val="es-ES"/>
        </w:rPr>
        <w:t xml:space="preserve">. Por ello, se recomienda a las entidades tener en cuenta lo dispuesto en el “Manual </w:t>
      </w:r>
      <w:r w:rsidRPr="007616FA">
        <w:rPr>
          <w:rFonts w:ascii="Verdana" w:eastAsia="Calibri" w:hAnsi="Verdana" w:cs="Arial"/>
        </w:rPr>
        <w:t>para determinar y verificar los requisitos habilitantes en los procesos de contratació</w:t>
      </w:r>
      <w:r>
        <w:rPr>
          <w:rFonts w:ascii="Verdana" w:eastAsia="Calibri" w:hAnsi="Verdana" w:cs="Arial"/>
        </w:rPr>
        <w:t xml:space="preserve">n” elaborado por la </w:t>
      </w:r>
      <w:r w:rsidRPr="007616FA">
        <w:rPr>
          <w:rFonts w:ascii="Verdana" w:eastAsia="Calibri" w:hAnsi="Verdana" w:cs="Arial"/>
        </w:rPr>
        <w:t xml:space="preserve">Agencia Nacional </w:t>
      </w:r>
      <w:r>
        <w:rPr>
          <w:rFonts w:ascii="Verdana" w:eastAsia="Calibri" w:hAnsi="Verdana" w:cs="Arial"/>
        </w:rPr>
        <w:t>d</w:t>
      </w:r>
      <w:r w:rsidRPr="007616FA">
        <w:rPr>
          <w:rFonts w:ascii="Verdana" w:eastAsia="Calibri" w:hAnsi="Verdana" w:cs="Arial"/>
        </w:rPr>
        <w:t xml:space="preserve">e Contratación Pública </w:t>
      </w:r>
      <w:r>
        <w:rPr>
          <w:rFonts w:ascii="Verdana" w:eastAsia="Calibri" w:hAnsi="Verdana" w:cs="Arial"/>
        </w:rPr>
        <w:t xml:space="preserve">– </w:t>
      </w:r>
      <w:r w:rsidRPr="007616FA">
        <w:rPr>
          <w:rFonts w:ascii="Verdana" w:eastAsia="Calibri" w:hAnsi="Verdana" w:cs="Arial"/>
        </w:rPr>
        <w:t>Colombia Compra Eficiente</w:t>
      </w:r>
      <w:r>
        <w:rPr>
          <w:rFonts w:ascii="Verdana" w:eastAsia="Calibri" w:hAnsi="Verdana" w:cs="Arial"/>
        </w:rPr>
        <w:t>. Sobre la acreditación de experiencia por parte de proponentes plurales, el documento señala lo siguiente:</w:t>
      </w:r>
    </w:p>
    <w:p w14:paraId="20888F69" w14:textId="77777777" w:rsidR="005C2959" w:rsidRDefault="005C2959" w:rsidP="005C2959">
      <w:pPr>
        <w:spacing w:after="0" w:line="276" w:lineRule="auto"/>
        <w:ind w:firstLine="709"/>
        <w:jc w:val="both"/>
        <w:rPr>
          <w:rFonts w:ascii="Verdana" w:eastAsia="Calibri" w:hAnsi="Verdana" w:cs="Arial"/>
        </w:rPr>
      </w:pPr>
    </w:p>
    <w:p w14:paraId="31F26252" w14:textId="77777777" w:rsidR="005C2959" w:rsidRDefault="005C2959" w:rsidP="005C2959">
      <w:pPr>
        <w:spacing w:after="0" w:line="240" w:lineRule="auto"/>
        <w:ind w:left="709" w:right="709"/>
        <w:jc w:val="both"/>
        <w:rPr>
          <w:rFonts w:ascii="Verdana" w:eastAsia="Calibri" w:hAnsi="Verdana" w:cs="Arial"/>
          <w:sz w:val="20"/>
          <w:szCs w:val="20"/>
        </w:rPr>
      </w:pPr>
      <w:r w:rsidRPr="007616FA">
        <w:rPr>
          <w:rFonts w:ascii="Verdana" w:eastAsia="Calibri" w:hAnsi="Verdana" w:cs="Arial"/>
          <w:sz w:val="20"/>
          <w:szCs w:val="20"/>
        </w:rPr>
        <w:t>“[…] la experiencia de los oferentes plurales debe ser proporcional a la participación de cada uno de sus integrantes en el consorcio o unión temporal. Sin perjuicio del carácter personal de la experiencia, entre los integrantes del oferente plural la experiencia se puede compartir, sin que implique que la experiencia compartida con alguna de las partes se entienda como propia. Dentro del procedimiento contractual se reflejará que uno de los integrantes del proponente plural comparte la experiencia de otra. Esto es claro en el caso de las figuras asociativas donde se verificará en el documento privado de constitución</w:t>
      </w:r>
      <w:r>
        <w:rPr>
          <w:rFonts w:ascii="Verdana" w:eastAsia="Calibri" w:hAnsi="Verdana" w:cs="Arial"/>
          <w:sz w:val="20"/>
          <w:szCs w:val="20"/>
        </w:rPr>
        <w:t>.</w:t>
      </w:r>
    </w:p>
    <w:p w14:paraId="3AB2BFF4" w14:textId="77777777" w:rsidR="005C2959" w:rsidRDefault="005C2959" w:rsidP="005C2959">
      <w:pPr>
        <w:spacing w:after="120" w:line="240" w:lineRule="auto"/>
        <w:ind w:left="709" w:right="709"/>
        <w:jc w:val="both"/>
        <w:rPr>
          <w:rFonts w:ascii="Verdana" w:eastAsia="Calibri" w:hAnsi="Verdana" w:cs="Arial"/>
          <w:sz w:val="20"/>
          <w:szCs w:val="20"/>
        </w:rPr>
      </w:pPr>
      <w:r>
        <w:rPr>
          <w:rFonts w:ascii="Verdana" w:eastAsia="Calibri" w:hAnsi="Verdana" w:cs="Arial"/>
          <w:sz w:val="20"/>
          <w:szCs w:val="20"/>
        </w:rPr>
        <w:t>[…]</w:t>
      </w:r>
    </w:p>
    <w:p w14:paraId="767AB726" w14:textId="77777777" w:rsidR="005C2959" w:rsidRPr="00AC5A5C" w:rsidRDefault="005C2959" w:rsidP="005C2959">
      <w:pPr>
        <w:spacing w:after="0" w:line="240" w:lineRule="auto"/>
        <w:ind w:left="709" w:right="709"/>
        <w:jc w:val="both"/>
        <w:rPr>
          <w:rFonts w:ascii="Verdana" w:eastAsia="Calibri" w:hAnsi="Verdana" w:cs="Arial"/>
          <w:sz w:val="20"/>
          <w:szCs w:val="20"/>
        </w:rPr>
      </w:pPr>
      <w:r w:rsidRPr="00AC5A5C">
        <w:rPr>
          <w:rFonts w:ascii="Verdana" w:eastAsia="Calibri" w:hAnsi="Verdana" w:cs="Arial"/>
          <w:sz w:val="20"/>
          <w:szCs w:val="20"/>
        </w:rPr>
        <w:t>En todo caso, se resalta que las entidades estatales son autónomas en la</w:t>
      </w:r>
    </w:p>
    <w:p w14:paraId="5CD11FE5" w14:textId="77777777" w:rsidR="005C2959" w:rsidRDefault="005C2959" w:rsidP="005C2959">
      <w:pPr>
        <w:spacing w:after="0" w:line="240" w:lineRule="auto"/>
        <w:ind w:left="709" w:right="709"/>
        <w:jc w:val="both"/>
        <w:rPr>
          <w:rFonts w:ascii="Verdana" w:eastAsia="Calibri" w:hAnsi="Verdana" w:cs="Arial"/>
          <w:sz w:val="20"/>
          <w:szCs w:val="20"/>
        </w:rPr>
      </w:pPr>
      <w:r w:rsidRPr="00AC5A5C">
        <w:rPr>
          <w:rFonts w:ascii="Verdana" w:eastAsia="Calibri" w:hAnsi="Verdana" w:cs="Arial"/>
          <w:sz w:val="20"/>
          <w:szCs w:val="20"/>
        </w:rPr>
        <w:t>estructuración de sus procedimientos contractuales, por lo cual en sus pliegos</w:t>
      </w:r>
      <w:r>
        <w:rPr>
          <w:rFonts w:ascii="Verdana" w:eastAsia="Calibri" w:hAnsi="Verdana" w:cs="Arial"/>
          <w:sz w:val="20"/>
          <w:szCs w:val="20"/>
        </w:rPr>
        <w:t xml:space="preserve"> </w:t>
      </w:r>
      <w:r w:rsidRPr="00AC5A5C">
        <w:rPr>
          <w:rFonts w:ascii="Verdana" w:eastAsia="Calibri" w:hAnsi="Verdana" w:cs="Arial"/>
          <w:sz w:val="20"/>
          <w:szCs w:val="20"/>
        </w:rPr>
        <w:t>de condiciones pueden establecer las reglas de acreditación de la experiencia</w:t>
      </w:r>
      <w:r>
        <w:rPr>
          <w:rFonts w:ascii="Verdana" w:eastAsia="Calibri" w:hAnsi="Verdana" w:cs="Arial"/>
          <w:sz w:val="20"/>
          <w:szCs w:val="20"/>
        </w:rPr>
        <w:t xml:space="preserve"> </w:t>
      </w:r>
      <w:r w:rsidRPr="00AC5A5C">
        <w:rPr>
          <w:rFonts w:ascii="Verdana" w:eastAsia="Calibri" w:hAnsi="Verdana" w:cs="Arial"/>
          <w:sz w:val="20"/>
          <w:szCs w:val="20"/>
        </w:rPr>
        <w:t>de los proponentes plurales, siempre que esta sea proporcional a la de sus</w:t>
      </w:r>
      <w:r>
        <w:rPr>
          <w:rFonts w:ascii="Verdana" w:eastAsia="Calibri" w:hAnsi="Verdana" w:cs="Arial"/>
          <w:sz w:val="20"/>
          <w:szCs w:val="20"/>
        </w:rPr>
        <w:t xml:space="preserve"> </w:t>
      </w:r>
      <w:r w:rsidRPr="00AC5A5C">
        <w:rPr>
          <w:rFonts w:ascii="Verdana" w:eastAsia="Calibri" w:hAnsi="Verdana" w:cs="Arial"/>
          <w:sz w:val="20"/>
          <w:szCs w:val="20"/>
        </w:rPr>
        <w:t>integrantes</w:t>
      </w:r>
      <w:r w:rsidRPr="007616FA">
        <w:rPr>
          <w:rFonts w:ascii="Verdana" w:eastAsia="Calibri" w:hAnsi="Verdana" w:cs="Arial"/>
          <w:sz w:val="20"/>
          <w:szCs w:val="20"/>
        </w:rPr>
        <w:t>”</w:t>
      </w:r>
      <w:r>
        <w:rPr>
          <w:rFonts w:ascii="Verdana" w:eastAsia="Calibri" w:hAnsi="Verdana" w:cs="Arial"/>
          <w:sz w:val="20"/>
          <w:szCs w:val="20"/>
        </w:rPr>
        <w:t>.</w:t>
      </w:r>
    </w:p>
    <w:p w14:paraId="5DC16E07" w14:textId="77777777" w:rsidR="005C2959" w:rsidRPr="000E5F4E" w:rsidRDefault="005C2959" w:rsidP="005C2959">
      <w:pPr>
        <w:spacing w:after="0" w:line="276" w:lineRule="auto"/>
        <w:ind w:left="709" w:right="709"/>
        <w:jc w:val="both"/>
        <w:rPr>
          <w:rFonts w:ascii="Verdana" w:eastAsia="Calibri" w:hAnsi="Verdana" w:cs="Arial"/>
        </w:rPr>
      </w:pPr>
    </w:p>
    <w:p w14:paraId="60A6FA94" w14:textId="77777777" w:rsidR="005C2959" w:rsidRDefault="005C2959" w:rsidP="005C2959">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Esto significa que, tratándose de proponente plurales, la experiencia de quienes lo integran equivale al valor resultante de aplicar el porcentaje de participación que le corresponda al monto total ejecutado por el consorcio o la unión temporal. Como la experiencia es personal y proporcional al porcentaje de </w:t>
      </w:r>
      <w:r>
        <w:rPr>
          <w:rFonts w:ascii="Verdana" w:eastAsia="Calibri" w:hAnsi="Verdana" w:cs="Arial"/>
          <w:lang w:val="es-ES"/>
        </w:rPr>
        <w:lastRenderedPageBreak/>
        <w:t>participación, es necesario diferenciar el valor de la ejecución conjunta de la estructura plural de la experiencia individual de cada integrante. Esta última, se reitera, resulta de aplicar el porcentaje de participación correspondiente, sin que sea posible que cada miembro acredite individualmente el 100% de la experiencia adquirida en la ejecución.</w:t>
      </w:r>
    </w:p>
    <w:p w14:paraId="00E7D929" w14:textId="77777777" w:rsidR="005C2959" w:rsidRDefault="005C2959" w:rsidP="005C2959">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Lo descrito en el párrafo anterior concuerda con el alcance probatorio del RUP, ya que la experiencia adquirida debe interpretarse </w:t>
      </w:r>
      <w:proofErr w:type="gramStart"/>
      <w:r>
        <w:rPr>
          <w:rFonts w:ascii="Verdana" w:eastAsia="Calibri" w:hAnsi="Verdana" w:cs="Arial"/>
          <w:lang w:val="es-ES"/>
        </w:rPr>
        <w:t>conjuntamente con</w:t>
      </w:r>
      <w:proofErr w:type="gramEnd"/>
      <w:r>
        <w:rPr>
          <w:rFonts w:ascii="Verdana" w:eastAsia="Calibri" w:hAnsi="Verdana" w:cs="Arial"/>
          <w:lang w:val="es-ES"/>
        </w:rPr>
        <w:t xml:space="preserve"> el porcentaje de participación del integrante en el consorcio o la unión temporal. De esta manera, no es posible tomar el valor total del contrato como criterio para determinar la experiencia individual, pues –sin perjuicio de la solidaridad– solo les corresponde una porción determinada de la ejecución; razón por la cual, el porcentaje registrado delimita la experiencia que pueden acreditar en los procesos de selección.</w:t>
      </w:r>
    </w:p>
    <w:p w14:paraId="5982A1C1" w14:textId="77777777" w:rsidR="005C2959" w:rsidRPr="00E30513" w:rsidRDefault="005C2959" w:rsidP="005C2959">
      <w:pPr>
        <w:spacing w:after="120" w:line="276" w:lineRule="auto"/>
        <w:ind w:firstLine="708"/>
        <w:jc w:val="both"/>
        <w:rPr>
          <w:rFonts w:ascii="Verdana" w:eastAsia="Calibri" w:hAnsi="Verdana" w:cs="Arial"/>
          <w:color w:val="000000"/>
          <w:lang w:val="es-ES" w:eastAsia="es-ES_tradnl"/>
        </w:rPr>
      </w:pPr>
      <w:r>
        <w:rPr>
          <w:rFonts w:ascii="Verdana" w:eastAsia="Calibri" w:hAnsi="Verdana" w:cs="Arial"/>
          <w:lang w:val="es-ES"/>
        </w:rPr>
        <w:t xml:space="preserve">Este razonamiento aplica tanto a la </w:t>
      </w:r>
      <w:r>
        <w:rPr>
          <w:rFonts w:ascii="Verdana" w:eastAsia="Calibri" w:hAnsi="Verdana" w:cs="Arial"/>
        </w:rPr>
        <w:t>“</w:t>
      </w:r>
      <w:r w:rsidRPr="002D0F95">
        <w:rPr>
          <w:rFonts w:ascii="Verdana" w:eastAsia="Calibri" w:hAnsi="Verdana" w:cs="Arial"/>
        </w:rPr>
        <w:t xml:space="preserve">experiencia </w:t>
      </w:r>
      <w:r>
        <w:rPr>
          <w:rFonts w:ascii="Verdana" w:eastAsia="Calibri" w:hAnsi="Verdana" w:cs="Arial"/>
        </w:rPr>
        <w:t>habilitante” como a la “experiencia adicional puntuable”. Si bien la guía de la ANCP – CCE alude al criterio de proporcionalidad tratándose de los requisitos de verificación, la Agencia no observa obstáculo para extender el razonamiento a la ponderación de la experiencia de los consultores en los concursos de méritos. La conclusión se sustenta en el artículo 8 de la Ley 153 de 1887, puesto que “</w:t>
      </w:r>
      <w:r w:rsidRPr="00D62C24">
        <w:rPr>
          <w:rFonts w:ascii="Verdana" w:eastAsia="Calibri" w:hAnsi="Verdana" w:cs="Arial"/>
        </w:rPr>
        <w:t xml:space="preserve">Cuando no hay ley exactamente aplicable al caso controvertido, se aplicarán las leyes que regulen casos </w:t>
      </w:r>
      <w:r>
        <w:rPr>
          <w:rFonts w:ascii="Verdana" w:eastAsia="Calibri" w:hAnsi="Verdana" w:cs="Arial"/>
        </w:rPr>
        <w:t>o</w:t>
      </w:r>
      <w:r w:rsidRPr="00D62C24">
        <w:rPr>
          <w:rFonts w:ascii="Verdana" w:eastAsia="Calibri" w:hAnsi="Verdana" w:cs="Arial"/>
        </w:rPr>
        <w:t xml:space="preserve"> materias semejantes</w:t>
      </w:r>
      <w:r>
        <w:rPr>
          <w:rFonts w:ascii="Verdana" w:eastAsia="Calibri" w:hAnsi="Verdana" w:cs="Arial"/>
        </w:rPr>
        <w:t xml:space="preserve"> […]”. La semejanza parte de que ambas experiencias se acreditan a través del RUP, por lo que el porcentaje de participación del integrante del consorcio o la unión temporal circunscribe la experiencia habilitante y puntuable, sin que exista alguna razón de peso para un trato diferenciado en su acreditación.</w:t>
      </w:r>
    </w:p>
    <w:p w14:paraId="03845B3C" w14:textId="77777777" w:rsidR="005C2959" w:rsidRPr="00A47393" w:rsidRDefault="005C2959" w:rsidP="005C2959">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7ACBDE1" w14:textId="77777777" w:rsidR="005C2959" w:rsidRPr="00185EE9" w:rsidRDefault="005C2959" w:rsidP="005C2959">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lastRenderedPageBreak/>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08FD133E" w14:textId="77777777" w:rsidR="005C2959" w:rsidRPr="00182C89" w:rsidRDefault="005C2959" w:rsidP="005C2959">
      <w:pPr>
        <w:tabs>
          <w:tab w:val="left" w:pos="709"/>
        </w:tabs>
        <w:spacing w:after="0" w:line="276" w:lineRule="auto"/>
        <w:jc w:val="both"/>
        <w:rPr>
          <w:rFonts w:ascii="Verdana" w:eastAsia="Calibri" w:hAnsi="Verdana" w:cs="Arial"/>
          <w:color w:val="000000" w:themeColor="text1"/>
        </w:rPr>
      </w:pPr>
    </w:p>
    <w:p w14:paraId="6FD7F555" w14:textId="77777777" w:rsidR="005C2959" w:rsidRPr="00593A5F" w:rsidRDefault="005C2959" w:rsidP="005C295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AEBA67A" w14:textId="77777777" w:rsidR="005C2959" w:rsidRPr="00593A5F" w:rsidRDefault="005C2959" w:rsidP="005C2959">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C2959" w:rsidRPr="002407CE" w14:paraId="0449032E" w14:textId="77777777" w:rsidTr="00C9527B">
        <w:trPr>
          <w:trHeight w:val="56"/>
          <w:jc w:val="center"/>
        </w:trPr>
        <w:tc>
          <w:tcPr>
            <w:tcW w:w="8647" w:type="dxa"/>
          </w:tcPr>
          <w:p w14:paraId="4D5E860A"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6, 7, 13, 32 y 40.</w:t>
            </w:r>
          </w:p>
          <w:p w14:paraId="3E4900CE"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5.</w:t>
            </w:r>
          </w:p>
          <w:p w14:paraId="11B0AA24"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2069 de 2020, artículos 32 y 33.</w:t>
            </w:r>
          </w:p>
          <w:p w14:paraId="417BEF9C"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E0141A">
              <w:rPr>
                <w:rFonts w:ascii="Verdana" w:hAnsi="Verdana" w:cs="Arial"/>
              </w:rPr>
              <w:t>2.2.1.1.1.5.2</w:t>
            </w:r>
            <w:r>
              <w:rPr>
                <w:rFonts w:ascii="Verdana" w:hAnsi="Verdana" w:cs="Arial"/>
              </w:rPr>
              <w:t xml:space="preserve">, </w:t>
            </w:r>
            <w:r w:rsidRPr="00CA638C">
              <w:rPr>
                <w:rFonts w:ascii="Verdana" w:hAnsi="Verdana" w:cs="Arial"/>
              </w:rPr>
              <w:t>2.2.1.1.1.6.2</w:t>
            </w:r>
            <w:r>
              <w:rPr>
                <w:rFonts w:ascii="Verdana" w:hAnsi="Verdana" w:cs="Arial"/>
              </w:rPr>
              <w:t xml:space="preserve">, </w:t>
            </w:r>
            <w:r w:rsidRPr="005846D2">
              <w:rPr>
                <w:rFonts w:ascii="Verdana" w:hAnsi="Verdana" w:cs="Arial"/>
                <w:color w:val="000000" w:themeColor="text1"/>
              </w:rPr>
              <w:t>2.2.1.2.4.2.15</w:t>
            </w:r>
            <w:r>
              <w:rPr>
                <w:rFonts w:ascii="Verdana" w:hAnsi="Verdana" w:cs="Arial"/>
                <w:color w:val="000000" w:themeColor="text1"/>
              </w:rPr>
              <w:t xml:space="preserve"> y </w:t>
            </w:r>
            <w:r w:rsidRPr="005846D2">
              <w:rPr>
                <w:rFonts w:ascii="Verdana" w:hAnsi="Verdana" w:cs="Arial"/>
                <w:color w:val="000000" w:themeColor="text1"/>
              </w:rPr>
              <w:t>2.2.1.2.4.2.18</w:t>
            </w:r>
            <w:r>
              <w:rPr>
                <w:rFonts w:ascii="Verdana" w:hAnsi="Verdana" w:cs="Arial"/>
              </w:rPr>
              <w:t>.</w:t>
            </w:r>
          </w:p>
          <w:p w14:paraId="4AA406EB"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153 de 1887, artículo 8.</w:t>
            </w:r>
          </w:p>
          <w:p w14:paraId="11AA37A5"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Civil, artículos 1502, 1503, 1504 y 1558.</w:t>
            </w:r>
          </w:p>
          <w:p w14:paraId="4A25795A" w14:textId="77777777" w:rsidR="005C2959" w:rsidRDefault="005C2959" w:rsidP="00C9527B">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de Comercio, artículo 99.</w:t>
            </w:r>
          </w:p>
          <w:p w14:paraId="1AAD4551" w14:textId="77777777" w:rsidR="005C2959" w:rsidRPr="007F34F0" w:rsidRDefault="005C2959" w:rsidP="00C9527B">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153ADC">
              <w:rPr>
                <w:rFonts w:ascii="Verdana" w:hAnsi="Verdana" w:cs="Arial"/>
              </w:rPr>
              <w:t>Manual para determinar y verificar los requisitos habilitantes en los Procesos de Contratación</w:t>
            </w:r>
            <w:r w:rsidRPr="00B27101">
              <w:rPr>
                <w:rFonts w:ascii="Verdana" w:hAnsi="Verdana" w:cs="Arial"/>
              </w:rPr>
              <w:t xml:space="preserve"> del </w:t>
            </w:r>
            <w:r>
              <w:rPr>
                <w:rFonts w:ascii="Verdana" w:hAnsi="Verdana" w:cs="Arial"/>
              </w:rPr>
              <w:t>29 de septiembre de 2023</w:t>
            </w:r>
            <w:r w:rsidRPr="00B27101">
              <w:rPr>
                <w:rFonts w:ascii="Verdana" w:hAnsi="Verdana" w:cs="Arial"/>
              </w:rPr>
              <w:t>. Disponible en</w:t>
            </w:r>
            <w:r>
              <w:rPr>
                <w:rFonts w:ascii="Verdana" w:hAnsi="Verdana" w:cs="Arial"/>
              </w:rPr>
              <w:t xml:space="preserve">: </w:t>
            </w:r>
            <w:hyperlink r:id="rId12" w:history="1">
              <w:r w:rsidRPr="00B62360">
                <w:rPr>
                  <w:rStyle w:val="Hipervnculo"/>
                  <w:rFonts w:ascii="Verdana" w:hAnsi="Verdana" w:cs="Arial"/>
                </w:rPr>
                <w:t>https://www.colombiacompra.gov.co/wp-content/uploads/2024/08/cce-eicp-ma-04._manual_requisitos_habilitantes_v3_29-09-2023.pdf</w:t>
              </w:r>
            </w:hyperlink>
            <w:r>
              <w:rPr>
                <w:rFonts w:ascii="Verdana" w:hAnsi="Verdana" w:cs="Arial"/>
              </w:rPr>
              <w:t xml:space="preserve"> </w:t>
            </w:r>
          </w:p>
        </w:tc>
      </w:tr>
    </w:tbl>
    <w:p w14:paraId="000BAB85" w14:textId="77777777" w:rsidR="005C2959" w:rsidRPr="002407CE" w:rsidRDefault="005C2959" w:rsidP="005C2959">
      <w:pPr>
        <w:widowControl w:val="0"/>
        <w:autoSpaceDE w:val="0"/>
        <w:autoSpaceDN w:val="0"/>
        <w:spacing w:after="0" w:line="276" w:lineRule="auto"/>
        <w:jc w:val="both"/>
        <w:rPr>
          <w:rFonts w:ascii="Verdana" w:hAnsi="Verdana" w:cs="Arial"/>
        </w:rPr>
      </w:pPr>
    </w:p>
    <w:p w14:paraId="5ABFBC72" w14:textId="77777777" w:rsidR="005C2959" w:rsidRPr="00593A5F" w:rsidRDefault="005C2959" w:rsidP="005C295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08AD44ED" w14:textId="77777777" w:rsidR="005C2959" w:rsidRPr="00593A5F" w:rsidRDefault="005C2959" w:rsidP="005C2959">
      <w:pPr>
        <w:widowControl w:val="0"/>
        <w:autoSpaceDE w:val="0"/>
        <w:autoSpaceDN w:val="0"/>
        <w:spacing w:after="0" w:line="276" w:lineRule="auto"/>
        <w:jc w:val="both"/>
        <w:rPr>
          <w:rFonts w:ascii="Verdana" w:hAnsi="Verdana" w:cs="Arial"/>
        </w:rPr>
      </w:pPr>
    </w:p>
    <w:p w14:paraId="7A39DB3C" w14:textId="77777777" w:rsidR="005C2959" w:rsidRPr="00ED0098" w:rsidRDefault="005C2959" w:rsidP="005C2959">
      <w:pPr>
        <w:widowControl w:val="0"/>
        <w:autoSpaceDE w:val="0"/>
        <w:autoSpaceDN w:val="0"/>
        <w:spacing w:after="0" w:line="276" w:lineRule="auto"/>
        <w:jc w:val="both"/>
        <w:rPr>
          <w:rStyle w:val="normaltextrun"/>
          <w:rFonts w:ascii="Verdana" w:hAnsi="Verdana" w:cs="Arial"/>
          <w:shd w:val="clear" w:color="auto" w:fill="FFFFFF"/>
        </w:rPr>
      </w:pPr>
      <w:r w:rsidRPr="008554C1">
        <w:rPr>
          <w:rFonts w:ascii="Verdana" w:hAnsi="Verdana" w:cs="Arial"/>
          <w:shd w:val="clear" w:color="auto" w:fill="FFFFFF"/>
        </w:rPr>
        <w:t xml:space="preserve">Esta Subdirección se ha pronunciado </w:t>
      </w:r>
      <w:r w:rsidRPr="000E64BD">
        <w:rPr>
          <w:rFonts w:ascii="Verdana" w:hAnsi="Verdana" w:cs="Arial"/>
          <w:shd w:val="clear" w:color="auto" w:fill="FFFFFF"/>
        </w:rPr>
        <w:t>sobre la acreditación de experiencia por parte de integrantes de proponentes plurales en los conceptos C-124 del 12 de mayo de 2023, C-167 del 5 de junio de 2023, C-648 del 6 de noviembre de 2024, C-1002 del 30 de enero de 2025, C-128 del 26 de junio de 2025, C-568 del 24 de junio de 2025</w:t>
      </w:r>
      <w:r>
        <w:rPr>
          <w:rFonts w:ascii="Verdana" w:hAnsi="Verdana" w:cs="Arial"/>
          <w:shd w:val="clear" w:color="auto" w:fill="FFFFFF"/>
        </w:rPr>
        <w:t xml:space="preserve">, </w:t>
      </w:r>
      <w:r w:rsidRPr="000E64BD">
        <w:rPr>
          <w:rFonts w:ascii="Verdana" w:hAnsi="Verdana" w:cs="Arial"/>
          <w:shd w:val="clear" w:color="auto" w:fill="FFFFFF"/>
        </w:rPr>
        <w:t>C-698 del 14 de julio de 2025</w:t>
      </w:r>
      <w:r>
        <w:rPr>
          <w:rFonts w:ascii="Verdana" w:hAnsi="Verdana" w:cs="Arial"/>
          <w:shd w:val="clear" w:color="auto" w:fill="FFFFFF"/>
        </w:rPr>
        <w:t>, C-1159 del 29 de septiembre de 2025 y C-1095 del 20 de agosto de 2026</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 xml:space="preserve">Estos y otros conceptos </w:t>
      </w:r>
      <w:r w:rsidRPr="00E278D2">
        <w:rPr>
          <w:rStyle w:val="normaltextrun"/>
          <w:rFonts w:ascii="Verdana" w:hAnsi="Verdana" w:cs="Arial"/>
          <w:shd w:val="clear" w:color="auto" w:fill="FFFFFF"/>
        </w:rPr>
        <w:lastRenderedPageBreak/>
        <w:t>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89C9445" w14:textId="77777777" w:rsidR="005C2959" w:rsidRPr="00096788" w:rsidRDefault="005C2959" w:rsidP="005C2959">
      <w:pPr>
        <w:widowControl w:val="0"/>
        <w:autoSpaceDE w:val="0"/>
        <w:autoSpaceDN w:val="0"/>
        <w:spacing w:after="0" w:line="276" w:lineRule="auto"/>
        <w:jc w:val="both"/>
        <w:rPr>
          <w:rFonts w:ascii="Verdana" w:hAnsi="Verdana" w:cs="Arial"/>
          <w:color w:val="000000" w:themeColor="text1"/>
          <w:shd w:val="clear" w:color="auto" w:fill="FFFFFF"/>
        </w:rPr>
      </w:pPr>
    </w:p>
    <w:p w14:paraId="49F0DE20"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38866145"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p>
    <w:p w14:paraId="164E6045"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5"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57D0067D"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p>
    <w:p w14:paraId="6295D7ED"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 xml:space="preserve">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F42673">
        <w:rPr>
          <w:rFonts w:ascii="Verdana" w:eastAsia="Times New Roman" w:hAnsi="Verdana" w:cs="Times New Roman"/>
          <w:color w:val="000000"/>
          <w:lang w:eastAsia="es-MX"/>
        </w:rPr>
        <w:lastRenderedPageBreak/>
        <w:t>disciplinarias de omitir este deber. Consúltala aquí: </w:t>
      </w:r>
      <w:hyperlink r:id="rId16"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29899C3B" w14:textId="77777777" w:rsidR="005C2959" w:rsidRPr="00F42673" w:rsidRDefault="005C2959" w:rsidP="005C2959">
      <w:pPr>
        <w:spacing w:after="0" w:line="276" w:lineRule="auto"/>
        <w:jc w:val="both"/>
        <w:rPr>
          <w:rFonts w:ascii="Verdana" w:eastAsia="Times New Roman" w:hAnsi="Verdana" w:cs="Times New Roman"/>
          <w:color w:val="000000"/>
          <w:lang w:eastAsia="es-MX"/>
        </w:rPr>
      </w:pPr>
    </w:p>
    <w:p w14:paraId="1F3B43F3" w14:textId="77777777" w:rsidR="005C2959" w:rsidRPr="00797CA8" w:rsidRDefault="005C2959" w:rsidP="005C2959">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3FAA83D0" w14:textId="77777777" w:rsidR="005C2959" w:rsidRDefault="005C2959" w:rsidP="005C2959">
      <w:pPr>
        <w:shd w:val="clear" w:color="auto" w:fill="FFFFFF"/>
        <w:spacing w:after="0" w:line="276" w:lineRule="auto"/>
        <w:jc w:val="both"/>
        <w:rPr>
          <w:rFonts w:ascii="Verdana" w:hAnsi="Verdana"/>
          <w:color w:val="000000"/>
          <w:u w:val="single"/>
        </w:rPr>
      </w:pPr>
    </w:p>
    <w:p w14:paraId="0B8FA7CB" w14:textId="77777777" w:rsidR="005C2959" w:rsidRPr="00116940" w:rsidRDefault="005C2959" w:rsidP="005C2959">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124D96F" w14:textId="77777777" w:rsidR="005C2959" w:rsidRPr="00116940" w:rsidRDefault="005C2959" w:rsidP="005C2959">
      <w:pPr>
        <w:spacing w:after="0"/>
        <w:jc w:val="both"/>
        <w:rPr>
          <w:rFonts w:ascii="Verdana" w:hAnsi="Verdana"/>
        </w:rPr>
      </w:pPr>
    </w:p>
    <w:p w14:paraId="1DB64421" w14:textId="77777777" w:rsidR="005C2959" w:rsidRPr="00116940" w:rsidRDefault="005C2959" w:rsidP="005C2959">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460606E" w14:textId="77777777" w:rsidR="005C2959" w:rsidRPr="00116940" w:rsidRDefault="005C2959" w:rsidP="005C2959">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30604FE0" w14:textId="77777777" w:rsidR="005C2959" w:rsidRPr="00116940" w:rsidRDefault="005C2959" w:rsidP="005C295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79E51E36" w14:textId="77777777" w:rsidR="005C2959" w:rsidRPr="00116940" w:rsidRDefault="005C2959" w:rsidP="005C295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65C4F5A6" w14:textId="77777777" w:rsidR="005C2959" w:rsidRPr="00116940" w:rsidRDefault="005C2959" w:rsidP="005C2959">
      <w:pPr>
        <w:spacing w:after="0" w:line="240" w:lineRule="auto"/>
        <w:ind w:left="720"/>
        <w:jc w:val="both"/>
        <w:rPr>
          <w:rFonts w:ascii="Verdana" w:hAnsi="Verdana"/>
        </w:rPr>
      </w:pPr>
    </w:p>
    <w:p w14:paraId="5010E10F" w14:textId="77777777" w:rsidR="005C2959" w:rsidRPr="00116940" w:rsidRDefault="005C2959" w:rsidP="005C2959">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296CAAD" w14:textId="77777777" w:rsidR="005C2959" w:rsidRPr="00116940" w:rsidRDefault="005C2959" w:rsidP="005C2959">
      <w:pPr>
        <w:spacing w:after="0" w:line="240" w:lineRule="auto"/>
        <w:rPr>
          <w:rFonts w:ascii="Verdana" w:hAnsi="Verdana"/>
        </w:rPr>
      </w:pPr>
    </w:p>
    <w:p w14:paraId="5DEA1A99" w14:textId="77777777" w:rsidR="005C2959" w:rsidRPr="00116940" w:rsidRDefault="005C2959" w:rsidP="005C2959">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90B51EB" w14:textId="77777777" w:rsidR="005C2959" w:rsidRPr="00116940" w:rsidRDefault="005C2959" w:rsidP="005C2959">
      <w:pPr>
        <w:spacing w:after="0" w:line="240" w:lineRule="auto"/>
        <w:jc w:val="both"/>
        <w:rPr>
          <w:rFonts w:ascii="Verdana" w:hAnsi="Verdana"/>
        </w:rPr>
      </w:pPr>
    </w:p>
    <w:p w14:paraId="4252AB9E" w14:textId="77777777" w:rsidR="005C2959" w:rsidRPr="00116940" w:rsidRDefault="005C2959" w:rsidP="005C2959">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88EA0FD" w14:textId="77777777" w:rsidR="005C2959" w:rsidRPr="00116940" w:rsidRDefault="005C2959" w:rsidP="005C2959">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2C30CE3" w14:textId="77777777" w:rsidR="005C2959" w:rsidRPr="00116940" w:rsidRDefault="005C2959" w:rsidP="005C2959">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FD2276C" w14:textId="77777777" w:rsidR="005C2959" w:rsidRPr="009C4035" w:rsidRDefault="005C2959" w:rsidP="005C2959">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lastRenderedPageBreak/>
        <w:t xml:space="preserve">        </w:t>
      </w:r>
    </w:p>
    <w:p w14:paraId="1C3F349A" w14:textId="77777777" w:rsidR="005C2959" w:rsidRPr="00593A5F" w:rsidRDefault="005C2959" w:rsidP="005C2959">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3FD1ADAB" w14:textId="77777777" w:rsidR="005C2959" w:rsidRPr="00593A5F" w:rsidRDefault="005C2959" w:rsidP="005C2959">
      <w:pPr>
        <w:widowControl w:val="0"/>
        <w:autoSpaceDE w:val="0"/>
        <w:autoSpaceDN w:val="0"/>
        <w:spacing w:after="0" w:line="276" w:lineRule="auto"/>
        <w:jc w:val="both"/>
        <w:rPr>
          <w:rFonts w:ascii="Verdana" w:hAnsi="Verdana" w:cs="Arial"/>
        </w:rPr>
      </w:pPr>
    </w:p>
    <w:p w14:paraId="6A005C06" w14:textId="77777777" w:rsidR="005C2959" w:rsidRPr="00593A5F" w:rsidRDefault="005C2959" w:rsidP="005C2959">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2AD74964" w14:textId="44213BE4" w:rsidR="005C2959" w:rsidRPr="00593A5F" w:rsidRDefault="00824CB8" w:rsidP="005C2959">
      <w:pPr>
        <w:spacing w:line="276" w:lineRule="auto"/>
        <w:jc w:val="center"/>
        <w:rPr>
          <w:rFonts w:ascii="Verdana" w:hAnsi="Verdana" w:cs="Arial"/>
          <w:color w:val="000000"/>
          <w:lang w:val="es-ES_tradnl" w:eastAsia="es-CO"/>
        </w:rPr>
      </w:pPr>
      <w:r>
        <w:rPr>
          <w:noProof/>
        </w:rPr>
        <w:drawing>
          <wp:inline distT="0" distB="0" distL="0" distR="0" wp14:anchorId="4A036B46" wp14:editId="00374748">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C2959" w:rsidRPr="00593A5F" w14:paraId="4E1F0A6D" w14:textId="77777777" w:rsidTr="00C9527B">
        <w:trPr>
          <w:trHeight w:val="315"/>
        </w:trPr>
        <w:tc>
          <w:tcPr>
            <w:tcW w:w="893" w:type="dxa"/>
            <w:vAlign w:val="center"/>
            <w:hideMark/>
          </w:tcPr>
          <w:p w14:paraId="20275ACB" w14:textId="77777777" w:rsidR="005C2959" w:rsidRPr="003751C7" w:rsidRDefault="005C2959" w:rsidP="00C9527B">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0D2F2F1" w14:textId="77777777" w:rsidR="005C2959" w:rsidRPr="00254A7A" w:rsidRDefault="005C2959" w:rsidP="00C9527B">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57BECF2E" w14:textId="77777777" w:rsidR="005C2959" w:rsidRPr="00254A7A" w:rsidRDefault="005C2959" w:rsidP="00C9527B">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5C2959" w:rsidRPr="00593A5F" w14:paraId="237E8C52" w14:textId="77777777" w:rsidTr="00C9527B">
        <w:trPr>
          <w:trHeight w:val="330"/>
        </w:trPr>
        <w:tc>
          <w:tcPr>
            <w:tcW w:w="893" w:type="dxa"/>
            <w:vAlign w:val="center"/>
            <w:hideMark/>
          </w:tcPr>
          <w:p w14:paraId="17DFD4F6" w14:textId="77777777" w:rsidR="005C2959" w:rsidRPr="003751C7" w:rsidRDefault="005C2959" w:rsidP="00C9527B">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0F9A149" w14:textId="77777777" w:rsidR="005C2959" w:rsidRPr="000377DD" w:rsidRDefault="005C2959" w:rsidP="00C9527B">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03AD1EAD" w14:textId="77777777" w:rsidR="005C2959" w:rsidRPr="00A40FD0" w:rsidRDefault="005C2959" w:rsidP="00C9527B">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5C2959" w:rsidRPr="00593A5F" w14:paraId="0B12320B" w14:textId="77777777" w:rsidTr="00C9527B">
        <w:trPr>
          <w:trHeight w:val="300"/>
        </w:trPr>
        <w:tc>
          <w:tcPr>
            <w:tcW w:w="893" w:type="dxa"/>
            <w:vAlign w:val="center"/>
          </w:tcPr>
          <w:p w14:paraId="48D9F0FB" w14:textId="77777777" w:rsidR="005C2959" w:rsidRPr="003751C7" w:rsidRDefault="005C2959" w:rsidP="00C9527B">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BFE9E71" w14:textId="77777777" w:rsidR="005C2959" w:rsidRPr="00FE00BE" w:rsidRDefault="005C2959" w:rsidP="00C9527B">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21141B3" w14:textId="77777777" w:rsidR="005C2959" w:rsidRPr="00FE00BE" w:rsidRDefault="005C2959" w:rsidP="00C9527B">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54168472" w14:textId="77777777" w:rsidR="005C2959" w:rsidRDefault="005C2959" w:rsidP="005C2959"/>
    <w:p w14:paraId="7EE3E8F2" w14:textId="7BD52B25" w:rsidR="005C2959" w:rsidRPr="00543BFE" w:rsidRDefault="005C2959" w:rsidP="005C2959"/>
    <w:p w14:paraId="0F293BF4" w14:textId="7A032C7A" w:rsidR="00127233" w:rsidRPr="00013999" w:rsidRDefault="00127233" w:rsidP="00013999"/>
    <w:sectPr w:rsidR="00127233" w:rsidRPr="00013999"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53B23" w14:textId="77777777" w:rsidR="00B2220C" w:rsidRDefault="00B2220C" w:rsidP="004A1847">
      <w:pPr>
        <w:spacing w:after="0" w:line="240" w:lineRule="auto"/>
      </w:pPr>
      <w:r>
        <w:separator/>
      </w:r>
    </w:p>
  </w:endnote>
  <w:endnote w:type="continuationSeparator" w:id="0">
    <w:p w14:paraId="0F666571" w14:textId="77777777" w:rsidR="00B2220C" w:rsidRDefault="00B2220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9EB1" w14:textId="77777777" w:rsidR="00B2220C" w:rsidRDefault="00B2220C" w:rsidP="004A1847">
      <w:pPr>
        <w:spacing w:after="0" w:line="240" w:lineRule="auto"/>
      </w:pPr>
      <w:r>
        <w:separator/>
      </w:r>
    </w:p>
  </w:footnote>
  <w:footnote w:type="continuationSeparator" w:id="0">
    <w:p w14:paraId="467ABA04" w14:textId="77777777" w:rsidR="00B2220C" w:rsidRDefault="00B2220C" w:rsidP="004A1847">
      <w:pPr>
        <w:spacing w:after="0" w:line="240" w:lineRule="auto"/>
      </w:pPr>
      <w:r>
        <w:continuationSeparator/>
      </w:r>
    </w:p>
  </w:footnote>
  <w:footnote w:id="1">
    <w:p w14:paraId="26C2F112" w14:textId="77777777" w:rsidR="005C2959" w:rsidRPr="00931FA0" w:rsidRDefault="005C2959" w:rsidP="005C2959">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931FA0">
        <w:rPr>
          <w:rFonts w:ascii="Verdana" w:hAnsi="Verdana" w:cs="Arial"/>
          <w:sz w:val="16"/>
          <w:szCs w:val="16"/>
          <w:vertAlign w:val="superscript"/>
        </w:rPr>
        <w:footnoteRef/>
      </w:r>
      <w:r w:rsidRPr="00931FA0">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2">
    <w:p w14:paraId="1FA71556" w14:textId="77777777" w:rsidR="005C2959" w:rsidRPr="00931FA0" w:rsidRDefault="005C2959" w:rsidP="005C2959">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931FA0">
        <w:rPr>
          <w:rFonts w:ascii="Verdana" w:hAnsi="Verdana" w:cs="Arial"/>
          <w:sz w:val="16"/>
          <w:szCs w:val="16"/>
          <w:vertAlign w:val="superscript"/>
        </w:rPr>
        <w:footnoteRef/>
      </w:r>
      <w:r w:rsidRPr="00931FA0">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pp. 118-184.</w:t>
      </w:r>
    </w:p>
  </w:footnote>
  <w:footnote w:id="3">
    <w:p w14:paraId="67EA4265"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GONZÁLEZ LÓPEZ, Edgar. El pliego de condiciones en la contratación estatal: la reforma consagrada en la Ley 1150 de 2007 y sus decretos reglamentarios. Bogotá: Universidad Externando de Colombia, 2012. p. 87 y ss.</w:t>
      </w:r>
    </w:p>
  </w:footnote>
  <w:footnote w:id="4">
    <w:p w14:paraId="2101FD17"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Como explica la doctrina, “La discrecionalidad no es un espacio de decisión infinitamente abierto; hay una apertura, pero limitada por los márgenes de la realidad fáctica, y su apreciación racional y razonable. La libertad administrativa no es una planicie sin fronteras, sino un anillo con ribetes elásticos y relativos (pues hay zonas en las que la decisión conforme a Derecho está abierta a distintas opiniones y valoraciones), pero hay ribetes que perfilan el ‘margen’ de la discrecionalidad. Conviene insistir en la idea de que no hay potestades absolutamente discrecionales, pues siempre están confinadas por un margen que las acota (de allí que el espacio de libre discrecionalidad pueda ser comparado con el hueco central de una rosquilla o un ‘donut’). Siempre que hay algún elemento reglado que delimita la dosis o el ‘margen’ de discrecionalidad, y que permite a los tribunales controlar dónde está la frontera que separa la ilegítima arbitrariedad de la legítima arbitrariedad” (Cfr. BLANQUER, David. Derecho administrativo: el fin, los medios y el control. Tomo I. Valencia: Tirant lo Blanch, 2010. p. 192).    </w:t>
      </w:r>
    </w:p>
  </w:footnote>
  <w:footnote w:id="5">
    <w:p w14:paraId="645715CC" w14:textId="77777777" w:rsidR="005C2959" w:rsidRPr="00931FA0" w:rsidRDefault="005C2959" w:rsidP="005C2959">
      <w:pPr>
        <w:pStyle w:val="Textonotapie"/>
        <w:ind w:firstLine="708"/>
        <w:jc w:val="both"/>
        <w:rPr>
          <w:rFonts w:ascii="Verdana" w:hAnsi="Verdana" w:cs="Arial"/>
          <w:sz w:val="16"/>
          <w:szCs w:val="16"/>
          <w:lang w:val="es-ES"/>
        </w:rPr>
      </w:pPr>
      <w:r w:rsidRPr="00931FA0">
        <w:rPr>
          <w:rStyle w:val="Refdenotaalpie"/>
          <w:rFonts w:ascii="Verdana" w:hAnsi="Verdana" w:cs="Arial"/>
          <w:sz w:val="16"/>
          <w:szCs w:val="16"/>
        </w:rPr>
        <w:footnoteRef/>
      </w:r>
      <w:r w:rsidRPr="00931FA0">
        <w:rPr>
          <w:rFonts w:ascii="Verdana" w:hAnsi="Verdana" w:cs="Arial"/>
          <w:sz w:val="16"/>
          <w:szCs w:val="16"/>
        </w:rPr>
        <w:t xml:space="preserve"> 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6">
    <w:p w14:paraId="7BEC2705"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Decreto 1082 de 2015: “Artículo 2.2.1.1.1.5.3. Requisitos habilitantes contenidos en el RUP. Las cámaras de comercio, con base en la información a la que hace referencia el artículo anterior, deben verificar y certificar los siguientes requisitos habilitantes:</w:t>
      </w:r>
    </w:p>
    <w:p w14:paraId="2DA1EAF2" w14:textId="77777777" w:rsidR="005C2959" w:rsidRPr="00931FA0" w:rsidRDefault="005C2959" w:rsidP="005C2959">
      <w:pPr>
        <w:pStyle w:val="Textonotapie"/>
        <w:ind w:firstLine="708"/>
        <w:jc w:val="both"/>
        <w:rPr>
          <w:rFonts w:ascii="Verdana" w:hAnsi="Verdana" w:cs="Arial"/>
          <w:sz w:val="16"/>
          <w:szCs w:val="16"/>
          <w:lang w:val="es-ES"/>
        </w:rPr>
      </w:pPr>
      <w:r w:rsidRPr="00931FA0">
        <w:rPr>
          <w:rFonts w:ascii="Verdana" w:hAnsi="Verdana" w:cs="Arial"/>
          <w:sz w:val="16"/>
          <w:szCs w:val="16"/>
        </w:rPr>
        <w:t>1. Experiencia – Los contratos celebrados por el interesado para cada uno de los bienes, obras y servicios que ofrecerá a las Entidades Estatales, identificados con el Clasificador de Bienes y Servicios en el tercer nivel y su valor expresado en SMMLV. […]”.</w:t>
      </w:r>
    </w:p>
  </w:footnote>
  <w:footnote w:id="7">
    <w:p w14:paraId="37BF109E"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37ED5AE9"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w:t>
      </w:r>
    </w:p>
    <w:p w14:paraId="27C56A7F"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5B935969" w14:textId="77777777" w:rsidR="005C2959" w:rsidRPr="00931FA0" w:rsidRDefault="005C2959" w:rsidP="005C2959">
      <w:pPr>
        <w:pStyle w:val="Textonotapie"/>
        <w:ind w:firstLine="708"/>
        <w:jc w:val="both"/>
        <w:rPr>
          <w:rFonts w:ascii="Verdana" w:hAnsi="Verdana" w:cs="Arial"/>
          <w:sz w:val="16"/>
          <w:szCs w:val="16"/>
          <w:lang w:val="es-ES"/>
        </w:rPr>
      </w:pPr>
      <w:r w:rsidRPr="00931FA0">
        <w:rPr>
          <w:rFonts w:ascii="Verdana" w:hAnsi="Verdana" w:cs="Arial"/>
          <w:sz w:val="16"/>
          <w:szCs w:val="16"/>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8">
    <w:p w14:paraId="3ED9F1BA"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4A1B4B94" w14:textId="77777777" w:rsidR="005C2959" w:rsidRPr="00931FA0" w:rsidRDefault="005C2959" w:rsidP="005C2959">
      <w:pPr>
        <w:pStyle w:val="Textonotapie"/>
        <w:ind w:firstLine="709"/>
        <w:jc w:val="both"/>
        <w:rPr>
          <w:rFonts w:ascii="Verdana" w:hAnsi="Verdana" w:cs="Arial"/>
          <w:sz w:val="16"/>
          <w:szCs w:val="16"/>
        </w:rPr>
      </w:pPr>
      <w:r w:rsidRPr="00931FA0">
        <w:rPr>
          <w:rFonts w:ascii="Verdana" w:hAnsi="Verdana" w:cs="Arial"/>
          <w:sz w:val="16"/>
          <w:szCs w:val="16"/>
        </w:rPr>
        <w:t>1. Si es una persona natural:</w:t>
      </w:r>
    </w:p>
    <w:p w14:paraId="142F52E5" w14:textId="77777777" w:rsidR="005C2959" w:rsidRPr="00931FA0" w:rsidRDefault="005C2959" w:rsidP="005C2959">
      <w:pPr>
        <w:pStyle w:val="Textonotapie"/>
        <w:ind w:firstLine="709"/>
        <w:jc w:val="both"/>
        <w:rPr>
          <w:rFonts w:ascii="Verdana" w:hAnsi="Verdana" w:cs="Arial"/>
          <w:sz w:val="16"/>
          <w:szCs w:val="16"/>
        </w:rPr>
      </w:pPr>
      <w:r w:rsidRPr="00931FA0">
        <w:rPr>
          <w:rFonts w:ascii="Verdana" w:hAnsi="Verdana" w:cs="Arial"/>
          <w:sz w:val="16"/>
          <w:szCs w:val="16"/>
        </w:rPr>
        <w:t>1.1. Bienes, obras y servicios que ofrecerá a las Entidades Estatales, identificados con el Clasificador de Bienes y Servicios en el tercer nivel.</w:t>
      </w:r>
    </w:p>
    <w:p w14:paraId="768BE4C5" w14:textId="77777777" w:rsidR="005C2959" w:rsidRPr="00931FA0" w:rsidRDefault="005C2959" w:rsidP="005C2959">
      <w:pPr>
        <w:pStyle w:val="Textonotapie"/>
        <w:ind w:firstLine="709"/>
        <w:jc w:val="both"/>
        <w:rPr>
          <w:rFonts w:ascii="Verdana" w:hAnsi="Verdana" w:cs="Arial"/>
          <w:sz w:val="16"/>
          <w:szCs w:val="16"/>
        </w:rPr>
      </w:pPr>
      <w:r w:rsidRPr="00931FA0">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p>
  </w:footnote>
  <w:footnote w:id="9">
    <w:p w14:paraId="6FD441A4" w14:textId="77777777" w:rsidR="005C2959" w:rsidRPr="00931FA0" w:rsidRDefault="005C2959" w:rsidP="005C2959">
      <w:pPr>
        <w:pStyle w:val="Textonotapie"/>
        <w:ind w:firstLine="708"/>
        <w:jc w:val="both"/>
        <w:rPr>
          <w:rFonts w:ascii="Verdana" w:hAnsi="Verdana" w:cs="Arial"/>
          <w:sz w:val="16"/>
          <w:szCs w:val="16"/>
        </w:rPr>
      </w:pPr>
      <w:r w:rsidRPr="00931FA0">
        <w:rPr>
          <w:rStyle w:val="Refdenotaalpie"/>
          <w:rFonts w:ascii="Verdana" w:hAnsi="Verdana" w:cs="Arial"/>
          <w:sz w:val="16"/>
          <w:szCs w:val="16"/>
        </w:rPr>
        <w:footnoteRef/>
      </w:r>
      <w:r w:rsidRPr="00931FA0">
        <w:rPr>
          <w:rFonts w:ascii="Verdana" w:hAnsi="Verdana" w:cs="Arial"/>
          <w:sz w:val="16"/>
          <w:szCs w:val="16"/>
        </w:rPr>
        <w:t xml:space="preserve"> Colombia Compra Eficiente, Manual para determinar y verificar requisitos habilitantes en los procesos de contratación: </w:t>
      </w:r>
    </w:p>
    <w:p w14:paraId="3CE715F5"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w:t>
      </w:r>
    </w:p>
    <w:p w14:paraId="084228B5"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 xml:space="preserve">La experiencia requerida en un Proceso de Contratación debe ser adecuada y proporcional a la naturaleza del contrato y su valor. La experiencia es adecuada cuando es afín al tipo de actividades previstas en el objeto del contrato a celebrar. Por ejemplo, si el Proceso de Contratación es para un servicio de aseo general, el proponente debe tener experiencia en el servicio de aseo, sin que sea relevante el lugar en el cual ha prestado el servicio o quién ha sido el contratante. </w:t>
      </w:r>
    </w:p>
    <w:p w14:paraId="6D204CEA"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La experiencia es proporcional cuando tiene relación con el alcance, la cuantía y complejidad del contrato a celebrar. Por ejemplo, en un Proceso de Contratación de obra pública con un presupuesto oficial de 100 SMMLV, la experiencia exigida es proporcional si la Entidad Estatal exige que los proponentes hayan participado en Procesos de Contratación de 50 SMMLV del mismo tipo de obra.</w:t>
      </w:r>
    </w:p>
    <w:p w14:paraId="0B33B0CF" w14:textId="77777777" w:rsidR="005C2959" w:rsidRPr="00931FA0" w:rsidRDefault="005C2959" w:rsidP="005C2959">
      <w:pPr>
        <w:pStyle w:val="Textonotapie"/>
        <w:ind w:firstLine="708"/>
        <w:jc w:val="both"/>
        <w:rPr>
          <w:rFonts w:ascii="Verdana" w:hAnsi="Verdana" w:cs="Arial"/>
          <w:sz w:val="16"/>
          <w:szCs w:val="16"/>
        </w:rPr>
      </w:pPr>
      <w:r w:rsidRPr="00931FA0">
        <w:rPr>
          <w:rFonts w:ascii="Verdana" w:hAnsi="Verdana" w:cs="Arial"/>
          <w:sz w:val="16"/>
          <w:szCs w:val="16"/>
        </w:rPr>
        <w:t>[...]”.</w:t>
      </w:r>
    </w:p>
  </w:footnote>
  <w:footnote w:id="10">
    <w:p w14:paraId="5912BC28" w14:textId="77777777" w:rsidR="005C2959" w:rsidRPr="00931FA0" w:rsidRDefault="005C2959" w:rsidP="005C2959">
      <w:pPr>
        <w:pStyle w:val="Textonotapie"/>
        <w:ind w:firstLine="709"/>
        <w:contextualSpacing/>
        <w:jc w:val="both"/>
        <w:rPr>
          <w:rFonts w:ascii="Verdana" w:eastAsia="Calibri" w:hAnsi="Verdana" w:cs="Arial"/>
          <w:color w:val="000000"/>
          <w:sz w:val="16"/>
          <w:szCs w:val="16"/>
          <w:lang w:val="es-ES_tradnl" w:eastAsia="es-ES_tradnl"/>
        </w:rPr>
      </w:pPr>
      <w:r w:rsidRPr="00931FA0">
        <w:rPr>
          <w:rFonts w:ascii="Verdana" w:eastAsia="Calibri" w:hAnsi="Verdana" w:cs="Arial"/>
          <w:color w:val="000000"/>
          <w:sz w:val="16"/>
          <w:szCs w:val="16"/>
          <w:vertAlign w:val="superscript"/>
          <w:lang w:val="es-ES_tradnl" w:eastAsia="es-ES_tradnl"/>
        </w:rPr>
        <w:footnoteRef/>
      </w:r>
      <w:r w:rsidRPr="00931FA0">
        <w:rPr>
          <w:rFonts w:ascii="Verdana" w:eastAsia="Calibri" w:hAnsi="Verdana" w:cs="Arial"/>
          <w:color w:val="000000"/>
          <w:sz w:val="16"/>
          <w:szCs w:val="16"/>
          <w:vertAlign w:val="superscript"/>
          <w:lang w:val="es-ES_tradnl" w:eastAsia="es-ES_tradnl"/>
        </w:rPr>
        <w:t xml:space="preserve"> </w:t>
      </w:r>
      <w:r w:rsidRPr="00931FA0">
        <w:rPr>
          <w:rFonts w:ascii="Verdana" w:eastAsia="Calibri" w:hAnsi="Verdana" w:cs="Arial"/>
          <w:color w:val="000000"/>
          <w:sz w:val="16"/>
          <w:szCs w:val="16"/>
          <w:lang w:val="es-ES_tradnl" w:eastAsia="es-ES_tradnl"/>
        </w:rPr>
        <w:t>Para la realización de los respectivos análisis del sector de los Procesos de Contratación, esta Agencia recomienda tener en cuenta la última modificación de la “Guía de Elaboración de Estudios del Sector”, que puede ser consultada en el siguiente enlace:</w:t>
      </w:r>
      <w:r w:rsidRPr="00931FA0">
        <w:rPr>
          <w:rFonts w:ascii="Verdana" w:hAnsi="Verdana"/>
          <w:sz w:val="16"/>
          <w:szCs w:val="16"/>
        </w:rPr>
        <w:t xml:space="preserve"> </w:t>
      </w:r>
      <w:hyperlink r:id="rId1" w:history="1">
        <w:r w:rsidRPr="00931FA0">
          <w:rPr>
            <w:rStyle w:val="Hipervnculo"/>
            <w:rFonts w:ascii="Verdana" w:eastAsia="Calibri" w:hAnsi="Verdana" w:cs="Arial"/>
            <w:sz w:val="16"/>
            <w:szCs w:val="16"/>
            <w:lang w:val="es-ES_tradnl" w:eastAsia="es-ES_tradnl"/>
          </w:rPr>
          <w:t>https://www.colombiacompra.gov.co/manuales-guias-y-pliegos-tipo/manuales-y-guias</w:t>
        </w:r>
      </w:hyperlink>
      <w:r w:rsidRPr="00931FA0">
        <w:rPr>
          <w:rFonts w:ascii="Verdana" w:eastAsia="Calibri" w:hAnsi="Verdana" w:cs="Arial"/>
          <w:color w:val="000000"/>
          <w:sz w:val="16"/>
          <w:szCs w:val="16"/>
          <w:lang w:val="es-ES_tradnl" w:eastAsia="es-ES_tradnl"/>
        </w:rPr>
        <w:t>.</w:t>
      </w:r>
    </w:p>
  </w:footnote>
  <w:footnote w:id="11">
    <w:p w14:paraId="3EC924E5" w14:textId="77777777" w:rsidR="005C2959" w:rsidRPr="00931FA0" w:rsidRDefault="005C2959" w:rsidP="005C2959">
      <w:pPr>
        <w:pStyle w:val="Textonotapie"/>
        <w:ind w:firstLine="709"/>
        <w:contextualSpacing/>
        <w:jc w:val="both"/>
        <w:rPr>
          <w:rFonts w:ascii="Verdana" w:eastAsia="Calibri" w:hAnsi="Verdana" w:cs="Arial"/>
          <w:color w:val="000000"/>
          <w:sz w:val="16"/>
          <w:szCs w:val="16"/>
          <w:lang w:val="es-ES_tradnl" w:eastAsia="es-ES_tradnl"/>
        </w:rPr>
      </w:pPr>
      <w:r w:rsidRPr="00931FA0">
        <w:rPr>
          <w:rFonts w:ascii="Verdana" w:eastAsia="Calibri" w:hAnsi="Verdana" w:cs="Arial"/>
          <w:color w:val="000000"/>
          <w:sz w:val="16"/>
          <w:szCs w:val="16"/>
          <w:vertAlign w:val="superscript"/>
          <w:lang w:val="es-ES_tradnl" w:eastAsia="es-ES_tradnl"/>
        </w:rPr>
        <w:footnoteRef/>
      </w:r>
      <w:r w:rsidRPr="00931FA0">
        <w:rPr>
          <w:rFonts w:ascii="Verdana" w:eastAsia="Calibri" w:hAnsi="Verdana" w:cs="Arial"/>
          <w:color w:val="000000"/>
          <w:sz w:val="16"/>
          <w:szCs w:val="16"/>
          <w:lang w:val="es-ES_tradnl" w:eastAsia="es-ES_tradnl"/>
        </w:rPr>
        <w:t xml:space="preserve"> 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12">
    <w:p w14:paraId="45994147" w14:textId="77777777" w:rsidR="005C2959" w:rsidRPr="008376CC" w:rsidRDefault="005C2959" w:rsidP="005C2959">
      <w:pPr>
        <w:pStyle w:val="Textonotapie"/>
        <w:ind w:firstLine="720"/>
        <w:jc w:val="both"/>
        <w:rPr>
          <w:rFonts w:ascii="Verdana" w:hAnsi="Verdana" w:cs="Arial"/>
          <w:sz w:val="15"/>
          <w:szCs w:val="15"/>
        </w:rPr>
      </w:pPr>
      <w:r w:rsidRPr="008376CC">
        <w:rPr>
          <w:rStyle w:val="Refdenotaalpie"/>
          <w:rFonts w:ascii="Verdana" w:hAnsi="Verdana" w:cs="Arial"/>
          <w:sz w:val="15"/>
          <w:szCs w:val="15"/>
        </w:rPr>
        <w:footnoteRef/>
      </w:r>
      <w:r w:rsidRPr="008376CC">
        <w:rPr>
          <w:rFonts w:ascii="Verdana" w:hAnsi="Verdana" w:cs="Arial"/>
          <w:sz w:val="15"/>
          <w:szCs w:val="15"/>
        </w:rPr>
        <w:t xml:space="preserve"> CORTE CONSTITUCIONAL. Sentencia C-949 del 5 de septiembre de 2001. M.P. Clara Inés Vargas Hernández.  </w:t>
      </w:r>
    </w:p>
  </w:footnote>
  <w:footnote w:id="13">
    <w:p w14:paraId="236A23B3" w14:textId="77777777" w:rsidR="005C2959" w:rsidRPr="008376CC" w:rsidRDefault="005C2959" w:rsidP="005C2959">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SOMARRIVA UNDURRAGA, Manuel. Tratado de las cauciones. Santiago: Editorial Nascimento, 1943. pp. 39-40.</w:t>
      </w:r>
    </w:p>
  </w:footnote>
  <w:footnote w:id="14">
    <w:p w14:paraId="39E85AE0" w14:textId="77777777" w:rsidR="005C2959" w:rsidRPr="008376CC" w:rsidRDefault="005C2959" w:rsidP="005C2959">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Cfr. </w:t>
      </w:r>
      <w:hyperlink r:id="rId2" w:history="1">
        <w:r w:rsidRPr="008376CC">
          <w:rPr>
            <w:rStyle w:val="Hipervnculo"/>
            <w:rFonts w:ascii="Verdana" w:hAnsi="Verdana"/>
            <w:sz w:val="15"/>
            <w:szCs w:val="15"/>
          </w:rPr>
          <w:t>https://www.colombiacompra.gov.co/wp-content/uploads/2024/10/cce-sec-gi-06_guia_de_creacion_de_proponentes_plurales_en_el_secop_ii_29-05-2024.pdf?_gl=1*un01d0*_ga*MTc5MzEwNzY5OC4xNzU1NjUyMTk1*_ga_FE1Z7272J6*czE3NTU2NTIxOTUkbzEkZzAkdDE3NTU2NTIxOTUkajYwJGwwJGgw</w:t>
        </w:r>
      </w:hyperlink>
      <w:r w:rsidRPr="008376CC">
        <w:rPr>
          <w:rFonts w:ascii="Verdana" w:hAnsi="Verdana"/>
          <w:sz w:val="15"/>
          <w:szCs w:val="15"/>
        </w:rPr>
        <w:t>, consultado el 19 de agosto de 2025.</w:t>
      </w:r>
    </w:p>
  </w:footnote>
  <w:footnote w:id="15">
    <w:p w14:paraId="21F31CD7" w14:textId="77777777" w:rsidR="005C2959" w:rsidRPr="008376CC" w:rsidRDefault="005C2959" w:rsidP="005C2959">
      <w:pPr>
        <w:pStyle w:val="Textonotapie"/>
        <w:ind w:firstLine="708"/>
        <w:jc w:val="both"/>
        <w:rPr>
          <w:rFonts w:ascii="Verdana" w:hAnsi="Verdana"/>
          <w:sz w:val="15"/>
          <w:szCs w:val="15"/>
          <w:lang w:val="es-CO"/>
        </w:rPr>
      </w:pPr>
      <w:r w:rsidRPr="008376CC">
        <w:rPr>
          <w:rStyle w:val="Refdenotaalpie"/>
          <w:rFonts w:ascii="Verdana" w:hAnsi="Verdana"/>
          <w:sz w:val="15"/>
          <w:szCs w:val="15"/>
        </w:rPr>
        <w:footnoteRef/>
      </w:r>
      <w:r w:rsidRPr="008376CC">
        <w:rPr>
          <w:rFonts w:ascii="Verdana" w:hAnsi="Verdana"/>
          <w:sz w:val="15"/>
          <w:szCs w:val="15"/>
        </w:rPr>
        <w:t xml:space="preserve"> El literal D del numeral 3.5.3 del documento base dispone que “Tratándose de Proponentes Plurales se tendrá en cuenta lo siguiente: i) uno de los integrantes debe aportar como mínimo el cincuenta por ciento (50 %) de la experiencia solicitada; ii) los demás integrantes deben acreditar al menos el cinco por ciento (5 %) de la experiencia solicitada; y iii) </w:t>
      </w:r>
      <w:r w:rsidRPr="008376CC">
        <w:rPr>
          <w:rFonts w:ascii="Verdana" w:hAnsi="Verdana"/>
          <w:i/>
          <w:iCs/>
          <w:sz w:val="15"/>
          <w:szCs w:val="15"/>
        </w:rPr>
        <w:t>sin perjuicio de lo anterior, solo uno (1) de los integrantes, si así lo considera pertinente, podrá no acreditar experiencia. En este último caso, el porcentaje de participación del integrante que no aporta experiencia en la estructura plural no podrá superar el diez por ciento (10 %)</w:t>
      </w:r>
      <w:r w:rsidRPr="008376CC">
        <w:rPr>
          <w:rFonts w:ascii="Verdana" w:hAnsi="Verdana"/>
          <w:sz w:val="15"/>
          <w:szCs w:val="15"/>
        </w:rPr>
        <w:t>” (Énfasis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999"/>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A7456"/>
    <w:rsid w:val="001B3B54"/>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C059F"/>
    <w:rsid w:val="003D0F4D"/>
    <w:rsid w:val="003D2AF4"/>
    <w:rsid w:val="003D5B0D"/>
    <w:rsid w:val="003E0499"/>
    <w:rsid w:val="003E4F80"/>
    <w:rsid w:val="003E6439"/>
    <w:rsid w:val="003F3941"/>
    <w:rsid w:val="00406575"/>
    <w:rsid w:val="00414C74"/>
    <w:rsid w:val="0042722E"/>
    <w:rsid w:val="0044528D"/>
    <w:rsid w:val="00453674"/>
    <w:rsid w:val="00466E39"/>
    <w:rsid w:val="004A1847"/>
    <w:rsid w:val="004A305D"/>
    <w:rsid w:val="004F21C4"/>
    <w:rsid w:val="004F685F"/>
    <w:rsid w:val="005566E8"/>
    <w:rsid w:val="00574867"/>
    <w:rsid w:val="00591460"/>
    <w:rsid w:val="005A65E0"/>
    <w:rsid w:val="005C2959"/>
    <w:rsid w:val="005C3777"/>
    <w:rsid w:val="005C5CDC"/>
    <w:rsid w:val="005D476C"/>
    <w:rsid w:val="005D5603"/>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4CB8"/>
    <w:rsid w:val="008258C9"/>
    <w:rsid w:val="00844AE9"/>
    <w:rsid w:val="00867F95"/>
    <w:rsid w:val="008805E9"/>
    <w:rsid w:val="008843B6"/>
    <w:rsid w:val="00891928"/>
    <w:rsid w:val="008A446D"/>
    <w:rsid w:val="008B25F1"/>
    <w:rsid w:val="008D1015"/>
    <w:rsid w:val="008D180B"/>
    <w:rsid w:val="008D3334"/>
    <w:rsid w:val="008D6A13"/>
    <w:rsid w:val="008E20CD"/>
    <w:rsid w:val="008F0EA7"/>
    <w:rsid w:val="00915378"/>
    <w:rsid w:val="00923EEF"/>
    <w:rsid w:val="009419F9"/>
    <w:rsid w:val="0095685E"/>
    <w:rsid w:val="00961B09"/>
    <w:rsid w:val="00965334"/>
    <w:rsid w:val="0097093E"/>
    <w:rsid w:val="009745A0"/>
    <w:rsid w:val="009A0DFA"/>
    <w:rsid w:val="009A1C6F"/>
    <w:rsid w:val="009B2D26"/>
    <w:rsid w:val="009C71FA"/>
    <w:rsid w:val="009C72E7"/>
    <w:rsid w:val="009C7F7E"/>
    <w:rsid w:val="009D3058"/>
    <w:rsid w:val="009E2776"/>
    <w:rsid w:val="009F3A13"/>
    <w:rsid w:val="00A122D3"/>
    <w:rsid w:val="00A14468"/>
    <w:rsid w:val="00A17F13"/>
    <w:rsid w:val="00A20739"/>
    <w:rsid w:val="00A23AF9"/>
    <w:rsid w:val="00A33C78"/>
    <w:rsid w:val="00AB0ADB"/>
    <w:rsid w:val="00B00C0E"/>
    <w:rsid w:val="00B01B1A"/>
    <w:rsid w:val="00B0381D"/>
    <w:rsid w:val="00B2220C"/>
    <w:rsid w:val="00B25FEC"/>
    <w:rsid w:val="00B44A47"/>
    <w:rsid w:val="00B72CD3"/>
    <w:rsid w:val="00B72FFF"/>
    <w:rsid w:val="00BC3D36"/>
    <w:rsid w:val="00BD54A6"/>
    <w:rsid w:val="00BD6E87"/>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820C5"/>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4ACB"/>
    <w:rsid w:val="00F5664F"/>
    <w:rsid w:val="00F666C4"/>
    <w:rsid w:val="00F76AFC"/>
    <w:rsid w:val="00F911F8"/>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5C295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C2959"/>
    <w:rPr>
      <w:rFonts w:ascii="Geomanist Light" w:hAnsi="Geomanist Light"/>
      <w:lang w:val="es-ES"/>
    </w:rPr>
  </w:style>
  <w:style w:type="character" w:customStyle="1" w:styleId="s15">
    <w:name w:val="s15"/>
    <w:basedOn w:val="Fuentedeprrafopredeter"/>
    <w:rsid w:val="005C2959"/>
  </w:style>
  <w:style w:type="character" w:customStyle="1" w:styleId="spellingerror">
    <w:name w:val="spellingerror"/>
    <w:basedOn w:val="Fuentedeprrafopredeter"/>
    <w:rsid w:val="005C2959"/>
  </w:style>
  <w:style w:type="paragraph" w:customStyle="1" w:styleId="s16">
    <w:name w:val="s16"/>
    <w:basedOn w:val="Normal"/>
    <w:rsid w:val="005C295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7">
    <w:name w:val="s17"/>
    <w:basedOn w:val="Normal"/>
    <w:rsid w:val="005C295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www.colombiacompra.gov.co/wp-content/uploads/2024/08/cce-eicp-ma-04._manual_requisitos_habilitantes_v3_29-09-2023.pdf" TargetMode="External"/><Relationship Id="rId17"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esprode.org.co"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wp-content/uploads/2024/10/cce-sec-gi-06_guia_de_creacion_de_proponentes_plurales_en_el_secop_ii_29-05-2024.pdf?_gl=1*un01d0*_ga*MTc5MzEwNzY5OC4xNzU1NjUyMTk1*_ga_FE1Z7272J6*czE3NTU2NTIxOTUkbzEkZzAkdDE3NTU2NTIxOTUkajYwJGwwJGgw" TargetMode="External"/><Relationship Id="rId1" Type="http://schemas.openxmlformats.org/officeDocument/2006/relationships/hyperlink" Target="https://www.colombiacompra.gov.co/manuales-guias-y-pliegos-tipo/manuales-y-gui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FFD56E78-0E31-4D93-8662-528E055CD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TotalTime>
  <Pages>26</Pages>
  <Words>9171</Words>
  <Characters>50445</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2026-08-31T16:24:00Z</dcterms:created>
  <dcterms:modified xsi:type="dcterms:W3CDTF">2026-08-31T21:15:00Z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