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078952" w14:textId="77777777" w:rsidR="00C642E0" w:rsidRPr="00B22899" w:rsidRDefault="00C642E0" w:rsidP="00C642E0">
      <w:pPr>
        <w:pStyle w:val="Textoindependiente"/>
        <w:spacing w:after="0" w:line="240" w:lineRule="auto"/>
        <w:ind w:right="102"/>
        <w:jc w:val="both"/>
        <w:rPr>
          <w:rFonts w:ascii="Verdana" w:hAnsi="Verdana" w:cs="Arial"/>
          <w:b/>
          <w:color w:val="000000" w:themeColor="text1"/>
          <w:lang w:val="es-ES_tradnl"/>
        </w:rPr>
      </w:pPr>
      <w:bookmarkStart w:id="0" w:name="_Hlk143780582"/>
      <w:r w:rsidRPr="00B22899">
        <w:rPr>
          <w:rFonts w:ascii="Verdana" w:hAnsi="Verdana" w:cs="Arial"/>
          <w:b/>
          <w:color w:val="000000" w:themeColor="text1"/>
          <w:lang w:val="es-ES_tradnl"/>
        </w:rPr>
        <w:t xml:space="preserve">CONTRATO ESTATAL – Régimen jurídico </w:t>
      </w:r>
    </w:p>
    <w:p w14:paraId="482C1B81" w14:textId="77777777" w:rsidR="00C642E0" w:rsidRPr="00B22899" w:rsidRDefault="00C642E0" w:rsidP="00C642E0">
      <w:pPr>
        <w:pStyle w:val="Textoindependiente"/>
        <w:spacing w:after="0" w:line="240" w:lineRule="auto"/>
        <w:ind w:right="102"/>
        <w:jc w:val="both"/>
        <w:rPr>
          <w:rFonts w:ascii="Verdana" w:hAnsi="Verdana" w:cs="Arial"/>
          <w:color w:val="000000" w:themeColor="text1"/>
          <w:sz w:val="20"/>
          <w:szCs w:val="20"/>
          <w:lang w:val="es-ES_tradnl"/>
        </w:rPr>
      </w:pPr>
    </w:p>
    <w:p w14:paraId="5F28027F" w14:textId="77777777" w:rsidR="00C642E0" w:rsidRPr="00B22899" w:rsidRDefault="00C642E0" w:rsidP="00C642E0">
      <w:pPr>
        <w:spacing w:after="0" w:line="240" w:lineRule="auto"/>
        <w:jc w:val="both"/>
        <w:rPr>
          <w:rFonts w:ascii="Verdana" w:eastAsia="Arial" w:hAnsi="Verdana" w:cs="Arial"/>
          <w:color w:val="000000" w:themeColor="text1"/>
          <w:sz w:val="20"/>
          <w:szCs w:val="20"/>
        </w:rPr>
      </w:pPr>
      <w:r w:rsidRPr="00B22899">
        <w:rPr>
          <w:rFonts w:ascii="Verdana" w:eastAsia="Arial" w:hAnsi="Verdana" w:cs="Arial"/>
          <w:color w:val="000000" w:themeColor="text1"/>
          <w:sz w:val="20"/>
          <w:szCs w:val="20"/>
          <w:lang w:val="es-ES"/>
        </w:rPr>
        <w:t xml:space="preserve">El Estatuto General de Contratación de la Administración Pública define los contratos de obra, consultoría, prestación de servicios, concesión, encargos fiduciarios y fiducia pública. Sin embargo, se trata de un listado enunciativo, pues la Ley 80 de 1993 se integra con las tipologías contractuales previstas en el derecho privado. Por ello, </w:t>
      </w:r>
      <w:r w:rsidRPr="00B22899">
        <w:rPr>
          <w:rFonts w:ascii="Verdana" w:eastAsia="Arial" w:hAnsi="Verdana" w:cs="Arial"/>
          <w:color w:val="000000" w:themeColor="text1"/>
          <w:sz w:val="20"/>
          <w:szCs w:val="20"/>
        </w:rPr>
        <w:t>el inciso primero del artículo 13 dispone que “Los contratos que celebren las entidades a que se refiere el artículo 2o. del presente estatuto se regirán por las disposiciones comerciales y civiles pertinentes, salvo en las materias particularmente reguladas en esta ley”.</w:t>
      </w:r>
    </w:p>
    <w:p w14:paraId="1CF4ABCA" w14:textId="77777777" w:rsidR="00C642E0" w:rsidRPr="00B22899" w:rsidRDefault="00C642E0" w:rsidP="00C642E0">
      <w:pPr>
        <w:spacing w:after="0" w:line="240" w:lineRule="auto"/>
        <w:jc w:val="both"/>
        <w:rPr>
          <w:rFonts w:ascii="Verdana" w:eastAsia="Arial" w:hAnsi="Verdana" w:cs="Arial"/>
          <w:color w:val="000000" w:themeColor="text1"/>
          <w:sz w:val="20"/>
          <w:szCs w:val="20"/>
        </w:rPr>
      </w:pPr>
    </w:p>
    <w:p w14:paraId="716F1C34" w14:textId="77777777" w:rsidR="00C642E0" w:rsidRPr="00B22899" w:rsidRDefault="00C642E0" w:rsidP="00C642E0">
      <w:pPr>
        <w:spacing w:after="0" w:line="240" w:lineRule="auto"/>
        <w:jc w:val="both"/>
        <w:rPr>
          <w:rFonts w:ascii="Verdana" w:eastAsia="Arial" w:hAnsi="Verdana" w:cs="Arial"/>
          <w:color w:val="000000" w:themeColor="text1"/>
          <w:sz w:val="20"/>
          <w:szCs w:val="20"/>
        </w:rPr>
      </w:pPr>
      <w:r w:rsidRPr="00B22899">
        <w:rPr>
          <w:rFonts w:ascii="Verdana" w:eastAsia="Arial" w:hAnsi="Verdana" w:cs="Arial"/>
          <w:color w:val="000000" w:themeColor="text1"/>
          <w:sz w:val="20"/>
          <w:szCs w:val="20"/>
        </w:rPr>
        <w:t xml:space="preserve">Ello no implica una privatización absoluta del régimen contractual de las entidades públicas, pues la Ley 80 de 1993 –entre otros aspectos– regula especialmente la capacidad jurídica –inhabilidades, incompatibilidades, consorcios y uniones temporales y registro único de proponentes–, las reglas de selección objetiva –procedimientos de selección–, así como algunos aspectos de ejecución contractual –manejo del riesgo, cláusulas exorbitantes y tipologías contractuales–. Por ello, con excepción de las materias expresamente reguladas en el Estatuto de Contratación, es posible la aplicación de las normas de derecho privado. Esta precisión es importante, porque el comodato se encuentra tipificado en el Código Civil y allí se encuentra gran parte de su régimen jurídico. </w:t>
      </w:r>
    </w:p>
    <w:p w14:paraId="44B94513" w14:textId="77777777" w:rsidR="00C642E0" w:rsidRPr="00B22899" w:rsidRDefault="00C642E0" w:rsidP="00AA711A">
      <w:pPr>
        <w:spacing w:after="0"/>
        <w:rPr>
          <w:rFonts w:ascii="Verdana" w:eastAsia="Calibri" w:hAnsi="Verdana" w:cs="Arial"/>
          <w:b/>
          <w:bCs/>
          <w:color w:val="000000" w:themeColor="text1"/>
          <w:lang w:val="es-ES" w:eastAsia="es-ES"/>
        </w:rPr>
      </w:pPr>
    </w:p>
    <w:p w14:paraId="072E5323" w14:textId="77777777" w:rsidR="00252BCD" w:rsidRPr="00B22899" w:rsidRDefault="00252BCD" w:rsidP="00252BCD">
      <w:pPr>
        <w:pStyle w:val="Textoindependiente"/>
        <w:spacing w:after="240"/>
        <w:jc w:val="both"/>
        <w:rPr>
          <w:rFonts w:ascii="Verdana" w:hAnsi="Verdana" w:cs="Arial"/>
          <w:b/>
          <w:bCs/>
        </w:rPr>
      </w:pPr>
      <w:r w:rsidRPr="00B22899">
        <w:rPr>
          <w:rFonts w:ascii="Verdana" w:hAnsi="Verdana" w:cs="Arial"/>
          <w:b/>
          <w:bCs/>
        </w:rPr>
        <w:t>CONTRATO DE COMPRAVENTA – Concepto – Elementos – Regulación</w:t>
      </w:r>
    </w:p>
    <w:p w14:paraId="24BFF8EC" w14:textId="77777777" w:rsidR="00252BCD" w:rsidRPr="00B22899" w:rsidRDefault="00252BCD" w:rsidP="00252BCD">
      <w:pPr>
        <w:pStyle w:val="Textoindependiente"/>
        <w:spacing w:line="240" w:lineRule="auto"/>
        <w:jc w:val="both"/>
        <w:rPr>
          <w:rFonts w:ascii="Verdana" w:hAnsi="Verdana" w:cs="Arial"/>
          <w:sz w:val="20"/>
          <w:szCs w:val="20"/>
        </w:rPr>
      </w:pPr>
      <w:r w:rsidRPr="00B22899">
        <w:rPr>
          <w:rFonts w:ascii="Verdana" w:hAnsi="Verdana" w:cs="Arial"/>
          <w:sz w:val="20"/>
          <w:szCs w:val="20"/>
        </w:rPr>
        <w:t xml:space="preserve">El artículo 1849 del Código Civil define el contrato de compraventa como “en que una de las partes se obliga a dar una cosa y la otra a pagarla en dinero. Aquélla se dice vender y ésta comprar. El dinero que el comprador da por la cosa vendida se llama precio.” Se trata pues del acuerdo de voluntades en virtud del cual una parte se obliga a dar una cosa y la otra a pagarla en dinero. Tratándose de bienes raíces, el contrato se perfecciona cuando el acuerdo sobre la cosa y el precio se eleva a escritura pública, por lo que se reputa solemne: si el acuerdo no se contiene en ese instrumento público, no produce los efectos que está llamado a generar. </w:t>
      </w:r>
    </w:p>
    <w:p w14:paraId="06B8B26D" w14:textId="77777777" w:rsidR="00252BCD" w:rsidRPr="00B22899" w:rsidRDefault="00252BCD" w:rsidP="00252BCD">
      <w:pPr>
        <w:pStyle w:val="Textoindependiente"/>
        <w:spacing w:line="240" w:lineRule="auto"/>
        <w:jc w:val="both"/>
        <w:rPr>
          <w:rFonts w:ascii="Verdana" w:hAnsi="Verdana" w:cs="Arial"/>
          <w:sz w:val="20"/>
          <w:szCs w:val="20"/>
        </w:rPr>
      </w:pPr>
      <w:r w:rsidRPr="00B22899">
        <w:rPr>
          <w:rFonts w:ascii="Verdana" w:eastAsia="Calibri" w:hAnsi="Verdana" w:cs="Arial"/>
          <w:color w:val="000000" w:themeColor="text1"/>
          <w:sz w:val="20"/>
          <w:szCs w:val="20"/>
        </w:rPr>
        <w:t>[…]</w:t>
      </w:r>
    </w:p>
    <w:p w14:paraId="475ACB47" w14:textId="77777777" w:rsidR="00252BCD" w:rsidRPr="00B22899" w:rsidRDefault="00252BCD" w:rsidP="00252BCD">
      <w:pPr>
        <w:pStyle w:val="Textoindependiente"/>
        <w:spacing w:line="240" w:lineRule="auto"/>
        <w:jc w:val="both"/>
        <w:rPr>
          <w:rFonts w:ascii="Verdana" w:hAnsi="Verdana" w:cs="Arial"/>
          <w:sz w:val="20"/>
          <w:szCs w:val="20"/>
        </w:rPr>
      </w:pPr>
      <w:r w:rsidRPr="00B22899">
        <w:rPr>
          <w:rFonts w:ascii="Verdana" w:eastAsia="Calibri" w:hAnsi="Verdana" w:cs="Arial"/>
          <w:color w:val="000000" w:themeColor="text1"/>
          <w:sz w:val="20"/>
          <w:szCs w:val="20"/>
        </w:rPr>
        <w:t>Por otra parte, el artículo 905 del Código de Comercio preceptúa que la compraventa es un contrato “en que una de las partes se obliga a trasmitir la propiedad de una cosa y la otra a pagarla en dinero. El dinero que el comprador da por la cosa vendida se llama precio.” Es decir, que el vendedor se obliga a entregar y transferir la propiedad.</w:t>
      </w:r>
    </w:p>
    <w:p w14:paraId="1FE84AD3" w14:textId="77777777" w:rsidR="00252BCD" w:rsidRPr="00B22899" w:rsidRDefault="00252BCD" w:rsidP="00252BCD">
      <w:pPr>
        <w:pStyle w:val="Textoindependiente"/>
        <w:spacing w:line="240" w:lineRule="auto"/>
        <w:jc w:val="both"/>
        <w:rPr>
          <w:rFonts w:ascii="Verdana" w:hAnsi="Verdana" w:cs="Arial"/>
          <w:sz w:val="20"/>
          <w:szCs w:val="20"/>
        </w:rPr>
      </w:pPr>
      <w:r w:rsidRPr="00B22899">
        <w:rPr>
          <w:rFonts w:ascii="Verdana" w:eastAsia="Calibri" w:hAnsi="Verdana" w:cs="Arial"/>
          <w:color w:val="000000" w:themeColor="text1"/>
          <w:sz w:val="20"/>
          <w:szCs w:val="20"/>
        </w:rPr>
        <w:t>[…]</w:t>
      </w:r>
    </w:p>
    <w:p w14:paraId="04846E13" w14:textId="08938F2C" w:rsidR="00252BCD" w:rsidRPr="00B22899" w:rsidRDefault="00252BCD" w:rsidP="00252BCD">
      <w:pPr>
        <w:pStyle w:val="Textoindependiente"/>
        <w:spacing w:line="240" w:lineRule="auto"/>
        <w:jc w:val="both"/>
        <w:rPr>
          <w:rFonts w:ascii="Verdana" w:hAnsi="Verdana" w:cs="Arial"/>
          <w:sz w:val="20"/>
          <w:szCs w:val="20"/>
        </w:rPr>
      </w:pPr>
      <w:r w:rsidRPr="00B22899">
        <w:rPr>
          <w:rFonts w:ascii="Verdana" w:hAnsi="Verdana" w:cs="Arial"/>
          <w:sz w:val="20"/>
          <w:szCs w:val="20"/>
        </w:rPr>
        <w:t xml:space="preserve">Los elementos esenciales particulares del contrato de compraventa, de suerte que si falta uno no hay contrato o degenera en uno distinto, son: a) la cosa u objeto mismo del contrato; y b) el precio convenido; la cosa vendida, que es el objeto de la obligación del vendedor, debe existir o esperarse que exista, ser susceptible de ser vendida (comerciable) y singularizada (determinada); y el precio, que es la obligación del comprador, y debe ser en dinero o su equivalente, real, determinado y serio. Cuando se </w:t>
      </w:r>
      <w:r w:rsidRPr="00B22899">
        <w:rPr>
          <w:rFonts w:ascii="Verdana" w:hAnsi="Verdana" w:cs="Arial"/>
          <w:sz w:val="20"/>
          <w:szCs w:val="20"/>
        </w:rPr>
        <w:lastRenderedPageBreak/>
        <w:t>trate de la compraventa de bienes inmuebles, también es requisito la escritura pública, solemnidad constitutiva o ad substantiam actus y ad probationem, según el artículo 1857 del Código Civil, por cuya inteligencia “[l]a venta se reputa perfecta desde que las partes han convenido en la cosa y en el precio, salvo las excepciones siguientes: la venta de los bienes raíces y servidumbres y la de una sucesión hereditaria, no se reputan perfectas ante la ley, mientras no se ha otorgado escritura pública.”</w:t>
      </w:r>
    </w:p>
    <w:p w14:paraId="430BB144" w14:textId="77777777" w:rsidR="00252BCD" w:rsidRPr="00B22899" w:rsidRDefault="00252BCD" w:rsidP="00AA711A">
      <w:pPr>
        <w:spacing w:after="0"/>
        <w:rPr>
          <w:rFonts w:ascii="Verdana" w:eastAsia="Calibri" w:hAnsi="Verdana" w:cs="Arial"/>
          <w:b/>
          <w:bCs/>
          <w:color w:val="000000" w:themeColor="text1"/>
          <w:lang w:eastAsia="es-ES"/>
        </w:rPr>
      </w:pPr>
    </w:p>
    <w:p w14:paraId="28122685" w14:textId="4C827B19" w:rsidR="00AA711A" w:rsidRPr="00B22899" w:rsidRDefault="00AA711A" w:rsidP="00AA711A">
      <w:pPr>
        <w:spacing w:after="0"/>
        <w:rPr>
          <w:rFonts w:ascii="Verdana" w:eastAsia="Calibri" w:hAnsi="Verdana" w:cs="Arial"/>
          <w:b/>
          <w:bCs/>
          <w:color w:val="000000" w:themeColor="text1"/>
          <w:lang w:val="es-ES" w:eastAsia="es-ES"/>
        </w:rPr>
      </w:pPr>
      <w:r w:rsidRPr="00B22899">
        <w:rPr>
          <w:rFonts w:ascii="Verdana" w:eastAsia="Calibri" w:hAnsi="Verdana" w:cs="Arial"/>
          <w:b/>
          <w:bCs/>
          <w:color w:val="000000" w:themeColor="text1"/>
          <w:lang w:val="es-ES" w:eastAsia="es-ES"/>
        </w:rPr>
        <w:t>PRECIO ‒ Concepto</w:t>
      </w:r>
    </w:p>
    <w:p w14:paraId="5B5C7449" w14:textId="77777777" w:rsidR="00AA711A" w:rsidRPr="00B22899" w:rsidRDefault="00AA711A" w:rsidP="00AA711A">
      <w:pPr>
        <w:spacing w:after="0" w:line="276" w:lineRule="auto"/>
        <w:jc w:val="both"/>
        <w:rPr>
          <w:rFonts w:ascii="Verdana" w:eastAsia="Calibri" w:hAnsi="Verdana" w:cs="Arial"/>
          <w:color w:val="000000" w:themeColor="text1"/>
          <w:lang w:val="es-ES" w:eastAsia="es-ES"/>
        </w:rPr>
      </w:pPr>
    </w:p>
    <w:p w14:paraId="04E608AA" w14:textId="77777777" w:rsidR="00AA711A" w:rsidRPr="00B22899" w:rsidRDefault="00AA711A" w:rsidP="00AA711A">
      <w:pPr>
        <w:spacing w:after="0" w:line="240" w:lineRule="auto"/>
        <w:jc w:val="both"/>
        <w:rPr>
          <w:rFonts w:ascii="Verdana" w:hAnsi="Verdana" w:cs="Arial"/>
          <w:bCs/>
          <w:sz w:val="20"/>
          <w:szCs w:val="20"/>
          <w:lang w:val="es-ES_tradnl"/>
        </w:rPr>
      </w:pPr>
      <w:r w:rsidRPr="00B22899">
        <w:rPr>
          <w:rFonts w:ascii="Verdana" w:eastAsia="Calibri" w:hAnsi="Verdana" w:cs="Arial"/>
          <w:color w:val="000000" w:themeColor="text1"/>
          <w:sz w:val="20"/>
          <w:szCs w:val="20"/>
          <w:lang w:val="es-ES" w:eastAsia="es-ES"/>
        </w:rPr>
        <w:t xml:space="preserve">[…] </w:t>
      </w:r>
      <w:r w:rsidRPr="00B22899">
        <w:rPr>
          <w:rFonts w:ascii="Verdana" w:hAnsi="Verdana" w:cs="Arial"/>
          <w:bCs/>
          <w:sz w:val="20"/>
          <w:szCs w:val="20"/>
          <w:lang w:val="es-ES_tradnl"/>
        </w:rPr>
        <w:t>el precio es uno de los elementos esenciales de los contratos estatales, que por lo general se identifica con el valor del contrato. Aunque no todo contrato lo incluye –pues también existen negocios gratuitos– lo usual es que los contratos estatales se configuren como onerosos y, la mayoría de las veces, como conmutativos, cuando hay un acuerdo entre el objeto y la contraprestación pactado por escrito entre la Entidad Estatal y el contratista. El precio es un importante elemento para el contratista, porque equivale a la remuneración que la entidad contratante le pagará como retribución por la ejecución de las obligaciones de dar, hacer o no hacer previstas a su cargo en el contrato. Entonces, es el valor que se da por el objeto, generalmente en dinero, que debe ser determinado o determinable, en los términos de los artículos 1864 y 1865 del Código Civil. De manera general, está compuesto por dos elementos esenciales: los costos y la utilidad, cuya estructuración interna depende de las condiciones técnicas, financieras o regulatorias de cada contrato.</w:t>
      </w:r>
    </w:p>
    <w:p w14:paraId="07E703B4" w14:textId="77777777" w:rsidR="00AA711A" w:rsidRPr="00B22899" w:rsidRDefault="00AA711A" w:rsidP="00AA711A">
      <w:pPr>
        <w:spacing w:after="0"/>
        <w:rPr>
          <w:rFonts w:ascii="Verdana" w:eastAsia="Calibri" w:hAnsi="Verdana" w:cs="Arial"/>
          <w:color w:val="000000" w:themeColor="text1"/>
          <w:lang w:val="es-ES" w:eastAsia="es-ES"/>
        </w:rPr>
      </w:pPr>
    </w:p>
    <w:p w14:paraId="4485CEBB" w14:textId="77777777" w:rsidR="00AA711A" w:rsidRPr="00B22899" w:rsidRDefault="00AA711A" w:rsidP="00AA711A">
      <w:pPr>
        <w:spacing w:after="0"/>
        <w:rPr>
          <w:rFonts w:ascii="Verdana" w:eastAsia="Calibri" w:hAnsi="Verdana" w:cs="Arial"/>
          <w:b/>
          <w:bCs/>
          <w:color w:val="000000" w:themeColor="text1"/>
          <w:lang w:val="es-ES" w:eastAsia="es-ES"/>
        </w:rPr>
      </w:pPr>
      <w:r w:rsidRPr="00B22899">
        <w:rPr>
          <w:rFonts w:ascii="Verdana" w:eastAsia="Calibri" w:hAnsi="Verdana" w:cs="Arial"/>
          <w:b/>
          <w:bCs/>
          <w:color w:val="000000" w:themeColor="text1"/>
          <w:lang w:val="es-ES" w:eastAsia="es-ES"/>
        </w:rPr>
        <w:t>VALOR ESTIMADO DEL CONTRATO – Costo directos e indirectos</w:t>
      </w:r>
    </w:p>
    <w:p w14:paraId="5C58BA91" w14:textId="77777777" w:rsidR="00AA711A" w:rsidRPr="00B22899" w:rsidRDefault="00AA711A" w:rsidP="00AA711A">
      <w:pPr>
        <w:spacing w:after="0"/>
        <w:rPr>
          <w:rFonts w:ascii="Verdana" w:eastAsia="Calibri" w:hAnsi="Verdana" w:cs="Arial"/>
          <w:color w:val="000000" w:themeColor="text1"/>
          <w:lang w:val="es-ES" w:eastAsia="es-ES"/>
        </w:rPr>
      </w:pPr>
    </w:p>
    <w:p w14:paraId="52FA3653" w14:textId="77777777" w:rsidR="00AA711A" w:rsidRPr="00B22899" w:rsidRDefault="00AA711A" w:rsidP="00AA711A">
      <w:pPr>
        <w:widowControl w:val="0"/>
        <w:tabs>
          <w:tab w:val="left" w:pos="378"/>
        </w:tabs>
        <w:autoSpaceDE w:val="0"/>
        <w:autoSpaceDN w:val="0"/>
        <w:snapToGrid w:val="0"/>
        <w:spacing w:after="0" w:line="240" w:lineRule="auto"/>
        <w:ind w:right="113"/>
        <w:jc w:val="both"/>
        <w:rPr>
          <w:rFonts w:ascii="Verdana" w:hAnsi="Verdana"/>
          <w:sz w:val="20"/>
          <w:szCs w:val="20"/>
        </w:rPr>
      </w:pPr>
      <w:r w:rsidRPr="00B22899">
        <w:rPr>
          <w:rFonts w:ascii="Verdana" w:hAnsi="Verdana"/>
          <w:sz w:val="20"/>
          <w:szCs w:val="20"/>
        </w:rPr>
        <w:t>Frente a si una entidad sometida al Estatuto General de la Contratación puede incorporar y reconocer dentro del presupuesto los costos indirectos, la respuesta es afirmativa. El deber de planeación exige estimar el valor del contrato considerando tanto los costos directos —los implicados de manera inmediata en la ejecución del objeto— como los costos indirectos —aquellos que, sin vincularse directamente a las actividades contractuales, integran igualmente el precio, sea porque constituyen erogaciones administrativas o contingentes para el contratista, sea porque están dirigidos a salvaguardar su utilidad—. La entidad estatal goza de autonomía para configurar el precio y elegir el sistema de pago más apropiado, dentro de los límites del ordenamiento, siempre que la inclusión de tales costos obedezca a criterios de razonabilidad, proporcionalidad y conexidad con la ejecución contractual; no resulta admisible incorporar al precio rubros que carezcan de una vinculación objetiva con las actividades requeridas por el contrato.</w:t>
      </w:r>
    </w:p>
    <w:p w14:paraId="3B00C855" w14:textId="77777777" w:rsidR="00AA711A" w:rsidRPr="00B22899" w:rsidRDefault="00AA711A" w:rsidP="30821638">
      <w:pPr>
        <w:spacing w:after="0"/>
        <w:rPr>
          <w:rFonts w:ascii="Verdana" w:eastAsia="Verdana" w:hAnsi="Verdana" w:cs="Verdana"/>
        </w:rPr>
      </w:pPr>
    </w:p>
    <w:p w14:paraId="6564FE00" w14:textId="77777777" w:rsidR="00BB477B" w:rsidRPr="00B22899" w:rsidRDefault="00BB477B" w:rsidP="30821638">
      <w:pPr>
        <w:spacing w:after="0"/>
        <w:rPr>
          <w:rFonts w:ascii="Verdana" w:eastAsia="Verdana" w:hAnsi="Verdana" w:cs="Verdana"/>
        </w:rPr>
      </w:pPr>
    </w:p>
    <w:p w14:paraId="0EA3564F" w14:textId="77777777" w:rsidR="00CB1745" w:rsidRPr="00B22899" w:rsidRDefault="00CB1745" w:rsidP="30821638">
      <w:pPr>
        <w:spacing w:after="0"/>
        <w:rPr>
          <w:rFonts w:ascii="Verdana" w:eastAsia="Verdana" w:hAnsi="Verdana" w:cs="Verdana"/>
        </w:rPr>
      </w:pPr>
    </w:p>
    <w:p w14:paraId="2663614C" w14:textId="77777777" w:rsidR="00B8338C" w:rsidRDefault="00B8338C" w:rsidP="30821638">
      <w:pPr>
        <w:spacing w:after="0"/>
        <w:rPr>
          <w:rFonts w:ascii="Verdana" w:eastAsia="Verdana" w:hAnsi="Verdana" w:cs="Verdana"/>
        </w:rPr>
      </w:pPr>
    </w:p>
    <w:p w14:paraId="68025364" w14:textId="77777777" w:rsidR="00914721" w:rsidRPr="00B22899" w:rsidRDefault="00914721" w:rsidP="30821638">
      <w:pPr>
        <w:spacing w:after="0"/>
        <w:rPr>
          <w:rFonts w:ascii="Verdana" w:eastAsia="Verdana" w:hAnsi="Verdana" w:cs="Verdana"/>
        </w:rPr>
      </w:pPr>
    </w:p>
    <w:p w14:paraId="1468C46D" w14:textId="258B5072" w:rsidR="00C15139" w:rsidRDefault="00C15139" w:rsidP="30821638">
      <w:pPr>
        <w:spacing w:after="0"/>
        <w:rPr>
          <w:rFonts w:ascii="Verdana" w:hAnsi="Verdana"/>
        </w:rPr>
      </w:pPr>
      <w:r w:rsidRPr="00B22899">
        <w:rPr>
          <w:rFonts w:ascii="Verdana" w:eastAsia="Verdana" w:hAnsi="Verdana" w:cs="Verdana"/>
        </w:rPr>
        <w:lastRenderedPageBreak/>
        <w:t xml:space="preserve">Bogotá D.C., </w:t>
      </w:r>
      <w:r w:rsidR="00476DBC">
        <w:rPr>
          <w:rFonts w:ascii="Verdana" w:eastAsia="Verdana" w:hAnsi="Verdana" w:cs="Verdana"/>
        </w:rPr>
        <w:t>14 de agosto del 2026</w:t>
      </w:r>
      <w:r w:rsidRPr="00B22899">
        <w:rPr>
          <w:rFonts w:ascii="Verdana" w:hAnsi="Verdana"/>
        </w:rPr>
        <w:tab/>
      </w:r>
    </w:p>
    <w:p w14:paraId="327E8A56" w14:textId="4685F65E" w:rsidR="00914721" w:rsidRPr="00B22899" w:rsidRDefault="00914721" w:rsidP="00914721">
      <w:pPr>
        <w:spacing w:after="0"/>
        <w:jc w:val="right"/>
        <w:rPr>
          <w:rFonts w:ascii="Verdana" w:eastAsia="Verdana" w:hAnsi="Verdana" w:cs="Verdana"/>
        </w:rPr>
      </w:pPr>
      <w:r w:rsidRPr="00914721">
        <w:rPr>
          <w:rFonts w:ascii="Verdana" w:eastAsia="Verdana" w:hAnsi="Verdana" w:cs="Verdana"/>
          <w:noProof/>
        </w:rPr>
        <w:drawing>
          <wp:inline distT="0" distB="0" distL="0" distR="0" wp14:anchorId="1C493CFB" wp14:editId="40B531F0">
            <wp:extent cx="3086531" cy="828791"/>
            <wp:effectExtent l="0" t="0" r="0" b="9525"/>
            <wp:docPr id="1475976955"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5976955" name=""/>
                    <pic:cNvPicPr/>
                  </pic:nvPicPr>
                  <pic:blipFill>
                    <a:blip r:embed="rId11"/>
                    <a:stretch>
                      <a:fillRect/>
                    </a:stretch>
                  </pic:blipFill>
                  <pic:spPr>
                    <a:xfrm>
                      <a:off x="0" y="0"/>
                      <a:ext cx="3086531" cy="828791"/>
                    </a:xfrm>
                    <a:prstGeom prst="rect">
                      <a:avLst/>
                    </a:prstGeom>
                  </pic:spPr>
                </pic:pic>
              </a:graphicData>
            </a:graphic>
          </wp:inline>
        </w:drawing>
      </w:r>
    </w:p>
    <w:p w14:paraId="2527AAC2" w14:textId="5EE8F650" w:rsidR="005D13EE" w:rsidRPr="00B22899" w:rsidRDefault="005D13EE" w:rsidP="005D13EE">
      <w:pPr>
        <w:spacing w:after="0" w:line="240" w:lineRule="auto"/>
        <w:rPr>
          <w:rFonts w:ascii="Verdana" w:hAnsi="Verdana"/>
        </w:rPr>
      </w:pPr>
      <w:r w:rsidRPr="00B22899">
        <w:rPr>
          <w:rFonts w:ascii="Verdana" w:eastAsia="Calibri" w:hAnsi="Verdana" w:cs="Arial"/>
          <w:color w:val="000000" w:themeColor="text1"/>
          <w:lang w:val="es-ES" w:eastAsia="es-ES"/>
        </w:rPr>
        <w:t>Señor</w:t>
      </w:r>
      <w:r w:rsidR="00E13FBB" w:rsidRPr="00B22899">
        <w:rPr>
          <w:rFonts w:ascii="Verdana" w:eastAsia="Calibri" w:hAnsi="Verdana" w:cs="Arial"/>
          <w:color w:val="000000" w:themeColor="text1"/>
          <w:lang w:val="es-ES" w:eastAsia="es-ES"/>
        </w:rPr>
        <w:t>a:</w:t>
      </w:r>
    </w:p>
    <w:p w14:paraId="7DCEA41F" w14:textId="43748ECA" w:rsidR="005D13EE" w:rsidRPr="00B22899" w:rsidRDefault="002F438B" w:rsidP="005D13EE">
      <w:pPr>
        <w:spacing w:after="0" w:line="240" w:lineRule="auto"/>
        <w:jc w:val="both"/>
        <w:rPr>
          <w:rFonts w:ascii="Verdana" w:eastAsia="Calibri" w:hAnsi="Verdana" w:cs="Arial"/>
          <w:b/>
          <w:bCs/>
          <w:color w:val="000000" w:themeColor="text1"/>
          <w:lang w:eastAsia="es-ES"/>
        </w:rPr>
      </w:pPr>
      <w:r w:rsidRPr="00B22899">
        <w:rPr>
          <w:rFonts w:ascii="Verdana" w:eastAsia="Calibri" w:hAnsi="Verdana" w:cs="Arial"/>
          <w:b/>
          <w:bCs/>
          <w:color w:val="000000" w:themeColor="text1"/>
          <w:lang w:eastAsia="es-ES"/>
        </w:rPr>
        <w:t>Olga Carolina Castro</w:t>
      </w:r>
    </w:p>
    <w:p w14:paraId="362CAF53" w14:textId="35D101E2" w:rsidR="00272B65" w:rsidRPr="00B22899" w:rsidRDefault="00272B65" w:rsidP="005D13EE">
      <w:pPr>
        <w:spacing w:after="0" w:line="240" w:lineRule="auto"/>
        <w:rPr>
          <w:rFonts w:ascii="Verdana" w:hAnsi="Verdana"/>
        </w:rPr>
      </w:pPr>
      <w:hyperlink r:id="rId12" w:history="1">
        <w:r w:rsidRPr="00B22899">
          <w:rPr>
            <w:rStyle w:val="Hipervnculo"/>
            <w:rFonts w:ascii="Verdana" w:hAnsi="Verdana"/>
          </w:rPr>
          <w:t>olcacare19@gmail.com</w:t>
        </w:r>
      </w:hyperlink>
    </w:p>
    <w:p w14:paraId="41D3F67E" w14:textId="5A8B89A7" w:rsidR="005D13EE" w:rsidRPr="00B22899" w:rsidRDefault="005D13EE" w:rsidP="005D13EE">
      <w:pPr>
        <w:spacing w:after="0" w:line="240" w:lineRule="auto"/>
        <w:rPr>
          <w:rFonts w:ascii="Verdana" w:eastAsia="Calibri" w:hAnsi="Verdana" w:cs="Arial"/>
          <w:color w:val="000000" w:themeColor="text1"/>
          <w:lang w:val="es-ES_tradnl" w:eastAsia="es-ES"/>
        </w:rPr>
      </w:pPr>
      <w:r w:rsidRPr="00B22899">
        <w:rPr>
          <w:rFonts w:ascii="Verdana" w:eastAsia="Calibri" w:hAnsi="Verdana" w:cs="Arial"/>
          <w:color w:val="000000" w:themeColor="text1"/>
          <w:lang w:val="es-ES_tradnl" w:eastAsia="es-ES"/>
        </w:rPr>
        <w:t>Bogotá D.C.</w:t>
      </w:r>
    </w:p>
    <w:p w14:paraId="7BA40F6B" w14:textId="77777777" w:rsidR="005D13EE" w:rsidRPr="00B22899" w:rsidRDefault="005D13EE" w:rsidP="005D13EE">
      <w:pPr>
        <w:spacing w:after="0" w:line="240" w:lineRule="auto"/>
        <w:rPr>
          <w:rFonts w:ascii="Verdana" w:eastAsia="Calibri" w:hAnsi="Verdana" w:cs="Arial"/>
          <w:b/>
          <w:bCs/>
          <w:color w:val="000000" w:themeColor="text1"/>
          <w:highlight w:val="cyan"/>
          <w:lang w:val="es-ES_tradnl" w:eastAsia="es-ES_tradnl"/>
        </w:rPr>
      </w:pPr>
    </w:p>
    <w:p w14:paraId="19FC60E5" w14:textId="77777777" w:rsidR="00742B2A" w:rsidRPr="00B22899" w:rsidRDefault="00742B2A" w:rsidP="005D13EE">
      <w:pPr>
        <w:spacing w:after="0" w:line="240" w:lineRule="auto"/>
        <w:rPr>
          <w:rFonts w:ascii="Verdana" w:eastAsia="Calibri" w:hAnsi="Verdana" w:cs="Arial"/>
          <w:b/>
          <w:bCs/>
          <w:color w:val="000000" w:themeColor="text1"/>
          <w:highlight w:val="cyan"/>
          <w:lang w:val="es-ES_tradnl" w:eastAsia="es-ES_tradnl"/>
        </w:rPr>
      </w:pPr>
    </w:p>
    <w:p w14:paraId="5FF07F4B" w14:textId="5AFB1C7F" w:rsidR="005D13EE" w:rsidRPr="00B22899" w:rsidRDefault="005D13EE" w:rsidP="005D13EE">
      <w:pPr>
        <w:spacing w:after="0" w:line="240" w:lineRule="auto"/>
        <w:rPr>
          <w:rFonts w:ascii="Verdana" w:eastAsia="Calibri" w:hAnsi="Verdana" w:cs="Arial"/>
          <w:b/>
          <w:bCs/>
          <w:color w:val="000000" w:themeColor="text1"/>
          <w:lang w:val="es-ES_tradnl" w:eastAsia="es-ES_tradnl"/>
        </w:rPr>
      </w:pPr>
      <w:r w:rsidRPr="00B22899">
        <w:rPr>
          <w:rFonts w:ascii="Verdana" w:eastAsia="Calibri" w:hAnsi="Verdana" w:cs="Arial"/>
          <w:b/>
          <w:bCs/>
          <w:color w:val="000000" w:themeColor="text1"/>
          <w:lang w:val="es-ES_tradnl" w:eastAsia="es-ES_tradnl"/>
        </w:rPr>
        <w:t xml:space="preserve">                                   Concepto </w:t>
      </w:r>
      <w:r w:rsidR="00AC7A83" w:rsidRPr="00B22899">
        <w:rPr>
          <w:rFonts w:ascii="Verdana" w:eastAsia="Calibri" w:hAnsi="Verdana" w:cs="Arial"/>
          <w:b/>
          <w:bCs/>
          <w:color w:val="000000" w:themeColor="text1"/>
          <w:lang w:val="es-ES_tradnl" w:eastAsia="es-ES_tradnl"/>
        </w:rPr>
        <w:t>C-903</w:t>
      </w:r>
      <w:r w:rsidRPr="00B22899">
        <w:rPr>
          <w:rFonts w:ascii="Verdana" w:eastAsia="Calibri" w:hAnsi="Verdana" w:cs="Arial"/>
          <w:b/>
          <w:bCs/>
          <w:color w:val="000000" w:themeColor="text1"/>
          <w:lang w:val="es-ES_tradnl" w:eastAsia="es-ES_tradnl"/>
        </w:rPr>
        <w:t xml:space="preserve"> del 2026</w:t>
      </w:r>
    </w:p>
    <w:p w14:paraId="2850512A" w14:textId="77777777" w:rsidR="005D13EE" w:rsidRPr="00B22899" w:rsidRDefault="005D13EE" w:rsidP="005D13EE">
      <w:pPr>
        <w:spacing w:after="0" w:line="240" w:lineRule="auto"/>
        <w:rPr>
          <w:rFonts w:ascii="Verdana" w:eastAsia="Calibri" w:hAnsi="Verdana" w:cs="Arial"/>
          <w:b/>
          <w:bCs/>
          <w:color w:val="000000" w:themeColor="text1"/>
          <w:highlight w:val="cyan"/>
          <w:lang w:val="es-ES_tradnl" w:eastAsia="es-ES_tradnl"/>
        </w:rPr>
      </w:pPr>
    </w:p>
    <w:tbl>
      <w:tblPr>
        <w:tblStyle w:val="Tablaconcuadrcula"/>
        <w:tblW w:w="87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2689"/>
        <w:gridCol w:w="6100"/>
      </w:tblGrid>
      <w:tr w:rsidR="005D13EE" w:rsidRPr="00B22899" w14:paraId="2875B250" w14:textId="77777777" w:rsidTr="00C07D93">
        <w:trPr>
          <w:trHeight w:val="884"/>
        </w:trPr>
        <w:tc>
          <w:tcPr>
            <w:tcW w:w="2689" w:type="dxa"/>
          </w:tcPr>
          <w:p w14:paraId="2C4687D5" w14:textId="77777777" w:rsidR="005D13EE" w:rsidRPr="00B22899" w:rsidRDefault="005D13EE" w:rsidP="00C07D93">
            <w:pPr>
              <w:jc w:val="both"/>
              <w:rPr>
                <w:rFonts w:ascii="Verdana" w:eastAsia="Calibri" w:hAnsi="Verdana" w:cs="Arial"/>
                <w:color w:val="000000" w:themeColor="text1"/>
                <w:highlight w:val="cyan"/>
                <w:lang w:val="es-ES_tradnl" w:eastAsia="es-ES_tradnl"/>
              </w:rPr>
            </w:pPr>
            <w:r w:rsidRPr="00B22899">
              <w:rPr>
                <w:rFonts w:ascii="Verdana" w:eastAsia="Calibri" w:hAnsi="Verdana" w:cs="Arial"/>
                <w:b/>
                <w:color w:val="000000" w:themeColor="text1"/>
                <w:lang w:val="es-ES_tradnl" w:eastAsia="es-ES_tradnl"/>
              </w:rPr>
              <w:t>Temas:</w:t>
            </w:r>
            <w:r w:rsidRPr="00B22899">
              <w:rPr>
                <w:rFonts w:ascii="Verdana" w:eastAsia="Calibri" w:hAnsi="Verdana" w:cs="Arial"/>
                <w:color w:val="000000" w:themeColor="text1"/>
                <w:lang w:val="es-ES_tradnl" w:eastAsia="es-ES_tradnl"/>
              </w:rPr>
              <w:t xml:space="preserve">                   </w:t>
            </w:r>
          </w:p>
        </w:tc>
        <w:tc>
          <w:tcPr>
            <w:tcW w:w="6100" w:type="dxa"/>
          </w:tcPr>
          <w:p w14:paraId="05C91429" w14:textId="7425D7B5" w:rsidR="005D13EE" w:rsidRPr="00B22899" w:rsidRDefault="00217AD0" w:rsidP="00C07D93">
            <w:pPr>
              <w:jc w:val="both"/>
              <w:rPr>
                <w:rFonts w:ascii="Verdana" w:eastAsia="Calibri" w:hAnsi="Verdana" w:cs="Arial"/>
                <w:bCs/>
              </w:rPr>
            </w:pPr>
            <w:r w:rsidRPr="00B22899">
              <w:rPr>
                <w:rFonts w:ascii="Verdana" w:eastAsia="Calibri" w:hAnsi="Verdana" w:cs="Arial"/>
                <w:bCs/>
                <w:lang w:val="es-MX"/>
              </w:rPr>
              <w:t>CONTRATO ESTATAL – Régimen jurídico /</w:t>
            </w:r>
            <w:r w:rsidR="00BB477B" w:rsidRPr="00B22899">
              <w:rPr>
                <w:rFonts w:ascii="Verdana" w:eastAsia="Calibri" w:hAnsi="Verdana" w:cs="Arial"/>
                <w:bCs/>
                <w:lang w:val="es-MX"/>
              </w:rPr>
              <w:t xml:space="preserve"> CONTRATO DE COMPRAVENTA – Concepto – Elementos – Regulación / </w:t>
            </w:r>
            <w:r w:rsidRPr="00B22899">
              <w:rPr>
                <w:rFonts w:ascii="Verdana" w:eastAsia="Calibri" w:hAnsi="Verdana" w:cs="Arial"/>
                <w:bCs/>
                <w:lang w:val="es-MX"/>
              </w:rPr>
              <w:t>PRECIO ‒ Concepto / VALOR ESTIMADO DEL CONTRATO – Costo directos e indirectos</w:t>
            </w:r>
          </w:p>
          <w:p w14:paraId="2D120C7C" w14:textId="0EDE23D6" w:rsidR="00AD647D" w:rsidRPr="00B22899" w:rsidRDefault="00AD647D" w:rsidP="00C07D93">
            <w:pPr>
              <w:jc w:val="both"/>
              <w:rPr>
                <w:rFonts w:ascii="Verdana" w:eastAsia="Times New Roman" w:hAnsi="Verdana" w:cs="Arial"/>
                <w:bCs/>
                <w:highlight w:val="cyan"/>
                <w:lang w:val="es-ES" w:eastAsia="es-CO"/>
              </w:rPr>
            </w:pPr>
          </w:p>
        </w:tc>
      </w:tr>
      <w:tr w:rsidR="005D13EE" w:rsidRPr="00B22899" w14:paraId="4A4DC787" w14:textId="77777777" w:rsidTr="00C07D93">
        <w:tc>
          <w:tcPr>
            <w:tcW w:w="2689" w:type="dxa"/>
          </w:tcPr>
          <w:p w14:paraId="4646628E" w14:textId="77777777" w:rsidR="005D13EE" w:rsidRPr="00B22899" w:rsidRDefault="005D13EE" w:rsidP="00C07D93">
            <w:pPr>
              <w:jc w:val="both"/>
              <w:rPr>
                <w:rFonts w:ascii="Verdana" w:eastAsia="Calibri" w:hAnsi="Verdana" w:cs="Arial"/>
                <w:b/>
                <w:color w:val="000000" w:themeColor="text1"/>
                <w:lang w:val="es-ES_tradnl" w:eastAsia="es-ES_tradnl"/>
              </w:rPr>
            </w:pPr>
            <w:r w:rsidRPr="00B22899">
              <w:rPr>
                <w:rFonts w:ascii="Verdana" w:eastAsia="Calibri" w:hAnsi="Verdana" w:cs="Arial"/>
                <w:b/>
                <w:color w:val="000000" w:themeColor="text1"/>
                <w:lang w:val="es-ES_tradnl" w:eastAsia="es-ES_tradnl"/>
              </w:rPr>
              <w:t>Radicación:</w:t>
            </w:r>
            <w:r w:rsidRPr="00B22899">
              <w:rPr>
                <w:rFonts w:ascii="Verdana" w:eastAsia="Calibri" w:hAnsi="Verdana" w:cs="Arial"/>
                <w:color w:val="000000" w:themeColor="text1"/>
                <w:lang w:val="es-ES_tradnl" w:eastAsia="es-ES_tradnl"/>
              </w:rPr>
              <w:t xml:space="preserve">               </w:t>
            </w:r>
          </w:p>
        </w:tc>
        <w:tc>
          <w:tcPr>
            <w:tcW w:w="6100" w:type="dxa"/>
          </w:tcPr>
          <w:p w14:paraId="153FC3F8" w14:textId="2A78743B" w:rsidR="005D13EE" w:rsidRPr="00B22899" w:rsidRDefault="005D13EE" w:rsidP="00C07D93">
            <w:pPr>
              <w:jc w:val="both"/>
              <w:rPr>
                <w:rFonts w:ascii="Verdana" w:eastAsia="Calibri" w:hAnsi="Verdana" w:cs="Arial"/>
                <w:color w:val="000000" w:themeColor="text1"/>
                <w:lang w:eastAsia="es-ES_tradnl"/>
              </w:rPr>
            </w:pPr>
            <w:r w:rsidRPr="00B22899">
              <w:rPr>
                <w:rFonts w:ascii="Verdana" w:eastAsia="Calibri" w:hAnsi="Verdana" w:cs="Arial"/>
                <w:color w:val="000000" w:themeColor="text1"/>
                <w:lang w:val="es-ES_tradnl" w:eastAsia="es-ES_tradnl"/>
              </w:rPr>
              <w:t>Respuesta a consulta con radicado No.</w:t>
            </w:r>
            <w:r w:rsidRPr="00B22899">
              <w:rPr>
                <w:rFonts w:ascii="Verdana" w:hAnsi="Verdana"/>
              </w:rPr>
              <w:t xml:space="preserve"> </w:t>
            </w:r>
            <w:r w:rsidR="00AC7A83" w:rsidRPr="00B22899">
              <w:rPr>
                <w:rFonts w:ascii="Verdana" w:hAnsi="Verdana"/>
              </w:rPr>
              <w:t>1_2026_07_06_008944</w:t>
            </w:r>
          </w:p>
        </w:tc>
      </w:tr>
    </w:tbl>
    <w:p w14:paraId="19ABC3D9" w14:textId="77777777" w:rsidR="005D13EE" w:rsidRPr="00B22899" w:rsidRDefault="005D13EE" w:rsidP="005D13EE">
      <w:pPr>
        <w:spacing w:after="0" w:line="240" w:lineRule="auto"/>
        <w:jc w:val="both"/>
        <w:rPr>
          <w:rFonts w:ascii="Verdana" w:eastAsia="Calibri" w:hAnsi="Verdana" w:cs="Arial"/>
          <w:color w:val="000000" w:themeColor="text1"/>
          <w:highlight w:val="cyan"/>
          <w:lang w:val="es-ES" w:eastAsia="es-ES"/>
        </w:rPr>
      </w:pPr>
    </w:p>
    <w:p w14:paraId="50E709B3" w14:textId="77777777" w:rsidR="00742B2A" w:rsidRPr="00B22899" w:rsidRDefault="00742B2A" w:rsidP="005D13EE">
      <w:pPr>
        <w:spacing w:after="0" w:line="240" w:lineRule="auto"/>
        <w:jc w:val="both"/>
        <w:rPr>
          <w:rFonts w:ascii="Verdana" w:eastAsia="Calibri" w:hAnsi="Verdana" w:cs="Arial"/>
          <w:color w:val="000000" w:themeColor="text1"/>
          <w:highlight w:val="cyan"/>
          <w:lang w:val="es-ES" w:eastAsia="es-ES"/>
        </w:rPr>
      </w:pPr>
    </w:p>
    <w:p w14:paraId="6D8515C0" w14:textId="11755D6B" w:rsidR="005D13EE" w:rsidRPr="00B22899" w:rsidRDefault="005D13EE" w:rsidP="005D13EE">
      <w:pPr>
        <w:spacing w:after="0" w:line="276" w:lineRule="auto"/>
        <w:jc w:val="both"/>
        <w:rPr>
          <w:rFonts w:ascii="Verdana" w:eastAsia="Calibri" w:hAnsi="Verdana" w:cs="Arial"/>
          <w:color w:val="000000" w:themeColor="text1"/>
          <w:lang w:val="es-ES" w:eastAsia="es-ES"/>
        </w:rPr>
      </w:pPr>
      <w:r w:rsidRPr="00B22899">
        <w:rPr>
          <w:rFonts w:ascii="Verdana" w:eastAsia="Calibri" w:hAnsi="Verdana" w:cs="Arial"/>
          <w:color w:val="000000" w:themeColor="text1"/>
          <w:lang w:val="es-ES" w:eastAsia="es-ES"/>
        </w:rPr>
        <w:t>Estimad</w:t>
      </w:r>
      <w:r w:rsidR="002F438B" w:rsidRPr="00B22899">
        <w:rPr>
          <w:rFonts w:ascii="Verdana" w:eastAsia="Calibri" w:hAnsi="Verdana" w:cs="Arial"/>
          <w:color w:val="000000" w:themeColor="text1"/>
          <w:lang w:val="es-ES" w:eastAsia="es-ES"/>
        </w:rPr>
        <w:t>a</w:t>
      </w:r>
      <w:r w:rsidRPr="00B22899">
        <w:rPr>
          <w:rFonts w:ascii="Verdana" w:eastAsia="Calibri" w:hAnsi="Verdana" w:cs="Arial"/>
          <w:color w:val="000000" w:themeColor="text1"/>
          <w:lang w:val="es-ES" w:eastAsia="es-ES"/>
        </w:rPr>
        <w:t xml:space="preserve"> señor</w:t>
      </w:r>
      <w:r w:rsidR="002F438B" w:rsidRPr="00B22899">
        <w:rPr>
          <w:rFonts w:ascii="Verdana" w:eastAsia="Calibri" w:hAnsi="Verdana" w:cs="Arial"/>
          <w:color w:val="000000" w:themeColor="text1"/>
          <w:lang w:val="es-ES" w:eastAsia="es-ES"/>
        </w:rPr>
        <w:t>a</w:t>
      </w:r>
      <w:r w:rsidRPr="00B22899">
        <w:rPr>
          <w:rFonts w:ascii="Verdana" w:eastAsia="Calibri" w:hAnsi="Verdana" w:cs="Arial"/>
          <w:color w:val="000000" w:themeColor="text1"/>
          <w:lang w:val="es-ES" w:eastAsia="es-ES"/>
        </w:rPr>
        <w:t xml:space="preserve"> </w:t>
      </w:r>
      <w:r w:rsidR="002F438B" w:rsidRPr="00B22899">
        <w:rPr>
          <w:rFonts w:ascii="Verdana" w:eastAsia="Calibri" w:hAnsi="Verdana" w:cs="Arial"/>
          <w:color w:val="000000" w:themeColor="text1"/>
          <w:lang w:eastAsia="es-ES"/>
        </w:rPr>
        <w:t>Castro</w:t>
      </w:r>
      <w:r w:rsidRPr="00B22899">
        <w:rPr>
          <w:rFonts w:ascii="Verdana" w:eastAsia="Calibri" w:hAnsi="Verdana" w:cs="Arial"/>
          <w:color w:val="000000" w:themeColor="text1"/>
          <w:lang w:val="es-ES" w:eastAsia="es-ES"/>
        </w:rPr>
        <w:t xml:space="preserve">: </w:t>
      </w:r>
    </w:p>
    <w:p w14:paraId="25A05040" w14:textId="77777777" w:rsidR="005D13EE" w:rsidRPr="00B22899" w:rsidRDefault="005D13EE" w:rsidP="005D13EE">
      <w:pPr>
        <w:spacing w:after="0" w:line="276" w:lineRule="auto"/>
        <w:rPr>
          <w:rFonts w:ascii="Verdana" w:eastAsia="Times New Roman" w:hAnsi="Verdana" w:cs="Segoe UI"/>
          <w:highlight w:val="cyan"/>
          <w:lang w:eastAsia="es-CO"/>
        </w:rPr>
      </w:pPr>
    </w:p>
    <w:p w14:paraId="12337780" w14:textId="050DF89C" w:rsidR="005D13EE" w:rsidRPr="00B22899" w:rsidRDefault="005D13EE" w:rsidP="005D13EE">
      <w:pPr>
        <w:spacing w:after="0" w:line="276" w:lineRule="auto"/>
        <w:jc w:val="both"/>
        <w:rPr>
          <w:rFonts w:ascii="Verdana" w:eastAsia="Calibri" w:hAnsi="Verdana" w:cs="Arial"/>
          <w:lang w:val="es-ES" w:eastAsia="es-ES"/>
        </w:rPr>
      </w:pPr>
      <w:r w:rsidRPr="00B22899">
        <w:rPr>
          <w:rFonts w:ascii="Verdana" w:eastAsia="Calibri" w:hAnsi="Verdana" w:cs="Arial"/>
          <w:lang w:val="es-ES" w:eastAsia="es-ES"/>
        </w:rPr>
        <w:t>En ejercicio de la competencia otorgada por los artículos 3, numeral 5º, y 11, numeral 8º, del Decreto Ley 4170 de 2011,</w:t>
      </w:r>
      <w:r w:rsidRPr="00B22899">
        <w:rPr>
          <w:rFonts w:ascii="Verdana" w:eastAsia="Arial MT" w:hAnsi="Verdana" w:cs="Arial"/>
          <w:lang w:val="es-ES" w:eastAsia="es-ES"/>
        </w:rPr>
        <w:t xml:space="preserve"> </w:t>
      </w:r>
      <w:r w:rsidRPr="00B22899">
        <w:rPr>
          <w:rFonts w:ascii="Verdana" w:hAnsi="Verdana" w:cs="Arial"/>
        </w:rPr>
        <w:t xml:space="preserve">así como lo establecido en el artículo 4 de la Resolución 1707 de 2018 expedida por esta Entidad, </w:t>
      </w:r>
      <w:r w:rsidRPr="00B22899">
        <w:rPr>
          <w:rFonts w:ascii="Verdana" w:eastAsia="Calibri" w:hAnsi="Verdana" w:cs="Arial"/>
          <w:lang w:val="es-ES" w:eastAsia="es-ES"/>
        </w:rPr>
        <w:t xml:space="preserve">la Agencia Nacional de Contratación Pública – Colombia Compra Eficiente– responde su solicitud radicada el </w:t>
      </w:r>
      <w:r w:rsidR="001D6116" w:rsidRPr="00B22899">
        <w:rPr>
          <w:rFonts w:ascii="Verdana" w:eastAsia="Calibri" w:hAnsi="Verdana" w:cs="Arial"/>
          <w:lang w:val="es-ES" w:eastAsia="es-ES"/>
        </w:rPr>
        <w:t>25 de junio del 2026</w:t>
      </w:r>
      <w:r w:rsidRPr="00B22899">
        <w:rPr>
          <w:rFonts w:ascii="Verdana" w:eastAsia="Calibri" w:hAnsi="Verdana" w:cs="Arial"/>
          <w:lang w:val="es-ES" w:eastAsia="es-ES"/>
        </w:rPr>
        <w:t>,</w:t>
      </w:r>
      <w:r w:rsidR="001D6116" w:rsidRPr="00B22899">
        <w:rPr>
          <w:rFonts w:ascii="Verdana" w:eastAsia="Calibri" w:hAnsi="Verdana" w:cs="Arial"/>
          <w:lang w:val="es-ES" w:eastAsia="es-ES"/>
        </w:rPr>
        <w:t xml:space="preserve"> </w:t>
      </w:r>
      <w:r w:rsidR="001969DE" w:rsidRPr="00B22899">
        <w:rPr>
          <w:rFonts w:ascii="Verdana" w:eastAsia="Calibri" w:hAnsi="Verdana" w:cs="Arial"/>
          <w:lang w:val="es-ES" w:eastAsia="es-ES"/>
        </w:rPr>
        <w:t xml:space="preserve">trasladada por el Departamento Administrativo de la Función Pública, el </w:t>
      </w:r>
      <w:r w:rsidR="008C37C5" w:rsidRPr="00B22899">
        <w:rPr>
          <w:rFonts w:ascii="Verdana" w:eastAsia="Calibri" w:hAnsi="Verdana" w:cs="Arial"/>
          <w:lang w:val="es-ES" w:eastAsia="es-ES"/>
        </w:rPr>
        <w:t>02 de julio del 2026</w:t>
      </w:r>
      <w:r w:rsidR="00596DA3" w:rsidRPr="00B22899">
        <w:rPr>
          <w:rFonts w:ascii="Verdana" w:eastAsia="Calibri" w:hAnsi="Verdana" w:cs="Arial"/>
          <w:lang w:val="es-ES" w:eastAsia="es-ES"/>
        </w:rPr>
        <w:t xml:space="preserve">, </w:t>
      </w:r>
      <w:r w:rsidRPr="00B22899">
        <w:rPr>
          <w:rFonts w:ascii="Verdana" w:eastAsia="Calibri" w:hAnsi="Verdana" w:cs="Arial"/>
          <w:lang w:val="es-ES" w:eastAsia="es-ES"/>
        </w:rPr>
        <w:t xml:space="preserve">en la cual manifiesta lo siguiente: </w:t>
      </w:r>
    </w:p>
    <w:p w14:paraId="5B7C3194" w14:textId="77777777" w:rsidR="005D13EE" w:rsidRPr="00B22899" w:rsidRDefault="005D13EE" w:rsidP="005D13EE">
      <w:pPr>
        <w:spacing w:after="0" w:line="276" w:lineRule="auto"/>
        <w:jc w:val="both"/>
        <w:rPr>
          <w:rFonts w:ascii="Verdana" w:eastAsia="Calibri" w:hAnsi="Verdana" w:cs="Arial"/>
          <w:highlight w:val="cyan"/>
          <w:lang w:val="es-ES" w:eastAsia="es-ES"/>
        </w:rPr>
      </w:pPr>
    </w:p>
    <w:p w14:paraId="33EBAF76" w14:textId="051FFFE8" w:rsidR="00E37970" w:rsidRPr="00B22899" w:rsidRDefault="005D13EE" w:rsidP="005D13EE">
      <w:pPr>
        <w:spacing w:after="0" w:line="240" w:lineRule="auto"/>
        <w:ind w:left="709" w:right="709"/>
        <w:jc w:val="both"/>
        <w:rPr>
          <w:rFonts w:ascii="Verdana" w:eastAsia="Century Gothic" w:hAnsi="Verdana" w:cs="Arial"/>
          <w:sz w:val="20"/>
          <w:szCs w:val="20"/>
        </w:rPr>
      </w:pPr>
      <w:r w:rsidRPr="00B22899">
        <w:rPr>
          <w:rFonts w:ascii="Verdana" w:eastAsia="Century Gothic" w:hAnsi="Verdana" w:cs="Arial"/>
          <w:sz w:val="20"/>
          <w:szCs w:val="20"/>
          <w:lang w:val="es-ES"/>
        </w:rPr>
        <w:t xml:space="preserve">“[…] </w:t>
      </w:r>
      <w:r w:rsidR="00244D6E" w:rsidRPr="00B22899">
        <w:rPr>
          <w:rFonts w:ascii="Verdana" w:eastAsia="Century Gothic" w:hAnsi="Verdana" w:cs="Arial"/>
          <w:sz w:val="20"/>
          <w:szCs w:val="20"/>
        </w:rPr>
        <w:t xml:space="preserve">En </w:t>
      </w:r>
      <w:r w:rsidR="00A215C7" w:rsidRPr="00B22899">
        <w:rPr>
          <w:rFonts w:ascii="Verdana" w:eastAsia="Century Gothic" w:hAnsi="Verdana" w:cs="Arial"/>
          <w:sz w:val="20"/>
          <w:szCs w:val="20"/>
        </w:rPr>
        <w:t xml:space="preserve">un contrato de </w:t>
      </w:r>
      <w:r w:rsidR="00E37970" w:rsidRPr="00B22899">
        <w:rPr>
          <w:rFonts w:ascii="Verdana" w:eastAsia="Century Gothic" w:hAnsi="Verdana" w:cs="Arial"/>
          <w:sz w:val="20"/>
          <w:szCs w:val="20"/>
        </w:rPr>
        <w:t>compraventa</w:t>
      </w:r>
      <w:r w:rsidR="00A215C7" w:rsidRPr="00B22899">
        <w:rPr>
          <w:rFonts w:ascii="Verdana" w:eastAsia="Century Gothic" w:hAnsi="Verdana" w:cs="Arial"/>
          <w:sz w:val="20"/>
          <w:szCs w:val="20"/>
        </w:rPr>
        <w:t xml:space="preserve"> de vehículos realizado por una entidad estatal puede ir inmerso y discriminado en el contrato cuento cuestan los impuestos municipales y puede incluirse un ítem de administración en este último como administración va inmer</w:t>
      </w:r>
      <w:r w:rsidR="00E37970" w:rsidRPr="00B22899">
        <w:rPr>
          <w:rFonts w:ascii="Verdana" w:eastAsia="Century Gothic" w:hAnsi="Verdana" w:cs="Arial"/>
          <w:sz w:val="20"/>
          <w:szCs w:val="20"/>
        </w:rPr>
        <w:t xml:space="preserve">sos los gastos de matrícula de los vehículos, </w:t>
      </w:r>
      <w:r w:rsidR="0088113B" w:rsidRPr="00B22899">
        <w:rPr>
          <w:rFonts w:ascii="Verdana" w:eastAsia="Century Gothic" w:hAnsi="Verdana" w:cs="Arial"/>
          <w:sz w:val="20"/>
          <w:szCs w:val="20"/>
        </w:rPr>
        <w:t>SOAT</w:t>
      </w:r>
      <w:r w:rsidR="00E37970" w:rsidRPr="00B22899">
        <w:rPr>
          <w:rFonts w:ascii="Verdana" w:eastAsia="Century Gothic" w:hAnsi="Verdana" w:cs="Arial"/>
          <w:sz w:val="20"/>
          <w:szCs w:val="20"/>
        </w:rPr>
        <w:t xml:space="preserve"> de los vehículos y gastos de desplazamiento.</w:t>
      </w:r>
    </w:p>
    <w:p w14:paraId="4F4207DF" w14:textId="77777777" w:rsidR="00E37970" w:rsidRPr="00B22899" w:rsidRDefault="00E37970" w:rsidP="005D13EE">
      <w:pPr>
        <w:spacing w:after="0" w:line="240" w:lineRule="auto"/>
        <w:ind w:left="709" w:right="709"/>
        <w:jc w:val="both"/>
        <w:rPr>
          <w:rFonts w:ascii="Verdana" w:eastAsia="Century Gothic" w:hAnsi="Verdana" w:cs="Arial"/>
          <w:sz w:val="20"/>
          <w:szCs w:val="20"/>
        </w:rPr>
      </w:pPr>
    </w:p>
    <w:p w14:paraId="603B1AEF" w14:textId="77777777" w:rsidR="00594D56" w:rsidRPr="00B22899" w:rsidRDefault="00E37970" w:rsidP="005D13EE">
      <w:pPr>
        <w:spacing w:after="0" w:line="240" w:lineRule="auto"/>
        <w:ind w:left="709" w:right="709"/>
        <w:jc w:val="both"/>
        <w:rPr>
          <w:rFonts w:ascii="Verdana" w:eastAsia="Century Gothic" w:hAnsi="Verdana" w:cs="Arial"/>
          <w:sz w:val="20"/>
          <w:szCs w:val="20"/>
        </w:rPr>
      </w:pPr>
      <w:r w:rsidRPr="00B22899">
        <w:rPr>
          <w:rFonts w:ascii="Verdana" w:eastAsia="Century Gothic" w:hAnsi="Verdana" w:cs="Arial"/>
          <w:sz w:val="20"/>
          <w:szCs w:val="20"/>
        </w:rPr>
        <w:t xml:space="preserve">Existe inconveniente que la entidad cancele los rubros como el contrato y la contratista </w:t>
      </w:r>
      <w:r w:rsidR="00E5638C" w:rsidRPr="00B22899">
        <w:rPr>
          <w:rFonts w:ascii="Verdana" w:eastAsia="Century Gothic" w:hAnsi="Verdana" w:cs="Arial"/>
          <w:sz w:val="20"/>
          <w:szCs w:val="20"/>
        </w:rPr>
        <w:t xml:space="preserve">lo discrimino o la entidad no puede cancelar esos rubros de </w:t>
      </w:r>
      <w:r w:rsidR="00E5638C" w:rsidRPr="00B22899">
        <w:rPr>
          <w:rFonts w:ascii="Verdana" w:eastAsia="Century Gothic" w:hAnsi="Verdana" w:cs="Arial"/>
          <w:sz w:val="20"/>
          <w:szCs w:val="20"/>
        </w:rPr>
        <w:lastRenderedPageBreak/>
        <w:t>administración y de impuestos municipales al estar mencionados y desglosados en el contrato.</w:t>
      </w:r>
    </w:p>
    <w:p w14:paraId="5032C32E" w14:textId="77777777" w:rsidR="00594D56" w:rsidRPr="00B22899" w:rsidRDefault="00594D56" w:rsidP="005D13EE">
      <w:pPr>
        <w:spacing w:after="0" w:line="240" w:lineRule="auto"/>
        <w:ind w:left="709" w:right="709"/>
        <w:jc w:val="both"/>
        <w:rPr>
          <w:rFonts w:ascii="Verdana" w:eastAsia="Century Gothic" w:hAnsi="Verdana" w:cs="Arial"/>
          <w:sz w:val="20"/>
          <w:szCs w:val="20"/>
        </w:rPr>
      </w:pPr>
    </w:p>
    <w:p w14:paraId="4686F0ED" w14:textId="6409AF54" w:rsidR="005D13EE" w:rsidRPr="00B22899" w:rsidRDefault="00594D56" w:rsidP="005D13EE">
      <w:pPr>
        <w:spacing w:after="0" w:line="240" w:lineRule="auto"/>
        <w:ind w:left="709" w:right="709"/>
        <w:jc w:val="both"/>
        <w:rPr>
          <w:rFonts w:ascii="Verdana" w:eastAsia="Century Gothic" w:hAnsi="Verdana" w:cs="Arial"/>
          <w:sz w:val="20"/>
          <w:szCs w:val="20"/>
        </w:rPr>
      </w:pPr>
      <w:r w:rsidRPr="00B22899">
        <w:rPr>
          <w:rFonts w:ascii="Verdana" w:eastAsia="Century Gothic" w:hAnsi="Verdana" w:cs="Arial"/>
          <w:sz w:val="20"/>
          <w:szCs w:val="20"/>
        </w:rPr>
        <w:t xml:space="preserve">Hay norma que prohíba el concepto de administración en los contratos de compraventa de ser así mencione y cité la norma o concepto que lo prohíbe o norma y concepto que lo permite. </w:t>
      </w:r>
      <w:r w:rsidR="005D13EE" w:rsidRPr="00B22899">
        <w:rPr>
          <w:rFonts w:ascii="Verdana" w:eastAsia="Century Gothic" w:hAnsi="Verdana" w:cs="Arial"/>
          <w:sz w:val="20"/>
          <w:szCs w:val="20"/>
        </w:rPr>
        <w:t>[…]”</w:t>
      </w:r>
    </w:p>
    <w:p w14:paraId="41D59F18" w14:textId="77777777" w:rsidR="005D13EE" w:rsidRPr="00B22899" w:rsidRDefault="005D13EE" w:rsidP="005D13EE">
      <w:pPr>
        <w:spacing w:after="0" w:line="276" w:lineRule="auto"/>
        <w:jc w:val="both"/>
        <w:rPr>
          <w:rFonts w:ascii="Verdana" w:hAnsi="Verdana" w:cs="Arial"/>
          <w:highlight w:val="cyan"/>
          <w:lang w:val="es-ES"/>
        </w:rPr>
      </w:pPr>
    </w:p>
    <w:p w14:paraId="3B45443F" w14:textId="77777777" w:rsidR="005D13EE" w:rsidRPr="00B22899" w:rsidRDefault="005D13EE" w:rsidP="005D13EE">
      <w:pPr>
        <w:spacing w:after="120" w:line="276" w:lineRule="auto"/>
        <w:ind w:firstLine="709"/>
        <w:jc w:val="both"/>
        <w:rPr>
          <w:rFonts w:ascii="Verdana" w:eastAsia="Calibri" w:hAnsi="Verdana" w:cs="Arial"/>
          <w:color w:val="000000"/>
          <w:lang w:val="es-ES_tradnl" w:eastAsia="es-ES_tradnl"/>
        </w:rPr>
      </w:pPr>
      <w:r w:rsidRPr="00B22899">
        <w:rPr>
          <w:rFonts w:ascii="Verdana" w:eastAsia="Calibri" w:hAnsi="Verdana" w:cs="Arial"/>
          <w:color w:val="000000"/>
          <w:lang w:val="es-ES" w:eastAsia="es-ES"/>
        </w:rPr>
        <w:t>De manera preliminar, resulta necesario acotar que esta entidad solo tiene competencia para responder consultas sobre la aplicación de normas de carácter general en materia de compras y contratación pública. En ese sentido, resolver casos particulares desborda las atribuciones asignadas por el legislador extraordinario, que no concibió a la Agencia Nacional de Contratación Pública - Colombia Compra Eficiente como una autoridad para solucionar problemas jurídicos particulares de todos los partícipes del sistema de compra pública. La competencia de esta entidad se fija con límites claros, con el objeto de evitar que la Agencia actúe como una instancia de validación de las actuaciones de las entidades sujetas a la Ley 80 de 1993 o de los demás participantes de la contratación pública. Esta competencia de interpretación de normas generales, por definición, no puede extenderse a la resolución de controversias, ni a brindar asesorías sobre casos puntuales.</w:t>
      </w:r>
    </w:p>
    <w:p w14:paraId="6B57E745" w14:textId="77777777" w:rsidR="005D13EE" w:rsidRPr="00B22899" w:rsidRDefault="005D13EE" w:rsidP="005D13EE">
      <w:pPr>
        <w:spacing w:after="0" w:line="276" w:lineRule="auto"/>
        <w:ind w:firstLine="709"/>
        <w:jc w:val="both"/>
        <w:rPr>
          <w:rFonts w:ascii="Verdana" w:eastAsia="Calibri" w:hAnsi="Verdana" w:cs="Arial"/>
          <w:color w:val="000000"/>
          <w:lang w:val="es-ES" w:eastAsia="es-ES"/>
        </w:rPr>
      </w:pPr>
      <w:r w:rsidRPr="00B22899">
        <w:rPr>
          <w:rFonts w:ascii="Verdana" w:eastAsia="Calibri" w:hAnsi="Verdana" w:cs="Arial"/>
          <w:color w:val="000000"/>
          <w:lang w:val="es-ES" w:eastAsia="es-ES"/>
        </w:rPr>
        <w:t xml:space="preserve">Conforme lo expuesto, en aras de satisfacer el derecho fundamental de petición se resolverá su consulta dentro de los límites de la referida competencia consultiva, esto es, haciendo abstracción de las circunstancias particulares y concretas mencionadas en su petición, pero haciendo unas consideraciones sobre las normas generales relacionadas con los problemas jurídicos de su consulta.  </w:t>
      </w:r>
    </w:p>
    <w:p w14:paraId="26503FB9" w14:textId="77777777" w:rsidR="005D13EE" w:rsidRPr="00B22899" w:rsidRDefault="005D13EE" w:rsidP="005D13EE">
      <w:pPr>
        <w:spacing w:after="0" w:line="276" w:lineRule="auto"/>
        <w:jc w:val="both"/>
        <w:rPr>
          <w:rStyle w:val="Hipervnculo"/>
          <w:rFonts w:ascii="Verdana" w:hAnsi="Verdana"/>
          <w:u w:val="none"/>
          <w:lang w:val="es-ES"/>
        </w:rPr>
      </w:pPr>
    </w:p>
    <w:p w14:paraId="6FA96735" w14:textId="77777777" w:rsidR="005D13EE" w:rsidRPr="00B22899" w:rsidRDefault="005D13EE" w:rsidP="005D13EE">
      <w:pPr>
        <w:pStyle w:val="Prrafodelista"/>
        <w:numPr>
          <w:ilvl w:val="0"/>
          <w:numId w:val="16"/>
        </w:numPr>
        <w:tabs>
          <w:tab w:val="left" w:pos="142"/>
          <w:tab w:val="left" w:pos="284"/>
        </w:tabs>
        <w:spacing w:after="0" w:line="276" w:lineRule="auto"/>
        <w:ind w:left="0" w:firstLine="0"/>
        <w:contextualSpacing w:val="0"/>
        <w:jc w:val="both"/>
        <w:rPr>
          <w:rFonts w:ascii="Verdana" w:eastAsia="Century Gothic" w:hAnsi="Verdana" w:cs="Arial"/>
          <w:b/>
          <w:bCs/>
        </w:rPr>
      </w:pPr>
      <w:r w:rsidRPr="00B22899">
        <w:rPr>
          <w:rFonts w:ascii="Verdana" w:eastAsia="Century Gothic" w:hAnsi="Verdana" w:cs="Arial"/>
          <w:b/>
          <w:bCs/>
        </w:rPr>
        <w:t>Problemas planteados:</w:t>
      </w:r>
    </w:p>
    <w:p w14:paraId="50E955A3" w14:textId="77777777" w:rsidR="005D13EE" w:rsidRPr="00B22899" w:rsidRDefault="005D13EE" w:rsidP="005D13EE">
      <w:pPr>
        <w:spacing w:after="0" w:line="276" w:lineRule="auto"/>
        <w:jc w:val="both"/>
        <w:rPr>
          <w:rStyle w:val="Hipervnculo"/>
          <w:rFonts w:ascii="Verdana" w:hAnsi="Verdana" w:cs="Arial"/>
          <w:highlight w:val="cyan"/>
        </w:rPr>
      </w:pPr>
    </w:p>
    <w:p w14:paraId="228731F2" w14:textId="7F8866EF" w:rsidR="005D13EE" w:rsidRPr="00B22899" w:rsidRDefault="005D13EE" w:rsidP="005D13EE">
      <w:pPr>
        <w:spacing w:after="0" w:line="276" w:lineRule="auto"/>
        <w:jc w:val="both"/>
        <w:rPr>
          <w:rFonts w:ascii="Verdana" w:eastAsia="Century Gothic" w:hAnsi="Verdana" w:cs="Arial"/>
        </w:rPr>
      </w:pPr>
      <w:r w:rsidRPr="00B22899">
        <w:rPr>
          <w:rFonts w:ascii="Verdana" w:eastAsia="Century Gothic" w:hAnsi="Verdana" w:cs="Arial"/>
        </w:rPr>
        <w:t xml:space="preserve">De acuerdo con el contenido de su solicitud, esta Agencia resolverá el siguiente problema jurídico: </w:t>
      </w:r>
      <w:r w:rsidR="00FA2A48" w:rsidRPr="00B22899">
        <w:rPr>
          <w:rFonts w:ascii="Verdana" w:eastAsia="Century Gothic" w:hAnsi="Verdana" w:cs="Arial"/>
        </w:rPr>
        <w:t>¿Existe alguna norma que prohíba la inclusión del concepto de administración en los contratos de compraventa de bienes inmuebles, o, por el contrario, la autonomía de la voluntad permite pactar dicha cláusula como obligación accesoria sin desnaturalizar el contrato?</w:t>
      </w:r>
    </w:p>
    <w:p w14:paraId="3793E1B0" w14:textId="77777777" w:rsidR="005D13EE" w:rsidRPr="00B22899" w:rsidRDefault="005D13EE" w:rsidP="005D13EE">
      <w:pPr>
        <w:spacing w:after="0" w:line="276" w:lineRule="auto"/>
        <w:jc w:val="both"/>
        <w:rPr>
          <w:rStyle w:val="Hipervnculo"/>
          <w:rFonts w:ascii="Verdana" w:hAnsi="Verdana" w:cs="Arial"/>
          <w:highlight w:val="cyan"/>
        </w:rPr>
      </w:pPr>
    </w:p>
    <w:p w14:paraId="3F45EF6F" w14:textId="77777777" w:rsidR="005D13EE" w:rsidRPr="00B22899" w:rsidRDefault="005D13EE" w:rsidP="005D13EE">
      <w:pPr>
        <w:pStyle w:val="Prrafodelista"/>
        <w:widowControl w:val="0"/>
        <w:numPr>
          <w:ilvl w:val="0"/>
          <w:numId w:val="16"/>
        </w:numPr>
        <w:autoSpaceDE w:val="0"/>
        <w:autoSpaceDN w:val="0"/>
        <w:spacing w:after="0" w:line="276" w:lineRule="auto"/>
        <w:ind w:left="360"/>
        <w:contextualSpacing w:val="0"/>
        <w:jc w:val="both"/>
        <w:outlineLvl w:val="0"/>
        <w:rPr>
          <w:rFonts w:ascii="Verdana" w:eastAsia="Arial" w:hAnsi="Verdana" w:cs="Arial"/>
          <w:b/>
          <w:bCs/>
        </w:rPr>
      </w:pPr>
      <w:r w:rsidRPr="00B22899">
        <w:rPr>
          <w:rFonts w:ascii="Verdana" w:eastAsia="Arial" w:hAnsi="Verdana" w:cs="Arial"/>
          <w:b/>
          <w:bCs/>
        </w:rPr>
        <w:t>Respuesta:</w:t>
      </w:r>
    </w:p>
    <w:p w14:paraId="78FF4EA3" w14:textId="77777777" w:rsidR="005D13EE" w:rsidRPr="00B22899" w:rsidRDefault="005D13EE" w:rsidP="005D13EE">
      <w:pPr>
        <w:spacing w:after="0" w:line="276" w:lineRule="auto"/>
        <w:rPr>
          <w:rFonts w:ascii="Verdana" w:eastAsia="Aptos" w:hAnsi="Verdana" w:cs="Arial"/>
          <w:highlight w:val="cyan"/>
        </w:rPr>
      </w:pPr>
    </w:p>
    <w:tbl>
      <w:tblPr>
        <w:tblStyle w:val="Tablaconcuadrcula"/>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8828"/>
      </w:tblGrid>
      <w:tr w:rsidR="005D13EE" w:rsidRPr="00B22899" w14:paraId="3241C9D7" w14:textId="77777777" w:rsidTr="00C07D93">
        <w:tc>
          <w:tcPr>
            <w:tcW w:w="8828" w:type="dxa"/>
          </w:tcPr>
          <w:p w14:paraId="7578B0D5" w14:textId="77777777" w:rsidR="005D13EE" w:rsidRPr="00B22899" w:rsidRDefault="005D13EE" w:rsidP="00C07D93">
            <w:pPr>
              <w:spacing w:after="120" w:line="276" w:lineRule="auto"/>
              <w:jc w:val="both"/>
              <w:rPr>
                <w:rFonts w:ascii="Verdana" w:hAnsi="Verdana" w:cs="Arial"/>
              </w:rPr>
            </w:pPr>
            <w:bookmarkStart w:id="1" w:name="_Hlk171067516"/>
            <w:r w:rsidRPr="00B22899">
              <w:rPr>
                <w:rFonts w:ascii="Verdana" w:hAnsi="Verdana" w:cs="Arial"/>
              </w:rPr>
              <w:lastRenderedPageBreak/>
              <w:t>En respuesta al problema ante planteado esta Subdirección manifiesta lo siguiente:</w:t>
            </w:r>
          </w:p>
          <w:p w14:paraId="3224D1B1" w14:textId="46AF0A42" w:rsidR="005D13EE" w:rsidRPr="00B22899" w:rsidRDefault="005D13EE" w:rsidP="00C07D93">
            <w:pPr>
              <w:spacing w:after="120" w:line="276" w:lineRule="auto"/>
              <w:ind w:firstLine="737"/>
              <w:jc w:val="both"/>
              <w:rPr>
                <w:rFonts w:ascii="Verdana" w:hAnsi="Verdana"/>
              </w:rPr>
            </w:pPr>
            <w:r w:rsidRPr="00B22899">
              <w:rPr>
                <w:rFonts w:ascii="Verdana" w:hAnsi="Verdana"/>
              </w:rPr>
              <w:t xml:space="preserve">En </w:t>
            </w:r>
            <w:r w:rsidRPr="00B22899">
              <w:rPr>
                <w:rFonts w:ascii="Verdana" w:hAnsi="Verdana"/>
                <w:i/>
                <w:iCs/>
              </w:rPr>
              <w:t>primer lugar</w:t>
            </w:r>
            <w:r w:rsidRPr="00B22899">
              <w:rPr>
                <w:rFonts w:ascii="Verdana" w:hAnsi="Verdana"/>
              </w:rPr>
              <w:t xml:space="preserve">, debe señalarse que </w:t>
            </w:r>
            <w:r w:rsidR="00B95791" w:rsidRPr="00B22899">
              <w:rPr>
                <w:rFonts w:ascii="Verdana" w:hAnsi="Verdana"/>
              </w:rPr>
              <w:t xml:space="preserve">no se advierte, dentro del ordenamiento jurídico colombiano, una norma que prohíba de manera expresa la inclusión del concepto de administración en los contratos estatales de compraventa de bienes inmuebles. En efecto, este tipo contractual se rige, en lo no regulado por el Estatuto General de Contratación de la Administración Pública, por las disposiciones civiles y comerciales pertinentes, en virtud de lo dispuesto en el artículo 13 de la Ley 80 de 1993, normativa que no contempla una restricción de esta naturaleza. </w:t>
            </w:r>
          </w:p>
          <w:p w14:paraId="40F114A2" w14:textId="77777777" w:rsidR="005D13EE" w:rsidRPr="00B22899" w:rsidRDefault="00290A9C" w:rsidP="00290A9C">
            <w:pPr>
              <w:spacing w:after="120" w:line="276" w:lineRule="auto"/>
              <w:ind w:firstLine="737"/>
              <w:jc w:val="both"/>
              <w:rPr>
                <w:rFonts w:ascii="Verdana" w:hAnsi="Verdana"/>
              </w:rPr>
            </w:pPr>
            <w:r w:rsidRPr="00B22899">
              <w:rPr>
                <w:rFonts w:ascii="Verdana" w:hAnsi="Verdana"/>
              </w:rPr>
              <w:t>En consecuencia, la autonomía de la voluntad permite a las partes pactar el concepto de administración como una obligación accesoria al contrato de compraventa, sin que ello desnaturalice su objeto ni desconozca los elementos esenciales del negocio jurídico</w:t>
            </w:r>
            <w:r w:rsidR="00507011" w:rsidRPr="00B22899">
              <w:rPr>
                <w:rFonts w:ascii="Verdana" w:hAnsi="Verdana"/>
              </w:rPr>
              <w:t xml:space="preserve">, </w:t>
            </w:r>
            <w:r w:rsidRPr="00B22899">
              <w:rPr>
                <w:rFonts w:ascii="Verdana" w:hAnsi="Verdana"/>
              </w:rPr>
              <w:t>esto es, cosa y precio, siempre que dicha estipulación corresponda a costos reales, verificables y necesarios para la ejecución del contrato</w:t>
            </w:r>
            <w:r w:rsidR="00507011" w:rsidRPr="00B22899">
              <w:rPr>
                <w:rFonts w:ascii="Verdana" w:hAnsi="Verdana"/>
              </w:rPr>
              <w:t xml:space="preserve">, </w:t>
            </w:r>
            <w:r w:rsidRPr="00B22899">
              <w:rPr>
                <w:rFonts w:ascii="Verdana" w:hAnsi="Verdana"/>
              </w:rPr>
              <w:t>tales como los asociados a la gestión, legalización o transferencia del inmueble, y se encuentre debidamente soportada en los estudios previos y en el estudio de mercado que precedieron la estructuración del Proceso de Contratación. Lo anterior, sin perjuicio de que, tratándose de una obligación accesoria, su exigibilidad y pago se sujeten a la verificación efectiva de los costos causados, de manera que no se torne en un mayor valor injustificado del contrato.</w:t>
            </w:r>
          </w:p>
          <w:p w14:paraId="4F2DFCA3" w14:textId="7BB16B48" w:rsidR="007930C1" w:rsidRPr="00B22899" w:rsidRDefault="007930C1" w:rsidP="00290A9C">
            <w:pPr>
              <w:spacing w:after="120" w:line="276" w:lineRule="auto"/>
              <w:ind w:firstLine="737"/>
              <w:jc w:val="both"/>
              <w:rPr>
                <w:rFonts w:ascii="Verdana" w:hAnsi="Verdana"/>
                <w:highlight w:val="cyan"/>
              </w:rPr>
            </w:pPr>
            <w:r w:rsidRPr="00B22899">
              <w:rPr>
                <w:rFonts w:ascii="Verdana" w:hAnsi="Verdana" w:cs="Arial"/>
                <w:bCs/>
                <w:color w:val="000000" w:themeColor="text1"/>
              </w:rPr>
              <w:t>De cualquier modo, se reitera que al tratarse de un análisis que se debe realizar en cada caso concreto, la Agencia, por vía consultiva, no puede definir un criterio universal y absoluto, sino que brinda elementos hermenéuticos de carácter general para que los partícipes del sistema de compras y contratación pública adopten la decisión que corresponda, lo cual es acorde con el principio de juridicidad. Por lo anterior, previo concepto de sus órganos asesores, la solución de casos particulares corresponde a la entidad que debe adoptar la decisión correspondiente para atender las necesidades de la entidad pública.</w:t>
            </w:r>
          </w:p>
        </w:tc>
      </w:tr>
      <w:bookmarkEnd w:id="1"/>
    </w:tbl>
    <w:p w14:paraId="20E901AB" w14:textId="77777777" w:rsidR="005D13EE" w:rsidRPr="00B22899" w:rsidRDefault="005D13EE" w:rsidP="005D13EE">
      <w:pPr>
        <w:widowControl w:val="0"/>
        <w:autoSpaceDE w:val="0"/>
        <w:autoSpaceDN w:val="0"/>
        <w:spacing w:after="0" w:line="276" w:lineRule="auto"/>
        <w:ind w:left="360" w:hanging="360"/>
        <w:outlineLvl w:val="0"/>
        <w:rPr>
          <w:rFonts w:ascii="Verdana" w:eastAsia="Arial" w:hAnsi="Verdana" w:cs="Arial"/>
          <w:b/>
          <w:bCs/>
          <w:highlight w:val="cyan"/>
        </w:rPr>
      </w:pPr>
    </w:p>
    <w:p w14:paraId="25F1B851" w14:textId="77777777" w:rsidR="005D13EE" w:rsidRPr="00B22899" w:rsidRDefault="005D13EE" w:rsidP="005D13EE">
      <w:pPr>
        <w:widowControl w:val="0"/>
        <w:autoSpaceDE w:val="0"/>
        <w:autoSpaceDN w:val="0"/>
        <w:spacing w:after="0" w:line="276" w:lineRule="auto"/>
        <w:ind w:left="360" w:hanging="360"/>
        <w:outlineLvl w:val="0"/>
        <w:rPr>
          <w:rFonts w:ascii="Verdana" w:eastAsia="Arial" w:hAnsi="Verdana" w:cs="Arial"/>
          <w:b/>
          <w:bCs/>
          <w:lang w:val="es-ES"/>
        </w:rPr>
      </w:pPr>
      <w:r w:rsidRPr="00B22899">
        <w:rPr>
          <w:rFonts w:ascii="Verdana" w:eastAsia="Arial" w:hAnsi="Verdana" w:cs="Arial"/>
          <w:b/>
          <w:bCs/>
          <w:lang w:val="es-ES"/>
        </w:rPr>
        <w:t>3. Razones de la respuesta:</w:t>
      </w:r>
    </w:p>
    <w:p w14:paraId="4538C1EF" w14:textId="77777777" w:rsidR="005D13EE" w:rsidRPr="00B22899" w:rsidRDefault="005D13EE" w:rsidP="005D13EE">
      <w:pPr>
        <w:spacing w:after="0" w:line="276" w:lineRule="auto"/>
        <w:jc w:val="both"/>
        <w:rPr>
          <w:rFonts w:ascii="Verdana" w:eastAsia="Calibri" w:hAnsi="Verdana" w:cs="Arial"/>
          <w:lang w:val="es-ES"/>
        </w:rPr>
      </w:pPr>
    </w:p>
    <w:p w14:paraId="2D74C4BE" w14:textId="77777777" w:rsidR="005D13EE" w:rsidRPr="00B22899" w:rsidRDefault="005D13EE" w:rsidP="005D13EE">
      <w:pPr>
        <w:spacing w:after="0" w:line="276" w:lineRule="auto"/>
        <w:jc w:val="both"/>
        <w:rPr>
          <w:rFonts w:ascii="Verdana" w:eastAsia="Calibri" w:hAnsi="Verdana" w:cs="Arial"/>
          <w:lang w:val="es-ES"/>
        </w:rPr>
      </w:pPr>
      <w:r w:rsidRPr="00B22899">
        <w:rPr>
          <w:rFonts w:ascii="Verdana" w:eastAsia="Calibri" w:hAnsi="Verdana" w:cs="Arial"/>
          <w:lang w:val="es-ES"/>
        </w:rPr>
        <w:t xml:space="preserve">La respuesta anterior se sustenta en las siguientes consideraciones: </w:t>
      </w:r>
    </w:p>
    <w:p w14:paraId="73AC7B78" w14:textId="77777777" w:rsidR="005D13EE" w:rsidRPr="00B22899" w:rsidRDefault="005D13EE" w:rsidP="005D13EE">
      <w:pPr>
        <w:spacing w:after="0" w:line="276" w:lineRule="auto"/>
        <w:jc w:val="both"/>
        <w:rPr>
          <w:rFonts w:ascii="Verdana" w:eastAsia="Calibri" w:hAnsi="Verdana" w:cs="Arial"/>
          <w:lang w:val="es-ES"/>
        </w:rPr>
      </w:pPr>
    </w:p>
    <w:p w14:paraId="5A0DE418" w14:textId="3BAC46E4" w:rsidR="00EA0469" w:rsidRPr="00B22899" w:rsidRDefault="00EA0469" w:rsidP="00EA0469">
      <w:pPr>
        <w:spacing w:after="120" w:line="276" w:lineRule="auto"/>
        <w:jc w:val="both"/>
        <w:rPr>
          <w:rFonts w:ascii="Verdana" w:eastAsia="Century Gothic" w:hAnsi="Verdana" w:cs="Century Gothic"/>
          <w:lang w:val="es-ES"/>
        </w:rPr>
      </w:pPr>
      <w:r w:rsidRPr="00B22899">
        <w:rPr>
          <w:rFonts w:ascii="Verdana" w:eastAsia="Arial" w:hAnsi="Verdana" w:cs="Arial"/>
          <w:color w:val="000000" w:themeColor="text1"/>
          <w:lang w:val="es-ES"/>
        </w:rPr>
        <w:lastRenderedPageBreak/>
        <w:t xml:space="preserve">i El artículo 1º de la Ley 80 de 1993 – Estatuto General de Contratación de la Administración Pública, en adelante EGCAP– determina que su objetivo es disponer de reglas y principios que rigen los contratos de las Entidades Estatales. En ese sentido, el artículo 32 </w:t>
      </w:r>
      <w:r w:rsidRPr="00B22899">
        <w:rPr>
          <w:rFonts w:ascii="Verdana" w:eastAsia="Arial" w:hAnsi="Verdana" w:cs="Arial"/>
          <w:i/>
          <w:iCs/>
          <w:color w:val="000000" w:themeColor="text1"/>
          <w:lang w:val="es-ES"/>
        </w:rPr>
        <w:t>ibidem</w:t>
      </w:r>
      <w:r w:rsidRPr="00B22899">
        <w:rPr>
          <w:rFonts w:ascii="Verdana" w:eastAsia="Arial" w:hAnsi="Verdana" w:cs="Arial"/>
          <w:color w:val="000000" w:themeColor="text1"/>
          <w:lang w:val="es-ES"/>
        </w:rPr>
        <w:t xml:space="preserve"> define los contratos estatales como “todos los actos jurídicos, generadores de obligaciones que celebren las entidades a que se refiere este estatuto [artículo 2], previstos en el derecho privado o en disposiciones especiales, o derivados del ejercicio de la autonomía de la voluntad”. </w:t>
      </w:r>
      <w:r w:rsidRPr="00B22899">
        <w:rPr>
          <w:rFonts w:ascii="Verdana" w:eastAsia="Arial" w:hAnsi="Verdana" w:cs="Arial"/>
          <w:color w:val="000000" w:themeColor="text1"/>
          <w:lang w:val="es-ES"/>
        </w:rPr>
        <w:tab/>
      </w:r>
    </w:p>
    <w:p w14:paraId="77F257B0" w14:textId="7F0351DF" w:rsidR="00EA0469" w:rsidRPr="00B22899" w:rsidRDefault="00EA0469" w:rsidP="00EA0469">
      <w:pPr>
        <w:pStyle w:val="Textoindependiente"/>
        <w:ind w:firstLine="708"/>
        <w:jc w:val="both"/>
        <w:rPr>
          <w:rFonts w:ascii="Verdana" w:hAnsi="Verdana"/>
        </w:rPr>
      </w:pPr>
      <w:r w:rsidRPr="00B22899">
        <w:rPr>
          <w:rFonts w:ascii="Verdana" w:hAnsi="Verdana"/>
        </w:rPr>
        <w:t xml:space="preserve">De acuerdo con lo anterior, </w:t>
      </w:r>
      <w:bookmarkStart w:id="2" w:name="_Hlk150759794"/>
      <w:r w:rsidRPr="00B22899">
        <w:rPr>
          <w:rFonts w:ascii="Verdana" w:hAnsi="Verdana"/>
        </w:rPr>
        <w:t>para la definición de contrato estatal basta con que una de las Entidades que enumera el artículo 2º de la Ley 80 de 1993</w:t>
      </w:r>
      <w:r w:rsidRPr="00B22899">
        <w:rPr>
          <w:rFonts w:ascii="Verdana" w:hAnsi="Verdana"/>
          <w:vertAlign w:val="superscript"/>
        </w:rPr>
        <w:footnoteReference w:id="1"/>
      </w:r>
      <w:r w:rsidRPr="00B22899">
        <w:rPr>
          <w:rFonts w:ascii="Verdana" w:hAnsi="Verdana"/>
        </w:rPr>
        <w:t xml:space="preserve"> sea una de las partes, sin importar el extremo de la relación jurídico negocial que</w:t>
      </w:r>
      <w:r w:rsidRPr="00B22899">
        <w:rPr>
          <w:rFonts w:ascii="Verdana" w:hAnsi="Verdana"/>
          <w:spacing w:val="-14"/>
        </w:rPr>
        <w:t xml:space="preserve"> </w:t>
      </w:r>
      <w:r w:rsidRPr="00B22899">
        <w:rPr>
          <w:rFonts w:ascii="Verdana" w:hAnsi="Verdana"/>
        </w:rPr>
        <w:t>asuma. Al respecto, el Consejo de Estado ha sostenido que el criterio definitorio de un contrato estatal es que haya sido celebrado por una Entidad Estatal</w:t>
      </w:r>
      <w:bookmarkEnd w:id="2"/>
      <w:r w:rsidRPr="00B22899">
        <w:rPr>
          <w:rFonts w:ascii="Verdana" w:hAnsi="Verdana"/>
        </w:rPr>
        <w:t>:</w:t>
      </w:r>
    </w:p>
    <w:p w14:paraId="271B028F" w14:textId="77777777" w:rsidR="00EA0469" w:rsidRPr="00B22899" w:rsidRDefault="00EA0469" w:rsidP="00EA0469">
      <w:pPr>
        <w:widowControl w:val="0"/>
        <w:tabs>
          <w:tab w:val="left" w:pos="7797"/>
        </w:tabs>
        <w:autoSpaceDE w:val="0"/>
        <w:autoSpaceDN w:val="0"/>
        <w:spacing w:after="0" w:line="240" w:lineRule="auto"/>
        <w:ind w:left="709" w:right="709"/>
        <w:contextualSpacing/>
        <w:jc w:val="both"/>
        <w:rPr>
          <w:rFonts w:ascii="Verdana" w:eastAsia="Arial" w:hAnsi="Verdana" w:cs="Arial"/>
          <w:color w:val="000000" w:themeColor="text1"/>
          <w:sz w:val="20"/>
          <w:szCs w:val="20"/>
          <w:lang w:val="es-ES"/>
        </w:rPr>
      </w:pPr>
      <w:r w:rsidRPr="00B22899">
        <w:rPr>
          <w:rFonts w:ascii="Verdana" w:eastAsia="Arial" w:hAnsi="Verdana" w:cs="Arial"/>
          <w:color w:val="000000" w:themeColor="text1"/>
          <w:sz w:val="20"/>
          <w:szCs w:val="20"/>
          <w:lang w:val="es-ES"/>
        </w:rPr>
        <w:t>“Nótese cómo, elemento esencial para calificar de estatal un contrato, es que haya sido celebrado por una entidad estatal, es decir, una entidad pública con capacidad legal para celebrarlo. Dicho de otro modo, no existen contratos estatales celebrados entre particulares, ni siquiera cuando éstos han sido habilitados legalmente para el ejercicio de funciones</w:t>
      </w:r>
      <w:r w:rsidRPr="00B22899">
        <w:rPr>
          <w:rFonts w:ascii="Verdana" w:eastAsia="Arial" w:hAnsi="Verdana" w:cs="Arial"/>
          <w:color w:val="000000" w:themeColor="text1"/>
          <w:spacing w:val="-4"/>
          <w:sz w:val="20"/>
          <w:szCs w:val="20"/>
          <w:lang w:val="es-ES"/>
        </w:rPr>
        <w:t xml:space="preserve"> </w:t>
      </w:r>
      <w:r w:rsidRPr="00B22899">
        <w:rPr>
          <w:rFonts w:ascii="Verdana" w:eastAsia="Arial" w:hAnsi="Verdana" w:cs="Arial"/>
          <w:color w:val="000000" w:themeColor="text1"/>
          <w:sz w:val="20"/>
          <w:szCs w:val="20"/>
          <w:lang w:val="es-ES"/>
        </w:rPr>
        <w:t>públicas”</w:t>
      </w:r>
      <w:r w:rsidRPr="00B22899">
        <w:rPr>
          <w:rFonts w:ascii="Verdana" w:eastAsia="Arial" w:hAnsi="Verdana" w:cs="Arial"/>
          <w:color w:val="000000" w:themeColor="text1"/>
          <w:sz w:val="20"/>
          <w:szCs w:val="20"/>
          <w:vertAlign w:val="superscript"/>
          <w:lang w:val="es-ES"/>
        </w:rPr>
        <w:footnoteReference w:id="2"/>
      </w:r>
      <w:r w:rsidRPr="00B22899">
        <w:rPr>
          <w:rFonts w:ascii="Verdana" w:eastAsia="Arial" w:hAnsi="Verdana" w:cs="Arial"/>
          <w:color w:val="000000" w:themeColor="text1"/>
          <w:sz w:val="20"/>
          <w:szCs w:val="20"/>
          <w:lang w:val="es-ES"/>
        </w:rPr>
        <w:t>.</w:t>
      </w:r>
    </w:p>
    <w:p w14:paraId="523DF919" w14:textId="77777777" w:rsidR="00EA0469" w:rsidRPr="00B22899" w:rsidRDefault="00EA0469" w:rsidP="00EA0469">
      <w:pPr>
        <w:widowControl w:val="0"/>
        <w:tabs>
          <w:tab w:val="left" w:pos="7797"/>
        </w:tabs>
        <w:autoSpaceDE w:val="0"/>
        <w:autoSpaceDN w:val="0"/>
        <w:spacing w:after="0" w:line="276" w:lineRule="auto"/>
        <w:ind w:left="709" w:right="709"/>
        <w:contextualSpacing/>
        <w:jc w:val="both"/>
        <w:rPr>
          <w:rFonts w:ascii="Verdana" w:eastAsia="Arial" w:hAnsi="Verdana" w:cs="Arial"/>
          <w:color w:val="000000" w:themeColor="text1"/>
          <w:lang w:val="es-ES"/>
        </w:rPr>
      </w:pPr>
    </w:p>
    <w:p w14:paraId="2E8A030F" w14:textId="77777777" w:rsidR="00EA0469" w:rsidRPr="00B22899" w:rsidRDefault="00EA0469" w:rsidP="00EA0469">
      <w:pPr>
        <w:widowControl w:val="0"/>
        <w:autoSpaceDE w:val="0"/>
        <w:autoSpaceDN w:val="0"/>
        <w:spacing w:after="120" w:line="276" w:lineRule="auto"/>
        <w:ind w:firstLine="607"/>
        <w:jc w:val="both"/>
        <w:rPr>
          <w:rFonts w:ascii="Verdana" w:eastAsia="Arial" w:hAnsi="Verdana" w:cs="Arial"/>
          <w:color w:val="000000" w:themeColor="text1"/>
          <w:lang w:val="es-ES"/>
        </w:rPr>
      </w:pPr>
      <w:r w:rsidRPr="00B22899">
        <w:rPr>
          <w:rFonts w:ascii="Verdana" w:eastAsia="Arial" w:hAnsi="Verdana" w:cs="Arial"/>
          <w:color w:val="000000" w:themeColor="text1"/>
          <w:lang w:val="es-ES"/>
        </w:rPr>
        <w:t xml:space="preserve">Así pues, el contrato estatal es el acto jurídico creador de obligaciones en </w:t>
      </w:r>
      <w:r w:rsidRPr="00B22899">
        <w:rPr>
          <w:rFonts w:ascii="Verdana" w:eastAsia="Arial" w:hAnsi="Verdana" w:cs="Arial"/>
          <w:color w:val="000000" w:themeColor="text1"/>
          <w:lang w:val="es-ES"/>
        </w:rPr>
        <w:lastRenderedPageBreak/>
        <w:t xml:space="preserve">cuya celebración concurre una de las Entidades Estatales, independientemente de que se trate de contratos previstos o tipificados en el derecho privado, en disposiciones especiales o que sencillamente resulten del ejercicio de la autonomía de la voluntad, como sucede con los que se clasifican como atípicos e innominados –artículo 32 de la Ley 80–. </w:t>
      </w:r>
    </w:p>
    <w:p w14:paraId="7FA41B28" w14:textId="77777777" w:rsidR="00EA0469" w:rsidRPr="00B22899" w:rsidRDefault="00EA0469" w:rsidP="00EA0469">
      <w:pPr>
        <w:widowControl w:val="0"/>
        <w:autoSpaceDE w:val="0"/>
        <w:autoSpaceDN w:val="0"/>
        <w:spacing w:after="120" w:line="276" w:lineRule="auto"/>
        <w:ind w:firstLine="607"/>
        <w:jc w:val="both"/>
        <w:rPr>
          <w:rFonts w:ascii="Verdana" w:eastAsia="Arial" w:hAnsi="Verdana" w:cs="Arial"/>
          <w:color w:val="000000" w:themeColor="text1"/>
          <w:lang w:val="es-ES"/>
        </w:rPr>
      </w:pPr>
      <w:r w:rsidRPr="00B22899">
        <w:rPr>
          <w:rFonts w:ascii="Verdana" w:eastAsia="Arial" w:hAnsi="Verdana" w:cs="Arial"/>
          <w:color w:val="000000" w:themeColor="text1"/>
          <w:lang w:val="es-ES"/>
        </w:rPr>
        <w:t>Los artículos 13 y 40 de la Ley 80 de 1993 integran al derecho contractual estatal “las disposiciones comerciales y civiles pertinentes”, cuando indican que estos se regirán de forma supletiva por ese régimen jurídico, salvo en las materias expresa y particularmente reguladas por el EGCAP. Lo anterior, permite concluir que “mediante la Ley 80, se pretendió que la actividad contractual del Estado quedará</w:t>
      </w:r>
      <w:r w:rsidRPr="00B22899">
        <w:rPr>
          <w:rFonts w:ascii="Verdana" w:eastAsia="Arial" w:hAnsi="Verdana" w:cs="Arial"/>
          <w:lang w:val="es-ES"/>
        </w:rPr>
        <w:t xml:space="preserve"> </w:t>
      </w:r>
      <w:r w:rsidRPr="00B22899">
        <w:rPr>
          <w:rFonts w:ascii="Verdana" w:eastAsia="Arial" w:hAnsi="Verdana" w:cs="Arial"/>
          <w:color w:val="000000" w:themeColor="text1"/>
          <w:lang w:val="es-ES"/>
        </w:rPr>
        <w:t>bajo la égida del contrato estatal, caracterizado por tener un régimen jurídico mixto, integrado por normas de derecho público y derecho privado”</w:t>
      </w:r>
      <w:r w:rsidRPr="00B22899">
        <w:rPr>
          <w:rFonts w:ascii="Verdana" w:eastAsia="Arial" w:hAnsi="Verdana" w:cs="Arial"/>
          <w:color w:val="000000" w:themeColor="text1"/>
          <w:vertAlign w:val="superscript"/>
          <w:lang w:val="es-ES"/>
        </w:rPr>
        <w:footnoteReference w:id="3"/>
      </w:r>
      <w:r w:rsidRPr="00B22899">
        <w:rPr>
          <w:rFonts w:ascii="Verdana" w:eastAsia="Arial" w:hAnsi="Verdana" w:cs="Arial"/>
          <w:color w:val="000000" w:themeColor="text1"/>
          <w:lang w:val="es-ES"/>
        </w:rPr>
        <w:t xml:space="preserve">. </w:t>
      </w:r>
    </w:p>
    <w:p w14:paraId="55B2BD06" w14:textId="77777777" w:rsidR="00EA0469" w:rsidRPr="00B22899" w:rsidRDefault="00EA0469" w:rsidP="00EA0469">
      <w:pPr>
        <w:spacing w:after="120" w:line="276" w:lineRule="auto"/>
        <w:ind w:firstLine="709"/>
        <w:jc w:val="both"/>
        <w:rPr>
          <w:rFonts w:ascii="Verdana" w:eastAsia="Calibri" w:hAnsi="Verdana" w:cs="Arial"/>
          <w:lang w:val="es-ES"/>
        </w:rPr>
      </w:pPr>
      <w:bookmarkStart w:id="3" w:name="_Hlk121750642"/>
      <w:r w:rsidRPr="00B22899">
        <w:rPr>
          <w:rFonts w:ascii="Verdana" w:hAnsi="Verdana" w:cs="Arial"/>
          <w:color w:val="000000" w:themeColor="text1"/>
          <w:lang w:val="es-ES"/>
        </w:rPr>
        <w:t xml:space="preserve">Ahora bien, es preciso mencionar que las </w:t>
      </w:r>
      <w:r w:rsidRPr="00B22899">
        <w:rPr>
          <w:rFonts w:ascii="Verdana" w:eastAsia="Calibri" w:hAnsi="Verdana" w:cs="Arial"/>
          <w:lang w:val="es-ES"/>
        </w:rPr>
        <w:t xml:space="preserve">Entidades Estatales regidas por el EGCAP están habilitadas para celebrar los contratos que suelen celebrar los particulares entre sí, en ejercicio de la autonomía de la voluntad privada. En ese sentido, puede ocurrir que dentro de la gestión ordinaria de sus competencias las entidades tengan necesidades que deban ser satisfechas a través de contratos como la compraventa – al que se refiere en su consulta –, comodato o administración, en los que además de las disposiciones del EGCAP deberán aplicarse en su mayoría normas de derecho privado, lo que de ninguna manera desvirtúa la calidad de estatal de dichos contratos. </w:t>
      </w:r>
      <w:bookmarkEnd w:id="3"/>
    </w:p>
    <w:p w14:paraId="450A73CF" w14:textId="77777777" w:rsidR="00EA0469" w:rsidRPr="00B22899" w:rsidRDefault="00EA0469" w:rsidP="00EA0469">
      <w:pPr>
        <w:spacing w:after="120" w:line="276" w:lineRule="auto"/>
        <w:ind w:firstLine="709"/>
        <w:jc w:val="both"/>
        <w:rPr>
          <w:rFonts w:ascii="Verdana" w:eastAsia="Calibri" w:hAnsi="Verdana" w:cs="Arial"/>
          <w:lang w:val="es-ES"/>
        </w:rPr>
      </w:pPr>
      <w:r w:rsidRPr="00B22899">
        <w:rPr>
          <w:rFonts w:ascii="Verdana" w:eastAsia="Calibri" w:hAnsi="Verdana" w:cs="Arial"/>
          <w:color w:val="000000" w:themeColor="text1"/>
          <w:lang w:val="es-ES"/>
        </w:rPr>
        <w:t xml:space="preserve">Teniendo en cuenta el objeto de su consulta, es pertinente indicar que </w:t>
      </w:r>
      <w:r w:rsidRPr="00B22899">
        <w:rPr>
          <w:rFonts w:ascii="Verdana" w:hAnsi="Verdana" w:cs="Arial"/>
          <w:bCs/>
          <w:color w:val="000000" w:themeColor="text1"/>
          <w:lang w:val="es-ES"/>
        </w:rPr>
        <w:t>la Ley 80 de 1993</w:t>
      </w:r>
      <w:r w:rsidRPr="00B22899">
        <w:rPr>
          <w:rFonts w:ascii="Verdana" w:hAnsi="Verdana" w:cs="Arial"/>
          <w:lang w:val="es-ES"/>
        </w:rPr>
        <w:t xml:space="preserve"> define los contratos estatales en el artículo 32 y establece un listado enunciativo. De acuerdo con esta disposición, todos los actos jurídicos, cualquiera que sea su denominación, que celebren las entidades a las que se refiere el EGCAP y que generen obligaciones, son contratos estatales</w:t>
      </w:r>
      <w:r w:rsidRPr="00B22899">
        <w:rPr>
          <w:rStyle w:val="Refdenotaalpie"/>
          <w:rFonts w:ascii="Verdana" w:hAnsi="Verdana" w:cs="Arial"/>
          <w:bCs/>
          <w:color w:val="000000" w:themeColor="text1"/>
          <w:lang w:val="es-ES"/>
        </w:rPr>
        <w:footnoteReference w:id="4"/>
      </w:r>
      <w:r w:rsidRPr="00B22899">
        <w:rPr>
          <w:rFonts w:ascii="Verdana" w:hAnsi="Verdana" w:cs="Arial"/>
          <w:lang w:val="es-ES"/>
        </w:rPr>
        <w:t xml:space="preserve">. Entre los contratos que enuncia el artículo 32 </w:t>
      </w:r>
      <w:r w:rsidRPr="00B22899">
        <w:rPr>
          <w:rFonts w:ascii="Verdana" w:hAnsi="Verdana" w:cs="Arial"/>
          <w:i/>
          <w:iCs/>
          <w:lang w:val="es-ES"/>
        </w:rPr>
        <w:t>ibidem</w:t>
      </w:r>
      <w:r w:rsidRPr="00B22899">
        <w:rPr>
          <w:rFonts w:ascii="Verdana" w:hAnsi="Verdana" w:cs="Arial"/>
          <w:lang w:val="es-ES"/>
        </w:rPr>
        <w:t xml:space="preserve"> se encuentran el contrato de obra, </w:t>
      </w:r>
      <w:r w:rsidRPr="00B22899">
        <w:rPr>
          <w:rFonts w:ascii="Verdana" w:hAnsi="Verdana" w:cs="Arial"/>
          <w:lang w:val="es-ES"/>
        </w:rPr>
        <w:lastRenderedPageBreak/>
        <w:t xml:space="preserve">el contrato de consultoría, el contrato de prestación de servicios, el contrato de concesión y los encargos fiduciarios y fiducia pública. </w:t>
      </w:r>
    </w:p>
    <w:p w14:paraId="3D09A3DE" w14:textId="77777777" w:rsidR="00EA0469" w:rsidRPr="00B22899" w:rsidRDefault="00EA0469" w:rsidP="00EA0469">
      <w:pPr>
        <w:spacing w:after="120" w:line="276" w:lineRule="auto"/>
        <w:ind w:firstLine="708"/>
        <w:jc w:val="both"/>
        <w:rPr>
          <w:rFonts w:ascii="Verdana" w:hAnsi="Verdana" w:cs="Arial"/>
          <w:bCs/>
          <w:color w:val="000000" w:themeColor="text1"/>
          <w:lang w:val="es-ES"/>
        </w:rPr>
      </w:pPr>
      <w:r w:rsidRPr="00B22899">
        <w:rPr>
          <w:rFonts w:ascii="Verdana" w:hAnsi="Verdana" w:cs="Arial"/>
          <w:lang w:val="es-ES" w:eastAsia="es-MX"/>
        </w:rPr>
        <w:t>Aunque el contrato de compraventa no hace parte del listado enunciativo del</w:t>
      </w:r>
      <w:r w:rsidRPr="00B22899">
        <w:rPr>
          <w:rFonts w:ascii="Verdana" w:hAnsi="Verdana" w:cs="Arial"/>
          <w:bCs/>
          <w:color w:val="000000" w:themeColor="text1"/>
          <w:lang w:val="es-ES"/>
        </w:rPr>
        <w:t xml:space="preserve"> artículo 32 de la Ley 80 de 1993, su regulación se encuentra en el Código Civil y en el Código de Comercio, principalmente, los artículos 1849 y siguientes del Código Civil que lo desarrollan. Particularmente, </w:t>
      </w:r>
      <w:r w:rsidRPr="00B22899">
        <w:rPr>
          <w:rFonts w:ascii="Verdana" w:eastAsia="Calibri" w:hAnsi="Verdana" w:cs="Arial"/>
          <w:color w:val="000000" w:themeColor="text1"/>
          <w:lang w:val="es-ES"/>
        </w:rPr>
        <w:t xml:space="preserve">el artículo </w:t>
      </w:r>
      <w:r w:rsidRPr="00B22899">
        <w:rPr>
          <w:rFonts w:ascii="Verdana" w:hAnsi="Verdana" w:cs="Arial"/>
          <w:bCs/>
          <w:color w:val="000000" w:themeColor="text1"/>
          <w:lang w:val="es-ES"/>
        </w:rPr>
        <w:t xml:space="preserve">1849 </w:t>
      </w:r>
      <w:r w:rsidRPr="00B22899">
        <w:rPr>
          <w:rFonts w:ascii="Verdana" w:eastAsia="Calibri" w:hAnsi="Verdana" w:cs="Arial"/>
          <w:color w:val="000000" w:themeColor="text1"/>
          <w:lang w:val="es-ES"/>
        </w:rPr>
        <w:t xml:space="preserve">del Código Civil define el contrato de </w:t>
      </w:r>
      <w:r w:rsidRPr="00B22899">
        <w:rPr>
          <w:rFonts w:ascii="Verdana" w:hAnsi="Verdana" w:cs="Arial"/>
          <w:lang w:val="es-ES" w:eastAsia="es-MX"/>
        </w:rPr>
        <w:t xml:space="preserve">compraventa </w:t>
      </w:r>
      <w:r w:rsidRPr="00B22899">
        <w:rPr>
          <w:rFonts w:ascii="Verdana" w:eastAsia="Calibri" w:hAnsi="Verdana" w:cs="Arial"/>
          <w:color w:val="000000" w:themeColor="text1"/>
          <w:lang w:val="es-ES"/>
        </w:rPr>
        <w:t>como aquel “[…] en que una de las partes se obliga a dar una cosa y la otra a pagarla en dinero. Aquélla se dice vender y ésta comprar. El dinero que el comprador da por la cosa vendida se llama precio”. Por otra parte, el artículo 905 del Código de Comercio preceptúa que la compraventa es un contrato “[…]en que una de las partes se obliga a trasmitir la propiedad de una cosa y la otra a pagarla en dinero. El dinero que el comprador da por la cosa vendida se llama precio.” Se trata pues del acuerdo de voluntades en virtud del cual una parte se obliga a dar una cosa y la otra a pagarla en dinero. Tratándose de bienes raíces, el contrato se perfecciona cuando el acuerdo sobre la cosa y el precio se eleva a escritura pública, por lo que se reputa solemne: si el acuerdo no se contiene en ese instrumento público, no produce los efectos que está llamado a generar.</w:t>
      </w:r>
    </w:p>
    <w:p w14:paraId="35E0430E" w14:textId="77777777" w:rsidR="00EA0469" w:rsidRPr="00B22899" w:rsidRDefault="00EA0469" w:rsidP="00EA0469">
      <w:pPr>
        <w:spacing w:after="120" w:line="276" w:lineRule="auto"/>
        <w:ind w:firstLine="708"/>
        <w:jc w:val="both"/>
        <w:rPr>
          <w:rFonts w:ascii="Verdana" w:eastAsia="Calibri" w:hAnsi="Verdana" w:cs="Arial"/>
          <w:color w:val="000000" w:themeColor="text1"/>
          <w:lang w:val="es-ES"/>
        </w:rPr>
      </w:pPr>
      <w:r w:rsidRPr="00B22899">
        <w:rPr>
          <w:rFonts w:ascii="Verdana" w:eastAsia="Calibri" w:hAnsi="Verdana" w:cs="Arial"/>
          <w:color w:val="000000" w:themeColor="text1"/>
          <w:lang w:val="es-ES"/>
        </w:rPr>
        <w:t>En cuanto a los elementos esenciales particulares del contrato de compraventa, de suerte que si falta uno no hay contrato o degenera en uno distinto, son: a) la cosa u objeto mismo del contrato; y b) el precio convenido; la cosa vendida, que es el objeto de la obligación del vendedor, debe existir o esperarse que exista, ser susceptible de ser vendida (comerciable) y singularizada (determinada); y el precio, que es la obligación del comprador, y debe ser en dinero o su equivalente, real, determinado y serio. Cuando se trate de la compraventa de bienes inmuebles, también es requisito la escritura pública, solemnidad constitutiva o ad substantiam actus y ad probationem, según el artículo 1857 del Código Civil, por cuya inteligencia “[l]a venta se reputa perfecta desde que las partes han convenido en la cosa y en el precio, salvo las excepciones siguientes: la venta de los bienes raíces y servidumbres y la de una sucesión hereditaria, no se reputan perfectas ante la ley, mientras no se ha otorgado escritura pública</w:t>
      </w:r>
      <w:r w:rsidRPr="00B22899">
        <w:rPr>
          <w:rStyle w:val="Refdenotaalpie"/>
          <w:rFonts w:ascii="Verdana" w:eastAsia="Calibri" w:hAnsi="Verdana" w:cs="Arial"/>
          <w:color w:val="000000" w:themeColor="text1"/>
          <w:lang w:val="es-ES"/>
        </w:rPr>
        <w:footnoteReference w:id="5"/>
      </w:r>
      <w:r w:rsidRPr="00B22899">
        <w:rPr>
          <w:rFonts w:ascii="Verdana" w:eastAsia="Calibri" w:hAnsi="Verdana" w:cs="Arial"/>
          <w:color w:val="000000" w:themeColor="text1"/>
          <w:lang w:val="es-ES"/>
        </w:rPr>
        <w:t>.”</w:t>
      </w:r>
    </w:p>
    <w:p w14:paraId="77794DE5" w14:textId="77777777" w:rsidR="00EA0469" w:rsidRPr="00B22899" w:rsidRDefault="00EA0469" w:rsidP="00EA0469">
      <w:pPr>
        <w:spacing w:after="120" w:line="276" w:lineRule="auto"/>
        <w:ind w:firstLine="708"/>
        <w:jc w:val="both"/>
        <w:rPr>
          <w:rFonts w:ascii="Verdana" w:eastAsia="Calibri" w:hAnsi="Verdana" w:cs="Arial"/>
          <w:color w:val="000000" w:themeColor="text1"/>
        </w:rPr>
      </w:pPr>
      <w:r w:rsidRPr="00B22899">
        <w:rPr>
          <w:rFonts w:ascii="Verdana" w:eastAsia="Calibri" w:hAnsi="Verdana" w:cs="Arial"/>
          <w:color w:val="000000" w:themeColor="text1"/>
        </w:rPr>
        <w:lastRenderedPageBreak/>
        <w:t>De manera pues, que para que exista el contrato de venta se requiere un precio convenido entre las partes, “sine pretio nulla venditio est”, que significa en las voces del artículo 1849 del Código Civil “el dinero que el comprador da por la cosa vendida”, y que debe estipularse por la cosa al menos en su mitad (art. 1850 C.C.). Para que el precio sea válido y eficaz: (i) debe ser cierto, esto es, determinado o determinable; (ii) debe ser justo, significa que no debe ser inferior su cuantía a la mitad del justo valor de la cosa que se compra, para que no sea injusto o vil y no quede, como se verá más adelante, afectado por lesión enorme si se trata de la compraventa de bienes inmuebles, que permite pedir su rescisión (art. 1946 C.C.); (iii) debe ser serio, por oposición a irrisorio, esto es, cuando exista una manifiesta desproporción, o aparezca ridículo, y (iv) debe ser real, verdadero, esto es, con la intención de ser pagado por el vendedor y exigido por el comprador, lo cual excluye que sea simulado</w:t>
      </w:r>
      <w:r w:rsidRPr="00B22899">
        <w:rPr>
          <w:rStyle w:val="Refdenotaalpie"/>
          <w:rFonts w:ascii="Verdana" w:eastAsia="Calibri" w:hAnsi="Verdana" w:cs="Arial"/>
          <w:color w:val="000000" w:themeColor="text1"/>
        </w:rPr>
        <w:footnoteReference w:id="6"/>
      </w:r>
      <w:r w:rsidRPr="00B22899">
        <w:rPr>
          <w:rFonts w:ascii="Verdana" w:eastAsia="Calibri" w:hAnsi="Verdana" w:cs="Arial"/>
          <w:color w:val="000000" w:themeColor="text1"/>
        </w:rPr>
        <w:t>.</w:t>
      </w:r>
    </w:p>
    <w:p w14:paraId="03AE33EB" w14:textId="58954AF7" w:rsidR="00EA0469" w:rsidRPr="00B22899" w:rsidRDefault="00EA0469" w:rsidP="00EA0469">
      <w:pPr>
        <w:spacing w:after="120" w:line="276" w:lineRule="auto"/>
        <w:ind w:firstLine="708"/>
        <w:jc w:val="both"/>
        <w:rPr>
          <w:rFonts w:ascii="Verdana" w:eastAsia="Calibri" w:hAnsi="Verdana" w:cs="Arial"/>
          <w:color w:val="000000" w:themeColor="text1"/>
          <w:lang w:val="es-ES"/>
        </w:rPr>
      </w:pPr>
      <w:r w:rsidRPr="00B22899">
        <w:rPr>
          <w:rFonts w:ascii="Verdana" w:eastAsia="Calibri" w:hAnsi="Verdana" w:cs="Arial"/>
          <w:color w:val="000000" w:themeColor="text1"/>
          <w:lang w:val="es-ES"/>
        </w:rPr>
        <w:t>Ahora bien, debe precisarse que la modalidad de selección aplicable a los contratos de compraventa de bienes inmuebles depende del régimen jurídico que rija a la Entidad Estatal. Si la entidad se rige por el derecho privado, es decir, si está exceptuada del Estatuto General de Contratación de la Administración Pública, en principio debe aplicar las normas civiles y comerciales pertinentes, que permiten la celebración directa del contrato de compraventa. No obstante, si el reglamento o manual interno de contratación de la entidad establece un procedimiento especial, este prevalece sobre la regla general.</w:t>
      </w:r>
    </w:p>
    <w:p w14:paraId="47A91BF2" w14:textId="01C34776" w:rsidR="00EA0469" w:rsidRPr="00B22899" w:rsidRDefault="00EA0469" w:rsidP="00A0384A">
      <w:pPr>
        <w:spacing w:after="240" w:line="276" w:lineRule="auto"/>
        <w:ind w:firstLine="708"/>
        <w:jc w:val="both"/>
        <w:rPr>
          <w:rFonts w:ascii="Verdana" w:eastAsia="Calibri" w:hAnsi="Verdana" w:cs="Arial"/>
          <w:color w:val="000000" w:themeColor="text1"/>
          <w:lang w:val="es-ES"/>
        </w:rPr>
      </w:pPr>
      <w:r w:rsidRPr="00B22899">
        <w:rPr>
          <w:rFonts w:ascii="Verdana" w:eastAsia="Calibri" w:hAnsi="Verdana" w:cs="Arial"/>
          <w:color w:val="000000" w:themeColor="text1"/>
          <w:lang w:val="es-ES"/>
        </w:rPr>
        <w:t>En contraste, si la entidad se encuentra sometida al Estatuto General de Contratación de la Administración Pública, deberá acudir a la modalidad de contratación directa, dado que el artículo 2º, numeral 4°, literal i) de la Ley 1150 de 2007 dispone expresamente como causal de este procedimiento el “arrendamiento o adquisición de inmuebles”.</w:t>
      </w:r>
    </w:p>
    <w:p w14:paraId="36E8A072" w14:textId="154C7D24" w:rsidR="002224F5" w:rsidRPr="00B22899" w:rsidRDefault="002224F5" w:rsidP="002224F5">
      <w:pPr>
        <w:pStyle w:val="paragraph"/>
        <w:shd w:val="clear" w:color="auto" w:fill="FFFFFF"/>
        <w:spacing w:before="0" w:beforeAutospacing="0" w:after="0" w:afterAutospacing="0" w:line="276" w:lineRule="auto"/>
        <w:jc w:val="both"/>
        <w:textAlignment w:val="baseline"/>
        <w:rPr>
          <w:rFonts w:ascii="Verdana" w:eastAsia="Calibri" w:hAnsi="Verdana" w:cs="Arial"/>
          <w:bCs/>
          <w:color w:val="000000" w:themeColor="text1"/>
          <w:sz w:val="21"/>
          <w:szCs w:val="21"/>
        </w:rPr>
      </w:pPr>
      <w:r w:rsidRPr="00B22899">
        <w:rPr>
          <w:rFonts w:ascii="Verdana" w:eastAsia="Calibri" w:hAnsi="Verdana" w:cs="Arial"/>
          <w:bCs/>
          <w:lang w:val="es-ES"/>
        </w:rPr>
        <w:t>i</w:t>
      </w:r>
      <w:r w:rsidR="00EA0469" w:rsidRPr="00B22899">
        <w:rPr>
          <w:rFonts w:ascii="Verdana" w:eastAsia="Calibri" w:hAnsi="Verdana" w:cs="Arial"/>
          <w:bCs/>
          <w:lang w:val="es-ES"/>
        </w:rPr>
        <w:t>i</w:t>
      </w:r>
      <w:r w:rsidRPr="00B22899">
        <w:rPr>
          <w:rFonts w:ascii="Verdana" w:eastAsia="Calibri" w:hAnsi="Verdana" w:cs="Arial"/>
          <w:bCs/>
          <w:lang w:val="es-ES"/>
        </w:rPr>
        <w:t>.</w:t>
      </w:r>
      <w:r w:rsidRPr="00B22899">
        <w:rPr>
          <w:rFonts w:ascii="Verdana" w:eastAsia="Calibri" w:hAnsi="Verdana" w:cs="Arial"/>
          <w:color w:val="000000"/>
          <w:lang w:val="es-ES"/>
        </w:rPr>
        <w:t xml:space="preserve"> </w:t>
      </w:r>
      <w:r w:rsidRPr="00B22899">
        <w:rPr>
          <w:rFonts w:ascii="Verdana" w:eastAsia="Calibri" w:hAnsi="Verdana"/>
          <w:sz w:val="22"/>
          <w:szCs w:val="22"/>
          <w:lang w:val="es-MX"/>
        </w:rPr>
        <w:t>El precio es el “valor pecuniario en que se estima algo”</w:t>
      </w:r>
      <w:r w:rsidRPr="00B22899">
        <w:rPr>
          <w:rStyle w:val="Refdenotaalpie"/>
          <w:rFonts w:ascii="Verdana" w:eastAsia="Calibri" w:hAnsi="Verdana"/>
          <w:sz w:val="22"/>
          <w:szCs w:val="22"/>
          <w:lang w:val="es-MX"/>
        </w:rPr>
        <w:footnoteReference w:id="7"/>
      </w:r>
      <w:r w:rsidRPr="00B22899">
        <w:rPr>
          <w:rFonts w:ascii="Verdana" w:eastAsia="Calibri" w:hAnsi="Verdana"/>
          <w:sz w:val="22"/>
          <w:szCs w:val="22"/>
          <w:lang w:val="es-MX"/>
        </w:rPr>
        <w:t xml:space="preserve">. El Código Civil y el Código de Comercio, al regular el contrato de compraventa, definen el precio </w:t>
      </w:r>
      <w:r w:rsidRPr="00B22899">
        <w:rPr>
          <w:rFonts w:ascii="Verdana" w:eastAsia="Calibri" w:hAnsi="Verdana"/>
          <w:sz w:val="22"/>
          <w:szCs w:val="22"/>
          <w:lang w:val="es-MX"/>
        </w:rPr>
        <w:lastRenderedPageBreak/>
        <w:t>como el dinero que el comprador entrega a cambio de la cosa vendida, en los siguientes términos:</w:t>
      </w:r>
    </w:p>
    <w:p w14:paraId="15600A9C" w14:textId="77777777" w:rsidR="002224F5" w:rsidRPr="00B22899" w:rsidRDefault="002224F5" w:rsidP="002224F5">
      <w:pPr>
        <w:spacing w:after="0"/>
        <w:jc w:val="both"/>
        <w:rPr>
          <w:rFonts w:ascii="Verdana" w:eastAsia="Calibri" w:hAnsi="Verdana" w:cs="Arial"/>
          <w:lang w:val="es-MX"/>
        </w:rPr>
      </w:pPr>
      <w:r w:rsidRPr="00B22899">
        <w:rPr>
          <w:rFonts w:ascii="Verdana" w:eastAsia="Calibri" w:hAnsi="Verdana" w:cs="Arial"/>
          <w:lang w:val="es-MX"/>
        </w:rPr>
        <w:t xml:space="preserve"> </w:t>
      </w:r>
    </w:p>
    <w:p w14:paraId="2083CA4E" w14:textId="77777777" w:rsidR="002224F5" w:rsidRPr="00B22899" w:rsidRDefault="002224F5" w:rsidP="002224F5">
      <w:pPr>
        <w:spacing w:after="120" w:line="240" w:lineRule="auto"/>
        <w:ind w:left="709" w:right="709"/>
        <w:jc w:val="both"/>
        <w:rPr>
          <w:rFonts w:ascii="Verdana" w:eastAsia="Calibri" w:hAnsi="Verdana" w:cs="Arial"/>
          <w:sz w:val="20"/>
          <w:szCs w:val="20"/>
          <w:lang w:val="es-MX"/>
        </w:rPr>
      </w:pPr>
      <w:r w:rsidRPr="00B22899">
        <w:rPr>
          <w:rFonts w:ascii="Verdana" w:eastAsia="Calibri" w:hAnsi="Verdana" w:cs="Arial"/>
          <w:sz w:val="20"/>
          <w:szCs w:val="20"/>
          <w:lang w:val="es-MX"/>
        </w:rPr>
        <w:t>“[</w:t>
      </w:r>
      <w:bookmarkStart w:id="4" w:name="_Hlk204013098"/>
      <w:r w:rsidRPr="00B22899">
        <w:rPr>
          <w:rFonts w:ascii="Verdana" w:eastAsia="Calibri" w:hAnsi="Verdana" w:cs="Arial"/>
          <w:sz w:val="20"/>
          <w:szCs w:val="20"/>
          <w:lang w:val="es-MX"/>
        </w:rPr>
        <w:t>Artículo 1849 del Código Civil</w:t>
      </w:r>
      <w:bookmarkEnd w:id="4"/>
      <w:r w:rsidRPr="00B22899">
        <w:rPr>
          <w:rFonts w:ascii="Verdana" w:eastAsia="Calibri" w:hAnsi="Verdana" w:cs="Arial"/>
          <w:sz w:val="20"/>
          <w:szCs w:val="20"/>
          <w:lang w:val="es-MX"/>
        </w:rPr>
        <w:t>]: La compraventa es un contrato en que una de las partes se obliga a dar una cosa y la otra a pagarla en dinero. Aquella se dice vender y esta comprar. El dinero que el comprador da por la cosa vendida se llama precio.</w:t>
      </w:r>
    </w:p>
    <w:p w14:paraId="7AF4DEAF" w14:textId="77777777" w:rsidR="002224F5" w:rsidRPr="00B22899" w:rsidRDefault="002224F5" w:rsidP="002224F5">
      <w:pPr>
        <w:spacing w:after="0" w:line="240" w:lineRule="auto"/>
        <w:ind w:left="709" w:right="709"/>
        <w:jc w:val="both"/>
        <w:rPr>
          <w:rFonts w:ascii="Verdana" w:eastAsia="Calibri" w:hAnsi="Verdana" w:cs="Arial"/>
          <w:sz w:val="20"/>
          <w:szCs w:val="20"/>
          <w:lang w:val="es-MX"/>
        </w:rPr>
      </w:pPr>
      <w:r w:rsidRPr="00B22899">
        <w:rPr>
          <w:rFonts w:ascii="Verdana" w:eastAsia="Calibri" w:hAnsi="Verdana" w:cs="Arial"/>
          <w:sz w:val="20"/>
          <w:szCs w:val="20"/>
          <w:lang w:val="es-MX"/>
        </w:rPr>
        <w:t>[</w:t>
      </w:r>
      <w:bookmarkStart w:id="5" w:name="_Hlk204013106"/>
      <w:r w:rsidRPr="00B22899">
        <w:rPr>
          <w:rFonts w:ascii="Verdana" w:eastAsia="Calibri" w:hAnsi="Verdana" w:cs="Arial"/>
          <w:sz w:val="20"/>
          <w:szCs w:val="20"/>
          <w:lang w:val="es-MX"/>
        </w:rPr>
        <w:t>Artículo 905 del Código de Comercio</w:t>
      </w:r>
      <w:bookmarkEnd w:id="5"/>
      <w:r w:rsidRPr="00B22899">
        <w:rPr>
          <w:rFonts w:ascii="Verdana" w:eastAsia="Calibri" w:hAnsi="Verdana" w:cs="Arial"/>
          <w:sz w:val="20"/>
          <w:szCs w:val="20"/>
          <w:lang w:val="es-MX"/>
        </w:rPr>
        <w:t>]: La compraventa es un contrato en que una de las partes se obliga a trasmitir la propiedad de una cosa y la otra a pagarla en dinero. El dinero que el comprador da por la cosa vendida se llama precio”.</w:t>
      </w:r>
    </w:p>
    <w:p w14:paraId="1F0FE34D" w14:textId="77777777" w:rsidR="002224F5" w:rsidRPr="00B22899" w:rsidRDefault="002224F5" w:rsidP="002224F5">
      <w:pPr>
        <w:spacing w:after="0" w:line="276" w:lineRule="auto"/>
        <w:jc w:val="both"/>
        <w:rPr>
          <w:rFonts w:ascii="Verdana" w:hAnsi="Verdana" w:cs="Arial"/>
          <w:bCs/>
          <w:lang w:val="es-ES_tradnl"/>
        </w:rPr>
      </w:pPr>
      <w:bookmarkStart w:id="6" w:name="_Hlk131175734"/>
    </w:p>
    <w:p w14:paraId="3F8FC109" w14:textId="77777777" w:rsidR="002224F5" w:rsidRPr="00B22899" w:rsidRDefault="002224F5" w:rsidP="002224F5">
      <w:pPr>
        <w:spacing w:after="120" w:line="276" w:lineRule="auto"/>
        <w:ind w:firstLine="708"/>
        <w:jc w:val="both"/>
        <w:rPr>
          <w:rFonts w:ascii="Verdana" w:hAnsi="Verdana" w:cs="Arial"/>
          <w:lang w:val="es-ES"/>
        </w:rPr>
      </w:pPr>
      <w:r w:rsidRPr="00B22899">
        <w:rPr>
          <w:rFonts w:ascii="Verdana" w:hAnsi="Verdana" w:cs="Arial"/>
          <w:lang w:val="es-ES"/>
        </w:rPr>
        <w:t>Adicionalmente, el precio es uno de los elementos esenciales de los contratos estatales, que por lo general se identifica con el valor del contrato. Aunque no todo contrato lo incluye –pues también existen negocios gratuitos– lo usual es que los contratos estatales se configuren como onerosos y, la mayoría de las veces, como conmutativos, cuando hay un acuerdo entre el objeto y la contraprestación pactado por escrito entre la Entidad Estatal y el contratista</w:t>
      </w:r>
      <w:r w:rsidRPr="00B22899">
        <w:rPr>
          <w:rStyle w:val="Refdenotaalpie"/>
          <w:rFonts w:ascii="Verdana" w:hAnsi="Verdana" w:cs="Arial"/>
          <w:lang w:val="es-ES"/>
        </w:rPr>
        <w:footnoteReference w:id="8"/>
      </w:r>
      <w:r w:rsidRPr="00B22899">
        <w:rPr>
          <w:rFonts w:ascii="Verdana" w:hAnsi="Verdana" w:cs="Arial"/>
          <w:lang w:val="es-ES"/>
        </w:rPr>
        <w:t>. El precio es un importante elemento para el contratista, porque equivale a la remuneración que la entidad contratante le pagará como retribución por la ejecución de las obligaciones de dar, hacer o no hacer previstas a su cargo en el contrato. Entonces, es el valor que se da por el objeto, generalmente en dinero, que debe ser determinado o determinable</w:t>
      </w:r>
      <w:r w:rsidRPr="00B22899">
        <w:rPr>
          <w:rStyle w:val="Refdenotaalpie"/>
          <w:rFonts w:ascii="Verdana" w:hAnsi="Verdana" w:cs="Arial"/>
          <w:lang w:val="es-ES"/>
        </w:rPr>
        <w:footnoteReference w:id="9"/>
      </w:r>
      <w:r w:rsidRPr="00B22899">
        <w:rPr>
          <w:rFonts w:ascii="Verdana" w:hAnsi="Verdana" w:cs="Arial"/>
          <w:lang w:val="es-ES"/>
        </w:rPr>
        <w:t xml:space="preserve">, en los términos de los artículos 1864 y 1865 del Código Civil. De manera general, está compuesto por dos elementos </w:t>
      </w:r>
      <w:r w:rsidRPr="00B22899">
        <w:rPr>
          <w:rFonts w:ascii="Verdana" w:hAnsi="Verdana" w:cs="Arial"/>
          <w:lang w:val="es-ES"/>
        </w:rPr>
        <w:lastRenderedPageBreak/>
        <w:t>esenciales: los costos y la utilidad, cuya estructuración interna depende de las condiciones técnicas, financieras o regulatorias de cada contrato</w:t>
      </w:r>
      <w:r w:rsidRPr="00B22899">
        <w:rPr>
          <w:rStyle w:val="Refdenotaalpie"/>
          <w:rFonts w:ascii="Verdana" w:hAnsi="Verdana" w:cs="Arial"/>
          <w:lang w:val="es-ES"/>
        </w:rPr>
        <w:footnoteReference w:id="10"/>
      </w:r>
      <w:r w:rsidRPr="00B22899">
        <w:rPr>
          <w:rFonts w:ascii="Verdana" w:hAnsi="Verdana" w:cs="Arial"/>
          <w:lang w:val="es-ES"/>
        </w:rPr>
        <w:t>.</w:t>
      </w:r>
      <w:bookmarkEnd w:id="6"/>
    </w:p>
    <w:p w14:paraId="08ED5BBA" w14:textId="77777777" w:rsidR="002224F5" w:rsidRPr="00B22899" w:rsidRDefault="002224F5" w:rsidP="002224F5">
      <w:pPr>
        <w:spacing w:after="120" w:line="276" w:lineRule="auto"/>
        <w:ind w:firstLine="709"/>
        <w:jc w:val="both"/>
        <w:rPr>
          <w:rFonts w:ascii="Verdana" w:hAnsi="Verdana" w:cs="Arial"/>
          <w:lang w:val="es-ES"/>
        </w:rPr>
      </w:pPr>
      <w:r w:rsidRPr="00B22899">
        <w:rPr>
          <w:rFonts w:ascii="Verdana" w:hAnsi="Verdana" w:cs="Arial"/>
          <w:lang w:val="es-ES"/>
        </w:rPr>
        <w:t>Para lo anterior, desde la etapa de planeación y en la fase precontractual, las Entidades Estatales deben calcular tanto el valor estimado del contrato como el presupuesto oficial destinado para satisfacer la necesidad que se pretende suplir con el contrato. Con este fin, las entidades deben realizar el análisis del sector –que incluye el estudio del mercado– y definir la metodología con la cual estructurarán el precio del contrato. Dicho de otro modo, hace parte de los estudios previos la definición del esquema que la Administración usará para estipular el precio. Tal metodología generalmente depende del tipo de contrato, pues hay algunas modalidades más comunes en los de obra pública; otras más utilizadas en los de prestación de servicios y otras más indicadas para los de concesión, por mencionar algunos ejemplos</w:t>
      </w:r>
      <w:r w:rsidRPr="00B22899">
        <w:rPr>
          <w:rStyle w:val="Refdenotaalpie"/>
          <w:rFonts w:ascii="Verdana" w:hAnsi="Verdana" w:cs="Arial"/>
          <w:lang w:val="es-ES"/>
        </w:rPr>
        <w:footnoteReference w:id="11"/>
      </w:r>
      <w:r w:rsidRPr="00B22899">
        <w:rPr>
          <w:rFonts w:ascii="Verdana" w:hAnsi="Verdana" w:cs="Arial"/>
          <w:lang w:val="es-ES"/>
        </w:rPr>
        <w:t xml:space="preserve">. </w:t>
      </w:r>
    </w:p>
    <w:p w14:paraId="14E49FCD" w14:textId="77777777" w:rsidR="002224F5" w:rsidRPr="00B22899" w:rsidRDefault="002224F5" w:rsidP="002224F5">
      <w:pPr>
        <w:spacing w:after="120" w:line="276" w:lineRule="auto"/>
        <w:ind w:firstLine="709"/>
        <w:jc w:val="both"/>
        <w:rPr>
          <w:rFonts w:ascii="Verdana" w:hAnsi="Verdana" w:cs="Arial"/>
          <w:lang w:val="es-ES"/>
        </w:rPr>
      </w:pPr>
      <w:r w:rsidRPr="00B22899">
        <w:rPr>
          <w:rFonts w:ascii="Verdana" w:hAnsi="Verdana" w:cs="Arial"/>
          <w:lang w:val="es-ES"/>
        </w:rPr>
        <w:t xml:space="preserve">No hay, pues, una sola metodología para pactar el precio y, en gran medida, la manera de hacerlo ha obedecido a la costumbre mercantil y a la influencia de disciplinas técnicas, como la ingeniería o la administración de empresas, en la contratación estatal. Dentro de tales esquemas de </w:t>
      </w:r>
      <w:r w:rsidRPr="00B22899">
        <w:rPr>
          <w:rFonts w:ascii="Verdana" w:hAnsi="Verdana" w:cs="Arial"/>
          <w:lang w:val="es-ES"/>
        </w:rPr>
        <w:lastRenderedPageBreak/>
        <w:t>establecimiento del precio pueden citarse, por ejemplo: i) los precios unitarios –calculados de acuerdo con las unidades que componen el objeto del contrato–, ii) el precio global –que equivale al monto total, sin discriminar unidades–, y iii) la administración delegada de recursos –en la que se distinguen los costos de inversión de los honorarios del administrador–.</w:t>
      </w:r>
    </w:p>
    <w:p w14:paraId="21D33BEA" w14:textId="77777777" w:rsidR="002224F5" w:rsidRPr="00B22899" w:rsidRDefault="002224F5" w:rsidP="002224F5">
      <w:pPr>
        <w:spacing w:after="120" w:line="276" w:lineRule="auto"/>
        <w:ind w:firstLine="709"/>
        <w:jc w:val="both"/>
        <w:rPr>
          <w:rFonts w:ascii="Verdana" w:hAnsi="Verdana" w:cs="Arial"/>
          <w:bCs/>
          <w:lang w:val="es-ES"/>
        </w:rPr>
      </w:pPr>
      <w:r w:rsidRPr="00B22899">
        <w:rPr>
          <w:rFonts w:ascii="Verdana" w:hAnsi="Verdana" w:cs="Arial"/>
          <w:bCs/>
          <w:lang w:val="es-ES"/>
        </w:rPr>
        <w:t xml:space="preserve">En cualquier caso, </w:t>
      </w:r>
      <w:r w:rsidRPr="00B22899">
        <w:rPr>
          <w:rFonts w:ascii="Verdana" w:eastAsia="Calibri" w:hAnsi="Verdana" w:cs="Arial"/>
          <w:bCs/>
          <w:color w:val="000000" w:themeColor="text1"/>
          <w:lang w:val="es-ES_tradnl"/>
        </w:rPr>
        <w:t>la elección entre uno u otro sistema depende de la planeación realizada por la entidad contratante, pues es una herramienta de gerencia pública, la cual exige estructurar el proceso contractual dedicando tiempo y esfuerzos para elaborar estudios previos. Lo anterior, con la finalidad de determinar la necesidad que pretende satisfacer y cuál es la mejor manera de hacerlo, consultando el tipo de bienes y servicios que ofrece el mercado y cuáles son sus características, especificaciones, precios, costos asociados, riesgos, garantías, disponibilidad, oferentes, etc., que conlleven a una diligente escogencia de la mejor oferta para beneficiar los intereses y fines públicos inmersos en la contratación de las entidades estatales</w:t>
      </w:r>
      <w:r w:rsidRPr="00B22899">
        <w:rPr>
          <w:rFonts w:ascii="Verdana" w:eastAsia="Calibri" w:hAnsi="Verdana" w:cs="Arial"/>
          <w:bCs/>
          <w:color w:val="000000" w:themeColor="text1"/>
          <w:sz w:val="21"/>
          <w:szCs w:val="21"/>
          <w:lang w:val="es-ES_tradnl"/>
        </w:rPr>
        <w:t>.</w:t>
      </w:r>
    </w:p>
    <w:p w14:paraId="3FAE3B93" w14:textId="77777777" w:rsidR="002224F5" w:rsidRPr="00B22899" w:rsidRDefault="002224F5" w:rsidP="002224F5">
      <w:pPr>
        <w:pStyle w:val="Sinespaciado"/>
        <w:spacing w:before="120" w:line="276" w:lineRule="auto"/>
        <w:ind w:firstLine="708"/>
        <w:jc w:val="both"/>
        <w:rPr>
          <w:rFonts w:ascii="Verdana" w:hAnsi="Verdana" w:cs="Arial"/>
          <w:bCs/>
          <w:color w:val="000000" w:themeColor="text1"/>
          <w:sz w:val="22"/>
          <w:lang w:val="es-ES"/>
        </w:rPr>
      </w:pPr>
      <w:r w:rsidRPr="00B22899">
        <w:rPr>
          <w:rFonts w:ascii="Verdana" w:hAnsi="Verdana" w:cs="Arial"/>
          <w:bCs/>
          <w:color w:val="000000" w:themeColor="text1"/>
          <w:sz w:val="22"/>
        </w:rPr>
        <w:t xml:space="preserve">En este sentido, el Estatuto General de Contratación de la Administración Pública contiene disposiciones que demandan que las Entidades Estatales realicen una adecuada planeación en la etapa precontractual, para que los procesos de contratación satisfagan las necesidades de la Administración, cumplan sus fines, logren la continua y eficiente prestación de los servicios públicos y permitan la efectividad de los derechos e intereses de los administrados que colaboran en la consecución. En relación con el valor del futuro contrato y su correlativo respaldo presupuestal, se tienen, por ejemplo, las siguientes reglas derivadas de la aplicación del principio de economía previsto en el artículo 25 de la Ley 80 de 1993: </w:t>
      </w:r>
    </w:p>
    <w:p w14:paraId="1A305FC1" w14:textId="77777777" w:rsidR="002224F5" w:rsidRPr="00B22899" w:rsidRDefault="002224F5" w:rsidP="002224F5">
      <w:pPr>
        <w:pStyle w:val="Sinespaciado"/>
        <w:spacing w:line="276" w:lineRule="auto"/>
        <w:ind w:firstLine="708"/>
        <w:jc w:val="both"/>
        <w:rPr>
          <w:rFonts w:ascii="Verdana" w:hAnsi="Verdana" w:cs="Arial"/>
          <w:bCs/>
          <w:color w:val="000000" w:themeColor="text1"/>
          <w:sz w:val="22"/>
          <w:lang w:val="es-ES"/>
        </w:rPr>
      </w:pPr>
    </w:p>
    <w:p w14:paraId="4CD6316D" w14:textId="77777777" w:rsidR="002224F5" w:rsidRPr="00B22899" w:rsidRDefault="002224F5" w:rsidP="002224F5">
      <w:pPr>
        <w:pStyle w:val="Sinespaciado"/>
        <w:ind w:left="709" w:right="709"/>
        <w:jc w:val="both"/>
        <w:rPr>
          <w:rFonts w:ascii="Verdana" w:hAnsi="Verdana" w:cs="Arial"/>
          <w:color w:val="000000" w:themeColor="text1"/>
          <w:sz w:val="20"/>
          <w:szCs w:val="20"/>
        </w:rPr>
      </w:pPr>
      <w:r w:rsidRPr="00B22899">
        <w:rPr>
          <w:rFonts w:ascii="Verdana" w:hAnsi="Verdana" w:cs="Arial"/>
          <w:color w:val="000000" w:themeColor="text1"/>
          <w:sz w:val="20"/>
          <w:szCs w:val="20"/>
        </w:rPr>
        <w:t>“7o. La conveniencia o inconveniencia del objeto a contratar y las autorizaciones y aprobaciones para ello, se analizarán o impartirán con antelación al inicio del proceso de selección del contratista o al de la firma del contrato, según el caso.</w:t>
      </w:r>
    </w:p>
    <w:p w14:paraId="5032F2EC" w14:textId="77777777" w:rsidR="002224F5" w:rsidRPr="00B22899" w:rsidRDefault="002224F5" w:rsidP="002224F5">
      <w:pPr>
        <w:pStyle w:val="Sinespaciado"/>
        <w:spacing w:after="120"/>
        <w:ind w:left="709" w:right="709"/>
        <w:jc w:val="both"/>
        <w:rPr>
          <w:rFonts w:ascii="Verdana" w:hAnsi="Verdana" w:cs="Arial"/>
          <w:color w:val="000000" w:themeColor="text1"/>
          <w:sz w:val="20"/>
          <w:szCs w:val="20"/>
        </w:rPr>
      </w:pPr>
      <w:r w:rsidRPr="00B22899">
        <w:rPr>
          <w:rFonts w:ascii="Verdana" w:hAnsi="Verdana" w:cs="Arial"/>
          <w:color w:val="000000" w:themeColor="text1"/>
          <w:sz w:val="20"/>
          <w:szCs w:val="20"/>
        </w:rPr>
        <w:t>[…]</w:t>
      </w:r>
    </w:p>
    <w:p w14:paraId="4D9E16C9" w14:textId="77777777" w:rsidR="002224F5" w:rsidRPr="00B22899" w:rsidRDefault="002224F5" w:rsidP="002224F5">
      <w:pPr>
        <w:pStyle w:val="Sinespaciado"/>
        <w:spacing w:after="120"/>
        <w:ind w:left="709" w:right="709"/>
        <w:jc w:val="both"/>
        <w:rPr>
          <w:rFonts w:ascii="Verdana" w:hAnsi="Verdana" w:cs="Arial"/>
          <w:color w:val="000000" w:themeColor="text1"/>
          <w:sz w:val="20"/>
          <w:szCs w:val="20"/>
        </w:rPr>
      </w:pPr>
      <w:r w:rsidRPr="00B22899">
        <w:rPr>
          <w:rFonts w:ascii="Verdana" w:hAnsi="Verdana" w:cs="Arial"/>
          <w:color w:val="000000" w:themeColor="text1"/>
          <w:sz w:val="20"/>
          <w:szCs w:val="20"/>
        </w:rPr>
        <w:t>12. Previo a la apertura de un proceso de selección, o a la firma del contrato en el caso en que la modalidad de selección sea contratación directa, deberán elaborarse los estudios, diseños y proyectos requeridos, y los pliegos de condiciones, según corresponda.</w:t>
      </w:r>
    </w:p>
    <w:p w14:paraId="44DCE8B2" w14:textId="77777777" w:rsidR="002224F5" w:rsidRPr="00B22899" w:rsidRDefault="002224F5" w:rsidP="002224F5">
      <w:pPr>
        <w:pStyle w:val="Sinespaciado"/>
        <w:spacing w:after="120"/>
        <w:ind w:left="709" w:right="709"/>
        <w:jc w:val="both"/>
        <w:rPr>
          <w:rFonts w:ascii="Verdana" w:hAnsi="Verdana" w:cs="Arial"/>
          <w:color w:val="000000" w:themeColor="text1"/>
          <w:sz w:val="20"/>
          <w:szCs w:val="20"/>
        </w:rPr>
      </w:pPr>
      <w:r w:rsidRPr="00B22899">
        <w:rPr>
          <w:rFonts w:ascii="Verdana" w:hAnsi="Verdana" w:cs="Arial"/>
          <w:color w:val="000000" w:themeColor="text1"/>
          <w:sz w:val="20"/>
          <w:szCs w:val="20"/>
        </w:rPr>
        <w:t xml:space="preserve">Cuando el objeto de la contratación incluya la realización de una obra, en la misma oportunidad señalada en el inciso primero, la entidad contratante </w:t>
      </w:r>
      <w:r w:rsidRPr="00B22899">
        <w:rPr>
          <w:rFonts w:ascii="Verdana" w:hAnsi="Verdana" w:cs="Arial"/>
          <w:color w:val="000000" w:themeColor="text1"/>
          <w:sz w:val="20"/>
          <w:szCs w:val="20"/>
        </w:rPr>
        <w:lastRenderedPageBreak/>
        <w:t>deberá contar con los estudios y diseños que permitan establecer la viabilidad del proyecto y su impacto social, económico y ambiental. Esta condición será aplicable incluso para los contratos que incluyan dentro del objeto el diseño.</w:t>
      </w:r>
    </w:p>
    <w:p w14:paraId="69D7E009" w14:textId="77777777" w:rsidR="002224F5" w:rsidRPr="00B22899" w:rsidRDefault="002224F5" w:rsidP="002224F5">
      <w:pPr>
        <w:spacing w:after="120" w:line="240" w:lineRule="auto"/>
        <w:ind w:left="709" w:right="709"/>
        <w:jc w:val="both"/>
        <w:rPr>
          <w:rFonts w:ascii="Verdana" w:hAnsi="Verdana" w:cs="Arial"/>
          <w:color w:val="000000" w:themeColor="text1"/>
          <w:sz w:val="20"/>
          <w:szCs w:val="20"/>
        </w:rPr>
      </w:pPr>
      <w:r w:rsidRPr="00B22899">
        <w:rPr>
          <w:rFonts w:ascii="Verdana" w:hAnsi="Verdana" w:cs="Arial"/>
          <w:color w:val="000000" w:themeColor="text1"/>
          <w:sz w:val="20"/>
          <w:szCs w:val="20"/>
        </w:rPr>
        <w:t>13. Las autoridades constituirán las reservas y compromisos presupuestales necesarios, tomando como base el valor de las prestaciones al momento de celebrar el contrato y el estimativo de los ajustes resultantes de la aplicación de la cláusula de actualización de precios.</w:t>
      </w:r>
    </w:p>
    <w:p w14:paraId="19BA9E47" w14:textId="77777777" w:rsidR="002224F5" w:rsidRPr="00B22899" w:rsidRDefault="002224F5" w:rsidP="002224F5">
      <w:pPr>
        <w:spacing w:after="0" w:line="240" w:lineRule="auto"/>
        <w:ind w:left="709" w:right="709"/>
        <w:jc w:val="both"/>
        <w:rPr>
          <w:rFonts w:ascii="Verdana" w:hAnsi="Verdana" w:cs="Arial"/>
          <w:color w:val="000000" w:themeColor="text1"/>
          <w:sz w:val="20"/>
          <w:szCs w:val="20"/>
        </w:rPr>
      </w:pPr>
      <w:r w:rsidRPr="00B22899">
        <w:rPr>
          <w:rFonts w:ascii="Verdana" w:hAnsi="Verdana" w:cs="Arial"/>
          <w:color w:val="000000" w:themeColor="text1"/>
          <w:sz w:val="20"/>
          <w:szCs w:val="20"/>
        </w:rPr>
        <w:t xml:space="preserve">14. Las entidades incluirán en sus presupuestos anuales una apropiación global destinada a cubrir los costos imprevistos ocasionados por los retardos en los pagos, así como los que se originen en la revisión de los precios pactados por razón de los cambios o alteraciones en las condiciones iniciales de los contratos por ellas celebrados […]”. </w:t>
      </w:r>
    </w:p>
    <w:p w14:paraId="2756B793" w14:textId="77777777" w:rsidR="002224F5" w:rsidRPr="00B22899" w:rsidRDefault="002224F5" w:rsidP="002224F5">
      <w:pPr>
        <w:spacing w:after="0" w:line="276" w:lineRule="auto"/>
        <w:ind w:firstLine="709"/>
        <w:jc w:val="both"/>
        <w:rPr>
          <w:rFonts w:ascii="Verdana" w:hAnsi="Verdana" w:cs="Arial"/>
          <w:bCs/>
          <w:lang w:val="es-ES"/>
        </w:rPr>
      </w:pPr>
    </w:p>
    <w:p w14:paraId="44CD5B91" w14:textId="77777777" w:rsidR="002224F5" w:rsidRPr="00B22899" w:rsidRDefault="002224F5" w:rsidP="002224F5">
      <w:pPr>
        <w:pStyle w:val="Sinespaciado"/>
        <w:spacing w:line="276" w:lineRule="auto"/>
        <w:ind w:firstLine="708"/>
        <w:jc w:val="both"/>
        <w:rPr>
          <w:rFonts w:ascii="Verdana" w:hAnsi="Verdana" w:cs="Arial"/>
          <w:color w:val="000000" w:themeColor="text1"/>
          <w:sz w:val="22"/>
        </w:rPr>
      </w:pPr>
      <w:r w:rsidRPr="00B22899">
        <w:rPr>
          <w:rFonts w:ascii="Verdana" w:hAnsi="Verdana" w:cs="Arial"/>
          <w:color w:val="000000" w:themeColor="text1"/>
          <w:sz w:val="22"/>
        </w:rPr>
        <w:t xml:space="preserve">De la norma citada se resalta que, en virtud del principio de economía, para iniciar un proceso de contratación se requieren unos estudios previos que permitan estructurar, concretar y viabilizar los aspectos esenciales del futuro contrato, dentro de los cuales se encuentran su objeto y valor estimado, entre otros elementos. Los componentes de los estudios previos que sirven de soporte para elaborar el proyecto de pliego, los pliegos de condiciones y el contrato, están previstos en el artículo 2.2.1.1.2.1.1 del Decreto 1082 de 2015, norma que exige que se determine el objeto a contratar con sus especificaciones y se estime el costo que implica la celebración del contrato de la siguiente manera: </w:t>
      </w:r>
    </w:p>
    <w:p w14:paraId="153EA95D" w14:textId="77777777" w:rsidR="002224F5" w:rsidRPr="00B22899" w:rsidRDefault="002224F5" w:rsidP="002224F5">
      <w:pPr>
        <w:pStyle w:val="Sinespaciado"/>
        <w:spacing w:line="276" w:lineRule="auto"/>
        <w:jc w:val="both"/>
        <w:rPr>
          <w:rFonts w:ascii="Verdana" w:hAnsi="Verdana" w:cs="Arial"/>
          <w:color w:val="000000" w:themeColor="text1"/>
        </w:rPr>
      </w:pPr>
    </w:p>
    <w:p w14:paraId="1FF4068A" w14:textId="77777777" w:rsidR="002224F5" w:rsidRPr="00B22899" w:rsidRDefault="002224F5" w:rsidP="002224F5">
      <w:pPr>
        <w:pStyle w:val="Sinespaciado"/>
        <w:ind w:left="709" w:right="709"/>
        <w:jc w:val="both"/>
        <w:rPr>
          <w:rFonts w:ascii="Verdana" w:hAnsi="Verdana" w:cs="Arial"/>
          <w:color w:val="000000" w:themeColor="text1"/>
          <w:sz w:val="20"/>
          <w:szCs w:val="20"/>
        </w:rPr>
      </w:pPr>
      <w:r w:rsidRPr="00B22899">
        <w:rPr>
          <w:rFonts w:ascii="Verdana" w:hAnsi="Verdana" w:cs="Arial"/>
          <w:color w:val="000000" w:themeColor="text1"/>
          <w:sz w:val="20"/>
          <w:szCs w:val="20"/>
        </w:rPr>
        <w:t>“2. El objeto a contratar, con sus especificaciones, las autorizaciones, permisos y licencias requeridos para su ejecución, y cuando el contrato incluye diseño y construcción, los documentos técnicos para el desarrollo del proyecto.</w:t>
      </w:r>
    </w:p>
    <w:p w14:paraId="6FABA6FC" w14:textId="77777777" w:rsidR="002224F5" w:rsidRPr="00B22899" w:rsidRDefault="002224F5" w:rsidP="002224F5">
      <w:pPr>
        <w:pStyle w:val="Sinespaciado"/>
        <w:spacing w:after="120"/>
        <w:ind w:left="709" w:right="709"/>
        <w:jc w:val="both"/>
        <w:rPr>
          <w:rFonts w:ascii="Verdana" w:hAnsi="Verdana" w:cs="Arial"/>
          <w:color w:val="000000" w:themeColor="text1"/>
          <w:sz w:val="20"/>
          <w:szCs w:val="20"/>
        </w:rPr>
      </w:pPr>
      <w:r w:rsidRPr="00B22899">
        <w:rPr>
          <w:rFonts w:ascii="Verdana" w:hAnsi="Verdana" w:cs="Arial"/>
          <w:color w:val="000000" w:themeColor="text1"/>
          <w:sz w:val="20"/>
          <w:szCs w:val="20"/>
        </w:rPr>
        <w:t>[…]</w:t>
      </w:r>
    </w:p>
    <w:p w14:paraId="2731FCFF" w14:textId="77777777" w:rsidR="002224F5" w:rsidRPr="00B22899" w:rsidRDefault="002224F5" w:rsidP="002224F5">
      <w:pPr>
        <w:pStyle w:val="Sinespaciado"/>
        <w:ind w:left="709" w:right="709"/>
        <w:jc w:val="both"/>
        <w:rPr>
          <w:rFonts w:ascii="Verdana" w:hAnsi="Verdana" w:cs="Arial"/>
          <w:color w:val="000000" w:themeColor="text1"/>
          <w:sz w:val="20"/>
          <w:szCs w:val="20"/>
        </w:rPr>
      </w:pPr>
      <w:r w:rsidRPr="00B22899">
        <w:rPr>
          <w:rFonts w:ascii="Verdana" w:hAnsi="Verdana" w:cs="Arial"/>
          <w:color w:val="000000" w:themeColor="text1"/>
          <w:sz w:val="20"/>
          <w:szCs w:val="20"/>
        </w:rPr>
        <w:t xml:space="preserve">4. El valor estimado del contrato y la justificación del mismo. Cuando el valor del contrato esté determinado por precios unitarios, la Entidad Estatal debe incluir la forma como los calculó y soportar sus cálculos presupuestales en la estimación de aquellos. Si el contrato es de concesión, la Entidad Estatal no debe publicar el modelo financiero utilizado en su estructuración”.  </w:t>
      </w:r>
    </w:p>
    <w:p w14:paraId="43C38865" w14:textId="77777777" w:rsidR="002224F5" w:rsidRPr="00B22899" w:rsidRDefault="002224F5" w:rsidP="002224F5">
      <w:pPr>
        <w:spacing w:after="0" w:line="276" w:lineRule="auto"/>
        <w:ind w:firstLine="709"/>
        <w:jc w:val="both"/>
        <w:rPr>
          <w:rFonts w:ascii="Verdana" w:eastAsia="Calibri" w:hAnsi="Verdana" w:cs="Arial"/>
          <w:bCs/>
          <w:color w:val="000000" w:themeColor="text1"/>
          <w:lang w:val="es-ES_tradnl"/>
        </w:rPr>
      </w:pPr>
    </w:p>
    <w:p w14:paraId="3F5468A7" w14:textId="77777777" w:rsidR="002224F5" w:rsidRPr="00B22899" w:rsidRDefault="002224F5" w:rsidP="002224F5">
      <w:pPr>
        <w:spacing w:after="120" w:line="276" w:lineRule="auto"/>
        <w:ind w:firstLine="709"/>
        <w:jc w:val="both"/>
        <w:rPr>
          <w:rFonts w:ascii="Verdana" w:eastAsia="Calibri" w:hAnsi="Verdana" w:cs="Arial"/>
          <w:bCs/>
          <w:color w:val="000000" w:themeColor="text1"/>
          <w:lang w:val="es-ES_tradnl"/>
        </w:rPr>
      </w:pPr>
      <w:r w:rsidRPr="00B22899">
        <w:rPr>
          <w:rFonts w:ascii="Verdana" w:eastAsia="Calibri" w:hAnsi="Verdana" w:cs="Arial"/>
          <w:bCs/>
          <w:color w:val="000000" w:themeColor="text1"/>
          <w:lang w:val="es-ES_tradnl"/>
        </w:rPr>
        <w:t xml:space="preserve">Respecto al valor estimado, el deber de planeación supone que las entidades realicen un análisis adecuado que les permita considerar todos aquellos </w:t>
      </w:r>
      <w:r w:rsidRPr="00B22899">
        <w:rPr>
          <w:rFonts w:ascii="Verdana" w:hAnsi="Verdana" w:cs="Arial"/>
          <w:i/>
          <w:iCs/>
          <w:lang w:val="es-ES" w:eastAsia="es-ES"/>
        </w:rPr>
        <w:t>costos directos</w:t>
      </w:r>
      <w:r w:rsidRPr="00B22899">
        <w:rPr>
          <w:rFonts w:ascii="Verdana" w:hAnsi="Verdana" w:cs="Arial"/>
          <w:lang w:val="es-ES" w:eastAsia="es-ES"/>
        </w:rPr>
        <w:t xml:space="preserve"> –es decir, los que están directamente implicados en la </w:t>
      </w:r>
      <w:r w:rsidRPr="00B22899">
        <w:rPr>
          <w:rFonts w:ascii="Verdana" w:hAnsi="Verdana" w:cs="Arial"/>
          <w:lang w:val="es-ES" w:eastAsia="es-ES"/>
        </w:rPr>
        <w:lastRenderedPageBreak/>
        <w:t xml:space="preserve">ejecución del objeto– y los </w:t>
      </w:r>
      <w:r w:rsidRPr="00B22899">
        <w:rPr>
          <w:rFonts w:ascii="Verdana" w:hAnsi="Verdana" w:cs="Arial"/>
          <w:i/>
          <w:iCs/>
          <w:lang w:val="es-ES" w:eastAsia="es-ES"/>
        </w:rPr>
        <w:t>costos indirectos</w:t>
      </w:r>
      <w:r w:rsidRPr="00B22899">
        <w:rPr>
          <w:rFonts w:ascii="Verdana" w:hAnsi="Verdana" w:cs="Arial"/>
          <w:lang w:val="es-ES" w:eastAsia="es-ES"/>
        </w:rPr>
        <w:t xml:space="preserve"> –que equivalen a los rubros que no tienen que ver de manera inmediata con la ejecución de las actividades contractuales, pero que integran también el precio, bien porque constituyen erogaciones administrativas o contingentes para el contratista o bien porque se dirigen a salvaguardar su ganancia– q</w:t>
      </w:r>
      <w:r w:rsidRPr="00B22899">
        <w:rPr>
          <w:rFonts w:ascii="Verdana" w:eastAsia="Calibri" w:hAnsi="Verdana" w:cs="Arial"/>
          <w:bCs/>
          <w:color w:val="000000" w:themeColor="text1"/>
          <w:lang w:val="es-ES_tradnl"/>
        </w:rPr>
        <w:t xml:space="preserve">ue son relevantes para determinar de forma adecuada el precio del bien o servicio a adquirir. </w:t>
      </w:r>
      <w:r w:rsidRPr="00B22899">
        <w:rPr>
          <w:rFonts w:ascii="Verdana" w:eastAsia="Calibri" w:hAnsi="Verdana" w:cs="Arial"/>
          <w:color w:val="000000" w:themeColor="text1"/>
          <w:lang w:val="es-ES_tradnl"/>
        </w:rPr>
        <w:t>Las Entidades están obligadas a presentar el valor de la contratación y su justificación, para lo cual deberán informar los factores relevantes y la metodología implementada para determinarlo</w:t>
      </w:r>
      <w:r w:rsidRPr="00B22899">
        <w:rPr>
          <w:rFonts w:ascii="Verdana" w:eastAsia="Calibri" w:hAnsi="Verdana" w:cs="Arial"/>
          <w:bCs/>
          <w:color w:val="000000" w:themeColor="text1"/>
          <w:lang w:val="es-ES_tradnl"/>
        </w:rPr>
        <w:t>, obligación predicable respecto de toda la contratación.</w:t>
      </w:r>
    </w:p>
    <w:p w14:paraId="243F9FF8" w14:textId="77777777" w:rsidR="002224F5" w:rsidRPr="00B22899" w:rsidRDefault="002224F5" w:rsidP="002224F5">
      <w:pPr>
        <w:spacing w:after="120" w:line="276" w:lineRule="auto"/>
        <w:ind w:firstLine="709"/>
        <w:jc w:val="both"/>
        <w:rPr>
          <w:rFonts w:ascii="Verdana" w:hAnsi="Verdana"/>
        </w:rPr>
      </w:pPr>
      <w:r w:rsidRPr="00B22899">
        <w:rPr>
          <w:rFonts w:ascii="Verdana" w:hAnsi="Verdana" w:cs="Arial"/>
          <w:lang w:val="es-ES" w:eastAsia="es-ES"/>
        </w:rPr>
        <w:t xml:space="preserve">De lo expuesto es claro que para el ordenamiento jurídico colombiano el precio que determinen las entidades como producto de una planeación adecuada es lo que entregarán como retribución del bien o servicio a adquirir, es decir, no lo que se anuncia o una parte de lo que vale el bien o servicio, sino lo que el comprador </w:t>
      </w:r>
      <w:r w:rsidRPr="00B22899">
        <w:rPr>
          <w:rFonts w:ascii="Verdana" w:hAnsi="Verdana" w:cs="Arial"/>
          <w:i/>
          <w:iCs/>
          <w:lang w:val="es-ES" w:eastAsia="es-ES"/>
        </w:rPr>
        <w:t>efectivamente entregará o pagará</w:t>
      </w:r>
      <w:r w:rsidRPr="00B22899">
        <w:rPr>
          <w:rFonts w:ascii="Verdana" w:hAnsi="Verdana" w:cs="Arial"/>
          <w:lang w:val="es-ES" w:eastAsia="es-ES"/>
        </w:rPr>
        <w:t xml:space="preserve"> como contraprestación por la cosa recibida. En línea con lo anterior, e</w:t>
      </w:r>
      <w:r w:rsidRPr="00B22899">
        <w:rPr>
          <w:rFonts w:ascii="Verdana" w:hAnsi="Verdana"/>
        </w:rPr>
        <w:t xml:space="preserve">l Consejo de Estado ha señalado que en el precio se entienden incluidos </w:t>
      </w:r>
      <w:r w:rsidRPr="00B22899">
        <w:rPr>
          <w:rFonts w:ascii="Verdana" w:hAnsi="Verdana"/>
          <w:i/>
          <w:iCs/>
        </w:rPr>
        <w:t>todos los costos</w:t>
      </w:r>
      <w:r w:rsidRPr="00B22899">
        <w:rPr>
          <w:rFonts w:ascii="Verdana" w:hAnsi="Verdana"/>
        </w:rPr>
        <w:t xml:space="preserve"> en que se incurre para vender un bien o prestar un servicio. En este sentido, “El precio cubre los costos en que incurre la entidad para prestar el servicio, incluyendo los gastos de funcionamiento y las previsiones para amortización y crecimiento de la inversión”</w:t>
      </w:r>
      <w:r w:rsidRPr="00B22899">
        <w:rPr>
          <w:rStyle w:val="Refdenotaalpie"/>
          <w:rFonts w:ascii="Verdana" w:hAnsi="Verdana"/>
        </w:rPr>
        <w:footnoteReference w:id="12"/>
      </w:r>
      <w:r w:rsidRPr="00B22899">
        <w:rPr>
          <w:rFonts w:ascii="Verdana" w:hAnsi="Verdana"/>
        </w:rPr>
        <w:t>.</w:t>
      </w:r>
    </w:p>
    <w:p w14:paraId="37E8A3A4" w14:textId="77777777" w:rsidR="002224F5" w:rsidRPr="00B22899" w:rsidRDefault="002224F5" w:rsidP="002224F5">
      <w:pPr>
        <w:spacing w:after="120" w:line="276" w:lineRule="auto"/>
        <w:ind w:firstLine="709"/>
        <w:jc w:val="both"/>
        <w:rPr>
          <w:rFonts w:ascii="Verdana" w:hAnsi="Verdana"/>
        </w:rPr>
      </w:pPr>
      <w:r w:rsidRPr="00B22899">
        <w:rPr>
          <w:rFonts w:ascii="Verdana" w:hAnsi="Verdana"/>
        </w:rPr>
        <w:t xml:space="preserve">De esta forma, </w:t>
      </w:r>
      <w:r w:rsidRPr="00B22899">
        <w:rPr>
          <w:rFonts w:ascii="Verdana" w:hAnsi="Verdana" w:cs="Arial"/>
          <w:bCs/>
          <w:szCs w:val="24"/>
          <w:lang w:val="es-ES_tradnl" w:eastAsia="es-ES_tradnl"/>
        </w:rPr>
        <w:t xml:space="preserve">independiente del </w:t>
      </w:r>
      <w:r w:rsidRPr="00B22899">
        <w:rPr>
          <w:rFonts w:ascii="Verdana" w:hAnsi="Verdana" w:cs="Arial"/>
          <w:lang w:val="es-ES" w:eastAsia="es-ES"/>
        </w:rPr>
        <w:t xml:space="preserve">esquema que la administración usará para estipular el precio, es importante precisar que </w:t>
      </w:r>
      <w:r w:rsidRPr="00B22899">
        <w:rPr>
          <w:rFonts w:ascii="Verdana" w:eastAsia="Verdana" w:hAnsi="Verdana" w:cs="Verdana"/>
          <w:lang w:val="es-ES"/>
        </w:rPr>
        <w:t>este debe incluir los costos en que incurrirá el contratista para</w:t>
      </w:r>
      <w:r w:rsidRPr="00B22899">
        <w:rPr>
          <w:rFonts w:ascii="Verdana" w:eastAsia="Verdana" w:hAnsi="Verdana" w:cs="Verdana"/>
          <w:spacing w:val="-1"/>
          <w:lang w:val="es-ES"/>
        </w:rPr>
        <w:t xml:space="preserve"> </w:t>
      </w:r>
      <w:r w:rsidRPr="00B22899">
        <w:rPr>
          <w:rFonts w:ascii="Verdana" w:eastAsia="Verdana" w:hAnsi="Verdana" w:cs="Verdana"/>
          <w:lang w:val="es-ES"/>
        </w:rPr>
        <w:t>cumplir sus</w:t>
      </w:r>
      <w:r w:rsidRPr="00B22899">
        <w:rPr>
          <w:rFonts w:ascii="Verdana" w:eastAsia="Verdana" w:hAnsi="Verdana" w:cs="Verdana"/>
          <w:spacing w:val="-1"/>
          <w:lang w:val="es-ES"/>
        </w:rPr>
        <w:t xml:space="preserve"> </w:t>
      </w:r>
      <w:r w:rsidRPr="00B22899">
        <w:rPr>
          <w:rFonts w:ascii="Verdana" w:eastAsia="Verdana" w:hAnsi="Verdana" w:cs="Verdana"/>
          <w:lang w:val="es-ES"/>
        </w:rPr>
        <w:t>obligaciones y</w:t>
      </w:r>
      <w:r w:rsidRPr="00B22899">
        <w:rPr>
          <w:rFonts w:ascii="Verdana" w:eastAsia="Verdana" w:hAnsi="Verdana" w:cs="Verdana"/>
          <w:spacing w:val="-2"/>
          <w:lang w:val="es-ES"/>
        </w:rPr>
        <w:t xml:space="preserve"> </w:t>
      </w:r>
      <w:r w:rsidRPr="00B22899">
        <w:rPr>
          <w:rFonts w:ascii="Verdana" w:eastAsia="Verdana" w:hAnsi="Verdana" w:cs="Verdana"/>
          <w:lang w:val="es-ES"/>
        </w:rPr>
        <w:t>obtener la</w:t>
      </w:r>
      <w:r w:rsidRPr="00B22899">
        <w:rPr>
          <w:rFonts w:ascii="Verdana" w:eastAsia="Verdana" w:hAnsi="Verdana" w:cs="Verdana"/>
          <w:spacing w:val="-2"/>
          <w:lang w:val="es-ES"/>
        </w:rPr>
        <w:t xml:space="preserve"> </w:t>
      </w:r>
      <w:r w:rsidRPr="00B22899">
        <w:rPr>
          <w:rFonts w:ascii="Verdana" w:eastAsia="Verdana" w:hAnsi="Verdana" w:cs="Verdana"/>
          <w:lang w:val="es-ES"/>
        </w:rPr>
        <w:t>utilidad</w:t>
      </w:r>
      <w:r w:rsidRPr="00B22899">
        <w:rPr>
          <w:rFonts w:ascii="Verdana" w:eastAsia="Verdana" w:hAnsi="Verdana" w:cs="Verdana"/>
          <w:spacing w:val="-1"/>
          <w:lang w:val="es-ES"/>
        </w:rPr>
        <w:t xml:space="preserve"> </w:t>
      </w:r>
      <w:r w:rsidRPr="00B22899">
        <w:rPr>
          <w:rFonts w:ascii="Verdana" w:eastAsia="Verdana" w:hAnsi="Verdana" w:cs="Verdana"/>
          <w:lang w:val="es-ES"/>
        </w:rPr>
        <w:t>que</w:t>
      </w:r>
      <w:r w:rsidRPr="00B22899">
        <w:rPr>
          <w:rFonts w:ascii="Verdana" w:eastAsia="Verdana" w:hAnsi="Verdana" w:cs="Verdana"/>
          <w:spacing w:val="-2"/>
          <w:lang w:val="es-ES"/>
        </w:rPr>
        <w:t xml:space="preserve"> </w:t>
      </w:r>
      <w:r w:rsidRPr="00B22899">
        <w:rPr>
          <w:rFonts w:ascii="Verdana" w:eastAsia="Verdana" w:hAnsi="Verdana" w:cs="Verdana"/>
          <w:lang w:val="es-ES"/>
        </w:rPr>
        <w:t>espera del negocio, entre los cuales se encuentran los impuestos que afectaran el contrato.</w:t>
      </w:r>
      <w:r w:rsidRPr="00B22899">
        <w:rPr>
          <w:rFonts w:ascii="Verdana" w:hAnsi="Verdana"/>
        </w:rPr>
        <w:t xml:space="preserve"> </w:t>
      </w:r>
      <w:r w:rsidRPr="00B22899">
        <w:rPr>
          <w:rFonts w:ascii="Verdana" w:eastAsia="Verdana" w:hAnsi="Verdana" w:cs="Verdana"/>
          <w:lang w:val="es-ES"/>
        </w:rPr>
        <w:t>Así, sea que se determine el esquema de precios unitarios o global o cualquier otra metodología, se ha sostenido por la doctrina que dentro del precio se incluyen todos los costos en que incurre el contratista para cumplir con las obligaciones que va a adquirir y satisfacer su derecho a obtener utilidad:</w:t>
      </w:r>
    </w:p>
    <w:p w14:paraId="72DAAD68" w14:textId="77777777" w:rsidR="002224F5" w:rsidRPr="00B22899" w:rsidRDefault="002224F5" w:rsidP="002224F5">
      <w:pPr>
        <w:spacing w:after="0" w:line="276" w:lineRule="auto"/>
        <w:ind w:firstLine="709"/>
        <w:jc w:val="both"/>
        <w:rPr>
          <w:rFonts w:ascii="Verdana" w:eastAsia="Verdana" w:hAnsi="Verdana" w:cs="Verdana"/>
          <w:lang w:val="es-ES"/>
        </w:rPr>
      </w:pPr>
    </w:p>
    <w:p w14:paraId="4A3B5F06" w14:textId="77777777" w:rsidR="002224F5" w:rsidRPr="00B22899" w:rsidRDefault="002224F5" w:rsidP="002224F5">
      <w:pPr>
        <w:spacing w:after="0" w:line="240" w:lineRule="auto"/>
        <w:ind w:left="709" w:right="618"/>
        <w:jc w:val="both"/>
        <w:rPr>
          <w:rFonts w:ascii="Verdana" w:hAnsi="Verdana" w:cs="Arial"/>
          <w:sz w:val="20"/>
          <w:szCs w:val="20"/>
          <w:lang w:val="es-ES" w:eastAsia="es-ES_tradnl"/>
        </w:rPr>
      </w:pPr>
      <w:r w:rsidRPr="00B22899">
        <w:rPr>
          <w:rFonts w:ascii="Verdana" w:hAnsi="Verdana" w:cs="Arial"/>
          <w:sz w:val="20"/>
          <w:szCs w:val="20"/>
          <w:lang w:val="es-ES_tradnl" w:eastAsia="es-ES_tradnl"/>
        </w:rPr>
        <w:t xml:space="preserve">En primer lugar, el precio debe incluir los costos en que incurrirá el contratista para cumplir sus obligaciones y obtener la utilidad que espera del negocio. Esto significa que hacen parte del precio las inversiones y gastos que deba hacer, más la utilidad que espera. </w:t>
      </w:r>
      <w:r w:rsidRPr="00B22899">
        <w:rPr>
          <w:rFonts w:ascii="Verdana" w:hAnsi="Verdana" w:cs="Arial"/>
          <w:i/>
          <w:iCs/>
          <w:sz w:val="20"/>
          <w:szCs w:val="20"/>
          <w:lang w:val="es-ES_tradnl" w:eastAsia="es-ES_tradnl"/>
        </w:rPr>
        <w:t>Entre los costos se</w:t>
      </w:r>
      <w:r w:rsidRPr="00B22899">
        <w:rPr>
          <w:rFonts w:ascii="Verdana" w:eastAsia="Verdana" w:hAnsi="Verdana" w:cs="Verdana"/>
          <w:i/>
          <w:iCs/>
          <w:sz w:val="20"/>
          <w:lang w:val="es-ES"/>
        </w:rPr>
        <w:t xml:space="preserve"> </w:t>
      </w:r>
      <w:r w:rsidRPr="00B22899">
        <w:rPr>
          <w:rFonts w:ascii="Verdana" w:hAnsi="Verdana" w:cs="Arial"/>
          <w:i/>
          <w:iCs/>
          <w:sz w:val="20"/>
          <w:szCs w:val="20"/>
          <w:lang w:val="es-ES" w:eastAsia="es-ES_tradnl"/>
        </w:rPr>
        <w:t xml:space="preserve">encuentran los impuestos que afectarán el contrato, por ejemplo, el IVA, </w:t>
      </w:r>
      <w:r w:rsidRPr="00B22899">
        <w:rPr>
          <w:rFonts w:ascii="Verdana" w:hAnsi="Verdana" w:cs="Arial"/>
          <w:i/>
          <w:iCs/>
          <w:sz w:val="20"/>
          <w:szCs w:val="20"/>
          <w:lang w:val="es-ES" w:eastAsia="es-ES_tradnl"/>
        </w:rPr>
        <w:lastRenderedPageBreak/>
        <w:t>la contribución especial, las estampillas, y otros.</w:t>
      </w:r>
      <w:r w:rsidRPr="00B22899">
        <w:rPr>
          <w:rFonts w:ascii="Verdana" w:hAnsi="Verdana" w:cs="Arial"/>
          <w:sz w:val="20"/>
          <w:szCs w:val="20"/>
          <w:lang w:val="es-ES" w:eastAsia="es-ES_tradnl"/>
        </w:rPr>
        <w:t xml:space="preserve"> Esta precisión resulta importante porque el valor, que incluye el impuesto, determina el precio final. Basta hacer una pregunta para entender la idea: ¿un bien gravado puede venderse sin el impuesto, sin violar las normas tributarias? Como no es posible, entonces es inevitable incorporarlo al costo, porque el oferente -futuro contratista- inevitablemente debe incurrir en él, so pena de no poder cobrarlo luego. En otras palabras, es absurdo presentar una oferta que no incluya los impuestos que gravan la actividad o los productos, guardando la esperanza de que se adjudique el contrato por ese precio - que será bajo-, y confiando en que posteriormente se podrá facturar el impuesto, so pretexto de que al fin y al cabo la ley grava la actividad. Por el contrario, el oferente tiene la obligación de incluir todos los gastos en que incurrirá para vender sus bienes o servicios, so pena de que la entidad entienda que el precio ofrecido los incluye, y luego sólo pagará el precio ofertado, pues allí se debieron incluir -es lo lógico y así debe entenderse- todos los gastos en que incurrirá el proponente</w:t>
      </w:r>
      <w:r w:rsidRPr="00B22899">
        <w:rPr>
          <w:rFonts w:ascii="Verdana" w:hAnsi="Verdana" w:cs="Arial"/>
          <w:sz w:val="20"/>
          <w:szCs w:val="20"/>
          <w:vertAlign w:val="superscript"/>
          <w:lang w:val="es-ES" w:eastAsia="es-ES_tradnl"/>
        </w:rPr>
        <w:footnoteReference w:id="13"/>
      </w:r>
      <w:r w:rsidRPr="00B22899">
        <w:rPr>
          <w:rFonts w:ascii="Verdana" w:hAnsi="Verdana" w:cs="Arial"/>
          <w:sz w:val="20"/>
          <w:szCs w:val="20"/>
          <w:lang w:val="es-ES" w:eastAsia="es-ES_tradnl"/>
        </w:rPr>
        <w:t>. (Énfasis por fuera de texto).</w:t>
      </w:r>
    </w:p>
    <w:p w14:paraId="62B946EA" w14:textId="77777777" w:rsidR="002224F5" w:rsidRPr="00B22899" w:rsidRDefault="002224F5" w:rsidP="002224F5">
      <w:pPr>
        <w:spacing w:after="0" w:line="276" w:lineRule="auto"/>
        <w:ind w:firstLine="709"/>
        <w:jc w:val="both"/>
        <w:rPr>
          <w:rFonts w:ascii="Verdana" w:hAnsi="Verdana" w:cs="Arial"/>
          <w:bCs/>
          <w:szCs w:val="24"/>
          <w:lang w:val="es-ES_tradnl" w:eastAsia="es-ES_tradnl"/>
        </w:rPr>
      </w:pPr>
    </w:p>
    <w:p w14:paraId="78E261C3" w14:textId="77777777" w:rsidR="002224F5" w:rsidRPr="00B22899" w:rsidRDefault="002224F5" w:rsidP="002224F5">
      <w:pPr>
        <w:spacing w:after="120" w:line="276" w:lineRule="auto"/>
        <w:ind w:firstLine="709"/>
        <w:jc w:val="both"/>
        <w:rPr>
          <w:rFonts w:ascii="Verdana" w:hAnsi="Verdana" w:cs="Arial"/>
          <w:bCs/>
          <w:szCs w:val="24"/>
          <w:lang w:val="es-ES" w:eastAsia="es-ES_tradnl"/>
        </w:rPr>
      </w:pPr>
      <w:r w:rsidRPr="00B22899">
        <w:rPr>
          <w:rFonts w:ascii="Verdana" w:hAnsi="Verdana" w:cs="Arial"/>
          <w:bCs/>
          <w:szCs w:val="24"/>
          <w:lang w:val="es-ES" w:eastAsia="es-ES_tradnl"/>
        </w:rPr>
        <w:t>Conforme con lo expuesto, el precio es el total del valor que paga el comprador por un bien o servicio, y eso incluye los tributos que apliquen, por una sencilla razón, ningún comprador podrá hacerse a la propiedad de una cosa o beneficiarse de un servicio sino paga la totalidad de lo que incluye el precio. En otros términos, si la venta de determinado bien o servicio está gravado con ciertos tributos, estos se entienden incluidos en el precio, pues no se podrá tener acceso al bien si no se paga la totalidad de lo que vale.</w:t>
      </w:r>
    </w:p>
    <w:p w14:paraId="1FCD5F1E" w14:textId="77777777" w:rsidR="002224F5" w:rsidRPr="00B22899" w:rsidRDefault="002224F5" w:rsidP="002224F5">
      <w:pPr>
        <w:spacing w:after="120" w:line="276" w:lineRule="auto"/>
        <w:ind w:firstLine="709"/>
        <w:jc w:val="both"/>
        <w:rPr>
          <w:rFonts w:ascii="Verdana" w:eastAsia="Calibri" w:hAnsi="Verdana" w:cs="Arial"/>
          <w:bCs/>
          <w:color w:val="000000" w:themeColor="text1"/>
          <w:lang w:val="es-ES_tradnl"/>
        </w:rPr>
      </w:pPr>
      <w:r w:rsidRPr="00B22899">
        <w:rPr>
          <w:rFonts w:ascii="Verdana" w:eastAsia="Calibri" w:hAnsi="Verdana" w:cs="Arial"/>
          <w:bCs/>
          <w:color w:val="000000" w:themeColor="text1"/>
          <w:lang w:val="es-ES_tradnl"/>
        </w:rPr>
        <w:t>Este mismo cálculo debe realizarlo la Administración al fijar el presupuesto oficial, esto es, el precio probable de las obras, bienes o servicios requeridos, cuya estimación depende de los estudios técnicos y económicos. En consecuencia, tanto por parte de la entidad, al estructurar el proceso de contratación –ya sea con los estudios previos y los pliegos de condiciones–, como por parte del proponente, al estructurar su oferta, tratándose del precio, deben identificarse e incluirse los costos usuales que reporta el mercado o la actividad, como por ejemplo los derivados de los tributos, para una acertada estimación del valor del contrato a celebrar.</w:t>
      </w:r>
    </w:p>
    <w:p w14:paraId="24C6BD52" w14:textId="034CE5C4" w:rsidR="002224F5" w:rsidRPr="00B22899" w:rsidRDefault="002224F5" w:rsidP="002224F5">
      <w:pPr>
        <w:spacing w:after="120" w:line="276" w:lineRule="auto"/>
        <w:ind w:firstLine="709"/>
        <w:jc w:val="both"/>
        <w:rPr>
          <w:rFonts w:ascii="Verdana" w:eastAsia="Aptos" w:hAnsi="Verdana" w:cs="Arial"/>
        </w:rPr>
      </w:pPr>
      <w:r w:rsidRPr="00B22899">
        <w:rPr>
          <w:rFonts w:ascii="Verdana" w:hAnsi="Verdana" w:cs="Arial"/>
          <w:lang w:val="es-ES" w:eastAsia="es-ES"/>
        </w:rPr>
        <w:t xml:space="preserve">Por lo tanto, la </w:t>
      </w:r>
      <w:r w:rsidR="00C358B9" w:rsidRPr="00B22899">
        <w:rPr>
          <w:rFonts w:ascii="Verdana" w:hAnsi="Verdana" w:cs="Arial"/>
          <w:lang w:val="es-ES" w:eastAsia="es-ES"/>
        </w:rPr>
        <w:t>E</w:t>
      </w:r>
      <w:r w:rsidRPr="00B22899">
        <w:rPr>
          <w:rFonts w:ascii="Verdana" w:hAnsi="Verdana" w:cs="Arial"/>
          <w:lang w:val="es-ES" w:eastAsia="es-ES"/>
        </w:rPr>
        <w:t xml:space="preserve">ntidad </w:t>
      </w:r>
      <w:r w:rsidR="00C358B9" w:rsidRPr="00B22899">
        <w:rPr>
          <w:rFonts w:ascii="Verdana" w:hAnsi="Verdana" w:cs="Arial"/>
          <w:lang w:val="es-ES" w:eastAsia="es-ES"/>
        </w:rPr>
        <w:t>E</w:t>
      </w:r>
      <w:r w:rsidRPr="00B22899">
        <w:rPr>
          <w:rFonts w:ascii="Verdana" w:hAnsi="Verdana" w:cs="Arial"/>
          <w:lang w:val="es-ES" w:eastAsia="es-ES"/>
        </w:rPr>
        <w:t xml:space="preserve">statal tiene autonomía para configurar el precio y para establecer el sistema de pago más apropiado para satisfacer los fines de la contratación, respetando los límites previstos en el ordenamiento. De este </w:t>
      </w:r>
      <w:r w:rsidRPr="00B22899">
        <w:rPr>
          <w:rFonts w:ascii="Verdana" w:hAnsi="Verdana" w:cs="Arial"/>
          <w:lang w:val="es-ES" w:eastAsia="es-ES"/>
        </w:rPr>
        <w:lastRenderedPageBreak/>
        <w:t xml:space="preserve">modo, con independencia del método empleado para la estimación del valor, se deben considerar los costos, como los tributos que se causen con ocasión de la ejecución del contrato. Para tales efectos, las </w:t>
      </w:r>
      <w:r w:rsidRPr="00B22899">
        <w:rPr>
          <w:rFonts w:ascii="Verdana" w:hAnsi="Verdana" w:cs="Arial"/>
          <w:lang w:eastAsia="es-ES"/>
        </w:rPr>
        <w:t xml:space="preserve">corresponde a cada entidad estatal </w:t>
      </w:r>
      <w:r w:rsidRPr="00B22899">
        <w:rPr>
          <w:rFonts w:ascii="Verdana" w:eastAsia="Aptos" w:hAnsi="Verdana" w:cs="Arial"/>
        </w:rPr>
        <w:t xml:space="preserve">durante la etapa de planeación realizar el análisis necesario para conocer el sector relativo al objeto del proceso de contratación, y con fundamento en dicho estudio deberá tenerse en cuenta los impuestos, tasas o contribuciones a que haya lugar, como parte del precio del contrato. </w:t>
      </w:r>
    </w:p>
    <w:p w14:paraId="7759A7D6" w14:textId="335FE723" w:rsidR="002224F5" w:rsidRPr="00B22899" w:rsidRDefault="002224F5" w:rsidP="002224F5">
      <w:pPr>
        <w:spacing w:after="120" w:line="276" w:lineRule="auto"/>
        <w:ind w:firstLine="708"/>
        <w:jc w:val="both"/>
        <w:rPr>
          <w:rFonts w:ascii="Verdana" w:eastAsia="Calibri" w:hAnsi="Verdana" w:cs="Arial"/>
          <w:bCs/>
          <w:color w:val="000000"/>
          <w:kern w:val="2"/>
          <w14:ligatures w14:val="standardContextual"/>
        </w:rPr>
      </w:pPr>
      <w:r w:rsidRPr="00B22899">
        <w:rPr>
          <w:rFonts w:ascii="Verdana" w:hAnsi="Verdana" w:cs="Arial"/>
          <w:lang w:val="es-MX"/>
        </w:rPr>
        <w:t>Bajo este contexto, vale la pena destacar que en todo proceso contractual</w:t>
      </w:r>
      <w:r w:rsidRPr="00B22899" w:rsidDel="005B58BE">
        <w:rPr>
          <w:rFonts w:ascii="Verdana" w:hAnsi="Verdana" w:cs="Arial"/>
          <w:lang w:val="es-MX"/>
        </w:rPr>
        <w:t xml:space="preserve"> </w:t>
      </w:r>
      <w:r w:rsidRPr="00B22899">
        <w:rPr>
          <w:rFonts w:ascii="Verdana" w:hAnsi="Verdana" w:cs="Arial"/>
          <w:lang w:val="es-MX"/>
        </w:rPr>
        <w:t xml:space="preserve">es de suma importancia que los costos de los bienes o servicios a contratar se encuentren ajustados a la realidad del mercado teniendo en cuenta las diferentes variables que inciden en la variación de los precios. </w:t>
      </w:r>
      <w:r w:rsidRPr="00B22899">
        <w:rPr>
          <w:rFonts w:ascii="Verdana" w:eastAsia="Calibri" w:hAnsi="Verdana" w:cs="Arial"/>
          <w:bCs/>
          <w:color w:val="000000"/>
          <w:kern w:val="2"/>
          <w14:ligatures w14:val="standardContextual"/>
        </w:rPr>
        <w:t xml:space="preserve">En tal sentido, la ejecución de un contrato puede involucrar múltiples tributos –impuestos (v.g. IVA. ICA, estampillas, etc.), tasas y contribuciones– para las partes del contrato, de ahí que, la </w:t>
      </w:r>
      <w:r w:rsidR="00E354D3" w:rsidRPr="00B22899">
        <w:rPr>
          <w:rFonts w:ascii="Verdana" w:eastAsia="Calibri" w:hAnsi="Verdana" w:cs="Arial"/>
          <w:bCs/>
          <w:color w:val="000000"/>
          <w:kern w:val="2"/>
          <w14:ligatures w14:val="standardContextual"/>
        </w:rPr>
        <w:t>E</w:t>
      </w:r>
      <w:r w:rsidRPr="00B22899">
        <w:rPr>
          <w:rFonts w:ascii="Verdana" w:eastAsia="Calibri" w:hAnsi="Verdana" w:cs="Arial"/>
          <w:bCs/>
          <w:color w:val="000000"/>
          <w:kern w:val="2"/>
          <w14:ligatures w14:val="standardContextual"/>
        </w:rPr>
        <w:t xml:space="preserve">ntidad </w:t>
      </w:r>
      <w:r w:rsidR="00E354D3" w:rsidRPr="00B22899">
        <w:rPr>
          <w:rFonts w:ascii="Verdana" w:eastAsia="Calibri" w:hAnsi="Verdana" w:cs="Arial"/>
          <w:bCs/>
          <w:color w:val="000000"/>
          <w:kern w:val="2"/>
          <w14:ligatures w14:val="standardContextual"/>
        </w:rPr>
        <w:t>E</w:t>
      </w:r>
      <w:r w:rsidRPr="00B22899">
        <w:rPr>
          <w:rFonts w:ascii="Verdana" w:eastAsia="Calibri" w:hAnsi="Verdana" w:cs="Arial"/>
          <w:bCs/>
          <w:color w:val="000000"/>
          <w:kern w:val="2"/>
          <w14:ligatures w14:val="standardContextual"/>
        </w:rPr>
        <w:t xml:space="preserve">statal al establecer el valor del contrato deba analizar e incluir estos valores. </w:t>
      </w:r>
    </w:p>
    <w:p w14:paraId="4588ADA9" w14:textId="77777777" w:rsidR="002224F5" w:rsidRPr="00B22899" w:rsidRDefault="002224F5" w:rsidP="002224F5">
      <w:pPr>
        <w:spacing w:after="120" w:line="276" w:lineRule="auto"/>
        <w:ind w:firstLine="709"/>
        <w:jc w:val="both"/>
        <w:rPr>
          <w:rFonts w:ascii="Verdana" w:hAnsi="Verdana" w:cs="Arial"/>
          <w:lang w:eastAsia="es-ES"/>
        </w:rPr>
      </w:pPr>
      <w:r w:rsidRPr="00B22899">
        <w:rPr>
          <w:rFonts w:ascii="Verdana" w:hAnsi="Verdana" w:cs="Arial"/>
          <w:lang w:eastAsia="es-ES"/>
        </w:rPr>
        <w:t xml:space="preserve">De igual forma, le corresponde al proponente reflejar en su oferta todos los costos inherentes al contrato a ejecutar, conforme a las condiciones habituales del mercado, lo que incluye los tributos y demás gravámenes que razonablemente puedan derivarse de la ejecución del contrato. Sin embargo, esto no lo habilita para trasladar de manera indiscriminada la totalidad de la carga tributaria a la entidad estatal, especialmente respecto de aquellos tributos que no presentan una relación directa, clara y necesaria con el objeto del contrato. </w:t>
      </w:r>
    </w:p>
    <w:p w14:paraId="277AFC0C" w14:textId="77777777" w:rsidR="002224F5" w:rsidRPr="00B22899" w:rsidRDefault="002224F5" w:rsidP="002224F5">
      <w:pPr>
        <w:spacing w:after="120" w:line="276" w:lineRule="auto"/>
        <w:ind w:firstLine="709"/>
        <w:jc w:val="both"/>
        <w:rPr>
          <w:rFonts w:ascii="Verdana" w:hAnsi="Verdana" w:cs="Arial"/>
          <w:lang w:eastAsia="es-ES"/>
        </w:rPr>
      </w:pPr>
      <w:r w:rsidRPr="00B22899">
        <w:rPr>
          <w:rFonts w:ascii="Verdana" w:hAnsi="Verdana" w:cs="Arial"/>
          <w:lang w:val="es-ES" w:eastAsia="es-ES"/>
        </w:rPr>
        <w:t xml:space="preserve">En relación con la retención en la fuente a la que alude en su consulta, es importante tener en cuenta que la Contraloría General de la República en el concepto </w:t>
      </w:r>
      <w:r w:rsidRPr="00B22899">
        <w:rPr>
          <w:rFonts w:ascii="Verdana" w:hAnsi="Verdana" w:cs="Arial"/>
          <w:lang w:eastAsia="es-ES"/>
        </w:rPr>
        <w:t>No CGR -OJ 010 de 2021 con radicado No. 2021EE0009558, señaló lo siguiente respecto de su naturaleza jurídica:</w:t>
      </w:r>
    </w:p>
    <w:p w14:paraId="34240F0F" w14:textId="77777777" w:rsidR="002224F5" w:rsidRPr="00B22899" w:rsidRDefault="002224F5" w:rsidP="002224F5">
      <w:pPr>
        <w:spacing w:after="0" w:line="276" w:lineRule="auto"/>
        <w:ind w:firstLine="709"/>
        <w:jc w:val="both"/>
        <w:rPr>
          <w:rFonts w:ascii="Verdana" w:hAnsi="Verdana" w:cs="Arial"/>
          <w:lang w:eastAsia="es-ES"/>
        </w:rPr>
      </w:pPr>
      <w:r w:rsidRPr="00B22899">
        <w:rPr>
          <w:rFonts w:ascii="Verdana" w:hAnsi="Verdana" w:cs="Arial"/>
          <w:lang w:eastAsia="es-ES"/>
        </w:rPr>
        <w:t xml:space="preserve"> </w:t>
      </w:r>
    </w:p>
    <w:p w14:paraId="67A44998" w14:textId="17E3B92D" w:rsidR="001A33BF" w:rsidRPr="00B22899" w:rsidRDefault="002224F5" w:rsidP="00584F7D">
      <w:pPr>
        <w:spacing w:after="0" w:line="240" w:lineRule="auto"/>
        <w:ind w:left="709" w:right="709"/>
        <w:contextualSpacing/>
        <w:jc w:val="both"/>
        <w:rPr>
          <w:rFonts w:ascii="Verdana" w:hAnsi="Verdana" w:cs="Arial"/>
          <w:color w:val="000000" w:themeColor="text1"/>
          <w:sz w:val="20"/>
          <w:szCs w:val="20"/>
          <w:lang w:val="es-MX"/>
        </w:rPr>
      </w:pPr>
      <w:r w:rsidRPr="00B22899">
        <w:rPr>
          <w:rFonts w:ascii="Verdana" w:hAnsi="Verdana" w:cs="Arial"/>
          <w:color w:val="000000" w:themeColor="text1"/>
          <w:sz w:val="20"/>
          <w:szCs w:val="20"/>
          <w:lang w:val="es-MX"/>
        </w:rPr>
        <w:t xml:space="preserve">"La retención en la Fuente es un mecanismo que tiene por finalidad conseguir que el impuesto de renta se recaude dentro del mismo ejercicio gravable (Artículo 367 del Estatuto Tributario). La retención en la fuente, a diferencia de los indicados anteriormente, no es un tributo, sino un "mecanismo anticipado de recaudo", o como lo indican algunos doctrinantes, "un mecanismo de recaudo simultáneo a la causación", lo anterior, por cuanto la ley le asigna a un tercero (retenedor) la obligación de descontar de los pagos que realiza al contribuyente (retenido o </w:t>
      </w:r>
      <w:r w:rsidRPr="00B22899">
        <w:rPr>
          <w:rFonts w:ascii="Verdana" w:hAnsi="Verdana" w:cs="Arial"/>
          <w:color w:val="000000" w:themeColor="text1"/>
          <w:sz w:val="20"/>
          <w:szCs w:val="20"/>
          <w:lang w:val="es-MX"/>
        </w:rPr>
        <w:lastRenderedPageBreak/>
        <w:t xml:space="preserve">beneficiario del pago) una suma de dinero (porcentaje de retención en la fuente) como pago anticipado del Impuesto de Renta que se genera por concepto de los ingresos recibidos. </w:t>
      </w:r>
      <w:r w:rsidRPr="00B22899">
        <w:rPr>
          <w:rFonts w:ascii="Verdana" w:hAnsi="Verdana" w:cs="Arial"/>
          <w:color w:val="000000" w:themeColor="text1"/>
          <w:sz w:val="20"/>
          <w:szCs w:val="20"/>
        </w:rPr>
        <w:t>Al finalizar el respectivo período gravable, el contribuyente (retenido) realizará su autoliquidación de los tributos que le corresponde cancelar y descontará de la cuantía que arroje esta liquidación, los valores que se le ha descontado por concepto de retenciones en la fuente. Las entidades públicas no son sujetos pasivos del Impuesto de Renta, y por tanto no podrían asumir como suya, la obligación de cancelar retenciones en la fuente, su papel se limita a actuar como agentes de retención en la fuente, "delegatarios del Estado o agentes de éste, responsables ante el fisco por el recaudo de la retención en la fuente, su determinación y consignación" y como tal, deben cumplir con su obligación de intermediarios en el proceso de recaudo del impuesto de renta, de las personas a las cuales se les cancela sumas de dinero, por conceptos sujetos a dicha retención”.</w:t>
      </w:r>
    </w:p>
    <w:p w14:paraId="400B6105" w14:textId="6FD55DAA" w:rsidR="00D9170B" w:rsidRPr="00B22899" w:rsidRDefault="00A2749A" w:rsidP="00D9170B">
      <w:pPr>
        <w:spacing w:before="100" w:beforeAutospacing="1" w:after="100" w:afterAutospacing="1" w:line="276" w:lineRule="auto"/>
        <w:ind w:firstLine="708"/>
        <w:jc w:val="both"/>
        <w:rPr>
          <w:rFonts w:ascii="Verdana" w:eastAsia="Verdana" w:hAnsi="Verdana" w:cs="Verdana"/>
        </w:rPr>
      </w:pPr>
      <w:r w:rsidRPr="00B22899">
        <w:rPr>
          <w:rFonts w:ascii="Verdana" w:eastAsia="Verdana" w:hAnsi="Verdana" w:cs="Verdana"/>
          <w:lang w:val="es-MX"/>
        </w:rPr>
        <w:t>De lo expuesto</w:t>
      </w:r>
      <w:r w:rsidR="00584F7D" w:rsidRPr="00B22899">
        <w:rPr>
          <w:rFonts w:ascii="Verdana" w:eastAsia="Verdana" w:hAnsi="Verdana" w:cs="Verdana"/>
          <w:lang w:val="es-MX"/>
        </w:rPr>
        <w:t xml:space="preserve">, se tiene que </w:t>
      </w:r>
      <w:r w:rsidR="00584F7D" w:rsidRPr="00B22899">
        <w:rPr>
          <w:rFonts w:ascii="Verdana" w:eastAsia="Verdana" w:hAnsi="Verdana" w:cs="Verdana"/>
        </w:rPr>
        <w:t xml:space="preserve">el contrato de compraventa de bienes muebles celebrado por una </w:t>
      </w:r>
      <w:r w:rsidR="00ED4D60" w:rsidRPr="00B22899">
        <w:rPr>
          <w:rFonts w:ascii="Verdana" w:eastAsia="Verdana" w:hAnsi="Verdana" w:cs="Verdana"/>
        </w:rPr>
        <w:t>E</w:t>
      </w:r>
      <w:r w:rsidR="00584F7D" w:rsidRPr="00B22899">
        <w:rPr>
          <w:rFonts w:ascii="Verdana" w:eastAsia="Verdana" w:hAnsi="Verdana" w:cs="Verdana"/>
        </w:rPr>
        <w:t xml:space="preserve">ntidad </w:t>
      </w:r>
      <w:r w:rsidR="00ED4D60" w:rsidRPr="00B22899">
        <w:rPr>
          <w:rFonts w:ascii="Verdana" w:eastAsia="Verdana" w:hAnsi="Verdana" w:cs="Verdana"/>
        </w:rPr>
        <w:t>E</w:t>
      </w:r>
      <w:r w:rsidR="00584F7D" w:rsidRPr="00B22899">
        <w:rPr>
          <w:rFonts w:ascii="Verdana" w:eastAsia="Verdana" w:hAnsi="Verdana" w:cs="Verdana"/>
        </w:rPr>
        <w:t>statal se rige, en lo no regulado expresamente por el Estatuto General de Contratación de la Administración Pública, por las normas civiles y comerciales pertinentes, en virtud de lo dispuesto en el artículo 13 de la Ley 80 de 1993. En ese sentido, no existe una norma que prohíba que el precio pactado se desglose en componentes</w:t>
      </w:r>
      <w:r w:rsidR="008759F9" w:rsidRPr="00B22899">
        <w:rPr>
          <w:rFonts w:ascii="Verdana" w:eastAsia="Verdana" w:hAnsi="Verdana" w:cs="Verdana"/>
        </w:rPr>
        <w:t xml:space="preserve">, </w:t>
      </w:r>
      <w:r w:rsidR="00584F7D" w:rsidRPr="00B22899">
        <w:rPr>
          <w:rFonts w:ascii="Verdana" w:eastAsia="Verdana" w:hAnsi="Verdana" w:cs="Verdana"/>
        </w:rPr>
        <w:t>tales como el valor del bien, los impuestos municipales de matrícula, el SOAT o los gastos de desplazamiento, pues dicha discriminación no altera la naturaleza del negocio jurídico ni desconoce los elementos esenciales de la compraventa (cosa y precio), sino que responde a fines de transparencia y verificación presupuestal, siempre que el valor total corresponda al ofertado y adjudicado, y que dicho desglose encuentre respaldo en los estudios de mercado y en los estudios previos que estructuraron el Proceso de Contratación.</w:t>
      </w:r>
    </w:p>
    <w:p w14:paraId="1A49D9E5" w14:textId="66C6A572" w:rsidR="004D5736" w:rsidRPr="00B22899" w:rsidRDefault="00ED4D60" w:rsidP="00C85F55">
      <w:pPr>
        <w:spacing w:before="100" w:beforeAutospacing="1" w:after="100" w:afterAutospacing="1" w:line="276" w:lineRule="auto"/>
        <w:ind w:firstLine="708"/>
        <w:jc w:val="both"/>
        <w:rPr>
          <w:rFonts w:ascii="Verdana" w:eastAsia="Verdana" w:hAnsi="Verdana" w:cs="Verdana"/>
        </w:rPr>
      </w:pPr>
      <w:r w:rsidRPr="00B22899">
        <w:rPr>
          <w:rFonts w:ascii="Verdana" w:eastAsia="Verdana" w:hAnsi="Verdana" w:cs="Verdana"/>
        </w:rPr>
        <w:t xml:space="preserve">Así las cosas, </w:t>
      </w:r>
      <w:r w:rsidR="000A0E68" w:rsidRPr="00B22899">
        <w:rPr>
          <w:rFonts w:ascii="Verdana" w:eastAsia="Verdana" w:hAnsi="Verdana" w:cs="Verdana"/>
        </w:rPr>
        <w:t xml:space="preserve">y en lo que respecta a la </w:t>
      </w:r>
      <w:r w:rsidR="00303713" w:rsidRPr="00B22899">
        <w:rPr>
          <w:rFonts w:ascii="Verdana" w:eastAsia="Verdana" w:hAnsi="Verdana" w:cs="Verdana"/>
        </w:rPr>
        <w:t xml:space="preserve">procedencia de costos de administración, es importante precisar que </w:t>
      </w:r>
      <w:r w:rsidR="002E30C4" w:rsidRPr="00B22899">
        <w:rPr>
          <w:rFonts w:ascii="Verdana" w:eastAsia="Verdana" w:hAnsi="Verdana" w:cs="Verdana"/>
        </w:rPr>
        <w:t>n</w:t>
      </w:r>
      <w:r w:rsidR="00303713" w:rsidRPr="00B22899">
        <w:rPr>
          <w:rFonts w:ascii="Verdana" w:eastAsia="Verdana" w:hAnsi="Verdana" w:cs="Verdana"/>
        </w:rPr>
        <w:t xml:space="preserve">o existe una norma que, de manera expresa, prohíba u ordene la inclusión de un ítem denominado "administración" en los contratos estatales de compraventa. </w:t>
      </w:r>
      <w:r w:rsidR="00E229D1" w:rsidRPr="00B22899">
        <w:rPr>
          <w:rFonts w:ascii="Verdana" w:eastAsia="Verdana" w:hAnsi="Verdana" w:cs="Verdana"/>
        </w:rPr>
        <w:t>En consecuencia, la inclusión del rubro de administración no es, por sí sola, ni una exigencia normativa ni una prohibición, sino una decisión de estructuración contractual que corresponde adoptar a la entidad, dentro de los principios de planeación, economía y responsabilidad que rigen la contratación estatal.</w:t>
      </w:r>
    </w:p>
    <w:p w14:paraId="7F61F719" w14:textId="21357157" w:rsidR="004D5736" w:rsidRPr="00B22899" w:rsidRDefault="004D5736" w:rsidP="004D5736">
      <w:pPr>
        <w:spacing w:before="100" w:beforeAutospacing="1" w:after="100" w:afterAutospacing="1" w:line="276" w:lineRule="auto"/>
        <w:ind w:firstLine="708"/>
        <w:jc w:val="both"/>
        <w:rPr>
          <w:rFonts w:ascii="Verdana" w:eastAsia="Verdana" w:hAnsi="Verdana" w:cs="Verdana"/>
        </w:rPr>
      </w:pPr>
      <w:r w:rsidRPr="00B22899">
        <w:rPr>
          <w:rFonts w:ascii="Verdana" w:eastAsia="Calibri" w:hAnsi="Verdana" w:cs="Arial"/>
          <w:bCs/>
          <w:color w:val="000000" w:themeColor="text1"/>
        </w:rPr>
        <w:lastRenderedPageBreak/>
        <w:t>Al margen de la explicación precedente debe advertirse que el análisis requerido para resolver problemas específicos en torno a la gestión contractual de las entidades públicas debe ser realizado por quienes tengan interés en ello, de acuerdo con lo explicado la aclaración preliminar del presente oficio. De esta manera, las afirmaciones aquí realizadas no pueden ser interpretadas como juicios de valor sobre circunstancias concretas relacionadas con los hechos que motivan la consulta. Por lo anterior, previo concepto de sus asesores, la solución de situaciones particulares corresponde a los interesados adoptar la decisión correspondiente y, en caso de conflicto, a las autoridades judiciales, fiscales y disciplinarias.</w:t>
      </w:r>
    </w:p>
    <w:p w14:paraId="6C517137" w14:textId="77777777" w:rsidR="004D5736" w:rsidRPr="00B22899" w:rsidRDefault="004D5736" w:rsidP="004D5736">
      <w:pPr>
        <w:spacing w:after="240" w:line="276" w:lineRule="auto"/>
        <w:ind w:firstLine="709"/>
        <w:jc w:val="both"/>
        <w:rPr>
          <w:rFonts w:ascii="Verdana" w:hAnsi="Verdana" w:cs="Arial"/>
          <w:bCs/>
          <w:color w:val="000000" w:themeColor="text1"/>
        </w:rPr>
      </w:pPr>
      <w:r w:rsidRPr="00B22899">
        <w:rPr>
          <w:rFonts w:ascii="Verdana" w:hAnsi="Verdana" w:cs="Arial"/>
          <w:bCs/>
          <w:color w:val="000000" w:themeColor="text1"/>
        </w:rPr>
        <w:t xml:space="preserve">Dentro de este marco, la entidad contratante definirá en cada caso concreto lo relacionado con el tema objeto de consulta. Al tratarse de un análisis que debe realizarse en el procedimiento contractual específico, la Agencia no puede definir un criterio universal y absoluto por vía consultiva, sino que brinda elementos de carácter general para que los partícipes del sistema de compras y contratación pública adopten la decisión que corresponda, lo cual es acorde con el principio de juridicidad. Así, cada entidad definirá la forma de adelantar su gestión contractual, sin que sea atribución de Colombia Compra Eficiente validar sus actuaciones. </w:t>
      </w:r>
    </w:p>
    <w:p w14:paraId="359886D4" w14:textId="77777777" w:rsidR="003375B0" w:rsidRPr="00B22899" w:rsidRDefault="003375B0" w:rsidP="003375B0">
      <w:pPr>
        <w:pStyle w:val="Prrafodelista"/>
        <w:numPr>
          <w:ilvl w:val="0"/>
          <w:numId w:val="18"/>
        </w:numPr>
        <w:tabs>
          <w:tab w:val="left" w:pos="142"/>
          <w:tab w:val="left" w:pos="284"/>
        </w:tabs>
        <w:spacing w:after="0" w:line="276" w:lineRule="auto"/>
        <w:ind w:left="360"/>
        <w:contextualSpacing w:val="0"/>
        <w:jc w:val="both"/>
        <w:rPr>
          <w:rFonts w:ascii="Verdana" w:eastAsia="Century Gothic" w:hAnsi="Verdana" w:cs="Century Gothic"/>
          <w:b/>
          <w:bCs/>
        </w:rPr>
      </w:pPr>
      <w:r w:rsidRPr="00B22899">
        <w:rPr>
          <w:rFonts w:ascii="Verdana" w:eastAsia="Century Gothic" w:hAnsi="Verdana" w:cs="Century Gothic"/>
          <w:b/>
          <w:bCs/>
        </w:rPr>
        <w:t>Referencias normativas, jurisprudenciales y otras fuentes:</w:t>
      </w:r>
    </w:p>
    <w:p w14:paraId="37794284" w14:textId="77777777" w:rsidR="003375B0" w:rsidRPr="00B22899" w:rsidRDefault="003375B0" w:rsidP="003375B0">
      <w:pPr>
        <w:widowControl w:val="0"/>
        <w:autoSpaceDE w:val="0"/>
        <w:autoSpaceDN w:val="0"/>
        <w:spacing w:after="0" w:line="276" w:lineRule="auto"/>
        <w:jc w:val="both"/>
        <w:rPr>
          <w:rFonts w:ascii="Verdana" w:hAnsi="Verdana" w:cs="Arial"/>
        </w:rPr>
      </w:pPr>
    </w:p>
    <w:tbl>
      <w:tblPr>
        <w:tblStyle w:val="Tablaconcuadrcula"/>
        <w:tblW w:w="8647" w:type="dxa"/>
        <w:tblInd w:w="137"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8647"/>
      </w:tblGrid>
      <w:tr w:rsidR="003375B0" w:rsidRPr="00B22899" w14:paraId="12BF2A39" w14:textId="77777777" w:rsidTr="00C07D93">
        <w:trPr>
          <w:trHeight w:val="870"/>
        </w:trPr>
        <w:tc>
          <w:tcPr>
            <w:tcW w:w="8647" w:type="dxa"/>
          </w:tcPr>
          <w:p w14:paraId="41F99114" w14:textId="5F9038B6" w:rsidR="003375B0" w:rsidRPr="00B22899" w:rsidRDefault="00574198" w:rsidP="00C07D93">
            <w:pPr>
              <w:pStyle w:val="Prrafodelista"/>
              <w:numPr>
                <w:ilvl w:val="0"/>
                <w:numId w:val="17"/>
              </w:numPr>
              <w:spacing w:line="276" w:lineRule="auto"/>
              <w:jc w:val="both"/>
              <w:rPr>
                <w:rFonts w:ascii="Verdana" w:hAnsi="Verdana" w:cs="Arial"/>
              </w:rPr>
            </w:pPr>
            <w:r w:rsidRPr="00B22899">
              <w:rPr>
                <w:rFonts w:ascii="Verdana" w:hAnsi="Verdana" w:cs="Arial"/>
              </w:rPr>
              <w:t>Ley 80 de 1993 Artículos 1, 2, 13, 25, 32 y 40</w:t>
            </w:r>
          </w:p>
          <w:p w14:paraId="6CAC9EB8" w14:textId="077AB336" w:rsidR="00C37AC9" w:rsidRPr="00B22899" w:rsidRDefault="00175B9E" w:rsidP="00C07D93">
            <w:pPr>
              <w:pStyle w:val="Prrafodelista"/>
              <w:numPr>
                <w:ilvl w:val="0"/>
                <w:numId w:val="17"/>
              </w:numPr>
              <w:spacing w:line="276" w:lineRule="auto"/>
              <w:jc w:val="both"/>
              <w:rPr>
                <w:rFonts w:ascii="Verdana" w:hAnsi="Verdana" w:cs="Arial"/>
              </w:rPr>
            </w:pPr>
            <w:r w:rsidRPr="00B22899">
              <w:rPr>
                <w:rFonts w:ascii="Verdana" w:hAnsi="Verdana" w:cs="Arial"/>
              </w:rPr>
              <w:t xml:space="preserve">Código Civil. </w:t>
            </w:r>
            <w:r w:rsidR="00C37AC9" w:rsidRPr="00B22899">
              <w:rPr>
                <w:rFonts w:ascii="Verdana" w:hAnsi="Verdana" w:cs="Arial"/>
              </w:rPr>
              <w:t>Artículo</w:t>
            </w:r>
            <w:r w:rsidR="00D158F7" w:rsidRPr="00B22899">
              <w:rPr>
                <w:rFonts w:ascii="Verdana" w:hAnsi="Verdana" w:cs="Arial"/>
              </w:rPr>
              <w:t xml:space="preserve"> 1849 y siguientes </w:t>
            </w:r>
          </w:p>
          <w:p w14:paraId="1E3F7EEA" w14:textId="49BF306F" w:rsidR="003375B0" w:rsidRPr="00B22899" w:rsidRDefault="00175B9E" w:rsidP="00C07D93">
            <w:pPr>
              <w:pStyle w:val="Prrafodelista"/>
              <w:numPr>
                <w:ilvl w:val="0"/>
                <w:numId w:val="17"/>
              </w:numPr>
              <w:spacing w:line="276" w:lineRule="auto"/>
              <w:jc w:val="both"/>
              <w:rPr>
                <w:rFonts w:ascii="Verdana" w:hAnsi="Verdana" w:cs="Arial"/>
                <w:sz w:val="24"/>
                <w:szCs w:val="24"/>
              </w:rPr>
            </w:pPr>
            <w:r w:rsidRPr="00B22899">
              <w:rPr>
                <w:rFonts w:ascii="Verdana" w:eastAsia="Calibri" w:hAnsi="Verdana" w:cs="Arial"/>
                <w:color w:val="000000"/>
                <w:lang w:eastAsia="en-GB"/>
              </w:rPr>
              <w:t>Código de Comercio. Artículo 905</w:t>
            </w:r>
          </w:p>
          <w:p w14:paraId="5A9BCC38" w14:textId="77777777" w:rsidR="00045803" w:rsidRPr="00B22899" w:rsidRDefault="00C34A3A" w:rsidP="00045803">
            <w:pPr>
              <w:pStyle w:val="Prrafodelista"/>
              <w:numPr>
                <w:ilvl w:val="0"/>
                <w:numId w:val="17"/>
              </w:numPr>
              <w:spacing w:line="276" w:lineRule="auto"/>
              <w:contextualSpacing w:val="0"/>
              <w:jc w:val="both"/>
              <w:rPr>
                <w:rFonts w:ascii="Verdana" w:hAnsi="Verdana" w:cs="Arial"/>
              </w:rPr>
            </w:pPr>
            <w:r w:rsidRPr="00B22899">
              <w:rPr>
                <w:rFonts w:ascii="Verdana" w:hAnsi="Verdana" w:cs="Arial"/>
                <w:color w:val="000000" w:themeColor="text1"/>
              </w:rPr>
              <w:t xml:space="preserve">Decreto 1082 de 2015. Artículo </w:t>
            </w:r>
            <w:r w:rsidR="001B461B" w:rsidRPr="00B22899">
              <w:rPr>
                <w:rFonts w:ascii="Verdana" w:hAnsi="Verdana" w:cs="Arial"/>
                <w:color w:val="000000" w:themeColor="text1"/>
              </w:rPr>
              <w:t>2.2.1.1.2.1.1</w:t>
            </w:r>
          </w:p>
          <w:p w14:paraId="27951E22" w14:textId="11513ABF" w:rsidR="00045803" w:rsidRPr="00B22899" w:rsidRDefault="00045803" w:rsidP="00045803">
            <w:pPr>
              <w:pStyle w:val="Prrafodelista"/>
              <w:numPr>
                <w:ilvl w:val="0"/>
                <w:numId w:val="17"/>
              </w:numPr>
              <w:spacing w:line="276" w:lineRule="auto"/>
              <w:contextualSpacing w:val="0"/>
              <w:jc w:val="both"/>
              <w:rPr>
                <w:rFonts w:ascii="Verdana" w:hAnsi="Verdana" w:cs="Arial"/>
              </w:rPr>
            </w:pPr>
            <w:r w:rsidRPr="00B22899">
              <w:rPr>
                <w:rFonts w:ascii="Verdana" w:hAnsi="Verdana" w:cs="Arial"/>
              </w:rPr>
              <w:t>Consejo de Estado. Sección Tercera. Sentencia del 4 de abril de 2002, Rad. 1999-0290-01 (17.244).</w:t>
            </w:r>
            <w:r w:rsidR="00F60452" w:rsidRPr="00B22899">
              <w:rPr>
                <w:rFonts w:ascii="Verdana" w:hAnsi="Verdana" w:cs="Arial"/>
              </w:rPr>
              <w:t xml:space="preserve"> M.P. Alier E. Hernández Enríquez.</w:t>
            </w:r>
          </w:p>
          <w:p w14:paraId="5138790B" w14:textId="77777777" w:rsidR="003375B0" w:rsidRPr="00B22899" w:rsidRDefault="00F60452" w:rsidP="00C07D93">
            <w:pPr>
              <w:pStyle w:val="Prrafodelista"/>
              <w:numPr>
                <w:ilvl w:val="0"/>
                <w:numId w:val="17"/>
              </w:numPr>
              <w:spacing w:after="120" w:line="276" w:lineRule="auto"/>
              <w:jc w:val="both"/>
              <w:rPr>
                <w:rFonts w:ascii="Verdana" w:hAnsi="Verdana" w:cs="Arial"/>
                <w:lang w:val="es-CO"/>
              </w:rPr>
            </w:pPr>
            <w:r w:rsidRPr="00B22899">
              <w:rPr>
                <w:rFonts w:ascii="Verdana" w:hAnsi="Verdana" w:cs="Arial"/>
                <w:lang w:val="es-CO"/>
              </w:rPr>
              <w:t>Consejo de Estado. Sala de lo Contencioso Administrativo. Sección Tercera. Subsección B. Sentencia del 28 de febrero del 2023. Radicación número: 20001-23-31-000-1996-02988-01(24131). C.P. Danilo Rojas Betancourth</w:t>
            </w:r>
          </w:p>
          <w:p w14:paraId="4EB1B6D0" w14:textId="4DED5A40" w:rsidR="00A66247" w:rsidRPr="00B22899" w:rsidRDefault="00933B22" w:rsidP="00C07D93">
            <w:pPr>
              <w:pStyle w:val="Prrafodelista"/>
              <w:numPr>
                <w:ilvl w:val="0"/>
                <w:numId w:val="17"/>
              </w:numPr>
              <w:spacing w:after="120" w:line="276" w:lineRule="auto"/>
              <w:jc w:val="both"/>
              <w:rPr>
                <w:rFonts w:ascii="Verdana" w:hAnsi="Verdana" w:cs="Arial"/>
                <w:lang w:val="es-CO"/>
              </w:rPr>
            </w:pPr>
            <w:r w:rsidRPr="00B22899">
              <w:rPr>
                <w:rFonts w:ascii="Verdana" w:hAnsi="Verdana" w:cs="Arial"/>
                <w:lang w:val="es-CO"/>
              </w:rPr>
              <w:t>Consejo de Estado.</w:t>
            </w:r>
            <w:r w:rsidR="00A66247" w:rsidRPr="00B22899">
              <w:rPr>
                <w:rFonts w:ascii="Verdana" w:hAnsi="Verdana" w:cs="Arial"/>
                <w:lang w:val="es-CO"/>
              </w:rPr>
              <w:t xml:space="preserve"> Sección Tercera, Subsección A sentencia de 19 de julio de 2018, Rad. 2013-01826(57.576). M.P. Marta Nubia Velázquez Rico</w:t>
            </w:r>
            <w:r w:rsidR="00F77B17" w:rsidRPr="00B22899">
              <w:rPr>
                <w:rFonts w:ascii="Verdana" w:hAnsi="Verdana" w:cs="Arial"/>
                <w:lang w:val="es-CO"/>
              </w:rPr>
              <w:t>.</w:t>
            </w:r>
          </w:p>
        </w:tc>
      </w:tr>
    </w:tbl>
    <w:p w14:paraId="4AC38C52" w14:textId="77777777" w:rsidR="003375B0" w:rsidRPr="00B22899" w:rsidRDefault="003375B0" w:rsidP="003375B0">
      <w:pPr>
        <w:widowControl w:val="0"/>
        <w:autoSpaceDE w:val="0"/>
        <w:autoSpaceDN w:val="0"/>
        <w:spacing w:after="0" w:line="276" w:lineRule="auto"/>
        <w:jc w:val="both"/>
        <w:rPr>
          <w:rFonts w:ascii="Verdana" w:hAnsi="Verdana" w:cs="Arial"/>
        </w:rPr>
      </w:pPr>
    </w:p>
    <w:p w14:paraId="4AEB07CC" w14:textId="77777777" w:rsidR="003375B0" w:rsidRPr="00B22899" w:rsidRDefault="003375B0" w:rsidP="003375B0">
      <w:pPr>
        <w:pStyle w:val="Prrafodelista"/>
        <w:numPr>
          <w:ilvl w:val="0"/>
          <w:numId w:val="18"/>
        </w:numPr>
        <w:tabs>
          <w:tab w:val="left" w:pos="142"/>
          <w:tab w:val="left" w:pos="284"/>
        </w:tabs>
        <w:spacing w:after="0" w:line="276" w:lineRule="auto"/>
        <w:ind w:left="0" w:firstLine="0"/>
        <w:contextualSpacing w:val="0"/>
        <w:jc w:val="both"/>
        <w:rPr>
          <w:rFonts w:ascii="Verdana" w:eastAsia="Century Gothic" w:hAnsi="Verdana" w:cs="Arial"/>
          <w:b/>
          <w:bCs/>
        </w:rPr>
      </w:pPr>
      <w:r w:rsidRPr="00B22899">
        <w:rPr>
          <w:rFonts w:ascii="Verdana" w:eastAsia="Century Gothic" w:hAnsi="Verdana" w:cs="Arial"/>
          <w:b/>
          <w:bCs/>
        </w:rPr>
        <w:t>Doctrina de la Agencia Nacional de Contratación Pública:</w:t>
      </w:r>
    </w:p>
    <w:p w14:paraId="3596E711" w14:textId="77777777" w:rsidR="003375B0" w:rsidRPr="00B22899" w:rsidRDefault="003375B0" w:rsidP="003375B0">
      <w:pPr>
        <w:widowControl w:val="0"/>
        <w:autoSpaceDE w:val="0"/>
        <w:autoSpaceDN w:val="0"/>
        <w:spacing w:after="0" w:line="276" w:lineRule="auto"/>
        <w:jc w:val="both"/>
        <w:rPr>
          <w:rFonts w:ascii="Verdana" w:hAnsi="Verdana" w:cs="Arial"/>
          <w:highlight w:val="cyan"/>
        </w:rPr>
      </w:pPr>
    </w:p>
    <w:p w14:paraId="342844A0" w14:textId="3DBBBBFA" w:rsidR="00853454" w:rsidRPr="00B22899" w:rsidRDefault="00853454" w:rsidP="00853454">
      <w:pPr>
        <w:spacing w:after="120" w:line="276" w:lineRule="auto"/>
        <w:ind w:left="3"/>
        <w:jc w:val="both"/>
        <w:rPr>
          <w:rStyle w:val="normaltextrun"/>
          <w:rFonts w:ascii="Verdana" w:hAnsi="Verdana" w:cs="Arial"/>
          <w:color w:val="FF0000"/>
          <w:shd w:val="clear" w:color="auto" w:fill="FFFFFF"/>
          <w:lang w:val="es-ES"/>
        </w:rPr>
      </w:pPr>
      <w:r w:rsidRPr="00B22899">
        <w:rPr>
          <w:rStyle w:val="normaltextrun"/>
          <w:rFonts w:ascii="Verdana" w:hAnsi="Verdana" w:cs="Arial"/>
          <w:color w:val="000000" w:themeColor="text1"/>
          <w:shd w:val="clear" w:color="auto" w:fill="FFFFFF"/>
          <w:lang w:val="es-ES"/>
        </w:rPr>
        <w:t xml:space="preserve">La Agencia Nacional de Contratación Pública – Colombia Compra Eficiente se ha pronunciado </w:t>
      </w:r>
      <w:r w:rsidRPr="00B22899">
        <w:rPr>
          <w:rStyle w:val="normaltextrun"/>
          <w:rFonts w:ascii="Verdana" w:hAnsi="Verdana"/>
          <w:color w:val="000000" w:themeColor="text1"/>
          <w:shd w:val="clear" w:color="auto" w:fill="FFFFFF"/>
          <w:lang w:val="es-ES"/>
        </w:rPr>
        <w:t xml:space="preserve">sobre </w:t>
      </w:r>
      <w:r w:rsidRPr="00B22899">
        <w:rPr>
          <w:rFonts w:ascii="Verdana" w:hAnsi="Verdana" w:cs="Arial"/>
          <w:shd w:val="clear" w:color="auto" w:fill="FFFFFF"/>
        </w:rPr>
        <w:t>la determinación del precio en los contratos estatales en los Conceptos 4201912000007092 del 29 de noviembre de 2019; 4202012000000093, C-037 del 28 de enero de 2020, 4202012000000664 del 30 de enero de 2020, C-191 del 16 de marzo de 2020, C-211 del 8 de abril de 2020, C-714 del 9 de diciembre de 2020, C-059 del 10 de marzo de 2021, C-613 del 6 de octubre de 2022, C-716 de 15 de noviembre de 2022, C-802 de 23 de noviembre de 2022, C-854 del 9 de diciembre de 2022, C-914 del 27 de diciembre de 2022, C-361 de septiembre de 2023, C-401 del 27 de septiembre de 2023 y C-455 del 18 de septiembre de 2024, C-248 del 3 de abril de 2025, C-460 del 18 de junio de 2025, C-1797 del 16 de diciembre de 2025</w:t>
      </w:r>
      <w:r w:rsidR="00BC7518" w:rsidRPr="00B22899">
        <w:rPr>
          <w:rFonts w:ascii="Verdana" w:hAnsi="Verdana" w:cs="Arial"/>
          <w:shd w:val="clear" w:color="auto" w:fill="FFFFFF"/>
        </w:rPr>
        <w:t xml:space="preserve">, </w:t>
      </w:r>
      <w:r w:rsidRPr="00B22899">
        <w:rPr>
          <w:rFonts w:ascii="Verdana" w:hAnsi="Verdana" w:cs="Arial"/>
          <w:shd w:val="clear" w:color="auto" w:fill="FFFFFF"/>
        </w:rPr>
        <w:t>C-1613 de 22 de diciembre de 2025</w:t>
      </w:r>
      <w:r w:rsidRPr="00B22899">
        <w:rPr>
          <w:rFonts w:ascii="Verdana" w:hAnsi="Verdana" w:cs="Arial"/>
          <w:shd w:val="clear" w:color="auto" w:fill="FFFFFF"/>
          <w:lang w:val="es-ES"/>
        </w:rPr>
        <w:t xml:space="preserve">, </w:t>
      </w:r>
      <w:r w:rsidRPr="00B22899">
        <w:rPr>
          <w:rFonts w:ascii="Verdana" w:eastAsia="Calibri" w:hAnsi="Verdana" w:cs="Arial"/>
          <w:color w:val="000000" w:themeColor="text1"/>
          <w:lang w:val="es-ES" w:eastAsia="es-ES"/>
        </w:rPr>
        <w:t xml:space="preserve">C-947 del 02 de julio de 2026 y </w:t>
      </w:r>
      <w:r w:rsidR="008F3B54" w:rsidRPr="00B22899">
        <w:rPr>
          <w:rFonts w:ascii="Verdana" w:eastAsia="Calibri" w:hAnsi="Verdana" w:cs="Arial"/>
          <w:color w:val="000000" w:themeColor="text1"/>
          <w:lang w:val="es-ES" w:eastAsia="es-ES"/>
        </w:rPr>
        <w:t>C-990 del 27 de julio del 2026</w:t>
      </w:r>
      <w:r w:rsidRPr="00B22899">
        <w:rPr>
          <w:rFonts w:ascii="Verdana" w:eastAsia="Calibri" w:hAnsi="Verdana" w:cs="Arial"/>
          <w:color w:val="000000" w:themeColor="text1"/>
          <w:lang w:val="es-ES" w:eastAsia="es-ES"/>
        </w:rPr>
        <w:t xml:space="preserve">, </w:t>
      </w:r>
      <w:r w:rsidRPr="00B22899">
        <w:rPr>
          <w:rFonts w:ascii="Verdana" w:hAnsi="Verdana" w:cs="Arial"/>
          <w:shd w:val="clear" w:color="auto" w:fill="FFFFFF"/>
          <w:lang w:val="es-ES"/>
        </w:rPr>
        <w:t>entre otros</w:t>
      </w:r>
      <w:r w:rsidRPr="00B22899">
        <w:rPr>
          <w:rFonts w:ascii="Verdana" w:hAnsi="Verdana"/>
          <w:lang w:val="es-ES"/>
        </w:rPr>
        <w:t>. Estos y otros conceptos se encuentran disponibles para consulta en</w:t>
      </w:r>
      <w:r w:rsidRPr="00B22899">
        <w:rPr>
          <w:rStyle w:val="normaltextrun"/>
          <w:rFonts w:ascii="Verdana" w:hAnsi="Verdana" w:cs="Arial"/>
          <w:color w:val="000000" w:themeColor="text1"/>
          <w:shd w:val="clear" w:color="auto" w:fill="FFFFFF"/>
          <w:lang w:val="es-ES"/>
        </w:rPr>
        <w:t xml:space="preserve"> el Sistema de relatoría de la Agencia, al cual puede accederse a través del siguiente enlace: </w:t>
      </w:r>
      <w:hyperlink r:id="rId13" w:history="1">
        <w:r w:rsidRPr="00B22899">
          <w:rPr>
            <w:rStyle w:val="Hipervnculo"/>
            <w:rFonts w:ascii="Verdana" w:hAnsi="Verdana" w:cs="Arial"/>
            <w:shd w:val="clear" w:color="auto" w:fill="FFFFFF"/>
            <w:lang w:val="es-ES"/>
          </w:rPr>
          <w:t>https://relatoria.colombiacompra.gov.co/busqueda/conceptos</w:t>
        </w:r>
      </w:hyperlink>
      <w:r w:rsidRPr="00B22899">
        <w:rPr>
          <w:rStyle w:val="normaltextrun"/>
          <w:rFonts w:ascii="Verdana" w:hAnsi="Verdana" w:cs="Arial"/>
          <w:shd w:val="clear" w:color="auto" w:fill="FFFFFF"/>
          <w:lang w:val="es-ES"/>
        </w:rPr>
        <w:t>.</w:t>
      </w:r>
      <w:r w:rsidRPr="00B22899">
        <w:rPr>
          <w:rStyle w:val="normaltextrun"/>
          <w:rFonts w:ascii="Verdana" w:hAnsi="Verdana" w:cs="Arial"/>
          <w:color w:val="FF0000"/>
          <w:shd w:val="clear" w:color="auto" w:fill="FFFFFF"/>
          <w:lang w:val="es-ES"/>
        </w:rPr>
        <w:t xml:space="preserve"> </w:t>
      </w:r>
    </w:p>
    <w:p w14:paraId="68D481D6" w14:textId="423631FB" w:rsidR="00302FC3" w:rsidRPr="00B22899" w:rsidRDefault="00302FC3" w:rsidP="00853454">
      <w:pPr>
        <w:spacing w:after="120" w:line="276" w:lineRule="auto"/>
        <w:ind w:left="3"/>
        <w:jc w:val="both"/>
        <w:rPr>
          <w:rFonts w:ascii="Verdana" w:hAnsi="Verdana" w:cs="Arial"/>
          <w:color w:val="FF0000"/>
          <w:shd w:val="clear" w:color="auto" w:fill="FFFFFF"/>
          <w:lang w:val="es-ES"/>
        </w:rPr>
      </w:pPr>
      <w:r w:rsidRPr="00B22899">
        <w:rPr>
          <w:rFonts w:ascii="Verdana" w:hAnsi="Verdana" w:cs="Arial"/>
        </w:rPr>
        <w:t>Las garantías no son un requisito formal: son el instrumento con el que se protege el patrimonio público frente a los riesgos del contrato. Por ello, la Agencia Nacional de Contratación Pública –Colombia Compra Eficiente– te invita a consultar la nueva versión de la </w:t>
      </w:r>
      <w:r w:rsidRPr="00B22899">
        <w:rPr>
          <w:rFonts w:ascii="Verdana" w:hAnsi="Verdana" w:cs="Arial"/>
          <w:b/>
          <w:bCs/>
        </w:rPr>
        <w:t>Guía para la Exigencia y Constitución de Garantías en los Procesos de Contratación</w:t>
      </w:r>
      <w:r w:rsidRPr="00B22899">
        <w:rPr>
          <w:rFonts w:ascii="Verdana" w:hAnsi="Verdana" w:cs="Arial"/>
        </w:rPr>
        <w:t>, dirigida a las entidades sometidas al EGCAP y a las de regímenes exceptuados, así como a proveedores y órganos de control. Encontrarás orientaciones sobre las clases de garantías admisibles, la correspondencia entre riesgos asignados y amparos exigidos, su suficiencia y vigencia, y el procedimiento para hacerlas efectivas. Consúltala aquí: </w:t>
      </w:r>
      <w:hyperlink r:id="rId14" w:tgtFrame="_blank" w:tooltip="Dirección URL original: https://www.colombiacompra.gov.co/archivos/manual/guia-de-garantias-en-procesos-de-contratacion. Haga clic o pulse si confía en este vínculo." w:history="1">
        <w:r w:rsidRPr="00B22899">
          <w:rPr>
            <w:rStyle w:val="Hipervnculo"/>
            <w:rFonts w:ascii="Verdana" w:hAnsi="Verdana" w:cs="Arial"/>
          </w:rPr>
          <w:t>https://www.colombiacompra.gov.co/archivos/manual/guia-de-garantias-en-procesos-de-contratacion</w:t>
        </w:r>
      </w:hyperlink>
    </w:p>
    <w:p w14:paraId="0576D2FC" w14:textId="77777777" w:rsidR="00302FC3" w:rsidRPr="00B22899" w:rsidRDefault="00302FC3" w:rsidP="00302FC3">
      <w:pPr>
        <w:spacing w:after="240" w:line="276" w:lineRule="auto"/>
        <w:jc w:val="both"/>
        <w:rPr>
          <w:rFonts w:ascii="Verdana" w:hAnsi="Verdana" w:cs="Arial"/>
        </w:rPr>
      </w:pPr>
      <w:r w:rsidRPr="00B22899">
        <w:rPr>
          <w:rFonts w:ascii="Verdana" w:hAnsi="Verdana" w:cs="Arial"/>
        </w:rPr>
        <w:t>De otro lado, te contamos que el Decreto 287 del 19 de marzo de 2026 sustituyó los artículos 2.2.1.2.4.2.6., 2.2.1.2.4.2.7. y 2.2.1.2.4.2.8. del Decreto 1082 de 2015 y estructuró el </w:t>
      </w:r>
      <w:r w:rsidRPr="00B22899">
        <w:rPr>
          <w:rFonts w:ascii="Verdana" w:hAnsi="Verdana" w:cs="Arial"/>
          <w:b/>
          <w:bCs/>
        </w:rPr>
        <w:t>Sistema Integral de Preferencias en favor de las personas con discapacidad</w:t>
      </w:r>
      <w:r w:rsidRPr="00B22899">
        <w:rPr>
          <w:rFonts w:ascii="Verdana" w:hAnsi="Verdana" w:cs="Arial"/>
        </w:rPr>
        <w:t>, en cumplimiento del artículo 13 de la Ley Estatutaria 1618 de 2013. Para orientar su aplicación, esta Agencia expidió la </w:t>
      </w:r>
      <w:r w:rsidRPr="00B22899">
        <w:rPr>
          <w:rFonts w:ascii="Verdana" w:hAnsi="Verdana" w:cs="Arial"/>
          <w:b/>
          <w:bCs/>
        </w:rPr>
        <w:t>Circular Externa 003 del 12 de mayo de 2026, </w:t>
      </w:r>
      <w:r w:rsidRPr="00B22899">
        <w:rPr>
          <w:rFonts w:ascii="Verdana" w:hAnsi="Verdana" w:cs="Arial"/>
        </w:rPr>
        <w:t xml:space="preserve">en la que precisa quiénes </w:t>
      </w:r>
      <w:r w:rsidRPr="00B22899">
        <w:rPr>
          <w:rFonts w:ascii="Verdana" w:hAnsi="Verdana" w:cs="Arial"/>
        </w:rPr>
        <w:lastRenderedPageBreak/>
        <w:t>son los beneficiarios, las cinco medidas que integran el sistema y su obligatoriedad según la modalidad de selección, y el régimen de transición aplicable a los procesos en curso. Consúltala aquí: </w:t>
      </w:r>
      <w:hyperlink r:id="rId15" w:tgtFrame="_blank" w:tooltip="Dirección URL original: https://www.colombiacompra.gov.co/archivos/circular/circular-externa-003-de-2026. Haga clic o pulse si confía en este vínculo." w:history="1">
        <w:r w:rsidRPr="00B22899">
          <w:rPr>
            <w:rStyle w:val="Hipervnculo"/>
            <w:rFonts w:ascii="Verdana" w:hAnsi="Verdana" w:cs="Arial"/>
          </w:rPr>
          <w:t>https://www.colombiacompra.gov.co/archivos/circular/circular-externa-003-de-2026</w:t>
        </w:r>
      </w:hyperlink>
    </w:p>
    <w:p w14:paraId="324435EC" w14:textId="77777777" w:rsidR="00302FC3" w:rsidRPr="00B22899" w:rsidRDefault="00302FC3" w:rsidP="00302FC3">
      <w:pPr>
        <w:spacing w:after="240" w:line="276" w:lineRule="auto"/>
        <w:jc w:val="both"/>
        <w:rPr>
          <w:rFonts w:ascii="Verdana" w:hAnsi="Verdana" w:cs="Arial"/>
        </w:rPr>
      </w:pPr>
      <w:r w:rsidRPr="00B22899">
        <w:rPr>
          <w:rFonts w:ascii="Verdana" w:hAnsi="Verdana" w:cs="Arial"/>
        </w:rPr>
        <w:t>Recuerda también que la</w:t>
      </w:r>
      <w:r w:rsidRPr="00B22899">
        <w:rPr>
          <w:rFonts w:ascii="Verdana" w:hAnsi="Verdana" w:cs="Arial"/>
          <w:b/>
          <w:bCs/>
        </w:rPr>
        <w:t> información sobre sanciones e inhabilidades </w:t>
      </w:r>
      <w:r w:rsidRPr="00B22899">
        <w:rPr>
          <w:rFonts w:ascii="Verdana" w:hAnsi="Verdana" w:cs="Arial"/>
        </w:rPr>
        <w:t>solo cumple su función preventiva si llega oportunamente a los registros públicos. Sobre este deber, esta Agencia expidió la </w:t>
      </w:r>
      <w:r w:rsidRPr="00B22899">
        <w:rPr>
          <w:rFonts w:ascii="Verdana" w:hAnsi="Verdana" w:cs="Arial"/>
          <w:b/>
          <w:bCs/>
        </w:rPr>
        <w:t>Circular Externa 002 del 5 de mayo de 2026,</w:t>
      </w:r>
      <w:r w:rsidRPr="00B22899">
        <w:rPr>
          <w:rFonts w:ascii="Verdana" w:hAnsi="Verdana" w:cs="Arial"/>
        </w:rPr>
        <w:t> dirigida a todas las entidades del Estado sin distinción de su régimen contractual, en la que reitera la obligatoriedad de reportar caducidades, multas, sanciones, declaratorias de incumplimiento e inhabilidades ante las Cámaras de Comercio, la Procuraduría General de la Nación y el SECOP, e indica los responsables, los portales dispuestos para el efecto y las consecuencias disciplinarias de omitir este deber. Consúltala aquí: </w:t>
      </w:r>
      <w:hyperlink r:id="rId16" w:tgtFrame="_blank" w:tooltip="Dirección URL original: https://www.colombiacompra.gov.co/archivos/circular/circular-externa-002-de-2026. Haga clic o pulse si confía en este vínculo." w:history="1">
        <w:r w:rsidRPr="00B22899">
          <w:rPr>
            <w:rStyle w:val="Hipervnculo"/>
            <w:rFonts w:ascii="Verdana" w:hAnsi="Verdana" w:cs="Arial"/>
          </w:rPr>
          <w:t>https://www.colombiacompra.gov.co/archivos/circular/circular-externa-002-de-2026</w:t>
        </w:r>
      </w:hyperlink>
    </w:p>
    <w:p w14:paraId="76E002EF" w14:textId="3A3C3183" w:rsidR="00302FC3" w:rsidRPr="00B22899" w:rsidRDefault="00302FC3" w:rsidP="00302FC3">
      <w:pPr>
        <w:spacing w:after="240" w:line="276" w:lineRule="auto"/>
        <w:jc w:val="both"/>
        <w:rPr>
          <w:rFonts w:ascii="Verdana" w:hAnsi="Verdana" w:cs="Arial"/>
        </w:rPr>
      </w:pPr>
      <w:r w:rsidRPr="00B22899">
        <w:rPr>
          <w:rFonts w:ascii="Verdana" w:hAnsi="Verdana" w:cs="Arial"/>
        </w:rPr>
        <w:t>Finalmente, si quieres seguir de cerca la actividad de la Agencia, la tercera edición de 2026 del</w:t>
      </w:r>
      <w:r w:rsidRPr="00B22899">
        <w:rPr>
          <w:rFonts w:ascii="Verdana" w:hAnsi="Verdana" w:cs="Arial"/>
          <w:b/>
          <w:bCs/>
        </w:rPr>
        <w:t> Radar de la Compra Pública</w:t>
      </w:r>
      <w:r w:rsidRPr="00B22899">
        <w:rPr>
          <w:rFonts w:ascii="Verdana" w:hAnsi="Verdana" w:cs="Arial"/>
        </w:rPr>
        <w:t> reúne, entre otros contenidos, la Circular Externa 003 de 2026, el Decreto 552 de 2026, un estudio sobre inteligencia artificial en la compra pública, los avances de la Relatoría, análisis jurisprudencial, conceptos jurídicos destacados y la oferta de la Escuela Virtual ANCP-CCE. Descárgalo aquí: </w:t>
      </w:r>
      <w:hyperlink r:id="rId17" w:tgtFrame="_blank" w:tooltip="Dirección URL original: https://www.colombiacompra.gov.co/archivos/boletin/boletin-edicion-n-3-de-2026-radar-de-la-compra-publica. Haga clic o pulse si confía en este vínculo." w:history="1">
        <w:r w:rsidRPr="00B22899">
          <w:rPr>
            <w:rStyle w:val="Hipervnculo"/>
            <w:rFonts w:ascii="Verdana" w:hAnsi="Verdana" w:cs="Arial"/>
          </w:rPr>
          <w:t>https://www.colombiacompra.gov.co/archivos/boletin/boletin-edicion-n-3-de-2026-radar-de-la-compra-publica</w:t>
        </w:r>
      </w:hyperlink>
      <w:r w:rsidRPr="00B22899">
        <w:rPr>
          <w:rFonts w:ascii="Verdana" w:hAnsi="Verdana" w:cs="Arial"/>
        </w:rPr>
        <w:t>"</w:t>
      </w:r>
    </w:p>
    <w:p w14:paraId="654C1103" w14:textId="77777777" w:rsidR="003375B0" w:rsidRPr="00B22899" w:rsidRDefault="003375B0" w:rsidP="003375B0">
      <w:pPr>
        <w:spacing w:after="0" w:line="276" w:lineRule="auto"/>
        <w:jc w:val="both"/>
        <w:rPr>
          <w:rFonts w:ascii="Verdana" w:hAnsi="Verdana" w:cs="Arial"/>
        </w:rPr>
      </w:pPr>
      <w:r w:rsidRPr="00B22899">
        <w:rPr>
          <w:rFonts w:ascii="Verdana" w:hAnsi="Verdana" w:cs="Arial"/>
        </w:rPr>
        <w:t xml:space="preserve">Por último, lo invitamos a seguirnos en las redes sociales en las cuales se difunde información institucional: </w:t>
      </w:r>
    </w:p>
    <w:p w14:paraId="32359CB2" w14:textId="77777777" w:rsidR="003375B0" w:rsidRPr="00B22899" w:rsidRDefault="003375B0" w:rsidP="003375B0">
      <w:pPr>
        <w:spacing w:after="0" w:line="276" w:lineRule="auto"/>
        <w:jc w:val="both"/>
        <w:rPr>
          <w:rFonts w:ascii="Verdana" w:hAnsi="Verdana" w:cs="Arial"/>
        </w:rPr>
      </w:pPr>
    </w:p>
    <w:p w14:paraId="4DC93520" w14:textId="77777777" w:rsidR="003375B0" w:rsidRPr="00B22899" w:rsidRDefault="003375B0" w:rsidP="003375B0">
      <w:pPr>
        <w:spacing w:after="0" w:line="276" w:lineRule="auto"/>
        <w:jc w:val="both"/>
        <w:rPr>
          <w:rFonts w:ascii="Verdana" w:hAnsi="Verdana" w:cs="Arial"/>
        </w:rPr>
      </w:pPr>
      <w:r w:rsidRPr="00B22899">
        <w:rPr>
          <w:rFonts w:ascii="Verdana" w:hAnsi="Verdana" w:cs="Arial"/>
        </w:rPr>
        <w:t xml:space="preserve">Twitter: </w:t>
      </w:r>
      <w:r w:rsidRPr="00B22899">
        <w:rPr>
          <w:rStyle w:val="Hipervnculo"/>
          <w:rFonts w:ascii="Verdana" w:hAnsi="Verdana" w:cs="Arial"/>
          <w:color w:val="4472C4" w:themeColor="accent1"/>
        </w:rPr>
        <w:t>@colombiacompra</w:t>
      </w:r>
      <w:r w:rsidRPr="00B22899">
        <w:rPr>
          <w:rFonts w:ascii="Verdana" w:hAnsi="Verdana" w:cs="Arial"/>
          <w:color w:val="4472C4" w:themeColor="accent1"/>
        </w:rPr>
        <w:t xml:space="preserve"> </w:t>
      </w:r>
    </w:p>
    <w:p w14:paraId="3B07EC02" w14:textId="77777777" w:rsidR="003375B0" w:rsidRPr="00B22899" w:rsidRDefault="003375B0" w:rsidP="003375B0">
      <w:pPr>
        <w:spacing w:after="0" w:line="276" w:lineRule="auto"/>
        <w:jc w:val="both"/>
        <w:rPr>
          <w:rFonts w:ascii="Verdana" w:hAnsi="Verdana" w:cs="Arial"/>
        </w:rPr>
      </w:pPr>
      <w:r w:rsidRPr="00B22899">
        <w:rPr>
          <w:rFonts w:ascii="Verdana" w:hAnsi="Verdana" w:cs="Arial"/>
        </w:rPr>
        <w:t xml:space="preserve">Facebook: </w:t>
      </w:r>
      <w:r w:rsidRPr="00B22899">
        <w:rPr>
          <w:rStyle w:val="Hipervnculo"/>
          <w:rFonts w:ascii="Verdana" w:hAnsi="Verdana" w:cs="Arial"/>
          <w:color w:val="4472C4" w:themeColor="accent1"/>
        </w:rPr>
        <w:t>ColombiaCompraEficiente</w:t>
      </w:r>
    </w:p>
    <w:p w14:paraId="39F5EB55" w14:textId="77777777" w:rsidR="003375B0" w:rsidRPr="00B22899" w:rsidRDefault="003375B0" w:rsidP="003375B0">
      <w:pPr>
        <w:spacing w:after="0" w:line="276" w:lineRule="auto"/>
        <w:jc w:val="both"/>
        <w:rPr>
          <w:rStyle w:val="Hipervnculo"/>
          <w:rFonts w:ascii="Verdana" w:hAnsi="Verdana" w:cs="Arial"/>
          <w:color w:val="4472C4" w:themeColor="accent1"/>
        </w:rPr>
      </w:pPr>
      <w:r w:rsidRPr="00B22899">
        <w:rPr>
          <w:rFonts w:ascii="Verdana" w:hAnsi="Verdana" w:cs="Arial"/>
        </w:rPr>
        <w:t xml:space="preserve">LinkedIn: </w:t>
      </w:r>
      <w:r w:rsidRPr="00B22899">
        <w:rPr>
          <w:rStyle w:val="Hipervnculo"/>
          <w:rFonts w:ascii="Verdana" w:hAnsi="Verdana" w:cs="Arial"/>
          <w:color w:val="4472C4" w:themeColor="accent1"/>
        </w:rPr>
        <w:t>Agencia Nacional de Contratación Pública - Colombia Compra Eficiente</w:t>
      </w:r>
      <w:r w:rsidRPr="00B22899">
        <w:rPr>
          <w:rFonts w:ascii="Verdana" w:hAnsi="Verdana" w:cs="Arial"/>
          <w:color w:val="4472C4" w:themeColor="accent1"/>
        </w:rPr>
        <w:t xml:space="preserve"> </w:t>
      </w:r>
      <w:r w:rsidRPr="00B22899">
        <w:rPr>
          <w:rFonts w:ascii="Verdana" w:hAnsi="Verdana" w:cs="Arial"/>
        </w:rPr>
        <w:t xml:space="preserve">Instagram: </w:t>
      </w:r>
      <w:r w:rsidRPr="00B22899">
        <w:rPr>
          <w:rStyle w:val="Hipervnculo"/>
          <w:rFonts w:ascii="Verdana" w:hAnsi="Verdana" w:cs="Arial"/>
          <w:color w:val="4472C4" w:themeColor="accent1"/>
        </w:rPr>
        <w:t>@colombiacompraeficiente_cce</w:t>
      </w:r>
    </w:p>
    <w:p w14:paraId="2A51F738" w14:textId="77777777" w:rsidR="003375B0" w:rsidRPr="00B22899" w:rsidRDefault="003375B0" w:rsidP="003375B0">
      <w:pPr>
        <w:spacing w:after="0" w:line="276" w:lineRule="auto"/>
        <w:jc w:val="both"/>
        <w:rPr>
          <w:rStyle w:val="Hipervnculo"/>
          <w:rFonts w:ascii="Verdana" w:hAnsi="Verdana" w:cs="Arial"/>
          <w:color w:val="4472C4" w:themeColor="accent1"/>
        </w:rPr>
      </w:pPr>
    </w:p>
    <w:p w14:paraId="2585E2EE" w14:textId="77777777" w:rsidR="003375B0" w:rsidRPr="00B22899" w:rsidRDefault="003375B0" w:rsidP="003375B0">
      <w:pPr>
        <w:widowControl w:val="0"/>
        <w:autoSpaceDE w:val="0"/>
        <w:autoSpaceDN w:val="0"/>
        <w:spacing w:after="0" w:line="276" w:lineRule="auto"/>
        <w:jc w:val="both"/>
        <w:rPr>
          <w:rFonts w:ascii="Verdana" w:hAnsi="Verdana" w:cs="Arial"/>
          <w:lang w:val="es-ES_tradnl"/>
        </w:rPr>
      </w:pPr>
      <w:r w:rsidRPr="00B22899">
        <w:rPr>
          <w:rFonts w:ascii="Verdana" w:hAnsi="Verdana" w:cs="Arial"/>
        </w:rPr>
        <w:t xml:space="preserve">Este concepto tiene el alcance previsto en el artículo 28 del Código de Procedimiento Administrativo y de lo Contencioso Administrativo </w:t>
      </w:r>
      <w:r w:rsidRPr="00B22899">
        <w:rPr>
          <w:rFonts w:ascii="Verdana" w:hAnsi="Verdana" w:cs="Arial"/>
          <w:lang w:val="es-ES_tradnl"/>
        </w:rPr>
        <w:t xml:space="preserve">y las </w:t>
      </w:r>
      <w:r w:rsidRPr="00B22899">
        <w:rPr>
          <w:rFonts w:ascii="Verdana" w:hAnsi="Verdana" w:cs="Arial"/>
          <w:lang w:val="es-ES_tradnl"/>
        </w:rPr>
        <w:lastRenderedPageBreak/>
        <w:t>expresiones aquí utilizadas con mayúscula inicial deben ser entendidas con el significado que les otorga el artículo 2.2.1.1.1.3.1. del Decreto 1082 de 2015.</w:t>
      </w:r>
    </w:p>
    <w:p w14:paraId="1C5F9829" w14:textId="77777777" w:rsidR="003375B0" w:rsidRPr="00B22899" w:rsidRDefault="003375B0" w:rsidP="003375B0">
      <w:pPr>
        <w:widowControl w:val="0"/>
        <w:autoSpaceDE w:val="0"/>
        <w:autoSpaceDN w:val="0"/>
        <w:spacing w:after="0" w:line="276" w:lineRule="auto"/>
        <w:jc w:val="both"/>
        <w:rPr>
          <w:rFonts w:ascii="Verdana" w:hAnsi="Verdana" w:cs="Arial"/>
        </w:rPr>
      </w:pPr>
    </w:p>
    <w:p w14:paraId="1A5D0C40" w14:textId="77777777" w:rsidR="003375B0" w:rsidRPr="00B22899" w:rsidRDefault="003375B0" w:rsidP="003375B0">
      <w:pPr>
        <w:spacing w:after="0" w:line="276" w:lineRule="auto"/>
        <w:jc w:val="both"/>
        <w:rPr>
          <w:rFonts w:ascii="Verdana" w:hAnsi="Verdana" w:cs="Arial"/>
          <w:lang w:eastAsia="es-CO"/>
        </w:rPr>
      </w:pPr>
      <w:r w:rsidRPr="00B22899">
        <w:rPr>
          <w:rFonts w:ascii="Verdana" w:eastAsia="Times New Roman" w:hAnsi="Verdana" w:cs="Arial"/>
          <w:lang w:eastAsia="es-CO"/>
        </w:rPr>
        <w:t>Atentamente,</w:t>
      </w:r>
      <w:r w:rsidRPr="00B22899">
        <w:rPr>
          <w:rFonts w:ascii="Verdana" w:hAnsi="Verdana" w:cs="Arial"/>
          <w:lang w:eastAsia="es-CO"/>
        </w:rPr>
        <w:t xml:space="preserve"> </w:t>
      </w:r>
    </w:p>
    <w:p w14:paraId="7EABC54B" w14:textId="321778CC" w:rsidR="003375B0" w:rsidRPr="00B22899" w:rsidRDefault="00EB213F" w:rsidP="003375B0">
      <w:pPr>
        <w:spacing w:line="276" w:lineRule="auto"/>
        <w:jc w:val="center"/>
        <w:rPr>
          <w:rFonts w:ascii="Verdana" w:hAnsi="Verdana" w:cs="Arial"/>
          <w:color w:val="000000"/>
          <w:sz w:val="16"/>
          <w:szCs w:val="16"/>
          <w:lang w:val="es-ES_tradnl" w:eastAsia="es-CO"/>
        </w:rPr>
      </w:pPr>
      <w:r>
        <w:rPr>
          <w:noProof/>
        </w:rPr>
        <w:drawing>
          <wp:inline distT="0" distB="0" distL="0" distR="0" wp14:anchorId="4981E959" wp14:editId="17E1E0DD">
            <wp:extent cx="3705225" cy="1590675"/>
            <wp:effectExtent l="0" t="0" r="9525" b="9525"/>
            <wp:docPr id="1822740040" name="Imagen 1" descr="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2740040" name="Imagen 1" descr="Texto&#10;&#10;Descripción generada automáticamente"/>
                    <pic:cNvPicPr>
                      <a:picLocks noChangeAspect="1"/>
                    </pic:cNvPicPr>
                  </pic:nvPicPr>
                  <pic:blipFill>
                    <a:blip r:embed="rId18"/>
                    <a:stretch>
                      <a:fillRect/>
                    </a:stretch>
                  </pic:blipFill>
                  <pic:spPr>
                    <a:xfrm>
                      <a:off x="0" y="0"/>
                      <a:ext cx="3705225" cy="1590675"/>
                    </a:xfrm>
                    <a:prstGeom prst="rect">
                      <a:avLst/>
                    </a:prstGeom>
                  </pic:spPr>
                </pic:pic>
              </a:graphicData>
            </a:graphic>
          </wp:inline>
        </w:drawing>
      </w:r>
    </w:p>
    <w:tbl>
      <w:tblPr>
        <w:tblStyle w:val="Tablaconcuadrcula"/>
        <w:tblW w:w="652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3"/>
        <w:gridCol w:w="5628"/>
      </w:tblGrid>
      <w:tr w:rsidR="003375B0" w:rsidRPr="00B22899" w14:paraId="2BB054E2" w14:textId="77777777" w:rsidTr="00C07D93">
        <w:trPr>
          <w:trHeight w:val="315"/>
        </w:trPr>
        <w:tc>
          <w:tcPr>
            <w:tcW w:w="893" w:type="dxa"/>
            <w:vAlign w:val="center"/>
            <w:hideMark/>
          </w:tcPr>
          <w:p w14:paraId="1EBCCA7B" w14:textId="77777777" w:rsidR="003375B0" w:rsidRPr="00B22899" w:rsidRDefault="003375B0" w:rsidP="00C07D93">
            <w:pPr>
              <w:contextualSpacing/>
              <w:rPr>
                <w:rFonts w:ascii="Verdana" w:hAnsi="Verdana" w:cs="Arial"/>
                <w:sz w:val="16"/>
                <w:szCs w:val="16"/>
                <w:lang w:val="es-ES" w:eastAsia="es-ES"/>
              </w:rPr>
            </w:pPr>
            <w:r w:rsidRPr="00B22899">
              <w:rPr>
                <w:rFonts w:ascii="Verdana" w:hAnsi="Verdana" w:cs="Arial"/>
                <w:sz w:val="16"/>
                <w:szCs w:val="16"/>
                <w:lang w:val="es-ES" w:eastAsia="es-ES"/>
              </w:rPr>
              <w:t>Elaboró:</w:t>
            </w:r>
          </w:p>
        </w:tc>
        <w:tc>
          <w:tcPr>
            <w:tcW w:w="5628" w:type="dxa"/>
            <w:tcBorders>
              <w:top w:val="nil"/>
              <w:left w:val="nil"/>
              <w:bottom w:val="dotted" w:sz="4" w:space="0" w:color="7F7F7F" w:themeColor="text1" w:themeTint="80"/>
              <w:right w:val="nil"/>
            </w:tcBorders>
            <w:vAlign w:val="center"/>
            <w:hideMark/>
          </w:tcPr>
          <w:p w14:paraId="4BB08A74" w14:textId="77777777" w:rsidR="003375B0" w:rsidRPr="00B22899" w:rsidRDefault="003375B0" w:rsidP="00C07D93">
            <w:pPr>
              <w:contextualSpacing/>
              <w:rPr>
                <w:rFonts w:ascii="Verdana" w:eastAsia="Arial" w:hAnsi="Verdana" w:cs="Arial"/>
                <w:sz w:val="16"/>
                <w:szCs w:val="16"/>
              </w:rPr>
            </w:pPr>
            <w:r w:rsidRPr="00B22899">
              <w:rPr>
                <w:rFonts w:ascii="Verdana" w:eastAsia="Arial" w:hAnsi="Verdana" w:cs="Arial"/>
                <w:sz w:val="16"/>
                <w:szCs w:val="16"/>
              </w:rPr>
              <w:t>Ana María Ortiz Ballesteros</w:t>
            </w:r>
          </w:p>
          <w:p w14:paraId="4EBC5FB4" w14:textId="77777777" w:rsidR="003375B0" w:rsidRPr="00B22899" w:rsidRDefault="003375B0" w:rsidP="00C07D93">
            <w:pPr>
              <w:contextualSpacing/>
              <w:rPr>
                <w:rFonts w:ascii="Verdana" w:eastAsia="Arial" w:hAnsi="Verdana" w:cs="Arial"/>
                <w:sz w:val="16"/>
                <w:szCs w:val="16"/>
              </w:rPr>
            </w:pPr>
            <w:r w:rsidRPr="00B22899">
              <w:rPr>
                <w:rStyle w:val="normaltextrun"/>
                <w:rFonts w:ascii="Verdana" w:eastAsia="Arial" w:hAnsi="Verdana" w:cs="Arial"/>
                <w:sz w:val="16"/>
                <w:szCs w:val="16"/>
              </w:rPr>
              <w:t>C</w:t>
            </w:r>
            <w:r w:rsidRPr="00B22899">
              <w:rPr>
                <w:rStyle w:val="normaltextrun"/>
                <w:rFonts w:ascii="Verdana" w:hAnsi="Verdana"/>
                <w:sz w:val="16"/>
                <w:szCs w:val="16"/>
              </w:rPr>
              <w:t>ontratista</w:t>
            </w:r>
            <w:r w:rsidRPr="00B22899">
              <w:rPr>
                <w:rStyle w:val="normaltextrun"/>
                <w:rFonts w:ascii="Verdana" w:eastAsia="Arial" w:hAnsi="Verdana" w:cs="Arial"/>
                <w:sz w:val="16"/>
                <w:szCs w:val="16"/>
              </w:rPr>
              <w:t xml:space="preserve"> de la Subdirección de Gestión Contractual</w:t>
            </w:r>
          </w:p>
        </w:tc>
      </w:tr>
      <w:tr w:rsidR="003375B0" w:rsidRPr="00B22899" w14:paraId="338D4D3A" w14:textId="77777777" w:rsidTr="00C07D93">
        <w:trPr>
          <w:trHeight w:val="330"/>
        </w:trPr>
        <w:tc>
          <w:tcPr>
            <w:tcW w:w="893" w:type="dxa"/>
            <w:vAlign w:val="center"/>
            <w:hideMark/>
          </w:tcPr>
          <w:p w14:paraId="26B5296F" w14:textId="77777777" w:rsidR="003375B0" w:rsidRPr="00B22899" w:rsidRDefault="003375B0" w:rsidP="00C07D93">
            <w:pPr>
              <w:contextualSpacing/>
              <w:rPr>
                <w:rFonts w:ascii="Verdana" w:hAnsi="Verdana" w:cs="Arial"/>
                <w:sz w:val="16"/>
                <w:szCs w:val="16"/>
                <w:lang w:val="es-ES" w:eastAsia="es-ES"/>
              </w:rPr>
            </w:pPr>
            <w:r w:rsidRPr="00B22899">
              <w:rPr>
                <w:rFonts w:ascii="Verdana" w:hAnsi="Verdana" w:cs="Arial"/>
                <w:sz w:val="16"/>
                <w:szCs w:val="16"/>
                <w:lang w:val="es-ES" w:eastAsia="es-ES"/>
              </w:rPr>
              <w:t>Revisó:</w:t>
            </w:r>
          </w:p>
        </w:tc>
        <w:tc>
          <w:tcPr>
            <w:tcW w:w="5628" w:type="dxa"/>
            <w:tcBorders>
              <w:top w:val="dotted" w:sz="4" w:space="0" w:color="7F7F7F" w:themeColor="text1" w:themeTint="80"/>
              <w:left w:val="nil"/>
              <w:bottom w:val="dotted" w:sz="4" w:space="0" w:color="7F7F7F" w:themeColor="text1" w:themeTint="80"/>
              <w:right w:val="nil"/>
            </w:tcBorders>
            <w:vAlign w:val="center"/>
            <w:hideMark/>
          </w:tcPr>
          <w:p w14:paraId="0F035E2B" w14:textId="77777777" w:rsidR="003375B0" w:rsidRPr="00B22899" w:rsidRDefault="003375B0" w:rsidP="00C07D93">
            <w:pPr>
              <w:pStyle w:val="paragraph"/>
              <w:spacing w:before="0" w:beforeAutospacing="0" w:after="0" w:afterAutospacing="0"/>
              <w:contextualSpacing/>
              <w:textAlignment w:val="baseline"/>
              <w:rPr>
                <w:rFonts w:ascii="Verdana" w:hAnsi="Verdana" w:cs="Arial"/>
                <w:sz w:val="16"/>
                <w:szCs w:val="16"/>
              </w:rPr>
            </w:pPr>
            <w:r w:rsidRPr="00B22899">
              <w:rPr>
                <w:rFonts w:ascii="Verdana" w:hAnsi="Verdana" w:cs="Arial"/>
                <w:sz w:val="16"/>
                <w:szCs w:val="16"/>
              </w:rPr>
              <w:t>Diana Lucia Saavedra Castañeda</w:t>
            </w:r>
          </w:p>
          <w:p w14:paraId="0F405F1B" w14:textId="77777777" w:rsidR="003375B0" w:rsidRPr="00B22899" w:rsidRDefault="003375B0" w:rsidP="00C07D93">
            <w:pPr>
              <w:pStyle w:val="paragraph"/>
              <w:spacing w:before="0" w:beforeAutospacing="0" w:after="0" w:afterAutospacing="0"/>
              <w:contextualSpacing/>
              <w:textAlignment w:val="baseline"/>
              <w:rPr>
                <w:rFonts w:ascii="Verdana" w:hAnsi="Verdana" w:cs="Arial"/>
                <w:sz w:val="16"/>
                <w:szCs w:val="16"/>
              </w:rPr>
            </w:pPr>
            <w:r w:rsidRPr="00B22899">
              <w:rPr>
                <w:rStyle w:val="normaltextrun"/>
                <w:rFonts w:ascii="Verdana" w:eastAsia="Arial" w:hAnsi="Verdana" w:cs="Arial"/>
                <w:sz w:val="16"/>
                <w:szCs w:val="16"/>
              </w:rPr>
              <w:t>C</w:t>
            </w:r>
            <w:r w:rsidRPr="00B22899">
              <w:rPr>
                <w:rStyle w:val="normaltextrun"/>
                <w:rFonts w:ascii="Verdana" w:hAnsi="Verdana"/>
                <w:sz w:val="16"/>
                <w:szCs w:val="16"/>
              </w:rPr>
              <w:t>ontratista</w:t>
            </w:r>
            <w:r w:rsidRPr="00B22899">
              <w:rPr>
                <w:rStyle w:val="normaltextrun"/>
                <w:rFonts w:ascii="Verdana" w:eastAsia="Arial" w:hAnsi="Verdana" w:cs="Arial"/>
                <w:sz w:val="16"/>
                <w:szCs w:val="16"/>
              </w:rPr>
              <w:t xml:space="preserve"> de la Subdirección de Gestión Contractual</w:t>
            </w:r>
          </w:p>
        </w:tc>
      </w:tr>
      <w:tr w:rsidR="003375B0" w:rsidRPr="00B22899" w14:paraId="19AD9F2C" w14:textId="77777777" w:rsidTr="00C07D93">
        <w:trPr>
          <w:trHeight w:val="300"/>
        </w:trPr>
        <w:tc>
          <w:tcPr>
            <w:tcW w:w="893" w:type="dxa"/>
            <w:vAlign w:val="center"/>
          </w:tcPr>
          <w:p w14:paraId="4ED8694F" w14:textId="77777777" w:rsidR="003375B0" w:rsidRPr="00B22899" w:rsidRDefault="003375B0" w:rsidP="00C07D93">
            <w:pPr>
              <w:contextualSpacing/>
              <w:rPr>
                <w:rFonts w:ascii="Verdana" w:hAnsi="Verdana" w:cs="Arial"/>
                <w:sz w:val="16"/>
                <w:szCs w:val="16"/>
                <w:lang w:val="es-ES" w:eastAsia="es-ES"/>
              </w:rPr>
            </w:pPr>
            <w:r w:rsidRPr="00B22899">
              <w:rPr>
                <w:rFonts w:ascii="Verdana" w:hAnsi="Verdana" w:cs="Arial"/>
                <w:sz w:val="16"/>
                <w:szCs w:val="16"/>
                <w:lang w:val="es-ES" w:eastAsia="es-ES"/>
              </w:rPr>
              <w:t>Aprobó:</w:t>
            </w:r>
          </w:p>
        </w:tc>
        <w:tc>
          <w:tcPr>
            <w:tcW w:w="5628" w:type="dxa"/>
            <w:tcBorders>
              <w:top w:val="dotted" w:sz="4" w:space="0" w:color="7F7F7F" w:themeColor="text1" w:themeTint="80"/>
              <w:left w:val="nil"/>
              <w:bottom w:val="dotted" w:sz="4" w:space="0" w:color="7F7F7F" w:themeColor="text1" w:themeTint="80"/>
              <w:right w:val="nil"/>
            </w:tcBorders>
            <w:vAlign w:val="center"/>
          </w:tcPr>
          <w:p w14:paraId="5F4CE13A" w14:textId="77777777" w:rsidR="003375B0" w:rsidRPr="00B22899" w:rsidRDefault="003375B0" w:rsidP="00C07D93">
            <w:pPr>
              <w:contextualSpacing/>
              <w:rPr>
                <w:rFonts w:ascii="Verdana" w:eastAsia="Calibri" w:hAnsi="Verdana" w:cs="Arial"/>
                <w:sz w:val="16"/>
                <w:szCs w:val="16"/>
                <w:lang w:val="pt-BR" w:eastAsia="es-ES"/>
              </w:rPr>
            </w:pPr>
            <w:r w:rsidRPr="00B22899">
              <w:rPr>
                <w:rFonts w:ascii="Verdana" w:eastAsia="Calibri" w:hAnsi="Verdana" w:cs="Arial"/>
                <w:sz w:val="16"/>
                <w:szCs w:val="16"/>
                <w:lang w:val="pt-BR" w:eastAsia="es-ES"/>
              </w:rPr>
              <w:t>Carolina Quintero Gacharná</w:t>
            </w:r>
          </w:p>
          <w:p w14:paraId="23694CA2" w14:textId="77777777" w:rsidR="003375B0" w:rsidRPr="00B22899" w:rsidRDefault="003375B0" w:rsidP="00C07D93">
            <w:pPr>
              <w:contextualSpacing/>
              <w:rPr>
                <w:rFonts w:ascii="Verdana" w:eastAsia="Calibri" w:hAnsi="Verdana" w:cs="Arial"/>
                <w:sz w:val="16"/>
                <w:szCs w:val="16"/>
                <w:lang w:val="pt-BR" w:eastAsia="es-ES"/>
              </w:rPr>
            </w:pPr>
            <w:r w:rsidRPr="00B22899">
              <w:rPr>
                <w:rFonts w:ascii="Verdana" w:eastAsia="Calibri" w:hAnsi="Verdana" w:cs="Arial"/>
                <w:sz w:val="16"/>
                <w:szCs w:val="16"/>
                <w:lang w:eastAsia="es-ES"/>
              </w:rPr>
              <w:t>Subdirectora</w:t>
            </w:r>
            <w:r w:rsidRPr="00B22899">
              <w:rPr>
                <w:rFonts w:ascii="Verdana" w:eastAsia="Calibri" w:hAnsi="Verdana" w:cs="Arial"/>
                <w:sz w:val="16"/>
                <w:szCs w:val="16"/>
                <w:lang w:val="pt-BR" w:eastAsia="es-ES"/>
              </w:rPr>
              <w:t xml:space="preserve"> de Gestión Contractual ANCP – CCE</w:t>
            </w:r>
          </w:p>
        </w:tc>
      </w:tr>
    </w:tbl>
    <w:p w14:paraId="69BC4D14" w14:textId="050B3E00" w:rsidR="00C15139" w:rsidRPr="00B22899" w:rsidRDefault="00C15139" w:rsidP="30821638">
      <w:pPr>
        <w:spacing w:after="0" w:line="240" w:lineRule="auto"/>
        <w:textAlignment w:val="baseline"/>
        <w:rPr>
          <w:rFonts w:ascii="Verdana" w:eastAsia="Verdana" w:hAnsi="Verdana" w:cs="Verdana"/>
          <w:lang w:eastAsia="es-CO"/>
        </w:rPr>
      </w:pPr>
      <w:r w:rsidRPr="00B22899">
        <w:rPr>
          <w:rFonts w:ascii="Verdana" w:eastAsia="Verdana" w:hAnsi="Verdana" w:cs="Verdana"/>
          <w:lang w:eastAsia="es-CO"/>
        </w:rPr>
        <w:t> </w:t>
      </w:r>
      <w:bookmarkEnd w:id="0"/>
    </w:p>
    <w:sectPr w:rsidR="00C15139" w:rsidRPr="00B22899" w:rsidSect="007C0C0F">
      <w:headerReference w:type="default" r:id="rId19"/>
      <w:footerReference w:type="default" r:id="rId20"/>
      <w:pgSz w:w="12240" w:h="15840" w:code="1"/>
      <w:pgMar w:top="1417" w:right="1701" w:bottom="1417"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6F303A" w14:textId="77777777" w:rsidR="00AA4104" w:rsidRDefault="00AA4104" w:rsidP="004A1847">
      <w:pPr>
        <w:spacing w:after="0" w:line="240" w:lineRule="auto"/>
      </w:pPr>
      <w:r>
        <w:separator/>
      </w:r>
    </w:p>
  </w:endnote>
  <w:endnote w:type="continuationSeparator" w:id="0">
    <w:p w14:paraId="0FF6BCEF" w14:textId="77777777" w:rsidR="00AA4104" w:rsidRDefault="00AA4104" w:rsidP="004A18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eomanist Light">
    <w:altName w:val="Calibri"/>
    <w:panose1 w:val="00000000000000000000"/>
    <w:charset w:val="00"/>
    <w:family w:val="modern"/>
    <w:notTrueType/>
    <w:pitch w:val="variable"/>
    <w:sig w:usb0="A000002F" w:usb1="1000004A" w:usb2="00000000" w:usb3="00000000" w:csb0="00000193" w:csb1="00000000"/>
  </w:font>
  <w:font w:name="Geomanist">
    <w:altName w:val="Calibri"/>
    <w:panose1 w:val="00000000000000000000"/>
    <w:charset w:val="00"/>
    <w:family w:val="modern"/>
    <w:notTrueType/>
    <w:pitch w:val="variable"/>
    <w:sig w:usb0="A000002F" w:usb1="1000004A" w:usb2="00000000" w:usb3="00000000" w:csb0="00000193"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Arial MT">
    <w:altName w:val="Arial"/>
    <w:charset w:val="01"/>
    <w:family w:val="swiss"/>
    <w:pitch w:val="variable"/>
  </w:font>
  <w:font w:name="Century Gothic">
    <w:panose1 w:val="020B0502020202020204"/>
    <w:charset w:val="00"/>
    <w:family w:val="swiss"/>
    <w:pitch w:val="variable"/>
    <w:sig w:usb0="00000287" w:usb1="00000000" w:usb2="00000000" w:usb3="00000000" w:csb0="0000009F" w:csb1="00000000"/>
  </w:font>
  <w:font w:name="Aptos">
    <w:charset w:val="00"/>
    <w:family w:val="swiss"/>
    <w:pitch w:val="variable"/>
    <w:sig w:usb0="20000287" w:usb1="00000003" w:usb2="00000000" w:usb3="00000000" w:csb0="0000019F" w:csb1="00000000"/>
  </w:font>
  <w:font w:name="Geomanist Bold">
    <w:altName w:val="Calibri"/>
    <w:panose1 w:val="00000000000000000000"/>
    <w:charset w:val="00"/>
    <w:family w:val="modern"/>
    <w:notTrueType/>
    <w:pitch w:val="variable"/>
    <w:sig w:usb0="A000002F" w:usb1="1000004A" w:usb2="00000000" w:usb3="00000000" w:csb0="00000193" w:csb1="00000000"/>
  </w:font>
  <w:font w:name="Geo">
    <w:altName w:val="Calibri"/>
    <w:charset w:val="00"/>
    <w:family w:val="auto"/>
    <w:pitch w:val="variable"/>
    <w:sig w:usb0="8000002F" w:usb1="40000048"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911A32" w14:textId="6CE791A4" w:rsidR="004A1847" w:rsidRDefault="004A1847">
    <w:pPr>
      <w:pStyle w:val="Piedepgina"/>
    </w:pPr>
  </w:p>
  <w:p w14:paraId="594D6D9F" w14:textId="77777777" w:rsidR="00D520D8" w:rsidRPr="00174B77" w:rsidRDefault="07C73DD1" w:rsidP="07C73DD1">
    <w:pPr>
      <w:pBdr>
        <w:top w:val="single" w:sz="4" w:space="1" w:color="000000"/>
      </w:pBdr>
      <w:spacing w:after="0"/>
      <w:rPr>
        <w:rFonts w:ascii="Verdana" w:eastAsia="Verdana" w:hAnsi="Verdana" w:cs="Verdana"/>
        <w:b/>
        <w:bCs/>
        <w:sz w:val="18"/>
        <w:szCs w:val="18"/>
      </w:rPr>
    </w:pPr>
    <w:r w:rsidRPr="07C73DD1">
      <w:rPr>
        <w:rFonts w:ascii="Verdana" w:eastAsia="Verdana" w:hAnsi="Verdana" w:cs="Verdana"/>
        <w:b/>
        <w:bCs/>
        <w:sz w:val="18"/>
        <w:szCs w:val="18"/>
      </w:rPr>
      <w:t xml:space="preserve">Agencia Nacional de Contratación Pública                                              </w:t>
    </w:r>
    <w:r w:rsidRPr="07C73DD1">
      <w:rPr>
        <w:rFonts w:ascii="Verdana" w:eastAsia="Verdana" w:hAnsi="Verdana" w:cs="Verdana"/>
        <w:b/>
        <w:bCs/>
        <w:sz w:val="18"/>
        <w:szCs w:val="18"/>
        <w:lang w:val="es-ES"/>
      </w:rPr>
      <w:t xml:space="preserve">pág. </w:t>
    </w:r>
    <w:r w:rsidR="00D520D8" w:rsidRPr="07C73DD1">
      <w:rPr>
        <w:rFonts w:ascii="Verdana" w:eastAsia="Verdana" w:hAnsi="Verdana" w:cs="Verdana"/>
        <w:b/>
        <w:bCs/>
        <w:sz w:val="18"/>
        <w:szCs w:val="18"/>
      </w:rPr>
      <w:fldChar w:fldCharType="begin"/>
    </w:r>
    <w:r w:rsidR="00D520D8" w:rsidRPr="07C73DD1">
      <w:rPr>
        <w:rFonts w:ascii="Verdana" w:hAnsi="Verdana"/>
        <w:b/>
        <w:bCs/>
        <w:sz w:val="16"/>
        <w:szCs w:val="16"/>
      </w:rPr>
      <w:instrText>PAGE    \* MERGEFORMAT</w:instrText>
    </w:r>
    <w:r w:rsidR="00D520D8" w:rsidRPr="07C73DD1">
      <w:rPr>
        <w:rFonts w:ascii="Verdana" w:eastAsiaTheme="minorEastAsia" w:hAnsi="Verdana"/>
        <w:b/>
        <w:bCs/>
        <w:sz w:val="16"/>
        <w:szCs w:val="16"/>
      </w:rPr>
      <w:fldChar w:fldCharType="separate"/>
    </w:r>
    <w:r w:rsidRPr="07C73DD1">
      <w:rPr>
        <w:rFonts w:ascii="Verdana" w:eastAsia="Verdana" w:hAnsi="Verdana" w:cs="Verdana"/>
        <w:b/>
        <w:bCs/>
        <w:sz w:val="18"/>
        <w:szCs w:val="18"/>
      </w:rPr>
      <w:t>1</w:t>
    </w:r>
    <w:r w:rsidR="00D520D8" w:rsidRPr="07C73DD1">
      <w:rPr>
        <w:rFonts w:ascii="Verdana" w:eastAsia="Verdana" w:hAnsi="Verdana" w:cs="Verdana"/>
        <w:b/>
        <w:bCs/>
        <w:sz w:val="18"/>
        <w:szCs w:val="18"/>
      </w:rPr>
      <w:fldChar w:fldCharType="end"/>
    </w:r>
    <w:r w:rsidRPr="07C73DD1">
      <w:rPr>
        <w:rFonts w:ascii="Verdana" w:eastAsia="Verdana" w:hAnsi="Verdana" w:cs="Verdana"/>
        <w:b/>
        <w:bCs/>
        <w:sz w:val="18"/>
        <w:szCs w:val="18"/>
      </w:rPr>
      <w:t xml:space="preserve">              Colombia Compra Eficiente         </w:t>
    </w:r>
    <w:r w:rsidRPr="07C73DD1">
      <w:rPr>
        <w:rFonts w:ascii="Verdana" w:eastAsia="Verdana" w:hAnsi="Verdana" w:cs="Verdana"/>
        <w:b/>
        <w:bCs/>
        <w:sz w:val="18"/>
        <w:szCs w:val="18"/>
        <w:lang w:val="es-ES"/>
      </w:rPr>
      <w:t xml:space="preserve"> </w:t>
    </w:r>
    <w:r w:rsidRPr="07C73DD1">
      <w:rPr>
        <w:rFonts w:ascii="Verdana" w:eastAsia="Verdana" w:hAnsi="Verdana" w:cs="Verdana"/>
        <w:b/>
        <w:bCs/>
        <w:sz w:val="18"/>
        <w:szCs w:val="18"/>
      </w:rPr>
      <w:t xml:space="preserve">                                                  </w:t>
    </w:r>
  </w:p>
  <w:p w14:paraId="0A735DD5" w14:textId="77777777" w:rsidR="00D520D8" w:rsidRDefault="07C73DD1" w:rsidP="07C73DD1">
    <w:pPr>
      <w:spacing w:after="0"/>
      <w:jc w:val="both"/>
      <w:rPr>
        <w:rFonts w:ascii="Verdana" w:eastAsia="Verdana" w:hAnsi="Verdana" w:cs="Verdana"/>
        <w:sz w:val="18"/>
        <w:szCs w:val="18"/>
      </w:rPr>
    </w:pPr>
    <w:r w:rsidRPr="07C73DD1">
      <w:rPr>
        <w:rFonts w:ascii="Verdana" w:eastAsia="Verdana" w:hAnsi="Verdana" w:cs="Verdana"/>
        <w:sz w:val="18"/>
        <w:szCs w:val="18"/>
      </w:rPr>
      <w:t>Dirección: Carrera 7 # 26 – 20 - Bogotá, Colombia</w:t>
    </w:r>
  </w:p>
  <w:p w14:paraId="06E36B88" w14:textId="77777777" w:rsidR="00D520D8" w:rsidRPr="00E41027" w:rsidRDefault="07C73DD1" w:rsidP="07C73DD1">
    <w:pPr>
      <w:spacing w:after="0"/>
      <w:jc w:val="both"/>
      <w:rPr>
        <w:rFonts w:ascii="Verdana" w:eastAsia="Verdana" w:hAnsi="Verdana" w:cs="Verdana"/>
        <w:sz w:val="18"/>
        <w:szCs w:val="18"/>
      </w:rPr>
    </w:pPr>
    <w:r w:rsidRPr="07C73DD1">
      <w:rPr>
        <w:rFonts w:ascii="Verdana" w:eastAsia="Verdana" w:hAnsi="Verdana" w:cs="Verdana"/>
        <w:sz w:val="18"/>
        <w:szCs w:val="18"/>
      </w:rPr>
      <w:t>Mesa de servicio: (+57) 601 7456788</w:t>
    </w:r>
  </w:p>
  <w:p w14:paraId="744661F5" w14:textId="22B9E88F" w:rsidR="006219F8" w:rsidRDefault="07C73DD1" w:rsidP="07C73DD1">
    <w:pPr>
      <w:pBdr>
        <w:top w:val="nil"/>
        <w:left w:val="nil"/>
        <w:bottom w:val="nil"/>
        <w:right w:val="nil"/>
        <w:between w:val="nil"/>
      </w:pBdr>
      <w:tabs>
        <w:tab w:val="center" w:pos="4419"/>
        <w:tab w:val="right" w:pos="8838"/>
        <w:tab w:val="center" w:pos="5400"/>
      </w:tabs>
      <w:spacing w:after="0"/>
      <w:jc w:val="right"/>
      <w:rPr>
        <w:rFonts w:ascii="Verdana" w:eastAsia="Verdana" w:hAnsi="Verdana" w:cs="Verdana"/>
        <w:sz w:val="18"/>
        <w:szCs w:val="18"/>
        <w:lang w:eastAsia="es-CO"/>
      </w:rPr>
    </w:pPr>
    <w:r w:rsidRPr="07C73DD1">
      <w:rPr>
        <w:rFonts w:ascii="Verdana" w:eastAsia="Verdana" w:hAnsi="Verdana" w:cs="Verdana"/>
        <w:b/>
        <w:bCs/>
        <w:color w:val="000000" w:themeColor="text1"/>
        <w:sz w:val="18"/>
        <w:szCs w:val="18"/>
        <w:lang w:eastAsia="es-CO"/>
      </w:rPr>
      <w:t xml:space="preserve">Código: </w:t>
    </w:r>
    <w:r w:rsidRPr="07C73DD1">
      <w:rPr>
        <w:rFonts w:ascii="Verdana" w:eastAsia="Verdana" w:hAnsi="Verdana" w:cs="Verdana"/>
        <w:color w:val="000000" w:themeColor="text1"/>
        <w:sz w:val="18"/>
        <w:szCs w:val="18"/>
        <w:lang w:eastAsia="es-CO"/>
      </w:rPr>
      <w:t xml:space="preserve">CCE-REC-FM-17 </w:t>
    </w:r>
    <w:r w:rsidRPr="07C73DD1">
      <w:rPr>
        <w:rFonts w:ascii="Verdana" w:eastAsia="Verdana" w:hAnsi="Verdana" w:cs="Verdana"/>
        <w:b/>
        <w:bCs/>
        <w:color w:val="000000" w:themeColor="text1"/>
        <w:sz w:val="18"/>
        <w:szCs w:val="18"/>
        <w:lang w:eastAsia="es-CO"/>
      </w:rPr>
      <w:t xml:space="preserve">V: </w:t>
    </w:r>
    <w:r w:rsidRPr="07C73DD1">
      <w:rPr>
        <w:rFonts w:ascii="Verdana" w:eastAsia="Verdana" w:hAnsi="Verdana" w:cs="Verdana"/>
        <w:sz w:val="18"/>
        <w:szCs w:val="18"/>
        <w:lang w:eastAsia="es-CO"/>
      </w:rPr>
      <w:t>03 Fecha: 21-10-2025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106852" w14:textId="77777777" w:rsidR="00AA4104" w:rsidRDefault="00AA4104" w:rsidP="004A1847">
      <w:pPr>
        <w:spacing w:after="0" w:line="240" w:lineRule="auto"/>
      </w:pPr>
      <w:r>
        <w:separator/>
      </w:r>
    </w:p>
  </w:footnote>
  <w:footnote w:type="continuationSeparator" w:id="0">
    <w:p w14:paraId="3E2762F0" w14:textId="77777777" w:rsidR="00AA4104" w:rsidRDefault="00AA4104" w:rsidP="004A1847">
      <w:pPr>
        <w:spacing w:after="0" w:line="240" w:lineRule="auto"/>
      </w:pPr>
      <w:r>
        <w:continuationSeparator/>
      </w:r>
    </w:p>
  </w:footnote>
  <w:footnote w:id="1">
    <w:p w14:paraId="30CB04A3" w14:textId="26D0DE6A" w:rsidR="00EA0469" w:rsidRPr="002134D0" w:rsidRDefault="00EA0469" w:rsidP="00A0384A">
      <w:pPr>
        <w:pStyle w:val="Textoindependiente"/>
        <w:snapToGrid w:val="0"/>
        <w:ind w:firstLine="708"/>
        <w:contextualSpacing/>
        <w:jc w:val="both"/>
        <w:rPr>
          <w:rFonts w:ascii="Verdana" w:hAnsi="Verdana" w:cs="Arial"/>
          <w:sz w:val="18"/>
          <w:szCs w:val="18"/>
        </w:rPr>
      </w:pPr>
      <w:r w:rsidRPr="002134D0">
        <w:rPr>
          <w:rStyle w:val="Refdenotaalpie"/>
          <w:rFonts w:ascii="Verdana" w:hAnsi="Verdana" w:cs="Arial"/>
          <w:sz w:val="18"/>
          <w:szCs w:val="18"/>
        </w:rPr>
        <w:footnoteRef/>
      </w:r>
      <w:r w:rsidRPr="002134D0">
        <w:rPr>
          <w:rFonts w:ascii="Verdana" w:hAnsi="Verdana" w:cs="Arial"/>
          <w:sz w:val="18"/>
          <w:szCs w:val="18"/>
        </w:rPr>
        <w:t xml:space="preserve"> </w:t>
      </w:r>
      <w:r w:rsidRPr="002134D0">
        <w:rPr>
          <w:rFonts w:ascii="Verdana" w:hAnsi="Verdana" w:cs="Arial"/>
          <w:sz w:val="18"/>
          <w:szCs w:val="18"/>
          <w:lang w:val="es-ES_tradnl"/>
        </w:rPr>
        <w:t xml:space="preserve">El artículo 2º define, para los efectos del ámbito de sujeción del estatuto, que se denominan entidades estatales: a) </w:t>
      </w:r>
      <w:r w:rsidRPr="002134D0">
        <w:rPr>
          <w:rFonts w:ascii="Verdana" w:hAnsi="Verdana" w:cs="Arial"/>
          <w:sz w:val="18"/>
          <w:szCs w:val="18"/>
        </w:rPr>
        <w:t>La Nación, las regiones, los departamentos, las provincias, el distrito capital y los distritos especiales, las áreas metropolitanas, las asociaciones de municipios, los territorios indígenas y los municipios; los establecimientos públicos, las empresas industriales y comerciales del Estado, las sociedades de economía mixta en las que el Estado tenga participación superior al cincuenta por ciento (50%), así como las entidades descentralizadas indirectas y las demás personas jurídicas en las que exista dicha participación pública mayoritaria, cualquiera sea la denominación que ellas adopten, en todos los órdenes y niveles. b) El Senado de la República, la Cámara de Representantes, el Consejo Superior de la Judicatura, la Fiscalía General de la Nación, la Contraloría General de la República, las contralorías departamentales, distritales y municipales, la Procuraduría General de la Nación, la Registraduría Nacional del Estado Civil, los ministerios, los departamentos administrativos, las superintendencias, las unidades administrativas especiales y, en general, los organismos o dependencias del Estado a los que la ley otorgue capacidad para celebrar contratos.</w:t>
      </w:r>
    </w:p>
  </w:footnote>
  <w:footnote w:id="2">
    <w:p w14:paraId="777D9BA8" w14:textId="77777777" w:rsidR="00EA0469" w:rsidRPr="002134D0" w:rsidRDefault="00EA0469" w:rsidP="00EA0469">
      <w:pPr>
        <w:pStyle w:val="Textonotapie"/>
        <w:snapToGrid w:val="0"/>
        <w:ind w:firstLine="720"/>
        <w:contextualSpacing/>
        <w:jc w:val="both"/>
        <w:rPr>
          <w:rFonts w:ascii="Verdana" w:hAnsi="Verdana" w:cs="Arial"/>
          <w:sz w:val="18"/>
          <w:szCs w:val="18"/>
        </w:rPr>
      </w:pPr>
      <w:r w:rsidRPr="002134D0">
        <w:rPr>
          <w:rStyle w:val="Refdenotaalpie"/>
          <w:rFonts w:ascii="Verdana" w:hAnsi="Verdana" w:cs="Arial"/>
          <w:sz w:val="18"/>
          <w:szCs w:val="18"/>
        </w:rPr>
        <w:footnoteRef/>
      </w:r>
      <w:r w:rsidRPr="002134D0">
        <w:rPr>
          <w:rFonts w:ascii="Verdana" w:hAnsi="Verdana" w:cs="Arial"/>
          <w:sz w:val="18"/>
          <w:szCs w:val="18"/>
        </w:rPr>
        <w:t xml:space="preserve"> Consejo de Estado. Sección Tercera. Sentencia del 4 de abril de 2002, M.P. Alier E. Hernández Enríquez. Rad. 1999-0290-01 (17.244).</w:t>
      </w:r>
    </w:p>
    <w:p w14:paraId="07374EF1" w14:textId="77777777" w:rsidR="00A0384A" w:rsidRPr="002134D0" w:rsidRDefault="00A0384A" w:rsidP="00EA0469">
      <w:pPr>
        <w:pStyle w:val="Textonotapie"/>
        <w:snapToGrid w:val="0"/>
        <w:ind w:firstLine="720"/>
        <w:contextualSpacing/>
        <w:jc w:val="both"/>
        <w:rPr>
          <w:rFonts w:ascii="Verdana" w:hAnsi="Verdana" w:cs="Arial"/>
          <w:sz w:val="18"/>
          <w:szCs w:val="18"/>
        </w:rPr>
      </w:pPr>
    </w:p>
  </w:footnote>
  <w:footnote w:id="3">
    <w:p w14:paraId="28C96FF2" w14:textId="77777777" w:rsidR="00EA0469" w:rsidRPr="002134D0" w:rsidRDefault="00EA0469" w:rsidP="00EA0469">
      <w:pPr>
        <w:snapToGrid w:val="0"/>
        <w:spacing w:after="0" w:line="240" w:lineRule="auto"/>
        <w:ind w:firstLine="707"/>
        <w:contextualSpacing/>
        <w:jc w:val="both"/>
        <w:rPr>
          <w:rFonts w:ascii="Verdana" w:hAnsi="Verdana" w:cs="Arial"/>
          <w:sz w:val="18"/>
          <w:szCs w:val="18"/>
        </w:rPr>
      </w:pPr>
      <w:r w:rsidRPr="002134D0">
        <w:rPr>
          <w:rStyle w:val="Refdenotaalpie"/>
          <w:rFonts w:ascii="Verdana" w:hAnsi="Verdana" w:cs="Arial"/>
          <w:sz w:val="18"/>
          <w:szCs w:val="18"/>
        </w:rPr>
        <w:footnoteRef/>
      </w:r>
      <w:r w:rsidRPr="002134D0">
        <w:rPr>
          <w:rFonts w:ascii="Verdana" w:hAnsi="Verdana" w:cs="Arial"/>
          <w:sz w:val="18"/>
          <w:szCs w:val="18"/>
        </w:rPr>
        <w:t xml:space="preserve"> Consejo de Estado, Sección Tercera. Sentencia de 23 de septiembre de 1997, Rad. S-701.</w:t>
      </w:r>
    </w:p>
    <w:p w14:paraId="52D870C1" w14:textId="77777777" w:rsidR="00EA0469" w:rsidRPr="002134D0" w:rsidRDefault="00EA0469" w:rsidP="00EA0469">
      <w:pPr>
        <w:snapToGrid w:val="0"/>
        <w:spacing w:after="0" w:line="240" w:lineRule="auto"/>
        <w:ind w:firstLine="707"/>
        <w:contextualSpacing/>
        <w:jc w:val="both"/>
        <w:rPr>
          <w:rFonts w:ascii="Verdana" w:hAnsi="Verdana" w:cs="Arial"/>
          <w:sz w:val="18"/>
          <w:szCs w:val="18"/>
        </w:rPr>
      </w:pPr>
    </w:p>
  </w:footnote>
  <w:footnote w:id="4">
    <w:p w14:paraId="546A6DC9" w14:textId="77777777" w:rsidR="00EA0469" w:rsidRPr="002134D0" w:rsidRDefault="00EA0469" w:rsidP="00EA0469">
      <w:pPr>
        <w:snapToGrid w:val="0"/>
        <w:spacing w:after="0" w:line="240" w:lineRule="auto"/>
        <w:ind w:firstLine="708"/>
        <w:contextualSpacing/>
        <w:jc w:val="both"/>
        <w:rPr>
          <w:rFonts w:ascii="Verdana" w:hAnsi="Verdana" w:cs="Arial"/>
          <w:color w:val="000000" w:themeColor="text1"/>
          <w:sz w:val="18"/>
          <w:szCs w:val="18"/>
          <w:lang w:val="es-ES"/>
        </w:rPr>
      </w:pPr>
      <w:r w:rsidRPr="002134D0">
        <w:rPr>
          <w:rStyle w:val="Refdenotaalpie"/>
          <w:rFonts w:ascii="Verdana" w:hAnsi="Verdana" w:cs="Arial"/>
          <w:sz w:val="18"/>
          <w:szCs w:val="18"/>
        </w:rPr>
        <w:footnoteRef/>
      </w:r>
      <w:r w:rsidRPr="002134D0">
        <w:rPr>
          <w:rFonts w:ascii="Verdana" w:hAnsi="Verdana" w:cs="Arial"/>
          <w:sz w:val="18"/>
          <w:szCs w:val="18"/>
        </w:rPr>
        <w:t xml:space="preserve"> Ley 80 de 1993. “</w:t>
      </w:r>
      <w:r w:rsidRPr="002134D0">
        <w:rPr>
          <w:rFonts w:ascii="Verdana" w:hAnsi="Verdana" w:cs="Arial"/>
          <w:color w:val="000000" w:themeColor="text1"/>
          <w:sz w:val="18"/>
          <w:szCs w:val="18"/>
          <w:lang w:val="es-ES"/>
        </w:rPr>
        <w:t>ARTÍCULO 32. DE LOS CONTRATOS ESTATALES. Son contratos estatales todos los actos jurídicos generadores de obligaciones que celebren las entidades a que se refiere el presente estatuto, previstos en el derecho privado o en disposiciones especiales, o derivados del ejercicio de la autonomía de la voluntad, así como los que, a título enunciativo, se definen a continuación […]”.</w:t>
      </w:r>
    </w:p>
  </w:footnote>
  <w:footnote w:id="5">
    <w:p w14:paraId="1202916A" w14:textId="77777777" w:rsidR="00EA0469" w:rsidRPr="002134D0" w:rsidRDefault="00EA0469" w:rsidP="00EA0469">
      <w:pPr>
        <w:pStyle w:val="Textonotapie"/>
        <w:ind w:firstLine="708"/>
        <w:jc w:val="both"/>
        <w:rPr>
          <w:rFonts w:ascii="Verdana" w:hAnsi="Verdana"/>
          <w:sz w:val="18"/>
          <w:szCs w:val="18"/>
        </w:rPr>
      </w:pPr>
      <w:r w:rsidRPr="002134D0">
        <w:rPr>
          <w:rStyle w:val="Refdenotaalpie"/>
          <w:rFonts w:ascii="Verdana" w:hAnsi="Verdana"/>
          <w:sz w:val="18"/>
          <w:szCs w:val="18"/>
        </w:rPr>
        <w:footnoteRef/>
      </w:r>
      <w:r w:rsidRPr="002134D0">
        <w:rPr>
          <w:rFonts w:ascii="Verdana" w:hAnsi="Verdana"/>
          <w:sz w:val="18"/>
          <w:szCs w:val="18"/>
        </w:rPr>
        <w:t xml:space="preserve"> Consejo de Estado. Sala de lo Contencioso Administrativo. Sección Tercera. Subsección B. Sentencia del 28 de febrero del 2023. Radicación número: 20001-23-31-000-1996-02988-01(24131). C.P. Danilo Rojas Betancourth </w:t>
      </w:r>
    </w:p>
    <w:p w14:paraId="07913760" w14:textId="77777777" w:rsidR="00EA0469" w:rsidRPr="002134D0" w:rsidRDefault="00EA0469" w:rsidP="00EA0469">
      <w:pPr>
        <w:pStyle w:val="Textonotapie"/>
        <w:ind w:firstLine="708"/>
        <w:jc w:val="both"/>
        <w:rPr>
          <w:rFonts w:ascii="Verdana" w:hAnsi="Verdana"/>
          <w:sz w:val="18"/>
          <w:szCs w:val="18"/>
        </w:rPr>
      </w:pPr>
    </w:p>
  </w:footnote>
  <w:footnote w:id="6">
    <w:p w14:paraId="006FE37F" w14:textId="0F907C43" w:rsidR="00A0384A" w:rsidRDefault="00EA0469" w:rsidP="002706D2">
      <w:pPr>
        <w:pStyle w:val="Textonotapie"/>
        <w:ind w:firstLine="708"/>
        <w:jc w:val="both"/>
        <w:rPr>
          <w:rFonts w:ascii="Verdana" w:hAnsi="Verdana"/>
          <w:sz w:val="18"/>
          <w:szCs w:val="18"/>
        </w:rPr>
      </w:pPr>
      <w:r w:rsidRPr="002134D0">
        <w:rPr>
          <w:rStyle w:val="Refdenotaalpie"/>
          <w:rFonts w:ascii="Verdana" w:hAnsi="Verdana"/>
          <w:sz w:val="18"/>
          <w:szCs w:val="18"/>
        </w:rPr>
        <w:footnoteRef/>
      </w:r>
      <w:r w:rsidRPr="002134D0">
        <w:rPr>
          <w:rFonts w:ascii="Verdana" w:hAnsi="Verdana"/>
          <w:sz w:val="18"/>
          <w:szCs w:val="18"/>
        </w:rPr>
        <w:t xml:space="preserve"> Gómez, Estrada, Cesar, Los Principales Contratos Civiles, Ed. Temis, Cuarta Edición, Bogotá, 2008, p. 31 y ss.</w:t>
      </w:r>
    </w:p>
    <w:p w14:paraId="737A741C" w14:textId="77777777" w:rsidR="006D5000" w:rsidRPr="002134D0" w:rsidRDefault="006D5000" w:rsidP="002706D2">
      <w:pPr>
        <w:pStyle w:val="Textonotapie"/>
        <w:ind w:firstLine="708"/>
        <w:jc w:val="both"/>
        <w:rPr>
          <w:rFonts w:ascii="Verdana" w:hAnsi="Verdana"/>
          <w:sz w:val="18"/>
          <w:szCs w:val="18"/>
        </w:rPr>
      </w:pPr>
    </w:p>
  </w:footnote>
  <w:footnote w:id="7">
    <w:p w14:paraId="6B5C9F32" w14:textId="77777777" w:rsidR="002224F5" w:rsidRDefault="002224F5" w:rsidP="002224F5">
      <w:pPr>
        <w:pStyle w:val="Textonotapie"/>
        <w:snapToGrid w:val="0"/>
        <w:ind w:firstLine="708"/>
        <w:jc w:val="both"/>
        <w:rPr>
          <w:rFonts w:ascii="Verdana" w:hAnsi="Verdana" w:cs="Arial"/>
          <w:sz w:val="18"/>
          <w:szCs w:val="18"/>
          <w:lang w:val="es-ES"/>
        </w:rPr>
      </w:pPr>
      <w:r w:rsidRPr="002134D0">
        <w:rPr>
          <w:rStyle w:val="Refdenotaalpie"/>
          <w:rFonts w:ascii="Verdana" w:hAnsi="Verdana" w:cs="Arial"/>
          <w:sz w:val="18"/>
          <w:szCs w:val="18"/>
        </w:rPr>
        <w:footnoteRef/>
      </w:r>
      <w:r w:rsidRPr="002134D0">
        <w:rPr>
          <w:rFonts w:ascii="Verdana" w:hAnsi="Verdana" w:cs="Arial"/>
          <w:sz w:val="18"/>
          <w:szCs w:val="18"/>
        </w:rPr>
        <w:t xml:space="preserve"> </w:t>
      </w:r>
      <w:r w:rsidRPr="002134D0">
        <w:rPr>
          <w:rFonts w:ascii="Verdana" w:hAnsi="Verdana" w:cs="Arial"/>
          <w:sz w:val="18"/>
          <w:szCs w:val="18"/>
          <w:lang w:val="es-ES"/>
        </w:rPr>
        <w:t>Diccionario de la Real Academia de la Lengua Española.</w:t>
      </w:r>
    </w:p>
    <w:p w14:paraId="38A87D8D" w14:textId="77777777" w:rsidR="002706D2" w:rsidRPr="002134D0" w:rsidRDefault="002706D2" w:rsidP="002224F5">
      <w:pPr>
        <w:pStyle w:val="Textonotapie"/>
        <w:snapToGrid w:val="0"/>
        <w:ind w:firstLine="708"/>
        <w:jc w:val="both"/>
        <w:rPr>
          <w:rFonts w:ascii="Verdana" w:hAnsi="Verdana" w:cs="Arial"/>
          <w:sz w:val="18"/>
          <w:szCs w:val="18"/>
          <w:lang w:val="es-ES"/>
        </w:rPr>
      </w:pPr>
    </w:p>
  </w:footnote>
  <w:footnote w:id="8">
    <w:p w14:paraId="5B541F7F" w14:textId="77777777" w:rsidR="002224F5" w:rsidRPr="002134D0" w:rsidRDefault="002224F5" w:rsidP="002224F5">
      <w:pPr>
        <w:pStyle w:val="Textonotapie"/>
        <w:snapToGrid w:val="0"/>
        <w:ind w:firstLine="708"/>
        <w:jc w:val="both"/>
        <w:rPr>
          <w:rFonts w:ascii="Verdana" w:hAnsi="Verdana" w:cs="Arial"/>
          <w:sz w:val="18"/>
          <w:szCs w:val="18"/>
        </w:rPr>
      </w:pPr>
      <w:r w:rsidRPr="002134D0">
        <w:rPr>
          <w:rStyle w:val="Refdenotaalpie"/>
          <w:rFonts w:ascii="Verdana" w:hAnsi="Verdana" w:cs="Arial"/>
          <w:sz w:val="18"/>
          <w:szCs w:val="18"/>
        </w:rPr>
        <w:footnoteRef/>
      </w:r>
      <w:r w:rsidRPr="002134D0">
        <w:rPr>
          <w:rFonts w:ascii="Verdana" w:hAnsi="Verdana" w:cs="Arial"/>
          <w:sz w:val="18"/>
          <w:szCs w:val="18"/>
        </w:rPr>
        <w:t xml:space="preserve"> Al respecto, la doctrina sostiene que “Los contratos instados por los entes, organismos y entidades del sector público […] tienen […] un carácter oneroso. Efectivamente, el carácter sinalagmático del contrato comporta […] que cada una de las partes subjetivas recíprocamente tienen una serie de derechos y obligaciones, y el término oneroso nos indica igualmente que el contrato tiene prestaciones recíprocas entre sus partes, por lo que en un contrato en el que existe una determinada prestación (la entrega de un bien mueble, la prestación de un servicio, la realización de una obra) es evidente que debe ser retribuida mediante el abono de la correspondiente contraprestación, es decir, el carácter oneroso del contrato se refiere a la contraprestación que se ofrece por la entidad adjudicadora al contratista por la realización de las actividades objeto del contrato” (Cfr. FERNÁNDEZ ASTUDILLO, José María: El nuevo régimen de la contratación pública. Madrid: Wolker Kluwer, 2018. P. 268).     </w:t>
      </w:r>
    </w:p>
    <w:p w14:paraId="45493F5A" w14:textId="77777777" w:rsidR="002224F5" w:rsidRPr="002134D0" w:rsidRDefault="002224F5" w:rsidP="002224F5">
      <w:pPr>
        <w:pStyle w:val="Textonotapie"/>
        <w:snapToGrid w:val="0"/>
        <w:jc w:val="both"/>
        <w:rPr>
          <w:rFonts w:ascii="Verdana" w:hAnsi="Verdana" w:cs="Arial"/>
          <w:sz w:val="18"/>
          <w:szCs w:val="18"/>
        </w:rPr>
      </w:pPr>
    </w:p>
  </w:footnote>
  <w:footnote w:id="9">
    <w:p w14:paraId="26102EF9" w14:textId="77777777" w:rsidR="002224F5" w:rsidRDefault="002224F5" w:rsidP="002224F5">
      <w:pPr>
        <w:pStyle w:val="Textonotapie"/>
        <w:snapToGrid w:val="0"/>
        <w:ind w:firstLine="708"/>
        <w:jc w:val="both"/>
        <w:rPr>
          <w:rFonts w:ascii="Verdana" w:hAnsi="Verdana" w:cs="Arial"/>
          <w:sz w:val="18"/>
          <w:szCs w:val="18"/>
          <w:lang w:val="es-ES"/>
        </w:rPr>
      </w:pPr>
      <w:r w:rsidRPr="002134D0">
        <w:rPr>
          <w:rStyle w:val="Refdenotaalpie"/>
          <w:rFonts w:ascii="Verdana" w:hAnsi="Verdana" w:cs="Arial"/>
          <w:sz w:val="18"/>
          <w:szCs w:val="18"/>
        </w:rPr>
        <w:footnoteRef/>
      </w:r>
      <w:r w:rsidRPr="002134D0">
        <w:rPr>
          <w:rFonts w:ascii="Verdana" w:hAnsi="Verdana" w:cs="Arial"/>
          <w:sz w:val="18"/>
          <w:szCs w:val="18"/>
        </w:rPr>
        <w:t xml:space="preserve"> </w:t>
      </w:r>
      <w:r w:rsidRPr="002134D0">
        <w:rPr>
          <w:rFonts w:ascii="Verdana" w:hAnsi="Verdana" w:cs="Arial"/>
          <w:sz w:val="18"/>
          <w:szCs w:val="18"/>
          <w:lang w:val="es-ES"/>
        </w:rPr>
        <w:t xml:space="preserve">MARÍN CORTÉS, Fabián G. El precio. Ed. Librería Jurídica Sánchez R. Ltda. y Centro de Estudios de Derecho Administrativo, Medellín, 2012, p. 60. </w:t>
      </w:r>
    </w:p>
    <w:p w14:paraId="79733C95" w14:textId="77777777" w:rsidR="006D5000" w:rsidRPr="002134D0" w:rsidRDefault="006D5000" w:rsidP="002224F5">
      <w:pPr>
        <w:pStyle w:val="Textonotapie"/>
        <w:snapToGrid w:val="0"/>
        <w:ind w:firstLine="708"/>
        <w:jc w:val="both"/>
        <w:rPr>
          <w:rFonts w:ascii="Verdana" w:hAnsi="Verdana" w:cs="Arial"/>
          <w:sz w:val="18"/>
          <w:szCs w:val="18"/>
          <w:lang w:val="es-ES"/>
        </w:rPr>
      </w:pPr>
    </w:p>
  </w:footnote>
  <w:footnote w:id="10">
    <w:p w14:paraId="55E6C0AD" w14:textId="0211C055" w:rsidR="002224F5" w:rsidRDefault="002224F5" w:rsidP="002224F5">
      <w:pPr>
        <w:pStyle w:val="Textonotapie"/>
        <w:snapToGrid w:val="0"/>
        <w:ind w:firstLine="708"/>
        <w:jc w:val="both"/>
        <w:rPr>
          <w:rFonts w:ascii="Verdana" w:hAnsi="Verdana" w:cs="Arial"/>
          <w:sz w:val="18"/>
          <w:szCs w:val="18"/>
        </w:rPr>
      </w:pPr>
      <w:r w:rsidRPr="002134D0">
        <w:rPr>
          <w:rStyle w:val="Refdenotaalpie"/>
          <w:rFonts w:ascii="Verdana" w:hAnsi="Verdana" w:cs="Arial"/>
          <w:sz w:val="18"/>
          <w:szCs w:val="18"/>
        </w:rPr>
        <w:footnoteRef/>
      </w:r>
      <w:r w:rsidRPr="002134D0">
        <w:rPr>
          <w:rFonts w:ascii="Verdana" w:hAnsi="Verdana" w:cs="Arial"/>
          <w:sz w:val="18"/>
          <w:szCs w:val="18"/>
        </w:rPr>
        <w:t xml:space="preserve"> </w:t>
      </w:r>
      <w:bookmarkStart w:id="7" w:name="_Hlk204013139"/>
      <w:r w:rsidR="00235245" w:rsidRPr="002134D0">
        <w:rPr>
          <w:rFonts w:ascii="Verdana" w:hAnsi="Verdana"/>
          <w:sz w:val="18"/>
          <w:szCs w:val="18"/>
        </w:rPr>
        <w:t>Consejo de Estado</w:t>
      </w:r>
      <w:r w:rsidR="00235245">
        <w:rPr>
          <w:rFonts w:ascii="Verdana" w:hAnsi="Verdana" w:cs="Arial"/>
          <w:sz w:val="18"/>
          <w:szCs w:val="18"/>
          <w:lang w:val="es-ES"/>
        </w:rPr>
        <w:t>.</w:t>
      </w:r>
      <w:r w:rsidRPr="002134D0">
        <w:rPr>
          <w:rFonts w:ascii="Verdana" w:hAnsi="Verdana" w:cs="Arial"/>
          <w:sz w:val="18"/>
          <w:szCs w:val="18"/>
          <w:lang w:val="es-ES"/>
        </w:rPr>
        <w:t xml:space="preserve"> Sección Tercera, Subsección A sentencia de 19 de julio de 2018, M.P. Marta Nubia Velázquez Rico, Rad. 2013-01826(57.576)</w:t>
      </w:r>
      <w:r w:rsidRPr="002134D0">
        <w:rPr>
          <w:rFonts w:ascii="Verdana" w:hAnsi="Verdana" w:cs="Arial"/>
          <w:sz w:val="18"/>
          <w:szCs w:val="18"/>
        </w:rPr>
        <w:t xml:space="preserve"> </w:t>
      </w:r>
      <w:bookmarkEnd w:id="7"/>
    </w:p>
    <w:p w14:paraId="4268A1AE" w14:textId="77777777" w:rsidR="00D37BCA" w:rsidRPr="002134D0" w:rsidRDefault="00D37BCA" w:rsidP="002224F5">
      <w:pPr>
        <w:pStyle w:val="Textonotapie"/>
        <w:snapToGrid w:val="0"/>
        <w:ind w:firstLine="708"/>
        <w:jc w:val="both"/>
        <w:rPr>
          <w:rFonts w:ascii="Verdana" w:hAnsi="Verdana" w:cs="Arial"/>
          <w:sz w:val="18"/>
          <w:szCs w:val="18"/>
        </w:rPr>
      </w:pPr>
    </w:p>
  </w:footnote>
  <w:footnote w:id="11">
    <w:p w14:paraId="107A8BDC" w14:textId="77777777" w:rsidR="002224F5" w:rsidRPr="002134D0" w:rsidRDefault="002224F5" w:rsidP="002224F5">
      <w:pPr>
        <w:pStyle w:val="Textonotapie"/>
        <w:snapToGrid w:val="0"/>
        <w:ind w:firstLine="708"/>
        <w:jc w:val="both"/>
        <w:rPr>
          <w:rFonts w:ascii="Verdana" w:hAnsi="Verdana" w:cs="Arial"/>
          <w:sz w:val="18"/>
          <w:szCs w:val="18"/>
          <w:lang w:val="es-ES"/>
        </w:rPr>
      </w:pPr>
      <w:r w:rsidRPr="002134D0">
        <w:rPr>
          <w:rStyle w:val="Refdenotaalpie"/>
          <w:rFonts w:ascii="Verdana" w:hAnsi="Verdana" w:cs="Arial"/>
          <w:sz w:val="18"/>
          <w:szCs w:val="18"/>
        </w:rPr>
        <w:footnoteRef/>
      </w:r>
      <w:r w:rsidRPr="002134D0">
        <w:rPr>
          <w:rFonts w:ascii="Verdana" w:hAnsi="Verdana" w:cs="Arial"/>
          <w:sz w:val="18"/>
          <w:szCs w:val="18"/>
        </w:rPr>
        <w:t xml:space="preserve"> </w:t>
      </w:r>
      <w:r w:rsidRPr="002134D0">
        <w:rPr>
          <w:rFonts w:ascii="Verdana" w:hAnsi="Verdana" w:cs="Arial"/>
          <w:sz w:val="18"/>
          <w:szCs w:val="18"/>
          <w:lang w:val="es-ES"/>
        </w:rPr>
        <w:t>“La manera como las ofertas presentan el precio varía demasiado, incluso por razón de la costumbre que se impone en determinados negocios. Por ejemplo, tratándose de la compraventa, del suministro o la prestación de servicios profesionales –entre otros contratos, que de hecho son la mayoría– el valor que se ofrece no se desglosa para revelar al destinatario su estructura de costos. El proponente se limita a establecer una cifra por la que está dispuesto a asumir ciertas obligaciones, pero el comprador desconoce cómo se compone internamente, es decir, no sabe –ni usualmente le interesa conocerlo– qué parte del valor corresponde a gastos de mano de obra, de transporte, de energía, cuál es la utilidad esperada, entre otros conceptos. En estos casos se limita a conocer con claridad absoluta cuánto le costará el bien o el servicio, porque es lo que pagará.</w:t>
      </w:r>
    </w:p>
    <w:p w14:paraId="485436B0" w14:textId="77777777" w:rsidR="002224F5" w:rsidRPr="002134D0" w:rsidRDefault="002224F5" w:rsidP="002224F5">
      <w:pPr>
        <w:pStyle w:val="Textonotapie"/>
        <w:snapToGrid w:val="0"/>
        <w:ind w:firstLine="709"/>
        <w:jc w:val="both"/>
        <w:rPr>
          <w:rFonts w:ascii="Verdana" w:hAnsi="Verdana" w:cs="Arial"/>
          <w:sz w:val="18"/>
          <w:szCs w:val="18"/>
          <w:lang w:val="es-ES"/>
        </w:rPr>
      </w:pPr>
      <w:r w:rsidRPr="002134D0">
        <w:rPr>
          <w:rFonts w:ascii="Verdana" w:hAnsi="Verdana" w:cs="Arial"/>
          <w:sz w:val="18"/>
          <w:szCs w:val="18"/>
          <w:lang w:val="es-ES"/>
        </w:rPr>
        <w:t xml:space="preserve">Sin embargo, en otros negocios, como la obra pública, la concesión y la consultoría, el Estado está acostumbrado a que se desglosen intensamente los costos, exigiendo no sólo el precio total sino una distinción entre los </w:t>
      </w:r>
      <w:r w:rsidRPr="002134D0">
        <w:rPr>
          <w:rFonts w:ascii="Verdana" w:hAnsi="Verdana" w:cs="Arial"/>
          <w:i/>
          <w:iCs/>
          <w:sz w:val="18"/>
          <w:szCs w:val="18"/>
          <w:lang w:val="es-ES"/>
        </w:rPr>
        <w:t>costos directos</w:t>
      </w:r>
      <w:r w:rsidRPr="002134D0">
        <w:rPr>
          <w:rFonts w:ascii="Verdana" w:hAnsi="Verdana" w:cs="Arial"/>
          <w:sz w:val="18"/>
          <w:szCs w:val="18"/>
          <w:lang w:val="es-ES"/>
        </w:rPr>
        <w:t xml:space="preserve"> y los</w:t>
      </w:r>
      <w:r w:rsidRPr="002134D0">
        <w:rPr>
          <w:rFonts w:ascii="Verdana" w:hAnsi="Verdana" w:cs="Arial"/>
          <w:i/>
          <w:iCs/>
          <w:sz w:val="18"/>
          <w:szCs w:val="18"/>
          <w:lang w:val="es-ES"/>
        </w:rPr>
        <w:t xml:space="preserve"> costos indirectos</w:t>
      </w:r>
      <w:r w:rsidRPr="002134D0">
        <w:rPr>
          <w:rFonts w:ascii="Verdana" w:hAnsi="Verdana" w:cs="Arial"/>
          <w:sz w:val="18"/>
          <w:szCs w:val="18"/>
          <w:lang w:val="es-ES"/>
        </w:rPr>
        <w:t xml:space="preserve">. Los primeros son los gastos imprescindibles para ejecutar la obra, entre los que se encuentra: la adquisición de materiales, insumos y suministros, la inversión en equipos, el pago de la mano de obra de las cuadrillas de trabajadores obreros y otros gastos afines –representados en los </w:t>
      </w:r>
      <w:r w:rsidRPr="002134D0">
        <w:rPr>
          <w:rFonts w:ascii="Verdana" w:hAnsi="Verdana" w:cs="Arial"/>
          <w:i/>
          <w:iCs/>
          <w:sz w:val="18"/>
          <w:szCs w:val="18"/>
          <w:lang w:val="es-ES"/>
        </w:rPr>
        <w:t>ítems</w:t>
      </w:r>
      <w:r w:rsidRPr="002134D0">
        <w:rPr>
          <w:rFonts w:ascii="Verdana" w:hAnsi="Verdana" w:cs="Arial"/>
          <w:sz w:val="18"/>
          <w:szCs w:val="18"/>
          <w:lang w:val="es-ES"/>
        </w:rPr>
        <w:t xml:space="preserve"> que componen el contrato–. Los costos </w:t>
      </w:r>
      <w:r w:rsidRPr="002134D0">
        <w:rPr>
          <w:rFonts w:ascii="Verdana" w:hAnsi="Verdana" w:cs="Arial"/>
          <w:i/>
          <w:iCs/>
          <w:sz w:val="18"/>
          <w:szCs w:val="18"/>
          <w:lang w:val="es-ES"/>
        </w:rPr>
        <w:t>indirectos</w:t>
      </w:r>
      <w:r w:rsidRPr="002134D0">
        <w:rPr>
          <w:rFonts w:ascii="Verdana" w:hAnsi="Verdana" w:cs="Arial"/>
          <w:sz w:val="18"/>
          <w:szCs w:val="18"/>
          <w:lang w:val="es-ES"/>
        </w:rPr>
        <w:t xml:space="preserve"> aluden a los gastos que también son necesarios para la obra, pero que no hacen parte de los elementos mismos con los que se construye, es decir, se trata de los costos de administración de la obra, los imprevistos que se presentan durante su ejecución y la utilidad esperada” (MARÍN CORTÉS, Fabián. El precio. Serie: Las cláusulas del contrato estatal. Medellín: Librería Jurídica Sánchez y Centro de Estudios de Derecho Administrativo –CEDA–, 2012. pp. 63-64).</w:t>
      </w:r>
    </w:p>
  </w:footnote>
  <w:footnote w:id="12">
    <w:p w14:paraId="086CFB08" w14:textId="24BEC745" w:rsidR="002224F5" w:rsidRPr="002134D0" w:rsidRDefault="002224F5" w:rsidP="00D37BCA">
      <w:pPr>
        <w:snapToGrid w:val="0"/>
        <w:spacing w:after="0" w:line="240" w:lineRule="auto"/>
        <w:ind w:left="120" w:right="114" w:firstLine="707"/>
        <w:jc w:val="both"/>
        <w:rPr>
          <w:rFonts w:ascii="Verdana" w:hAnsi="Verdana"/>
          <w:sz w:val="18"/>
          <w:szCs w:val="18"/>
        </w:rPr>
      </w:pPr>
      <w:r w:rsidRPr="002134D0">
        <w:rPr>
          <w:rStyle w:val="Refdenotaalpie"/>
          <w:rFonts w:ascii="Verdana" w:hAnsi="Verdana"/>
          <w:sz w:val="18"/>
          <w:szCs w:val="18"/>
        </w:rPr>
        <w:footnoteRef/>
      </w:r>
      <w:r w:rsidRPr="002134D0">
        <w:rPr>
          <w:rFonts w:ascii="Verdana" w:hAnsi="Verdana"/>
          <w:sz w:val="18"/>
          <w:szCs w:val="18"/>
        </w:rPr>
        <w:t xml:space="preserve"> </w:t>
      </w:r>
      <w:r w:rsidR="00A00BDD">
        <w:rPr>
          <w:rFonts w:ascii="Verdana" w:hAnsi="Verdana"/>
          <w:sz w:val="18"/>
          <w:szCs w:val="18"/>
        </w:rPr>
        <w:t>Consejo de Estado.</w:t>
      </w:r>
      <w:r w:rsidRPr="002134D0">
        <w:rPr>
          <w:rFonts w:ascii="Verdana" w:hAnsi="Verdana"/>
          <w:sz w:val="18"/>
          <w:szCs w:val="18"/>
        </w:rPr>
        <w:t xml:space="preserve"> Sección Cuarta, sentencia del 24 de octubre de 2002, C.P. Ligia López Díaz, Rad. 13.408.</w:t>
      </w:r>
    </w:p>
  </w:footnote>
  <w:footnote w:id="13">
    <w:p w14:paraId="57E720D8" w14:textId="4461B21F" w:rsidR="002224F5" w:rsidRPr="001D386C" w:rsidRDefault="002224F5" w:rsidP="002224F5">
      <w:pPr>
        <w:pStyle w:val="Textonotapie"/>
        <w:ind w:firstLine="709"/>
        <w:rPr>
          <w:rFonts w:ascii="Verdana" w:hAnsi="Verdana"/>
          <w:sz w:val="16"/>
          <w:szCs w:val="16"/>
          <w:lang w:val="es-ES"/>
        </w:rPr>
      </w:pPr>
      <w:r w:rsidRPr="002134D0">
        <w:rPr>
          <w:rStyle w:val="Refdenotaalpie"/>
          <w:rFonts w:ascii="Verdana" w:hAnsi="Verdana"/>
          <w:sz w:val="18"/>
          <w:szCs w:val="18"/>
        </w:rPr>
        <w:footnoteRef/>
      </w:r>
      <w:r w:rsidRPr="002134D0">
        <w:rPr>
          <w:rFonts w:ascii="Verdana" w:hAnsi="Verdana"/>
          <w:sz w:val="18"/>
          <w:szCs w:val="18"/>
        </w:rPr>
        <w:t xml:space="preserve"> </w:t>
      </w:r>
      <w:r w:rsidR="00D37BCA" w:rsidRPr="002134D0">
        <w:rPr>
          <w:rFonts w:ascii="Verdana" w:eastAsia="Calibri" w:hAnsi="Verdana" w:cs="Arial"/>
          <w:sz w:val="18"/>
          <w:szCs w:val="18"/>
          <w:lang w:val="es-ES_tradnl" w:eastAsia="es-ES_tradnl"/>
        </w:rPr>
        <w:t>Ibid.</w:t>
      </w:r>
      <w:r w:rsidRPr="002134D0">
        <w:rPr>
          <w:rFonts w:ascii="Verdana" w:eastAsia="Calibri" w:hAnsi="Verdana" w:cs="Arial"/>
          <w:sz w:val="18"/>
          <w:szCs w:val="18"/>
          <w:lang w:val="es-ES_tradnl" w:eastAsia="es-ES_tradnl"/>
        </w:rPr>
        <w:t>., p. 60</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5F4D03" w14:textId="0903BF04" w:rsidR="00756841" w:rsidRDefault="009D3058" w:rsidP="00844AE9">
    <w:pPr>
      <w:pStyle w:val="Encabezado"/>
      <w:spacing w:line="120" w:lineRule="auto"/>
    </w:pPr>
    <w:r>
      <w:rPr>
        <w:rFonts w:ascii="Geomanist Bold" w:hAnsi="Geomanist Bold"/>
        <w:b/>
        <w:bCs/>
        <w:noProof/>
        <w:color w:val="002060"/>
        <w:sz w:val="24"/>
        <w:szCs w:val="24"/>
      </w:rPr>
      <w:drawing>
        <wp:anchor distT="0" distB="0" distL="114300" distR="114300" simplePos="0" relativeHeight="251658241" behindDoc="1" locked="0" layoutInCell="1" allowOverlap="1" wp14:anchorId="6FC3B35F" wp14:editId="51872E67">
          <wp:simplePos x="0" y="0"/>
          <wp:positionH relativeFrom="margin">
            <wp:align>center</wp:align>
          </wp:positionH>
          <wp:positionV relativeFrom="paragraph">
            <wp:posOffset>-256388</wp:posOffset>
          </wp:positionV>
          <wp:extent cx="1924050" cy="856004"/>
          <wp:effectExtent l="0" t="0" r="0" b="1270"/>
          <wp:wrapNone/>
          <wp:docPr id="1309089902" name="Imagen 1" descr="Imagen que contiene Interfaz de usuario gráfic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9089902" name="Imagen 1" descr="Imagen que contiene Interfaz de usuario gráfica&#10;&#10;Descripción generada automáticamente"/>
                  <pic:cNvPicPr/>
                </pic:nvPicPr>
                <pic:blipFill>
                  <a:blip r:embed="rId1">
                    <a:extLst>
                      <a:ext uri="{28A0092B-C50C-407E-A947-70E740481C1C}">
                        <a14:useLocalDpi xmlns:a14="http://schemas.microsoft.com/office/drawing/2010/main" val="0"/>
                      </a:ext>
                    </a:extLst>
                  </a:blip>
                  <a:stretch>
                    <a:fillRect/>
                  </a:stretch>
                </pic:blipFill>
                <pic:spPr>
                  <a:xfrm>
                    <a:off x="0" y="0"/>
                    <a:ext cx="1924050" cy="856004"/>
                  </a:xfrm>
                  <a:prstGeom prst="rect">
                    <a:avLst/>
                  </a:prstGeom>
                </pic:spPr>
              </pic:pic>
            </a:graphicData>
          </a:graphic>
          <wp14:sizeRelH relativeFrom="margin">
            <wp14:pctWidth>0</wp14:pctWidth>
          </wp14:sizeRelH>
          <wp14:sizeRelV relativeFrom="margin">
            <wp14:pctHeight>0</wp14:pctHeight>
          </wp14:sizeRelV>
        </wp:anchor>
      </w:drawing>
    </w:r>
    <w:r w:rsidR="00E90F6B">
      <w:rPr>
        <w:rFonts w:ascii="Geomanist Bold" w:hAnsi="Geomanist Bold"/>
        <w:b/>
        <w:bCs/>
        <w:noProof/>
        <w:color w:val="002060"/>
        <w:sz w:val="24"/>
        <w:szCs w:val="24"/>
      </w:rPr>
      <w:drawing>
        <wp:anchor distT="0" distB="0" distL="114300" distR="114300" simplePos="0" relativeHeight="251658240" behindDoc="0" locked="0" layoutInCell="1" allowOverlap="1" wp14:anchorId="4F745D08" wp14:editId="02405FCC">
          <wp:simplePos x="0" y="0"/>
          <wp:positionH relativeFrom="margin">
            <wp:posOffset>8420100</wp:posOffset>
          </wp:positionH>
          <wp:positionV relativeFrom="margin">
            <wp:posOffset>-1377950</wp:posOffset>
          </wp:positionV>
          <wp:extent cx="665480" cy="3098800"/>
          <wp:effectExtent l="0" t="0" r="0" b="0"/>
          <wp:wrapThrough wrapText="bothSides">
            <wp:wrapPolygon edited="0">
              <wp:start x="6183" y="0"/>
              <wp:lineTo x="0" y="1416"/>
              <wp:lineTo x="5359" y="2833"/>
              <wp:lineTo x="2061" y="4249"/>
              <wp:lineTo x="412" y="4780"/>
              <wp:lineTo x="824" y="5134"/>
              <wp:lineTo x="3298" y="5666"/>
              <wp:lineTo x="4534" y="7082"/>
              <wp:lineTo x="412" y="7967"/>
              <wp:lineTo x="0" y="8233"/>
              <wp:lineTo x="5771" y="9915"/>
              <wp:lineTo x="0" y="11508"/>
              <wp:lineTo x="0" y="11685"/>
              <wp:lineTo x="4122" y="12748"/>
              <wp:lineTo x="2061" y="14164"/>
              <wp:lineTo x="0" y="14872"/>
              <wp:lineTo x="0" y="15049"/>
              <wp:lineTo x="2061" y="15580"/>
              <wp:lineTo x="4534" y="16997"/>
              <wp:lineTo x="0" y="18059"/>
              <wp:lineTo x="0" y="18413"/>
              <wp:lineTo x="10718" y="21246"/>
              <wp:lineTo x="12366" y="21511"/>
              <wp:lineTo x="14427" y="21511"/>
              <wp:lineTo x="14840" y="21511"/>
              <wp:lineTo x="17313" y="20980"/>
              <wp:lineTo x="20611" y="20007"/>
              <wp:lineTo x="20198" y="19830"/>
              <wp:lineTo x="13603" y="18413"/>
              <wp:lineTo x="21023" y="16643"/>
              <wp:lineTo x="16489" y="15580"/>
              <wp:lineTo x="17313" y="14164"/>
              <wp:lineTo x="21023" y="13279"/>
              <wp:lineTo x="18962" y="12748"/>
              <wp:lineTo x="15664" y="11331"/>
              <wp:lineTo x="21023" y="10003"/>
              <wp:lineTo x="21023" y="9826"/>
              <wp:lineTo x="18137" y="9207"/>
              <wp:lineTo x="15664" y="8498"/>
              <wp:lineTo x="19374" y="7082"/>
              <wp:lineTo x="21023" y="6639"/>
              <wp:lineTo x="21023" y="6374"/>
              <wp:lineTo x="18137" y="5666"/>
              <wp:lineTo x="16901" y="4249"/>
              <wp:lineTo x="21023" y="3275"/>
              <wp:lineTo x="21023" y="3098"/>
              <wp:lineTo x="20611" y="2833"/>
              <wp:lineTo x="8244" y="0"/>
              <wp:lineTo x="6183" y="0"/>
            </wp:wrapPolygon>
          </wp:wrapThrough>
          <wp:docPr id="962149914" name="Imagen 9621499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7974706" name="Imagen 1987974706"/>
                  <pic:cNvPicPr/>
                </pic:nvPicPr>
                <pic:blipFill>
                  <a:blip r:embed="rId2" cstate="print">
                    <a:extLst>
                      <a:ext uri="{28A0092B-C50C-407E-A947-70E740481C1C}">
                        <a14:useLocalDpi xmlns:a14="http://schemas.microsoft.com/office/drawing/2010/main" val="0"/>
                      </a:ext>
                    </a:extLst>
                  </a:blip>
                  <a:stretch>
                    <a:fillRect/>
                  </a:stretch>
                </pic:blipFill>
                <pic:spPr>
                  <a:xfrm>
                    <a:off x="0" y="0"/>
                    <a:ext cx="665480" cy="3098800"/>
                  </a:xfrm>
                  <a:prstGeom prst="rect">
                    <a:avLst/>
                  </a:prstGeom>
                </pic:spPr>
              </pic:pic>
            </a:graphicData>
          </a:graphic>
          <wp14:sizeRelH relativeFrom="margin">
            <wp14:pctWidth>0</wp14:pctWidth>
          </wp14:sizeRelH>
          <wp14:sizeRelV relativeFrom="margin">
            <wp14:pctHeight>0</wp14:pctHeight>
          </wp14:sizeRelV>
        </wp:anchor>
      </w:drawing>
    </w:r>
  </w:p>
  <w:p w14:paraId="1BE2B9AE" w14:textId="4B94DB3B" w:rsidR="00756841" w:rsidRDefault="00756841">
    <w:pPr>
      <w:pStyle w:val="Encabezado"/>
    </w:pPr>
  </w:p>
  <w:p w14:paraId="5E18350A" w14:textId="705F7B76" w:rsidR="004A305D" w:rsidRPr="004A305D" w:rsidRDefault="004A305D" w:rsidP="00B01B1A">
    <w:pPr>
      <w:spacing w:after="0" w:line="120" w:lineRule="auto"/>
      <w:rPr>
        <w:rFonts w:ascii="Century Gothic" w:eastAsia="Geo" w:hAnsi="Century Gothic" w:cs="Geo"/>
        <w:sz w:val="16"/>
        <w:szCs w:val="16"/>
        <w:lang w:eastAsia="es-CO"/>
      </w:rPr>
    </w:pPr>
  </w:p>
  <w:p w14:paraId="211B7F5D" w14:textId="77777777" w:rsidR="00C925AC" w:rsidRDefault="00C925AC" w:rsidP="00844AE9">
    <w:pPr>
      <w:spacing w:after="0" w:line="240" w:lineRule="auto"/>
      <w:rPr>
        <w:rFonts w:ascii="Verdana" w:hAnsi="Verdana"/>
        <w:sz w:val="24"/>
        <w:szCs w:val="24"/>
      </w:rPr>
    </w:pPr>
  </w:p>
  <w:p w14:paraId="5A0054B1" w14:textId="77777777" w:rsidR="00A14468" w:rsidRPr="00C925AC" w:rsidRDefault="00A14468" w:rsidP="00844AE9">
    <w:pPr>
      <w:spacing w:after="0" w:line="240" w:lineRule="auto"/>
      <w:rPr>
        <w:rFonts w:ascii="Verdana" w:hAnsi="Verdana"/>
        <w:sz w:val="24"/>
        <w:szCs w:val="24"/>
      </w:rPr>
    </w:pPr>
  </w:p>
  <w:p w14:paraId="1FD1C243" w14:textId="37C5500A" w:rsidR="008A446D" w:rsidRPr="00C925AC" w:rsidRDefault="00C925AC" w:rsidP="000D5DA7">
    <w:pPr>
      <w:spacing w:after="0" w:line="480" w:lineRule="auto"/>
      <w:rPr>
        <w:rFonts w:ascii="Verdana" w:hAnsi="Verdana"/>
        <w:b/>
        <w:bCs/>
        <w:sz w:val="24"/>
        <w:szCs w:val="24"/>
      </w:rPr>
    </w:pPr>
    <w:r w:rsidRPr="00C925AC">
      <w:rPr>
        <w:rFonts w:ascii="Verdana" w:hAnsi="Verdana"/>
        <w:b/>
        <w:bCs/>
        <w:sz w:val="24"/>
        <w:szCs w:val="24"/>
      </w:rPr>
      <w:t>FORMATO</w:t>
    </w:r>
    <w:r w:rsidR="00BF7425">
      <w:rPr>
        <w:rFonts w:ascii="Verdana" w:hAnsi="Verdana"/>
        <w:b/>
        <w:bCs/>
        <w:sz w:val="24"/>
        <w:szCs w:val="24"/>
      </w:rPr>
      <w:t xml:space="preserve"> DE RESPUESTA </w:t>
    </w:r>
    <w:r w:rsidRPr="00C925AC">
      <w:rPr>
        <w:rFonts w:ascii="Verdana" w:hAnsi="Verdana"/>
        <w:b/>
        <w:bCs/>
        <w:sz w:val="24"/>
        <w:szCs w:val="24"/>
      </w:rPr>
      <w:t>PQRSD</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pt;height:12pt" o:bullet="t">
        <v:imagedata r:id="rId1" o:title="mso1B13"/>
      </v:shape>
    </w:pict>
  </w:numPicBullet>
  <w:abstractNum w:abstractNumId="0" w15:restartNumberingAfterBreak="0">
    <w:nsid w:val="01C06310"/>
    <w:multiLevelType w:val="multilevel"/>
    <w:tmpl w:val="25FEEF8E"/>
    <w:lvl w:ilvl="0">
      <w:start w:val="1"/>
      <w:numFmt w:val="decimal"/>
      <w:lvlText w:val="%1."/>
      <w:lvlJc w:val="left"/>
      <w:pPr>
        <w:ind w:left="2061" w:hanging="360"/>
      </w:pPr>
      <w:rPr>
        <w:b/>
        <w:color w:val="000000" w:themeColor="text1"/>
      </w:rPr>
    </w:lvl>
    <w:lvl w:ilvl="1">
      <w:start w:val="2"/>
      <w:numFmt w:val="decimal"/>
      <w:isLgl/>
      <w:lvlText w:val="%1.%2"/>
      <w:lvlJc w:val="left"/>
      <w:pPr>
        <w:ind w:left="1701" w:hanging="360"/>
      </w:pPr>
    </w:lvl>
    <w:lvl w:ilvl="2">
      <w:start w:val="1"/>
      <w:numFmt w:val="decimal"/>
      <w:isLgl/>
      <w:lvlText w:val="%1.%2.%3"/>
      <w:lvlJc w:val="left"/>
      <w:pPr>
        <w:ind w:left="2421" w:hanging="720"/>
      </w:pPr>
    </w:lvl>
    <w:lvl w:ilvl="3">
      <w:start w:val="1"/>
      <w:numFmt w:val="decimal"/>
      <w:isLgl/>
      <w:lvlText w:val="%1.%2.%3.%4"/>
      <w:lvlJc w:val="left"/>
      <w:pPr>
        <w:ind w:left="2421" w:hanging="720"/>
      </w:pPr>
    </w:lvl>
    <w:lvl w:ilvl="4">
      <w:start w:val="1"/>
      <w:numFmt w:val="decimal"/>
      <w:isLgl/>
      <w:lvlText w:val="%1.%2.%3.%4.%5"/>
      <w:lvlJc w:val="left"/>
      <w:pPr>
        <w:ind w:left="2781" w:hanging="1080"/>
      </w:pPr>
    </w:lvl>
    <w:lvl w:ilvl="5">
      <w:start w:val="1"/>
      <w:numFmt w:val="decimal"/>
      <w:isLgl/>
      <w:lvlText w:val="%1.%2.%3.%4.%5.%6"/>
      <w:lvlJc w:val="left"/>
      <w:pPr>
        <w:ind w:left="2781" w:hanging="1080"/>
      </w:pPr>
    </w:lvl>
    <w:lvl w:ilvl="6">
      <w:start w:val="1"/>
      <w:numFmt w:val="decimal"/>
      <w:isLgl/>
      <w:lvlText w:val="%1.%2.%3.%4.%5.%6.%7"/>
      <w:lvlJc w:val="left"/>
      <w:pPr>
        <w:ind w:left="3141" w:hanging="1440"/>
      </w:pPr>
    </w:lvl>
    <w:lvl w:ilvl="7">
      <w:start w:val="1"/>
      <w:numFmt w:val="decimal"/>
      <w:isLgl/>
      <w:lvlText w:val="%1.%2.%3.%4.%5.%6.%7.%8"/>
      <w:lvlJc w:val="left"/>
      <w:pPr>
        <w:ind w:left="3141" w:hanging="1440"/>
      </w:pPr>
    </w:lvl>
    <w:lvl w:ilvl="8">
      <w:start w:val="1"/>
      <w:numFmt w:val="decimal"/>
      <w:isLgl/>
      <w:lvlText w:val="%1.%2.%3.%4.%5.%6.%7.%8.%9"/>
      <w:lvlJc w:val="left"/>
      <w:pPr>
        <w:ind w:left="3501" w:hanging="1800"/>
      </w:pPr>
    </w:lvl>
  </w:abstractNum>
  <w:abstractNum w:abstractNumId="1" w15:restartNumberingAfterBreak="0">
    <w:nsid w:val="0337782A"/>
    <w:multiLevelType w:val="multilevel"/>
    <w:tmpl w:val="90D242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6D30BDC"/>
    <w:multiLevelType w:val="hybridMultilevel"/>
    <w:tmpl w:val="734ED3EC"/>
    <w:lvl w:ilvl="0" w:tplc="834431CA">
      <w:numFmt w:val="bullet"/>
      <w:lvlText w:val="-"/>
      <w:lvlJc w:val="left"/>
      <w:pPr>
        <w:ind w:left="1080" w:hanging="360"/>
      </w:pPr>
      <w:rPr>
        <w:rFonts w:ascii="Arial" w:eastAsia="Times New Roman" w:hAnsi="Arial" w:cs="Arial" w:hint="default"/>
        <w:b/>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3" w15:restartNumberingAfterBreak="0">
    <w:nsid w:val="25352E86"/>
    <w:multiLevelType w:val="multilevel"/>
    <w:tmpl w:val="E81277DA"/>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1280020"/>
    <w:multiLevelType w:val="hybridMultilevel"/>
    <w:tmpl w:val="DA8CAD24"/>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5" w15:restartNumberingAfterBreak="0">
    <w:nsid w:val="320B0C74"/>
    <w:multiLevelType w:val="multilevel"/>
    <w:tmpl w:val="FCE0A7D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3614460"/>
    <w:multiLevelType w:val="hybridMultilevel"/>
    <w:tmpl w:val="7FC88522"/>
    <w:lvl w:ilvl="0" w:tplc="A22AAB2E">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370F0516"/>
    <w:multiLevelType w:val="multilevel"/>
    <w:tmpl w:val="BAD28BB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7D933EA"/>
    <w:multiLevelType w:val="multilevel"/>
    <w:tmpl w:val="8BFCD55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9D726F5"/>
    <w:multiLevelType w:val="hybridMultilevel"/>
    <w:tmpl w:val="7BDC1A10"/>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0" w15:restartNumberingAfterBreak="0">
    <w:nsid w:val="53244075"/>
    <w:multiLevelType w:val="hybridMultilevel"/>
    <w:tmpl w:val="8440F34C"/>
    <w:lvl w:ilvl="0" w:tplc="40685C34">
      <w:start w:val="4"/>
      <w:numFmt w:val="decimal"/>
      <w:lvlText w:val="%1."/>
      <w:lvlJc w:val="left"/>
      <w:pPr>
        <w:ind w:left="502" w:hanging="360"/>
      </w:pPr>
      <w:rPr>
        <w:rFonts w:hint="default"/>
        <w:lang w:val="es-CO"/>
      </w:rPr>
    </w:lvl>
    <w:lvl w:ilvl="1" w:tplc="240A0019" w:tentative="1">
      <w:start w:val="1"/>
      <w:numFmt w:val="lowerLetter"/>
      <w:lvlText w:val="%2."/>
      <w:lvlJc w:val="left"/>
      <w:pPr>
        <w:ind w:left="1222" w:hanging="360"/>
      </w:pPr>
    </w:lvl>
    <w:lvl w:ilvl="2" w:tplc="240A001B" w:tentative="1">
      <w:start w:val="1"/>
      <w:numFmt w:val="lowerRoman"/>
      <w:lvlText w:val="%3."/>
      <w:lvlJc w:val="right"/>
      <w:pPr>
        <w:ind w:left="1942" w:hanging="180"/>
      </w:pPr>
    </w:lvl>
    <w:lvl w:ilvl="3" w:tplc="240A000F" w:tentative="1">
      <w:start w:val="1"/>
      <w:numFmt w:val="decimal"/>
      <w:lvlText w:val="%4."/>
      <w:lvlJc w:val="left"/>
      <w:pPr>
        <w:ind w:left="2662" w:hanging="360"/>
      </w:pPr>
    </w:lvl>
    <w:lvl w:ilvl="4" w:tplc="240A0019" w:tentative="1">
      <w:start w:val="1"/>
      <w:numFmt w:val="lowerLetter"/>
      <w:lvlText w:val="%5."/>
      <w:lvlJc w:val="left"/>
      <w:pPr>
        <w:ind w:left="3382" w:hanging="360"/>
      </w:pPr>
    </w:lvl>
    <w:lvl w:ilvl="5" w:tplc="240A001B" w:tentative="1">
      <w:start w:val="1"/>
      <w:numFmt w:val="lowerRoman"/>
      <w:lvlText w:val="%6."/>
      <w:lvlJc w:val="right"/>
      <w:pPr>
        <w:ind w:left="4102" w:hanging="180"/>
      </w:pPr>
    </w:lvl>
    <w:lvl w:ilvl="6" w:tplc="240A000F" w:tentative="1">
      <w:start w:val="1"/>
      <w:numFmt w:val="decimal"/>
      <w:lvlText w:val="%7."/>
      <w:lvlJc w:val="left"/>
      <w:pPr>
        <w:ind w:left="4822" w:hanging="360"/>
      </w:pPr>
    </w:lvl>
    <w:lvl w:ilvl="7" w:tplc="240A0019" w:tentative="1">
      <w:start w:val="1"/>
      <w:numFmt w:val="lowerLetter"/>
      <w:lvlText w:val="%8."/>
      <w:lvlJc w:val="left"/>
      <w:pPr>
        <w:ind w:left="5542" w:hanging="360"/>
      </w:pPr>
    </w:lvl>
    <w:lvl w:ilvl="8" w:tplc="240A001B" w:tentative="1">
      <w:start w:val="1"/>
      <w:numFmt w:val="lowerRoman"/>
      <w:lvlText w:val="%9."/>
      <w:lvlJc w:val="right"/>
      <w:pPr>
        <w:ind w:left="6262" w:hanging="180"/>
      </w:pPr>
    </w:lvl>
  </w:abstractNum>
  <w:abstractNum w:abstractNumId="11" w15:restartNumberingAfterBreak="0">
    <w:nsid w:val="636C03B0"/>
    <w:multiLevelType w:val="hybridMultilevel"/>
    <w:tmpl w:val="53AC8484"/>
    <w:lvl w:ilvl="0" w:tplc="1F14B5D2">
      <w:start w:val="1"/>
      <w:numFmt w:val="bullet"/>
      <w:lvlText w:val="·"/>
      <w:lvlJc w:val="left"/>
      <w:pPr>
        <w:ind w:left="785" w:hanging="360"/>
      </w:pPr>
      <w:rPr>
        <w:rFonts w:ascii="Symbol" w:hAnsi="Symbol" w:hint="default"/>
        <w:color w:val="auto"/>
      </w:rPr>
    </w:lvl>
    <w:lvl w:ilvl="1" w:tplc="240A0003" w:tentative="1">
      <w:start w:val="1"/>
      <w:numFmt w:val="bullet"/>
      <w:lvlText w:val="o"/>
      <w:lvlJc w:val="left"/>
      <w:pPr>
        <w:ind w:left="1505" w:hanging="360"/>
      </w:pPr>
      <w:rPr>
        <w:rFonts w:ascii="Courier New" w:hAnsi="Courier New" w:cs="Courier New" w:hint="default"/>
      </w:rPr>
    </w:lvl>
    <w:lvl w:ilvl="2" w:tplc="240A0005" w:tentative="1">
      <w:start w:val="1"/>
      <w:numFmt w:val="bullet"/>
      <w:lvlText w:val=""/>
      <w:lvlJc w:val="left"/>
      <w:pPr>
        <w:ind w:left="2225" w:hanging="360"/>
      </w:pPr>
      <w:rPr>
        <w:rFonts w:ascii="Wingdings" w:hAnsi="Wingdings" w:hint="default"/>
      </w:rPr>
    </w:lvl>
    <w:lvl w:ilvl="3" w:tplc="240A0001" w:tentative="1">
      <w:start w:val="1"/>
      <w:numFmt w:val="bullet"/>
      <w:lvlText w:val=""/>
      <w:lvlJc w:val="left"/>
      <w:pPr>
        <w:ind w:left="2945" w:hanging="360"/>
      </w:pPr>
      <w:rPr>
        <w:rFonts w:ascii="Symbol" w:hAnsi="Symbol" w:hint="default"/>
      </w:rPr>
    </w:lvl>
    <w:lvl w:ilvl="4" w:tplc="240A0003" w:tentative="1">
      <w:start w:val="1"/>
      <w:numFmt w:val="bullet"/>
      <w:lvlText w:val="o"/>
      <w:lvlJc w:val="left"/>
      <w:pPr>
        <w:ind w:left="3665" w:hanging="360"/>
      </w:pPr>
      <w:rPr>
        <w:rFonts w:ascii="Courier New" w:hAnsi="Courier New" w:cs="Courier New" w:hint="default"/>
      </w:rPr>
    </w:lvl>
    <w:lvl w:ilvl="5" w:tplc="240A0005" w:tentative="1">
      <w:start w:val="1"/>
      <w:numFmt w:val="bullet"/>
      <w:lvlText w:val=""/>
      <w:lvlJc w:val="left"/>
      <w:pPr>
        <w:ind w:left="4385" w:hanging="360"/>
      </w:pPr>
      <w:rPr>
        <w:rFonts w:ascii="Wingdings" w:hAnsi="Wingdings" w:hint="default"/>
      </w:rPr>
    </w:lvl>
    <w:lvl w:ilvl="6" w:tplc="240A0001" w:tentative="1">
      <w:start w:val="1"/>
      <w:numFmt w:val="bullet"/>
      <w:lvlText w:val=""/>
      <w:lvlJc w:val="left"/>
      <w:pPr>
        <w:ind w:left="5105" w:hanging="360"/>
      </w:pPr>
      <w:rPr>
        <w:rFonts w:ascii="Symbol" w:hAnsi="Symbol" w:hint="default"/>
      </w:rPr>
    </w:lvl>
    <w:lvl w:ilvl="7" w:tplc="240A0003" w:tentative="1">
      <w:start w:val="1"/>
      <w:numFmt w:val="bullet"/>
      <w:lvlText w:val="o"/>
      <w:lvlJc w:val="left"/>
      <w:pPr>
        <w:ind w:left="5825" w:hanging="360"/>
      </w:pPr>
      <w:rPr>
        <w:rFonts w:ascii="Courier New" w:hAnsi="Courier New" w:cs="Courier New" w:hint="default"/>
      </w:rPr>
    </w:lvl>
    <w:lvl w:ilvl="8" w:tplc="240A0005" w:tentative="1">
      <w:start w:val="1"/>
      <w:numFmt w:val="bullet"/>
      <w:lvlText w:val=""/>
      <w:lvlJc w:val="left"/>
      <w:pPr>
        <w:ind w:left="6545" w:hanging="360"/>
      </w:pPr>
      <w:rPr>
        <w:rFonts w:ascii="Wingdings" w:hAnsi="Wingdings" w:hint="default"/>
      </w:rPr>
    </w:lvl>
  </w:abstractNum>
  <w:abstractNum w:abstractNumId="12" w15:restartNumberingAfterBreak="0">
    <w:nsid w:val="6BF97060"/>
    <w:multiLevelType w:val="multilevel"/>
    <w:tmpl w:val="B3E004E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6C3C082A"/>
    <w:multiLevelType w:val="multilevel"/>
    <w:tmpl w:val="A80420E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6F4922CE"/>
    <w:multiLevelType w:val="multilevel"/>
    <w:tmpl w:val="E5E637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6FB367B7"/>
    <w:multiLevelType w:val="multilevel"/>
    <w:tmpl w:val="4E0EF642"/>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948779781">
    <w:abstractNumId w:val="6"/>
  </w:num>
  <w:num w:numId="2" w16cid:durableId="19822139">
    <w:abstractNumId w:val="2"/>
  </w:num>
  <w:num w:numId="3" w16cid:durableId="876742304">
    <w:abstractNumId w:val="4"/>
  </w:num>
  <w:num w:numId="4" w16cid:durableId="24518640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049721115">
    <w:abstractNumId w:val="2"/>
  </w:num>
  <w:num w:numId="6" w16cid:durableId="316692925">
    <w:abstractNumId w:val="14"/>
  </w:num>
  <w:num w:numId="7" w16cid:durableId="1946422806">
    <w:abstractNumId w:val="5"/>
  </w:num>
  <w:num w:numId="8" w16cid:durableId="152644682">
    <w:abstractNumId w:val="13"/>
  </w:num>
  <w:num w:numId="9" w16cid:durableId="1317221377">
    <w:abstractNumId w:val="7"/>
  </w:num>
  <w:num w:numId="10" w16cid:durableId="1471245386">
    <w:abstractNumId w:val="12"/>
  </w:num>
  <w:num w:numId="11" w16cid:durableId="289172385">
    <w:abstractNumId w:val="8"/>
  </w:num>
  <w:num w:numId="12" w16cid:durableId="1470781324">
    <w:abstractNumId w:val="1"/>
  </w:num>
  <w:num w:numId="13" w16cid:durableId="1512908409">
    <w:abstractNumId w:val="3"/>
  </w:num>
  <w:num w:numId="14" w16cid:durableId="895897244">
    <w:abstractNumId w:val="15"/>
  </w:num>
  <w:num w:numId="15" w16cid:durableId="390349800">
    <w:abstractNumId w:val="11"/>
  </w:num>
  <w:num w:numId="16" w16cid:durableId="1489201040">
    <w:abstractNumId w:val="0"/>
  </w:num>
  <w:num w:numId="17" w16cid:durableId="1542086715">
    <w:abstractNumId w:val="9"/>
  </w:num>
  <w:num w:numId="18" w16cid:durableId="172348233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1847"/>
    <w:rsid w:val="00016F78"/>
    <w:rsid w:val="00045803"/>
    <w:rsid w:val="00046945"/>
    <w:rsid w:val="00047F64"/>
    <w:rsid w:val="00061B2A"/>
    <w:rsid w:val="00076568"/>
    <w:rsid w:val="00080121"/>
    <w:rsid w:val="00082362"/>
    <w:rsid w:val="00087961"/>
    <w:rsid w:val="000959E8"/>
    <w:rsid w:val="000A0E68"/>
    <w:rsid w:val="000A683E"/>
    <w:rsid w:val="000B19B9"/>
    <w:rsid w:val="000D0334"/>
    <w:rsid w:val="000D5DA7"/>
    <w:rsid w:val="000F6486"/>
    <w:rsid w:val="00116940"/>
    <w:rsid w:val="00125105"/>
    <w:rsid w:val="00127233"/>
    <w:rsid w:val="0015699B"/>
    <w:rsid w:val="00175B9E"/>
    <w:rsid w:val="001969DE"/>
    <w:rsid w:val="001A33BF"/>
    <w:rsid w:val="001B461B"/>
    <w:rsid w:val="001D6116"/>
    <w:rsid w:val="001E4177"/>
    <w:rsid w:val="001F0B24"/>
    <w:rsid w:val="001F7DC6"/>
    <w:rsid w:val="002134D0"/>
    <w:rsid w:val="00217AD0"/>
    <w:rsid w:val="002224F5"/>
    <w:rsid w:val="0022400B"/>
    <w:rsid w:val="00235245"/>
    <w:rsid w:val="002421BB"/>
    <w:rsid w:val="00244D6E"/>
    <w:rsid w:val="00251587"/>
    <w:rsid w:val="00252BCD"/>
    <w:rsid w:val="0025796E"/>
    <w:rsid w:val="002706D2"/>
    <w:rsid w:val="002707A2"/>
    <w:rsid w:val="00272B65"/>
    <w:rsid w:val="00290A9C"/>
    <w:rsid w:val="002951A0"/>
    <w:rsid w:val="002962BC"/>
    <w:rsid w:val="002A093D"/>
    <w:rsid w:val="002A0DD0"/>
    <w:rsid w:val="002A49AC"/>
    <w:rsid w:val="002A64FD"/>
    <w:rsid w:val="002C7A84"/>
    <w:rsid w:val="002E2BF8"/>
    <w:rsid w:val="002E30C4"/>
    <w:rsid w:val="002E4FD9"/>
    <w:rsid w:val="002F438B"/>
    <w:rsid w:val="002F77B2"/>
    <w:rsid w:val="00302FC3"/>
    <w:rsid w:val="00303713"/>
    <w:rsid w:val="0030657A"/>
    <w:rsid w:val="00316222"/>
    <w:rsid w:val="00316E87"/>
    <w:rsid w:val="00322A85"/>
    <w:rsid w:val="00324168"/>
    <w:rsid w:val="00330834"/>
    <w:rsid w:val="003375B0"/>
    <w:rsid w:val="003448F4"/>
    <w:rsid w:val="00374F5E"/>
    <w:rsid w:val="00377E3E"/>
    <w:rsid w:val="00382DE5"/>
    <w:rsid w:val="003A779E"/>
    <w:rsid w:val="003D0F4D"/>
    <w:rsid w:val="003D5B0D"/>
    <w:rsid w:val="003E0499"/>
    <w:rsid w:val="003E3FB4"/>
    <w:rsid w:val="003E4F80"/>
    <w:rsid w:val="003E6439"/>
    <w:rsid w:val="003F3941"/>
    <w:rsid w:val="00406575"/>
    <w:rsid w:val="00414C74"/>
    <w:rsid w:val="0042722E"/>
    <w:rsid w:val="0044528D"/>
    <w:rsid w:val="00466E39"/>
    <w:rsid w:val="00476DBC"/>
    <w:rsid w:val="004A1847"/>
    <w:rsid w:val="004A305D"/>
    <w:rsid w:val="004D5736"/>
    <w:rsid w:val="004F21C4"/>
    <w:rsid w:val="004F685F"/>
    <w:rsid w:val="00507011"/>
    <w:rsid w:val="005566E8"/>
    <w:rsid w:val="00574198"/>
    <w:rsid w:val="00574867"/>
    <w:rsid w:val="00584F7D"/>
    <w:rsid w:val="00591460"/>
    <w:rsid w:val="00594D56"/>
    <w:rsid w:val="00596DA3"/>
    <w:rsid w:val="005A2AF4"/>
    <w:rsid w:val="005A65E0"/>
    <w:rsid w:val="005C3777"/>
    <w:rsid w:val="005C5CDC"/>
    <w:rsid w:val="005D13EE"/>
    <w:rsid w:val="005D2A44"/>
    <w:rsid w:val="005D476C"/>
    <w:rsid w:val="005E1323"/>
    <w:rsid w:val="006200BF"/>
    <w:rsid w:val="006219F8"/>
    <w:rsid w:val="006302F7"/>
    <w:rsid w:val="00646B9F"/>
    <w:rsid w:val="006507BA"/>
    <w:rsid w:val="00665D70"/>
    <w:rsid w:val="006900D9"/>
    <w:rsid w:val="006B0242"/>
    <w:rsid w:val="006C2499"/>
    <w:rsid w:val="006D3CA8"/>
    <w:rsid w:val="006D5000"/>
    <w:rsid w:val="00706C16"/>
    <w:rsid w:val="007340C3"/>
    <w:rsid w:val="00734D4A"/>
    <w:rsid w:val="00742B2A"/>
    <w:rsid w:val="0075235A"/>
    <w:rsid w:val="00756841"/>
    <w:rsid w:val="007649AB"/>
    <w:rsid w:val="00771D0C"/>
    <w:rsid w:val="007833AC"/>
    <w:rsid w:val="007930C1"/>
    <w:rsid w:val="007B268C"/>
    <w:rsid w:val="007B7171"/>
    <w:rsid w:val="007C0C0F"/>
    <w:rsid w:val="007C3DC2"/>
    <w:rsid w:val="007E5497"/>
    <w:rsid w:val="00806F5F"/>
    <w:rsid w:val="00820278"/>
    <w:rsid w:val="008258C9"/>
    <w:rsid w:val="00844AE9"/>
    <w:rsid w:val="00853454"/>
    <w:rsid w:val="00867F95"/>
    <w:rsid w:val="008759F9"/>
    <w:rsid w:val="0088113B"/>
    <w:rsid w:val="008843B6"/>
    <w:rsid w:val="008860BE"/>
    <w:rsid w:val="00891928"/>
    <w:rsid w:val="00897EB1"/>
    <w:rsid w:val="008A446D"/>
    <w:rsid w:val="008B25F1"/>
    <w:rsid w:val="008C37C5"/>
    <w:rsid w:val="008D180B"/>
    <w:rsid w:val="008F0EA7"/>
    <w:rsid w:val="008F3B54"/>
    <w:rsid w:val="00914721"/>
    <w:rsid w:val="00923EEF"/>
    <w:rsid w:val="00933B22"/>
    <w:rsid w:val="009419F9"/>
    <w:rsid w:val="0095685E"/>
    <w:rsid w:val="00961B09"/>
    <w:rsid w:val="00965334"/>
    <w:rsid w:val="0097093E"/>
    <w:rsid w:val="009A0DFA"/>
    <w:rsid w:val="009A1C6F"/>
    <w:rsid w:val="009B2D26"/>
    <w:rsid w:val="009C71FA"/>
    <w:rsid w:val="009C72E7"/>
    <w:rsid w:val="009C7F7E"/>
    <w:rsid w:val="009D2B43"/>
    <w:rsid w:val="009D3058"/>
    <w:rsid w:val="009D505C"/>
    <w:rsid w:val="009F3A13"/>
    <w:rsid w:val="009F3C45"/>
    <w:rsid w:val="00A00BDD"/>
    <w:rsid w:val="00A0384A"/>
    <w:rsid w:val="00A122D3"/>
    <w:rsid w:val="00A14468"/>
    <w:rsid w:val="00A17F13"/>
    <w:rsid w:val="00A20739"/>
    <w:rsid w:val="00A215C7"/>
    <w:rsid w:val="00A23AF9"/>
    <w:rsid w:val="00A2749A"/>
    <w:rsid w:val="00A33C78"/>
    <w:rsid w:val="00A51975"/>
    <w:rsid w:val="00A66247"/>
    <w:rsid w:val="00A910E6"/>
    <w:rsid w:val="00A9673F"/>
    <w:rsid w:val="00AA4104"/>
    <w:rsid w:val="00AA711A"/>
    <w:rsid w:val="00AB0ADB"/>
    <w:rsid w:val="00AC7A83"/>
    <w:rsid w:val="00AD647D"/>
    <w:rsid w:val="00B00C0E"/>
    <w:rsid w:val="00B01B1A"/>
    <w:rsid w:val="00B0381D"/>
    <w:rsid w:val="00B05C3E"/>
    <w:rsid w:val="00B22899"/>
    <w:rsid w:val="00B44A47"/>
    <w:rsid w:val="00B620BF"/>
    <w:rsid w:val="00B72CD3"/>
    <w:rsid w:val="00B72FFF"/>
    <w:rsid w:val="00B8338C"/>
    <w:rsid w:val="00B95791"/>
    <w:rsid w:val="00BA5EAF"/>
    <w:rsid w:val="00BB417E"/>
    <w:rsid w:val="00BB477B"/>
    <w:rsid w:val="00BC3D36"/>
    <w:rsid w:val="00BC7518"/>
    <w:rsid w:val="00BD1EEB"/>
    <w:rsid w:val="00BD54A6"/>
    <w:rsid w:val="00BD794B"/>
    <w:rsid w:val="00BD7F72"/>
    <w:rsid w:val="00BF7425"/>
    <w:rsid w:val="00C04FB3"/>
    <w:rsid w:val="00C11D8B"/>
    <w:rsid w:val="00C15139"/>
    <w:rsid w:val="00C330EB"/>
    <w:rsid w:val="00C34A3A"/>
    <w:rsid w:val="00C358B9"/>
    <w:rsid w:val="00C37AC9"/>
    <w:rsid w:val="00C50D69"/>
    <w:rsid w:val="00C5365C"/>
    <w:rsid w:val="00C642E0"/>
    <w:rsid w:val="00C6648F"/>
    <w:rsid w:val="00C754BE"/>
    <w:rsid w:val="00C76B1C"/>
    <w:rsid w:val="00C85F55"/>
    <w:rsid w:val="00C925AC"/>
    <w:rsid w:val="00CA19C0"/>
    <w:rsid w:val="00CB1745"/>
    <w:rsid w:val="00CB6357"/>
    <w:rsid w:val="00CC1B26"/>
    <w:rsid w:val="00D158F7"/>
    <w:rsid w:val="00D361FD"/>
    <w:rsid w:val="00D37BCA"/>
    <w:rsid w:val="00D423A2"/>
    <w:rsid w:val="00D44E26"/>
    <w:rsid w:val="00D520D8"/>
    <w:rsid w:val="00D63AC2"/>
    <w:rsid w:val="00D7383B"/>
    <w:rsid w:val="00D7788A"/>
    <w:rsid w:val="00D9170B"/>
    <w:rsid w:val="00D94864"/>
    <w:rsid w:val="00DA231B"/>
    <w:rsid w:val="00DC15CE"/>
    <w:rsid w:val="00DC39FC"/>
    <w:rsid w:val="00DC6611"/>
    <w:rsid w:val="00DF5254"/>
    <w:rsid w:val="00E02524"/>
    <w:rsid w:val="00E13FBB"/>
    <w:rsid w:val="00E16408"/>
    <w:rsid w:val="00E20894"/>
    <w:rsid w:val="00E229D1"/>
    <w:rsid w:val="00E245AB"/>
    <w:rsid w:val="00E26013"/>
    <w:rsid w:val="00E2764C"/>
    <w:rsid w:val="00E27F2E"/>
    <w:rsid w:val="00E354D3"/>
    <w:rsid w:val="00E37970"/>
    <w:rsid w:val="00E50AFE"/>
    <w:rsid w:val="00E5638C"/>
    <w:rsid w:val="00E75C92"/>
    <w:rsid w:val="00E771DC"/>
    <w:rsid w:val="00E8772A"/>
    <w:rsid w:val="00E87F28"/>
    <w:rsid w:val="00E90F6B"/>
    <w:rsid w:val="00E92C27"/>
    <w:rsid w:val="00EA0469"/>
    <w:rsid w:val="00EA0E3D"/>
    <w:rsid w:val="00EB213F"/>
    <w:rsid w:val="00EC38A7"/>
    <w:rsid w:val="00ED4D60"/>
    <w:rsid w:val="00EE1AA8"/>
    <w:rsid w:val="00F23FEA"/>
    <w:rsid w:val="00F242CC"/>
    <w:rsid w:val="00F31EDC"/>
    <w:rsid w:val="00F462B3"/>
    <w:rsid w:val="00F5664F"/>
    <w:rsid w:val="00F60452"/>
    <w:rsid w:val="00F666C4"/>
    <w:rsid w:val="00F76AFC"/>
    <w:rsid w:val="00F77B17"/>
    <w:rsid w:val="00FA2A48"/>
    <w:rsid w:val="00FA47C0"/>
    <w:rsid w:val="00FB5DD1"/>
    <w:rsid w:val="00FC2B5D"/>
    <w:rsid w:val="00FF1449"/>
    <w:rsid w:val="00FF7963"/>
    <w:rsid w:val="071B8F93"/>
    <w:rsid w:val="07C73DD1"/>
    <w:rsid w:val="09908A09"/>
    <w:rsid w:val="0E0AF0F4"/>
    <w:rsid w:val="0EFE6349"/>
    <w:rsid w:val="0FF4CCA8"/>
    <w:rsid w:val="13CFC91B"/>
    <w:rsid w:val="19A2EC2C"/>
    <w:rsid w:val="21779BE6"/>
    <w:rsid w:val="2859CA1B"/>
    <w:rsid w:val="2C4D2425"/>
    <w:rsid w:val="2EE1E026"/>
    <w:rsid w:val="2F44F38F"/>
    <w:rsid w:val="30821638"/>
    <w:rsid w:val="32A4F9CF"/>
    <w:rsid w:val="33A1FF93"/>
    <w:rsid w:val="356CEDFD"/>
    <w:rsid w:val="3C591AFD"/>
    <w:rsid w:val="42183F0A"/>
    <w:rsid w:val="545B112A"/>
    <w:rsid w:val="5BEB1497"/>
    <w:rsid w:val="69614A15"/>
    <w:rsid w:val="74BA017B"/>
    <w:rsid w:val="7677286E"/>
    <w:rsid w:val="79A64A20"/>
    <w:rsid w:val="7BB183BC"/>
    <w:rsid w:val="7D130D0E"/>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9607BD"/>
  <w15:chartTrackingRefBased/>
  <w15:docId w15:val="{AA18BD11-F4B5-4A67-BA3F-63EFCCB41A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3"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245AB"/>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4A184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4A1847"/>
  </w:style>
  <w:style w:type="paragraph" w:styleId="Piedepgina">
    <w:name w:val="footer"/>
    <w:basedOn w:val="Normal"/>
    <w:link w:val="PiedepginaCar"/>
    <w:uiPriority w:val="99"/>
    <w:unhideWhenUsed/>
    <w:rsid w:val="004A184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A1847"/>
  </w:style>
  <w:style w:type="paragraph" w:customStyle="1" w:styleId="Default">
    <w:name w:val="Default"/>
    <w:rsid w:val="006219F8"/>
    <w:pPr>
      <w:autoSpaceDE w:val="0"/>
      <w:autoSpaceDN w:val="0"/>
      <w:adjustRightInd w:val="0"/>
      <w:spacing w:after="0" w:line="240" w:lineRule="auto"/>
    </w:pPr>
    <w:rPr>
      <w:rFonts w:ascii="Arial" w:hAnsi="Arial" w:cs="Arial"/>
      <w:color w:val="000000"/>
      <w:sz w:val="24"/>
      <w:szCs w:val="24"/>
    </w:rPr>
  </w:style>
  <w:style w:type="character" w:customStyle="1" w:styleId="TextonotapieCar">
    <w:name w:val="Texto nota pie Car"/>
    <w:aliases w:val="Ref. de nota al pie1 Car,Texto de nota al pie Car,referencia nota al pie Car,Appel note de bas de page Car,Footnotes refss Car,Footnote number Car,BVI fnr Car,Footnote Text Char Char Char Char Char Car,Footnote reference Car,FA Fu Car"/>
    <w:basedOn w:val="Fuentedeprrafopredeter"/>
    <w:link w:val="Textonotapie"/>
    <w:uiPriority w:val="99"/>
    <w:qFormat/>
    <w:locked/>
    <w:rsid w:val="006219F8"/>
    <w:rPr>
      <w:sz w:val="20"/>
      <w:szCs w:val="20"/>
      <w:lang w:val="es-MX"/>
    </w:rPr>
  </w:style>
  <w:style w:type="paragraph" w:styleId="Textonotapie">
    <w:name w:val="footnote text"/>
    <w:aliases w:val="Ref. de nota al pie1,Texto de nota al pie,referencia nota al pie,Appel note de bas de page,Footnotes refss,Footnote number,BVI fnr,Footnote Text Char Char Char Char Char,Footnote Text Char Char Char Char,Footnote reference,FA Fu,ft,fn,Car"/>
    <w:basedOn w:val="Normal"/>
    <w:link w:val="TextonotapieCar"/>
    <w:uiPriority w:val="99"/>
    <w:unhideWhenUsed/>
    <w:qFormat/>
    <w:rsid w:val="006219F8"/>
    <w:pPr>
      <w:spacing w:after="0" w:line="240" w:lineRule="auto"/>
    </w:pPr>
    <w:rPr>
      <w:sz w:val="20"/>
      <w:szCs w:val="20"/>
      <w:lang w:val="es-MX"/>
    </w:rPr>
  </w:style>
  <w:style w:type="character" w:customStyle="1" w:styleId="TextonotapieCar1">
    <w:name w:val="Texto nota pie Car1"/>
    <w:basedOn w:val="Fuentedeprrafopredeter"/>
    <w:uiPriority w:val="99"/>
    <w:semiHidden/>
    <w:rsid w:val="006219F8"/>
    <w:rPr>
      <w:sz w:val="20"/>
      <w:szCs w:val="20"/>
    </w:rPr>
  </w:style>
  <w:style w:type="character" w:styleId="Refdenotaalpie">
    <w:name w:val="footnote reference"/>
    <w:aliases w:val="Ref. de nota al pie 2,Ref,de nota al pie,FC,Appel note de bas de p,f,4_G,16 Point,Superscript 6 Point,Texto nota al pie,Pie de Página,Texto de nota al pi,Nota de pie,Texto de nota al p,Footnote Reference Char3,Texto nota pie Car2,F,R"/>
    <w:basedOn w:val="Fuentedeprrafopredeter"/>
    <w:link w:val="Appelnotedebasde"/>
    <w:uiPriority w:val="99"/>
    <w:unhideWhenUsed/>
    <w:qFormat/>
    <w:rsid w:val="006219F8"/>
    <w:rPr>
      <w:vertAlign w:val="superscript"/>
    </w:rPr>
  </w:style>
  <w:style w:type="character" w:customStyle="1" w:styleId="normaltextrun">
    <w:name w:val="normaltextrun"/>
    <w:basedOn w:val="Fuentedeprrafopredeter"/>
    <w:rsid w:val="006219F8"/>
  </w:style>
  <w:style w:type="table" w:styleId="Tablaconcuadrcula">
    <w:name w:val="Table Grid"/>
    <w:basedOn w:val="Tablanormal"/>
    <w:uiPriority w:val="39"/>
    <w:qFormat/>
    <w:rsid w:val="006219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aliases w:val="Fotografía,Párrafo de lista1,Bullet List,FooterText,numbered,Paragraphe de liste1,lp1,Scitum normal,HOJA,Bolita,Párrafo de lista4,BOLADEF,Párrafo de lista3,Párrafo de lista21,BOLA,Nivel 1 OS,Colorful List Accent 1,Foot"/>
    <w:basedOn w:val="Normal"/>
    <w:link w:val="PrrafodelistaCar"/>
    <w:uiPriority w:val="34"/>
    <w:qFormat/>
    <w:rsid w:val="005566E8"/>
    <w:pPr>
      <w:ind w:left="720"/>
      <w:contextualSpacing/>
    </w:pPr>
    <w:rPr>
      <w:rFonts w:ascii="Geomanist Light" w:hAnsi="Geomanist Light"/>
      <w:lang w:val="es-ES"/>
    </w:rPr>
  </w:style>
  <w:style w:type="paragraph" w:styleId="Ttulo">
    <w:name w:val="Title"/>
    <w:basedOn w:val="Normal"/>
    <w:next w:val="Normal"/>
    <w:link w:val="TtuloCar"/>
    <w:uiPriority w:val="10"/>
    <w:qFormat/>
    <w:rsid w:val="005566E8"/>
    <w:pPr>
      <w:spacing w:after="0" w:line="240" w:lineRule="auto"/>
      <w:contextualSpacing/>
    </w:pPr>
    <w:rPr>
      <w:rFonts w:ascii="Geomanist" w:eastAsiaTheme="majorEastAsia" w:hAnsi="Geomanist" w:cstheme="majorBidi"/>
      <w:spacing w:val="-10"/>
      <w:kern w:val="28"/>
      <w:szCs w:val="56"/>
      <w:lang w:val="es-ES"/>
    </w:rPr>
  </w:style>
  <w:style w:type="character" w:customStyle="1" w:styleId="TtuloCar">
    <w:name w:val="Título Car"/>
    <w:basedOn w:val="Fuentedeprrafopredeter"/>
    <w:link w:val="Ttulo"/>
    <w:uiPriority w:val="10"/>
    <w:rsid w:val="005566E8"/>
    <w:rPr>
      <w:rFonts w:ascii="Geomanist" w:eastAsiaTheme="majorEastAsia" w:hAnsi="Geomanist" w:cstheme="majorBidi"/>
      <w:spacing w:val="-10"/>
      <w:kern w:val="28"/>
      <w:szCs w:val="56"/>
      <w:lang w:val="es-ES"/>
    </w:rPr>
  </w:style>
  <w:style w:type="character" w:customStyle="1" w:styleId="ui-provider">
    <w:name w:val="ui-provider"/>
    <w:basedOn w:val="Fuentedeprrafopredeter"/>
    <w:rsid w:val="00DA231B"/>
  </w:style>
  <w:style w:type="character" w:styleId="Hipervnculo">
    <w:name w:val="Hyperlink"/>
    <w:basedOn w:val="Fuentedeprrafopredeter"/>
    <w:uiPriority w:val="99"/>
    <w:unhideWhenUsed/>
    <w:rsid w:val="00125105"/>
    <w:rPr>
      <w:color w:val="0000FF"/>
      <w:u w:val="single"/>
    </w:rPr>
  </w:style>
  <w:style w:type="character" w:styleId="Hipervnculovisitado">
    <w:name w:val="FollowedHyperlink"/>
    <w:basedOn w:val="Fuentedeprrafopredeter"/>
    <w:uiPriority w:val="99"/>
    <w:semiHidden/>
    <w:unhideWhenUsed/>
    <w:rsid w:val="00125105"/>
    <w:rPr>
      <w:color w:val="954F72" w:themeColor="followedHyperlink"/>
      <w:u w:val="single"/>
    </w:rPr>
  </w:style>
  <w:style w:type="paragraph" w:customStyle="1" w:styleId="paragraph">
    <w:name w:val="paragraph"/>
    <w:basedOn w:val="Normal"/>
    <w:rsid w:val="00322A85"/>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customStyle="1" w:styleId="tabchar">
    <w:name w:val="tabchar"/>
    <w:basedOn w:val="Fuentedeprrafopredeter"/>
    <w:rsid w:val="00322A85"/>
  </w:style>
  <w:style w:type="character" w:customStyle="1" w:styleId="eop">
    <w:name w:val="eop"/>
    <w:basedOn w:val="Fuentedeprrafopredeter"/>
    <w:rsid w:val="00322A85"/>
  </w:style>
  <w:style w:type="character" w:styleId="Mencinsinresolver">
    <w:name w:val="Unresolved Mention"/>
    <w:basedOn w:val="Fuentedeprrafopredeter"/>
    <w:uiPriority w:val="99"/>
    <w:semiHidden/>
    <w:unhideWhenUsed/>
    <w:rsid w:val="001F7DC6"/>
    <w:rPr>
      <w:color w:val="605E5C"/>
      <w:shd w:val="clear" w:color="auto" w:fill="E1DFDD"/>
    </w:rPr>
  </w:style>
  <w:style w:type="paragraph" w:styleId="NormalWeb">
    <w:name w:val="Normal (Web)"/>
    <w:basedOn w:val="Normal"/>
    <w:uiPriority w:val="99"/>
    <w:semiHidden/>
    <w:unhideWhenUsed/>
    <w:rsid w:val="00DF5254"/>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customStyle="1" w:styleId="blanco">
    <w:name w:val="blanco"/>
    <w:basedOn w:val="Normal"/>
    <w:rsid w:val="00C76B1C"/>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styleId="Revisin">
    <w:name w:val="Revision"/>
    <w:hidden/>
    <w:uiPriority w:val="99"/>
    <w:semiHidden/>
    <w:rsid w:val="009F3A13"/>
    <w:pPr>
      <w:spacing w:after="0" w:line="240" w:lineRule="auto"/>
    </w:pPr>
  </w:style>
  <w:style w:type="character" w:customStyle="1" w:styleId="PrrafodelistaCar">
    <w:name w:val="Párrafo de lista Car"/>
    <w:aliases w:val="Fotografía Car,Párrafo de lista1 Car,Bullet List Car,FooterText Car,numbered Car,Paragraphe de liste1 Car,lp1 Car,Scitum normal Car,HOJA Car,Bolita Car,Párrafo de lista4 Car,BOLADEF Car,Párrafo de lista3 Car,Párrafo de lista21 Car"/>
    <w:link w:val="Prrafodelista"/>
    <w:uiPriority w:val="34"/>
    <w:qFormat/>
    <w:locked/>
    <w:rsid w:val="005D13EE"/>
    <w:rPr>
      <w:rFonts w:ascii="Geomanist Light" w:hAnsi="Geomanist Light"/>
      <w:lang w:val="es-ES"/>
    </w:rPr>
  </w:style>
  <w:style w:type="paragraph" w:styleId="Textoindependiente">
    <w:name w:val="Body Text"/>
    <w:basedOn w:val="Normal"/>
    <w:link w:val="TextoindependienteCar"/>
    <w:uiPriority w:val="99"/>
    <w:unhideWhenUsed/>
    <w:rsid w:val="00C642E0"/>
    <w:pPr>
      <w:spacing w:after="120" w:line="276" w:lineRule="auto"/>
    </w:pPr>
    <w:rPr>
      <w:rFonts w:eastAsiaTheme="minorEastAsia"/>
      <w:lang w:eastAsia="es-CO"/>
    </w:rPr>
  </w:style>
  <w:style w:type="character" w:customStyle="1" w:styleId="TextoindependienteCar">
    <w:name w:val="Texto independiente Car"/>
    <w:basedOn w:val="Fuentedeprrafopredeter"/>
    <w:link w:val="Textoindependiente"/>
    <w:uiPriority w:val="99"/>
    <w:rsid w:val="00C642E0"/>
    <w:rPr>
      <w:rFonts w:eastAsiaTheme="minorEastAsia"/>
      <w:lang w:eastAsia="es-CO"/>
    </w:rPr>
  </w:style>
  <w:style w:type="paragraph" w:customStyle="1" w:styleId="Appelnotedebasde">
    <w:name w:val="Appel note de bas de..."/>
    <w:basedOn w:val="Normal"/>
    <w:link w:val="Refdenotaalpie"/>
    <w:uiPriority w:val="99"/>
    <w:rsid w:val="002224F5"/>
    <w:pPr>
      <w:spacing w:line="240" w:lineRule="exact"/>
    </w:pPr>
    <w:rPr>
      <w:vertAlign w:val="superscript"/>
    </w:rPr>
  </w:style>
  <w:style w:type="paragraph" w:styleId="Sinespaciado">
    <w:name w:val="No Spacing"/>
    <w:aliases w:val="No Indent"/>
    <w:uiPriority w:val="3"/>
    <w:qFormat/>
    <w:rsid w:val="002224F5"/>
    <w:pPr>
      <w:spacing w:after="0" w:line="240" w:lineRule="auto"/>
    </w:pPr>
    <w:rPr>
      <w:sz w:val="24"/>
      <w:lang w:val="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1767828">
      <w:bodyDiv w:val="1"/>
      <w:marLeft w:val="0"/>
      <w:marRight w:val="0"/>
      <w:marTop w:val="0"/>
      <w:marBottom w:val="0"/>
      <w:divBdr>
        <w:top w:val="none" w:sz="0" w:space="0" w:color="auto"/>
        <w:left w:val="none" w:sz="0" w:space="0" w:color="auto"/>
        <w:bottom w:val="none" w:sz="0" w:space="0" w:color="auto"/>
        <w:right w:val="none" w:sz="0" w:space="0" w:color="auto"/>
      </w:divBdr>
    </w:div>
    <w:div w:id="755788902">
      <w:bodyDiv w:val="1"/>
      <w:marLeft w:val="0"/>
      <w:marRight w:val="0"/>
      <w:marTop w:val="0"/>
      <w:marBottom w:val="0"/>
      <w:divBdr>
        <w:top w:val="none" w:sz="0" w:space="0" w:color="auto"/>
        <w:left w:val="none" w:sz="0" w:space="0" w:color="auto"/>
        <w:bottom w:val="none" w:sz="0" w:space="0" w:color="auto"/>
        <w:right w:val="none" w:sz="0" w:space="0" w:color="auto"/>
      </w:divBdr>
    </w:div>
    <w:div w:id="1132796275">
      <w:bodyDiv w:val="1"/>
      <w:marLeft w:val="0"/>
      <w:marRight w:val="0"/>
      <w:marTop w:val="0"/>
      <w:marBottom w:val="0"/>
      <w:divBdr>
        <w:top w:val="none" w:sz="0" w:space="0" w:color="auto"/>
        <w:left w:val="none" w:sz="0" w:space="0" w:color="auto"/>
        <w:bottom w:val="none" w:sz="0" w:space="0" w:color="auto"/>
        <w:right w:val="none" w:sz="0" w:space="0" w:color="auto"/>
      </w:divBdr>
    </w:div>
    <w:div w:id="1270429918">
      <w:bodyDiv w:val="1"/>
      <w:marLeft w:val="0"/>
      <w:marRight w:val="0"/>
      <w:marTop w:val="0"/>
      <w:marBottom w:val="0"/>
      <w:divBdr>
        <w:top w:val="none" w:sz="0" w:space="0" w:color="auto"/>
        <w:left w:val="none" w:sz="0" w:space="0" w:color="auto"/>
        <w:bottom w:val="none" w:sz="0" w:space="0" w:color="auto"/>
        <w:right w:val="none" w:sz="0" w:space="0" w:color="auto"/>
      </w:divBdr>
    </w:div>
    <w:div w:id="1291863859">
      <w:bodyDiv w:val="1"/>
      <w:marLeft w:val="0"/>
      <w:marRight w:val="0"/>
      <w:marTop w:val="0"/>
      <w:marBottom w:val="0"/>
      <w:divBdr>
        <w:top w:val="none" w:sz="0" w:space="0" w:color="auto"/>
        <w:left w:val="none" w:sz="0" w:space="0" w:color="auto"/>
        <w:bottom w:val="none" w:sz="0" w:space="0" w:color="auto"/>
        <w:right w:val="none" w:sz="0" w:space="0" w:color="auto"/>
      </w:divBdr>
      <w:divsChild>
        <w:div w:id="1814251553">
          <w:marLeft w:val="0"/>
          <w:marRight w:val="0"/>
          <w:marTop w:val="0"/>
          <w:marBottom w:val="0"/>
          <w:divBdr>
            <w:top w:val="none" w:sz="0" w:space="0" w:color="auto"/>
            <w:left w:val="none" w:sz="0" w:space="0" w:color="auto"/>
            <w:bottom w:val="none" w:sz="0" w:space="0" w:color="auto"/>
            <w:right w:val="none" w:sz="0" w:space="0" w:color="auto"/>
          </w:divBdr>
        </w:div>
        <w:div w:id="1098216012">
          <w:marLeft w:val="0"/>
          <w:marRight w:val="0"/>
          <w:marTop w:val="0"/>
          <w:marBottom w:val="0"/>
          <w:divBdr>
            <w:top w:val="none" w:sz="0" w:space="0" w:color="auto"/>
            <w:left w:val="none" w:sz="0" w:space="0" w:color="auto"/>
            <w:bottom w:val="none" w:sz="0" w:space="0" w:color="auto"/>
            <w:right w:val="none" w:sz="0" w:space="0" w:color="auto"/>
          </w:divBdr>
        </w:div>
        <w:div w:id="2036272205">
          <w:marLeft w:val="0"/>
          <w:marRight w:val="0"/>
          <w:marTop w:val="0"/>
          <w:marBottom w:val="0"/>
          <w:divBdr>
            <w:top w:val="none" w:sz="0" w:space="0" w:color="auto"/>
            <w:left w:val="none" w:sz="0" w:space="0" w:color="auto"/>
            <w:bottom w:val="none" w:sz="0" w:space="0" w:color="auto"/>
            <w:right w:val="none" w:sz="0" w:space="0" w:color="auto"/>
          </w:divBdr>
        </w:div>
        <w:div w:id="1963534490">
          <w:marLeft w:val="0"/>
          <w:marRight w:val="0"/>
          <w:marTop w:val="0"/>
          <w:marBottom w:val="0"/>
          <w:divBdr>
            <w:top w:val="none" w:sz="0" w:space="0" w:color="auto"/>
            <w:left w:val="none" w:sz="0" w:space="0" w:color="auto"/>
            <w:bottom w:val="none" w:sz="0" w:space="0" w:color="auto"/>
            <w:right w:val="none" w:sz="0" w:space="0" w:color="auto"/>
          </w:divBdr>
        </w:div>
        <w:div w:id="1009718320">
          <w:marLeft w:val="0"/>
          <w:marRight w:val="0"/>
          <w:marTop w:val="0"/>
          <w:marBottom w:val="0"/>
          <w:divBdr>
            <w:top w:val="none" w:sz="0" w:space="0" w:color="auto"/>
            <w:left w:val="none" w:sz="0" w:space="0" w:color="auto"/>
            <w:bottom w:val="none" w:sz="0" w:space="0" w:color="auto"/>
            <w:right w:val="none" w:sz="0" w:space="0" w:color="auto"/>
          </w:divBdr>
        </w:div>
        <w:div w:id="2075656958">
          <w:marLeft w:val="0"/>
          <w:marRight w:val="0"/>
          <w:marTop w:val="0"/>
          <w:marBottom w:val="0"/>
          <w:divBdr>
            <w:top w:val="none" w:sz="0" w:space="0" w:color="auto"/>
            <w:left w:val="none" w:sz="0" w:space="0" w:color="auto"/>
            <w:bottom w:val="none" w:sz="0" w:space="0" w:color="auto"/>
            <w:right w:val="none" w:sz="0" w:space="0" w:color="auto"/>
          </w:divBdr>
        </w:div>
        <w:div w:id="1227495006">
          <w:marLeft w:val="0"/>
          <w:marRight w:val="0"/>
          <w:marTop w:val="0"/>
          <w:marBottom w:val="0"/>
          <w:divBdr>
            <w:top w:val="none" w:sz="0" w:space="0" w:color="auto"/>
            <w:left w:val="none" w:sz="0" w:space="0" w:color="auto"/>
            <w:bottom w:val="none" w:sz="0" w:space="0" w:color="auto"/>
            <w:right w:val="none" w:sz="0" w:space="0" w:color="auto"/>
          </w:divBdr>
        </w:div>
        <w:div w:id="390231839">
          <w:marLeft w:val="0"/>
          <w:marRight w:val="0"/>
          <w:marTop w:val="0"/>
          <w:marBottom w:val="0"/>
          <w:divBdr>
            <w:top w:val="none" w:sz="0" w:space="0" w:color="auto"/>
            <w:left w:val="none" w:sz="0" w:space="0" w:color="auto"/>
            <w:bottom w:val="none" w:sz="0" w:space="0" w:color="auto"/>
            <w:right w:val="none" w:sz="0" w:space="0" w:color="auto"/>
          </w:divBdr>
        </w:div>
        <w:div w:id="117142684">
          <w:marLeft w:val="0"/>
          <w:marRight w:val="0"/>
          <w:marTop w:val="0"/>
          <w:marBottom w:val="0"/>
          <w:divBdr>
            <w:top w:val="none" w:sz="0" w:space="0" w:color="auto"/>
            <w:left w:val="none" w:sz="0" w:space="0" w:color="auto"/>
            <w:bottom w:val="none" w:sz="0" w:space="0" w:color="auto"/>
            <w:right w:val="none" w:sz="0" w:space="0" w:color="auto"/>
          </w:divBdr>
        </w:div>
        <w:div w:id="882060613">
          <w:marLeft w:val="0"/>
          <w:marRight w:val="0"/>
          <w:marTop w:val="0"/>
          <w:marBottom w:val="0"/>
          <w:divBdr>
            <w:top w:val="none" w:sz="0" w:space="0" w:color="auto"/>
            <w:left w:val="none" w:sz="0" w:space="0" w:color="auto"/>
            <w:bottom w:val="none" w:sz="0" w:space="0" w:color="auto"/>
            <w:right w:val="none" w:sz="0" w:space="0" w:color="auto"/>
          </w:divBdr>
        </w:div>
        <w:div w:id="1343312156">
          <w:marLeft w:val="0"/>
          <w:marRight w:val="0"/>
          <w:marTop w:val="0"/>
          <w:marBottom w:val="0"/>
          <w:divBdr>
            <w:top w:val="none" w:sz="0" w:space="0" w:color="auto"/>
            <w:left w:val="none" w:sz="0" w:space="0" w:color="auto"/>
            <w:bottom w:val="none" w:sz="0" w:space="0" w:color="auto"/>
            <w:right w:val="none" w:sz="0" w:space="0" w:color="auto"/>
          </w:divBdr>
        </w:div>
        <w:div w:id="807745514">
          <w:marLeft w:val="0"/>
          <w:marRight w:val="0"/>
          <w:marTop w:val="0"/>
          <w:marBottom w:val="0"/>
          <w:divBdr>
            <w:top w:val="none" w:sz="0" w:space="0" w:color="auto"/>
            <w:left w:val="none" w:sz="0" w:space="0" w:color="auto"/>
            <w:bottom w:val="none" w:sz="0" w:space="0" w:color="auto"/>
            <w:right w:val="none" w:sz="0" w:space="0" w:color="auto"/>
          </w:divBdr>
        </w:div>
        <w:div w:id="688798703">
          <w:marLeft w:val="0"/>
          <w:marRight w:val="0"/>
          <w:marTop w:val="0"/>
          <w:marBottom w:val="0"/>
          <w:divBdr>
            <w:top w:val="none" w:sz="0" w:space="0" w:color="auto"/>
            <w:left w:val="none" w:sz="0" w:space="0" w:color="auto"/>
            <w:bottom w:val="none" w:sz="0" w:space="0" w:color="auto"/>
            <w:right w:val="none" w:sz="0" w:space="0" w:color="auto"/>
          </w:divBdr>
        </w:div>
        <w:div w:id="1324310022">
          <w:marLeft w:val="0"/>
          <w:marRight w:val="0"/>
          <w:marTop w:val="0"/>
          <w:marBottom w:val="0"/>
          <w:divBdr>
            <w:top w:val="none" w:sz="0" w:space="0" w:color="auto"/>
            <w:left w:val="none" w:sz="0" w:space="0" w:color="auto"/>
            <w:bottom w:val="none" w:sz="0" w:space="0" w:color="auto"/>
            <w:right w:val="none" w:sz="0" w:space="0" w:color="auto"/>
          </w:divBdr>
        </w:div>
        <w:div w:id="715542045">
          <w:marLeft w:val="0"/>
          <w:marRight w:val="0"/>
          <w:marTop w:val="0"/>
          <w:marBottom w:val="0"/>
          <w:divBdr>
            <w:top w:val="none" w:sz="0" w:space="0" w:color="auto"/>
            <w:left w:val="none" w:sz="0" w:space="0" w:color="auto"/>
            <w:bottom w:val="none" w:sz="0" w:space="0" w:color="auto"/>
            <w:right w:val="none" w:sz="0" w:space="0" w:color="auto"/>
          </w:divBdr>
        </w:div>
        <w:div w:id="1065952338">
          <w:marLeft w:val="0"/>
          <w:marRight w:val="0"/>
          <w:marTop w:val="0"/>
          <w:marBottom w:val="0"/>
          <w:divBdr>
            <w:top w:val="none" w:sz="0" w:space="0" w:color="auto"/>
            <w:left w:val="none" w:sz="0" w:space="0" w:color="auto"/>
            <w:bottom w:val="none" w:sz="0" w:space="0" w:color="auto"/>
            <w:right w:val="none" w:sz="0" w:space="0" w:color="auto"/>
          </w:divBdr>
        </w:div>
        <w:div w:id="2092659859">
          <w:marLeft w:val="0"/>
          <w:marRight w:val="0"/>
          <w:marTop w:val="0"/>
          <w:marBottom w:val="0"/>
          <w:divBdr>
            <w:top w:val="none" w:sz="0" w:space="0" w:color="auto"/>
            <w:left w:val="none" w:sz="0" w:space="0" w:color="auto"/>
            <w:bottom w:val="none" w:sz="0" w:space="0" w:color="auto"/>
            <w:right w:val="none" w:sz="0" w:space="0" w:color="auto"/>
          </w:divBdr>
        </w:div>
        <w:div w:id="1134103737">
          <w:marLeft w:val="0"/>
          <w:marRight w:val="0"/>
          <w:marTop w:val="0"/>
          <w:marBottom w:val="0"/>
          <w:divBdr>
            <w:top w:val="none" w:sz="0" w:space="0" w:color="auto"/>
            <w:left w:val="none" w:sz="0" w:space="0" w:color="auto"/>
            <w:bottom w:val="none" w:sz="0" w:space="0" w:color="auto"/>
            <w:right w:val="none" w:sz="0" w:space="0" w:color="auto"/>
          </w:divBdr>
        </w:div>
        <w:div w:id="511727059">
          <w:marLeft w:val="0"/>
          <w:marRight w:val="0"/>
          <w:marTop w:val="0"/>
          <w:marBottom w:val="0"/>
          <w:divBdr>
            <w:top w:val="none" w:sz="0" w:space="0" w:color="auto"/>
            <w:left w:val="none" w:sz="0" w:space="0" w:color="auto"/>
            <w:bottom w:val="none" w:sz="0" w:space="0" w:color="auto"/>
            <w:right w:val="none" w:sz="0" w:space="0" w:color="auto"/>
          </w:divBdr>
        </w:div>
        <w:div w:id="860240521">
          <w:marLeft w:val="0"/>
          <w:marRight w:val="0"/>
          <w:marTop w:val="0"/>
          <w:marBottom w:val="0"/>
          <w:divBdr>
            <w:top w:val="none" w:sz="0" w:space="0" w:color="auto"/>
            <w:left w:val="none" w:sz="0" w:space="0" w:color="auto"/>
            <w:bottom w:val="none" w:sz="0" w:space="0" w:color="auto"/>
            <w:right w:val="none" w:sz="0" w:space="0" w:color="auto"/>
          </w:divBdr>
        </w:div>
        <w:div w:id="892691556">
          <w:marLeft w:val="0"/>
          <w:marRight w:val="0"/>
          <w:marTop w:val="0"/>
          <w:marBottom w:val="0"/>
          <w:divBdr>
            <w:top w:val="none" w:sz="0" w:space="0" w:color="auto"/>
            <w:left w:val="none" w:sz="0" w:space="0" w:color="auto"/>
            <w:bottom w:val="none" w:sz="0" w:space="0" w:color="auto"/>
            <w:right w:val="none" w:sz="0" w:space="0" w:color="auto"/>
          </w:divBdr>
        </w:div>
        <w:div w:id="24454764">
          <w:marLeft w:val="0"/>
          <w:marRight w:val="0"/>
          <w:marTop w:val="0"/>
          <w:marBottom w:val="0"/>
          <w:divBdr>
            <w:top w:val="none" w:sz="0" w:space="0" w:color="auto"/>
            <w:left w:val="none" w:sz="0" w:space="0" w:color="auto"/>
            <w:bottom w:val="none" w:sz="0" w:space="0" w:color="auto"/>
            <w:right w:val="none" w:sz="0" w:space="0" w:color="auto"/>
          </w:divBdr>
        </w:div>
        <w:div w:id="541678020">
          <w:marLeft w:val="0"/>
          <w:marRight w:val="0"/>
          <w:marTop w:val="0"/>
          <w:marBottom w:val="0"/>
          <w:divBdr>
            <w:top w:val="none" w:sz="0" w:space="0" w:color="auto"/>
            <w:left w:val="none" w:sz="0" w:space="0" w:color="auto"/>
            <w:bottom w:val="none" w:sz="0" w:space="0" w:color="auto"/>
            <w:right w:val="none" w:sz="0" w:space="0" w:color="auto"/>
          </w:divBdr>
        </w:div>
        <w:div w:id="1404261026">
          <w:marLeft w:val="0"/>
          <w:marRight w:val="0"/>
          <w:marTop w:val="0"/>
          <w:marBottom w:val="0"/>
          <w:divBdr>
            <w:top w:val="none" w:sz="0" w:space="0" w:color="auto"/>
            <w:left w:val="none" w:sz="0" w:space="0" w:color="auto"/>
            <w:bottom w:val="none" w:sz="0" w:space="0" w:color="auto"/>
            <w:right w:val="none" w:sz="0" w:space="0" w:color="auto"/>
          </w:divBdr>
        </w:div>
        <w:div w:id="638808706">
          <w:marLeft w:val="0"/>
          <w:marRight w:val="0"/>
          <w:marTop w:val="0"/>
          <w:marBottom w:val="0"/>
          <w:divBdr>
            <w:top w:val="none" w:sz="0" w:space="0" w:color="auto"/>
            <w:left w:val="none" w:sz="0" w:space="0" w:color="auto"/>
            <w:bottom w:val="none" w:sz="0" w:space="0" w:color="auto"/>
            <w:right w:val="none" w:sz="0" w:space="0" w:color="auto"/>
          </w:divBdr>
        </w:div>
        <w:div w:id="238516275">
          <w:marLeft w:val="0"/>
          <w:marRight w:val="0"/>
          <w:marTop w:val="0"/>
          <w:marBottom w:val="0"/>
          <w:divBdr>
            <w:top w:val="none" w:sz="0" w:space="0" w:color="auto"/>
            <w:left w:val="none" w:sz="0" w:space="0" w:color="auto"/>
            <w:bottom w:val="none" w:sz="0" w:space="0" w:color="auto"/>
            <w:right w:val="none" w:sz="0" w:space="0" w:color="auto"/>
          </w:divBdr>
        </w:div>
        <w:div w:id="1694109704">
          <w:marLeft w:val="0"/>
          <w:marRight w:val="0"/>
          <w:marTop w:val="0"/>
          <w:marBottom w:val="0"/>
          <w:divBdr>
            <w:top w:val="none" w:sz="0" w:space="0" w:color="auto"/>
            <w:left w:val="none" w:sz="0" w:space="0" w:color="auto"/>
            <w:bottom w:val="none" w:sz="0" w:space="0" w:color="auto"/>
            <w:right w:val="none" w:sz="0" w:space="0" w:color="auto"/>
          </w:divBdr>
        </w:div>
        <w:div w:id="2120836280">
          <w:marLeft w:val="0"/>
          <w:marRight w:val="0"/>
          <w:marTop w:val="0"/>
          <w:marBottom w:val="0"/>
          <w:divBdr>
            <w:top w:val="none" w:sz="0" w:space="0" w:color="auto"/>
            <w:left w:val="none" w:sz="0" w:space="0" w:color="auto"/>
            <w:bottom w:val="none" w:sz="0" w:space="0" w:color="auto"/>
            <w:right w:val="none" w:sz="0" w:space="0" w:color="auto"/>
          </w:divBdr>
        </w:div>
        <w:div w:id="455296425">
          <w:marLeft w:val="0"/>
          <w:marRight w:val="0"/>
          <w:marTop w:val="0"/>
          <w:marBottom w:val="0"/>
          <w:divBdr>
            <w:top w:val="none" w:sz="0" w:space="0" w:color="auto"/>
            <w:left w:val="none" w:sz="0" w:space="0" w:color="auto"/>
            <w:bottom w:val="none" w:sz="0" w:space="0" w:color="auto"/>
            <w:right w:val="none" w:sz="0" w:space="0" w:color="auto"/>
          </w:divBdr>
        </w:div>
        <w:div w:id="1932930429">
          <w:marLeft w:val="0"/>
          <w:marRight w:val="0"/>
          <w:marTop w:val="0"/>
          <w:marBottom w:val="0"/>
          <w:divBdr>
            <w:top w:val="none" w:sz="0" w:space="0" w:color="auto"/>
            <w:left w:val="none" w:sz="0" w:space="0" w:color="auto"/>
            <w:bottom w:val="none" w:sz="0" w:space="0" w:color="auto"/>
            <w:right w:val="none" w:sz="0" w:space="0" w:color="auto"/>
          </w:divBdr>
        </w:div>
        <w:div w:id="538082317">
          <w:marLeft w:val="0"/>
          <w:marRight w:val="0"/>
          <w:marTop w:val="0"/>
          <w:marBottom w:val="0"/>
          <w:divBdr>
            <w:top w:val="none" w:sz="0" w:space="0" w:color="auto"/>
            <w:left w:val="none" w:sz="0" w:space="0" w:color="auto"/>
            <w:bottom w:val="none" w:sz="0" w:space="0" w:color="auto"/>
            <w:right w:val="none" w:sz="0" w:space="0" w:color="auto"/>
          </w:divBdr>
        </w:div>
        <w:div w:id="679356651">
          <w:marLeft w:val="0"/>
          <w:marRight w:val="0"/>
          <w:marTop w:val="0"/>
          <w:marBottom w:val="0"/>
          <w:divBdr>
            <w:top w:val="none" w:sz="0" w:space="0" w:color="auto"/>
            <w:left w:val="none" w:sz="0" w:space="0" w:color="auto"/>
            <w:bottom w:val="none" w:sz="0" w:space="0" w:color="auto"/>
            <w:right w:val="none" w:sz="0" w:space="0" w:color="auto"/>
          </w:divBdr>
        </w:div>
        <w:div w:id="1638532409">
          <w:marLeft w:val="0"/>
          <w:marRight w:val="0"/>
          <w:marTop w:val="0"/>
          <w:marBottom w:val="0"/>
          <w:divBdr>
            <w:top w:val="none" w:sz="0" w:space="0" w:color="auto"/>
            <w:left w:val="none" w:sz="0" w:space="0" w:color="auto"/>
            <w:bottom w:val="none" w:sz="0" w:space="0" w:color="auto"/>
            <w:right w:val="none" w:sz="0" w:space="0" w:color="auto"/>
          </w:divBdr>
        </w:div>
        <w:div w:id="1464275602">
          <w:marLeft w:val="0"/>
          <w:marRight w:val="0"/>
          <w:marTop w:val="0"/>
          <w:marBottom w:val="0"/>
          <w:divBdr>
            <w:top w:val="none" w:sz="0" w:space="0" w:color="auto"/>
            <w:left w:val="none" w:sz="0" w:space="0" w:color="auto"/>
            <w:bottom w:val="none" w:sz="0" w:space="0" w:color="auto"/>
            <w:right w:val="none" w:sz="0" w:space="0" w:color="auto"/>
          </w:divBdr>
        </w:div>
        <w:div w:id="1916237550">
          <w:marLeft w:val="0"/>
          <w:marRight w:val="0"/>
          <w:marTop w:val="0"/>
          <w:marBottom w:val="0"/>
          <w:divBdr>
            <w:top w:val="none" w:sz="0" w:space="0" w:color="auto"/>
            <w:left w:val="none" w:sz="0" w:space="0" w:color="auto"/>
            <w:bottom w:val="none" w:sz="0" w:space="0" w:color="auto"/>
            <w:right w:val="none" w:sz="0" w:space="0" w:color="auto"/>
          </w:divBdr>
        </w:div>
        <w:div w:id="2095541977">
          <w:marLeft w:val="0"/>
          <w:marRight w:val="0"/>
          <w:marTop w:val="0"/>
          <w:marBottom w:val="0"/>
          <w:divBdr>
            <w:top w:val="none" w:sz="0" w:space="0" w:color="auto"/>
            <w:left w:val="none" w:sz="0" w:space="0" w:color="auto"/>
            <w:bottom w:val="none" w:sz="0" w:space="0" w:color="auto"/>
            <w:right w:val="none" w:sz="0" w:space="0" w:color="auto"/>
          </w:divBdr>
          <w:divsChild>
            <w:div w:id="1488938398">
              <w:marLeft w:val="-75"/>
              <w:marRight w:val="0"/>
              <w:marTop w:val="30"/>
              <w:marBottom w:val="30"/>
              <w:divBdr>
                <w:top w:val="none" w:sz="0" w:space="0" w:color="auto"/>
                <w:left w:val="none" w:sz="0" w:space="0" w:color="auto"/>
                <w:bottom w:val="none" w:sz="0" w:space="0" w:color="auto"/>
                <w:right w:val="none" w:sz="0" w:space="0" w:color="auto"/>
              </w:divBdr>
              <w:divsChild>
                <w:div w:id="283007184">
                  <w:marLeft w:val="0"/>
                  <w:marRight w:val="0"/>
                  <w:marTop w:val="0"/>
                  <w:marBottom w:val="0"/>
                  <w:divBdr>
                    <w:top w:val="none" w:sz="0" w:space="0" w:color="auto"/>
                    <w:left w:val="none" w:sz="0" w:space="0" w:color="auto"/>
                    <w:bottom w:val="none" w:sz="0" w:space="0" w:color="auto"/>
                    <w:right w:val="none" w:sz="0" w:space="0" w:color="auto"/>
                  </w:divBdr>
                  <w:divsChild>
                    <w:div w:id="928538327">
                      <w:marLeft w:val="0"/>
                      <w:marRight w:val="0"/>
                      <w:marTop w:val="0"/>
                      <w:marBottom w:val="0"/>
                      <w:divBdr>
                        <w:top w:val="none" w:sz="0" w:space="0" w:color="auto"/>
                        <w:left w:val="none" w:sz="0" w:space="0" w:color="auto"/>
                        <w:bottom w:val="none" w:sz="0" w:space="0" w:color="auto"/>
                        <w:right w:val="none" w:sz="0" w:space="0" w:color="auto"/>
                      </w:divBdr>
                    </w:div>
                  </w:divsChild>
                </w:div>
                <w:div w:id="1080567943">
                  <w:marLeft w:val="0"/>
                  <w:marRight w:val="0"/>
                  <w:marTop w:val="0"/>
                  <w:marBottom w:val="0"/>
                  <w:divBdr>
                    <w:top w:val="none" w:sz="0" w:space="0" w:color="auto"/>
                    <w:left w:val="none" w:sz="0" w:space="0" w:color="auto"/>
                    <w:bottom w:val="none" w:sz="0" w:space="0" w:color="auto"/>
                    <w:right w:val="none" w:sz="0" w:space="0" w:color="auto"/>
                  </w:divBdr>
                  <w:divsChild>
                    <w:div w:id="1112624978">
                      <w:marLeft w:val="0"/>
                      <w:marRight w:val="0"/>
                      <w:marTop w:val="0"/>
                      <w:marBottom w:val="0"/>
                      <w:divBdr>
                        <w:top w:val="none" w:sz="0" w:space="0" w:color="auto"/>
                        <w:left w:val="none" w:sz="0" w:space="0" w:color="auto"/>
                        <w:bottom w:val="none" w:sz="0" w:space="0" w:color="auto"/>
                        <w:right w:val="none" w:sz="0" w:space="0" w:color="auto"/>
                      </w:divBdr>
                    </w:div>
                    <w:div w:id="539319864">
                      <w:marLeft w:val="0"/>
                      <w:marRight w:val="0"/>
                      <w:marTop w:val="0"/>
                      <w:marBottom w:val="0"/>
                      <w:divBdr>
                        <w:top w:val="none" w:sz="0" w:space="0" w:color="auto"/>
                        <w:left w:val="none" w:sz="0" w:space="0" w:color="auto"/>
                        <w:bottom w:val="none" w:sz="0" w:space="0" w:color="auto"/>
                        <w:right w:val="none" w:sz="0" w:space="0" w:color="auto"/>
                      </w:divBdr>
                    </w:div>
                  </w:divsChild>
                </w:div>
                <w:div w:id="344208591">
                  <w:marLeft w:val="0"/>
                  <w:marRight w:val="0"/>
                  <w:marTop w:val="0"/>
                  <w:marBottom w:val="0"/>
                  <w:divBdr>
                    <w:top w:val="none" w:sz="0" w:space="0" w:color="auto"/>
                    <w:left w:val="none" w:sz="0" w:space="0" w:color="auto"/>
                    <w:bottom w:val="none" w:sz="0" w:space="0" w:color="auto"/>
                    <w:right w:val="none" w:sz="0" w:space="0" w:color="auto"/>
                  </w:divBdr>
                  <w:divsChild>
                    <w:div w:id="1723020549">
                      <w:marLeft w:val="0"/>
                      <w:marRight w:val="0"/>
                      <w:marTop w:val="0"/>
                      <w:marBottom w:val="0"/>
                      <w:divBdr>
                        <w:top w:val="none" w:sz="0" w:space="0" w:color="auto"/>
                        <w:left w:val="none" w:sz="0" w:space="0" w:color="auto"/>
                        <w:bottom w:val="none" w:sz="0" w:space="0" w:color="auto"/>
                        <w:right w:val="none" w:sz="0" w:space="0" w:color="auto"/>
                      </w:divBdr>
                    </w:div>
                  </w:divsChild>
                </w:div>
                <w:div w:id="233929418">
                  <w:marLeft w:val="0"/>
                  <w:marRight w:val="0"/>
                  <w:marTop w:val="0"/>
                  <w:marBottom w:val="0"/>
                  <w:divBdr>
                    <w:top w:val="none" w:sz="0" w:space="0" w:color="auto"/>
                    <w:left w:val="none" w:sz="0" w:space="0" w:color="auto"/>
                    <w:bottom w:val="none" w:sz="0" w:space="0" w:color="auto"/>
                    <w:right w:val="none" w:sz="0" w:space="0" w:color="auto"/>
                  </w:divBdr>
                  <w:divsChild>
                    <w:div w:id="193542531">
                      <w:marLeft w:val="0"/>
                      <w:marRight w:val="0"/>
                      <w:marTop w:val="0"/>
                      <w:marBottom w:val="0"/>
                      <w:divBdr>
                        <w:top w:val="none" w:sz="0" w:space="0" w:color="auto"/>
                        <w:left w:val="none" w:sz="0" w:space="0" w:color="auto"/>
                        <w:bottom w:val="none" w:sz="0" w:space="0" w:color="auto"/>
                        <w:right w:val="none" w:sz="0" w:space="0" w:color="auto"/>
                      </w:divBdr>
                    </w:div>
                    <w:div w:id="2029217062">
                      <w:marLeft w:val="0"/>
                      <w:marRight w:val="0"/>
                      <w:marTop w:val="0"/>
                      <w:marBottom w:val="0"/>
                      <w:divBdr>
                        <w:top w:val="none" w:sz="0" w:space="0" w:color="auto"/>
                        <w:left w:val="none" w:sz="0" w:space="0" w:color="auto"/>
                        <w:bottom w:val="none" w:sz="0" w:space="0" w:color="auto"/>
                        <w:right w:val="none" w:sz="0" w:space="0" w:color="auto"/>
                      </w:divBdr>
                    </w:div>
                  </w:divsChild>
                </w:div>
                <w:div w:id="231042282">
                  <w:marLeft w:val="0"/>
                  <w:marRight w:val="0"/>
                  <w:marTop w:val="0"/>
                  <w:marBottom w:val="0"/>
                  <w:divBdr>
                    <w:top w:val="none" w:sz="0" w:space="0" w:color="auto"/>
                    <w:left w:val="none" w:sz="0" w:space="0" w:color="auto"/>
                    <w:bottom w:val="none" w:sz="0" w:space="0" w:color="auto"/>
                    <w:right w:val="none" w:sz="0" w:space="0" w:color="auto"/>
                  </w:divBdr>
                  <w:divsChild>
                    <w:div w:id="1200582818">
                      <w:marLeft w:val="0"/>
                      <w:marRight w:val="0"/>
                      <w:marTop w:val="0"/>
                      <w:marBottom w:val="0"/>
                      <w:divBdr>
                        <w:top w:val="none" w:sz="0" w:space="0" w:color="auto"/>
                        <w:left w:val="none" w:sz="0" w:space="0" w:color="auto"/>
                        <w:bottom w:val="none" w:sz="0" w:space="0" w:color="auto"/>
                        <w:right w:val="none" w:sz="0" w:space="0" w:color="auto"/>
                      </w:divBdr>
                    </w:div>
                  </w:divsChild>
                </w:div>
                <w:div w:id="431166015">
                  <w:marLeft w:val="0"/>
                  <w:marRight w:val="0"/>
                  <w:marTop w:val="0"/>
                  <w:marBottom w:val="0"/>
                  <w:divBdr>
                    <w:top w:val="none" w:sz="0" w:space="0" w:color="auto"/>
                    <w:left w:val="none" w:sz="0" w:space="0" w:color="auto"/>
                    <w:bottom w:val="none" w:sz="0" w:space="0" w:color="auto"/>
                    <w:right w:val="none" w:sz="0" w:space="0" w:color="auto"/>
                  </w:divBdr>
                  <w:divsChild>
                    <w:div w:id="63383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6871884">
          <w:marLeft w:val="0"/>
          <w:marRight w:val="0"/>
          <w:marTop w:val="0"/>
          <w:marBottom w:val="0"/>
          <w:divBdr>
            <w:top w:val="none" w:sz="0" w:space="0" w:color="auto"/>
            <w:left w:val="none" w:sz="0" w:space="0" w:color="auto"/>
            <w:bottom w:val="none" w:sz="0" w:space="0" w:color="auto"/>
            <w:right w:val="none" w:sz="0" w:space="0" w:color="auto"/>
          </w:divBdr>
        </w:div>
        <w:div w:id="1002320289">
          <w:marLeft w:val="0"/>
          <w:marRight w:val="0"/>
          <w:marTop w:val="0"/>
          <w:marBottom w:val="0"/>
          <w:divBdr>
            <w:top w:val="none" w:sz="0" w:space="0" w:color="auto"/>
            <w:left w:val="none" w:sz="0" w:space="0" w:color="auto"/>
            <w:bottom w:val="none" w:sz="0" w:space="0" w:color="auto"/>
            <w:right w:val="none" w:sz="0" w:space="0" w:color="auto"/>
          </w:divBdr>
        </w:div>
        <w:div w:id="2033648475">
          <w:marLeft w:val="0"/>
          <w:marRight w:val="0"/>
          <w:marTop w:val="0"/>
          <w:marBottom w:val="0"/>
          <w:divBdr>
            <w:top w:val="none" w:sz="0" w:space="0" w:color="auto"/>
            <w:left w:val="none" w:sz="0" w:space="0" w:color="auto"/>
            <w:bottom w:val="none" w:sz="0" w:space="0" w:color="auto"/>
            <w:right w:val="none" w:sz="0" w:space="0" w:color="auto"/>
          </w:divBdr>
        </w:div>
        <w:div w:id="1053582647">
          <w:marLeft w:val="0"/>
          <w:marRight w:val="0"/>
          <w:marTop w:val="0"/>
          <w:marBottom w:val="0"/>
          <w:divBdr>
            <w:top w:val="none" w:sz="0" w:space="0" w:color="auto"/>
            <w:left w:val="none" w:sz="0" w:space="0" w:color="auto"/>
            <w:bottom w:val="none" w:sz="0" w:space="0" w:color="auto"/>
            <w:right w:val="none" w:sz="0" w:space="0" w:color="auto"/>
          </w:divBdr>
        </w:div>
        <w:div w:id="165822881">
          <w:marLeft w:val="0"/>
          <w:marRight w:val="0"/>
          <w:marTop w:val="0"/>
          <w:marBottom w:val="0"/>
          <w:divBdr>
            <w:top w:val="none" w:sz="0" w:space="0" w:color="auto"/>
            <w:left w:val="none" w:sz="0" w:space="0" w:color="auto"/>
            <w:bottom w:val="none" w:sz="0" w:space="0" w:color="auto"/>
            <w:right w:val="none" w:sz="0" w:space="0" w:color="auto"/>
          </w:divBdr>
        </w:div>
        <w:div w:id="1919947877">
          <w:marLeft w:val="0"/>
          <w:marRight w:val="0"/>
          <w:marTop w:val="0"/>
          <w:marBottom w:val="0"/>
          <w:divBdr>
            <w:top w:val="none" w:sz="0" w:space="0" w:color="auto"/>
            <w:left w:val="none" w:sz="0" w:space="0" w:color="auto"/>
            <w:bottom w:val="none" w:sz="0" w:space="0" w:color="auto"/>
            <w:right w:val="none" w:sz="0" w:space="0" w:color="auto"/>
          </w:divBdr>
          <w:divsChild>
            <w:div w:id="1192113255">
              <w:marLeft w:val="0"/>
              <w:marRight w:val="0"/>
              <w:marTop w:val="0"/>
              <w:marBottom w:val="0"/>
              <w:divBdr>
                <w:top w:val="none" w:sz="0" w:space="0" w:color="auto"/>
                <w:left w:val="none" w:sz="0" w:space="0" w:color="auto"/>
                <w:bottom w:val="none" w:sz="0" w:space="0" w:color="auto"/>
                <w:right w:val="none" w:sz="0" w:space="0" w:color="auto"/>
              </w:divBdr>
            </w:div>
            <w:div w:id="524707673">
              <w:marLeft w:val="0"/>
              <w:marRight w:val="0"/>
              <w:marTop w:val="0"/>
              <w:marBottom w:val="0"/>
              <w:divBdr>
                <w:top w:val="none" w:sz="0" w:space="0" w:color="auto"/>
                <w:left w:val="none" w:sz="0" w:space="0" w:color="auto"/>
                <w:bottom w:val="none" w:sz="0" w:space="0" w:color="auto"/>
                <w:right w:val="none" w:sz="0" w:space="0" w:color="auto"/>
              </w:divBdr>
            </w:div>
            <w:div w:id="1477457551">
              <w:marLeft w:val="0"/>
              <w:marRight w:val="0"/>
              <w:marTop w:val="0"/>
              <w:marBottom w:val="0"/>
              <w:divBdr>
                <w:top w:val="none" w:sz="0" w:space="0" w:color="auto"/>
                <w:left w:val="none" w:sz="0" w:space="0" w:color="auto"/>
                <w:bottom w:val="none" w:sz="0" w:space="0" w:color="auto"/>
                <w:right w:val="none" w:sz="0" w:space="0" w:color="auto"/>
              </w:divBdr>
            </w:div>
            <w:div w:id="1905212490">
              <w:marLeft w:val="0"/>
              <w:marRight w:val="0"/>
              <w:marTop w:val="0"/>
              <w:marBottom w:val="0"/>
              <w:divBdr>
                <w:top w:val="none" w:sz="0" w:space="0" w:color="auto"/>
                <w:left w:val="none" w:sz="0" w:space="0" w:color="auto"/>
                <w:bottom w:val="none" w:sz="0" w:space="0" w:color="auto"/>
                <w:right w:val="none" w:sz="0" w:space="0" w:color="auto"/>
              </w:divBdr>
            </w:div>
            <w:div w:id="1960529064">
              <w:marLeft w:val="0"/>
              <w:marRight w:val="0"/>
              <w:marTop w:val="0"/>
              <w:marBottom w:val="0"/>
              <w:divBdr>
                <w:top w:val="none" w:sz="0" w:space="0" w:color="auto"/>
                <w:left w:val="none" w:sz="0" w:space="0" w:color="auto"/>
                <w:bottom w:val="none" w:sz="0" w:space="0" w:color="auto"/>
                <w:right w:val="none" w:sz="0" w:space="0" w:color="auto"/>
              </w:divBdr>
            </w:div>
          </w:divsChild>
        </w:div>
        <w:div w:id="1791318772">
          <w:marLeft w:val="0"/>
          <w:marRight w:val="0"/>
          <w:marTop w:val="0"/>
          <w:marBottom w:val="0"/>
          <w:divBdr>
            <w:top w:val="none" w:sz="0" w:space="0" w:color="auto"/>
            <w:left w:val="none" w:sz="0" w:space="0" w:color="auto"/>
            <w:bottom w:val="none" w:sz="0" w:space="0" w:color="auto"/>
            <w:right w:val="none" w:sz="0" w:space="0" w:color="auto"/>
          </w:divBdr>
        </w:div>
        <w:div w:id="1672679863">
          <w:marLeft w:val="0"/>
          <w:marRight w:val="0"/>
          <w:marTop w:val="0"/>
          <w:marBottom w:val="0"/>
          <w:divBdr>
            <w:top w:val="none" w:sz="0" w:space="0" w:color="auto"/>
            <w:left w:val="none" w:sz="0" w:space="0" w:color="auto"/>
            <w:bottom w:val="none" w:sz="0" w:space="0" w:color="auto"/>
            <w:right w:val="none" w:sz="0" w:space="0" w:color="auto"/>
          </w:divBdr>
        </w:div>
        <w:div w:id="896629501">
          <w:marLeft w:val="0"/>
          <w:marRight w:val="0"/>
          <w:marTop w:val="0"/>
          <w:marBottom w:val="0"/>
          <w:divBdr>
            <w:top w:val="none" w:sz="0" w:space="0" w:color="auto"/>
            <w:left w:val="none" w:sz="0" w:space="0" w:color="auto"/>
            <w:bottom w:val="none" w:sz="0" w:space="0" w:color="auto"/>
            <w:right w:val="none" w:sz="0" w:space="0" w:color="auto"/>
          </w:divBdr>
        </w:div>
        <w:div w:id="1492059971">
          <w:marLeft w:val="0"/>
          <w:marRight w:val="0"/>
          <w:marTop w:val="0"/>
          <w:marBottom w:val="0"/>
          <w:divBdr>
            <w:top w:val="none" w:sz="0" w:space="0" w:color="auto"/>
            <w:left w:val="none" w:sz="0" w:space="0" w:color="auto"/>
            <w:bottom w:val="none" w:sz="0" w:space="0" w:color="auto"/>
            <w:right w:val="none" w:sz="0" w:space="0" w:color="auto"/>
          </w:divBdr>
        </w:div>
        <w:div w:id="743262102">
          <w:marLeft w:val="0"/>
          <w:marRight w:val="0"/>
          <w:marTop w:val="0"/>
          <w:marBottom w:val="0"/>
          <w:divBdr>
            <w:top w:val="none" w:sz="0" w:space="0" w:color="auto"/>
            <w:left w:val="none" w:sz="0" w:space="0" w:color="auto"/>
            <w:bottom w:val="none" w:sz="0" w:space="0" w:color="auto"/>
            <w:right w:val="none" w:sz="0" w:space="0" w:color="auto"/>
          </w:divBdr>
        </w:div>
        <w:div w:id="1966614619">
          <w:marLeft w:val="0"/>
          <w:marRight w:val="0"/>
          <w:marTop w:val="0"/>
          <w:marBottom w:val="0"/>
          <w:divBdr>
            <w:top w:val="none" w:sz="0" w:space="0" w:color="auto"/>
            <w:left w:val="none" w:sz="0" w:space="0" w:color="auto"/>
            <w:bottom w:val="none" w:sz="0" w:space="0" w:color="auto"/>
            <w:right w:val="none" w:sz="0" w:space="0" w:color="auto"/>
          </w:divBdr>
          <w:divsChild>
            <w:div w:id="1375154655">
              <w:marLeft w:val="0"/>
              <w:marRight w:val="0"/>
              <w:marTop w:val="0"/>
              <w:marBottom w:val="0"/>
              <w:divBdr>
                <w:top w:val="none" w:sz="0" w:space="0" w:color="auto"/>
                <w:left w:val="none" w:sz="0" w:space="0" w:color="auto"/>
                <w:bottom w:val="none" w:sz="0" w:space="0" w:color="auto"/>
                <w:right w:val="none" w:sz="0" w:space="0" w:color="auto"/>
              </w:divBdr>
            </w:div>
            <w:div w:id="1193155926">
              <w:marLeft w:val="0"/>
              <w:marRight w:val="0"/>
              <w:marTop w:val="0"/>
              <w:marBottom w:val="0"/>
              <w:divBdr>
                <w:top w:val="none" w:sz="0" w:space="0" w:color="auto"/>
                <w:left w:val="none" w:sz="0" w:space="0" w:color="auto"/>
                <w:bottom w:val="none" w:sz="0" w:space="0" w:color="auto"/>
                <w:right w:val="none" w:sz="0" w:space="0" w:color="auto"/>
              </w:divBdr>
            </w:div>
            <w:div w:id="152644634">
              <w:marLeft w:val="0"/>
              <w:marRight w:val="0"/>
              <w:marTop w:val="0"/>
              <w:marBottom w:val="0"/>
              <w:divBdr>
                <w:top w:val="none" w:sz="0" w:space="0" w:color="auto"/>
                <w:left w:val="none" w:sz="0" w:space="0" w:color="auto"/>
                <w:bottom w:val="none" w:sz="0" w:space="0" w:color="auto"/>
                <w:right w:val="none" w:sz="0" w:space="0" w:color="auto"/>
              </w:divBdr>
            </w:div>
            <w:div w:id="1745906066">
              <w:marLeft w:val="0"/>
              <w:marRight w:val="0"/>
              <w:marTop w:val="0"/>
              <w:marBottom w:val="0"/>
              <w:divBdr>
                <w:top w:val="none" w:sz="0" w:space="0" w:color="auto"/>
                <w:left w:val="none" w:sz="0" w:space="0" w:color="auto"/>
                <w:bottom w:val="none" w:sz="0" w:space="0" w:color="auto"/>
                <w:right w:val="none" w:sz="0" w:space="0" w:color="auto"/>
              </w:divBdr>
            </w:div>
            <w:div w:id="293171294">
              <w:marLeft w:val="0"/>
              <w:marRight w:val="0"/>
              <w:marTop w:val="0"/>
              <w:marBottom w:val="0"/>
              <w:divBdr>
                <w:top w:val="none" w:sz="0" w:space="0" w:color="auto"/>
                <w:left w:val="none" w:sz="0" w:space="0" w:color="auto"/>
                <w:bottom w:val="none" w:sz="0" w:space="0" w:color="auto"/>
                <w:right w:val="none" w:sz="0" w:space="0" w:color="auto"/>
              </w:divBdr>
            </w:div>
          </w:divsChild>
        </w:div>
        <w:div w:id="1836526458">
          <w:marLeft w:val="0"/>
          <w:marRight w:val="0"/>
          <w:marTop w:val="0"/>
          <w:marBottom w:val="0"/>
          <w:divBdr>
            <w:top w:val="none" w:sz="0" w:space="0" w:color="auto"/>
            <w:left w:val="none" w:sz="0" w:space="0" w:color="auto"/>
            <w:bottom w:val="none" w:sz="0" w:space="0" w:color="auto"/>
            <w:right w:val="none" w:sz="0" w:space="0" w:color="auto"/>
          </w:divBdr>
          <w:divsChild>
            <w:div w:id="1153059618">
              <w:marLeft w:val="0"/>
              <w:marRight w:val="0"/>
              <w:marTop w:val="0"/>
              <w:marBottom w:val="0"/>
              <w:divBdr>
                <w:top w:val="none" w:sz="0" w:space="0" w:color="auto"/>
                <w:left w:val="none" w:sz="0" w:space="0" w:color="auto"/>
                <w:bottom w:val="none" w:sz="0" w:space="0" w:color="auto"/>
                <w:right w:val="none" w:sz="0" w:space="0" w:color="auto"/>
              </w:divBdr>
            </w:div>
            <w:div w:id="252974095">
              <w:marLeft w:val="0"/>
              <w:marRight w:val="0"/>
              <w:marTop w:val="0"/>
              <w:marBottom w:val="0"/>
              <w:divBdr>
                <w:top w:val="none" w:sz="0" w:space="0" w:color="auto"/>
                <w:left w:val="none" w:sz="0" w:space="0" w:color="auto"/>
                <w:bottom w:val="none" w:sz="0" w:space="0" w:color="auto"/>
                <w:right w:val="none" w:sz="0" w:space="0" w:color="auto"/>
              </w:divBdr>
            </w:div>
            <w:div w:id="465974370">
              <w:marLeft w:val="0"/>
              <w:marRight w:val="0"/>
              <w:marTop w:val="0"/>
              <w:marBottom w:val="0"/>
              <w:divBdr>
                <w:top w:val="none" w:sz="0" w:space="0" w:color="auto"/>
                <w:left w:val="none" w:sz="0" w:space="0" w:color="auto"/>
                <w:bottom w:val="none" w:sz="0" w:space="0" w:color="auto"/>
                <w:right w:val="none" w:sz="0" w:space="0" w:color="auto"/>
              </w:divBdr>
            </w:div>
            <w:div w:id="762535188">
              <w:marLeft w:val="0"/>
              <w:marRight w:val="0"/>
              <w:marTop w:val="0"/>
              <w:marBottom w:val="0"/>
              <w:divBdr>
                <w:top w:val="none" w:sz="0" w:space="0" w:color="auto"/>
                <w:left w:val="none" w:sz="0" w:space="0" w:color="auto"/>
                <w:bottom w:val="none" w:sz="0" w:space="0" w:color="auto"/>
                <w:right w:val="none" w:sz="0" w:space="0" w:color="auto"/>
              </w:divBdr>
            </w:div>
            <w:div w:id="1513228375">
              <w:marLeft w:val="0"/>
              <w:marRight w:val="0"/>
              <w:marTop w:val="0"/>
              <w:marBottom w:val="0"/>
              <w:divBdr>
                <w:top w:val="none" w:sz="0" w:space="0" w:color="auto"/>
                <w:left w:val="none" w:sz="0" w:space="0" w:color="auto"/>
                <w:bottom w:val="none" w:sz="0" w:space="0" w:color="auto"/>
                <w:right w:val="none" w:sz="0" w:space="0" w:color="auto"/>
              </w:divBdr>
            </w:div>
          </w:divsChild>
        </w:div>
        <w:div w:id="1128550095">
          <w:marLeft w:val="0"/>
          <w:marRight w:val="0"/>
          <w:marTop w:val="0"/>
          <w:marBottom w:val="0"/>
          <w:divBdr>
            <w:top w:val="none" w:sz="0" w:space="0" w:color="auto"/>
            <w:left w:val="none" w:sz="0" w:space="0" w:color="auto"/>
            <w:bottom w:val="none" w:sz="0" w:space="0" w:color="auto"/>
            <w:right w:val="none" w:sz="0" w:space="0" w:color="auto"/>
          </w:divBdr>
          <w:divsChild>
            <w:div w:id="407390849">
              <w:marLeft w:val="0"/>
              <w:marRight w:val="0"/>
              <w:marTop w:val="0"/>
              <w:marBottom w:val="0"/>
              <w:divBdr>
                <w:top w:val="none" w:sz="0" w:space="0" w:color="auto"/>
                <w:left w:val="none" w:sz="0" w:space="0" w:color="auto"/>
                <w:bottom w:val="none" w:sz="0" w:space="0" w:color="auto"/>
                <w:right w:val="none" w:sz="0" w:space="0" w:color="auto"/>
              </w:divBdr>
            </w:div>
            <w:div w:id="1142380584">
              <w:marLeft w:val="0"/>
              <w:marRight w:val="0"/>
              <w:marTop w:val="0"/>
              <w:marBottom w:val="0"/>
              <w:divBdr>
                <w:top w:val="none" w:sz="0" w:space="0" w:color="auto"/>
                <w:left w:val="none" w:sz="0" w:space="0" w:color="auto"/>
                <w:bottom w:val="none" w:sz="0" w:space="0" w:color="auto"/>
                <w:right w:val="none" w:sz="0" w:space="0" w:color="auto"/>
              </w:divBdr>
            </w:div>
            <w:div w:id="1192953861">
              <w:marLeft w:val="0"/>
              <w:marRight w:val="0"/>
              <w:marTop w:val="0"/>
              <w:marBottom w:val="0"/>
              <w:divBdr>
                <w:top w:val="none" w:sz="0" w:space="0" w:color="auto"/>
                <w:left w:val="none" w:sz="0" w:space="0" w:color="auto"/>
                <w:bottom w:val="none" w:sz="0" w:space="0" w:color="auto"/>
                <w:right w:val="none" w:sz="0" w:space="0" w:color="auto"/>
              </w:divBdr>
            </w:div>
          </w:divsChild>
        </w:div>
        <w:div w:id="953637238">
          <w:marLeft w:val="0"/>
          <w:marRight w:val="0"/>
          <w:marTop w:val="0"/>
          <w:marBottom w:val="0"/>
          <w:divBdr>
            <w:top w:val="none" w:sz="0" w:space="0" w:color="auto"/>
            <w:left w:val="none" w:sz="0" w:space="0" w:color="auto"/>
            <w:bottom w:val="none" w:sz="0" w:space="0" w:color="auto"/>
            <w:right w:val="none" w:sz="0" w:space="0" w:color="auto"/>
          </w:divBdr>
          <w:divsChild>
            <w:div w:id="330067371">
              <w:marLeft w:val="0"/>
              <w:marRight w:val="0"/>
              <w:marTop w:val="0"/>
              <w:marBottom w:val="0"/>
              <w:divBdr>
                <w:top w:val="none" w:sz="0" w:space="0" w:color="auto"/>
                <w:left w:val="none" w:sz="0" w:space="0" w:color="auto"/>
                <w:bottom w:val="none" w:sz="0" w:space="0" w:color="auto"/>
                <w:right w:val="none" w:sz="0" w:space="0" w:color="auto"/>
              </w:divBdr>
            </w:div>
            <w:div w:id="1721204122">
              <w:marLeft w:val="0"/>
              <w:marRight w:val="0"/>
              <w:marTop w:val="0"/>
              <w:marBottom w:val="0"/>
              <w:divBdr>
                <w:top w:val="none" w:sz="0" w:space="0" w:color="auto"/>
                <w:left w:val="none" w:sz="0" w:space="0" w:color="auto"/>
                <w:bottom w:val="none" w:sz="0" w:space="0" w:color="auto"/>
                <w:right w:val="none" w:sz="0" w:space="0" w:color="auto"/>
              </w:divBdr>
            </w:div>
            <w:div w:id="543758897">
              <w:marLeft w:val="0"/>
              <w:marRight w:val="0"/>
              <w:marTop w:val="0"/>
              <w:marBottom w:val="0"/>
              <w:divBdr>
                <w:top w:val="none" w:sz="0" w:space="0" w:color="auto"/>
                <w:left w:val="none" w:sz="0" w:space="0" w:color="auto"/>
                <w:bottom w:val="none" w:sz="0" w:space="0" w:color="auto"/>
                <w:right w:val="none" w:sz="0" w:space="0" w:color="auto"/>
              </w:divBdr>
            </w:div>
            <w:div w:id="1286548090">
              <w:marLeft w:val="0"/>
              <w:marRight w:val="0"/>
              <w:marTop w:val="0"/>
              <w:marBottom w:val="0"/>
              <w:divBdr>
                <w:top w:val="none" w:sz="0" w:space="0" w:color="auto"/>
                <w:left w:val="none" w:sz="0" w:space="0" w:color="auto"/>
                <w:bottom w:val="none" w:sz="0" w:space="0" w:color="auto"/>
                <w:right w:val="none" w:sz="0" w:space="0" w:color="auto"/>
              </w:divBdr>
            </w:div>
            <w:div w:id="220364327">
              <w:marLeft w:val="0"/>
              <w:marRight w:val="0"/>
              <w:marTop w:val="0"/>
              <w:marBottom w:val="0"/>
              <w:divBdr>
                <w:top w:val="none" w:sz="0" w:space="0" w:color="auto"/>
                <w:left w:val="none" w:sz="0" w:space="0" w:color="auto"/>
                <w:bottom w:val="none" w:sz="0" w:space="0" w:color="auto"/>
                <w:right w:val="none" w:sz="0" w:space="0" w:color="auto"/>
              </w:divBdr>
            </w:div>
          </w:divsChild>
        </w:div>
        <w:div w:id="568075362">
          <w:marLeft w:val="0"/>
          <w:marRight w:val="0"/>
          <w:marTop w:val="0"/>
          <w:marBottom w:val="0"/>
          <w:divBdr>
            <w:top w:val="none" w:sz="0" w:space="0" w:color="auto"/>
            <w:left w:val="none" w:sz="0" w:space="0" w:color="auto"/>
            <w:bottom w:val="none" w:sz="0" w:space="0" w:color="auto"/>
            <w:right w:val="none" w:sz="0" w:space="0" w:color="auto"/>
          </w:divBdr>
        </w:div>
        <w:div w:id="1538200560">
          <w:marLeft w:val="0"/>
          <w:marRight w:val="0"/>
          <w:marTop w:val="0"/>
          <w:marBottom w:val="0"/>
          <w:divBdr>
            <w:top w:val="none" w:sz="0" w:space="0" w:color="auto"/>
            <w:left w:val="none" w:sz="0" w:space="0" w:color="auto"/>
            <w:bottom w:val="none" w:sz="0" w:space="0" w:color="auto"/>
            <w:right w:val="none" w:sz="0" w:space="0" w:color="auto"/>
          </w:divBdr>
          <w:divsChild>
            <w:div w:id="1030690503">
              <w:marLeft w:val="-75"/>
              <w:marRight w:val="0"/>
              <w:marTop w:val="30"/>
              <w:marBottom w:val="30"/>
              <w:divBdr>
                <w:top w:val="none" w:sz="0" w:space="0" w:color="auto"/>
                <w:left w:val="none" w:sz="0" w:space="0" w:color="auto"/>
                <w:bottom w:val="none" w:sz="0" w:space="0" w:color="auto"/>
                <w:right w:val="none" w:sz="0" w:space="0" w:color="auto"/>
              </w:divBdr>
              <w:divsChild>
                <w:div w:id="439450645">
                  <w:marLeft w:val="0"/>
                  <w:marRight w:val="0"/>
                  <w:marTop w:val="0"/>
                  <w:marBottom w:val="0"/>
                  <w:divBdr>
                    <w:top w:val="none" w:sz="0" w:space="0" w:color="auto"/>
                    <w:left w:val="none" w:sz="0" w:space="0" w:color="auto"/>
                    <w:bottom w:val="none" w:sz="0" w:space="0" w:color="auto"/>
                    <w:right w:val="none" w:sz="0" w:space="0" w:color="auto"/>
                  </w:divBdr>
                  <w:divsChild>
                    <w:div w:id="1359618204">
                      <w:marLeft w:val="0"/>
                      <w:marRight w:val="0"/>
                      <w:marTop w:val="0"/>
                      <w:marBottom w:val="0"/>
                      <w:divBdr>
                        <w:top w:val="none" w:sz="0" w:space="0" w:color="auto"/>
                        <w:left w:val="none" w:sz="0" w:space="0" w:color="auto"/>
                        <w:bottom w:val="none" w:sz="0" w:space="0" w:color="auto"/>
                        <w:right w:val="none" w:sz="0" w:space="0" w:color="auto"/>
                      </w:divBdr>
                    </w:div>
                  </w:divsChild>
                </w:div>
                <w:div w:id="835262197">
                  <w:marLeft w:val="0"/>
                  <w:marRight w:val="0"/>
                  <w:marTop w:val="0"/>
                  <w:marBottom w:val="0"/>
                  <w:divBdr>
                    <w:top w:val="none" w:sz="0" w:space="0" w:color="auto"/>
                    <w:left w:val="none" w:sz="0" w:space="0" w:color="auto"/>
                    <w:bottom w:val="none" w:sz="0" w:space="0" w:color="auto"/>
                    <w:right w:val="none" w:sz="0" w:space="0" w:color="auto"/>
                  </w:divBdr>
                  <w:divsChild>
                    <w:div w:id="1468469984">
                      <w:marLeft w:val="0"/>
                      <w:marRight w:val="0"/>
                      <w:marTop w:val="0"/>
                      <w:marBottom w:val="0"/>
                      <w:divBdr>
                        <w:top w:val="none" w:sz="0" w:space="0" w:color="auto"/>
                        <w:left w:val="none" w:sz="0" w:space="0" w:color="auto"/>
                        <w:bottom w:val="none" w:sz="0" w:space="0" w:color="auto"/>
                        <w:right w:val="none" w:sz="0" w:space="0" w:color="auto"/>
                      </w:divBdr>
                    </w:div>
                  </w:divsChild>
                </w:div>
                <w:div w:id="1874032042">
                  <w:marLeft w:val="0"/>
                  <w:marRight w:val="0"/>
                  <w:marTop w:val="0"/>
                  <w:marBottom w:val="0"/>
                  <w:divBdr>
                    <w:top w:val="none" w:sz="0" w:space="0" w:color="auto"/>
                    <w:left w:val="none" w:sz="0" w:space="0" w:color="auto"/>
                    <w:bottom w:val="none" w:sz="0" w:space="0" w:color="auto"/>
                    <w:right w:val="none" w:sz="0" w:space="0" w:color="auto"/>
                  </w:divBdr>
                  <w:divsChild>
                    <w:div w:id="1346664389">
                      <w:marLeft w:val="0"/>
                      <w:marRight w:val="0"/>
                      <w:marTop w:val="0"/>
                      <w:marBottom w:val="0"/>
                      <w:divBdr>
                        <w:top w:val="none" w:sz="0" w:space="0" w:color="auto"/>
                        <w:left w:val="none" w:sz="0" w:space="0" w:color="auto"/>
                        <w:bottom w:val="none" w:sz="0" w:space="0" w:color="auto"/>
                        <w:right w:val="none" w:sz="0" w:space="0" w:color="auto"/>
                      </w:divBdr>
                    </w:div>
                  </w:divsChild>
                </w:div>
                <w:div w:id="1896239809">
                  <w:marLeft w:val="0"/>
                  <w:marRight w:val="0"/>
                  <w:marTop w:val="0"/>
                  <w:marBottom w:val="0"/>
                  <w:divBdr>
                    <w:top w:val="none" w:sz="0" w:space="0" w:color="auto"/>
                    <w:left w:val="none" w:sz="0" w:space="0" w:color="auto"/>
                    <w:bottom w:val="none" w:sz="0" w:space="0" w:color="auto"/>
                    <w:right w:val="none" w:sz="0" w:space="0" w:color="auto"/>
                  </w:divBdr>
                  <w:divsChild>
                    <w:div w:id="385639604">
                      <w:marLeft w:val="0"/>
                      <w:marRight w:val="0"/>
                      <w:marTop w:val="0"/>
                      <w:marBottom w:val="0"/>
                      <w:divBdr>
                        <w:top w:val="none" w:sz="0" w:space="0" w:color="auto"/>
                        <w:left w:val="none" w:sz="0" w:space="0" w:color="auto"/>
                        <w:bottom w:val="none" w:sz="0" w:space="0" w:color="auto"/>
                        <w:right w:val="none" w:sz="0" w:space="0" w:color="auto"/>
                      </w:divBdr>
                    </w:div>
                  </w:divsChild>
                </w:div>
                <w:div w:id="738094220">
                  <w:marLeft w:val="0"/>
                  <w:marRight w:val="0"/>
                  <w:marTop w:val="0"/>
                  <w:marBottom w:val="0"/>
                  <w:divBdr>
                    <w:top w:val="none" w:sz="0" w:space="0" w:color="auto"/>
                    <w:left w:val="none" w:sz="0" w:space="0" w:color="auto"/>
                    <w:bottom w:val="none" w:sz="0" w:space="0" w:color="auto"/>
                    <w:right w:val="none" w:sz="0" w:space="0" w:color="auto"/>
                  </w:divBdr>
                  <w:divsChild>
                    <w:div w:id="1453859116">
                      <w:marLeft w:val="0"/>
                      <w:marRight w:val="0"/>
                      <w:marTop w:val="0"/>
                      <w:marBottom w:val="0"/>
                      <w:divBdr>
                        <w:top w:val="none" w:sz="0" w:space="0" w:color="auto"/>
                        <w:left w:val="none" w:sz="0" w:space="0" w:color="auto"/>
                        <w:bottom w:val="none" w:sz="0" w:space="0" w:color="auto"/>
                        <w:right w:val="none" w:sz="0" w:space="0" w:color="auto"/>
                      </w:divBdr>
                    </w:div>
                  </w:divsChild>
                </w:div>
                <w:div w:id="1785539217">
                  <w:marLeft w:val="0"/>
                  <w:marRight w:val="0"/>
                  <w:marTop w:val="0"/>
                  <w:marBottom w:val="0"/>
                  <w:divBdr>
                    <w:top w:val="none" w:sz="0" w:space="0" w:color="auto"/>
                    <w:left w:val="none" w:sz="0" w:space="0" w:color="auto"/>
                    <w:bottom w:val="none" w:sz="0" w:space="0" w:color="auto"/>
                    <w:right w:val="none" w:sz="0" w:space="0" w:color="auto"/>
                  </w:divBdr>
                  <w:divsChild>
                    <w:div w:id="1682002375">
                      <w:marLeft w:val="0"/>
                      <w:marRight w:val="0"/>
                      <w:marTop w:val="0"/>
                      <w:marBottom w:val="0"/>
                      <w:divBdr>
                        <w:top w:val="none" w:sz="0" w:space="0" w:color="auto"/>
                        <w:left w:val="none" w:sz="0" w:space="0" w:color="auto"/>
                        <w:bottom w:val="none" w:sz="0" w:space="0" w:color="auto"/>
                        <w:right w:val="none" w:sz="0" w:space="0" w:color="auto"/>
                      </w:divBdr>
                    </w:div>
                  </w:divsChild>
                </w:div>
                <w:div w:id="618798070">
                  <w:marLeft w:val="0"/>
                  <w:marRight w:val="0"/>
                  <w:marTop w:val="0"/>
                  <w:marBottom w:val="0"/>
                  <w:divBdr>
                    <w:top w:val="none" w:sz="0" w:space="0" w:color="auto"/>
                    <w:left w:val="none" w:sz="0" w:space="0" w:color="auto"/>
                    <w:bottom w:val="none" w:sz="0" w:space="0" w:color="auto"/>
                    <w:right w:val="none" w:sz="0" w:space="0" w:color="auto"/>
                  </w:divBdr>
                  <w:divsChild>
                    <w:div w:id="429785129">
                      <w:marLeft w:val="0"/>
                      <w:marRight w:val="0"/>
                      <w:marTop w:val="0"/>
                      <w:marBottom w:val="0"/>
                      <w:divBdr>
                        <w:top w:val="none" w:sz="0" w:space="0" w:color="auto"/>
                        <w:left w:val="none" w:sz="0" w:space="0" w:color="auto"/>
                        <w:bottom w:val="none" w:sz="0" w:space="0" w:color="auto"/>
                        <w:right w:val="none" w:sz="0" w:space="0" w:color="auto"/>
                      </w:divBdr>
                    </w:div>
                  </w:divsChild>
                </w:div>
                <w:div w:id="252473224">
                  <w:marLeft w:val="0"/>
                  <w:marRight w:val="0"/>
                  <w:marTop w:val="0"/>
                  <w:marBottom w:val="0"/>
                  <w:divBdr>
                    <w:top w:val="none" w:sz="0" w:space="0" w:color="auto"/>
                    <w:left w:val="none" w:sz="0" w:space="0" w:color="auto"/>
                    <w:bottom w:val="none" w:sz="0" w:space="0" w:color="auto"/>
                    <w:right w:val="none" w:sz="0" w:space="0" w:color="auto"/>
                  </w:divBdr>
                  <w:divsChild>
                    <w:div w:id="1209220644">
                      <w:marLeft w:val="0"/>
                      <w:marRight w:val="0"/>
                      <w:marTop w:val="0"/>
                      <w:marBottom w:val="0"/>
                      <w:divBdr>
                        <w:top w:val="none" w:sz="0" w:space="0" w:color="auto"/>
                        <w:left w:val="none" w:sz="0" w:space="0" w:color="auto"/>
                        <w:bottom w:val="none" w:sz="0" w:space="0" w:color="auto"/>
                        <w:right w:val="none" w:sz="0" w:space="0" w:color="auto"/>
                      </w:divBdr>
                    </w:div>
                  </w:divsChild>
                </w:div>
                <w:div w:id="837228363">
                  <w:marLeft w:val="0"/>
                  <w:marRight w:val="0"/>
                  <w:marTop w:val="0"/>
                  <w:marBottom w:val="0"/>
                  <w:divBdr>
                    <w:top w:val="none" w:sz="0" w:space="0" w:color="auto"/>
                    <w:left w:val="none" w:sz="0" w:space="0" w:color="auto"/>
                    <w:bottom w:val="none" w:sz="0" w:space="0" w:color="auto"/>
                    <w:right w:val="none" w:sz="0" w:space="0" w:color="auto"/>
                  </w:divBdr>
                  <w:divsChild>
                    <w:div w:id="1391149772">
                      <w:marLeft w:val="0"/>
                      <w:marRight w:val="0"/>
                      <w:marTop w:val="0"/>
                      <w:marBottom w:val="0"/>
                      <w:divBdr>
                        <w:top w:val="none" w:sz="0" w:space="0" w:color="auto"/>
                        <w:left w:val="none" w:sz="0" w:space="0" w:color="auto"/>
                        <w:bottom w:val="none" w:sz="0" w:space="0" w:color="auto"/>
                        <w:right w:val="none" w:sz="0" w:space="0" w:color="auto"/>
                      </w:divBdr>
                    </w:div>
                  </w:divsChild>
                </w:div>
                <w:div w:id="1081558220">
                  <w:marLeft w:val="0"/>
                  <w:marRight w:val="0"/>
                  <w:marTop w:val="0"/>
                  <w:marBottom w:val="0"/>
                  <w:divBdr>
                    <w:top w:val="none" w:sz="0" w:space="0" w:color="auto"/>
                    <w:left w:val="none" w:sz="0" w:space="0" w:color="auto"/>
                    <w:bottom w:val="none" w:sz="0" w:space="0" w:color="auto"/>
                    <w:right w:val="none" w:sz="0" w:space="0" w:color="auto"/>
                  </w:divBdr>
                  <w:divsChild>
                    <w:div w:id="520363348">
                      <w:marLeft w:val="0"/>
                      <w:marRight w:val="0"/>
                      <w:marTop w:val="0"/>
                      <w:marBottom w:val="0"/>
                      <w:divBdr>
                        <w:top w:val="none" w:sz="0" w:space="0" w:color="auto"/>
                        <w:left w:val="none" w:sz="0" w:space="0" w:color="auto"/>
                        <w:bottom w:val="none" w:sz="0" w:space="0" w:color="auto"/>
                        <w:right w:val="none" w:sz="0" w:space="0" w:color="auto"/>
                      </w:divBdr>
                    </w:div>
                  </w:divsChild>
                </w:div>
                <w:div w:id="784075614">
                  <w:marLeft w:val="0"/>
                  <w:marRight w:val="0"/>
                  <w:marTop w:val="0"/>
                  <w:marBottom w:val="0"/>
                  <w:divBdr>
                    <w:top w:val="none" w:sz="0" w:space="0" w:color="auto"/>
                    <w:left w:val="none" w:sz="0" w:space="0" w:color="auto"/>
                    <w:bottom w:val="none" w:sz="0" w:space="0" w:color="auto"/>
                    <w:right w:val="none" w:sz="0" w:space="0" w:color="auto"/>
                  </w:divBdr>
                  <w:divsChild>
                    <w:div w:id="1669867117">
                      <w:marLeft w:val="0"/>
                      <w:marRight w:val="0"/>
                      <w:marTop w:val="0"/>
                      <w:marBottom w:val="0"/>
                      <w:divBdr>
                        <w:top w:val="none" w:sz="0" w:space="0" w:color="auto"/>
                        <w:left w:val="none" w:sz="0" w:space="0" w:color="auto"/>
                        <w:bottom w:val="none" w:sz="0" w:space="0" w:color="auto"/>
                        <w:right w:val="none" w:sz="0" w:space="0" w:color="auto"/>
                      </w:divBdr>
                    </w:div>
                    <w:div w:id="1061059177">
                      <w:marLeft w:val="0"/>
                      <w:marRight w:val="0"/>
                      <w:marTop w:val="0"/>
                      <w:marBottom w:val="0"/>
                      <w:divBdr>
                        <w:top w:val="none" w:sz="0" w:space="0" w:color="auto"/>
                        <w:left w:val="none" w:sz="0" w:space="0" w:color="auto"/>
                        <w:bottom w:val="none" w:sz="0" w:space="0" w:color="auto"/>
                        <w:right w:val="none" w:sz="0" w:space="0" w:color="auto"/>
                      </w:divBdr>
                    </w:div>
                  </w:divsChild>
                </w:div>
                <w:div w:id="1620144540">
                  <w:marLeft w:val="0"/>
                  <w:marRight w:val="0"/>
                  <w:marTop w:val="0"/>
                  <w:marBottom w:val="0"/>
                  <w:divBdr>
                    <w:top w:val="none" w:sz="0" w:space="0" w:color="auto"/>
                    <w:left w:val="none" w:sz="0" w:space="0" w:color="auto"/>
                    <w:bottom w:val="none" w:sz="0" w:space="0" w:color="auto"/>
                    <w:right w:val="none" w:sz="0" w:space="0" w:color="auto"/>
                  </w:divBdr>
                  <w:divsChild>
                    <w:div w:id="419764345">
                      <w:marLeft w:val="0"/>
                      <w:marRight w:val="0"/>
                      <w:marTop w:val="0"/>
                      <w:marBottom w:val="0"/>
                      <w:divBdr>
                        <w:top w:val="none" w:sz="0" w:space="0" w:color="auto"/>
                        <w:left w:val="none" w:sz="0" w:space="0" w:color="auto"/>
                        <w:bottom w:val="none" w:sz="0" w:space="0" w:color="auto"/>
                        <w:right w:val="none" w:sz="0" w:space="0" w:color="auto"/>
                      </w:divBdr>
                    </w:div>
                  </w:divsChild>
                </w:div>
                <w:div w:id="851533023">
                  <w:marLeft w:val="0"/>
                  <w:marRight w:val="0"/>
                  <w:marTop w:val="0"/>
                  <w:marBottom w:val="0"/>
                  <w:divBdr>
                    <w:top w:val="none" w:sz="0" w:space="0" w:color="auto"/>
                    <w:left w:val="none" w:sz="0" w:space="0" w:color="auto"/>
                    <w:bottom w:val="none" w:sz="0" w:space="0" w:color="auto"/>
                    <w:right w:val="none" w:sz="0" w:space="0" w:color="auto"/>
                  </w:divBdr>
                  <w:divsChild>
                    <w:div w:id="421223715">
                      <w:marLeft w:val="0"/>
                      <w:marRight w:val="0"/>
                      <w:marTop w:val="0"/>
                      <w:marBottom w:val="0"/>
                      <w:divBdr>
                        <w:top w:val="none" w:sz="0" w:space="0" w:color="auto"/>
                        <w:left w:val="none" w:sz="0" w:space="0" w:color="auto"/>
                        <w:bottom w:val="none" w:sz="0" w:space="0" w:color="auto"/>
                        <w:right w:val="none" w:sz="0" w:space="0" w:color="auto"/>
                      </w:divBdr>
                    </w:div>
                  </w:divsChild>
                </w:div>
                <w:div w:id="300615503">
                  <w:marLeft w:val="0"/>
                  <w:marRight w:val="0"/>
                  <w:marTop w:val="0"/>
                  <w:marBottom w:val="0"/>
                  <w:divBdr>
                    <w:top w:val="none" w:sz="0" w:space="0" w:color="auto"/>
                    <w:left w:val="none" w:sz="0" w:space="0" w:color="auto"/>
                    <w:bottom w:val="none" w:sz="0" w:space="0" w:color="auto"/>
                    <w:right w:val="none" w:sz="0" w:space="0" w:color="auto"/>
                  </w:divBdr>
                  <w:divsChild>
                    <w:div w:id="1767268462">
                      <w:marLeft w:val="0"/>
                      <w:marRight w:val="0"/>
                      <w:marTop w:val="0"/>
                      <w:marBottom w:val="0"/>
                      <w:divBdr>
                        <w:top w:val="none" w:sz="0" w:space="0" w:color="auto"/>
                        <w:left w:val="none" w:sz="0" w:space="0" w:color="auto"/>
                        <w:bottom w:val="none" w:sz="0" w:space="0" w:color="auto"/>
                        <w:right w:val="none" w:sz="0" w:space="0" w:color="auto"/>
                      </w:divBdr>
                    </w:div>
                    <w:div w:id="2067948171">
                      <w:marLeft w:val="0"/>
                      <w:marRight w:val="0"/>
                      <w:marTop w:val="0"/>
                      <w:marBottom w:val="0"/>
                      <w:divBdr>
                        <w:top w:val="none" w:sz="0" w:space="0" w:color="auto"/>
                        <w:left w:val="none" w:sz="0" w:space="0" w:color="auto"/>
                        <w:bottom w:val="none" w:sz="0" w:space="0" w:color="auto"/>
                        <w:right w:val="none" w:sz="0" w:space="0" w:color="auto"/>
                      </w:divBdr>
                    </w:div>
                  </w:divsChild>
                </w:div>
                <w:div w:id="1439057601">
                  <w:marLeft w:val="0"/>
                  <w:marRight w:val="0"/>
                  <w:marTop w:val="0"/>
                  <w:marBottom w:val="0"/>
                  <w:divBdr>
                    <w:top w:val="none" w:sz="0" w:space="0" w:color="auto"/>
                    <w:left w:val="none" w:sz="0" w:space="0" w:color="auto"/>
                    <w:bottom w:val="none" w:sz="0" w:space="0" w:color="auto"/>
                    <w:right w:val="none" w:sz="0" w:space="0" w:color="auto"/>
                  </w:divBdr>
                  <w:divsChild>
                    <w:div w:id="1578132383">
                      <w:marLeft w:val="0"/>
                      <w:marRight w:val="0"/>
                      <w:marTop w:val="0"/>
                      <w:marBottom w:val="0"/>
                      <w:divBdr>
                        <w:top w:val="none" w:sz="0" w:space="0" w:color="auto"/>
                        <w:left w:val="none" w:sz="0" w:space="0" w:color="auto"/>
                        <w:bottom w:val="none" w:sz="0" w:space="0" w:color="auto"/>
                        <w:right w:val="none" w:sz="0" w:space="0" w:color="auto"/>
                      </w:divBdr>
                    </w:div>
                    <w:div w:id="1578437451">
                      <w:marLeft w:val="0"/>
                      <w:marRight w:val="0"/>
                      <w:marTop w:val="0"/>
                      <w:marBottom w:val="0"/>
                      <w:divBdr>
                        <w:top w:val="none" w:sz="0" w:space="0" w:color="auto"/>
                        <w:left w:val="none" w:sz="0" w:space="0" w:color="auto"/>
                        <w:bottom w:val="none" w:sz="0" w:space="0" w:color="auto"/>
                        <w:right w:val="none" w:sz="0" w:space="0" w:color="auto"/>
                      </w:divBdr>
                    </w:div>
                  </w:divsChild>
                </w:div>
                <w:div w:id="1259679740">
                  <w:marLeft w:val="0"/>
                  <w:marRight w:val="0"/>
                  <w:marTop w:val="0"/>
                  <w:marBottom w:val="0"/>
                  <w:divBdr>
                    <w:top w:val="none" w:sz="0" w:space="0" w:color="auto"/>
                    <w:left w:val="none" w:sz="0" w:space="0" w:color="auto"/>
                    <w:bottom w:val="none" w:sz="0" w:space="0" w:color="auto"/>
                    <w:right w:val="none" w:sz="0" w:space="0" w:color="auto"/>
                  </w:divBdr>
                  <w:divsChild>
                    <w:div w:id="54084858">
                      <w:marLeft w:val="0"/>
                      <w:marRight w:val="0"/>
                      <w:marTop w:val="0"/>
                      <w:marBottom w:val="0"/>
                      <w:divBdr>
                        <w:top w:val="none" w:sz="0" w:space="0" w:color="auto"/>
                        <w:left w:val="none" w:sz="0" w:space="0" w:color="auto"/>
                        <w:bottom w:val="none" w:sz="0" w:space="0" w:color="auto"/>
                        <w:right w:val="none" w:sz="0" w:space="0" w:color="auto"/>
                      </w:divBdr>
                    </w:div>
                  </w:divsChild>
                </w:div>
                <w:div w:id="440225636">
                  <w:marLeft w:val="0"/>
                  <w:marRight w:val="0"/>
                  <w:marTop w:val="0"/>
                  <w:marBottom w:val="0"/>
                  <w:divBdr>
                    <w:top w:val="none" w:sz="0" w:space="0" w:color="auto"/>
                    <w:left w:val="none" w:sz="0" w:space="0" w:color="auto"/>
                    <w:bottom w:val="none" w:sz="0" w:space="0" w:color="auto"/>
                    <w:right w:val="none" w:sz="0" w:space="0" w:color="auto"/>
                  </w:divBdr>
                  <w:divsChild>
                    <w:div w:id="1617329362">
                      <w:marLeft w:val="0"/>
                      <w:marRight w:val="0"/>
                      <w:marTop w:val="0"/>
                      <w:marBottom w:val="0"/>
                      <w:divBdr>
                        <w:top w:val="none" w:sz="0" w:space="0" w:color="auto"/>
                        <w:left w:val="none" w:sz="0" w:space="0" w:color="auto"/>
                        <w:bottom w:val="none" w:sz="0" w:space="0" w:color="auto"/>
                        <w:right w:val="none" w:sz="0" w:space="0" w:color="auto"/>
                      </w:divBdr>
                    </w:div>
                    <w:div w:id="521668105">
                      <w:marLeft w:val="0"/>
                      <w:marRight w:val="0"/>
                      <w:marTop w:val="0"/>
                      <w:marBottom w:val="0"/>
                      <w:divBdr>
                        <w:top w:val="none" w:sz="0" w:space="0" w:color="auto"/>
                        <w:left w:val="none" w:sz="0" w:space="0" w:color="auto"/>
                        <w:bottom w:val="none" w:sz="0" w:space="0" w:color="auto"/>
                        <w:right w:val="none" w:sz="0" w:space="0" w:color="auto"/>
                      </w:divBdr>
                    </w:div>
                  </w:divsChild>
                </w:div>
                <w:div w:id="1393964384">
                  <w:marLeft w:val="0"/>
                  <w:marRight w:val="0"/>
                  <w:marTop w:val="0"/>
                  <w:marBottom w:val="0"/>
                  <w:divBdr>
                    <w:top w:val="none" w:sz="0" w:space="0" w:color="auto"/>
                    <w:left w:val="none" w:sz="0" w:space="0" w:color="auto"/>
                    <w:bottom w:val="none" w:sz="0" w:space="0" w:color="auto"/>
                    <w:right w:val="none" w:sz="0" w:space="0" w:color="auto"/>
                  </w:divBdr>
                  <w:divsChild>
                    <w:div w:id="1224876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2491009">
          <w:marLeft w:val="0"/>
          <w:marRight w:val="0"/>
          <w:marTop w:val="0"/>
          <w:marBottom w:val="0"/>
          <w:divBdr>
            <w:top w:val="none" w:sz="0" w:space="0" w:color="auto"/>
            <w:left w:val="none" w:sz="0" w:space="0" w:color="auto"/>
            <w:bottom w:val="none" w:sz="0" w:space="0" w:color="auto"/>
            <w:right w:val="none" w:sz="0" w:space="0" w:color="auto"/>
          </w:divBdr>
        </w:div>
        <w:div w:id="1668825297">
          <w:marLeft w:val="0"/>
          <w:marRight w:val="0"/>
          <w:marTop w:val="0"/>
          <w:marBottom w:val="0"/>
          <w:divBdr>
            <w:top w:val="none" w:sz="0" w:space="0" w:color="auto"/>
            <w:left w:val="none" w:sz="0" w:space="0" w:color="auto"/>
            <w:bottom w:val="none" w:sz="0" w:space="0" w:color="auto"/>
            <w:right w:val="none" w:sz="0" w:space="0" w:color="auto"/>
          </w:divBdr>
        </w:div>
        <w:div w:id="596713425">
          <w:marLeft w:val="0"/>
          <w:marRight w:val="0"/>
          <w:marTop w:val="0"/>
          <w:marBottom w:val="0"/>
          <w:divBdr>
            <w:top w:val="none" w:sz="0" w:space="0" w:color="auto"/>
            <w:left w:val="none" w:sz="0" w:space="0" w:color="auto"/>
            <w:bottom w:val="none" w:sz="0" w:space="0" w:color="auto"/>
            <w:right w:val="none" w:sz="0" w:space="0" w:color="auto"/>
          </w:divBdr>
        </w:div>
        <w:div w:id="355544057">
          <w:marLeft w:val="0"/>
          <w:marRight w:val="0"/>
          <w:marTop w:val="0"/>
          <w:marBottom w:val="0"/>
          <w:divBdr>
            <w:top w:val="none" w:sz="0" w:space="0" w:color="auto"/>
            <w:left w:val="none" w:sz="0" w:space="0" w:color="auto"/>
            <w:bottom w:val="none" w:sz="0" w:space="0" w:color="auto"/>
            <w:right w:val="none" w:sz="0" w:space="0" w:color="auto"/>
          </w:divBdr>
        </w:div>
        <w:div w:id="210045895">
          <w:marLeft w:val="0"/>
          <w:marRight w:val="0"/>
          <w:marTop w:val="0"/>
          <w:marBottom w:val="0"/>
          <w:divBdr>
            <w:top w:val="none" w:sz="0" w:space="0" w:color="auto"/>
            <w:left w:val="none" w:sz="0" w:space="0" w:color="auto"/>
            <w:bottom w:val="none" w:sz="0" w:space="0" w:color="auto"/>
            <w:right w:val="none" w:sz="0" w:space="0" w:color="auto"/>
          </w:divBdr>
        </w:div>
        <w:div w:id="1252810003">
          <w:marLeft w:val="0"/>
          <w:marRight w:val="0"/>
          <w:marTop w:val="0"/>
          <w:marBottom w:val="0"/>
          <w:divBdr>
            <w:top w:val="none" w:sz="0" w:space="0" w:color="auto"/>
            <w:left w:val="none" w:sz="0" w:space="0" w:color="auto"/>
            <w:bottom w:val="none" w:sz="0" w:space="0" w:color="auto"/>
            <w:right w:val="none" w:sz="0" w:space="0" w:color="auto"/>
          </w:divBdr>
        </w:div>
      </w:divsChild>
    </w:div>
    <w:div w:id="21342538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relatoria.colombiacompra.gov.co/busqueda/conceptos" TargetMode="External"/><Relationship Id="rId18" Type="http://schemas.openxmlformats.org/officeDocument/2006/relationships/image" Target="media/image3.png"/><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mailto:olcacare19@gmail.com" TargetMode="External"/><Relationship Id="rId17" Type="http://schemas.openxmlformats.org/officeDocument/2006/relationships/hyperlink" Target="https://nam02.safelinks.protection.outlook.com/?url=https%3A%2F%2Fwww.colombiacompra.gov.co%2Farchivos%2Fboletin%2Fboletin-edicion-n-3-de-2026-radar-de-la-compra-publica&amp;data=05%7C02%7Cana.ortizb%40colombiacompra.gov.co%7C7128555136e04fa6887d08dee99e1b50%7C7b09041e245149d08cb179d5e3d8c1be%7C0%7C0%7C639205062447842602%7CUnknown%7CTWFpbGZsb3d8eyJFbXB0eU1hcGkiOnRydWUsIlYiOiIwLjAuMDAwMCIsIlAiOiJXaW4zMiIsIkFOIjoiTWFpbCIsIldUIjoyfQ%3D%3D%7C0%7C%7C%7C&amp;sdata=kD1M1HbLmaYne%2FjmafRdlI2lWjfy6Ao%2BJcGmraP%2F8NM%3D&amp;reserved=0" TargetMode="External"/><Relationship Id="rId2" Type="http://schemas.openxmlformats.org/officeDocument/2006/relationships/customXml" Target="../customXml/item2.xml"/><Relationship Id="rId16" Type="http://schemas.openxmlformats.org/officeDocument/2006/relationships/hyperlink" Target="https://nam02.safelinks.protection.outlook.com/?url=https%3A%2F%2Fwww.colombiacompra.gov.co%2Farchivos%2Fcircular%2Fcircular-externa-002-de-2026&amp;data=05%7C02%7Cana.ortizb%40colombiacompra.gov.co%7C7128555136e04fa6887d08dee99e1b50%7C7b09041e245149d08cb179d5e3d8c1be%7C0%7C0%7C639205062447795971%7CUnknown%7CTWFpbGZsb3d8eyJFbXB0eU1hcGkiOnRydWUsIlYiOiIwLjAuMDAwMCIsIlAiOiJXaW4zMiIsIkFOIjoiTWFpbCIsIldUIjoyfQ%3D%3D%7C0%7C%7C%7C&amp;sdata=9LIurxl2Vaut8bRBIT695McE332T4L3gq3qjukjVKIA%3D&amp;reserved=0"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png"/><Relationship Id="rId5" Type="http://schemas.openxmlformats.org/officeDocument/2006/relationships/numbering" Target="numbering.xml"/><Relationship Id="rId15" Type="http://schemas.openxmlformats.org/officeDocument/2006/relationships/hyperlink" Target="https://nam02.safelinks.protection.outlook.com/?url=https%3A%2F%2Fwww.colombiacompra.gov.co%2Farchivos%2Fcircular%2Fcircular-externa-003-de-2026&amp;data=05%7C02%7Cana.ortizb%40colombiacompra.gov.co%7C7128555136e04fa6887d08dee99e1b50%7C7b09041e245149d08cb179d5e3d8c1be%7C0%7C0%7C639205062447746326%7CUnknown%7CTWFpbGZsb3d8eyJFbXB0eU1hcGkiOnRydWUsIlYiOiIwLjAuMDAwMCIsIlAiOiJXaW4zMiIsIkFOIjoiTWFpbCIsIldUIjoyfQ%3D%3D%7C0%7C%7C%7C&amp;sdata=yBZOiwifibQ%2BzamlsmG3bxCSMq%2BxW90FHMBFh%2BwCJvw%3D&amp;reserved=0" TargetMode="Externa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nam02.safelinks.protection.outlook.com/?url=https%3A%2F%2Fwww.colombiacompra.gov.co%2Farchivos%2Fmanual%2Fguia-de-garantias-en-procesos-de-contratacion&amp;data=05%7C02%7Cana.ortizb%40colombiacompra.gov.co%7C7128555136e04fa6887d08dee99e1b50%7C7b09041e245149d08cb179d5e3d8c1be%7C0%7C0%7C639205062447699700%7CUnknown%7CTWFpbGZsb3d8eyJFbXB0eU1hcGkiOnRydWUsIlYiOiIwLjAuMDAwMCIsIlAiOiJXaW4zMiIsIkFOIjoiTWFpbCIsIldUIjoyfQ%3D%3D%7C0%7C%7C%7C&amp;sdata=WvSehHsLM6sWuccCKpODAneUPluUj1%2F4CrYuhBPpv20%3D&amp;reserved=0"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pn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F2E0F32964D9B84EA054B84E5D4157A0" ma:contentTypeVersion="20" ma:contentTypeDescription="Crear nuevo documento." ma:contentTypeScope="" ma:versionID="3aa158c1e2510b50ba9620437d74e4ff">
  <xsd:schema xmlns:xsd="http://www.w3.org/2001/XMLSchema" xmlns:xs="http://www.w3.org/2001/XMLSchema" xmlns:p="http://schemas.microsoft.com/office/2006/metadata/properties" xmlns:ns2="9d85dbaf-23eb-4e57-a637-93dcacc8b1a1" xmlns:ns3="a6cb9e4b-f1d1-4245-83ec-6cad768d538a" targetNamespace="http://schemas.microsoft.com/office/2006/metadata/properties" ma:root="true" ma:fieldsID="41aa8ca4bdcfc2e304923d637cfc37a1" ns2:_="" ns3:_="">
    <xsd:import namespace="9d85dbaf-23eb-4e57-a637-93dcacc8b1a1"/>
    <xsd:import namespace="a6cb9e4b-f1d1-4245-83ec-6cad768d538a"/>
    <xsd:element name="properties">
      <xsd:complexType>
        <xsd:sequence>
          <xsd:element name="documentManagement">
            <xsd:complexType>
              <xsd:all>
                <xsd:element ref="ns2:MediaServiceMetadata" minOccurs="0"/>
                <xsd:element ref="ns2:MediaServiceFastMetadata" minOccurs="0"/>
                <xsd:element ref="ns2:MediaServiceEventHashCode" minOccurs="0"/>
                <xsd:element ref="ns2:MediaServiceGenerationTime" minOccurs="0"/>
                <xsd:element ref="ns3:SharedWithUsers" minOccurs="0"/>
                <xsd:element ref="ns3:SharedWithDetails" minOccurs="0"/>
                <xsd:element ref="ns2:MediaServiceAutoTags" minOccurs="0"/>
                <xsd:element ref="ns2:MediaServiceOCR" minOccurs="0"/>
                <xsd:element ref="ns2:MediaServiceDateTaken" minOccurs="0"/>
                <xsd:element ref="ns2:MediaServiceAutoKeyPoints" minOccurs="0"/>
                <xsd:element ref="ns2:MediaServiceKeyPoints" minOccurs="0"/>
                <xsd:element ref="ns2:No" minOccurs="0"/>
                <xsd:element ref="ns2:MediaLengthInSeconds" minOccurs="0"/>
                <xsd:element ref="ns2:lcf76f155ced4ddcb4097134ff3c332f" minOccurs="0"/>
                <xsd:element ref="ns3:TaxCatchAll" minOccurs="0"/>
                <xsd:element ref="ns2:MediaServiceObjectDetectorVersions" minOccurs="0"/>
                <xsd:element ref="ns2:_Flow_SignoffStatu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85dbaf-23eb-4e57-a637-93dcacc8b1a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EventHashCode" ma:index="10" nillable="true" ma:displayName="MediaServiceEventHashCode" ma:hidden="true" ma:internalName="MediaServiceEventHashCode"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No" ma:index="19" nillable="true" ma:displayName="No" ma:format="Dropdown" ma:internalName="No" ma:percentage="FALSE">
      <xsd:simpleType>
        <xsd:restriction base="dms:Number"/>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Etiquetas de imagen" ma:readOnly="false" ma:fieldId="{5cf76f15-5ced-4ddc-b409-7134ff3c332f}" ma:taxonomyMulti="true" ma:sspId="d11a0eb6-ad86-4071-a759-4f0356bdcc6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_Flow_SignoffStatus" ma:index="25" nillable="true" ma:displayName="Estado de aprobación" ma:internalName="Estado_x0020_de_x0020_aprobaci_x00f3_n">
      <xsd:simpleType>
        <xsd:restriction base="dms:Text"/>
      </xsd:simpleType>
    </xsd:element>
    <xsd:element name="MediaServiceLocation" ma:index="26" nillable="true" ma:displayName="Location" ma:description="" ma:indexed="true" ma:internalName="MediaServiceLocation"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6cb9e4b-f1d1-4245-83ec-6cad768d538a" elementFormDefault="qualified">
    <xsd:import namespace="http://schemas.microsoft.com/office/2006/documentManagement/types"/>
    <xsd:import namespace="http://schemas.microsoft.com/office/infopath/2007/PartnerControls"/>
    <xsd:element name="SharedWithUsers" ma:index="12"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Detalles de uso compartido" ma:internalName="SharedWithDetails" ma:readOnly="true">
      <xsd:simpleType>
        <xsd:restriction base="dms:Note">
          <xsd:maxLength value="255"/>
        </xsd:restriction>
      </xsd:simpleType>
    </xsd:element>
    <xsd:element name="TaxCatchAll" ma:index="23" nillable="true" ma:displayName="Taxonomy Catch All Column" ma:hidden="true" ma:list="{1105a6f2-09f1-4f7d-bab9-e03f1dc4ac6e}" ma:internalName="TaxCatchAll" ma:showField="CatchAllData" ma:web="a6cb9e4b-f1d1-4245-83ec-6cad768d538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No xmlns="9d85dbaf-23eb-4e57-a637-93dcacc8b1a1" xsi:nil="true"/>
    <TaxCatchAll xmlns="a6cb9e4b-f1d1-4245-83ec-6cad768d538a" xsi:nil="true"/>
    <_Flow_SignoffStatus xmlns="9d85dbaf-23eb-4e57-a637-93dcacc8b1a1" xsi:nil="true"/>
    <lcf76f155ced4ddcb4097134ff3c332f xmlns="9d85dbaf-23eb-4e57-a637-93dcacc8b1a1">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58FD12F-F80F-4403-A1AE-46929C56457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d85dbaf-23eb-4e57-a637-93dcacc8b1a1"/>
    <ds:schemaRef ds:uri="a6cb9e4b-f1d1-4245-83ec-6cad768d53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63618BE-28CB-4D69-955E-CDA788483BED}">
  <ds:schemaRefs>
    <ds:schemaRef ds:uri="http://schemas.microsoft.com/office/2006/metadata/properties"/>
    <ds:schemaRef ds:uri="http://schemas.microsoft.com/office/infopath/2007/PartnerControls"/>
    <ds:schemaRef ds:uri="9d85dbaf-23eb-4e57-a637-93dcacc8b1a1"/>
    <ds:schemaRef ds:uri="a6cb9e4b-f1d1-4245-83ec-6cad768d538a"/>
  </ds:schemaRefs>
</ds:datastoreItem>
</file>

<file path=customXml/itemProps3.xml><?xml version="1.0" encoding="utf-8"?>
<ds:datastoreItem xmlns:ds="http://schemas.openxmlformats.org/officeDocument/2006/customXml" ds:itemID="{AEF56FF2-4AF9-43C5-959E-E83F46687441}">
  <ds:schemaRefs>
    <ds:schemaRef ds:uri="http://schemas.openxmlformats.org/officeDocument/2006/bibliography"/>
  </ds:schemaRefs>
</ds:datastoreItem>
</file>

<file path=customXml/itemProps4.xml><?xml version="1.0" encoding="utf-8"?>
<ds:datastoreItem xmlns:ds="http://schemas.openxmlformats.org/officeDocument/2006/customXml" ds:itemID="{19B0637E-D058-473B-8FE7-AA861F69C797}">
  <ds:schemaRefs>
    <ds:schemaRef ds:uri="http://schemas.microsoft.com/sharepoint/v3/contenttype/forms"/>
  </ds:schemaRefs>
</ds:datastoreItem>
</file>

<file path=docMetadata/LabelInfo.xml><?xml version="1.0" encoding="utf-8"?>
<clbl:labelList xmlns:clbl="http://schemas.microsoft.com/office/2020/mipLabelMetadata">
  <clbl:label id="{7b09041e-2451-49d0-8cb1-79d5e3d8c1be}" enabled="0" method="" siteId="{7b09041e-2451-49d0-8cb1-79d5e3d8c1be}" removed="1"/>
</clbl:labelList>
</file>

<file path=docProps/app.xml><?xml version="1.0" encoding="utf-8"?>
<Properties xmlns="http://schemas.openxmlformats.org/officeDocument/2006/extended-properties" xmlns:vt="http://schemas.openxmlformats.org/officeDocument/2006/docPropsVTypes">
  <Template>Normal</Template>
  <TotalTime>4</TotalTime>
  <Pages>21</Pages>
  <Words>7252</Words>
  <Characters>39889</Characters>
  <Application>Microsoft Office Word</Application>
  <DocSecurity>0</DocSecurity>
  <Lines>332</Lines>
  <Paragraphs>94</Paragraphs>
  <ScaleCrop>false</ScaleCrop>
  <Company/>
  <LinksUpToDate>false</LinksUpToDate>
  <CharactersWithSpaces>47047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Andrés Felipe Ospina Acosta</dc:creator>
  <cp:keywords/>
  <dc:description/>
  <cp:lastModifiedBy>Ana María Ortiz Ballesteros</cp:lastModifiedBy>
  <cp:revision>12</cp:revision>
  <cp:lastPrinted>2023-01-10T21:18:00Z</cp:lastPrinted>
  <dcterms:created xsi:type="dcterms:W3CDTF">2026-08-14T15:08:00Z</dcterms:created>
  <dcterms:modified xsi:type="dcterms:W3CDTF">2026-08-15T05:06:00Z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0x010100F2E0F32964D9B84EA054B84E5D4157A0</vt:lpwstr>
  </property>
  <property fmtid="{D5CDD505-2E9C-101B-9397-08002B2CF9AE}" pid="3" name="MediaServiceImageTags">
    <vt:lpwstr/>
  </property>
</Properties>
</file>