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A49BD" w14:textId="77777777" w:rsidR="004F31DA" w:rsidRDefault="00000000">
      <w:pPr>
        <w:tabs>
          <w:tab w:val="left" w:pos="426"/>
        </w:tabs>
        <w:spacing w:line="240" w:lineRule="auto"/>
        <w:contextualSpacing/>
        <w:jc w:val="both"/>
        <w:rPr>
          <w:rFonts w:ascii="Verdana" w:eastAsia="Verdana" w:hAnsi="Verdana" w:cs="Verdana"/>
          <w:b/>
          <w:bCs/>
          <w:color w:val="000000" w:themeColor="text1"/>
        </w:rPr>
      </w:pPr>
      <w:r>
        <w:rPr>
          <w:rFonts w:ascii="Verdana" w:eastAsia="Verdana" w:hAnsi="Verdana" w:cs="Verdana"/>
          <w:b/>
          <w:bCs/>
          <w:color w:val="000000" w:themeColor="text1"/>
        </w:rPr>
        <w:t>CONTRATO ESTATAL – Ejecución – Funciones de control y vigilancia</w:t>
      </w:r>
    </w:p>
    <w:p w14:paraId="7E1BDFF4"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0E6B7D11" w14:textId="77777777" w:rsidR="004F31DA" w:rsidRPr="00241E7F" w:rsidRDefault="00000000">
      <w:pPr>
        <w:tabs>
          <w:tab w:val="left" w:pos="426"/>
        </w:tabs>
        <w:spacing w:line="240" w:lineRule="auto"/>
        <w:contextualSpacing/>
        <w:jc w:val="both"/>
        <w:rPr>
          <w:rFonts w:ascii="Verdana" w:eastAsia="Verdana" w:hAnsi="Verdana" w:cs="Verdana"/>
          <w:color w:val="000000" w:themeColor="text1"/>
          <w:sz w:val="20"/>
          <w:szCs w:val="20"/>
        </w:rPr>
      </w:pPr>
      <w:r w:rsidRPr="00241E7F">
        <w:rPr>
          <w:rFonts w:ascii="Verdana" w:eastAsia="Verdana" w:hAnsi="Verdana" w:cs="Verdana"/>
          <w:color w:val="000000" w:themeColor="text1"/>
          <w:sz w:val="20"/>
          <w:szCs w:val="20"/>
        </w:rPr>
        <w:t>A través de la actividad contractual, el Estado adquiere bienes, obras y servicios para cumplir los fines que le impone el ordenamiento jurídico. Para la garantía de los fines de interés general involucrados en la contratación, el Estatuto General de Contratación de la Administración Pública dispone que, en la etapa de ejecución del contrato, las Entidades Estatales y los servidores públicos que participan en ella tienen la obligación de controlar y vigilar la correcta ejecución del objeto contratado. Los artículos 4, 5, 12, 14 y 26 de la Ley 80 de 1993 consagran normas relacionadas con dicho control y vigilancia.</w:t>
      </w:r>
    </w:p>
    <w:p w14:paraId="4CA9BE88"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26FF3A94" w14:textId="77777777" w:rsidR="004F31DA" w:rsidRDefault="00000000">
      <w:pPr>
        <w:tabs>
          <w:tab w:val="left" w:pos="426"/>
        </w:tabs>
        <w:spacing w:line="240" w:lineRule="auto"/>
        <w:contextualSpacing/>
        <w:jc w:val="both"/>
        <w:rPr>
          <w:rFonts w:ascii="Verdana" w:eastAsia="Verdana" w:hAnsi="Verdana" w:cs="Verdana"/>
          <w:b/>
          <w:bCs/>
          <w:color w:val="000000" w:themeColor="text1"/>
        </w:rPr>
      </w:pPr>
      <w:r>
        <w:rPr>
          <w:rFonts w:ascii="Verdana" w:eastAsia="Verdana" w:hAnsi="Verdana" w:cs="Verdana"/>
          <w:b/>
          <w:bCs/>
          <w:color w:val="000000" w:themeColor="text1"/>
        </w:rPr>
        <w:t>SUPERVISIÓN – Alcance – Seguimiento técnico, administrativo, financiero, contable y jurídico – Artículo 83 de la Ley 1474 de 2011</w:t>
      </w:r>
    </w:p>
    <w:p w14:paraId="28770B12"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79F07A11" w14:textId="77777777" w:rsidR="004F31DA" w:rsidRPr="00241E7F" w:rsidRDefault="00000000">
      <w:pPr>
        <w:tabs>
          <w:tab w:val="left" w:pos="426"/>
        </w:tabs>
        <w:spacing w:line="240" w:lineRule="auto"/>
        <w:contextualSpacing/>
        <w:jc w:val="both"/>
        <w:rPr>
          <w:rFonts w:ascii="Verdana" w:eastAsia="Verdana" w:hAnsi="Verdana" w:cs="Verdana"/>
          <w:color w:val="000000" w:themeColor="text1"/>
          <w:sz w:val="20"/>
          <w:szCs w:val="20"/>
        </w:rPr>
      </w:pPr>
      <w:r w:rsidRPr="00241E7F">
        <w:rPr>
          <w:rFonts w:ascii="Verdana" w:eastAsia="Verdana" w:hAnsi="Verdana" w:cs="Verdana"/>
          <w:color w:val="000000" w:themeColor="text1"/>
          <w:sz w:val="20"/>
          <w:szCs w:val="20"/>
        </w:rPr>
        <w:t>El artículo 83 de la Ley 1474 de 2011 dispone que las Entidades Estatales deben ejercer la supervisión o interventoría de los contratos estatales para verificar el cumplimiento de las condiciones pactadas, prevenir actos de corrupción y garantizar la correcta ejecución de los recursos públicos. La supervisión consiste en el seguimiento técnico, administrativo, financiero, contable y jurídico que sobre el cumplimiento del objeto del contrato ejerce la propia entidad. En el trámite de pago, el supervisor constituye el principal mecanismo de control y es el encargado de certificar la adecuada prestación del servicio o la entrega de los bienes contratados, lo cual sirve de soporte para el reconocimiento del pago al contratista.</w:t>
      </w:r>
    </w:p>
    <w:p w14:paraId="1987D7C9"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0B6E0C5F" w14:textId="77777777" w:rsidR="004F31DA" w:rsidRDefault="00000000">
      <w:pPr>
        <w:tabs>
          <w:tab w:val="left" w:pos="426"/>
        </w:tabs>
        <w:spacing w:line="240" w:lineRule="auto"/>
        <w:contextualSpacing/>
        <w:jc w:val="both"/>
        <w:rPr>
          <w:rFonts w:ascii="Verdana" w:eastAsia="Verdana" w:hAnsi="Verdana" w:cs="Verdana"/>
          <w:b/>
          <w:bCs/>
          <w:color w:val="000000" w:themeColor="text1"/>
        </w:rPr>
      </w:pPr>
      <w:r>
        <w:rPr>
          <w:rFonts w:ascii="Verdana" w:eastAsia="Verdana" w:hAnsi="Verdana" w:cs="Verdana"/>
          <w:b/>
          <w:bCs/>
          <w:color w:val="000000" w:themeColor="text1"/>
        </w:rPr>
        <w:t>SUPERVISIÓN – Designación – Delegación – Comunicación</w:t>
      </w:r>
    </w:p>
    <w:p w14:paraId="17DD3D87"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1D8E338B" w14:textId="77777777" w:rsidR="004F31DA" w:rsidRPr="00241E7F" w:rsidRDefault="00000000">
      <w:pPr>
        <w:tabs>
          <w:tab w:val="left" w:pos="426"/>
        </w:tabs>
        <w:spacing w:line="240" w:lineRule="auto"/>
        <w:contextualSpacing/>
        <w:jc w:val="both"/>
        <w:rPr>
          <w:rFonts w:ascii="Verdana" w:eastAsia="Verdana" w:hAnsi="Verdana" w:cs="Verdana"/>
          <w:color w:val="000000" w:themeColor="text1"/>
          <w:sz w:val="20"/>
          <w:szCs w:val="20"/>
        </w:rPr>
      </w:pPr>
      <w:r w:rsidRPr="00241E7F">
        <w:rPr>
          <w:rFonts w:ascii="Verdana" w:eastAsia="Verdana" w:hAnsi="Verdana" w:cs="Verdana"/>
          <w:color w:val="000000" w:themeColor="text1"/>
          <w:sz w:val="20"/>
          <w:szCs w:val="20"/>
        </w:rPr>
        <w:t>La designación del supervisor no constituye una delegación en los términos del artículo 9 de la Ley 489 de 1998 ni del artículo 12 de la Ley 80 de 1993, pues la función de supervisión es inherente al desempeño de las funciones ordinarias de los servidores públicos, según el artículo 83 de la Ley 1474 de 2011. Las funciones del supervisor pueden definirse en el pliego de condiciones, en una cláusula del contrato, en el manual de contratación o en el acto de asignación de la función, y en todos los casos deben comunicarse al funcionario designado.</w:t>
      </w:r>
    </w:p>
    <w:p w14:paraId="735C2A9E"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31DBE869" w14:textId="77777777" w:rsidR="004F31DA" w:rsidRDefault="00000000">
      <w:pPr>
        <w:tabs>
          <w:tab w:val="left" w:pos="426"/>
        </w:tabs>
        <w:spacing w:line="240" w:lineRule="auto"/>
        <w:contextualSpacing/>
        <w:jc w:val="both"/>
        <w:rPr>
          <w:rFonts w:ascii="Verdana" w:eastAsia="Verdana" w:hAnsi="Verdana" w:cs="Verdana"/>
          <w:b/>
          <w:bCs/>
          <w:color w:val="000000" w:themeColor="text1"/>
        </w:rPr>
      </w:pPr>
      <w:r>
        <w:rPr>
          <w:rFonts w:ascii="Verdana" w:eastAsia="Verdana" w:hAnsi="Verdana" w:cs="Verdana"/>
          <w:b/>
          <w:bCs/>
          <w:color w:val="000000" w:themeColor="text1"/>
        </w:rPr>
        <w:t>TRÁMITE DE PAGO – Procedimiento – Manual de contratación – Áreas financieras, presupuestales y contables</w:t>
      </w:r>
    </w:p>
    <w:p w14:paraId="5C6FC51B"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46E98928" w14:textId="77777777" w:rsidR="004F31DA" w:rsidRPr="00241E7F" w:rsidRDefault="00000000">
      <w:pPr>
        <w:tabs>
          <w:tab w:val="left" w:pos="426"/>
        </w:tabs>
        <w:spacing w:line="240" w:lineRule="auto"/>
        <w:contextualSpacing/>
        <w:jc w:val="both"/>
        <w:rPr>
          <w:rFonts w:ascii="Verdana" w:eastAsia="Verdana" w:hAnsi="Verdana" w:cs="Verdana"/>
          <w:color w:val="000000" w:themeColor="text1"/>
          <w:sz w:val="20"/>
          <w:szCs w:val="20"/>
        </w:rPr>
      </w:pPr>
      <w:r w:rsidRPr="00241E7F">
        <w:rPr>
          <w:rFonts w:ascii="Verdana" w:eastAsia="Verdana" w:hAnsi="Verdana" w:cs="Verdana"/>
          <w:color w:val="000000" w:themeColor="text1"/>
          <w:sz w:val="20"/>
          <w:szCs w:val="20"/>
        </w:rPr>
        <w:t>El ordenamiento jurídico que regula la contratación estatal no establece de manera expresa un funcionario específico ni un procedimiento único para adelantar el pago. Corresponde a cada Entidad Estatal, en ejercicio de su autonomía administrativa y mediante su manual de contratación —o de los demás manuales que haya adoptado, como el manual de supervisión e interventoría—, definir el funcionario o dependencia responsable de adelantar y aprobar el trámite de pago, así como las validaciones presupuestales, financieras y contables que corresponden a las respectivas áreas.</w:t>
      </w:r>
    </w:p>
    <w:p w14:paraId="083F9009"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09856E35" w14:textId="77777777" w:rsidR="004F31DA" w:rsidRDefault="00000000">
      <w:pPr>
        <w:tabs>
          <w:tab w:val="left" w:pos="426"/>
        </w:tabs>
        <w:spacing w:line="240" w:lineRule="auto"/>
        <w:contextualSpacing/>
        <w:jc w:val="both"/>
        <w:rPr>
          <w:rFonts w:ascii="Verdana" w:eastAsia="Verdana" w:hAnsi="Verdana" w:cs="Verdana"/>
          <w:b/>
          <w:bCs/>
          <w:color w:val="000000" w:themeColor="text1"/>
        </w:rPr>
      </w:pPr>
      <w:r>
        <w:rPr>
          <w:rFonts w:ascii="Verdana" w:eastAsia="Verdana" w:hAnsi="Verdana" w:cs="Verdana"/>
          <w:b/>
          <w:bCs/>
          <w:color w:val="000000" w:themeColor="text1"/>
        </w:rPr>
        <w:t>SECOP II – Gestión del pago – Módulo Plan de Pagos – Cuentas de cobro</w:t>
      </w:r>
    </w:p>
    <w:p w14:paraId="5EE19EED"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109AC25E" w14:textId="77777777" w:rsidR="004F31DA" w:rsidRPr="00241E7F" w:rsidRDefault="00000000">
      <w:pPr>
        <w:tabs>
          <w:tab w:val="left" w:pos="426"/>
        </w:tabs>
        <w:spacing w:line="240" w:lineRule="auto"/>
        <w:contextualSpacing/>
        <w:jc w:val="both"/>
        <w:rPr>
          <w:rFonts w:ascii="Verdana" w:eastAsia="Verdana" w:hAnsi="Verdana" w:cs="Verdana"/>
          <w:color w:val="000000" w:themeColor="text1"/>
          <w:sz w:val="20"/>
          <w:szCs w:val="20"/>
        </w:rPr>
      </w:pPr>
      <w:r w:rsidRPr="00241E7F">
        <w:rPr>
          <w:rFonts w:ascii="Verdana" w:eastAsia="Verdana" w:hAnsi="Verdana" w:cs="Verdana"/>
          <w:color w:val="000000" w:themeColor="text1"/>
          <w:sz w:val="20"/>
          <w:szCs w:val="20"/>
        </w:rPr>
        <w:t>En virtud del principio de autonomía de la voluntad, las partes pueden fijar en el contrato el procedimiento y los documentos necesarios para el pago, en consideración de lo que arroje la etapa de planeación. Cuando el proceso se gestiona en el SECOP II, para la publicidad de la ejecución del contrato se recomienda el uso del módulo de “Plan de Pagos” de la sección “7. Ejecución del contrato”, en el cual el contratista registra las facturas o cuentas de cobro y la entidad, en su deber de seguimiento, aprueba o rechaza la referencia del plan de pago según corresponda.</w:t>
      </w:r>
    </w:p>
    <w:p w14:paraId="1C1F4294" w14:textId="77777777" w:rsidR="004F31DA" w:rsidRDefault="004F31DA">
      <w:pPr>
        <w:tabs>
          <w:tab w:val="left" w:pos="426"/>
        </w:tabs>
        <w:spacing w:line="240" w:lineRule="auto"/>
        <w:contextualSpacing/>
        <w:jc w:val="both"/>
        <w:rPr>
          <w:rFonts w:ascii="Verdana" w:eastAsia="Verdana" w:hAnsi="Verdana" w:cs="Verdana"/>
          <w:b/>
          <w:bCs/>
          <w:color w:val="000000" w:themeColor="text1"/>
        </w:rPr>
      </w:pPr>
    </w:p>
    <w:p w14:paraId="7649E49B"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BD3FB08"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E522AF6"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146FD08"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6B65D15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C1C70E9"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A247BF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4B4FDC9"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E78EB4D"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FE7B64D"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7496CD5"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6E0FE73" w14:textId="77777777" w:rsidR="00093BF9" w:rsidRDefault="00093BF9" w:rsidP="00093BF9">
      <w:pPr>
        <w:tabs>
          <w:tab w:val="left" w:pos="426"/>
        </w:tabs>
        <w:spacing w:line="240" w:lineRule="auto"/>
        <w:contextualSpacing/>
        <w:jc w:val="both"/>
        <w:rPr>
          <w:rFonts w:ascii="Verdana" w:eastAsia="Verdana" w:hAnsi="Verdana" w:cs="Verdana"/>
          <w:color w:val="000000" w:themeColor="text1"/>
        </w:rPr>
      </w:pPr>
    </w:p>
    <w:p w14:paraId="508E37CD"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7AFF8BE3"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38A66A31"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6344B4D6" w14:textId="77777777" w:rsidR="00F56178" w:rsidRPr="00D13475" w:rsidRDefault="00F56178" w:rsidP="00093BF9">
      <w:pPr>
        <w:tabs>
          <w:tab w:val="left" w:pos="426"/>
        </w:tabs>
        <w:spacing w:line="240" w:lineRule="auto"/>
        <w:contextualSpacing/>
        <w:jc w:val="both"/>
        <w:rPr>
          <w:rFonts w:ascii="Verdana" w:eastAsia="Verdana" w:hAnsi="Verdana" w:cs="Verdana"/>
          <w:color w:val="000000" w:themeColor="text1"/>
        </w:rPr>
      </w:pPr>
    </w:p>
    <w:p w14:paraId="5DDA6A2E"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F284AE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67CDE10C"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603F697E" w14:textId="77777777" w:rsidR="00F56178" w:rsidRDefault="00F56178" w:rsidP="00B42204">
      <w:pPr>
        <w:spacing w:after="0" w:line="240" w:lineRule="auto"/>
        <w:rPr>
          <w:rFonts w:ascii="Verdana" w:eastAsia="Geomanist Light" w:hAnsi="Verdana" w:cs="Arial"/>
        </w:rPr>
      </w:pPr>
    </w:p>
    <w:p w14:paraId="7BBEE255" w14:textId="77777777" w:rsidR="00F56178" w:rsidRDefault="00F56178" w:rsidP="00B42204">
      <w:pPr>
        <w:spacing w:after="0" w:line="240" w:lineRule="auto"/>
        <w:rPr>
          <w:rFonts w:ascii="Verdana" w:eastAsia="Geomanist Light" w:hAnsi="Verdana" w:cs="Arial"/>
        </w:rPr>
      </w:pPr>
    </w:p>
    <w:p w14:paraId="6D8AD156" w14:textId="77777777" w:rsidR="00E002CA" w:rsidRDefault="00E002CA" w:rsidP="00B42204">
      <w:pPr>
        <w:spacing w:after="0" w:line="240" w:lineRule="auto"/>
        <w:rPr>
          <w:rFonts w:ascii="Verdana" w:eastAsia="Geomanist Light" w:hAnsi="Verdana" w:cs="Arial"/>
        </w:rPr>
      </w:pPr>
    </w:p>
    <w:p w14:paraId="3474C5EC" w14:textId="77777777" w:rsidR="00E002CA" w:rsidRDefault="00E002CA" w:rsidP="00B42204">
      <w:pPr>
        <w:spacing w:after="0" w:line="240" w:lineRule="auto"/>
        <w:rPr>
          <w:rFonts w:ascii="Verdana" w:eastAsia="Geomanist Light" w:hAnsi="Verdana" w:cs="Arial"/>
        </w:rPr>
      </w:pPr>
    </w:p>
    <w:p w14:paraId="64FDD5BB" w14:textId="77777777" w:rsidR="00F56178" w:rsidRDefault="00F56178" w:rsidP="00B42204">
      <w:pPr>
        <w:spacing w:after="0" w:line="240" w:lineRule="auto"/>
        <w:rPr>
          <w:rFonts w:ascii="Verdana" w:eastAsia="Geomanist Light" w:hAnsi="Verdana" w:cs="Arial"/>
        </w:rPr>
      </w:pPr>
    </w:p>
    <w:p w14:paraId="78FD54B3" w14:textId="77777777" w:rsidR="00F56178" w:rsidRDefault="00F56178" w:rsidP="00B42204">
      <w:pPr>
        <w:spacing w:after="0" w:line="240" w:lineRule="auto"/>
        <w:rPr>
          <w:rFonts w:ascii="Verdana" w:eastAsia="Geomanist Light" w:hAnsi="Verdana" w:cs="Arial"/>
        </w:rPr>
      </w:pPr>
    </w:p>
    <w:p w14:paraId="29A75B34" w14:textId="77777777" w:rsidR="00F56178" w:rsidRDefault="00F56178" w:rsidP="00B42204">
      <w:pPr>
        <w:spacing w:after="0" w:line="240" w:lineRule="auto"/>
        <w:rPr>
          <w:rFonts w:ascii="Verdana" w:eastAsia="Geomanist Light" w:hAnsi="Verdana" w:cs="Arial"/>
        </w:rPr>
      </w:pPr>
    </w:p>
    <w:p w14:paraId="04B123EA" w14:textId="26610923" w:rsidR="00E002CA" w:rsidRPr="00777292" w:rsidRDefault="00182CEC" w:rsidP="00E002CA">
      <w:pPr>
        <w:spacing w:after="0"/>
        <w:rPr>
          <w:rFonts w:ascii="Verdana" w:hAnsi="Verdana"/>
          <w:lang w:val="es-ES_tradnl"/>
        </w:rPr>
      </w:pPr>
      <w:r w:rsidRPr="00182CEC">
        <w:rPr>
          <w:rFonts w:ascii="Verdana" w:eastAsia="Calibri" w:hAnsi="Verdana" w:cs="Arial"/>
          <w:noProof/>
          <w:color w:val="000000" w:themeColor="text1"/>
          <w:lang w:eastAsia="es-ES_tradnl"/>
        </w:rPr>
        <w:lastRenderedPageBreak/>
        <w:drawing>
          <wp:anchor distT="0" distB="0" distL="114300" distR="114300" simplePos="0" relativeHeight="251658240" behindDoc="1" locked="0" layoutInCell="1" allowOverlap="1" wp14:anchorId="5D322BE7" wp14:editId="7AF24520">
            <wp:simplePos x="0" y="0"/>
            <wp:positionH relativeFrom="column">
              <wp:posOffset>3148965</wp:posOffset>
            </wp:positionH>
            <wp:positionV relativeFrom="paragraph">
              <wp:posOffset>0</wp:posOffset>
            </wp:positionV>
            <wp:extent cx="3543795" cy="1028844"/>
            <wp:effectExtent l="0" t="0" r="0" b="0"/>
            <wp:wrapTight wrapText="bothSides">
              <wp:wrapPolygon edited="0">
                <wp:start x="0" y="0"/>
                <wp:lineTo x="0" y="21200"/>
                <wp:lineTo x="21484" y="21200"/>
                <wp:lineTo x="21484" y="0"/>
                <wp:lineTo x="0" y="0"/>
              </wp:wrapPolygon>
            </wp:wrapTight>
            <wp:docPr id="203868321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83214" name="Imagen 1" descr="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543795" cy="1028844"/>
                    </a:xfrm>
                    <a:prstGeom prst="rect">
                      <a:avLst/>
                    </a:prstGeom>
                  </pic:spPr>
                </pic:pic>
              </a:graphicData>
            </a:graphic>
            <wp14:sizeRelH relativeFrom="page">
              <wp14:pctWidth>0</wp14:pctWidth>
            </wp14:sizeRelH>
            <wp14:sizeRelV relativeFrom="page">
              <wp14:pctHeight>0</wp14:pctHeight>
            </wp14:sizeRelV>
          </wp:anchor>
        </w:drawing>
      </w:r>
      <w:r w:rsidRPr="00182CEC">
        <w:rPr>
          <w:rFonts w:ascii="Verdana" w:hAnsi="Verdana"/>
        </w:rPr>
        <w:t>Bogotá D.C., 28 de Julio de 2026</w:t>
      </w:r>
    </w:p>
    <w:p w14:paraId="26378568" w14:textId="052AC7DD" w:rsidR="007C31D6" w:rsidRPr="00D13475" w:rsidRDefault="007C31D6" w:rsidP="00093BF9">
      <w:pPr>
        <w:tabs>
          <w:tab w:val="left" w:pos="426"/>
        </w:tabs>
        <w:spacing w:line="240" w:lineRule="auto"/>
        <w:contextualSpacing/>
        <w:jc w:val="both"/>
        <w:rPr>
          <w:rFonts w:ascii="Verdana" w:eastAsia="Calibri" w:hAnsi="Verdana" w:cs="Arial"/>
          <w:noProof/>
          <w:color w:val="000000" w:themeColor="text1"/>
          <w:sz w:val="20"/>
          <w:szCs w:val="20"/>
          <w:lang w:val="es-ES_tradnl"/>
        </w:rPr>
      </w:pPr>
    </w:p>
    <w:p w14:paraId="3B05A280" w14:textId="77777777" w:rsidR="00CB1DED" w:rsidRPr="00D13475" w:rsidRDefault="00CB1DED" w:rsidP="007C31D6">
      <w:pPr>
        <w:spacing w:after="0" w:line="240" w:lineRule="auto"/>
        <w:rPr>
          <w:rFonts w:ascii="Verdana" w:eastAsia="Calibri" w:hAnsi="Verdana" w:cs="Arial"/>
          <w:color w:val="000000" w:themeColor="text1"/>
          <w:lang w:eastAsia="es-ES_tradnl"/>
        </w:rPr>
      </w:pPr>
    </w:p>
    <w:p w14:paraId="6237D96C" w14:textId="1DA64F49" w:rsidR="007C31D6" w:rsidRPr="00D13475" w:rsidRDefault="007C31D6"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 xml:space="preserve">Señor </w:t>
      </w:r>
    </w:p>
    <w:p w14:paraId="139CE4AC" w14:textId="77777777" w:rsidR="007C31D6" w:rsidRDefault="00EE1E2C" w:rsidP="007C31D6">
      <w:pPr>
        <w:spacing w:after="0" w:line="240" w:lineRule="auto"/>
        <w:rPr>
          <w:rFonts w:ascii="Verdana" w:eastAsia="Calibri" w:hAnsi="Verdana" w:cs="Arial"/>
          <w:b/>
          <w:bCs/>
          <w:color w:val="000000" w:themeColor="text1"/>
          <w:lang w:eastAsia="es-ES_tradnl"/>
        </w:rPr>
      </w:pPr>
      <w:r>
        <w:rPr>
          <w:rFonts w:ascii="Verdana" w:eastAsia="Calibri" w:hAnsi="Verdana" w:cs="Arial"/>
          <w:b/>
          <w:bCs/>
          <w:color w:val="000000" w:themeColor="text1"/>
          <w:lang w:eastAsia="es-ES_tradnl"/>
        </w:rPr>
        <w:t>Carlos Fernando Penagos Pastes</w:t>
      </w:r>
    </w:p>
    <w:p w14:paraId="04FD4533" w14:textId="36ECA31D" w:rsidR="002C39A1" w:rsidRPr="002C39A1" w:rsidRDefault="002C39A1"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Carlos.penagos@ejercito.mil.co</w:t>
      </w:r>
    </w:p>
    <w:p w14:paraId="0354572D" w14:textId="77777777" w:rsidR="009979E9" w:rsidRPr="009979E9" w:rsidRDefault="009979E9" w:rsidP="007C31D6">
      <w:pPr>
        <w:spacing w:after="0" w:line="240" w:lineRule="auto"/>
        <w:rPr>
          <w:rFonts w:ascii="Verdana" w:eastAsia="Calibri" w:hAnsi="Verdana" w:cs="Arial"/>
          <w:color w:val="000000" w:themeColor="text1"/>
          <w:lang w:eastAsia="es-ES_tradnl"/>
        </w:rPr>
      </w:pPr>
      <w:r>
        <w:rPr>
          <w:rFonts w:ascii="Verdana" w:hAnsi="Verdana"/>
        </w:rPr>
        <w:t>Bogotá, Cundinamarca</w:t>
      </w:r>
    </w:p>
    <w:p w14:paraId="55A0FBD0" w14:textId="77777777" w:rsidR="00BD40B4" w:rsidRPr="009979E9" w:rsidRDefault="00BD40B4" w:rsidP="007C31D6">
      <w:pPr>
        <w:spacing w:after="0" w:line="240" w:lineRule="auto"/>
        <w:rPr>
          <w:rFonts w:ascii="Verdana" w:eastAsia="Calibri" w:hAnsi="Verdana" w:cs="Arial"/>
          <w:color w:val="000000" w:themeColor="text1"/>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13475" w:rsidRPr="00D13475" w14:paraId="7EAAAFA1" w14:textId="77777777" w:rsidTr="000E7260">
        <w:trPr>
          <w:trHeight w:val="190"/>
        </w:trPr>
        <w:tc>
          <w:tcPr>
            <w:tcW w:w="2689" w:type="dxa"/>
          </w:tcPr>
          <w:p w14:paraId="1BE949B0" w14:textId="77777777" w:rsidR="007C31D6" w:rsidRPr="00D13475" w:rsidRDefault="007C31D6" w:rsidP="000E7260">
            <w:pPr>
              <w:jc w:val="both"/>
              <w:rPr>
                <w:rFonts w:ascii="Verdana" w:eastAsia="Calibri" w:hAnsi="Verdana" w:cs="Arial"/>
                <w:b/>
                <w:bCs/>
                <w:color w:val="000000" w:themeColor="text1"/>
                <w:lang w:eastAsia="es-ES_tradnl"/>
              </w:rPr>
            </w:pPr>
          </w:p>
        </w:tc>
        <w:tc>
          <w:tcPr>
            <w:tcW w:w="6100" w:type="dxa"/>
          </w:tcPr>
          <w:p w14:paraId="5FBC975D" w14:textId="188A16BC" w:rsidR="007C31D6" w:rsidRPr="00D13475" w:rsidRDefault="007C31D6" w:rsidP="000E7260">
            <w:pPr>
              <w:jc w:val="both"/>
              <w:rPr>
                <w:rFonts w:ascii="Verdana" w:eastAsia="Calibri" w:hAnsi="Verdana" w:cs="Arial"/>
                <w:b/>
                <w:bCs/>
                <w:color w:val="000000" w:themeColor="text1"/>
                <w:lang w:eastAsia="es-ES"/>
              </w:rPr>
            </w:pPr>
            <w:r>
              <w:rPr>
                <w:rFonts w:ascii="Verdana" w:eastAsia="Calibri" w:hAnsi="Verdana" w:cs="Arial"/>
                <w:b/>
                <w:bCs/>
                <w:color w:val="000000" w:themeColor="text1"/>
                <w:lang w:eastAsia="es-ES"/>
              </w:rPr>
              <w:t>Concepto C-973 de 2026</w:t>
            </w:r>
          </w:p>
          <w:p w14:paraId="6107ADFD" w14:textId="77777777" w:rsidR="007C31D6" w:rsidRPr="00D13475" w:rsidRDefault="007C31D6" w:rsidP="000E7260">
            <w:pPr>
              <w:jc w:val="both"/>
              <w:rPr>
                <w:rFonts w:ascii="Verdana" w:eastAsia="Calibri" w:hAnsi="Verdana" w:cs="Arial"/>
                <w:b/>
                <w:bCs/>
                <w:color w:val="000000" w:themeColor="text1"/>
                <w:lang w:eastAsia="es-ES"/>
              </w:rPr>
            </w:pPr>
          </w:p>
        </w:tc>
      </w:tr>
      <w:tr w:rsidR="00B42204" w:rsidRPr="00D13475" w14:paraId="09933C17" w14:textId="77777777" w:rsidTr="000E7260">
        <w:trPr>
          <w:trHeight w:val="884"/>
        </w:trPr>
        <w:tc>
          <w:tcPr>
            <w:tcW w:w="2689" w:type="dxa"/>
          </w:tcPr>
          <w:p w14:paraId="7520A2D4" w14:textId="77777777" w:rsidR="00B42204" w:rsidRPr="00D13475" w:rsidRDefault="00B42204" w:rsidP="00B42204">
            <w:pPr>
              <w:jc w:val="both"/>
              <w:rPr>
                <w:rFonts w:ascii="Verdana" w:eastAsia="Calibri" w:hAnsi="Verdana" w:cs="Arial"/>
                <w:color w:val="000000" w:themeColor="text1"/>
                <w:lang w:eastAsia="es-ES_tradnl"/>
              </w:rPr>
            </w:pPr>
            <w:r>
              <w:rPr>
                <w:rFonts w:ascii="Verdana" w:eastAsia="Calibri" w:hAnsi="Verdana" w:cs="Arial"/>
                <w:b/>
                <w:color w:val="000000" w:themeColor="text1"/>
                <w:lang w:eastAsia="es-ES_tradnl"/>
              </w:rPr>
              <w:t>Tema:</w:t>
            </w:r>
            <w:r>
              <w:rPr>
                <w:rFonts w:ascii="Verdana" w:eastAsia="Calibri" w:hAnsi="Verdana" w:cs="Arial"/>
                <w:color w:val="000000" w:themeColor="text1"/>
                <w:lang w:eastAsia="es-ES_tradnl"/>
              </w:rPr>
              <w:t xml:space="preserve">                   </w:t>
            </w:r>
          </w:p>
        </w:tc>
        <w:tc>
          <w:tcPr>
            <w:tcW w:w="6100" w:type="dxa"/>
          </w:tcPr>
          <w:p w14:paraId="00139C3A" w14:textId="77777777" w:rsidR="00B42204" w:rsidRDefault="009D25AB" w:rsidP="00B42204">
            <w:pPr>
              <w:jc w:val="both"/>
              <w:rPr>
                <w:rFonts w:ascii="Verdana" w:hAnsi="Verdana" w:cs="Verdana"/>
                <w:color w:val="000000"/>
              </w:rPr>
            </w:pPr>
            <w:r>
              <w:rPr>
                <w:rFonts w:ascii="Verdana" w:hAnsi="Verdana" w:cs="Verdana"/>
                <w:color w:val="000000"/>
              </w:rPr>
              <w:t>CONTRATO ESTATAL – Ejecución – Funciones de control y vigilancia / SUPERVISIÓN – Alcance – Seguimiento técnico, administrativo, financiero, contable y jurídico – Artículo 83 de la Ley 1474 de 2011 / SUPERVISIÓN – Designación – Delegación – Comunicación / TRÁMITE DE PAGO – Procedimiento – Manual de contratación – Áreas financieras, presupuestales y contables / SECOP II – Gestión del pago – Módulo Plan de Pagos – Cuentas de cobro</w:t>
            </w:r>
          </w:p>
          <w:p w14:paraId="0B5CFE44" w14:textId="77777777" w:rsidR="009D25AB" w:rsidRPr="00D13475" w:rsidRDefault="009D25AB" w:rsidP="00B42204">
            <w:pPr>
              <w:jc w:val="both"/>
              <w:rPr>
                <w:rFonts w:ascii="Verdana" w:eastAsia="Verdana" w:hAnsi="Verdana" w:cs="Verdana"/>
                <w:color w:val="000000" w:themeColor="text1"/>
                <w:sz w:val="20"/>
                <w:szCs w:val="20"/>
                <w:lang w:val="es-MX"/>
              </w:rPr>
            </w:pPr>
          </w:p>
        </w:tc>
      </w:tr>
      <w:tr w:rsidR="00B42204" w:rsidRPr="00D13475" w14:paraId="00CAC1AB" w14:textId="77777777" w:rsidTr="000E7260">
        <w:tc>
          <w:tcPr>
            <w:tcW w:w="2689" w:type="dxa"/>
          </w:tcPr>
          <w:p w14:paraId="70750720" w14:textId="77777777" w:rsidR="00B42204" w:rsidRPr="00D13475" w:rsidRDefault="00B42204" w:rsidP="00B42204">
            <w:pPr>
              <w:jc w:val="both"/>
              <w:rPr>
                <w:rFonts w:ascii="Verdana" w:eastAsia="Calibri" w:hAnsi="Verdana" w:cs="Arial"/>
                <w:b/>
                <w:color w:val="000000" w:themeColor="text1"/>
                <w:lang w:eastAsia="es-ES_tradnl"/>
              </w:rPr>
            </w:pPr>
            <w:r>
              <w:rPr>
                <w:rFonts w:ascii="Verdana" w:eastAsia="Calibri" w:hAnsi="Verdana" w:cs="Arial"/>
                <w:b/>
                <w:color w:val="000000" w:themeColor="text1"/>
                <w:lang w:eastAsia="es-ES_tradnl"/>
              </w:rPr>
              <w:t>Radicación:</w:t>
            </w:r>
            <w:r>
              <w:rPr>
                <w:rFonts w:ascii="Verdana" w:eastAsia="Calibri" w:hAnsi="Verdana" w:cs="Arial"/>
                <w:color w:val="000000" w:themeColor="text1"/>
                <w:lang w:eastAsia="es-ES_tradnl"/>
              </w:rPr>
              <w:t xml:space="preserve">               </w:t>
            </w:r>
          </w:p>
        </w:tc>
        <w:tc>
          <w:tcPr>
            <w:tcW w:w="6100" w:type="dxa"/>
          </w:tcPr>
          <w:p w14:paraId="549F5D4A" w14:textId="77777777" w:rsidR="00B42204" w:rsidRPr="00D13475" w:rsidRDefault="00B42204" w:rsidP="00B42204">
            <w:pPr>
              <w:jc w:val="both"/>
              <w:rPr>
                <w:rFonts w:ascii="Verdana" w:eastAsia="Calibri" w:hAnsi="Verdana" w:cs="Arial"/>
                <w:color w:val="000000" w:themeColor="text1"/>
                <w:lang w:eastAsia="es-ES_tradnl"/>
              </w:rPr>
            </w:pPr>
            <w:r>
              <w:rPr>
                <w:rFonts w:ascii="Verdana" w:eastAsia="Calibri" w:hAnsi="Verdana" w:cs="Arial"/>
                <w:color w:val="000000" w:themeColor="text1"/>
                <w:lang w:eastAsia="es-ES_tradnl"/>
              </w:rPr>
              <w:t>Respuesta a consulta con radicado No.</w:t>
            </w:r>
            <w:r>
              <w:rPr>
                <w:rFonts w:ascii="Verdana" w:hAnsi="Verdana" w:cs="Segoe UI"/>
                <w:color w:val="000000" w:themeColor="text1"/>
                <w:shd w:val="clear" w:color="auto" w:fill="FFFFFF"/>
              </w:rPr>
              <w:t xml:space="preserve">  1_2026_06_12_008035</w:t>
            </w:r>
          </w:p>
        </w:tc>
      </w:tr>
    </w:tbl>
    <w:p w14:paraId="7D74722B" w14:textId="77777777" w:rsidR="007C31D6" w:rsidRPr="00D13475" w:rsidRDefault="007C31D6" w:rsidP="007C31D6">
      <w:pPr>
        <w:spacing w:after="0" w:line="240" w:lineRule="auto"/>
        <w:jc w:val="both"/>
        <w:rPr>
          <w:rFonts w:ascii="Verdana" w:eastAsia="Calibri" w:hAnsi="Verdana" w:cs="Arial"/>
          <w:color w:val="000000" w:themeColor="text1"/>
          <w:lang w:eastAsia="es-ES_tradnl"/>
        </w:rPr>
      </w:pPr>
    </w:p>
    <w:p w14:paraId="774CCC89" w14:textId="77777777" w:rsidR="007C31D6" w:rsidRPr="00D13475" w:rsidRDefault="00F56178" w:rsidP="007C31D6">
      <w:pPr>
        <w:spacing w:after="0" w:line="276" w:lineRule="auto"/>
        <w:jc w:val="both"/>
        <w:rPr>
          <w:rFonts w:ascii="Verdana" w:eastAsia="Calibri" w:hAnsi="Verdana" w:cs="Arial"/>
          <w:color w:val="000000" w:themeColor="text1"/>
          <w:lang w:eastAsia="es-ES"/>
        </w:rPr>
      </w:pPr>
      <w:r>
        <w:rPr>
          <w:rFonts w:ascii="Verdana" w:eastAsia="Calibri" w:hAnsi="Verdana" w:cs="Arial"/>
          <w:color w:val="000000" w:themeColor="text1"/>
          <w:lang w:eastAsia="es-ES"/>
        </w:rPr>
        <w:t>Respetado señor Penagos:</w:t>
      </w:r>
    </w:p>
    <w:p w14:paraId="584FA552" w14:textId="77777777" w:rsidR="007C31D6" w:rsidRPr="00D13475" w:rsidRDefault="007C31D6" w:rsidP="007C31D6">
      <w:pPr>
        <w:tabs>
          <w:tab w:val="left" w:pos="3768"/>
        </w:tabs>
        <w:spacing w:after="0" w:line="276" w:lineRule="auto"/>
        <w:jc w:val="both"/>
        <w:rPr>
          <w:rFonts w:ascii="Verdana" w:eastAsia="Calibri" w:hAnsi="Verdana" w:cs="Arial"/>
          <w:color w:val="000000" w:themeColor="text1"/>
          <w:lang w:eastAsia="es-ES"/>
        </w:rPr>
      </w:pPr>
    </w:p>
    <w:p w14:paraId="028616E1" w14:textId="77777777" w:rsidR="0068231B" w:rsidRPr="00D13475" w:rsidRDefault="007C31D6" w:rsidP="007C31D6">
      <w:pPr>
        <w:spacing w:after="0" w:line="276" w:lineRule="auto"/>
        <w:jc w:val="both"/>
        <w:rPr>
          <w:rFonts w:ascii="Verdana" w:eastAsia="Calibri" w:hAnsi="Verdana" w:cs="Arial"/>
          <w:color w:val="000000" w:themeColor="text1"/>
          <w:lang w:eastAsia="es-ES"/>
        </w:rPr>
      </w:pPr>
      <w:r>
        <w:rPr>
          <w:rFonts w:ascii="Verdana" w:eastAsia="Calibri" w:hAnsi="Verdana" w:cs="Arial"/>
          <w:color w:val="000000" w:themeColor="text1"/>
          <w:lang w:eastAsia="es-ES"/>
        </w:rPr>
        <w:t>En ejercicio de la competencia otorgada por los artículos 3, numeral 5º, y 11, numeral 8º, del Decreto Ley 4170 de 2011,</w:t>
      </w:r>
      <w:r>
        <w:rPr>
          <w:rFonts w:ascii="Verdana" w:eastAsia="Arial MT" w:hAnsi="Verdana" w:cs="Arial MT"/>
          <w:color w:val="000000" w:themeColor="text1"/>
          <w:lang w:eastAsia="es-ES"/>
        </w:rPr>
        <w:t xml:space="preserve"> </w:t>
      </w:r>
      <w:r>
        <w:rPr>
          <w:rFonts w:ascii="Verdana" w:hAnsi="Verdana" w:cs="Arial"/>
          <w:color w:val="000000" w:themeColor="text1"/>
        </w:rPr>
        <w:t xml:space="preserve">así como lo establecido en el artículo 4 de la Resolución 1707 de 2018 expedida por esta Entidad, </w:t>
      </w:r>
      <w:r>
        <w:rPr>
          <w:rFonts w:ascii="Verdana" w:eastAsia="Calibri" w:hAnsi="Verdana" w:cs="Arial"/>
          <w:color w:val="000000" w:themeColor="text1"/>
          <w:lang w:eastAsia="es-ES"/>
        </w:rPr>
        <w:t xml:space="preserve">la Agencia Nacional de Contratación Pública – Colombia Compra Eficiente– responde su solicitud remitida a esta Agencia el pasado 12 de junio de 2026, en la cual manifiesta lo siguiente: </w:t>
      </w:r>
    </w:p>
    <w:p w14:paraId="6D287247" w14:textId="77777777" w:rsidR="00093BF9" w:rsidRPr="00D13475" w:rsidRDefault="00093BF9" w:rsidP="007C31D6">
      <w:pPr>
        <w:spacing w:after="0" w:line="276" w:lineRule="auto"/>
        <w:jc w:val="both"/>
        <w:rPr>
          <w:rFonts w:ascii="Verdana" w:eastAsia="Calibri" w:hAnsi="Verdana" w:cs="Arial"/>
          <w:color w:val="000000" w:themeColor="text1"/>
          <w:lang w:eastAsia="es-ES"/>
        </w:rPr>
      </w:pPr>
    </w:p>
    <w:p w14:paraId="43B50502" w14:textId="77777777" w:rsidR="0068231B" w:rsidRPr="00D13475" w:rsidRDefault="00093BF9" w:rsidP="002C39A1">
      <w:pPr>
        <w:spacing w:after="0" w:line="276" w:lineRule="auto"/>
        <w:ind w:left="709" w:right="616"/>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“Solicito concepto jurídico respecto de la siguiente situación hipotética: una entidad estatal celebró un contrato con un proveedor extranjero, quien ejecutó integralmente el objeto contractual; los bienes fueron entregados, instalados y recibidos a satisfacción. Los bienes principales fueron importados y nacionalizados conforme a la normatividad vigente; adicionalmente, para su instalación se utilizaron accesorios de uso común adquiridos en el mercado nacional, cuyo valor representa menos del 5% del contrato. Sin embargo, existen diferencias entre dependencias sobre el </w:t>
      </w:r>
      <w:r>
        <w:rPr>
          <w:rFonts w:ascii="Verdana" w:eastAsia="Calibri" w:hAnsi="Verdana" w:cs="Arial"/>
          <w:color w:val="000000" w:themeColor="text1"/>
          <w:sz w:val="20"/>
          <w:szCs w:val="20"/>
          <w:lang w:eastAsia="es-ES"/>
        </w:rPr>
        <w:lastRenderedPageBreak/>
        <w:t>procedimiento financiero para efectuar el pago. Se solicita indicar si el supervisor cumple su función al verificar la ejecución, certificar el recibo y elevar consultas a las áreas competentes, y si corresponde a las dependencias financieras, presupuestales y jurídicas definir el mecanismo para materializar el pago de una obligación ya ejecutada.”</w:t>
      </w:r>
    </w:p>
    <w:p w14:paraId="128DE7D5" w14:textId="77777777" w:rsidR="007C31D6" w:rsidRPr="00D13475" w:rsidRDefault="007C31D6" w:rsidP="007C31D6">
      <w:pPr>
        <w:spacing w:after="0" w:line="276" w:lineRule="auto"/>
        <w:ind w:right="709"/>
        <w:jc w:val="both"/>
        <w:rPr>
          <w:rFonts w:ascii="Verdana" w:eastAsia="Calibri" w:hAnsi="Verdana" w:cs="Arial"/>
          <w:color w:val="000000" w:themeColor="text1"/>
          <w:lang w:eastAsia="es-ES"/>
        </w:rPr>
      </w:pPr>
    </w:p>
    <w:p w14:paraId="6903A281" w14:textId="77777777" w:rsidR="007C31D6" w:rsidRPr="00D13475" w:rsidRDefault="007C31D6" w:rsidP="007C31D6">
      <w:pPr>
        <w:spacing w:after="120" w:line="276" w:lineRule="auto"/>
        <w:ind w:firstLine="709"/>
        <w:jc w:val="both"/>
        <w:rPr>
          <w:rFonts w:ascii="Verdana" w:eastAsia="Calibri" w:hAnsi="Verdana" w:cs="Arial"/>
          <w:color w:val="000000" w:themeColor="text1"/>
          <w:szCs w:val="24"/>
          <w:lang w:eastAsia="es-ES_tradnl"/>
        </w:rPr>
      </w:pPr>
      <w:r>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Pr>
          <w:rFonts w:ascii="Verdana" w:eastAsia="Calibri" w:hAnsi="Verdana" w:cs="Arial"/>
          <w:color w:val="000000" w:themeColor="text1"/>
          <w:szCs w:val="24"/>
          <w:lang w:eastAsia="es-ES_tradnl"/>
        </w:rPr>
        <w:tab/>
      </w:r>
    </w:p>
    <w:p w14:paraId="4B7E1DAF" w14:textId="77777777" w:rsidR="00CB1DED" w:rsidRPr="00D13475" w:rsidRDefault="007C31D6" w:rsidP="00CB1DED">
      <w:pPr>
        <w:spacing w:after="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40458EDA" w14:textId="77777777" w:rsidR="00CB1DED" w:rsidRPr="00D13475" w:rsidRDefault="00CB1DED" w:rsidP="00CB1DED">
      <w:pPr>
        <w:spacing w:after="0" w:line="276" w:lineRule="auto"/>
        <w:ind w:firstLine="709"/>
        <w:jc w:val="both"/>
        <w:rPr>
          <w:rFonts w:ascii="Verdana" w:eastAsia="Calibri" w:hAnsi="Verdana" w:cs="Arial"/>
          <w:color w:val="000000" w:themeColor="text1"/>
          <w:lang w:eastAsia="es-ES"/>
        </w:rPr>
      </w:pPr>
    </w:p>
    <w:p w14:paraId="47861796" w14:textId="77777777" w:rsidR="007C31D6" w:rsidRPr="00D13475" w:rsidRDefault="007C31D6" w:rsidP="00CB1DE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Pr>
          <w:rFonts w:ascii="Verdana" w:eastAsia="Century Gothic" w:hAnsi="Verdana" w:cs="Century Gothic"/>
          <w:b/>
          <w:bCs/>
          <w:color w:val="000000" w:themeColor="text1"/>
          <w:lang w:val="es-CO"/>
        </w:rPr>
        <w:t>Problema planteado:</w:t>
      </w:r>
    </w:p>
    <w:p w14:paraId="7E43BFE3" w14:textId="77777777" w:rsidR="001B7673" w:rsidRPr="00D13475" w:rsidRDefault="001B7673" w:rsidP="00D134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1D9F6187" w14:textId="3F3A04C0" w:rsidR="00BD40B4" w:rsidRDefault="007C31D6" w:rsidP="00BD40B4">
      <w:pPr>
        <w:snapToGrid w:val="0"/>
        <w:spacing w:after="0" w:line="276" w:lineRule="auto"/>
        <w:jc w:val="both"/>
        <w:rPr>
          <w:rFonts w:ascii="Verdana" w:eastAsia="Century Gothic" w:hAnsi="Verdana" w:cs="Century Gothic"/>
          <w:color w:val="000000" w:themeColor="text1"/>
        </w:rPr>
      </w:pPr>
      <w:r>
        <w:rPr>
          <w:rFonts w:ascii="Verdana" w:eastAsia="Century Gothic" w:hAnsi="Verdana" w:cs="Century Gothic"/>
          <w:color w:val="000000" w:themeColor="text1"/>
        </w:rPr>
        <w:t>De acuerdo con el contenido de su solicitud, esta Agencia resolverá el siguiente problema jurídico: ¿Cuál es el alcance de las funciones del supervisor en el trámite de pago de un contrato estatal y a qué dependencias corresponde definir el procedimiento administrativo, financiero, presupuestal, contable y jurídico para efectuarlo?</w:t>
      </w:r>
    </w:p>
    <w:p w14:paraId="1ABF6C27" w14:textId="77777777" w:rsidR="00E002CA" w:rsidRPr="00D13475" w:rsidRDefault="00E002CA" w:rsidP="00BD40B4">
      <w:pPr>
        <w:snapToGrid w:val="0"/>
        <w:spacing w:after="0" w:line="276" w:lineRule="auto"/>
        <w:jc w:val="both"/>
        <w:rPr>
          <w:rFonts w:ascii="Verdana" w:eastAsia="Century Gothic" w:hAnsi="Verdana" w:cs="Century Gothic"/>
          <w:color w:val="000000" w:themeColor="text1"/>
        </w:rPr>
      </w:pPr>
    </w:p>
    <w:p w14:paraId="2561FC88" w14:textId="6D285461" w:rsidR="007C31D6" w:rsidRPr="00D13475" w:rsidRDefault="007C31D6" w:rsidP="00E002CA">
      <w:pPr>
        <w:snapToGrid w:val="0"/>
        <w:spacing w:after="0" w:line="276" w:lineRule="auto"/>
        <w:jc w:val="both"/>
        <w:rPr>
          <w:rFonts w:ascii="Verdana" w:eastAsia="Century Gothic" w:hAnsi="Verdana" w:cs="Century Gothic"/>
          <w:b/>
          <w:bCs/>
          <w:color w:val="000000" w:themeColor="text1"/>
        </w:rPr>
      </w:pPr>
      <w:r>
        <w:rPr>
          <w:rFonts w:ascii="Verdana" w:eastAsia="Century Gothic" w:hAnsi="Verdana" w:cs="Century Gothic"/>
          <w:b/>
          <w:bCs/>
          <w:color w:val="000000" w:themeColor="text1"/>
        </w:rPr>
        <w:t>Respuesta:</w:t>
      </w: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3475" w:rsidRPr="00D13475" w14:paraId="7921D5DF" w14:textId="77777777" w:rsidTr="00D13475">
        <w:tc>
          <w:tcPr>
            <w:tcW w:w="8828" w:type="dxa"/>
          </w:tcPr>
          <w:p w14:paraId="3B21C539" w14:textId="77777777" w:rsidR="004F31DA" w:rsidRDefault="00000000" w:rsidP="0035431A">
            <w:pPr>
              <w:spacing w:after="120" w:line="276" w:lineRule="auto"/>
              <w:jc w:val="both"/>
              <w:rPr>
                <w:rFonts w:ascii="Verdana" w:hAnsi="Verdana" w:cs="Arial"/>
                <w:color w:val="000000" w:themeColor="text1"/>
                <w:lang w:eastAsia="es-ES"/>
              </w:rPr>
            </w:pPr>
            <w:r>
              <w:rPr>
                <w:rFonts w:ascii="Verdana" w:hAnsi="Verdana" w:cs="Arial"/>
                <w:color w:val="000000" w:themeColor="text1"/>
                <w:lang w:eastAsia="es-ES"/>
              </w:rPr>
              <w:t xml:space="preserve">En relación con el alcance de las funciones del supervisor en el trámite de pago de un contrato estatal, es preciso señalar que el ordenamiento jurídico que </w:t>
            </w:r>
            <w:r>
              <w:rPr>
                <w:rFonts w:ascii="Verdana" w:hAnsi="Verdana" w:cs="Arial"/>
                <w:color w:val="000000" w:themeColor="text1"/>
                <w:lang w:eastAsia="es-ES"/>
              </w:rPr>
              <w:lastRenderedPageBreak/>
              <w:t>regula la contratación estatal no establece de manera expresa un procedimiento único ni un funcionario específico para adelantar el pago. No obstante, de la interpretación sistemática de las disposiciones que regulan la supervisión contractual se desprende que el seguimiento a la ejecución del contrato y la verificación del cumplimiento de las obligaciones pactadas corresponde, en primer lugar, al supervisor o interventor designado por la Entidad Estatal.</w:t>
            </w:r>
          </w:p>
          <w:p w14:paraId="1997F10E"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En efecto, el artículo 83 de la Ley 1474 de 2011 dispone que las Entidades Estatales deben ejercer la supervisión o interventoría de los contratos estatales con el fin de verificar el cumplimiento de las condiciones pactadas, prevenir la ocurrencia de actos de corrupción y garantizar la correcta ejecución de los recursos públicos. La misma norma precisa que la supervisión consiste en el seguimiento técnico, administrativo, financiero, contable y jurídico que sobre el cumplimiento del objeto del contrato ejerce la propia entidad. En ese sentido, el supervisor constituye el principal mecanismo de control durante la ejecución contractual y es el encargado de certificar la adecuada prestación del servicio o la entrega de los bienes contratados, lo cual sirve de soporte para el reconocimiento del pago. Por consiguiente, el supervisor cumple su función cuando verifica la ejecución del contrato, certifica el recibo a satisfacción del objeto y, ante situaciones que excedan su ámbito, eleva las consultas que correspondan a las áreas competentes de la entidad.</w:t>
            </w:r>
          </w:p>
          <w:p w14:paraId="7507554A"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De igual forma, la normativa del sistema de compras públicas establece que las Entidades Estatales deben estructurar sus procesos internos de contratación a través de sus respectivos manuales. En este contexto, el artículo 2.2.1.2.5.3 del Decreto 1082 de 2015 señala que las Entidades Estatales deben adoptar un manual de contratación en el cual se definan los procedimientos internos relacionados con la actividad contractual, incluyendo las responsabilidades de los servidores públicos que intervienen en las distintas etapas del proceso. Así mismo, las Entidades Estatales, como buena práctica contractual, adoptan manuales de supervisión e interventoría en los cuales detallan las funciones, responsabilidades y procedimientos para el correcto seguimiento de los contratos estatales.</w:t>
            </w:r>
          </w:p>
          <w:p w14:paraId="355FE25B"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 xml:space="preserve">Bajo esta perspectiva, si bien la verificación del cumplimiento de las obligaciones contractuales corresponde principalmente al supervisor o interventor, el trámite del pago puede implicar también la intervención de </w:t>
            </w:r>
            <w:r>
              <w:rPr>
                <w:rFonts w:ascii="Verdana" w:hAnsi="Verdana" w:cs="Arial"/>
                <w:color w:val="000000" w:themeColor="text1"/>
                <w:lang w:eastAsia="es-ES"/>
              </w:rPr>
              <w:lastRenderedPageBreak/>
              <w:t>otras áreas relacionadas con la gestión contractual, como las áreas financieras, presupuestales o contables de la entidad, las cuales deben realizar las validaciones correspondientes en materia de disponibilidad presupuestal, registro presupuestal y demás requisitos financieros exigidos por la normativa aplicable.</w:t>
            </w:r>
          </w:p>
          <w:p w14:paraId="3A7B9B3E" w14:textId="718E2D6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En ese orden de ideas, corresponde a cada Entidad Estatal, en ejercicio de su autonomía administrativa y mediante su manual de contratación</w:t>
            </w:r>
            <w:r w:rsidR="0035431A">
              <w:rPr>
                <w:rFonts w:ascii="Verdana" w:hAnsi="Verdana" w:cs="Arial"/>
                <w:color w:val="000000" w:themeColor="text1"/>
                <w:lang w:eastAsia="es-ES"/>
              </w:rPr>
              <w:t xml:space="preserve">, </w:t>
            </w:r>
            <w:r>
              <w:rPr>
                <w:rFonts w:ascii="Verdana" w:hAnsi="Verdana" w:cs="Arial"/>
                <w:color w:val="000000" w:themeColor="text1"/>
                <w:lang w:eastAsia="es-ES"/>
              </w:rPr>
              <w:t>o de los demás manuales que haya adoptado, como el manual de supervisión e interventoría, definir el funcionario o dependencia responsable de adelantar y aprobar el trámite de pago, así como el procedimiento administrativo, financiero, presupuestal, contable y jurídico para efectuarlo, garantizando que dicho procedimiento se ajuste a los principios de la función administrativa y de la contratación estatal, particularmente los de transparencia, responsabilidad y control en el manejo de los recursos públicos.</w:t>
            </w:r>
          </w:p>
          <w:p w14:paraId="32FF7FBA"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En relación con el procedimiento para materializar el pago, es pertinente precisar que no existe en el Sistema de Compra y Contratación Pública una disposición normativa que lo determine, pues en virtud del principio de autonomía de la voluntad las partes pueden fijar en el contrato las condiciones, cláusulas o estipulaciones necesarias para desarrollar el objeto contractual, la forma de ejecución y los documentos requeridos para el pago, siempre en consideración de lo que arroje la etapa de planeación a través de los documentos previos.</w:t>
            </w:r>
          </w:p>
          <w:p w14:paraId="0ED3D31F"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Cuando el proceso se gestiona en el SECOP II, para la publicidad de la ejecución del contrato se recomienda el uso del módulo de “Plan de Pagos” de la sección “7. Ejecución del contrato”, en el cual el contratista puede registrar las facturas o cuentas de cobro junto con los demás documentos exigidos por la Entidad Estatal, y la entidad, en su deber de seguimiento, dispone de la opción de rechazar o aprobar la referencia del plan de pago según corresponda, así como de publicar los documentos relacionados con la supervisión del contrato.</w:t>
            </w:r>
          </w:p>
          <w:p w14:paraId="6F5709DA" w14:textId="77777777" w:rsidR="004F31DA" w:rsidRDefault="00000000">
            <w:pPr>
              <w:spacing w:after="120" w:line="276" w:lineRule="auto"/>
              <w:ind w:firstLine="709"/>
              <w:jc w:val="both"/>
              <w:rPr>
                <w:rFonts w:ascii="Verdana" w:hAnsi="Verdana" w:cs="Arial"/>
                <w:color w:val="000000" w:themeColor="text1"/>
                <w:lang w:eastAsia="es-ES"/>
              </w:rPr>
            </w:pPr>
            <w:r>
              <w:rPr>
                <w:rFonts w:ascii="Verdana" w:hAnsi="Verdana" w:cs="Arial"/>
                <w:color w:val="000000" w:themeColor="text1"/>
                <w:lang w:eastAsia="es-ES"/>
              </w:rPr>
              <w:t xml:space="preserve">De lo expuesto se concluye que, aunque en el sistema de compras públicas no existe una norma que determine expresamente el procedimiento de pago ni el funcionario encargado de adelantarlo, la principal responsabilidad de verificación y control sobre la ejecución del contrato recae en el supervisor designado, quien, a través de sus informes, constata el cumplimiento de las </w:t>
            </w:r>
            <w:r>
              <w:rPr>
                <w:rFonts w:ascii="Verdana" w:hAnsi="Verdana" w:cs="Arial"/>
                <w:color w:val="000000" w:themeColor="text1"/>
                <w:lang w:eastAsia="es-ES"/>
              </w:rPr>
              <w:lastRenderedPageBreak/>
              <w:t>obligaciones pactadas y certifica el recibo del objeto como soporte del pago. Cumplidas las verificaciones presupuestales, financieras y contables que correspondan a las respectivas áreas, el manual de contratación de cada entidad deberá establecer el funcionario o dependencia responsable de adelantar y aprobar el trámite de pago.</w:t>
            </w:r>
          </w:p>
        </w:tc>
      </w:tr>
    </w:tbl>
    <w:p w14:paraId="2216B896" w14:textId="77777777" w:rsidR="00D13475" w:rsidRPr="00D13475" w:rsidRDefault="00D13475" w:rsidP="007C31D6">
      <w:pPr>
        <w:tabs>
          <w:tab w:val="left" w:pos="142"/>
          <w:tab w:val="left" w:pos="284"/>
        </w:tabs>
        <w:spacing w:after="0" w:line="276" w:lineRule="auto"/>
        <w:jc w:val="both"/>
        <w:rPr>
          <w:rFonts w:ascii="Verdana" w:eastAsia="Century Gothic" w:hAnsi="Verdana" w:cs="Century Gothic"/>
          <w:b/>
          <w:bCs/>
          <w:color w:val="000000" w:themeColor="text1"/>
        </w:rPr>
      </w:pPr>
    </w:p>
    <w:p w14:paraId="5CB40D9C" w14:textId="77777777" w:rsidR="007C31D6" w:rsidRPr="00D13475" w:rsidRDefault="007C31D6" w:rsidP="007C31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Pr>
          <w:rFonts w:ascii="Verdana" w:eastAsia="Century Gothic" w:hAnsi="Verdana" w:cs="Century Gothic"/>
          <w:b/>
          <w:bCs/>
          <w:color w:val="000000" w:themeColor="text1"/>
          <w:lang w:val="es-CO"/>
        </w:rPr>
        <w:t>Razones de la respuesta:</w:t>
      </w:r>
    </w:p>
    <w:p w14:paraId="027AFF94"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43AB8571" w14:textId="77777777" w:rsidR="00093BF9" w:rsidRPr="00D13475" w:rsidRDefault="00093BF9" w:rsidP="00D13475">
      <w:pPr>
        <w:pStyle w:val="Textoindependiente"/>
        <w:spacing w:line="276" w:lineRule="auto"/>
        <w:jc w:val="both"/>
        <w:rPr>
          <w:color w:val="000000" w:themeColor="text1"/>
          <w:spacing w:val="-2"/>
          <w:lang w:val="es-CO"/>
        </w:rPr>
      </w:pPr>
      <w:r>
        <w:rPr>
          <w:color w:val="000000" w:themeColor="text1"/>
          <w:lang w:val="es-CO"/>
        </w:rPr>
        <w:t>Lo</w:t>
      </w:r>
      <w:r>
        <w:rPr>
          <w:color w:val="000000" w:themeColor="text1"/>
          <w:spacing w:val="-4"/>
          <w:lang w:val="es-CO"/>
        </w:rPr>
        <w:t xml:space="preserve"> </w:t>
      </w:r>
      <w:r>
        <w:rPr>
          <w:color w:val="000000" w:themeColor="text1"/>
          <w:lang w:val="es-CO"/>
        </w:rPr>
        <w:t>anterior</w:t>
      </w:r>
      <w:r>
        <w:rPr>
          <w:color w:val="000000" w:themeColor="text1"/>
          <w:spacing w:val="-8"/>
          <w:lang w:val="es-CO"/>
        </w:rPr>
        <w:t xml:space="preserve"> </w:t>
      </w:r>
      <w:r>
        <w:rPr>
          <w:color w:val="000000" w:themeColor="text1"/>
          <w:lang w:val="es-CO"/>
        </w:rPr>
        <w:t>se</w:t>
      </w:r>
      <w:r>
        <w:rPr>
          <w:color w:val="000000" w:themeColor="text1"/>
          <w:spacing w:val="-5"/>
          <w:lang w:val="es-CO"/>
        </w:rPr>
        <w:t xml:space="preserve"> </w:t>
      </w:r>
      <w:r>
        <w:rPr>
          <w:color w:val="000000" w:themeColor="text1"/>
          <w:lang w:val="es-CO"/>
        </w:rPr>
        <w:t>sustenta</w:t>
      </w:r>
      <w:r>
        <w:rPr>
          <w:color w:val="000000" w:themeColor="text1"/>
          <w:spacing w:val="-8"/>
          <w:lang w:val="es-CO"/>
        </w:rPr>
        <w:t xml:space="preserve"> </w:t>
      </w:r>
      <w:r>
        <w:rPr>
          <w:color w:val="000000" w:themeColor="text1"/>
          <w:lang w:val="es-CO"/>
        </w:rPr>
        <w:t>en</w:t>
      </w:r>
      <w:r>
        <w:rPr>
          <w:color w:val="000000" w:themeColor="text1"/>
          <w:spacing w:val="-4"/>
          <w:lang w:val="es-CO"/>
        </w:rPr>
        <w:t xml:space="preserve"> </w:t>
      </w:r>
      <w:r>
        <w:rPr>
          <w:color w:val="000000" w:themeColor="text1"/>
          <w:lang w:val="es-CO"/>
        </w:rPr>
        <w:t>las</w:t>
      </w:r>
      <w:r>
        <w:rPr>
          <w:color w:val="000000" w:themeColor="text1"/>
          <w:spacing w:val="-5"/>
          <w:lang w:val="es-CO"/>
        </w:rPr>
        <w:t xml:space="preserve"> </w:t>
      </w:r>
      <w:r>
        <w:rPr>
          <w:color w:val="000000" w:themeColor="text1"/>
          <w:lang w:val="es-CO"/>
        </w:rPr>
        <w:t>siguientes</w:t>
      </w:r>
      <w:r>
        <w:rPr>
          <w:color w:val="000000" w:themeColor="text1"/>
          <w:spacing w:val="-4"/>
          <w:lang w:val="es-CO"/>
        </w:rPr>
        <w:t xml:space="preserve"> </w:t>
      </w:r>
      <w:r>
        <w:rPr>
          <w:color w:val="000000" w:themeColor="text1"/>
          <w:spacing w:val="-2"/>
          <w:lang w:val="es-CO"/>
        </w:rPr>
        <w:t>consideraciones:</w:t>
      </w:r>
    </w:p>
    <w:p w14:paraId="262B0E21" w14:textId="77777777" w:rsidR="00093BF9" w:rsidRPr="00D13475" w:rsidRDefault="00093BF9" w:rsidP="00093BF9">
      <w:pPr>
        <w:pStyle w:val="Textoindependiente"/>
        <w:spacing w:line="276" w:lineRule="auto"/>
        <w:ind w:left="260"/>
        <w:jc w:val="both"/>
        <w:rPr>
          <w:color w:val="000000" w:themeColor="text1"/>
          <w:spacing w:val="-2"/>
          <w:lang w:val="es-CO"/>
        </w:rPr>
      </w:pPr>
    </w:p>
    <w:p w14:paraId="0AE0A022" w14:textId="77777777" w:rsidR="0035431A" w:rsidRPr="000F5961" w:rsidRDefault="0035431A" w:rsidP="0035431A">
      <w:pPr>
        <w:tabs>
          <w:tab w:val="left" w:pos="284"/>
        </w:tabs>
        <w:spacing w:after="120" w:line="276" w:lineRule="auto"/>
        <w:jc w:val="both"/>
        <w:rPr>
          <w:rFonts w:ascii="Verdana" w:eastAsia="Calibri" w:hAnsi="Verdana" w:cs="Arial"/>
          <w:color w:val="000000"/>
        </w:rPr>
      </w:pPr>
      <w:r w:rsidRPr="006E4191">
        <w:rPr>
          <w:rFonts w:ascii="Verdana" w:eastAsia="Calibri" w:hAnsi="Verdana" w:cs="Arial"/>
          <w:color w:val="000000"/>
        </w:rPr>
        <w:t>A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w:t>
      </w:r>
      <w:r w:rsidRPr="006E4191">
        <w:rPr>
          <w:vertAlign w:val="superscript"/>
        </w:rPr>
        <w:footnoteReference w:id="1"/>
      </w:r>
      <w:r w:rsidRPr="006E4191">
        <w:rPr>
          <w:rFonts w:ascii="Verdana" w:eastAsia="Calibri" w:hAnsi="Verdana" w:cs="Arial"/>
          <w:color w:val="000000"/>
        </w:rPr>
        <w:t>.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w:t>
      </w:r>
      <w:r w:rsidRPr="000F5961">
        <w:rPr>
          <w:rFonts w:ascii="Verdana" w:eastAsia="Calibri" w:hAnsi="Verdana" w:cs="Arial"/>
          <w:color w:val="000000"/>
        </w:rPr>
        <w:t xml:space="preserve"> en ella tienen la obligación de controlar y vigilar la correcta ejecución del objeto contratado. Con esto se busca que las finalidades perseguidas con la celebración de los contratos estatales se logren de manera satisfactoria. </w:t>
      </w:r>
    </w:p>
    <w:p w14:paraId="666BEF1F" w14:textId="77777777" w:rsidR="0035431A" w:rsidRPr="00990725" w:rsidRDefault="0035431A" w:rsidP="0035431A">
      <w:pPr>
        <w:spacing w:after="120" w:line="276" w:lineRule="auto"/>
        <w:ind w:firstLine="709"/>
        <w:jc w:val="both"/>
        <w:rPr>
          <w:rFonts w:ascii="Verdana" w:eastAsia="Calibri" w:hAnsi="Verdana" w:cs="Arial"/>
          <w:color w:val="000000"/>
          <w:lang w:val="es-ES"/>
        </w:rPr>
      </w:pPr>
      <w:r w:rsidRPr="000F5961">
        <w:rPr>
          <w:rFonts w:ascii="Verdana" w:eastAsia="Calibri" w:hAnsi="Verdana" w:cs="Arial"/>
          <w:color w:val="000000"/>
          <w:lang w:val="es-ES"/>
        </w:rPr>
        <w:t xml:space="preserve">Así, por ejemplo, </w:t>
      </w:r>
      <w:bookmarkStart w:id="0" w:name="_Hlk117850258"/>
      <w:r w:rsidRPr="000F5961">
        <w:rPr>
          <w:rFonts w:ascii="Verdana" w:eastAsia="Calibri" w:hAnsi="Verdana" w:cs="Arial"/>
          <w:color w:val="000000"/>
          <w:lang w:val="es-ES"/>
        </w:rPr>
        <w:t>los artículos 4, 5, 12, 14 y 26 de la Ley 80 de 1993 consagran normas relacionadas con el control y vigilancia de la ejecución de los contratos estatales</w:t>
      </w:r>
      <w:bookmarkEnd w:id="0"/>
      <w:r w:rsidRPr="000F5961">
        <w:rPr>
          <w:rFonts w:ascii="Verdana" w:eastAsia="Calibri" w:hAnsi="Verdana" w:cs="Arial"/>
          <w:color w:val="000000"/>
          <w:lang w:val="es-ES"/>
        </w:rPr>
        <w:t>. Estas disposiciones establecen, entre otros aspectos, la obligación de las Entidades Estatales de velar por e</w:t>
      </w:r>
      <w:r w:rsidRPr="00BD2614">
        <w:rPr>
          <w:rFonts w:ascii="Verdana" w:eastAsia="Calibri" w:hAnsi="Verdana" w:cs="Arial"/>
          <w:color w:val="000000"/>
          <w:lang w:val="es-ES"/>
        </w:rPr>
        <w:t>l correcto y oportuno cumplimiento de las prestaciones del contrato, las especificaciones de los bienes, obras y servicios objeto de este, y las condiciones de calidad ofrecidas, etc. Esta obligación se predica, en principio, del jefe o representante legal</w:t>
      </w:r>
      <w:r w:rsidRPr="00990725">
        <w:rPr>
          <w:rFonts w:ascii="Verdana" w:eastAsia="Calibri" w:hAnsi="Verdana" w:cs="Arial"/>
          <w:color w:val="000000"/>
          <w:lang w:val="es-ES"/>
        </w:rPr>
        <w:t xml:space="preserve">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55C16FFF" w14:textId="77777777" w:rsidR="0035431A" w:rsidRPr="00990725" w:rsidRDefault="0035431A" w:rsidP="0035431A">
      <w:pPr>
        <w:pStyle w:val="Sinespaciado"/>
        <w:spacing w:before="120" w:line="276" w:lineRule="auto"/>
        <w:ind w:firstLine="708"/>
        <w:jc w:val="both"/>
        <w:rPr>
          <w:rFonts w:ascii="Verdana" w:eastAsia="Calibri" w:hAnsi="Verdana" w:cs="Arial"/>
          <w:color w:val="000000"/>
          <w:lang w:val="es-ES"/>
        </w:rPr>
      </w:pPr>
      <w:r w:rsidRPr="00990725">
        <w:rPr>
          <w:rFonts w:ascii="Verdana" w:eastAsia="Calibri" w:hAnsi="Verdana" w:cs="Arial"/>
          <w:color w:val="000000"/>
          <w:lang w:val="es-ES"/>
        </w:rPr>
        <w:lastRenderedPageBreak/>
        <w:t>La jurisprudencia contencioso-administrativa ha considerado que la obligación de vigilar la correcta ejecución del objeto contractual es una función de la entidad contratante, en los siguientes términos:</w:t>
      </w:r>
    </w:p>
    <w:p w14:paraId="78F26D83" w14:textId="77777777" w:rsidR="0035431A" w:rsidRPr="00990725" w:rsidRDefault="0035431A" w:rsidP="0035431A">
      <w:pPr>
        <w:pStyle w:val="Sinespaciado"/>
        <w:ind w:firstLine="709"/>
        <w:jc w:val="both"/>
        <w:rPr>
          <w:rFonts w:ascii="Verdana" w:hAnsi="Verdana" w:cs="Arial"/>
          <w:bCs/>
        </w:rPr>
      </w:pPr>
    </w:p>
    <w:p w14:paraId="07603FAB" w14:textId="77777777" w:rsidR="0035431A" w:rsidRPr="000F5961" w:rsidRDefault="0035431A" w:rsidP="0035431A">
      <w:pPr>
        <w:pStyle w:val="Sinespaciado"/>
        <w:ind w:left="709" w:right="709"/>
        <w:jc w:val="both"/>
        <w:rPr>
          <w:rFonts w:ascii="Verdana" w:hAnsi="Verdana" w:cs="Arial"/>
          <w:bCs/>
          <w:sz w:val="20"/>
          <w:szCs w:val="20"/>
        </w:rPr>
      </w:pPr>
      <w:r w:rsidRPr="00990725">
        <w:rPr>
          <w:rFonts w:ascii="Verdana" w:hAnsi="Verdana" w:cs="Arial"/>
          <w:bCs/>
          <w:sz w:val="20"/>
          <w:szCs w:val="20"/>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de esta forma garantizar la satisfacción de las necesidades que la administración buscaba alcanzar con la celebración del respectivo contrato”</w:t>
      </w:r>
      <w:r w:rsidRPr="00990725">
        <w:rPr>
          <w:rStyle w:val="Refdenotaalpie"/>
          <w:rFonts w:ascii="Verdana" w:hAnsi="Verdana" w:cs="Arial"/>
          <w:bCs/>
          <w:sz w:val="20"/>
          <w:szCs w:val="20"/>
        </w:rPr>
        <w:footnoteReference w:id="2"/>
      </w:r>
      <w:r w:rsidRPr="00990725">
        <w:rPr>
          <w:rFonts w:ascii="Verdana" w:hAnsi="Verdana" w:cs="Arial"/>
          <w:bCs/>
          <w:sz w:val="20"/>
          <w:szCs w:val="20"/>
        </w:rPr>
        <w:t>.</w:t>
      </w:r>
    </w:p>
    <w:p w14:paraId="12772704" w14:textId="77777777" w:rsidR="0035431A" w:rsidRPr="000F5961" w:rsidRDefault="0035431A" w:rsidP="0035431A">
      <w:pPr>
        <w:pStyle w:val="Sinespaciado"/>
        <w:spacing w:line="276" w:lineRule="auto"/>
        <w:ind w:left="709" w:right="709"/>
        <w:jc w:val="both"/>
        <w:rPr>
          <w:rFonts w:ascii="Verdana" w:hAnsi="Verdana" w:cs="Arial"/>
          <w:bCs/>
          <w:sz w:val="20"/>
          <w:szCs w:val="20"/>
        </w:rPr>
      </w:pPr>
    </w:p>
    <w:p w14:paraId="00207828" w14:textId="77777777" w:rsidR="0035431A" w:rsidRPr="00990725" w:rsidRDefault="0035431A" w:rsidP="0035431A">
      <w:pPr>
        <w:spacing w:after="0" w:line="276" w:lineRule="auto"/>
        <w:ind w:firstLine="709"/>
        <w:jc w:val="both"/>
        <w:rPr>
          <w:rFonts w:ascii="Verdana" w:eastAsia="Calibri" w:hAnsi="Verdana" w:cs="Arial"/>
          <w:color w:val="000000"/>
          <w:lang w:val="es-ES"/>
        </w:rPr>
      </w:pPr>
      <w:r w:rsidRPr="00BD2614">
        <w:rPr>
          <w:rFonts w:ascii="Verdana" w:eastAsia="Calibri" w:hAnsi="Verdana" w:cs="Arial"/>
          <w:color w:val="000000"/>
          <w:lang w:val="es-ES"/>
        </w:rPr>
        <w:t>Así mismo, esta Agencia se ha pronunciado sobre el deber de vigilancia y control del contrato estatal. En el concepto emitido por esta Agencia con el radicado 4201913000008240 del 20 de diciembre de 2019</w:t>
      </w:r>
      <w:r>
        <w:rPr>
          <w:rFonts w:ascii="Verdana" w:eastAsia="Calibri" w:hAnsi="Verdana" w:cs="Arial"/>
          <w:color w:val="000000"/>
          <w:lang w:val="es-ES"/>
        </w:rPr>
        <w:t>,</w:t>
      </w:r>
      <w:r w:rsidRPr="00BD2614">
        <w:rPr>
          <w:rFonts w:ascii="Verdana" w:eastAsia="Calibri" w:hAnsi="Verdana" w:cs="Arial"/>
          <w:color w:val="000000"/>
          <w:lang w:val="es-ES"/>
        </w:rPr>
        <w:t xml:space="preserve"> se señaló qu</w:t>
      </w:r>
      <w:r w:rsidRPr="00990725">
        <w:rPr>
          <w:rFonts w:ascii="Verdana" w:eastAsia="Calibri" w:hAnsi="Verdana" w:cs="Arial"/>
          <w:color w:val="000000"/>
          <w:lang w:val="es-ES"/>
        </w:rPr>
        <w:t>e:</w:t>
      </w:r>
    </w:p>
    <w:p w14:paraId="78AE56BE" w14:textId="77777777" w:rsidR="0035431A" w:rsidRPr="00990725" w:rsidRDefault="0035431A" w:rsidP="0035431A">
      <w:pPr>
        <w:pStyle w:val="Sinespaciado"/>
        <w:spacing w:line="276" w:lineRule="auto"/>
        <w:ind w:firstLine="567"/>
        <w:jc w:val="both"/>
        <w:rPr>
          <w:rFonts w:ascii="Verdana" w:hAnsi="Verdana" w:cs="Arial"/>
          <w:bCs/>
        </w:rPr>
      </w:pPr>
    </w:p>
    <w:p w14:paraId="5342AA6A" w14:textId="77777777" w:rsidR="0035431A" w:rsidRPr="00990725" w:rsidRDefault="0035431A" w:rsidP="0035431A">
      <w:pPr>
        <w:pStyle w:val="Sinespaciado"/>
        <w:ind w:left="709" w:right="709"/>
        <w:jc w:val="both"/>
        <w:rPr>
          <w:rFonts w:ascii="Verdana" w:hAnsi="Verdana" w:cs="Arial"/>
          <w:bCs/>
          <w:sz w:val="20"/>
          <w:szCs w:val="20"/>
        </w:rPr>
      </w:pPr>
      <w:r w:rsidRPr="00990725">
        <w:rPr>
          <w:rFonts w:ascii="Verdana" w:hAnsi="Verdana" w:cs="Arial"/>
          <w:bCs/>
          <w:sz w:val="20"/>
          <w:szCs w:val="20"/>
        </w:rPr>
        <w:t>“el seguimiento de la ejecución del contrato para su dirección, control y vigilancia del correcto cumplimiento del objeto es un deber legal que permite a las entidades estatales tomar medidas orientadas a la satisfacción de los fines de la contratación, dentro de las cuales, se encuentra la posibilidad de pactar y ejercer las cláusulas exorbitantes, la designación de una supervisión o la contratación de una interventoría para vigilar la ejecución del contrato y la facultad de pactar e imponer multas, cláusula penal o hacer efectivas las garantías del contrato, previa declaratoria de incumplimiento de las obligaciones del contrato, en aras de lograr la satisfacción de las necesidades de bienes, obras o servicios que se pretenden suplir con la celebración de los contratos estatales”.</w:t>
      </w:r>
    </w:p>
    <w:p w14:paraId="3F90823E" w14:textId="77777777" w:rsidR="0035431A" w:rsidRPr="00990725" w:rsidRDefault="0035431A" w:rsidP="0035431A">
      <w:pPr>
        <w:pStyle w:val="Sinespaciado"/>
        <w:spacing w:line="276" w:lineRule="auto"/>
        <w:ind w:firstLine="567"/>
        <w:jc w:val="both"/>
        <w:rPr>
          <w:rFonts w:ascii="Verdana" w:hAnsi="Verdana" w:cs="Arial"/>
          <w:bCs/>
        </w:rPr>
      </w:pPr>
    </w:p>
    <w:p w14:paraId="25E16748" w14:textId="77777777" w:rsidR="0035431A" w:rsidRPr="000F5961" w:rsidRDefault="0035431A" w:rsidP="0035431A">
      <w:pPr>
        <w:pStyle w:val="Sinespaciado"/>
        <w:spacing w:after="120" w:line="276" w:lineRule="auto"/>
        <w:ind w:firstLine="709"/>
        <w:jc w:val="both"/>
        <w:rPr>
          <w:rFonts w:ascii="Verdana" w:hAnsi="Verdana" w:cs="Arial"/>
          <w:bCs/>
        </w:rPr>
      </w:pPr>
      <w:r w:rsidRPr="00990725">
        <w:rPr>
          <w:rFonts w:ascii="Verdana" w:hAnsi="Verdana" w:cs="Arial"/>
          <w:bCs/>
        </w:rPr>
        <w:t>Las Leyes 1150 de 2007 y 1474 de 2011 complementan el régimen jurídico de la obligación de vigilar la ejecución de los contratos estatales. Allí se impone, entre otros postulados, el debido proceso como principio rector en materia sancionatoria contractual, para la imposición de multas y la decisión de hacer efectiva la cláusula penal; principio que se debe respetar en el ejercicio del control y vigilancia de la ejecución contractual</w:t>
      </w:r>
      <w:r w:rsidRPr="00990725">
        <w:rPr>
          <w:rStyle w:val="Refdenotaalpie"/>
          <w:rFonts w:ascii="Verdana" w:hAnsi="Verdana" w:cs="Arial"/>
          <w:bCs/>
        </w:rPr>
        <w:footnoteReference w:id="3"/>
      </w:r>
      <w:r w:rsidRPr="00990725">
        <w:rPr>
          <w:rFonts w:ascii="Verdana" w:hAnsi="Verdana" w:cs="Arial"/>
          <w:bCs/>
        </w:rPr>
        <w:t xml:space="preserve">. También se establecen los límites de la </w:t>
      </w:r>
      <w:r w:rsidRPr="000F5961">
        <w:rPr>
          <w:rFonts w:ascii="Verdana" w:hAnsi="Verdana" w:cs="Arial"/>
          <w:bCs/>
        </w:rPr>
        <w:t xml:space="preserve">responsabilidad del representante legal ante la delegación de sus </w:t>
      </w:r>
      <w:r w:rsidRPr="000F5961">
        <w:rPr>
          <w:rFonts w:ascii="Verdana" w:hAnsi="Verdana" w:cs="Arial"/>
          <w:bCs/>
        </w:rPr>
        <w:lastRenderedPageBreak/>
        <w:t>funciones en materia contractual</w:t>
      </w:r>
      <w:r w:rsidRPr="00990725">
        <w:rPr>
          <w:rStyle w:val="Refdenotaalpie"/>
          <w:rFonts w:ascii="Verdana" w:hAnsi="Verdana" w:cs="Arial"/>
          <w:bCs/>
        </w:rPr>
        <w:footnoteReference w:id="4"/>
      </w:r>
      <w:r w:rsidRPr="00990725">
        <w:rPr>
          <w:rFonts w:ascii="Verdana" w:hAnsi="Verdana" w:cs="Arial"/>
          <w:bCs/>
        </w:rPr>
        <w:t>. Igualmente, se regula la supervisión y la interventoría de los contratos estatales</w:t>
      </w:r>
      <w:r w:rsidRPr="00990725">
        <w:rPr>
          <w:rStyle w:val="Refdenotaalpie"/>
          <w:rFonts w:ascii="Verdana" w:hAnsi="Verdana" w:cs="Arial"/>
          <w:bCs/>
        </w:rPr>
        <w:footnoteReference w:id="5"/>
      </w:r>
      <w:r w:rsidRPr="00990725">
        <w:rPr>
          <w:rFonts w:ascii="Verdana" w:hAnsi="Verdana" w:cs="Arial"/>
          <w:bCs/>
        </w:rPr>
        <w:t xml:space="preserve">.  </w:t>
      </w:r>
    </w:p>
    <w:p w14:paraId="5343F811" w14:textId="77777777" w:rsidR="0035431A" w:rsidRPr="00990725" w:rsidRDefault="0035431A" w:rsidP="0035431A">
      <w:pPr>
        <w:pStyle w:val="Sinespaciado"/>
        <w:spacing w:after="120" w:line="276" w:lineRule="auto"/>
        <w:ind w:firstLine="709"/>
        <w:jc w:val="both"/>
        <w:rPr>
          <w:rFonts w:ascii="Verdana" w:hAnsi="Verdana" w:cs="Arial"/>
        </w:rPr>
      </w:pPr>
      <w:r w:rsidRPr="000F5961">
        <w:rPr>
          <w:rFonts w:ascii="Verdana" w:hAnsi="Verdana" w:cs="Arial"/>
        </w:rPr>
        <w:t>Particularmente, la Ley 1474 de 2011 enmarcó el seguimiento, contr</w:t>
      </w:r>
      <w:r w:rsidRPr="00BD2614">
        <w:rPr>
          <w:rFonts w:ascii="Verdana" w:hAnsi="Verdana" w:cs="Arial"/>
        </w:rPr>
        <w:t xml:space="preserve">ol y vigilancia de la ejecución del contrato estatal dentro del principio de moralidad administrativa. El artículo 83 </w:t>
      </w:r>
      <w:r w:rsidRPr="00990725">
        <w:rPr>
          <w:rFonts w:ascii="Verdana" w:hAnsi="Verdana" w:cs="Arial"/>
          <w:i/>
          <w:iCs/>
        </w:rPr>
        <w:t xml:space="preserve">ibidem </w:t>
      </w:r>
      <w:r w:rsidRPr="00990725">
        <w:rPr>
          <w:rFonts w:ascii="Verdana" w:hAnsi="Verdana" w:cs="Arial"/>
        </w:rPr>
        <w:t xml:space="preserve">establece que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w:t>
      </w:r>
    </w:p>
    <w:p w14:paraId="719085E1" w14:textId="77777777" w:rsidR="0035431A" w:rsidRPr="00990725" w:rsidRDefault="0035431A" w:rsidP="0035431A">
      <w:pPr>
        <w:pStyle w:val="Sinespaciado"/>
        <w:spacing w:line="276" w:lineRule="auto"/>
        <w:ind w:firstLine="709"/>
        <w:jc w:val="both"/>
        <w:rPr>
          <w:rFonts w:ascii="Verdana" w:hAnsi="Verdana" w:cs="Arial"/>
        </w:rPr>
      </w:pPr>
      <w:r w:rsidRPr="00990725">
        <w:rPr>
          <w:rFonts w:ascii="Verdana" w:hAnsi="Verdana" w:cs="Arial"/>
        </w:rPr>
        <w:t xml:space="preserve">El legislador además definió las nociones de </w:t>
      </w:r>
      <w:r w:rsidRPr="00990725">
        <w:rPr>
          <w:rFonts w:ascii="Verdana" w:hAnsi="Verdana" w:cs="Arial"/>
          <w:i/>
          <w:iCs/>
        </w:rPr>
        <w:t>supervisión</w:t>
      </w:r>
      <w:r w:rsidRPr="00990725">
        <w:rPr>
          <w:rFonts w:ascii="Verdana" w:hAnsi="Verdana" w:cs="Arial"/>
        </w:rPr>
        <w:t xml:space="preserve"> e </w:t>
      </w:r>
      <w:r w:rsidRPr="00990725">
        <w:rPr>
          <w:rFonts w:ascii="Verdana" w:hAnsi="Verdana" w:cs="Arial"/>
          <w:i/>
          <w:iCs/>
        </w:rPr>
        <w:t>interventoría</w:t>
      </w:r>
      <w:r w:rsidRPr="00990725">
        <w:rPr>
          <w:rFonts w:ascii="Verdana" w:hAnsi="Verdana" w:cs="Arial"/>
        </w:rPr>
        <w:t xml:space="preserve">, como mecanismos que pueden usar las Entidades Estatales para vigilar el contrato, en estos términos: </w:t>
      </w:r>
    </w:p>
    <w:p w14:paraId="506D038C" w14:textId="77777777" w:rsidR="0035431A" w:rsidRPr="00990725" w:rsidRDefault="0035431A" w:rsidP="0035431A">
      <w:pPr>
        <w:pStyle w:val="Sinespaciado"/>
        <w:spacing w:line="276" w:lineRule="auto"/>
        <w:ind w:firstLine="709"/>
        <w:jc w:val="both"/>
        <w:rPr>
          <w:rFonts w:ascii="Verdana" w:hAnsi="Verdana" w:cs="Arial"/>
        </w:rPr>
      </w:pPr>
    </w:p>
    <w:p w14:paraId="012DE09D" w14:textId="77777777" w:rsidR="0035431A" w:rsidRPr="00990725" w:rsidRDefault="0035431A" w:rsidP="0035431A">
      <w:pPr>
        <w:pStyle w:val="Sinespaciado"/>
        <w:ind w:left="709" w:right="709"/>
        <w:jc w:val="both"/>
        <w:rPr>
          <w:rFonts w:ascii="Verdana" w:hAnsi="Verdana" w:cs="Arial"/>
          <w:sz w:val="20"/>
          <w:szCs w:val="20"/>
        </w:rPr>
      </w:pPr>
      <w:r w:rsidRPr="00990725">
        <w:rPr>
          <w:rFonts w:ascii="Verdana" w:hAnsi="Verdana" w:cs="Arial"/>
          <w:sz w:val="20"/>
          <w:szCs w:val="20"/>
        </w:rPr>
        <w:t xml:space="preserve">“La supervisión consistirá en el seguimiento técnico, administrativo, financiero, contable, y jurídico </w:t>
      </w:r>
      <w:proofErr w:type="gramStart"/>
      <w:r w:rsidRPr="00990725">
        <w:rPr>
          <w:rFonts w:ascii="Verdana" w:hAnsi="Verdana" w:cs="Arial"/>
          <w:sz w:val="20"/>
          <w:szCs w:val="20"/>
        </w:rPr>
        <w:t>que</w:t>
      </w:r>
      <w:proofErr w:type="gramEnd"/>
      <w:r w:rsidRPr="00990725">
        <w:rPr>
          <w:rFonts w:ascii="Verdana" w:hAnsi="Verdana" w:cs="Arial"/>
          <w:sz w:val="20"/>
          <w:szCs w:val="20"/>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580E96D7" w14:textId="77777777" w:rsidR="0035431A" w:rsidRPr="00990725" w:rsidRDefault="0035431A" w:rsidP="0035431A">
      <w:pPr>
        <w:pStyle w:val="Sinespaciado"/>
        <w:ind w:left="709" w:right="709"/>
        <w:jc w:val="both"/>
        <w:rPr>
          <w:rFonts w:ascii="Verdana" w:hAnsi="Verdana" w:cs="Arial"/>
          <w:sz w:val="20"/>
          <w:szCs w:val="20"/>
        </w:rPr>
      </w:pPr>
    </w:p>
    <w:p w14:paraId="42BD8B9A" w14:textId="77777777" w:rsidR="0035431A" w:rsidRPr="00990725" w:rsidRDefault="0035431A" w:rsidP="0035431A">
      <w:pPr>
        <w:pStyle w:val="Sinespaciado"/>
        <w:ind w:left="709" w:right="709"/>
        <w:jc w:val="both"/>
        <w:rPr>
          <w:rFonts w:ascii="Verdana" w:hAnsi="Verdana" w:cs="Arial"/>
          <w:sz w:val="20"/>
          <w:szCs w:val="20"/>
        </w:rPr>
      </w:pPr>
      <w:r w:rsidRPr="00990725">
        <w:rPr>
          <w:rFonts w:ascii="Verdana" w:hAnsi="Verdana" w:cs="Arial"/>
          <w:sz w:val="20"/>
          <w:szCs w:val="20"/>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990725">
        <w:rPr>
          <w:rFonts w:ascii="Verdana" w:hAnsi="Verdana" w:cs="Arial"/>
          <w:sz w:val="20"/>
          <w:szCs w:val="20"/>
        </w:rPr>
        <w:t>del mismo</w:t>
      </w:r>
      <w:proofErr w:type="gramEnd"/>
      <w:r w:rsidRPr="00990725">
        <w:rPr>
          <w:rFonts w:ascii="Verdana" w:hAnsi="Verdana" w:cs="Arial"/>
          <w:sz w:val="20"/>
          <w:szCs w:val="20"/>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7CA15B8C" w14:textId="77777777" w:rsidR="0035431A" w:rsidRPr="006E4191" w:rsidRDefault="0035431A" w:rsidP="0035431A">
      <w:pPr>
        <w:pStyle w:val="Sinespaciado"/>
        <w:spacing w:line="276" w:lineRule="auto"/>
        <w:ind w:left="709" w:right="709"/>
        <w:jc w:val="both"/>
        <w:rPr>
          <w:rFonts w:ascii="Verdana" w:hAnsi="Verdana" w:cs="Arial"/>
        </w:rPr>
      </w:pPr>
    </w:p>
    <w:p w14:paraId="55420A6F" w14:textId="77777777" w:rsidR="0035431A" w:rsidRPr="00990725" w:rsidRDefault="0035431A" w:rsidP="0035431A">
      <w:pPr>
        <w:pStyle w:val="Sinespaciado"/>
        <w:spacing w:after="120" w:line="276" w:lineRule="auto"/>
        <w:ind w:firstLine="709"/>
        <w:jc w:val="both"/>
        <w:rPr>
          <w:rFonts w:ascii="Verdana" w:hAnsi="Verdana" w:cs="Arial"/>
        </w:rPr>
      </w:pPr>
      <w:r w:rsidRPr="00990725">
        <w:rPr>
          <w:rFonts w:ascii="Verdana" w:hAnsi="Verdana" w:cs="Arial"/>
        </w:rPr>
        <w:t xml:space="preserve">Del primer concepto, se extractan las siguientes características en relación con la supervisión: i) la labor de supervisión siempre existirá en relación con </w:t>
      </w:r>
      <w:r w:rsidRPr="000F5961">
        <w:rPr>
          <w:rFonts w:ascii="Verdana" w:hAnsi="Verdana" w:cs="Arial"/>
        </w:rPr>
        <w:t xml:space="preserve">cualquier contrato estatal, salvo cuando se realice la vigilancia a través de la interventoría, caso en el cual podrán concurrir informando en el contrato de interventoría la división de dicha vigilancia. Por su parte, la interventoría se </w:t>
      </w:r>
      <w:r w:rsidRPr="000F5961">
        <w:rPr>
          <w:rFonts w:ascii="Verdana" w:hAnsi="Verdana" w:cs="Arial"/>
        </w:rPr>
        <w:lastRenderedPageBreak/>
        <w:t>contratara depend</w:t>
      </w:r>
      <w:r w:rsidRPr="00BD2614">
        <w:rPr>
          <w:rFonts w:ascii="Verdana" w:hAnsi="Verdana" w:cs="Arial"/>
        </w:rPr>
        <w:t>iendo del análisis de su necesidad y extensión</w:t>
      </w:r>
      <w:r w:rsidRPr="00990725">
        <w:rPr>
          <w:rFonts w:ascii="Verdana" w:hAnsi="Verdana" w:cs="Arial"/>
          <w:vertAlign w:val="superscript"/>
        </w:rPr>
        <w:footnoteReference w:id="6"/>
      </w:r>
      <w:r w:rsidRPr="00990725">
        <w:rPr>
          <w:rFonts w:ascii="Verdana" w:hAnsi="Verdana" w:cs="Arial"/>
        </w:rPr>
        <w:t xml:space="preserve">; </w:t>
      </w:r>
      <w:proofErr w:type="spellStart"/>
      <w:r w:rsidRPr="00990725">
        <w:rPr>
          <w:rFonts w:ascii="Verdana" w:hAnsi="Verdana" w:cs="Arial"/>
        </w:rPr>
        <w:t>ii</w:t>
      </w:r>
      <w:proofErr w:type="spellEnd"/>
      <w:r w:rsidRPr="00990725">
        <w:rPr>
          <w:rFonts w:ascii="Verdana" w:hAnsi="Verdana" w:cs="Arial"/>
        </w:rPr>
        <w:t xml:space="preserve">) no requiere conocimientos especializados como la interventoría; </w:t>
      </w:r>
      <w:proofErr w:type="spellStart"/>
      <w:r w:rsidRPr="00990725">
        <w:rPr>
          <w:rFonts w:ascii="Verdana" w:hAnsi="Verdana" w:cs="Arial"/>
        </w:rPr>
        <w:t>iii</w:t>
      </w:r>
      <w:proofErr w:type="spellEnd"/>
      <w:r w:rsidRPr="00990725">
        <w:rPr>
          <w:rFonts w:ascii="Verdana" w:hAnsi="Verdana" w:cs="Arial"/>
        </w:rPr>
        <w:t>) se ejerce por la Entidad Estatal por conducto de la designación de servidor</w:t>
      </w:r>
      <w:r w:rsidRPr="000F5961">
        <w:rPr>
          <w:rFonts w:ascii="Verdana" w:hAnsi="Verdana" w:cs="Arial"/>
        </w:rPr>
        <w:t xml:space="preserve">es públicos idóneos para cumplir la función; </w:t>
      </w:r>
      <w:proofErr w:type="spellStart"/>
      <w:r w:rsidRPr="000F5961">
        <w:rPr>
          <w:rFonts w:ascii="Verdana" w:hAnsi="Verdana" w:cs="Arial"/>
        </w:rPr>
        <w:t>iv</w:t>
      </w:r>
      <w:proofErr w:type="spellEnd"/>
      <w:r w:rsidRPr="000F5961">
        <w:rPr>
          <w:rFonts w:ascii="Verdana" w:hAnsi="Verdana" w:cs="Arial"/>
        </w:rPr>
        <w:t>) puede recibir apoyo de personal contratado para tal fin mediante contratos de prestación de servicios; v) le es inherente el seguimiento técnico, administrativo, financiero, contable, y jurídico del contrato</w:t>
      </w:r>
      <w:r w:rsidRPr="00BD2614">
        <w:rPr>
          <w:rFonts w:ascii="Verdana" w:hAnsi="Verdana" w:cs="Arial"/>
        </w:rPr>
        <w:t xml:space="preserve"> vigilado</w:t>
      </w:r>
      <w:r w:rsidRPr="006E4191">
        <w:rPr>
          <w:rFonts w:ascii="Verdana" w:hAnsi="Verdana"/>
          <w:vertAlign w:val="superscript"/>
        </w:rPr>
        <w:footnoteReference w:id="7"/>
      </w:r>
      <w:r w:rsidRPr="00990725">
        <w:rPr>
          <w:rFonts w:ascii="Verdana" w:hAnsi="Verdana" w:cs="Arial"/>
        </w:rPr>
        <w:t>.</w:t>
      </w:r>
    </w:p>
    <w:p w14:paraId="619738D6" w14:textId="77777777" w:rsidR="0035431A" w:rsidRPr="00BD2614" w:rsidRDefault="0035431A" w:rsidP="0035431A">
      <w:pPr>
        <w:pStyle w:val="Sinespaciado"/>
        <w:spacing w:after="120" w:line="276" w:lineRule="auto"/>
        <w:ind w:firstLine="709"/>
        <w:jc w:val="both"/>
        <w:rPr>
          <w:rFonts w:ascii="Verdana" w:hAnsi="Verdana" w:cs="Arial"/>
        </w:rPr>
      </w:pPr>
      <w:r w:rsidRPr="000F5961">
        <w:rPr>
          <w:rFonts w:ascii="Verdana" w:hAnsi="Verdana" w:cs="Arial"/>
        </w:rPr>
        <w:t>En cuanto a la designación del supervisor, la Agencia Nacional de Contratación Pública – Colombia Compra Eficiente, en la “Guía para el ejercicio de las funciones de supervisión e interventoría de los contratos del Estado”</w:t>
      </w:r>
      <w:r w:rsidRPr="00990725">
        <w:rPr>
          <w:rStyle w:val="Refdenotaalpie"/>
          <w:rFonts w:ascii="Verdana" w:hAnsi="Verdana" w:cs="Arial"/>
        </w:rPr>
        <w:footnoteReference w:id="8"/>
      </w:r>
      <w:r w:rsidRPr="00990725">
        <w:rPr>
          <w:rFonts w:ascii="Verdana" w:hAnsi="Verdana" w:cs="Arial"/>
        </w:rPr>
        <w:t xml:space="preserve"> recomienda que esta se haga por un funcionario público quién pueda actuar al menos como par del contratista y que tenga asignadas funciones relacionadas con el objeto contractual. Así mismo, en dicha Guía se señala que la designación debe estar antecedida</w:t>
      </w:r>
      <w:r w:rsidRPr="000F5961">
        <w:rPr>
          <w:rFonts w:ascii="Verdana" w:hAnsi="Verdana" w:cs="Arial"/>
        </w:rPr>
        <w:t xml:space="preserve"> por un análisis de la carga operativa del funcionario al que se le asigna la función, para no incurrir en el riesgo de que el supervisor no pueda desempeñar la labor de manera adecuada. </w:t>
      </w:r>
    </w:p>
    <w:p w14:paraId="016C54E5" w14:textId="77777777" w:rsidR="0035431A" w:rsidRPr="00990725" w:rsidRDefault="0035431A" w:rsidP="0035431A">
      <w:pPr>
        <w:pStyle w:val="Sinespaciado"/>
        <w:spacing w:after="120" w:line="276" w:lineRule="auto"/>
        <w:ind w:firstLine="709"/>
        <w:jc w:val="both"/>
        <w:rPr>
          <w:rFonts w:ascii="Verdana" w:hAnsi="Verdana" w:cs="Arial"/>
        </w:rPr>
      </w:pPr>
      <w:r w:rsidRPr="00990725">
        <w:rPr>
          <w:rFonts w:ascii="Verdana" w:hAnsi="Verdana" w:cs="Arial"/>
        </w:rPr>
        <w:t>Ahora bien, debe señalarse que, de acuerdo con la Ley 489 de 1998 la delegación es la transferencia del ejercicio de las funciones de las autoridades administrativas a sus colaboradores o a otras autoridades con funciones afines o complementarias. Por otro lado, la Ley 80 de 1993 establece que los jefes y los representantes legales de las Entidades Estatales pueden delegar total o parcialmente la competencia para celebrar contratos y realizar licitaciones, lo cual no los exonera de sus deberes de control y vigilancia de la actividad precontractual y contractual.</w:t>
      </w:r>
    </w:p>
    <w:p w14:paraId="34017EED" w14:textId="77777777" w:rsidR="0035431A" w:rsidRPr="003E64EC" w:rsidRDefault="0035431A" w:rsidP="0035431A">
      <w:pPr>
        <w:pStyle w:val="Sinespaciado"/>
        <w:spacing w:after="120" w:line="276" w:lineRule="auto"/>
        <w:ind w:firstLine="709"/>
        <w:jc w:val="both"/>
        <w:rPr>
          <w:rFonts w:ascii="Verdana" w:hAnsi="Verdana" w:cs="Arial"/>
        </w:rPr>
      </w:pPr>
      <w:r w:rsidRPr="00990725">
        <w:rPr>
          <w:rFonts w:ascii="Verdana" w:hAnsi="Verdana" w:cs="Arial"/>
        </w:rPr>
        <w:t xml:space="preserve">Si bien el ordenamiento jurídico consagra la figura de la delegación en materia contractual, la designación del supervisor de un contrato no es una delegación en los términos del artículo 9 de la Ley 489 de 1998 ni tampoco del artículo 12 de la Ley 80 de 1993. Lo anterior, dado que la función de supervisión es inherente al desempeño de las funciones ordinarias de los servidores públicos, </w:t>
      </w:r>
      <w:r w:rsidRPr="00990725">
        <w:rPr>
          <w:rFonts w:ascii="Verdana" w:hAnsi="Verdana" w:cs="Arial"/>
        </w:rPr>
        <w:lastRenderedPageBreak/>
        <w:t xml:space="preserve">como lo establece el artículo 83 de la Ley 1474 de 2011, y no es una función asignada exclusivamente al representante legal o al ordenador del gasto. En consecuencia, no es necesario emitir un acto administrativo mediante el cual el representante legal o el ordenador del gasto deleguen la función de supervisión del contrato. En todo caso, el representante legal o el ordenador del gasto de la Entidad Estatal, en el evento de que esta función se encuentre delegada, como responsables de la vigilancia y control de la ejecución del gasto y del contrato, deben designar al supervisor </w:t>
      </w:r>
      <w:proofErr w:type="gramStart"/>
      <w:r w:rsidRPr="00990725">
        <w:rPr>
          <w:rFonts w:ascii="Verdana" w:hAnsi="Verdana" w:cs="Arial"/>
        </w:rPr>
        <w:t>del mismo</w:t>
      </w:r>
      <w:proofErr w:type="gramEnd"/>
      <w:r w:rsidRPr="00990725">
        <w:rPr>
          <w:rFonts w:ascii="Verdana" w:hAnsi="Verdana" w:cs="Arial"/>
        </w:rPr>
        <w:t>. Para tales efectos podrán definirse las funciones del supervisor en el pliego de condiciones, en una cláusula del contrato, en el manual de contratación o en el acto de la asignación de la función al servidor público escogido para ejercer la supervisión</w:t>
      </w:r>
      <w:r w:rsidRPr="00990725">
        <w:rPr>
          <w:rStyle w:val="Refdenotaalpie"/>
          <w:rFonts w:ascii="Verdana" w:hAnsi="Verdana" w:cs="Arial"/>
        </w:rPr>
        <w:footnoteReference w:id="9"/>
      </w:r>
      <w:r w:rsidRPr="00990725">
        <w:rPr>
          <w:rFonts w:ascii="Verdana" w:hAnsi="Verdana" w:cs="Arial"/>
        </w:rPr>
        <w:t>. Así mismo, en todos los casos deberán informars</w:t>
      </w:r>
      <w:r w:rsidRPr="005A2FA3">
        <w:rPr>
          <w:rFonts w:ascii="Verdana" w:hAnsi="Verdana" w:cs="Arial"/>
        </w:rPr>
        <w:t xml:space="preserve">e al funcionario designado como supervisor. </w:t>
      </w:r>
    </w:p>
    <w:p w14:paraId="386F2A9B" w14:textId="224A4DEF" w:rsidR="0035431A" w:rsidRPr="000F106E" w:rsidRDefault="0035431A" w:rsidP="0035431A">
      <w:pPr>
        <w:spacing w:after="120" w:line="276" w:lineRule="auto"/>
        <w:ind w:firstLine="708"/>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Teniendo en cuenta el marco normativo que rige la supervisión de los contratos estatales, e</w:t>
      </w:r>
      <w:r w:rsidRPr="000F106E">
        <w:rPr>
          <w:rFonts w:ascii="Verdana" w:eastAsia="Calibri" w:hAnsi="Verdana" w:cs="Arial"/>
          <w:bCs/>
          <w:color w:val="000000" w:themeColor="text1"/>
          <w:lang w:val="es-ES_tradnl"/>
        </w:rPr>
        <w:t xml:space="preserve">n relación con la aprobación de las cuentas de cobro presentadas por el contratista, es preciso señalar que el ordenamiento jurídico que regula la contratación estatal no establece de manera expresa un funcionario específico encargado de dicha aprobación. No obstante, de la interpretación sistemática de las disposiciones que regulan la supervisión contractual se desprende que el seguimiento a la ejecución del contrato y la verificación del cumplimiento de las obligaciones pactadas corresponde, en primer lugar, al supervisor o interventor designado por la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ntidad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statal.</w:t>
      </w:r>
    </w:p>
    <w:p w14:paraId="1BC25FDA" w14:textId="77777777" w:rsidR="0035431A" w:rsidRPr="000F106E" w:rsidRDefault="0035431A" w:rsidP="0035431A">
      <w:pPr>
        <w:spacing w:after="120" w:line="276" w:lineRule="auto"/>
        <w:ind w:firstLine="708"/>
        <w:jc w:val="both"/>
        <w:rPr>
          <w:rFonts w:ascii="Verdana" w:eastAsia="Calibri" w:hAnsi="Verdana" w:cs="Arial"/>
          <w:bCs/>
          <w:color w:val="000000" w:themeColor="text1"/>
          <w:lang w:val="es-ES_tradnl"/>
        </w:rPr>
      </w:pPr>
      <w:r w:rsidRPr="000F106E">
        <w:rPr>
          <w:rFonts w:ascii="Verdana" w:eastAsia="Calibri" w:hAnsi="Verdana" w:cs="Arial"/>
          <w:bCs/>
          <w:color w:val="000000" w:themeColor="text1"/>
          <w:lang w:val="es-ES_tradnl"/>
        </w:rPr>
        <w:t xml:space="preserve">En efecto, el artículo 83 de la Ley 1474 de 2011 dispone que las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ntidades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statales deben ejercer la supervisión o interventoría de los contratos estatales con el fin de verificar el cumplimiento de las condiciones pactadas, así como prevenir la ocurrencia de actos de corrupción y garantizar la correcta ejecución de los recursos públicos. En ese sentido, el supervisor constituye el principal mecanismo de control durante la ejecución contractual, siendo el encargado de certificar la adecuada prestación del servicio o la entrega de los bienes contratados, lo cual sirve de soporte para el reconocimiento de pagos al contratista.</w:t>
      </w:r>
    </w:p>
    <w:p w14:paraId="0AE400C5" w14:textId="77777777" w:rsidR="0035431A" w:rsidRPr="000F106E" w:rsidRDefault="0035431A" w:rsidP="0035431A">
      <w:pPr>
        <w:spacing w:after="120" w:line="276" w:lineRule="auto"/>
        <w:ind w:firstLine="708"/>
        <w:jc w:val="both"/>
        <w:rPr>
          <w:rFonts w:ascii="Verdana" w:eastAsia="Calibri" w:hAnsi="Verdana" w:cs="Arial"/>
          <w:bCs/>
          <w:color w:val="000000" w:themeColor="text1"/>
          <w:lang w:val="es-ES_tradnl"/>
        </w:rPr>
      </w:pPr>
      <w:r w:rsidRPr="000F106E">
        <w:rPr>
          <w:rFonts w:ascii="Verdana" w:eastAsia="Calibri" w:hAnsi="Verdana" w:cs="Arial"/>
          <w:bCs/>
          <w:color w:val="000000" w:themeColor="text1"/>
          <w:lang w:val="es-ES_tradnl"/>
        </w:rPr>
        <w:t xml:space="preserve">De igual forma, la normativa del sistema de compras públicas establece que las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ntidades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statales deben estructurar sus procesos internos de contratación a través de sus respectivos manuales. En este contexto, el artículo </w:t>
      </w:r>
      <w:r w:rsidRPr="000F106E">
        <w:rPr>
          <w:rFonts w:ascii="Verdana" w:eastAsia="Calibri" w:hAnsi="Verdana" w:cs="Arial"/>
          <w:bCs/>
          <w:color w:val="000000" w:themeColor="text1"/>
          <w:lang w:val="es-ES_tradnl"/>
        </w:rPr>
        <w:lastRenderedPageBreak/>
        <w:t>2.2.1.2.5.</w:t>
      </w:r>
      <w:r>
        <w:rPr>
          <w:rFonts w:ascii="Verdana" w:eastAsia="Calibri" w:hAnsi="Verdana" w:cs="Arial"/>
          <w:bCs/>
          <w:color w:val="000000" w:themeColor="text1"/>
          <w:lang w:val="es-ES_tradnl"/>
        </w:rPr>
        <w:t>3</w:t>
      </w:r>
      <w:r w:rsidRPr="000F106E">
        <w:rPr>
          <w:rFonts w:ascii="Verdana" w:eastAsia="Calibri" w:hAnsi="Verdana" w:cs="Arial"/>
          <w:bCs/>
          <w:color w:val="000000" w:themeColor="text1"/>
          <w:lang w:val="es-ES_tradnl"/>
        </w:rPr>
        <w:t xml:space="preserve"> del Decreto 1082 de 2015 señala que las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ntidades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statales deben adoptar un manual de contratación en el cual se definan los procedimientos internos relacionados con la actividad contractual, incluyendo las responsabilidades de los servidores públicos que intervienen en las distintas etapas del proceso.</w:t>
      </w:r>
      <w:r>
        <w:rPr>
          <w:rFonts w:ascii="Verdana" w:eastAsia="Calibri" w:hAnsi="Verdana" w:cs="Arial"/>
          <w:bCs/>
          <w:color w:val="000000" w:themeColor="text1"/>
          <w:lang w:val="es-ES_tradnl"/>
        </w:rPr>
        <w:t xml:space="preserve"> Así mismo, la Entidades Estatales, como buena práctica contractual adoptan manuales de supervisión e interventoría, en el cual detallan las funciones, responsabilidades y procedimientos para el correcto seguimiento de los contratos estatales.  </w:t>
      </w:r>
    </w:p>
    <w:p w14:paraId="67FE3F7C" w14:textId="77777777" w:rsidR="0035431A" w:rsidRPr="000F106E" w:rsidRDefault="0035431A" w:rsidP="0035431A">
      <w:pPr>
        <w:spacing w:after="120" w:line="276" w:lineRule="auto"/>
        <w:ind w:firstLine="708"/>
        <w:jc w:val="both"/>
        <w:rPr>
          <w:rFonts w:ascii="Verdana" w:eastAsia="Calibri" w:hAnsi="Verdana" w:cs="Arial"/>
          <w:color w:val="000000" w:themeColor="text1"/>
          <w:lang w:val="es-ES"/>
        </w:rPr>
      </w:pPr>
      <w:r w:rsidRPr="089D6653">
        <w:rPr>
          <w:rFonts w:ascii="Verdana" w:eastAsia="Calibri" w:hAnsi="Verdana" w:cs="Arial"/>
          <w:color w:val="000000" w:themeColor="text1"/>
          <w:lang w:val="es-ES"/>
        </w:rPr>
        <w:t>Bajo esta perspectiva, si bien la verificación del cumplimiento de las obligaciones contractuales corresponde principalmente al supervisor o interventor, el trámite de aprobación de las cuentas de cobro y la autorización de pago puede implicar también la intervención de otras áreas relacionadas con la gestión contractual, como las áreas financieras o presupuestales de la entidad, las cuales deben realizar las validaciones correspondientes en materia de disponibilidad presupuestal, registro presupuestal y demás requisitos financieros exigidos por la normativa aplicable.</w:t>
      </w:r>
    </w:p>
    <w:p w14:paraId="1FD6618C" w14:textId="77777777" w:rsidR="0035431A" w:rsidRPr="000F106E" w:rsidRDefault="0035431A" w:rsidP="0035431A">
      <w:pPr>
        <w:spacing w:after="120" w:line="276" w:lineRule="auto"/>
        <w:ind w:firstLine="708"/>
        <w:jc w:val="both"/>
        <w:rPr>
          <w:rFonts w:ascii="Verdana" w:eastAsia="Calibri" w:hAnsi="Verdana" w:cs="Arial"/>
          <w:bCs/>
          <w:color w:val="000000" w:themeColor="text1"/>
          <w:lang w:val="es-ES_tradnl"/>
        </w:rPr>
      </w:pPr>
      <w:r w:rsidRPr="000F106E">
        <w:rPr>
          <w:rFonts w:ascii="Verdana" w:eastAsia="Calibri" w:hAnsi="Verdana" w:cs="Arial"/>
          <w:bCs/>
          <w:color w:val="000000" w:themeColor="text1"/>
          <w:lang w:val="es-ES_tradnl"/>
        </w:rPr>
        <w:t xml:space="preserve">En ese orden de ideas, corresponde a cada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 xml:space="preserve">ntidad </w:t>
      </w:r>
      <w:r>
        <w:rPr>
          <w:rFonts w:ascii="Verdana" w:eastAsia="Calibri" w:hAnsi="Verdana" w:cs="Arial"/>
          <w:bCs/>
          <w:color w:val="000000" w:themeColor="text1"/>
          <w:lang w:val="es-ES_tradnl"/>
        </w:rPr>
        <w:t>E</w:t>
      </w:r>
      <w:r w:rsidRPr="000F106E">
        <w:rPr>
          <w:rFonts w:ascii="Verdana" w:eastAsia="Calibri" w:hAnsi="Verdana" w:cs="Arial"/>
          <w:bCs/>
          <w:color w:val="000000" w:themeColor="text1"/>
          <w:lang w:val="es-ES_tradnl"/>
        </w:rPr>
        <w:t>statal, en ejercicio de su autonomía administrativa y mediante su manual de contratación,</w:t>
      </w:r>
      <w:r>
        <w:rPr>
          <w:rFonts w:ascii="Verdana" w:eastAsia="Calibri" w:hAnsi="Verdana" w:cs="Arial"/>
          <w:bCs/>
          <w:color w:val="000000" w:themeColor="text1"/>
          <w:lang w:val="es-ES_tradnl"/>
        </w:rPr>
        <w:t xml:space="preserve"> o de los demás manuales que haya adoptado como por ejemplo, el manual de supervisión e interventoría,</w:t>
      </w:r>
      <w:r w:rsidRPr="000F106E">
        <w:rPr>
          <w:rFonts w:ascii="Verdana" w:eastAsia="Calibri" w:hAnsi="Verdana" w:cs="Arial"/>
          <w:bCs/>
          <w:color w:val="000000" w:themeColor="text1"/>
          <w:lang w:val="es-ES_tradnl"/>
        </w:rPr>
        <w:t xml:space="preserve"> definir el funcionario o dependencia responsable de efectuar la aprobación de las cuentas de cobro o solicitudes de pago en la plataforma SECOP II, garantizando que dicho procedimiento se ajuste a los principios de la función administrativa y de la contratación estatal, particularmente los de transparencia, responsabilidad y control en el manejo de los recursos públicos.</w:t>
      </w:r>
      <w:r>
        <w:rPr>
          <w:rFonts w:ascii="Verdana" w:eastAsia="Calibri" w:hAnsi="Verdana" w:cs="Arial"/>
          <w:bCs/>
          <w:color w:val="000000" w:themeColor="text1"/>
          <w:lang w:val="es-ES_tradnl"/>
        </w:rPr>
        <w:t xml:space="preserve"> </w:t>
      </w:r>
    </w:p>
    <w:p w14:paraId="7E69081B" w14:textId="77777777" w:rsidR="0035431A" w:rsidRPr="00DD350F" w:rsidRDefault="0035431A" w:rsidP="0035431A">
      <w:pPr>
        <w:spacing w:after="120" w:line="276" w:lineRule="auto"/>
        <w:ind w:firstLine="708"/>
        <w:jc w:val="both"/>
        <w:rPr>
          <w:rFonts w:ascii="Verdana" w:eastAsia="Century Gothic" w:hAnsi="Verdana" w:cs="Century Gothic"/>
          <w:lang w:val="es-ES"/>
        </w:rPr>
      </w:pPr>
      <w:r w:rsidRPr="00DD350F">
        <w:rPr>
          <w:rFonts w:ascii="Verdana" w:eastAsia="Arial" w:hAnsi="Verdana" w:cs="Arial"/>
          <w:iCs/>
          <w:lang w:val="es-ES"/>
        </w:rPr>
        <w:t xml:space="preserve">En relación </w:t>
      </w:r>
      <w:r>
        <w:rPr>
          <w:rFonts w:ascii="Verdana" w:eastAsia="Arial" w:hAnsi="Verdana" w:cs="Arial"/>
          <w:iCs/>
          <w:lang w:val="es-ES"/>
        </w:rPr>
        <w:t>con el procedimiento para presentación de las cuentas de cobro por parte de los contratista y su debida gestión en la plataforma SECOP II para la aprobación de las mismas por parte de la entidad contratante</w:t>
      </w:r>
      <w:r>
        <w:rPr>
          <w:rFonts w:ascii="Verdana" w:eastAsia="Century Gothic" w:hAnsi="Verdana" w:cs="Century Gothic"/>
        </w:rPr>
        <w:t xml:space="preserve"> en los contratos de prestación de servicios</w:t>
      </w:r>
      <w:r w:rsidRPr="00DD350F">
        <w:rPr>
          <w:rFonts w:ascii="Verdana" w:eastAsia="Arial" w:hAnsi="Verdana" w:cs="Arial"/>
          <w:iCs/>
          <w:lang w:val="es-ES"/>
        </w:rPr>
        <w:t xml:space="preserve">, </w:t>
      </w:r>
      <w:r w:rsidRPr="00DD350F">
        <w:rPr>
          <w:rFonts w:ascii="Verdana" w:eastAsia="Calibri" w:hAnsi="Verdana" w:cs="Arial"/>
          <w:bCs/>
          <w:color w:val="000000"/>
          <w:kern w:val="2"/>
          <w14:ligatures w14:val="standardContextual"/>
        </w:rPr>
        <w:t xml:space="preserve">es pertinente precisar que no existe en el Sistema de Compra y Contratación Pública una disposición </w:t>
      </w:r>
      <w:r>
        <w:rPr>
          <w:rFonts w:ascii="Verdana" w:eastAsia="Calibri" w:hAnsi="Verdana" w:cs="Arial"/>
          <w:bCs/>
          <w:color w:val="000000"/>
          <w:kern w:val="2"/>
          <w14:ligatures w14:val="standardContextual"/>
        </w:rPr>
        <w:t>normativa que lo indique</w:t>
      </w:r>
      <w:r w:rsidRPr="00DD350F">
        <w:rPr>
          <w:rFonts w:ascii="Verdana" w:eastAsia="Calibri" w:hAnsi="Verdana" w:cs="Arial"/>
          <w:bCs/>
          <w:color w:val="000000"/>
          <w:kern w:val="2"/>
          <w14:ligatures w14:val="standardContextual"/>
        </w:rPr>
        <w:t xml:space="preserve">, pues en virtud del principio de autonomía de la voluntad, las partes pueden determinar el contenido de los contratos estatales e incluir las condiciones, cláusulas o estipulaciones que consideren necesarias para desarrollar el objeto contractual, </w:t>
      </w:r>
      <w:r>
        <w:rPr>
          <w:rFonts w:ascii="Verdana" w:eastAsia="Calibri" w:hAnsi="Verdana" w:cs="Arial"/>
          <w:bCs/>
          <w:color w:val="000000"/>
          <w:kern w:val="2"/>
          <w14:ligatures w14:val="standardContextual"/>
        </w:rPr>
        <w:t xml:space="preserve">la forma de ejecución, los documentos necesarios para cancelar los honorarios, entre otros aspectos, siempre en </w:t>
      </w:r>
      <w:r>
        <w:rPr>
          <w:rFonts w:ascii="Verdana" w:eastAsia="Calibri" w:hAnsi="Verdana" w:cs="Arial"/>
          <w:bCs/>
          <w:color w:val="000000"/>
          <w:kern w:val="2"/>
          <w14:ligatures w14:val="standardContextual"/>
        </w:rPr>
        <w:lastRenderedPageBreak/>
        <w:t xml:space="preserve">consideración de lo que arroja la etapa de planeación a través de los documentos previos. </w:t>
      </w:r>
    </w:p>
    <w:p w14:paraId="1E68E241" w14:textId="77777777" w:rsidR="0035431A" w:rsidRDefault="0035431A" w:rsidP="0035431A">
      <w:pPr>
        <w:spacing w:after="120" w:line="276" w:lineRule="auto"/>
        <w:ind w:firstLine="709"/>
        <w:jc w:val="both"/>
        <w:rPr>
          <w:rFonts w:ascii="Verdana" w:eastAsia="Calibri" w:hAnsi="Verdana" w:cs="Arial"/>
          <w:bCs/>
          <w:color w:val="000000"/>
          <w:kern w:val="2"/>
          <w14:ligatures w14:val="standardContextual"/>
        </w:rPr>
      </w:pPr>
      <w:r w:rsidRPr="00F31A35">
        <w:rPr>
          <w:rFonts w:ascii="Verdana" w:eastAsia="Calibri" w:hAnsi="Verdana" w:cs="Arial"/>
          <w:bCs/>
          <w:color w:val="000000"/>
          <w:kern w:val="2"/>
          <w14:ligatures w14:val="standardContextual"/>
        </w:rPr>
        <w:t xml:space="preserve">En ese sentido, las Entidades Públicas </w:t>
      </w:r>
      <w:r>
        <w:rPr>
          <w:rFonts w:ascii="Verdana" w:eastAsia="Calibri" w:hAnsi="Verdana" w:cs="Arial"/>
          <w:bCs/>
          <w:color w:val="000000"/>
          <w:kern w:val="2"/>
          <w14:ligatures w14:val="standardContextual"/>
        </w:rPr>
        <w:t xml:space="preserve">desde los estudios previos definirán las condiciones del contrato de prestación de servicios a celebrar, plasmado en la minuta del contrato </w:t>
      </w:r>
      <w:r w:rsidRPr="00F31A35">
        <w:rPr>
          <w:rFonts w:ascii="Verdana" w:eastAsia="Calibri" w:hAnsi="Verdana" w:cs="Arial"/>
          <w:bCs/>
          <w:color w:val="000000"/>
          <w:kern w:val="2"/>
          <w14:ligatures w14:val="standardContextual"/>
        </w:rPr>
        <w:t>de prestación de servicios profesionales, de apoyo a la gestión y trabajos artísticos</w:t>
      </w:r>
      <w:r>
        <w:rPr>
          <w:rFonts w:ascii="Verdana" w:eastAsia="Calibri" w:hAnsi="Verdana" w:cs="Arial"/>
          <w:bCs/>
          <w:color w:val="000000"/>
          <w:kern w:val="2"/>
          <w14:ligatures w14:val="standardContextual"/>
        </w:rPr>
        <w:t>, según corresponda</w:t>
      </w:r>
      <w:r w:rsidRPr="00F31A35">
        <w:rPr>
          <w:rFonts w:ascii="Verdana" w:eastAsia="Calibri" w:hAnsi="Verdana" w:cs="Arial"/>
          <w:bCs/>
          <w:color w:val="000000"/>
          <w:kern w:val="2"/>
          <w14:ligatures w14:val="standardContextual"/>
        </w:rPr>
        <w:t xml:space="preserve">. </w:t>
      </w:r>
      <w:bookmarkStart w:id="1" w:name="_Hlk139612360"/>
      <w:r>
        <w:rPr>
          <w:rFonts w:ascii="Verdana" w:eastAsia="Calibri" w:hAnsi="Verdana" w:cs="Arial"/>
          <w:bCs/>
          <w:color w:val="000000"/>
          <w:kern w:val="2"/>
          <w14:ligatures w14:val="standardContextual"/>
        </w:rPr>
        <w:t>Así mismo</w:t>
      </w:r>
      <w:r w:rsidRPr="00F31A35">
        <w:rPr>
          <w:rFonts w:ascii="Verdana" w:eastAsia="Calibri" w:hAnsi="Verdana" w:cs="Arial"/>
          <w:bCs/>
          <w:color w:val="000000"/>
          <w:kern w:val="2"/>
          <w14:ligatures w14:val="standardContextual"/>
        </w:rPr>
        <w:t xml:space="preserve">, se resalta que en la Ley 80 de 1993, Ley 1150 de 2007 y en el Decreto 1082 de 2015 no se encuentran disposiciones que establezcan </w:t>
      </w:r>
      <w:r>
        <w:rPr>
          <w:rFonts w:ascii="Verdana" w:eastAsia="Calibri" w:hAnsi="Verdana" w:cs="Arial"/>
          <w:bCs/>
          <w:color w:val="000000"/>
          <w:kern w:val="2"/>
          <w14:ligatures w14:val="standardContextual"/>
        </w:rPr>
        <w:t xml:space="preserve">la forma en que deben presentarse las cuentas de cobro, tales como el informe de ejecución </w:t>
      </w:r>
      <w:r w:rsidRPr="001153C9">
        <w:rPr>
          <w:rFonts w:ascii="Verdana" w:eastAsia="Calibri" w:hAnsi="Verdana" w:cs="Arial"/>
          <w:bCs/>
          <w:color w:val="000000"/>
          <w:kern w:val="2"/>
          <w14:ligatures w14:val="standardContextual"/>
        </w:rPr>
        <w:t>o el informe y certificación de cumplimiento</w:t>
      </w:r>
      <w:r>
        <w:rPr>
          <w:rFonts w:ascii="Verdana" w:eastAsia="Calibri" w:hAnsi="Verdana" w:cs="Arial"/>
          <w:bCs/>
          <w:color w:val="000000"/>
          <w:kern w:val="2"/>
          <w14:ligatures w14:val="standardContextual"/>
        </w:rPr>
        <w:t>, así como las fechas para su presentación</w:t>
      </w:r>
      <w:bookmarkStart w:id="2" w:name="_Hlk139612160"/>
      <w:r w:rsidRPr="0037766C">
        <w:rPr>
          <w:rFonts w:ascii="Verdana" w:eastAsia="Calibri" w:hAnsi="Verdana" w:cs="Arial"/>
          <w:bCs/>
          <w:color w:val="000000"/>
          <w:kern w:val="2"/>
          <w14:ligatures w14:val="standardContextual"/>
        </w:rPr>
        <w:t xml:space="preserve">, </w:t>
      </w:r>
      <w:r>
        <w:rPr>
          <w:rFonts w:ascii="Verdana" w:eastAsia="Calibri" w:hAnsi="Verdana" w:cs="Arial"/>
          <w:bCs/>
          <w:color w:val="000000"/>
          <w:kern w:val="2"/>
          <w14:ligatures w14:val="standardContextual"/>
        </w:rPr>
        <w:t>por cuanto esto dependerá de las directrices fijadas al interior de la Entidad Estatal en su guías, circulares o manuales, que se verán reflejados en las cláusulas contenidas en la minuta del contrato de prestación de servicios</w:t>
      </w:r>
      <w:r w:rsidRPr="00F31A35">
        <w:rPr>
          <w:rFonts w:ascii="Verdana" w:eastAsia="Calibri" w:hAnsi="Verdana" w:cs="Arial"/>
          <w:bCs/>
          <w:color w:val="000000"/>
          <w:kern w:val="2"/>
          <w14:ligatures w14:val="standardContextual"/>
        </w:rPr>
        <w:t>.</w:t>
      </w:r>
      <w:bookmarkEnd w:id="1"/>
      <w:r>
        <w:rPr>
          <w:rFonts w:ascii="Verdana" w:eastAsia="Calibri" w:hAnsi="Verdana" w:cs="Arial"/>
          <w:bCs/>
          <w:color w:val="000000"/>
          <w:kern w:val="2"/>
          <w14:ligatures w14:val="standardContextual"/>
        </w:rPr>
        <w:t xml:space="preserve"> </w:t>
      </w:r>
    </w:p>
    <w:p w14:paraId="7E3BEB62" w14:textId="076F3CF7" w:rsidR="0035431A" w:rsidRPr="00694FA2" w:rsidRDefault="00694FA2" w:rsidP="00694FA2">
      <w:pPr>
        <w:spacing w:after="120" w:line="276" w:lineRule="auto"/>
        <w:ind w:firstLine="708"/>
        <w:jc w:val="both"/>
        <w:rPr>
          <w:rFonts w:ascii="Verdana" w:eastAsia="Calibri" w:hAnsi="Verdana" w:cs="Arial"/>
          <w:bCs/>
          <w:color w:val="000000"/>
          <w:kern w:val="2"/>
          <w14:ligatures w14:val="standardContextual"/>
        </w:rPr>
      </w:pPr>
      <w:r w:rsidRPr="00694FA2">
        <w:rPr>
          <w:rFonts w:ascii="Verdana" w:eastAsia="Calibri" w:hAnsi="Verdana" w:cs="Arial"/>
          <w:bCs/>
          <w:color w:val="000000"/>
          <w:kern w:val="2"/>
          <w14:ligatures w14:val="standardContextual"/>
        </w:rPr>
        <w:t>En conclusión, y conforme a las consideraciones expuestas, el alcance de las funciones del supervisor en el trámite de pago de un contrato estatal se circunscribe al seguimiento técnico, administrativo, financiero, contable y jurídico sobre el cumplimiento del objeto contractual, en los términos del artículo 83 de la Ley 1474 de 2011. En tal virtud, el supervisor cumple su función cuando verifica la correcta ejecución del contrato, certifica el recibo a satisfacción del objeto</w:t>
      </w:r>
      <w:r>
        <w:rPr>
          <w:rFonts w:ascii="Verdana" w:eastAsia="Calibri" w:hAnsi="Verdana" w:cs="Arial"/>
          <w:bCs/>
          <w:color w:val="000000"/>
          <w:kern w:val="2"/>
          <w14:ligatures w14:val="standardContextual"/>
        </w:rPr>
        <w:t>, c</w:t>
      </w:r>
      <w:r w:rsidRPr="00694FA2">
        <w:rPr>
          <w:rFonts w:ascii="Verdana" w:eastAsia="Calibri" w:hAnsi="Verdana" w:cs="Arial"/>
          <w:bCs/>
          <w:color w:val="000000"/>
          <w:kern w:val="2"/>
          <w14:ligatures w14:val="standardContextual"/>
        </w:rPr>
        <w:t xml:space="preserve">ertificación que constituye el soporte para el reconocimiento del </w:t>
      </w:r>
      <w:proofErr w:type="gramStart"/>
      <w:r w:rsidRPr="00694FA2">
        <w:rPr>
          <w:rFonts w:ascii="Verdana" w:eastAsia="Calibri" w:hAnsi="Verdana" w:cs="Arial"/>
          <w:bCs/>
          <w:color w:val="000000"/>
          <w:kern w:val="2"/>
          <w14:ligatures w14:val="standardContextual"/>
        </w:rPr>
        <w:t>pago</w:t>
      </w:r>
      <w:r>
        <w:rPr>
          <w:rFonts w:ascii="Verdana" w:eastAsia="Calibri" w:hAnsi="Verdana" w:cs="Arial"/>
          <w:bCs/>
          <w:color w:val="000000"/>
          <w:kern w:val="2"/>
          <w14:ligatures w14:val="standardContextual"/>
        </w:rPr>
        <w:t xml:space="preserve">, </w:t>
      </w:r>
      <w:r w:rsidRPr="00694FA2">
        <w:rPr>
          <w:rFonts w:ascii="Verdana" w:eastAsia="Calibri" w:hAnsi="Verdana" w:cs="Arial"/>
          <w:bCs/>
          <w:color w:val="000000"/>
          <w:kern w:val="2"/>
          <w14:ligatures w14:val="standardContextual"/>
        </w:rPr>
        <w:t xml:space="preserve"> y</w:t>
      </w:r>
      <w:proofErr w:type="gramEnd"/>
      <w:r w:rsidRPr="00694FA2">
        <w:rPr>
          <w:rFonts w:ascii="Verdana" w:eastAsia="Calibri" w:hAnsi="Verdana" w:cs="Arial"/>
          <w:bCs/>
          <w:color w:val="000000"/>
          <w:kern w:val="2"/>
          <w14:ligatures w14:val="standardContextual"/>
        </w:rPr>
        <w:t>, ante situaciones que desborden su competencia, eleva las consultas que correspondan a las áreas competentes de la entidad. Ahora bien, el ordenamiento jurídico que regula la contratación estatal no atribuye de manera expresa a un funcionario específico ni fija un procedimiento único para adelantar el pago, de modo que la definición del procedimiento administrativo, financiero, presupuestal, contable y jurídico para materializarlo corresponde a cada Entidad Estatal, en ejercicio de su autonomía administrativa y con arreglo a su manual de contratación</w:t>
      </w:r>
      <w:r>
        <w:rPr>
          <w:rFonts w:ascii="Verdana" w:eastAsia="Calibri" w:hAnsi="Verdana" w:cs="Arial"/>
          <w:bCs/>
          <w:color w:val="000000"/>
          <w:kern w:val="2"/>
          <w14:ligatures w14:val="standardContextual"/>
        </w:rPr>
        <w:t xml:space="preserve">, </w:t>
      </w:r>
      <w:r w:rsidRPr="00694FA2">
        <w:rPr>
          <w:rFonts w:ascii="Verdana" w:eastAsia="Calibri" w:hAnsi="Verdana" w:cs="Arial"/>
          <w:bCs/>
          <w:color w:val="000000"/>
          <w:kern w:val="2"/>
          <w14:ligatures w14:val="standardContextual"/>
        </w:rPr>
        <w:t xml:space="preserve">o de los demás manuales que haya adoptado, como el de supervisión e interventoría, sin perjuicio de las validaciones de disponibilidad y registro presupuestal y demás verificaciones que competen a las áreas financieras, presupuestales y contables. Por consiguiente, verificada y certificada la ejecución por el supervisor, y cumplidas dichas validaciones, será el manual de contratación de cada entidad el que establezca la dependencia o el funcionario responsable de adelantar y aprobar el trámite de pago, garantizando que el procedimiento se ajuste a los principios de la función administrativa y de la </w:t>
      </w:r>
      <w:r w:rsidRPr="00694FA2">
        <w:rPr>
          <w:rFonts w:ascii="Verdana" w:eastAsia="Calibri" w:hAnsi="Verdana" w:cs="Arial"/>
          <w:bCs/>
          <w:color w:val="000000"/>
          <w:kern w:val="2"/>
          <w14:ligatures w14:val="standardContextual"/>
        </w:rPr>
        <w:lastRenderedPageBreak/>
        <w:t>contratación estatal, en particular los de transparencia, responsabilidad y control en el manejo de los recursos públicos.</w:t>
      </w:r>
      <w:bookmarkStart w:id="3" w:name="_Hlk196757138"/>
      <w:bookmarkEnd w:id="2"/>
      <w:r w:rsidR="0035431A" w:rsidRPr="00A76507">
        <w:rPr>
          <w:rFonts w:ascii="Verdana" w:eastAsia="Calibri" w:hAnsi="Verdana" w:cs="Arial"/>
          <w:bCs/>
          <w:color w:val="000000" w:themeColor="text1"/>
          <w:lang w:val="es-ES_tradnl"/>
        </w:rPr>
        <w:t xml:space="preserve"> </w:t>
      </w:r>
    </w:p>
    <w:bookmarkEnd w:id="3"/>
    <w:p w14:paraId="0F627F05" w14:textId="44A3381D" w:rsidR="0035431A" w:rsidRDefault="00694FA2" w:rsidP="00694FA2">
      <w:pPr>
        <w:tabs>
          <w:tab w:val="left" w:pos="709"/>
        </w:tabs>
        <w:spacing w:after="120" w:line="276" w:lineRule="auto"/>
        <w:jc w:val="both"/>
        <w:rPr>
          <w:rFonts w:ascii="Verdana" w:hAnsi="Verdana" w:cs="Arial"/>
          <w:lang w:val="es-ES"/>
        </w:rPr>
      </w:pPr>
      <w:r>
        <w:rPr>
          <w:rFonts w:ascii="Verdana" w:hAnsi="Verdana" w:cs="Arial"/>
          <w:lang w:val="es-ES"/>
        </w:rPr>
        <w:tab/>
      </w:r>
      <w:r w:rsidR="0035431A" w:rsidRPr="00990725">
        <w:rPr>
          <w:rFonts w:ascii="Verdana" w:hAnsi="Verdana" w:cs="Arial"/>
          <w:lang w:val="es-ES"/>
        </w:rPr>
        <w:t>Al margen de la explicación precedente debe advertirse que el análisis requerido para resolver problemas específicos en torno a la designación de la supervisión debe realizarse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0AFAD38" w14:textId="5182865A" w:rsidR="0035431A" w:rsidRPr="00BE5AB2" w:rsidRDefault="00694FA2" w:rsidP="00694FA2">
      <w:pPr>
        <w:tabs>
          <w:tab w:val="left" w:pos="709"/>
        </w:tabs>
        <w:spacing w:before="120" w:after="0" w:line="276" w:lineRule="auto"/>
        <w:jc w:val="both"/>
        <w:rPr>
          <w:rFonts w:ascii="Verdana" w:hAnsi="Verdana" w:cs="Arial"/>
          <w:lang w:val="es-ES"/>
        </w:rPr>
      </w:pPr>
      <w:r>
        <w:rPr>
          <w:rFonts w:ascii="Verdana" w:hAnsi="Verdana" w:cs="Arial"/>
          <w:lang w:val="es-ES"/>
        </w:rPr>
        <w:tab/>
      </w:r>
      <w:r w:rsidR="0035431A" w:rsidRPr="00990725">
        <w:rPr>
          <w:rFonts w:ascii="Verdana" w:hAnsi="Verdana" w:cs="Arial"/>
          <w:lang w:val="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58B4ED5" w14:textId="77777777" w:rsidR="00B42204" w:rsidRPr="00D56B2A" w:rsidRDefault="00B42204" w:rsidP="00B42204">
      <w:pPr>
        <w:snapToGrid w:val="0"/>
        <w:spacing w:after="0" w:line="276" w:lineRule="auto"/>
        <w:ind w:rightChars="125" w:right="275"/>
        <w:jc w:val="both"/>
        <w:rPr>
          <w:rFonts w:ascii="Verdana" w:eastAsia="Calibri" w:hAnsi="Verdana" w:cs="Arial"/>
          <w:color w:val="3399FF"/>
          <w:lang w:val="es-ES" w:eastAsia="es-ES"/>
        </w:rPr>
      </w:pPr>
    </w:p>
    <w:p w14:paraId="4C5C0291" w14:textId="77777777" w:rsidR="00B42204" w:rsidRPr="004D7523" w:rsidRDefault="00B42204" w:rsidP="00B422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Pr>
          <w:rFonts w:ascii="Verdana" w:eastAsia="Century Gothic" w:hAnsi="Verdana" w:cs="Century Gothic"/>
          <w:b/>
          <w:bCs/>
          <w:lang w:val="es-ES_tradnl"/>
        </w:rPr>
        <w:t>Referencias normativas, jurisprudenciales y otras fuentes:</w:t>
      </w:r>
    </w:p>
    <w:p w14:paraId="00DB4F91" w14:textId="77777777" w:rsidR="00B42204" w:rsidRPr="004D7523" w:rsidRDefault="00B42204" w:rsidP="00B42204">
      <w:pPr>
        <w:tabs>
          <w:tab w:val="left" w:pos="970"/>
        </w:tabs>
        <w:spacing w:after="0" w:line="276" w:lineRule="auto"/>
        <w:ind w:left="-15840"/>
        <w:jc w:val="both"/>
        <w:rPr>
          <w:rFonts w:ascii="Verdana" w:eastAsia="Calibri" w:hAnsi="Verdana" w:cs="Arial"/>
          <w:b/>
          <w:bCs/>
        </w:rPr>
      </w:pPr>
      <w:r>
        <w:rPr>
          <w:rFonts w:ascii="Verdana" w:eastAsia="Calibri" w:hAnsi="Verdana" w:cs="Arial"/>
          <w:b/>
          <w:bCs/>
        </w:rPr>
        <w:t>4. Referencias normativas, jurisprudenciales y otras fuentes:</w:t>
      </w:r>
      <w:r>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42204" w:rsidRPr="00D56B2A" w14:paraId="37CC208A" w14:textId="77777777" w:rsidTr="00E07241">
        <w:trPr>
          <w:trHeight w:val="242"/>
        </w:trPr>
        <w:tc>
          <w:tcPr>
            <w:tcW w:w="8647" w:type="dxa"/>
            <w:tcBorders>
              <w:top w:val="dotted" w:sz="4" w:space="0" w:color="auto"/>
              <w:left w:val="dotted" w:sz="4" w:space="0" w:color="auto"/>
              <w:bottom w:val="dotted" w:sz="4" w:space="0" w:color="auto"/>
              <w:right w:val="dotted" w:sz="4" w:space="0" w:color="auto"/>
            </w:tcBorders>
          </w:tcPr>
          <w:p w14:paraId="78882DD0" w14:textId="77777777" w:rsidR="004F31DA" w:rsidRDefault="00000000">
            <w:pPr>
              <w:spacing w:before="40" w:after="40" w:line="276" w:lineRule="auto"/>
              <w:jc w:val="both"/>
              <w:rPr>
                <w:rFonts w:ascii="Verdana" w:hAnsi="Verdana"/>
              </w:rPr>
            </w:pPr>
            <w:r>
              <w:rPr>
                <w:rFonts w:ascii="Verdana" w:hAnsi="Verdana" w:cs="Verdana"/>
                <w:color w:val="000000"/>
              </w:rPr>
              <w:t>•  Constitución Política de 1991, artículos 74 y 209.</w:t>
            </w:r>
          </w:p>
          <w:p w14:paraId="1B5270FD" w14:textId="77777777" w:rsidR="004F31DA" w:rsidRDefault="00000000">
            <w:pPr>
              <w:spacing w:before="40" w:after="40" w:line="276" w:lineRule="auto"/>
              <w:jc w:val="both"/>
              <w:rPr>
                <w:rFonts w:ascii="Verdana" w:hAnsi="Verdana"/>
              </w:rPr>
            </w:pPr>
            <w:r>
              <w:rPr>
                <w:rFonts w:ascii="Verdana" w:hAnsi="Verdana" w:cs="Verdana"/>
                <w:color w:val="000000"/>
              </w:rPr>
              <w:t>•  Ley 80 de 1993, artículos 3, 4, 5, 12, 14, 26 y 41.</w:t>
            </w:r>
          </w:p>
          <w:p w14:paraId="44C552A2" w14:textId="77777777" w:rsidR="004F31DA" w:rsidRDefault="00000000">
            <w:pPr>
              <w:spacing w:before="40" w:after="40" w:line="276" w:lineRule="auto"/>
              <w:jc w:val="both"/>
              <w:rPr>
                <w:rFonts w:ascii="Verdana" w:hAnsi="Verdana"/>
              </w:rPr>
            </w:pPr>
            <w:r>
              <w:rPr>
                <w:rFonts w:ascii="Verdana" w:hAnsi="Verdana" w:cs="Verdana"/>
                <w:color w:val="000000"/>
              </w:rPr>
              <w:t>•  Ley 489 de 1998, artículo 9.</w:t>
            </w:r>
          </w:p>
          <w:p w14:paraId="60FFD795" w14:textId="77777777" w:rsidR="004F31DA" w:rsidRDefault="00000000">
            <w:pPr>
              <w:spacing w:before="40" w:after="40" w:line="276" w:lineRule="auto"/>
              <w:jc w:val="both"/>
              <w:rPr>
                <w:rFonts w:ascii="Verdana" w:hAnsi="Verdana"/>
              </w:rPr>
            </w:pPr>
            <w:r>
              <w:rPr>
                <w:rFonts w:ascii="Verdana" w:hAnsi="Verdana" w:cs="Verdana"/>
                <w:color w:val="000000"/>
              </w:rPr>
              <w:t>•  Ley 1150 de 2007, artículos 3, 17 y 21.</w:t>
            </w:r>
          </w:p>
          <w:p w14:paraId="51FE5AF3" w14:textId="77777777" w:rsidR="004F31DA" w:rsidRDefault="00000000">
            <w:pPr>
              <w:spacing w:before="40" w:after="40" w:line="276" w:lineRule="auto"/>
              <w:jc w:val="both"/>
              <w:rPr>
                <w:rFonts w:ascii="Verdana" w:hAnsi="Verdana"/>
              </w:rPr>
            </w:pPr>
            <w:r>
              <w:rPr>
                <w:rFonts w:ascii="Verdana" w:hAnsi="Verdana" w:cs="Verdana"/>
                <w:color w:val="000000"/>
              </w:rPr>
              <w:t>•  Ley 1474 de 2011, artículos 83 a 86.</w:t>
            </w:r>
          </w:p>
          <w:p w14:paraId="25F404BB" w14:textId="77777777" w:rsidR="004F31DA" w:rsidRDefault="00000000">
            <w:pPr>
              <w:spacing w:before="40" w:after="40" w:line="276" w:lineRule="auto"/>
              <w:jc w:val="both"/>
              <w:rPr>
                <w:rFonts w:ascii="Verdana" w:hAnsi="Verdana"/>
              </w:rPr>
            </w:pPr>
            <w:r>
              <w:rPr>
                <w:rFonts w:ascii="Verdana" w:hAnsi="Verdana" w:cs="Verdana"/>
                <w:color w:val="000000"/>
              </w:rPr>
              <w:t>•  Ley 1712 de 2014, artículo 9 literal e) y artículo 11 literal g).</w:t>
            </w:r>
          </w:p>
          <w:p w14:paraId="1D66355B" w14:textId="77777777" w:rsidR="004F31DA" w:rsidRDefault="00000000">
            <w:pPr>
              <w:spacing w:before="40" w:after="40" w:line="276" w:lineRule="auto"/>
              <w:jc w:val="both"/>
              <w:rPr>
                <w:rFonts w:ascii="Verdana" w:hAnsi="Verdana"/>
              </w:rPr>
            </w:pPr>
            <w:r>
              <w:rPr>
                <w:rFonts w:ascii="Verdana" w:hAnsi="Verdana" w:cs="Verdana"/>
                <w:color w:val="000000"/>
              </w:rPr>
              <w:t>•  Decreto Ley 4170 de 2011, artículo 3.</w:t>
            </w:r>
          </w:p>
          <w:p w14:paraId="7519991B" w14:textId="77777777" w:rsidR="004F31DA" w:rsidRDefault="00000000">
            <w:pPr>
              <w:spacing w:before="40" w:after="40" w:line="276" w:lineRule="auto"/>
              <w:jc w:val="both"/>
              <w:rPr>
                <w:rFonts w:ascii="Verdana" w:hAnsi="Verdana"/>
              </w:rPr>
            </w:pPr>
            <w:r>
              <w:rPr>
                <w:rFonts w:ascii="Verdana" w:hAnsi="Verdana" w:cs="Verdana"/>
                <w:color w:val="000000"/>
              </w:rPr>
              <w:t>•  Decreto 1082 de 2015, artículos 2.2.1.1.1.3.1, 2.2.1.2.5.3 y 2.2.1.1.1.7.1.</w:t>
            </w:r>
          </w:p>
          <w:p w14:paraId="721391B9" w14:textId="77777777" w:rsidR="004F31DA" w:rsidRDefault="00000000">
            <w:pPr>
              <w:spacing w:before="40" w:after="40" w:line="276" w:lineRule="auto"/>
              <w:jc w:val="both"/>
              <w:rPr>
                <w:rFonts w:ascii="Verdana" w:hAnsi="Verdana"/>
              </w:rPr>
            </w:pPr>
            <w:r>
              <w:rPr>
                <w:rFonts w:ascii="Verdana" w:hAnsi="Verdana" w:cs="Verdana"/>
                <w:color w:val="000000"/>
              </w:rPr>
              <w:t>•  Consejo de Estado. Sala de Consulta y Servicio Civil. Concepto del 6 de diciembre de 2007. Exp. 1871. C.P. Luis Fernando Álvarez Jaramillo.</w:t>
            </w:r>
          </w:p>
          <w:p w14:paraId="73CA5C37" w14:textId="77777777" w:rsidR="004F31DA" w:rsidRDefault="00000000">
            <w:pPr>
              <w:spacing w:before="40" w:after="40" w:line="276" w:lineRule="auto"/>
              <w:jc w:val="both"/>
              <w:rPr>
                <w:rFonts w:ascii="Verdana" w:hAnsi="Verdana"/>
              </w:rPr>
            </w:pPr>
            <w:r>
              <w:rPr>
                <w:rFonts w:ascii="Verdana" w:hAnsi="Verdana" w:cs="Verdana"/>
                <w:color w:val="000000"/>
              </w:rPr>
              <w:lastRenderedPageBreak/>
              <w:t>•  Consejo de Estado. Sección Tercera. Sentencia del 28 de mayo de 2012. Exp. 22089. C.P. Ruth Stella Correa Palacio.</w:t>
            </w:r>
          </w:p>
          <w:p w14:paraId="3540AD7B" w14:textId="77777777" w:rsidR="004F31DA" w:rsidRDefault="00000000">
            <w:pPr>
              <w:spacing w:before="40" w:after="40" w:line="276" w:lineRule="auto"/>
              <w:jc w:val="both"/>
              <w:rPr>
                <w:rFonts w:ascii="Verdana" w:hAnsi="Verdana"/>
              </w:rPr>
            </w:pPr>
            <w:r>
              <w:rPr>
                <w:rFonts w:ascii="Verdana" w:hAnsi="Verdana" w:cs="Verdana"/>
                <w:color w:val="000000"/>
              </w:rPr>
              <w:t>•  Consejo de Estado. Sección Tercera. Subsección B. Sentencia del 29 de julio de 2013. Exp. 24311. C.P. Ramiro de Jesús Pazos.</w:t>
            </w:r>
          </w:p>
          <w:p w14:paraId="0D4C1922" w14:textId="77777777" w:rsidR="004F31DA" w:rsidRDefault="00000000">
            <w:pPr>
              <w:spacing w:before="40" w:after="40" w:line="276" w:lineRule="auto"/>
              <w:jc w:val="both"/>
              <w:rPr>
                <w:rFonts w:ascii="Verdana" w:hAnsi="Verdana"/>
              </w:rPr>
            </w:pPr>
            <w:r>
              <w:rPr>
                <w:rFonts w:ascii="Verdana" w:hAnsi="Verdana" w:cs="Verdana"/>
                <w:color w:val="000000"/>
              </w:rPr>
              <w:t>•  Consejo de Estado. Sala de lo Contencioso Administrativo. Sección Tercera. Subsección C. Sentencia del 27 de noviembre de 2017. Exp. 51.802. M.P. Jaime Orlando Santofimio.</w:t>
            </w:r>
          </w:p>
          <w:p w14:paraId="3B6CF1D6" w14:textId="77777777" w:rsidR="004F31DA" w:rsidRDefault="00000000">
            <w:pPr>
              <w:spacing w:before="40" w:after="40" w:line="276" w:lineRule="auto"/>
              <w:jc w:val="both"/>
              <w:rPr>
                <w:rFonts w:ascii="Verdana" w:hAnsi="Verdana"/>
              </w:rPr>
            </w:pPr>
            <w:r>
              <w:rPr>
                <w:rFonts w:ascii="Verdana" w:hAnsi="Verdana" w:cs="Verdana"/>
                <w:color w:val="000000"/>
              </w:rPr>
              <w:t>•  Corte Constitucional. Sentencia C-274 del 9 de mayo de 2013. M.P. María Victoria Calle Correa.</w:t>
            </w:r>
          </w:p>
          <w:p w14:paraId="5D867954" w14:textId="77777777" w:rsidR="004F31DA" w:rsidRDefault="00000000">
            <w:pPr>
              <w:spacing w:before="40" w:after="40" w:line="276" w:lineRule="auto"/>
              <w:jc w:val="both"/>
              <w:rPr>
                <w:rFonts w:ascii="Verdana" w:hAnsi="Verdana"/>
              </w:rPr>
            </w:pPr>
            <w:r>
              <w:rPr>
                <w:rFonts w:ascii="Verdana" w:hAnsi="Verdana" w:cs="Verdana"/>
                <w:color w:val="000000"/>
              </w:rPr>
              <w:t>•  Departamento Administrativo de la Función Pública. Concepto del 6 de mayo de 2019. Rad. 140.881.</w:t>
            </w:r>
          </w:p>
          <w:p w14:paraId="0AE97C83" w14:textId="77777777" w:rsidR="004F31DA" w:rsidRDefault="00000000">
            <w:pPr>
              <w:spacing w:before="40" w:after="40" w:line="276" w:lineRule="auto"/>
              <w:jc w:val="both"/>
              <w:rPr>
                <w:rFonts w:ascii="Verdana" w:hAnsi="Verdana"/>
              </w:rPr>
            </w:pPr>
            <w:r>
              <w:rPr>
                <w:rFonts w:ascii="Verdana" w:hAnsi="Verdana" w:cs="Verdana"/>
                <w:color w:val="000000"/>
              </w:rPr>
              <w:t>•  Agencia Nacional de Contratación Pública – Colombia Compra Eficiente. Concepto C-240 del 4 de abril de 2025.</w:t>
            </w:r>
          </w:p>
          <w:p w14:paraId="3A5A5DC5" w14:textId="77777777" w:rsidR="004F31DA" w:rsidRDefault="00000000">
            <w:pPr>
              <w:spacing w:before="40" w:after="40" w:line="276" w:lineRule="auto"/>
              <w:jc w:val="both"/>
              <w:rPr>
                <w:rFonts w:ascii="Verdana" w:hAnsi="Verdana"/>
              </w:rPr>
            </w:pPr>
            <w:r>
              <w:rPr>
                <w:rFonts w:ascii="Verdana" w:hAnsi="Verdana" w:cs="Verdana"/>
                <w:color w:val="000000"/>
              </w:rPr>
              <w:t>•  Agencia Nacional de Contratación Pública – Colombia Compra Eficiente. Guía para el ejercicio de las funciones de supervisión e interventoría de los contratos suscritos por las Entidades Estatales.</w:t>
            </w:r>
          </w:p>
        </w:tc>
      </w:tr>
    </w:tbl>
    <w:p w14:paraId="2D091D09" w14:textId="77777777" w:rsidR="00D13475" w:rsidRPr="00D13475" w:rsidRDefault="00D13475" w:rsidP="00D13475">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51ABA002" w14:textId="77777777" w:rsidR="00D13475" w:rsidRDefault="00D13475" w:rsidP="00D13475">
      <w:pPr>
        <w:numPr>
          <w:ilvl w:val="0"/>
          <w:numId w:val="23"/>
        </w:numPr>
        <w:tabs>
          <w:tab w:val="left" w:pos="142"/>
          <w:tab w:val="left" w:pos="284"/>
        </w:tabs>
        <w:spacing w:before="240" w:line="276" w:lineRule="auto"/>
        <w:ind w:firstLine="0"/>
        <w:contextualSpacing/>
        <w:jc w:val="both"/>
        <w:rPr>
          <w:rFonts w:ascii="Verdana" w:eastAsia="Century Gothic" w:hAnsi="Verdana" w:cs="Century Gothic"/>
          <w:b/>
          <w:bCs/>
          <w:color w:val="000000" w:themeColor="text1"/>
        </w:rPr>
      </w:pPr>
      <w:r>
        <w:rPr>
          <w:rFonts w:ascii="Verdana" w:eastAsia="Century Gothic" w:hAnsi="Verdana" w:cs="Century Gothic"/>
          <w:b/>
          <w:bCs/>
          <w:color w:val="000000" w:themeColor="text1"/>
        </w:rPr>
        <w:t>Doctrina de la Agencia Nacional de Contratación Pública:</w:t>
      </w:r>
    </w:p>
    <w:p w14:paraId="40266057" w14:textId="77777777" w:rsidR="00B42204" w:rsidRPr="00D13475" w:rsidRDefault="00B42204" w:rsidP="00B42204">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683987B6" w14:textId="77777777" w:rsidR="00E002CA" w:rsidRPr="00125A1D" w:rsidRDefault="00E002CA" w:rsidP="00E002CA">
      <w:pPr>
        <w:widowControl w:val="0"/>
        <w:autoSpaceDE w:val="0"/>
        <w:autoSpaceDN w:val="0"/>
        <w:spacing w:after="0" w:line="276" w:lineRule="auto"/>
        <w:jc w:val="both"/>
        <w:rPr>
          <w:rStyle w:val="normaltextrun"/>
          <w:rFonts w:ascii="Verdana" w:hAnsi="Verdana"/>
          <w:color w:val="FF0000"/>
          <w:shd w:val="clear" w:color="auto" w:fill="FFFFFF"/>
          <w:lang w:val="es-ES"/>
        </w:rPr>
      </w:pPr>
      <w:r w:rsidRPr="00E55233">
        <w:rPr>
          <w:rFonts w:ascii="Verdana" w:hAnsi="Verdana" w:cs="Arial"/>
          <w:color w:val="000000" w:themeColor="text1"/>
          <w:shd w:val="clear" w:color="auto" w:fill="FFFFFF"/>
          <w:lang w:val="es-ES"/>
        </w:rPr>
        <w:t xml:space="preserve">Sobre la obligación de controlar y vigilar la ejecución de los contratos estatales, esta Subdirección se ha referido en los Conceptos </w:t>
      </w:r>
      <w:r w:rsidRPr="00E55233">
        <w:rPr>
          <w:rFonts w:ascii="Verdana" w:hAnsi="Verdana" w:cs="Arial"/>
          <w:color w:val="000000" w:themeColor="text1"/>
          <w:shd w:val="clear" w:color="auto" w:fill="FFFFFF"/>
          <w:lang w:val="es-ES_tradnl"/>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E55233">
        <w:rPr>
          <w:rFonts w:ascii="Verdana" w:hAnsi="Verdana" w:cs="Arial"/>
          <w:color w:val="000000" w:themeColor="text1"/>
          <w:shd w:val="clear" w:color="auto" w:fill="FFFFFF"/>
          <w:lang w:val="es-ES"/>
        </w:rPr>
        <w:t>,C-600 del 7 de octubre de 2024</w:t>
      </w:r>
      <w:r>
        <w:rPr>
          <w:rFonts w:ascii="Verdana" w:hAnsi="Verdana" w:cs="Arial"/>
          <w:color w:val="000000" w:themeColor="text1"/>
          <w:shd w:val="clear" w:color="auto" w:fill="FFFFFF"/>
          <w:lang w:val="es-ES"/>
        </w:rPr>
        <w:t xml:space="preserve">,  C-972 de 22 de enero de 2025, C-358 del 14 de abril de 2025, C-459 del 14 de mayo de 2025, C-1075 de 2025 </w:t>
      </w:r>
      <w:r w:rsidRPr="00125A1D">
        <w:rPr>
          <w:rFonts w:ascii="Verdana" w:hAnsi="Verdana" w:cs="Arial"/>
          <w:shd w:val="clear" w:color="auto" w:fill="FFFFFF"/>
        </w:rPr>
        <w:t>entre otros.</w:t>
      </w:r>
      <w:r w:rsidRPr="00125A1D">
        <w:rPr>
          <w:rStyle w:val="normaltextrun"/>
          <w:rFonts w:ascii="Verdana" w:hAnsi="Verdana" w:cs="Arial"/>
          <w:shd w:val="clear" w:color="auto" w:fill="FFFFFF"/>
          <w:lang w:val="es-ES"/>
        </w:rPr>
        <w:t xml:space="preserve"> Es</w:t>
      </w:r>
      <w:r w:rsidRPr="00125A1D">
        <w:rPr>
          <w:rFonts w:ascii="Verdana" w:hAnsi="Verdana"/>
        </w:rPr>
        <w:t xml:space="preserve">tos y otros conceptos se encuentran disponibles para consulta en el Sistema </w:t>
      </w:r>
      <w:r w:rsidRPr="00125A1D">
        <w:rPr>
          <w:rFonts w:ascii="Verdana" w:hAnsi="Verdana"/>
        </w:rPr>
        <w:lastRenderedPageBreak/>
        <w:t>de relatoría de la Agencia, al cual se puede acceder a través del siguiente enlace:</w:t>
      </w:r>
      <w:r w:rsidRPr="00125A1D">
        <w:rPr>
          <w:rStyle w:val="normaltextrun"/>
          <w:rFonts w:ascii="Verdana" w:hAnsi="Verdana" w:cs="Arial"/>
          <w:shd w:val="clear" w:color="auto" w:fill="FFFFFF"/>
          <w:lang w:val="es-ES"/>
        </w:rPr>
        <w:t xml:space="preserve"> </w:t>
      </w:r>
      <w:hyperlink r:id="rId11" w:history="1">
        <w:r w:rsidRPr="009857CA">
          <w:rPr>
            <w:rStyle w:val="Hipervnculo"/>
            <w:rFonts w:ascii="Verdana" w:hAnsi="Verdana" w:cs="Arial"/>
            <w:shd w:val="clear" w:color="auto" w:fill="FFFFFF"/>
            <w:lang w:val="es-ES"/>
          </w:rPr>
          <w:t>https://relatoria.colombiacompra.gov.co/busqueda/conceptos</w:t>
        </w:r>
      </w:hyperlink>
      <w:r w:rsidRPr="009857CA">
        <w:rPr>
          <w:rStyle w:val="normaltextrun"/>
          <w:rFonts w:ascii="Verdana" w:hAnsi="Verdana" w:cs="Arial"/>
          <w:color w:val="FF0000"/>
          <w:shd w:val="clear" w:color="auto" w:fill="FFFFFF"/>
          <w:lang w:val="es-ES"/>
        </w:rPr>
        <w:t xml:space="preserve">. </w:t>
      </w:r>
    </w:p>
    <w:p w14:paraId="113E3B1B" w14:textId="77777777" w:rsidR="00E002CA" w:rsidRDefault="00E002CA" w:rsidP="00D258F6">
      <w:pPr>
        <w:widowControl w:val="0"/>
        <w:autoSpaceDE w:val="0"/>
        <w:autoSpaceDN w:val="0"/>
        <w:spacing w:after="0" w:line="276" w:lineRule="auto"/>
        <w:jc w:val="both"/>
        <w:rPr>
          <w:rFonts w:ascii="Verdana" w:hAnsi="Verdana" w:cs="Arial"/>
        </w:rPr>
      </w:pPr>
    </w:p>
    <w:p w14:paraId="274BED52" w14:textId="33A6635A" w:rsidR="00D258F6" w:rsidRDefault="00D258F6" w:rsidP="00D258F6">
      <w:pPr>
        <w:widowControl w:val="0"/>
        <w:autoSpaceDE w:val="0"/>
        <w:autoSpaceDN w:val="0"/>
        <w:spacing w:after="0" w:line="276" w:lineRule="auto"/>
        <w:jc w:val="both"/>
        <w:rPr>
          <w:rFonts w:ascii="Verdana" w:hAnsi="Verdana" w:cs="Arial"/>
          <w:lang w:val="es-ES"/>
        </w:rPr>
      </w:pPr>
      <w:r w:rsidRPr="00D258F6">
        <w:rPr>
          <w:rFonts w:ascii="Verdana" w:hAnsi="Verdana" w:cs="Ari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D258F6">
        <w:rPr>
          <w:rFonts w:ascii="Verdana" w:hAnsi="Verdana" w:cs="Arial"/>
          <w:b/>
          <w:bCs/>
        </w:rPr>
        <w:t>Guía para la Exigencia y Constitución de Garantías en los Procesos de Contratación</w:t>
      </w:r>
      <w:r w:rsidRPr="00D258F6">
        <w:rPr>
          <w:rFonts w:ascii="Verdana" w:hAnsi="Verdana" w:cs="Ari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2" w:tgtFrame="_blank" w:tooltip="Dirección URL original: https://www.colombiacompra.gov.co/archivos/manual/guia-de-garantias-en-procesos-de-contratacion. Haga clic o pulse si confía en este vínculo." w:history="1">
        <w:r w:rsidRPr="00D258F6">
          <w:rPr>
            <w:rStyle w:val="Hipervnculo"/>
            <w:rFonts w:ascii="Verdana" w:hAnsi="Verdana" w:cs="Arial"/>
          </w:rPr>
          <w:t>https://www.colombiacompra.gov.co/archivos/manual/guia-de-garantias-en-procesos-de-contratacion</w:t>
        </w:r>
      </w:hyperlink>
    </w:p>
    <w:p w14:paraId="4F8E6CA9" w14:textId="77777777" w:rsidR="00D258F6" w:rsidRPr="00D258F6" w:rsidRDefault="00D258F6" w:rsidP="00D258F6">
      <w:pPr>
        <w:widowControl w:val="0"/>
        <w:autoSpaceDE w:val="0"/>
        <w:autoSpaceDN w:val="0"/>
        <w:spacing w:after="0" w:line="276" w:lineRule="auto"/>
        <w:jc w:val="both"/>
        <w:rPr>
          <w:rFonts w:ascii="Verdana" w:hAnsi="Verdana" w:cs="Arial"/>
        </w:rPr>
      </w:pPr>
    </w:p>
    <w:p w14:paraId="26DC282D" w14:textId="77777777" w:rsidR="00D258F6" w:rsidRDefault="00D258F6" w:rsidP="00D258F6">
      <w:pPr>
        <w:widowControl w:val="0"/>
        <w:autoSpaceDE w:val="0"/>
        <w:autoSpaceDN w:val="0"/>
        <w:spacing w:after="0" w:line="276" w:lineRule="auto"/>
        <w:jc w:val="both"/>
        <w:rPr>
          <w:rFonts w:ascii="Verdana" w:hAnsi="Verdana" w:cs="Arial"/>
          <w:lang w:val="es-ES"/>
        </w:rPr>
      </w:pPr>
      <w:r w:rsidRPr="00D258F6">
        <w:rPr>
          <w:rFonts w:ascii="Verdana" w:hAnsi="Verdana" w:cs="Arial"/>
        </w:rPr>
        <w:t>De otro lado, te contamos que el Decreto 287 del 19 de marzo de 2026 sustituyó los artículos 2.2.1.2.4.2.6., 2.2.1.2.4.2.7. y 2.2.1.2.4.2.8. del Decreto 1082 de 2015 y estructuró el </w:t>
      </w:r>
      <w:r w:rsidRPr="00D258F6">
        <w:rPr>
          <w:rFonts w:ascii="Verdana" w:hAnsi="Verdana" w:cs="Arial"/>
          <w:b/>
          <w:bCs/>
        </w:rPr>
        <w:t>Sistema Integral de Preferencias en favor de las personas con discapacidad</w:t>
      </w:r>
      <w:r w:rsidRPr="00D258F6">
        <w:rPr>
          <w:rFonts w:ascii="Verdana" w:hAnsi="Verdana" w:cs="Arial"/>
        </w:rPr>
        <w:t>, en cumplimiento del artículo 13 de la Ley Estatutaria 1618 de 2013. Para orientar su aplicación, esta Agencia expidió la </w:t>
      </w:r>
      <w:r w:rsidRPr="00D258F6">
        <w:rPr>
          <w:rFonts w:ascii="Verdana" w:hAnsi="Verdana" w:cs="Arial"/>
          <w:b/>
          <w:bCs/>
        </w:rPr>
        <w:t>Circular Externa 003 del 12 de mayo de 2026, </w:t>
      </w:r>
      <w:r w:rsidRPr="00D258F6">
        <w:rPr>
          <w:rFonts w:ascii="Verdana" w:hAnsi="Verdana" w:cs="Arial"/>
        </w:rPr>
        <w:t>en la que precisa quiénes son los beneficiarios, las cinco medidas que integran el sistema y su obligatoriedad según la modalidad de selección, y el régimen de transición aplicable a los procesos en curso. Consúltala aquí: </w:t>
      </w:r>
      <w:hyperlink r:id="rId13" w:tgtFrame="_blank" w:tooltip="Dirección URL original: https://www.colombiacompra.gov.co/archivos/circular/circular-externa-003-de-2026. Haga clic o pulse si confía en este vínculo." w:history="1">
        <w:r w:rsidRPr="00D258F6">
          <w:rPr>
            <w:rStyle w:val="Hipervnculo"/>
            <w:rFonts w:ascii="Verdana" w:hAnsi="Verdana" w:cs="Arial"/>
          </w:rPr>
          <w:t>https://www.colombiacompra.gov.co/archivos/circular/circular-externa-003-de-2026</w:t>
        </w:r>
      </w:hyperlink>
    </w:p>
    <w:p w14:paraId="5472E5FC" w14:textId="77777777" w:rsidR="00D258F6" w:rsidRPr="00D258F6" w:rsidRDefault="00D258F6" w:rsidP="00D258F6">
      <w:pPr>
        <w:widowControl w:val="0"/>
        <w:autoSpaceDE w:val="0"/>
        <w:autoSpaceDN w:val="0"/>
        <w:spacing w:after="0" w:line="276" w:lineRule="auto"/>
        <w:jc w:val="both"/>
        <w:rPr>
          <w:rFonts w:ascii="Verdana" w:hAnsi="Verdana" w:cs="Arial"/>
        </w:rPr>
      </w:pPr>
    </w:p>
    <w:p w14:paraId="66FE0177" w14:textId="77777777" w:rsidR="00D258F6" w:rsidRPr="00D258F6" w:rsidRDefault="00D258F6" w:rsidP="00D258F6">
      <w:pPr>
        <w:widowControl w:val="0"/>
        <w:autoSpaceDE w:val="0"/>
        <w:autoSpaceDN w:val="0"/>
        <w:spacing w:after="0" w:line="276" w:lineRule="auto"/>
        <w:jc w:val="both"/>
        <w:rPr>
          <w:rFonts w:ascii="Verdana" w:hAnsi="Verdana" w:cs="Arial"/>
        </w:rPr>
      </w:pPr>
      <w:r w:rsidRPr="00D258F6">
        <w:rPr>
          <w:rFonts w:ascii="Verdana" w:hAnsi="Verdana" w:cs="Arial"/>
        </w:rPr>
        <w:t>Recuerda también que la</w:t>
      </w:r>
      <w:r w:rsidRPr="00D258F6">
        <w:rPr>
          <w:rFonts w:ascii="Verdana" w:hAnsi="Verdana" w:cs="Arial"/>
          <w:b/>
          <w:bCs/>
        </w:rPr>
        <w:t> información sobre sanciones e inhabilidades </w:t>
      </w:r>
      <w:r w:rsidRPr="00D258F6">
        <w:rPr>
          <w:rFonts w:ascii="Verdana" w:hAnsi="Verdana" w:cs="Arial"/>
        </w:rPr>
        <w:t>solo cumple su función preventiva si llega oportunamente a los registros públicos. Sobre este deber, esta Agencia expidió la </w:t>
      </w:r>
      <w:r w:rsidRPr="00D258F6">
        <w:rPr>
          <w:rFonts w:ascii="Verdana" w:hAnsi="Verdana" w:cs="Arial"/>
          <w:b/>
          <w:bCs/>
        </w:rPr>
        <w:t>Circular Externa 002 del 5 de mayo de 2026,</w:t>
      </w:r>
      <w:r w:rsidRPr="00D258F6">
        <w:rPr>
          <w:rFonts w:ascii="Verdana" w:hAnsi="Verdana" w:cs="Ari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D258F6">
        <w:rPr>
          <w:rFonts w:ascii="Verdana" w:hAnsi="Verdana" w:cs="Arial"/>
        </w:rPr>
        <w:lastRenderedPageBreak/>
        <w:t>aquí: </w:t>
      </w:r>
      <w:hyperlink r:id="rId14" w:tgtFrame="_blank" w:tooltip="Dirección URL original: https://www.colombiacompra.gov.co/archivos/circular/circular-externa-002-de-2026. Haga clic o pulse si confía en este vínculo." w:history="1">
        <w:r w:rsidRPr="00D258F6">
          <w:rPr>
            <w:rStyle w:val="Hipervnculo"/>
            <w:rFonts w:ascii="Verdana" w:hAnsi="Verdana" w:cs="Arial"/>
          </w:rPr>
          <w:t>https://www.colombiacompra.gov.co/archivos/circular/circular-externa-002-de-2026</w:t>
        </w:r>
      </w:hyperlink>
    </w:p>
    <w:p w14:paraId="398B1822" w14:textId="77777777" w:rsidR="00D258F6" w:rsidRPr="00D258F6" w:rsidRDefault="00D258F6" w:rsidP="00D258F6">
      <w:pPr>
        <w:widowControl w:val="0"/>
        <w:autoSpaceDE w:val="0"/>
        <w:autoSpaceDN w:val="0"/>
        <w:spacing w:after="0" w:line="276" w:lineRule="auto"/>
        <w:jc w:val="both"/>
        <w:rPr>
          <w:rFonts w:ascii="Verdana" w:hAnsi="Verdana" w:cs="Arial"/>
        </w:rPr>
      </w:pPr>
      <w:r w:rsidRPr="00D258F6">
        <w:rPr>
          <w:rFonts w:ascii="Verdana" w:hAnsi="Verdana" w:cs="Arial"/>
        </w:rPr>
        <w:t>Finalmente, si quieres seguir de cerca la actividad de la Agencia, la tercera edición de 2026 del</w:t>
      </w:r>
      <w:r w:rsidRPr="00D258F6">
        <w:rPr>
          <w:rFonts w:ascii="Verdana" w:hAnsi="Verdana" w:cs="Arial"/>
          <w:b/>
          <w:bCs/>
        </w:rPr>
        <w:t> Radar de la Compra Pública</w:t>
      </w:r>
      <w:r w:rsidRPr="00D258F6">
        <w:rPr>
          <w:rFonts w:ascii="Verdana" w:hAnsi="Verdana" w:cs="Ari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5" w:tgtFrame="_blank" w:tooltip="Dirección URL original: https://www.colombiacompra.gov.co/archivos/boletin/boletin-edicion-n-3-de-2026-radar-de-la-compra-publica. Haga clic o pulse si confía en este vínculo." w:history="1">
        <w:r w:rsidRPr="00D258F6">
          <w:rPr>
            <w:rStyle w:val="Hipervnculo"/>
            <w:rFonts w:ascii="Verdana" w:hAnsi="Verdana" w:cs="Arial"/>
          </w:rPr>
          <w:t>https://www.colombiacompra.gov.co/archivos/boletin/boletin-edicion-n-3-de-2026-radar-de-la-compra-publica</w:t>
        </w:r>
      </w:hyperlink>
      <w:r w:rsidRPr="00D258F6">
        <w:rPr>
          <w:rFonts w:ascii="Verdana" w:hAnsi="Verdana" w:cs="Arial"/>
        </w:rPr>
        <w:t>"</w:t>
      </w:r>
    </w:p>
    <w:p w14:paraId="5366CCC5"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p>
    <w:p w14:paraId="29CA8885" w14:textId="77777777" w:rsidR="00B42204" w:rsidRDefault="00B42204" w:rsidP="00B42204">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59E41FD2" w14:textId="77777777" w:rsidR="00B42204" w:rsidRDefault="00B42204" w:rsidP="00B42204">
      <w:pPr>
        <w:spacing w:after="0" w:line="276" w:lineRule="auto"/>
        <w:rPr>
          <w:rFonts w:ascii="Verdana" w:hAnsi="Verdana" w:cs="Arial"/>
          <w:lang w:val="es-ES" w:eastAsia="es-CO"/>
        </w:rPr>
      </w:pPr>
    </w:p>
    <w:p w14:paraId="1FA59C66" w14:textId="77851835" w:rsidR="00B42204" w:rsidRPr="00206556" w:rsidRDefault="00182CEC" w:rsidP="00B42204">
      <w:pPr>
        <w:spacing w:after="0" w:line="276" w:lineRule="auto"/>
        <w:jc w:val="center"/>
        <w:rPr>
          <w:rFonts w:ascii="Verdana" w:hAnsi="Verdana" w:cs="Arial"/>
          <w:lang w:val="es-ES" w:eastAsia="es-CO"/>
        </w:rPr>
      </w:pPr>
      <w:r>
        <w:rPr>
          <w:rFonts w:ascii="Verdana" w:hAnsi="Verdana" w:cs="Arial"/>
          <w:noProof/>
          <w:lang w:val="es-ES" w:eastAsia="es-CO"/>
        </w:rPr>
        <w:drawing>
          <wp:inline distT="0" distB="0" distL="0" distR="0" wp14:anchorId="47FEA808" wp14:editId="0B7FCB1A">
            <wp:extent cx="3639058" cy="1343212"/>
            <wp:effectExtent l="0" t="0" r="0" b="0"/>
            <wp:docPr id="176243916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39165" name="Imagen 1" descr="Text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2F6DB81E" w14:textId="77777777" w:rsidR="007C31D6" w:rsidRPr="00D13475" w:rsidRDefault="007C31D6" w:rsidP="007C31D6">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3475" w:rsidRPr="00D13475" w14:paraId="6F589A7A" w14:textId="77777777" w:rsidTr="000E7260">
        <w:trPr>
          <w:trHeight w:val="315"/>
        </w:trPr>
        <w:tc>
          <w:tcPr>
            <w:tcW w:w="893" w:type="dxa"/>
            <w:vAlign w:val="center"/>
            <w:hideMark/>
          </w:tcPr>
          <w:p w14:paraId="1F3D202E"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070850EB"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Gloria Elizabeth Arango Builes</w:t>
            </w:r>
          </w:p>
          <w:p w14:paraId="6514F06E"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Contratista de la Subdirección de Gestión Contractual</w:t>
            </w:r>
          </w:p>
        </w:tc>
      </w:tr>
      <w:tr w:rsidR="00D13475" w:rsidRPr="00D13475" w14:paraId="7F840BAF" w14:textId="77777777" w:rsidTr="000E7260">
        <w:trPr>
          <w:trHeight w:val="330"/>
        </w:trPr>
        <w:tc>
          <w:tcPr>
            <w:tcW w:w="893" w:type="dxa"/>
            <w:vAlign w:val="center"/>
            <w:hideMark/>
          </w:tcPr>
          <w:p w14:paraId="352B3774"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55FB1DCD" w14:textId="77777777" w:rsidR="007C31D6" w:rsidRPr="00D13475" w:rsidRDefault="009D25AB"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Juan David Cárdenas Cabeza</w:t>
            </w:r>
          </w:p>
          <w:p w14:paraId="1DB33850"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Contratista de la Subdirección de Gestión Contractual </w:t>
            </w:r>
          </w:p>
        </w:tc>
      </w:tr>
      <w:tr w:rsidR="007C31D6" w:rsidRPr="00D13475" w14:paraId="373222DC" w14:textId="77777777" w:rsidTr="000E7260">
        <w:trPr>
          <w:trHeight w:val="300"/>
        </w:trPr>
        <w:tc>
          <w:tcPr>
            <w:tcW w:w="893" w:type="dxa"/>
            <w:vAlign w:val="center"/>
            <w:hideMark/>
          </w:tcPr>
          <w:p w14:paraId="07C12260" w14:textId="77777777" w:rsidR="007C31D6" w:rsidRPr="00D13475" w:rsidRDefault="007C31D6"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175082A3" w14:textId="77777777" w:rsidR="007C31D6" w:rsidRPr="00D13475" w:rsidRDefault="007C31D6" w:rsidP="000E7260">
            <w:pPr>
              <w:spacing w:line="276" w:lineRule="auto"/>
              <w:jc w:val="both"/>
              <w:rPr>
                <w:rFonts w:ascii="Verdana" w:hAnsi="Verdana"/>
                <w:color w:val="000000" w:themeColor="text1"/>
                <w:sz w:val="16"/>
                <w:szCs w:val="16"/>
                <w:lang w:val="pt-BR"/>
              </w:rPr>
            </w:pPr>
            <w:r>
              <w:rPr>
                <w:rFonts w:ascii="Verdana" w:hAnsi="Verdana"/>
                <w:color w:val="000000" w:themeColor="text1"/>
                <w:sz w:val="16"/>
                <w:szCs w:val="16"/>
                <w:lang w:val="pt-BR"/>
              </w:rPr>
              <w:t>Carolina Quintero Gacharná</w:t>
            </w:r>
          </w:p>
          <w:p w14:paraId="06B05ED1" w14:textId="77777777" w:rsidR="007C31D6" w:rsidRPr="00D13475" w:rsidRDefault="007C31D6" w:rsidP="000E7260">
            <w:pPr>
              <w:spacing w:line="276" w:lineRule="auto"/>
              <w:jc w:val="both"/>
              <w:rPr>
                <w:rFonts w:ascii="Verdana" w:hAnsi="Verdana"/>
                <w:color w:val="000000" w:themeColor="text1"/>
                <w:sz w:val="16"/>
                <w:szCs w:val="16"/>
                <w:lang w:val="pt-BR"/>
              </w:rPr>
            </w:pPr>
            <w:r>
              <w:rPr>
                <w:rFonts w:ascii="Verdana" w:hAnsi="Verdana"/>
                <w:color w:val="000000" w:themeColor="text1"/>
                <w:sz w:val="16"/>
                <w:szCs w:val="16"/>
              </w:rPr>
              <w:t>Subdirectora</w:t>
            </w:r>
            <w:r>
              <w:rPr>
                <w:rFonts w:ascii="Verdana" w:hAnsi="Verdana"/>
                <w:color w:val="000000" w:themeColor="text1"/>
                <w:sz w:val="16"/>
                <w:szCs w:val="16"/>
                <w:lang w:val="pt-BR"/>
              </w:rPr>
              <w:t xml:space="preserve"> de Gestión Contratual ANCP – CCE</w:t>
            </w:r>
          </w:p>
        </w:tc>
      </w:tr>
    </w:tbl>
    <w:p w14:paraId="19702ED6" w14:textId="77777777" w:rsidR="002A0DD0" w:rsidRPr="00D13475" w:rsidRDefault="002A0DD0" w:rsidP="30821638">
      <w:pPr>
        <w:spacing w:after="0" w:line="240" w:lineRule="auto"/>
        <w:jc w:val="both"/>
        <w:rPr>
          <w:rFonts w:ascii="Verdana" w:eastAsia="Verdana" w:hAnsi="Verdana" w:cs="Verdana"/>
          <w:b/>
          <w:bCs/>
          <w:color w:val="000000" w:themeColor="text1"/>
          <w:lang w:val="es-MX"/>
        </w:rPr>
      </w:pPr>
    </w:p>
    <w:p w14:paraId="7FC18435" w14:textId="77777777" w:rsidR="00C15139" w:rsidRPr="00D13475" w:rsidRDefault="00C15139" w:rsidP="30821638">
      <w:pPr>
        <w:spacing w:after="0" w:line="240" w:lineRule="auto"/>
        <w:jc w:val="both"/>
        <w:textAlignment w:val="baseline"/>
        <w:rPr>
          <w:rFonts w:ascii="Verdana" w:eastAsia="Verdana" w:hAnsi="Verdana" w:cs="Verdana"/>
          <w:color w:val="000000" w:themeColor="text1"/>
          <w:lang w:eastAsia="es-CO"/>
        </w:rPr>
      </w:pPr>
    </w:p>
    <w:p w14:paraId="3DF9D57F" w14:textId="77777777" w:rsidR="00C15139" w:rsidRPr="00D13475" w:rsidRDefault="00C15139" w:rsidP="30821638">
      <w:pPr>
        <w:spacing w:after="0" w:line="240" w:lineRule="auto"/>
        <w:textAlignment w:val="baseline"/>
        <w:rPr>
          <w:rFonts w:ascii="Verdana" w:eastAsia="Verdana" w:hAnsi="Verdana" w:cs="Verdana"/>
          <w:color w:val="000000" w:themeColor="text1"/>
          <w:lang w:eastAsia="es-CO"/>
        </w:rPr>
      </w:pPr>
      <w:r>
        <w:rPr>
          <w:rFonts w:ascii="Verdana" w:eastAsia="Verdana" w:hAnsi="Verdana" w:cs="Verdana"/>
          <w:color w:val="000000" w:themeColor="text1"/>
          <w:lang w:eastAsia="es-CO"/>
        </w:rPr>
        <w:t> </w:t>
      </w:r>
    </w:p>
    <w:sectPr w:rsidR="00C15139" w:rsidRPr="00D13475"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84614" w14:textId="77777777" w:rsidR="00F013EA" w:rsidRDefault="00F013EA" w:rsidP="004A1847">
      <w:pPr>
        <w:spacing w:after="0" w:line="240" w:lineRule="auto"/>
      </w:pPr>
      <w:r>
        <w:separator/>
      </w:r>
    </w:p>
  </w:endnote>
  <w:endnote w:type="continuationSeparator" w:id="0">
    <w:p w14:paraId="7064CAAD" w14:textId="77777777" w:rsidR="00F013EA" w:rsidRDefault="00F013E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7632" w14:textId="77777777" w:rsidR="004A1847" w:rsidRDefault="004A1847">
    <w:pPr>
      <w:pStyle w:val="Piedepgina"/>
    </w:pPr>
  </w:p>
  <w:p w14:paraId="68C35C37"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29B59428"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60184C5"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34F42EB" w14:textId="77777777"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0053" w14:textId="77777777" w:rsidR="00F013EA" w:rsidRDefault="00F013EA" w:rsidP="004A1847">
      <w:pPr>
        <w:spacing w:after="0" w:line="240" w:lineRule="auto"/>
      </w:pPr>
      <w:r>
        <w:separator/>
      </w:r>
    </w:p>
  </w:footnote>
  <w:footnote w:type="continuationSeparator" w:id="0">
    <w:p w14:paraId="7B56CA61" w14:textId="77777777" w:rsidR="00F013EA" w:rsidRDefault="00F013EA" w:rsidP="004A1847">
      <w:pPr>
        <w:spacing w:after="0" w:line="240" w:lineRule="auto"/>
      </w:pPr>
      <w:r>
        <w:continuationSeparator/>
      </w:r>
    </w:p>
  </w:footnote>
  <w:footnote w:id="1">
    <w:p w14:paraId="3AC67F4E" w14:textId="77777777" w:rsidR="0035431A" w:rsidRPr="003E0EE5" w:rsidRDefault="0035431A" w:rsidP="0035431A">
      <w:pPr>
        <w:pStyle w:val="Textonotapie"/>
        <w:ind w:firstLine="709"/>
        <w:jc w:val="both"/>
        <w:rPr>
          <w:rFonts w:ascii="Verdana" w:hAnsi="Verdana" w:cs="Arial"/>
          <w:iCs/>
          <w:color w:val="1A1A1A" w:themeColor="background1" w:themeShade="1A"/>
          <w:sz w:val="16"/>
          <w:szCs w:val="16"/>
        </w:rPr>
      </w:pPr>
      <w:r w:rsidRPr="00507572">
        <w:rPr>
          <w:rStyle w:val="Refdenotaalpie"/>
          <w:rFonts w:ascii="Verdana" w:hAnsi="Verdana" w:cs="Arial"/>
          <w:color w:val="1A1A1A" w:themeColor="background1" w:themeShade="1A"/>
          <w:sz w:val="16"/>
          <w:szCs w:val="16"/>
        </w:rPr>
        <w:footnoteRef/>
      </w:r>
      <w:r w:rsidRPr="00507572">
        <w:rPr>
          <w:rFonts w:ascii="Verdana" w:hAnsi="Verdana" w:cs="Arial"/>
          <w:color w:val="1A1A1A" w:themeColor="background1" w:themeShade="1A"/>
          <w:sz w:val="16"/>
          <w:szCs w:val="16"/>
        </w:rPr>
        <w:t xml:space="preserve"> </w:t>
      </w:r>
      <w:r w:rsidRPr="00627CE2">
        <w:rPr>
          <w:rFonts w:ascii="Verdana" w:hAnsi="Verdana" w:cs="Arial"/>
          <w:iCs/>
          <w:color w:val="1A1A1A" w:themeColor="background1" w:themeShade="1A"/>
          <w:sz w:val="16"/>
          <w:szCs w:val="16"/>
        </w:rPr>
        <w:t xml:space="preserve">Artículo 3 de la </w:t>
      </w:r>
      <w:r w:rsidRPr="003E0EE5">
        <w:rPr>
          <w:rFonts w:ascii="Verdana" w:hAnsi="Verdana" w:cs="Arial"/>
          <w:iCs/>
          <w:color w:val="1A1A1A" w:themeColor="background1" w:themeShade="1A"/>
          <w:sz w:val="16"/>
          <w:szCs w:val="16"/>
        </w:rPr>
        <w:t>Ley 80 de 1993.</w:t>
      </w:r>
    </w:p>
    <w:p w14:paraId="6C0EA12F" w14:textId="77777777" w:rsidR="0035431A" w:rsidRPr="003E0EE5" w:rsidRDefault="0035431A" w:rsidP="0035431A">
      <w:pPr>
        <w:pStyle w:val="Textonotapie"/>
        <w:ind w:firstLine="709"/>
        <w:jc w:val="both"/>
        <w:rPr>
          <w:rFonts w:ascii="Verdana" w:hAnsi="Verdana" w:cs="Arial"/>
          <w:iCs/>
          <w:color w:val="1A1A1A" w:themeColor="background1" w:themeShade="1A"/>
          <w:sz w:val="16"/>
          <w:szCs w:val="16"/>
        </w:rPr>
      </w:pPr>
    </w:p>
  </w:footnote>
  <w:footnote w:id="2">
    <w:p w14:paraId="084A7DB7" w14:textId="77777777" w:rsidR="0035431A" w:rsidRPr="00507572" w:rsidRDefault="0035431A" w:rsidP="0035431A">
      <w:pPr>
        <w:pStyle w:val="Textonotapie"/>
        <w:ind w:firstLine="709"/>
        <w:jc w:val="both"/>
        <w:rPr>
          <w:rFonts w:ascii="Verdana" w:hAnsi="Verdana" w:cs="Arial"/>
          <w:iCs/>
          <w:color w:val="000000" w:themeColor="text1"/>
          <w:sz w:val="16"/>
          <w:szCs w:val="16"/>
        </w:rPr>
      </w:pPr>
      <w:r w:rsidRPr="00627CE2">
        <w:rPr>
          <w:rStyle w:val="Refdenotaalpie"/>
          <w:rFonts w:ascii="Verdana" w:hAnsi="Verdana" w:cs="Arial"/>
          <w:color w:val="000000" w:themeColor="text1"/>
          <w:sz w:val="16"/>
          <w:szCs w:val="16"/>
        </w:rPr>
        <w:footnoteRef/>
      </w:r>
      <w:r w:rsidRPr="00627CE2">
        <w:rPr>
          <w:rFonts w:ascii="Verdana" w:hAnsi="Verdana" w:cs="Arial"/>
          <w:color w:val="000000" w:themeColor="text1"/>
          <w:sz w:val="16"/>
          <w:szCs w:val="16"/>
        </w:rPr>
        <w:t xml:space="preserve"> </w:t>
      </w:r>
      <w:r w:rsidRPr="003E0EE5">
        <w:rPr>
          <w:rFonts w:ascii="Verdana" w:hAnsi="Verdana" w:cs="Arial"/>
          <w:iCs/>
          <w:color w:val="000000" w:themeColor="text1"/>
          <w:sz w:val="16"/>
          <w:szCs w:val="16"/>
        </w:rPr>
        <w:t>Consejo de Estado. Sala de lo Contencioso Administrativo. Sección Tercera. Subsección C. Sentencia del 27 de noviembre de 2017. M.P. Jaime Orlando Santofimio. Exp. 51.802.</w:t>
      </w:r>
    </w:p>
  </w:footnote>
  <w:footnote w:id="3">
    <w:p w14:paraId="2CC58FDA" w14:textId="77777777" w:rsidR="0035431A" w:rsidRPr="003E0EE5" w:rsidRDefault="0035431A" w:rsidP="0035431A">
      <w:pPr>
        <w:pStyle w:val="Textonotapie"/>
        <w:ind w:firstLine="709"/>
        <w:jc w:val="both"/>
        <w:rPr>
          <w:rFonts w:ascii="Verdana" w:hAnsi="Verdana" w:cs="Arial"/>
          <w:iCs/>
          <w:color w:val="000000" w:themeColor="text1"/>
          <w:sz w:val="16"/>
          <w:szCs w:val="16"/>
        </w:rPr>
      </w:pPr>
      <w:r w:rsidRPr="00627CE2">
        <w:rPr>
          <w:rStyle w:val="Refdenotaalpie"/>
          <w:rFonts w:ascii="Verdana" w:hAnsi="Verdana" w:cs="Arial"/>
          <w:color w:val="000000" w:themeColor="text1"/>
          <w:sz w:val="16"/>
          <w:szCs w:val="16"/>
        </w:rPr>
        <w:footnoteRef/>
      </w:r>
      <w:r w:rsidRPr="00627CE2">
        <w:rPr>
          <w:rFonts w:ascii="Verdana" w:hAnsi="Verdana" w:cs="Arial"/>
          <w:color w:val="000000" w:themeColor="text1"/>
          <w:sz w:val="16"/>
          <w:szCs w:val="16"/>
        </w:rPr>
        <w:t xml:space="preserve"> </w:t>
      </w:r>
      <w:r w:rsidRPr="003E0EE5">
        <w:rPr>
          <w:rFonts w:ascii="Verdana" w:hAnsi="Verdana" w:cs="Arial"/>
          <w:iCs/>
          <w:color w:val="000000" w:themeColor="text1"/>
          <w:sz w:val="16"/>
          <w:szCs w:val="16"/>
        </w:rPr>
        <w:t>Artículo 17 de la Ley 1150 de 2007.</w:t>
      </w:r>
    </w:p>
    <w:p w14:paraId="322C64C7" w14:textId="77777777" w:rsidR="0035431A" w:rsidRPr="00507572" w:rsidRDefault="0035431A" w:rsidP="0035431A">
      <w:pPr>
        <w:pStyle w:val="Textonotapie"/>
        <w:ind w:firstLine="709"/>
        <w:jc w:val="both"/>
        <w:rPr>
          <w:rFonts w:ascii="Verdana" w:hAnsi="Verdana" w:cs="Arial"/>
          <w:color w:val="000000" w:themeColor="text1"/>
          <w:sz w:val="16"/>
          <w:szCs w:val="16"/>
          <w:lang w:val="es-ES"/>
        </w:rPr>
      </w:pPr>
    </w:p>
  </w:footnote>
  <w:footnote w:id="4">
    <w:p w14:paraId="6C23042D" w14:textId="77777777" w:rsidR="0035431A" w:rsidRPr="003E0EE5" w:rsidRDefault="0035431A" w:rsidP="0035431A">
      <w:pPr>
        <w:pStyle w:val="Textonotapie"/>
        <w:ind w:firstLine="709"/>
        <w:jc w:val="both"/>
        <w:rPr>
          <w:rFonts w:ascii="Verdana" w:hAnsi="Verdana" w:cs="Arial"/>
          <w:iCs/>
          <w:color w:val="000000" w:themeColor="text1"/>
          <w:sz w:val="16"/>
          <w:szCs w:val="16"/>
        </w:rPr>
      </w:pPr>
      <w:r w:rsidRPr="00627CE2">
        <w:rPr>
          <w:rStyle w:val="Refdenotaalpie"/>
          <w:rFonts w:ascii="Verdana" w:hAnsi="Verdana" w:cs="Arial"/>
          <w:color w:val="000000" w:themeColor="text1"/>
          <w:sz w:val="16"/>
          <w:szCs w:val="16"/>
        </w:rPr>
        <w:footnoteRef/>
      </w:r>
      <w:r w:rsidRPr="00627CE2">
        <w:rPr>
          <w:rFonts w:ascii="Verdana" w:hAnsi="Verdana" w:cs="Arial"/>
          <w:color w:val="000000" w:themeColor="text1"/>
          <w:sz w:val="16"/>
          <w:szCs w:val="16"/>
        </w:rPr>
        <w:t xml:space="preserve"> </w:t>
      </w:r>
      <w:r w:rsidRPr="003E0EE5">
        <w:rPr>
          <w:rFonts w:ascii="Verdana" w:hAnsi="Verdana" w:cs="Arial"/>
          <w:iCs/>
          <w:color w:val="000000" w:themeColor="text1"/>
          <w:sz w:val="16"/>
          <w:szCs w:val="16"/>
        </w:rPr>
        <w:t>Artículo 21 de la Ley 1150 de 2007.</w:t>
      </w:r>
    </w:p>
    <w:p w14:paraId="1664230B" w14:textId="77777777" w:rsidR="0035431A" w:rsidRPr="00507572" w:rsidRDefault="0035431A" w:rsidP="0035431A">
      <w:pPr>
        <w:pStyle w:val="Textonotapie"/>
        <w:ind w:firstLine="709"/>
        <w:jc w:val="both"/>
        <w:rPr>
          <w:rFonts w:ascii="Verdana" w:hAnsi="Verdana" w:cs="Arial"/>
          <w:color w:val="000000" w:themeColor="text1"/>
          <w:sz w:val="16"/>
          <w:szCs w:val="16"/>
        </w:rPr>
      </w:pPr>
    </w:p>
  </w:footnote>
  <w:footnote w:id="5">
    <w:p w14:paraId="1AA117AB" w14:textId="77777777" w:rsidR="0035431A" w:rsidRPr="003E0EE5" w:rsidRDefault="0035431A" w:rsidP="0035431A">
      <w:pPr>
        <w:pStyle w:val="Textonotapie"/>
        <w:ind w:firstLine="709"/>
        <w:jc w:val="both"/>
        <w:rPr>
          <w:rFonts w:ascii="Verdana" w:hAnsi="Verdana" w:cs="Arial"/>
          <w:iCs/>
          <w:color w:val="000000" w:themeColor="text1"/>
          <w:sz w:val="16"/>
          <w:szCs w:val="16"/>
        </w:rPr>
      </w:pPr>
      <w:r w:rsidRPr="00627CE2">
        <w:rPr>
          <w:rStyle w:val="Refdenotaalpie"/>
          <w:rFonts w:ascii="Verdana" w:hAnsi="Verdana" w:cs="Arial"/>
          <w:color w:val="000000" w:themeColor="text1"/>
          <w:sz w:val="16"/>
          <w:szCs w:val="16"/>
        </w:rPr>
        <w:footnoteRef/>
      </w:r>
      <w:r w:rsidRPr="00627CE2">
        <w:rPr>
          <w:rFonts w:ascii="Verdana" w:hAnsi="Verdana" w:cs="Arial"/>
          <w:color w:val="000000" w:themeColor="text1"/>
          <w:sz w:val="16"/>
          <w:szCs w:val="16"/>
        </w:rPr>
        <w:t xml:space="preserve"> </w:t>
      </w:r>
      <w:r w:rsidRPr="003E0EE5">
        <w:rPr>
          <w:rFonts w:ascii="Verdana" w:hAnsi="Verdana" w:cs="Arial"/>
          <w:iCs/>
          <w:color w:val="000000" w:themeColor="text1"/>
          <w:sz w:val="16"/>
          <w:szCs w:val="16"/>
        </w:rPr>
        <w:t>Artículos 83 a 86 de la Ley 1474 de 2011.</w:t>
      </w:r>
    </w:p>
    <w:p w14:paraId="3115B737" w14:textId="77777777" w:rsidR="0035431A" w:rsidRPr="00507572" w:rsidRDefault="0035431A" w:rsidP="0035431A">
      <w:pPr>
        <w:pStyle w:val="Textonotapie"/>
        <w:ind w:firstLine="709"/>
        <w:jc w:val="both"/>
        <w:rPr>
          <w:rFonts w:ascii="Verdana" w:hAnsi="Verdana" w:cs="Arial"/>
          <w:color w:val="000000" w:themeColor="text1"/>
          <w:sz w:val="16"/>
          <w:szCs w:val="16"/>
        </w:rPr>
      </w:pPr>
    </w:p>
  </w:footnote>
  <w:footnote w:id="6">
    <w:p w14:paraId="29228662" w14:textId="77777777" w:rsidR="0035431A" w:rsidRPr="00507572" w:rsidRDefault="0035431A" w:rsidP="0035431A">
      <w:pPr>
        <w:pStyle w:val="Textonotapie"/>
        <w:ind w:firstLine="709"/>
        <w:jc w:val="both"/>
        <w:rPr>
          <w:rFonts w:ascii="Verdana" w:hAnsi="Verdana" w:cs="Arial"/>
          <w:iCs/>
          <w:color w:val="000000"/>
          <w:sz w:val="16"/>
          <w:szCs w:val="16"/>
        </w:rPr>
      </w:pPr>
      <w:r w:rsidRPr="003E0EE5">
        <w:rPr>
          <w:rStyle w:val="Refdenotaalpie"/>
          <w:rFonts w:ascii="Verdana" w:hAnsi="Verdana" w:cs="Arial"/>
          <w:color w:val="000000"/>
          <w:sz w:val="16"/>
          <w:szCs w:val="16"/>
        </w:rPr>
        <w:footnoteRef/>
      </w:r>
      <w:r w:rsidRPr="003E0EE5">
        <w:rPr>
          <w:rFonts w:ascii="Verdana" w:hAnsi="Verdana" w:cs="Arial"/>
          <w:color w:val="000000"/>
          <w:sz w:val="16"/>
          <w:szCs w:val="16"/>
        </w:rPr>
        <w:t xml:space="preserve"> </w:t>
      </w:r>
      <w:r w:rsidRPr="003E0EE5">
        <w:rPr>
          <w:rFonts w:ascii="Verdana" w:hAnsi="Verdana" w:cs="Arial"/>
          <w:iCs/>
          <w:color w:val="000000"/>
          <w:sz w:val="16"/>
          <w:szCs w:val="16"/>
        </w:rPr>
        <w:t>A excepción de la interventoría del contrato de obra adjudicado por licitación pública que es obligatoria según el numeral 1° del artículo 32 de la Ley 80 de 1993.</w:t>
      </w:r>
    </w:p>
    <w:p w14:paraId="2C8A296E" w14:textId="77777777" w:rsidR="0035431A" w:rsidRPr="00507572" w:rsidRDefault="0035431A" w:rsidP="0035431A">
      <w:pPr>
        <w:pStyle w:val="Textonotapie"/>
        <w:ind w:firstLine="709"/>
        <w:jc w:val="both"/>
        <w:rPr>
          <w:rFonts w:ascii="Verdana" w:hAnsi="Verdana" w:cs="Arial"/>
          <w:iCs/>
          <w:color w:val="000000"/>
          <w:sz w:val="16"/>
          <w:szCs w:val="16"/>
        </w:rPr>
      </w:pPr>
    </w:p>
  </w:footnote>
  <w:footnote w:id="7">
    <w:p w14:paraId="4B6433E8" w14:textId="77777777" w:rsidR="0035431A" w:rsidRPr="00507572" w:rsidRDefault="0035431A" w:rsidP="0035431A">
      <w:pPr>
        <w:pStyle w:val="Textonotapie"/>
        <w:ind w:firstLine="709"/>
        <w:jc w:val="both"/>
        <w:rPr>
          <w:rFonts w:ascii="Verdana" w:hAnsi="Verdana" w:cs="Arial"/>
          <w:color w:val="000000" w:themeColor="text1"/>
          <w:sz w:val="16"/>
          <w:szCs w:val="16"/>
        </w:rPr>
      </w:pPr>
      <w:r w:rsidRPr="003E0EE5">
        <w:rPr>
          <w:rStyle w:val="Refdenotaalpie"/>
          <w:rFonts w:ascii="Verdana" w:hAnsi="Verdana" w:cs="Arial"/>
          <w:color w:val="000000" w:themeColor="text1"/>
          <w:sz w:val="16"/>
          <w:szCs w:val="16"/>
        </w:rPr>
        <w:footnoteRef/>
      </w:r>
      <w:r w:rsidRPr="003E0EE5">
        <w:rPr>
          <w:rFonts w:ascii="Verdana" w:hAnsi="Verdana" w:cs="Arial"/>
          <w:color w:val="000000" w:themeColor="text1"/>
          <w:sz w:val="16"/>
          <w:szCs w:val="16"/>
        </w:rPr>
        <w:t xml:space="preserve"> Sobre las características de la supervisión de los contratos estatales se ha pronunciado esta Agencia en el concepto con radi</w:t>
      </w:r>
      <w:r w:rsidRPr="00507572">
        <w:rPr>
          <w:rFonts w:ascii="Verdana" w:hAnsi="Verdana" w:cs="Arial"/>
          <w:color w:val="000000" w:themeColor="text1"/>
          <w:sz w:val="16"/>
          <w:szCs w:val="16"/>
        </w:rPr>
        <w:t>cado # 4201913000008240 del 20 de diciembre de 2019.</w:t>
      </w:r>
    </w:p>
    <w:p w14:paraId="5E28280A" w14:textId="77777777" w:rsidR="0035431A" w:rsidRPr="00507572" w:rsidRDefault="0035431A" w:rsidP="0035431A">
      <w:pPr>
        <w:pStyle w:val="Textonotapie"/>
        <w:ind w:firstLine="709"/>
        <w:jc w:val="both"/>
        <w:rPr>
          <w:rFonts w:ascii="Verdana" w:hAnsi="Verdana" w:cs="Arial"/>
          <w:color w:val="000000" w:themeColor="text1"/>
          <w:sz w:val="16"/>
          <w:szCs w:val="16"/>
          <w:lang w:val="es-ES"/>
        </w:rPr>
      </w:pPr>
    </w:p>
  </w:footnote>
  <w:footnote w:id="8">
    <w:p w14:paraId="459502E4" w14:textId="77777777" w:rsidR="0035431A" w:rsidRPr="00507572" w:rsidRDefault="0035431A" w:rsidP="0035431A">
      <w:pPr>
        <w:pStyle w:val="Textonotapie"/>
        <w:ind w:firstLine="709"/>
        <w:jc w:val="both"/>
        <w:rPr>
          <w:rFonts w:ascii="Verdana" w:hAnsi="Verdana"/>
          <w:sz w:val="16"/>
          <w:szCs w:val="16"/>
        </w:rPr>
      </w:pPr>
      <w:r w:rsidRPr="00507572">
        <w:rPr>
          <w:rStyle w:val="Refdenotaalpie"/>
          <w:rFonts w:ascii="Verdana" w:hAnsi="Verdana" w:cs="Arial"/>
          <w:color w:val="000000" w:themeColor="text1"/>
          <w:sz w:val="16"/>
          <w:szCs w:val="16"/>
        </w:rPr>
        <w:footnoteRef/>
      </w:r>
      <w:r w:rsidRPr="006E4191">
        <w:rPr>
          <w:rFonts w:ascii="Verdana" w:hAnsi="Verdana" w:cs="Arial"/>
          <w:sz w:val="16"/>
          <w:szCs w:val="16"/>
        </w:rPr>
        <w:t xml:space="preserve"> Agencia Nacional de Contratación Pública – Colombia Compra Eficiente. Guía para el ejercicio de las funciones de supervisión e interventoría de los contratos del Estado. </w:t>
      </w:r>
      <w:r w:rsidRPr="00507572">
        <w:rPr>
          <w:rFonts w:ascii="Verdana" w:hAnsi="Verdana" w:cs="Arial"/>
          <w:iCs/>
          <w:color w:val="000000" w:themeColor="text1"/>
          <w:sz w:val="16"/>
          <w:szCs w:val="16"/>
        </w:rPr>
        <w:t xml:space="preserve">Disponible en: </w:t>
      </w:r>
      <w:hyperlink r:id="rId1" w:history="1">
        <w:r w:rsidRPr="00507572">
          <w:rPr>
            <w:rStyle w:val="Hipervnculo"/>
            <w:rFonts w:ascii="Verdana" w:hAnsi="Verdana"/>
            <w:sz w:val="16"/>
            <w:szCs w:val="16"/>
            <w:lang w:val="es-CO"/>
          </w:rPr>
          <w:t>cce_guia_supervision_interventoria.pdf</w:t>
        </w:r>
      </w:hyperlink>
    </w:p>
    <w:p w14:paraId="009CB6F4" w14:textId="77777777" w:rsidR="0035431A" w:rsidRPr="00627CE2" w:rsidRDefault="0035431A" w:rsidP="0035431A">
      <w:pPr>
        <w:pStyle w:val="Textonotapie"/>
        <w:ind w:firstLine="709"/>
        <w:jc w:val="both"/>
        <w:rPr>
          <w:rFonts w:ascii="Verdana" w:hAnsi="Verdana" w:cs="Arial"/>
          <w:iCs/>
          <w:color w:val="000000" w:themeColor="text1"/>
          <w:sz w:val="16"/>
          <w:szCs w:val="16"/>
        </w:rPr>
      </w:pPr>
    </w:p>
  </w:footnote>
  <w:footnote w:id="9">
    <w:p w14:paraId="1723651E" w14:textId="77777777" w:rsidR="0035431A" w:rsidRDefault="0035431A" w:rsidP="0035431A">
      <w:pPr>
        <w:pStyle w:val="Textonotapie"/>
        <w:ind w:firstLine="709"/>
        <w:jc w:val="both"/>
        <w:rPr>
          <w:rFonts w:ascii="Verdana" w:hAnsi="Verdana" w:cs="Arial"/>
          <w:iCs/>
          <w:color w:val="000000" w:themeColor="text1"/>
          <w:sz w:val="16"/>
          <w:szCs w:val="16"/>
        </w:rPr>
      </w:pPr>
      <w:r w:rsidRPr="00507572">
        <w:rPr>
          <w:rStyle w:val="Refdenotaalpie"/>
          <w:rFonts w:ascii="Verdana" w:hAnsi="Verdana" w:cs="Arial"/>
          <w:color w:val="000000" w:themeColor="text1"/>
          <w:sz w:val="16"/>
          <w:szCs w:val="16"/>
        </w:rPr>
        <w:footnoteRef/>
      </w:r>
      <w:r w:rsidRPr="00507572">
        <w:rPr>
          <w:rFonts w:ascii="Verdana" w:hAnsi="Verdana" w:cs="Arial"/>
          <w:color w:val="000000" w:themeColor="text1"/>
          <w:sz w:val="16"/>
          <w:szCs w:val="16"/>
        </w:rPr>
        <w:t xml:space="preserve"> </w:t>
      </w:r>
      <w:r w:rsidRPr="00507572">
        <w:rPr>
          <w:rFonts w:ascii="Verdana" w:hAnsi="Verdana" w:cs="Arial"/>
          <w:iCs/>
          <w:color w:val="000000" w:themeColor="text1"/>
          <w:sz w:val="16"/>
          <w:szCs w:val="16"/>
        </w:rPr>
        <w:t>Departamento Administrativo de la Función Pública. Concepto del 6 de mayo de 2019. Rad. 140.881.</w:t>
      </w:r>
    </w:p>
    <w:p w14:paraId="43EAE566" w14:textId="77777777" w:rsidR="0035431A" w:rsidRPr="00507572" w:rsidRDefault="0035431A" w:rsidP="0035431A">
      <w:pPr>
        <w:pStyle w:val="Textonotapie"/>
        <w:ind w:firstLine="709"/>
        <w:jc w:val="both"/>
        <w:rPr>
          <w:rFonts w:ascii="Verdana" w:hAnsi="Verdana" w:cs="Arial"/>
          <w:color w:val="000000" w:themeColor="text1"/>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0A3D" w14:textId="77777777"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590BEFC3" wp14:editId="39F9FD5B">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6796D04" wp14:editId="3B580DF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07D29750" w14:textId="77777777" w:rsidR="00756841" w:rsidRDefault="00756841">
    <w:pPr>
      <w:pStyle w:val="Encabezado"/>
    </w:pPr>
  </w:p>
  <w:p w14:paraId="350380AD" w14:textId="77777777" w:rsidR="004A305D" w:rsidRPr="004A305D" w:rsidRDefault="004A305D" w:rsidP="00B01B1A">
    <w:pPr>
      <w:spacing w:after="0" w:line="120" w:lineRule="auto"/>
      <w:rPr>
        <w:rFonts w:ascii="Century Gothic" w:eastAsia="Geo" w:hAnsi="Century Gothic" w:cs="Geo"/>
        <w:sz w:val="16"/>
        <w:szCs w:val="16"/>
        <w:lang w:eastAsia="es-CO"/>
      </w:rPr>
    </w:pPr>
  </w:p>
  <w:p w14:paraId="626C318E" w14:textId="77777777" w:rsidR="00C925AC" w:rsidRDefault="00C925AC" w:rsidP="00844AE9">
    <w:pPr>
      <w:spacing w:after="0" w:line="240" w:lineRule="auto"/>
      <w:rPr>
        <w:rFonts w:ascii="Verdana" w:hAnsi="Verdana"/>
        <w:sz w:val="24"/>
        <w:szCs w:val="24"/>
      </w:rPr>
    </w:pPr>
  </w:p>
  <w:p w14:paraId="6BB60414" w14:textId="77777777" w:rsidR="00A14468" w:rsidRPr="00C925AC" w:rsidRDefault="00A14468" w:rsidP="00844AE9">
    <w:pPr>
      <w:spacing w:after="0" w:line="240" w:lineRule="auto"/>
      <w:rPr>
        <w:rFonts w:ascii="Verdana" w:hAnsi="Verdana"/>
        <w:sz w:val="24"/>
        <w:szCs w:val="24"/>
      </w:rPr>
    </w:pPr>
  </w:p>
  <w:p w14:paraId="40C757E5" w14:textId="77777777"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090739E"/>
    <w:multiLevelType w:val="multilevel"/>
    <w:tmpl w:val="7BB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4042B"/>
    <w:multiLevelType w:val="multilevel"/>
    <w:tmpl w:val="402E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CC6F5F"/>
    <w:multiLevelType w:val="hybridMultilevel"/>
    <w:tmpl w:val="D2B62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C3243A"/>
    <w:multiLevelType w:val="hybridMultilevel"/>
    <w:tmpl w:val="FD289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9"/>
  </w:num>
  <w:num w:numId="7" w16cid:durableId="1946422806">
    <w:abstractNumId w:val="8"/>
  </w:num>
  <w:num w:numId="8" w16cid:durableId="152644682">
    <w:abstractNumId w:val="18"/>
  </w:num>
  <w:num w:numId="9" w16cid:durableId="1317221377">
    <w:abstractNumId w:val="10"/>
  </w:num>
  <w:num w:numId="10" w16cid:durableId="1471245386">
    <w:abstractNumId w:val="17"/>
  </w:num>
  <w:num w:numId="11" w16cid:durableId="289172385">
    <w:abstractNumId w:val="11"/>
  </w:num>
  <w:num w:numId="12" w16cid:durableId="1470781324">
    <w:abstractNumId w:val="1"/>
  </w:num>
  <w:num w:numId="13" w16cid:durableId="1512908409">
    <w:abstractNumId w:val="6"/>
  </w:num>
  <w:num w:numId="14" w16cid:durableId="895897244">
    <w:abstractNumId w:val="20"/>
  </w:num>
  <w:num w:numId="15" w16cid:durableId="390349800">
    <w:abstractNumId w:val="16"/>
  </w:num>
  <w:num w:numId="16" w16cid:durableId="341274352">
    <w:abstractNumId w:val="0"/>
  </w:num>
  <w:num w:numId="17" w16cid:durableId="679089576">
    <w:abstractNumId w:val="12"/>
  </w:num>
  <w:num w:numId="18" w16cid:durableId="1290623316">
    <w:abstractNumId w:val="3"/>
  </w:num>
  <w:num w:numId="19" w16cid:durableId="784039179">
    <w:abstractNumId w:val="21"/>
  </w:num>
  <w:num w:numId="20" w16cid:durableId="153255849">
    <w:abstractNumId w:val="14"/>
  </w:num>
  <w:num w:numId="21" w16cid:durableId="2067800759">
    <w:abstractNumId w:val="5"/>
  </w:num>
  <w:num w:numId="22" w16cid:durableId="1018896880">
    <w:abstractNumId w:val="4"/>
  </w:num>
  <w:num w:numId="23" w16cid:durableId="1897617933">
    <w:abstractNumId w:val="15"/>
  </w:num>
  <w:num w:numId="24" w16cid:durableId="457456159">
    <w:abstractNumId w:val="13"/>
  </w:num>
  <w:num w:numId="25" w16cid:durableId="1386635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D01"/>
    <w:rsid w:val="00061B2A"/>
    <w:rsid w:val="00082362"/>
    <w:rsid w:val="00093BF9"/>
    <w:rsid w:val="000A683E"/>
    <w:rsid w:val="000B19B9"/>
    <w:rsid w:val="000C47B9"/>
    <w:rsid w:val="000C7411"/>
    <w:rsid w:val="000D0334"/>
    <w:rsid w:val="000D5DA7"/>
    <w:rsid w:val="000F6486"/>
    <w:rsid w:val="00116940"/>
    <w:rsid w:val="00125105"/>
    <w:rsid w:val="00127233"/>
    <w:rsid w:val="0015699B"/>
    <w:rsid w:val="00172DEB"/>
    <w:rsid w:val="00182CEC"/>
    <w:rsid w:val="001A33BF"/>
    <w:rsid w:val="001A51E1"/>
    <w:rsid w:val="001B7673"/>
    <w:rsid w:val="001D6B44"/>
    <w:rsid w:val="001E4177"/>
    <w:rsid w:val="001F0B24"/>
    <w:rsid w:val="001F7DC6"/>
    <w:rsid w:val="002161D5"/>
    <w:rsid w:val="0022400B"/>
    <w:rsid w:val="0023710D"/>
    <w:rsid w:val="002409C5"/>
    <w:rsid w:val="00241E7F"/>
    <w:rsid w:val="002421BB"/>
    <w:rsid w:val="0024444B"/>
    <w:rsid w:val="00244BBA"/>
    <w:rsid w:val="0025796E"/>
    <w:rsid w:val="0027017D"/>
    <w:rsid w:val="002707A2"/>
    <w:rsid w:val="002951A0"/>
    <w:rsid w:val="002962BC"/>
    <w:rsid w:val="002A093D"/>
    <w:rsid w:val="002A0DD0"/>
    <w:rsid w:val="002A3275"/>
    <w:rsid w:val="002A49AC"/>
    <w:rsid w:val="002A64FD"/>
    <w:rsid w:val="002C39A1"/>
    <w:rsid w:val="002C7A84"/>
    <w:rsid w:val="002E2BF8"/>
    <w:rsid w:val="002E4FD9"/>
    <w:rsid w:val="002F0E98"/>
    <w:rsid w:val="0030657A"/>
    <w:rsid w:val="00322A85"/>
    <w:rsid w:val="00324168"/>
    <w:rsid w:val="00330834"/>
    <w:rsid w:val="003448F4"/>
    <w:rsid w:val="0035431A"/>
    <w:rsid w:val="003640DC"/>
    <w:rsid w:val="00366A6E"/>
    <w:rsid w:val="00371A2B"/>
    <w:rsid w:val="00374F5E"/>
    <w:rsid w:val="0037799F"/>
    <w:rsid w:val="00377E3E"/>
    <w:rsid w:val="003A779E"/>
    <w:rsid w:val="003C049F"/>
    <w:rsid w:val="003D0F4D"/>
    <w:rsid w:val="003D5B0D"/>
    <w:rsid w:val="003E0499"/>
    <w:rsid w:val="003E4F80"/>
    <w:rsid w:val="003E6439"/>
    <w:rsid w:val="003F3941"/>
    <w:rsid w:val="00406575"/>
    <w:rsid w:val="00414C74"/>
    <w:rsid w:val="0042722E"/>
    <w:rsid w:val="0044528D"/>
    <w:rsid w:val="00466E39"/>
    <w:rsid w:val="00485824"/>
    <w:rsid w:val="004A1847"/>
    <w:rsid w:val="004A305D"/>
    <w:rsid w:val="004F21C4"/>
    <w:rsid w:val="004F31DA"/>
    <w:rsid w:val="004F685F"/>
    <w:rsid w:val="00522FFE"/>
    <w:rsid w:val="005304DF"/>
    <w:rsid w:val="00530B2E"/>
    <w:rsid w:val="005566E8"/>
    <w:rsid w:val="00574867"/>
    <w:rsid w:val="00591460"/>
    <w:rsid w:val="005A65E0"/>
    <w:rsid w:val="005B79CE"/>
    <w:rsid w:val="005C3777"/>
    <w:rsid w:val="005C5CDC"/>
    <w:rsid w:val="005D01AA"/>
    <w:rsid w:val="005D476C"/>
    <w:rsid w:val="006200BF"/>
    <w:rsid w:val="006219F8"/>
    <w:rsid w:val="006302F7"/>
    <w:rsid w:val="00641DA9"/>
    <w:rsid w:val="00646B9F"/>
    <w:rsid w:val="00665D70"/>
    <w:rsid w:val="0068231B"/>
    <w:rsid w:val="006900D9"/>
    <w:rsid w:val="00694FA2"/>
    <w:rsid w:val="006D38F4"/>
    <w:rsid w:val="00706C16"/>
    <w:rsid w:val="007340C3"/>
    <w:rsid w:val="00740302"/>
    <w:rsid w:val="0075235A"/>
    <w:rsid w:val="00756841"/>
    <w:rsid w:val="007649AB"/>
    <w:rsid w:val="00771D0C"/>
    <w:rsid w:val="0077413F"/>
    <w:rsid w:val="007833AC"/>
    <w:rsid w:val="007A4245"/>
    <w:rsid w:val="007B268C"/>
    <w:rsid w:val="007B7171"/>
    <w:rsid w:val="007C0C0F"/>
    <w:rsid w:val="007C1A7B"/>
    <w:rsid w:val="007C31D6"/>
    <w:rsid w:val="007C3DC2"/>
    <w:rsid w:val="007D1F56"/>
    <w:rsid w:val="007E5497"/>
    <w:rsid w:val="0080265D"/>
    <w:rsid w:val="00804F48"/>
    <w:rsid w:val="00806F5F"/>
    <w:rsid w:val="0081120D"/>
    <w:rsid w:val="00820278"/>
    <w:rsid w:val="008258C9"/>
    <w:rsid w:val="00844AE9"/>
    <w:rsid w:val="00862A50"/>
    <w:rsid w:val="00865F05"/>
    <w:rsid w:val="008675D1"/>
    <w:rsid w:val="00867F95"/>
    <w:rsid w:val="008843B6"/>
    <w:rsid w:val="00891928"/>
    <w:rsid w:val="008958F6"/>
    <w:rsid w:val="008A446D"/>
    <w:rsid w:val="008B25F1"/>
    <w:rsid w:val="008D180B"/>
    <w:rsid w:val="008D2999"/>
    <w:rsid w:val="008F0EA7"/>
    <w:rsid w:val="00904B8A"/>
    <w:rsid w:val="00914AB2"/>
    <w:rsid w:val="00923EEF"/>
    <w:rsid w:val="009419F9"/>
    <w:rsid w:val="0095685E"/>
    <w:rsid w:val="00961B09"/>
    <w:rsid w:val="00965334"/>
    <w:rsid w:val="0097093E"/>
    <w:rsid w:val="00991C7D"/>
    <w:rsid w:val="009979E9"/>
    <w:rsid w:val="009A0DFA"/>
    <w:rsid w:val="009A1C6F"/>
    <w:rsid w:val="009B2D26"/>
    <w:rsid w:val="009B547B"/>
    <w:rsid w:val="009C377C"/>
    <w:rsid w:val="009C4CA5"/>
    <w:rsid w:val="009C71FA"/>
    <w:rsid w:val="009C72E7"/>
    <w:rsid w:val="009C7F7E"/>
    <w:rsid w:val="009D25AB"/>
    <w:rsid w:val="009D3058"/>
    <w:rsid w:val="009F3A13"/>
    <w:rsid w:val="009F569E"/>
    <w:rsid w:val="00A122D3"/>
    <w:rsid w:val="00A14468"/>
    <w:rsid w:val="00A17F13"/>
    <w:rsid w:val="00A20739"/>
    <w:rsid w:val="00A23AF9"/>
    <w:rsid w:val="00A30ED9"/>
    <w:rsid w:val="00A33C78"/>
    <w:rsid w:val="00A421A1"/>
    <w:rsid w:val="00A743CE"/>
    <w:rsid w:val="00A951C3"/>
    <w:rsid w:val="00AB0ADB"/>
    <w:rsid w:val="00AD0C24"/>
    <w:rsid w:val="00AE40CC"/>
    <w:rsid w:val="00AF1D25"/>
    <w:rsid w:val="00B00C0E"/>
    <w:rsid w:val="00B01B1A"/>
    <w:rsid w:val="00B0381D"/>
    <w:rsid w:val="00B232BB"/>
    <w:rsid w:val="00B42204"/>
    <w:rsid w:val="00B44A47"/>
    <w:rsid w:val="00B72CD3"/>
    <w:rsid w:val="00B72FFF"/>
    <w:rsid w:val="00BC3D36"/>
    <w:rsid w:val="00BD40B4"/>
    <w:rsid w:val="00BD54A6"/>
    <w:rsid w:val="00BD7F72"/>
    <w:rsid w:val="00BF7425"/>
    <w:rsid w:val="00C04FB3"/>
    <w:rsid w:val="00C11D8B"/>
    <w:rsid w:val="00C11FDA"/>
    <w:rsid w:val="00C15139"/>
    <w:rsid w:val="00C330EB"/>
    <w:rsid w:val="00C3587D"/>
    <w:rsid w:val="00C42100"/>
    <w:rsid w:val="00C50D69"/>
    <w:rsid w:val="00C5365C"/>
    <w:rsid w:val="00C752CD"/>
    <w:rsid w:val="00C754BE"/>
    <w:rsid w:val="00C76B1C"/>
    <w:rsid w:val="00C925AC"/>
    <w:rsid w:val="00CB1DED"/>
    <w:rsid w:val="00CB6357"/>
    <w:rsid w:val="00CC1B26"/>
    <w:rsid w:val="00D0616C"/>
    <w:rsid w:val="00D13475"/>
    <w:rsid w:val="00D23E07"/>
    <w:rsid w:val="00D258F6"/>
    <w:rsid w:val="00D361FD"/>
    <w:rsid w:val="00D423A2"/>
    <w:rsid w:val="00D44E26"/>
    <w:rsid w:val="00D45421"/>
    <w:rsid w:val="00D520D8"/>
    <w:rsid w:val="00D63AC2"/>
    <w:rsid w:val="00D7351E"/>
    <w:rsid w:val="00D7383B"/>
    <w:rsid w:val="00D739EA"/>
    <w:rsid w:val="00D7788A"/>
    <w:rsid w:val="00DA231B"/>
    <w:rsid w:val="00DC39FC"/>
    <w:rsid w:val="00DF1CE7"/>
    <w:rsid w:val="00DF5254"/>
    <w:rsid w:val="00E002CA"/>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C5D98"/>
    <w:rsid w:val="00EE1AA8"/>
    <w:rsid w:val="00EE1E2C"/>
    <w:rsid w:val="00F013EA"/>
    <w:rsid w:val="00F23FEA"/>
    <w:rsid w:val="00F31EDC"/>
    <w:rsid w:val="00F43F8D"/>
    <w:rsid w:val="00F462B3"/>
    <w:rsid w:val="00F56178"/>
    <w:rsid w:val="00F5664F"/>
    <w:rsid w:val="00F666C4"/>
    <w:rsid w:val="00F764BC"/>
    <w:rsid w:val="00F76AFC"/>
    <w:rsid w:val="00FA47C0"/>
    <w:rsid w:val="00FA59D8"/>
    <w:rsid w:val="00FA79EC"/>
    <w:rsid w:val="00FB5DD1"/>
    <w:rsid w:val="00FC2B5D"/>
    <w:rsid w:val="00FE2194"/>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15DCB"/>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C31D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C31D6"/>
    <w:rPr>
      <w:rFonts w:ascii="Geomanist Light" w:hAnsi="Geomanist Light"/>
      <w:lang w:val="es-ES"/>
    </w:rPr>
  </w:style>
  <w:style w:type="paragraph" w:styleId="Textoindependiente">
    <w:name w:val="Body Text"/>
    <w:basedOn w:val="Normal"/>
    <w:link w:val="TextoindependienteCar"/>
    <w:uiPriority w:val="99"/>
    <w:qFormat/>
    <w:rsid w:val="007C31D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7C31D6"/>
    <w:rPr>
      <w:rFonts w:ascii="Verdana" w:eastAsia="Verdana" w:hAnsi="Verdana" w:cs="Verdana"/>
      <w:lang w:val="es-ES"/>
    </w:rPr>
  </w:style>
  <w:style w:type="character" w:customStyle="1" w:styleId="s15">
    <w:name w:val="s15"/>
    <w:basedOn w:val="Fuentedeprrafopredeter"/>
    <w:rsid w:val="002A3275"/>
  </w:style>
  <w:style w:type="character" w:customStyle="1" w:styleId="apple-converted-space">
    <w:name w:val="apple-converted-space"/>
    <w:basedOn w:val="Fuentedeprrafopredeter"/>
    <w:rsid w:val="002A3275"/>
  </w:style>
  <w:style w:type="paragraph" w:styleId="Sinespaciado">
    <w:name w:val="No Spacing"/>
    <w:aliases w:val="No Indent"/>
    <w:uiPriority w:val="1"/>
    <w:qFormat/>
    <w:rsid w:val="00093BF9"/>
    <w:pPr>
      <w:spacing w:after="0" w:line="240" w:lineRule="auto"/>
    </w:pPr>
  </w:style>
  <w:style w:type="table" w:customStyle="1" w:styleId="Tablaconcuadrcula1">
    <w:name w:val="Tabla con cuadrícula1"/>
    <w:basedOn w:val="Tablanormal"/>
    <w:next w:val="Tablaconcuadrcula"/>
    <w:uiPriority w:val="39"/>
    <w:qFormat/>
    <w:rsid w:val="00B4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10">
      <w:bodyDiv w:val="1"/>
      <w:marLeft w:val="0"/>
      <w:marRight w:val="0"/>
      <w:marTop w:val="0"/>
      <w:marBottom w:val="0"/>
      <w:divBdr>
        <w:top w:val="none" w:sz="0" w:space="0" w:color="auto"/>
        <w:left w:val="none" w:sz="0" w:space="0" w:color="auto"/>
        <w:bottom w:val="none" w:sz="0" w:space="0" w:color="auto"/>
        <w:right w:val="none" w:sz="0" w:space="0" w:color="auto"/>
      </w:divBdr>
    </w:div>
    <w:div w:id="65417150">
      <w:bodyDiv w:val="1"/>
      <w:marLeft w:val="0"/>
      <w:marRight w:val="0"/>
      <w:marTop w:val="0"/>
      <w:marBottom w:val="0"/>
      <w:divBdr>
        <w:top w:val="none" w:sz="0" w:space="0" w:color="auto"/>
        <w:left w:val="none" w:sz="0" w:space="0" w:color="auto"/>
        <w:bottom w:val="none" w:sz="0" w:space="0" w:color="auto"/>
        <w:right w:val="none" w:sz="0" w:space="0" w:color="auto"/>
      </w:divBdr>
    </w:div>
    <w:div w:id="297491345">
      <w:bodyDiv w:val="1"/>
      <w:marLeft w:val="0"/>
      <w:marRight w:val="0"/>
      <w:marTop w:val="0"/>
      <w:marBottom w:val="0"/>
      <w:divBdr>
        <w:top w:val="none" w:sz="0" w:space="0" w:color="auto"/>
        <w:left w:val="none" w:sz="0" w:space="0" w:color="auto"/>
        <w:bottom w:val="none" w:sz="0" w:space="0" w:color="auto"/>
        <w:right w:val="none" w:sz="0" w:space="0" w:color="auto"/>
      </w:divBdr>
      <w:divsChild>
        <w:div w:id="1368020649">
          <w:marLeft w:val="0"/>
          <w:marRight w:val="0"/>
          <w:marTop w:val="0"/>
          <w:marBottom w:val="0"/>
          <w:divBdr>
            <w:top w:val="none" w:sz="0" w:space="0" w:color="auto"/>
            <w:left w:val="none" w:sz="0" w:space="0" w:color="auto"/>
            <w:bottom w:val="none" w:sz="0" w:space="0" w:color="auto"/>
            <w:right w:val="none" w:sz="0" w:space="0" w:color="auto"/>
          </w:divBdr>
        </w:div>
        <w:div w:id="956521220">
          <w:marLeft w:val="0"/>
          <w:marRight w:val="0"/>
          <w:marTop w:val="240"/>
          <w:marBottom w:val="240"/>
          <w:divBdr>
            <w:top w:val="none" w:sz="0" w:space="0" w:color="auto"/>
            <w:left w:val="none" w:sz="0" w:space="0" w:color="auto"/>
            <w:bottom w:val="none" w:sz="0" w:space="0" w:color="auto"/>
            <w:right w:val="none" w:sz="0" w:space="0" w:color="auto"/>
          </w:divBdr>
        </w:div>
        <w:div w:id="1220482554">
          <w:marLeft w:val="0"/>
          <w:marRight w:val="0"/>
          <w:marTop w:val="240"/>
          <w:marBottom w:val="240"/>
          <w:divBdr>
            <w:top w:val="none" w:sz="0" w:space="0" w:color="auto"/>
            <w:left w:val="none" w:sz="0" w:space="0" w:color="auto"/>
            <w:bottom w:val="none" w:sz="0" w:space="0" w:color="auto"/>
            <w:right w:val="none" w:sz="0" w:space="0" w:color="auto"/>
          </w:divBdr>
        </w:div>
        <w:div w:id="778378069">
          <w:marLeft w:val="0"/>
          <w:marRight w:val="0"/>
          <w:marTop w:val="240"/>
          <w:marBottom w:val="240"/>
          <w:divBdr>
            <w:top w:val="none" w:sz="0" w:space="0" w:color="auto"/>
            <w:left w:val="none" w:sz="0" w:space="0" w:color="auto"/>
            <w:bottom w:val="none" w:sz="0" w:space="0" w:color="auto"/>
            <w:right w:val="none" w:sz="0" w:space="0" w:color="auto"/>
          </w:divBdr>
        </w:div>
      </w:divsChild>
    </w:div>
    <w:div w:id="332882810">
      <w:bodyDiv w:val="1"/>
      <w:marLeft w:val="0"/>
      <w:marRight w:val="0"/>
      <w:marTop w:val="0"/>
      <w:marBottom w:val="0"/>
      <w:divBdr>
        <w:top w:val="none" w:sz="0" w:space="0" w:color="auto"/>
        <w:left w:val="none" w:sz="0" w:space="0" w:color="auto"/>
        <w:bottom w:val="none" w:sz="0" w:space="0" w:color="auto"/>
        <w:right w:val="none" w:sz="0" w:space="0" w:color="auto"/>
      </w:divBdr>
      <w:divsChild>
        <w:div w:id="1098521714">
          <w:marLeft w:val="0"/>
          <w:marRight w:val="0"/>
          <w:marTop w:val="0"/>
          <w:marBottom w:val="0"/>
          <w:divBdr>
            <w:top w:val="none" w:sz="0" w:space="0" w:color="auto"/>
            <w:left w:val="none" w:sz="0" w:space="0" w:color="auto"/>
            <w:bottom w:val="none" w:sz="0" w:space="0" w:color="auto"/>
            <w:right w:val="none" w:sz="0" w:space="0" w:color="auto"/>
          </w:divBdr>
        </w:div>
        <w:div w:id="1551578215">
          <w:marLeft w:val="0"/>
          <w:marRight w:val="0"/>
          <w:marTop w:val="240"/>
          <w:marBottom w:val="240"/>
          <w:divBdr>
            <w:top w:val="none" w:sz="0" w:space="0" w:color="auto"/>
            <w:left w:val="none" w:sz="0" w:space="0" w:color="auto"/>
            <w:bottom w:val="none" w:sz="0" w:space="0" w:color="auto"/>
            <w:right w:val="none" w:sz="0" w:space="0" w:color="auto"/>
          </w:divBdr>
        </w:div>
        <w:div w:id="2023434094">
          <w:marLeft w:val="0"/>
          <w:marRight w:val="0"/>
          <w:marTop w:val="240"/>
          <w:marBottom w:val="240"/>
          <w:divBdr>
            <w:top w:val="none" w:sz="0" w:space="0" w:color="auto"/>
            <w:left w:val="none" w:sz="0" w:space="0" w:color="auto"/>
            <w:bottom w:val="none" w:sz="0" w:space="0" w:color="auto"/>
            <w:right w:val="none" w:sz="0" w:space="0" w:color="auto"/>
          </w:divBdr>
        </w:div>
        <w:div w:id="1215193756">
          <w:marLeft w:val="0"/>
          <w:marRight w:val="0"/>
          <w:marTop w:val="240"/>
          <w:marBottom w:val="240"/>
          <w:divBdr>
            <w:top w:val="none" w:sz="0" w:space="0" w:color="auto"/>
            <w:left w:val="none" w:sz="0" w:space="0" w:color="auto"/>
            <w:bottom w:val="none" w:sz="0" w:space="0" w:color="auto"/>
            <w:right w:val="none" w:sz="0" w:space="0" w:color="auto"/>
          </w:divBdr>
        </w:div>
      </w:divsChild>
    </w:div>
    <w:div w:id="48852308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4615217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2137267">
      <w:bodyDiv w:val="1"/>
      <w:marLeft w:val="0"/>
      <w:marRight w:val="0"/>
      <w:marTop w:val="0"/>
      <w:marBottom w:val="0"/>
      <w:divBdr>
        <w:top w:val="none" w:sz="0" w:space="0" w:color="auto"/>
        <w:left w:val="none" w:sz="0" w:space="0" w:color="auto"/>
        <w:bottom w:val="none" w:sz="0" w:space="0" w:color="auto"/>
        <w:right w:val="none" w:sz="0" w:space="0" w:color="auto"/>
      </w:divBdr>
    </w:div>
    <w:div w:id="957830386">
      <w:bodyDiv w:val="1"/>
      <w:marLeft w:val="0"/>
      <w:marRight w:val="0"/>
      <w:marTop w:val="0"/>
      <w:marBottom w:val="0"/>
      <w:divBdr>
        <w:top w:val="none" w:sz="0" w:space="0" w:color="auto"/>
        <w:left w:val="none" w:sz="0" w:space="0" w:color="auto"/>
        <w:bottom w:val="none" w:sz="0" w:space="0" w:color="auto"/>
        <w:right w:val="none" w:sz="0" w:space="0" w:color="auto"/>
      </w:divBdr>
    </w:div>
    <w:div w:id="976566751">
      <w:bodyDiv w:val="1"/>
      <w:marLeft w:val="0"/>
      <w:marRight w:val="0"/>
      <w:marTop w:val="0"/>
      <w:marBottom w:val="0"/>
      <w:divBdr>
        <w:top w:val="none" w:sz="0" w:space="0" w:color="auto"/>
        <w:left w:val="none" w:sz="0" w:space="0" w:color="auto"/>
        <w:bottom w:val="none" w:sz="0" w:space="0" w:color="auto"/>
        <w:right w:val="none" w:sz="0" w:space="0" w:color="auto"/>
      </w:divBdr>
    </w:div>
    <w:div w:id="1013723161">
      <w:bodyDiv w:val="1"/>
      <w:marLeft w:val="0"/>
      <w:marRight w:val="0"/>
      <w:marTop w:val="0"/>
      <w:marBottom w:val="0"/>
      <w:divBdr>
        <w:top w:val="none" w:sz="0" w:space="0" w:color="auto"/>
        <w:left w:val="none" w:sz="0" w:space="0" w:color="auto"/>
        <w:bottom w:val="none" w:sz="0" w:space="0" w:color="auto"/>
        <w:right w:val="none" w:sz="0" w:space="0" w:color="auto"/>
      </w:divBdr>
    </w:div>
    <w:div w:id="1126779813">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607299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22200998">
      <w:bodyDiv w:val="1"/>
      <w:marLeft w:val="0"/>
      <w:marRight w:val="0"/>
      <w:marTop w:val="0"/>
      <w:marBottom w:val="0"/>
      <w:divBdr>
        <w:top w:val="none" w:sz="0" w:space="0" w:color="auto"/>
        <w:left w:val="none" w:sz="0" w:space="0" w:color="auto"/>
        <w:bottom w:val="none" w:sz="0" w:space="0" w:color="auto"/>
        <w:right w:val="none" w:sz="0" w:space="0" w:color="auto"/>
      </w:divBdr>
    </w:div>
    <w:div w:id="1456368013">
      <w:bodyDiv w:val="1"/>
      <w:marLeft w:val="0"/>
      <w:marRight w:val="0"/>
      <w:marTop w:val="0"/>
      <w:marBottom w:val="0"/>
      <w:divBdr>
        <w:top w:val="none" w:sz="0" w:space="0" w:color="auto"/>
        <w:left w:val="none" w:sz="0" w:space="0" w:color="auto"/>
        <w:bottom w:val="none" w:sz="0" w:space="0" w:color="auto"/>
        <w:right w:val="none" w:sz="0" w:space="0" w:color="auto"/>
      </w:divBdr>
    </w:div>
    <w:div w:id="1573588996">
      <w:bodyDiv w:val="1"/>
      <w:marLeft w:val="0"/>
      <w:marRight w:val="0"/>
      <w:marTop w:val="0"/>
      <w:marBottom w:val="0"/>
      <w:divBdr>
        <w:top w:val="none" w:sz="0" w:space="0" w:color="auto"/>
        <w:left w:val="none" w:sz="0" w:space="0" w:color="auto"/>
        <w:bottom w:val="none" w:sz="0" w:space="0" w:color="auto"/>
        <w:right w:val="none" w:sz="0" w:space="0" w:color="auto"/>
      </w:divBdr>
    </w:div>
    <w:div w:id="1618440583">
      <w:bodyDiv w:val="1"/>
      <w:marLeft w:val="0"/>
      <w:marRight w:val="0"/>
      <w:marTop w:val="0"/>
      <w:marBottom w:val="0"/>
      <w:divBdr>
        <w:top w:val="none" w:sz="0" w:space="0" w:color="auto"/>
        <w:left w:val="none" w:sz="0" w:space="0" w:color="auto"/>
        <w:bottom w:val="none" w:sz="0" w:space="0" w:color="auto"/>
        <w:right w:val="none" w:sz="0" w:space="0" w:color="auto"/>
      </w:divBdr>
    </w:div>
    <w:div w:id="1799488849">
      <w:bodyDiv w:val="1"/>
      <w:marLeft w:val="0"/>
      <w:marRight w:val="0"/>
      <w:marTop w:val="0"/>
      <w:marBottom w:val="0"/>
      <w:divBdr>
        <w:top w:val="none" w:sz="0" w:space="0" w:color="auto"/>
        <w:left w:val="none" w:sz="0" w:space="0" w:color="auto"/>
        <w:bottom w:val="none" w:sz="0" w:space="0" w:color="auto"/>
        <w:right w:val="none" w:sz="0" w:space="0" w:color="auto"/>
      </w:divBdr>
    </w:div>
    <w:div w:id="1893808724">
      <w:bodyDiv w:val="1"/>
      <w:marLeft w:val="0"/>
      <w:marRight w:val="0"/>
      <w:marTop w:val="0"/>
      <w:marBottom w:val="0"/>
      <w:divBdr>
        <w:top w:val="none" w:sz="0" w:space="0" w:color="auto"/>
        <w:left w:val="none" w:sz="0" w:space="0" w:color="auto"/>
        <w:bottom w:val="none" w:sz="0" w:space="0" w:color="auto"/>
        <w:right w:val="none" w:sz="0" w:space="0" w:color="auto"/>
      </w:divBdr>
    </w:div>
    <w:div w:id="1939555573">
      <w:bodyDiv w:val="1"/>
      <w:marLeft w:val="0"/>
      <w:marRight w:val="0"/>
      <w:marTop w:val="0"/>
      <w:marBottom w:val="0"/>
      <w:divBdr>
        <w:top w:val="none" w:sz="0" w:space="0" w:color="auto"/>
        <w:left w:val="none" w:sz="0" w:space="0" w:color="auto"/>
        <w:bottom w:val="none" w:sz="0" w:space="0" w:color="auto"/>
        <w:right w:val="none" w:sz="0" w:space="0" w:color="auto"/>
      </w:divBdr>
    </w:div>
    <w:div w:id="2131320819">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circular%2Fcircular-externa-003-de-2026&amp;data=05%7C02%7Cgloria.arango%40colombiacompra.gov.co%7C7128555136e04fa6887d08dee99e1b50%7C7b09041e245149d08cb179d5e3d8c1be%7C0%7C0%7C639205062446219391%7CUnknown%7CTWFpbGZsb3d8eyJFbXB0eU1hcGkiOnRydWUsIlYiOiIwLjAuMDAwMCIsIlAiOiJXaW4zMiIsIkFOIjoiTWFpbCIsIldUIjoyfQ%3D%3D%7C0%7C%7C%7C&amp;sdata=n4O%2FvEtfc9BPj80Ca%2B%2F8q7eu37PkOWLMp6e6bpP9iqk%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www.colombiacompra.gov.co%2Farchivos%2Fmanual%2Fguia-de-garantias-en-procesos-de-contratacion&amp;data=05%7C02%7Cgloria.arango%40colombiacompra.gov.co%7C7128555136e04fa6887d08dee99e1b50%7C7b09041e245149d08cb179d5e3d8c1be%7C0%7C0%7C639205062446170098%7CUnknown%7CTWFpbGZsb3d8eyJFbXB0eU1hcGkiOnRydWUsIlYiOiIwLjAuMDAwMCIsIlAiOiJXaW4zMiIsIkFOIjoiTWFpbCIsIldUIjoyfQ%3D%3D%7C0%7C%7C%7C&amp;sdata=ljBnNHI5wFYzQvjOKcaITA2bC1hLv47U2msYd3DMNDI%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gloria.arango%40colombiacompra.gov.co%7C7128555136e04fa6887d08dee99e1b50%7C7b09041e245149d08cb179d5e3d8c1be%7C0%7C0%7C639205062446274139%7CUnknown%7CTWFpbGZsb3d8eyJFbXB0eU1hcGkiOnRydWUsIlYiOiIwLjAuMDAwMCIsIlAiOiJXaW4zMiIsIkFOIjoiTWFpbCIsIldUIjoyfQ%3D%3D%7C0%7C%7C%7C&amp;sdata=%2BOR%2B8B99WB0iq%2FSqJ%2BvNns2voWHllHuFIdZfKSM%2Fv7k%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gloria.arango%40colombiacompra.gov.co%7C7128555136e04fa6887d08dee99e1b50%7C7b09041e245149d08cb179d5e3d8c1be%7C0%7C0%7C639205062446249189%7CUnknown%7CTWFpbGZsb3d8eyJFbXB0eU1hcGkiOnRydWUsIlYiOiIwLjAuMDAwMCIsIlAiOiJXaW4zMiIsIkFOIjoiTWFpbCIsIldUIjoyfQ%3D%3D%7C0%7C%7C%7C&amp;sdata=i45KR6zDUpEaKxNZOeeNs2e4dqWo6vpxenHhRAnN%2Bzo%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eraciones.colombiacompra.gov.co/sites/cce_public/files/cce_documents/cce_guia_supervision_interventoria.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BE618B0E-A1B8-4699-9777-D133F3E74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16</TotalTime>
  <Pages>17</Pages>
  <Words>6037</Words>
  <Characters>33204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2026-07-31T21:33:00Z</dcterms:created>
  <dcterms:modified xsi:type="dcterms:W3CDTF">2026-08-04T12:59:00Z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