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97C7A" w14:textId="77777777" w:rsidR="00D40391" w:rsidRPr="004C046B" w:rsidRDefault="00D40391" w:rsidP="00D40391">
      <w:pPr>
        <w:spacing w:after="0" w:line="240" w:lineRule="auto"/>
        <w:contextualSpacing/>
        <w:jc w:val="both"/>
        <w:rPr>
          <w:rFonts w:ascii="Verdana" w:eastAsia="Calibri" w:hAnsi="Verdana" w:cs="Arial"/>
          <w:b/>
          <w:bCs/>
          <w:lang w:eastAsia="es-ES"/>
        </w:rPr>
      </w:pPr>
      <w:bookmarkStart w:id="0" w:name="_Hlk143780582"/>
      <w:r w:rsidRPr="004C046B">
        <w:rPr>
          <w:rFonts w:ascii="Verdana" w:eastAsia="Calibri" w:hAnsi="Verdana" w:cs="Arial"/>
          <w:b/>
          <w:bCs/>
          <w:lang w:eastAsia="es-ES"/>
        </w:rPr>
        <w:t>DECRETO 0287 DE 2026 ‒ Sistema Integral de Preferencias ‒ Contratación pública inclusiva ‒ Personas con discapacidad</w:t>
      </w:r>
    </w:p>
    <w:p w14:paraId="1238F5E4" w14:textId="77777777" w:rsidR="00D40391" w:rsidRDefault="00D40391" w:rsidP="00D40391">
      <w:pPr>
        <w:spacing w:after="0" w:line="240" w:lineRule="auto"/>
        <w:contextualSpacing/>
        <w:jc w:val="both"/>
        <w:rPr>
          <w:rFonts w:ascii="Verdana" w:eastAsia="Calibri" w:hAnsi="Verdana" w:cs="Arial"/>
          <w:sz w:val="20"/>
          <w:szCs w:val="20"/>
          <w:lang w:eastAsia="es-ES"/>
        </w:rPr>
      </w:pPr>
    </w:p>
    <w:p w14:paraId="2E3DEDB1" w14:textId="77777777" w:rsidR="00D40391" w:rsidRDefault="00D40391" w:rsidP="00D40391">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 R</w:t>
      </w:r>
      <w:r w:rsidRPr="000A5E13">
        <w:rPr>
          <w:rFonts w:ascii="Verdana" w:eastAsia="Calibri" w:hAnsi="Verdana" w:cs="Arial"/>
          <w:sz w:val="20"/>
          <w:szCs w:val="20"/>
          <w:lang w:eastAsia="es-ES"/>
        </w:rPr>
        <w:t xml:space="preserve">especto al alcance del Decreto 0287 de 2026, es necesario indicar que este reglamenta los numerales 1, 7 y 8 del artículo 13 de la Ley 1618 de 2013, acción que fue ordenada por el Consejo de Estado, Sección Quinta de la Sala de lo Contencioso Administrativo, mediante sentencia de acción de cumplimiento del 12 de diciembre de 2024, radicación </w:t>
      </w:r>
      <w:proofErr w:type="spellStart"/>
      <w:r w:rsidRPr="000A5E13">
        <w:rPr>
          <w:rFonts w:ascii="Verdana" w:eastAsia="Calibri" w:hAnsi="Verdana" w:cs="Arial"/>
          <w:sz w:val="20"/>
          <w:szCs w:val="20"/>
          <w:lang w:eastAsia="es-ES"/>
        </w:rPr>
        <w:t>N.°</w:t>
      </w:r>
      <w:proofErr w:type="spellEnd"/>
      <w:r w:rsidRPr="000A5E13">
        <w:rPr>
          <w:rFonts w:ascii="Verdana" w:eastAsia="Calibri" w:hAnsi="Verdana" w:cs="Arial"/>
          <w:sz w:val="20"/>
          <w:szCs w:val="20"/>
          <w:lang w:eastAsia="es-ES"/>
        </w:rPr>
        <w:t xml:space="preserve"> 05001-23-33-000-2024-00847-01, con ponencia del magistrado Omar Joaquín Barreto Suárez, y establece un Sistema Integral de Preferencias en favor de las personas con discapacidad en la contratación pública, entendido como el conjunto estructurado de medidas afirmativas, de naturaleza jurídica, técnica y procedimental, que las entidades estatales deben adoptar en todas las fases del proceso contractual: planeación, selección, adjudicación y ejecución. Este sistema está compuesto por cinco medidas: herramientas de planeación para procesos inclusivos, criterios habilitantes diferenciales, puntaje adicional del 2%, condiciones especiales de ejecución e inclusión de personas con discapacidad (en adelante, </w:t>
      </w:r>
      <w:proofErr w:type="spellStart"/>
      <w:r w:rsidRPr="000A5E13">
        <w:rPr>
          <w:rFonts w:ascii="Verdana" w:eastAsia="Calibri" w:hAnsi="Verdana" w:cs="Arial"/>
          <w:sz w:val="20"/>
          <w:szCs w:val="20"/>
          <w:lang w:eastAsia="es-ES"/>
        </w:rPr>
        <w:t>PcD</w:t>
      </w:r>
      <w:proofErr w:type="spellEnd"/>
      <w:r w:rsidRPr="000A5E13">
        <w:rPr>
          <w:rFonts w:ascii="Verdana" w:eastAsia="Calibri" w:hAnsi="Verdana" w:cs="Arial"/>
          <w:sz w:val="20"/>
          <w:szCs w:val="20"/>
          <w:lang w:eastAsia="es-ES"/>
        </w:rPr>
        <w:t>) en contratos de prestación de servicios. A estas medidas se suma, de manera transversal e independiente de las anteriores, la obligación de compras públicas accesibles, cuya aplicación recae sobre todos los entes del Estado con independencia de su régimen de contratación y en todas las modalidades de selección, incluida la contratación directa, irradiando la fase de planeación ya que es allí donde la compra debe plantearse con criterios de accesibilidad.</w:t>
      </w:r>
    </w:p>
    <w:p w14:paraId="18D46C2E" w14:textId="77777777" w:rsidR="00D40391" w:rsidRPr="007B5AD4" w:rsidRDefault="00D40391" w:rsidP="00D40391">
      <w:pPr>
        <w:spacing w:after="0" w:line="240" w:lineRule="auto"/>
        <w:contextualSpacing/>
        <w:jc w:val="both"/>
        <w:rPr>
          <w:rFonts w:ascii="Verdana" w:eastAsia="Calibri" w:hAnsi="Verdana" w:cs="Arial"/>
          <w:sz w:val="20"/>
          <w:szCs w:val="20"/>
          <w:lang w:eastAsia="es-ES"/>
        </w:rPr>
      </w:pPr>
    </w:p>
    <w:p w14:paraId="2846E220" w14:textId="77777777" w:rsidR="00D40391" w:rsidRPr="004C046B" w:rsidRDefault="00D40391" w:rsidP="00D40391">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Antecedentes normativos ‒ Decreto 392 de 2018 ‒ Omisiones reglamentarias ‒ Sentencia de acción de cumplimiento</w:t>
      </w:r>
    </w:p>
    <w:p w14:paraId="425DAF0E" w14:textId="77777777" w:rsidR="00D40391" w:rsidRPr="007B5AD4" w:rsidRDefault="00D40391" w:rsidP="00D40391">
      <w:pPr>
        <w:spacing w:after="0" w:line="240" w:lineRule="auto"/>
        <w:contextualSpacing/>
        <w:jc w:val="both"/>
        <w:rPr>
          <w:rFonts w:ascii="Verdana" w:eastAsia="Calibri" w:hAnsi="Verdana" w:cs="Arial"/>
          <w:b/>
          <w:bCs/>
          <w:sz w:val="20"/>
          <w:szCs w:val="20"/>
          <w:lang w:eastAsia="es-ES"/>
        </w:rPr>
      </w:pPr>
    </w:p>
    <w:p w14:paraId="1F11863A" w14:textId="77777777" w:rsidR="00D40391" w:rsidRDefault="00D40391" w:rsidP="00D40391">
      <w:pPr>
        <w:spacing w:after="0" w:line="240" w:lineRule="auto"/>
        <w:contextualSpacing/>
        <w:jc w:val="both"/>
        <w:rPr>
          <w:rFonts w:ascii="Verdana" w:eastAsia="Calibri" w:hAnsi="Verdana" w:cs="Arial"/>
          <w:sz w:val="20"/>
          <w:szCs w:val="20"/>
          <w:lang w:eastAsia="es-ES"/>
        </w:rPr>
      </w:pPr>
      <w:r w:rsidRPr="007C6F9B">
        <w:rPr>
          <w:rFonts w:ascii="Verdana" w:eastAsia="Calibri" w:hAnsi="Verdana" w:cs="Arial"/>
          <w:sz w:val="20"/>
          <w:szCs w:val="20"/>
          <w:lang w:eastAsia="es-ES"/>
        </w:rPr>
        <w:t xml:space="preserve">La insuficiencia del Decreto 392 de 2018 fue constatada judicialmente. La Sección Quinta del Consejo de Estado, mediante sentencia de acción de cumplimiento del 12 de diciembre de 2024, radicación </w:t>
      </w:r>
      <w:proofErr w:type="spellStart"/>
      <w:r w:rsidRPr="007C6F9B">
        <w:rPr>
          <w:rFonts w:ascii="Verdana" w:eastAsia="Calibri" w:hAnsi="Verdana" w:cs="Arial"/>
          <w:sz w:val="20"/>
          <w:szCs w:val="20"/>
          <w:lang w:eastAsia="es-ES"/>
        </w:rPr>
        <w:t>n.°</w:t>
      </w:r>
      <w:proofErr w:type="spellEnd"/>
      <w:r w:rsidRPr="007C6F9B">
        <w:rPr>
          <w:rFonts w:ascii="Verdana" w:eastAsia="Calibri" w:hAnsi="Verdana" w:cs="Arial"/>
          <w:sz w:val="20"/>
          <w:szCs w:val="20"/>
          <w:lang w:eastAsia="es-ES"/>
        </w:rPr>
        <w:t xml:space="preserve">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7E572640" w14:textId="77777777" w:rsidR="00D40391" w:rsidRDefault="00D40391" w:rsidP="00D40391">
      <w:pPr>
        <w:spacing w:after="0" w:line="240" w:lineRule="auto"/>
        <w:contextualSpacing/>
        <w:jc w:val="both"/>
        <w:rPr>
          <w:rFonts w:ascii="Verdana" w:eastAsia="Calibri" w:hAnsi="Verdana" w:cs="Arial"/>
          <w:sz w:val="20"/>
          <w:szCs w:val="20"/>
          <w:lang w:eastAsia="es-ES"/>
        </w:rPr>
      </w:pPr>
    </w:p>
    <w:p w14:paraId="70635484" w14:textId="77777777" w:rsidR="00D40391" w:rsidRPr="004C046B" w:rsidRDefault="00D40391" w:rsidP="00D40391">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Sujetos del sistema ‒ Emprendimientos y empresas de personas con discapacidad ‒ Empleadores de personas con discapacidad ‒ Definición y diferenciación</w:t>
      </w:r>
    </w:p>
    <w:p w14:paraId="2DAE421E" w14:textId="77777777" w:rsidR="00D40391" w:rsidRPr="007B5AD4" w:rsidRDefault="00D40391" w:rsidP="00D40391">
      <w:pPr>
        <w:spacing w:after="0" w:line="240" w:lineRule="auto"/>
        <w:contextualSpacing/>
        <w:jc w:val="both"/>
        <w:rPr>
          <w:rFonts w:ascii="Verdana" w:eastAsia="Calibri" w:hAnsi="Verdana" w:cs="Arial"/>
          <w:b/>
          <w:bCs/>
          <w:sz w:val="20"/>
          <w:szCs w:val="20"/>
          <w:lang w:eastAsia="es-ES"/>
        </w:rPr>
      </w:pPr>
    </w:p>
    <w:p w14:paraId="112B3D9C" w14:textId="77777777" w:rsidR="00D40391" w:rsidRPr="00206556" w:rsidRDefault="00D40391" w:rsidP="00D40391">
      <w:pPr>
        <w:spacing w:after="0" w:line="240" w:lineRule="auto"/>
        <w:contextualSpacing/>
        <w:jc w:val="both"/>
        <w:rPr>
          <w:rFonts w:ascii="Verdana" w:eastAsia="Calibri" w:hAnsi="Verdana" w:cs="Arial"/>
          <w:sz w:val="20"/>
          <w:szCs w:val="20"/>
          <w:lang w:eastAsia="es-ES"/>
        </w:rPr>
      </w:pPr>
      <w:r w:rsidRPr="007C6F9B">
        <w:rPr>
          <w:rFonts w:ascii="Verdana" w:eastAsia="Calibri" w:hAnsi="Verdana" w:cs="Arial"/>
          <w:sz w:val="20"/>
          <w:szCs w:val="20"/>
          <w:lang w:eastAsia="es-ES"/>
        </w:rPr>
        <w:t xml:space="preserve">El sistema beneficia a dos sujetos diferenciados cuyas medidas no son idénticas ni intercambiables. El primer sujeto son los emprendimientos y empresas de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xml:space="preserve">, definidos en el artículo 2.2.1.2.4.2.6. del Decreto 1082 de 2015 (modificado) según cuatro categorías: personas naturales con discapacidad que ejerzan una profesión liberal; </w:t>
      </w:r>
      <w:r w:rsidRPr="007C6F9B">
        <w:rPr>
          <w:rFonts w:ascii="Verdana" w:eastAsia="Calibri" w:hAnsi="Verdana" w:cs="Arial"/>
          <w:sz w:val="20"/>
          <w:szCs w:val="20"/>
          <w:lang w:eastAsia="es-ES"/>
        </w:rPr>
        <w:lastRenderedPageBreak/>
        <w:t xml:space="preserve">personas naturales con discapacidad que realicen actividades comerciales a través de establecimiento de comercio con al menos un año de antigüedad; personas jurídicas en las que más del 50% de las acciones o cuotas pertenezcan a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xml:space="preserve"> por al menos un año; y personas jurídicas con al menos una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xml:space="preserve"> vinculada laboralmente en un cargo de nivel directivo por al menos un año. El segundo sujeto son los empleadores de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esto es, cualquier empresa que tenga en su planta de personal trabajadores con discapacidad contratados laboralmente con dedicación exclusiva, superando los mínimos que exige la Ley 2466 de 2025 (Reforma Laboral). Confundir los dos sujetos genera aplicaciones incorrectas del sistema, razón por la cual resulta esencial que las entidades contratantes identifiquen en cada caso qué sujeto está acreditando el proponente y qué documentación y medidas corresponden a ese sujeto específico</w:t>
      </w:r>
      <w:r w:rsidRPr="007B5AD4">
        <w:rPr>
          <w:rFonts w:ascii="Verdana" w:eastAsia="Calibri" w:hAnsi="Verdana" w:cs="Arial"/>
          <w:sz w:val="20"/>
          <w:szCs w:val="20"/>
          <w:lang w:eastAsia="es-ES"/>
        </w:rPr>
        <w:t>.</w:t>
      </w:r>
    </w:p>
    <w:p w14:paraId="42E752CD" w14:textId="77777777" w:rsidR="00D40391" w:rsidRPr="007B5AD4" w:rsidRDefault="00D40391" w:rsidP="00D40391">
      <w:pPr>
        <w:spacing w:after="0" w:line="240" w:lineRule="auto"/>
        <w:contextualSpacing/>
        <w:jc w:val="both"/>
        <w:rPr>
          <w:rFonts w:ascii="Verdana" w:eastAsia="Calibri" w:hAnsi="Verdana" w:cs="Arial"/>
          <w:sz w:val="20"/>
          <w:szCs w:val="20"/>
          <w:lang w:eastAsia="es-ES"/>
        </w:rPr>
      </w:pPr>
    </w:p>
    <w:p w14:paraId="3F60671A" w14:textId="77777777" w:rsidR="00D40391" w:rsidRPr="004C046B" w:rsidRDefault="00D40391" w:rsidP="00D40391">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Puntaje adicional del 2% ‒ No acumulabilidad ‒ Acreditación simultánea de condiciones ‒ Modalidades de selección aplicables</w:t>
      </w:r>
    </w:p>
    <w:p w14:paraId="7060281C" w14:textId="77777777" w:rsidR="00D40391" w:rsidRPr="00206556" w:rsidRDefault="00D40391" w:rsidP="00D40391">
      <w:pPr>
        <w:spacing w:after="0" w:line="240" w:lineRule="auto"/>
        <w:contextualSpacing/>
        <w:jc w:val="both"/>
        <w:rPr>
          <w:rFonts w:ascii="Verdana" w:eastAsia="Calibri" w:hAnsi="Verdana" w:cs="Arial"/>
          <w:sz w:val="20"/>
          <w:szCs w:val="20"/>
          <w:lang w:eastAsia="es-ES"/>
        </w:rPr>
      </w:pPr>
    </w:p>
    <w:p w14:paraId="33EFA7F1" w14:textId="77777777" w:rsidR="00D40391" w:rsidRDefault="00D40391" w:rsidP="00D40391">
      <w:pPr>
        <w:spacing w:after="0" w:line="240" w:lineRule="auto"/>
        <w:contextualSpacing/>
        <w:jc w:val="both"/>
        <w:rPr>
          <w:rFonts w:ascii="Verdana" w:eastAsia="Calibri" w:hAnsi="Verdana" w:cs="Arial"/>
          <w:sz w:val="20"/>
          <w:szCs w:val="20"/>
          <w:lang w:eastAsia="es-ES"/>
        </w:rPr>
      </w:pPr>
      <w:r w:rsidRPr="007C6F9B">
        <w:rPr>
          <w:rFonts w:ascii="Verdana" w:eastAsia="Calibri" w:hAnsi="Verdana" w:cs="Arial"/>
          <w:sz w:val="20"/>
          <w:szCs w:val="20"/>
          <w:lang w:eastAsia="es-ES"/>
        </w:rPr>
        <w:t xml:space="preserve">El artículo 2.2.1.2.4.2.7.4. del Decreto 0287 de 2026 es explícito al disponer que, aunque el proponente acredite simultáneamente ser emprendimiento o empresa de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xml:space="preserve"> y ser empleador de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el puntaje máximo a otorgar por este criterio es siempre el 2% del total de los puntos del pliego, sin que las condiciones acreditadas sean sumables para efectos de la evaluación de la oferta, y tampoco es posible disminuir ese porcentaje de puntos ya que siempre será el 2% como lo establece el decreto. Este puntaje aplica únicamente en entidades regidas por el Estatuto General de Contratación Pública, en las modalidades de licitación pública y concurso de méritos; no aplica en régimen especial, ni en selección abreviada, mínima cuantía ni contratación directa</w:t>
      </w:r>
      <w:r w:rsidRPr="007B5AD4">
        <w:rPr>
          <w:rFonts w:ascii="Verdana" w:eastAsia="Calibri" w:hAnsi="Verdana" w:cs="Arial"/>
          <w:sz w:val="20"/>
          <w:szCs w:val="20"/>
          <w:lang w:eastAsia="es-ES"/>
        </w:rPr>
        <w:t>.</w:t>
      </w:r>
    </w:p>
    <w:p w14:paraId="0C0AA670" w14:textId="77777777" w:rsidR="00D40391" w:rsidRDefault="00D40391" w:rsidP="00D40391">
      <w:pPr>
        <w:spacing w:after="0" w:line="240" w:lineRule="auto"/>
        <w:contextualSpacing/>
        <w:jc w:val="both"/>
        <w:rPr>
          <w:rFonts w:ascii="Verdana" w:eastAsia="Calibri" w:hAnsi="Verdana" w:cs="Arial"/>
          <w:b/>
          <w:bCs/>
          <w:sz w:val="20"/>
          <w:szCs w:val="20"/>
          <w:lang w:eastAsia="es-ES"/>
        </w:rPr>
      </w:pPr>
    </w:p>
    <w:p w14:paraId="0F9FE105" w14:textId="77777777" w:rsidR="00D40391" w:rsidRPr="004C046B" w:rsidRDefault="00D40391" w:rsidP="00D40391">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Puntaje adicional del 2% ‒ Vinculación de personas con discapacidad ‒ Planillas de seguridad social ‒ Período de tres meses ‒ Vinculaciones recientes</w:t>
      </w:r>
    </w:p>
    <w:p w14:paraId="0388377D" w14:textId="77777777" w:rsidR="00D40391" w:rsidRPr="00206556" w:rsidRDefault="00D40391" w:rsidP="00D40391">
      <w:pPr>
        <w:spacing w:after="0" w:line="240" w:lineRule="auto"/>
        <w:contextualSpacing/>
        <w:jc w:val="both"/>
        <w:rPr>
          <w:rFonts w:ascii="Verdana" w:eastAsia="Calibri" w:hAnsi="Verdana" w:cs="Arial"/>
          <w:sz w:val="20"/>
          <w:szCs w:val="20"/>
          <w:lang w:eastAsia="es-ES"/>
        </w:rPr>
      </w:pPr>
    </w:p>
    <w:p w14:paraId="1BC57281" w14:textId="77777777" w:rsidR="00D40391" w:rsidRDefault="00D40391" w:rsidP="00D40391">
      <w:pPr>
        <w:spacing w:after="0" w:line="240" w:lineRule="auto"/>
        <w:contextualSpacing/>
        <w:jc w:val="both"/>
        <w:rPr>
          <w:rFonts w:ascii="Verdana" w:eastAsia="Calibri" w:hAnsi="Verdana" w:cs="Arial"/>
          <w:sz w:val="20"/>
          <w:szCs w:val="20"/>
          <w:lang w:eastAsia="es-ES"/>
        </w:rPr>
      </w:pPr>
      <w:r w:rsidRPr="00C820EF">
        <w:rPr>
          <w:rFonts w:ascii="Verdana" w:eastAsia="Calibri" w:hAnsi="Verdana" w:cs="Arial"/>
          <w:sz w:val="20"/>
          <w:szCs w:val="20"/>
          <w:lang w:eastAsia="es-ES"/>
        </w:rPr>
        <w:t xml:space="preserve">Ahora bien, la documentación para la acreditación de las condiciones bajo las cuales se otorga el puntaje depende del sujeto de que se trate, en la condición de empleador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los documentos están dispuestos en el artículo 2.2.1.2.4.2.7.4, el cual exige, entre otros documentos, los certificados de aportes a seguridad social de los tres (3) meses anteriores a la presentación de la oferta respecto de cada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incluida en el cómputo, sin distinción entre vinculaciones iniciales e incrementos posteriores. No existe mecanismo alternativo que permita suplir este requisito. No obstante, su incumplimiento parcial no impide la participación del proponente en el proceso de contratación; simplemente limita el acceso al puntaje adicional respecto de las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cuyas planillas no alcancen ese período, pudiendo el proponente acreditar el puntaje con base en las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que sí cumplen el requisito temporal y participar en el proceso sin el puntaje en caso de no alcanzar ninguna. El término de tres (3) </w:t>
      </w:r>
      <w:proofErr w:type="gramStart"/>
      <w:r w:rsidRPr="00C820EF">
        <w:rPr>
          <w:rFonts w:ascii="Verdana" w:eastAsia="Calibri" w:hAnsi="Verdana" w:cs="Arial"/>
          <w:sz w:val="20"/>
          <w:szCs w:val="20"/>
          <w:lang w:eastAsia="es-ES"/>
        </w:rPr>
        <w:t>meses aquí mencionado</w:t>
      </w:r>
      <w:proofErr w:type="gramEnd"/>
      <w:r w:rsidRPr="00C820EF">
        <w:rPr>
          <w:rFonts w:ascii="Verdana" w:eastAsia="Calibri" w:hAnsi="Verdana" w:cs="Arial"/>
          <w:sz w:val="20"/>
          <w:szCs w:val="20"/>
          <w:lang w:eastAsia="es-ES"/>
        </w:rPr>
        <w:t xml:space="preserve"> es diferente al término de un (1) año mencionado en el artículo 2.2.1.2.4.2.6 respecto de los emprendimientos y empresas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w:t>
      </w:r>
    </w:p>
    <w:p w14:paraId="00C68C45" w14:textId="77777777" w:rsidR="00D40391" w:rsidRPr="00C820EF" w:rsidRDefault="00D40391" w:rsidP="00D40391">
      <w:pPr>
        <w:spacing w:after="0" w:line="240" w:lineRule="auto"/>
        <w:contextualSpacing/>
        <w:jc w:val="both"/>
        <w:rPr>
          <w:rFonts w:ascii="Verdana" w:eastAsia="Calibri" w:hAnsi="Verdana" w:cs="Arial"/>
          <w:sz w:val="20"/>
          <w:szCs w:val="20"/>
          <w:lang w:eastAsia="es-ES"/>
        </w:rPr>
      </w:pPr>
    </w:p>
    <w:p w14:paraId="5BFFD887" w14:textId="77777777" w:rsidR="00D40391" w:rsidRPr="003C64A5" w:rsidRDefault="00D40391" w:rsidP="00D40391">
      <w:pPr>
        <w:spacing w:after="0" w:line="240" w:lineRule="auto"/>
        <w:contextualSpacing/>
        <w:jc w:val="both"/>
        <w:rPr>
          <w:rFonts w:ascii="Verdana" w:eastAsia="Calibri" w:hAnsi="Verdana" w:cs="Arial"/>
          <w:sz w:val="20"/>
          <w:szCs w:val="20"/>
          <w:lang w:eastAsia="es-ES"/>
        </w:rPr>
      </w:pPr>
      <w:r w:rsidRPr="00C820EF">
        <w:rPr>
          <w:rFonts w:ascii="Verdana" w:eastAsia="Calibri" w:hAnsi="Verdana" w:cs="Arial"/>
          <w:sz w:val="20"/>
          <w:szCs w:val="20"/>
          <w:lang w:eastAsia="es-ES"/>
        </w:rPr>
        <w:lastRenderedPageBreak/>
        <w:t xml:space="preserve">Para efectos de determinar el número mínimo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que el proponente debe tener vinculadas en su planta de personal para acceder al puntaje, el artículo 2.2.1.2.4.2.7.4. del Decreto 0287 de 2026 establece una tabla, que ya incorpora los mínimos exigidos por la Ley 2466 de 2025 (Reforma Laboral), de modo que el puntaje solo se otorga a quien cumpla lo indicado en la tabla. La vinculación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a las plantas de personal de posibles proveedores, debe ser a través de contrato laboral con dedicación exclusiva, cuya definición le corresponde al Ministerio del Trabajo. Por otra parte, los documentos para acreditar la otra condición que es ser emprendimiento o empresa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son los indicados en el artículo 2.2.1.2.4.2.6 y no los del artículo 2.2.1.2.4.2.7.4</w:t>
      </w:r>
      <w:r w:rsidRPr="003C64A5">
        <w:rPr>
          <w:rFonts w:ascii="Verdana" w:eastAsia="Calibri" w:hAnsi="Verdana" w:cs="Arial"/>
          <w:sz w:val="20"/>
          <w:szCs w:val="20"/>
          <w:lang w:eastAsia="es-ES"/>
        </w:rPr>
        <w:t>.</w:t>
      </w:r>
    </w:p>
    <w:p w14:paraId="0122AC5B" w14:textId="77777777" w:rsidR="00D40391" w:rsidRPr="007B5AD4" w:rsidRDefault="00D40391" w:rsidP="00D40391">
      <w:pPr>
        <w:spacing w:after="0" w:line="240" w:lineRule="auto"/>
        <w:contextualSpacing/>
        <w:jc w:val="both"/>
        <w:rPr>
          <w:rFonts w:ascii="Verdana" w:eastAsia="Calibri" w:hAnsi="Verdana" w:cs="Arial"/>
          <w:sz w:val="20"/>
          <w:szCs w:val="20"/>
          <w:lang w:eastAsia="es-ES"/>
        </w:rPr>
      </w:pPr>
    </w:p>
    <w:p w14:paraId="27A9A21A" w14:textId="77777777" w:rsidR="00D40391" w:rsidRDefault="00D40391" w:rsidP="00D40391">
      <w:pPr>
        <w:spacing w:after="0" w:line="240" w:lineRule="auto"/>
        <w:contextualSpacing/>
        <w:jc w:val="both"/>
        <w:rPr>
          <w:rFonts w:ascii="Verdana" w:eastAsia="Calibri" w:hAnsi="Verdana" w:cs="Arial"/>
          <w:b/>
          <w:bCs/>
          <w:lang w:eastAsia="es-ES"/>
        </w:rPr>
      </w:pPr>
    </w:p>
    <w:p w14:paraId="7FF26143" w14:textId="77777777" w:rsidR="00C5512D" w:rsidRDefault="00C5512D" w:rsidP="00D40391">
      <w:pPr>
        <w:spacing w:after="0" w:line="240" w:lineRule="auto"/>
        <w:contextualSpacing/>
        <w:jc w:val="both"/>
        <w:rPr>
          <w:rFonts w:ascii="Verdana" w:eastAsia="Calibri" w:hAnsi="Verdana" w:cs="Arial"/>
          <w:b/>
          <w:bCs/>
          <w:lang w:eastAsia="es-ES"/>
        </w:rPr>
      </w:pPr>
    </w:p>
    <w:p w14:paraId="21580EBB" w14:textId="77777777" w:rsidR="00C5512D" w:rsidRDefault="00C5512D" w:rsidP="00D40391">
      <w:pPr>
        <w:spacing w:after="0" w:line="240" w:lineRule="auto"/>
        <w:contextualSpacing/>
        <w:jc w:val="both"/>
        <w:rPr>
          <w:rFonts w:ascii="Verdana" w:eastAsia="Calibri" w:hAnsi="Verdana" w:cs="Arial"/>
          <w:b/>
          <w:bCs/>
          <w:lang w:eastAsia="es-ES"/>
        </w:rPr>
      </w:pPr>
    </w:p>
    <w:p w14:paraId="2AA534FA" w14:textId="77777777" w:rsidR="00C5512D" w:rsidRDefault="00C5512D" w:rsidP="00D40391">
      <w:pPr>
        <w:spacing w:after="0" w:line="240" w:lineRule="auto"/>
        <w:contextualSpacing/>
        <w:jc w:val="both"/>
        <w:rPr>
          <w:rFonts w:ascii="Verdana" w:eastAsia="Calibri" w:hAnsi="Verdana" w:cs="Arial"/>
          <w:b/>
          <w:bCs/>
          <w:lang w:eastAsia="es-ES"/>
        </w:rPr>
      </w:pPr>
    </w:p>
    <w:p w14:paraId="30F18564" w14:textId="77777777" w:rsidR="00C5512D" w:rsidRDefault="00C5512D" w:rsidP="00D40391">
      <w:pPr>
        <w:spacing w:after="0" w:line="240" w:lineRule="auto"/>
        <w:contextualSpacing/>
        <w:jc w:val="both"/>
        <w:rPr>
          <w:rFonts w:ascii="Verdana" w:eastAsia="Calibri" w:hAnsi="Verdana" w:cs="Arial"/>
          <w:b/>
          <w:bCs/>
          <w:lang w:eastAsia="es-ES"/>
        </w:rPr>
      </w:pPr>
    </w:p>
    <w:p w14:paraId="0AFAAE80" w14:textId="77777777" w:rsidR="00C5512D" w:rsidRDefault="00C5512D" w:rsidP="00D40391">
      <w:pPr>
        <w:spacing w:after="0" w:line="240" w:lineRule="auto"/>
        <w:contextualSpacing/>
        <w:jc w:val="both"/>
        <w:rPr>
          <w:rFonts w:ascii="Verdana" w:eastAsia="Calibri" w:hAnsi="Verdana" w:cs="Arial"/>
          <w:b/>
          <w:bCs/>
          <w:lang w:eastAsia="es-ES"/>
        </w:rPr>
      </w:pPr>
    </w:p>
    <w:p w14:paraId="32F194F4" w14:textId="77777777" w:rsidR="00C5512D" w:rsidRDefault="00C5512D" w:rsidP="00D40391">
      <w:pPr>
        <w:spacing w:after="0" w:line="240" w:lineRule="auto"/>
        <w:contextualSpacing/>
        <w:jc w:val="both"/>
        <w:rPr>
          <w:rFonts w:ascii="Verdana" w:eastAsia="Calibri" w:hAnsi="Verdana" w:cs="Arial"/>
          <w:b/>
          <w:bCs/>
          <w:lang w:eastAsia="es-ES"/>
        </w:rPr>
      </w:pPr>
    </w:p>
    <w:p w14:paraId="14D1B81D" w14:textId="77777777" w:rsidR="00C5512D" w:rsidRDefault="00C5512D" w:rsidP="00D40391">
      <w:pPr>
        <w:spacing w:after="0" w:line="240" w:lineRule="auto"/>
        <w:contextualSpacing/>
        <w:jc w:val="both"/>
        <w:rPr>
          <w:rFonts w:ascii="Verdana" w:eastAsia="Calibri" w:hAnsi="Verdana" w:cs="Arial"/>
          <w:b/>
          <w:bCs/>
          <w:lang w:eastAsia="es-ES"/>
        </w:rPr>
      </w:pPr>
    </w:p>
    <w:p w14:paraId="6DB056F3" w14:textId="77777777" w:rsidR="00C5512D" w:rsidRDefault="00C5512D" w:rsidP="00D40391">
      <w:pPr>
        <w:spacing w:after="0" w:line="240" w:lineRule="auto"/>
        <w:contextualSpacing/>
        <w:jc w:val="both"/>
        <w:rPr>
          <w:rFonts w:ascii="Verdana" w:eastAsia="Calibri" w:hAnsi="Verdana" w:cs="Arial"/>
          <w:b/>
          <w:bCs/>
          <w:lang w:eastAsia="es-ES"/>
        </w:rPr>
      </w:pPr>
    </w:p>
    <w:p w14:paraId="47C96A92" w14:textId="77777777" w:rsidR="00C5512D" w:rsidRDefault="00C5512D" w:rsidP="00D40391">
      <w:pPr>
        <w:spacing w:after="0" w:line="240" w:lineRule="auto"/>
        <w:contextualSpacing/>
        <w:jc w:val="both"/>
        <w:rPr>
          <w:rFonts w:ascii="Verdana" w:eastAsia="Calibri" w:hAnsi="Verdana" w:cs="Arial"/>
          <w:b/>
          <w:bCs/>
          <w:lang w:eastAsia="es-ES"/>
        </w:rPr>
      </w:pPr>
    </w:p>
    <w:p w14:paraId="47D9525D" w14:textId="77777777" w:rsidR="00C5512D" w:rsidRDefault="00C5512D" w:rsidP="00D40391">
      <w:pPr>
        <w:spacing w:after="0" w:line="240" w:lineRule="auto"/>
        <w:contextualSpacing/>
        <w:jc w:val="both"/>
        <w:rPr>
          <w:rFonts w:ascii="Verdana" w:eastAsia="Calibri" w:hAnsi="Verdana" w:cs="Arial"/>
          <w:b/>
          <w:bCs/>
          <w:lang w:eastAsia="es-ES"/>
        </w:rPr>
      </w:pPr>
    </w:p>
    <w:p w14:paraId="762C1AF1" w14:textId="77777777" w:rsidR="00C5512D" w:rsidRDefault="00C5512D" w:rsidP="00D40391">
      <w:pPr>
        <w:spacing w:after="0" w:line="240" w:lineRule="auto"/>
        <w:contextualSpacing/>
        <w:jc w:val="both"/>
        <w:rPr>
          <w:rFonts w:ascii="Verdana" w:eastAsia="Calibri" w:hAnsi="Verdana" w:cs="Arial"/>
          <w:b/>
          <w:bCs/>
          <w:lang w:eastAsia="es-ES"/>
        </w:rPr>
      </w:pPr>
    </w:p>
    <w:p w14:paraId="02BD40E7" w14:textId="77777777" w:rsidR="00C5512D" w:rsidRDefault="00C5512D" w:rsidP="00D40391">
      <w:pPr>
        <w:spacing w:after="0" w:line="240" w:lineRule="auto"/>
        <w:contextualSpacing/>
        <w:jc w:val="both"/>
        <w:rPr>
          <w:rFonts w:ascii="Verdana" w:eastAsia="Calibri" w:hAnsi="Verdana" w:cs="Arial"/>
          <w:sz w:val="20"/>
          <w:szCs w:val="20"/>
          <w:lang w:eastAsia="es-ES"/>
        </w:rPr>
      </w:pPr>
    </w:p>
    <w:p w14:paraId="31BC8A99" w14:textId="77777777" w:rsidR="00D40391" w:rsidRDefault="00D40391" w:rsidP="00D40391">
      <w:pPr>
        <w:spacing w:after="0" w:line="240" w:lineRule="auto"/>
        <w:contextualSpacing/>
        <w:jc w:val="both"/>
        <w:rPr>
          <w:rFonts w:ascii="Verdana" w:eastAsia="Calibri" w:hAnsi="Verdana" w:cs="Arial"/>
          <w:sz w:val="20"/>
          <w:szCs w:val="20"/>
          <w:lang w:eastAsia="es-ES"/>
        </w:rPr>
      </w:pPr>
    </w:p>
    <w:p w14:paraId="291DF08A" w14:textId="77777777" w:rsidR="00D40391" w:rsidRDefault="00D40391" w:rsidP="00D40391">
      <w:pPr>
        <w:spacing w:after="0" w:line="240" w:lineRule="auto"/>
        <w:contextualSpacing/>
        <w:jc w:val="both"/>
        <w:rPr>
          <w:rFonts w:ascii="Verdana" w:eastAsia="Calibri" w:hAnsi="Verdana" w:cs="Arial"/>
          <w:sz w:val="20"/>
          <w:szCs w:val="20"/>
          <w:lang w:eastAsia="es-ES"/>
        </w:rPr>
      </w:pPr>
    </w:p>
    <w:p w14:paraId="7CA1B99E" w14:textId="77777777" w:rsidR="00D40391" w:rsidRDefault="00D40391" w:rsidP="00D40391">
      <w:pPr>
        <w:spacing w:after="0" w:line="240" w:lineRule="auto"/>
        <w:contextualSpacing/>
        <w:jc w:val="both"/>
        <w:rPr>
          <w:rFonts w:ascii="Verdana" w:eastAsia="Calibri" w:hAnsi="Verdana" w:cs="Arial"/>
          <w:sz w:val="20"/>
          <w:szCs w:val="20"/>
          <w:lang w:eastAsia="es-ES"/>
        </w:rPr>
      </w:pPr>
    </w:p>
    <w:p w14:paraId="635ADA48" w14:textId="77777777" w:rsidR="00D40391" w:rsidRDefault="00D40391" w:rsidP="00D40391">
      <w:pPr>
        <w:spacing w:after="0" w:line="240" w:lineRule="auto"/>
        <w:contextualSpacing/>
        <w:jc w:val="both"/>
        <w:rPr>
          <w:rFonts w:ascii="Verdana" w:eastAsia="Calibri" w:hAnsi="Verdana" w:cs="Arial"/>
          <w:sz w:val="20"/>
          <w:szCs w:val="20"/>
          <w:lang w:eastAsia="es-ES"/>
        </w:rPr>
      </w:pPr>
    </w:p>
    <w:p w14:paraId="2F74EDF9" w14:textId="77777777" w:rsidR="00D40391" w:rsidRDefault="00D40391" w:rsidP="00D40391">
      <w:pPr>
        <w:spacing w:after="0" w:line="240" w:lineRule="auto"/>
        <w:contextualSpacing/>
        <w:jc w:val="both"/>
        <w:rPr>
          <w:rFonts w:ascii="Verdana" w:eastAsia="Calibri" w:hAnsi="Verdana" w:cs="Arial"/>
          <w:sz w:val="20"/>
          <w:szCs w:val="20"/>
          <w:lang w:eastAsia="es-ES"/>
        </w:rPr>
      </w:pPr>
    </w:p>
    <w:p w14:paraId="33DA3FED" w14:textId="77777777" w:rsidR="00D40391" w:rsidRDefault="00D40391" w:rsidP="00D40391">
      <w:pPr>
        <w:spacing w:after="0" w:line="240" w:lineRule="auto"/>
        <w:contextualSpacing/>
        <w:jc w:val="both"/>
        <w:rPr>
          <w:rFonts w:ascii="Verdana" w:eastAsia="Calibri" w:hAnsi="Verdana" w:cs="Arial"/>
          <w:sz w:val="20"/>
          <w:szCs w:val="20"/>
          <w:lang w:eastAsia="es-ES"/>
        </w:rPr>
      </w:pPr>
    </w:p>
    <w:p w14:paraId="56D3321A" w14:textId="77777777" w:rsidR="00D40391" w:rsidRDefault="00D40391" w:rsidP="00D40391">
      <w:pPr>
        <w:spacing w:after="0" w:line="240" w:lineRule="auto"/>
        <w:contextualSpacing/>
        <w:jc w:val="both"/>
        <w:rPr>
          <w:rFonts w:ascii="Verdana" w:eastAsia="Calibri" w:hAnsi="Verdana" w:cs="Arial"/>
          <w:sz w:val="20"/>
          <w:szCs w:val="20"/>
          <w:lang w:eastAsia="es-ES"/>
        </w:rPr>
      </w:pPr>
    </w:p>
    <w:p w14:paraId="7F35E276" w14:textId="77777777" w:rsidR="00D40391" w:rsidRDefault="00D40391" w:rsidP="00D40391">
      <w:pPr>
        <w:spacing w:after="0" w:line="240" w:lineRule="auto"/>
        <w:contextualSpacing/>
        <w:jc w:val="both"/>
        <w:rPr>
          <w:rFonts w:ascii="Verdana" w:eastAsia="Calibri" w:hAnsi="Verdana" w:cs="Arial"/>
          <w:sz w:val="20"/>
          <w:szCs w:val="20"/>
          <w:lang w:eastAsia="es-ES"/>
        </w:rPr>
      </w:pPr>
    </w:p>
    <w:p w14:paraId="513DD2F6" w14:textId="77777777" w:rsidR="00D40391" w:rsidRDefault="00D40391" w:rsidP="00D40391">
      <w:pPr>
        <w:spacing w:after="0" w:line="240" w:lineRule="auto"/>
        <w:contextualSpacing/>
        <w:jc w:val="both"/>
        <w:rPr>
          <w:rFonts w:ascii="Verdana" w:eastAsia="Calibri" w:hAnsi="Verdana" w:cs="Arial"/>
          <w:sz w:val="20"/>
          <w:szCs w:val="20"/>
          <w:lang w:eastAsia="es-ES"/>
        </w:rPr>
      </w:pPr>
    </w:p>
    <w:p w14:paraId="329EDBD4" w14:textId="77777777" w:rsidR="00093BF9" w:rsidRDefault="00093BF9" w:rsidP="00093BF9">
      <w:pPr>
        <w:tabs>
          <w:tab w:val="left" w:pos="426"/>
        </w:tabs>
        <w:spacing w:line="240" w:lineRule="auto"/>
        <w:contextualSpacing/>
        <w:jc w:val="both"/>
        <w:rPr>
          <w:rFonts w:ascii="Verdana" w:eastAsia="Verdana" w:hAnsi="Verdana" w:cs="Verdana"/>
          <w:color w:val="000000" w:themeColor="text1"/>
        </w:rPr>
      </w:pPr>
    </w:p>
    <w:p w14:paraId="7F9F60D8" w14:textId="77777777" w:rsidR="00D40391" w:rsidRDefault="00D40391" w:rsidP="00093BF9">
      <w:pPr>
        <w:tabs>
          <w:tab w:val="left" w:pos="426"/>
        </w:tabs>
        <w:spacing w:line="240" w:lineRule="auto"/>
        <w:contextualSpacing/>
        <w:jc w:val="both"/>
        <w:rPr>
          <w:rFonts w:ascii="Verdana" w:eastAsia="Verdana" w:hAnsi="Verdana" w:cs="Verdana"/>
          <w:color w:val="000000" w:themeColor="text1"/>
        </w:rPr>
      </w:pPr>
    </w:p>
    <w:p w14:paraId="36474AD5" w14:textId="77777777" w:rsidR="00D40391" w:rsidRDefault="00D40391" w:rsidP="00093BF9">
      <w:pPr>
        <w:tabs>
          <w:tab w:val="left" w:pos="426"/>
        </w:tabs>
        <w:spacing w:line="240" w:lineRule="auto"/>
        <w:contextualSpacing/>
        <w:jc w:val="both"/>
        <w:rPr>
          <w:rFonts w:ascii="Verdana" w:eastAsia="Verdana" w:hAnsi="Verdana" w:cs="Verdana"/>
          <w:color w:val="000000" w:themeColor="text1"/>
        </w:rPr>
      </w:pPr>
    </w:p>
    <w:p w14:paraId="15853D45" w14:textId="77777777" w:rsidR="00D40391" w:rsidRDefault="00D40391" w:rsidP="00093BF9">
      <w:pPr>
        <w:tabs>
          <w:tab w:val="left" w:pos="426"/>
        </w:tabs>
        <w:spacing w:line="240" w:lineRule="auto"/>
        <w:contextualSpacing/>
        <w:jc w:val="both"/>
        <w:rPr>
          <w:rFonts w:ascii="Verdana" w:eastAsia="Verdana" w:hAnsi="Verdana" w:cs="Verdana"/>
          <w:color w:val="000000" w:themeColor="text1"/>
        </w:rPr>
      </w:pPr>
    </w:p>
    <w:p w14:paraId="23E75593" w14:textId="77777777" w:rsidR="00D40391" w:rsidRDefault="00D40391" w:rsidP="00093BF9">
      <w:pPr>
        <w:tabs>
          <w:tab w:val="left" w:pos="426"/>
        </w:tabs>
        <w:spacing w:line="240" w:lineRule="auto"/>
        <w:contextualSpacing/>
        <w:jc w:val="both"/>
        <w:rPr>
          <w:rFonts w:ascii="Verdana" w:eastAsia="Verdana" w:hAnsi="Verdana" w:cs="Verdana"/>
          <w:color w:val="000000" w:themeColor="text1"/>
        </w:rPr>
      </w:pPr>
    </w:p>
    <w:p w14:paraId="095F7824" w14:textId="77777777" w:rsidR="00D40391" w:rsidRDefault="00D40391" w:rsidP="00093BF9">
      <w:pPr>
        <w:tabs>
          <w:tab w:val="left" w:pos="426"/>
        </w:tabs>
        <w:spacing w:line="240" w:lineRule="auto"/>
        <w:contextualSpacing/>
        <w:jc w:val="both"/>
        <w:rPr>
          <w:rFonts w:ascii="Verdana" w:eastAsia="Verdana" w:hAnsi="Verdana" w:cs="Verdana"/>
          <w:color w:val="000000" w:themeColor="text1"/>
        </w:rPr>
      </w:pPr>
    </w:p>
    <w:p w14:paraId="7D87A3A3" w14:textId="77777777" w:rsidR="00D40391" w:rsidRPr="00D13475" w:rsidRDefault="00D40391" w:rsidP="00093BF9">
      <w:pPr>
        <w:tabs>
          <w:tab w:val="left" w:pos="426"/>
        </w:tabs>
        <w:spacing w:line="240" w:lineRule="auto"/>
        <w:contextualSpacing/>
        <w:jc w:val="both"/>
        <w:rPr>
          <w:rFonts w:ascii="Verdana" w:eastAsia="Verdana" w:hAnsi="Verdana" w:cs="Verdana"/>
          <w:color w:val="000000" w:themeColor="text1"/>
        </w:rPr>
      </w:pPr>
    </w:p>
    <w:p w14:paraId="58CB7670" w14:textId="77777777" w:rsidR="00F56178" w:rsidRDefault="00F56178" w:rsidP="00B42204">
      <w:pPr>
        <w:spacing w:after="0" w:line="240" w:lineRule="auto"/>
        <w:rPr>
          <w:rFonts w:ascii="Verdana" w:eastAsia="Geomanist Light" w:hAnsi="Verdana" w:cs="Arial"/>
        </w:rPr>
      </w:pPr>
    </w:p>
    <w:p w14:paraId="562FC5C9" w14:textId="77777777" w:rsidR="00F56178" w:rsidRDefault="00F56178" w:rsidP="00B42204">
      <w:pPr>
        <w:spacing w:after="0" w:line="240" w:lineRule="auto"/>
        <w:rPr>
          <w:rFonts w:ascii="Verdana" w:eastAsia="Geomanist Light" w:hAnsi="Verdana" w:cs="Arial"/>
        </w:rPr>
      </w:pPr>
    </w:p>
    <w:p w14:paraId="494F8345" w14:textId="77777777" w:rsidR="00F56178" w:rsidRDefault="00F56178" w:rsidP="00B42204">
      <w:pPr>
        <w:spacing w:after="0" w:line="240" w:lineRule="auto"/>
        <w:rPr>
          <w:rFonts w:ascii="Verdana" w:eastAsia="Geomanist Light" w:hAnsi="Verdana" w:cs="Arial"/>
        </w:rPr>
      </w:pPr>
    </w:p>
    <w:p w14:paraId="63E3D7D3" w14:textId="77777777" w:rsidR="00F56178" w:rsidRDefault="00F56178" w:rsidP="00B42204">
      <w:pPr>
        <w:spacing w:after="0" w:line="240" w:lineRule="auto"/>
        <w:rPr>
          <w:rFonts w:ascii="Verdana" w:eastAsia="Geomanist Light" w:hAnsi="Verdana" w:cs="Arial"/>
        </w:rPr>
      </w:pPr>
    </w:p>
    <w:p w14:paraId="246AAFC5" w14:textId="4FF56A68" w:rsidR="00F56178" w:rsidRDefault="00F56178" w:rsidP="00B42204">
      <w:pPr>
        <w:spacing w:after="0" w:line="240" w:lineRule="auto"/>
        <w:rPr>
          <w:rFonts w:ascii="Verdana" w:eastAsia="Geomanist Light" w:hAnsi="Verdana" w:cs="Arial"/>
        </w:rPr>
      </w:pPr>
    </w:p>
    <w:p w14:paraId="1BACD2DF" w14:textId="69E0EE7C" w:rsidR="00CB1DED" w:rsidRDefault="00D74FFC" w:rsidP="007C31D6">
      <w:pPr>
        <w:spacing w:after="0" w:line="240" w:lineRule="auto"/>
        <w:rPr>
          <w:rFonts w:ascii="Verdana" w:eastAsia="Calibri" w:hAnsi="Verdana" w:cs="Arial"/>
          <w:color w:val="000000" w:themeColor="text1"/>
          <w:lang w:eastAsia="es-ES_tradnl"/>
        </w:rPr>
      </w:pPr>
      <w:r w:rsidRPr="00D74FFC">
        <w:rPr>
          <w:rFonts w:ascii="Verdana" w:eastAsia="Calibri" w:hAnsi="Verdana" w:cs="Arial"/>
          <w:color w:val="000000" w:themeColor="text1"/>
          <w:lang w:eastAsia="es-ES_tradnl"/>
        </w:rPr>
        <w:t xml:space="preserve">Bogotá D.C., 31 de </w:t>
      </w:r>
      <w:r w:rsidR="00A96107">
        <w:rPr>
          <w:rFonts w:ascii="Verdana" w:eastAsia="Calibri" w:hAnsi="Verdana" w:cs="Arial"/>
          <w:color w:val="000000" w:themeColor="text1"/>
          <w:lang w:eastAsia="es-ES_tradnl"/>
        </w:rPr>
        <w:t>julio</w:t>
      </w:r>
      <w:r w:rsidRPr="00D74FFC">
        <w:rPr>
          <w:rFonts w:ascii="Verdana" w:eastAsia="Calibri" w:hAnsi="Verdana" w:cs="Arial"/>
          <w:color w:val="000000" w:themeColor="text1"/>
          <w:lang w:eastAsia="es-ES_tradnl"/>
        </w:rPr>
        <w:t xml:space="preserve"> de 2026</w:t>
      </w:r>
    </w:p>
    <w:p w14:paraId="2F62C647" w14:textId="3D0BC577" w:rsidR="00D74FFC" w:rsidRDefault="00D74FFC" w:rsidP="007C31D6">
      <w:pPr>
        <w:spacing w:after="0" w:line="240" w:lineRule="auto"/>
        <w:rPr>
          <w:rFonts w:ascii="Verdana" w:eastAsia="Calibri" w:hAnsi="Verdana" w:cs="Arial"/>
          <w:color w:val="000000" w:themeColor="text1"/>
          <w:lang w:eastAsia="es-ES_tradnl"/>
        </w:rPr>
      </w:pPr>
    </w:p>
    <w:p w14:paraId="48AF4644" w14:textId="1500081A" w:rsidR="00D74FFC" w:rsidRPr="00D13475" w:rsidRDefault="00A96107" w:rsidP="007C31D6">
      <w:pPr>
        <w:spacing w:after="0" w:line="240" w:lineRule="auto"/>
        <w:rPr>
          <w:rFonts w:ascii="Verdana" w:eastAsia="Calibri" w:hAnsi="Verdana" w:cs="Arial"/>
          <w:color w:val="000000" w:themeColor="text1"/>
          <w:lang w:eastAsia="es-ES_tradnl"/>
        </w:rPr>
      </w:pPr>
      <w:r w:rsidRPr="00D74FFC">
        <w:rPr>
          <w:rFonts w:ascii="Verdana" w:hAnsi="Verdana" w:cs="Verdana"/>
          <w:b/>
          <w:bCs/>
          <w:noProof/>
          <w:color w:val="000000"/>
        </w:rPr>
        <w:drawing>
          <wp:anchor distT="0" distB="0" distL="114300" distR="114300" simplePos="0" relativeHeight="251658240" behindDoc="1" locked="0" layoutInCell="1" allowOverlap="1" wp14:anchorId="744D7A51" wp14:editId="60EAC28A">
            <wp:simplePos x="0" y="0"/>
            <wp:positionH relativeFrom="margin">
              <wp:posOffset>2760345</wp:posOffset>
            </wp:positionH>
            <wp:positionV relativeFrom="paragraph">
              <wp:posOffset>8890</wp:posOffset>
            </wp:positionV>
            <wp:extent cx="2844800" cy="922020"/>
            <wp:effectExtent l="0" t="0" r="0" b="0"/>
            <wp:wrapSquare wrapText="bothSides"/>
            <wp:docPr id="83604963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49632" name="Imagen 1" descr="Texto&#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4800" cy="922020"/>
                    </a:xfrm>
                    <a:prstGeom prst="rect">
                      <a:avLst/>
                    </a:prstGeom>
                  </pic:spPr>
                </pic:pic>
              </a:graphicData>
            </a:graphic>
            <wp14:sizeRelH relativeFrom="page">
              <wp14:pctWidth>0</wp14:pctWidth>
            </wp14:sizeRelH>
            <wp14:sizeRelV relativeFrom="page">
              <wp14:pctHeight>0</wp14:pctHeight>
            </wp14:sizeRelV>
          </wp:anchor>
        </w:drawing>
      </w:r>
    </w:p>
    <w:p w14:paraId="45EF9A42" w14:textId="00C7459F" w:rsidR="007C31D6" w:rsidRPr="00D13475" w:rsidRDefault="007C31D6" w:rsidP="00E96ACE">
      <w:pPr>
        <w:spacing w:after="0" w:line="240" w:lineRule="auto"/>
        <w:rPr>
          <w:rFonts w:ascii="Verdana" w:eastAsia="Calibri" w:hAnsi="Verdana" w:cs="Arial"/>
          <w:color w:val="000000" w:themeColor="text1"/>
          <w:lang w:eastAsia="es-ES_tradnl"/>
        </w:rPr>
      </w:pPr>
      <w:r w:rsidRPr="00D13475">
        <w:rPr>
          <w:rFonts w:ascii="Verdana" w:eastAsia="Calibri" w:hAnsi="Verdana" w:cs="Arial"/>
          <w:color w:val="000000" w:themeColor="text1"/>
          <w:lang w:eastAsia="es-ES_tradnl"/>
        </w:rPr>
        <w:t>Señor</w:t>
      </w:r>
      <w:r w:rsidR="002C39A1">
        <w:rPr>
          <w:rFonts w:ascii="Verdana" w:eastAsia="Calibri" w:hAnsi="Verdana" w:cs="Arial"/>
          <w:color w:val="000000" w:themeColor="text1"/>
          <w:lang w:eastAsia="es-ES_tradnl"/>
        </w:rPr>
        <w:t xml:space="preserve"> </w:t>
      </w:r>
    </w:p>
    <w:p w14:paraId="4AAC5D40" w14:textId="31146C78" w:rsidR="00880CB3" w:rsidRDefault="00E96ACE" w:rsidP="00E96ACE">
      <w:pPr>
        <w:spacing w:after="0" w:line="240" w:lineRule="auto"/>
        <w:rPr>
          <w:rFonts w:ascii="Verdana" w:hAnsi="Verdana" w:cs="Verdana"/>
          <w:b/>
          <w:bCs/>
          <w:color w:val="000000"/>
        </w:rPr>
      </w:pPr>
      <w:r>
        <w:rPr>
          <w:rFonts w:ascii="Verdana" w:hAnsi="Verdana" w:cs="Verdana"/>
          <w:b/>
          <w:bCs/>
          <w:color w:val="000000"/>
        </w:rPr>
        <w:t xml:space="preserve">Cristian Poloche </w:t>
      </w:r>
    </w:p>
    <w:p w14:paraId="0E90F5B7" w14:textId="77777777" w:rsidR="00C5512D" w:rsidRDefault="00E96ACE" w:rsidP="00E96ACE">
      <w:pPr>
        <w:spacing w:line="240" w:lineRule="auto"/>
        <w:rPr>
          <w:rFonts w:ascii="Verdana" w:hAnsi="Verdana" w:cs="Verdana"/>
          <w:color w:val="000000"/>
        </w:rPr>
      </w:pPr>
      <w:hyperlink r:id="rId11" w:history="1">
        <w:r w:rsidRPr="00E81856">
          <w:rPr>
            <w:rStyle w:val="Hipervnculo"/>
            <w:rFonts w:ascii="Verdana" w:hAnsi="Verdana" w:cs="Verdana"/>
          </w:rPr>
          <w:t>cmpg20@yahoo.es</w:t>
        </w:r>
      </w:hyperlink>
    </w:p>
    <w:p w14:paraId="36B9961D" w14:textId="5ED09CAE" w:rsidR="00BD40B4" w:rsidRPr="00C5512D" w:rsidRDefault="00880CB3" w:rsidP="00C5512D">
      <w:pPr>
        <w:spacing w:line="240" w:lineRule="auto"/>
        <w:rPr>
          <w:rFonts w:ascii="Verdana" w:hAnsi="Verdana" w:cs="Verdana"/>
          <w:color w:val="000000"/>
        </w:rPr>
      </w:pPr>
      <w:r>
        <w:rPr>
          <w:rFonts w:ascii="Verdana" w:hAnsi="Verdana" w:cs="Verdana"/>
          <w:color w:val="000000"/>
        </w:rPr>
        <w:t>Bogotá, Cundinamarca</w:t>
      </w: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13475" w:rsidRPr="00D13475" w14:paraId="16601339" w14:textId="77777777" w:rsidTr="000E7260">
        <w:trPr>
          <w:trHeight w:val="190"/>
        </w:trPr>
        <w:tc>
          <w:tcPr>
            <w:tcW w:w="2689" w:type="dxa"/>
          </w:tcPr>
          <w:p w14:paraId="638CF024" w14:textId="77777777" w:rsidR="007C31D6" w:rsidRPr="00D13475" w:rsidRDefault="007C31D6" w:rsidP="000E7260">
            <w:pPr>
              <w:jc w:val="both"/>
              <w:rPr>
                <w:rFonts w:ascii="Verdana" w:eastAsia="Calibri" w:hAnsi="Verdana" w:cs="Arial"/>
                <w:b/>
                <w:bCs/>
                <w:color w:val="000000" w:themeColor="text1"/>
                <w:lang w:eastAsia="es-ES_tradnl"/>
              </w:rPr>
            </w:pPr>
          </w:p>
        </w:tc>
        <w:tc>
          <w:tcPr>
            <w:tcW w:w="6100" w:type="dxa"/>
          </w:tcPr>
          <w:p w14:paraId="30E57AAF" w14:textId="29361335" w:rsidR="007C31D6" w:rsidRPr="00D13475" w:rsidRDefault="007C31D6" w:rsidP="000E7260">
            <w:pPr>
              <w:jc w:val="both"/>
              <w:rPr>
                <w:rFonts w:ascii="Verdana" w:eastAsia="Calibri" w:hAnsi="Verdana" w:cs="Arial"/>
                <w:b/>
                <w:bCs/>
                <w:color w:val="000000" w:themeColor="text1"/>
                <w:lang w:eastAsia="es-ES"/>
              </w:rPr>
            </w:pPr>
            <w:r w:rsidRPr="00D13475">
              <w:rPr>
                <w:rFonts w:ascii="Verdana" w:eastAsia="Calibri" w:hAnsi="Verdana" w:cs="Arial"/>
                <w:b/>
                <w:bCs/>
                <w:color w:val="000000" w:themeColor="text1"/>
                <w:lang w:eastAsia="es-ES"/>
              </w:rPr>
              <w:t>Concepto C-</w:t>
            </w:r>
            <w:r w:rsidR="009D25AB">
              <w:rPr>
                <w:rFonts w:ascii="Verdana" w:eastAsia="Calibri" w:hAnsi="Verdana" w:cs="Arial"/>
                <w:b/>
                <w:bCs/>
                <w:color w:val="000000" w:themeColor="text1"/>
                <w:lang w:eastAsia="es-ES"/>
              </w:rPr>
              <w:t>9</w:t>
            </w:r>
            <w:r w:rsidR="00E96ACE">
              <w:rPr>
                <w:rFonts w:ascii="Verdana" w:eastAsia="Calibri" w:hAnsi="Verdana" w:cs="Arial"/>
                <w:b/>
                <w:bCs/>
                <w:color w:val="000000" w:themeColor="text1"/>
                <w:lang w:eastAsia="es-ES"/>
              </w:rPr>
              <w:t>93</w:t>
            </w:r>
            <w:r w:rsidRPr="00D13475">
              <w:rPr>
                <w:rFonts w:ascii="Verdana" w:eastAsia="Calibri" w:hAnsi="Verdana" w:cs="Arial"/>
                <w:b/>
                <w:bCs/>
                <w:color w:val="000000" w:themeColor="text1"/>
                <w:lang w:eastAsia="es-ES"/>
              </w:rPr>
              <w:t xml:space="preserve"> de 2026</w:t>
            </w:r>
          </w:p>
          <w:p w14:paraId="6EA04ABC" w14:textId="77777777" w:rsidR="007C31D6" w:rsidRPr="00D13475" w:rsidRDefault="007C31D6" w:rsidP="000E7260">
            <w:pPr>
              <w:jc w:val="both"/>
              <w:rPr>
                <w:rFonts w:ascii="Verdana" w:eastAsia="Calibri" w:hAnsi="Verdana" w:cs="Arial"/>
                <w:b/>
                <w:bCs/>
                <w:color w:val="000000" w:themeColor="text1"/>
                <w:lang w:eastAsia="es-ES"/>
              </w:rPr>
            </w:pPr>
          </w:p>
        </w:tc>
      </w:tr>
      <w:tr w:rsidR="00B42204" w:rsidRPr="00C5512D" w14:paraId="42C90597" w14:textId="77777777" w:rsidTr="000E7260">
        <w:trPr>
          <w:trHeight w:val="884"/>
        </w:trPr>
        <w:tc>
          <w:tcPr>
            <w:tcW w:w="2689" w:type="dxa"/>
          </w:tcPr>
          <w:p w14:paraId="7ECE2E2C" w14:textId="77777777" w:rsidR="00B42204" w:rsidRPr="00D13475" w:rsidRDefault="00B42204" w:rsidP="00B42204">
            <w:pPr>
              <w:jc w:val="both"/>
              <w:rPr>
                <w:rFonts w:ascii="Verdana" w:eastAsia="Calibri" w:hAnsi="Verdana" w:cs="Arial"/>
                <w:color w:val="000000" w:themeColor="text1"/>
                <w:lang w:eastAsia="es-ES_tradnl"/>
              </w:rPr>
            </w:pPr>
            <w:r w:rsidRPr="00D13475">
              <w:rPr>
                <w:rFonts w:ascii="Verdana" w:eastAsia="Calibri" w:hAnsi="Verdana" w:cs="Arial"/>
                <w:b/>
                <w:color w:val="000000" w:themeColor="text1"/>
                <w:lang w:eastAsia="es-ES_tradnl"/>
              </w:rPr>
              <w:t>Tema:</w:t>
            </w:r>
            <w:r w:rsidRPr="00D13475">
              <w:rPr>
                <w:rFonts w:ascii="Verdana" w:eastAsia="Calibri" w:hAnsi="Verdana" w:cs="Arial"/>
                <w:color w:val="000000" w:themeColor="text1"/>
                <w:lang w:eastAsia="es-ES_tradnl"/>
              </w:rPr>
              <w:t xml:space="preserve">                   </w:t>
            </w:r>
          </w:p>
        </w:tc>
        <w:tc>
          <w:tcPr>
            <w:tcW w:w="6100" w:type="dxa"/>
          </w:tcPr>
          <w:p w14:paraId="0B7C2F03" w14:textId="4B928CC3" w:rsidR="00C5512D" w:rsidRPr="00C5512D" w:rsidRDefault="00C5512D" w:rsidP="00C5512D">
            <w:pPr>
              <w:contextualSpacing/>
              <w:jc w:val="both"/>
              <w:rPr>
                <w:rFonts w:ascii="Verdana" w:eastAsia="Calibri" w:hAnsi="Verdana" w:cs="Arial"/>
                <w:lang w:eastAsia="es-ES"/>
              </w:rPr>
            </w:pPr>
            <w:r w:rsidRPr="00C5512D">
              <w:rPr>
                <w:rFonts w:ascii="Verdana" w:eastAsia="Calibri" w:hAnsi="Verdana" w:cs="Arial"/>
                <w:lang w:eastAsia="es-ES"/>
              </w:rPr>
              <w:t>DECRETO 0287 DE 2026 ‒ Sistema Integral de Preferencias ‒ Contratación pública inclusiva ‒ Personas con discapacidad/ DECRETO 0287 DE 2026 ‒ Antecedentes normativos ‒ Decreto 392 de 2018 ‒ Omisiones reglamentarias ‒ Sentencia de acción de cumplimiento/ DECRETO 0287 DE 2026 ‒ Sujetos del sistema ‒ Emprendimientos y empresas de personas con discapacidad ‒ Empleadores de personas con discapacidad ‒ Definición y diferenciación/ DECRETO 0287 DE 2026 ‒ Puntaje adicional del 2% ‒ No acumulabilidad ‒ Acreditación simultánea de condiciones ‒ Modalidades de selección aplicables/ DECRETO 0287 DE 2026 ‒ Puntaje adicional del 2% ‒ Vinculación de personas con discapacidad ‒ Planillas de seguridad social ‒ Período de tres meses ‒ Vinculaciones recientes</w:t>
            </w:r>
          </w:p>
          <w:p w14:paraId="713614CE" w14:textId="14C285E5" w:rsidR="009D25AB" w:rsidRPr="00C5512D" w:rsidRDefault="009D25AB" w:rsidP="00C5512D">
            <w:pPr>
              <w:widowControl w:val="0"/>
              <w:autoSpaceDE w:val="0"/>
              <w:autoSpaceDN w:val="0"/>
              <w:spacing w:line="276" w:lineRule="auto"/>
              <w:jc w:val="both"/>
              <w:rPr>
                <w:rFonts w:ascii="Verdana" w:eastAsia="Verdana" w:hAnsi="Verdana" w:cs="Verdana"/>
                <w:color w:val="000000" w:themeColor="text1"/>
                <w:sz w:val="20"/>
                <w:szCs w:val="20"/>
                <w:lang w:val="es-MX"/>
              </w:rPr>
            </w:pPr>
          </w:p>
        </w:tc>
      </w:tr>
      <w:tr w:rsidR="00B42204" w:rsidRPr="00D13475" w14:paraId="6D1E6EE3" w14:textId="77777777" w:rsidTr="000E7260">
        <w:tc>
          <w:tcPr>
            <w:tcW w:w="2689" w:type="dxa"/>
          </w:tcPr>
          <w:p w14:paraId="34E85B48" w14:textId="77777777" w:rsidR="00B42204" w:rsidRPr="00D13475" w:rsidRDefault="00B42204" w:rsidP="00B42204">
            <w:pPr>
              <w:jc w:val="both"/>
              <w:rPr>
                <w:rFonts w:ascii="Verdana" w:eastAsia="Calibri" w:hAnsi="Verdana" w:cs="Arial"/>
                <w:b/>
                <w:color w:val="000000" w:themeColor="text1"/>
                <w:lang w:eastAsia="es-ES_tradnl"/>
              </w:rPr>
            </w:pPr>
            <w:r w:rsidRPr="00D13475">
              <w:rPr>
                <w:rFonts w:ascii="Verdana" w:eastAsia="Calibri" w:hAnsi="Verdana" w:cs="Arial"/>
                <w:b/>
                <w:color w:val="000000" w:themeColor="text1"/>
                <w:lang w:eastAsia="es-ES_tradnl"/>
              </w:rPr>
              <w:t>Radicación:</w:t>
            </w:r>
            <w:r w:rsidRPr="00D13475">
              <w:rPr>
                <w:rFonts w:ascii="Verdana" w:eastAsia="Calibri" w:hAnsi="Verdana" w:cs="Arial"/>
                <w:color w:val="000000" w:themeColor="text1"/>
                <w:lang w:eastAsia="es-ES_tradnl"/>
              </w:rPr>
              <w:t xml:space="preserve">               </w:t>
            </w:r>
          </w:p>
        </w:tc>
        <w:tc>
          <w:tcPr>
            <w:tcW w:w="6100" w:type="dxa"/>
          </w:tcPr>
          <w:p w14:paraId="5102A26F" w14:textId="163CFFBC" w:rsidR="00B42204" w:rsidRPr="00D13475" w:rsidRDefault="00E96ACE" w:rsidP="00E96ACE">
            <w:pPr>
              <w:jc w:val="both"/>
              <w:rPr>
                <w:rFonts w:ascii="Verdana" w:eastAsia="Calibri" w:hAnsi="Verdana" w:cs="Arial"/>
                <w:color w:val="000000" w:themeColor="text1"/>
                <w:lang w:eastAsia="es-ES_tradnl"/>
              </w:rPr>
            </w:pPr>
            <w:r>
              <w:rPr>
                <w:rFonts w:ascii="Verdana" w:eastAsia="Calibri" w:hAnsi="Verdana" w:cs="Arial"/>
                <w:lang w:val="es-ES_tradnl" w:eastAsia="es-ES_tradnl"/>
              </w:rPr>
              <w:t xml:space="preserve">Respuesta a consulta con radicado </w:t>
            </w:r>
            <w:r w:rsidR="00A96107">
              <w:rPr>
                <w:rFonts w:ascii="Verdana" w:eastAsia="Calibri" w:hAnsi="Verdana" w:cs="Arial"/>
                <w:lang w:val="es-ES_tradnl" w:eastAsia="es-ES_tradnl"/>
              </w:rPr>
              <w:t>No</w:t>
            </w:r>
            <w:r w:rsidR="00A96107" w:rsidRPr="00EE62B6">
              <w:rPr>
                <w:rFonts w:ascii="Verdana" w:eastAsia="Calibri" w:hAnsi="Verdana" w:cs="Arial"/>
                <w:lang w:eastAsia="es-ES_tradnl"/>
              </w:rPr>
              <w:t xml:space="preserve"> </w:t>
            </w:r>
            <w:r w:rsidR="00A96107">
              <w:rPr>
                <w:rFonts w:ascii="Verdana" w:eastAsia="Calibri" w:hAnsi="Verdana" w:cs="Arial"/>
                <w:lang w:eastAsia="es-ES_tradnl"/>
              </w:rPr>
              <w:t>1</w:t>
            </w:r>
            <w:r w:rsidRPr="0001183A">
              <w:rPr>
                <w:rFonts w:ascii="Verdana" w:eastAsia="Calibri" w:hAnsi="Verdana" w:cs="Arial"/>
                <w:lang w:eastAsia="es-ES_tradnl"/>
              </w:rPr>
              <w:t>_2026_06_19_008259</w:t>
            </w:r>
          </w:p>
        </w:tc>
      </w:tr>
    </w:tbl>
    <w:p w14:paraId="4390F041" w14:textId="77777777" w:rsidR="007C31D6" w:rsidRPr="00D13475" w:rsidRDefault="007C31D6" w:rsidP="007C31D6">
      <w:pPr>
        <w:spacing w:after="0" w:line="240" w:lineRule="auto"/>
        <w:jc w:val="both"/>
        <w:rPr>
          <w:rFonts w:ascii="Verdana" w:eastAsia="Calibri" w:hAnsi="Verdana" w:cs="Arial"/>
          <w:color w:val="000000" w:themeColor="text1"/>
          <w:lang w:eastAsia="es-ES_tradnl"/>
        </w:rPr>
      </w:pPr>
    </w:p>
    <w:p w14:paraId="2A5DB5C5" w14:textId="04932BBA" w:rsidR="007C31D6" w:rsidRPr="00D13475" w:rsidRDefault="00F56178" w:rsidP="007C31D6">
      <w:pPr>
        <w:spacing w:after="0" w:line="276" w:lineRule="auto"/>
        <w:jc w:val="both"/>
        <w:rPr>
          <w:rFonts w:ascii="Verdana" w:eastAsia="Calibri" w:hAnsi="Verdana" w:cs="Arial"/>
          <w:color w:val="000000" w:themeColor="text1"/>
          <w:lang w:eastAsia="es-ES"/>
        </w:rPr>
      </w:pPr>
      <w:r w:rsidRPr="00F56178">
        <w:rPr>
          <w:rFonts w:ascii="Verdana" w:eastAsia="Calibri" w:hAnsi="Verdana" w:cs="Arial"/>
          <w:color w:val="000000" w:themeColor="text1"/>
          <w:lang w:eastAsia="es-ES"/>
        </w:rPr>
        <w:t xml:space="preserve">Respetado </w:t>
      </w:r>
      <w:r w:rsidR="00EE1E2C">
        <w:rPr>
          <w:rFonts w:ascii="Verdana" w:eastAsia="Calibri" w:hAnsi="Verdana" w:cs="Arial"/>
          <w:color w:val="000000" w:themeColor="text1"/>
          <w:lang w:eastAsia="es-ES"/>
        </w:rPr>
        <w:t xml:space="preserve">señor </w:t>
      </w:r>
      <w:r w:rsidR="00E96ACE">
        <w:rPr>
          <w:rFonts w:ascii="Verdana" w:eastAsia="Calibri" w:hAnsi="Verdana" w:cs="Arial"/>
          <w:color w:val="000000" w:themeColor="text1"/>
          <w:lang w:eastAsia="es-ES"/>
        </w:rPr>
        <w:t>Poloche</w:t>
      </w:r>
      <w:r w:rsidRPr="00F56178">
        <w:rPr>
          <w:rFonts w:ascii="Verdana" w:eastAsia="Calibri" w:hAnsi="Verdana" w:cs="Arial"/>
          <w:color w:val="000000" w:themeColor="text1"/>
          <w:lang w:eastAsia="es-ES"/>
        </w:rPr>
        <w:t>:</w:t>
      </w:r>
    </w:p>
    <w:p w14:paraId="68131D55" w14:textId="77777777" w:rsidR="007C31D6" w:rsidRPr="00D13475" w:rsidRDefault="007C31D6" w:rsidP="007C31D6">
      <w:pPr>
        <w:tabs>
          <w:tab w:val="left" w:pos="3768"/>
        </w:tabs>
        <w:spacing w:after="0" w:line="276" w:lineRule="auto"/>
        <w:jc w:val="both"/>
        <w:rPr>
          <w:rFonts w:ascii="Verdana" w:eastAsia="Calibri" w:hAnsi="Verdana" w:cs="Arial"/>
          <w:color w:val="000000" w:themeColor="text1"/>
          <w:lang w:eastAsia="es-ES"/>
        </w:rPr>
      </w:pPr>
    </w:p>
    <w:p w14:paraId="6ABFAF51" w14:textId="51402FA9" w:rsidR="0068231B" w:rsidRPr="00D13475" w:rsidRDefault="007C31D6" w:rsidP="007C31D6">
      <w:pPr>
        <w:spacing w:after="0" w:line="276" w:lineRule="auto"/>
        <w:jc w:val="both"/>
        <w:rPr>
          <w:rFonts w:ascii="Verdana" w:eastAsia="Calibri" w:hAnsi="Verdana" w:cs="Arial"/>
          <w:color w:val="000000" w:themeColor="text1"/>
          <w:lang w:eastAsia="es-ES"/>
        </w:rPr>
      </w:pPr>
      <w:r w:rsidRPr="00D13475">
        <w:rPr>
          <w:rFonts w:ascii="Verdana" w:eastAsia="Calibri" w:hAnsi="Verdana" w:cs="Arial"/>
          <w:color w:val="000000" w:themeColor="text1"/>
          <w:lang w:eastAsia="es-ES"/>
        </w:rPr>
        <w:t>En ejercicio de la competencia otorgada por los artículos 3, numeral 5º, y 11, numeral 8º, del Decreto Ley 4170 de 2011,</w:t>
      </w:r>
      <w:r w:rsidRPr="00D13475">
        <w:rPr>
          <w:rFonts w:ascii="Verdana" w:eastAsia="Arial MT" w:hAnsi="Verdana" w:cs="Arial MT"/>
          <w:color w:val="000000" w:themeColor="text1"/>
          <w:lang w:eastAsia="es-ES"/>
        </w:rPr>
        <w:t xml:space="preserve"> </w:t>
      </w:r>
      <w:r w:rsidRPr="00D13475">
        <w:rPr>
          <w:rFonts w:ascii="Verdana" w:hAnsi="Verdana" w:cs="Arial"/>
          <w:color w:val="000000" w:themeColor="text1"/>
        </w:rPr>
        <w:t xml:space="preserve">así como lo establecido en el artículo 4 de la Resolución 1707 de 2018 expedida por esta Entidad, </w:t>
      </w:r>
      <w:r w:rsidRPr="00D13475">
        <w:rPr>
          <w:rFonts w:ascii="Verdana" w:eastAsia="Calibri" w:hAnsi="Verdana" w:cs="Arial"/>
          <w:color w:val="000000" w:themeColor="text1"/>
          <w:lang w:eastAsia="es-ES"/>
        </w:rPr>
        <w:t xml:space="preserve">la Agencia Nacional de Contratación Pública – Colombia Compra Eficiente– responde su solicitud </w:t>
      </w:r>
      <w:r w:rsidR="00C3587D" w:rsidRPr="00D13475">
        <w:rPr>
          <w:rFonts w:ascii="Verdana" w:eastAsia="Calibri" w:hAnsi="Verdana" w:cs="Arial"/>
          <w:color w:val="000000" w:themeColor="text1"/>
          <w:lang w:eastAsia="es-ES"/>
        </w:rPr>
        <w:t xml:space="preserve">remitida </w:t>
      </w:r>
      <w:r w:rsidR="00051D01" w:rsidRPr="00D13475">
        <w:rPr>
          <w:rFonts w:ascii="Verdana" w:eastAsia="Calibri" w:hAnsi="Verdana" w:cs="Arial"/>
          <w:color w:val="000000" w:themeColor="text1"/>
          <w:lang w:eastAsia="es-ES"/>
        </w:rPr>
        <w:t xml:space="preserve">a esta Agencia el pasado </w:t>
      </w:r>
      <w:r w:rsidR="00EE1E2C">
        <w:rPr>
          <w:rFonts w:ascii="Verdana" w:eastAsia="Calibri" w:hAnsi="Verdana" w:cs="Arial"/>
          <w:color w:val="000000" w:themeColor="text1"/>
          <w:lang w:eastAsia="es-ES"/>
        </w:rPr>
        <w:t>1</w:t>
      </w:r>
      <w:r w:rsidR="00E96ACE">
        <w:rPr>
          <w:rFonts w:ascii="Verdana" w:eastAsia="Calibri" w:hAnsi="Verdana" w:cs="Arial"/>
          <w:color w:val="000000" w:themeColor="text1"/>
          <w:lang w:eastAsia="es-ES"/>
        </w:rPr>
        <w:t>9</w:t>
      </w:r>
      <w:r w:rsidR="00B42204">
        <w:rPr>
          <w:rFonts w:ascii="Verdana" w:eastAsia="Calibri" w:hAnsi="Verdana" w:cs="Arial"/>
          <w:color w:val="000000" w:themeColor="text1"/>
          <w:lang w:eastAsia="es-ES"/>
        </w:rPr>
        <w:t xml:space="preserve"> </w:t>
      </w:r>
      <w:r w:rsidRPr="00D13475">
        <w:rPr>
          <w:rFonts w:ascii="Verdana" w:eastAsia="Calibri" w:hAnsi="Verdana" w:cs="Arial"/>
          <w:color w:val="000000" w:themeColor="text1"/>
          <w:lang w:eastAsia="es-ES"/>
        </w:rPr>
        <w:t xml:space="preserve">de </w:t>
      </w:r>
      <w:r w:rsidR="002C39A1">
        <w:rPr>
          <w:rFonts w:ascii="Verdana" w:eastAsia="Calibri" w:hAnsi="Verdana" w:cs="Arial"/>
          <w:color w:val="000000" w:themeColor="text1"/>
          <w:lang w:eastAsia="es-ES"/>
        </w:rPr>
        <w:t>jun</w:t>
      </w:r>
      <w:r w:rsidR="00EE1E2C">
        <w:rPr>
          <w:rFonts w:ascii="Verdana" w:eastAsia="Calibri" w:hAnsi="Verdana" w:cs="Arial"/>
          <w:color w:val="000000" w:themeColor="text1"/>
          <w:lang w:eastAsia="es-ES"/>
        </w:rPr>
        <w:t>io</w:t>
      </w:r>
      <w:r w:rsidRPr="00D13475">
        <w:rPr>
          <w:rFonts w:ascii="Verdana" w:eastAsia="Calibri" w:hAnsi="Verdana" w:cs="Arial"/>
          <w:color w:val="000000" w:themeColor="text1"/>
          <w:lang w:eastAsia="es-ES"/>
        </w:rPr>
        <w:t xml:space="preserve"> de 2026, en la cual manifiesta lo siguiente: </w:t>
      </w:r>
    </w:p>
    <w:p w14:paraId="40F334F8" w14:textId="77777777" w:rsidR="00093BF9" w:rsidRPr="00D13475" w:rsidRDefault="00093BF9" w:rsidP="007C31D6">
      <w:pPr>
        <w:spacing w:after="0" w:line="276" w:lineRule="auto"/>
        <w:jc w:val="both"/>
        <w:rPr>
          <w:rFonts w:ascii="Verdana" w:eastAsia="Calibri" w:hAnsi="Verdana" w:cs="Arial"/>
          <w:color w:val="000000" w:themeColor="text1"/>
          <w:lang w:eastAsia="es-ES"/>
        </w:rPr>
      </w:pPr>
    </w:p>
    <w:p w14:paraId="17681449" w14:textId="20E82F26" w:rsidR="0068231B" w:rsidRPr="00D13475" w:rsidRDefault="00093BF9" w:rsidP="00E96ACE">
      <w:pPr>
        <w:spacing w:after="0" w:line="276" w:lineRule="auto"/>
        <w:ind w:left="709" w:right="616"/>
        <w:jc w:val="both"/>
        <w:rPr>
          <w:rFonts w:ascii="Verdana" w:eastAsia="Calibri" w:hAnsi="Verdana" w:cs="Arial"/>
          <w:color w:val="000000" w:themeColor="text1"/>
          <w:sz w:val="20"/>
          <w:szCs w:val="20"/>
          <w:lang w:eastAsia="es-ES"/>
        </w:rPr>
      </w:pPr>
      <w:r w:rsidRPr="00D13475">
        <w:rPr>
          <w:rFonts w:ascii="Verdana" w:eastAsia="Calibri" w:hAnsi="Verdana" w:cs="Arial"/>
          <w:color w:val="000000" w:themeColor="text1"/>
          <w:sz w:val="20"/>
          <w:szCs w:val="20"/>
          <w:lang w:eastAsia="es-ES"/>
        </w:rPr>
        <w:lastRenderedPageBreak/>
        <w:t>“</w:t>
      </w:r>
      <w:r w:rsidR="00E96ACE" w:rsidRPr="00E96ACE">
        <w:rPr>
          <w:rFonts w:ascii="Verdana" w:eastAsia="Calibri" w:hAnsi="Verdana" w:cs="Arial"/>
          <w:color w:val="000000" w:themeColor="text1"/>
          <w:sz w:val="20"/>
          <w:szCs w:val="20"/>
          <w:lang w:eastAsia="es-ES"/>
        </w:rPr>
        <w:t>agradezco puedan precisarme si para obtener el puntaje</w:t>
      </w:r>
      <w:r w:rsidR="00E96ACE">
        <w:rPr>
          <w:rFonts w:ascii="Verdana" w:eastAsia="Calibri" w:hAnsi="Verdana" w:cs="Arial"/>
          <w:color w:val="000000" w:themeColor="text1"/>
          <w:sz w:val="20"/>
          <w:szCs w:val="20"/>
          <w:lang w:eastAsia="es-ES"/>
        </w:rPr>
        <w:t xml:space="preserve"> </w:t>
      </w:r>
      <w:r w:rsidR="00E96ACE" w:rsidRPr="00E96ACE">
        <w:rPr>
          <w:rFonts w:ascii="Verdana" w:eastAsia="Calibri" w:hAnsi="Verdana" w:cs="Arial"/>
          <w:color w:val="000000" w:themeColor="text1"/>
          <w:sz w:val="20"/>
          <w:szCs w:val="20"/>
          <w:lang w:eastAsia="es-ES"/>
        </w:rPr>
        <w:t>por personal en condición de discapacidad, este personal debe estar</w:t>
      </w:r>
      <w:r w:rsidR="00E96ACE">
        <w:rPr>
          <w:rFonts w:ascii="Verdana" w:eastAsia="Calibri" w:hAnsi="Verdana" w:cs="Arial"/>
          <w:color w:val="000000" w:themeColor="text1"/>
          <w:sz w:val="20"/>
          <w:szCs w:val="20"/>
          <w:lang w:eastAsia="es-ES"/>
        </w:rPr>
        <w:t xml:space="preserve"> </w:t>
      </w:r>
      <w:r w:rsidR="00E96ACE" w:rsidRPr="00E96ACE">
        <w:rPr>
          <w:rFonts w:ascii="Verdana" w:eastAsia="Calibri" w:hAnsi="Verdana" w:cs="Arial"/>
          <w:color w:val="000000" w:themeColor="text1"/>
          <w:sz w:val="20"/>
          <w:szCs w:val="20"/>
          <w:lang w:eastAsia="es-ES"/>
        </w:rPr>
        <w:t>vinculado a la empresa desde hace más de un año, o con qué plazo</w:t>
      </w:r>
      <w:r w:rsidR="00E96ACE">
        <w:rPr>
          <w:rFonts w:ascii="Verdana" w:eastAsia="Calibri" w:hAnsi="Verdana" w:cs="Arial"/>
          <w:color w:val="000000" w:themeColor="text1"/>
          <w:sz w:val="20"/>
          <w:szCs w:val="20"/>
          <w:lang w:eastAsia="es-ES"/>
        </w:rPr>
        <w:t xml:space="preserve"> </w:t>
      </w:r>
      <w:r w:rsidR="00E96ACE" w:rsidRPr="00E96ACE">
        <w:rPr>
          <w:rFonts w:ascii="Verdana" w:eastAsia="Calibri" w:hAnsi="Verdana" w:cs="Arial"/>
          <w:color w:val="000000" w:themeColor="text1"/>
          <w:sz w:val="20"/>
          <w:szCs w:val="20"/>
          <w:lang w:eastAsia="es-ES"/>
        </w:rPr>
        <w:t>mínimo de vinculación a la empresa se puede acceder a este puntaje</w:t>
      </w:r>
      <w:r w:rsidR="00EE1E2C">
        <w:rPr>
          <w:rFonts w:ascii="Verdana" w:eastAsia="Calibri" w:hAnsi="Verdana" w:cs="Arial"/>
          <w:color w:val="000000" w:themeColor="text1"/>
          <w:sz w:val="20"/>
          <w:szCs w:val="20"/>
          <w:lang w:eastAsia="es-ES"/>
        </w:rPr>
        <w:t>.</w:t>
      </w:r>
      <w:r w:rsidR="0068231B" w:rsidRPr="00D13475">
        <w:rPr>
          <w:rFonts w:ascii="Verdana" w:eastAsia="Calibri" w:hAnsi="Verdana" w:cs="Arial"/>
          <w:color w:val="000000" w:themeColor="text1"/>
          <w:sz w:val="20"/>
          <w:szCs w:val="20"/>
          <w:lang w:eastAsia="es-ES"/>
        </w:rPr>
        <w:t>”</w:t>
      </w:r>
    </w:p>
    <w:p w14:paraId="02C50C52" w14:textId="77777777" w:rsidR="007C31D6" w:rsidRPr="00D13475" w:rsidRDefault="007C31D6" w:rsidP="007C31D6">
      <w:pPr>
        <w:spacing w:after="0" w:line="276" w:lineRule="auto"/>
        <w:ind w:right="709"/>
        <w:jc w:val="both"/>
        <w:rPr>
          <w:rFonts w:ascii="Verdana" w:eastAsia="Calibri" w:hAnsi="Verdana" w:cs="Arial"/>
          <w:color w:val="000000" w:themeColor="text1"/>
          <w:lang w:eastAsia="es-ES"/>
        </w:rPr>
      </w:pPr>
    </w:p>
    <w:p w14:paraId="5C765451" w14:textId="77777777" w:rsidR="007C31D6" w:rsidRPr="00D13475" w:rsidRDefault="007C31D6" w:rsidP="007C31D6">
      <w:pPr>
        <w:spacing w:after="120" w:line="276" w:lineRule="auto"/>
        <w:ind w:firstLine="709"/>
        <w:jc w:val="both"/>
        <w:rPr>
          <w:rFonts w:ascii="Verdana" w:eastAsia="Calibri" w:hAnsi="Verdana" w:cs="Arial"/>
          <w:color w:val="000000" w:themeColor="text1"/>
          <w:szCs w:val="24"/>
          <w:lang w:eastAsia="es-ES_tradnl"/>
        </w:rPr>
      </w:pPr>
      <w:r w:rsidRPr="00D13475">
        <w:rPr>
          <w:rFonts w:ascii="Verdana" w:eastAsia="Calibri" w:hAnsi="Verdana" w:cs="Arial"/>
          <w:color w:val="000000" w:themeColor="text1"/>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13475">
        <w:rPr>
          <w:rFonts w:ascii="Verdana" w:eastAsia="Calibri" w:hAnsi="Verdana" w:cs="Arial"/>
          <w:color w:val="000000" w:themeColor="text1"/>
          <w:szCs w:val="24"/>
          <w:lang w:eastAsia="es-ES_tradnl"/>
        </w:rPr>
        <w:tab/>
      </w:r>
    </w:p>
    <w:p w14:paraId="53C18D10" w14:textId="434D853D" w:rsidR="00CB1DED" w:rsidRPr="00D13475" w:rsidRDefault="007C31D6" w:rsidP="00CB1DED">
      <w:pPr>
        <w:spacing w:after="0" w:line="276" w:lineRule="auto"/>
        <w:ind w:firstLine="709"/>
        <w:jc w:val="both"/>
        <w:rPr>
          <w:rFonts w:ascii="Verdana" w:eastAsia="Calibri" w:hAnsi="Verdana" w:cs="Arial"/>
          <w:color w:val="000000" w:themeColor="text1"/>
          <w:lang w:eastAsia="es-ES"/>
        </w:rPr>
      </w:pPr>
      <w:r w:rsidRPr="00D13475">
        <w:rPr>
          <w:rFonts w:ascii="Verdana" w:eastAsia="Calibri" w:hAnsi="Verdana" w:cs="Arial"/>
          <w:color w:val="000000" w:themeColor="text1"/>
          <w:lang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058A10A1" w14:textId="77777777" w:rsidR="00CB1DED" w:rsidRPr="00D13475" w:rsidRDefault="00CB1DED" w:rsidP="00CB1DED">
      <w:pPr>
        <w:spacing w:after="0" w:line="276" w:lineRule="auto"/>
        <w:ind w:firstLine="709"/>
        <w:jc w:val="both"/>
        <w:rPr>
          <w:rFonts w:ascii="Verdana" w:eastAsia="Calibri" w:hAnsi="Verdana" w:cs="Arial"/>
          <w:color w:val="000000" w:themeColor="text1"/>
          <w:lang w:eastAsia="es-ES"/>
        </w:rPr>
      </w:pPr>
    </w:p>
    <w:p w14:paraId="73CC0334" w14:textId="5C86FFFA" w:rsidR="007C31D6" w:rsidRPr="00D13475" w:rsidRDefault="007C31D6" w:rsidP="00CB1DED">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lang w:val="es-CO"/>
        </w:rPr>
      </w:pPr>
      <w:r w:rsidRPr="00D13475">
        <w:rPr>
          <w:rFonts w:ascii="Verdana" w:eastAsia="Century Gothic" w:hAnsi="Verdana" w:cs="Century Gothic"/>
          <w:b/>
          <w:bCs/>
          <w:color w:val="000000" w:themeColor="text1"/>
          <w:lang w:val="es-CO"/>
        </w:rPr>
        <w:t>Problema planteado:</w:t>
      </w:r>
    </w:p>
    <w:p w14:paraId="63D4123A" w14:textId="77777777" w:rsidR="001B7673" w:rsidRPr="00D13475" w:rsidRDefault="001B7673" w:rsidP="00D13475">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p w14:paraId="1E2B530B" w14:textId="3BDA58CE" w:rsidR="00BD40B4" w:rsidRPr="00D13475" w:rsidRDefault="007C31D6" w:rsidP="00BD40B4">
      <w:pPr>
        <w:snapToGrid w:val="0"/>
        <w:spacing w:after="0" w:line="276" w:lineRule="auto"/>
        <w:jc w:val="both"/>
        <w:rPr>
          <w:rFonts w:ascii="Verdana" w:eastAsia="Century Gothic" w:hAnsi="Verdana" w:cs="Century Gothic"/>
          <w:color w:val="000000" w:themeColor="text1"/>
        </w:rPr>
      </w:pPr>
      <w:r w:rsidRPr="00D13475">
        <w:rPr>
          <w:rFonts w:ascii="Verdana" w:eastAsia="Century Gothic" w:hAnsi="Verdana" w:cs="Century Gothic"/>
          <w:color w:val="000000" w:themeColor="text1"/>
        </w:rPr>
        <w:t xml:space="preserve">De acuerdo con el contenido de su solicitud, esta Agencia resolverá el siguiente problema jurídico: </w:t>
      </w:r>
      <w:r w:rsidR="00E96ACE" w:rsidRPr="00E96ACE">
        <w:rPr>
          <w:rFonts w:ascii="Verdana" w:eastAsia="Century Gothic" w:hAnsi="Verdana" w:cs="Century Gothic"/>
          <w:color w:val="000000" w:themeColor="text1"/>
        </w:rPr>
        <w:t>¿Cuál es el tiempo mínimo de vinculación laboral que deben acreditar las personas con discapacidad en la planta de personal del proponente para que este pueda acceder al puntaje adicional previsto en el Decreto 287 de 2026?</w:t>
      </w:r>
    </w:p>
    <w:p w14:paraId="2B7FE07E" w14:textId="77777777" w:rsidR="00BD40B4" w:rsidRPr="00D13475" w:rsidRDefault="00BD40B4" w:rsidP="00BD40B4">
      <w:pPr>
        <w:snapToGrid w:val="0"/>
        <w:spacing w:after="0" w:line="276" w:lineRule="auto"/>
        <w:jc w:val="both"/>
        <w:rPr>
          <w:rFonts w:ascii="Verdana" w:eastAsia="Century Gothic" w:hAnsi="Verdana" w:cs="Century Gothic"/>
          <w:color w:val="000000" w:themeColor="text1"/>
        </w:rPr>
      </w:pPr>
    </w:p>
    <w:p w14:paraId="5F17CC91" w14:textId="7F1D8B8F" w:rsidR="007C31D6" w:rsidRPr="00D13475" w:rsidRDefault="007C31D6" w:rsidP="00BD40B4">
      <w:pPr>
        <w:snapToGrid w:val="0"/>
        <w:spacing w:after="0" w:line="276" w:lineRule="auto"/>
        <w:jc w:val="both"/>
        <w:rPr>
          <w:rFonts w:ascii="Verdana" w:eastAsia="Century Gothic" w:hAnsi="Verdana" w:cs="Century Gothic"/>
          <w:b/>
          <w:bCs/>
          <w:color w:val="000000" w:themeColor="text1"/>
        </w:rPr>
      </w:pPr>
      <w:r w:rsidRPr="00D13475">
        <w:rPr>
          <w:rFonts w:ascii="Verdana" w:eastAsia="Century Gothic" w:hAnsi="Verdana" w:cs="Century Gothic"/>
          <w:b/>
          <w:bCs/>
          <w:color w:val="000000" w:themeColor="text1"/>
        </w:rPr>
        <w:t>Respuesta:</w:t>
      </w:r>
    </w:p>
    <w:p w14:paraId="2F0FD1DC" w14:textId="77777777" w:rsidR="007C31D6" w:rsidRPr="00D13475" w:rsidRDefault="007C31D6" w:rsidP="007C31D6">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tbl>
      <w:tblPr>
        <w:tblStyle w:val="Tablaconcuadrcula"/>
        <w:tblW w:w="88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13475" w:rsidRPr="00D13475" w14:paraId="3CC15C7C" w14:textId="77777777" w:rsidTr="00D13475">
        <w:tc>
          <w:tcPr>
            <w:tcW w:w="8828" w:type="dxa"/>
          </w:tcPr>
          <w:p w14:paraId="4E91EED0" w14:textId="77777777" w:rsidR="00E96ACE" w:rsidRDefault="00E96ACE" w:rsidP="00E96ACE">
            <w:pPr>
              <w:spacing w:after="120" w:line="276" w:lineRule="auto"/>
              <w:jc w:val="both"/>
              <w:rPr>
                <w:rFonts w:ascii="Verdana" w:eastAsia="Calibri" w:hAnsi="Verdana" w:cs="Arial"/>
                <w:color w:val="000000"/>
              </w:rPr>
            </w:pPr>
            <w:r>
              <w:rPr>
                <w:rFonts w:ascii="Verdana" w:eastAsia="Calibri" w:hAnsi="Verdana" w:cs="Arial"/>
                <w:color w:val="000000"/>
              </w:rPr>
              <w:t xml:space="preserve">En atención al problema jurídico planteado, es necesario precisar que el Decreto 0287 de 2026 reglamentó los numerales 1, 7 y 8 del artículo 13 de la </w:t>
            </w:r>
            <w:r>
              <w:rPr>
                <w:rFonts w:ascii="Verdana" w:eastAsia="Calibri" w:hAnsi="Verdana" w:cs="Arial"/>
                <w:color w:val="000000"/>
              </w:rPr>
              <w:lastRenderedPageBreak/>
              <w:t xml:space="preserve">Ley Estatutaria 1618 de 2013 y estableció un Sistema Integral de Preferencias en favor de las personas con discapacidad (en adelante, </w:t>
            </w:r>
            <w:proofErr w:type="spellStart"/>
            <w:r>
              <w:rPr>
                <w:rFonts w:ascii="Verdana" w:eastAsia="Calibri" w:hAnsi="Verdana" w:cs="Arial"/>
                <w:color w:val="000000"/>
              </w:rPr>
              <w:t>PcD</w:t>
            </w:r>
            <w:proofErr w:type="spellEnd"/>
            <w:r>
              <w:rPr>
                <w:rFonts w:ascii="Verdana" w:eastAsia="Calibri" w:hAnsi="Verdana" w:cs="Arial"/>
                <w:color w:val="000000"/>
              </w:rPr>
              <w:t xml:space="preserve">), dentro del cual se encuentra el puntaje adicional del dos por ciento (2%) previsto en el artículo 2.2.1.2.4.2.7.4 del Decreto 1082 de 2015 (modificado). A ese puntaje se accede acreditando cualquiera de dos situaciones: (i) ser emprendimiento o empresa de </w:t>
            </w:r>
            <w:proofErr w:type="spellStart"/>
            <w:r>
              <w:rPr>
                <w:rFonts w:ascii="Verdana" w:eastAsia="Calibri" w:hAnsi="Verdana" w:cs="Arial"/>
                <w:color w:val="000000"/>
              </w:rPr>
              <w:t>PcD</w:t>
            </w:r>
            <w:proofErr w:type="spellEnd"/>
            <w:r>
              <w:rPr>
                <w:rFonts w:ascii="Verdana" w:eastAsia="Calibri" w:hAnsi="Verdana" w:cs="Arial"/>
                <w:color w:val="000000"/>
              </w:rPr>
              <w:t xml:space="preserve"> o (</w:t>
            </w:r>
            <w:proofErr w:type="spellStart"/>
            <w:r>
              <w:rPr>
                <w:rFonts w:ascii="Verdana" w:eastAsia="Calibri" w:hAnsi="Verdana" w:cs="Arial"/>
                <w:color w:val="000000"/>
              </w:rPr>
              <w:t>ii</w:t>
            </w:r>
            <w:proofErr w:type="spellEnd"/>
            <w:r>
              <w:rPr>
                <w:rFonts w:ascii="Verdana" w:eastAsia="Calibri" w:hAnsi="Verdana" w:cs="Arial"/>
                <w:color w:val="000000"/>
              </w:rPr>
              <w:t xml:space="preserve">) ser empleador de </w:t>
            </w:r>
            <w:proofErr w:type="spellStart"/>
            <w:r>
              <w:rPr>
                <w:rFonts w:ascii="Verdana" w:eastAsia="Calibri" w:hAnsi="Verdana" w:cs="Arial"/>
                <w:color w:val="000000"/>
              </w:rPr>
              <w:t>PcD</w:t>
            </w:r>
            <w:proofErr w:type="spellEnd"/>
            <w:r>
              <w:rPr>
                <w:rFonts w:ascii="Verdana" w:eastAsia="Calibri" w:hAnsi="Verdana" w:cs="Arial"/>
                <w:color w:val="000000"/>
              </w:rPr>
              <w:t xml:space="preserve">, esto es, tener </w:t>
            </w:r>
            <w:proofErr w:type="spellStart"/>
            <w:r>
              <w:rPr>
                <w:rFonts w:ascii="Verdana" w:eastAsia="Calibri" w:hAnsi="Verdana" w:cs="Arial"/>
                <w:color w:val="000000"/>
              </w:rPr>
              <w:t>PcD</w:t>
            </w:r>
            <w:proofErr w:type="spellEnd"/>
            <w:r>
              <w:rPr>
                <w:rFonts w:ascii="Verdana" w:eastAsia="Calibri" w:hAnsi="Verdana" w:cs="Arial"/>
                <w:color w:val="000000"/>
              </w:rPr>
              <w:t xml:space="preserve"> vinculadas en la planta de personal. La consulta se refiere a esta segunda situación.</w:t>
            </w:r>
          </w:p>
          <w:p w14:paraId="4F8391F4" w14:textId="47132D8A" w:rsidR="00E96ACE" w:rsidRDefault="00E96ACE" w:rsidP="00E96ACE">
            <w:pPr>
              <w:spacing w:after="120" w:line="276" w:lineRule="auto"/>
              <w:jc w:val="both"/>
              <w:rPr>
                <w:rFonts w:ascii="Verdana" w:eastAsia="Calibri" w:hAnsi="Verdana" w:cs="Arial"/>
                <w:color w:val="000000"/>
              </w:rPr>
            </w:pPr>
            <w:r>
              <w:rPr>
                <w:rFonts w:ascii="Verdana" w:eastAsia="Calibri" w:hAnsi="Verdana" w:cs="Arial"/>
                <w:color w:val="000000"/>
              </w:rPr>
              <w:t xml:space="preserve">      Para acceder al puntaje adicional en la condición de empleador de </w:t>
            </w:r>
            <w:proofErr w:type="spellStart"/>
            <w:r>
              <w:rPr>
                <w:rFonts w:ascii="Verdana" w:eastAsia="Calibri" w:hAnsi="Verdana" w:cs="Arial"/>
                <w:color w:val="000000"/>
              </w:rPr>
              <w:t>PcD</w:t>
            </w:r>
            <w:proofErr w:type="spellEnd"/>
            <w:r>
              <w:rPr>
                <w:rFonts w:ascii="Verdana" w:eastAsia="Calibri" w:hAnsi="Verdana" w:cs="Arial"/>
                <w:color w:val="000000"/>
              </w:rPr>
              <w:t xml:space="preserve">, la persona con discapacidad no debe estar vinculada a la empresa desde hace más de un (1) año. Conforme al artículo 2.2.1.2.4.2.7.4 del Decreto 1082 de 2015 y a la Circular Externa No. 003 de 2026 de esta Agencia, el plazo mínimo de vinculación exigido es de tres (3) meses anteriores al cierre del proceso de contratación. En consecuencia, la entidad contratante verificará que cada </w:t>
            </w:r>
            <w:proofErr w:type="spellStart"/>
            <w:r>
              <w:rPr>
                <w:rFonts w:ascii="Verdana" w:eastAsia="Calibri" w:hAnsi="Verdana" w:cs="Arial"/>
                <w:color w:val="000000"/>
              </w:rPr>
              <w:t>PcD</w:t>
            </w:r>
            <w:proofErr w:type="spellEnd"/>
            <w:r>
              <w:rPr>
                <w:rFonts w:ascii="Verdana" w:eastAsia="Calibri" w:hAnsi="Verdana" w:cs="Arial"/>
                <w:color w:val="000000"/>
              </w:rPr>
              <w:t xml:space="preserve"> incluida en el cómputo haya estado vinculada a la empresa, como mínimo, durante los tres (3) meses previos al cierre del proceso, lo cual se acredita mediante el </w:t>
            </w:r>
            <w:proofErr w:type="gramStart"/>
            <w:r>
              <w:rPr>
                <w:rFonts w:ascii="Verdana" w:eastAsia="Calibri" w:hAnsi="Verdana" w:cs="Arial"/>
                <w:color w:val="000000"/>
              </w:rPr>
              <w:t>contrato laboral o la certificación laboral</w:t>
            </w:r>
            <w:proofErr w:type="gramEnd"/>
            <w:r>
              <w:rPr>
                <w:rFonts w:ascii="Verdana" w:eastAsia="Calibri" w:hAnsi="Verdana" w:cs="Arial"/>
                <w:color w:val="000000"/>
              </w:rPr>
              <w:t xml:space="preserve"> correspondiente y los certificados de aportes a seguridad social de esos tres (3) meses, junto con los demás documentos exigidos por el decreto.</w:t>
            </w:r>
          </w:p>
          <w:p w14:paraId="0583292B" w14:textId="5C27A40F" w:rsidR="00E96ACE" w:rsidRDefault="00E96ACE" w:rsidP="00E96ACE">
            <w:pPr>
              <w:spacing w:after="120" w:line="276" w:lineRule="auto"/>
              <w:jc w:val="both"/>
              <w:rPr>
                <w:rFonts w:ascii="Verdana" w:eastAsia="Calibri" w:hAnsi="Verdana" w:cs="Arial"/>
                <w:color w:val="000000"/>
              </w:rPr>
            </w:pPr>
            <w:r>
              <w:rPr>
                <w:rFonts w:ascii="Verdana" w:eastAsia="Calibri" w:hAnsi="Verdana" w:cs="Arial"/>
                <w:color w:val="000000"/>
              </w:rPr>
              <w:t xml:space="preserve">      La vinculación debe realizarse mediante contrato laboral regido por el Código Sustantivo del Trabajo, con dedicación exclusiva —entendida como la relación laboral con un único empleador—. Además, el número mínimo de </w:t>
            </w:r>
            <w:proofErr w:type="spellStart"/>
            <w:r>
              <w:rPr>
                <w:rFonts w:ascii="Verdana" w:eastAsia="Calibri" w:hAnsi="Verdana" w:cs="Arial"/>
                <w:color w:val="000000"/>
              </w:rPr>
              <w:t>PcD</w:t>
            </w:r>
            <w:proofErr w:type="spellEnd"/>
            <w:r>
              <w:rPr>
                <w:rFonts w:ascii="Verdana" w:eastAsia="Calibri" w:hAnsi="Verdana" w:cs="Arial"/>
                <w:color w:val="000000"/>
              </w:rPr>
              <w:t xml:space="preserve"> que debe tener vinculadas el proponente para acceder al puntaje se determina conforme a la tabla contenida en el artículo 2.2.1.2.4.2.7.4, la cual ya incorpora los mínimos exigidos por la Ley 2466 de 2025, de modo que el puntaje se otorga por superar dichos mínimos y no por su simple cumplimiento.</w:t>
            </w:r>
          </w:p>
          <w:p w14:paraId="13CEFCD6" w14:textId="5D12D575" w:rsidR="00E96ACE" w:rsidRDefault="00E96ACE" w:rsidP="00E96ACE">
            <w:pPr>
              <w:spacing w:after="120" w:line="276" w:lineRule="auto"/>
              <w:jc w:val="both"/>
              <w:rPr>
                <w:rFonts w:ascii="Verdana" w:eastAsia="Calibri" w:hAnsi="Verdana" w:cs="Arial"/>
                <w:color w:val="000000"/>
              </w:rPr>
            </w:pPr>
            <w:r>
              <w:rPr>
                <w:rFonts w:ascii="Verdana" w:eastAsia="Calibri" w:hAnsi="Verdana" w:cs="Arial"/>
                <w:color w:val="000000"/>
              </w:rPr>
              <w:t xml:space="preserve">        El plazo de un (1) año al que suele hacerse referencia no se predica de la condición de empleador de </w:t>
            </w:r>
            <w:proofErr w:type="spellStart"/>
            <w:r>
              <w:rPr>
                <w:rFonts w:ascii="Verdana" w:eastAsia="Calibri" w:hAnsi="Verdana" w:cs="Arial"/>
                <w:color w:val="000000"/>
              </w:rPr>
              <w:t>PcD</w:t>
            </w:r>
            <w:proofErr w:type="spellEnd"/>
            <w:r>
              <w:rPr>
                <w:rFonts w:ascii="Verdana" w:eastAsia="Calibri" w:hAnsi="Verdana" w:cs="Arial"/>
                <w:color w:val="000000"/>
              </w:rPr>
              <w:t xml:space="preserve">, sino de la acreditación de la condición de emprendimiento o empresa de </w:t>
            </w:r>
            <w:proofErr w:type="spellStart"/>
            <w:r>
              <w:rPr>
                <w:rFonts w:ascii="Verdana" w:eastAsia="Calibri" w:hAnsi="Verdana" w:cs="Arial"/>
                <w:color w:val="000000"/>
              </w:rPr>
              <w:t>PcD</w:t>
            </w:r>
            <w:proofErr w:type="spellEnd"/>
            <w:r>
              <w:rPr>
                <w:rFonts w:ascii="Verdana" w:eastAsia="Calibri" w:hAnsi="Verdana" w:cs="Arial"/>
                <w:color w:val="000000"/>
              </w:rPr>
              <w:t xml:space="preserve"> del artículo 2.2.1.2.4.2.6. En efecto, según la Circular Externa No. 003 de 2026, la exigencia de un (1) año anterior al cierre del proceso aplica a las condiciones de los numerales 2, 3 y 4 de ese artículo —la antigüedad del establecimiento de comercio de la persona natural con discapacidad, el tiempo durante el cual el cincuenta por ciento (50%) o más de la propiedad ha pertenecido a </w:t>
            </w:r>
            <w:proofErr w:type="spellStart"/>
            <w:r>
              <w:rPr>
                <w:rFonts w:ascii="Verdana" w:eastAsia="Calibri" w:hAnsi="Verdana" w:cs="Arial"/>
                <w:color w:val="000000"/>
              </w:rPr>
              <w:t>PcD</w:t>
            </w:r>
            <w:proofErr w:type="spellEnd"/>
            <w:r>
              <w:rPr>
                <w:rFonts w:ascii="Verdana" w:eastAsia="Calibri" w:hAnsi="Verdana" w:cs="Arial"/>
                <w:color w:val="000000"/>
              </w:rPr>
              <w:t xml:space="preserve"> en las personas jurídicas, y el </w:t>
            </w:r>
            <w:r>
              <w:rPr>
                <w:rFonts w:ascii="Verdana" w:eastAsia="Calibri" w:hAnsi="Verdana" w:cs="Arial"/>
                <w:color w:val="000000"/>
              </w:rPr>
              <w:lastRenderedPageBreak/>
              <w:t xml:space="preserve">tiempo de vinculación de la </w:t>
            </w:r>
            <w:proofErr w:type="spellStart"/>
            <w:r>
              <w:rPr>
                <w:rFonts w:ascii="Verdana" w:eastAsia="Calibri" w:hAnsi="Verdana" w:cs="Arial"/>
                <w:color w:val="000000"/>
              </w:rPr>
              <w:t>PcD</w:t>
            </w:r>
            <w:proofErr w:type="spellEnd"/>
            <w:r>
              <w:rPr>
                <w:rFonts w:ascii="Verdana" w:eastAsia="Calibri" w:hAnsi="Verdana" w:cs="Arial"/>
                <w:color w:val="000000"/>
              </w:rPr>
              <w:t xml:space="preserve"> en el cargo directivo—, situaciones distintas de la que aquí se analiza.</w:t>
            </w:r>
          </w:p>
          <w:p w14:paraId="6398E78C" w14:textId="1354ED3D" w:rsidR="00D13475" w:rsidRPr="00D13475" w:rsidRDefault="00E96ACE" w:rsidP="00E96ACE">
            <w:pPr>
              <w:spacing w:after="120" w:line="276" w:lineRule="auto"/>
              <w:ind w:firstLine="709"/>
              <w:jc w:val="both"/>
              <w:rPr>
                <w:rFonts w:ascii="Verdana" w:hAnsi="Verdana" w:cs="Arial"/>
                <w:color w:val="000000" w:themeColor="text1"/>
                <w:lang w:eastAsia="es-ES"/>
              </w:rPr>
            </w:pPr>
            <w:r>
              <w:rPr>
                <w:rFonts w:ascii="Verdana" w:eastAsia="Calibri" w:hAnsi="Verdana" w:cs="Arial"/>
                <w:color w:val="000000"/>
              </w:rPr>
              <w:t xml:space="preserve">Finalmente, debe tenerse en cuenta que, conforme al parágrafo 3 del artículo 2.2.1.2.4.2.7.4, el contratista deberá mantener durante la ejecución del contrato las condiciones con las que accedió al puntaje, esto es, la permanencia de las </w:t>
            </w:r>
            <w:proofErr w:type="spellStart"/>
            <w:r>
              <w:rPr>
                <w:rFonts w:ascii="Verdana" w:eastAsia="Calibri" w:hAnsi="Verdana" w:cs="Arial"/>
                <w:color w:val="000000"/>
              </w:rPr>
              <w:t>PcD</w:t>
            </w:r>
            <w:proofErr w:type="spellEnd"/>
            <w:r>
              <w:rPr>
                <w:rFonts w:ascii="Verdana" w:eastAsia="Calibri" w:hAnsi="Verdana" w:cs="Arial"/>
                <w:color w:val="000000"/>
              </w:rPr>
              <w:t xml:space="preserve"> en su planta de personal, salvo fuerza mayor o caso fortuito, so pena de incurrir en causal de incumplimiento. En síntesis, el plazo mínimo de vinculación para acceder al puntaje en la condición de empleador de </w:t>
            </w:r>
            <w:proofErr w:type="spellStart"/>
            <w:r>
              <w:rPr>
                <w:rFonts w:ascii="Verdana" w:eastAsia="Calibri" w:hAnsi="Verdana" w:cs="Arial"/>
                <w:color w:val="000000"/>
              </w:rPr>
              <w:t>PcD</w:t>
            </w:r>
            <w:proofErr w:type="spellEnd"/>
            <w:r>
              <w:rPr>
                <w:rFonts w:ascii="Verdana" w:eastAsia="Calibri" w:hAnsi="Verdana" w:cs="Arial"/>
                <w:color w:val="000000"/>
              </w:rPr>
              <w:t xml:space="preserve"> es de tres (3) meses anteriores al cierre del proceso, y no de un (1) año.</w:t>
            </w:r>
          </w:p>
        </w:tc>
      </w:tr>
    </w:tbl>
    <w:p w14:paraId="60F64467" w14:textId="77777777" w:rsidR="00D13475" w:rsidRPr="00D13475" w:rsidRDefault="00D13475" w:rsidP="007C31D6">
      <w:pPr>
        <w:tabs>
          <w:tab w:val="left" w:pos="142"/>
          <w:tab w:val="left" w:pos="284"/>
        </w:tabs>
        <w:spacing w:after="0" w:line="276" w:lineRule="auto"/>
        <w:jc w:val="both"/>
        <w:rPr>
          <w:rFonts w:ascii="Verdana" w:eastAsia="Century Gothic" w:hAnsi="Verdana" w:cs="Century Gothic"/>
          <w:b/>
          <w:bCs/>
          <w:color w:val="000000" w:themeColor="text1"/>
        </w:rPr>
      </w:pPr>
    </w:p>
    <w:p w14:paraId="37F8D028" w14:textId="77777777" w:rsidR="007C31D6" w:rsidRPr="00D13475" w:rsidRDefault="007C31D6" w:rsidP="007C31D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lang w:val="es-CO"/>
        </w:rPr>
      </w:pPr>
      <w:r w:rsidRPr="00D13475">
        <w:rPr>
          <w:rFonts w:ascii="Verdana" w:eastAsia="Century Gothic" w:hAnsi="Verdana" w:cs="Century Gothic"/>
          <w:b/>
          <w:bCs/>
          <w:color w:val="000000" w:themeColor="text1"/>
          <w:lang w:val="es-CO"/>
        </w:rPr>
        <w:t>Razones de la respuesta:</w:t>
      </w:r>
    </w:p>
    <w:p w14:paraId="5F565AE2" w14:textId="77777777" w:rsidR="007C31D6" w:rsidRPr="00D13475" w:rsidRDefault="007C31D6" w:rsidP="007C31D6">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p w14:paraId="28631893" w14:textId="77777777" w:rsidR="00093BF9" w:rsidRPr="00D13475" w:rsidRDefault="00093BF9" w:rsidP="00D13475">
      <w:pPr>
        <w:pStyle w:val="Textoindependiente"/>
        <w:spacing w:line="276" w:lineRule="auto"/>
        <w:jc w:val="both"/>
        <w:rPr>
          <w:color w:val="000000" w:themeColor="text1"/>
          <w:spacing w:val="-2"/>
          <w:lang w:val="es-CO"/>
        </w:rPr>
      </w:pPr>
      <w:r w:rsidRPr="00D13475">
        <w:rPr>
          <w:color w:val="000000" w:themeColor="text1"/>
          <w:lang w:val="es-CO"/>
        </w:rPr>
        <w:t>Lo</w:t>
      </w:r>
      <w:r w:rsidRPr="00D13475">
        <w:rPr>
          <w:color w:val="000000" w:themeColor="text1"/>
          <w:spacing w:val="-4"/>
          <w:lang w:val="es-CO"/>
        </w:rPr>
        <w:t xml:space="preserve"> </w:t>
      </w:r>
      <w:r w:rsidRPr="00D13475">
        <w:rPr>
          <w:color w:val="000000" w:themeColor="text1"/>
          <w:lang w:val="es-CO"/>
        </w:rPr>
        <w:t>anterior</w:t>
      </w:r>
      <w:r w:rsidRPr="00D13475">
        <w:rPr>
          <w:color w:val="000000" w:themeColor="text1"/>
          <w:spacing w:val="-8"/>
          <w:lang w:val="es-CO"/>
        </w:rPr>
        <w:t xml:space="preserve"> </w:t>
      </w:r>
      <w:r w:rsidRPr="00D13475">
        <w:rPr>
          <w:color w:val="000000" w:themeColor="text1"/>
          <w:lang w:val="es-CO"/>
        </w:rPr>
        <w:t>se</w:t>
      </w:r>
      <w:r w:rsidRPr="00D13475">
        <w:rPr>
          <w:color w:val="000000" w:themeColor="text1"/>
          <w:spacing w:val="-5"/>
          <w:lang w:val="es-CO"/>
        </w:rPr>
        <w:t xml:space="preserve"> </w:t>
      </w:r>
      <w:r w:rsidRPr="00D13475">
        <w:rPr>
          <w:color w:val="000000" w:themeColor="text1"/>
          <w:lang w:val="es-CO"/>
        </w:rPr>
        <w:t>sustenta</w:t>
      </w:r>
      <w:r w:rsidRPr="00D13475">
        <w:rPr>
          <w:color w:val="000000" w:themeColor="text1"/>
          <w:spacing w:val="-8"/>
          <w:lang w:val="es-CO"/>
        </w:rPr>
        <w:t xml:space="preserve"> </w:t>
      </w:r>
      <w:r w:rsidRPr="00D13475">
        <w:rPr>
          <w:color w:val="000000" w:themeColor="text1"/>
          <w:lang w:val="es-CO"/>
        </w:rPr>
        <w:t>en</w:t>
      </w:r>
      <w:r w:rsidRPr="00D13475">
        <w:rPr>
          <w:color w:val="000000" w:themeColor="text1"/>
          <w:spacing w:val="-4"/>
          <w:lang w:val="es-CO"/>
        </w:rPr>
        <w:t xml:space="preserve"> </w:t>
      </w:r>
      <w:r w:rsidRPr="00D13475">
        <w:rPr>
          <w:color w:val="000000" w:themeColor="text1"/>
          <w:lang w:val="es-CO"/>
        </w:rPr>
        <w:t>las</w:t>
      </w:r>
      <w:r w:rsidRPr="00D13475">
        <w:rPr>
          <w:color w:val="000000" w:themeColor="text1"/>
          <w:spacing w:val="-5"/>
          <w:lang w:val="es-CO"/>
        </w:rPr>
        <w:t xml:space="preserve"> </w:t>
      </w:r>
      <w:r w:rsidRPr="00D13475">
        <w:rPr>
          <w:color w:val="000000" w:themeColor="text1"/>
          <w:lang w:val="es-CO"/>
        </w:rPr>
        <w:t>siguientes</w:t>
      </w:r>
      <w:r w:rsidRPr="00D13475">
        <w:rPr>
          <w:color w:val="000000" w:themeColor="text1"/>
          <w:spacing w:val="-4"/>
          <w:lang w:val="es-CO"/>
        </w:rPr>
        <w:t xml:space="preserve"> </w:t>
      </w:r>
      <w:r w:rsidRPr="00D13475">
        <w:rPr>
          <w:color w:val="000000" w:themeColor="text1"/>
          <w:spacing w:val="-2"/>
          <w:lang w:val="es-CO"/>
        </w:rPr>
        <w:t>consideraciones:</w:t>
      </w:r>
    </w:p>
    <w:p w14:paraId="7CB290B2" w14:textId="77777777" w:rsidR="00093BF9" w:rsidRPr="00D13475" w:rsidRDefault="00093BF9" w:rsidP="00093BF9">
      <w:pPr>
        <w:pStyle w:val="Textoindependiente"/>
        <w:spacing w:line="276" w:lineRule="auto"/>
        <w:ind w:left="260"/>
        <w:jc w:val="both"/>
        <w:rPr>
          <w:color w:val="000000" w:themeColor="text1"/>
          <w:spacing w:val="-2"/>
          <w:lang w:val="es-CO"/>
        </w:rPr>
      </w:pPr>
    </w:p>
    <w:p w14:paraId="05DDDDAF" w14:textId="77777777" w:rsidR="00E52938" w:rsidRPr="00206556" w:rsidRDefault="00E52938" w:rsidP="00E52938">
      <w:pPr>
        <w:spacing w:after="120" w:line="276" w:lineRule="auto"/>
        <w:jc w:val="both"/>
        <w:rPr>
          <w:rFonts w:ascii="Verdana" w:hAnsi="Verdana"/>
        </w:rPr>
      </w:pPr>
      <w:r w:rsidRPr="00206556">
        <w:rPr>
          <w:rFonts w:ascii="Verdana" w:eastAsia="Calibri" w:hAnsi="Verdana" w:cs="Arial"/>
          <w:lang w:val="es-ES"/>
        </w:rPr>
        <w:t xml:space="preserve">(i) </w:t>
      </w:r>
      <w:r w:rsidRPr="00206556">
        <w:rPr>
          <w:rFonts w:ascii="Verdana" w:eastAsia="Calibri" w:hAnsi="Verdana" w:cs="Arial"/>
        </w:rPr>
        <w:t xml:space="preserve">Para resolver el problema jurídico planteado, esta Agencia considera necesario partir de los antecedentes normativos que explican el origen, la finalidad y el alcance del Sistema Integral de Preferencias establecido por el Decreto 0287 de 2026, pues solo a partir de ese contexto es posible comprender las obligaciones concretas que dicho decreto impone a las entidades estatales y a los demás partícipes de la contratación pública. </w:t>
      </w:r>
      <w:r w:rsidRPr="00206556">
        <w:rPr>
          <w:rFonts w:ascii="Verdana" w:eastAsia="Times New Roman" w:hAnsi="Verdana" w:cs="Times New Roman"/>
        </w:rPr>
        <w:t xml:space="preserve">El fundamento del Sistema de Preferencias para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en la contratación pública es el principio de igualdad real y efectiva consagrado en el artículo 13 de la Constitución Política de 1991</w:t>
      </w:r>
      <w:r w:rsidRPr="00206556">
        <w:rPr>
          <w:rStyle w:val="Refdenotaalpie"/>
          <w:rFonts w:ascii="Verdana" w:eastAsia="Times New Roman" w:hAnsi="Verdana" w:cs="Times New Roman"/>
        </w:rPr>
        <w:footnoteReference w:id="1"/>
      </w:r>
      <w:r>
        <w:rPr>
          <w:rFonts w:ascii="Verdana" w:eastAsia="Times New Roman" w:hAnsi="Verdana" w:cs="Times New Roman"/>
        </w:rPr>
        <w:t>,</w:t>
      </w:r>
      <w:r w:rsidRPr="00206556">
        <w:rPr>
          <w:rFonts w:ascii="Verdana" w:eastAsia="Times New Roman" w:hAnsi="Verdana" w:cs="Times New Roman"/>
        </w:rPr>
        <w:t xml:space="preserve"> que impone al Estado el deber positivo de adoptar </w:t>
      </w:r>
      <w:r w:rsidRPr="00206556">
        <w:rPr>
          <w:rFonts w:ascii="Verdana" w:eastAsia="Times New Roman" w:hAnsi="Verdana" w:cs="Times New Roman"/>
          <w:i/>
          <w:iCs/>
        </w:rPr>
        <w:t>acciones afirmativas</w:t>
      </w:r>
      <w:r w:rsidRPr="00206556">
        <w:rPr>
          <w:rFonts w:ascii="Verdana" w:eastAsia="Times New Roman" w:hAnsi="Verdana" w:cs="Times New Roman"/>
        </w:rPr>
        <w:t xml:space="preserve"> en favor de grupos históricamente excluidos. La Corte Constitucional ha sostenido que tales medidas buscan contrarrestar los efectos de la discriminación y que el Estado puede establecer tratamientos diferenciales a favor de estos grupos en aras de lograr una igualdad real y efectiva. Los artículos 47 y 54 de la Carta Política refuerzan este mandato al ordenar políticas de integración social y ubicación laboral para las </w:t>
      </w:r>
      <w:proofErr w:type="spellStart"/>
      <w:r w:rsidRPr="00206556">
        <w:rPr>
          <w:rFonts w:ascii="Verdana" w:eastAsia="Times New Roman" w:hAnsi="Verdana" w:cs="Times New Roman"/>
        </w:rPr>
        <w:t>PcD</w:t>
      </w:r>
      <w:proofErr w:type="spellEnd"/>
      <w:r w:rsidRPr="00206556">
        <w:rPr>
          <w:rStyle w:val="Refdenotaalpie"/>
          <w:rFonts w:ascii="Verdana" w:eastAsia="Times New Roman" w:hAnsi="Verdana" w:cs="Times New Roman"/>
        </w:rPr>
        <w:footnoteReference w:id="2"/>
      </w:r>
      <w:r>
        <w:rPr>
          <w:rFonts w:ascii="Verdana" w:eastAsia="Times New Roman" w:hAnsi="Verdana" w:cs="Times New Roman"/>
        </w:rPr>
        <w:t>.</w:t>
      </w:r>
    </w:p>
    <w:p w14:paraId="2B8E3C58" w14:textId="77777777" w:rsidR="00E52938" w:rsidRPr="00206556" w:rsidRDefault="00E52938" w:rsidP="00E52938">
      <w:pPr>
        <w:spacing w:after="120" w:line="276" w:lineRule="auto"/>
        <w:ind w:firstLine="708"/>
        <w:jc w:val="both"/>
        <w:rPr>
          <w:rFonts w:ascii="Verdana" w:hAnsi="Verdana"/>
        </w:rPr>
      </w:pPr>
      <w:r w:rsidRPr="00206556">
        <w:rPr>
          <w:rFonts w:ascii="Verdana" w:eastAsia="Times New Roman" w:hAnsi="Verdana" w:cs="Times New Roman"/>
        </w:rPr>
        <w:lastRenderedPageBreak/>
        <w:t>En el plano internacional, Colombia es Estado Parte de instrumentos que conforman el Bloque de Constitucionalidad en virtud del artículo 93 superior. La Convención sobre los Derechos de las Personas con Discapacidad de la ONU</w:t>
      </w:r>
      <w:r w:rsidRPr="00206556">
        <w:rPr>
          <w:rStyle w:val="Refdenotaalpie"/>
          <w:rFonts w:ascii="Verdana" w:eastAsia="Times New Roman" w:hAnsi="Verdana" w:cs="Times New Roman"/>
        </w:rPr>
        <w:footnoteReference w:id="3"/>
      </w:r>
      <w:r w:rsidRPr="00206556">
        <w:rPr>
          <w:rFonts w:ascii="Verdana" w:eastAsia="Times New Roman" w:hAnsi="Verdana" w:cs="Times New Roman"/>
        </w:rPr>
        <w:t xml:space="preserve"> reconoce el derecho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a trabajar en igualdad de condiciones y exige programas de acción afirmativa. La Convención Interamericana para la Eliminación de todas las Formas de Discriminación</w:t>
      </w:r>
      <w:r w:rsidRPr="00206556">
        <w:rPr>
          <w:rStyle w:val="Refdenotaalpie"/>
          <w:rFonts w:ascii="Verdana" w:eastAsia="Times New Roman" w:hAnsi="Verdana" w:cs="Times New Roman"/>
        </w:rPr>
        <w:footnoteReference w:id="4"/>
      </w:r>
      <w:r w:rsidRPr="00206556">
        <w:rPr>
          <w:rFonts w:ascii="Verdana" w:eastAsia="Times New Roman" w:hAnsi="Verdana" w:cs="Times New Roman"/>
        </w:rPr>
        <w:t xml:space="preserve"> ordena eliminar progresivamente la discriminación en la prestación de servicios, incluido el empleo. El Convenio 159 de la OIT</w:t>
      </w:r>
      <w:r w:rsidRPr="00206556">
        <w:rPr>
          <w:rStyle w:val="Refdenotaalpie"/>
          <w:rFonts w:ascii="Verdana" w:eastAsia="Times New Roman" w:hAnsi="Verdana" w:cs="Times New Roman"/>
        </w:rPr>
        <w:footnoteReference w:id="5"/>
      </w:r>
      <w:r w:rsidRPr="00206556">
        <w:rPr>
          <w:rFonts w:ascii="Verdana" w:eastAsia="Times New Roman" w:hAnsi="Verdana" w:cs="Times New Roman"/>
        </w:rPr>
        <w:t xml:space="preserve"> exige medidas orientadas a garantizar la igualdad de oportunidades de todas las categorías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en materia de empleo.</w:t>
      </w:r>
    </w:p>
    <w:p w14:paraId="0AADD789" w14:textId="77777777" w:rsidR="00E52938" w:rsidRPr="00206556" w:rsidRDefault="00E52938" w:rsidP="00E52938">
      <w:pPr>
        <w:spacing w:after="120" w:line="276" w:lineRule="auto"/>
        <w:jc w:val="both"/>
        <w:rPr>
          <w:rFonts w:ascii="Verdana" w:hAnsi="Verdana"/>
        </w:rPr>
      </w:pPr>
      <w:r w:rsidRPr="00206556">
        <w:rPr>
          <w:rFonts w:ascii="Verdana" w:eastAsia="Times New Roman" w:hAnsi="Verdana" w:cs="Times New Roman"/>
          <w:b/>
          <w:bCs/>
        </w:rPr>
        <w:t xml:space="preserve">        </w:t>
      </w:r>
      <w:r w:rsidRPr="00206556">
        <w:rPr>
          <w:rFonts w:ascii="Verdana" w:eastAsia="Times New Roman" w:hAnsi="Verdana" w:cs="Times New Roman"/>
        </w:rPr>
        <w:t xml:space="preserve">La Ley 361 de 1997 estableció los primeros mecanismos de integración social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Su artículo 24 introdujo una preferencia en igualdad de condiciones en licitaciones y adjudicaciones de contratos para los empleadores que tuvieran al menos el 10% de su nómina compuesta por </w:t>
      </w:r>
      <w:proofErr w:type="spellStart"/>
      <w:r w:rsidRPr="00206556">
        <w:rPr>
          <w:rFonts w:ascii="Verdana" w:eastAsia="Times New Roman" w:hAnsi="Verdana" w:cs="Times New Roman"/>
        </w:rPr>
        <w:t>PcD</w:t>
      </w:r>
      <w:proofErr w:type="spellEnd"/>
      <w:r w:rsidRPr="00206556">
        <w:rPr>
          <w:rStyle w:val="Refdenotaalpie"/>
          <w:rFonts w:ascii="Verdana" w:eastAsia="Times New Roman" w:hAnsi="Verdana" w:cs="Times New Roman"/>
        </w:rPr>
        <w:footnoteReference w:id="6"/>
      </w:r>
      <w:r>
        <w:rPr>
          <w:rFonts w:ascii="Verdana" w:eastAsia="Times New Roman" w:hAnsi="Verdana" w:cs="Times New Roman"/>
        </w:rPr>
        <w:t>.</w:t>
      </w:r>
      <w:r w:rsidRPr="00206556">
        <w:rPr>
          <w:rFonts w:ascii="Verdana" w:eastAsia="Times New Roman" w:hAnsi="Verdana" w:cs="Times New Roman"/>
        </w:rPr>
        <w:t xml:space="preserve"> Esta norma vinculó por primera vez la contratación pública con la inclusión laboral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pero su alcance era limitado: una preferencia residual aplicable solo en caso de empate, que beneficiaba únicamente a los empleadores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sin considerar a las propias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como proponentes directos.</w:t>
      </w:r>
    </w:p>
    <w:p w14:paraId="4A3254E5" w14:textId="77777777" w:rsidR="00E52938" w:rsidRPr="00206556" w:rsidRDefault="00E52938" w:rsidP="00E52938">
      <w:pPr>
        <w:spacing w:after="120" w:line="276" w:lineRule="auto"/>
        <w:jc w:val="both"/>
        <w:rPr>
          <w:rFonts w:ascii="Verdana" w:hAnsi="Verdana"/>
        </w:rPr>
      </w:pPr>
      <w:r w:rsidRPr="00206556">
        <w:rPr>
          <w:rFonts w:ascii="Verdana" w:eastAsia="Times New Roman" w:hAnsi="Verdana" w:cs="Times New Roman"/>
          <w:b/>
          <w:bCs/>
        </w:rPr>
        <w:t xml:space="preserve">       </w:t>
      </w:r>
      <w:r w:rsidRPr="00206556">
        <w:rPr>
          <w:rFonts w:ascii="Verdana" w:eastAsia="Times New Roman" w:hAnsi="Verdana" w:cs="Times New Roman"/>
        </w:rPr>
        <w:t xml:space="preserve">La Ley Estatutaria 1618 de 2013 representó un salto cualitativo en el marco jurídico de protección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al definir a estas como </w:t>
      </w:r>
      <w:r w:rsidRPr="00206556">
        <w:rPr>
          <w:rFonts w:ascii="Verdana" w:eastAsia="Times New Roman" w:hAnsi="Verdana" w:cs="Times New Roman"/>
          <w:i/>
          <w:iCs/>
        </w:rPr>
        <w:t xml:space="preserve">"aquellas personas que tengan deficiencias físicas, mentales, intelectuales o sensoriales a mediano y largo plazo que, al interactuar con diversas barreras incluyendo las actitudinales, puedan impedir su participación plena y efectiva en la sociedad, en igualdad de </w:t>
      </w:r>
      <w:r w:rsidRPr="00206556">
        <w:rPr>
          <w:rFonts w:ascii="Verdana" w:eastAsia="Times New Roman" w:hAnsi="Verdana" w:cs="Times New Roman"/>
          <w:i/>
          <w:iCs/>
        </w:rPr>
        <w:lastRenderedPageBreak/>
        <w:t>condiciones con las demás"</w:t>
      </w:r>
      <w:r w:rsidRPr="00206556">
        <w:rPr>
          <w:rStyle w:val="Refdenotaalpie"/>
          <w:rFonts w:ascii="Verdana" w:eastAsia="Times New Roman" w:hAnsi="Verdana" w:cs="Times New Roman"/>
          <w:i/>
          <w:iCs/>
        </w:rPr>
        <w:footnoteReference w:id="7"/>
      </w:r>
      <w:r>
        <w:rPr>
          <w:rFonts w:ascii="Verdana" w:eastAsia="Times New Roman" w:hAnsi="Verdana" w:cs="Times New Roman"/>
          <w:i/>
          <w:iCs/>
        </w:rPr>
        <w:t>.</w:t>
      </w:r>
      <w:r w:rsidRPr="00206556">
        <w:rPr>
          <w:rFonts w:ascii="Verdana" w:eastAsia="Times New Roman" w:hAnsi="Verdana" w:cs="Times New Roman"/>
        </w:rPr>
        <w:t xml:space="preserve"> Su artículo 13, en los numerales 1, 7 y 8, ordenó al Gobierno Nacional reglamentar: una puntuación adicional en licitación pública, concurso de méritos y contratación directa para empresas que vinculen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y para empresas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un sistema de preferencias para empleadores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en la adjudicación; y un sistema de preferencias en favor de las propias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como contratistas</w:t>
      </w:r>
      <w:r w:rsidRPr="00206556">
        <w:rPr>
          <w:rStyle w:val="Refdenotaalpie"/>
          <w:rFonts w:ascii="Verdana" w:eastAsia="Times New Roman" w:hAnsi="Verdana" w:cs="Times New Roman"/>
        </w:rPr>
        <w:footnoteReference w:id="8"/>
      </w:r>
      <w:r>
        <w:rPr>
          <w:rFonts w:ascii="Verdana" w:eastAsia="Times New Roman" w:hAnsi="Verdana" w:cs="Times New Roman"/>
        </w:rPr>
        <w:t>.</w:t>
      </w:r>
      <w:r w:rsidRPr="00206556">
        <w:rPr>
          <w:rFonts w:ascii="Verdana" w:eastAsia="Times New Roman" w:hAnsi="Verdana" w:cs="Times New Roman"/>
        </w:rPr>
        <w:t xml:space="preserve"> Este último mandato fue especialmente significativo porque introdujo el concepto de </w:t>
      </w:r>
      <w:r w:rsidRPr="00206556">
        <w:rPr>
          <w:rFonts w:ascii="Verdana" w:eastAsia="Times New Roman" w:hAnsi="Verdana" w:cs="Times New Roman"/>
          <w:i/>
          <w:iCs/>
        </w:rPr>
        <w:t>"sistema de preferencias"</w:t>
      </w:r>
      <w:r w:rsidRPr="00206556">
        <w:rPr>
          <w:rFonts w:ascii="Verdana" w:eastAsia="Times New Roman" w:hAnsi="Verdana" w:cs="Times New Roman"/>
        </w:rPr>
        <w:t xml:space="preserve">, que por definición no puede reducirse a una sola </w:t>
      </w:r>
      <w:proofErr w:type="gramStart"/>
      <w:r w:rsidRPr="00206556">
        <w:rPr>
          <w:rFonts w:ascii="Verdana" w:eastAsia="Times New Roman" w:hAnsi="Verdana" w:cs="Times New Roman"/>
        </w:rPr>
        <w:t>medida</w:t>
      </w:r>
      <w:proofErr w:type="gramEnd"/>
      <w:r w:rsidRPr="00206556">
        <w:rPr>
          <w:rFonts w:ascii="Verdana" w:eastAsia="Times New Roman" w:hAnsi="Verdana" w:cs="Times New Roman"/>
        </w:rPr>
        <w:t xml:space="preserve"> sino que implica un conjunto estructurado de instrumentos que actúen en las distintas fases del proceso contractual.</w:t>
      </w:r>
    </w:p>
    <w:p w14:paraId="6B197F2E" w14:textId="620E5CDA" w:rsidR="00E52938" w:rsidRPr="00A420A9" w:rsidRDefault="00E52938" w:rsidP="00E52938">
      <w:pPr>
        <w:spacing w:after="120" w:line="276" w:lineRule="auto"/>
        <w:ind w:firstLine="709"/>
        <w:jc w:val="both"/>
        <w:rPr>
          <w:rFonts w:ascii="Verdana" w:hAnsi="Verdana"/>
        </w:rPr>
      </w:pPr>
      <w:r w:rsidRPr="00E727F0">
        <w:rPr>
          <w:rFonts w:ascii="Verdana" w:hAnsi="Verdana"/>
        </w:rPr>
        <w:t xml:space="preserve">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 solo contempló el 1% de puntaje para empleadores de </w:t>
      </w:r>
      <w:proofErr w:type="spellStart"/>
      <w:r w:rsidRPr="00E727F0">
        <w:rPr>
          <w:rFonts w:ascii="Verdana" w:hAnsi="Verdana"/>
        </w:rPr>
        <w:t>PcD</w:t>
      </w:r>
      <w:proofErr w:type="spellEnd"/>
      <w:r w:rsidRPr="00E727F0">
        <w:rPr>
          <w:rFonts w:ascii="Verdana" w:hAnsi="Verdana"/>
        </w:rPr>
        <w:t xml:space="preserve">, sin incluir a las empresas de </w:t>
      </w:r>
      <w:proofErr w:type="spellStart"/>
      <w:r w:rsidRPr="00E727F0">
        <w:rPr>
          <w:rFonts w:ascii="Verdana" w:hAnsi="Verdana"/>
        </w:rPr>
        <w:t>PcD</w:t>
      </w:r>
      <w:proofErr w:type="spellEnd"/>
      <w:r w:rsidRPr="00E727F0">
        <w:rPr>
          <w:rFonts w:ascii="Verdana" w:hAnsi="Verdana"/>
        </w:rPr>
        <w:t>; redujo el "sistema de preferencias" a un único criterio de desempate; y no previó medidas en planeación, criterios habilitantes diferenciales, condiciones especiales de ejecución ni abordó la contratación directa como escenario de inclusión.</w:t>
      </w:r>
      <w:r>
        <w:rPr>
          <w:rFonts w:ascii="Verdana" w:hAnsi="Verdana"/>
        </w:rPr>
        <w:t xml:space="preserve"> </w:t>
      </w:r>
      <w:r w:rsidRPr="00A420A9">
        <w:rPr>
          <w:rFonts w:ascii="Verdana" w:hAnsi="Verdana"/>
        </w:rPr>
        <w:t xml:space="preserve">En consecuencia, desde el punto de vista sustantivo, el Decreto 392 de 2018 reglamentó el numeral 1 de manera parcial y el numeral 7, dejando sin reglamentación material el numeral 8, que era precisamente el que ordenaba el sistema de preferencias en favor de las propias </w:t>
      </w:r>
      <w:proofErr w:type="spellStart"/>
      <w:r w:rsidRPr="00A420A9">
        <w:rPr>
          <w:rFonts w:ascii="Verdana" w:hAnsi="Verdana"/>
        </w:rPr>
        <w:t>PcD</w:t>
      </w:r>
      <w:proofErr w:type="spellEnd"/>
      <w:r w:rsidRPr="00A420A9">
        <w:rPr>
          <w:rFonts w:ascii="Verdana" w:hAnsi="Verdana"/>
        </w:rPr>
        <w:t xml:space="preserve"> como contratistas.</w:t>
      </w:r>
    </w:p>
    <w:p w14:paraId="734BC9EB" w14:textId="126C3F89" w:rsidR="00E52938" w:rsidRDefault="00E52938" w:rsidP="00E52938">
      <w:pPr>
        <w:spacing w:after="120" w:line="276" w:lineRule="auto"/>
        <w:ind w:firstLine="709"/>
        <w:jc w:val="both"/>
        <w:rPr>
          <w:rFonts w:ascii="Verdana" w:hAnsi="Verdana"/>
        </w:rPr>
      </w:pPr>
      <w:r w:rsidRPr="00A420A9">
        <w:rPr>
          <w:rFonts w:ascii="Verdana" w:hAnsi="Verdana"/>
        </w:rPr>
        <w:t xml:space="preserve">La insuficiencia del Decreto 392 de 2018 fue constatada judicialmente. La Sección Quinta del Consejo de Estado, mediante sentencia de acción de cumplimiento del 12 de diciembre de 2024, radicación </w:t>
      </w:r>
      <w:proofErr w:type="spellStart"/>
      <w:r w:rsidRPr="00A420A9">
        <w:rPr>
          <w:rFonts w:ascii="Verdana" w:hAnsi="Verdana"/>
        </w:rPr>
        <w:t>n.°</w:t>
      </w:r>
      <w:proofErr w:type="spellEnd"/>
      <w:r w:rsidRPr="00A420A9">
        <w:rPr>
          <w:rFonts w:ascii="Verdana" w:hAnsi="Verdana"/>
        </w:rPr>
        <w:t xml:space="preserve">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w:t>
      </w:r>
      <w:r w:rsidRPr="00A420A9">
        <w:rPr>
          <w:rFonts w:ascii="Verdana" w:hAnsi="Verdana"/>
        </w:rPr>
        <w:lastRenderedPageBreak/>
        <w:t>contaba con margen de discrecionalidad para decidir si reglamentaba o no el sistema de preferencias</w:t>
      </w:r>
      <w:r>
        <w:rPr>
          <w:rFonts w:ascii="Verdana" w:hAnsi="Verdana"/>
        </w:rPr>
        <w:t>.</w:t>
      </w:r>
    </w:p>
    <w:p w14:paraId="2C19017D" w14:textId="77777777" w:rsidR="00E52938" w:rsidRDefault="00E52938" w:rsidP="00E52938">
      <w:pPr>
        <w:spacing w:after="120" w:line="276" w:lineRule="auto"/>
        <w:ind w:firstLine="709"/>
        <w:jc w:val="both"/>
        <w:rPr>
          <w:rFonts w:ascii="Verdana" w:hAnsi="Verdana"/>
        </w:rPr>
      </w:pPr>
      <w:r w:rsidRPr="00E727F0">
        <w:rPr>
          <w:rFonts w:ascii="Verdana" w:hAnsi="Verdana"/>
        </w:rPr>
        <w:t>En cumplimiento de esa decisión fue expedido el Decreto 0287 de 2026, el cual, como se indicó en la respuesta, establece un Sistema Integral de Preferencias compuesto por cinco medidas afirmativas que actúan en todas las fases del proceso contractual</w:t>
      </w:r>
      <w:r>
        <w:rPr>
          <w:rFonts w:ascii="Verdana" w:hAnsi="Verdana"/>
        </w:rPr>
        <w:t xml:space="preserve">, </w:t>
      </w:r>
      <w:r w:rsidRPr="00E727F0">
        <w:rPr>
          <w:rFonts w:ascii="Verdana" w:hAnsi="Verdana"/>
        </w:rPr>
        <w:t>planeación, selección, adjudicación y ejecución</w:t>
      </w:r>
      <w:r>
        <w:rPr>
          <w:rFonts w:ascii="Verdana" w:hAnsi="Verdana"/>
        </w:rPr>
        <w:t xml:space="preserve">, </w:t>
      </w:r>
      <w:r w:rsidRPr="00E727F0">
        <w:rPr>
          <w:rFonts w:ascii="Verdana" w:hAnsi="Verdana"/>
        </w:rPr>
        <w:t xml:space="preserve">y que benefician a dos sujetos diferenciados: los emprendimientos y empresas de </w:t>
      </w:r>
      <w:proofErr w:type="spellStart"/>
      <w:r w:rsidRPr="00E727F0">
        <w:rPr>
          <w:rFonts w:ascii="Verdana" w:hAnsi="Verdana"/>
        </w:rPr>
        <w:t>PcD</w:t>
      </w:r>
      <w:proofErr w:type="spellEnd"/>
      <w:r w:rsidRPr="00E727F0">
        <w:rPr>
          <w:rFonts w:ascii="Verdana" w:hAnsi="Verdana"/>
        </w:rPr>
        <w:t xml:space="preserve"> y los empleadores de </w:t>
      </w:r>
      <w:proofErr w:type="spellStart"/>
      <w:r w:rsidRPr="00E727F0">
        <w:rPr>
          <w:rFonts w:ascii="Verdana" w:hAnsi="Verdana"/>
        </w:rPr>
        <w:t>PcD</w:t>
      </w:r>
      <w:proofErr w:type="spellEnd"/>
      <w:r w:rsidRPr="00E727F0">
        <w:rPr>
          <w:rFonts w:ascii="Verdana" w:hAnsi="Verdana"/>
        </w:rPr>
        <w:t xml:space="preserve">. A continuación, se desarrolla el alcance de cada aspecto del sistema planteado en los problemas jurídicos. </w:t>
      </w:r>
    </w:p>
    <w:p w14:paraId="565AF2D9" w14:textId="77777777" w:rsidR="00E52938" w:rsidRPr="00E727F0" w:rsidRDefault="00E52938" w:rsidP="00E52938">
      <w:pPr>
        <w:spacing w:after="120" w:line="276" w:lineRule="auto"/>
        <w:ind w:firstLine="708"/>
        <w:jc w:val="both"/>
        <w:rPr>
          <w:rFonts w:ascii="Verdana" w:hAnsi="Verdana"/>
        </w:rPr>
      </w:pPr>
      <w:r w:rsidRPr="00206556">
        <w:rPr>
          <w:rFonts w:ascii="Verdana" w:hAnsi="Verdana"/>
        </w:rPr>
        <w:t>(</w:t>
      </w:r>
      <w:proofErr w:type="spellStart"/>
      <w:r w:rsidRPr="00206556">
        <w:rPr>
          <w:rFonts w:ascii="Verdana" w:hAnsi="Verdana"/>
        </w:rPr>
        <w:t>ii</w:t>
      </w:r>
      <w:proofErr w:type="spellEnd"/>
      <w:r w:rsidRPr="00206556">
        <w:rPr>
          <w:rFonts w:ascii="Verdana" w:hAnsi="Verdana"/>
        </w:rPr>
        <w:t xml:space="preserve">) </w:t>
      </w:r>
      <w:r w:rsidRPr="00E727F0">
        <w:rPr>
          <w:rFonts w:ascii="Verdana" w:eastAsia="Times New Roman" w:hAnsi="Verdana" w:cs="Times New Roman"/>
        </w:rPr>
        <w:t xml:space="preserve">Uno de los incentivos centrales que el Decreto 0287 de 2026 establece en favor de los partícipes del sistema es el puntaje adicional del 2%, previsto en el artículo 2.2.1.2.4.2.7.4. del Decreto 1082 de 2015 (modificado). Este puntaje puede obtenerse acreditando cualquiera de las dos condiciones que la norma contempla: ser emprendimiento o empresa de </w:t>
      </w:r>
      <w:proofErr w:type="spellStart"/>
      <w:r w:rsidRPr="00E727F0">
        <w:rPr>
          <w:rFonts w:ascii="Verdana" w:eastAsia="Times New Roman" w:hAnsi="Verdana" w:cs="Times New Roman"/>
        </w:rPr>
        <w:t>PcD</w:t>
      </w:r>
      <w:proofErr w:type="spellEnd"/>
      <w:r w:rsidRPr="00E727F0">
        <w:rPr>
          <w:rFonts w:ascii="Verdana" w:eastAsia="Times New Roman" w:hAnsi="Verdana" w:cs="Times New Roman"/>
        </w:rPr>
        <w:t xml:space="preserve">, conforme a las categorías del artículo 2.2.1.2.4.2.6., o ser empleador de </w:t>
      </w:r>
      <w:proofErr w:type="spellStart"/>
      <w:r w:rsidRPr="00E727F0">
        <w:rPr>
          <w:rFonts w:ascii="Verdana" w:eastAsia="Times New Roman" w:hAnsi="Verdana" w:cs="Times New Roman"/>
        </w:rPr>
        <w:t>PcD</w:t>
      </w:r>
      <w:proofErr w:type="spellEnd"/>
      <w:r w:rsidRPr="00E727F0">
        <w:rPr>
          <w:rFonts w:ascii="Verdana" w:eastAsia="Times New Roman" w:hAnsi="Verdana" w:cs="Times New Roman"/>
        </w:rPr>
        <w:t xml:space="preserve"> que supere los mínimos de vinculación exigidos por la Ley 2466 de 2025 (Reforma Laboral). Sin embargo, el hecho de que ambas condiciones puedan acreditarse simultáneamente no significa que el puntaje sea acumulable. El mismo artículo es explícito al disponer que:</w:t>
      </w:r>
    </w:p>
    <w:p w14:paraId="7A2351E2" w14:textId="77777777" w:rsidR="00E52938" w:rsidRPr="00E727F0" w:rsidRDefault="00E52938" w:rsidP="00E52938">
      <w:pPr>
        <w:spacing w:before="100" w:after="180"/>
        <w:ind w:left="720" w:right="720"/>
        <w:jc w:val="both"/>
        <w:rPr>
          <w:rFonts w:ascii="Verdana" w:hAnsi="Verdana"/>
          <w:sz w:val="20"/>
          <w:szCs w:val="20"/>
        </w:rPr>
      </w:pPr>
      <w:r w:rsidRPr="00E727F0">
        <w:rPr>
          <w:rFonts w:ascii="Verdana" w:eastAsia="Times New Roman" w:hAnsi="Verdana" w:cs="Times New Roman"/>
          <w:i/>
          <w:iCs/>
          <w:sz w:val="20"/>
          <w:szCs w:val="20"/>
        </w:rPr>
        <w:t>"El proponente podrá acreditar alguna de las situaciones mencionadas, y en todo caso el puntaje adicional total y único a otorgar por este criterio será del dos por ciento (2%), sin que sean acumulables a efecto de la evaluación de la oferta."</w:t>
      </w:r>
    </w:p>
    <w:p w14:paraId="38095040" w14:textId="77777777" w:rsidR="00E52938" w:rsidRPr="00206556" w:rsidRDefault="00E52938" w:rsidP="00E52938">
      <w:pPr>
        <w:spacing w:after="120" w:line="276" w:lineRule="auto"/>
        <w:ind w:firstLine="709"/>
        <w:jc w:val="both"/>
        <w:rPr>
          <w:rFonts w:ascii="Verdana" w:hAnsi="Verdana"/>
        </w:rPr>
      </w:pPr>
      <w:r w:rsidRPr="00E727F0">
        <w:rPr>
          <w:rFonts w:ascii="Verdana" w:eastAsia="Times New Roman" w:hAnsi="Verdana" w:cs="Times New Roman"/>
        </w:rPr>
        <w:t xml:space="preserve">Esta decisión normativa responde a una razón de diseño del sistema: el 2% ya incorpora el estímulo suficiente para promover la inclusión de </w:t>
      </w:r>
      <w:proofErr w:type="spellStart"/>
      <w:r w:rsidRPr="00E727F0">
        <w:rPr>
          <w:rFonts w:ascii="Verdana" w:eastAsia="Times New Roman" w:hAnsi="Verdana" w:cs="Times New Roman"/>
        </w:rPr>
        <w:t>PcD</w:t>
      </w:r>
      <w:proofErr w:type="spellEnd"/>
      <w:r w:rsidRPr="00E727F0">
        <w:rPr>
          <w:rFonts w:ascii="Verdana" w:eastAsia="Times New Roman" w:hAnsi="Verdana" w:cs="Times New Roman"/>
        </w:rPr>
        <w:t>, y permitir su acumulación distorsionaría la evaluación de las ofertas en perjuicio de la pluralidad de oferentes y de la selección objetiva, que son principios rectores de la contratación estatal. Es importante distinguir entre la acreditación de condiciones y el puntaje resultante: el proponente puede acreditar varias condiciones al mismo tiempo, pero el puntaje que recibe siempre será el 2%, sin variación. En términos prácticos, en una licitación de 1.000 puntos el 2% equivale a 20 puntos adicionales, ventaja que puede ser determinante en escenarios de puntuaciones cercanas.</w:t>
      </w:r>
    </w:p>
    <w:p w14:paraId="5858788C" w14:textId="77777777" w:rsidR="00E52938" w:rsidRPr="00D22B7C" w:rsidRDefault="00E52938" w:rsidP="00E52938">
      <w:pPr>
        <w:spacing w:after="120" w:line="276" w:lineRule="auto"/>
        <w:ind w:firstLine="709"/>
        <w:jc w:val="both"/>
        <w:rPr>
          <w:rFonts w:ascii="Verdana" w:hAnsi="Verdana"/>
        </w:rPr>
      </w:pPr>
      <w:r w:rsidRPr="00206556">
        <w:rPr>
          <w:rFonts w:ascii="Verdana" w:eastAsia="Times New Roman" w:hAnsi="Verdana" w:cs="Times New Roman"/>
        </w:rPr>
        <w:t>(</w:t>
      </w:r>
      <w:proofErr w:type="spellStart"/>
      <w:r w:rsidRPr="00206556">
        <w:rPr>
          <w:rFonts w:ascii="Verdana" w:eastAsia="Times New Roman" w:hAnsi="Verdana" w:cs="Times New Roman"/>
        </w:rPr>
        <w:t>iii</w:t>
      </w:r>
      <w:proofErr w:type="spellEnd"/>
      <w:r w:rsidRPr="00206556">
        <w:rPr>
          <w:rFonts w:ascii="Verdana" w:eastAsia="Times New Roman" w:hAnsi="Verdana" w:cs="Times New Roman"/>
        </w:rPr>
        <w:t xml:space="preserve">) </w:t>
      </w:r>
      <w:r w:rsidRPr="00D22B7C">
        <w:rPr>
          <w:rFonts w:ascii="Verdana" w:eastAsia="Times New Roman" w:hAnsi="Verdana" w:cs="Times New Roman"/>
        </w:rPr>
        <w:t xml:space="preserve">En cuanto a la exigencia del número mínimo de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vinculadas y la acreditación mediante planillas de seguridad social</w:t>
      </w:r>
      <w:r>
        <w:rPr>
          <w:rFonts w:ascii="Verdana" w:eastAsia="Times New Roman" w:hAnsi="Verdana" w:cs="Times New Roman"/>
        </w:rPr>
        <w:t>, e</w:t>
      </w:r>
      <w:r w:rsidRPr="006E7113">
        <w:rPr>
          <w:rFonts w:ascii="Verdana" w:eastAsia="Times New Roman" w:hAnsi="Verdana" w:cs="Times New Roman"/>
        </w:rPr>
        <w:t xml:space="preserve">l artículo 2.2.1.2.4.2.7.4. </w:t>
      </w:r>
      <w:r w:rsidRPr="006E7113">
        <w:rPr>
          <w:rFonts w:ascii="Verdana" w:eastAsia="Times New Roman" w:hAnsi="Verdana" w:cs="Times New Roman"/>
        </w:rPr>
        <w:lastRenderedPageBreak/>
        <w:t>del Decreto 0287 de 2026 establece que para acceder al</w:t>
      </w:r>
      <w:r w:rsidRPr="00D22B7C">
        <w:rPr>
          <w:rFonts w:ascii="Verdana" w:eastAsia="Times New Roman" w:hAnsi="Verdana" w:cs="Times New Roman"/>
        </w:rPr>
        <w:t xml:space="preserve"> puntaje adicional en la condición de empleador de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el proponente debe acreditar dentro de su planta de personal la vinculación de personas con discapacidad mediante contrato laboral con dedicación exclusiva, superando los mínimos que exige la Ley 2466 de 2025 (Reforma Laboral). El número mínimo de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requerido varía según el tamaño de la planta de personal del proponente, conforme a la siguiente tabla:</w:t>
      </w:r>
    </w:p>
    <w:p w14:paraId="55156FC5" w14:textId="77777777" w:rsidR="00E52938" w:rsidRPr="00D22B7C" w:rsidRDefault="00E52938" w:rsidP="00E52938">
      <w:pPr>
        <w:spacing w:after="100"/>
        <w:rPr>
          <w:rFonts w:ascii="Verdana" w:hAnsi="Verdana"/>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67"/>
        <w:gridCol w:w="2828"/>
      </w:tblGrid>
      <w:tr w:rsidR="00E52938" w:rsidRPr="00D22B7C" w14:paraId="3F460B69" w14:textId="77777777" w:rsidTr="00DB3A08">
        <w:trPr>
          <w:jc w:val="center"/>
        </w:trPr>
        <w:tc>
          <w:tcPr>
            <w:tcW w:w="32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26DBB66" w14:textId="77777777" w:rsidR="00E52938" w:rsidRPr="00D22B7C" w:rsidRDefault="00E52938" w:rsidP="00DB3A08">
            <w:pPr>
              <w:jc w:val="center"/>
              <w:rPr>
                <w:rFonts w:ascii="Verdana" w:hAnsi="Verdana"/>
              </w:rPr>
            </w:pPr>
            <w:r w:rsidRPr="00D22B7C">
              <w:rPr>
                <w:rFonts w:ascii="Verdana" w:eastAsia="Times New Roman" w:hAnsi="Verdana" w:cs="Times New Roman"/>
                <w:b/>
                <w:bCs/>
              </w:rPr>
              <w:t>Número total de trabajadores de la planta de personal del proponente</w:t>
            </w:r>
          </w:p>
        </w:tc>
        <w:tc>
          <w:tcPr>
            <w:tcW w:w="282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6BB01EF" w14:textId="77777777" w:rsidR="00E52938" w:rsidRPr="00D22B7C" w:rsidRDefault="00E52938" w:rsidP="00DB3A08">
            <w:pPr>
              <w:jc w:val="center"/>
              <w:rPr>
                <w:rFonts w:ascii="Verdana" w:hAnsi="Verdana"/>
              </w:rPr>
            </w:pPr>
            <w:r w:rsidRPr="00D22B7C">
              <w:rPr>
                <w:rFonts w:ascii="Verdana" w:eastAsia="Times New Roman" w:hAnsi="Verdana" w:cs="Times New Roman"/>
                <w:b/>
                <w:bCs/>
              </w:rPr>
              <w:t>Número mínimo de trabajadores con discapacidad requerido</w:t>
            </w:r>
          </w:p>
        </w:tc>
      </w:tr>
      <w:tr w:rsidR="00E52938" w:rsidRPr="00D22B7C" w14:paraId="368DDC22" w14:textId="77777777" w:rsidTr="00DB3A08">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D308FF6" w14:textId="77777777" w:rsidR="00E52938" w:rsidRPr="00D22B7C" w:rsidRDefault="00E52938" w:rsidP="00DB3A08">
            <w:pPr>
              <w:jc w:val="center"/>
              <w:rPr>
                <w:rFonts w:ascii="Verdana" w:hAnsi="Verdana"/>
              </w:rPr>
            </w:pPr>
            <w:r w:rsidRPr="00D22B7C">
              <w:rPr>
                <w:rFonts w:ascii="Verdana" w:eastAsia="Times New Roman" w:hAnsi="Verdana" w:cs="Times New Roman"/>
              </w:rPr>
              <w:t>Entre 1 y 30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B0FC1E2" w14:textId="77777777" w:rsidR="00E52938" w:rsidRPr="00D22B7C" w:rsidRDefault="00E52938" w:rsidP="00DB3A08">
            <w:pPr>
              <w:jc w:val="center"/>
              <w:rPr>
                <w:rFonts w:ascii="Verdana" w:hAnsi="Verdana"/>
              </w:rPr>
            </w:pPr>
            <w:r w:rsidRPr="00D22B7C">
              <w:rPr>
                <w:rFonts w:ascii="Verdana" w:eastAsia="Times New Roman" w:hAnsi="Verdana" w:cs="Times New Roman"/>
              </w:rPr>
              <w:t>2</w:t>
            </w:r>
          </w:p>
        </w:tc>
      </w:tr>
      <w:tr w:rsidR="00E52938" w:rsidRPr="00D22B7C" w14:paraId="408FBFD9" w14:textId="77777777" w:rsidTr="00DB3A08">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B42E6CE" w14:textId="77777777" w:rsidR="00E52938" w:rsidRPr="00D22B7C" w:rsidRDefault="00E52938" w:rsidP="00DB3A08">
            <w:pPr>
              <w:jc w:val="center"/>
              <w:rPr>
                <w:rFonts w:ascii="Verdana" w:hAnsi="Verdana"/>
              </w:rPr>
            </w:pPr>
            <w:r w:rsidRPr="00D22B7C">
              <w:rPr>
                <w:rFonts w:ascii="Verdana" w:eastAsia="Times New Roman" w:hAnsi="Verdana" w:cs="Times New Roman"/>
              </w:rPr>
              <w:t>Entre 31 y 100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09D6099" w14:textId="77777777" w:rsidR="00E52938" w:rsidRPr="00D22B7C" w:rsidRDefault="00E52938" w:rsidP="00DB3A08">
            <w:pPr>
              <w:jc w:val="center"/>
              <w:rPr>
                <w:rFonts w:ascii="Verdana" w:hAnsi="Verdana"/>
              </w:rPr>
            </w:pPr>
            <w:r w:rsidRPr="00D22B7C">
              <w:rPr>
                <w:rFonts w:ascii="Verdana" w:eastAsia="Times New Roman" w:hAnsi="Verdana" w:cs="Times New Roman"/>
              </w:rPr>
              <w:t>3</w:t>
            </w:r>
          </w:p>
        </w:tc>
      </w:tr>
      <w:tr w:rsidR="00E52938" w:rsidRPr="00D22B7C" w14:paraId="14FA02D0" w14:textId="77777777" w:rsidTr="00DB3A08">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5BFC1BE" w14:textId="77777777" w:rsidR="00E52938" w:rsidRPr="00D22B7C" w:rsidRDefault="00E52938" w:rsidP="00DB3A08">
            <w:pPr>
              <w:jc w:val="center"/>
              <w:rPr>
                <w:rFonts w:ascii="Verdana" w:hAnsi="Verdana"/>
              </w:rPr>
            </w:pPr>
            <w:r w:rsidRPr="00D22B7C">
              <w:rPr>
                <w:rFonts w:ascii="Verdana" w:eastAsia="Times New Roman" w:hAnsi="Verdana" w:cs="Times New Roman"/>
              </w:rPr>
              <w:t>Entre 101 y 150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8789508" w14:textId="77777777" w:rsidR="00E52938" w:rsidRPr="00D22B7C" w:rsidRDefault="00E52938" w:rsidP="00DB3A08">
            <w:pPr>
              <w:jc w:val="center"/>
              <w:rPr>
                <w:rFonts w:ascii="Verdana" w:hAnsi="Verdana"/>
              </w:rPr>
            </w:pPr>
            <w:r w:rsidRPr="00D22B7C">
              <w:rPr>
                <w:rFonts w:ascii="Verdana" w:eastAsia="Times New Roman" w:hAnsi="Verdana" w:cs="Times New Roman"/>
              </w:rPr>
              <w:t>4</w:t>
            </w:r>
          </w:p>
        </w:tc>
      </w:tr>
      <w:tr w:rsidR="00E52938" w:rsidRPr="00D22B7C" w14:paraId="796AD424" w14:textId="77777777" w:rsidTr="00DB3A08">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64AB429" w14:textId="77777777" w:rsidR="00E52938" w:rsidRPr="00D22B7C" w:rsidRDefault="00E52938" w:rsidP="00DB3A08">
            <w:pPr>
              <w:jc w:val="center"/>
              <w:rPr>
                <w:rFonts w:ascii="Verdana" w:hAnsi="Verdana"/>
              </w:rPr>
            </w:pPr>
            <w:r w:rsidRPr="00D22B7C">
              <w:rPr>
                <w:rFonts w:ascii="Verdana" w:eastAsia="Times New Roman" w:hAnsi="Verdana" w:cs="Times New Roman"/>
              </w:rPr>
              <w:t>Entre 151 y 200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AEE777E" w14:textId="77777777" w:rsidR="00E52938" w:rsidRPr="00D22B7C" w:rsidRDefault="00E52938" w:rsidP="00DB3A08">
            <w:pPr>
              <w:jc w:val="center"/>
              <w:rPr>
                <w:rFonts w:ascii="Verdana" w:hAnsi="Verdana"/>
              </w:rPr>
            </w:pPr>
            <w:r w:rsidRPr="00D22B7C">
              <w:rPr>
                <w:rFonts w:ascii="Verdana" w:eastAsia="Times New Roman" w:hAnsi="Verdana" w:cs="Times New Roman"/>
              </w:rPr>
              <w:t>5</w:t>
            </w:r>
          </w:p>
        </w:tc>
      </w:tr>
      <w:tr w:rsidR="00E52938" w:rsidRPr="00D22B7C" w14:paraId="783B5722" w14:textId="77777777" w:rsidTr="00DB3A08">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2597233" w14:textId="77777777" w:rsidR="00E52938" w:rsidRPr="00D22B7C" w:rsidRDefault="00E52938" w:rsidP="00DB3A08">
            <w:pPr>
              <w:jc w:val="center"/>
              <w:rPr>
                <w:rFonts w:ascii="Verdana" w:hAnsi="Verdana"/>
              </w:rPr>
            </w:pPr>
            <w:r w:rsidRPr="00D22B7C">
              <w:rPr>
                <w:rFonts w:ascii="Verdana" w:eastAsia="Times New Roman" w:hAnsi="Verdana" w:cs="Times New Roman"/>
              </w:rPr>
              <w:t>Entre 201 y 300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C7ED197" w14:textId="77777777" w:rsidR="00E52938" w:rsidRPr="00D22B7C" w:rsidRDefault="00E52938" w:rsidP="00DB3A08">
            <w:pPr>
              <w:jc w:val="center"/>
              <w:rPr>
                <w:rFonts w:ascii="Verdana" w:hAnsi="Verdana"/>
              </w:rPr>
            </w:pPr>
            <w:r w:rsidRPr="00D22B7C">
              <w:rPr>
                <w:rFonts w:ascii="Verdana" w:eastAsia="Times New Roman" w:hAnsi="Verdana" w:cs="Times New Roman"/>
              </w:rPr>
              <w:t>7</w:t>
            </w:r>
          </w:p>
        </w:tc>
      </w:tr>
      <w:tr w:rsidR="00E52938" w:rsidRPr="00D22B7C" w14:paraId="0F30F524" w14:textId="77777777" w:rsidTr="00DB3A08">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78AA5EB" w14:textId="77777777" w:rsidR="00E52938" w:rsidRPr="00D22B7C" w:rsidRDefault="00E52938" w:rsidP="00DB3A08">
            <w:pPr>
              <w:jc w:val="center"/>
              <w:rPr>
                <w:rFonts w:ascii="Verdana" w:hAnsi="Verdana"/>
              </w:rPr>
            </w:pPr>
            <w:r w:rsidRPr="00D22B7C">
              <w:rPr>
                <w:rFonts w:ascii="Verdana" w:eastAsia="Times New Roman" w:hAnsi="Verdana" w:cs="Times New Roman"/>
              </w:rPr>
              <w:t>Entre 301 y 400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D0BF7DF" w14:textId="77777777" w:rsidR="00E52938" w:rsidRPr="00D22B7C" w:rsidRDefault="00E52938" w:rsidP="00DB3A08">
            <w:pPr>
              <w:jc w:val="center"/>
              <w:rPr>
                <w:rFonts w:ascii="Verdana" w:hAnsi="Verdana"/>
              </w:rPr>
            </w:pPr>
            <w:r w:rsidRPr="00D22B7C">
              <w:rPr>
                <w:rFonts w:ascii="Verdana" w:eastAsia="Times New Roman" w:hAnsi="Verdana" w:cs="Times New Roman"/>
              </w:rPr>
              <w:t>10</w:t>
            </w:r>
          </w:p>
        </w:tc>
      </w:tr>
      <w:tr w:rsidR="00E52938" w:rsidRPr="00D22B7C" w14:paraId="2B11BDDD" w14:textId="77777777" w:rsidTr="00DB3A08">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439125C" w14:textId="77777777" w:rsidR="00E52938" w:rsidRPr="00D22B7C" w:rsidRDefault="00E52938" w:rsidP="00DB3A08">
            <w:pPr>
              <w:jc w:val="center"/>
              <w:rPr>
                <w:rFonts w:ascii="Verdana" w:hAnsi="Verdana"/>
              </w:rPr>
            </w:pPr>
            <w:r w:rsidRPr="00D22B7C">
              <w:rPr>
                <w:rFonts w:ascii="Verdana" w:eastAsia="Times New Roman" w:hAnsi="Verdana" w:cs="Times New Roman"/>
              </w:rPr>
              <w:t>Entre 401 y 500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C823AAB" w14:textId="77777777" w:rsidR="00E52938" w:rsidRPr="00D22B7C" w:rsidRDefault="00E52938" w:rsidP="00DB3A08">
            <w:pPr>
              <w:jc w:val="center"/>
              <w:rPr>
                <w:rFonts w:ascii="Verdana" w:hAnsi="Verdana"/>
              </w:rPr>
            </w:pPr>
            <w:r w:rsidRPr="00D22B7C">
              <w:rPr>
                <w:rFonts w:ascii="Verdana" w:eastAsia="Times New Roman" w:hAnsi="Verdana" w:cs="Times New Roman"/>
              </w:rPr>
              <w:t>12</w:t>
            </w:r>
          </w:p>
        </w:tc>
      </w:tr>
      <w:tr w:rsidR="00E52938" w:rsidRPr="00D22B7C" w14:paraId="496E3856" w14:textId="77777777" w:rsidTr="00DB3A08">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2AD97FB" w14:textId="77777777" w:rsidR="00E52938" w:rsidRPr="00D22B7C" w:rsidRDefault="00E52938" w:rsidP="00DB3A08">
            <w:pPr>
              <w:jc w:val="center"/>
              <w:rPr>
                <w:rFonts w:ascii="Verdana" w:hAnsi="Verdana"/>
              </w:rPr>
            </w:pPr>
            <w:r w:rsidRPr="00D22B7C">
              <w:rPr>
                <w:rFonts w:ascii="Verdana" w:eastAsia="Times New Roman" w:hAnsi="Verdana" w:cs="Times New Roman"/>
              </w:rPr>
              <w:t>Entre 501 y 600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8AC6A13" w14:textId="77777777" w:rsidR="00E52938" w:rsidRPr="00D22B7C" w:rsidRDefault="00E52938" w:rsidP="00DB3A08">
            <w:pPr>
              <w:jc w:val="center"/>
              <w:rPr>
                <w:rFonts w:ascii="Verdana" w:hAnsi="Verdana"/>
              </w:rPr>
            </w:pPr>
            <w:r w:rsidRPr="00D22B7C">
              <w:rPr>
                <w:rFonts w:ascii="Verdana" w:eastAsia="Times New Roman" w:hAnsi="Verdana" w:cs="Times New Roman"/>
              </w:rPr>
              <w:t>14</w:t>
            </w:r>
          </w:p>
        </w:tc>
      </w:tr>
      <w:tr w:rsidR="00E52938" w:rsidRPr="00D22B7C" w14:paraId="5D71BD0B" w14:textId="77777777" w:rsidTr="00DB3A08">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474287D" w14:textId="77777777" w:rsidR="00E52938" w:rsidRPr="00D22B7C" w:rsidRDefault="00E52938" w:rsidP="00DB3A08">
            <w:pPr>
              <w:jc w:val="center"/>
              <w:rPr>
                <w:rFonts w:ascii="Verdana" w:hAnsi="Verdana"/>
              </w:rPr>
            </w:pPr>
            <w:r w:rsidRPr="00D22B7C">
              <w:rPr>
                <w:rFonts w:ascii="Verdana" w:eastAsia="Times New Roman" w:hAnsi="Verdana" w:cs="Times New Roman"/>
              </w:rPr>
              <w:t>Entre 601 y 700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74216CF" w14:textId="77777777" w:rsidR="00E52938" w:rsidRPr="00D22B7C" w:rsidRDefault="00E52938" w:rsidP="00DB3A08">
            <w:pPr>
              <w:jc w:val="center"/>
              <w:rPr>
                <w:rFonts w:ascii="Verdana" w:hAnsi="Verdana"/>
              </w:rPr>
            </w:pPr>
            <w:r w:rsidRPr="00D22B7C">
              <w:rPr>
                <w:rFonts w:ascii="Verdana" w:eastAsia="Times New Roman" w:hAnsi="Verdana" w:cs="Times New Roman"/>
              </w:rPr>
              <w:t>16</w:t>
            </w:r>
          </w:p>
        </w:tc>
      </w:tr>
      <w:tr w:rsidR="00E52938" w:rsidRPr="00D22B7C" w14:paraId="450A965D" w14:textId="77777777" w:rsidTr="00DB3A08">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F6E3186" w14:textId="77777777" w:rsidR="00E52938" w:rsidRPr="00D22B7C" w:rsidRDefault="00E52938" w:rsidP="00DB3A08">
            <w:pPr>
              <w:jc w:val="center"/>
              <w:rPr>
                <w:rFonts w:ascii="Verdana" w:hAnsi="Verdana"/>
              </w:rPr>
            </w:pPr>
            <w:r w:rsidRPr="00D22B7C">
              <w:rPr>
                <w:rFonts w:ascii="Verdana" w:eastAsia="Times New Roman" w:hAnsi="Verdana" w:cs="Times New Roman"/>
              </w:rPr>
              <w:t>Más de 700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16EDC69" w14:textId="77777777" w:rsidR="00E52938" w:rsidRPr="00D22B7C" w:rsidRDefault="00E52938" w:rsidP="00DB3A08">
            <w:pPr>
              <w:jc w:val="center"/>
              <w:rPr>
                <w:rFonts w:ascii="Verdana" w:hAnsi="Verdana"/>
              </w:rPr>
            </w:pPr>
            <w:r w:rsidRPr="00D22B7C">
              <w:rPr>
                <w:rFonts w:ascii="Verdana" w:eastAsia="Times New Roman" w:hAnsi="Verdana" w:cs="Times New Roman"/>
              </w:rPr>
              <w:t>Por cada 100 trabajadores adicionales, se suman 2 trabajadores con discapacidad</w:t>
            </w:r>
          </w:p>
        </w:tc>
      </w:tr>
    </w:tbl>
    <w:p w14:paraId="42374F1E" w14:textId="77777777" w:rsidR="00E52938" w:rsidRPr="00D22B7C" w:rsidRDefault="00E52938" w:rsidP="00E52938">
      <w:pPr>
        <w:spacing w:after="0" w:line="276" w:lineRule="auto"/>
        <w:rPr>
          <w:rFonts w:ascii="Verdana" w:hAnsi="Verdana"/>
        </w:rPr>
      </w:pPr>
    </w:p>
    <w:p w14:paraId="5EE309DD" w14:textId="77777777" w:rsidR="00E52938" w:rsidRPr="00D22B7C" w:rsidRDefault="00E52938" w:rsidP="00E52938">
      <w:pPr>
        <w:spacing w:after="120" w:line="276" w:lineRule="auto"/>
        <w:ind w:firstLine="709"/>
        <w:jc w:val="both"/>
        <w:rPr>
          <w:rFonts w:ascii="Verdana" w:hAnsi="Verdana"/>
        </w:rPr>
      </w:pPr>
      <w:r w:rsidRPr="00D22B7C">
        <w:rPr>
          <w:rFonts w:ascii="Verdana" w:eastAsia="Times New Roman" w:hAnsi="Verdana" w:cs="Times New Roman"/>
        </w:rPr>
        <w:lastRenderedPageBreak/>
        <w:t xml:space="preserve">El puntaje no se otorga por cumplir la ley sino por superarla: solo el proponente que acredite un número de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vinculadas igual o superior al indicado en la tabla tendrá derecho al puntaje adicional del 2%. Esta precisión es relevante porque evita que el proponente confunda el mínimo legal de vinculación con el umbral exigido para acceder al beneficio contractual. Cuando se trate de un proponente plural, se tomará en cuenta únicamente la planta de personal del integrante con mayor participación porcentual en el consorcio o unión temporal</w:t>
      </w:r>
      <w:r>
        <w:rPr>
          <w:rFonts w:ascii="Verdana" w:eastAsia="Times New Roman" w:hAnsi="Verdana" w:cs="Times New Roman"/>
        </w:rPr>
        <w:t>, sin que se exija el aporte de experiencia</w:t>
      </w:r>
      <w:r w:rsidRPr="00D22B7C">
        <w:rPr>
          <w:rFonts w:ascii="Verdana" w:eastAsia="Times New Roman" w:hAnsi="Verdana" w:cs="Times New Roman"/>
        </w:rPr>
        <w:t>.</w:t>
      </w:r>
    </w:p>
    <w:p w14:paraId="46FE4691" w14:textId="77777777" w:rsidR="00E52938" w:rsidRPr="00D22B7C" w:rsidRDefault="00E52938" w:rsidP="00E52938">
      <w:pPr>
        <w:spacing w:after="120" w:line="276" w:lineRule="auto"/>
        <w:ind w:firstLine="709"/>
        <w:jc w:val="both"/>
        <w:rPr>
          <w:rFonts w:ascii="Verdana" w:hAnsi="Verdana"/>
        </w:rPr>
      </w:pPr>
      <w:r w:rsidRPr="00D22B7C">
        <w:rPr>
          <w:rFonts w:ascii="Verdana" w:eastAsia="Times New Roman" w:hAnsi="Verdana" w:cs="Times New Roman"/>
        </w:rPr>
        <w:t xml:space="preserve">Acreditada esa vinculación, el decreto exige adicionalmente los certificados de aportes a seguridad social de los tres (3) meses anteriores a la presentación de la oferta respecto de cada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incluida en el cómputo, sin distinción entre vinculaciones iniciales e incrementos posteriores, junto con el certificado que expide el Ministerio de</w:t>
      </w:r>
      <w:r>
        <w:rPr>
          <w:rFonts w:ascii="Verdana" w:eastAsia="Times New Roman" w:hAnsi="Verdana" w:cs="Times New Roman"/>
        </w:rPr>
        <w:t>l</w:t>
      </w:r>
      <w:r w:rsidRPr="00D22B7C">
        <w:rPr>
          <w:rFonts w:ascii="Verdana" w:eastAsia="Times New Roman" w:hAnsi="Verdana" w:cs="Times New Roman"/>
        </w:rPr>
        <w:t xml:space="preserve"> Trabajo</w:t>
      </w:r>
      <w:r>
        <w:rPr>
          <w:rFonts w:ascii="Verdana" w:eastAsia="Times New Roman" w:hAnsi="Verdana" w:cs="Times New Roman"/>
        </w:rPr>
        <w:t>, entre otros documentos</w:t>
      </w:r>
      <w:r w:rsidRPr="00D22B7C">
        <w:rPr>
          <w:rFonts w:ascii="Verdana" w:eastAsia="Times New Roman" w:hAnsi="Verdana" w:cs="Times New Roman"/>
        </w:rPr>
        <w:t>. La razón de este requisito es garantizar que la vinculación sea real, estable y verificable, y no meramente instrumental para un proceso contractual específico. La Circular Externa de Colombia Compra Eficiente sobre la aplicación del Decreto 287 de 2026 aclara que:</w:t>
      </w:r>
    </w:p>
    <w:p w14:paraId="23E5F601" w14:textId="77777777" w:rsidR="00E52938" w:rsidRPr="003C3B8B" w:rsidRDefault="00E52938" w:rsidP="00E52938">
      <w:pPr>
        <w:spacing w:before="100" w:after="180" w:line="240" w:lineRule="auto"/>
        <w:ind w:left="720" w:right="720"/>
        <w:jc w:val="both"/>
        <w:rPr>
          <w:rFonts w:ascii="Verdana" w:hAnsi="Verdana"/>
          <w:sz w:val="21"/>
          <w:szCs w:val="21"/>
        </w:rPr>
      </w:pPr>
      <w:r w:rsidRPr="003C3B8B">
        <w:rPr>
          <w:rFonts w:ascii="Verdana" w:eastAsia="Times New Roman" w:hAnsi="Verdana" w:cs="Times New Roman"/>
          <w:i/>
          <w:iCs/>
          <w:sz w:val="21"/>
          <w:szCs w:val="21"/>
        </w:rPr>
        <w:t xml:space="preserve">"no se exige vinculación de las </w:t>
      </w:r>
      <w:proofErr w:type="spellStart"/>
      <w:r w:rsidRPr="003C3B8B">
        <w:rPr>
          <w:rFonts w:ascii="Verdana" w:eastAsia="Times New Roman" w:hAnsi="Verdana" w:cs="Times New Roman"/>
          <w:i/>
          <w:iCs/>
          <w:sz w:val="21"/>
          <w:szCs w:val="21"/>
        </w:rPr>
        <w:t>PcD</w:t>
      </w:r>
      <w:proofErr w:type="spellEnd"/>
      <w:r w:rsidRPr="003C3B8B">
        <w:rPr>
          <w:rFonts w:ascii="Verdana" w:eastAsia="Times New Roman" w:hAnsi="Verdana" w:cs="Times New Roman"/>
          <w:i/>
          <w:iCs/>
          <w:sz w:val="21"/>
          <w:szCs w:val="21"/>
        </w:rPr>
        <w:t xml:space="preserve"> durante un (1) año antes del proceso contractual, ya que el Decreto 392 de 2018 no lo exigía así, y la nueva regulación exige solo tres (3) meses anteriores a la celebración del proceso"</w:t>
      </w:r>
      <w:r>
        <w:rPr>
          <w:rFonts w:ascii="Verdana" w:eastAsia="Times New Roman" w:hAnsi="Verdana" w:cs="Times New Roman"/>
          <w:i/>
          <w:iCs/>
          <w:sz w:val="21"/>
          <w:szCs w:val="21"/>
        </w:rPr>
        <w:t>.</w:t>
      </w:r>
    </w:p>
    <w:p w14:paraId="59D4E6C6" w14:textId="5DCE2177" w:rsidR="00E52938" w:rsidRDefault="00E52938" w:rsidP="00E52938">
      <w:pPr>
        <w:spacing w:after="120" w:line="276" w:lineRule="auto"/>
        <w:ind w:firstLine="708"/>
        <w:jc w:val="both"/>
        <w:rPr>
          <w:rFonts w:ascii="Verdana" w:eastAsia="Times New Roman" w:hAnsi="Verdana" w:cs="Times New Roman"/>
        </w:rPr>
      </w:pPr>
      <w:r w:rsidRPr="00D22B7C">
        <w:rPr>
          <w:rFonts w:ascii="Verdana" w:eastAsia="Times New Roman" w:hAnsi="Verdana" w:cs="Times New Roman"/>
        </w:rPr>
        <w:t xml:space="preserve">El período de tres meses es el umbral mínimo de estabilidad laboral que diferencia un compromiso genuino con la inclusión de una vinculación oportunista. La norma aplica este requisito para cada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incluida en la acreditación, independientemente de si es una vinculación original o una nueva incorporación. Si una empresa ha incrementado recientemente su planta de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y alguna de estas vinculaciones no alcanza el período requerido, el proponente puede participar en el proceso utilizando únicamente las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que sí cumplan el requisito temporal. La consecuencia de no alcanzar el período no es la exclusión del proceso sino la imposibilidad de obtener el puntaje adicional respecto de esas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específicas, lo que es coherente con los principios de participación y pluralidad de oferentes.</w:t>
      </w:r>
    </w:p>
    <w:p w14:paraId="57A61651" w14:textId="77777777" w:rsidR="00E52938" w:rsidRDefault="00E52938" w:rsidP="00E52938">
      <w:pPr>
        <w:spacing w:after="120" w:line="276" w:lineRule="auto"/>
        <w:ind w:firstLine="708"/>
        <w:jc w:val="both"/>
        <w:rPr>
          <w:rFonts w:ascii="Verdana" w:eastAsia="Times New Roman" w:hAnsi="Verdana" w:cs="Times New Roman"/>
        </w:rPr>
      </w:pPr>
      <w:r w:rsidRPr="007B01BA">
        <w:rPr>
          <w:rFonts w:ascii="Verdana" w:eastAsia="Times New Roman" w:hAnsi="Verdana" w:cs="Times New Roman"/>
        </w:rPr>
        <w:t xml:space="preserve">Es importante precisar que la vinculación de </w:t>
      </w:r>
      <w:proofErr w:type="spellStart"/>
      <w:r w:rsidRPr="007B01BA">
        <w:rPr>
          <w:rFonts w:ascii="Verdana" w:eastAsia="Times New Roman" w:hAnsi="Verdana" w:cs="Times New Roman"/>
        </w:rPr>
        <w:t>PcD</w:t>
      </w:r>
      <w:proofErr w:type="spellEnd"/>
      <w:r w:rsidRPr="007B01BA">
        <w:rPr>
          <w:rFonts w:ascii="Verdana" w:eastAsia="Times New Roman" w:hAnsi="Verdana" w:cs="Times New Roman"/>
        </w:rPr>
        <w:t xml:space="preserve"> a las plantas de personal debe realizarse mediante contrato laboral con dedicación exclusiva, cuya definición le corresponde al Ministerio del Trabajo. Adicionalmente, debe </w:t>
      </w:r>
      <w:r w:rsidRPr="007B01BA">
        <w:rPr>
          <w:rFonts w:ascii="Verdana" w:eastAsia="Times New Roman" w:hAnsi="Verdana" w:cs="Times New Roman"/>
        </w:rPr>
        <w:lastRenderedPageBreak/>
        <w:t xml:space="preserve">destacarse la diferencia entre los documentos exigidos según el sujeto que acredita el puntaje: cuando se trata de un empleador de </w:t>
      </w:r>
      <w:proofErr w:type="spellStart"/>
      <w:r w:rsidRPr="007B01BA">
        <w:rPr>
          <w:rFonts w:ascii="Verdana" w:eastAsia="Times New Roman" w:hAnsi="Verdana" w:cs="Times New Roman"/>
        </w:rPr>
        <w:t>PcD</w:t>
      </w:r>
      <w:proofErr w:type="spellEnd"/>
      <w:r w:rsidRPr="007B01BA">
        <w:rPr>
          <w:rFonts w:ascii="Verdana" w:eastAsia="Times New Roman" w:hAnsi="Verdana" w:cs="Times New Roman"/>
        </w:rPr>
        <w:t>, los documentos requeridos son los establecidos en el artículo 2.2.1.2.4.2.7.4., que incluye las planillas de seguridad social de los últimos tres (3) meses y el certificado del Ministerio del Trabajo</w:t>
      </w:r>
      <w:r>
        <w:rPr>
          <w:rFonts w:ascii="Verdana" w:eastAsia="Times New Roman" w:hAnsi="Verdana" w:cs="Times New Roman"/>
        </w:rPr>
        <w:t>, entre otros</w:t>
      </w:r>
      <w:r w:rsidRPr="007B01BA">
        <w:rPr>
          <w:rFonts w:ascii="Verdana" w:eastAsia="Times New Roman" w:hAnsi="Verdana" w:cs="Times New Roman"/>
        </w:rPr>
        <w:t xml:space="preserve">; cuando se trata de un emprendimiento o empresa de </w:t>
      </w:r>
      <w:proofErr w:type="spellStart"/>
      <w:r w:rsidRPr="007B01BA">
        <w:rPr>
          <w:rFonts w:ascii="Verdana" w:eastAsia="Times New Roman" w:hAnsi="Verdana" w:cs="Times New Roman"/>
        </w:rPr>
        <w:t>PcD</w:t>
      </w:r>
      <w:proofErr w:type="spellEnd"/>
      <w:r w:rsidRPr="007B01BA">
        <w:rPr>
          <w:rFonts w:ascii="Verdana" w:eastAsia="Times New Roman" w:hAnsi="Verdana" w:cs="Times New Roman"/>
        </w:rPr>
        <w:t xml:space="preserve">, los documentos requeridos son los establecidos en el artículo 2.2.1.2.4.2.6., que varían según la categoría que se acredite. En ningún caso los documentos del artículo 2.2.1.2.4.2.7.4. son exigibles a los emprendimientos y empresas de </w:t>
      </w:r>
      <w:proofErr w:type="spellStart"/>
      <w:r w:rsidRPr="007B01BA">
        <w:rPr>
          <w:rFonts w:ascii="Verdana" w:eastAsia="Times New Roman" w:hAnsi="Verdana" w:cs="Times New Roman"/>
        </w:rPr>
        <w:t>PcD</w:t>
      </w:r>
      <w:proofErr w:type="spellEnd"/>
      <w:r w:rsidRPr="007B01BA">
        <w:rPr>
          <w:rFonts w:ascii="Verdana" w:eastAsia="Times New Roman" w:hAnsi="Verdana" w:cs="Times New Roman"/>
        </w:rPr>
        <w:t xml:space="preserve">, ni viceversa. El término de tres (3) </w:t>
      </w:r>
      <w:proofErr w:type="gramStart"/>
      <w:r w:rsidRPr="007B01BA">
        <w:rPr>
          <w:rFonts w:ascii="Verdana" w:eastAsia="Times New Roman" w:hAnsi="Verdana" w:cs="Times New Roman"/>
        </w:rPr>
        <w:t>meses aquí mencionado</w:t>
      </w:r>
      <w:proofErr w:type="gramEnd"/>
      <w:r w:rsidRPr="007B01BA">
        <w:rPr>
          <w:rFonts w:ascii="Verdana" w:eastAsia="Times New Roman" w:hAnsi="Verdana" w:cs="Times New Roman"/>
        </w:rPr>
        <w:t xml:space="preserve"> es diferente al término de un (1) año exigido en el artículo 2.2.1.2.4.2.6. para la acreditación de las condiciones de los emprendimientos y empresas de </w:t>
      </w:r>
      <w:proofErr w:type="spellStart"/>
      <w:r w:rsidRPr="007B01BA">
        <w:rPr>
          <w:rFonts w:ascii="Verdana" w:eastAsia="Times New Roman" w:hAnsi="Verdana" w:cs="Times New Roman"/>
        </w:rPr>
        <w:t>PcD</w:t>
      </w:r>
      <w:proofErr w:type="spellEnd"/>
      <w:r w:rsidRPr="007B01BA">
        <w:rPr>
          <w:rFonts w:ascii="Verdana" w:eastAsia="Times New Roman" w:hAnsi="Verdana" w:cs="Times New Roman"/>
        </w:rPr>
        <w:t>, por lo que no deben confundirse.</w:t>
      </w:r>
    </w:p>
    <w:p w14:paraId="19B2F9D8" w14:textId="77777777" w:rsidR="00E52938" w:rsidRPr="00D22B7C" w:rsidRDefault="00E52938" w:rsidP="00E52938">
      <w:pPr>
        <w:spacing w:after="120" w:line="276" w:lineRule="auto"/>
        <w:ind w:firstLine="709"/>
        <w:jc w:val="both"/>
        <w:rPr>
          <w:rFonts w:ascii="Verdana" w:hAnsi="Verdana"/>
        </w:rPr>
      </w:pPr>
      <w:r w:rsidRPr="00206556">
        <w:rPr>
          <w:rFonts w:ascii="Verdana" w:hAnsi="Verdana"/>
        </w:rPr>
        <w:t>(</w:t>
      </w:r>
      <w:proofErr w:type="spellStart"/>
      <w:r>
        <w:rPr>
          <w:rFonts w:ascii="Verdana" w:hAnsi="Verdana"/>
        </w:rPr>
        <w:t>iv</w:t>
      </w:r>
      <w:proofErr w:type="spellEnd"/>
      <w:r w:rsidRPr="00206556">
        <w:rPr>
          <w:rFonts w:ascii="Verdana" w:hAnsi="Verdana"/>
        </w:rPr>
        <w:t>) En relación, al ámbito de aplicación del puntaje adicional del 2%</w:t>
      </w:r>
      <w:r>
        <w:rPr>
          <w:rFonts w:ascii="Verdana" w:hAnsi="Verdana"/>
        </w:rPr>
        <w:t>, e</w:t>
      </w:r>
      <w:r w:rsidRPr="00206556">
        <w:rPr>
          <w:rFonts w:ascii="Verdana" w:hAnsi="Verdana"/>
        </w:rPr>
        <w:t xml:space="preserve">l artículo 2.2.1.2.4.2.7.4. del Decreto 0287 de 2026 establece este puntaje exclusivamente en los procedimientos de licitación pública y concurso de méritos, para entidades regidas por </w:t>
      </w:r>
      <w:r>
        <w:rPr>
          <w:rFonts w:ascii="Verdana" w:hAnsi="Verdana"/>
        </w:rPr>
        <w:t>el Estatuto General de Contratación Pública</w:t>
      </w:r>
      <w:r w:rsidRPr="00206556">
        <w:rPr>
          <w:rFonts w:ascii="Verdana" w:hAnsi="Verdana"/>
        </w:rPr>
        <w:t xml:space="preserve">. La restricción obedece a que el puntaje solo tiene lugar en procesos de selección competitiva con evaluación comparativa de propuestas; en la contratación directa no hay concurrencia ni asignación de puntos, de modo que técnicamente no es posible aplicarlo. No obstante, la ausencia del puntaje en otras modalidades y regímenes no equivale a la ausencia de medidas afirmativas: los criterios habilitantes diferenciales aplican en régimen especial; las compras públicas accesibles y las condiciones especiales de ejecución aplican en todas las modalidades </w:t>
      </w:r>
      <w:r>
        <w:rPr>
          <w:rFonts w:ascii="Verdana" w:hAnsi="Verdana"/>
        </w:rPr>
        <w:t>de selección</w:t>
      </w:r>
      <w:r w:rsidRPr="00206556">
        <w:rPr>
          <w:rFonts w:ascii="Verdana" w:hAnsi="Verdana"/>
        </w:rPr>
        <w:t xml:space="preserve">; y la contratación directa tiene su propia medida afirmativa a través de los contratos de prestación de servicios con </w:t>
      </w:r>
      <w:proofErr w:type="spellStart"/>
      <w:r w:rsidRPr="00206556">
        <w:rPr>
          <w:rFonts w:ascii="Verdana" w:hAnsi="Verdana"/>
        </w:rPr>
        <w:t>PcD</w:t>
      </w:r>
      <w:proofErr w:type="spellEnd"/>
      <w:r w:rsidRPr="00206556">
        <w:rPr>
          <w:rFonts w:ascii="Verdana" w:hAnsi="Verdana"/>
        </w:rPr>
        <w:t>.</w:t>
      </w:r>
    </w:p>
    <w:p w14:paraId="022793D6" w14:textId="77777777" w:rsidR="00E52938" w:rsidRPr="00206556" w:rsidRDefault="00E52938" w:rsidP="00E52938">
      <w:pPr>
        <w:spacing w:after="120" w:line="276" w:lineRule="auto"/>
        <w:ind w:firstLine="709"/>
        <w:jc w:val="both"/>
        <w:rPr>
          <w:rFonts w:ascii="Verdana" w:hAnsi="Verdana"/>
          <w:sz w:val="20"/>
          <w:szCs w:val="20"/>
        </w:rPr>
      </w:pPr>
      <w:r w:rsidRPr="00206556">
        <w:rPr>
          <w:rFonts w:ascii="Verdana" w:hAnsi="Verdana"/>
        </w:rPr>
        <w:t xml:space="preserve">(v) Sobre la aplicación del Decreto 0287 de 2026 en los documentos tipo, el artículo 2.2.1.2.4.2.7.8. del Decreto 0287 de 2026 establece que Colombia Compra Eficiente garantizará la incorporación permanente de las medidas del sistema en los documentos e instrumentos que genera. </w:t>
      </w:r>
    </w:p>
    <w:p w14:paraId="435F2D58" w14:textId="77777777" w:rsidR="00E52938" w:rsidRDefault="00E52938" w:rsidP="00E52938">
      <w:pPr>
        <w:spacing w:after="120" w:line="276" w:lineRule="auto"/>
        <w:ind w:firstLine="708"/>
        <w:jc w:val="both"/>
        <w:rPr>
          <w:rFonts w:ascii="Verdana" w:hAnsi="Verdana"/>
        </w:rPr>
      </w:pPr>
      <w:r w:rsidRPr="007B01BA">
        <w:rPr>
          <w:rFonts w:ascii="Verdana" w:hAnsi="Verdana"/>
        </w:rPr>
        <w:t xml:space="preserve">El principio de inalterabilidad de los documentos tipo impide modificaciones unilaterales por parte de las entidades, pues ello afectaría la estandarización, la transparencia y la igualdad entre proponentes que dichos documentos buscan garantizar. Colombia Compra Eficiente realizará las actualizaciones necesarias a los documentos tipo en el menor tiempo posible para incorporar las medidas del sistema de preferencias. La aplicación del </w:t>
      </w:r>
      <w:r w:rsidRPr="007B01BA">
        <w:rPr>
          <w:rFonts w:ascii="Verdana" w:hAnsi="Verdana"/>
        </w:rPr>
        <w:lastRenderedPageBreak/>
        <w:t>decreto queda diferenciada según la etapa del proceso: los procesos con resolución de apertura firmada el 19 de marzo de 2026 o antes continúan con las reglas del Decreto 392 de 2018; los procesos con proyecto de pliego publicado pero sin apertura a esa fecha pueden incorporar las nuevas medidas antes de publicar los pliegos definitivos; y los procesos nuevos sujetos a documentos tipo deben esperar las actualizaciones de Colombia Compra Eficiente,</w:t>
      </w:r>
      <w:r>
        <w:rPr>
          <w:rFonts w:ascii="Verdana" w:hAnsi="Verdana"/>
        </w:rPr>
        <w:t xml:space="preserve"> y continuar aplicando el documento tipo vigente sin alterarlo.</w:t>
      </w:r>
    </w:p>
    <w:p w14:paraId="6818B5F9" w14:textId="200ADE7F" w:rsidR="00D40391" w:rsidRPr="00D40391" w:rsidRDefault="00D40391" w:rsidP="00D40391">
      <w:pPr>
        <w:spacing w:after="120" w:line="276" w:lineRule="auto"/>
        <w:ind w:firstLine="708"/>
        <w:jc w:val="both"/>
        <w:rPr>
          <w:rFonts w:ascii="Verdana" w:hAnsi="Verdana"/>
        </w:rPr>
      </w:pPr>
      <w:r w:rsidRPr="00D40391">
        <w:rPr>
          <w:rFonts w:ascii="Verdana" w:hAnsi="Verdana"/>
        </w:rPr>
        <w:t>En conclusión, y dando respuesta al problema jurídico planteado</w:t>
      </w:r>
      <w:r>
        <w:rPr>
          <w:rFonts w:ascii="Verdana" w:hAnsi="Verdana"/>
        </w:rPr>
        <w:t xml:space="preserve">, </w:t>
      </w:r>
      <w:r w:rsidRPr="00D40391">
        <w:rPr>
          <w:rFonts w:ascii="Verdana" w:hAnsi="Verdana"/>
        </w:rPr>
        <w:t>esto es, si para obtener el puntaje adicional por personal en condición de discapacidad este debe estar vinculado a la empresa desde hace más de un (1) año, o cuál es el plazo mínimo de vinculación exigido, es preciso reiterar lo señalado por la Circular Externa No. 003 de 2026 de esta Agencia, en cuanto instrumento mediante el cual Colombia Compra Eficiente impartió los lineamientos para la correcta aplicación del Decreto 0287 de 2026. Conforme a dicha Circular, para acceder al puntaje adicional del dos por ciento (2%) en la condición de empleador de personas con discapacidad, previsto en el artículo 2.2.1.2.4.2.7.4 del Decreto 1082 de 2015, no se exige que las personas con discapacidad se encuentren vinculadas a la empresa desde hace más de un (1) año.</w:t>
      </w:r>
    </w:p>
    <w:p w14:paraId="1709FAF5" w14:textId="77777777" w:rsidR="00D40391" w:rsidRPr="00D40391" w:rsidRDefault="00D40391" w:rsidP="00D40391">
      <w:pPr>
        <w:spacing w:after="120" w:line="276" w:lineRule="auto"/>
        <w:ind w:firstLine="708"/>
        <w:jc w:val="both"/>
        <w:rPr>
          <w:rFonts w:ascii="Verdana" w:hAnsi="Verdana"/>
        </w:rPr>
      </w:pPr>
      <w:r w:rsidRPr="00D40391">
        <w:rPr>
          <w:rFonts w:ascii="Verdana" w:hAnsi="Verdana"/>
        </w:rPr>
        <w:t>En efecto, la Circular precisó que el tiempo mínimo durante el cual las personas con discapacidad debieron estar vinculadas a la planta de personal de la empresa para acceder al puntaje es de tres (3) meses, de manera que la entidad contratante verificará que cada persona con discapacidad incluida en el cómputo haya permanecido vinculada, como mínimo, durante los tres (3) meses anteriores al cierre del proceso de contratación. Este término se acredita mediante el contrato o la certificación laboral y los certificados de aportes a seguridad social de dicho período, en el entendido de que la vinculación debe corresponder a un contrato laboral regido por el Código Sustantivo del Trabajo, con dedicación exclusiva, y de que el número mínimo de personas con discapacidad vinculadas se determina conforme a la tabla contenida en el mismo artículo, la cual ya incorpora los mínimos exigidos por la Ley 2466 de 2025.</w:t>
      </w:r>
    </w:p>
    <w:p w14:paraId="74ED5940" w14:textId="77777777" w:rsidR="00D40391" w:rsidRPr="00D40391" w:rsidRDefault="00D40391" w:rsidP="00D40391">
      <w:pPr>
        <w:spacing w:after="120" w:line="276" w:lineRule="auto"/>
        <w:ind w:firstLine="708"/>
        <w:jc w:val="both"/>
        <w:rPr>
          <w:rFonts w:ascii="Verdana" w:hAnsi="Verdana"/>
        </w:rPr>
      </w:pPr>
      <w:r w:rsidRPr="00D40391">
        <w:rPr>
          <w:rFonts w:ascii="Verdana" w:hAnsi="Verdana"/>
        </w:rPr>
        <w:t>Asimismo, la Circular fue clara al advertir que la exigencia de un (1) año anterior al cierre del proceso no se predica de la condición de empleador de personas con discapacidad, sino de la acreditación de la condición de emprendimiento o empresa de personas con discapacidad regulada en el artículo 2.2.1.2.4.2.6, y en particular de las condiciones de sus numerales 2, 3 y 4 —</w:t>
      </w:r>
      <w:r w:rsidRPr="00D40391">
        <w:rPr>
          <w:rFonts w:ascii="Verdana" w:hAnsi="Verdana"/>
        </w:rPr>
        <w:lastRenderedPageBreak/>
        <w:t>referidas a la antigüedad del establecimiento de comercio de la persona natural con discapacidad, al tiempo durante el cual el cincuenta por ciento (50 %) o más de la propiedad de la persona jurídica ha pertenecido a personas con discapacidad, y al tiempo de vinculación de la persona con discapacidad en un cargo de nivel directivo—. Se trata, por tanto, de dos situaciones jurídicamente distintas, cuyos plazos no deben confundirse.</w:t>
      </w:r>
    </w:p>
    <w:p w14:paraId="78AD5A23" w14:textId="7274D655" w:rsidR="00D40391" w:rsidRDefault="00D40391" w:rsidP="00D40391">
      <w:pPr>
        <w:spacing w:after="120" w:line="276" w:lineRule="auto"/>
        <w:ind w:firstLine="708"/>
        <w:jc w:val="both"/>
        <w:rPr>
          <w:rFonts w:ascii="Verdana" w:hAnsi="Verdana"/>
        </w:rPr>
      </w:pPr>
      <w:r w:rsidRPr="00D40391">
        <w:rPr>
          <w:rFonts w:ascii="Verdana" w:hAnsi="Verdana"/>
        </w:rPr>
        <w:t>En consecuencia, el plazo mínimo de vinculación aplicable al supuesto objeto de consulta es de tres (3) meses anteriores al cierre del proceso, y no de un (1) año, sin perjuicio de que, de conformidad con el parágrafo 3 del artículo 2.2.1.2.4.2.7.4, el contratista deba mantener durante la ejecución del contrato las condiciones con las que accedió al puntaje —esto es, la permanencia de las personas con discapacidad en su planta de personal—, salvo fuerza mayor o caso fortuito, so pena de incurrir en causal de incumplimiento contractual.</w:t>
      </w:r>
    </w:p>
    <w:p w14:paraId="443AF8AE" w14:textId="77777777" w:rsidR="00E52938" w:rsidRPr="00670CFB" w:rsidRDefault="00E52938" w:rsidP="00E52938">
      <w:pPr>
        <w:spacing w:after="120" w:line="276" w:lineRule="auto"/>
        <w:ind w:firstLine="709"/>
        <w:jc w:val="both"/>
        <w:rPr>
          <w:rFonts w:ascii="Verdana" w:hAnsi="Verdana"/>
        </w:rPr>
      </w:pPr>
      <w:r w:rsidRPr="00670CFB">
        <w:rPr>
          <w:rFonts w:ascii="Verdana" w:hAnsi="Verdana"/>
        </w:rPr>
        <w:t>De esta manera, el Sistema Integral de Preferencias establecido por el Decreto 0287 de 2026 constituye un cambio estructural en la forma en que el Estado colombiano se relaciona con las personas con discapacidad en la contratación pública: ya no se trata de un punto adicional al final del proceso, sino de un conjunto articulado de obligaciones que acompañan cada fase del ciclo contractual, desde la planeación hasta la ejecución, con consecuencias jurídicas concretas frente a su inobservancia y con un horizonte claro de inclusión laboral efectiva y progresiva de esta población.</w:t>
      </w:r>
    </w:p>
    <w:p w14:paraId="0D0C1E2A" w14:textId="77777777" w:rsidR="00B42204" w:rsidRPr="00D56B2A" w:rsidRDefault="00B42204" w:rsidP="00B42204">
      <w:pPr>
        <w:snapToGrid w:val="0"/>
        <w:spacing w:after="0" w:line="276" w:lineRule="auto"/>
        <w:ind w:rightChars="125" w:right="275"/>
        <w:jc w:val="both"/>
        <w:rPr>
          <w:rFonts w:ascii="Verdana" w:eastAsia="Calibri" w:hAnsi="Verdana" w:cs="Arial"/>
          <w:color w:val="3399FF"/>
          <w:lang w:val="es-ES" w:eastAsia="es-ES"/>
        </w:rPr>
      </w:pPr>
    </w:p>
    <w:p w14:paraId="24EDEC3A" w14:textId="77777777" w:rsidR="00B42204" w:rsidRPr="004D7523" w:rsidRDefault="00B42204" w:rsidP="00B4220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4D7523">
        <w:rPr>
          <w:rFonts w:ascii="Verdana" w:eastAsia="Century Gothic" w:hAnsi="Verdana" w:cs="Century Gothic"/>
          <w:b/>
          <w:bCs/>
          <w:lang w:val="es-ES_tradnl"/>
        </w:rPr>
        <w:t>Referencias normativas, jurisprudenciales y otras fuentes:</w:t>
      </w:r>
    </w:p>
    <w:p w14:paraId="568C4509" w14:textId="77777777" w:rsidR="00B42204" w:rsidRPr="004D7523" w:rsidRDefault="00B42204" w:rsidP="00B42204">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B42204" w:rsidRPr="00E52938" w14:paraId="5603548F" w14:textId="77777777" w:rsidTr="00E07241">
        <w:trPr>
          <w:trHeight w:val="242"/>
        </w:trPr>
        <w:tc>
          <w:tcPr>
            <w:tcW w:w="8647" w:type="dxa"/>
            <w:tcBorders>
              <w:top w:val="dotted" w:sz="4" w:space="0" w:color="auto"/>
              <w:left w:val="dotted" w:sz="4" w:space="0" w:color="auto"/>
              <w:bottom w:val="dotted" w:sz="4" w:space="0" w:color="auto"/>
              <w:right w:val="dotted" w:sz="4" w:space="0" w:color="auto"/>
            </w:tcBorders>
          </w:tcPr>
          <w:p w14:paraId="5B981AC0" w14:textId="77777777" w:rsidR="00C5512D" w:rsidRPr="00670CFB"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670CFB">
              <w:rPr>
                <w:rFonts w:ascii="Verdana" w:eastAsia="Arial MT" w:hAnsi="Verdana" w:cs="Arial"/>
                <w:lang w:eastAsia="es-ES" w:bidi="es-ES"/>
              </w:rPr>
              <w:t>Constitución Política de Colombia. Artículos 13, 47, 54 y 93.</w:t>
            </w:r>
          </w:p>
          <w:p w14:paraId="75471BDA"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 de 1967. Por la cual se aprueba el Convenio número 111 Internacional del Trabajo, relativo a la discriminación en materia de empleo y ocupación.</w:t>
            </w:r>
          </w:p>
          <w:p w14:paraId="44046DCF"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82 de 1988. Por la cual se aprueba el Convenio 159 de la OIT sobre readaptación profesional y empleo de personas inválidas.</w:t>
            </w:r>
          </w:p>
          <w:p w14:paraId="78F58286"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361 de 1997. Artículo 24.</w:t>
            </w:r>
          </w:p>
          <w:p w14:paraId="7D9D5732"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762 de 2002. Por medio de la cual se aprueba la Convención Interamericana para la Eliminación de todas las Formas de Discriminación contra las Personas con Discapacidad.</w:t>
            </w:r>
          </w:p>
          <w:p w14:paraId="18271792"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 xml:space="preserve">Ley 1346 de 2009. Por medio de la cual se aprueba la Convención </w:t>
            </w:r>
            <w:r w:rsidRPr="00206556">
              <w:rPr>
                <w:rFonts w:ascii="Verdana" w:eastAsia="Arial MT" w:hAnsi="Verdana" w:cs="Arial"/>
                <w:lang w:eastAsia="es-ES" w:bidi="es-ES"/>
              </w:rPr>
              <w:lastRenderedPageBreak/>
              <w:t>sobre los Derechos de las Personas con Discapacidad de la ONU.</w:t>
            </w:r>
          </w:p>
          <w:p w14:paraId="2EC00000"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Estatutaria 1618 de 2013. Artículo 13, numerales 1, 7 y 8.</w:t>
            </w:r>
          </w:p>
          <w:p w14:paraId="16CCD02D"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1996 de 2019. Artículo 62.</w:t>
            </w:r>
          </w:p>
          <w:p w14:paraId="4A5B0F76"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2069 de 2020. Artículos 34 y 35.</w:t>
            </w:r>
          </w:p>
          <w:p w14:paraId="226CF5CA"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2294 de 2023. Artículos 4, 76 y 79.</w:t>
            </w:r>
          </w:p>
          <w:p w14:paraId="491E0AA4"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2466 de 2025. Artículo 15, numeral 17.</w:t>
            </w:r>
          </w:p>
          <w:p w14:paraId="208B21A1"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1082 de 2015. Artículos 2.2.1.2.4.2.6., 2.2.1.2.4.2.7. y siguientes, y 2.2.1.2.4.2.8., modificados por el Decreto 0287 de 2026.</w:t>
            </w:r>
          </w:p>
          <w:p w14:paraId="1495CE1F"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392 de 2018. Derogado en lo contrario por el Decreto 0287 de 2026.</w:t>
            </w:r>
          </w:p>
          <w:p w14:paraId="52112A51"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1860 de 2021. Artículo 3.</w:t>
            </w:r>
          </w:p>
          <w:p w14:paraId="779141F6"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0287 de 2026. Por el cual se modifican los artículos 2.2.1.2.4.2.6., 2.2.1.2.4.2.7. y 2.2.1.2.4.2.8. del Decreto 1082 de 2015.</w:t>
            </w:r>
          </w:p>
          <w:p w14:paraId="1A9C60B9"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Corte Constitucional. Sentencia C-410 de 2001. M.P. Álvaro Tafur Galvis.</w:t>
            </w:r>
          </w:p>
          <w:p w14:paraId="7C37517A"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Corte Constitucional. Sentencia SU-049 de 2017. M.P. María Victoria Calle Correa.</w:t>
            </w:r>
          </w:p>
          <w:p w14:paraId="713D9EF7"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 xml:space="preserve">Consejo de Estado. Sala de lo Contencioso Administrativo, Sección Quinta. Sentencia de acción de cumplimiento del 12 de diciembre de 2024. Rad. </w:t>
            </w:r>
            <w:proofErr w:type="spellStart"/>
            <w:r w:rsidRPr="00206556">
              <w:rPr>
                <w:rFonts w:ascii="Verdana" w:eastAsia="Arial MT" w:hAnsi="Verdana" w:cs="Arial"/>
                <w:lang w:eastAsia="es-ES" w:bidi="es-ES"/>
              </w:rPr>
              <w:t>n.°</w:t>
            </w:r>
            <w:proofErr w:type="spellEnd"/>
            <w:r w:rsidRPr="00206556">
              <w:rPr>
                <w:rFonts w:ascii="Verdana" w:eastAsia="Arial MT" w:hAnsi="Verdana" w:cs="Arial"/>
                <w:lang w:eastAsia="es-ES" w:bidi="es-ES"/>
              </w:rPr>
              <w:t xml:space="preserve"> 05001-23-33-000-2024-00847-01. M.P. Omar Joaquín Barreto Suárez.</w:t>
            </w:r>
          </w:p>
          <w:p w14:paraId="64086E6D"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Consejo de Estado. Sala de Consulta y Servicio Civil. Concepto del 24 de julio de 2013. Rad. 2166. C.P. Álvaro Namén Vargas.</w:t>
            </w:r>
          </w:p>
          <w:p w14:paraId="32813FD0"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Circular Externa sobre orientaciones para la aplicación del Decreto 287 de 2026. Bogotá, 2026.</w:t>
            </w:r>
          </w:p>
          <w:p w14:paraId="2379DDD7"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ABC del Decreto 0287 de 2026. Bogotá, 2026.</w:t>
            </w:r>
          </w:p>
          <w:p w14:paraId="15403B54"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Memoria Justificativa del Decreto 0287 de 2026. Bogotá, 2026.</w:t>
            </w:r>
          </w:p>
          <w:p w14:paraId="5C30BE29"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Guía de Compras Públicas Sostenibles y Socialmente Responsables. Bogotá, 2025.</w:t>
            </w:r>
          </w:p>
          <w:p w14:paraId="54FC1105"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 xml:space="preserve">Agencia Nacional de Contratación Pública – Colombia Compra </w:t>
            </w:r>
            <w:r w:rsidRPr="00206556">
              <w:rPr>
                <w:rFonts w:ascii="Verdana" w:eastAsia="Arial MT" w:hAnsi="Verdana" w:cs="Arial"/>
                <w:lang w:eastAsia="es-ES" w:bidi="es-ES"/>
              </w:rPr>
              <w:lastRenderedPageBreak/>
              <w:t>Eficiente. Concepto C-864 del 14 de diciembre de 2022.</w:t>
            </w:r>
          </w:p>
          <w:p w14:paraId="6525DCC2" w14:textId="77777777" w:rsidR="00C5512D" w:rsidRPr="00206556"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C-1519 del 19 de noviembre de 2025.</w:t>
            </w:r>
          </w:p>
          <w:p w14:paraId="35068404" w14:textId="70CC8375" w:rsidR="00B42204" w:rsidRPr="00C5512D" w:rsidRDefault="00C5512D" w:rsidP="00C5512D">
            <w:pPr>
              <w:pStyle w:val="Prrafodelista"/>
              <w:widowControl w:val="0"/>
              <w:numPr>
                <w:ilvl w:val="0"/>
                <w:numId w:val="2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Departamento Nacional de Planeación. Documento CONPES 166 de 2013. Política Pública Nacional de Discapacidad e Inclusión Social.</w:t>
            </w:r>
          </w:p>
        </w:tc>
      </w:tr>
    </w:tbl>
    <w:p w14:paraId="6A18CD81" w14:textId="77777777" w:rsidR="00D13475" w:rsidRPr="00E52938" w:rsidRDefault="00D13475" w:rsidP="00D13475">
      <w:pPr>
        <w:tabs>
          <w:tab w:val="left" w:pos="142"/>
          <w:tab w:val="left" w:pos="284"/>
        </w:tabs>
        <w:spacing w:before="240" w:line="276" w:lineRule="auto"/>
        <w:ind w:left="360"/>
        <w:contextualSpacing/>
        <w:jc w:val="both"/>
        <w:rPr>
          <w:rFonts w:ascii="Verdana" w:eastAsia="Century Gothic" w:hAnsi="Verdana" w:cs="Century Gothic"/>
          <w:b/>
          <w:bCs/>
          <w:color w:val="000000" w:themeColor="text1"/>
          <w:highlight w:val="yellow"/>
        </w:rPr>
      </w:pPr>
    </w:p>
    <w:p w14:paraId="5490B33E" w14:textId="77777777" w:rsidR="00D13475" w:rsidRPr="00C5512D" w:rsidRDefault="00D13475" w:rsidP="00D13475">
      <w:pPr>
        <w:numPr>
          <w:ilvl w:val="0"/>
          <w:numId w:val="23"/>
        </w:numPr>
        <w:tabs>
          <w:tab w:val="left" w:pos="142"/>
          <w:tab w:val="left" w:pos="284"/>
        </w:tabs>
        <w:spacing w:before="240" w:line="276" w:lineRule="auto"/>
        <w:ind w:firstLine="0"/>
        <w:contextualSpacing/>
        <w:jc w:val="both"/>
        <w:rPr>
          <w:rFonts w:ascii="Verdana" w:eastAsia="Century Gothic" w:hAnsi="Verdana" w:cs="Century Gothic"/>
          <w:b/>
          <w:bCs/>
          <w:color w:val="000000" w:themeColor="text1"/>
        </w:rPr>
      </w:pPr>
      <w:r w:rsidRPr="00C5512D">
        <w:rPr>
          <w:rFonts w:ascii="Verdana" w:eastAsia="Century Gothic" w:hAnsi="Verdana" w:cs="Century Gothic"/>
          <w:b/>
          <w:bCs/>
          <w:color w:val="000000" w:themeColor="text1"/>
        </w:rPr>
        <w:t>Doctrina de la Agencia Nacional de Contratación Pública:</w:t>
      </w:r>
    </w:p>
    <w:p w14:paraId="510643AF" w14:textId="77777777" w:rsidR="00B42204" w:rsidRPr="00E52938" w:rsidRDefault="00B42204" w:rsidP="00B42204">
      <w:pPr>
        <w:tabs>
          <w:tab w:val="left" w:pos="142"/>
          <w:tab w:val="left" w:pos="284"/>
        </w:tabs>
        <w:spacing w:before="240" w:line="276" w:lineRule="auto"/>
        <w:ind w:left="360"/>
        <w:contextualSpacing/>
        <w:jc w:val="both"/>
        <w:rPr>
          <w:rFonts w:ascii="Verdana" w:eastAsia="Century Gothic" w:hAnsi="Verdana" w:cs="Century Gothic"/>
          <w:b/>
          <w:bCs/>
          <w:color w:val="000000" w:themeColor="text1"/>
          <w:highlight w:val="yellow"/>
        </w:rPr>
      </w:pPr>
    </w:p>
    <w:p w14:paraId="17902C92" w14:textId="7FB9B892" w:rsidR="00B42204" w:rsidRPr="009D25AB" w:rsidRDefault="009D25AB" w:rsidP="009D25AB">
      <w:pPr>
        <w:spacing w:line="276" w:lineRule="auto"/>
        <w:jc w:val="both"/>
        <w:rPr>
          <w:rFonts w:ascii="Verdana" w:hAnsi="Verdana"/>
        </w:rPr>
      </w:pPr>
      <w:r w:rsidRPr="00331BE8">
        <w:rPr>
          <w:rFonts w:ascii="Verdana" w:hAnsi="Verdana" w:cs="Verdana"/>
          <w:color w:val="000000"/>
        </w:rPr>
        <w:t>Est</w:t>
      </w:r>
      <w:r w:rsidR="00D40391">
        <w:rPr>
          <w:rFonts w:ascii="Verdana" w:hAnsi="Verdana" w:cs="Verdana"/>
          <w:color w:val="000000"/>
        </w:rPr>
        <w:t>e</w:t>
      </w:r>
      <w:r w:rsidRPr="00331BE8">
        <w:rPr>
          <w:rFonts w:ascii="Verdana" w:hAnsi="Verdana" w:cs="Verdana"/>
          <w:color w:val="000000"/>
        </w:rPr>
        <w:t xml:space="preserve"> y otros conceptos se encuentran disponibles para consulta en el Sistema de Relatoría de la Agencia, a través del siguiente enlace: </w:t>
      </w:r>
      <w:r>
        <w:rPr>
          <w:rFonts w:ascii="Verdana" w:hAnsi="Verdana"/>
        </w:rPr>
        <w:t xml:space="preserve"> </w:t>
      </w:r>
      <w:hyperlink r:id="rId12" w:history="1">
        <w:r w:rsidR="00B42204">
          <w:rPr>
            <w:rStyle w:val="Hipervnculo"/>
            <w:rFonts w:ascii="Verdana" w:hAnsi="Verdana" w:cs="Arial"/>
            <w:shd w:val="clear" w:color="auto" w:fill="FFFFFF"/>
            <w:lang w:val="es-ES"/>
          </w:rPr>
          <w:t>https://relatoria.colombiacompra.gov.co/busqueda/conceptos</w:t>
        </w:r>
      </w:hyperlink>
    </w:p>
    <w:p w14:paraId="55B9EC51" w14:textId="34AE149F" w:rsidR="00D40391" w:rsidRDefault="00D40391" w:rsidP="00D40391">
      <w:pPr>
        <w:spacing w:after="0" w:line="276" w:lineRule="auto"/>
        <w:jc w:val="both"/>
        <w:rPr>
          <w:rFonts w:ascii="Verdana" w:hAnsi="Verdana" w:cs="Arial"/>
          <w:color w:val="000000" w:themeColor="text1"/>
          <w:shd w:val="clear" w:color="auto" w:fill="FFFFFF"/>
          <w:lang w:val="es-ES"/>
        </w:rPr>
      </w:pPr>
      <w:r w:rsidRPr="00D40391">
        <w:rPr>
          <w:rFonts w:ascii="Verdana" w:hAnsi="Verdana" w:cs="Arial"/>
          <w:color w:val="000000" w:themeColor="text1"/>
          <w:shd w:val="clear" w:color="auto" w:fill="FFFFFF"/>
          <w:lang w:val="es-ES"/>
        </w:rPr>
        <w:t xml:space="preserve">"Las garantías no son un requisito formal: son el instrumento con el que se protege el patrimonio público frente a los riesgos del contrato. Por ello, la Agencia Nacional de Contratación Pública –Colombia Compra Eficiente– te invita a consultar la nueva versión de la Guía para la Exigencia y Constitución de Garantías en los Procesos de Contratación,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history="1">
        <w:r w:rsidRPr="00E81856">
          <w:rPr>
            <w:rStyle w:val="Hipervnculo"/>
            <w:rFonts w:ascii="Verdana" w:hAnsi="Verdana" w:cs="Arial"/>
            <w:shd w:val="clear" w:color="auto" w:fill="FFFFFF"/>
            <w:lang w:val="es-ES"/>
          </w:rPr>
          <w:t>https://www.colombiacompra.gov.co/archivos/manual/guia-de-garantias-en-procesos-de-contratacion</w:t>
        </w:r>
      </w:hyperlink>
    </w:p>
    <w:p w14:paraId="7ADCE910" w14:textId="77777777" w:rsidR="00D40391" w:rsidRPr="00D40391" w:rsidRDefault="00D40391" w:rsidP="00D40391">
      <w:pPr>
        <w:spacing w:after="0" w:line="276" w:lineRule="auto"/>
        <w:jc w:val="both"/>
        <w:rPr>
          <w:rFonts w:ascii="Verdana" w:hAnsi="Verdana" w:cs="Arial"/>
          <w:color w:val="000000" w:themeColor="text1"/>
          <w:shd w:val="clear" w:color="auto" w:fill="FFFFFF"/>
          <w:lang w:val="es-ES"/>
        </w:rPr>
      </w:pPr>
    </w:p>
    <w:p w14:paraId="58ABB571" w14:textId="77777777" w:rsidR="00D40391" w:rsidRPr="00D40391" w:rsidRDefault="00D40391" w:rsidP="00D40391">
      <w:pPr>
        <w:spacing w:after="0" w:line="276" w:lineRule="auto"/>
        <w:jc w:val="both"/>
        <w:rPr>
          <w:rFonts w:ascii="Verdana" w:hAnsi="Verdana" w:cs="Arial"/>
          <w:color w:val="000000" w:themeColor="text1"/>
          <w:shd w:val="clear" w:color="auto" w:fill="FFFFFF"/>
          <w:lang w:val="es-ES"/>
        </w:rPr>
      </w:pPr>
      <w:r w:rsidRPr="00D40391">
        <w:rPr>
          <w:rFonts w:ascii="Verdana" w:hAnsi="Verdana" w:cs="Arial"/>
          <w:color w:val="000000" w:themeColor="text1"/>
          <w:shd w:val="clear" w:color="auto" w:fill="FFFFFF"/>
          <w:lang w:val="es-ES"/>
        </w:rPr>
        <w:t>De otro lado, te contamos que el Decreto 287 del 19 de marzo de 2026 sustituyó los artículos 2.2.1.2.4.2.6., 2.2.1.2.4.2.7. y 2.2.1.2.4.2.8. del Decreto 1082 de 2015 y estructuró el Sistema Integral de Preferencias en favor de las personas con discapacidad, en cumplimiento del artículo 13 de la Ley Estatutaria 1618 de 2013. Para orientar su aplicación, esta Agencia expidió la Circular Externa 003 del 12 de mayo de 2026, en la que precisa quiénes son los beneficiarios, las cinco medidas que integran el sistema y su obligatoriedad según la modalidad de selección, y el régimen de transición aplicable a los procesos en curso. Consúltala aquí: https://www.colombiacompra.gov.co/archivos/circular/circular-externa-003-de-2026</w:t>
      </w:r>
    </w:p>
    <w:p w14:paraId="4E5C9DF8" w14:textId="792D93E2" w:rsidR="00D40391" w:rsidRDefault="00D40391" w:rsidP="00D40391">
      <w:pPr>
        <w:spacing w:after="0" w:line="276" w:lineRule="auto"/>
        <w:jc w:val="both"/>
        <w:rPr>
          <w:rFonts w:ascii="Verdana" w:hAnsi="Verdana" w:cs="Arial"/>
          <w:color w:val="000000" w:themeColor="text1"/>
          <w:shd w:val="clear" w:color="auto" w:fill="FFFFFF"/>
          <w:lang w:val="es-ES"/>
        </w:rPr>
      </w:pPr>
      <w:r w:rsidRPr="00D40391">
        <w:rPr>
          <w:rFonts w:ascii="Verdana" w:hAnsi="Verdana" w:cs="Arial"/>
          <w:color w:val="000000" w:themeColor="text1"/>
          <w:shd w:val="clear" w:color="auto" w:fill="FFFFFF"/>
          <w:lang w:val="es-ES"/>
        </w:rPr>
        <w:t xml:space="preserve">Recuerda también que la información sobre sanciones e inhabilidades solo cumple su función preventiva si llega oportunamente a los registros públicos. </w:t>
      </w:r>
      <w:r w:rsidRPr="00D40391">
        <w:rPr>
          <w:rFonts w:ascii="Verdana" w:hAnsi="Verdana" w:cs="Arial"/>
          <w:color w:val="000000" w:themeColor="text1"/>
          <w:shd w:val="clear" w:color="auto" w:fill="FFFFFF"/>
          <w:lang w:val="es-ES"/>
        </w:rPr>
        <w:lastRenderedPageBreak/>
        <w:t xml:space="preserve">Sobre este deber, esta Agencia expidió la Circular Externa 002 del 5 de mayo de 2026,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4" w:history="1">
        <w:r w:rsidRPr="00E81856">
          <w:rPr>
            <w:rStyle w:val="Hipervnculo"/>
            <w:rFonts w:ascii="Verdana" w:hAnsi="Verdana" w:cs="Arial"/>
            <w:shd w:val="clear" w:color="auto" w:fill="FFFFFF"/>
            <w:lang w:val="es-ES"/>
          </w:rPr>
          <w:t>https://www.colombiacompra.gov.co/archivos/circular/circular-externa-002-de-2026</w:t>
        </w:r>
      </w:hyperlink>
    </w:p>
    <w:p w14:paraId="1F191ACD" w14:textId="77777777" w:rsidR="00D40391" w:rsidRPr="00D40391" w:rsidRDefault="00D40391" w:rsidP="00D40391">
      <w:pPr>
        <w:spacing w:after="0" w:line="276" w:lineRule="auto"/>
        <w:jc w:val="both"/>
        <w:rPr>
          <w:rFonts w:ascii="Verdana" w:hAnsi="Verdana" w:cs="Arial"/>
          <w:color w:val="000000" w:themeColor="text1"/>
          <w:shd w:val="clear" w:color="auto" w:fill="FFFFFF"/>
          <w:lang w:val="es-ES"/>
        </w:rPr>
      </w:pPr>
    </w:p>
    <w:p w14:paraId="52251ED7" w14:textId="43CA9521" w:rsidR="00D40391" w:rsidRPr="00D40391" w:rsidRDefault="00D40391" w:rsidP="00D40391">
      <w:pPr>
        <w:spacing w:after="0" w:line="276" w:lineRule="auto"/>
        <w:jc w:val="both"/>
        <w:rPr>
          <w:rFonts w:ascii="Verdana" w:hAnsi="Verdana" w:cs="Arial"/>
          <w:color w:val="000000" w:themeColor="text1"/>
          <w:shd w:val="clear" w:color="auto" w:fill="FFFFFF"/>
          <w:lang w:val="es-ES"/>
        </w:rPr>
      </w:pPr>
      <w:r w:rsidRPr="00D40391">
        <w:rPr>
          <w:rFonts w:ascii="Verdana" w:hAnsi="Verdana" w:cs="Arial"/>
          <w:color w:val="000000" w:themeColor="text1"/>
          <w:shd w:val="clear" w:color="auto" w:fill="FFFFFF"/>
          <w:lang w:val="es-ES"/>
        </w:rPr>
        <w:t>Finalmente, si quieres seguir de cerca la actividad de la Agencia, la tercera edición de 2026 del Radar de la Compra Pública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https://www.colombiacompra.gov.co/archivos/boletin/boletin-edicion-n-3-de-2026-radar-de-la-compra-publica"</w:t>
      </w:r>
    </w:p>
    <w:p w14:paraId="110A98C3" w14:textId="77777777" w:rsidR="00B42204" w:rsidRPr="00206556" w:rsidRDefault="00B42204" w:rsidP="00B42204">
      <w:pPr>
        <w:spacing w:after="0" w:line="276" w:lineRule="auto"/>
        <w:jc w:val="both"/>
        <w:rPr>
          <w:rFonts w:ascii="Verdana" w:hAnsi="Verdana" w:cs="Arial"/>
          <w:color w:val="ED7D31" w:themeColor="accent2"/>
          <w:shd w:val="clear" w:color="auto" w:fill="FFFFFF"/>
          <w:lang w:val="es-ES"/>
        </w:rPr>
      </w:pPr>
    </w:p>
    <w:p w14:paraId="12C4F621" w14:textId="77777777" w:rsidR="00B42204" w:rsidRPr="00206556" w:rsidRDefault="00B42204" w:rsidP="00B42204">
      <w:pPr>
        <w:spacing w:after="0" w:line="276" w:lineRule="auto"/>
        <w:jc w:val="both"/>
        <w:rPr>
          <w:rFonts w:ascii="Verdana" w:hAnsi="Verdana" w:cs="Arial"/>
          <w:color w:val="ED7D31" w:themeColor="accent2"/>
          <w:shd w:val="clear" w:color="auto" w:fill="FFFFFF"/>
        </w:rPr>
      </w:pPr>
    </w:p>
    <w:p w14:paraId="292311C7"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 xml:space="preserve">Por último, lo invitamos a seguirnos en las redes sociales en las cuales se difunde información institucional: </w:t>
      </w:r>
    </w:p>
    <w:p w14:paraId="416DC534" w14:textId="77777777" w:rsidR="00B42204" w:rsidRPr="00206556" w:rsidRDefault="00B42204" w:rsidP="00B42204">
      <w:pPr>
        <w:spacing w:after="0"/>
        <w:jc w:val="both"/>
        <w:rPr>
          <w:rFonts w:ascii="Verdana" w:hAnsi="Verdana" w:cs="Arial"/>
          <w:shd w:val="clear" w:color="auto" w:fill="FFFFFF"/>
        </w:rPr>
      </w:pPr>
    </w:p>
    <w:p w14:paraId="2B33216D"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 xml:space="preserve">Twitter: </w:t>
      </w:r>
      <w:r>
        <w:rPr>
          <w:rStyle w:val="Hipervnculo"/>
          <w:rFonts w:ascii="Verdana" w:hAnsi="Verdana"/>
          <w:lang w:val="es-ES"/>
        </w:rPr>
        <w:t>@colombiacompra</w:t>
      </w:r>
      <w:r>
        <w:rPr>
          <w:rStyle w:val="Hipervnculo"/>
          <w:rFonts w:ascii="Verdana" w:hAnsi="Verdana"/>
          <w:color w:val="auto"/>
          <w:lang w:val="es-ES"/>
        </w:rPr>
        <w:t xml:space="preserve"> </w:t>
      </w:r>
    </w:p>
    <w:p w14:paraId="63961BA7"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Facebook:</w:t>
      </w:r>
      <w:r>
        <w:rPr>
          <w:rStyle w:val="Hipervnculo"/>
          <w:rFonts w:ascii="Verdana" w:hAnsi="Verdana"/>
          <w:lang w:val="es-ES"/>
        </w:rPr>
        <w:t xml:space="preserve"> </w:t>
      </w:r>
      <w:proofErr w:type="spellStart"/>
      <w:r>
        <w:rPr>
          <w:rStyle w:val="Hipervnculo"/>
          <w:rFonts w:ascii="Verdana" w:hAnsi="Verdana"/>
          <w:lang w:val="es-ES"/>
        </w:rPr>
        <w:t>ColombiaCompraEficiente</w:t>
      </w:r>
      <w:proofErr w:type="spellEnd"/>
    </w:p>
    <w:p w14:paraId="10AFB355"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 xml:space="preserve">LinkedIn: </w:t>
      </w:r>
      <w:r>
        <w:rPr>
          <w:rStyle w:val="Hipervnculo"/>
          <w:rFonts w:ascii="Verdana" w:hAnsi="Verdana"/>
          <w:lang w:val="es-ES"/>
        </w:rPr>
        <w:t>Agencia Nacional de Contratación Pública - Colombia Compra Eficiente</w:t>
      </w:r>
      <w:r>
        <w:rPr>
          <w:rFonts w:ascii="Verdana" w:hAnsi="Verdana" w:cs="Arial"/>
          <w:color w:val="0000FF"/>
          <w:shd w:val="clear" w:color="auto" w:fill="FFFFFF"/>
        </w:rPr>
        <w:t xml:space="preserve"> </w:t>
      </w:r>
    </w:p>
    <w:p w14:paraId="3F7F794E"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 xml:space="preserve">Instagram: </w:t>
      </w:r>
      <w:r>
        <w:rPr>
          <w:rStyle w:val="Hipervnculo"/>
          <w:rFonts w:ascii="Verdana" w:hAnsi="Verdana"/>
          <w:lang w:val="es-ES"/>
        </w:rPr>
        <w:t>@colombiacompraeficiente_cce</w:t>
      </w:r>
    </w:p>
    <w:p w14:paraId="185D6C5F" w14:textId="77777777" w:rsidR="00B42204" w:rsidRPr="00206556" w:rsidRDefault="00B42204" w:rsidP="00B42204">
      <w:pPr>
        <w:widowControl w:val="0"/>
        <w:autoSpaceDE w:val="0"/>
        <w:autoSpaceDN w:val="0"/>
        <w:spacing w:after="0" w:line="276" w:lineRule="auto"/>
        <w:jc w:val="both"/>
        <w:rPr>
          <w:rFonts w:ascii="Verdana" w:hAnsi="Verdana" w:cs="Arial"/>
          <w:color w:val="ED7D31" w:themeColor="accent2"/>
          <w:lang w:val="es-ES"/>
        </w:rPr>
      </w:pPr>
    </w:p>
    <w:p w14:paraId="5313337B" w14:textId="77777777" w:rsidR="00B42204" w:rsidRPr="00206556" w:rsidRDefault="00B42204" w:rsidP="00B42204">
      <w:pPr>
        <w:widowControl w:val="0"/>
        <w:autoSpaceDE w:val="0"/>
        <w:autoSpaceDN w:val="0"/>
        <w:spacing w:after="0" w:line="276" w:lineRule="auto"/>
        <w:jc w:val="both"/>
        <w:rPr>
          <w:rFonts w:ascii="Verdana" w:hAnsi="Verdana" w:cs="Arial"/>
          <w:lang w:val="es-ES"/>
        </w:rPr>
      </w:pPr>
      <w:r>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2AACDA7" w14:textId="77777777" w:rsidR="00B42204" w:rsidRPr="00206556" w:rsidRDefault="00B42204" w:rsidP="00B42204">
      <w:pPr>
        <w:widowControl w:val="0"/>
        <w:autoSpaceDE w:val="0"/>
        <w:autoSpaceDN w:val="0"/>
        <w:spacing w:after="0" w:line="276" w:lineRule="auto"/>
        <w:jc w:val="both"/>
        <w:rPr>
          <w:rFonts w:ascii="Verdana" w:hAnsi="Verdana" w:cs="Arial"/>
          <w:lang w:val="es-ES"/>
        </w:rPr>
      </w:pPr>
    </w:p>
    <w:p w14:paraId="0DA03C97" w14:textId="77777777" w:rsidR="00B42204" w:rsidRDefault="00B42204" w:rsidP="00B42204">
      <w:pPr>
        <w:spacing w:after="0" w:line="276" w:lineRule="auto"/>
        <w:rPr>
          <w:rFonts w:ascii="Verdana" w:hAnsi="Verdana" w:cs="Arial"/>
          <w:lang w:val="es-ES" w:eastAsia="es-CO"/>
        </w:rPr>
      </w:pPr>
      <w:r>
        <w:rPr>
          <w:rFonts w:ascii="Verdana" w:eastAsia="Times New Roman" w:hAnsi="Verdana" w:cs="Arial"/>
          <w:lang w:val="es-ES" w:eastAsia="es-CO"/>
        </w:rPr>
        <w:t>Atentamente,</w:t>
      </w:r>
      <w:r>
        <w:rPr>
          <w:rFonts w:ascii="Verdana" w:hAnsi="Verdana" w:cs="Arial"/>
          <w:lang w:val="es-ES" w:eastAsia="es-CO"/>
        </w:rPr>
        <w:t xml:space="preserve"> </w:t>
      </w:r>
    </w:p>
    <w:p w14:paraId="6B4CF40A" w14:textId="77777777" w:rsidR="00B42204" w:rsidRDefault="00B42204" w:rsidP="00B42204">
      <w:pPr>
        <w:spacing w:after="0" w:line="276" w:lineRule="auto"/>
        <w:rPr>
          <w:rFonts w:ascii="Verdana" w:hAnsi="Verdana" w:cs="Arial"/>
          <w:lang w:val="es-ES" w:eastAsia="es-CO"/>
        </w:rPr>
      </w:pPr>
    </w:p>
    <w:p w14:paraId="324D9551" w14:textId="5CDDE628" w:rsidR="00B42204" w:rsidRPr="00206556" w:rsidRDefault="00A96107" w:rsidP="00B42204">
      <w:pPr>
        <w:spacing w:after="0" w:line="276" w:lineRule="auto"/>
        <w:jc w:val="center"/>
        <w:rPr>
          <w:rFonts w:ascii="Verdana" w:hAnsi="Verdana" w:cs="Arial"/>
          <w:lang w:val="es-ES" w:eastAsia="es-CO"/>
        </w:rPr>
      </w:pPr>
      <w:r>
        <w:rPr>
          <w:rFonts w:ascii="Verdana" w:hAnsi="Verdana" w:cs="Arial"/>
          <w:noProof/>
          <w:lang w:val="es-ES" w:eastAsia="es-CO"/>
        </w:rPr>
        <w:lastRenderedPageBreak/>
        <w:drawing>
          <wp:anchor distT="0" distB="0" distL="114300" distR="114300" simplePos="0" relativeHeight="251659264" behindDoc="0" locked="0" layoutInCell="1" allowOverlap="1" wp14:anchorId="47D36D30" wp14:editId="58966853">
            <wp:simplePos x="0" y="0"/>
            <wp:positionH relativeFrom="column">
              <wp:posOffset>923594</wp:posOffset>
            </wp:positionH>
            <wp:positionV relativeFrom="paragraph">
              <wp:posOffset>1353</wp:posOffset>
            </wp:positionV>
            <wp:extent cx="3771900" cy="1400175"/>
            <wp:effectExtent l="0" t="0" r="0" b="9525"/>
            <wp:wrapSquare wrapText="bothSides"/>
            <wp:docPr id="2827598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59813" name="Imagen 282759813"/>
                    <pic:cNvPicPr/>
                  </pic:nvPicPr>
                  <pic:blipFill>
                    <a:blip r:embed="rId15">
                      <a:extLst>
                        <a:ext uri="{28A0092B-C50C-407E-A947-70E740481C1C}">
                          <a14:useLocalDpi xmlns:a14="http://schemas.microsoft.com/office/drawing/2010/main" val="0"/>
                        </a:ext>
                      </a:extLst>
                    </a:blip>
                    <a:stretch>
                      <a:fillRect/>
                    </a:stretch>
                  </pic:blipFill>
                  <pic:spPr>
                    <a:xfrm>
                      <a:off x="0" y="0"/>
                      <a:ext cx="3771900" cy="1400175"/>
                    </a:xfrm>
                    <a:prstGeom prst="rect">
                      <a:avLst/>
                    </a:prstGeom>
                  </pic:spPr>
                </pic:pic>
              </a:graphicData>
            </a:graphic>
          </wp:anchor>
        </w:drawing>
      </w:r>
    </w:p>
    <w:p w14:paraId="1C20DF8C" w14:textId="377381CE" w:rsidR="007C31D6" w:rsidRDefault="007C31D6" w:rsidP="007C31D6">
      <w:pPr>
        <w:spacing w:after="0" w:line="276" w:lineRule="auto"/>
        <w:jc w:val="center"/>
        <w:rPr>
          <w:rFonts w:ascii="Verdana" w:hAnsi="Verdana"/>
          <w:color w:val="000000" w:themeColor="text1"/>
          <w:lang w:val="es-ES_tradnl"/>
        </w:rPr>
      </w:pPr>
    </w:p>
    <w:p w14:paraId="660C63F3" w14:textId="77777777" w:rsidR="00A96107" w:rsidRDefault="00A96107" w:rsidP="007C31D6">
      <w:pPr>
        <w:spacing w:after="0" w:line="276" w:lineRule="auto"/>
        <w:jc w:val="center"/>
        <w:rPr>
          <w:rFonts w:ascii="Verdana" w:hAnsi="Verdana"/>
          <w:color w:val="000000" w:themeColor="text1"/>
          <w:lang w:val="es-ES_tradnl"/>
        </w:rPr>
      </w:pPr>
    </w:p>
    <w:p w14:paraId="4A61A707" w14:textId="77777777" w:rsidR="00A96107" w:rsidRDefault="00A96107" w:rsidP="007C31D6">
      <w:pPr>
        <w:spacing w:after="0" w:line="276" w:lineRule="auto"/>
        <w:jc w:val="center"/>
        <w:rPr>
          <w:rFonts w:ascii="Verdana" w:hAnsi="Verdana"/>
          <w:color w:val="000000" w:themeColor="text1"/>
          <w:lang w:val="es-ES_tradnl"/>
        </w:rPr>
      </w:pPr>
    </w:p>
    <w:p w14:paraId="1A53EAF8" w14:textId="77777777" w:rsidR="00A96107" w:rsidRDefault="00A96107" w:rsidP="007C31D6">
      <w:pPr>
        <w:spacing w:after="0" w:line="276" w:lineRule="auto"/>
        <w:jc w:val="center"/>
        <w:rPr>
          <w:rFonts w:ascii="Verdana" w:hAnsi="Verdana"/>
          <w:color w:val="000000" w:themeColor="text1"/>
          <w:lang w:val="es-ES_tradnl"/>
        </w:rPr>
      </w:pPr>
    </w:p>
    <w:p w14:paraId="1C8129DF" w14:textId="77777777" w:rsidR="00A96107" w:rsidRDefault="00A96107" w:rsidP="007C31D6">
      <w:pPr>
        <w:spacing w:after="0" w:line="276" w:lineRule="auto"/>
        <w:jc w:val="center"/>
        <w:rPr>
          <w:rFonts w:ascii="Verdana" w:hAnsi="Verdana"/>
          <w:color w:val="000000" w:themeColor="text1"/>
          <w:lang w:val="es-ES_tradnl"/>
        </w:rPr>
      </w:pPr>
    </w:p>
    <w:p w14:paraId="2A4CDE31" w14:textId="77777777" w:rsidR="00A96107" w:rsidRDefault="00A96107" w:rsidP="007C31D6">
      <w:pPr>
        <w:spacing w:after="0" w:line="276" w:lineRule="auto"/>
        <w:jc w:val="center"/>
        <w:rPr>
          <w:rFonts w:ascii="Verdana" w:hAnsi="Verdana"/>
          <w:color w:val="000000" w:themeColor="text1"/>
          <w:lang w:val="es-ES_tradnl"/>
        </w:rPr>
      </w:pPr>
    </w:p>
    <w:p w14:paraId="0635C075" w14:textId="77777777" w:rsidR="00A96107" w:rsidRDefault="00A96107" w:rsidP="007C31D6">
      <w:pPr>
        <w:spacing w:after="0" w:line="276" w:lineRule="auto"/>
        <w:jc w:val="center"/>
        <w:rPr>
          <w:rFonts w:ascii="Verdana" w:hAnsi="Verdana"/>
          <w:color w:val="000000" w:themeColor="text1"/>
          <w:lang w:val="es-ES_tradnl"/>
        </w:rPr>
      </w:pPr>
    </w:p>
    <w:p w14:paraId="3F5F8F51" w14:textId="77777777" w:rsidR="00A96107" w:rsidRPr="00D13475" w:rsidRDefault="00A96107" w:rsidP="007C31D6">
      <w:pPr>
        <w:spacing w:after="0" w:line="276" w:lineRule="auto"/>
        <w:jc w:val="center"/>
        <w:rPr>
          <w:rFonts w:ascii="Verdana" w:hAnsi="Verdana"/>
          <w:color w:val="000000" w:themeColor="text1"/>
          <w:lang w:val="es-ES_tradnl"/>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13475" w:rsidRPr="00D13475" w14:paraId="275BB42E" w14:textId="77777777" w:rsidTr="000E7260">
        <w:trPr>
          <w:trHeight w:val="315"/>
        </w:trPr>
        <w:tc>
          <w:tcPr>
            <w:tcW w:w="893" w:type="dxa"/>
            <w:vAlign w:val="center"/>
            <w:hideMark/>
          </w:tcPr>
          <w:p w14:paraId="342CC9B0"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Elaboró:</w:t>
            </w:r>
          </w:p>
        </w:tc>
        <w:tc>
          <w:tcPr>
            <w:tcW w:w="5628" w:type="dxa"/>
            <w:tcBorders>
              <w:top w:val="nil"/>
              <w:left w:val="nil"/>
              <w:bottom w:val="dotted" w:sz="4" w:space="0" w:color="7F7F7F"/>
              <w:right w:val="nil"/>
            </w:tcBorders>
            <w:vAlign w:val="center"/>
            <w:hideMark/>
          </w:tcPr>
          <w:p w14:paraId="354237E2"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Gloria Elizabeth Arango Builes</w:t>
            </w:r>
          </w:p>
          <w:p w14:paraId="4866B5DD"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Contratista de la Subdirección de Gestión Contractual</w:t>
            </w:r>
          </w:p>
        </w:tc>
      </w:tr>
      <w:tr w:rsidR="00D13475" w:rsidRPr="00D13475" w14:paraId="283ACB79" w14:textId="77777777" w:rsidTr="000E7260">
        <w:trPr>
          <w:trHeight w:val="330"/>
        </w:trPr>
        <w:tc>
          <w:tcPr>
            <w:tcW w:w="893" w:type="dxa"/>
            <w:vAlign w:val="center"/>
            <w:hideMark/>
          </w:tcPr>
          <w:p w14:paraId="041C1AD6"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Revisó:</w:t>
            </w:r>
          </w:p>
        </w:tc>
        <w:tc>
          <w:tcPr>
            <w:tcW w:w="5628" w:type="dxa"/>
            <w:tcBorders>
              <w:top w:val="dotted" w:sz="4" w:space="0" w:color="7F7F7F"/>
              <w:left w:val="nil"/>
              <w:bottom w:val="dotted" w:sz="4" w:space="0" w:color="7F7F7F"/>
              <w:right w:val="nil"/>
            </w:tcBorders>
            <w:vAlign w:val="center"/>
            <w:hideMark/>
          </w:tcPr>
          <w:p w14:paraId="453E3A37" w14:textId="3A6815DB" w:rsidR="007C31D6" w:rsidRPr="00D13475" w:rsidRDefault="00D40391" w:rsidP="000E7260">
            <w:pPr>
              <w:spacing w:line="276" w:lineRule="auto"/>
              <w:jc w:val="both"/>
              <w:rPr>
                <w:rFonts w:ascii="Verdana" w:hAnsi="Verdana"/>
                <w:color w:val="000000" w:themeColor="text1"/>
                <w:sz w:val="16"/>
                <w:szCs w:val="16"/>
              </w:rPr>
            </w:pPr>
            <w:r>
              <w:rPr>
                <w:rFonts w:ascii="Verdana" w:hAnsi="Verdana"/>
                <w:color w:val="000000" w:themeColor="text1"/>
                <w:sz w:val="16"/>
                <w:szCs w:val="16"/>
              </w:rPr>
              <w:t xml:space="preserve">Adriana </w:t>
            </w:r>
            <w:proofErr w:type="spellStart"/>
            <w:r>
              <w:rPr>
                <w:rFonts w:ascii="Verdana" w:hAnsi="Verdana"/>
                <w:color w:val="000000" w:themeColor="text1"/>
                <w:sz w:val="16"/>
                <w:szCs w:val="16"/>
              </w:rPr>
              <w:t>Katerine</w:t>
            </w:r>
            <w:proofErr w:type="spellEnd"/>
            <w:r>
              <w:rPr>
                <w:rFonts w:ascii="Verdana" w:hAnsi="Verdana"/>
                <w:color w:val="000000" w:themeColor="text1"/>
                <w:sz w:val="16"/>
                <w:szCs w:val="16"/>
              </w:rPr>
              <w:t xml:space="preserve"> López Rodríguez</w:t>
            </w:r>
          </w:p>
          <w:p w14:paraId="7F4C2BD7"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Contratista de la Subdirección de Gestión Contractual </w:t>
            </w:r>
          </w:p>
        </w:tc>
      </w:tr>
      <w:tr w:rsidR="007C31D6" w:rsidRPr="00D13475" w14:paraId="0A66432D" w14:textId="77777777" w:rsidTr="000E7260">
        <w:trPr>
          <w:trHeight w:val="300"/>
        </w:trPr>
        <w:tc>
          <w:tcPr>
            <w:tcW w:w="893" w:type="dxa"/>
            <w:vAlign w:val="center"/>
            <w:hideMark/>
          </w:tcPr>
          <w:p w14:paraId="729C97E0"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Aprobó:</w:t>
            </w:r>
          </w:p>
        </w:tc>
        <w:tc>
          <w:tcPr>
            <w:tcW w:w="5628" w:type="dxa"/>
            <w:tcBorders>
              <w:top w:val="dotted" w:sz="4" w:space="0" w:color="7F7F7F"/>
              <w:left w:val="nil"/>
              <w:bottom w:val="dotted" w:sz="4" w:space="0" w:color="7F7F7F"/>
              <w:right w:val="nil"/>
            </w:tcBorders>
            <w:vAlign w:val="center"/>
            <w:hideMark/>
          </w:tcPr>
          <w:p w14:paraId="7C7B720B" w14:textId="77777777" w:rsidR="007C31D6" w:rsidRPr="00D13475" w:rsidRDefault="007C31D6" w:rsidP="000E7260">
            <w:pPr>
              <w:spacing w:line="276" w:lineRule="auto"/>
              <w:jc w:val="both"/>
              <w:rPr>
                <w:rFonts w:ascii="Verdana" w:hAnsi="Verdana"/>
                <w:color w:val="000000" w:themeColor="text1"/>
                <w:sz w:val="16"/>
                <w:szCs w:val="16"/>
                <w:lang w:val="pt-BR"/>
              </w:rPr>
            </w:pPr>
            <w:r w:rsidRPr="00D13475">
              <w:rPr>
                <w:rFonts w:ascii="Verdana" w:hAnsi="Verdana"/>
                <w:color w:val="000000" w:themeColor="text1"/>
                <w:sz w:val="16"/>
                <w:szCs w:val="16"/>
                <w:lang w:val="pt-BR"/>
              </w:rPr>
              <w:t xml:space="preserve">Carolina Quintero </w:t>
            </w:r>
            <w:proofErr w:type="spellStart"/>
            <w:r w:rsidRPr="00D13475">
              <w:rPr>
                <w:rFonts w:ascii="Verdana" w:hAnsi="Verdana"/>
                <w:color w:val="000000" w:themeColor="text1"/>
                <w:sz w:val="16"/>
                <w:szCs w:val="16"/>
                <w:lang w:val="pt-BR"/>
              </w:rPr>
              <w:t>Gacharná</w:t>
            </w:r>
            <w:proofErr w:type="spellEnd"/>
          </w:p>
          <w:p w14:paraId="26D31200" w14:textId="77777777" w:rsidR="007C31D6" w:rsidRPr="00D13475" w:rsidRDefault="007C31D6" w:rsidP="000E7260">
            <w:pPr>
              <w:spacing w:line="276" w:lineRule="auto"/>
              <w:jc w:val="both"/>
              <w:rPr>
                <w:rFonts w:ascii="Verdana" w:hAnsi="Verdana"/>
                <w:color w:val="000000" w:themeColor="text1"/>
                <w:sz w:val="16"/>
                <w:szCs w:val="16"/>
                <w:lang w:val="pt-BR"/>
              </w:rPr>
            </w:pPr>
            <w:r w:rsidRPr="00D13475">
              <w:rPr>
                <w:rFonts w:ascii="Verdana" w:hAnsi="Verdana"/>
                <w:color w:val="000000" w:themeColor="text1"/>
                <w:sz w:val="16"/>
                <w:szCs w:val="16"/>
              </w:rPr>
              <w:t>Subdirectora</w:t>
            </w:r>
            <w:r w:rsidRPr="00D13475">
              <w:rPr>
                <w:rFonts w:ascii="Verdana" w:hAnsi="Verdana"/>
                <w:color w:val="000000" w:themeColor="text1"/>
                <w:sz w:val="16"/>
                <w:szCs w:val="16"/>
                <w:lang w:val="pt-BR"/>
              </w:rPr>
              <w:t xml:space="preserve"> de Gestión Contratual ANCP – CCE</w:t>
            </w:r>
          </w:p>
        </w:tc>
      </w:tr>
    </w:tbl>
    <w:p w14:paraId="7C9026E2" w14:textId="77777777" w:rsidR="002A0DD0" w:rsidRPr="00D13475" w:rsidRDefault="002A0DD0" w:rsidP="30821638">
      <w:pPr>
        <w:spacing w:after="0" w:line="240" w:lineRule="auto"/>
        <w:jc w:val="both"/>
        <w:rPr>
          <w:rFonts w:ascii="Verdana" w:eastAsia="Verdana" w:hAnsi="Verdana" w:cs="Verdana"/>
          <w:b/>
          <w:bCs/>
          <w:color w:val="000000" w:themeColor="text1"/>
          <w:lang w:val="es-MX"/>
        </w:rPr>
      </w:pPr>
    </w:p>
    <w:p w14:paraId="1006A388" w14:textId="77777777" w:rsidR="00C15139" w:rsidRPr="00D13475" w:rsidRDefault="00C15139" w:rsidP="30821638">
      <w:pPr>
        <w:spacing w:after="0" w:line="240" w:lineRule="auto"/>
        <w:jc w:val="both"/>
        <w:textAlignment w:val="baseline"/>
        <w:rPr>
          <w:rFonts w:ascii="Verdana" w:eastAsia="Verdana" w:hAnsi="Verdana" w:cs="Verdana"/>
          <w:color w:val="000000" w:themeColor="text1"/>
          <w:lang w:eastAsia="es-CO"/>
        </w:rPr>
      </w:pPr>
    </w:p>
    <w:p w14:paraId="69BC4D14" w14:textId="5F436481" w:rsidR="00C15139" w:rsidRPr="00D13475" w:rsidRDefault="00C15139" w:rsidP="30821638">
      <w:pPr>
        <w:spacing w:after="0" w:line="240" w:lineRule="auto"/>
        <w:textAlignment w:val="baseline"/>
        <w:rPr>
          <w:rFonts w:ascii="Verdana" w:eastAsia="Verdana" w:hAnsi="Verdana" w:cs="Verdana"/>
          <w:color w:val="000000" w:themeColor="text1"/>
          <w:lang w:eastAsia="es-CO"/>
        </w:rPr>
      </w:pPr>
      <w:r w:rsidRPr="00D13475">
        <w:rPr>
          <w:rFonts w:ascii="Verdana" w:eastAsia="Verdana" w:hAnsi="Verdana" w:cs="Verdana"/>
          <w:color w:val="000000" w:themeColor="text1"/>
          <w:lang w:eastAsia="es-CO"/>
        </w:rPr>
        <w:t> </w:t>
      </w:r>
      <w:bookmarkEnd w:id="0"/>
    </w:p>
    <w:sectPr w:rsidR="00C15139" w:rsidRPr="00D13475" w:rsidSect="007C0C0F">
      <w:headerReference w:type="default" r:id="rId16"/>
      <w:footerReference w:type="defaul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E2889" w14:textId="77777777" w:rsidR="000A21E7" w:rsidRDefault="000A21E7" w:rsidP="004A1847">
      <w:pPr>
        <w:spacing w:after="0" w:line="240" w:lineRule="auto"/>
      </w:pPr>
      <w:r>
        <w:separator/>
      </w:r>
    </w:p>
  </w:endnote>
  <w:endnote w:type="continuationSeparator" w:id="0">
    <w:p w14:paraId="7AA86666" w14:textId="77777777" w:rsidR="000A21E7" w:rsidRDefault="000A21E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17412" w14:textId="77777777" w:rsidR="000A21E7" w:rsidRDefault="000A21E7" w:rsidP="004A1847">
      <w:pPr>
        <w:spacing w:after="0" w:line="240" w:lineRule="auto"/>
      </w:pPr>
      <w:r>
        <w:separator/>
      </w:r>
    </w:p>
  </w:footnote>
  <w:footnote w:type="continuationSeparator" w:id="0">
    <w:p w14:paraId="0FFC68F9" w14:textId="77777777" w:rsidR="000A21E7" w:rsidRDefault="000A21E7" w:rsidP="004A1847">
      <w:pPr>
        <w:spacing w:after="0" w:line="240" w:lineRule="auto"/>
      </w:pPr>
      <w:r>
        <w:continuationSeparator/>
      </w:r>
    </w:p>
  </w:footnote>
  <w:footnote w:id="1">
    <w:p w14:paraId="25631430" w14:textId="77777777" w:rsidR="00E52938" w:rsidRPr="00206556" w:rsidRDefault="00E52938" w:rsidP="00E52938">
      <w:pPr>
        <w:spacing w:after="80" w:line="240" w:lineRule="auto"/>
        <w:ind w:firstLine="708"/>
        <w:jc w:val="both"/>
        <w:rPr>
          <w:rFonts w:ascii="Verdana" w:eastAsia="Times New Roman" w:hAnsi="Verdana" w:cs="Times New Roman"/>
          <w:sz w:val="16"/>
          <w:szCs w:val="16"/>
        </w:rPr>
      </w:pPr>
      <w:r w:rsidRPr="001C2502">
        <w:rPr>
          <w:rStyle w:val="Refdenotaalpie"/>
          <w:rFonts w:ascii="Verdana" w:hAnsi="Verdana"/>
          <w:sz w:val="16"/>
          <w:szCs w:val="16"/>
        </w:rPr>
        <w:footnoteRef/>
      </w:r>
      <w:r w:rsidRPr="001C2502">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 13. </w:t>
      </w:r>
    </w:p>
    <w:p w14:paraId="650A3B45" w14:textId="77777777" w:rsidR="00E52938" w:rsidRPr="00206556" w:rsidRDefault="00E52938" w:rsidP="00E52938">
      <w:pPr>
        <w:spacing w:after="80" w:line="240" w:lineRule="auto"/>
        <w:ind w:firstLine="708"/>
        <w:jc w:val="both"/>
        <w:rPr>
          <w:rFonts w:ascii="Verdana" w:hAnsi="Verdana"/>
          <w:sz w:val="16"/>
          <w:szCs w:val="16"/>
        </w:rPr>
      </w:pPr>
    </w:p>
  </w:footnote>
  <w:footnote w:id="2">
    <w:p w14:paraId="5490AAFE" w14:textId="77777777" w:rsidR="00E52938" w:rsidRPr="00206556" w:rsidRDefault="00E52938" w:rsidP="00E52938">
      <w:pPr>
        <w:pStyle w:val="Textonotapie"/>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Artículos 47 y 54. </w:t>
      </w:r>
    </w:p>
    <w:p w14:paraId="4CFCC5D0" w14:textId="77777777" w:rsidR="00E52938" w:rsidRPr="00206556" w:rsidRDefault="00E52938" w:rsidP="00E52938">
      <w:pPr>
        <w:pStyle w:val="Textonotapie"/>
        <w:ind w:firstLine="708"/>
        <w:jc w:val="both"/>
        <w:rPr>
          <w:rFonts w:ascii="Verdana" w:hAnsi="Verdana"/>
          <w:sz w:val="16"/>
          <w:szCs w:val="16"/>
          <w:lang w:val="es-ES"/>
        </w:rPr>
      </w:pPr>
    </w:p>
  </w:footnote>
  <w:footnote w:id="3">
    <w:p w14:paraId="183D99DA" w14:textId="77777777" w:rsidR="00E52938" w:rsidRPr="00206556" w:rsidRDefault="00E52938" w:rsidP="00E52938">
      <w:pPr>
        <w:spacing w:after="80" w:line="240" w:lineRule="auto"/>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las Naciones Unidas. (2006). Convención sobre los Derechos de las Personas con Discapacidad. Nueva York: ONU. Aprobada en Colombia mediante: Colombia. Congreso de la República. (31 de julio de 2009). Ley 1346 de 2009. Diario Oficial 47427.</w:t>
      </w:r>
    </w:p>
    <w:p w14:paraId="0E43F925" w14:textId="77777777" w:rsidR="00E52938" w:rsidRPr="00206556" w:rsidRDefault="00E52938" w:rsidP="00E52938">
      <w:pPr>
        <w:spacing w:after="80" w:line="240" w:lineRule="auto"/>
        <w:ind w:firstLine="708"/>
        <w:jc w:val="both"/>
        <w:rPr>
          <w:rFonts w:ascii="Verdana" w:hAnsi="Verdana"/>
          <w:sz w:val="16"/>
          <w:szCs w:val="16"/>
        </w:rPr>
      </w:pPr>
    </w:p>
  </w:footnote>
  <w:footnote w:id="4">
    <w:p w14:paraId="60B9B5B7" w14:textId="77777777" w:rsidR="00E52938" w:rsidRPr="00206556" w:rsidRDefault="00E52938" w:rsidP="00E52938">
      <w:pPr>
        <w:pStyle w:val="Textonotapie"/>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los Estados Americanos. (1999). Convención Interamericana para la Eliminación de todas las Formas de Discriminación contra las Personas con Discapacidad. Ciudad de Guatemala. Aprobada en Colombia mediante: Colombia. Congreso de la República. (31 de julio de 2002). Ley 762 de 2002. Diario Oficial 44889.</w:t>
      </w:r>
    </w:p>
    <w:p w14:paraId="4F7D0CF0" w14:textId="77777777" w:rsidR="00E52938" w:rsidRPr="00206556" w:rsidRDefault="00E52938" w:rsidP="00E52938">
      <w:pPr>
        <w:pStyle w:val="Textonotapie"/>
        <w:ind w:firstLine="708"/>
        <w:jc w:val="both"/>
        <w:rPr>
          <w:rFonts w:ascii="Verdana" w:hAnsi="Verdana"/>
          <w:sz w:val="16"/>
          <w:szCs w:val="16"/>
          <w:lang w:val="es-ES"/>
        </w:rPr>
      </w:pPr>
    </w:p>
  </w:footnote>
  <w:footnote w:id="5">
    <w:p w14:paraId="0B663CC4" w14:textId="77777777" w:rsidR="00E52938" w:rsidRPr="00206556" w:rsidRDefault="00E52938" w:rsidP="00E52938">
      <w:pPr>
        <w:pStyle w:val="Textonotapie"/>
        <w:ind w:firstLine="708"/>
        <w:jc w:val="both"/>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Organización Internacional del Trabajo. (1983). Convenio sobre la readaptación profesional y el empleo (personas inválidas), núm. 159. Ginebra: OIT. Aprobado en Colombia mediante: Colombia. Congreso de la República. (23 de diciembre de 1988). Ley 82 de 1988. Diario Oficial 38608.</w:t>
      </w:r>
    </w:p>
    <w:p w14:paraId="6C35DC0E" w14:textId="77777777" w:rsidR="00E52938" w:rsidRPr="00206556" w:rsidRDefault="00E52938" w:rsidP="00E52938">
      <w:pPr>
        <w:pStyle w:val="Textonotapie"/>
        <w:ind w:firstLine="708"/>
        <w:jc w:val="both"/>
        <w:rPr>
          <w:rFonts w:ascii="Verdana" w:hAnsi="Verdana"/>
          <w:sz w:val="16"/>
          <w:szCs w:val="16"/>
          <w:lang w:val="es-ES"/>
        </w:rPr>
      </w:pPr>
    </w:p>
  </w:footnote>
  <w:footnote w:id="6">
    <w:p w14:paraId="6947EF68" w14:textId="77777777" w:rsidR="00E52938" w:rsidRPr="00206556" w:rsidRDefault="00E52938" w:rsidP="00E52938">
      <w:pPr>
        <w:pStyle w:val="Textonotapie"/>
        <w:ind w:firstLine="708"/>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(7 de febrero de 1997). Ley 361 de 1997, por la cual se establecen mecanismos de integración social de las personas con limitación y se dictan otras disposiciones. Artículo 24. Diario Oficial 42978.</w:t>
      </w:r>
    </w:p>
    <w:p w14:paraId="07B85F66" w14:textId="77777777" w:rsidR="00E52938" w:rsidRPr="00206556" w:rsidRDefault="00E52938" w:rsidP="00E52938">
      <w:pPr>
        <w:pStyle w:val="Textonotapie"/>
        <w:ind w:firstLine="708"/>
        <w:rPr>
          <w:rFonts w:ascii="Verdana" w:hAnsi="Verdana"/>
          <w:sz w:val="16"/>
          <w:szCs w:val="16"/>
          <w:lang w:val="es-ES"/>
        </w:rPr>
      </w:pPr>
    </w:p>
  </w:footnote>
  <w:footnote w:id="7">
    <w:p w14:paraId="47306DC6" w14:textId="77777777" w:rsidR="00E52938" w:rsidRPr="00206556" w:rsidRDefault="00E52938" w:rsidP="00E52938">
      <w:pPr>
        <w:pStyle w:val="Textonotapie"/>
        <w:ind w:firstLine="708"/>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Artículo 2, numeral 1. Diario Oficial 48717.</w:t>
      </w:r>
    </w:p>
    <w:p w14:paraId="27F014BB" w14:textId="77777777" w:rsidR="00E52938" w:rsidRPr="00206556" w:rsidRDefault="00E52938" w:rsidP="00E52938">
      <w:pPr>
        <w:pStyle w:val="Textonotapie"/>
        <w:ind w:firstLine="708"/>
        <w:rPr>
          <w:rFonts w:ascii="Verdana" w:hAnsi="Verdana"/>
          <w:sz w:val="16"/>
          <w:szCs w:val="16"/>
          <w:lang w:val="es-ES"/>
        </w:rPr>
      </w:pPr>
    </w:p>
  </w:footnote>
  <w:footnote w:id="8">
    <w:p w14:paraId="40580E91" w14:textId="77777777" w:rsidR="00E52938" w:rsidRPr="00206556" w:rsidRDefault="00E52938" w:rsidP="00E52938">
      <w:pPr>
        <w:pStyle w:val="Textonotapie"/>
        <w:ind w:firstLine="708"/>
        <w:rPr>
          <w:rFonts w:ascii="Verdana" w:hAnsi="Verdana"/>
          <w:sz w:val="16"/>
          <w:szCs w:val="16"/>
          <w:lang w:val="es-ES"/>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por medio de la cual se establecen las disposiciones para garantizar el pleno ejercicio de los derechos de las personas con discapacidad. Artículo 13, numerales 1, 7 y 8. Diario Oficial 48717.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17A1800"/>
    <w:multiLevelType w:val="hybridMultilevel"/>
    <w:tmpl w:val="9C3292A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2090739E"/>
    <w:multiLevelType w:val="multilevel"/>
    <w:tmpl w:val="7BB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84042B"/>
    <w:multiLevelType w:val="multilevel"/>
    <w:tmpl w:val="402EB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FF0212F"/>
    <w:multiLevelType w:val="hybridMultilevel"/>
    <w:tmpl w:val="949CBC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F371B4A"/>
    <w:multiLevelType w:val="hybridMultilevel"/>
    <w:tmpl w:val="7D8AB1EA"/>
    <w:lvl w:ilvl="0" w:tplc="240A000F">
      <w:start w:val="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8"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CC6F5F"/>
    <w:multiLevelType w:val="hybridMultilevel"/>
    <w:tmpl w:val="D2B62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FC3243A"/>
    <w:multiLevelType w:val="hybridMultilevel"/>
    <w:tmpl w:val="FD2897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10"/>
  </w:num>
  <w:num w:numId="2" w16cid:durableId="19822139">
    <w:abstractNumId w:val="3"/>
  </w:num>
  <w:num w:numId="3" w16cid:durableId="876742304">
    <w:abstractNumId w:val="8"/>
  </w:num>
  <w:num w:numId="4" w16cid:durableId="2451864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20"/>
  </w:num>
  <w:num w:numId="7" w16cid:durableId="1946422806">
    <w:abstractNumId w:val="9"/>
  </w:num>
  <w:num w:numId="8" w16cid:durableId="152644682">
    <w:abstractNumId w:val="19"/>
  </w:num>
  <w:num w:numId="9" w16cid:durableId="1317221377">
    <w:abstractNumId w:val="11"/>
  </w:num>
  <w:num w:numId="10" w16cid:durableId="1471245386">
    <w:abstractNumId w:val="18"/>
  </w:num>
  <w:num w:numId="11" w16cid:durableId="289172385">
    <w:abstractNumId w:val="12"/>
  </w:num>
  <w:num w:numId="12" w16cid:durableId="1470781324">
    <w:abstractNumId w:val="1"/>
  </w:num>
  <w:num w:numId="13" w16cid:durableId="1512908409">
    <w:abstractNumId w:val="7"/>
  </w:num>
  <w:num w:numId="14" w16cid:durableId="895897244">
    <w:abstractNumId w:val="21"/>
  </w:num>
  <w:num w:numId="15" w16cid:durableId="390349800">
    <w:abstractNumId w:val="17"/>
  </w:num>
  <w:num w:numId="16" w16cid:durableId="341274352">
    <w:abstractNumId w:val="0"/>
  </w:num>
  <w:num w:numId="17" w16cid:durableId="679089576">
    <w:abstractNumId w:val="13"/>
  </w:num>
  <w:num w:numId="18" w16cid:durableId="1290623316">
    <w:abstractNumId w:val="4"/>
  </w:num>
  <w:num w:numId="19" w16cid:durableId="784039179">
    <w:abstractNumId w:val="22"/>
  </w:num>
  <w:num w:numId="20" w16cid:durableId="153255849">
    <w:abstractNumId w:val="15"/>
  </w:num>
  <w:num w:numId="21" w16cid:durableId="2067800759">
    <w:abstractNumId w:val="6"/>
  </w:num>
  <w:num w:numId="22" w16cid:durableId="1018896880">
    <w:abstractNumId w:val="5"/>
  </w:num>
  <w:num w:numId="23" w16cid:durableId="1897617933">
    <w:abstractNumId w:val="16"/>
  </w:num>
  <w:num w:numId="24" w16cid:durableId="457456159">
    <w:abstractNumId w:val="14"/>
  </w:num>
  <w:num w:numId="25" w16cid:durableId="1386635206">
    <w:abstractNumId w:val="23"/>
  </w:num>
  <w:num w:numId="26" w16cid:durableId="1245649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1D01"/>
    <w:rsid w:val="00061B2A"/>
    <w:rsid w:val="00082362"/>
    <w:rsid w:val="00093BF9"/>
    <w:rsid w:val="000A21E7"/>
    <w:rsid w:val="000A683E"/>
    <w:rsid w:val="000B19B9"/>
    <w:rsid w:val="000C47B9"/>
    <w:rsid w:val="000C7411"/>
    <w:rsid w:val="000D0334"/>
    <w:rsid w:val="000D5DA7"/>
    <w:rsid w:val="000F6486"/>
    <w:rsid w:val="00116940"/>
    <w:rsid w:val="00125105"/>
    <w:rsid w:val="00127233"/>
    <w:rsid w:val="0015699B"/>
    <w:rsid w:val="00172DEB"/>
    <w:rsid w:val="001A33BF"/>
    <w:rsid w:val="001B7673"/>
    <w:rsid w:val="001D6B44"/>
    <w:rsid w:val="001E4177"/>
    <w:rsid w:val="001F0B24"/>
    <w:rsid w:val="001F7DC6"/>
    <w:rsid w:val="002161D5"/>
    <w:rsid w:val="0022400B"/>
    <w:rsid w:val="0023710D"/>
    <w:rsid w:val="002421BB"/>
    <w:rsid w:val="0024444B"/>
    <w:rsid w:val="00244BBA"/>
    <w:rsid w:val="0025796E"/>
    <w:rsid w:val="0027017D"/>
    <w:rsid w:val="002707A2"/>
    <w:rsid w:val="002951A0"/>
    <w:rsid w:val="002962BC"/>
    <w:rsid w:val="002A093D"/>
    <w:rsid w:val="002A0DD0"/>
    <w:rsid w:val="002A3275"/>
    <w:rsid w:val="002A49AC"/>
    <w:rsid w:val="002A64FD"/>
    <w:rsid w:val="002C39A1"/>
    <w:rsid w:val="002C7A84"/>
    <w:rsid w:val="002E2BF8"/>
    <w:rsid w:val="002E4FD9"/>
    <w:rsid w:val="002F0E98"/>
    <w:rsid w:val="0030657A"/>
    <w:rsid w:val="00322A85"/>
    <w:rsid w:val="00324168"/>
    <w:rsid w:val="00330834"/>
    <w:rsid w:val="003448F4"/>
    <w:rsid w:val="003640DC"/>
    <w:rsid w:val="00366A6E"/>
    <w:rsid w:val="00374F5E"/>
    <w:rsid w:val="0037799F"/>
    <w:rsid w:val="00377E3E"/>
    <w:rsid w:val="003A779E"/>
    <w:rsid w:val="003C049F"/>
    <w:rsid w:val="003D0F4D"/>
    <w:rsid w:val="003D5B0D"/>
    <w:rsid w:val="003E0499"/>
    <w:rsid w:val="003E4F80"/>
    <w:rsid w:val="003E6439"/>
    <w:rsid w:val="003F3941"/>
    <w:rsid w:val="00406575"/>
    <w:rsid w:val="00414C74"/>
    <w:rsid w:val="0042722E"/>
    <w:rsid w:val="0044528D"/>
    <w:rsid w:val="00466E39"/>
    <w:rsid w:val="00485824"/>
    <w:rsid w:val="004A1847"/>
    <w:rsid w:val="004A305D"/>
    <w:rsid w:val="004F21C4"/>
    <w:rsid w:val="004F685F"/>
    <w:rsid w:val="00522FFE"/>
    <w:rsid w:val="00526405"/>
    <w:rsid w:val="00530B2E"/>
    <w:rsid w:val="005566E8"/>
    <w:rsid w:val="00574867"/>
    <w:rsid w:val="00591460"/>
    <w:rsid w:val="005A65E0"/>
    <w:rsid w:val="005B79CE"/>
    <w:rsid w:val="005C3777"/>
    <w:rsid w:val="005C5CDC"/>
    <w:rsid w:val="005D01AA"/>
    <w:rsid w:val="005D476C"/>
    <w:rsid w:val="006200BF"/>
    <w:rsid w:val="006219F8"/>
    <w:rsid w:val="006302F7"/>
    <w:rsid w:val="00641DA9"/>
    <w:rsid w:val="00646B9F"/>
    <w:rsid w:val="00665D70"/>
    <w:rsid w:val="0068231B"/>
    <w:rsid w:val="006900D9"/>
    <w:rsid w:val="006D38F4"/>
    <w:rsid w:val="00706C16"/>
    <w:rsid w:val="007229A0"/>
    <w:rsid w:val="007340C3"/>
    <w:rsid w:val="00740302"/>
    <w:rsid w:val="0075235A"/>
    <w:rsid w:val="00756841"/>
    <w:rsid w:val="007649AB"/>
    <w:rsid w:val="00771D0C"/>
    <w:rsid w:val="007833AC"/>
    <w:rsid w:val="007A4245"/>
    <w:rsid w:val="007B268C"/>
    <w:rsid w:val="007B7171"/>
    <w:rsid w:val="007C0C0F"/>
    <w:rsid w:val="007C31D6"/>
    <w:rsid w:val="007C3DC2"/>
    <w:rsid w:val="007D1F56"/>
    <w:rsid w:val="007E5497"/>
    <w:rsid w:val="00804F48"/>
    <w:rsid w:val="00806F5F"/>
    <w:rsid w:val="0081120D"/>
    <w:rsid w:val="00820278"/>
    <w:rsid w:val="008258C9"/>
    <w:rsid w:val="00844AE9"/>
    <w:rsid w:val="00862A50"/>
    <w:rsid w:val="008675D1"/>
    <w:rsid w:val="00867F95"/>
    <w:rsid w:val="00880CB3"/>
    <w:rsid w:val="008843B6"/>
    <w:rsid w:val="00891928"/>
    <w:rsid w:val="008958F6"/>
    <w:rsid w:val="008A446D"/>
    <w:rsid w:val="008B25F1"/>
    <w:rsid w:val="008D180B"/>
    <w:rsid w:val="008D2999"/>
    <w:rsid w:val="008F0EA7"/>
    <w:rsid w:val="00904B8A"/>
    <w:rsid w:val="00914AB2"/>
    <w:rsid w:val="00923EEF"/>
    <w:rsid w:val="009419F9"/>
    <w:rsid w:val="0095685E"/>
    <w:rsid w:val="00961B09"/>
    <w:rsid w:val="00965334"/>
    <w:rsid w:val="0097093E"/>
    <w:rsid w:val="00991C7D"/>
    <w:rsid w:val="009979E9"/>
    <w:rsid w:val="009A0DFA"/>
    <w:rsid w:val="009A1C6F"/>
    <w:rsid w:val="009B2D26"/>
    <w:rsid w:val="009B547B"/>
    <w:rsid w:val="009C377C"/>
    <w:rsid w:val="009C4CA5"/>
    <w:rsid w:val="009C71FA"/>
    <w:rsid w:val="009C72E7"/>
    <w:rsid w:val="009C7F7E"/>
    <w:rsid w:val="009D25AB"/>
    <w:rsid w:val="009D3058"/>
    <w:rsid w:val="009F3A13"/>
    <w:rsid w:val="009F569E"/>
    <w:rsid w:val="00A122D3"/>
    <w:rsid w:val="00A14468"/>
    <w:rsid w:val="00A17F13"/>
    <w:rsid w:val="00A20739"/>
    <w:rsid w:val="00A23AF9"/>
    <w:rsid w:val="00A30ED9"/>
    <w:rsid w:val="00A33C78"/>
    <w:rsid w:val="00A421A1"/>
    <w:rsid w:val="00A743CE"/>
    <w:rsid w:val="00A951C3"/>
    <w:rsid w:val="00A96107"/>
    <w:rsid w:val="00AB0ADB"/>
    <w:rsid w:val="00AD0C24"/>
    <w:rsid w:val="00AE40CC"/>
    <w:rsid w:val="00AF1D25"/>
    <w:rsid w:val="00B00C0E"/>
    <w:rsid w:val="00B01B1A"/>
    <w:rsid w:val="00B0381D"/>
    <w:rsid w:val="00B232BB"/>
    <w:rsid w:val="00B42204"/>
    <w:rsid w:val="00B44A47"/>
    <w:rsid w:val="00B72CD3"/>
    <w:rsid w:val="00B72FFF"/>
    <w:rsid w:val="00BC3D36"/>
    <w:rsid w:val="00BD40B4"/>
    <w:rsid w:val="00BD54A6"/>
    <w:rsid w:val="00BD7F72"/>
    <w:rsid w:val="00BF7425"/>
    <w:rsid w:val="00C04FB3"/>
    <w:rsid w:val="00C11D8B"/>
    <w:rsid w:val="00C11FDA"/>
    <w:rsid w:val="00C15139"/>
    <w:rsid w:val="00C330EB"/>
    <w:rsid w:val="00C3587D"/>
    <w:rsid w:val="00C42100"/>
    <w:rsid w:val="00C50D69"/>
    <w:rsid w:val="00C5365C"/>
    <w:rsid w:val="00C5512D"/>
    <w:rsid w:val="00C752CD"/>
    <w:rsid w:val="00C754BE"/>
    <w:rsid w:val="00C76B1C"/>
    <w:rsid w:val="00C925AC"/>
    <w:rsid w:val="00CB1DED"/>
    <w:rsid w:val="00CB6357"/>
    <w:rsid w:val="00CC1B26"/>
    <w:rsid w:val="00D0616C"/>
    <w:rsid w:val="00D13475"/>
    <w:rsid w:val="00D361FD"/>
    <w:rsid w:val="00D40391"/>
    <w:rsid w:val="00D423A2"/>
    <w:rsid w:val="00D44E26"/>
    <w:rsid w:val="00D45421"/>
    <w:rsid w:val="00D520D8"/>
    <w:rsid w:val="00D63AC2"/>
    <w:rsid w:val="00D7351E"/>
    <w:rsid w:val="00D7383B"/>
    <w:rsid w:val="00D739EA"/>
    <w:rsid w:val="00D74FFC"/>
    <w:rsid w:val="00D7788A"/>
    <w:rsid w:val="00DA231B"/>
    <w:rsid w:val="00DC39FC"/>
    <w:rsid w:val="00DD7944"/>
    <w:rsid w:val="00DF1CE7"/>
    <w:rsid w:val="00DF5254"/>
    <w:rsid w:val="00E02524"/>
    <w:rsid w:val="00E16408"/>
    <w:rsid w:val="00E20894"/>
    <w:rsid w:val="00E245AB"/>
    <w:rsid w:val="00E2764C"/>
    <w:rsid w:val="00E27F2E"/>
    <w:rsid w:val="00E50AFE"/>
    <w:rsid w:val="00E52938"/>
    <w:rsid w:val="00E75C92"/>
    <w:rsid w:val="00E771DC"/>
    <w:rsid w:val="00E8772A"/>
    <w:rsid w:val="00E90F6B"/>
    <w:rsid w:val="00E92C27"/>
    <w:rsid w:val="00E96ACE"/>
    <w:rsid w:val="00EA0E3D"/>
    <w:rsid w:val="00EC38A7"/>
    <w:rsid w:val="00EC5D98"/>
    <w:rsid w:val="00EE1AA8"/>
    <w:rsid w:val="00EE1E2C"/>
    <w:rsid w:val="00F23FEA"/>
    <w:rsid w:val="00F31EDC"/>
    <w:rsid w:val="00F43F8D"/>
    <w:rsid w:val="00F462B3"/>
    <w:rsid w:val="00F56178"/>
    <w:rsid w:val="00F5664F"/>
    <w:rsid w:val="00F666C4"/>
    <w:rsid w:val="00F764BC"/>
    <w:rsid w:val="00F76AFC"/>
    <w:rsid w:val="00F921E0"/>
    <w:rsid w:val="00FA47C0"/>
    <w:rsid w:val="00FA59D8"/>
    <w:rsid w:val="00FA79EC"/>
    <w:rsid w:val="00FB5DD1"/>
    <w:rsid w:val="00FC2B5D"/>
    <w:rsid w:val="00FD7A49"/>
    <w:rsid w:val="00FE2194"/>
    <w:rsid w:val="00FE628D"/>
    <w:rsid w:val="00FF1449"/>
    <w:rsid w:val="00FF7963"/>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C31D6"/>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C31D6"/>
    <w:rPr>
      <w:rFonts w:ascii="Geomanist Light" w:hAnsi="Geomanist Light"/>
      <w:lang w:val="es-ES"/>
    </w:rPr>
  </w:style>
  <w:style w:type="paragraph" w:styleId="Textoindependiente">
    <w:name w:val="Body Text"/>
    <w:basedOn w:val="Normal"/>
    <w:link w:val="TextoindependienteCar"/>
    <w:uiPriority w:val="99"/>
    <w:qFormat/>
    <w:rsid w:val="007C31D6"/>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99"/>
    <w:rsid w:val="007C31D6"/>
    <w:rPr>
      <w:rFonts w:ascii="Verdana" w:eastAsia="Verdana" w:hAnsi="Verdana" w:cs="Verdana"/>
      <w:lang w:val="es-ES"/>
    </w:rPr>
  </w:style>
  <w:style w:type="character" w:customStyle="1" w:styleId="s15">
    <w:name w:val="s15"/>
    <w:basedOn w:val="Fuentedeprrafopredeter"/>
    <w:rsid w:val="002A3275"/>
  </w:style>
  <w:style w:type="character" w:customStyle="1" w:styleId="apple-converted-space">
    <w:name w:val="apple-converted-space"/>
    <w:basedOn w:val="Fuentedeprrafopredeter"/>
    <w:rsid w:val="002A3275"/>
  </w:style>
  <w:style w:type="paragraph" w:styleId="Sinespaciado">
    <w:name w:val="No Spacing"/>
    <w:uiPriority w:val="1"/>
    <w:qFormat/>
    <w:rsid w:val="00093BF9"/>
    <w:pPr>
      <w:spacing w:after="0" w:line="240" w:lineRule="auto"/>
    </w:pPr>
  </w:style>
  <w:style w:type="table" w:customStyle="1" w:styleId="Tablaconcuadrcula1">
    <w:name w:val="Tabla con cuadrícula1"/>
    <w:basedOn w:val="Tablanormal"/>
    <w:next w:val="Tablaconcuadrcula"/>
    <w:uiPriority w:val="39"/>
    <w:qFormat/>
    <w:rsid w:val="00B42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1910">
      <w:bodyDiv w:val="1"/>
      <w:marLeft w:val="0"/>
      <w:marRight w:val="0"/>
      <w:marTop w:val="0"/>
      <w:marBottom w:val="0"/>
      <w:divBdr>
        <w:top w:val="none" w:sz="0" w:space="0" w:color="auto"/>
        <w:left w:val="none" w:sz="0" w:space="0" w:color="auto"/>
        <w:bottom w:val="none" w:sz="0" w:space="0" w:color="auto"/>
        <w:right w:val="none" w:sz="0" w:space="0" w:color="auto"/>
      </w:divBdr>
    </w:div>
    <w:div w:id="65417150">
      <w:bodyDiv w:val="1"/>
      <w:marLeft w:val="0"/>
      <w:marRight w:val="0"/>
      <w:marTop w:val="0"/>
      <w:marBottom w:val="0"/>
      <w:divBdr>
        <w:top w:val="none" w:sz="0" w:space="0" w:color="auto"/>
        <w:left w:val="none" w:sz="0" w:space="0" w:color="auto"/>
        <w:bottom w:val="none" w:sz="0" w:space="0" w:color="auto"/>
        <w:right w:val="none" w:sz="0" w:space="0" w:color="auto"/>
      </w:divBdr>
    </w:div>
    <w:div w:id="236594185">
      <w:bodyDiv w:val="1"/>
      <w:marLeft w:val="0"/>
      <w:marRight w:val="0"/>
      <w:marTop w:val="0"/>
      <w:marBottom w:val="0"/>
      <w:divBdr>
        <w:top w:val="none" w:sz="0" w:space="0" w:color="auto"/>
        <w:left w:val="none" w:sz="0" w:space="0" w:color="auto"/>
        <w:bottom w:val="none" w:sz="0" w:space="0" w:color="auto"/>
        <w:right w:val="none" w:sz="0" w:space="0" w:color="auto"/>
      </w:divBdr>
    </w:div>
    <w:div w:id="488523089">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792137267">
      <w:bodyDiv w:val="1"/>
      <w:marLeft w:val="0"/>
      <w:marRight w:val="0"/>
      <w:marTop w:val="0"/>
      <w:marBottom w:val="0"/>
      <w:divBdr>
        <w:top w:val="none" w:sz="0" w:space="0" w:color="auto"/>
        <w:left w:val="none" w:sz="0" w:space="0" w:color="auto"/>
        <w:bottom w:val="none" w:sz="0" w:space="0" w:color="auto"/>
        <w:right w:val="none" w:sz="0" w:space="0" w:color="auto"/>
      </w:divBdr>
    </w:div>
    <w:div w:id="976566751">
      <w:bodyDiv w:val="1"/>
      <w:marLeft w:val="0"/>
      <w:marRight w:val="0"/>
      <w:marTop w:val="0"/>
      <w:marBottom w:val="0"/>
      <w:divBdr>
        <w:top w:val="none" w:sz="0" w:space="0" w:color="auto"/>
        <w:left w:val="none" w:sz="0" w:space="0" w:color="auto"/>
        <w:bottom w:val="none" w:sz="0" w:space="0" w:color="auto"/>
        <w:right w:val="none" w:sz="0" w:space="0" w:color="auto"/>
      </w:divBdr>
    </w:div>
    <w:div w:id="101372316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151141101">
      <w:bodyDiv w:val="1"/>
      <w:marLeft w:val="0"/>
      <w:marRight w:val="0"/>
      <w:marTop w:val="0"/>
      <w:marBottom w:val="0"/>
      <w:divBdr>
        <w:top w:val="none" w:sz="0" w:space="0" w:color="auto"/>
        <w:left w:val="none" w:sz="0" w:space="0" w:color="auto"/>
        <w:bottom w:val="none" w:sz="0" w:space="0" w:color="auto"/>
        <w:right w:val="none" w:sz="0" w:space="0" w:color="auto"/>
      </w:divBdr>
      <w:divsChild>
        <w:div w:id="2077392675">
          <w:marLeft w:val="0"/>
          <w:marRight w:val="0"/>
          <w:marTop w:val="0"/>
          <w:marBottom w:val="0"/>
          <w:divBdr>
            <w:top w:val="none" w:sz="0" w:space="0" w:color="auto"/>
            <w:left w:val="none" w:sz="0" w:space="0" w:color="auto"/>
            <w:bottom w:val="none" w:sz="0" w:space="0" w:color="auto"/>
            <w:right w:val="none" w:sz="0" w:space="0" w:color="auto"/>
          </w:divBdr>
          <w:divsChild>
            <w:div w:id="278727467">
              <w:marLeft w:val="0"/>
              <w:marRight w:val="0"/>
              <w:marTop w:val="0"/>
              <w:marBottom w:val="0"/>
              <w:divBdr>
                <w:top w:val="none" w:sz="0" w:space="0" w:color="auto"/>
                <w:left w:val="none" w:sz="0" w:space="0" w:color="auto"/>
                <w:bottom w:val="none" w:sz="0" w:space="0" w:color="auto"/>
                <w:right w:val="none" w:sz="0" w:space="0" w:color="auto"/>
              </w:divBdr>
              <w:divsChild>
                <w:div w:id="336346931">
                  <w:marLeft w:val="0"/>
                  <w:marRight w:val="0"/>
                  <w:marTop w:val="0"/>
                  <w:marBottom w:val="0"/>
                  <w:divBdr>
                    <w:top w:val="none" w:sz="0" w:space="0" w:color="auto"/>
                    <w:left w:val="none" w:sz="0" w:space="0" w:color="auto"/>
                    <w:bottom w:val="none" w:sz="0" w:space="0" w:color="auto"/>
                    <w:right w:val="none" w:sz="0" w:space="0" w:color="auto"/>
                  </w:divBdr>
                  <w:divsChild>
                    <w:div w:id="492185747">
                      <w:marLeft w:val="0"/>
                      <w:marRight w:val="0"/>
                      <w:marTop w:val="0"/>
                      <w:marBottom w:val="0"/>
                      <w:divBdr>
                        <w:top w:val="none" w:sz="0" w:space="0" w:color="auto"/>
                        <w:left w:val="none" w:sz="0" w:space="0" w:color="auto"/>
                        <w:bottom w:val="none" w:sz="0" w:space="0" w:color="auto"/>
                        <w:right w:val="none" w:sz="0" w:space="0" w:color="auto"/>
                      </w:divBdr>
                      <w:divsChild>
                        <w:div w:id="739330537">
                          <w:marLeft w:val="0"/>
                          <w:marRight w:val="0"/>
                          <w:marTop w:val="0"/>
                          <w:marBottom w:val="0"/>
                          <w:divBdr>
                            <w:top w:val="none" w:sz="0" w:space="0" w:color="auto"/>
                            <w:left w:val="none" w:sz="0" w:space="0" w:color="auto"/>
                            <w:bottom w:val="none" w:sz="0" w:space="0" w:color="auto"/>
                            <w:right w:val="none" w:sz="0" w:space="0" w:color="auto"/>
                          </w:divBdr>
                          <w:divsChild>
                            <w:div w:id="651176394">
                              <w:marLeft w:val="30"/>
                              <w:marRight w:val="30"/>
                              <w:marTop w:val="30"/>
                              <w:marBottom w:val="30"/>
                              <w:divBdr>
                                <w:top w:val="none" w:sz="0" w:space="0" w:color="auto"/>
                                <w:left w:val="none" w:sz="0" w:space="0" w:color="auto"/>
                                <w:bottom w:val="none" w:sz="0" w:space="0" w:color="auto"/>
                                <w:right w:val="none" w:sz="0" w:space="0" w:color="auto"/>
                              </w:divBdr>
                              <w:divsChild>
                                <w:div w:id="1796488090">
                                  <w:marLeft w:val="0"/>
                                  <w:marRight w:val="0"/>
                                  <w:marTop w:val="0"/>
                                  <w:marBottom w:val="0"/>
                                  <w:divBdr>
                                    <w:top w:val="none" w:sz="0" w:space="0" w:color="auto"/>
                                    <w:left w:val="none" w:sz="0" w:space="0" w:color="auto"/>
                                    <w:bottom w:val="none" w:sz="0" w:space="0" w:color="auto"/>
                                    <w:right w:val="none" w:sz="0" w:space="0" w:color="auto"/>
                                  </w:divBdr>
                                  <w:divsChild>
                                    <w:div w:id="83501451">
                                      <w:marLeft w:val="780"/>
                                      <w:marRight w:val="240"/>
                                      <w:marTop w:val="180"/>
                                      <w:marBottom w:val="0"/>
                                      <w:divBdr>
                                        <w:top w:val="none" w:sz="0" w:space="0" w:color="auto"/>
                                        <w:left w:val="none" w:sz="0" w:space="0" w:color="auto"/>
                                        <w:bottom w:val="none" w:sz="0" w:space="0" w:color="auto"/>
                                        <w:right w:val="none" w:sz="0" w:space="0" w:color="auto"/>
                                      </w:divBdr>
                                      <w:divsChild>
                                        <w:div w:id="1632708267">
                                          <w:marLeft w:val="0"/>
                                          <w:marRight w:val="0"/>
                                          <w:marTop w:val="0"/>
                                          <w:marBottom w:val="0"/>
                                          <w:divBdr>
                                            <w:top w:val="none" w:sz="0" w:space="0" w:color="auto"/>
                                            <w:left w:val="none" w:sz="0" w:space="0" w:color="auto"/>
                                            <w:bottom w:val="none" w:sz="0" w:space="0" w:color="auto"/>
                                            <w:right w:val="none" w:sz="0" w:space="0" w:color="auto"/>
                                          </w:divBdr>
                                          <w:divsChild>
                                            <w:div w:id="1136266226">
                                              <w:marLeft w:val="0"/>
                                              <w:marRight w:val="0"/>
                                              <w:marTop w:val="0"/>
                                              <w:marBottom w:val="0"/>
                                              <w:divBdr>
                                                <w:top w:val="none" w:sz="0" w:space="0" w:color="auto"/>
                                                <w:left w:val="none" w:sz="0" w:space="0" w:color="auto"/>
                                                <w:bottom w:val="none" w:sz="0" w:space="0" w:color="auto"/>
                                                <w:right w:val="none" w:sz="0" w:space="0" w:color="auto"/>
                                              </w:divBdr>
                                              <w:divsChild>
                                                <w:div w:id="829708576">
                                                  <w:marLeft w:val="0"/>
                                                  <w:marRight w:val="0"/>
                                                  <w:marTop w:val="0"/>
                                                  <w:marBottom w:val="0"/>
                                                  <w:divBdr>
                                                    <w:top w:val="none" w:sz="0" w:space="0" w:color="auto"/>
                                                    <w:left w:val="none" w:sz="0" w:space="0" w:color="auto"/>
                                                    <w:bottom w:val="none" w:sz="0" w:space="0" w:color="auto"/>
                                                    <w:right w:val="none" w:sz="0" w:space="0" w:color="auto"/>
                                                  </w:divBdr>
                                                  <w:divsChild>
                                                    <w:div w:id="1195190229">
                                                      <w:marLeft w:val="0"/>
                                                      <w:marRight w:val="0"/>
                                                      <w:marTop w:val="0"/>
                                                      <w:marBottom w:val="0"/>
                                                      <w:divBdr>
                                                        <w:top w:val="none" w:sz="0" w:space="0" w:color="auto"/>
                                                        <w:left w:val="none" w:sz="0" w:space="0" w:color="auto"/>
                                                        <w:bottom w:val="none" w:sz="0" w:space="0" w:color="auto"/>
                                                        <w:right w:val="none" w:sz="0" w:space="0" w:color="auto"/>
                                                      </w:divBdr>
                                                      <w:divsChild>
                                                        <w:div w:id="1131746325">
                                                          <w:marLeft w:val="0"/>
                                                          <w:marRight w:val="0"/>
                                                          <w:marTop w:val="0"/>
                                                          <w:marBottom w:val="0"/>
                                                          <w:divBdr>
                                                            <w:top w:val="none" w:sz="0" w:space="0" w:color="auto"/>
                                                            <w:left w:val="none" w:sz="0" w:space="0" w:color="auto"/>
                                                            <w:bottom w:val="none" w:sz="0" w:space="0" w:color="auto"/>
                                                            <w:right w:val="none" w:sz="0" w:space="0" w:color="auto"/>
                                                          </w:divBdr>
                                                        </w:div>
                                                        <w:div w:id="1735273028">
                                                          <w:marLeft w:val="0"/>
                                                          <w:marRight w:val="0"/>
                                                          <w:marTop w:val="240"/>
                                                          <w:marBottom w:val="240"/>
                                                          <w:divBdr>
                                                            <w:top w:val="none" w:sz="0" w:space="0" w:color="auto"/>
                                                            <w:left w:val="none" w:sz="0" w:space="0" w:color="auto"/>
                                                            <w:bottom w:val="none" w:sz="0" w:space="0" w:color="auto"/>
                                                            <w:right w:val="none" w:sz="0" w:space="0" w:color="auto"/>
                                                          </w:divBdr>
                                                        </w:div>
                                                        <w:div w:id="346441194">
                                                          <w:marLeft w:val="0"/>
                                                          <w:marRight w:val="0"/>
                                                          <w:marTop w:val="240"/>
                                                          <w:marBottom w:val="240"/>
                                                          <w:divBdr>
                                                            <w:top w:val="none" w:sz="0" w:space="0" w:color="auto"/>
                                                            <w:left w:val="none" w:sz="0" w:space="0" w:color="auto"/>
                                                            <w:bottom w:val="none" w:sz="0" w:space="0" w:color="auto"/>
                                                            <w:right w:val="none" w:sz="0" w:space="0" w:color="auto"/>
                                                          </w:divBdr>
                                                        </w:div>
                                                        <w:div w:id="902760278">
                                                          <w:marLeft w:val="0"/>
                                                          <w:marRight w:val="0"/>
                                                          <w:marTop w:val="240"/>
                                                          <w:marBottom w:val="240"/>
                                                          <w:divBdr>
                                                            <w:top w:val="none" w:sz="0" w:space="0" w:color="auto"/>
                                                            <w:left w:val="none" w:sz="0" w:space="0" w:color="auto"/>
                                                            <w:bottom w:val="none" w:sz="0" w:space="0" w:color="auto"/>
                                                            <w:right w:val="none" w:sz="0" w:space="0" w:color="auto"/>
                                                          </w:divBdr>
                                                        </w:div>
                                                        <w:div w:id="1376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2964849">
          <w:marLeft w:val="0"/>
          <w:marRight w:val="0"/>
          <w:marTop w:val="0"/>
          <w:marBottom w:val="0"/>
          <w:divBdr>
            <w:top w:val="none" w:sz="0" w:space="0" w:color="auto"/>
            <w:left w:val="none" w:sz="0" w:space="0" w:color="auto"/>
            <w:bottom w:val="none" w:sz="0" w:space="0" w:color="auto"/>
            <w:right w:val="none" w:sz="0" w:space="0" w:color="auto"/>
          </w:divBdr>
          <w:divsChild>
            <w:div w:id="1876039847">
              <w:marLeft w:val="0"/>
              <w:marRight w:val="0"/>
              <w:marTop w:val="0"/>
              <w:marBottom w:val="0"/>
              <w:divBdr>
                <w:top w:val="none" w:sz="0" w:space="0" w:color="auto"/>
                <w:left w:val="none" w:sz="0" w:space="0" w:color="auto"/>
                <w:bottom w:val="none" w:sz="0" w:space="0" w:color="auto"/>
                <w:right w:val="none" w:sz="0" w:space="0" w:color="auto"/>
              </w:divBdr>
              <w:divsChild>
                <w:div w:id="2001957809">
                  <w:marLeft w:val="0"/>
                  <w:marRight w:val="0"/>
                  <w:marTop w:val="0"/>
                  <w:marBottom w:val="0"/>
                  <w:divBdr>
                    <w:top w:val="none" w:sz="0" w:space="0" w:color="auto"/>
                    <w:left w:val="none" w:sz="0" w:space="0" w:color="auto"/>
                    <w:bottom w:val="none" w:sz="0" w:space="0" w:color="auto"/>
                    <w:right w:val="none" w:sz="0" w:space="0" w:color="auto"/>
                  </w:divBdr>
                  <w:divsChild>
                    <w:div w:id="1308974436">
                      <w:marLeft w:val="0"/>
                      <w:marRight w:val="0"/>
                      <w:marTop w:val="0"/>
                      <w:marBottom w:val="0"/>
                      <w:divBdr>
                        <w:top w:val="none" w:sz="0" w:space="0" w:color="auto"/>
                        <w:left w:val="none" w:sz="0" w:space="0" w:color="auto"/>
                        <w:bottom w:val="none" w:sz="0" w:space="0" w:color="auto"/>
                        <w:right w:val="none" w:sz="0" w:space="0" w:color="auto"/>
                      </w:divBdr>
                      <w:divsChild>
                        <w:div w:id="1773435608">
                          <w:marLeft w:val="0"/>
                          <w:marRight w:val="0"/>
                          <w:marTop w:val="0"/>
                          <w:marBottom w:val="0"/>
                          <w:divBdr>
                            <w:top w:val="none" w:sz="0" w:space="0" w:color="auto"/>
                            <w:left w:val="none" w:sz="0" w:space="0" w:color="auto"/>
                            <w:bottom w:val="none" w:sz="0" w:space="0" w:color="auto"/>
                            <w:right w:val="none" w:sz="0" w:space="0" w:color="auto"/>
                          </w:divBdr>
                          <w:divsChild>
                            <w:div w:id="598568684">
                              <w:marLeft w:val="30"/>
                              <w:marRight w:val="30"/>
                              <w:marTop w:val="30"/>
                              <w:marBottom w:val="30"/>
                              <w:divBdr>
                                <w:top w:val="single" w:sz="4" w:space="5" w:color="EBEBEB"/>
                                <w:left w:val="single" w:sz="4" w:space="9" w:color="EBEBEB"/>
                                <w:bottom w:val="single" w:sz="4" w:space="9" w:color="EBEBEB"/>
                                <w:right w:val="single" w:sz="4" w:space="9" w:color="EBEBEB"/>
                              </w:divBdr>
                              <w:divsChild>
                                <w:div w:id="818152510">
                                  <w:marLeft w:val="0"/>
                                  <w:marRight w:val="0"/>
                                  <w:marTop w:val="0"/>
                                  <w:marBottom w:val="0"/>
                                  <w:divBdr>
                                    <w:top w:val="none" w:sz="0" w:space="0" w:color="auto"/>
                                    <w:left w:val="none" w:sz="0" w:space="0" w:color="auto"/>
                                    <w:bottom w:val="none" w:sz="0" w:space="0" w:color="auto"/>
                                    <w:right w:val="none" w:sz="0" w:space="0" w:color="auto"/>
                                  </w:divBdr>
                                  <w:divsChild>
                                    <w:div w:id="1098598351">
                                      <w:marLeft w:val="0"/>
                                      <w:marRight w:val="0"/>
                                      <w:marTop w:val="0"/>
                                      <w:marBottom w:val="0"/>
                                      <w:divBdr>
                                        <w:top w:val="none" w:sz="0" w:space="0" w:color="auto"/>
                                        <w:left w:val="none" w:sz="0" w:space="0" w:color="auto"/>
                                        <w:bottom w:val="none" w:sz="0" w:space="0" w:color="auto"/>
                                        <w:right w:val="none" w:sz="0" w:space="0" w:color="auto"/>
                                      </w:divBdr>
                                      <w:divsChild>
                                        <w:div w:id="1542673259">
                                          <w:marLeft w:val="0"/>
                                          <w:marRight w:val="0"/>
                                          <w:marTop w:val="0"/>
                                          <w:marBottom w:val="0"/>
                                          <w:divBdr>
                                            <w:top w:val="none" w:sz="0" w:space="0" w:color="auto"/>
                                            <w:left w:val="none" w:sz="0" w:space="0" w:color="auto"/>
                                            <w:bottom w:val="none" w:sz="0" w:space="0" w:color="auto"/>
                                            <w:right w:val="none" w:sz="0" w:space="0" w:color="auto"/>
                                          </w:divBdr>
                                          <w:divsChild>
                                            <w:div w:id="91554850">
                                              <w:marLeft w:val="0"/>
                                              <w:marRight w:val="0"/>
                                              <w:marTop w:val="0"/>
                                              <w:marBottom w:val="0"/>
                                              <w:divBdr>
                                                <w:top w:val="none" w:sz="0" w:space="0" w:color="auto"/>
                                                <w:left w:val="none" w:sz="0" w:space="0" w:color="auto"/>
                                                <w:bottom w:val="none" w:sz="0" w:space="0" w:color="auto"/>
                                                <w:right w:val="none" w:sz="0" w:space="0" w:color="auto"/>
                                              </w:divBdr>
                                              <w:divsChild>
                                                <w:div w:id="502934815">
                                                  <w:marLeft w:val="0"/>
                                                  <w:marRight w:val="120"/>
                                                  <w:marTop w:val="0"/>
                                                  <w:marBottom w:val="0"/>
                                                  <w:divBdr>
                                                    <w:top w:val="none" w:sz="0" w:space="0" w:color="auto"/>
                                                    <w:left w:val="none" w:sz="0" w:space="0" w:color="auto"/>
                                                    <w:bottom w:val="none" w:sz="0" w:space="0" w:color="auto"/>
                                                    <w:right w:val="none" w:sz="0" w:space="0" w:color="auto"/>
                                                  </w:divBdr>
                                                  <w:divsChild>
                                                    <w:div w:id="56769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542439">
                                              <w:marLeft w:val="60"/>
                                              <w:marRight w:val="0"/>
                                              <w:marTop w:val="0"/>
                                              <w:marBottom w:val="0"/>
                                              <w:divBdr>
                                                <w:top w:val="none" w:sz="0" w:space="0" w:color="auto"/>
                                                <w:left w:val="none" w:sz="0" w:space="0" w:color="auto"/>
                                                <w:bottom w:val="none" w:sz="0" w:space="0" w:color="auto"/>
                                                <w:right w:val="none" w:sz="0" w:space="0" w:color="auto"/>
                                              </w:divBdr>
                                              <w:divsChild>
                                                <w:div w:id="1399784171">
                                                  <w:marLeft w:val="0"/>
                                                  <w:marRight w:val="0"/>
                                                  <w:marTop w:val="0"/>
                                                  <w:marBottom w:val="0"/>
                                                  <w:divBdr>
                                                    <w:top w:val="none" w:sz="0" w:space="0" w:color="auto"/>
                                                    <w:left w:val="none" w:sz="0" w:space="0" w:color="auto"/>
                                                    <w:bottom w:val="none" w:sz="0" w:space="0" w:color="auto"/>
                                                    <w:right w:val="none" w:sz="0" w:space="0" w:color="auto"/>
                                                  </w:divBdr>
                                                  <w:divsChild>
                                                    <w:div w:id="1335913141">
                                                      <w:marLeft w:val="0"/>
                                                      <w:marRight w:val="0"/>
                                                      <w:marTop w:val="0"/>
                                                      <w:marBottom w:val="0"/>
                                                      <w:divBdr>
                                                        <w:top w:val="none" w:sz="0" w:space="0" w:color="auto"/>
                                                        <w:left w:val="none" w:sz="0" w:space="0" w:color="auto"/>
                                                        <w:bottom w:val="none" w:sz="0" w:space="0" w:color="auto"/>
                                                        <w:right w:val="none" w:sz="0" w:space="0" w:color="auto"/>
                                                      </w:divBdr>
                                                      <w:divsChild>
                                                        <w:div w:id="35292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618105">
                                      <w:marLeft w:val="720"/>
                                      <w:marRight w:val="0"/>
                                      <w:marTop w:val="0"/>
                                      <w:marBottom w:val="0"/>
                                      <w:divBdr>
                                        <w:top w:val="none" w:sz="0" w:space="0" w:color="auto"/>
                                        <w:left w:val="none" w:sz="0" w:space="0" w:color="auto"/>
                                        <w:bottom w:val="none" w:sz="0" w:space="0" w:color="auto"/>
                                        <w:right w:val="none" w:sz="0" w:space="0" w:color="auto"/>
                                      </w:divBdr>
                                      <w:divsChild>
                                        <w:div w:id="162017993">
                                          <w:marLeft w:val="0"/>
                                          <w:marRight w:val="0"/>
                                          <w:marTop w:val="0"/>
                                          <w:marBottom w:val="0"/>
                                          <w:divBdr>
                                            <w:top w:val="none" w:sz="0" w:space="0" w:color="auto"/>
                                            <w:left w:val="none" w:sz="0" w:space="0" w:color="auto"/>
                                            <w:bottom w:val="none" w:sz="0" w:space="0" w:color="auto"/>
                                            <w:right w:val="none" w:sz="0" w:space="0" w:color="auto"/>
                                          </w:divBdr>
                                          <w:divsChild>
                                            <w:div w:id="205720053">
                                              <w:marLeft w:val="0"/>
                                              <w:marRight w:val="0"/>
                                              <w:marTop w:val="0"/>
                                              <w:marBottom w:val="0"/>
                                              <w:divBdr>
                                                <w:top w:val="none" w:sz="0" w:space="0" w:color="auto"/>
                                                <w:left w:val="none" w:sz="0" w:space="0" w:color="auto"/>
                                                <w:bottom w:val="none" w:sz="0" w:space="0" w:color="auto"/>
                                                <w:right w:val="none" w:sz="0" w:space="0" w:color="auto"/>
                                              </w:divBdr>
                                              <w:divsChild>
                                                <w:div w:id="398792085">
                                                  <w:marLeft w:val="0"/>
                                                  <w:marRight w:val="0"/>
                                                  <w:marTop w:val="0"/>
                                                  <w:marBottom w:val="0"/>
                                                  <w:divBdr>
                                                    <w:top w:val="none" w:sz="0" w:space="0" w:color="auto"/>
                                                    <w:left w:val="none" w:sz="0" w:space="0" w:color="auto"/>
                                                    <w:bottom w:val="none" w:sz="0" w:space="0" w:color="auto"/>
                                                    <w:right w:val="none" w:sz="0" w:space="0" w:color="auto"/>
                                                  </w:divBdr>
                                                  <w:divsChild>
                                                    <w:div w:id="1828474916">
                                                      <w:marLeft w:val="0"/>
                                                      <w:marRight w:val="0"/>
                                                      <w:marTop w:val="0"/>
                                                      <w:marBottom w:val="0"/>
                                                      <w:divBdr>
                                                        <w:top w:val="none" w:sz="0" w:space="0" w:color="auto"/>
                                                        <w:left w:val="none" w:sz="0" w:space="0" w:color="auto"/>
                                                        <w:bottom w:val="none" w:sz="0" w:space="0" w:color="auto"/>
                                                        <w:right w:val="none" w:sz="0" w:space="0" w:color="auto"/>
                                                      </w:divBdr>
                                                      <w:divsChild>
                                                        <w:div w:id="20280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232922">
                                  <w:marLeft w:val="0"/>
                                  <w:marRight w:val="0"/>
                                  <w:marTop w:val="0"/>
                                  <w:marBottom w:val="0"/>
                                  <w:divBdr>
                                    <w:top w:val="none" w:sz="0" w:space="0" w:color="auto"/>
                                    <w:left w:val="none" w:sz="0" w:space="0" w:color="auto"/>
                                    <w:bottom w:val="none" w:sz="0" w:space="0" w:color="auto"/>
                                    <w:right w:val="none" w:sz="0" w:space="0" w:color="auto"/>
                                  </w:divBdr>
                                  <w:divsChild>
                                    <w:div w:id="1709986016">
                                      <w:marLeft w:val="780"/>
                                      <w:marRight w:val="240"/>
                                      <w:marTop w:val="180"/>
                                      <w:marBottom w:val="0"/>
                                      <w:divBdr>
                                        <w:top w:val="none" w:sz="0" w:space="0" w:color="auto"/>
                                        <w:left w:val="none" w:sz="0" w:space="0" w:color="auto"/>
                                        <w:bottom w:val="none" w:sz="0" w:space="0" w:color="auto"/>
                                        <w:right w:val="none" w:sz="0" w:space="0" w:color="auto"/>
                                      </w:divBdr>
                                      <w:divsChild>
                                        <w:div w:id="1688823948">
                                          <w:marLeft w:val="0"/>
                                          <w:marRight w:val="0"/>
                                          <w:marTop w:val="0"/>
                                          <w:marBottom w:val="0"/>
                                          <w:divBdr>
                                            <w:top w:val="none" w:sz="0" w:space="0" w:color="auto"/>
                                            <w:left w:val="none" w:sz="0" w:space="0" w:color="auto"/>
                                            <w:bottom w:val="none" w:sz="0" w:space="0" w:color="auto"/>
                                            <w:right w:val="none" w:sz="0" w:space="0" w:color="auto"/>
                                          </w:divBdr>
                                          <w:divsChild>
                                            <w:div w:id="1735809370">
                                              <w:marLeft w:val="0"/>
                                              <w:marRight w:val="0"/>
                                              <w:marTop w:val="0"/>
                                              <w:marBottom w:val="0"/>
                                              <w:divBdr>
                                                <w:top w:val="none" w:sz="0" w:space="0" w:color="auto"/>
                                                <w:left w:val="none" w:sz="0" w:space="0" w:color="auto"/>
                                                <w:bottom w:val="none" w:sz="0" w:space="0" w:color="auto"/>
                                                <w:right w:val="none" w:sz="0" w:space="0" w:color="auto"/>
                                              </w:divBdr>
                                              <w:divsChild>
                                                <w:div w:id="944507440">
                                                  <w:marLeft w:val="0"/>
                                                  <w:marRight w:val="0"/>
                                                  <w:marTop w:val="0"/>
                                                  <w:marBottom w:val="0"/>
                                                  <w:divBdr>
                                                    <w:top w:val="none" w:sz="0" w:space="0" w:color="auto"/>
                                                    <w:left w:val="none" w:sz="0" w:space="0" w:color="auto"/>
                                                    <w:bottom w:val="none" w:sz="0" w:space="0" w:color="auto"/>
                                                    <w:right w:val="none" w:sz="0" w:space="0" w:color="auto"/>
                                                  </w:divBdr>
                                                  <w:divsChild>
                                                    <w:div w:id="1281571452">
                                                      <w:marLeft w:val="0"/>
                                                      <w:marRight w:val="0"/>
                                                      <w:marTop w:val="0"/>
                                                      <w:marBottom w:val="0"/>
                                                      <w:divBdr>
                                                        <w:top w:val="none" w:sz="0" w:space="0" w:color="auto"/>
                                                        <w:left w:val="none" w:sz="0" w:space="0" w:color="auto"/>
                                                        <w:bottom w:val="none" w:sz="0" w:space="0" w:color="auto"/>
                                                        <w:right w:val="none" w:sz="0" w:space="0" w:color="auto"/>
                                                      </w:divBdr>
                                                      <w:divsChild>
                                                        <w:div w:id="1489125745">
                                                          <w:marLeft w:val="0"/>
                                                          <w:marRight w:val="0"/>
                                                          <w:marTop w:val="240"/>
                                                          <w:marBottom w:val="240"/>
                                                          <w:divBdr>
                                                            <w:top w:val="none" w:sz="0" w:space="0" w:color="auto"/>
                                                            <w:left w:val="none" w:sz="0" w:space="0" w:color="auto"/>
                                                            <w:bottom w:val="none" w:sz="0" w:space="0" w:color="auto"/>
                                                            <w:right w:val="none" w:sz="0" w:space="0" w:color="auto"/>
                                                          </w:divBdr>
                                                        </w:div>
                                                        <w:div w:id="874776611">
                                                          <w:marLeft w:val="0"/>
                                                          <w:marRight w:val="0"/>
                                                          <w:marTop w:val="240"/>
                                                          <w:marBottom w:val="240"/>
                                                          <w:divBdr>
                                                            <w:top w:val="none" w:sz="0" w:space="0" w:color="auto"/>
                                                            <w:left w:val="none" w:sz="0" w:space="0" w:color="auto"/>
                                                            <w:bottom w:val="none" w:sz="0" w:space="0" w:color="auto"/>
                                                            <w:right w:val="none" w:sz="0" w:space="0" w:color="auto"/>
                                                          </w:divBdr>
                                                        </w:div>
                                                        <w:div w:id="859122926">
                                                          <w:marLeft w:val="0"/>
                                                          <w:marRight w:val="0"/>
                                                          <w:marTop w:val="240"/>
                                                          <w:marBottom w:val="240"/>
                                                          <w:divBdr>
                                                            <w:top w:val="none" w:sz="0" w:space="0" w:color="auto"/>
                                                            <w:left w:val="none" w:sz="0" w:space="0" w:color="auto"/>
                                                            <w:bottom w:val="none" w:sz="0" w:space="0" w:color="auto"/>
                                                            <w:right w:val="none" w:sz="0" w:space="0" w:color="auto"/>
                                                          </w:divBdr>
                                                        </w:div>
                                                        <w:div w:id="10955212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607299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456368013">
      <w:bodyDiv w:val="1"/>
      <w:marLeft w:val="0"/>
      <w:marRight w:val="0"/>
      <w:marTop w:val="0"/>
      <w:marBottom w:val="0"/>
      <w:divBdr>
        <w:top w:val="none" w:sz="0" w:space="0" w:color="auto"/>
        <w:left w:val="none" w:sz="0" w:space="0" w:color="auto"/>
        <w:bottom w:val="none" w:sz="0" w:space="0" w:color="auto"/>
        <w:right w:val="none" w:sz="0" w:space="0" w:color="auto"/>
      </w:divBdr>
    </w:div>
    <w:div w:id="1573588996">
      <w:bodyDiv w:val="1"/>
      <w:marLeft w:val="0"/>
      <w:marRight w:val="0"/>
      <w:marTop w:val="0"/>
      <w:marBottom w:val="0"/>
      <w:divBdr>
        <w:top w:val="none" w:sz="0" w:space="0" w:color="auto"/>
        <w:left w:val="none" w:sz="0" w:space="0" w:color="auto"/>
        <w:bottom w:val="none" w:sz="0" w:space="0" w:color="auto"/>
        <w:right w:val="none" w:sz="0" w:space="0" w:color="auto"/>
      </w:divBdr>
    </w:div>
    <w:div w:id="1618440583">
      <w:bodyDiv w:val="1"/>
      <w:marLeft w:val="0"/>
      <w:marRight w:val="0"/>
      <w:marTop w:val="0"/>
      <w:marBottom w:val="0"/>
      <w:divBdr>
        <w:top w:val="none" w:sz="0" w:space="0" w:color="auto"/>
        <w:left w:val="none" w:sz="0" w:space="0" w:color="auto"/>
        <w:bottom w:val="none" w:sz="0" w:space="0" w:color="auto"/>
        <w:right w:val="none" w:sz="0" w:space="0" w:color="auto"/>
      </w:divBdr>
    </w:div>
    <w:div w:id="1799488849">
      <w:bodyDiv w:val="1"/>
      <w:marLeft w:val="0"/>
      <w:marRight w:val="0"/>
      <w:marTop w:val="0"/>
      <w:marBottom w:val="0"/>
      <w:divBdr>
        <w:top w:val="none" w:sz="0" w:space="0" w:color="auto"/>
        <w:left w:val="none" w:sz="0" w:space="0" w:color="auto"/>
        <w:bottom w:val="none" w:sz="0" w:space="0" w:color="auto"/>
        <w:right w:val="none" w:sz="0" w:space="0" w:color="auto"/>
      </w:divBdr>
    </w:div>
    <w:div w:id="1893808724">
      <w:bodyDiv w:val="1"/>
      <w:marLeft w:val="0"/>
      <w:marRight w:val="0"/>
      <w:marTop w:val="0"/>
      <w:marBottom w:val="0"/>
      <w:divBdr>
        <w:top w:val="none" w:sz="0" w:space="0" w:color="auto"/>
        <w:left w:val="none" w:sz="0" w:space="0" w:color="auto"/>
        <w:bottom w:val="none" w:sz="0" w:space="0" w:color="auto"/>
        <w:right w:val="none" w:sz="0" w:space="0" w:color="auto"/>
      </w:divBdr>
    </w:div>
    <w:div w:id="1939555573">
      <w:bodyDiv w:val="1"/>
      <w:marLeft w:val="0"/>
      <w:marRight w:val="0"/>
      <w:marTop w:val="0"/>
      <w:marBottom w:val="0"/>
      <w:divBdr>
        <w:top w:val="none" w:sz="0" w:space="0" w:color="auto"/>
        <w:left w:val="none" w:sz="0" w:space="0" w:color="auto"/>
        <w:bottom w:val="none" w:sz="0" w:space="0" w:color="auto"/>
        <w:right w:val="none" w:sz="0" w:space="0" w:color="auto"/>
      </w:divBdr>
    </w:div>
    <w:div w:id="2007855936">
      <w:bodyDiv w:val="1"/>
      <w:marLeft w:val="0"/>
      <w:marRight w:val="0"/>
      <w:marTop w:val="0"/>
      <w:marBottom w:val="0"/>
      <w:divBdr>
        <w:top w:val="none" w:sz="0" w:space="0" w:color="auto"/>
        <w:left w:val="none" w:sz="0" w:space="0" w:color="auto"/>
        <w:bottom w:val="none" w:sz="0" w:space="0" w:color="auto"/>
        <w:right w:val="none" w:sz="0" w:space="0" w:color="auto"/>
      </w:divBdr>
    </w:div>
    <w:div w:id="2087220983">
      <w:bodyDiv w:val="1"/>
      <w:marLeft w:val="0"/>
      <w:marRight w:val="0"/>
      <w:marTop w:val="0"/>
      <w:marBottom w:val="0"/>
      <w:divBdr>
        <w:top w:val="none" w:sz="0" w:space="0" w:color="auto"/>
        <w:left w:val="none" w:sz="0" w:space="0" w:color="auto"/>
        <w:bottom w:val="none" w:sz="0" w:space="0" w:color="auto"/>
        <w:right w:val="none" w:sz="0" w:space="0" w:color="auto"/>
      </w:divBdr>
      <w:divsChild>
        <w:div w:id="1995136606">
          <w:marLeft w:val="0"/>
          <w:marRight w:val="0"/>
          <w:marTop w:val="0"/>
          <w:marBottom w:val="0"/>
          <w:divBdr>
            <w:top w:val="none" w:sz="0" w:space="0" w:color="auto"/>
            <w:left w:val="none" w:sz="0" w:space="0" w:color="auto"/>
            <w:bottom w:val="none" w:sz="0" w:space="0" w:color="auto"/>
            <w:right w:val="none" w:sz="0" w:space="0" w:color="auto"/>
          </w:divBdr>
          <w:divsChild>
            <w:div w:id="2080249030">
              <w:marLeft w:val="0"/>
              <w:marRight w:val="0"/>
              <w:marTop w:val="0"/>
              <w:marBottom w:val="0"/>
              <w:divBdr>
                <w:top w:val="none" w:sz="0" w:space="0" w:color="auto"/>
                <w:left w:val="none" w:sz="0" w:space="0" w:color="auto"/>
                <w:bottom w:val="none" w:sz="0" w:space="0" w:color="auto"/>
                <w:right w:val="none" w:sz="0" w:space="0" w:color="auto"/>
              </w:divBdr>
              <w:divsChild>
                <w:div w:id="1937862510">
                  <w:marLeft w:val="0"/>
                  <w:marRight w:val="0"/>
                  <w:marTop w:val="0"/>
                  <w:marBottom w:val="0"/>
                  <w:divBdr>
                    <w:top w:val="none" w:sz="0" w:space="0" w:color="auto"/>
                    <w:left w:val="none" w:sz="0" w:space="0" w:color="auto"/>
                    <w:bottom w:val="none" w:sz="0" w:space="0" w:color="auto"/>
                    <w:right w:val="none" w:sz="0" w:space="0" w:color="auto"/>
                  </w:divBdr>
                  <w:divsChild>
                    <w:div w:id="363790733">
                      <w:marLeft w:val="0"/>
                      <w:marRight w:val="0"/>
                      <w:marTop w:val="0"/>
                      <w:marBottom w:val="0"/>
                      <w:divBdr>
                        <w:top w:val="none" w:sz="0" w:space="0" w:color="auto"/>
                        <w:left w:val="none" w:sz="0" w:space="0" w:color="auto"/>
                        <w:bottom w:val="none" w:sz="0" w:space="0" w:color="auto"/>
                        <w:right w:val="none" w:sz="0" w:space="0" w:color="auto"/>
                      </w:divBdr>
                      <w:divsChild>
                        <w:div w:id="616569301">
                          <w:marLeft w:val="0"/>
                          <w:marRight w:val="0"/>
                          <w:marTop w:val="0"/>
                          <w:marBottom w:val="0"/>
                          <w:divBdr>
                            <w:top w:val="none" w:sz="0" w:space="0" w:color="auto"/>
                            <w:left w:val="none" w:sz="0" w:space="0" w:color="auto"/>
                            <w:bottom w:val="none" w:sz="0" w:space="0" w:color="auto"/>
                            <w:right w:val="none" w:sz="0" w:space="0" w:color="auto"/>
                          </w:divBdr>
                          <w:divsChild>
                            <w:div w:id="719326193">
                              <w:marLeft w:val="30"/>
                              <w:marRight w:val="30"/>
                              <w:marTop w:val="30"/>
                              <w:marBottom w:val="30"/>
                              <w:divBdr>
                                <w:top w:val="none" w:sz="0" w:space="0" w:color="auto"/>
                                <w:left w:val="none" w:sz="0" w:space="0" w:color="auto"/>
                                <w:bottom w:val="none" w:sz="0" w:space="0" w:color="auto"/>
                                <w:right w:val="none" w:sz="0" w:space="0" w:color="auto"/>
                              </w:divBdr>
                              <w:divsChild>
                                <w:div w:id="1795248989">
                                  <w:marLeft w:val="0"/>
                                  <w:marRight w:val="0"/>
                                  <w:marTop w:val="0"/>
                                  <w:marBottom w:val="0"/>
                                  <w:divBdr>
                                    <w:top w:val="none" w:sz="0" w:space="0" w:color="auto"/>
                                    <w:left w:val="none" w:sz="0" w:space="0" w:color="auto"/>
                                    <w:bottom w:val="none" w:sz="0" w:space="0" w:color="auto"/>
                                    <w:right w:val="none" w:sz="0" w:space="0" w:color="auto"/>
                                  </w:divBdr>
                                  <w:divsChild>
                                    <w:div w:id="1002467222">
                                      <w:marLeft w:val="780"/>
                                      <w:marRight w:val="240"/>
                                      <w:marTop w:val="180"/>
                                      <w:marBottom w:val="0"/>
                                      <w:divBdr>
                                        <w:top w:val="none" w:sz="0" w:space="0" w:color="auto"/>
                                        <w:left w:val="none" w:sz="0" w:space="0" w:color="auto"/>
                                        <w:bottom w:val="none" w:sz="0" w:space="0" w:color="auto"/>
                                        <w:right w:val="none" w:sz="0" w:space="0" w:color="auto"/>
                                      </w:divBdr>
                                      <w:divsChild>
                                        <w:div w:id="889998536">
                                          <w:marLeft w:val="0"/>
                                          <w:marRight w:val="0"/>
                                          <w:marTop w:val="0"/>
                                          <w:marBottom w:val="0"/>
                                          <w:divBdr>
                                            <w:top w:val="none" w:sz="0" w:space="0" w:color="auto"/>
                                            <w:left w:val="none" w:sz="0" w:space="0" w:color="auto"/>
                                            <w:bottom w:val="none" w:sz="0" w:space="0" w:color="auto"/>
                                            <w:right w:val="none" w:sz="0" w:space="0" w:color="auto"/>
                                          </w:divBdr>
                                          <w:divsChild>
                                            <w:div w:id="1380938007">
                                              <w:marLeft w:val="0"/>
                                              <w:marRight w:val="0"/>
                                              <w:marTop w:val="0"/>
                                              <w:marBottom w:val="0"/>
                                              <w:divBdr>
                                                <w:top w:val="none" w:sz="0" w:space="0" w:color="auto"/>
                                                <w:left w:val="none" w:sz="0" w:space="0" w:color="auto"/>
                                                <w:bottom w:val="none" w:sz="0" w:space="0" w:color="auto"/>
                                                <w:right w:val="none" w:sz="0" w:space="0" w:color="auto"/>
                                              </w:divBdr>
                                              <w:divsChild>
                                                <w:div w:id="1241330904">
                                                  <w:marLeft w:val="0"/>
                                                  <w:marRight w:val="0"/>
                                                  <w:marTop w:val="0"/>
                                                  <w:marBottom w:val="0"/>
                                                  <w:divBdr>
                                                    <w:top w:val="none" w:sz="0" w:space="0" w:color="auto"/>
                                                    <w:left w:val="none" w:sz="0" w:space="0" w:color="auto"/>
                                                    <w:bottom w:val="none" w:sz="0" w:space="0" w:color="auto"/>
                                                    <w:right w:val="none" w:sz="0" w:space="0" w:color="auto"/>
                                                  </w:divBdr>
                                                  <w:divsChild>
                                                    <w:div w:id="398014960">
                                                      <w:marLeft w:val="0"/>
                                                      <w:marRight w:val="0"/>
                                                      <w:marTop w:val="0"/>
                                                      <w:marBottom w:val="0"/>
                                                      <w:divBdr>
                                                        <w:top w:val="none" w:sz="0" w:space="0" w:color="auto"/>
                                                        <w:left w:val="none" w:sz="0" w:space="0" w:color="auto"/>
                                                        <w:bottom w:val="none" w:sz="0" w:space="0" w:color="auto"/>
                                                        <w:right w:val="none" w:sz="0" w:space="0" w:color="auto"/>
                                                      </w:divBdr>
                                                      <w:divsChild>
                                                        <w:div w:id="821117011">
                                                          <w:marLeft w:val="0"/>
                                                          <w:marRight w:val="0"/>
                                                          <w:marTop w:val="0"/>
                                                          <w:marBottom w:val="0"/>
                                                          <w:divBdr>
                                                            <w:top w:val="none" w:sz="0" w:space="0" w:color="auto"/>
                                                            <w:left w:val="none" w:sz="0" w:space="0" w:color="auto"/>
                                                            <w:bottom w:val="none" w:sz="0" w:space="0" w:color="auto"/>
                                                            <w:right w:val="none" w:sz="0" w:space="0" w:color="auto"/>
                                                          </w:divBdr>
                                                        </w:div>
                                                        <w:div w:id="1347291143">
                                                          <w:marLeft w:val="0"/>
                                                          <w:marRight w:val="0"/>
                                                          <w:marTop w:val="240"/>
                                                          <w:marBottom w:val="240"/>
                                                          <w:divBdr>
                                                            <w:top w:val="none" w:sz="0" w:space="0" w:color="auto"/>
                                                            <w:left w:val="none" w:sz="0" w:space="0" w:color="auto"/>
                                                            <w:bottom w:val="none" w:sz="0" w:space="0" w:color="auto"/>
                                                            <w:right w:val="none" w:sz="0" w:space="0" w:color="auto"/>
                                                          </w:divBdr>
                                                        </w:div>
                                                        <w:div w:id="151917885">
                                                          <w:marLeft w:val="0"/>
                                                          <w:marRight w:val="0"/>
                                                          <w:marTop w:val="240"/>
                                                          <w:marBottom w:val="240"/>
                                                          <w:divBdr>
                                                            <w:top w:val="none" w:sz="0" w:space="0" w:color="auto"/>
                                                            <w:left w:val="none" w:sz="0" w:space="0" w:color="auto"/>
                                                            <w:bottom w:val="none" w:sz="0" w:space="0" w:color="auto"/>
                                                            <w:right w:val="none" w:sz="0" w:space="0" w:color="auto"/>
                                                          </w:divBdr>
                                                        </w:div>
                                                        <w:div w:id="1478766190">
                                                          <w:marLeft w:val="0"/>
                                                          <w:marRight w:val="0"/>
                                                          <w:marTop w:val="240"/>
                                                          <w:marBottom w:val="240"/>
                                                          <w:divBdr>
                                                            <w:top w:val="none" w:sz="0" w:space="0" w:color="auto"/>
                                                            <w:left w:val="none" w:sz="0" w:space="0" w:color="auto"/>
                                                            <w:bottom w:val="none" w:sz="0" w:space="0" w:color="auto"/>
                                                            <w:right w:val="none" w:sz="0" w:space="0" w:color="auto"/>
                                                          </w:divBdr>
                                                        </w:div>
                                                        <w:div w:id="126059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458654">
          <w:marLeft w:val="0"/>
          <w:marRight w:val="0"/>
          <w:marTop w:val="0"/>
          <w:marBottom w:val="0"/>
          <w:divBdr>
            <w:top w:val="none" w:sz="0" w:space="0" w:color="auto"/>
            <w:left w:val="none" w:sz="0" w:space="0" w:color="auto"/>
            <w:bottom w:val="none" w:sz="0" w:space="0" w:color="auto"/>
            <w:right w:val="none" w:sz="0" w:space="0" w:color="auto"/>
          </w:divBdr>
          <w:divsChild>
            <w:div w:id="1859197855">
              <w:marLeft w:val="0"/>
              <w:marRight w:val="0"/>
              <w:marTop w:val="0"/>
              <w:marBottom w:val="0"/>
              <w:divBdr>
                <w:top w:val="none" w:sz="0" w:space="0" w:color="auto"/>
                <w:left w:val="none" w:sz="0" w:space="0" w:color="auto"/>
                <w:bottom w:val="none" w:sz="0" w:space="0" w:color="auto"/>
                <w:right w:val="none" w:sz="0" w:space="0" w:color="auto"/>
              </w:divBdr>
              <w:divsChild>
                <w:div w:id="1301767375">
                  <w:marLeft w:val="0"/>
                  <w:marRight w:val="0"/>
                  <w:marTop w:val="0"/>
                  <w:marBottom w:val="0"/>
                  <w:divBdr>
                    <w:top w:val="none" w:sz="0" w:space="0" w:color="auto"/>
                    <w:left w:val="none" w:sz="0" w:space="0" w:color="auto"/>
                    <w:bottom w:val="none" w:sz="0" w:space="0" w:color="auto"/>
                    <w:right w:val="none" w:sz="0" w:space="0" w:color="auto"/>
                  </w:divBdr>
                  <w:divsChild>
                    <w:div w:id="1734768867">
                      <w:marLeft w:val="0"/>
                      <w:marRight w:val="0"/>
                      <w:marTop w:val="0"/>
                      <w:marBottom w:val="0"/>
                      <w:divBdr>
                        <w:top w:val="none" w:sz="0" w:space="0" w:color="auto"/>
                        <w:left w:val="none" w:sz="0" w:space="0" w:color="auto"/>
                        <w:bottom w:val="none" w:sz="0" w:space="0" w:color="auto"/>
                        <w:right w:val="none" w:sz="0" w:space="0" w:color="auto"/>
                      </w:divBdr>
                      <w:divsChild>
                        <w:div w:id="1058742637">
                          <w:marLeft w:val="0"/>
                          <w:marRight w:val="0"/>
                          <w:marTop w:val="0"/>
                          <w:marBottom w:val="0"/>
                          <w:divBdr>
                            <w:top w:val="none" w:sz="0" w:space="0" w:color="auto"/>
                            <w:left w:val="none" w:sz="0" w:space="0" w:color="auto"/>
                            <w:bottom w:val="none" w:sz="0" w:space="0" w:color="auto"/>
                            <w:right w:val="none" w:sz="0" w:space="0" w:color="auto"/>
                          </w:divBdr>
                          <w:divsChild>
                            <w:div w:id="443161253">
                              <w:marLeft w:val="30"/>
                              <w:marRight w:val="30"/>
                              <w:marTop w:val="30"/>
                              <w:marBottom w:val="30"/>
                              <w:divBdr>
                                <w:top w:val="single" w:sz="4" w:space="5" w:color="EBEBEB"/>
                                <w:left w:val="single" w:sz="4" w:space="9" w:color="EBEBEB"/>
                                <w:bottom w:val="single" w:sz="4" w:space="9" w:color="EBEBEB"/>
                                <w:right w:val="single" w:sz="4" w:space="9" w:color="EBEBEB"/>
                              </w:divBdr>
                              <w:divsChild>
                                <w:div w:id="331295969">
                                  <w:marLeft w:val="0"/>
                                  <w:marRight w:val="0"/>
                                  <w:marTop w:val="0"/>
                                  <w:marBottom w:val="0"/>
                                  <w:divBdr>
                                    <w:top w:val="none" w:sz="0" w:space="0" w:color="auto"/>
                                    <w:left w:val="none" w:sz="0" w:space="0" w:color="auto"/>
                                    <w:bottom w:val="none" w:sz="0" w:space="0" w:color="auto"/>
                                    <w:right w:val="none" w:sz="0" w:space="0" w:color="auto"/>
                                  </w:divBdr>
                                  <w:divsChild>
                                    <w:div w:id="779178993">
                                      <w:marLeft w:val="0"/>
                                      <w:marRight w:val="0"/>
                                      <w:marTop w:val="0"/>
                                      <w:marBottom w:val="0"/>
                                      <w:divBdr>
                                        <w:top w:val="none" w:sz="0" w:space="0" w:color="auto"/>
                                        <w:left w:val="none" w:sz="0" w:space="0" w:color="auto"/>
                                        <w:bottom w:val="none" w:sz="0" w:space="0" w:color="auto"/>
                                        <w:right w:val="none" w:sz="0" w:space="0" w:color="auto"/>
                                      </w:divBdr>
                                      <w:divsChild>
                                        <w:div w:id="1697582235">
                                          <w:marLeft w:val="0"/>
                                          <w:marRight w:val="0"/>
                                          <w:marTop w:val="0"/>
                                          <w:marBottom w:val="0"/>
                                          <w:divBdr>
                                            <w:top w:val="none" w:sz="0" w:space="0" w:color="auto"/>
                                            <w:left w:val="none" w:sz="0" w:space="0" w:color="auto"/>
                                            <w:bottom w:val="none" w:sz="0" w:space="0" w:color="auto"/>
                                            <w:right w:val="none" w:sz="0" w:space="0" w:color="auto"/>
                                          </w:divBdr>
                                          <w:divsChild>
                                            <w:div w:id="1167593961">
                                              <w:marLeft w:val="0"/>
                                              <w:marRight w:val="0"/>
                                              <w:marTop w:val="0"/>
                                              <w:marBottom w:val="0"/>
                                              <w:divBdr>
                                                <w:top w:val="none" w:sz="0" w:space="0" w:color="auto"/>
                                                <w:left w:val="none" w:sz="0" w:space="0" w:color="auto"/>
                                                <w:bottom w:val="none" w:sz="0" w:space="0" w:color="auto"/>
                                                <w:right w:val="none" w:sz="0" w:space="0" w:color="auto"/>
                                              </w:divBdr>
                                              <w:divsChild>
                                                <w:div w:id="2024434847">
                                                  <w:marLeft w:val="0"/>
                                                  <w:marRight w:val="120"/>
                                                  <w:marTop w:val="0"/>
                                                  <w:marBottom w:val="0"/>
                                                  <w:divBdr>
                                                    <w:top w:val="none" w:sz="0" w:space="0" w:color="auto"/>
                                                    <w:left w:val="none" w:sz="0" w:space="0" w:color="auto"/>
                                                    <w:bottom w:val="none" w:sz="0" w:space="0" w:color="auto"/>
                                                    <w:right w:val="none" w:sz="0" w:space="0" w:color="auto"/>
                                                  </w:divBdr>
                                                  <w:divsChild>
                                                    <w:div w:id="178962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960110">
                                              <w:marLeft w:val="60"/>
                                              <w:marRight w:val="0"/>
                                              <w:marTop w:val="0"/>
                                              <w:marBottom w:val="0"/>
                                              <w:divBdr>
                                                <w:top w:val="none" w:sz="0" w:space="0" w:color="auto"/>
                                                <w:left w:val="none" w:sz="0" w:space="0" w:color="auto"/>
                                                <w:bottom w:val="none" w:sz="0" w:space="0" w:color="auto"/>
                                                <w:right w:val="none" w:sz="0" w:space="0" w:color="auto"/>
                                              </w:divBdr>
                                              <w:divsChild>
                                                <w:div w:id="1913662092">
                                                  <w:marLeft w:val="0"/>
                                                  <w:marRight w:val="0"/>
                                                  <w:marTop w:val="0"/>
                                                  <w:marBottom w:val="0"/>
                                                  <w:divBdr>
                                                    <w:top w:val="none" w:sz="0" w:space="0" w:color="auto"/>
                                                    <w:left w:val="none" w:sz="0" w:space="0" w:color="auto"/>
                                                    <w:bottom w:val="none" w:sz="0" w:space="0" w:color="auto"/>
                                                    <w:right w:val="none" w:sz="0" w:space="0" w:color="auto"/>
                                                  </w:divBdr>
                                                  <w:divsChild>
                                                    <w:div w:id="193230202">
                                                      <w:marLeft w:val="0"/>
                                                      <w:marRight w:val="0"/>
                                                      <w:marTop w:val="0"/>
                                                      <w:marBottom w:val="0"/>
                                                      <w:divBdr>
                                                        <w:top w:val="none" w:sz="0" w:space="0" w:color="auto"/>
                                                        <w:left w:val="none" w:sz="0" w:space="0" w:color="auto"/>
                                                        <w:bottom w:val="none" w:sz="0" w:space="0" w:color="auto"/>
                                                        <w:right w:val="none" w:sz="0" w:space="0" w:color="auto"/>
                                                      </w:divBdr>
                                                      <w:divsChild>
                                                        <w:div w:id="5678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612757">
                                      <w:marLeft w:val="720"/>
                                      <w:marRight w:val="0"/>
                                      <w:marTop w:val="0"/>
                                      <w:marBottom w:val="0"/>
                                      <w:divBdr>
                                        <w:top w:val="none" w:sz="0" w:space="0" w:color="auto"/>
                                        <w:left w:val="none" w:sz="0" w:space="0" w:color="auto"/>
                                        <w:bottom w:val="none" w:sz="0" w:space="0" w:color="auto"/>
                                        <w:right w:val="none" w:sz="0" w:space="0" w:color="auto"/>
                                      </w:divBdr>
                                      <w:divsChild>
                                        <w:div w:id="1495027978">
                                          <w:marLeft w:val="0"/>
                                          <w:marRight w:val="0"/>
                                          <w:marTop w:val="0"/>
                                          <w:marBottom w:val="0"/>
                                          <w:divBdr>
                                            <w:top w:val="none" w:sz="0" w:space="0" w:color="auto"/>
                                            <w:left w:val="none" w:sz="0" w:space="0" w:color="auto"/>
                                            <w:bottom w:val="none" w:sz="0" w:space="0" w:color="auto"/>
                                            <w:right w:val="none" w:sz="0" w:space="0" w:color="auto"/>
                                          </w:divBdr>
                                          <w:divsChild>
                                            <w:div w:id="330718757">
                                              <w:marLeft w:val="0"/>
                                              <w:marRight w:val="0"/>
                                              <w:marTop w:val="0"/>
                                              <w:marBottom w:val="0"/>
                                              <w:divBdr>
                                                <w:top w:val="none" w:sz="0" w:space="0" w:color="auto"/>
                                                <w:left w:val="none" w:sz="0" w:space="0" w:color="auto"/>
                                                <w:bottom w:val="none" w:sz="0" w:space="0" w:color="auto"/>
                                                <w:right w:val="none" w:sz="0" w:space="0" w:color="auto"/>
                                              </w:divBdr>
                                              <w:divsChild>
                                                <w:div w:id="1915627216">
                                                  <w:marLeft w:val="0"/>
                                                  <w:marRight w:val="0"/>
                                                  <w:marTop w:val="0"/>
                                                  <w:marBottom w:val="0"/>
                                                  <w:divBdr>
                                                    <w:top w:val="none" w:sz="0" w:space="0" w:color="auto"/>
                                                    <w:left w:val="none" w:sz="0" w:space="0" w:color="auto"/>
                                                    <w:bottom w:val="none" w:sz="0" w:space="0" w:color="auto"/>
                                                    <w:right w:val="none" w:sz="0" w:space="0" w:color="auto"/>
                                                  </w:divBdr>
                                                  <w:divsChild>
                                                    <w:div w:id="890842602">
                                                      <w:marLeft w:val="0"/>
                                                      <w:marRight w:val="0"/>
                                                      <w:marTop w:val="0"/>
                                                      <w:marBottom w:val="0"/>
                                                      <w:divBdr>
                                                        <w:top w:val="none" w:sz="0" w:space="0" w:color="auto"/>
                                                        <w:left w:val="none" w:sz="0" w:space="0" w:color="auto"/>
                                                        <w:bottom w:val="none" w:sz="0" w:space="0" w:color="auto"/>
                                                        <w:right w:val="none" w:sz="0" w:space="0" w:color="auto"/>
                                                      </w:divBdr>
                                                      <w:divsChild>
                                                        <w:div w:id="195054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898814">
                                  <w:marLeft w:val="0"/>
                                  <w:marRight w:val="0"/>
                                  <w:marTop w:val="0"/>
                                  <w:marBottom w:val="0"/>
                                  <w:divBdr>
                                    <w:top w:val="none" w:sz="0" w:space="0" w:color="auto"/>
                                    <w:left w:val="none" w:sz="0" w:space="0" w:color="auto"/>
                                    <w:bottom w:val="none" w:sz="0" w:space="0" w:color="auto"/>
                                    <w:right w:val="none" w:sz="0" w:space="0" w:color="auto"/>
                                  </w:divBdr>
                                  <w:divsChild>
                                    <w:div w:id="379985568">
                                      <w:marLeft w:val="780"/>
                                      <w:marRight w:val="240"/>
                                      <w:marTop w:val="180"/>
                                      <w:marBottom w:val="0"/>
                                      <w:divBdr>
                                        <w:top w:val="none" w:sz="0" w:space="0" w:color="auto"/>
                                        <w:left w:val="none" w:sz="0" w:space="0" w:color="auto"/>
                                        <w:bottom w:val="none" w:sz="0" w:space="0" w:color="auto"/>
                                        <w:right w:val="none" w:sz="0" w:space="0" w:color="auto"/>
                                      </w:divBdr>
                                      <w:divsChild>
                                        <w:div w:id="898632158">
                                          <w:marLeft w:val="0"/>
                                          <w:marRight w:val="0"/>
                                          <w:marTop w:val="0"/>
                                          <w:marBottom w:val="0"/>
                                          <w:divBdr>
                                            <w:top w:val="none" w:sz="0" w:space="0" w:color="auto"/>
                                            <w:left w:val="none" w:sz="0" w:space="0" w:color="auto"/>
                                            <w:bottom w:val="none" w:sz="0" w:space="0" w:color="auto"/>
                                            <w:right w:val="none" w:sz="0" w:space="0" w:color="auto"/>
                                          </w:divBdr>
                                          <w:divsChild>
                                            <w:div w:id="1780368654">
                                              <w:marLeft w:val="0"/>
                                              <w:marRight w:val="0"/>
                                              <w:marTop w:val="0"/>
                                              <w:marBottom w:val="0"/>
                                              <w:divBdr>
                                                <w:top w:val="none" w:sz="0" w:space="0" w:color="auto"/>
                                                <w:left w:val="none" w:sz="0" w:space="0" w:color="auto"/>
                                                <w:bottom w:val="none" w:sz="0" w:space="0" w:color="auto"/>
                                                <w:right w:val="none" w:sz="0" w:space="0" w:color="auto"/>
                                              </w:divBdr>
                                              <w:divsChild>
                                                <w:div w:id="1095596840">
                                                  <w:marLeft w:val="0"/>
                                                  <w:marRight w:val="0"/>
                                                  <w:marTop w:val="0"/>
                                                  <w:marBottom w:val="0"/>
                                                  <w:divBdr>
                                                    <w:top w:val="none" w:sz="0" w:space="0" w:color="auto"/>
                                                    <w:left w:val="none" w:sz="0" w:space="0" w:color="auto"/>
                                                    <w:bottom w:val="none" w:sz="0" w:space="0" w:color="auto"/>
                                                    <w:right w:val="none" w:sz="0" w:space="0" w:color="auto"/>
                                                  </w:divBdr>
                                                  <w:divsChild>
                                                    <w:div w:id="1251620172">
                                                      <w:marLeft w:val="0"/>
                                                      <w:marRight w:val="0"/>
                                                      <w:marTop w:val="0"/>
                                                      <w:marBottom w:val="0"/>
                                                      <w:divBdr>
                                                        <w:top w:val="none" w:sz="0" w:space="0" w:color="auto"/>
                                                        <w:left w:val="none" w:sz="0" w:space="0" w:color="auto"/>
                                                        <w:bottom w:val="none" w:sz="0" w:space="0" w:color="auto"/>
                                                        <w:right w:val="none" w:sz="0" w:space="0" w:color="auto"/>
                                                      </w:divBdr>
                                                      <w:divsChild>
                                                        <w:div w:id="1102796376">
                                                          <w:marLeft w:val="0"/>
                                                          <w:marRight w:val="0"/>
                                                          <w:marTop w:val="240"/>
                                                          <w:marBottom w:val="240"/>
                                                          <w:divBdr>
                                                            <w:top w:val="none" w:sz="0" w:space="0" w:color="auto"/>
                                                            <w:left w:val="none" w:sz="0" w:space="0" w:color="auto"/>
                                                            <w:bottom w:val="none" w:sz="0" w:space="0" w:color="auto"/>
                                                            <w:right w:val="none" w:sz="0" w:space="0" w:color="auto"/>
                                                          </w:divBdr>
                                                        </w:div>
                                                        <w:div w:id="485441428">
                                                          <w:marLeft w:val="0"/>
                                                          <w:marRight w:val="0"/>
                                                          <w:marTop w:val="240"/>
                                                          <w:marBottom w:val="240"/>
                                                          <w:divBdr>
                                                            <w:top w:val="none" w:sz="0" w:space="0" w:color="auto"/>
                                                            <w:left w:val="none" w:sz="0" w:space="0" w:color="auto"/>
                                                            <w:bottom w:val="none" w:sz="0" w:space="0" w:color="auto"/>
                                                            <w:right w:val="none" w:sz="0" w:space="0" w:color="auto"/>
                                                          </w:divBdr>
                                                        </w:div>
                                                        <w:div w:id="1026253657">
                                                          <w:marLeft w:val="0"/>
                                                          <w:marRight w:val="0"/>
                                                          <w:marTop w:val="240"/>
                                                          <w:marBottom w:val="240"/>
                                                          <w:divBdr>
                                                            <w:top w:val="none" w:sz="0" w:space="0" w:color="auto"/>
                                                            <w:left w:val="none" w:sz="0" w:space="0" w:color="auto"/>
                                                            <w:bottom w:val="none" w:sz="0" w:space="0" w:color="auto"/>
                                                            <w:right w:val="none" w:sz="0" w:space="0" w:color="auto"/>
                                                          </w:divBdr>
                                                        </w:div>
                                                        <w:div w:id="18713354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320819">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archivos/manual/guia-de-garantias-en-procesos-de-contratac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mpg20@yahoo.es"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archivos/circular/circular-externa-002-de-202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56705B-7B19-4B5E-AA19-C89EE9739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9</TotalTime>
  <Pages>19</Pages>
  <Words>5927</Words>
  <Characters>32602</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5</cp:revision>
  <cp:lastPrinted>2023-01-10T21:18:00Z</cp:lastPrinted>
  <dcterms:created xsi:type="dcterms:W3CDTF">2026-07-27T15:34:00Z</dcterms:created>
  <dcterms:modified xsi:type="dcterms:W3CDTF">2026-08-05T22:25:00Z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