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54BB9" w14:textId="77777777" w:rsidR="001B5CF6" w:rsidRPr="0091122A" w:rsidRDefault="001B5CF6" w:rsidP="001B5CF6">
      <w:pPr>
        <w:spacing w:after="0"/>
        <w:jc w:val="both"/>
        <w:rPr>
          <w:rFonts w:ascii="Verdana" w:hAnsi="Verdana" w:cs="Arial"/>
          <w:b/>
          <w:bCs/>
          <w:lang w:val="es-ES_tradnl" w:eastAsia="es-ES" w:bidi="es-ES"/>
        </w:rPr>
      </w:pPr>
      <w:bookmarkStart w:id="0" w:name="_Hlk143780582"/>
      <w:r w:rsidRPr="0091122A">
        <w:rPr>
          <w:rFonts w:ascii="Verdana" w:eastAsia="Arial" w:hAnsi="Verdana" w:cs="Arial"/>
          <w:b/>
          <w:lang w:val="es-ES"/>
        </w:rPr>
        <w:t>PRINCIPIO DE PUBLICIDAD – Concepto – Fundamento axiológico – Fundamento constitucional</w:t>
      </w:r>
      <w:r w:rsidRPr="0091122A">
        <w:rPr>
          <w:rFonts w:ascii="Verdana" w:hAnsi="Verdana" w:cs="Arial"/>
          <w:b/>
          <w:bCs/>
          <w:lang w:val="es-ES_tradnl" w:eastAsia="es-ES" w:bidi="es-ES"/>
        </w:rPr>
        <w:t xml:space="preserve"> </w:t>
      </w:r>
    </w:p>
    <w:p w14:paraId="6486DCAF" w14:textId="77777777" w:rsidR="001B5CF6" w:rsidRPr="0091122A" w:rsidRDefault="001B5CF6" w:rsidP="001B5CF6">
      <w:pPr>
        <w:spacing w:after="0" w:line="240" w:lineRule="auto"/>
        <w:jc w:val="both"/>
        <w:rPr>
          <w:rFonts w:ascii="Verdana" w:hAnsi="Verdana" w:cs="Arial"/>
          <w:b/>
          <w:bCs/>
          <w:sz w:val="20"/>
          <w:szCs w:val="20"/>
          <w:lang w:val="es-ES_tradnl" w:eastAsia="es-ES" w:bidi="es-ES"/>
        </w:rPr>
      </w:pPr>
    </w:p>
    <w:p w14:paraId="24CD15BE" w14:textId="77777777" w:rsidR="001B5CF6" w:rsidRPr="0091122A" w:rsidRDefault="001B5CF6" w:rsidP="001B5CF6">
      <w:pPr>
        <w:spacing w:after="0" w:line="240" w:lineRule="auto"/>
        <w:jc w:val="both"/>
        <w:rPr>
          <w:rFonts w:ascii="Verdana" w:eastAsia="Times New Roman" w:hAnsi="Verdana" w:cs="Arial"/>
          <w:sz w:val="20"/>
          <w:szCs w:val="20"/>
          <w:lang w:val="es-ES" w:eastAsia="es-ES"/>
          <w14:ligatures w14:val="standardContextual"/>
        </w:rPr>
      </w:pPr>
      <w:r w:rsidRPr="0091122A">
        <w:rPr>
          <w:rFonts w:ascii="Verdana" w:eastAsia="Times New Roman" w:hAnsi="Verdana" w:cs="Arial"/>
          <w:sz w:val="20"/>
          <w:szCs w:val="20"/>
          <w:lang w:val="es-ES" w:eastAsia="es-ES"/>
          <w14:ligatures w14:val="standardContextual"/>
        </w:rPr>
        <w:t xml:space="preserve">Uno de los postulados más importantes de un Estado social y democrático de derecho es el principio de </w:t>
      </w:r>
      <w:r w:rsidRPr="0091122A">
        <w:rPr>
          <w:rFonts w:ascii="Verdana" w:eastAsia="Times New Roman" w:hAnsi="Verdana" w:cs="Arial"/>
          <w:i/>
          <w:iCs/>
          <w:sz w:val="20"/>
          <w:szCs w:val="20"/>
          <w:lang w:val="es-ES" w:eastAsia="es-ES"/>
          <w14:ligatures w14:val="standardContextual"/>
        </w:rPr>
        <w:t>publicidad</w:t>
      </w:r>
      <w:r w:rsidRPr="0091122A">
        <w:rPr>
          <w:rFonts w:ascii="Verdana" w:eastAsia="Times New Roman" w:hAnsi="Verdana" w:cs="Arial"/>
          <w:sz w:val="20"/>
          <w:szCs w:val="20"/>
          <w:lang w:val="es-ES" w:eastAsia="es-ES"/>
          <w14:ligatures w14:val="standardContextua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6AC7F0A3" w14:textId="77777777" w:rsidR="001B5CF6" w:rsidRDefault="001B5CF6" w:rsidP="001B5CF6">
      <w:pPr>
        <w:spacing w:after="0" w:line="240" w:lineRule="auto"/>
        <w:jc w:val="both"/>
        <w:rPr>
          <w:rFonts w:ascii="Verdana" w:eastAsia="Times New Roman" w:hAnsi="Verdana" w:cs="Arial"/>
          <w:sz w:val="20"/>
          <w:szCs w:val="20"/>
          <w:lang w:val="es-ES" w:eastAsia="es-ES"/>
          <w14:ligatures w14:val="standardContextual"/>
        </w:rPr>
      </w:pPr>
    </w:p>
    <w:p w14:paraId="13679C85" w14:textId="77777777" w:rsidR="001B5CF6" w:rsidRPr="0091122A" w:rsidRDefault="001B5CF6" w:rsidP="001B5CF6">
      <w:pPr>
        <w:spacing w:after="0" w:line="240" w:lineRule="auto"/>
        <w:jc w:val="both"/>
        <w:rPr>
          <w:rFonts w:ascii="Verdana" w:eastAsia="Times New Roman" w:hAnsi="Verdana" w:cs="Arial"/>
          <w:sz w:val="20"/>
          <w:szCs w:val="20"/>
          <w:lang w:val="es-ES" w:eastAsia="es-ES"/>
          <w14:ligatures w14:val="standardContextual"/>
        </w:rPr>
      </w:pPr>
      <w:r w:rsidRPr="0091122A">
        <w:rPr>
          <w:rFonts w:ascii="Verdana" w:eastAsia="Times New Roman" w:hAnsi="Verdana" w:cs="Arial"/>
          <w:sz w:val="20"/>
          <w:szCs w:val="20"/>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08EC652C" w14:textId="77777777" w:rsidR="001B5CF6" w:rsidRPr="0091122A" w:rsidRDefault="001B5CF6" w:rsidP="001B5CF6">
      <w:pPr>
        <w:spacing w:after="0"/>
        <w:jc w:val="both"/>
        <w:rPr>
          <w:rFonts w:ascii="Verdana" w:hAnsi="Verdana" w:cs="Arial"/>
          <w:b/>
          <w:bCs/>
          <w:lang w:val="es-ES" w:eastAsia="es-ES" w:bidi="es-ES"/>
        </w:rPr>
      </w:pPr>
    </w:p>
    <w:p w14:paraId="6FF20E11" w14:textId="77777777" w:rsidR="001B5CF6" w:rsidRPr="0091122A" w:rsidRDefault="001B5CF6" w:rsidP="001B5CF6">
      <w:pPr>
        <w:spacing w:after="0"/>
        <w:jc w:val="both"/>
        <w:rPr>
          <w:rFonts w:ascii="Verdana" w:hAnsi="Verdana" w:cs="Arial"/>
          <w:b/>
          <w:bCs/>
          <w:lang w:val="es-ES_tradnl" w:eastAsia="es-ES" w:bidi="es-ES"/>
        </w:rPr>
      </w:pPr>
      <w:r w:rsidRPr="0091122A">
        <w:rPr>
          <w:rFonts w:ascii="Verdana" w:hAnsi="Verdana" w:cs="Arial"/>
          <w:b/>
          <w:bCs/>
          <w:lang w:val="es-ES_tradnl" w:eastAsia="es-ES" w:bidi="es-ES"/>
        </w:rPr>
        <w:t xml:space="preserve">PRINCIPIO DE PUBLICIDAD – SECOP – Documentos del proceso – Deber de publicación </w:t>
      </w:r>
    </w:p>
    <w:p w14:paraId="34128E26" w14:textId="77777777" w:rsidR="001B5CF6" w:rsidRDefault="001B5CF6" w:rsidP="001B5CF6">
      <w:pPr>
        <w:spacing w:after="0"/>
        <w:jc w:val="both"/>
        <w:rPr>
          <w:rFonts w:ascii="Verdana" w:hAnsi="Verdana"/>
          <w:b/>
        </w:rPr>
      </w:pPr>
    </w:p>
    <w:p w14:paraId="46E417E7" w14:textId="77777777" w:rsidR="001B5CF6" w:rsidRPr="0091122A" w:rsidRDefault="001B5CF6" w:rsidP="001B5CF6">
      <w:pPr>
        <w:spacing w:after="0" w:line="240" w:lineRule="auto"/>
        <w:jc w:val="both"/>
        <w:rPr>
          <w:rFonts w:ascii="Verdana" w:eastAsia="Times New Roman" w:hAnsi="Verdana" w:cs="Arial"/>
          <w:sz w:val="20"/>
          <w:szCs w:val="20"/>
          <w:lang w:val="es-ES_tradnl" w:eastAsia="es-ES_tradnl"/>
          <w14:ligatures w14:val="standardContextual"/>
        </w:rPr>
      </w:pPr>
      <w:r w:rsidRPr="0091122A">
        <w:rPr>
          <w:rFonts w:ascii="Verdana" w:eastAsia="Times New Roman" w:hAnsi="Verdana" w:cs="Arial"/>
          <w:sz w:val="20"/>
          <w:szCs w:val="20"/>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3775D96D" w14:textId="77777777" w:rsidR="001B5CF6" w:rsidRDefault="001B5CF6" w:rsidP="001B5CF6">
      <w:pPr>
        <w:tabs>
          <w:tab w:val="left" w:pos="709"/>
        </w:tabs>
        <w:spacing w:after="0" w:line="240" w:lineRule="auto"/>
        <w:jc w:val="both"/>
        <w:rPr>
          <w:rFonts w:ascii="Verdana" w:hAnsi="Verdana" w:cs="Arial"/>
          <w:sz w:val="20"/>
          <w:szCs w:val="20"/>
          <w:shd w:val="clear" w:color="auto" w:fill="FFFFFF"/>
        </w:rPr>
      </w:pPr>
    </w:p>
    <w:p w14:paraId="3F2302A4" w14:textId="77777777" w:rsidR="001B5CF6" w:rsidRPr="0091122A" w:rsidRDefault="001B5CF6" w:rsidP="001B5CF6">
      <w:pPr>
        <w:tabs>
          <w:tab w:val="left" w:pos="709"/>
        </w:tabs>
        <w:spacing w:after="0" w:line="240" w:lineRule="auto"/>
        <w:jc w:val="both"/>
        <w:rPr>
          <w:rFonts w:ascii="Verdana" w:hAnsi="Verdana" w:cs="Arial"/>
          <w:sz w:val="20"/>
          <w:szCs w:val="20"/>
          <w:shd w:val="clear" w:color="auto" w:fill="FFFFFF"/>
        </w:rPr>
      </w:pPr>
      <w:r w:rsidRPr="0091122A">
        <w:rPr>
          <w:rFonts w:ascii="Verdana" w:hAnsi="Verdana" w:cs="Arial"/>
          <w:sz w:val="20"/>
          <w:szCs w:val="20"/>
          <w:shd w:val="clear" w:color="auto" w:fill="FFFFFF"/>
        </w:rPr>
        <w:t xml:space="preserve">La expresión </w:t>
      </w:r>
      <w:r w:rsidRPr="0091122A">
        <w:rPr>
          <w:rFonts w:ascii="Verdana" w:hAnsi="Verdana" w:cs="Arial"/>
          <w:i/>
          <w:iCs/>
          <w:sz w:val="20"/>
          <w:szCs w:val="20"/>
          <w:shd w:val="clear" w:color="auto" w:fill="FFFFFF"/>
        </w:rPr>
        <w:t xml:space="preserve">Documentos del Proceso </w:t>
      </w:r>
      <w:r w:rsidRPr="0091122A">
        <w:rPr>
          <w:rFonts w:ascii="Verdana" w:hAnsi="Verdana" w:cs="Arial"/>
          <w:sz w:val="20"/>
          <w:szCs w:val="20"/>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91122A">
        <w:rPr>
          <w:rFonts w:ascii="Verdana" w:hAnsi="Verdana" w:cs="Arial"/>
          <w:i/>
          <w:iCs/>
          <w:sz w:val="20"/>
          <w:szCs w:val="20"/>
          <w:shd w:val="clear" w:color="auto" w:fill="FFFFFF"/>
        </w:rPr>
        <w:t>y cualquier otro documento expedido por la Entidad Estatal durante el Proceso de Contratación</w:t>
      </w:r>
      <w:r w:rsidRPr="0091122A">
        <w:rPr>
          <w:rFonts w:ascii="Verdana" w:hAnsi="Verdana" w:cs="Arial"/>
          <w:sz w:val="20"/>
          <w:szCs w:val="20"/>
          <w:shd w:val="clear" w:color="auto" w:fill="FFFFFF"/>
        </w:rPr>
        <w:t>”. [Énfasis fuera de texto]</w:t>
      </w:r>
    </w:p>
    <w:p w14:paraId="3D291177" w14:textId="77777777" w:rsidR="001B5CF6" w:rsidRDefault="001B5CF6" w:rsidP="001B5CF6">
      <w:pPr>
        <w:tabs>
          <w:tab w:val="left" w:pos="709"/>
        </w:tabs>
        <w:spacing w:after="0" w:line="240" w:lineRule="auto"/>
        <w:jc w:val="both"/>
        <w:rPr>
          <w:rFonts w:ascii="Verdana" w:hAnsi="Verdana" w:cs="Arial"/>
          <w:sz w:val="20"/>
          <w:szCs w:val="20"/>
          <w:shd w:val="clear" w:color="auto" w:fill="FFFFFF"/>
        </w:rPr>
      </w:pPr>
    </w:p>
    <w:p w14:paraId="6B8FCB6F" w14:textId="77777777" w:rsidR="001B5CF6" w:rsidRPr="0091122A" w:rsidRDefault="001B5CF6" w:rsidP="001B5CF6">
      <w:pPr>
        <w:tabs>
          <w:tab w:val="left" w:pos="709"/>
        </w:tabs>
        <w:spacing w:after="0" w:line="240" w:lineRule="auto"/>
        <w:jc w:val="both"/>
        <w:rPr>
          <w:rFonts w:ascii="Verdana" w:hAnsi="Verdana" w:cs="Arial"/>
          <w:sz w:val="20"/>
          <w:szCs w:val="20"/>
          <w:shd w:val="clear" w:color="auto" w:fill="FFFFFF"/>
        </w:rPr>
      </w:pPr>
      <w:r w:rsidRPr="0091122A">
        <w:rPr>
          <w:rFonts w:ascii="Verdana" w:hAnsi="Verdana" w:cs="Arial"/>
          <w:sz w:val="20"/>
          <w:szCs w:val="20"/>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91122A">
        <w:rPr>
          <w:rFonts w:ascii="Verdana" w:hAnsi="Verdana" w:cs="Arial"/>
          <w:i/>
          <w:iCs/>
          <w:sz w:val="20"/>
          <w:szCs w:val="20"/>
          <w:shd w:val="clear" w:color="auto" w:fill="FFFFFF"/>
        </w:rPr>
        <w:t>Ibidem</w:t>
      </w:r>
      <w:r w:rsidRPr="0091122A">
        <w:rPr>
          <w:rFonts w:ascii="Verdana" w:hAnsi="Verdana" w:cs="Arial"/>
          <w:sz w:val="20"/>
          <w:szCs w:val="20"/>
          <w:shd w:val="clear" w:color="auto" w:fill="FFFFFF"/>
        </w:rPr>
        <w:t xml:space="preserve"> recoge en la noción de Documentos del Proceso “cualquier otro documento expedido por la Entidad Estatal durante el Proceso de Contratación”. </w:t>
      </w:r>
    </w:p>
    <w:p w14:paraId="067C4CED" w14:textId="77777777" w:rsidR="001B5CF6" w:rsidRDefault="001B5CF6" w:rsidP="001B5CF6">
      <w:pPr>
        <w:tabs>
          <w:tab w:val="left" w:pos="709"/>
        </w:tabs>
        <w:spacing w:after="0" w:line="240" w:lineRule="auto"/>
        <w:jc w:val="both"/>
        <w:rPr>
          <w:rFonts w:ascii="Verdana" w:hAnsi="Verdana" w:cs="Arial"/>
          <w:sz w:val="20"/>
          <w:szCs w:val="20"/>
          <w:shd w:val="clear" w:color="auto" w:fill="FFFFFF"/>
        </w:rPr>
      </w:pPr>
    </w:p>
    <w:p w14:paraId="699FCD47" w14:textId="77777777" w:rsidR="001B5CF6" w:rsidRPr="0091122A" w:rsidRDefault="001B5CF6" w:rsidP="001B5CF6">
      <w:pPr>
        <w:tabs>
          <w:tab w:val="left" w:pos="709"/>
        </w:tabs>
        <w:spacing w:after="0" w:line="240" w:lineRule="auto"/>
        <w:jc w:val="both"/>
        <w:rPr>
          <w:rFonts w:ascii="Verdana" w:hAnsi="Verdana" w:cs="Arial"/>
          <w:sz w:val="20"/>
          <w:szCs w:val="20"/>
          <w:shd w:val="clear" w:color="auto" w:fill="FFFFFF"/>
        </w:rPr>
      </w:pPr>
      <w:r w:rsidRPr="0091122A">
        <w:rPr>
          <w:rFonts w:ascii="Verdana" w:hAnsi="Verdana" w:cs="Arial"/>
          <w:sz w:val="20"/>
          <w:szCs w:val="20"/>
          <w:shd w:val="clear" w:color="auto" w:fill="FFFFFF"/>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32930AF0" w14:textId="77777777" w:rsidR="001B5CF6" w:rsidRPr="0091122A" w:rsidRDefault="001B5CF6" w:rsidP="001B5CF6">
      <w:pPr>
        <w:spacing w:after="0"/>
        <w:jc w:val="both"/>
        <w:rPr>
          <w:rFonts w:ascii="Verdana" w:hAnsi="Verdana"/>
          <w:b/>
        </w:rPr>
      </w:pPr>
    </w:p>
    <w:p w14:paraId="4E17737A" w14:textId="77777777" w:rsidR="001B5CF6" w:rsidRPr="0091122A" w:rsidRDefault="001B5CF6" w:rsidP="001B5CF6">
      <w:pPr>
        <w:spacing w:after="0"/>
        <w:jc w:val="both"/>
        <w:rPr>
          <w:rFonts w:ascii="Verdana" w:hAnsi="Verdana" w:cs="Arial"/>
          <w:b/>
          <w:bCs/>
          <w:lang w:eastAsia="es-ES" w:bidi="es-ES"/>
        </w:rPr>
      </w:pPr>
      <w:r w:rsidRPr="0091122A">
        <w:rPr>
          <w:rFonts w:ascii="Verdana" w:hAnsi="Verdana" w:cs="Arial"/>
          <w:b/>
          <w:bCs/>
          <w:lang w:eastAsia="es-ES" w:bidi="es-ES"/>
        </w:rPr>
        <w:t xml:space="preserve">ENTIDADES CON RÉGIMEN ESPECIAL – Deber de publicar en SECOP – Artículo 53 Ley 2195 de 2022 </w:t>
      </w:r>
    </w:p>
    <w:p w14:paraId="74B5E470" w14:textId="77777777" w:rsidR="001B5CF6" w:rsidRPr="00AE3717" w:rsidRDefault="001B5CF6" w:rsidP="001B5CF6">
      <w:pPr>
        <w:spacing w:after="0"/>
        <w:jc w:val="both"/>
        <w:rPr>
          <w:rFonts w:ascii="Verdana" w:hAnsi="Verdana" w:cs="Arial"/>
          <w:b/>
          <w:bCs/>
          <w:sz w:val="20"/>
          <w:szCs w:val="20"/>
          <w:lang w:eastAsia="es-ES" w:bidi="es-ES"/>
        </w:rPr>
      </w:pPr>
    </w:p>
    <w:p w14:paraId="010983B8" w14:textId="77777777" w:rsidR="001B5CF6" w:rsidRDefault="001B5CF6" w:rsidP="001B5CF6">
      <w:pPr>
        <w:tabs>
          <w:tab w:val="left" w:pos="709"/>
        </w:tabs>
        <w:spacing w:after="0" w:line="240" w:lineRule="auto"/>
        <w:jc w:val="both"/>
        <w:rPr>
          <w:rFonts w:ascii="Verdana" w:eastAsia="Calibri" w:hAnsi="Verdana" w:cs="Arial"/>
          <w:color w:val="000000"/>
          <w:sz w:val="20"/>
          <w:szCs w:val="20"/>
        </w:rPr>
      </w:pPr>
      <w:r w:rsidRPr="00AE3717">
        <w:rPr>
          <w:rFonts w:ascii="Verdana" w:hAnsi="Verdana" w:cs="Arial"/>
          <w:sz w:val="20"/>
          <w:szCs w:val="20"/>
          <w:shd w:val="clear" w:color="auto" w:fill="FFFFFF"/>
        </w:rPr>
        <w:t xml:space="preserve">[…] </w:t>
      </w:r>
      <w:r w:rsidRPr="00AE3717">
        <w:rPr>
          <w:rFonts w:ascii="Verdana" w:eastAsia="Calibri" w:hAnsi="Verdana" w:cs="Arial"/>
          <w:color w:val="000000"/>
          <w:sz w:val="20"/>
          <w:szCs w:val="20"/>
        </w:rPr>
        <w:t>debe destacarse el artículo 53 de la Ley 2195 de 2022 que modifica el artículo 13 de la Ley 1150 de 2007 que estableció la obligación de las Entidades Estatales exceptuadas del Estatuto General de Contratación de la Administración Pública de publicar en el SECOP II –es decir en la plataforma transaccional vigente– su actividad contractual. Así pues, respecto de los documentos que deben publicarse en el SECOP II a efectos de cumplir el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w:t>
      </w:r>
    </w:p>
    <w:p w14:paraId="650ED407" w14:textId="77777777" w:rsidR="001B5CF6" w:rsidRPr="00AE3717" w:rsidRDefault="001B5CF6" w:rsidP="001B5CF6">
      <w:pPr>
        <w:tabs>
          <w:tab w:val="left" w:pos="709"/>
        </w:tabs>
        <w:spacing w:after="0" w:line="240" w:lineRule="auto"/>
        <w:jc w:val="both"/>
        <w:rPr>
          <w:rFonts w:ascii="Verdana" w:eastAsia="Calibri" w:hAnsi="Verdana" w:cs="Arial"/>
          <w:color w:val="000000"/>
          <w:sz w:val="20"/>
          <w:szCs w:val="20"/>
        </w:rPr>
      </w:pPr>
    </w:p>
    <w:p w14:paraId="04E8F481" w14:textId="77777777" w:rsidR="001B5CF6" w:rsidRDefault="001B5CF6" w:rsidP="001B5CF6">
      <w:pPr>
        <w:spacing w:after="0" w:line="240" w:lineRule="auto"/>
        <w:jc w:val="both"/>
        <w:rPr>
          <w:rFonts w:ascii="Verdana" w:eastAsia="Calibri" w:hAnsi="Verdana" w:cs="Arial"/>
          <w:color w:val="000000"/>
          <w:sz w:val="20"/>
          <w:szCs w:val="20"/>
        </w:rPr>
      </w:pPr>
      <w:r w:rsidRPr="00AE3717">
        <w:rPr>
          <w:rFonts w:ascii="Verdana" w:eastAsia="Calibri" w:hAnsi="Verdana" w:cs="Arial"/>
          <w:color w:val="000000"/>
          <w:sz w:val="20"/>
          <w:szCs w:val="20"/>
        </w:rPr>
        <w:t>En ese sentido, dicho precepto anteriormente referenciado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que modificó el artículo 13 de la Ley 1150 de 2007,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si procede restricción de esta por una reserva constitucional o legal.</w:t>
      </w:r>
    </w:p>
    <w:p w14:paraId="77F89D46" w14:textId="77777777" w:rsidR="001B5CF6" w:rsidRPr="00AF0096" w:rsidRDefault="001B5CF6" w:rsidP="001B5CF6">
      <w:pPr>
        <w:spacing w:after="0"/>
        <w:jc w:val="both"/>
        <w:rPr>
          <w:rFonts w:ascii="Verdana" w:hAnsi="Verdana"/>
          <w:b/>
        </w:rPr>
      </w:pPr>
    </w:p>
    <w:p w14:paraId="17B69146" w14:textId="77777777" w:rsidR="001B5CF6" w:rsidRPr="00AF0096" w:rsidRDefault="001B5CF6" w:rsidP="001B5CF6">
      <w:pPr>
        <w:spacing w:after="0" w:line="240" w:lineRule="auto"/>
        <w:jc w:val="both"/>
        <w:rPr>
          <w:rFonts w:ascii="Verdana" w:hAnsi="Verdana" w:cs="Arial"/>
          <w:b/>
          <w:bCs/>
          <w:lang w:eastAsia="es-ES" w:bidi="es-ES"/>
        </w:rPr>
      </w:pPr>
      <w:r w:rsidRPr="00AF0096">
        <w:rPr>
          <w:rFonts w:ascii="Verdana" w:hAnsi="Verdana" w:cs="Arial"/>
          <w:b/>
          <w:bCs/>
          <w:lang w:eastAsia="es-ES" w:bidi="es-ES"/>
        </w:rPr>
        <w:t xml:space="preserve">ENTIDADES DE RÉGIMEN ESPECIAL – SECOP II- Módulo de Régimen Especial – Con oferta – Sin Oferta </w:t>
      </w:r>
    </w:p>
    <w:p w14:paraId="51EFF43C" w14:textId="77777777" w:rsidR="001B5CF6" w:rsidRDefault="001B5CF6" w:rsidP="001B5CF6">
      <w:pPr>
        <w:spacing w:after="0" w:line="240" w:lineRule="auto"/>
        <w:rPr>
          <w:rFonts w:ascii="Verdana" w:hAnsi="Verdana" w:cs="Arial"/>
          <w:bCs/>
          <w:lang w:eastAsia="es-ES" w:bidi="es-ES"/>
        </w:rPr>
      </w:pPr>
    </w:p>
    <w:p w14:paraId="7D797869" w14:textId="77777777" w:rsidR="001B5CF6" w:rsidRPr="00AF0096" w:rsidRDefault="001B5CF6" w:rsidP="001B5CF6">
      <w:pPr>
        <w:spacing w:after="0" w:line="240" w:lineRule="auto"/>
        <w:jc w:val="both"/>
        <w:rPr>
          <w:rFonts w:ascii="Verdana" w:hAnsi="Verdana" w:cs="Arial"/>
          <w:bCs/>
          <w:sz w:val="20"/>
          <w:szCs w:val="20"/>
          <w:lang w:eastAsia="es-ES" w:bidi="es-ES"/>
        </w:rPr>
      </w:pPr>
      <w:r w:rsidRPr="00AF0096">
        <w:rPr>
          <w:rFonts w:ascii="Verdana" w:hAnsi="Verdana" w:cs="Arial"/>
          <w:bCs/>
          <w:sz w:val="20"/>
          <w:szCs w:val="20"/>
          <w:lang w:eastAsia="es-ES" w:bidi="es-ES"/>
        </w:rPr>
        <w:t>Teniendo en cuenta, la obligatoriedad de</w:t>
      </w:r>
      <w:r w:rsidRPr="00AF0096">
        <w:rPr>
          <w:rFonts w:ascii="Verdana" w:hAnsi="Verdana" w:cs="Arial"/>
          <w:bCs/>
          <w:sz w:val="20"/>
          <w:szCs w:val="20"/>
          <w:lang w:val="es-ES" w:eastAsia="es-ES" w:bidi="es-ES"/>
        </w:rPr>
        <w:t xml:space="preserve"> SECOP II para entidades de régimen especial, es preciso señalar que está habilitado dos módulos para dichas entidades: i) Régimen Especial con Ofertas, que consiste en un procedimiento contractual que se desarrolla en línea y dentro de la plataforma, en el que las entidades pueden estructurar el proceso de contratación y recibir las ofertas de los proveedores y generar el contrato electrónico </w:t>
      </w:r>
      <w:r w:rsidRPr="00AF0096">
        <w:rPr>
          <w:rFonts w:ascii="Verdana" w:hAnsi="Verdana" w:cs="Arial"/>
          <w:bCs/>
          <w:sz w:val="20"/>
          <w:szCs w:val="20"/>
          <w:lang w:val="es-ES" w:eastAsia="es-ES" w:bidi="es-ES"/>
        </w:rPr>
        <w:lastRenderedPageBreak/>
        <w:t xml:space="preserve">y demás documentos, conformándose un expediente electrónico; ii) Régimen Especial sin Ofertas, que consiste en que las entidades pueden estructurar el Proceso de Contratación, generar el contrato electrónico y realizar la gestión contractual. Al respecto, </w:t>
      </w:r>
      <w:r w:rsidRPr="00AF0096">
        <w:rPr>
          <w:rFonts w:ascii="Verdana" w:hAnsi="Verdana" w:cs="Arial"/>
          <w:bCs/>
          <w:sz w:val="20"/>
          <w:szCs w:val="20"/>
          <w:lang w:eastAsia="es-ES" w:bidi="es-ES"/>
        </w:rPr>
        <w:t>la Circular Externa No. 002 del 23 de agosto de 2024, estableció los lineamientos para la aplicación del artículo 53 de la Ley 2195 de 2022 por parte de las Entidades Estales que por disposición legal cuentan con un régimen contractual excepcional al Estatuto General de Contratación de la Administración Pública.</w:t>
      </w:r>
    </w:p>
    <w:p w14:paraId="380D5373" w14:textId="77777777" w:rsidR="001B5CF6" w:rsidRDefault="001B5CF6" w:rsidP="001B5CF6">
      <w:pPr>
        <w:spacing w:after="0" w:line="240" w:lineRule="auto"/>
        <w:rPr>
          <w:rFonts w:ascii="Verdana" w:eastAsia="Geomanist Light" w:hAnsi="Verdana" w:cs="Arial"/>
          <w:color w:val="000000" w:themeColor="text1"/>
        </w:rPr>
      </w:pPr>
    </w:p>
    <w:p w14:paraId="72472DA1" w14:textId="77777777" w:rsidR="001B5CF6" w:rsidRDefault="001B5CF6" w:rsidP="001B5CF6">
      <w:pPr>
        <w:spacing w:after="0" w:line="240" w:lineRule="auto"/>
        <w:rPr>
          <w:rFonts w:ascii="Verdana" w:eastAsia="Geomanist Light" w:hAnsi="Verdana" w:cs="Arial"/>
          <w:color w:val="000000" w:themeColor="text1"/>
          <w:lang w:val="es-MX"/>
        </w:rPr>
      </w:pPr>
    </w:p>
    <w:p w14:paraId="2FAE64F0" w14:textId="77777777" w:rsidR="001B5CF6" w:rsidRDefault="001B5CF6" w:rsidP="001B5CF6">
      <w:pPr>
        <w:spacing w:after="0" w:line="240" w:lineRule="auto"/>
        <w:rPr>
          <w:rFonts w:ascii="Verdana" w:eastAsia="Geomanist Light" w:hAnsi="Verdana" w:cs="Arial"/>
          <w:color w:val="000000" w:themeColor="text1"/>
          <w:lang w:val="es-MX"/>
        </w:rPr>
      </w:pPr>
    </w:p>
    <w:p w14:paraId="506310F2" w14:textId="77777777" w:rsidR="001B5CF6" w:rsidRDefault="001B5CF6" w:rsidP="001B5CF6">
      <w:pPr>
        <w:spacing w:after="0" w:line="240" w:lineRule="auto"/>
        <w:rPr>
          <w:rFonts w:ascii="Verdana" w:eastAsia="Geomanist Light" w:hAnsi="Verdana" w:cs="Arial"/>
          <w:color w:val="000000" w:themeColor="text1"/>
          <w:lang w:val="es-MX"/>
        </w:rPr>
      </w:pPr>
    </w:p>
    <w:p w14:paraId="038DF1E1" w14:textId="77777777" w:rsidR="001B5CF6" w:rsidRDefault="001B5CF6" w:rsidP="001B5CF6">
      <w:pPr>
        <w:spacing w:after="0" w:line="240" w:lineRule="auto"/>
        <w:rPr>
          <w:rFonts w:ascii="Verdana" w:eastAsia="Geomanist Light" w:hAnsi="Verdana" w:cs="Arial"/>
          <w:color w:val="000000" w:themeColor="text1"/>
          <w:lang w:val="es-MX"/>
        </w:rPr>
      </w:pPr>
    </w:p>
    <w:p w14:paraId="7784EFAB" w14:textId="77777777" w:rsidR="001B5CF6" w:rsidRDefault="001B5CF6" w:rsidP="001B5CF6">
      <w:pPr>
        <w:spacing w:after="0" w:line="240" w:lineRule="auto"/>
        <w:rPr>
          <w:rFonts w:ascii="Verdana" w:eastAsia="Geomanist Light" w:hAnsi="Verdana" w:cs="Arial"/>
          <w:color w:val="000000" w:themeColor="text1"/>
          <w:lang w:val="es-MX"/>
        </w:rPr>
      </w:pPr>
    </w:p>
    <w:p w14:paraId="41EB7665" w14:textId="77777777" w:rsidR="001B5CF6" w:rsidRDefault="001B5CF6" w:rsidP="001B5CF6">
      <w:pPr>
        <w:spacing w:after="0" w:line="240" w:lineRule="auto"/>
        <w:rPr>
          <w:rFonts w:ascii="Verdana" w:eastAsia="Geomanist Light" w:hAnsi="Verdana" w:cs="Arial"/>
          <w:color w:val="000000" w:themeColor="text1"/>
          <w:lang w:val="es-MX"/>
        </w:rPr>
      </w:pPr>
    </w:p>
    <w:p w14:paraId="0129E387" w14:textId="77777777" w:rsidR="001B5CF6" w:rsidRDefault="001B5CF6" w:rsidP="001B5CF6">
      <w:pPr>
        <w:spacing w:after="0" w:line="240" w:lineRule="auto"/>
        <w:rPr>
          <w:rFonts w:ascii="Verdana" w:eastAsia="Geomanist Light" w:hAnsi="Verdana" w:cs="Arial"/>
          <w:color w:val="000000" w:themeColor="text1"/>
          <w:lang w:val="es-MX"/>
        </w:rPr>
      </w:pPr>
    </w:p>
    <w:p w14:paraId="3F0A558F" w14:textId="77777777" w:rsidR="001B5CF6" w:rsidRDefault="001B5CF6" w:rsidP="001B5CF6">
      <w:pPr>
        <w:spacing w:after="0" w:line="240" w:lineRule="auto"/>
        <w:rPr>
          <w:rFonts w:ascii="Verdana" w:eastAsia="Geomanist Light" w:hAnsi="Verdana" w:cs="Arial"/>
          <w:color w:val="000000" w:themeColor="text1"/>
          <w:lang w:val="es-MX"/>
        </w:rPr>
      </w:pPr>
    </w:p>
    <w:p w14:paraId="0A812C8A" w14:textId="77777777" w:rsidR="001B5CF6" w:rsidRDefault="001B5CF6" w:rsidP="001B5CF6">
      <w:pPr>
        <w:spacing w:after="0" w:line="240" w:lineRule="auto"/>
        <w:rPr>
          <w:rFonts w:ascii="Verdana" w:eastAsia="Geomanist Light" w:hAnsi="Verdana" w:cs="Arial"/>
          <w:color w:val="000000" w:themeColor="text1"/>
          <w:lang w:val="es-MX"/>
        </w:rPr>
      </w:pPr>
    </w:p>
    <w:p w14:paraId="1896640E" w14:textId="77777777" w:rsidR="001B5CF6" w:rsidRDefault="001B5CF6" w:rsidP="001B5CF6">
      <w:pPr>
        <w:spacing w:after="0" w:line="240" w:lineRule="auto"/>
        <w:rPr>
          <w:rFonts w:ascii="Verdana" w:eastAsia="Geomanist Light" w:hAnsi="Verdana" w:cs="Arial"/>
          <w:color w:val="000000" w:themeColor="text1"/>
          <w:lang w:val="es-MX"/>
        </w:rPr>
      </w:pPr>
    </w:p>
    <w:p w14:paraId="5C893038" w14:textId="77777777" w:rsidR="001B5CF6" w:rsidRDefault="001B5CF6" w:rsidP="001B5CF6">
      <w:pPr>
        <w:spacing w:after="0" w:line="240" w:lineRule="auto"/>
        <w:rPr>
          <w:rFonts w:ascii="Verdana" w:eastAsia="Geomanist Light" w:hAnsi="Verdana" w:cs="Arial"/>
          <w:color w:val="000000" w:themeColor="text1"/>
          <w:lang w:val="es-MX"/>
        </w:rPr>
      </w:pPr>
    </w:p>
    <w:p w14:paraId="160BCAF5" w14:textId="77777777" w:rsidR="001B5CF6" w:rsidRDefault="001B5CF6" w:rsidP="001B5CF6">
      <w:pPr>
        <w:spacing w:after="0" w:line="240" w:lineRule="auto"/>
        <w:rPr>
          <w:rFonts w:ascii="Verdana" w:eastAsia="Geomanist Light" w:hAnsi="Verdana" w:cs="Arial"/>
          <w:color w:val="000000" w:themeColor="text1"/>
          <w:lang w:val="es-MX"/>
        </w:rPr>
      </w:pPr>
    </w:p>
    <w:p w14:paraId="5D75E115" w14:textId="77777777" w:rsidR="001B5CF6" w:rsidRDefault="001B5CF6" w:rsidP="001B5CF6">
      <w:pPr>
        <w:spacing w:after="0" w:line="240" w:lineRule="auto"/>
        <w:rPr>
          <w:rFonts w:ascii="Verdana" w:eastAsia="Geomanist Light" w:hAnsi="Verdana" w:cs="Arial"/>
          <w:color w:val="000000" w:themeColor="text1"/>
          <w:lang w:val="es-MX"/>
        </w:rPr>
      </w:pPr>
    </w:p>
    <w:p w14:paraId="0E48D8CB" w14:textId="77777777" w:rsidR="001B5CF6" w:rsidRDefault="001B5CF6" w:rsidP="001B5CF6">
      <w:pPr>
        <w:spacing w:after="0" w:line="240" w:lineRule="auto"/>
        <w:rPr>
          <w:rFonts w:ascii="Verdana" w:eastAsia="Geomanist Light" w:hAnsi="Verdana" w:cs="Arial"/>
          <w:color w:val="000000" w:themeColor="text1"/>
          <w:lang w:val="es-MX"/>
        </w:rPr>
      </w:pPr>
    </w:p>
    <w:p w14:paraId="1BB1A862" w14:textId="77777777" w:rsidR="001B5CF6" w:rsidRDefault="001B5CF6" w:rsidP="001B5CF6">
      <w:pPr>
        <w:spacing w:after="0" w:line="240" w:lineRule="auto"/>
        <w:rPr>
          <w:rFonts w:ascii="Verdana" w:eastAsia="Geomanist Light" w:hAnsi="Verdana" w:cs="Arial"/>
          <w:color w:val="000000" w:themeColor="text1"/>
          <w:lang w:val="es-MX"/>
        </w:rPr>
      </w:pPr>
    </w:p>
    <w:p w14:paraId="099579C4" w14:textId="77777777" w:rsidR="001B5CF6" w:rsidRDefault="001B5CF6" w:rsidP="001B5CF6">
      <w:pPr>
        <w:spacing w:after="0" w:line="240" w:lineRule="auto"/>
        <w:rPr>
          <w:rFonts w:ascii="Verdana" w:eastAsia="Geomanist Light" w:hAnsi="Verdana" w:cs="Arial"/>
          <w:color w:val="000000" w:themeColor="text1"/>
          <w:lang w:val="es-MX"/>
        </w:rPr>
      </w:pPr>
    </w:p>
    <w:p w14:paraId="466D1697" w14:textId="77777777" w:rsidR="001B5CF6" w:rsidRDefault="001B5CF6" w:rsidP="001B5CF6">
      <w:pPr>
        <w:spacing w:after="0" w:line="240" w:lineRule="auto"/>
        <w:rPr>
          <w:rFonts w:ascii="Verdana" w:eastAsia="Geomanist Light" w:hAnsi="Verdana" w:cs="Arial"/>
          <w:color w:val="000000" w:themeColor="text1"/>
          <w:lang w:val="es-MX"/>
        </w:rPr>
      </w:pPr>
    </w:p>
    <w:p w14:paraId="62087625" w14:textId="77777777" w:rsidR="001B5CF6" w:rsidRDefault="001B5CF6" w:rsidP="001B5CF6">
      <w:pPr>
        <w:spacing w:after="0" w:line="240" w:lineRule="auto"/>
        <w:rPr>
          <w:rFonts w:ascii="Verdana" w:eastAsia="Geomanist Light" w:hAnsi="Verdana" w:cs="Arial"/>
          <w:color w:val="000000" w:themeColor="text1"/>
          <w:lang w:val="es-MX"/>
        </w:rPr>
      </w:pPr>
    </w:p>
    <w:p w14:paraId="79A95ABB" w14:textId="77777777" w:rsidR="001B5CF6" w:rsidRDefault="001B5CF6" w:rsidP="001B5CF6">
      <w:pPr>
        <w:spacing w:after="0" w:line="240" w:lineRule="auto"/>
        <w:rPr>
          <w:rFonts w:ascii="Verdana" w:eastAsia="Geomanist Light" w:hAnsi="Verdana" w:cs="Arial"/>
          <w:color w:val="000000" w:themeColor="text1"/>
          <w:lang w:val="es-MX"/>
        </w:rPr>
      </w:pPr>
    </w:p>
    <w:p w14:paraId="710AAA59" w14:textId="77777777" w:rsidR="001B5CF6" w:rsidRDefault="001B5CF6" w:rsidP="001B5CF6">
      <w:pPr>
        <w:spacing w:after="0" w:line="240" w:lineRule="auto"/>
        <w:rPr>
          <w:rFonts w:ascii="Verdana" w:eastAsia="Geomanist Light" w:hAnsi="Verdana" w:cs="Arial"/>
          <w:color w:val="000000" w:themeColor="text1"/>
          <w:lang w:val="es-MX"/>
        </w:rPr>
      </w:pPr>
    </w:p>
    <w:p w14:paraId="41360042" w14:textId="77777777" w:rsidR="001B5CF6" w:rsidRDefault="001B5CF6" w:rsidP="001B5CF6">
      <w:pPr>
        <w:spacing w:after="0" w:line="240" w:lineRule="auto"/>
        <w:rPr>
          <w:rFonts w:ascii="Verdana" w:eastAsia="Geomanist Light" w:hAnsi="Verdana" w:cs="Arial"/>
          <w:color w:val="000000" w:themeColor="text1"/>
          <w:lang w:val="es-MX"/>
        </w:rPr>
      </w:pPr>
    </w:p>
    <w:p w14:paraId="4FB4BB6B" w14:textId="77777777" w:rsidR="001B5CF6" w:rsidRDefault="001B5CF6" w:rsidP="001B5CF6">
      <w:pPr>
        <w:spacing w:after="0" w:line="240" w:lineRule="auto"/>
        <w:rPr>
          <w:rFonts w:ascii="Verdana" w:eastAsia="Geomanist Light" w:hAnsi="Verdana" w:cs="Arial"/>
          <w:color w:val="000000" w:themeColor="text1"/>
          <w:lang w:val="es-MX"/>
        </w:rPr>
      </w:pPr>
    </w:p>
    <w:p w14:paraId="6386D0BC" w14:textId="77777777" w:rsidR="001B5CF6" w:rsidRDefault="001B5CF6" w:rsidP="001B5CF6">
      <w:pPr>
        <w:spacing w:after="0" w:line="240" w:lineRule="auto"/>
        <w:rPr>
          <w:rFonts w:ascii="Verdana" w:eastAsia="Geomanist Light" w:hAnsi="Verdana" w:cs="Arial"/>
          <w:color w:val="000000" w:themeColor="text1"/>
          <w:lang w:val="es-MX"/>
        </w:rPr>
      </w:pPr>
    </w:p>
    <w:p w14:paraId="4602A678" w14:textId="77777777" w:rsidR="001B5CF6" w:rsidRDefault="001B5CF6" w:rsidP="001B5CF6">
      <w:pPr>
        <w:spacing w:after="0" w:line="240" w:lineRule="auto"/>
        <w:rPr>
          <w:rFonts w:ascii="Verdana" w:eastAsia="Geomanist Light" w:hAnsi="Verdana" w:cs="Arial"/>
          <w:color w:val="000000" w:themeColor="text1"/>
          <w:lang w:val="es-MX"/>
        </w:rPr>
      </w:pPr>
    </w:p>
    <w:p w14:paraId="6EB93231" w14:textId="77777777" w:rsidR="001B5CF6" w:rsidRDefault="001B5CF6" w:rsidP="001B5CF6">
      <w:pPr>
        <w:spacing w:after="0" w:line="240" w:lineRule="auto"/>
        <w:rPr>
          <w:rFonts w:ascii="Verdana" w:eastAsia="Geomanist Light" w:hAnsi="Verdana" w:cs="Arial"/>
          <w:color w:val="000000" w:themeColor="text1"/>
          <w:lang w:val="es-MX"/>
        </w:rPr>
      </w:pPr>
    </w:p>
    <w:p w14:paraId="51C77185" w14:textId="77777777" w:rsidR="001B5CF6" w:rsidRDefault="001B5CF6" w:rsidP="001B5CF6">
      <w:pPr>
        <w:spacing w:after="0" w:line="240" w:lineRule="auto"/>
        <w:rPr>
          <w:rFonts w:ascii="Verdana" w:eastAsia="Geomanist Light" w:hAnsi="Verdana" w:cs="Arial"/>
          <w:color w:val="000000" w:themeColor="text1"/>
          <w:lang w:val="es-MX"/>
        </w:rPr>
      </w:pPr>
    </w:p>
    <w:p w14:paraId="6B5ACE8F" w14:textId="77777777" w:rsidR="001B5CF6" w:rsidRDefault="001B5CF6" w:rsidP="001B5CF6">
      <w:pPr>
        <w:spacing w:after="0" w:line="240" w:lineRule="auto"/>
        <w:rPr>
          <w:rFonts w:ascii="Verdana" w:eastAsia="Geomanist Light" w:hAnsi="Verdana" w:cs="Arial"/>
          <w:color w:val="000000" w:themeColor="text1"/>
          <w:lang w:val="es-MX"/>
        </w:rPr>
      </w:pPr>
    </w:p>
    <w:p w14:paraId="15FD2886" w14:textId="77777777" w:rsidR="00B84D00" w:rsidRDefault="00B84D00" w:rsidP="001B5CF6">
      <w:pPr>
        <w:spacing w:after="0" w:line="240" w:lineRule="auto"/>
        <w:rPr>
          <w:rFonts w:ascii="Verdana" w:eastAsia="Geomanist Light" w:hAnsi="Verdana" w:cs="Arial"/>
          <w:color w:val="000000" w:themeColor="text1"/>
          <w:lang w:val="es-MX"/>
        </w:rPr>
      </w:pPr>
    </w:p>
    <w:p w14:paraId="5584E560" w14:textId="77777777" w:rsidR="00B84D00" w:rsidRDefault="00B84D00" w:rsidP="001B5CF6">
      <w:pPr>
        <w:spacing w:after="0" w:line="240" w:lineRule="auto"/>
        <w:rPr>
          <w:rFonts w:ascii="Verdana" w:eastAsia="Geomanist Light" w:hAnsi="Verdana" w:cs="Arial"/>
          <w:color w:val="000000" w:themeColor="text1"/>
          <w:lang w:val="es-MX"/>
        </w:rPr>
      </w:pPr>
    </w:p>
    <w:p w14:paraId="15B33C96" w14:textId="77777777" w:rsidR="001B5CF6" w:rsidRDefault="001B5CF6" w:rsidP="001B5CF6">
      <w:pPr>
        <w:spacing w:after="0" w:line="240" w:lineRule="auto"/>
        <w:rPr>
          <w:rFonts w:ascii="Verdana" w:eastAsia="Geomanist Light" w:hAnsi="Verdana" w:cs="Arial"/>
          <w:color w:val="000000" w:themeColor="text1"/>
          <w:lang w:val="es-MX"/>
        </w:rPr>
      </w:pPr>
    </w:p>
    <w:p w14:paraId="18280B0E" w14:textId="77777777" w:rsidR="001B5CF6" w:rsidRDefault="001B5CF6" w:rsidP="001B5CF6">
      <w:pPr>
        <w:spacing w:after="0" w:line="240" w:lineRule="auto"/>
        <w:rPr>
          <w:rFonts w:ascii="Verdana" w:eastAsia="Geomanist Light" w:hAnsi="Verdana" w:cs="Arial"/>
          <w:color w:val="000000" w:themeColor="text1"/>
          <w:lang w:val="es-MX"/>
        </w:rPr>
      </w:pPr>
    </w:p>
    <w:p w14:paraId="533CD347" w14:textId="77777777" w:rsidR="001B5CF6" w:rsidRDefault="001B5CF6" w:rsidP="001B5CF6">
      <w:pPr>
        <w:spacing w:after="0" w:line="240" w:lineRule="auto"/>
        <w:rPr>
          <w:rFonts w:ascii="Verdana" w:eastAsia="Geomanist Light" w:hAnsi="Verdana" w:cs="Arial"/>
          <w:color w:val="000000" w:themeColor="text1"/>
          <w:lang w:val="es-MX"/>
        </w:rPr>
      </w:pPr>
    </w:p>
    <w:p w14:paraId="5F8237AA" w14:textId="77777777" w:rsidR="001B5CF6" w:rsidRDefault="001B5CF6" w:rsidP="001B5CF6">
      <w:pPr>
        <w:spacing w:after="0" w:line="240" w:lineRule="auto"/>
        <w:rPr>
          <w:rFonts w:ascii="Verdana" w:eastAsia="Geomanist Light" w:hAnsi="Verdana" w:cs="Arial"/>
          <w:color w:val="000000" w:themeColor="text1"/>
          <w:lang w:val="es-MX"/>
        </w:rPr>
      </w:pPr>
    </w:p>
    <w:p w14:paraId="219E4BAD" w14:textId="77777777" w:rsidR="001B5CF6" w:rsidRDefault="001B5CF6" w:rsidP="001B5CF6">
      <w:pPr>
        <w:spacing w:after="0" w:line="240" w:lineRule="auto"/>
        <w:rPr>
          <w:rFonts w:ascii="Verdana" w:eastAsia="Geomanist Light" w:hAnsi="Verdana" w:cs="Arial"/>
          <w:color w:val="000000" w:themeColor="text1"/>
          <w:lang w:val="es-MX"/>
        </w:rPr>
      </w:pPr>
    </w:p>
    <w:p w14:paraId="3951394B" w14:textId="57020C22" w:rsidR="001B5CF6" w:rsidRPr="0015699B" w:rsidRDefault="001B5CF6" w:rsidP="001B5CF6">
      <w:pPr>
        <w:spacing w:line="240" w:lineRule="auto"/>
        <w:jc w:val="both"/>
        <w:rPr>
          <w:rFonts w:ascii="Verdana" w:eastAsia="Verdana" w:hAnsi="Verdana" w:cs="Verdana"/>
          <w:color w:val="000000" w:themeColor="text1"/>
          <w:lang w:val="es"/>
        </w:rPr>
      </w:pPr>
      <w:r w:rsidRPr="39124533">
        <w:rPr>
          <w:rFonts w:ascii="Verdana" w:eastAsia="Verdana" w:hAnsi="Verdana" w:cs="Verdana"/>
          <w:color w:val="000000" w:themeColor="text1"/>
          <w:lang w:val="es"/>
        </w:rPr>
        <w:lastRenderedPageBreak/>
        <w:t xml:space="preserve">Bogotá D.C., </w:t>
      </w:r>
      <w:r>
        <w:rPr>
          <w:rFonts w:ascii="Verdana" w:eastAsia="Verdana" w:hAnsi="Verdana" w:cs="Verdana"/>
          <w:color w:val="000000" w:themeColor="text1"/>
          <w:lang w:val="es"/>
        </w:rPr>
        <w:t>1</w:t>
      </w:r>
      <w:r w:rsidR="00B43FB3">
        <w:rPr>
          <w:rFonts w:ascii="Verdana" w:eastAsia="Verdana" w:hAnsi="Verdana" w:cs="Verdana"/>
          <w:color w:val="000000" w:themeColor="text1"/>
          <w:lang w:val="es"/>
        </w:rPr>
        <w:t>8</w:t>
      </w:r>
      <w:r w:rsidRPr="39124533">
        <w:rPr>
          <w:rFonts w:ascii="Verdana" w:eastAsia="Verdana" w:hAnsi="Verdana" w:cs="Verdana"/>
          <w:color w:val="000000" w:themeColor="text1"/>
          <w:lang w:val="es"/>
        </w:rPr>
        <w:t xml:space="preserve"> de </w:t>
      </w:r>
      <w:r>
        <w:rPr>
          <w:rFonts w:ascii="Verdana" w:eastAsia="Verdana" w:hAnsi="Verdana" w:cs="Verdana"/>
          <w:color w:val="000000" w:themeColor="text1"/>
          <w:lang w:val="es"/>
        </w:rPr>
        <w:t>septiembre</w:t>
      </w:r>
      <w:r w:rsidRPr="39124533">
        <w:rPr>
          <w:rFonts w:ascii="Verdana" w:eastAsia="Verdana" w:hAnsi="Verdana" w:cs="Verdana"/>
          <w:color w:val="000000" w:themeColor="text1"/>
          <w:lang w:val="es"/>
        </w:rPr>
        <w:t xml:space="preserve"> de 2026</w:t>
      </w:r>
    </w:p>
    <w:p w14:paraId="7C0FC32A" w14:textId="76029FB4" w:rsidR="001B5CF6" w:rsidRDefault="00B84D00" w:rsidP="00B84D00">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4DDC19E0" wp14:editId="5A9A8C3B">
            <wp:extent cx="2257425" cy="742950"/>
            <wp:effectExtent l="0" t="0" r="9525" b="0"/>
            <wp:docPr id="5370348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7425" cy="742950"/>
                    </a:xfrm>
                    <a:prstGeom prst="rect">
                      <a:avLst/>
                    </a:prstGeom>
                    <a:noFill/>
                    <a:ln>
                      <a:noFill/>
                    </a:ln>
                  </pic:spPr>
                </pic:pic>
              </a:graphicData>
            </a:graphic>
          </wp:inline>
        </w:drawing>
      </w:r>
    </w:p>
    <w:p w14:paraId="03BF290F" w14:textId="77777777" w:rsidR="001B5CF6" w:rsidRDefault="001B5CF6" w:rsidP="001B5CF6">
      <w:pPr>
        <w:spacing w:after="0" w:line="240" w:lineRule="auto"/>
        <w:jc w:val="both"/>
        <w:textAlignment w:val="baseline"/>
        <w:rPr>
          <w:rFonts w:ascii="Verdana" w:eastAsia="Verdana" w:hAnsi="Verdana" w:cs="Verdana"/>
          <w:color w:val="000000" w:themeColor="text1"/>
          <w:lang w:val="es"/>
        </w:rPr>
      </w:pPr>
      <w:r w:rsidRPr="00842DC4">
        <w:rPr>
          <w:rFonts w:ascii="Verdana" w:eastAsia="Verdana" w:hAnsi="Verdana" w:cs="Verdana"/>
          <w:color w:val="000000" w:themeColor="text1"/>
          <w:lang w:val="es"/>
        </w:rPr>
        <w:t>Señor</w:t>
      </w:r>
    </w:p>
    <w:p w14:paraId="5796CF3B" w14:textId="77777777" w:rsidR="001B5CF6" w:rsidRDefault="001B5CF6" w:rsidP="001B5CF6">
      <w:pPr>
        <w:spacing w:after="0" w:line="240" w:lineRule="auto"/>
        <w:jc w:val="both"/>
        <w:textAlignment w:val="baseline"/>
        <w:rPr>
          <w:rFonts w:ascii="Verdana" w:hAnsi="Verdana"/>
          <w:b/>
          <w:bCs/>
        </w:rPr>
      </w:pPr>
      <w:r w:rsidRPr="001D03EF">
        <w:rPr>
          <w:rFonts w:ascii="Verdana" w:hAnsi="Verdana"/>
          <w:b/>
          <w:bCs/>
        </w:rPr>
        <w:t xml:space="preserve">DANIEL ANDRES CASTIBLANCO VERA </w:t>
      </w:r>
    </w:p>
    <w:p w14:paraId="4F98FFC5" w14:textId="77777777" w:rsidR="001B5CF6" w:rsidRPr="002167A2" w:rsidRDefault="001B5CF6" w:rsidP="001B5CF6">
      <w:pPr>
        <w:spacing w:after="0" w:line="240" w:lineRule="auto"/>
        <w:jc w:val="both"/>
        <w:textAlignment w:val="baseline"/>
        <w:rPr>
          <w:rFonts w:ascii="Verdana" w:hAnsi="Verdana"/>
        </w:rPr>
      </w:pPr>
      <w:hyperlink r:id="rId11" w:history="1">
        <w:r w:rsidRPr="002167A2">
          <w:rPr>
            <w:rStyle w:val="Hipervnculo"/>
            <w:rFonts w:ascii="Verdana" w:hAnsi="Verdana"/>
          </w:rPr>
          <w:t>consultorcastiblanco@gmail.com</w:t>
        </w:r>
      </w:hyperlink>
    </w:p>
    <w:p w14:paraId="3B9913A4" w14:textId="77777777" w:rsidR="001B5CF6" w:rsidRDefault="001B5CF6" w:rsidP="001B5CF6">
      <w:pPr>
        <w:spacing w:after="0" w:line="240" w:lineRule="auto"/>
        <w:jc w:val="both"/>
        <w:textAlignment w:val="baseline"/>
        <w:rPr>
          <w:rFonts w:ascii="Verdana" w:hAnsi="Verdana"/>
        </w:rPr>
      </w:pPr>
      <w:r w:rsidRPr="002167A2">
        <w:rPr>
          <w:rFonts w:ascii="Verdana" w:hAnsi="Verdana"/>
        </w:rPr>
        <w:t xml:space="preserve">Tunja </w:t>
      </w:r>
      <w:r>
        <w:rPr>
          <w:rFonts w:ascii="Verdana" w:hAnsi="Verdana"/>
        </w:rPr>
        <w:t>(</w:t>
      </w:r>
      <w:r w:rsidRPr="002167A2">
        <w:rPr>
          <w:rFonts w:ascii="Verdana" w:hAnsi="Verdana"/>
        </w:rPr>
        <w:t>Boyacá</w:t>
      </w:r>
      <w:r>
        <w:rPr>
          <w:rFonts w:ascii="Verdana" w:hAnsi="Verdana"/>
        </w:rPr>
        <w:t>)</w:t>
      </w:r>
    </w:p>
    <w:p w14:paraId="7A9343B4" w14:textId="77777777" w:rsidR="001B5CF6" w:rsidRPr="003D5882" w:rsidRDefault="001B5CF6" w:rsidP="001B5CF6">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1B5CF6" w14:paraId="0DBB7C6C" w14:textId="77777777" w:rsidTr="00093A20">
        <w:trPr>
          <w:trHeight w:val="615"/>
        </w:trPr>
        <w:tc>
          <w:tcPr>
            <w:tcW w:w="2265" w:type="dxa"/>
            <w:shd w:val="clear" w:color="auto" w:fill="FFFFFF" w:themeFill="background1"/>
            <w:tcMar>
              <w:left w:w="108" w:type="dxa"/>
              <w:right w:w="108" w:type="dxa"/>
            </w:tcMar>
          </w:tcPr>
          <w:p w14:paraId="7E995B61" w14:textId="77777777" w:rsidR="001B5CF6" w:rsidRDefault="001B5CF6" w:rsidP="00093A20">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5C539657" w14:textId="77777777" w:rsidR="001B5CF6" w:rsidRDefault="001B5CF6" w:rsidP="00093A20">
            <w:pPr>
              <w:jc w:val="both"/>
            </w:pPr>
            <w:r w:rsidRPr="40A87941">
              <w:rPr>
                <w:rFonts w:ascii="Verdana" w:eastAsia="Verdana" w:hAnsi="Verdana" w:cs="Verdana"/>
                <w:b/>
                <w:bCs/>
                <w:color w:val="000000" w:themeColor="text1"/>
                <w:lang w:val="es"/>
              </w:rPr>
              <w:t xml:space="preserve">Concepto C- </w:t>
            </w:r>
            <w:r>
              <w:rPr>
                <w:rFonts w:ascii="Verdana" w:eastAsia="Verdana" w:hAnsi="Verdana" w:cs="Verdana"/>
                <w:b/>
                <w:bCs/>
                <w:color w:val="000000" w:themeColor="text1"/>
                <w:lang w:val="es"/>
              </w:rPr>
              <w:t>1029</w:t>
            </w:r>
            <w:r w:rsidRPr="40A87941">
              <w:rPr>
                <w:rFonts w:ascii="Verdana" w:eastAsia="Verdana" w:hAnsi="Verdana" w:cs="Verdana"/>
                <w:b/>
                <w:bCs/>
                <w:color w:val="000000" w:themeColor="text1"/>
                <w:lang w:val="es"/>
              </w:rPr>
              <w:t xml:space="preserve"> de 2026</w:t>
            </w:r>
          </w:p>
        </w:tc>
      </w:tr>
      <w:tr w:rsidR="001B5CF6" w:rsidRPr="004F242E" w14:paraId="23F5778E" w14:textId="77777777" w:rsidTr="00093A20">
        <w:trPr>
          <w:trHeight w:val="1065"/>
        </w:trPr>
        <w:tc>
          <w:tcPr>
            <w:tcW w:w="2265" w:type="dxa"/>
            <w:shd w:val="clear" w:color="auto" w:fill="FFFFFF" w:themeFill="background1"/>
            <w:tcMar>
              <w:left w:w="108" w:type="dxa"/>
              <w:right w:w="108" w:type="dxa"/>
            </w:tcMar>
          </w:tcPr>
          <w:p w14:paraId="6CA0F587" w14:textId="77777777" w:rsidR="001B5CF6" w:rsidRDefault="001B5CF6" w:rsidP="00093A20">
            <w:pPr>
              <w:jc w:val="both"/>
            </w:pPr>
            <w:r w:rsidRPr="40A87941">
              <w:rPr>
                <w:rFonts w:ascii="Verdana" w:eastAsia="Verdana" w:hAnsi="Verdana" w:cs="Verdana"/>
                <w:b/>
                <w:bCs/>
                <w:color w:val="000000" w:themeColor="text1"/>
              </w:rPr>
              <w:t>Temas:</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75F82204" w14:textId="77777777" w:rsidR="001B5CF6" w:rsidRPr="0032270F" w:rsidRDefault="001B5CF6" w:rsidP="00093A20">
            <w:pPr>
              <w:jc w:val="both"/>
              <w:rPr>
                <w:rFonts w:ascii="Verdana" w:eastAsia="Geomanist Light" w:hAnsi="Verdana" w:cs="Arial"/>
                <w:b/>
                <w:bCs/>
                <w:color w:val="000000" w:themeColor="text1"/>
                <w:lang w:val="es-MX"/>
              </w:rPr>
            </w:pPr>
            <w:r w:rsidRPr="00AD6B46">
              <w:rPr>
                <w:rFonts w:ascii="Verdana" w:eastAsia="Arial" w:hAnsi="Verdana" w:cs="Arial"/>
                <w:lang w:val="es-ES"/>
              </w:rPr>
              <w:t>PRINCIPIO DE PUBLICIDAD – Concepto – Fundamento axiológico – Fundamento constitucional</w:t>
            </w:r>
            <w:r w:rsidRPr="00AD6B46">
              <w:rPr>
                <w:rFonts w:ascii="Verdana" w:hAnsi="Verdana" w:cs="Arial"/>
                <w:bCs/>
                <w:lang w:val="es-ES_tradnl" w:eastAsia="es-ES" w:bidi="es-ES"/>
              </w:rPr>
              <w:t xml:space="preserve"> / PRINCIPIO DE PUBLICIDAD – SECOP – Documentos del proceso – Deber de publicación / </w:t>
            </w:r>
            <w:r w:rsidRPr="00AD6B46">
              <w:rPr>
                <w:rFonts w:ascii="Verdana" w:hAnsi="Verdana" w:cs="Arial"/>
                <w:bCs/>
                <w:lang w:eastAsia="es-ES" w:bidi="es-ES"/>
              </w:rPr>
              <w:t>ENTIDADES CON RÉGIMEN ESPECIAL – Deber de publicar en SECOP – Artículo 53 Ley 2195 de 2022</w:t>
            </w:r>
            <w:r>
              <w:rPr>
                <w:rFonts w:ascii="Verdana" w:hAnsi="Verdana" w:cs="Arial"/>
                <w:bCs/>
                <w:lang w:eastAsia="es-ES" w:bidi="es-ES"/>
              </w:rPr>
              <w:t xml:space="preserve"> / ENTIDADES DE RÉGIMEN ESPECIAL – SECOP II- Módulo de Régimen Especial – Con oferta – Sin Oferta</w:t>
            </w:r>
            <w:r w:rsidRPr="00AD6B46">
              <w:rPr>
                <w:rFonts w:ascii="Verdana" w:hAnsi="Verdana" w:cs="Arial"/>
                <w:bCs/>
                <w:lang w:eastAsia="es-ES" w:bidi="es-ES"/>
              </w:rPr>
              <w:t xml:space="preserve"> </w:t>
            </w:r>
          </w:p>
          <w:p w14:paraId="4B3DFBE6" w14:textId="77777777" w:rsidR="001B5CF6" w:rsidRPr="00530D81" w:rsidRDefault="001B5CF6" w:rsidP="00093A20">
            <w:pPr>
              <w:spacing w:line="276" w:lineRule="auto"/>
              <w:jc w:val="both"/>
            </w:pPr>
          </w:p>
        </w:tc>
      </w:tr>
      <w:tr w:rsidR="001B5CF6" w14:paraId="7C71278C" w14:textId="77777777" w:rsidTr="00093A20">
        <w:trPr>
          <w:trHeight w:val="660"/>
        </w:trPr>
        <w:tc>
          <w:tcPr>
            <w:tcW w:w="2265" w:type="dxa"/>
            <w:shd w:val="clear" w:color="auto" w:fill="FFFFFF" w:themeFill="background1"/>
            <w:tcMar>
              <w:left w:w="108" w:type="dxa"/>
              <w:right w:w="108" w:type="dxa"/>
            </w:tcMar>
          </w:tcPr>
          <w:p w14:paraId="1AF843A0" w14:textId="77777777" w:rsidR="001B5CF6" w:rsidRDefault="001B5CF6" w:rsidP="00093A20">
            <w:pPr>
              <w:jc w:val="both"/>
            </w:pPr>
            <w:r w:rsidRPr="40A87941">
              <w:rPr>
                <w:rFonts w:ascii="Verdana" w:eastAsia="Verdana" w:hAnsi="Verdana" w:cs="Verdana"/>
                <w:b/>
                <w:bCs/>
                <w:color w:val="000000" w:themeColor="text1"/>
              </w:rPr>
              <w:t>Radicación:</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41471E14" w14:textId="77777777" w:rsidR="001B5CF6" w:rsidRDefault="001B5CF6" w:rsidP="00093A20">
            <w:pPr>
              <w:ind w:right="1"/>
              <w:jc w:val="both"/>
              <w:rPr>
                <w:rFonts w:ascii="Verdana" w:eastAsia="Verdana" w:hAnsi="Verdana" w:cs="Verdana"/>
                <w:color w:val="000000" w:themeColor="text1"/>
              </w:rPr>
            </w:pPr>
            <w:r w:rsidRPr="39124533">
              <w:rPr>
                <w:rFonts w:ascii="Verdana" w:eastAsia="Verdana" w:hAnsi="Verdana" w:cs="Verdana"/>
                <w:color w:val="000000" w:themeColor="text1"/>
              </w:rPr>
              <w:t xml:space="preserve">Respuesta a consulta con radicado N.º </w:t>
            </w:r>
            <w:r w:rsidRPr="001D03EF">
              <w:rPr>
                <w:rFonts w:ascii="Verdana" w:eastAsia="Verdana" w:hAnsi="Verdana" w:cs="Verdana"/>
                <w:color w:val="000000" w:themeColor="text1"/>
              </w:rPr>
              <w:t>1_2026_08_10_010536</w:t>
            </w:r>
          </w:p>
          <w:p w14:paraId="6059ADA5" w14:textId="77777777" w:rsidR="001B5CF6" w:rsidRDefault="001B5CF6" w:rsidP="00093A20">
            <w:pPr>
              <w:ind w:right="1"/>
              <w:jc w:val="both"/>
            </w:pPr>
          </w:p>
          <w:p w14:paraId="6B677E9C" w14:textId="77777777" w:rsidR="001B5CF6" w:rsidRDefault="001B5CF6" w:rsidP="00093A20">
            <w:pPr>
              <w:ind w:right="1"/>
            </w:pPr>
          </w:p>
        </w:tc>
      </w:tr>
    </w:tbl>
    <w:p w14:paraId="1C070FE3" w14:textId="77777777" w:rsidR="001B5CF6" w:rsidRPr="00150269" w:rsidRDefault="001B5CF6" w:rsidP="001B5CF6">
      <w:pPr>
        <w:spacing w:after="0" w:line="240" w:lineRule="auto"/>
        <w:jc w:val="both"/>
        <w:textAlignment w:val="baseline"/>
        <w:rPr>
          <w:rFonts w:ascii="Verdana" w:eastAsia="Verdana" w:hAnsi="Verdana" w:cs="Verdana"/>
          <w:bCs/>
          <w:color w:val="000000" w:themeColor="text1"/>
          <w:lang w:val="es"/>
        </w:rPr>
      </w:pPr>
      <w:r w:rsidRPr="00150269">
        <w:rPr>
          <w:rFonts w:ascii="Verdana" w:eastAsia="Verdana" w:hAnsi="Verdana" w:cs="Verdana"/>
          <w:bCs/>
          <w:color w:val="000000" w:themeColor="text1"/>
          <w:lang w:val="es"/>
        </w:rPr>
        <w:t>Estimado señor Castiblanco:</w:t>
      </w:r>
    </w:p>
    <w:p w14:paraId="55F92BD7" w14:textId="77777777" w:rsidR="001B5CF6" w:rsidRPr="0015699B" w:rsidRDefault="001B5CF6" w:rsidP="001B5CF6">
      <w:pPr>
        <w:spacing w:after="0" w:line="240" w:lineRule="auto"/>
        <w:jc w:val="both"/>
        <w:textAlignment w:val="baseline"/>
        <w:rPr>
          <w:rFonts w:ascii="Verdana" w:eastAsia="Verdana" w:hAnsi="Verdana" w:cs="Verdana"/>
          <w:b/>
          <w:bCs/>
          <w:color w:val="000000" w:themeColor="text1"/>
          <w:lang w:val="es"/>
        </w:rPr>
      </w:pPr>
    </w:p>
    <w:p w14:paraId="5313AFAB" w14:textId="77777777" w:rsidR="001B5CF6" w:rsidRDefault="001B5CF6" w:rsidP="001B5CF6">
      <w:pPr>
        <w:spacing w:after="12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05</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agosto</w:t>
      </w:r>
      <w:r w:rsidRPr="39124533">
        <w:rPr>
          <w:rFonts w:ascii="Verdana" w:eastAsia="Verdana" w:hAnsi="Verdana" w:cs="Verdana"/>
          <w:color w:val="000000" w:themeColor="text1"/>
          <w:lang w:val="es-ES"/>
        </w:rPr>
        <w:t xml:space="preserve"> de 2026 en la cual manifiesta lo siguiente:</w:t>
      </w:r>
    </w:p>
    <w:p w14:paraId="354727C9" w14:textId="77777777" w:rsidR="001B5CF6" w:rsidRDefault="001B5CF6" w:rsidP="001B5CF6">
      <w:pPr>
        <w:spacing w:after="120" w:line="276" w:lineRule="auto"/>
        <w:ind w:left="567" w:right="1041"/>
        <w:jc w:val="both"/>
        <w:textAlignment w:val="baseline"/>
        <w:rPr>
          <w:rFonts w:ascii="Verdana" w:eastAsia="Verdana" w:hAnsi="Verdana" w:cs="Verdana"/>
          <w:color w:val="000000" w:themeColor="text1"/>
          <w:sz w:val="21"/>
          <w:szCs w:val="21"/>
        </w:rPr>
      </w:pPr>
      <w:r w:rsidRPr="00971885">
        <w:rPr>
          <w:rFonts w:ascii="Verdana" w:eastAsia="Verdana" w:hAnsi="Verdana" w:cs="Verdana"/>
          <w:color w:val="000000" w:themeColor="text1"/>
          <w:sz w:val="21"/>
          <w:szCs w:val="21"/>
        </w:rPr>
        <w:t>“</w:t>
      </w:r>
    </w:p>
    <w:p w14:paraId="05CE1CBF" w14:textId="77777777" w:rsidR="001B5CF6" w:rsidRPr="001D03EF" w:rsidRDefault="001B5CF6" w:rsidP="001B5CF6">
      <w:pPr>
        <w:spacing w:after="120" w:line="276" w:lineRule="auto"/>
        <w:ind w:left="567" w:right="758"/>
        <w:jc w:val="both"/>
        <w:textAlignment w:val="baseline"/>
        <w:rPr>
          <w:rFonts w:ascii="Verdana" w:eastAsia="Verdana" w:hAnsi="Verdana" w:cs="Verdana"/>
          <w:color w:val="000000" w:themeColor="text1"/>
          <w:sz w:val="21"/>
          <w:szCs w:val="21"/>
        </w:rPr>
      </w:pPr>
      <w:r w:rsidRPr="001D03EF">
        <w:rPr>
          <w:rFonts w:ascii="Verdana" w:eastAsia="Verdana" w:hAnsi="Verdana" w:cs="Verdana"/>
          <w:color w:val="000000" w:themeColor="text1"/>
          <w:sz w:val="21"/>
          <w:szCs w:val="21"/>
        </w:rPr>
        <w:t>1. ¿Las entidades de régimen exceptuado tienen habilitado en el SECOP II el módulo de “Contratación Directa”? Si no lo tienen, ¿cuál es la razón?</w:t>
      </w:r>
    </w:p>
    <w:p w14:paraId="4F316CE1" w14:textId="77777777" w:rsidR="001B5CF6" w:rsidRPr="001D03EF" w:rsidRDefault="001B5CF6" w:rsidP="001B5CF6">
      <w:pPr>
        <w:spacing w:after="120" w:line="276" w:lineRule="auto"/>
        <w:ind w:left="567" w:right="758"/>
        <w:jc w:val="both"/>
        <w:textAlignment w:val="baseline"/>
        <w:rPr>
          <w:rFonts w:ascii="Verdana" w:eastAsia="Verdana" w:hAnsi="Verdana" w:cs="Verdana"/>
          <w:color w:val="000000" w:themeColor="text1"/>
          <w:sz w:val="21"/>
          <w:szCs w:val="21"/>
        </w:rPr>
      </w:pPr>
      <w:r w:rsidRPr="001D03EF">
        <w:rPr>
          <w:rFonts w:ascii="Verdana" w:eastAsia="Verdana" w:hAnsi="Verdana" w:cs="Verdana"/>
          <w:color w:val="000000" w:themeColor="text1"/>
          <w:sz w:val="21"/>
          <w:szCs w:val="21"/>
        </w:rPr>
        <w:lastRenderedPageBreak/>
        <w:t>2. ¿Por cuál módulo y tipo de proceso deben publicar estas entidades sus contratos de contratación directa provenientes del proyecto de sistema general de regalías?</w:t>
      </w:r>
    </w:p>
    <w:p w14:paraId="362AD4FF" w14:textId="77777777" w:rsidR="001B5CF6" w:rsidRPr="001D03EF" w:rsidRDefault="001B5CF6" w:rsidP="001B5CF6">
      <w:pPr>
        <w:spacing w:after="120" w:line="276" w:lineRule="auto"/>
        <w:ind w:left="567" w:right="758"/>
        <w:jc w:val="both"/>
        <w:textAlignment w:val="baseline"/>
        <w:rPr>
          <w:rFonts w:ascii="Verdana" w:eastAsia="Verdana" w:hAnsi="Verdana" w:cs="Verdana"/>
          <w:color w:val="000000" w:themeColor="text1"/>
          <w:sz w:val="21"/>
          <w:szCs w:val="21"/>
        </w:rPr>
      </w:pPr>
      <w:r w:rsidRPr="001D03EF">
        <w:rPr>
          <w:rFonts w:ascii="Verdana" w:eastAsia="Verdana" w:hAnsi="Verdana" w:cs="Verdana"/>
          <w:color w:val="000000" w:themeColor="text1"/>
          <w:sz w:val="21"/>
          <w:szCs w:val="21"/>
        </w:rPr>
        <w:t>3. ¿Qué documentos deben cargarse y en qué pestaña de la plataforma?</w:t>
      </w:r>
    </w:p>
    <w:p w14:paraId="243A0BA3" w14:textId="77777777" w:rsidR="001B5CF6" w:rsidRPr="001D03EF" w:rsidRDefault="001B5CF6" w:rsidP="001B5CF6">
      <w:pPr>
        <w:spacing w:after="120" w:line="276" w:lineRule="auto"/>
        <w:ind w:left="567" w:right="758"/>
        <w:jc w:val="both"/>
        <w:textAlignment w:val="baseline"/>
        <w:rPr>
          <w:rFonts w:ascii="Verdana" w:eastAsia="Verdana" w:hAnsi="Verdana" w:cs="Verdana"/>
          <w:color w:val="000000" w:themeColor="text1"/>
          <w:sz w:val="21"/>
          <w:szCs w:val="21"/>
        </w:rPr>
      </w:pPr>
      <w:r w:rsidRPr="001D03EF">
        <w:rPr>
          <w:rFonts w:ascii="Verdana" w:eastAsia="Verdana" w:hAnsi="Verdana" w:cs="Verdana"/>
          <w:color w:val="000000" w:themeColor="text1"/>
          <w:sz w:val="21"/>
          <w:szCs w:val="21"/>
        </w:rPr>
        <w:t>4. ¿Qué información debe reportarse en el SECOP II y cuál en el SPGR y en GESPROY-SGR?</w:t>
      </w:r>
    </w:p>
    <w:p w14:paraId="61DD2D40" w14:textId="77777777" w:rsidR="001B5CF6" w:rsidRDefault="001B5CF6" w:rsidP="001B5CF6">
      <w:pPr>
        <w:spacing w:after="120" w:line="276" w:lineRule="auto"/>
        <w:ind w:left="567" w:right="758"/>
        <w:jc w:val="both"/>
        <w:textAlignment w:val="baseline"/>
        <w:rPr>
          <w:rFonts w:ascii="Verdana" w:eastAsia="Verdana" w:hAnsi="Verdana" w:cs="Verdana"/>
          <w:color w:val="000000" w:themeColor="text1"/>
          <w:sz w:val="21"/>
          <w:szCs w:val="21"/>
        </w:rPr>
      </w:pPr>
      <w:r w:rsidRPr="001D03EF">
        <w:rPr>
          <w:rFonts w:ascii="Verdana" w:eastAsia="Verdana" w:hAnsi="Verdana" w:cs="Verdana"/>
          <w:color w:val="000000" w:themeColor="text1"/>
          <w:sz w:val="21"/>
          <w:szCs w:val="21"/>
        </w:rPr>
        <w:t>5. ¿Qué guía, manual o circular vigente regula esta materia? Solicito que se remita el enlace correspondiente.</w:t>
      </w:r>
    </w:p>
    <w:p w14:paraId="7D1DE390" w14:textId="77777777" w:rsidR="001B5CF6" w:rsidRPr="0015699B" w:rsidRDefault="001B5CF6" w:rsidP="001B5CF6">
      <w:pPr>
        <w:spacing w:after="120" w:line="276" w:lineRule="auto"/>
        <w:ind w:right="51" w:firstLine="709"/>
        <w:jc w:val="both"/>
        <w:textAlignment w:val="baseline"/>
        <w:rPr>
          <w:rFonts w:ascii="Calibri" w:eastAsia="Calibri" w:hAnsi="Calibri" w:cs="Calibri"/>
          <w:lang w:val="es"/>
        </w:rPr>
      </w:pP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7EAFFA0E" w14:textId="77777777" w:rsidR="001B5CF6" w:rsidRPr="0015699B" w:rsidRDefault="001B5CF6" w:rsidP="001B5CF6">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018D6E8" w14:textId="77777777" w:rsidR="001B5CF6" w:rsidRDefault="001B5CF6" w:rsidP="001B5CF6">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13F96ACF" w14:textId="77777777" w:rsidR="001B5CF6" w:rsidRPr="0015699B" w:rsidRDefault="001B5CF6" w:rsidP="001B5CF6">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 xml:space="preserve"> planteado</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w:t>
      </w:r>
    </w:p>
    <w:p w14:paraId="62834995" w14:textId="77777777" w:rsidR="001B5CF6" w:rsidRPr="0015699B" w:rsidRDefault="001B5CF6" w:rsidP="001B5CF6">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61AAD6C8" w14:textId="77777777" w:rsidR="001B5CF6" w:rsidRDefault="001B5CF6" w:rsidP="001B5CF6">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De acuerdo con el contenido de su solicitud, esta Agencia resolverá </w:t>
      </w:r>
      <w:r>
        <w:rPr>
          <w:rFonts w:ascii="Verdana" w:eastAsia="Verdana" w:hAnsi="Verdana" w:cs="Verdana"/>
          <w:color w:val="000000" w:themeColor="text1"/>
          <w:lang w:val="es"/>
        </w:rPr>
        <w:t xml:space="preserve">los siguientes problemas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 xml:space="preserve">s: </w:t>
      </w:r>
    </w:p>
    <w:p w14:paraId="71FEA7F2" w14:textId="77777777" w:rsidR="001B5CF6" w:rsidRDefault="001B5CF6" w:rsidP="001B5CF6">
      <w:pPr>
        <w:spacing w:after="0" w:line="276" w:lineRule="auto"/>
        <w:jc w:val="both"/>
        <w:textAlignment w:val="baseline"/>
        <w:rPr>
          <w:rFonts w:ascii="Verdana" w:eastAsia="Verdana" w:hAnsi="Verdana" w:cs="Verdana"/>
          <w:color w:val="000000" w:themeColor="text1"/>
          <w:lang w:val="es"/>
        </w:rPr>
      </w:pPr>
    </w:p>
    <w:p w14:paraId="517DE154" w14:textId="77777777" w:rsidR="001B5CF6" w:rsidRDefault="001B5CF6" w:rsidP="001B5CF6">
      <w:pPr>
        <w:spacing w:after="0" w:line="276" w:lineRule="auto"/>
        <w:jc w:val="both"/>
        <w:textAlignment w:val="baseline"/>
        <w:rPr>
          <w:rFonts w:ascii="Verdana" w:eastAsia="Verdana" w:hAnsi="Verdana" w:cs="Verdana"/>
          <w:color w:val="000000" w:themeColor="text1"/>
        </w:rPr>
      </w:pPr>
      <w:r>
        <w:rPr>
          <w:rFonts w:ascii="Verdana" w:eastAsia="Verdana" w:hAnsi="Verdana" w:cs="Verdana"/>
          <w:color w:val="000000" w:themeColor="text1"/>
        </w:rPr>
        <w:t xml:space="preserve">i. </w:t>
      </w:r>
      <w:r w:rsidRPr="00640351">
        <w:rPr>
          <w:rFonts w:ascii="Verdana" w:eastAsia="Verdana" w:hAnsi="Verdana" w:cs="Verdana"/>
          <w:color w:val="000000" w:themeColor="text1"/>
        </w:rPr>
        <w:t xml:space="preserve">¿Cómo deben las entidades sometidas a un régimen especial o exceptuado publicar en el SECOP II los contratos de contratación directa financiados con </w:t>
      </w:r>
      <w:r w:rsidRPr="00640351">
        <w:rPr>
          <w:rFonts w:ascii="Verdana" w:eastAsia="Verdana" w:hAnsi="Verdana" w:cs="Verdana"/>
          <w:color w:val="000000" w:themeColor="text1"/>
        </w:rPr>
        <w:lastRenderedPageBreak/>
        <w:t>recursos del SGR, en particular, qué módulo y tipo de proceso deben utilizar, qué documentos deben publicar y cómo se articulan estas obligaciones con el reporte en el SPGR y GESPROY-SGR?</w:t>
      </w:r>
    </w:p>
    <w:p w14:paraId="653A3B70" w14:textId="77777777" w:rsidR="001B5CF6" w:rsidRDefault="001B5CF6" w:rsidP="001B5CF6">
      <w:pPr>
        <w:spacing w:after="0" w:line="276" w:lineRule="auto"/>
        <w:jc w:val="both"/>
        <w:textAlignment w:val="baseline"/>
        <w:rPr>
          <w:rFonts w:ascii="Verdana" w:eastAsia="Verdana" w:hAnsi="Verdana" w:cs="Verdana"/>
          <w:color w:val="000000" w:themeColor="text1"/>
        </w:rPr>
      </w:pPr>
      <w:r>
        <w:rPr>
          <w:rFonts w:ascii="Verdana" w:eastAsia="Verdana" w:hAnsi="Verdana" w:cs="Verdana"/>
          <w:color w:val="000000" w:themeColor="text1"/>
        </w:rPr>
        <w:t>ii.</w:t>
      </w:r>
      <w:r w:rsidRPr="00640351">
        <w:rPr>
          <w:rFonts w:ascii="Verdana" w:eastAsia="Verdana" w:hAnsi="Verdana" w:cs="Verdana"/>
          <w:color w:val="000000" w:themeColor="text1"/>
        </w:rPr>
        <w:t xml:space="preserve"> ¿Qué instrumentos vigentes regulan la publicación y el reporte en SECOP II de los contratos de las entidades de régimen especial o exceptuado financiados con recursos del SGR?</w:t>
      </w:r>
    </w:p>
    <w:p w14:paraId="0607356C" w14:textId="77777777" w:rsidR="001B5CF6" w:rsidRDefault="001B5CF6" w:rsidP="001B5CF6">
      <w:pPr>
        <w:spacing w:after="0" w:line="276" w:lineRule="auto"/>
        <w:jc w:val="both"/>
        <w:textAlignment w:val="baseline"/>
        <w:rPr>
          <w:rFonts w:ascii="Verdana" w:eastAsia="Verdana" w:hAnsi="Verdana" w:cs="Verdana"/>
          <w:color w:val="000000" w:themeColor="text1"/>
        </w:rPr>
      </w:pPr>
    </w:p>
    <w:p w14:paraId="5D991BC4" w14:textId="77777777" w:rsidR="001B5CF6" w:rsidRPr="0015699B" w:rsidRDefault="001B5CF6" w:rsidP="001B5CF6">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55CB1C7F" w14:textId="77777777" w:rsidR="001B5CF6" w:rsidRPr="0015699B" w:rsidRDefault="001B5CF6" w:rsidP="001B5CF6">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tbl>
      <w:tblPr>
        <w:tblStyle w:val="Tablaconcuadrcula"/>
        <w:tblW w:w="0" w:type="auto"/>
        <w:tblLook w:val="04A0" w:firstRow="1" w:lastRow="0" w:firstColumn="1" w:lastColumn="0" w:noHBand="0" w:noVBand="1"/>
      </w:tblPr>
      <w:tblGrid>
        <w:gridCol w:w="8818"/>
      </w:tblGrid>
      <w:tr w:rsidR="001B5CF6" w14:paraId="303F8DF3" w14:textId="77777777" w:rsidTr="00093A20">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6C111C5C" w14:textId="77777777" w:rsidR="001B5CF6" w:rsidRPr="000E1832" w:rsidRDefault="001B5CF6" w:rsidP="00093A20">
            <w:pPr>
              <w:spacing w:after="120" w:line="276" w:lineRule="auto"/>
              <w:jc w:val="both"/>
              <w:rPr>
                <w:rFonts w:ascii="Verdana" w:eastAsia="Verdana" w:hAnsi="Verdana" w:cs="Verdana"/>
              </w:rPr>
            </w:pPr>
            <w:r>
              <w:rPr>
                <w:rFonts w:ascii="Verdana" w:eastAsia="Verdana" w:hAnsi="Verdana" w:cs="Verdana"/>
              </w:rPr>
              <w:t xml:space="preserve">         i) </w:t>
            </w:r>
            <w:r w:rsidRPr="000E1832">
              <w:rPr>
                <w:rFonts w:ascii="Verdana" w:eastAsia="Verdana" w:hAnsi="Verdana" w:cs="Verdana"/>
              </w:rPr>
              <w:t xml:space="preserve">De acuerdo con el </w:t>
            </w:r>
            <w:r>
              <w:rPr>
                <w:rFonts w:ascii="Verdana" w:eastAsia="Verdana" w:hAnsi="Verdana" w:cs="Verdana"/>
              </w:rPr>
              <w:t xml:space="preserve">oficio de fecha 09 de septiembre remitido a esta Subdirección Contractual </w:t>
            </w:r>
            <w:r w:rsidRPr="000E1832">
              <w:rPr>
                <w:rFonts w:ascii="Verdana" w:eastAsia="Verdana" w:hAnsi="Verdana" w:cs="Verdana"/>
              </w:rPr>
              <w:t>por la Subdirección de Información y Desarrollo Tecnológico de la Agencia Nacional de Contratación Pública – Colombia Compra Eficiente, , mediante el cual se atendieron consultas relacionadas con la publicación de la actividad contractual de las entidades sometidas a régimen especial o exceptuado en la plataforma SECOP II, se precisa que dichas entidades no gestionan sus procesos contractuales a través de los módulos ordinarios previstos para las entidades sometidas al Estatuto General de Contratación de la Administración Pública.</w:t>
            </w:r>
            <w:r>
              <w:rPr>
                <w:rFonts w:ascii="Verdana" w:eastAsia="Verdana" w:hAnsi="Verdana" w:cs="Verdana"/>
              </w:rPr>
              <w:t xml:space="preserve"> </w:t>
            </w:r>
          </w:p>
          <w:p w14:paraId="6779E8A9" w14:textId="77777777" w:rsidR="001B5CF6" w:rsidRDefault="001B5CF6" w:rsidP="00093A20">
            <w:pPr>
              <w:spacing w:after="120" w:line="276" w:lineRule="auto"/>
              <w:jc w:val="both"/>
              <w:rPr>
                <w:rFonts w:ascii="Verdana" w:eastAsia="Verdana" w:hAnsi="Verdana" w:cs="Verdana"/>
              </w:rPr>
            </w:pPr>
            <w:r>
              <w:rPr>
                <w:rFonts w:ascii="Verdana" w:eastAsia="Verdana" w:hAnsi="Verdana" w:cs="Verdana"/>
              </w:rPr>
              <w:t xml:space="preserve">         </w:t>
            </w:r>
            <w:r w:rsidRPr="000E1832">
              <w:rPr>
                <w:rFonts w:ascii="Verdana" w:eastAsia="Verdana" w:hAnsi="Verdana" w:cs="Verdana"/>
              </w:rPr>
              <w:t>En consecuencia, las entidades de régimen especial o exceptuado cuentan en SECOP II con los módulos “Contratación Régimen Especial con Ofertas” y “Contratación Régimen Especial (Sin Ofertas)”, los cuales fueron diseñados específicamente para atender las particularidades de su régimen contractual. Por esta razón, las contrataciones directas o no competitivas financiadas con recursos del Sistema General de Regalías deben publicarse a través del módulo “Régimen Especial (Sin Ofertas)”, mientras que los procedimientos competitivos deben gestionarse mediante el módulo “Régimen Especial con Ofertas”.</w:t>
            </w:r>
          </w:p>
          <w:p w14:paraId="4ADF8352" w14:textId="77777777" w:rsidR="001B5CF6" w:rsidRPr="000E1832" w:rsidRDefault="001B5CF6" w:rsidP="00093A20">
            <w:pPr>
              <w:spacing w:after="120" w:line="276" w:lineRule="auto"/>
              <w:jc w:val="both"/>
              <w:rPr>
                <w:rFonts w:ascii="Verdana" w:eastAsia="Verdana" w:hAnsi="Verdana" w:cs="Verdana"/>
              </w:rPr>
            </w:pPr>
            <w:r>
              <w:rPr>
                <w:rFonts w:ascii="Verdana" w:eastAsia="Verdana" w:hAnsi="Verdana" w:cs="Verdana"/>
              </w:rPr>
              <w:t xml:space="preserve">         </w:t>
            </w:r>
            <w:r w:rsidRPr="000E1832">
              <w:rPr>
                <w:rFonts w:ascii="Verdana" w:eastAsia="Verdana" w:hAnsi="Verdana" w:cs="Verdana"/>
              </w:rPr>
              <w:t>Asimismo, dichas entidades deben publicar en SECOP II los documentos, actos, contratos e información generada durante las etapas precontractual, contractual y postcontractual, salvo aquella sometida a reserva legal, garantizando el cumplimiento de los principios de transparencia y publicidad que rigen la gestión de recursos públicos.</w:t>
            </w:r>
          </w:p>
          <w:p w14:paraId="7BBDB827" w14:textId="77777777" w:rsidR="001B5CF6" w:rsidRDefault="001B5CF6" w:rsidP="00093A20">
            <w:pPr>
              <w:spacing w:after="120" w:line="276" w:lineRule="auto"/>
              <w:jc w:val="both"/>
              <w:rPr>
                <w:rFonts w:ascii="Verdana" w:eastAsia="Verdana" w:hAnsi="Verdana" w:cs="Verdana"/>
              </w:rPr>
            </w:pPr>
            <w:r>
              <w:rPr>
                <w:rFonts w:ascii="Verdana" w:eastAsia="Verdana" w:hAnsi="Verdana" w:cs="Verdana"/>
              </w:rPr>
              <w:t xml:space="preserve">       </w:t>
            </w:r>
            <w:r w:rsidRPr="000E1832">
              <w:rPr>
                <w:rFonts w:ascii="Verdana" w:eastAsia="Verdana" w:hAnsi="Verdana" w:cs="Verdana"/>
              </w:rPr>
              <w:t xml:space="preserve">Por otra parte, las obligaciones de reporte en SECOP II son complementarias a las que corresponden a los sistemas de información del Sistema General de Regalías, razón por la cual cada entidad deberá registrar </w:t>
            </w:r>
            <w:r w:rsidRPr="000E1832">
              <w:rPr>
                <w:rFonts w:ascii="Verdana" w:eastAsia="Verdana" w:hAnsi="Verdana" w:cs="Verdana"/>
              </w:rPr>
              <w:lastRenderedPageBreak/>
              <w:t>en SECOP II la información asociada a la actividad contractual y continuar efectuando en el SPGR y en GESPROY-SGR los reportes presupuestales, financieros, de seguimiento y ejecución exigidos por la normativa aplicable.</w:t>
            </w:r>
            <w:r w:rsidRPr="001D31FF">
              <w:rPr>
                <w:rFonts w:ascii="Verdana" w:eastAsia="Verdana" w:hAnsi="Verdana" w:cs="Verdana"/>
              </w:rPr>
              <w:t xml:space="preserve"> </w:t>
            </w:r>
          </w:p>
          <w:p w14:paraId="384EA86E" w14:textId="77777777" w:rsidR="001B5CF6" w:rsidRDefault="001B5CF6" w:rsidP="00093A20">
            <w:pPr>
              <w:spacing w:after="120" w:line="276" w:lineRule="auto"/>
              <w:jc w:val="both"/>
              <w:rPr>
                <w:rFonts w:ascii="Verdana" w:eastAsia="Verdana" w:hAnsi="Verdana" w:cs="Verdana"/>
              </w:rPr>
            </w:pPr>
            <w:r>
              <w:rPr>
                <w:rFonts w:ascii="Verdana" w:eastAsia="Verdana" w:hAnsi="Verdana" w:cs="Verdana"/>
              </w:rPr>
              <w:t xml:space="preserve">         </w:t>
            </w:r>
            <w:r w:rsidRPr="000E1832">
              <w:rPr>
                <w:rFonts w:ascii="Verdana" w:eastAsia="Verdana" w:hAnsi="Verdana" w:cs="Verdana"/>
              </w:rPr>
              <w:t>Para mayor ilustración sobre los aspectos operativos y funcionales de la publicación de la actividad contractual en SECOP II, se adjunta el documento remitido por la Subdirección de Información y Desarrollo Tecnológico de fecha 09 de septiembre de 2026.</w:t>
            </w:r>
          </w:p>
          <w:p w14:paraId="3CA04BF8" w14:textId="77777777" w:rsidR="001B5CF6" w:rsidRPr="00762773" w:rsidRDefault="001B5CF6" w:rsidP="00093A20">
            <w:pPr>
              <w:spacing w:after="120" w:line="276" w:lineRule="auto"/>
              <w:jc w:val="both"/>
              <w:rPr>
                <w:rFonts w:ascii="Verdana" w:eastAsia="Verdana" w:hAnsi="Verdana" w:cs="Verdana"/>
              </w:rPr>
            </w:pPr>
            <w:r>
              <w:rPr>
                <w:rFonts w:ascii="Verdana" w:eastAsia="Verdana" w:hAnsi="Verdana" w:cs="Verdana"/>
              </w:rPr>
              <w:t xml:space="preserve">        ii) </w:t>
            </w:r>
            <w:r w:rsidRPr="00762773">
              <w:rPr>
                <w:rFonts w:ascii="Verdana" w:eastAsia="Verdana" w:hAnsi="Verdana" w:cs="Verdana"/>
              </w:rPr>
              <w:t>La publicación de la actividad contractual de las entidades estatales sometidas a un régimen especial o exceptuado se encuentra desarrollada por la Agencia Nacional de Contratación Pública – Colombia Compra Eficiente a través de instrumentos de orientación que establecen lineamientos para la gestión contractual y el uso del SECOP II.</w:t>
            </w:r>
          </w:p>
          <w:p w14:paraId="6C8F31EC" w14:textId="77777777" w:rsidR="001B5CF6" w:rsidRPr="00762773" w:rsidRDefault="001B5CF6" w:rsidP="00093A20">
            <w:pPr>
              <w:spacing w:after="120" w:line="276" w:lineRule="auto"/>
              <w:jc w:val="both"/>
              <w:rPr>
                <w:rFonts w:ascii="Verdana" w:eastAsia="Verdana" w:hAnsi="Verdana" w:cs="Verdana"/>
              </w:rPr>
            </w:pPr>
            <w:r>
              <w:rPr>
                <w:rFonts w:ascii="Verdana" w:eastAsia="Verdana" w:hAnsi="Verdana" w:cs="Verdana"/>
              </w:rPr>
              <w:t xml:space="preserve">        </w:t>
            </w:r>
            <w:r w:rsidRPr="00762773">
              <w:rPr>
                <w:rFonts w:ascii="Verdana" w:eastAsia="Verdana" w:hAnsi="Verdana" w:cs="Verdana"/>
              </w:rPr>
              <w:t>En particular, la Guía para la Gestión Contractual de Entidades Estatales con Régimen Especial, actualizada el 30 de septiembre de 2025, constituye el instrumento general de orientación aplicable a estas entidades. En ella, la Agencia establece recomendaciones, lineamientos y buenas prácticas para la gestión contractual de las entidades sometidas a un régimen especial y desarrolla, entre otros aspectos, sus obligaciones frente al Sistema de Compra Pública y la publicación de su actividad contractual en el SECOP II.</w:t>
            </w:r>
          </w:p>
          <w:p w14:paraId="4C7B19DA" w14:textId="77777777" w:rsidR="001B5CF6" w:rsidRDefault="001B5CF6" w:rsidP="00093A20">
            <w:pPr>
              <w:spacing w:after="120" w:line="276" w:lineRule="auto"/>
              <w:jc w:val="both"/>
              <w:rPr>
                <w:rFonts w:ascii="Verdana" w:eastAsia="Verdana" w:hAnsi="Verdana" w:cs="Verdana"/>
              </w:rPr>
            </w:pPr>
            <w:r>
              <w:rPr>
                <w:rFonts w:ascii="Verdana" w:eastAsia="Verdana" w:hAnsi="Verdana" w:cs="Verdana"/>
              </w:rPr>
              <w:t xml:space="preserve">      </w:t>
            </w:r>
            <w:r w:rsidRPr="00762773">
              <w:rPr>
                <w:rFonts w:ascii="Verdana" w:eastAsia="Verdana" w:hAnsi="Verdana" w:cs="Verdana"/>
              </w:rPr>
              <w:t>Se recomienda la consulta de esta guía para efectos de determinar los lineamientos aplicables a la gestión contractual y publicación de la actividad contractual en el SECOP I</w:t>
            </w:r>
            <w:r>
              <w:rPr>
                <w:rFonts w:ascii="Verdana" w:eastAsia="Verdana" w:hAnsi="Verdana" w:cs="Verdana"/>
              </w:rPr>
              <w:t xml:space="preserve"> en el siguiente enlace: </w:t>
            </w:r>
            <w:hyperlink r:id="rId12" w:history="1">
              <w:r w:rsidRPr="006D5F5A">
                <w:rPr>
                  <w:rStyle w:val="Hipervnculo"/>
                  <w:rFonts w:ascii="Verdana" w:eastAsia="Verdana" w:hAnsi="Verdana" w:cs="Verdana"/>
                </w:rPr>
                <w:t>https://www.colombiacompra.gov.co/archivos/manual/guia-para-la-gestion-contractual-de-entidades-estatales-con-regimen-especial?</w:t>
              </w:r>
            </w:hyperlink>
            <w:r>
              <w:rPr>
                <w:rFonts w:ascii="Verdana" w:eastAsia="Verdana" w:hAnsi="Verdana" w:cs="Verdana"/>
              </w:rPr>
              <w:t xml:space="preserve">  </w:t>
            </w:r>
          </w:p>
          <w:p w14:paraId="299BA86C" w14:textId="77777777" w:rsidR="001B5CF6" w:rsidRDefault="001B5CF6" w:rsidP="00093A20">
            <w:pPr>
              <w:spacing w:after="120" w:line="276" w:lineRule="auto"/>
              <w:jc w:val="both"/>
              <w:rPr>
                <w:rFonts w:ascii="Verdana" w:eastAsia="Calibri" w:hAnsi="Verdana" w:cs="Times New Roman"/>
                <w:lang w:val="es-ES"/>
              </w:rPr>
            </w:pPr>
            <w:r w:rsidRPr="00B72C9E">
              <w:rPr>
                <w:rFonts w:ascii="Verdana" w:eastAsia="Verdana" w:hAnsi="Verdana" w:cs="Verdana"/>
              </w:rPr>
              <w:t xml:space="preserve"> </w:t>
            </w:r>
            <w:r>
              <w:rPr>
                <w:rFonts w:ascii="Verdana" w:eastAsia="Verdana" w:hAnsi="Verdana" w:cs="Verdana"/>
              </w:rPr>
              <w:t xml:space="preserve">     </w:t>
            </w:r>
            <w:r>
              <w:rPr>
                <w:rFonts w:ascii="Verdana" w:eastAsia="Arial" w:hAnsi="Verdana" w:cs="Arial"/>
              </w:rPr>
              <w:t xml:space="preserve">   F</w:t>
            </w:r>
            <w:r>
              <w:rPr>
                <w:rFonts w:ascii="Verdana" w:eastAsia="Calibri" w:hAnsi="Verdana" w:cs="Arial"/>
                <w:bCs/>
                <w:color w:val="000000" w:themeColor="text1"/>
              </w:rPr>
              <w:t>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399041C" w14:textId="77777777" w:rsidR="001B5CF6" w:rsidRDefault="001B5CF6" w:rsidP="00093A20">
            <w:pPr>
              <w:spacing w:after="120" w:line="276" w:lineRule="auto"/>
              <w:jc w:val="both"/>
              <w:rPr>
                <w:rFonts w:ascii="Verdana" w:eastAsia="Verdana" w:hAnsi="Verdana" w:cs="Verdana"/>
              </w:rPr>
            </w:pPr>
            <w:r>
              <w:rPr>
                <w:rFonts w:ascii="Verdana" w:eastAsia="Calibri" w:hAnsi="Verdana" w:cs="Times New Roman"/>
                <w:lang w:val="es-ES"/>
              </w:rPr>
              <w:t xml:space="preserve">         Así las cosas</w:t>
            </w:r>
            <w:r w:rsidRPr="00DB4737">
              <w:rPr>
                <w:rFonts w:ascii="Verdana" w:eastAsia="Calibri" w:hAnsi="Verdana" w:cs="Times New Roman"/>
                <w:lang w:val="es-ES"/>
              </w:rPr>
              <w:t xml:space="preserve">, al tratarse de un análisis que debe realizarse en un procedimiento contractual específico, esta Agencia no puede definir un criterio </w:t>
            </w:r>
            <w:r w:rsidRPr="00DB4737">
              <w:rPr>
                <w:rFonts w:ascii="Verdana" w:eastAsia="Calibri" w:hAnsi="Verdana" w:cs="Times New Roman"/>
                <w:lang w:val="es-ES"/>
              </w:rPr>
              <w:lastRenderedPageBreak/>
              <w:t>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11356CB6" w14:textId="77777777" w:rsidR="001B5CF6" w:rsidRPr="0015699B" w:rsidRDefault="001B5CF6" w:rsidP="001B5CF6">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499835E4" w14:textId="77777777" w:rsidR="001B5CF6" w:rsidRPr="0015699B" w:rsidRDefault="001B5CF6" w:rsidP="001B5CF6">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6F58595F" w14:textId="77777777" w:rsidR="001B5CF6" w:rsidRPr="0015699B" w:rsidRDefault="001B5CF6" w:rsidP="001B5CF6">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2B6980C8" w14:textId="77777777" w:rsidR="001B5CF6" w:rsidRDefault="001B5CF6" w:rsidP="001B5CF6">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Lo anterior se sustenta en las siguientes consideraciones: </w:t>
      </w:r>
    </w:p>
    <w:p w14:paraId="097E4875" w14:textId="77777777" w:rsidR="001B5CF6" w:rsidRPr="0015699B" w:rsidRDefault="001B5CF6" w:rsidP="001B5CF6">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4CAE7523" w14:textId="77777777" w:rsidR="001B5CF6" w:rsidRDefault="001B5CF6" w:rsidP="001B5CF6">
      <w:pPr>
        <w:spacing w:after="120" w:line="276" w:lineRule="auto"/>
        <w:ind w:firstLine="709"/>
        <w:jc w:val="both"/>
        <w:rPr>
          <w:rFonts w:ascii="Verdana" w:eastAsia="Verdana" w:hAnsi="Verdana" w:cs="Verdana"/>
          <w:lang w:val="es-MX"/>
        </w:rPr>
      </w:pPr>
      <w:bookmarkStart w:id="1" w:name="_Hlk35876968"/>
      <w:bookmarkStart w:id="2" w:name="_Hlk98159514"/>
      <w:r>
        <w:rPr>
          <w:rFonts w:ascii="Verdana" w:eastAsia="Verdana" w:hAnsi="Verdana" w:cs="Verdana"/>
          <w:lang w:val="es-MX"/>
        </w:rPr>
        <w:t xml:space="preserve">Uno de los postulados mas importantes de un Estado Social Democrático de Derecho es le principio de publicidad, pues este permite que las actuaciones de las autoridades gocen de visibilidad. La Constitución Política de 1991 consagra en varios artículos la publicidad como un principio rector del Estado colombiano. Entre los mas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w:t>
      </w:r>
    </w:p>
    <w:p w14:paraId="5BD0A83D"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t>El principio de publicidad impone a las autoridades administrativas el deber de dar a conocer sus actos, contratos y precisiones para que se divulguen y eventualmente se controlen. Por ello, en la contratación estatal, el literal c) del artículo 3 de la Ley 1150 de 2007 establece el Sistema Electrónico para la Contratación Pública, en adelante SECOP, como un mecanismo que “contara con información oficial de la contratación realizada con dineros públicos, para lo cual establecerá los patrones a que haya lugar y se encargará de su difusión a través de canales electrónicos</w:t>
      </w:r>
      <w:r>
        <w:rPr>
          <w:rStyle w:val="Refdenotaalpie"/>
          <w:rFonts w:ascii="Verdana" w:eastAsia="Verdana" w:hAnsi="Verdana" w:cs="Verdana"/>
          <w:lang w:val="es-MX"/>
        </w:rPr>
        <w:footnoteReference w:id="1"/>
      </w:r>
      <w:r>
        <w:rPr>
          <w:rFonts w:ascii="Verdana" w:eastAsia="Verdana" w:hAnsi="Verdana" w:cs="Verdana"/>
          <w:lang w:val="es-MX"/>
        </w:rPr>
        <w:t xml:space="preserve">. </w:t>
      </w:r>
    </w:p>
    <w:p w14:paraId="6ED314E8"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lastRenderedPageBreak/>
        <w:t>De otra parte, la Ley 1712 de 2014 – ley estatutaria que regula la transparencia y el derecho de acceso a la información y a los documentos púbicos-; identifica como principios que orientan el derecho de acceso a la información pública, el de máxima publicidad, transparencia en la información y buena fe. El principio de máxima publicidad establece que “toda información en posesión, bajo el control o custodia de un sujeto obligado es pública y no podrá ser reservada o limitada sino por disposición constitucional o legal”</w:t>
      </w:r>
      <w:r>
        <w:rPr>
          <w:rStyle w:val="Refdenotaalpie"/>
          <w:rFonts w:ascii="Verdana" w:eastAsia="Verdana" w:hAnsi="Verdana" w:cs="Verdana"/>
          <w:lang w:val="es-MX"/>
        </w:rPr>
        <w:footnoteReference w:id="2"/>
      </w:r>
      <w:r>
        <w:rPr>
          <w:rFonts w:ascii="Verdana" w:eastAsia="Verdana" w:hAnsi="Verdana" w:cs="Verdana"/>
          <w:lang w:val="es-MX"/>
        </w:rPr>
        <w:t>.</w:t>
      </w:r>
    </w:p>
    <w:p w14:paraId="32D605F0"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t>El principio de transparencia en la información alude al deber de los sujetos de proporcionar y facilitar el acceso a la misma en los términos mas amplios posibles, y a través de los medios y procedimientos legales. La ley estatutaria citada establece, en el literal e) del artículo 9, que los sujetos obligados, que son todas las entidades públicas</w:t>
      </w:r>
      <w:r>
        <w:rPr>
          <w:rStyle w:val="Refdenotaalpie"/>
          <w:rFonts w:ascii="Verdana" w:eastAsia="Verdana" w:hAnsi="Verdana" w:cs="Verdana"/>
          <w:lang w:val="es-MX"/>
        </w:rPr>
        <w:footnoteReference w:id="3"/>
      </w:r>
      <w:r>
        <w:rPr>
          <w:rFonts w:ascii="Verdana" w:eastAsia="Verdana" w:hAnsi="Verdana" w:cs="Verdana"/>
          <w:lang w:val="es-MX"/>
        </w:rPr>
        <w:t>, deben publicar la información relativa a su contratación. Esta obligación fue desarrollada por el Decreto Único Reglamentario 1082 de 2015</w:t>
      </w:r>
      <w:r>
        <w:rPr>
          <w:rStyle w:val="Refdenotaalpie"/>
          <w:rFonts w:ascii="Verdana" w:eastAsia="Verdana" w:hAnsi="Verdana" w:cs="Verdana"/>
          <w:lang w:val="es-MX"/>
        </w:rPr>
        <w:footnoteReference w:id="4"/>
      </w:r>
      <w:r>
        <w:rPr>
          <w:rFonts w:ascii="Verdana" w:eastAsia="Verdana" w:hAnsi="Verdana" w:cs="Verdana"/>
          <w:lang w:val="es-MX"/>
        </w:rPr>
        <w:t xml:space="preserve">, el cual dispuso que la publicación de la información contractual de los sujetos obligados, que contratan con cargo a recursos públicos, debe hacerse en el SECOP. El derecho de acceso a la información pública o de interés público permite a toda persona, sin necesidad de acreditar calidad, interés público permite a toda persona, sin necesidad de acreditar calidad, interés o condición particular, conocer la existencia de </w:t>
      </w:r>
      <w:r>
        <w:rPr>
          <w:rFonts w:ascii="Verdana" w:eastAsia="Verdana" w:hAnsi="Verdana" w:cs="Verdana"/>
          <w:lang w:val="es-MX"/>
        </w:rPr>
        <w:lastRenderedPageBreak/>
        <w:t>información pública, acceder a la misma y difundirla o publicarla, según su interés</w:t>
      </w:r>
      <w:r>
        <w:rPr>
          <w:rStyle w:val="Refdenotaalpie"/>
          <w:rFonts w:ascii="Verdana" w:eastAsia="Verdana" w:hAnsi="Verdana" w:cs="Verdana"/>
          <w:lang w:val="es-MX"/>
        </w:rPr>
        <w:footnoteReference w:id="5"/>
      </w:r>
      <w:r>
        <w:rPr>
          <w:rFonts w:ascii="Verdana" w:eastAsia="Verdana" w:hAnsi="Verdana" w:cs="Verdana"/>
          <w:lang w:val="es-MX"/>
        </w:rPr>
        <w:t xml:space="preserve">. En ese contexto, las Entidades Estatales, conforme al artículo 2.2.1.1.7.1 del Decreto 1082 de 2015, tienen la obligación de publicar en el SECOP “[…] los Documentos del Proceso y los actos administrativos del Proceso de Contratación, dentro de los tres (3) días siguientes a su expedición […]”. </w:t>
      </w:r>
    </w:p>
    <w:p w14:paraId="57AE9331"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La expresión </w:t>
      </w:r>
      <w:r w:rsidRPr="00B069AA">
        <w:rPr>
          <w:rFonts w:ascii="Verdana" w:eastAsia="Verdana" w:hAnsi="Verdana" w:cs="Verdana"/>
          <w:i/>
          <w:iCs/>
          <w:lang w:val="es-MX"/>
        </w:rPr>
        <w:t>Documentos del Proceso</w:t>
      </w:r>
      <w:r>
        <w:rPr>
          <w:rFonts w:ascii="Verdana" w:eastAsia="Verdana" w:hAnsi="Verdana" w:cs="Verdana"/>
          <w:lang w:val="es-MX"/>
        </w:rPr>
        <w:t xml:space="preserve"> está definida en el artículo 2.2.1.1.3.1 del Decreto 1082 de 2015, donde se establece que: “son: (a) los estudios y documentos previos; (b) el aviso de convocatoria; (c) los pliegos de condiciones o la invitación; (d) las adendas; (e) la oferta; (f) el informe de evaluación; (g) el contrato; y </w:t>
      </w:r>
      <w:r w:rsidRPr="000A6CCE">
        <w:rPr>
          <w:rFonts w:ascii="Verdana" w:eastAsia="Verdana" w:hAnsi="Verdana" w:cs="Verdana"/>
          <w:i/>
          <w:iCs/>
          <w:lang w:val="es-MX"/>
        </w:rPr>
        <w:t>cualquier otro documento expedido por la Entidad Estatal durante el proceso de Contratación</w:t>
      </w:r>
      <w:r>
        <w:rPr>
          <w:rFonts w:ascii="Verdana" w:eastAsia="Verdana" w:hAnsi="Verdana" w:cs="Verdana"/>
          <w:lang w:val="es-MX"/>
        </w:rPr>
        <w:t>”. [Énfasis fuera de texto]</w:t>
      </w:r>
    </w:p>
    <w:p w14:paraId="5F5191D2"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Sin embargo, para identificar los documentos que deben publicarse, es necesario realizar una interpretación sistemática de las disposiciones del Decreto 1082 de 2015, comoquiera que el anterior no es un listado taxativo, sino enunciativo, porque además de los documentos enlistados, el artículo 2.2.1.1.1.3.1 </w:t>
      </w:r>
      <w:r w:rsidRPr="00F111D4">
        <w:rPr>
          <w:rFonts w:ascii="Verdana" w:eastAsia="Verdana" w:hAnsi="Verdana" w:cs="Verdana"/>
          <w:i/>
          <w:iCs/>
          <w:lang w:val="es-MX"/>
        </w:rPr>
        <w:t>Ibidem</w:t>
      </w:r>
      <w:r>
        <w:rPr>
          <w:rFonts w:ascii="Verdana" w:eastAsia="Verdana" w:hAnsi="Verdana" w:cs="Verdana"/>
          <w:lang w:val="es-MX"/>
        </w:rPr>
        <w:t xml:space="preserve">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mas tarde”. 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 </w:t>
      </w:r>
    </w:p>
    <w:p w14:paraId="57540904"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w:t>
      </w:r>
      <w:r>
        <w:rPr>
          <w:rFonts w:ascii="Verdana" w:eastAsia="Verdana" w:hAnsi="Verdana" w:cs="Verdana"/>
          <w:lang w:val="es-MX"/>
        </w:rPr>
        <w:lastRenderedPageBreak/>
        <w:t xml:space="preserve">ejecución y postcontractual deberán ser publicados en SECOP dentro de los tres (3) días siguientes a su expedición, para cumplir el deber de publicidad regulado por el artículo 2.2.1.1.1.7.1 del Decreto 1082 de 2015. </w:t>
      </w:r>
    </w:p>
    <w:p w14:paraId="4DEAD597"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t>Con el propósito de garantizar el cumplimiento del mencionado deber de publicidad, se le asignó a la Agencia Nacional de Contratación Pública – Colombia Compra Eficiente, la función de administrar el SECOP</w:t>
      </w:r>
      <w:r>
        <w:rPr>
          <w:rStyle w:val="Refdenotaalpie"/>
          <w:rFonts w:ascii="Verdana" w:eastAsia="Verdana" w:hAnsi="Verdana" w:cs="Verdana"/>
          <w:lang w:val="es-MX"/>
        </w:rPr>
        <w:footnoteReference w:id="6"/>
      </w:r>
      <w:r>
        <w:rPr>
          <w:rFonts w:ascii="Verdana" w:eastAsia="Verdana" w:hAnsi="Verdana" w:cs="Verdana"/>
          <w:lang w:val="es-MX"/>
        </w:rPr>
        <w:t xml:space="preserve">. Dicha plataforma ha tenido dos versiones, esto es, el SECOP I y SECOP II. La primera version de la plataforma - SECOP I-, solo funciona como medio de publicidad, es decir, no es transaccional, lo que significa que el procedimiento contractual ocurre fuera de la plataforma y a través de un expediente fisico en la entidad, pero las actuaciones y los documentos se convierten en electrónicos para ser cargados a la plataforma, por quien tenga la función dentro de la entidad, de acuerdo con su organización interna. </w:t>
      </w:r>
    </w:p>
    <w:p w14:paraId="4510D45A"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En cambio, el SECOP II, es una plataforma transaccional que permite gestionar la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 </w:t>
      </w:r>
    </w:p>
    <w:p w14:paraId="31AF5A03"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Sin embargo, pese a que los documentos que deben publicarse en el SECOP II, corresponden a los mismos que deben publicarse en el SECOP I, esto es, todos los expedidos con ocasión del Proceso de Contratación con excepción de los expresamente excluidos, la naturaleza transaccional del SECOP II implica que los procesos  contractuales no solo deban ser publicados mediante esta plataforma, sino también gestionados a trabes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w:t>
      </w:r>
      <w:r>
        <w:rPr>
          <w:rFonts w:ascii="Verdana" w:eastAsia="Verdana" w:hAnsi="Verdana" w:cs="Verdana"/>
          <w:lang w:val="es-MX"/>
        </w:rPr>
        <w:lastRenderedPageBreak/>
        <w:t xml:space="preserve">plataforma dentro del plazo de tres (3) días previsto en el artículo 2.2.1.1.1.7.1 del Decreto 1082 de 2015. </w:t>
      </w:r>
    </w:p>
    <w:p w14:paraId="2F1CEC59"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Lo anterior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que una vez estos se aprueban quedan inmediatamente publicados, sin que transcurra el referido término. </w:t>
      </w:r>
    </w:p>
    <w:p w14:paraId="03A3E236"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De tal manera que, el carácter transaccional de SECOP II, como herramienta que permite no solo publicar sino también gestionar y crear Documentos del Proceso, de manera electrónica al interior de la plataforma, implica que el deber de publicidad respecto de estas actuaciones se cumpla de manera distinta a como sucede en el SECOP I, donde los documentos contractuales se expiden primero en un medio fisico que posteriormente es cargado en la plataforma. </w:t>
      </w:r>
    </w:p>
    <w:p w14:paraId="4129D6DB"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Ahora bien, teniendo en cuenta lo consultado, debe destacarse que el artículo 53 de la Ley 2195 de 2022 estableció con mayor precisión la obligación de las Entidades Estatales exceptuadas del Estatuto General de Contratación de la Administración Pública de publicar en el SECOP II -es decir en la plataforma transaccional vigente- su actividad contractual. así pues, respecto de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eferentes, contratistas, contratante, supervisor o interventor, tanto en la etapa precontractual, como en la contractual y la postcontractual”. </w:t>
      </w:r>
    </w:p>
    <w:p w14:paraId="7D2473F6"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En ese sentido,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adicionalmente se </w:t>
      </w:r>
      <w:r>
        <w:rPr>
          <w:rFonts w:ascii="Verdana" w:eastAsia="Verdana" w:hAnsi="Verdana" w:cs="Verdana"/>
          <w:lang w:val="es-MX"/>
        </w:rPr>
        <w:lastRenderedPageBreak/>
        <w:t>aclara, que el cumplimiento del deber de publicación de la documentación contractual debe armonizarse con las normas aplicables al tipo de información que están contienen</w:t>
      </w:r>
      <w:r>
        <w:rPr>
          <w:rStyle w:val="Refdenotaalpie"/>
          <w:rFonts w:ascii="Verdana" w:eastAsia="Verdana" w:hAnsi="Verdana" w:cs="Verdana"/>
          <w:lang w:val="es-MX"/>
        </w:rPr>
        <w:footnoteReference w:id="7"/>
      </w:r>
      <w:r>
        <w:rPr>
          <w:rFonts w:ascii="Verdana" w:eastAsia="Verdana" w:hAnsi="Verdana" w:cs="Verdana"/>
          <w:lang w:val="es-MX"/>
        </w:rPr>
        <w:t xml:space="preserve">. Lo anterior significa que, respecto de datos sensibles, información sometida a reserva o de la cual proceda un tratamiento especial que impida su publicidad, las entidades deberán proceder de conformidad con el tratamiento que impongan tales normas. </w:t>
      </w:r>
    </w:p>
    <w:p w14:paraId="7A818D7D"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t>Teniendo en cuenta el marco normativo antes reseñado, la Circular Externa Única expedida por la Agencia Nacional de Contratación Pública – Colombia Compra Eficiente – estableció que todas las entidades del Estado tienen el deber de publicar oportunamente la información oficial de la contratación en el SECOP, sin distinción de su régimen jurídico, naturaleza jurídica o la pertenencia a una u otra rama del poder público</w:t>
      </w:r>
      <w:r>
        <w:rPr>
          <w:rStyle w:val="Refdenotaalpie"/>
          <w:rFonts w:ascii="Verdana" w:eastAsia="Verdana" w:hAnsi="Verdana" w:cs="Verdana"/>
          <w:lang w:val="es-MX"/>
        </w:rPr>
        <w:footnoteReference w:id="8"/>
      </w:r>
      <w:r>
        <w:rPr>
          <w:rFonts w:ascii="Verdana" w:eastAsia="Verdana" w:hAnsi="Verdana" w:cs="Verdana"/>
          <w:lang w:val="es-MX"/>
        </w:rPr>
        <w:t xml:space="preserve">. De igual forma, en la Circular Externa No. 002 del 23 de agosto de 2024, estableció los lineamientos para la aplicación del artículo 53 de la Ley 2195 de 2022 por parte de las Entidades Estatales que por disposición legal cuentan con un régimen </w:t>
      </w:r>
      <w:r>
        <w:rPr>
          <w:rFonts w:ascii="Verdana" w:eastAsia="Verdana" w:hAnsi="Verdana" w:cs="Verdana"/>
          <w:lang w:val="es-MX"/>
        </w:rPr>
        <w:lastRenderedPageBreak/>
        <w:t xml:space="preserve">contractual excepcional al del Estatuto General de la Contratación de la Administración Pública. </w:t>
      </w:r>
    </w:p>
    <w:p w14:paraId="571DEE9E" w14:textId="77777777" w:rsidR="001B5CF6" w:rsidRDefault="001B5CF6" w:rsidP="001B5CF6">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Ahora bien, frente a la publicidad las entidades estatales que por disposición legal cuenten con un régimen contractual excepcional al del Estatuto General de Contratación de la Administración Pública, esta Agencia en Circular Externa No. 002 del 23 de agosto de 2024, esta Agencia señala que “[…] el término que tienen las Entidades Estatales que por disposición legal cuenten con un régimen contractual excepcional al del Estatuto General de Contratación de la Administración Pública para publicar en el SECOP II es de tres (3) días posterior a su expedición”. Es decir, que tales entidades, le es aplicable la regla de publicación de los tres (3) días siguientes a su expedición de acto administrativo o Documento del Proceso, dispuesta en el artículo 2.2.1.1.7.1 del Decreto 1082 de 2015 por remisión expresa en el artículo 2.1.1.2.1.7 del Decreto 1081 de 2015. </w:t>
      </w:r>
    </w:p>
    <w:p w14:paraId="32580721" w14:textId="77777777" w:rsidR="001B5CF6" w:rsidRPr="000E1832" w:rsidRDefault="001B5CF6" w:rsidP="001B5CF6">
      <w:pPr>
        <w:spacing w:after="120" w:line="276" w:lineRule="auto"/>
        <w:ind w:firstLine="708"/>
        <w:jc w:val="both"/>
        <w:rPr>
          <w:rFonts w:ascii="Verdana" w:eastAsia="Verdana" w:hAnsi="Verdana" w:cs="Verdana"/>
        </w:rPr>
      </w:pPr>
      <w:r>
        <w:rPr>
          <w:rFonts w:ascii="Verdana" w:eastAsia="Verdana" w:hAnsi="Verdana" w:cs="Verdana"/>
        </w:rPr>
        <w:t>Ahora bien, en atención al problema jurídico planteado y d</w:t>
      </w:r>
      <w:r w:rsidRPr="000E1832">
        <w:rPr>
          <w:rFonts w:ascii="Verdana" w:eastAsia="Verdana" w:hAnsi="Verdana" w:cs="Verdana"/>
        </w:rPr>
        <w:t xml:space="preserve">e acuerdo con el </w:t>
      </w:r>
      <w:r>
        <w:rPr>
          <w:rFonts w:ascii="Verdana" w:eastAsia="Verdana" w:hAnsi="Verdana" w:cs="Verdana"/>
        </w:rPr>
        <w:t xml:space="preserve">oficio de fecha 09 de septiembre remitido a esta Subdirección Contractual </w:t>
      </w:r>
      <w:r w:rsidRPr="000E1832">
        <w:rPr>
          <w:rFonts w:ascii="Verdana" w:eastAsia="Verdana" w:hAnsi="Verdana" w:cs="Verdana"/>
        </w:rPr>
        <w:t>por la Subdirección de Información y Desarrollo Tecnológico de la Agencia Nacional de Contratación Pública – Colombia Compra Eficiente, , mediante el cual se atendieron consultas relacionadas con la publicación de la actividad contractual de las entidades sometidas a régimen especial o exceptuado en la plataforma SECOP II, se precisa que dichas entidades no gestionan sus procesos contractuales a través de los módulos ordinarios previstos para las entidades sometidas al Estatuto General de Contratación de la Administración Pública.</w:t>
      </w:r>
      <w:r>
        <w:rPr>
          <w:rFonts w:ascii="Verdana" w:eastAsia="Verdana" w:hAnsi="Verdana" w:cs="Verdana"/>
        </w:rPr>
        <w:t xml:space="preserve"> </w:t>
      </w:r>
    </w:p>
    <w:p w14:paraId="76164DC2" w14:textId="77777777" w:rsidR="001B5CF6" w:rsidRDefault="001B5CF6" w:rsidP="001B5CF6">
      <w:pPr>
        <w:spacing w:after="120" w:line="276" w:lineRule="auto"/>
        <w:jc w:val="both"/>
        <w:rPr>
          <w:rFonts w:ascii="Verdana" w:eastAsia="Verdana" w:hAnsi="Verdana" w:cs="Verdana"/>
        </w:rPr>
      </w:pPr>
      <w:r>
        <w:rPr>
          <w:rFonts w:ascii="Verdana" w:eastAsia="Verdana" w:hAnsi="Verdana" w:cs="Verdana"/>
        </w:rPr>
        <w:t xml:space="preserve">         </w:t>
      </w:r>
      <w:r w:rsidRPr="000E1832">
        <w:rPr>
          <w:rFonts w:ascii="Verdana" w:eastAsia="Verdana" w:hAnsi="Verdana" w:cs="Verdana"/>
        </w:rPr>
        <w:t>En consecuencia, las entidades de régimen especial o exceptuado cuentan en SECOP II con los módulos “Contratación Régimen Especial con Ofertas” y “Contratación Régimen Especial (Sin Ofertas)”, los cuales fueron diseñados específicamente para atender las particularidades de su régimen contractual. Por esta razón, las contrataciones directas o no competitivas financiadas con recursos del Sistema General de Regalías deben publicarse a través del módulo “Régimen Especial (Sin Ofertas)”, mientras que los procedimientos competitivos deben gestionarse mediante el módulo “Régimen Especial con Ofertas”.</w:t>
      </w:r>
    </w:p>
    <w:p w14:paraId="50B20456" w14:textId="77777777" w:rsidR="001B5CF6" w:rsidRPr="000E1832" w:rsidRDefault="001B5CF6" w:rsidP="001B5CF6">
      <w:pPr>
        <w:spacing w:after="120" w:line="276" w:lineRule="auto"/>
        <w:jc w:val="both"/>
        <w:rPr>
          <w:rFonts w:ascii="Verdana" w:eastAsia="Verdana" w:hAnsi="Verdana" w:cs="Verdana"/>
        </w:rPr>
      </w:pPr>
      <w:r>
        <w:rPr>
          <w:rFonts w:ascii="Verdana" w:eastAsia="Verdana" w:hAnsi="Verdana" w:cs="Verdana"/>
        </w:rPr>
        <w:t xml:space="preserve">         </w:t>
      </w:r>
      <w:r w:rsidRPr="000E1832">
        <w:rPr>
          <w:rFonts w:ascii="Verdana" w:eastAsia="Verdana" w:hAnsi="Verdana" w:cs="Verdana"/>
        </w:rPr>
        <w:t xml:space="preserve">Asimismo, dichas entidades deben publicar en SECOP II los documentos, actos, contratos e información generada durante las etapas precontractual, contractual y postcontractual, salvo aquella sometida a reserva legal, </w:t>
      </w:r>
      <w:r w:rsidRPr="000E1832">
        <w:rPr>
          <w:rFonts w:ascii="Verdana" w:eastAsia="Verdana" w:hAnsi="Verdana" w:cs="Verdana"/>
        </w:rPr>
        <w:lastRenderedPageBreak/>
        <w:t>garantizando el cumplimiento de los principios de transparencia y publicidad que rigen la gestión de recursos públicos.</w:t>
      </w:r>
    </w:p>
    <w:p w14:paraId="585D30A1" w14:textId="77777777" w:rsidR="001B5CF6" w:rsidRDefault="001B5CF6" w:rsidP="001B5CF6">
      <w:pPr>
        <w:spacing w:after="120" w:line="276" w:lineRule="auto"/>
        <w:jc w:val="both"/>
        <w:rPr>
          <w:rFonts w:ascii="Verdana" w:eastAsia="Verdana" w:hAnsi="Verdana" w:cs="Verdana"/>
        </w:rPr>
      </w:pPr>
      <w:r>
        <w:rPr>
          <w:rFonts w:ascii="Verdana" w:eastAsia="Verdana" w:hAnsi="Verdana" w:cs="Verdana"/>
        </w:rPr>
        <w:t xml:space="preserve">       </w:t>
      </w:r>
      <w:r w:rsidRPr="000E1832">
        <w:rPr>
          <w:rFonts w:ascii="Verdana" w:eastAsia="Verdana" w:hAnsi="Verdana" w:cs="Verdana"/>
        </w:rPr>
        <w:t>Por otra parte, las obligaciones de reporte en SECOP II son complementarias a las que corresponden a los sistemas de información del Sistema General de Regalías, razón por la cual cada entidad deberá registrar en SECOP II la información asociada a la actividad contractual y continuar efectuando en el SPGR y en GESPROY-SGR los reportes presupuestales, financieros, de seguimiento y ejecución exigidos por la normativa aplicable.</w:t>
      </w:r>
      <w:r w:rsidRPr="001D31FF">
        <w:rPr>
          <w:rFonts w:ascii="Verdana" w:eastAsia="Verdana" w:hAnsi="Verdana" w:cs="Verdana"/>
        </w:rPr>
        <w:t xml:space="preserve"> </w:t>
      </w:r>
    </w:p>
    <w:p w14:paraId="0A1F8515" w14:textId="77777777" w:rsidR="001B5CF6" w:rsidRDefault="001B5CF6" w:rsidP="001B5CF6">
      <w:pPr>
        <w:spacing w:after="120" w:line="276" w:lineRule="auto"/>
        <w:jc w:val="both"/>
        <w:rPr>
          <w:rFonts w:ascii="Verdana" w:eastAsia="Verdana" w:hAnsi="Verdana" w:cs="Verdana"/>
        </w:rPr>
      </w:pPr>
      <w:r>
        <w:rPr>
          <w:rFonts w:ascii="Verdana" w:eastAsia="Verdana" w:hAnsi="Verdana" w:cs="Verdana"/>
        </w:rPr>
        <w:t xml:space="preserve">         </w:t>
      </w:r>
      <w:r w:rsidRPr="000E1832">
        <w:rPr>
          <w:rFonts w:ascii="Verdana" w:eastAsia="Verdana" w:hAnsi="Verdana" w:cs="Verdana"/>
        </w:rPr>
        <w:t>Para mayor ilustración sobre los aspectos operativos y funcionales de la publicación de la actividad contractual en SECOP II, se adjunta el documento remitido por la Subdirección de Información y Desarrollo Tecnológico de fecha 09 de septiembre de 2026.</w:t>
      </w:r>
    </w:p>
    <w:p w14:paraId="76411C04" w14:textId="77777777" w:rsidR="001B5CF6" w:rsidRPr="00762773" w:rsidRDefault="001B5CF6" w:rsidP="001B5CF6">
      <w:pPr>
        <w:spacing w:after="120" w:line="276" w:lineRule="auto"/>
        <w:jc w:val="both"/>
        <w:rPr>
          <w:rFonts w:ascii="Verdana" w:eastAsia="Verdana" w:hAnsi="Verdana" w:cs="Verdana"/>
        </w:rPr>
      </w:pPr>
      <w:r>
        <w:rPr>
          <w:rFonts w:ascii="Verdana" w:eastAsia="Verdana" w:hAnsi="Verdana" w:cs="Verdana"/>
        </w:rPr>
        <w:t xml:space="preserve">        ii) </w:t>
      </w:r>
      <w:r w:rsidRPr="00762773">
        <w:rPr>
          <w:rFonts w:ascii="Verdana" w:eastAsia="Verdana" w:hAnsi="Verdana" w:cs="Verdana"/>
        </w:rPr>
        <w:t>La publicación de la actividad contractual de las entidades estatales sometidas a un régimen especial o exceptuado se encuentra desarrollada por la Agencia Nacional de Contratación Pública – Colombia Compra Eficiente a través de instrumentos de orientación que establecen lineamientos para la gestión contractual y el uso del SECOP II.</w:t>
      </w:r>
    </w:p>
    <w:p w14:paraId="3ADCB7CB" w14:textId="77777777" w:rsidR="001B5CF6" w:rsidRPr="00762773" w:rsidRDefault="001B5CF6" w:rsidP="001B5CF6">
      <w:pPr>
        <w:spacing w:after="120" w:line="276" w:lineRule="auto"/>
        <w:jc w:val="both"/>
        <w:rPr>
          <w:rFonts w:ascii="Verdana" w:eastAsia="Verdana" w:hAnsi="Verdana" w:cs="Verdana"/>
        </w:rPr>
      </w:pPr>
      <w:r>
        <w:rPr>
          <w:rFonts w:ascii="Verdana" w:eastAsia="Verdana" w:hAnsi="Verdana" w:cs="Verdana"/>
        </w:rPr>
        <w:t xml:space="preserve">        </w:t>
      </w:r>
      <w:r w:rsidRPr="00762773">
        <w:rPr>
          <w:rFonts w:ascii="Verdana" w:eastAsia="Verdana" w:hAnsi="Verdana" w:cs="Verdana"/>
        </w:rPr>
        <w:t>En particular, la Guía para la Gestión Contractual de Entidades Estatales con Régimen Especial, actualizada el 30 de septiembre de 2025, constituye el instrumento general de orientación aplicable a estas entidades. En ella, la Agencia establece recomendaciones, lineamientos y buenas prácticas para la gestión contractual de las entidades sometidas a un régimen especial y desarrolla, entre otros aspectos, sus obligaciones frente al Sistema de Compra Pública y la publicación de su actividad contractual en el SECOP II.</w:t>
      </w:r>
    </w:p>
    <w:p w14:paraId="4083C7C7" w14:textId="77777777" w:rsidR="001B5CF6" w:rsidRDefault="001B5CF6" w:rsidP="001B5CF6">
      <w:pPr>
        <w:spacing w:after="120" w:line="276" w:lineRule="auto"/>
        <w:jc w:val="both"/>
        <w:rPr>
          <w:rFonts w:ascii="Verdana" w:eastAsia="Verdana" w:hAnsi="Verdana" w:cs="Verdana"/>
        </w:rPr>
      </w:pPr>
      <w:r>
        <w:rPr>
          <w:rFonts w:ascii="Verdana" w:eastAsia="Verdana" w:hAnsi="Verdana" w:cs="Verdana"/>
        </w:rPr>
        <w:t xml:space="preserve">      </w:t>
      </w:r>
      <w:r w:rsidRPr="00762773">
        <w:rPr>
          <w:rFonts w:ascii="Verdana" w:eastAsia="Verdana" w:hAnsi="Verdana" w:cs="Verdana"/>
        </w:rPr>
        <w:t>Se recomienda la consulta de esta guía para efectos de determinar los lineamientos aplicables a la gestión contractual y publicación de la actividad contractual en el SECOP I</w:t>
      </w:r>
      <w:r>
        <w:rPr>
          <w:rFonts w:ascii="Verdana" w:eastAsia="Verdana" w:hAnsi="Verdana" w:cs="Verdana"/>
        </w:rPr>
        <w:t xml:space="preserve"> en el siguiente enlace: </w:t>
      </w:r>
      <w:hyperlink r:id="rId13" w:history="1">
        <w:r w:rsidRPr="006D5F5A">
          <w:rPr>
            <w:rStyle w:val="Hipervnculo"/>
            <w:rFonts w:ascii="Verdana" w:eastAsia="Verdana" w:hAnsi="Verdana" w:cs="Verdana"/>
          </w:rPr>
          <w:t>https://www.colombiacompra.gov.co/archivos/manual/guia-para-la-gestion-contractual-de-entidades-estatales-con-regimen-especial?</w:t>
        </w:r>
      </w:hyperlink>
      <w:r>
        <w:rPr>
          <w:rFonts w:ascii="Verdana" w:eastAsia="Verdana" w:hAnsi="Verdana" w:cs="Verdana"/>
        </w:rPr>
        <w:t xml:space="preserve">   </w:t>
      </w:r>
    </w:p>
    <w:p w14:paraId="1A93FFC0" w14:textId="77777777" w:rsidR="001B5CF6" w:rsidRDefault="001B5CF6" w:rsidP="001B5CF6">
      <w:pPr>
        <w:spacing w:after="0" w:line="276" w:lineRule="auto"/>
        <w:ind w:firstLine="708"/>
        <w:jc w:val="both"/>
        <w:rPr>
          <w:rFonts w:ascii="Verdana" w:eastAsia="Calibri" w:hAnsi="Verdana" w:cs="Times New Roman"/>
          <w:lang w:val="es-ES"/>
        </w:rPr>
      </w:pPr>
      <w:r w:rsidRPr="00B4445C">
        <w:rPr>
          <w:rFonts w:ascii="Verdana" w:eastAsia="Calibri" w:hAnsi="Verdana" w:cs="Arial"/>
          <w:color w:val="000000" w:themeColor="text1"/>
          <w:lang w:val="es-ES_tradnl"/>
        </w:rPr>
        <w:t xml:space="preserve"> </w:t>
      </w:r>
      <w:bookmarkEnd w:id="1"/>
      <w:bookmarkEnd w:id="2"/>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w:t>
      </w:r>
      <w:r w:rsidRPr="00DB4737">
        <w:rPr>
          <w:rFonts w:ascii="Verdana" w:eastAsia="Calibri" w:hAnsi="Verdana" w:cs="Times New Roman"/>
          <w:lang w:val="es-ES"/>
        </w:rPr>
        <w:lastRenderedPageBreak/>
        <w:t xml:space="preserve">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3AC73627" w14:textId="77777777" w:rsidR="001B5CF6" w:rsidRPr="00DC7DA9" w:rsidRDefault="001B5CF6" w:rsidP="001B5CF6">
      <w:pPr>
        <w:spacing w:after="0" w:line="276" w:lineRule="auto"/>
        <w:ind w:firstLine="708"/>
        <w:jc w:val="both"/>
        <w:rPr>
          <w:rFonts w:ascii="Verdana" w:hAnsi="Verdana"/>
          <w:lang w:val="es-ES"/>
        </w:rPr>
      </w:pPr>
    </w:p>
    <w:p w14:paraId="07754200" w14:textId="77777777" w:rsidR="001B5CF6" w:rsidRPr="00DC7DA9" w:rsidRDefault="001B5CF6" w:rsidP="001B5CF6">
      <w:pPr>
        <w:spacing w:line="276" w:lineRule="auto"/>
        <w:ind w:firstLine="708"/>
        <w:contextualSpacing/>
        <w:jc w:val="both"/>
        <w:rPr>
          <w:rFonts w:ascii="Verdana" w:eastAsia="Calibri" w:hAnsi="Verdana" w:cs="Times New Roman"/>
          <w:lang w:val="es-ES"/>
        </w:rPr>
      </w:pPr>
      <w:r w:rsidRPr="00AE7E03">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3871A695" w14:textId="77777777" w:rsidR="001B5CF6" w:rsidRPr="0015699B" w:rsidRDefault="001B5CF6" w:rsidP="001B5CF6">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7B107EE3" w14:textId="77777777" w:rsidR="001B5CF6" w:rsidRPr="0015699B" w:rsidRDefault="001B5CF6" w:rsidP="001B5CF6">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42E0C5B9" w14:textId="77777777" w:rsidR="001B5CF6" w:rsidRPr="0015699B" w:rsidRDefault="001B5CF6" w:rsidP="001B5CF6">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1B5CF6" w14:paraId="11C20DDE" w14:textId="77777777" w:rsidTr="00093A20">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440E1C67" w14:textId="77777777" w:rsidR="001B5CF6" w:rsidRPr="00F83AB2" w:rsidRDefault="001B5CF6" w:rsidP="001B5CF6">
            <w:pPr>
              <w:pStyle w:val="Prrafodelista"/>
              <w:numPr>
                <w:ilvl w:val="0"/>
                <w:numId w:val="17"/>
              </w:numPr>
              <w:spacing w:after="120" w:line="276" w:lineRule="auto"/>
              <w:jc w:val="both"/>
              <w:rPr>
                <w:rFonts w:ascii="Verdana" w:hAnsi="Verdana" w:cs="Arial"/>
                <w:color w:val="000000" w:themeColor="text1"/>
              </w:rPr>
            </w:pPr>
            <w:r w:rsidRPr="00F83AB2">
              <w:rPr>
                <w:rFonts w:ascii="Verdana" w:hAnsi="Verdana" w:cs="Arial"/>
                <w:color w:val="000000" w:themeColor="text1"/>
              </w:rPr>
              <w:t>Constitución Política. Artículos 74 y 209</w:t>
            </w:r>
          </w:p>
          <w:p w14:paraId="6C647F38" w14:textId="77777777" w:rsidR="001B5CF6" w:rsidRPr="00F83AB2" w:rsidRDefault="001B5CF6" w:rsidP="001B5CF6">
            <w:pPr>
              <w:pStyle w:val="Prrafodelista"/>
              <w:numPr>
                <w:ilvl w:val="0"/>
                <w:numId w:val="17"/>
              </w:numPr>
              <w:spacing w:after="120" w:line="276" w:lineRule="auto"/>
              <w:jc w:val="both"/>
              <w:rPr>
                <w:rFonts w:ascii="Verdana" w:hAnsi="Verdana" w:cs="Arial"/>
                <w:color w:val="000000" w:themeColor="text1"/>
              </w:rPr>
            </w:pPr>
            <w:r w:rsidRPr="00F83AB2">
              <w:rPr>
                <w:rFonts w:ascii="Verdana" w:hAnsi="Verdana" w:cs="Arial"/>
                <w:color w:val="000000" w:themeColor="text1"/>
              </w:rPr>
              <w:t>Ley 1150 de 2007. Literal c), artículo 3</w:t>
            </w:r>
          </w:p>
          <w:p w14:paraId="66718572" w14:textId="77777777" w:rsidR="001B5CF6" w:rsidRPr="00F83AB2" w:rsidRDefault="001B5CF6" w:rsidP="001B5CF6">
            <w:pPr>
              <w:pStyle w:val="Prrafodelista"/>
              <w:numPr>
                <w:ilvl w:val="0"/>
                <w:numId w:val="17"/>
              </w:numPr>
              <w:spacing w:after="120" w:line="276" w:lineRule="auto"/>
              <w:jc w:val="both"/>
              <w:rPr>
                <w:rFonts w:ascii="Verdana" w:hAnsi="Verdana" w:cs="Arial"/>
                <w:color w:val="000000" w:themeColor="text1"/>
              </w:rPr>
            </w:pPr>
            <w:r w:rsidRPr="00F83AB2">
              <w:rPr>
                <w:rFonts w:ascii="Verdana" w:hAnsi="Verdana" w:cs="Arial"/>
                <w:color w:val="000000" w:themeColor="text1"/>
              </w:rPr>
              <w:t>Decreto 1081 de 2015. Artículo 2.1.1.2.1.7</w:t>
            </w:r>
          </w:p>
          <w:p w14:paraId="2C195B3B" w14:textId="77777777" w:rsidR="001B5CF6" w:rsidRPr="00F83AB2" w:rsidRDefault="001B5CF6" w:rsidP="001B5CF6">
            <w:pPr>
              <w:pStyle w:val="Prrafodelista"/>
              <w:numPr>
                <w:ilvl w:val="0"/>
                <w:numId w:val="17"/>
              </w:numPr>
              <w:spacing w:after="120" w:line="276" w:lineRule="auto"/>
              <w:jc w:val="both"/>
              <w:rPr>
                <w:rFonts w:ascii="Verdana" w:hAnsi="Verdana" w:cs="Arial"/>
                <w:color w:val="000000" w:themeColor="text1"/>
              </w:rPr>
            </w:pPr>
            <w:r w:rsidRPr="00F83AB2">
              <w:rPr>
                <w:rFonts w:ascii="Verdana" w:hAnsi="Verdana" w:cs="Arial"/>
                <w:color w:val="000000" w:themeColor="text1"/>
              </w:rPr>
              <w:t>Decreto 1082 de 2015. Artículo 2.2.1.1.1.7.1</w:t>
            </w:r>
          </w:p>
          <w:p w14:paraId="63CDA0BA" w14:textId="77777777" w:rsidR="001B5CF6" w:rsidRPr="00F83AB2" w:rsidRDefault="001B5CF6" w:rsidP="001B5CF6">
            <w:pPr>
              <w:pStyle w:val="Prrafodelista"/>
              <w:numPr>
                <w:ilvl w:val="0"/>
                <w:numId w:val="17"/>
              </w:numPr>
              <w:spacing w:after="120" w:line="276" w:lineRule="auto"/>
              <w:jc w:val="both"/>
              <w:rPr>
                <w:rFonts w:ascii="Verdana" w:eastAsia="Verdana" w:hAnsi="Verdana" w:cs="Verdana"/>
                <w:lang w:val="es"/>
              </w:rPr>
            </w:pPr>
            <w:r w:rsidRPr="00F83AB2">
              <w:rPr>
                <w:rFonts w:ascii="Verdana" w:hAnsi="Verdana" w:cs="Arial"/>
                <w:color w:val="000000" w:themeColor="text1"/>
              </w:rPr>
              <w:t>Circular Externa No. 002 del 23 de agosto de 2024</w:t>
            </w:r>
          </w:p>
          <w:p w14:paraId="629BE58C" w14:textId="77777777" w:rsidR="001B5CF6" w:rsidRPr="00A24BA3" w:rsidRDefault="001B5CF6" w:rsidP="001B5CF6">
            <w:pPr>
              <w:pStyle w:val="Prrafodelista"/>
              <w:numPr>
                <w:ilvl w:val="0"/>
                <w:numId w:val="17"/>
              </w:numPr>
              <w:spacing w:after="120" w:line="276" w:lineRule="auto"/>
              <w:jc w:val="both"/>
              <w:rPr>
                <w:rFonts w:ascii="Verdana" w:eastAsia="Verdana" w:hAnsi="Verdana" w:cs="Verdana"/>
                <w:lang w:val="es"/>
              </w:rPr>
            </w:pPr>
            <w:r w:rsidRPr="00F83AB2">
              <w:rPr>
                <w:rFonts w:ascii="Verdana" w:hAnsi="Verdana" w:cs="Arial"/>
                <w:color w:val="000000" w:themeColor="text1"/>
              </w:rPr>
              <w:t>Corte Constitucional. Sentencia C-274 de 2013. M.P. María Victoria Calle Correa.</w:t>
            </w:r>
          </w:p>
        </w:tc>
      </w:tr>
    </w:tbl>
    <w:p w14:paraId="5C9AC79A" w14:textId="77777777" w:rsidR="001B5CF6" w:rsidRPr="0015699B" w:rsidRDefault="001B5CF6" w:rsidP="001B5CF6">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38E84380" w14:textId="77777777" w:rsidR="001B5CF6" w:rsidRPr="003D5882" w:rsidRDefault="001B5CF6" w:rsidP="001B5CF6">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41725633" w14:textId="77777777" w:rsidR="001B5CF6" w:rsidRPr="003D5882" w:rsidRDefault="001B5CF6" w:rsidP="001B5CF6">
      <w:pPr>
        <w:pStyle w:val="Prrafodelista"/>
        <w:spacing w:before="1" w:after="0" w:line="240" w:lineRule="auto"/>
        <w:jc w:val="both"/>
        <w:textAlignment w:val="baseline"/>
        <w:rPr>
          <w:rFonts w:ascii="Verdana" w:eastAsia="Verdana" w:hAnsi="Verdana" w:cs="Verdana"/>
          <w:b/>
          <w:bCs/>
          <w:lang w:val="es"/>
        </w:rPr>
      </w:pPr>
    </w:p>
    <w:p w14:paraId="5A61AE0E" w14:textId="77777777" w:rsidR="001B5CF6" w:rsidRPr="005510A2" w:rsidRDefault="001B5CF6" w:rsidP="001B5CF6">
      <w:pPr>
        <w:spacing w:after="0" w:line="276" w:lineRule="auto"/>
        <w:jc w:val="both"/>
        <w:rPr>
          <w:rStyle w:val="normaltextrun"/>
          <w:rFonts w:ascii="Verdana" w:hAnsi="Verdana" w:cs="Arial"/>
          <w:bCs/>
          <w:shd w:val="clear" w:color="auto" w:fill="FFFFFF"/>
        </w:rPr>
      </w:pPr>
      <w:r w:rsidRPr="0047490F">
        <w:rPr>
          <w:rFonts w:ascii="Verdana" w:eastAsia="Aptos" w:hAnsi="Verdana" w:cs="Arial"/>
          <w:shd w:val="clear" w:color="auto" w:fill="FFFFFF"/>
          <w:lang w:val="es-ES"/>
        </w:rPr>
        <w:t xml:space="preserve">Sobre el Sistema Electrónico para la Contratación Pública – SECOP, esta Subdirección se ha referido en los Conceptos </w:t>
      </w:r>
      <w:r w:rsidRPr="0047490F">
        <w:rPr>
          <w:rFonts w:ascii="Verdana" w:eastAsia="Calibri" w:hAnsi="Verdana" w:cs="Arial"/>
          <w:lang w:val="es-ES_tradnl" w:eastAsia="es-MX"/>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w:t>
      </w:r>
      <w:r>
        <w:rPr>
          <w:rFonts w:ascii="Verdana" w:eastAsia="Calibri" w:hAnsi="Verdana" w:cs="Arial"/>
          <w:lang w:val="es-ES_tradnl" w:eastAsia="es-MX"/>
        </w:rPr>
        <w:t xml:space="preserve">, </w:t>
      </w:r>
      <w:r w:rsidRPr="0047490F">
        <w:rPr>
          <w:rFonts w:ascii="Verdana" w:eastAsia="Calibri" w:hAnsi="Verdana" w:cs="Arial"/>
          <w:lang w:val="es-ES_tradnl" w:eastAsia="es-MX"/>
        </w:rPr>
        <w:t>C-472 del 6 de septiembre de 2021</w:t>
      </w:r>
      <w:r>
        <w:rPr>
          <w:rFonts w:ascii="Verdana" w:eastAsia="Calibri" w:hAnsi="Verdana" w:cs="Arial"/>
          <w:lang w:val="es-ES_tradnl" w:eastAsia="es-MX"/>
        </w:rPr>
        <w:t xml:space="preserve"> y C-659 del 01 de junio de 2026</w:t>
      </w:r>
      <w:r>
        <w:rPr>
          <w:rFonts w:ascii="Verdana" w:hAnsi="Verdana" w:cs="Arial"/>
          <w:bCs/>
          <w:shd w:val="clear" w:color="auto" w:fill="FFFFFF"/>
        </w:rPr>
        <w:t xml:space="preserve">, </w:t>
      </w:r>
      <w:r w:rsidRPr="00120DAF">
        <w:rPr>
          <w:rStyle w:val="normaltextrun"/>
          <w:rFonts w:ascii="Verdana" w:hAnsi="Verdana"/>
          <w:shd w:val="clear" w:color="auto" w:fill="FFFFFF"/>
        </w:rPr>
        <w:t>entre otros</w:t>
      </w:r>
      <w:r w:rsidRPr="00C331E4">
        <w:rPr>
          <w:rFonts w:ascii="Verdana" w:eastAsia="Calibri" w:hAnsi="Verdana" w:cs="Arial"/>
        </w:rPr>
        <w:t xml:space="preserve">. </w:t>
      </w:r>
      <w:r w:rsidRPr="00C331E4">
        <w:rPr>
          <w:rStyle w:val="normaltextrun"/>
          <w:rFonts w:ascii="Verdana" w:hAnsi="Verdana" w:cs="Arial"/>
          <w:shd w:val="clear" w:color="auto" w:fill="FFFFFF"/>
          <w:lang w:val="es-ES"/>
        </w:rPr>
        <w:t>Es</w:t>
      </w:r>
      <w:r w:rsidRPr="00C331E4">
        <w:rPr>
          <w:rFonts w:ascii="Verdana" w:hAnsi="Verdana"/>
        </w:rPr>
        <w:t>tos y otros conceptos se encuentran</w:t>
      </w:r>
      <w:r w:rsidRPr="005510A2">
        <w:rPr>
          <w:rFonts w:ascii="Verdana" w:hAnsi="Verdana"/>
        </w:rPr>
        <w:t xml:space="preserve"> disponibles para consulta</w:t>
      </w:r>
      <w:r w:rsidRPr="00F766A3">
        <w:rPr>
          <w:rFonts w:ascii="Verdana" w:hAnsi="Verdana"/>
        </w:rPr>
        <w:t xml:space="preserve">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r:id="rId14" w:history="1">
        <w:r w:rsidRPr="003A00C9">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14:paraId="705F2C85" w14:textId="77777777" w:rsidR="001B5CF6" w:rsidRDefault="001B5CF6" w:rsidP="001B5CF6">
      <w:pPr>
        <w:spacing w:after="0" w:line="276" w:lineRule="auto"/>
        <w:jc w:val="both"/>
        <w:textAlignment w:val="baseline"/>
        <w:rPr>
          <w:rFonts w:ascii="Verdana" w:eastAsia="Verdana" w:hAnsi="Verdana" w:cs="Verdana"/>
        </w:rPr>
      </w:pPr>
    </w:p>
    <w:p w14:paraId="0E3BD791" w14:textId="77777777" w:rsidR="001B5CF6" w:rsidRPr="00010A5F" w:rsidRDefault="001B5CF6" w:rsidP="001B5CF6">
      <w:pPr>
        <w:spacing w:after="0" w:line="276" w:lineRule="auto"/>
        <w:jc w:val="both"/>
        <w:textAlignment w:val="baseline"/>
        <w:rPr>
          <w:rFonts w:ascii="Verdana" w:eastAsia="Verdana" w:hAnsi="Verdana" w:cs="Verdana"/>
          <w:color w:val="FF0000"/>
          <w:lang w:val="es"/>
        </w:rPr>
      </w:pPr>
      <w:r w:rsidRPr="39124533">
        <w:rPr>
          <w:rFonts w:ascii="Verdana" w:eastAsia="Verdana" w:hAnsi="Verdana" w:cs="Verdana"/>
        </w:rPr>
        <w:t>Estos se encuentran disponibles para consulta en el Sistema de relatoría de la Agencia, al cual puede accederse a través del siguiente enlace:</w:t>
      </w:r>
      <w:hyperlink r:id="rId15">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28C982DC" w14:textId="77777777" w:rsidR="001B5CF6" w:rsidRDefault="001B5CF6" w:rsidP="001B5CF6">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55ADF9B4" w14:textId="77777777" w:rsidR="001B5CF6" w:rsidRDefault="001B5CF6" w:rsidP="001B5CF6">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6">
        <w:r w:rsidRPr="054CF0A3">
          <w:rPr>
            <w:rStyle w:val="Hipervnculo"/>
            <w:rFonts w:ascii="Verdana" w:eastAsia="Verdana" w:hAnsi="Verdana" w:cs="Verdana"/>
            <w:color w:val="000000" w:themeColor="text1"/>
          </w:rPr>
          <w:t>https://www.colombiacompra.gov.co/archivos/manual/guia-de-garantias-en-procesos-de-contratacion</w:t>
        </w:r>
      </w:hyperlink>
    </w:p>
    <w:p w14:paraId="0E5148AF" w14:textId="77777777" w:rsidR="001B5CF6" w:rsidRDefault="001B5CF6" w:rsidP="001B5CF6">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7">
        <w:r w:rsidRPr="054CF0A3">
          <w:rPr>
            <w:rStyle w:val="Hipervnculo"/>
            <w:rFonts w:ascii="Verdana" w:eastAsia="Verdana" w:hAnsi="Verdana" w:cs="Verdana"/>
            <w:color w:val="000000" w:themeColor="text1"/>
          </w:rPr>
          <w:t>https://www.colombiacompra.gov.co/archivos/circular/circular-externa-003-de-2026</w:t>
        </w:r>
      </w:hyperlink>
    </w:p>
    <w:p w14:paraId="5F5E1054" w14:textId="77777777" w:rsidR="001B5CF6" w:rsidRDefault="001B5CF6" w:rsidP="001B5CF6">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8">
        <w:r w:rsidRPr="054CF0A3">
          <w:rPr>
            <w:rStyle w:val="Hipervnculo"/>
            <w:rFonts w:ascii="Verdana" w:eastAsia="Verdana" w:hAnsi="Verdana" w:cs="Verdana"/>
            <w:color w:val="000000" w:themeColor="text1"/>
          </w:rPr>
          <w:t>https://www.colombiacompra.gov.co/archivos/circular/circular-externa-002-de-2026</w:t>
        </w:r>
      </w:hyperlink>
    </w:p>
    <w:p w14:paraId="36A54D8B" w14:textId="77777777" w:rsidR="001B5CF6" w:rsidRDefault="001B5CF6" w:rsidP="001B5CF6">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9">
        <w:r w:rsidRPr="054CF0A3">
          <w:rPr>
            <w:rStyle w:val="Hipervnculo"/>
            <w:rFonts w:ascii="Verdana" w:eastAsia="Verdana" w:hAnsi="Verdana" w:cs="Verdana"/>
            <w:color w:val="000000" w:themeColor="text1"/>
          </w:rPr>
          <w:t>https://www.colombiacompra.gov.co/archivos/boletin/boletin-edicion-n-3-de-2026-radar-de-la-compra-publica</w:t>
        </w:r>
      </w:hyperlink>
    </w:p>
    <w:p w14:paraId="7E9C9DF7" w14:textId="77777777" w:rsidR="001B5CF6" w:rsidRPr="003D5882" w:rsidRDefault="001B5CF6" w:rsidP="001B5CF6">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59651014" w14:textId="77777777" w:rsidR="001B5CF6" w:rsidRPr="0015699B" w:rsidRDefault="001B5CF6" w:rsidP="001B5CF6">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1526B924" w14:textId="77777777" w:rsidR="001B5CF6" w:rsidRPr="0015699B" w:rsidRDefault="001B5CF6" w:rsidP="001B5CF6">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Twitter: </w:t>
      </w:r>
      <w:r w:rsidRPr="40A87941">
        <w:rPr>
          <w:rFonts w:ascii="Verdana" w:eastAsia="Verdana" w:hAnsi="Verdana" w:cs="Verdana"/>
          <w:color w:val="000000" w:themeColor="text1"/>
          <w:u w:val="single"/>
          <w:lang w:val="es"/>
        </w:rPr>
        <w:t>@colombiacompra</w:t>
      </w:r>
      <w:r w:rsidRPr="40A87941">
        <w:rPr>
          <w:rFonts w:ascii="Verdana" w:eastAsia="Verdana" w:hAnsi="Verdana" w:cs="Verdana"/>
          <w:color w:val="000000" w:themeColor="text1"/>
          <w:lang w:val="es"/>
        </w:rPr>
        <w:t xml:space="preserve"> </w:t>
      </w:r>
    </w:p>
    <w:p w14:paraId="099966CF" w14:textId="77777777" w:rsidR="001B5CF6" w:rsidRPr="0015699B" w:rsidRDefault="001B5CF6" w:rsidP="001B5CF6">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proofErr w:type="spellStart"/>
      <w:r w:rsidRPr="40A87941">
        <w:rPr>
          <w:rFonts w:ascii="Verdana" w:eastAsia="Verdana" w:hAnsi="Verdana" w:cs="Verdana"/>
          <w:color w:val="000000" w:themeColor="text1"/>
          <w:u w:val="single"/>
          <w:lang w:val="es-ES"/>
        </w:rPr>
        <w:t>ColombiaCompraEficiente</w:t>
      </w:r>
      <w:proofErr w:type="spellEnd"/>
    </w:p>
    <w:p w14:paraId="5D09C6AC" w14:textId="77777777" w:rsidR="001B5CF6" w:rsidRPr="0015699B" w:rsidRDefault="001B5CF6" w:rsidP="001B5CF6">
      <w:pPr>
        <w:spacing w:after="0" w:line="240" w:lineRule="auto"/>
        <w:jc w:val="both"/>
        <w:textAlignment w:val="baseline"/>
        <w:rPr>
          <w:rFonts w:ascii="Verdana" w:eastAsia="Verdana" w:hAnsi="Verdana" w:cs="Verdana"/>
          <w:color w:val="000000" w:themeColor="text1"/>
          <w:u w:val="single"/>
          <w:lang w:val="es"/>
        </w:rPr>
      </w:pPr>
      <w:r w:rsidRPr="40A87941">
        <w:rPr>
          <w:rFonts w:ascii="Verdana" w:eastAsia="Verdana" w:hAnsi="Verdana" w:cs="Verdana"/>
          <w:color w:val="000000" w:themeColor="text1"/>
          <w:lang w:val="es"/>
        </w:rPr>
        <w:t xml:space="preserve">LinkedIn: </w:t>
      </w:r>
      <w:r w:rsidRPr="40A87941">
        <w:rPr>
          <w:rFonts w:ascii="Verdana" w:eastAsia="Verdana" w:hAnsi="Verdana" w:cs="Verdana"/>
          <w:color w:val="000000" w:themeColor="text1"/>
          <w:u w:val="single"/>
          <w:lang w:val="es"/>
        </w:rPr>
        <w:t>Agencia Nacional de Contratación Pública - Colombia Compra Eficiente</w:t>
      </w:r>
      <w:r w:rsidRPr="40A87941">
        <w:rPr>
          <w:rFonts w:ascii="Verdana" w:eastAsia="Verdana" w:hAnsi="Verdana" w:cs="Verdana"/>
          <w:color w:val="000000" w:themeColor="text1"/>
          <w:lang w:val="es"/>
        </w:rPr>
        <w:t xml:space="preserve"> Instagram: </w:t>
      </w:r>
      <w:r w:rsidRPr="40A87941">
        <w:rPr>
          <w:rFonts w:ascii="Verdana" w:eastAsia="Verdana" w:hAnsi="Verdana" w:cs="Verdana"/>
          <w:color w:val="000000" w:themeColor="text1"/>
          <w:u w:val="single"/>
          <w:lang w:val="es"/>
        </w:rPr>
        <w:t>@colombiacompraeficiente_cce</w:t>
      </w:r>
    </w:p>
    <w:p w14:paraId="5B17AC85" w14:textId="77777777" w:rsidR="001B5CF6" w:rsidRPr="0015699B" w:rsidRDefault="001B5CF6" w:rsidP="001B5CF6">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364243B5" w14:textId="77777777" w:rsidR="001B5CF6" w:rsidRPr="0015699B" w:rsidRDefault="001B5CF6" w:rsidP="001B5CF6">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72C44FB" w14:textId="77777777" w:rsidR="001B5CF6" w:rsidRPr="0015699B" w:rsidRDefault="001B5CF6" w:rsidP="001B5CF6">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685F1CEF" w14:textId="77777777" w:rsidR="001B5CF6" w:rsidRPr="0015699B" w:rsidRDefault="001B5CF6" w:rsidP="001B5CF6">
      <w:pPr>
        <w:spacing w:after="0" w:line="240" w:lineRule="auto"/>
        <w:jc w:val="both"/>
        <w:textAlignment w:val="baseline"/>
      </w:pPr>
      <w:r w:rsidRPr="40A87941">
        <w:rPr>
          <w:rFonts w:ascii="Verdana" w:eastAsia="Verdana" w:hAnsi="Verdana" w:cs="Verdana"/>
          <w:color w:val="000000" w:themeColor="text1"/>
          <w:lang w:val="es"/>
        </w:rPr>
        <w:t xml:space="preserve"> Atentamente, </w:t>
      </w:r>
    </w:p>
    <w:p w14:paraId="23E5EF2B" w14:textId="1D05E7F1" w:rsidR="001B5CF6" w:rsidRDefault="001B5CF6" w:rsidP="001B5CF6">
      <w:pPr>
        <w:spacing w:after="0" w:line="240" w:lineRule="auto"/>
        <w:ind w:left="2340"/>
        <w:jc w:val="both"/>
        <w:rPr>
          <w:noProof/>
        </w:rPr>
      </w:pPr>
    </w:p>
    <w:p w14:paraId="398FC39F" w14:textId="77777777" w:rsidR="00B84D00" w:rsidRDefault="00B84D00" w:rsidP="001B5CF6">
      <w:pPr>
        <w:spacing w:after="0" w:line="240" w:lineRule="auto"/>
        <w:ind w:left="2340"/>
        <w:jc w:val="both"/>
        <w:rPr>
          <w:noProof/>
        </w:rPr>
      </w:pPr>
    </w:p>
    <w:p w14:paraId="28CEA12E" w14:textId="362FDBE4" w:rsidR="00B84D00" w:rsidRDefault="00B84D00" w:rsidP="00B84D00">
      <w:pPr>
        <w:spacing w:after="0" w:line="240" w:lineRule="auto"/>
        <w:ind w:left="1276" w:right="900"/>
        <w:jc w:val="center"/>
        <w:rPr>
          <w:noProof/>
        </w:rPr>
      </w:pPr>
      <w:r>
        <w:rPr>
          <w:noProof/>
        </w:rPr>
        <w:drawing>
          <wp:inline distT="0" distB="0" distL="0" distR="0" wp14:anchorId="5209CA86" wp14:editId="4B5AC246">
            <wp:extent cx="3088005" cy="1325627"/>
            <wp:effectExtent l="0" t="0" r="0" b="8255"/>
            <wp:docPr id="8621646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97505" cy="1329705"/>
                    </a:xfrm>
                    <a:prstGeom prst="rect">
                      <a:avLst/>
                    </a:prstGeom>
                    <a:noFill/>
                    <a:ln>
                      <a:noFill/>
                    </a:ln>
                  </pic:spPr>
                </pic:pic>
              </a:graphicData>
            </a:graphic>
          </wp:inline>
        </w:drawing>
      </w:r>
    </w:p>
    <w:p w14:paraId="117F513B" w14:textId="77777777" w:rsidR="00B84D00" w:rsidRDefault="00B84D00" w:rsidP="001B5CF6">
      <w:pPr>
        <w:spacing w:after="0" w:line="240" w:lineRule="auto"/>
        <w:ind w:left="2340"/>
        <w:jc w:val="both"/>
        <w:rPr>
          <w:noProof/>
        </w:rPr>
      </w:pPr>
    </w:p>
    <w:p w14:paraId="5102E324" w14:textId="77777777" w:rsidR="00B84D00" w:rsidRDefault="00B84D00" w:rsidP="001B5CF6">
      <w:pPr>
        <w:spacing w:after="0" w:line="240" w:lineRule="auto"/>
        <w:ind w:left="2340"/>
        <w:jc w:val="both"/>
        <w:rPr>
          <w:noProof/>
        </w:rPr>
      </w:pPr>
    </w:p>
    <w:p w14:paraId="4132FAC8" w14:textId="77777777" w:rsidR="00B84D00" w:rsidRDefault="00B84D00" w:rsidP="001B5CF6">
      <w:pPr>
        <w:spacing w:after="0" w:line="240" w:lineRule="auto"/>
        <w:ind w:left="2340"/>
        <w:jc w:val="both"/>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1B5CF6" w14:paraId="7A0A0F25" w14:textId="77777777" w:rsidTr="00093A20">
        <w:trPr>
          <w:trHeight w:val="307"/>
        </w:trPr>
        <w:tc>
          <w:tcPr>
            <w:tcW w:w="858" w:type="dxa"/>
            <w:tcBorders>
              <w:top w:val="nil"/>
              <w:bottom w:val="nil"/>
              <w:right w:val="nil"/>
            </w:tcBorders>
            <w:tcMar>
              <w:left w:w="108" w:type="dxa"/>
              <w:right w:w="108" w:type="dxa"/>
            </w:tcMar>
            <w:vAlign w:val="center"/>
          </w:tcPr>
          <w:p w14:paraId="4714FF24" w14:textId="77777777" w:rsidR="001B5CF6" w:rsidRDefault="001B5CF6" w:rsidP="00093A20">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0B8CDC9A" w14:textId="77777777" w:rsidR="001B5CF6" w:rsidRDefault="001B5CF6" w:rsidP="00093A20">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35F7AF3A" w14:textId="77777777" w:rsidR="001B5CF6" w:rsidRDefault="001B5CF6" w:rsidP="00093A20">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1B5CF6" w14:paraId="32C306FE" w14:textId="77777777" w:rsidTr="00093A20">
        <w:trPr>
          <w:trHeight w:val="321"/>
        </w:trPr>
        <w:tc>
          <w:tcPr>
            <w:tcW w:w="858" w:type="dxa"/>
            <w:tcBorders>
              <w:top w:val="nil"/>
              <w:bottom w:val="nil"/>
              <w:right w:val="nil"/>
            </w:tcBorders>
            <w:tcMar>
              <w:left w:w="108" w:type="dxa"/>
              <w:right w:w="108" w:type="dxa"/>
            </w:tcMar>
            <w:vAlign w:val="center"/>
          </w:tcPr>
          <w:p w14:paraId="6EF3FECB" w14:textId="77777777" w:rsidR="001B5CF6" w:rsidRDefault="001B5CF6" w:rsidP="00093A20">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lastRenderedPageBreak/>
              <w:t>Revisó:</w:t>
            </w:r>
          </w:p>
        </w:tc>
        <w:tc>
          <w:tcPr>
            <w:tcW w:w="4727" w:type="dxa"/>
            <w:tcBorders>
              <w:left w:val="nil"/>
            </w:tcBorders>
            <w:tcMar>
              <w:left w:w="108" w:type="dxa"/>
              <w:right w:w="108" w:type="dxa"/>
            </w:tcMar>
            <w:vAlign w:val="center"/>
          </w:tcPr>
          <w:p w14:paraId="2182916F" w14:textId="77777777" w:rsidR="001B5CF6" w:rsidRDefault="001B5CF6" w:rsidP="00093A20">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Juan David Cárdenas Cabeza</w:t>
            </w:r>
          </w:p>
          <w:p w14:paraId="29120127" w14:textId="77777777" w:rsidR="001B5CF6" w:rsidRDefault="001B5CF6" w:rsidP="00093A20">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Contratista</w:t>
            </w:r>
            <w:r w:rsidRPr="39124533">
              <w:rPr>
                <w:rFonts w:ascii="Verdana" w:eastAsia="Verdana" w:hAnsi="Verdana" w:cs="Verdana"/>
                <w:color w:val="000000" w:themeColor="text1"/>
                <w:sz w:val="16"/>
                <w:szCs w:val="16"/>
              </w:rPr>
              <w:t xml:space="preserve"> de la Subdirección de Gestión Contractual</w:t>
            </w:r>
          </w:p>
        </w:tc>
      </w:tr>
      <w:tr w:rsidR="001B5CF6" w14:paraId="58A91897" w14:textId="77777777" w:rsidTr="00093A20">
        <w:trPr>
          <w:trHeight w:val="292"/>
        </w:trPr>
        <w:tc>
          <w:tcPr>
            <w:tcW w:w="858" w:type="dxa"/>
            <w:tcBorders>
              <w:top w:val="nil"/>
              <w:bottom w:val="nil"/>
              <w:right w:val="nil"/>
            </w:tcBorders>
            <w:tcMar>
              <w:left w:w="108" w:type="dxa"/>
              <w:right w:w="108" w:type="dxa"/>
            </w:tcMar>
            <w:vAlign w:val="center"/>
          </w:tcPr>
          <w:p w14:paraId="7EEFFF3C" w14:textId="77777777" w:rsidR="001B5CF6" w:rsidRDefault="001B5CF6" w:rsidP="00093A20">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581F8D24" w14:textId="77777777" w:rsidR="001B5CF6" w:rsidRDefault="001B5CF6" w:rsidP="00093A20">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lang w:val="pt-BR"/>
              </w:rPr>
              <w:t xml:space="preserve">Carolina Quintero </w:t>
            </w:r>
            <w:proofErr w:type="spellStart"/>
            <w:r w:rsidRPr="40A87941">
              <w:rPr>
                <w:rFonts w:ascii="Verdana" w:eastAsia="Verdana" w:hAnsi="Verdana" w:cs="Verdana"/>
                <w:color w:val="000000" w:themeColor="text1"/>
                <w:sz w:val="16"/>
                <w:szCs w:val="16"/>
                <w:lang w:val="pt-BR"/>
              </w:rPr>
              <w:t>Gacharná</w:t>
            </w:r>
            <w:proofErr w:type="spellEnd"/>
          </w:p>
          <w:p w14:paraId="4D769118" w14:textId="77777777" w:rsidR="001B5CF6" w:rsidRDefault="001B5CF6" w:rsidP="00093A20">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Subdirectora</w:t>
            </w:r>
            <w:r w:rsidRPr="40A87941">
              <w:rPr>
                <w:rFonts w:ascii="Verdana" w:eastAsia="Verdana" w:hAnsi="Verdana" w:cs="Verdana"/>
                <w:color w:val="000000" w:themeColor="text1"/>
                <w:sz w:val="16"/>
                <w:szCs w:val="16"/>
                <w:lang w:val="pt-BR"/>
              </w:rPr>
              <w:t xml:space="preserve"> de Gestión </w:t>
            </w:r>
            <w:proofErr w:type="spellStart"/>
            <w:r w:rsidRPr="40A87941">
              <w:rPr>
                <w:rFonts w:ascii="Verdana" w:eastAsia="Verdana" w:hAnsi="Verdana" w:cs="Verdana"/>
                <w:color w:val="000000" w:themeColor="text1"/>
                <w:sz w:val="16"/>
                <w:szCs w:val="16"/>
                <w:lang w:val="pt-BR"/>
              </w:rPr>
              <w:t>Contractual</w:t>
            </w:r>
            <w:proofErr w:type="spellEnd"/>
            <w:r w:rsidRPr="40A87941">
              <w:rPr>
                <w:rFonts w:ascii="Verdana" w:eastAsia="Verdana" w:hAnsi="Verdana" w:cs="Verdana"/>
                <w:color w:val="000000" w:themeColor="text1"/>
                <w:sz w:val="16"/>
                <w:szCs w:val="16"/>
                <w:lang w:val="pt-BR"/>
              </w:rPr>
              <w:t xml:space="preserve"> ANCP – CCE</w:t>
            </w:r>
          </w:p>
        </w:tc>
      </w:tr>
    </w:tbl>
    <w:p w14:paraId="6A212EA5" w14:textId="77777777" w:rsidR="001B5CF6" w:rsidRDefault="001B5CF6" w:rsidP="001B5CF6">
      <w:pPr>
        <w:spacing w:line="240" w:lineRule="auto"/>
        <w:jc w:val="both"/>
        <w:textAlignment w:val="baseline"/>
        <w:rPr>
          <w:rFonts w:ascii="Verdana" w:eastAsia="Calibri" w:hAnsi="Verdana" w:cs="Calibri"/>
          <w:sz w:val="16"/>
          <w:szCs w:val="16"/>
          <w:lang w:val="es"/>
        </w:rPr>
      </w:pPr>
    </w:p>
    <w:p w14:paraId="7C9026E2" w14:textId="10E7BA8D" w:rsidR="002A0DD0" w:rsidRPr="001B5CF6" w:rsidRDefault="001B5CF6" w:rsidP="001B5CF6">
      <w:pPr>
        <w:spacing w:line="240" w:lineRule="auto"/>
        <w:ind w:left="142"/>
        <w:jc w:val="both"/>
        <w:textAlignment w:val="baseline"/>
        <w:rPr>
          <w:rFonts w:ascii="Verdana" w:eastAsia="Calibri" w:hAnsi="Verdana" w:cs="Calibri"/>
          <w:sz w:val="16"/>
          <w:szCs w:val="16"/>
          <w:lang w:val="es-ES"/>
        </w:rPr>
      </w:pPr>
      <w:r w:rsidRPr="000E1832">
        <w:rPr>
          <w:rFonts w:ascii="Verdana" w:eastAsia="Calibri" w:hAnsi="Verdana" w:cs="Calibri"/>
          <w:sz w:val="16"/>
          <w:szCs w:val="16"/>
          <w:lang w:val="es"/>
        </w:rPr>
        <w:t xml:space="preserve">Anexo: </w:t>
      </w:r>
      <w:r>
        <w:rPr>
          <w:rFonts w:ascii="Verdana" w:eastAsia="Calibri" w:hAnsi="Verdana" w:cs="Calibri"/>
          <w:sz w:val="16"/>
          <w:szCs w:val="16"/>
          <w:lang w:val="es"/>
        </w:rPr>
        <w:t>O</w:t>
      </w:r>
      <w:r w:rsidRPr="000E1832">
        <w:rPr>
          <w:rFonts w:ascii="Verdana" w:eastAsia="Calibri" w:hAnsi="Verdana" w:cs="Calibri"/>
          <w:sz w:val="16"/>
          <w:szCs w:val="16"/>
          <w:lang w:val="es"/>
        </w:rPr>
        <w:t>ficio de fecha 09 de septiembre remitido a esta Subdirección Contractual por la Subdirección de Información y Desarrollo Tecnológico</w:t>
      </w:r>
      <w:r>
        <w:rPr>
          <w:rFonts w:ascii="Verdana" w:eastAsia="Calibri" w:hAnsi="Verdana" w:cs="Calibri"/>
          <w:sz w:val="16"/>
          <w:szCs w:val="16"/>
          <w:lang w:val="es"/>
        </w:rPr>
        <w:t>.</w:t>
      </w: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5DB5A849"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31568" w14:textId="77777777" w:rsidR="00C601AA" w:rsidRDefault="00C601AA" w:rsidP="004A1847">
      <w:pPr>
        <w:spacing w:after="0" w:line="240" w:lineRule="auto"/>
      </w:pPr>
      <w:r>
        <w:separator/>
      </w:r>
    </w:p>
  </w:endnote>
  <w:endnote w:type="continuationSeparator" w:id="0">
    <w:p w14:paraId="71D0CF9C" w14:textId="77777777" w:rsidR="00C601AA" w:rsidRDefault="00C601A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1EA6B" w14:textId="77777777" w:rsidR="00C601AA" w:rsidRDefault="00C601AA" w:rsidP="004A1847">
      <w:pPr>
        <w:spacing w:after="0" w:line="240" w:lineRule="auto"/>
      </w:pPr>
      <w:r>
        <w:separator/>
      </w:r>
    </w:p>
  </w:footnote>
  <w:footnote w:type="continuationSeparator" w:id="0">
    <w:p w14:paraId="4EE26CA7" w14:textId="77777777" w:rsidR="00C601AA" w:rsidRDefault="00C601AA" w:rsidP="004A1847">
      <w:pPr>
        <w:spacing w:after="0" w:line="240" w:lineRule="auto"/>
      </w:pPr>
      <w:r>
        <w:continuationSeparator/>
      </w:r>
    </w:p>
  </w:footnote>
  <w:footnote w:id="1">
    <w:p w14:paraId="1A26E218" w14:textId="77777777" w:rsidR="001B5CF6" w:rsidRPr="009B1CE9" w:rsidRDefault="001B5CF6" w:rsidP="001B5CF6">
      <w:pPr>
        <w:pStyle w:val="Textonotapie"/>
        <w:ind w:firstLine="709"/>
        <w:jc w:val="both"/>
        <w:rPr>
          <w:rFonts w:ascii="Verdana" w:hAnsi="Verdana" w:cs="Arial"/>
          <w:color w:val="000000" w:themeColor="text1"/>
          <w:sz w:val="16"/>
          <w:szCs w:val="16"/>
        </w:rPr>
      </w:pPr>
      <w:r w:rsidRPr="009B1CE9">
        <w:rPr>
          <w:rStyle w:val="Refdenotaalpie"/>
          <w:rFonts w:ascii="Verdana" w:hAnsi="Verdana"/>
          <w:sz w:val="16"/>
          <w:szCs w:val="16"/>
        </w:rPr>
        <w:footnoteRef/>
      </w:r>
      <w:r w:rsidRPr="009B1CE9">
        <w:rPr>
          <w:rFonts w:ascii="Verdana" w:hAnsi="Verdana"/>
          <w:sz w:val="16"/>
          <w:szCs w:val="16"/>
        </w:rPr>
        <w:t xml:space="preserve"> </w:t>
      </w:r>
      <w:r w:rsidRPr="009B1CE9">
        <w:rPr>
          <w:rFonts w:ascii="Verdana" w:hAnsi="Verdana" w:cs="Arial"/>
          <w:color w:val="000000" w:themeColor="text1"/>
          <w:sz w:val="16"/>
          <w:szCs w:val="16"/>
        </w:rPr>
        <w:t>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0BC7ED8" w14:textId="77777777" w:rsidR="001B5CF6" w:rsidRPr="009B1CE9" w:rsidRDefault="001B5CF6" w:rsidP="001B5CF6">
      <w:pPr>
        <w:pStyle w:val="Textonotapie"/>
        <w:ind w:firstLine="709"/>
        <w:jc w:val="both"/>
        <w:rPr>
          <w:rFonts w:ascii="Verdana" w:hAnsi="Verdana" w:cs="Arial"/>
          <w:color w:val="000000" w:themeColor="text1"/>
          <w:sz w:val="16"/>
          <w:szCs w:val="16"/>
        </w:rPr>
      </w:pPr>
      <w:r w:rsidRPr="009B1CE9">
        <w:rPr>
          <w:rFonts w:ascii="Verdana" w:hAnsi="Verdana" w:cs="Arial"/>
          <w:color w:val="000000" w:themeColor="text1"/>
          <w:sz w:val="16"/>
          <w:szCs w:val="16"/>
        </w:rPr>
        <w:t>Lo anterior, sin perjuicio de las publicaciones previstas en el numeral 3 del artículo 30 de la Ley 80 de 1993.</w:t>
      </w:r>
    </w:p>
    <w:p w14:paraId="3A5B134A" w14:textId="77777777" w:rsidR="001B5CF6" w:rsidRPr="009B1CE9" w:rsidRDefault="001B5CF6" w:rsidP="001B5CF6">
      <w:pPr>
        <w:pStyle w:val="Textonotapie"/>
        <w:ind w:firstLine="709"/>
        <w:jc w:val="both"/>
        <w:rPr>
          <w:rFonts w:ascii="Verdana" w:hAnsi="Verdana" w:cs="Arial"/>
          <w:color w:val="000000" w:themeColor="text1"/>
          <w:sz w:val="16"/>
          <w:szCs w:val="16"/>
        </w:rPr>
      </w:pPr>
      <w:r w:rsidRPr="009B1CE9">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52FFCA29" w14:textId="77777777" w:rsidR="001B5CF6" w:rsidRPr="009B1CE9" w:rsidRDefault="001B5CF6" w:rsidP="001B5CF6">
      <w:pPr>
        <w:pStyle w:val="Textonotapie"/>
        <w:ind w:firstLine="709"/>
        <w:jc w:val="both"/>
        <w:rPr>
          <w:rFonts w:ascii="Verdana" w:hAnsi="Verdana" w:cs="Arial"/>
          <w:color w:val="000000" w:themeColor="text1"/>
          <w:sz w:val="16"/>
          <w:szCs w:val="16"/>
        </w:rPr>
      </w:pPr>
      <w:r w:rsidRPr="009B1CE9">
        <w:rPr>
          <w:rFonts w:ascii="Verdana" w:hAnsi="Verdana" w:cs="Arial"/>
          <w:color w:val="000000" w:themeColor="text1"/>
          <w:sz w:val="16"/>
          <w:szCs w:val="16"/>
        </w:rPr>
        <w:t>[…]</w:t>
      </w:r>
    </w:p>
    <w:p w14:paraId="39FB5D4A" w14:textId="77777777" w:rsidR="001B5CF6" w:rsidRPr="009B1CE9" w:rsidRDefault="001B5CF6" w:rsidP="001B5CF6">
      <w:pPr>
        <w:pStyle w:val="Textonotapie"/>
        <w:ind w:firstLine="709"/>
        <w:jc w:val="both"/>
        <w:rPr>
          <w:rFonts w:ascii="Verdana" w:hAnsi="Verdana" w:cs="Arial"/>
          <w:color w:val="000000" w:themeColor="text1"/>
          <w:sz w:val="16"/>
          <w:szCs w:val="16"/>
        </w:rPr>
      </w:pPr>
      <w:r w:rsidRPr="009B1CE9">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7B36A3EA" w14:textId="77777777" w:rsidR="001B5CF6" w:rsidRPr="009B1CE9" w:rsidRDefault="001B5CF6" w:rsidP="001B5CF6">
      <w:pPr>
        <w:pStyle w:val="Textonotapie"/>
        <w:rPr>
          <w:rFonts w:ascii="Verdana" w:hAnsi="Verdana"/>
          <w:sz w:val="16"/>
          <w:szCs w:val="16"/>
        </w:rPr>
      </w:pPr>
    </w:p>
  </w:footnote>
  <w:footnote w:id="2">
    <w:p w14:paraId="7A3B4582" w14:textId="77777777" w:rsidR="001B5CF6" w:rsidRPr="000A3117" w:rsidRDefault="001B5CF6" w:rsidP="001B5CF6">
      <w:pPr>
        <w:pStyle w:val="Textonotapie"/>
        <w:ind w:firstLine="709"/>
        <w:jc w:val="both"/>
        <w:rPr>
          <w:rFonts w:ascii="Verdana" w:hAnsi="Verdana" w:cs="Arial"/>
          <w:color w:val="000000" w:themeColor="text1"/>
          <w:sz w:val="16"/>
          <w:szCs w:val="16"/>
        </w:rPr>
      </w:pPr>
      <w:r w:rsidRPr="0039679F">
        <w:rPr>
          <w:rStyle w:val="Refdenotaalpie"/>
          <w:rFonts w:ascii="Verdana" w:hAnsi="Verdana"/>
          <w:sz w:val="16"/>
          <w:szCs w:val="16"/>
        </w:rPr>
        <w:footnoteRef/>
      </w:r>
      <w:r w:rsidRPr="0039679F">
        <w:rPr>
          <w:rFonts w:ascii="Verdana" w:hAnsi="Verdana"/>
          <w:sz w:val="16"/>
          <w:szCs w:val="16"/>
        </w:rPr>
        <w:t xml:space="preserve"> </w:t>
      </w:r>
      <w:r w:rsidRPr="000A3117">
        <w:rPr>
          <w:rFonts w:ascii="Verdana" w:hAnsi="Verdana" w:cs="Arial"/>
          <w:color w:val="000000" w:themeColor="text1"/>
          <w:sz w:val="16"/>
          <w:szCs w:val="16"/>
        </w:rPr>
        <w:t>Ley 1712 de 2014: “Artículo 2. Toda información en posesión, bajo control o custodia de un sujeto obligado es pública y no podrá ser reservada o limitada sino por disposición constitucional o legal, de conformidad con la presente ley”.</w:t>
      </w:r>
    </w:p>
    <w:p w14:paraId="4EE69605" w14:textId="77777777" w:rsidR="001B5CF6" w:rsidRPr="0039679F" w:rsidRDefault="001B5CF6" w:rsidP="001B5CF6">
      <w:pPr>
        <w:pStyle w:val="Textonotapie"/>
      </w:pPr>
    </w:p>
  </w:footnote>
  <w:footnote w:id="3">
    <w:p w14:paraId="7F161927" w14:textId="77777777" w:rsidR="001B5CF6" w:rsidRDefault="001B5CF6" w:rsidP="001B5CF6">
      <w:pPr>
        <w:pStyle w:val="Textonotapie"/>
        <w:ind w:firstLine="709"/>
        <w:rPr>
          <w:rFonts w:ascii="Verdana" w:hAnsi="Verdana" w:cs="Arial"/>
          <w:color w:val="000000" w:themeColor="text1"/>
          <w:sz w:val="16"/>
          <w:szCs w:val="16"/>
        </w:rPr>
      </w:pPr>
      <w:r w:rsidRPr="00970109">
        <w:rPr>
          <w:rStyle w:val="Refdenotaalpie"/>
          <w:rFonts w:ascii="Verdana" w:hAnsi="Verdana"/>
          <w:sz w:val="16"/>
          <w:szCs w:val="16"/>
        </w:rPr>
        <w:footnoteRef/>
      </w:r>
      <w:r w:rsidRPr="00970109">
        <w:rPr>
          <w:rFonts w:ascii="Verdana" w:hAnsi="Verdana"/>
          <w:sz w:val="16"/>
          <w:szCs w:val="16"/>
        </w:rPr>
        <w:t xml:space="preserve"> </w:t>
      </w:r>
      <w:r w:rsidRPr="00970109">
        <w:rPr>
          <w:rFonts w:ascii="Verdana" w:hAnsi="Verdana" w:cs="Arial"/>
          <w:color w:val="000000" w:themeColor="text1"/>
          <w:sz w:val="16"/>
          <w:szCs w:val="16"/>
        </w:rPr>
        <w:t>Ley 1712 de 2014: “Artículo 5. Ámbito de aplicación. Las disposiciones de esta ley serán aplicables a las siguientes personas en calidad de sujetos obligados:</w:t>
      </w:r>
    </w:p>
    <w:p w14:paraId="0DCFD71F" w14:textId="77777777" w:rsidR="001B5CF6" w:rsidRPr="000A3117" w:rsidRDefault="001B5CF6" w:rsidP="001B5CF6">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97C6DBD" w14:textId="77777777" w:rsidR="001B5CF6" w:rsidRPr="00D00089" w:rsidRDefault="001B5CF6" w:rsidP="001B5CF6">
      <w:pPr>
        <w:pStyle w:val="Textonotapie"/>
        <w:rPr>
          <w:rFonts w:ascii="Verdana" w:hAnsi="Verdana"/>
          <w:sz w:val="16"/>
          <w:szCs w:val="16"/>
        </w:rPr>
      </w:pPr>
    </w:p>
  </w:footnote>
  <w:footnote w:id="4">
    <w:p w14:paraId="358AF5AE" w14:textId="77777777" w:rsidR="001B5CF6" w:rsidRPr="000A3117" w:rsidRDefault="001B5CF6" w:rsidP="001B5CF6">
      <w:pPr>
        <w:pStyle w:val="Textonotapie"/>
        <w:ind w:firstLine="709"/>
        <w:jc w:val="both"/>
        <w:rPr>
          <w:rFonts w:ascii="Verdana" w:hAnsi="Verdana" w:cs="Arial"/>
          <w:color w:val="000000"/>
          <w:sz w:val="16"/>
          <w:szCs w:val="16"/>
        </w:rPr>
      </w:pPr>
      <w:r>
        <w:rPr>
          <w:rStyle w:val="Refdenotaalpie"/>
        </w:rPr>
        <w:footnoteRef/>
      </w:r>
      <w:r>
        <w:t xml:space="preserve"> </w:t>
      </w:r>
      <w:r w:rsidRPr="000A3117">
        <w:rPr>
          <w:rFonts w:ascii="Verdana" w:eastAsia="Times New Roman" w:hAnsi="Verdana" w:cs="Arial"/>
          <w:color w:val="000000"/>
          <w:sz w:val="16"/>
          <w:szCs w:val="16"/>
          <w:lang w:val="es-ES" w:eastAsia="es-ES"/>
        </w:rPr>
        <w:t>“</w:t>
      </w:r>
      <w:r w:rsidRPr="000A3117">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EFFDE2B" w14:textId="77777777" w:rsidR="001B5CF6" w:rsidRPr="000A3117" w:rsidRDefault="001B5CF6" w:rsidP="001B5CF6">
      <w:pPr>
        <w:pStyle w:val="Textonotapie"/>
        <w:ind w:firstLine="709"/>
        <w:jc w:val="both"/>
        <w:rPr>
          <w:rFonts w:ascii="Verdana" w:eastAsia="Times New Roman" w:hAnsi="Verdana" w:cs="Arial"/>
          <w:color w:val="000000"/>
          <w:sz w:val="16"/>
          <w:szCs w:val="16"/>
          <w:lang w:val="es-ES" w:eastAsia="es-ES"/>
        </w:rPr>
      </w:pPr>
      <w:r w:rsidRPr="000A3117">
        <w:rPr>
          <w:rFonts w:ascii="Verdana" w:hAnsi="Verdana" w:cs="Arial"/>
          <w:color w:val="000000"/>
          <w:sz w:val="16"/>
          <w:szCs w:val="16"/>
        </w:rPr>
        <w:t>[…].</w:t>
      </w:r>
    </w:p>
    <w:p w14:paraId="28FAD5D0" w14:textId="77777777" w:rsidR="001B5CF6" w:rsidRDefault="001B5CF6" w:rsidP="001B5CF6">
      <w:pPr>
        <w:pStyle w:val="Textonotapie"/>
        <w:ind w:firstLine="709"/>
        <w:jc w:val="both"/>
        <w:rPr>
          <w:rFonts w:ascii="Verdana" w:eastAsia="Times New Roman" w:hAnsi="Verdana" w:cs="Arial"/>
          <w:color w:val="000000"/>
          <w:sz w:val="16"/>
          <w:szCs w:val="16"/>
          <w:lang w:val="es-ES" w:eastAsia="es-ES"/>
        </w:rPr>
      </w:pPr>
      <w:r w:rsidRPr="000A3117">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39E95D43" w14:textId="77777777" w:rsidR="001B5CF6" w:rsidRDefault="001B5CF6" w:rsidP="001B5CF6">
      <w:pPr>
        <w:pStyle w:val="Textonotapie"/>
        <w:ind w:firstLine="709"/>
        <w:jc w:val="both"/>
        <w:rPr>
          <w:rFonts w:ascii="Verdana" w:eastAsia="Times New Roman" w:hAnsi="Verdana" w:cs="Arial"/>
          <w:color w:val="000000"/>
          <w:sz w:val="16"/>
          <w:szCs w:val="16"/>
          <w:lang w:val="es-ES" w:eastAsia="es-ES"/>
        </w:rPr>
      </w:pPr>
    </w:p>
    <w:p w14:paraId="48AB9EDE" w14:textId="77777777" w:rsidR="001B5CF6" w:rsidRPr="00312BB7" w:rsidRDefault="001B5CF6" w:rsidP="001B5CF6">
      <w:pPr>
        <w:pStyle w:val="Textonotapie"/>
        <w:ind w:firstLine="709"/>
        <w:jc w:val="both"/>
        <w:rPr>
          <w:lang w:val="es-ES"/>
        </w:rPr>
      </w:pPr>
    </w:p>
  </w:footnote>
  <w:footnote w:id="5">
    <w:p w14:paraId="7AFA8815" w14:textId="77777777" w:rsidR="001B5CF6" w:rsidRPr="000A3117" w:rsidRDefault="001B5CF6" w:rsidP="001B5CF6">
      <w:pPr>
        <w:pStyle w:val="Textonotapie"/>
        <w:ind w:firstLine="709"/>
        <w:jc w:val="both"/>
        <w:rPr>
          <w:rFonts w:ascii="Verdana" w:hAnsi="Verdana" w:cs="Arial"/>
          <w:color w:val="000000"/>
          <w:sz w:val="16"/>
          <w:szCs w:val="16"/>
        </w:rPr>
      </w:pPr>
      <w:r>
        <w:rPr>
          <w:rStyle w:val="Refdenotaalpie"/>
        </w:rPr>
        <w:footnoteRef/>
      </w:r>
      <w:r>
        <w:t xml:space="preserve"> </w:t>
      </w:r>
      <w:r>
        <w:rPr>
          <w:rFonts w:ascii="Verdana" w:hAnsi="Verdana" w:cs="Arial"/>
          <w:color w:val="000000"/>
          <w:sz w:val="16"/>
          <w:szCs w:val="16"/>
        </w:rPr>
        <w:t>Corte</w:t>
      </w:r>
      <w:r w:rsidRPr="000A3117">
        <w:rPr>
          <w:rFonts w:ascii="Verdana" w:eastAsia="Times New Roman" w:hAnsi="Verdana" w:cs="Arial"/>
          <w:color w:val="000000"/>
          <w:sz w:val="16"/>
          <w:szCs w:val="16"/>
          <w:lang w:val="es-ES" w:eastAsia="es-ES"/>
        </w:rPr>
        <w:t xml:space="preserve"> Constitucional. Sentencia C‒274 de 9 de mayo de 2013. M.P. Mar</w:t>
      </w:r>
      <w:r w:rsidRPr="000A3117">
        <w:rPr>
          <w:rFonts w:ascii="Verdana" w:eastAsia="Times New Roman" w:hAnsi="Verdana" w:cs="Century Gothic"/>
          <w:color w:val="000000"/>
          <w:sz w:val="16"/>
          <w:szCs w:val="16"/>
          <w:lang w:val="es-ES" w:eastAsia="es-ES"/>
        </w:rPr>
        <w:t>í</w:t>
      </w:r>
      <w:r w:rsidRPr="000A3117">
        <w:rPr>
          <w:rFonts w:ascii="Verdana" w:eastAsia="Times New Roman" w:hAnsi="Verdana" w:cs="Arial"/>
          <w:color w:val="000000"/>
          <w:sz w:val="16"/>
          <w:szCs w:val="16"/>
          <w:lang w:val="es-ES" w:eastAsia="es-ES"/>
        </w:rPr>
        <w:t xml:space="preserve">a Victoria Calle Correa. </w:t>
      </w:r>
    </w:p>
    <w:p w14:paraId="78437ADF" w14:textId="77777777" w:rsidR="001B5CF6" w:rsidRPr="000A3117" w:rsidRDefault="001B5CF6" w:rsidP="001B5CF6">
      <w:pPr>
        <w:pStyle w:val="Textonotapie"/>
        <w:ind w:firstLine="709"/>
        <w:jc w:val="both"/>
        <w:rPr>
          <w:rFonts w:ascii="Verdana" w:hAnsi="Verdana" w:cs="Arial"/>
          <w:color w:val="000000"/>
          <w:sz w:val="16"/>
          <w:szCs w:val="16"/>
          <w:lang w:val="es-CO"/>
        </w:rPr>
      </w:pPr>
    </w:p>
    <w:p w14:paraId="4FCDB6EB" w14:textId="77777777" w:rsidR="001B5CF6" w:rsidRPr="001432E7" w:rsidRDefault="001B5CF6" w:rsidP="001B5CF6">
      <w:pPr>
        <w:pStyle w:val="Textonotapie"/>
        <w:rPr>
          <w:lang w:val="es-CO"/>
        </w:rPr>
      </w:pPr>
    </w:p>
  </w:footnote>
  <w:footnote w:id="6">
    <w:p w14:paraId="21EF4398" w14:textId="77777777" w:rsidR="001B5CF6" w:rsidRPr="00952BE7" w:rsidRDefault="001B5CF6" w:rsidP="001B5CF6">
      <w:pPr>
        <w:pStyle w:val="Textonotapie"/>
        <w:ind w:firstLine="708"/>
        <w:rPr>
          <w:rFonts w:ascii="Verdana" w:hAnsi="Verdana"/>
          <w:sz w:val="16"/>
          <w:szCs w:val="16"/>
          <w:lang w:val="es-CO"/>
        </w:rPr>
      </w:pPr>
      <w:r w:rsidRPr="00952BE7">
        <w:rPr>
          <w:rStyle w:val="Refdenotaalpie"/>
          <w:rFonts w:ascii="Verdana" w:hAnsi="Verdana"/>
          <w:sz w:val="16"/>
          <w:szCs w:val="16"/>
        </w:rPr>
        <w:footnoteRef/>
      </w:r>
      <w:r w:rsidRPr="00952BE7">
        <w:rPr>
          <w:rFonts w:ascii="Verdana" w:hAnsi="Verdana"/>
          <w:sz w:val="16"/>
          <w:szCs w:val="16"/>
        </w:rPr>
        <w:t xml:space="preserve"> </w:t>
      </w:r>
      <w:r w:rsidRPr="00952BE7">
        <w:rPr>
          <w:rFonts w:ascii="Verdana" w:hAnsi="Verdana" w:cs="Arial"/>
          <w:color w:val="000000"/>
          <w:sz w:val="16"/>
          <w:szCs w:val="16"/>
        </w:rPr>
        <w:t>Decreto 4170 de 2011: “Artículo 3. Funciones: La Agencia Nacional de Contratación Pública –Colombia Compra Eficiente– ejercerá las siguientes funciones: [...]</w:t>
      </w:r>
    </w:p>
  </w:footnote>
  <w:footnote w:id="7">
    <w:p w14:paraId="7300D91C" w14:textId="77777777" w:rsidR="001B5CF6" w:rsidRPr="000A3117" w:rsidRDefault="001B5CF6" w:rsidP="001B5CF6">
      <w:pPr>
        <w:pStyle w:val="Textonotapie"/>
        <w:ind w:firstLine="708"/>
        <w:contextualSpacing/>
        <w:jc w:val="both"/>
        <w:rPr>
          <w:rFonts w:ascii="Verdana" w:hAnsi="Verdana" w:cs="Arial"/>
          <w:sz w:val="16"/>
          <w:szCs w:val="16"/>
        </w:rPr>
      </w:pPr>
      <w:r>
        <w:rPr>
          <w:rStyle w:val="Refdenotaalpie"/>
        </w:rPr>
        <w:footnoteRef/>
      </w:r>
      <w:r>
        <w:t xml:space="preserve"> </w:t>
      </w:r>
      <w:r w:rsidRPr="000A3117">
        <w:rPr>
          <w:rFonts w:ascii="Verdana" w:hAnsi="Verdana" w:cs="Arial"/>
          <w:sz w:val="16"/>
          <w:szCs w:val="16"/>
        </w:rPr>
        <w:t xml:space="preserve">Ley 1437 de 2011: “Artículo 24. Informaciones y documentos reservados. Solo tendrán carácter reservado las informaciones y documentos expresamente sometidos a reserva por la Constitución Política o la ley, y en especial:  </w:t>
      </w:r>
    </w:p>
    <w:p w14:paraId="0295FE89" w14:textId="77777777" w:rsidR="001B5CF6" w:rsidRPr="000A3117" w:rsidRDefault="001B5CF6" w:rsidP="001B5CF6">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1. Los relacionados con la defensa o seguridad nacionales.  </w:t>
      </w:r>
    </w:p>
    <w:p w14:paraId="4F528EE2" w14:textId="77777777" w:rsidR="001B5CF6" w:rsidRPr="000A3117" w:rsidRDefault="001B5CF6" w:rsidP="001B5CF6">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2. Las instrucciones en materia diplomática o sobre negociaciones reservadas.  </w:t>
      </w:r>
    </w:p>
    <w:p w14:paraId="2D404806" w14:textId="77777777" w:rsidR="001B5CF6" w:rsidRPr="000A3117" w:rsidRDefault="001B5CF6" w:rsidP="001B5CF6">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617E972" w14:textId="77777777" w:rsidR="001B5CF6" w:rsidRPr="000A3117" w:rsidRDefault="001B5CF6" w:rsidP="001B5CF6">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2E637708" w14:textId="77777777" w:rsidR="001B5CF6" w:rsidRPr="000A3117" w:rsidRDefault="001B5CF6" w:rsidP="001B5CF6">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5. Los datos referentes a la información financiera y comercial, en los términos de la Ley Estatutaria 1266 de 2008.  </w:t>
      </w:r>
    </w:p>
    <w:p w14:paraId="38DA45B9" w14:textId="77777777" w:rsidR="001B5CF6" w:rsidRPr="000A3117" w:rsidRDefault="001B5CF6" w:rsidP="001B5CF6">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6. Los protegidos por el secreto comercial o industrial, así como los planes estratégicos de las empresas públicas de servicios públicos.  </w:t>
      </w:r>
    </w:p>
    <w:p w14:paraId="28B19F8D" w14:textId="77777777" w:rsidR="001B5CF6" w:rsidRPr="000A3117" w:rsidRDefault="001B5CF6" w:rsidP="001B5CF6">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7. Los amparados por el secreto profesional.  </w:t>
      </w:r>
    </w:p>
    <w:p w14:paraId="4142B9CA" w14:textId="77777777" w:rsidR="001B5CF6" w:rsidRPr="000A3117" w:rsidRDefault="001B5CF6" w:rsidP="001B5CF6">
      <w:pPr>
        <w:pStyle w:val="Textonotapie"/>
        <w:ind w:firstLine="708"/>
        <w:contextualSpacing/>
        <w:jc w:val="both"/>
        <w:rPr>
          <w:rFonts w:ascii="Verdana" w:hAnsi="Verdana" w:cs="Arial"/>
          <w:sz w:val="16"/>
          <w:szCs w:val="16"/>
        </w:rPr>
      </w:pPr>
      <w:r w:rsidRPr="000A3117">
        <w:rPr>
          <w:rFonts w:ascii="Verdana" w:hAnsi="Verdana" w:cs="Arial"/>
          <w:sz w:val="16"/>
          <w:szCs w:val="16"/>
        </w:rPr>
        <w:t xml:space="preserve">8. Los datos genéticos humanos.  </w:t>
      </w:r>
    </w:p>
    <w:p w14:paraId="37DE64DB" w14:textId="77777777" w:rsidR="001B5CF6" w:rsidRDefault="001B5CF6" w:rsidP="001B5CF6">
      <w:pPr>
        <w:pStyle w:val="Textonotapie"/>
        <w:rPr>
          <w:rFonts w:ascii="Verdana" w:hAnsi="Verdana" w:cs="Arial"/>
          <w:sz w:val="16"/>
          <w:szCs w:val="16"/>
        </w:rPr>
      </w:pPr>
      <w:r w:rsidRPr="000A3117">
        <w:rPr>
          <w:rFonts w:ascii="Verdana" w:hAnsi="Verdana" w:cs="Arial"/>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69D003AB" w14:textId="77777777" w:rsidR="001B5CF6" w:rsidRPr="00CC35FC" w:rsidRDefault="001B5CF6" w:rsidP="001B5CF6">
      <w:pPr>
        <w:pStyle w:val="Textonotapie"/>
        <w:rPr>
          <w:lang w:val="es-CO"/>
        </w:rPr>
      </w:pPr>
    </w:p>
  </w:footnote>
  <w:footnote w:id="8">
    <w:p w14:paraId="6C29965A" w14:textId="77777777" w:rsidR="001B5CF6" w:rsidRPr="000A3117" w:rsidRDefault="001B5CF6" w:rsidP="001B5CF6">
      <w:pPr>
        <w:pStyle w:val="Textonotapie"/>
        <w:ind w:firstLine="709"/>
        <w:contextualSpacing/>
        <w:jc w:val="both"/>
        <w:rPr>
          <w:rFonts w:ascii="Verdana" w:hAnsi="Verdana" w:cs="Arial"/>
          <w:color w:val="000000"/>
          <w:sz w:val="16"/>
          <w:szCs w:val="16"/>
        </w:rPr>
      </w:pPr>
      <w:r w:rsidRPr="00DA3AAD">
        <w:rPr>
          <w:rStyle w:val="Refdenotaalpie"/>
          <w:rFonts w:ascii="Verdana" w:hAnsi="Verdana"/>
          <w:sz w:val="16"/>
          <w:szCs w:val="16"/>
        </w:rPr>
        <w:footnoteRef/>
      </w:r>
      <w:r w:rsidRPr="00DA3AAD">
        <w:rPr>
          <w:rFonts w:ascii="Verdana" w:hAnsi="Verdana"/>
          <w:sz w:val="16"/>
          <w:szCs w:val="16"/>
        </w:rPr>
        <w:t xml:space="preserve"> </w:t>
      </w:r>
      <w:r w:rsidRPr="00DA3AAD">
        <w:rPr>
          <w:rFonts w:ascii="Verdana" w:hAnsi="Verdana" w:cs="Arial"/>
          <w:color w:val="000000"/>
          <w:sz w:val="16"/>
          <w:szCs w:val="16"/>
        </w:rPr>
        <w:t xml:space="preserve"> “Numeral</w:t>
      </w:r>
      <w:r w:rsidRPr="000A3117">
        <w:rPr>
          <w:rFonts w:ascii="Verdana" w:hAnsi="Verdana" w:cs="Arial"/>
          <w:color w:val="000000"/>
          <w:sz w:val="16"/>
          <w:szCs w:val="16"/>
        </w:rPr>
        <w:t xml:space="preserve"> 1.1 Las Entidades Estatales de acuerdo con la definición del Decreto Reglamentario 1082 de 2015.  </w:t>
      </w:r>
    </w:p>
    <w:p w14:paraId="1279F5BB" w14:textId="77777777" w:rsidR="001B5CF6" w:rsidRPr="000A3117" w:rsidRDefault="001B5CF6" w:rsidP="001B5CF6">
      <w:pPr>
        <w:pStyle w:val="Textonotapie"/>
        <w:ind w:firstLine="709"/>
        <w:contextualSpacing/>
        <w:jc w:val="both"/>
        <w:rPr>
          <w:rFonts w:ascii="Verdana" w:hAnsi="Verdana" w:cs="Arial"/>
          <w:color w:val="000000"/>
          <w:sz w:val="16"/>
          <w:szCs w:val="16"/>
        </w:rPr>
      </w:pPr>
      <w:r w:rsidRPr="000A3117">
        <w:rPr>
          <w:rFonts w:ascii="Verdana" w:hAnsi="Verdana" w:cs="Arial"/>
          <w:color w:val="000000"/>
          <w:sz w:val="16"/>
          <w:szCs w:val="16"/>
        </w:rPr>
        <w:t xml:space="preserve">A partir del 18 de julio de 2022,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w:t>
      </w:r>
    </w:p>
    <w:p w14:paraId="6BD4C44C" w14:textId="77777777" w:rsidR="001B5CF6" w:rsidRPr="000A3117" w:rsidRDefault="001B5CF6" w:rsidP="001B5CF6">
      <w:pPr>
        <w:pStyle w:val="Textonotapie"/>
        <w:ind w:firstLine="709"/>
        <w:contextualSpacing/>
        <w:jc w:val="both"/>
        <w:rPr>
          <w:rFonts w:ascii="Verdana" w:hAnsi="Verdana" w:cs="Arial"/>
          <w:color w:val="000000"/>
          <w:sz w:val="16"/>
          <w:szCs w:val="16"/>
        </w:rPr>
      </w:pPr>
      <w:r w:rsidRPr="000A3117">
        <w:rPr>
          <w:rFonts w:ascii="Verdana" w:hAnsi="Verdana" w:cs="Arial"/>
          <w:color w:val="000000"/>
          <w:sz w:val="16"/>
          <w:szCs w:val="16"/>
        </w:rPr>
        <w:t>Los particulares deberán publicar la información oficial de la contratación realizada con cargo a recursos públicos. Estos deberán realizar la publicación a través del módulo “Régimen Especial”.</w:t>
      </w:r>
    </w:p>
    <w:p w14:paraId="5C7B8EBE" w14:textId="77777777" w:rsidR="001B5CF6" w:rsidRPr="00DA3AAD" w:rsidRDefault="001B5CF6" w:rsidP="001B5CF6">
      <w:pPr>
        <w:pStyle w:val="Textonotapie"/>
        <w:ind w:firstLine="708"/>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9039180">
    <w:abstractNumId w:val="5"/>
  </w:num>
  <w:num w:numId="2" w16cid:durableId="988627730">
    <w:abstractNumId w:val="1"/>
  </w:num>
  <w:num w:numId="3" w16cid:durableId="2119762776">
    <w:abstractNumId w:val="3"/>
  </w:num>
  <w:num w:numId="4" w16cid:durableId="9762269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74774613">
    <w:abstractNumId w:val="1"/>
  </w:num>
  <w:num w:numId="6" w16cid:durableId="2070688303">
    <w:abstractNumId w:val="13"/>
  </w:num>
  <w:num w:numId="7" w16cid:durableId="1668823563">
    <w:abstractNumId w:val="4"/>
  </w:num>
  <w:num w:numId="8" w16cid:durableId="1449154046">
    <w:abstractNumId w:val="12"/>
  </w:num>
  <w:num w:numId="9" w16cid:durableId="23753028">
    <w:abstractNumId w:val="6"/>
  </w:num>
  <w:num w:numId="10" w16cid:durableId="2073693002">
    <w:abstractNumId w:val="11"/>
  </w:num>
  <w:num w:numId="11" w16cid:durableId="1845318369">
    <w:abstractNumId w:val="7"/>
  </w:num>
  <w:num w:numId="12" w16cid:durableId="1179125159">
    <w:abstractNumId w:val="0"/>
  </w:num>
  <w:num w:numId="13" w16cid:durableId="695928714">
    <w:abstractNumId w:val="2"/>
  </w:num>
  <w:num w:numId="14" w16cid:durableId="335960376">
    <w:abstractNumId w:val="14"/>
  </w:num>
  <w:num w:numId="15" w16cid:durableId="1769693656">
    <w:abstractNumId w:val="10"/>
  </w:num>
  <w:num w:numId="16" w16cid:durableId="1283072998">
    <w:abstractNumId w:val="9"/>
  </w:num>
  <w:num w:numId="17" w16cid:durableId="7454974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B5CF6"/>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3FB3"/>
    <w:rsid w:val="00B44A47"/>
    <w:rsid w:val="00B578BC"/>
    <w:rsid w:val="00B72CD3"/>
    <w:rsid w:val="00B72FFF"/>
    <w:rsid w:val="00B84D00"/>
    <w:rsid w:val="00BC3D36"/>
    <w:rsid w:val="00BD54A6"/>
    <w:rsid w:val="00BD7F72"/>
    <w:rsid w:val="00BF7425"/>
    <w:rsid w:val="00C04FB3"/>
    <w:rsid w:val="00C11D8B"/>
    <w:rsid w:val="00C15139"/>
    <w:rsid w:val="00C330EB"/>
    <w:rsid w:val="00C50D69"/>
    <w:rsid w:val="00C5365C"/>
    <w:rsid w:val="00C601AA"/>
    <w:rsid w:val="00C754BE"/>
    <w:rsid w:val="00C76B1C"/>
    <w:rsid w:val="00C925AC"/>
    <w:rsid w:val="00CB6357"/>
    <w:rsid w:val="00CC1B26"/>
    <w:rsid w:val="00CD3F2D"/>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B5CF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B5CF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manual/guia-para-la-gestion-contractual-de-entidades-estatales-con-regimen-especial?" TargetMode="External"/><Relationship Id="rId18"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lombiacompra.gov.co/archivos/manual/guia-para-la-gestion-contractual-de-entidades-estatales-con-regimen-especial?" TargetMode="External"/><Relationship Id="rId17"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sultorcastiblanco@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E01603-F553-46A1-AB83-5A31F0AAF061}"/>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6100</Words>
  <Characters>33551</Characters>
  <Application>Microsoft Office Word</Application>
  <DocSecurity>0</DocSecurity>
  <Lines>279</Lines>
  <Paragraphs>79</Paragraphs>
  <ScaleCrop>false</ScaleCrop>
  <Company/>
  <LinksUpToDate>false</LinksUpToDate>
  <CharactersWithSpaces>39572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2026-09-21T22:59:00Z</dcterms:created>
  <dcterms:modified xsi:type="dcterms:W3CDTF">2026-09-21T23:05:00Z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