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7620" w14:textId="77777777" w:rsidR="00E34B7A" w:rsidRPr="00E34B7A" w:rsidRDefault="00E34B7A" w:rsidP="00E34B7A">
      <w:pPr>
        <w:spacing w:after="0" w:line="240" w:lineRule="auto"/>
        <w:jc w:val="both"/>
        <w:rPr>
          <w:rFonts w:ascii="Verdana" w:eastAsia="Arial" w:hAnsi="Verdana" w:cs="Arial"/>
          <w:b/>
          <w:bCs/>
          <w:lang w:val="es-ES"/>
        </w:rPr>
      </w:pPr>
      <w:bookmarkStart w:id="0" w:name="_Hlk143780582"/>
      <w:r w:rsidRPr="00E34B7A">
        <w:rPr>
          <w:rFonts w:ascii="Verdana" w:eastAsia="Arial" w:hAnsi="Verdana" w:cs="Arial"/>
          <w:b/>
          <w:bCs/>
          <w:lang w:val="es-ES"/>
        </w:rPr>
        <w:t>PRINCIPIO DE PUBLICIDAD – Concepto – Fundamento axiológico – Fundamento constitucional</w:t>
      </w:r>
    </w:p>
    <w:p w14:paraId="4B82A123" w14:textId="77777777" w:rsidR="00E34B7A" w:rsidRPr="00E34B7A" w:rsidRDefault="00E34B7A" w:rsidP="00E34B7A">
      <w:pPr>
        <w:spacing w:after="0" w:line="240" w:lineRule="auto"/>
        <w:rPr>
          <w:rFonts w:ascii="Verdana" w:eastAsia="Geomanist Light" w:hAnsi="Verdana" w:cs="Arial"/>
          <w:color w:val="000000" w:themeColor="text1"/>
          <w:sz w:val="20"/>
          <w:szCs w:val="20"/>
          <w:lang w:val="es-MX"/>
        </w:rPr>
      </w:pPr>
    </w:p>
    <w:p w14:paraId="6D6C8AB0"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
        </w:rPr>
      </w:pPr>
      <w:r w:rsidRPr="00E34B7A">
        <w:rPr>
          <w:rFonts w:ascii="Verdana" w:eastAsia="Calibri" w:hAnsi="Verdana" w:cs="Arial"/>
          <w:color w:val="000000" w:themeColor="text1"/>
          <w:sz w:val="20"/>
          <w:szCs w:val="20"/>
          <w:lang w:val="es-ES"/>
        </w:rPr>
        <w:t xml:space="preserve">Ahora bien, explicado lo anterior, Uno de los postulados más importantes de un Estado social y democrático de derecho es el principio de </w:t>
      </w:r>
      <w:r w:rsidRPr="00E34B7A">
        <w:rPr>
          <w:rFonts w:ascii="Verdana" w:eastAsia="Calibri" w:hAnsi="Verdana" w:cs="Arial"/>
          <w:i/>
          <w:color w:val="000000" w:themeColor="text1"/>
          <w:sz w:val="20"/>
          <w:szCs w:val="20"/>
          <w:lang w:val="es-ES"/>
        </w:rPr>
        <w:t>publicidad</w:t>
      </w:r>
      <w:r w:rsidRPr="00E34B7A">
        <w:rPr>
          <w:rFonts w:ascii="Verdana" w:eastAsia="Calibri" w:hAnsi="Verdana" w:cs="Arial"/>
          <w:color w:val="000000" w:themeColor="text1"/>
          <w:sz w:val="20"/>
          <w:szCs w:val="20"/>
          <w:lang w:val="es-ES"/>
        </w:rPr>
        <w:t xml:space="preserve">,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78116D02"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
        </w:rPr>
      </w:pPr>
    </w:p>
    <w:p w14:paraId="4F8FD54B"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_tradnl"/>
        </w:rPr>
      </w:pPr>
      <w:r w:rsidRPr="00E34B7A">
        <w:rPr>
          <w:rFonts w:ascii="Verdana" w:eastAsia="Calibri" w:hAnsi="Verdana" w:cs="Arial"/>
          <w:color w:val="000000" w:themeColor="text1"/>
          <w:sz w:val="20"/>
          <w:szCs w:val="20"/>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5BF689EB" w14:textId="77777777" w:rsidR="00E34B7A" w:rsidRPr="00E34B7A" w:rsidRDefault="00E34B7A" w:rsidP="00E34B7A">
      <w:pPr>
        <w:spacing w:after="0" w:line="240" w:lineRule="auto"/>
        <w:jc w:val="both"/>
        <w:rPr>
          <w:rFonts w:ascii="Verdana" w:eastAsia="Calibri" w:hAnsi="Verdana" w:cs="Arial"/>
          <w:color w:val="000000" w:themeColor="text1"/>
          <w:lang w:val="es-ES_tradnl"/>
        </w:rPr>
      </w:pPr>
    </w:p>
    <w:p w14:paraId="1C15D6E3" w14:textId="77777777" w:rsidR="00E34B7A" w:rsidRPr="00E34B7A" w:rsidRDefault="00E34B7A" w:rsidP="00E34B7A">
      <w:pPr>
        <w:spacing w:after="0" w:line="240" w:lineRule="auto"/>
        <w:jc w:val="both"/>
        <w:rPr>
          <w:rFonts w:ascii="Verdana" w:eastAsia="Calibri" w:hAnsi="Verdana" w:cs="Arial"/>
          <w:b/>
          <w:color w:val="000000" w:themeColor="text1"/>
          <w:lang w:val="es-ES_tradnl"/>
        </w:rPr>
      </w:pPr>
      <w:r w:rsidRPr="00E34B7A">
        <w:rPr>
          <w:rFonts w:ascii="Verdana" w:eastAsia="Arial" w:hAnsi="Verdana" w:cs="Arial"/>
          <w:b/>
          <w:lang w:val="es-ES_tradnl"/>
        </w:rPr>
        <w:t>PRINCIPIO DE PUBLICIDAD – SECOP – Documentos del proceso – Deber de publicación</w:t>
      </w:r>
    </w:p>
    <w:p w14:paraId="0CE18621" w14:textId="77777777" w:rsidR="00E34B7A" w:rsidRPr="00E34B7A" w:rsidRDefault="00E34B7A" w:rsidP="00E34B7A">
      <w:pPr>
        <w:spacing w:after="0" w:line="240" w:lineRule="auto"/>
        <w:jc w:val="both"/>
        <w:rPr>
          <w:rFonts w:ascii="Verdana" w:eastAsia="Calibri" w:hAnsi="Verdana" w:cs="Arial"/>
          <w:color w:val="000000" w:themeColor="text1"/>
          <w:lang w:val="es-ES_tradnl"/>
        </w:rPr>
      </w:pPr>
    </w:p>
    <w:p w14:paraId="42E3544A"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
        </w:rPr>
      </w:pPr>
      <w:r w:rsidRPr="00E34B7A">
        <w:rPr>
          <w:rFonts w:ascii="Verdana" w:eastAsia="Calibri" w:hAnsi="Verdana" w:cs="Arial"/>
          <w:color w:val="000000" w:themeColor="text1"/>
          <w:sz w:val="20"/>
          <w:szCs w:val="20"/>
          <w:lang w:val="es-ES"/>
        </w:rPr>
        <w:t>[…]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26256C7B"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
        </w:rPr>
      </w:pPr>
    </w:p>
    <w:p w14:paraId="04BF7D1C" w14:textId="77777777" w:rsidR="00E34B7A" w:rsidRPr="00E34B7A" w:rsidRDefault="00E34B7A" w:rsidP="00E34B7A">
      <w:pPr>
        <w:spacing w:after="0" w:line="240" w:lineRule="auto"/>
        <w:jc w:val="both"/>
        <w:rPr>
          <w:rFonts w:ascii="Verdana" w:eastAsia="Calibri" w:hAnsi="Verdana" w:cs="Arial"/>
          <w:color w:val="000000" w:themeColor="text1"/>
          <w:sz w:val="20"/>
          <w:szCs w:val="20"/>
          <w:lang w:val="es-ES"/>
        </w:rPr>
      </w:pPr>
      <w:r w:rsidRPr="00E34B7A">
        <w:rPr>
          <w:rFonts w:ascii="Verdana" w:eastAsia="Calibri" w:hAnsi="Verdana" w:cs="Arial"/>
          <w:color w:val="000000" w:themeColor="text1"/>
          <w:sz w:val="20"/>
          <w:szCs w:val="20"/>
          <w:lang w:val="es-ES"/>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412F4728" w14:textId="77777777" w:rsidR="00E34B7A" w:rsidRPr="00E34B7A" w:rsidRDefault="00E34B7A" w:rsidP="00E34B7A">
      <w:pPr>
        <w:spacing w:after="0" w:line="240" w:lineRule="auto"/>
        <w:jc w:val="both"/>
        <w:rPr>
          <w:rFonts w:ascii="Verdana" w:eastAsia="Arial" w:hAnsi="Verdana" w:cs="Arial"/>
          <w:b/>
          <w:bCs/>
        </w:rPr>
      </w:pPr>
    </w:p>
    <w:p w14:paraId="4DC994E9" w14:textId="77777777" w:rsidR="00E34B7A" w:rsidRPr="00E34B7A" w:rsidRDefault="00E34B7A" w:rsidP="00E34B7A">
      <w:pPr>
        <w:spacing w:after="0" w:line="240" w:lineRule="auto"/>
        <w:jc w:val="both"/>
        <w:rPr>
          <w:rFonts w:ascii="Verdana" w:eastAsia="Calibri" w:hAnsi="Verdana" w:cs="Arial"/>
          <w:b/>
          <w:bCs/>
          <w:color w:val="000000" w:themeColor="text1"/>
        </w:rPr>
      </w:pPr>
      <w:r w:rsidRPr="00E34B7A">
        <w:rPr>
          <w:rFonts w:ascii="Verdana" w:eastAsia="Arial" w:hAnsi="Verdana" w:cs="Arial"/>
          <w:b/>
          <w:bCs/>
        </w:rPr>
        <w:lastRenderedPageBreak/>
        <w:t>DEBER DE PUBLICIDAD – Sujetos Obligados</w:t>
      </w:r>
    </w:p>
    <w:p w14:paraId="49627E25" w14:textId="77777777" w:rsidR="00E34B7A" w:rsidRPr="00E34B7A" w:rsidRDefault="00E34B7A" w:rsidP="00E34B7A">
      <w:pPr>
        <w:spacing w:before="120" w:line="240" w:lineRule="auto"/>
        <w:jc w:val="both"/>
        <w:rPr>
          <w:rFonts w:ascii="Verdana" w:eastAsia="Calibri" w:hAnsi="Verdana" w:cs="Arial"/>
          <w:color w:val="000000" w:themeColor="text1"/>
          <w:sz w:val="20"/>
          <w:szCs w:val="20"/>
          <w:lang w:val="es-ES"/>
        </w:rPr>
      </w:pPr>
      <w:r w:rsidRPr="00E34B7A">
        <w:rPr>
          <w:rFonts w:ascii="Verdana" w:hAnsi="Verdana" w:cs="Arial"/>
          <w:color w:val="000000" w:themeColor="text1"/>
          <w:sz w:val="20"/>
          <w:szCs w:val="20"/>
          <w:lang w:val="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w:t>
      </w:r>
      <w:r w:rsidRPr="00E34B7A">
        <w:rPr>
          <w:rFonts w:ascii="Verdana" w:hAnsi="Verdana" w:cs="Arial"/>
          <w:color w:val="000000" w:themeColor="text1"/>
          <w:sz w:val="20"/>
          <w:szCs w:val="20"/>
          <w:lang w:val="es-ES_tradnl"/>
        </w:rPr>
        <w:softHyphen/>
      </w:r>
      <w:r w:rsidRPr="00E34B7A">
        <w:rPr>
          <w:rFonts w:ascii="Verdana" w:hAnsi="Verdana" w:cs="Arial"/>
          <w:color w:val="000000" w:themeColor="text1"/>
          <w:sz w:val="20"/>
          <w:szCs w:val="20"/>
          <w:lang w:val="es-ES"/>
        </w:rPr>
        <w:t xml:space="preserve"> </w:t>
      </w:r>
      <w:r w:rsidRPr="00E34B7A">
        <w:rPr>
          <w:rFonts w:ascii="Verdana" w:hAnsi="Verdana" w:cs="Arial"/>
          <w:color w:val="000000" w:themeColor="text1"/>
          <w:sz w:val="20"/>
          <w:szCs w:val="20"/>
          <w:lang w:val="es-ES_tradnl"/>
        </w:rPr>
        <w:softHyphen/>
      </w:r>
      <w:r w:rsidRPr="00E34B7A">
        <w:rPr>
          <w:rFonts w:ascii="Verdana" w:hAnsi="Verdana" w:cs="Arial"/>
          <w:color w:val="000000" w:themeColor="text1"/>
          <w:sz w:val="20"/>
          <w:szCs w:val="20"/>
          <w:lang w:val="es-ES"/>
        </w:rPr>
        <w:t>SECOP–.</w:t>
      </w:r>
    </w:p>
    <w:p w14:paraId="628E2090" w14:textId="77777777" w:rsidR="00E34B7A" w:rsidRPr="00E34B7A" w:rsidRDefault="00E34B7A" w:rsidP="00E34B7A">
      <w:pPr>
        <w:spacing w:line="276" w:lineRule="auto"/>
        <w:jc w:val="both"/>
        <w:rPr>
          <w:rFonts w:ascii="Verdana" w:eastAsia="Arial" w:hAnsi="Verdana" w:cs="Arial"/>
          <w:b/>
          <w:bCs/>
        </w:rPr>
      </w:pPr>
      <w:r w:rsidRPr="00E34B7A">
        <w:rPr>
          <w:rFonts w:ascii="Verdana" w:eastAsia="Arial" w:hAnsi="Verdana" w:cs="Arial"/>
          <w:b/>
          <w:bCs/>
        </w:rPr>
        <w:t>EPS</w:t>
      </w:r>
      <w:r w:rsidRPr="00E34B7A">
        <w:rPr>
          <w:rFonts w:ascii="Verdana" w:eastAsia="Arial" w:hAnsi="Verdana" w:cs="Arial"/>
          <w:b/>
          <w:bCs/>
          <w:color w:val="C00000"/>
        </w:rPr>
        <w:t xml:space="preserve">– </w:t>
      </w:r>
      <w:r w:rsidRPr="00E34B7A">
        <w:rPr>
          <w:rFonts w:ascii="Verdana" w:eastAsia="Arial" w:hAnsi="Verdana" w:cs="Arial"/>
          <w:b/>
          <w:bCs/>
        </w:rPr>
        <w:t xml:space="preserve">Naturaleza Jurídica – Formas organizativas </w:t>
      </w:r>
      <w:r w:rsidRPr="00E34B7A">
        <w:rPr>
          <w:rFonts w:ascii="Verdana" w:eastAsia="Arial" w:hAnsi="Verdana" w:cs="Arial"/>
          <w:b/>
          <w:bCs/>
          <w:lang w:val="es-ES"/>
        </w:rPr>
        <w:t>–</w:t>
      </w:r>
      <w:r w:rsidRPr="00E34B7A">
        <w:rPr>
          <w:rFonts w:ascii="Verdana" w:eastAsia="Arial" w:hAnsi="Verdana" w:cs="Arial"/>
          <w:b/>
          <w:bCs/>
        </w:rPr>
        <w:t xml:space="preserve"> Deber de publicidad – Sujetos Obligados – Particulares que gestionan recursos públicos – Entidades de Régimen Especial </w:t>
      </w:r>
    </w:p>
    <w:p w14:paraId="01842D53" w14:textId="77777777" w:rsidR="00E34B7A" w:rsidRPr="00E34B7A" w:rsidRDefault="00E34B7A" w:rsidP="00E34B7A">
      <w:pPr>
        <w:spacing w:after="120" w:line="240" w:lineRule="auto"/>
        <w:jc w:val="both"/>
        <w:rPr>
          <w:rFonts w:ascii="Verdana" w:eastAsia="Calibri" w:hAnsi="Verdana" w:cs="Times New Roman"/>
          <w:sz w:val="20"/>
          <w:szCs w:val="20"/>
        </w:rPr>
      </w:pPr>
      <w:r w:rsidRPr="00E34B7A">
        <w:rPr>
          <w:rFonts w:ascii="Verdana" w:eastAsia="Calibri" w:hAnsi="Verdana" w:cs="Times New Roman"/>
          <w:sz w:val="20"/>
          <w:szCs w:val="20"/>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46CB8A0A" w14:textId="77777777" w:rsidR="00E34B7A" w:rsidRPr="00E34B7A" w:rsidRDefault="00E34B7A" w:rsidP="00E34B7A">
      <w:pPr>
        <w:spacing w:after="120" w:line="240" w:lineRule="auto"/>
        <w:jc w:val="both"/>
        <w:rPr>
          <w:rFonts w:ascii="Verdana" w:eastAsia="Calibri" w:hAnsi="Verdana" w:cs="Times New Roman"/>
          <w:sz w:val="20"/>
          <w:szCs w:val="20"/>
        </w:rPr>
      </w:pPr>
      <w:r w:rsidRPr="00E34B7A">
        <w:rPr>
          <w:rFonts w:ascii="Verdana" w:eastAsia="Calibri" w:hAnsi="Verdana" w:cs="Times New Roman"/>
          <w:sz w:val="20"/>
          <w:szCs w:val="20"/>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097B8704" w14:textId="77777777" w:rsidR="00E34B7A" w:rsidRPr="00E34B7A" w:rsidRDefault="00E34B7A" w:rsidP="00E34B7A">
      <w:pPr>
        <w:spacing w:after="120" w:line="240" w:lineRule="auto"/>
        <w:jc w:val="both"/>
        <w:rPr>
          <w:rFonts w:ascii="Verdana" w:eastAsia="Calibri" w:hAnsi="Verdana" w:cs="Times New Roman"/>
          <w:sz w:val="20"/>
          <w:szCs w:val="20"/>
        </w:rPr>
      </w:pPr>
      <w:r w:rsidRPr="00E34B7A">
        <w:rPr>
          <w:rFonts w:ascii="Verdana" w:eastAsia="Calibri" w:hAnsi="Verdana" w:cs="Times New Roman"/>
          <w:sz w:val="20"/>
          <w:szCs w:val="20"/>
        </w:rPr>
        <w:t xml:space="preserve">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w:t>
      </w:r>
      <w:r w:rsidRPr="00E34B7A">
        <w:rPr>
          <w:rFonts w:ascii="Verdana" w:eastAsia="Calibri" w:hAnsi="Verdana" w:cs="Times New Roman"/>
          <w:sz w:val="20"/>
          <w:szCs w:val="20"/>
        </w:rPr>
        <w:lastRenderedPageBreak/>
        <w:t>encuentre sometida a un régimen contractual de derecho privado no excluye, por sí mismo, el deber de publicidad respecto de la contratación financiada con recursos públicos.</w:t>
      </w:r>
    </w:p>
    <w:p w14:paraId="6B52FC6B" w14:textId="77777777" w:rsidR="00E34B7A" w:rsidRPr="00E34B7A" w:rsidRDefault="00E34B7A" w:rsidP="30821638">
      <w:pPr>
        <w:spacing w:after="0"/>
        <w:rPr>
          <w:rFonts w:ascii="Verdana" w:eastAsia="Verdana" w:hAnsi="Verdana" w:cs="Verdana"/>
        </w:rPr>
      </w:pPr>
    </w:p>
    <w:p w14:paraId="36979D04" w14:textId="77777777" w:rsidR="00E34B7A" w:rsidRPr="00E34B7A" w:rsidRDefault="00E34B7A" w:rsidP="30821638">
      <w:pPr>
        <w:spacing w:after="0"/>
        <w:rPr>
          <w:rFonts w:ascii="Verdana" w:eastAsia="Verdana" w:hAnsi="Verdana" w:cs="Verdana"/>
        </w:rPr>
      </w:pPr>
    </w:p>
    <w:p w14:paraId="5DEEB02F" w14:textId="77777777" w:rsidR="00E34B7A" w:rsidRPr="00E34B7A" w:rsidRDefault="00E34B7A" w:rsidP="30821638">
      <w:pPr>
        <w:spacing w:after="0"/>
        <w:rPr>
          <w:rFonts w:ascii="Verdana" w:eastAsia="Verdana" w:hAnsi="Verdana" w:cs="Verdana"/>
        </w:rPr>
      </w:pPr>
    </w:p>
    <w:p w14:paraId="2E0721C4" w14:textId="77777777" w:rsidR="00E34B7A" w:rsidRPr="00E34B7A" w:rsidRDefault="00E34B7A" w:rsidP="30821638">
      <w:pPr>
        <w:spacing w:after="0"/>
        <w:rPr>
          <w:rFonts w:ascii="Verdana" w:eastAsia="Verdana" w:hAnsi="Verdana" w:cs="Verdana"/>
        </w:rPr>
      </w:pPr>
    </w:p>
    <w:p w14:paraId="43471BE0" w14:textId="77777777" w:rsidR="00E34B7A" w:rsidRPr="00E34B7A" w:rsidRDefault="00E34B7A" w:rsidP="30821638">
      <w:pPr>
        <w:spacing w:after="0"/>
        <w:rPr>
          <w:rFonts w:ascii="Verdana" w:eastAsia="Verdana" w:hAnsi="Verdana" w:cs="Verdana"/>
        </w:rPr>
      </w:pPr>
    </w:p>
    <w:p w14:paraId="566BD815" w14:textId="77777777" w:rsidR="00E34B7A" w:rsidRPr="00E34B7A" w:rsidRDefault="00E34B7A" w:rsidP="30821638">
      <w:pPr>
        <w:spacing w:after="0"/>
        <w:rPr>
          <w:rFonts w:ascii="Verdana" w:eastAsia="Verdana" w:hAnsi="Verdana" w:cs="Verdana"/>
        </w:rPr>
      </w:pPr>
    </w:p>
    <w:p w14:paraId="712685AD" w14:textId="77777777" w:rsidR="00E34B7A" w:rsidRPr="00E34B7A" w:rsidRDefault="00E34B7A" w:rsidP="30821638">
      <w:pPr>
        <w:spacing w:after="0"/>
        <w:rPr>
          <w:rFonts w:ascii="Verdana" w:eastAsia="Verdana" w:hAnsi="Verdana" w:cs="Verdana"/>
        </w:rPr>
      </w:pPr>
    </w:p>
    <w:p w14:paraId="40E4AC01" w14:textId="77777777" w:rsidR="00E34B7A" w:rsidRPr="00E34B7A" w:rsidRDefault="00E34B7A" w:rsidP="30821638">
      <w:pPr>
        <w:spacing w:after="0"/>
        <w:rPr>
          <w:rFonts w:ascii="Verdana" w:eastAsia="Verdana" w:hAnsi="Verdana" w:cs="Verdana"/>
        </w:rPr>
      </w:pPr>
    </w:p>
    <w:p w14:paraId="74D0C587" w14:textId="77777777" w:rsidR="00E34B7A" w:rsidRPr="00E34B7A" w:rsidRDefault="00E34B7A" w:rsidP="30821638">
      <w:pPr>
        <w:spacing w:after="0"/>
        <w:rPr>
          <w:rFonts w:ascii="Verdana" w:eastAsia="Verdana" w:hAnsi="Verdana" w:cs="Verdana"/>
        </w:rPr>
      </w:pPr>
    </w:p>
    <w:p w14:paraId="39911B46" w14:textId="77777777" w:rsidR="00E34B7A" w:rsidRPr="00E34B7A" w:rsidRDefault="00E34B7A" w:rsidP="30821638">
      <w:pPr>
        <w:spacing w:after="0"/>
        <w:rPr>
          <w:rFonts w:ascii="Verdana" w:eastAsia="Verdana" w:hAnsi="Verdana" w:cs="Verdana"/>
        </w:rPr>
      </w:pPr>
    </w:p>
    <w:p w14:paraId="5EC3FFFE" w14:textId="77777777" w:rsidR="00E34B7A" w:rsidRPr="00E34B7A" w:rsidRDefault="00E34B7A" w:rsidP="30821638">
      <w:pPr>
        <w:spacing w:after="0"/>
        <w:rPr>
          <w:rFonts w:ascii="Verdana" w:eastAsia="Verdana" w:hAnsi="Verdana" w:cs="Verdana"/>
        </w:rPr>
      </w:pPr>
    </w:p>
    <w:p w14:paraId="68EAF243" w14:textId="77777777" w:rsidR="00E34B7A" w:rsidRPr="00E34B7A" w:rsidRDefault="00E34B7A" w:rsidP="30821638">
      <w:pPr>
        <w:spacing w:after="0"/>
        <w:rPr>
          <w:rFonts w:ascii="Verdana" w:eastAsia="Verdana" w:hAnsi="Verdana" w:cs="Verdana"/>
        </w:rPr>
      </w:pPr>
    </w:p>
    <w:p w14:paraId="40A2AFBB" w14:textId="77777777" w:rsidR="00E34B7A" w:rsidRPr="00E34B7A" w:rsidRDefault="00E34B7A" w:rsidP="30821638">
      <w:pPr>
        <w:spacing w:after="0"/>
        <w:rPr>
          <w:rFonts w:ascii="Verdana" w:eastAsia="Verdana" w:hAnsi="Verdana" w:cs="Verdana"/>
        </w:rPr>
      </w:pPr>
    </w:p>
    <w:p w14:paraId="73CA2198" w14:textId="77777777" w:rsidR="00E34B7A" w:rsidRPr="00E34B7A" w:rsidRDefault="00E34B7A" w:rsidP="30821638">
      <w:pPr>
        <w:spacing w:after="0"/>
        <w:rPr>
          <w:rFonts w:ascii="Verdana" w:eastAsia="Verdana" w:hAnsi="Verdana" w:cs="Verdana"/>
        </w:rPr>
      </w:pPr>
    </w:p>
    <w:p w14:paraId="074D30B7" w14:textId="77777777" w:rsidR="00E34B7A" w:rsidRPr="00E34B7A" w:rsidRDefault="00E34B7A" w:rsidP="30821638">
      <w:pPr>
        <w:spacing w:after="0"/>
        <w:rPr>
          <w:rFonts w:ascii="Verdana" w:eastAsia="Verdana" w:hAnsi="Verdana" w:cs="Verdana"/>
        </w:rPr>
      </w:pPr>
    </w:p>
    <w:p w14:paraId="75E5161D" w14:textId="77777777" w:rsidR="00E34B7A" w:rsidRPr="00E34B7A" w:rsidRDefault="00E34B7A" w:rsidP="30821638">
      <w:pPr>
        <w:spacing w:after="0"/>
        <w:rPr>
          <w:rFonts w:ascii="Verdana" w:eastAsia="Verdana" w:hAnsi="Verdana" w:cs="Verdana"/>
        </w:rPr>
      </w:pPr>
    </w:p>
    <w:p w14:paraId="1C01EC1B" w14:textId="77777777" w:rsidR="00E34B7A" w:rsidRPr="00E34B7A" w:rsidRDefault="00E34B7A" w:rsidP="30821638">
      <w:pPr>
        <w:spacing w:after="0"/>
        <w:rPr>
          <w:rFonts w:ascii="Verdana" w:eastAsia="Verdana" w:hAnsi="Verdana" w:cs="Verdana"/>
        </w:rPr>
      </w:pPr>
    </w:p>
    <w:p w14:paraId="6D3943AB" w14:textId="77777777" w:rsidR="00E34B7A" w:rsidRPr="00E34B7A" w:rsidRDefault="00E34B7A" w:rsidP="30821638">
      <w:pPr>
        <w:spacing w:after="0"/>
        <w:rPr>
          <w:rFonts w:ascii="Verdana" w:eastAsia="Verdana" w:hAnsi="Verdana" w:cs="Verdana"/>
        </w:rPr>
      </w:pPr>
    </w:p>
    <w:p w14:paraId="3490F37A" w14:textId="77777777" w:rsidR="00E34B7A" w:rsidRPr="00E34B7A" w:rsidRDefault="00E34B7A" w:rsidP="30821638">
      <w:pPr>
        <w:spacing w:after="0"/>
        <w:rPr>
          <w:rFonts w:ascii="Verdana" w:eastAsia="Verdana" w:hAnsi="Verdana" w:cs="Verdana"/>
        </w:rPr>
      </w:pPr>
    </w:p>
    <w:p w14:paraId="27C71C8C" w14:textId="77777777" w:rsidR="00E34B7A" w:rsidRPr="00E34B7A" w:rsidRDefault="00E34B7A" w:rsidP="30821638">
      <w:pPr>
        <w:spacing w:after="0"/>
        <w:rPr>
          <w:rFonts w:ascii="Verdana" w:eastAsia="Verdana" w:hAnsi="Verdana" w:cs="Verdana"/>
        </w:rPr>
      </w:pPr>
    </w:p>
    <w:p w14:paraId="175B6DB3" w14:textId="77777777" w:rsidR="00E34B7A" w:rsidRPr="00E34B7A" w:rsidRDefault="00E34B7A" w:rsidP="30821638">
      <w:pPr>
        <w:spacing w:after="0"/>
        <w:rPr>
          <w:rFonts w:ascii="Verdana" w:eastAsia="Verdana" w:hAnsi="Verdana" w:cs="Verdana"/>
        </w:rPr>
      </w:pPr>
    </w:p>
    <w:p w14:paraId="7FDDC6D1" w14:textId="77777777" w:rsidR="00E34B7A" w:rsidRPr="00E34B7A" w:rsidRDefault="00E34B7A" w:rsidP="30821638">
      <w:pPr>
        <w:spacing w:after="0"/>
        <w:rPr>
          <w:rFonts w:ascii="Verdana" w:eastAsia="Verdana" w:hAnsi="Verdana" w:cs="Verdana"/>
        </w:rPr>
      </w:pPr>
    </w:p>
    <w:p w14:paraId="671C3587" w14:textId="77777777" w:rsidR="00E34B7A" w:rsidRPr="00E34B7A" w:rsidRDefault="00E34B7A" w:rsidP="30821638">
      <w:pPr>
        <w:spacing w:after="0"/>
        <w:rPr>
          <w:rFonts w:ascii="Verdana" w:eastAsia="Verdana" w:hAnsi="Verdana" w:cs="Verdana"/>
        </w:rPr>
      </w:pPr>
    </w:p>
    <w:p w14:paraId="32D90C1E" w14:textId="77777777" w:rsidR="00E34B7A" w:rsidRPr="00E34B7A" w:rsidRDefault="00E34B7A" w:rsidP="30821638">
      <w:pPr>
        <w:spacing w:after="0"/>
        <w:rPr>
          <w:rFonts w:ascii="Verdana" w:eastAsia="Verdana" w:hAnsi="Verdana" w:cs="Verdana"/>
        </w:rPr>
      </w:pPr>
    </w:p>
    <w:p w14:paraId="227EC051" w14:textId="77777777" w:rsidR="00E34B7A" w:rsidRPr="00E34B7A" w:rsidRDefault="00E34B7A" w:rsidP="30821638">
      <w:pPr>
        <w:spacing w:after="0"/>
        <w:rPr>
          <w:rFonts w:ascii="Verdana" w:eastAsia="Verdana" w:hAnsi="Verdana" w:cs="Verdana"/>
        </w:rPr>
      </w:pPr>
    </w:p>
    <w:p w14:paraId="0E20D7DE" w14:textId="77777777" w:rsidR="00E34B7A" w:rsidRPr="00E34B7A" w:rsidRDefault="00E34B7A" w:rsidP="30821638">
      <w:pPr>
        <w:spacing w:after="0"/>
        <w:rPr>
          <w:rFonts w:ascii="Verdana" w:eastAsia="Verdana" w:hAnsi="Verdana" w:cs="Verdana"/>
        </w:rPr>
      </w:pPr>
    </w:p>
    <w:p w14:paraId="0CC807EC" w14:textId="77777777" w:rsidR="00E34B7A" w:rsidRPr="00E34B7A" w:rsidRDefault="00E34B7A" w:rsidP="30821638">
      <w:pPr>
        <w:spacing w:after="0"/>
        <w:rPr>
          <w:rFonts w:ascii="Verdana" w:eastAsia="Verdana" w:hAnsi="Verdana" w:cs="Verdana"/>
        </w:rPr>
      </w:pPr>
    </w:p>
    <w:p w14:paraId="0D43D58D" w14:textId="77777777" w:rsidR="00E34B7A" w:rsidRPr="00E34B7A" w:rsidRDefault="00E34B7A" w:rsidP="30821638">
      <w:pPr>
        <w:spacing w:after="0"/>
        <w:rPr>
          <w:rFonts w:ascii="Verdana" w:eastAsia="Verdana" w:hAnsi="Verdana" w:cs="Verdana"/>
        </w:rPr>
      </w:pPr>
    </w:p>
    <w:p w14:paraId="6697D83F" w14:textId="77777777" w:rsidR="00E34B7A" w:rsidRPr="00E34B7A" w:rsidRDefault="00E34B7A" w:rsidP="30821638">
      <w:pPr>
        <w:spacing w:after="0"/>
        <w:rPr>
          <w:rFonts w:ascii="Verdana" w:eastAsia="Verdana" w:hAnsi="Verdana" w:cs="Verdana"/>
        </w:rPr>
      </w:pPr>
    </w:p>
    <w:p w14:paraId="15A574EE" w14:textId="77777777" w:rsidR="00E34B7A" w:rsidRPr="00E34B7A" w:rsidRDefault="00E34B7A" w:rsidP="30821638">
      <w:pPr>
        <w:spacing w:after="0"/>
        <w:rPr>
          <w:rFonts w:ascii="Verdana" w:eastAsia="Verdana" w:hAnsi="Verdana" w:cs="Verdana"/>
        </w:rPr>
      </w:pPr>
    </w:p>
    <w:p w14:paraId="5A5EEE65" w14:textId="77777777" w:rsidR="00E34B7A" w:rsidRPr="00E34B7A" w:rsidRDefault="00E34B7A" w:rsidP="30821638">
      <w:pPr>
        <w:spacing w:after="0"/>
        <w:rPr>
          <w:rFonts w:ascii="Verdana" w:eastAsia="Verdana" w:hAnsi="Verdana" w:cs="Verdana"/>
        </w:rPr>
      </w:pPr>
    </w:p>
    <w:p w14:paraId="386597E8" w14:textId="77777777" w:rsidR="00E34B7A" w:rsidRPr="00E34B7A" w:rsidRDefault="00E34B7A" w:rsidP="30821638">
      <w:pPr>
        <w:spacing w:after="0"/>
        <w:rPr>
          <w:rFonts w:ascii="Verdana" w:eastAsia="Verdana" w:hAnsi="Verdana" w:cs="Verdana"/>
        </w:rPr>
      </w:pPr>
    </w:p>
    <w:p w14:paraId="7C4A405D" w14:textId="77777777" w:rsidR="00E34B7A" w:rsidRPr="00E34B7A" w:rsidRDefault="00E34B7A" w:rsidP="30821638">
      <w:pPr>
        <w:spacing w:after="0"/>
        <w:rPr>
          <w:rFonts w:ascii="Verdana" w:eastAsia="Verdana" w:hAnsi="Verdana" w:cs="Verdana"/>
        </w:rPr>
      </w:pPr>
    </w:p>
    <w:p w14:paraId="15426DDB" w14:textId="77777777" w:rsidR="00E34B7A" w:rsidRPr="00E34B7A" w:rsidRDefault="00E34B7A" w:rsidP="30821638">
      <w:pPr>
        <w:spacing w:after="0"/>
        <w:rPr>
          <w:rFonts w:ascii="Verdana" w:eastAsia="Verdana" w:hAnsi="Verdana" w:cs="Verdana"/>
        </w:rPr>
      </w:pPr>
    </w:p>
    <w:p w14:paraId="4D70BAAE" w14:textId="77777777" w:rsidR="00E34B7A" w:rsidRPr="00E34B7A" w:rsidRDefault="00E34B7A" w:rsidP="30821638">
      <w:pPr>
        <w:spacing w:after="0"/>
        <w:rPr>
          <w:rFonts w:ascii="Verdana" w:eastAsia="Verdana" w:hAnsi="Verdana" w:cs="Verdana"/>
        </w:rPr>
      </w:pPr>
    </w:p>
    <w:p w14:paraId="1468C46D" w14:textId="5DC9098C" w:rsidR="00C15139" w:rsidRPr="00E34B7A" w:rsidRDefault="00C15139" w:rsidP="30821638">
      <w:pPr>
        <w:spacing w:after="0"/>
        <w:rPr>
          <w:rFonts w:ascii="Verdana" w:eastAsia="Verdana" w:hAnsi="Verdana" w:cs="Verdana"/>
        </w:rPr>
      </w:pPr>
      <w:r w:rsidRPr="00E34B7A">
        <w:rPr>
          <w:rFonts w:ascii="Verdana" w:eastAsia="Verdana" w:hAnsi="Verdana" w:cs="Verdana"/>
        </w:rPr>
        <w:lastRenderedPageBreak/>
        <w:t xml:space="preserve">Bogotá D.C., </w:t>
      </w:r>
      <w:r w:rsidR="008E23DF">
        <w:rPr>
          <w:rFonts w:ascii="Verdana" w:eastAsia="Verdana" w:hAnsi="Verdana" w:cs="Verdana"/>
        </w:rPr>
        <w:t>15 de septiembre del 2026</w:t>
      </w:r>
      <w:r w:rsidRPr="00E34B7A">
        <w:rPr>
          <w:rFonts w:ascii="Verdana" w:hAnsi="Verdana"/>
        </w:rPr>
        <w:tab/>
      </w:r>
      <w:r w:rsidRPr="00E34B7A">
        <w:rPr>
          <w:rFonts w:ascii="Verdana" w:hAnsi="Verdana"/>
        </w:rPr>
        <w:br/>
      </w:r>
      <w:r w:rsidRPr="00E34B7A">
        <w:rPr>
          <w:rFonts w:ascii="Verdana" w:hAnsi="Verdana"/>
        </w:rPr>
        <w:tab/>
      </w:r>
    </w:p>
    <w:p w14:paraId="12443EE0" w14:textId="387493ED" w:rsidR="00C15139" w:rsidRDefault="00A825FB" w:rsidP="00A825FB">
      <w:pPr>
        <w:spacing w:after="0"/>
        <w:jc w:val="right"/>
        <w:rPr>
          <w:rFonts w:ascii="Verdana" w:eastAsia="Verdana" w:hAnsi="Verdana" w:cs="Verdana"/>
        </w:rPr>
      </w:pPr>
      <w:r w:rsidRPr="00A825FB">
        <w:rPr>
          <w:rFonts w:ascii="Verdana" w:eastAsia="Verdana" w:hAnsi="Verdana" w:cs="Verdana"/>
        </w:rPr>
        <w:drawing>
          <wp:inline distT="0" distB="0" distL="0" distR="0" wp14:anchorId="6B5BCE3A" wp14:editId="3C036CD3">
            <wp:extent cx="2448267" cy="666843"/>
            <wp:effectExtent l="0" t="0" r="9525" b="0"/>
            <wp:docPr id="11718699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69945" name=""/>
                    <pic:cNvPicPr/>
                  </pic:nvPicPr>
                  <pic:blipFill>
                    <a:blip r:embed="rId10"/>
                    <a:stretch>
                      <a:fillRect/>
                    </a:stretch>
                  </pic:blipFill>
                  <pic:spPr>
                    <a:xfrm>
                      <a:off x="0" y="0"/>
                      <a:ext cx="2448267" cy="666843"/>
                    </a:xfrm>
                    <a:prstGeom prst="rect">
                      <a:avLst/>
                    </a:prstGeom>
                  </pic:spPr>
                </pic:pic>
              </a:graphicData>
            </a:graphic>
          </wp:inline>
        </w:drawing>
      </w:r>
    </w:p>
    <w:p w14:paraId="756CE95F" w14:textId="77777777" w:rsidR="00A825FB" w:rsidRPr="00E34B7A" w:rsidRDefault="00A825FB" w:rsidP="30821638">
      <w:pPr>
        <w:spacing w:after="0"/>
        <w:rPr>
          <w:rFonts w:ascii="Verdana" w:eastAsia="Verdana" w:hAnsi="Verdana" w:cs="Verdana"/>
        </w:rPr>
      </w:pPr>
    </w:p>
    <w:p w14:paraId="606D5AF0" w14:textId="77777777" w:rsidR="004122B7" w:rsidRPr="00E34B7A" w:rsidRDefault="004122B7" w:rsidP="004122B7">
      <w:pPr>
        <w:spacing w:after="0" w:line="240" w:lineRule="auto"/>
        <w:rPr>
          <w:rFonts w:ascii="Verdana" w:hAnsi="Verdana"/>
        </w:rPr>
      </w:pPr>
      <w:r w:rsidRPr="00E34B7A">
        <w:rPr>
          <w:rFonts w:ascii="Verdana" w:eastAsia="Calibri" w:hAnsi="Verdana" w:cs="Arial"/>
          <w:lang w:val="es-ES" w:eastAsia="es-ES"/>
        </w:rPr>
        <w:t>Señora:</w:t>
      </w:r>
    </w:p>
    <w:p w14:paraId="5E4693F5" w14:textId="77777777" w:rsidR="004122B7" w:rsidRPr="00E34B7A" w:rsidRDefault="004122B7" w:rsidP="004122B7">
      <w:pPr>
        <w:spacing w:after="0" w:line="240" w:lineRule="auto"/>
        <w:jc w:val="both"/>
        <w:rPr>
          <w:rFonts w:ascii="Verdana" w:eastAsia="Calibri" w:hAnsi="Verdana" w:cs="Arial"/>
          <w:b/>
          <w:bCs/>
          <w:lang w:eastAsia="es-ES"/>
        </w:rPr>
      </w:pPr>
      <w:r w:rsidRPr="00E34B7A">
        <w:rPr>
          <w:rFonts w:ascii="Verdana" w:eastAsia="Calibri" w:hAnsi="Verdana" w:cs="Arial"/>
          <w:b/>
          <w:bCs/>
          <w:lang w:eastAsia="es-ES"/>
        </w:rPr>
        <w:t>María Elizabeth Muñoz Ramos</w:t>
      </w:r>
    </w:p>
    <w:p w14:paraId="54A717FC" w14:textId="77777777" w:rsidR="004122B7" w:rsidRPr="00E34B7A" w:rsidRDefault="004122B7" w:rsidP="004122B7">
      <w:pPr>
        <w:spacing w:after="0" w:line="240" w:lineRule="auto"/>
        <w:jc w:val="both"/>
        <w:rPr>
          <w:rFonts w:ascii="Verdana" w:eastAsia="Calibri" w:hAnsi="Verdana" w:cs="Arial"/>
          <w:lang w:eastAsia="es-ES"/>
        </w:rPr>
      </w:pPr>
      <w:r w:rsidRPr="00E34B7A">
        <w:rPr>
          <w:rFonts w:ascii="Verdana" w:eastAsia="Calibri" w:hAnsi="Verdana" w:cs="Arial"/>
          <w:lang w:eastAsia="es-ES"/>
        </w:rPr>
        <w:t>Asociación Indígena del Cauca - AIC-ESP-I</w:t>
      </w:r>
    </w:p>
    <w:p w14:paraId="295013A9" w14:textId="07B5409E" w:rsidR="004122B7" w:rsidRPr="00E34B7A" w:rsidRDefault="004122B7" w:rsidP="004122B7">
      <w:pPr>
        <w:spacing w:after="0" w:line="240" w:lineRule="auto"/>
        <w:jc w:val="both"/>
        <w:rPr>
          <w:rFonts w:ascii="Verdana" w:eastAsia="Calibri" w:hAnsi="Verdana" w:cs="Arial"/>
          <w:lang w:eastAsia="es-ES"/>
        </w:rPr>
      </w:pPr>
      <w:hyperlink r:id="rId11" w:history="1">
        <w:r w:rsidRPr="00E34B7A">
          <w:rPr>
            <w:rStyle w:val="Hipervnculo"/>
            <w:rFonts w:ascii="Verdana" w:eastAsia="Calibri" w:hAnsi="Verdana" w:cs="Arial"/>
            <w:lang w:eastAsia="es-ES"/>
          </w:rPr>
          <w:t>notificacionesjudiciales@aicsalud.org.co</w:t>
        </w:r>
      </w:hyperlink>
      <w:r w:rsidRPr="00E34B7A">
        <w:rPr>
          <w:rFonts w:ascii="Verdana" w:eastAsia="Calibri" w:hAnsi="Verdana" w:cs="Arial"/>
          <w:lang w:eastAsia="es-ES"/>
        </w:rPr>
        <w:t xml:space="preserve"> </w:t>
      </w:r>
    </w:p>
    <w:p w14:paraId="000F1091" w14:textId="77777777" w:rsidR="004122B7" w:rsidRPr="00E34B7A" w:rsidRDefault="004122B7" w:rsidP="004122B7">
      <w:pPr>
        <w:spacing w:after="0" w:line="240" w:lineRule="auto"/>
        <w:rPr>
          <w:rFonts w:ascii="Verdana" w:eastAsia="Calibri" w:hAnsi="Verdana" w:cs="Arial"/>
          <w:lang w:val="es-ES_tradnl" w:eastAsia="es-ES"/>
        </w:rPr>
      </w:pPr>
      <w:r w:rsidRPr="00E34B7A">
        <w:rPr>
          <w:rFonts w:ascii="Verdana" w:eastAsia="Calibri" w:hAnsi="Verdana" w:cs="Arial"/>
          <w:lang w:val="es-ES_tradnl" w:eastAsia="es-ES"/>
        </w:rPr>
        <w:t xml:space="preserve">Bogotá D.C. </w:t>
      </w:r>
    </w:p>
    <w:p w14:paraId="5CFB39CE" w14:textId="77777777" w:rsidR="004122B7" w:rsidRPr="00E34B7A" w:rsidRDefault="004122B7" w:rsidP="004122B7">
      <w:pPr>
        <w:spacing w:after="0" w:line="240" w:lineRule="auto"/>
        <w:rPr>
          <w:rFonts w:ascii="Verdana" w:eastAsia="Calibri" w:hAnsi="Verdana" w:cs="Arial"/>
          <w:b/>
          <w:bCs/>
          <w:highlight w:val="cyan"/>
          <w:lang w:val="es-ES_tradnl" w:eastAsia="es-ES_tradnl"/>
        </w:rPr>
      </w:pPr>
    </w:p>
    <w:p w14:paraId="2CE57758" w14:textId="77777777" w:rsidR="004122B7" w:rsidRPr="00E34B7A" w:rsidRDefault="004122B7" w:rsidP="004122B7">
      <w:pPr>
        <w:spacing w:after="0" w:line="240" w:lineRule="auto"/>
        <w:rPr>
          <w:rFonts w:ascii="Verdana" w:eastAsia="Calibri" w:hAnsi="Verdana" w:cs="Arial"/>
          <w:b/>
          <w:bCs/>
          <w:lang w:val="es-ES_tradnl" w:eastAsia="es-ES_tradnl"/>
        </w:rPr>
      </w:pPr>
      <w:r w:rsidRPr="00E34B7A">
        <w:rPr>
          <w:rFonts w:ascii="Verdana" w:eastAsia="Calibri" w:hAnsi="Verdana" w:cs="Arial"/>
          <w:b/>
          <w:bCs/>
          <w:lang w:val="es-ES_tradnl" w:eastAsia="es-ES_tradnl"/>
        </w:rPr>
        <w:t xml:space="preserve">                                   Concepto C-1060 del 2026</w:t>
      </w:r>
    </w:p>
    <w:p w14:paraId="7A203478" w14:textId="77777777" w:rsidR="004122B7" w:rsidRPr="00E34B7A" w:rsidRDefault="004122B7" w:rsidP="004122B7">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122B7" w:rsidRPr="00E34B7A" w14:paraId="55659CA1" w14:textId="77777777" w:rsidTr="00D165EE">
        <w:trPr>
          <w:trHeight w:val="884"/>
        </w:trPr>
        <w:tc>
          <w:tcPr>
            <w:tcW w:w="2689" w:type="dxa"/>
          </w:tcPr>
          <w:p w14:paraId="780941D6" w14:textId="77777777" w:rsidR="004122B7" w:rsidRPr="00E34B7A" w:rsidRDefault="004122B7" w:rsidP="00D165EE">
            <w:pPr>
              <w:jc w:val="both"/>
              <w:rPr>
                <w:rFonts w:ascii="Verdana" w:eastAsia="Calibri" w:hAnsi="Verdana" w:cs="Arial"/>
                <w:lang w:val="es-ES_tradnl" w:eastAsia="es-ES_tradnl"/>
              </w:rPr>
            </w:pPr>
            <w:r w:rsidRPr="00E34B7A">
              <w:rPr>
                <w:rFonts w:ascii="Verdana" w:eastAsia="Calibri" w:hAnsi="Verdana" w:cs="Arial"/>
                <w:b/>
                <w:lang w:val="es-ES_tradnl" w:eastAsia="es-ES_tradnl"/>
              </w:rPr>
              <w:t>Temas:</w:t>
            </w:r>
            <w:r w:rsidRPr="00E34B7A">
              <w:rPr>
                <w:rFonts w:ascii="Verdana" w:eastAsia="Calibri" w:hAnsi="Verdana" w:cs="Arial"/>
                <w:lang w:val="es-ES_tradnl" w:eastAsia="es-ES_tradnl"/>
              </w:rPr>
              <w:t xml:space="preserve">                   </w:t>
            </w:r>
          </w:p>
        </w:tc>
        <w:tc>
          <w:tcPr>
            <w:tcW w:w="6100" w:type="dxa"/>
          </w:tcPr>
          <w:p w14:paraId="162FB325" w14:textId="77777777" w:rsidR="004122B7" w:rsidRPr="00E34B7A" w:rsidRDefault="004122B7" w:rsidP="00D165EE">
            <w:pPr>
              <w:jc w:val="both"/>
              <w:rPr>
                <w:rFonts w:ascii="Verdana" w:eastAsia="Aptos" w:hAnsi="Verdana" w:cs="Times New Roman"/>
              </w:rPr>
            </w:pPr>
            <w:r w:rsidRPr="00E34B7A">
              <w:rPr>
                <w:rFonts w:ascii="Verdana" w:eastAsia="Aptos" w:hAnsi="Verdana" w:cs="Times New Roman"/>
              </w:rPr>
              <w:t>PRINCIPIO DE PUBLICIDAD – Concepto – Fundamento axiológico – Fundamento constitucional / PRINCIPIO DE PUBLICIDAD – SECOP – Documentos del proceso – Deber de publicación / DEBER DE PUBLICIDAD – Sujetos Obligados / EPS– Naturaleza Jurídica – Formas organizativas – Deber de publicidad – Sujetos Obligados – Particulares que gestionan recursos públicos – Entidades de Régimen Especial</w:t>
            </w:r>
          </w:p>
          <w:p w14:paraId="3EF8446B" w14:textId="77777777" w:rsidR="004122B7" w:rsidRPr="00E34B7A" w:rsidRDefault="004122B7" w:rsidP="00D165EE">
            <w:pPr>
              <w:jc w:val="both"/>
              <w:rPr>
                <w:rFonts w:ascii="Verdana" w:eastAsia="Aptos" w:hAnsi="Verdana" w:cs="Times New Roman"/>
                <w:highlight w:val="cyan"/>
              </w:rPr>
            </w:pPr>
          </w:p>
        </w:tc>
      </w:tr>
      <w:tr w:rsidR="004122B7" w:rsidRPr="00E34B7A" w14:paraId="23761D2D" w14:textId="77777777" w:rsidTr="00D165EE">
        <w:trPr>
          <w:trHeight w:val="342"/>
        </w:trPr>
        <w:tc>
          <w:tcPr>
            <w:tcW w:w="2689" w:type="dxa"/>
          </w:tcPr>
          <w:p w14:paraId="3636AB93" w14:textId="77777777" w:rsidR="004122B7" w:rsidRPr="00E34B7A" w:rsidRDefault="004122B7" w:rsidP="00D165EE">
            <w:pPr>
              <w:jc w:val="both"/>
              <w:rPr>
                <w:rFonts w:ascii="Verdana" w:eastAsia="Calibri" w:hAnsi="Verdana" w:cs="Arial"/>
                <w:b/>
                <w:lang w:val="es-ES_tradnl" w:eastAsia="es-ES_tradnl"/>
              </w:rPr>
            </w:pPr>
            <w:r w:rsidRPr="00E34B7A">
              <w:rPr>
                <w:rFonts w:ascii="Verdana" w:eastAsia="Calibri" w:hAnsi="Verdana" w:cs="Arial"/>
                <w:b/>
                <w:lang w:val="es-ES_tradnl" w:eastAsia="es-ES_tradnl"/>
              </w:rPr>
              <w:t>Radicación:</w:t>
            </w:r>
            <w:r w:rsidRPr="00E34B7A">
              <w:rPr>
                <w:rFonts w:ascii="Verdana" w:eastAsia="Calibri" w:hAnsi="Verdana" w:cs="Arial"/>
                <w:lang w:val="es-ES_tradnl" w:eastAsia="es-ES_tradnl"/>
              </w:rPr>
              <w:t xml:space="preserve">               </w:t>
            </w:r>
          </w:p>
        </w:tc>
        <w:tc>
          <w:tcPr>
            <w:tcW w:w="6100" w:type="dxa"/>
          </w:tcPr>
          <w:p w14:paraId="6A60ED22" w14:textId="77777777" w:rsidR="004122B7" w:rsidRPr="00E34B7A" w:rsidRDefault="004122B7" w:rsidP="00D165EE">
            <w:pPr>
              <w:jc w:val="both"/>
              <w:rPr>
                <w:rFonts w:ascii="Verdana" w:eastAsia="Calibri" w:hAnsi="Verdana" w:cs="Arial"/>
                <w:lang w:eastAsia="es-ES_tradnl"/>
              </w:rPr>
            </w:pPr>
            <w:r w:rsidRPr="00E34B7A">
              <w:rPr>
                <w:rFonts w:ascii="Verdana" w:eastAsia="Calibri" w:hAnsi="Verdana" w:cs="Arial"/>
                <w:lang w:val="es-ES_tradnl" w:eastAsia="es-ES_tradnl"/>
              </w:rPr>
              <w:t>Respuesta a la consulta con radicado No.</w:t>
            </w:r>
            <w:r w:rsidRPr="00E34B7A">
              <w:rPr>
                <w:rFonts w:ascii="Verdana" w:hAnsi="Verdana"/>
              </w:rPr>
              <w:t xml:space="preserve"> 1_2026_08_12_010635</w:t>
            </w:r>
          </w:p>
        </w:tc>
      </w:tr>
    </w:tbl>
    <w:p w14:paraId="344002AF" w14:textId="77777777" w:rsidR="004122B7" w:rsidRPr="00E34B7A" w:rsidRDefault="004122B7" w:rsidP="004122B7">
      <w:pPr>
        <w:spacing w:after="0" w:line="240" w:lineRule="auto"/>
        <w:jc w:val="both"/>
        <w:rPr>
          <w:rFonts w:ascii="Verdana" w:eastAsia="Calibri" w:hAnsi="Verdana" w:cs="Arial"/>
          <w:highlight w:val="cyan"/>
          <w:lang w:val="es-ES" w:eastAsia="es-ES"/>
        </w:rPr>
      </w:pPr>
    </w:p>
    <w:p w14:paraId="16B3B630" w14:textId="77777777" w:rsidR="004122B7" w:rsidRPr="00E34B7A" w:rsidRDefault="004122B7" w:rsidP="004122B7">
      <w:pPr>
        <w:spacing w:after="0" w:line="276" w:lineRule="auto"/>
        <w:jc w:val="both"/>
        <w:rPr>
          <w:rFonts w:ascii="Verdana" w:eastAsia="Calibri" w:hAnsi="Verdana" w:cs="Arial"/>
          <w:lang w:val="es-ES" w:eastAsia="es-ES"/>
        </w:rPr>
      </w:pPr>
      <w:r w:rsidRPr="00E34B7A">
        <w:rPr>
          <w:rFonts w:ascii="Verdana" w:eastAsia="Calibri" w:hAnsi="Verdana" w:cs="Arial"/>
          <w:lang w:val="es-ES" w:eastAsia="es-ES"/>
        </w:rPr>
        <w:t xml:space="preserve">Estimada señora </w:t>
      </w:r>
      <w:r w:rsidRPr="00E34B7A">
        <w:rPr>
          <w:rFonts w:ascii="Verdana" w:eastAsia="Calibri" w:hAnsi="Verdana" w:cs="Arial"/>
          <w:lang w:eastAsia="es-ES"/>
        </w:rPr>
        <w:t>Muñoz Ramos</w:t>
      </w:r>
      <w:r w:rsidRPr="00E34B7A">
        <w:rPr>
          <w:rFonts w:ascii="Verdana" w:eastAsia="Calibri" w:hAnsi="Verdana" w:cs="Arial"/>
          <w:lang w:val="es-ES" w:eastAsia="es-ES"/>
        </w:rPr>
        <w:t xml:space="preserve">: </w:t>
      </w:r>
    </w:p>
    <w:p w14:paraId="07611546" w14:textId="77777777" w:rsidR="004122B7" w:rsidRPr="00E34B7A" w:rsidRDefault="004122B7" w:rsidP="004122B7">
      <w:pPr>
        <w:spacing w:after="0" w:line="276" w:lineRule="auto"/>
        <w:rPr>
          <w:rFonts w:ascii="Verdana" w:eastAsia="Times New Roman" w:hAnsi="Verdana" w:cs="Segoe UI"/>
          <w:highlight w:val="cyan"/>
          <w:lang w:eastAsia="es-CO"/>
        </w:rPr>
      </w:pPr>
    </w:p>
    <w:p w14:paraId="3279DCFF" w14:textId="77777777" w:rsidR="004122B7" w:rsidRPr="00E34B7A" w:rsidRDefault="004122B7" w:rsidP="004122B7">
      <w:pPr>
        <w:spacing w:after="0" w:line="276" w:lineRule="auto"/>
        <w:jc w:val="both"/>
        <w:rPr>
          <w:rFonts w:ascii="Verdana" w:eastAsia="Calibri" w:hAnsi="Verdana" w:cs="Arial"/>
          <w:lang w:val="es-ES" w:eastAsia="es-ES"/>
        </w:rPr>
      </w:pPr>
      <w:r w:rsidRPr="00E34B7A">
        <w:rPr>
          <w:rFonts w:ascii="Verdana" w:eastAsia="Calibri" w:hAnsi="Verdana" w:cs="Arial"/>
          <w:lang w:val="es-ES" w:eastAsia="es-ES"/>
        </w:rPr>
        <w:t>En ejercicio de la competencia otorgada por los artículos 3, numeral 5º, y 11, numeral 8º, del Decreto Ley 4170 de 2011,</w:t>
      </w:r>
      <w:r w:rsidRPr="00E34B7A">
        <w:rPr>
          <w:rFonts w:ascii="Verdana" w:eastAsia="Arial MT" w:hAnsi="Verdana" w:cs="Arial"/>
          <w:lang w:val="es-ES" w:eastAsia="es-ES"/>
        </w:rPr>
        <w:t xml:space="preserve"> </w:t>
      </w:r>
      <w:r w:rsidRPr="00E34B7A">
        <w:rPr>
          <w:rFonts w:ascii="Verdana" w:hAnsi="Verdana" w:cs="Arial"/>
        </w:rPr>
        <w:t xml:space="preserve">así como lo establecido en el artículo 4 de la Resolución 1707 de 2018 expedida por esta Entidad, </w:t>
      </w:r>
      <w:r w:rsidRPr="00E34B7A">
        <w:rPr>
          <w:rFonts w:ascii="Verdana" w:eastAsia="Calibri" w:hAnsi="Verdana" w:cs="Arial"/>
          <w:lang w:val="es-ES" w:eastAsia="es-ES"/>
        </w:rPr>
        <w:t xml:space="preserve">la Agencia Nacional de Contratación Pública – Colombia Compra Eficiente– responde su solicitud trasladada el 06 de agosto del 2026 por el Ministerio de Protección Social, en la cual manifiesta lo siguiente: </w:t>
      </w:r>
    </w:p>
    <w:p w14:paraId="081FEFD1" w14:textId="77777777" w:rsidR="004122B7" w:rsidRPr="00E34B7A" w:rsidRDefault="004122B7" w:rsidP="004122B7">
      <w:pPr>
        <w:spacing w:after="0" w:line="276" w:lineRule="auto"/>
        <w:jc w:val="both"/>
        <w:rPr>
          <w:rFonts w:ascii="Verdana" w:eastAsia="Calibri" w:hAnsi="Verdana" w:cs="Arial"/>
          <w:highlight w:val="cyan"/>
          <w:lang w:val="es-ES" w:eastAsia="es-ES"/>
        </w:rPr>
      </w:pPr>
    </w:p>
    <w:p w14:paraId="4B5B151A" w14:textId="77777777" w:rsidR="004122B7" w:rsidRPr="00E34B7A" w:rsidRDefault="004122B7" w:rsidP="004122B7">
      <w:pPr>
        <w:spacing w:after="0" w:line="240" w:lineRule="auto"/>
        <w:ind w:left="709" w:right="709"/>
        <w:jc w:val="both"/>
        <w:rPr>
          <w:rFonts w:ascii="Verdana" w:eastAsia="Century Gothic" w:hAnsi="Verdana" w:cs="Arial"/>
          <w:sz w:val="20"/>
          <w:szCs w:val="20"/>
          <w:lang w:val="es-ES"/>
        </w:rPr>
      </w:pPr>
      <w:r w:rsidRPr="00E34B7A">
        <w:rPr>
          <w:rFonts w:ascii="Verdana" w:eastAsia="Century Gothic" w:hAnsi="Verdana" w:cs="Arial"/>
          <w:sz w:val="20"/>
          <w:szCs w:val="20"/>
          <w:lang w:val="es-ES"/>
        </w:rPr>
        <w:t xml:space="preserve">“[…] </w:t>
      </w:r>
      <w:r w:rsidRPr="00E34B7A">
        <w:rPr>
          <w:rFonts w:ascii="Verdana" w:eastAsia="Century Gothic" w:hAnsi="Verdana" w:cs="Arial"/>
          <w:sz w:val="20"/>
          <w:szCs w:val="20"/>
        </w:rPr>
        <w:t xml:space="preserve">En atención a lo expuesto, si bien la consulta hace referencia a las Entidades Promotoras de Salud Indígenas (EPS-I), el pronunciamiento solicitado no está encaminado a definir el alcance de una disposición propia del Sistema General de Seguridad Social en Salud, sino a establecer la forma en que deben aplicarse las normas que regulan el deber de </w:t>
      </w:r>
      <w:r w:rsidRPr="00E34B7A">
        <w:rPr>
          <w:rFonts w:ascii="Verdana" w:eastAsia="Century Gothic" w:hAnsi="Verdana" w:cs="Arial"/>
          <w:sz w:val="20"/>
          <w:szCs w:val="20"/>
        </w:rPr>
        <w:lastRenderedPageBreak/>
        <w:t>publicidad de la actividad contractual. Ahora bien, es necesario precisar que, de conformidad con los dispuesto en el Decreto 120 de 2026, corresponde a este Ministerio formular, adoptar, dirigir, coordinar y regular las políticas públicas del sector salud; en consecuencia, la interpretación solicitada excede el ámbito funcional atribuido a esta Cartera, por corresponder a una materia cuya orientación ha sido asignada por el ordenamiento jurídico a la Agencia Nacional de Contratación Pública – Colombia Compra Eficiente. Finalmente, se precisa que este Ministerio remitirá la presente comunicación junto con su petición a la mencionada Agencia, para que, en el ámbito de sus atribuciones, emita el pronunciamiento correspondiente y lo comunique directamente a esa Asociación. […]”</w:t>
      </w:r>
    </w:p>
    <w:p w14:paraId="16C4F622" w14:textId="77777777" w:rsidR="004122B7" w:rsidRPr="00E34B7A" w:rsidRDefault="004122B7" w:rsidP="004122B7">
      <w:pPr>
        <w:spacing w:after="0"/>
        <w:jc w:val="both"/>
        <w:rPr>
          <w:rFonts w:ascii="Verdana" w:hAnsi="Verdana" w:cs="Arial"/>
          <w:highlight w:val="cyan"/>
          <w:lang w:val="es-ES"/>
        </w:rPr>
      </w:pPr>
    </w:p>
    <w:p w14:paraId="1D234148" w14:textId="77777777" w:rsidR="004122B7" w:rsidRPr="00E34B7A" w:rsidRDefault="004122B7" w:rsidP="004122B7">
      <w:pPr>
        <w:spacing w:after="120" w:line="276" w:lineRule="auto"/>
        <w:ind w:firstLine="709"/>
        <w:jc w:val="both"/>
        <w:rPr>
          <w:rFonts w:ascii="Verdana" w:eastAsia="Calibri" w:hAnsi="Verdana" w:cs="Arial"/>
          <w:lang w:val="es-ES_tradnl" w:eastAsia="es-ES_tradnl"/>
        </w:rPr>
      </w:pPr>
      <w:r w:rsidRPr="00E34B7A">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C8C3335" w14:textId="4F7C9BB4" w:rsidR="004122B7" w:rsidRPr="00E34B7A" w:rsidRDefault="004122B7" w:rsidP="004122B7">
      <w:pPr>
        <w:spacing w:after="0" w:line="276" w:lineRule="auto"/>
        <w:ind w:firstLine="709"/>
        <w:jc w:val="both"/>
        <w:rPr>
          <w:rFonts w:ascii="Verdana" w:eastAsia="Calibri" w:hAnsi="Verdana" w:cs="Arial"/>
          <w:lang w:val="es-ES" w:eastAsia="es-ES"/>
        </w:rPr>
      </w:pPr>
      <w:r w:rsidRPr="00E34B7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95601A" w14:textId="77777777" w:rsidR="004122B7" w:rsidRPr="00E34B7A" w:rsidRDefault="004122B7" w:rsidP="004122B7">
      <w:pPr>
        <w:spacing w:after="0" w:line="276" w:lineRule="auto"/>
        <w:jc w:val="both"/>
        <w:rPr>
          <w:rStyle w:val="Hipervnculo"/>
          <w:rFonts w:ascii="Verdana" w:hAnsi="Verdana"/>
          <w:color w:val="auto"/>
          <w:highlight w:val="cyan"/>
          <w:u w:val="none"/>
          <w:lang w:val="es-ES"/>
        </w:rPr>
      </w:pPr>
    </w:p>
    <w:p w14:paraId="619E27D2" w14:textId="77777777" w:rsidR="004122B7" w:rsidRPr="00E34B7A" w:rsidRDefault="004122B7" w:rsidP="004122B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E34B7A">
        <w:rPr>
          <w:rFonts w:ascii="Verdana" w:eastAsia="Century Gothic" w:hAnsi="Verdana" w:cs="Arial"/>
          <w:b/>
          <w:bCs/>
        </w:rPr>
        <w:t>Problema planteado:</w:t>
      </w:r>
    </w:p>
    <w:p w14:paraId="0B6A8898" w14:textId="77777777" w:rsidR="004122B7" w:rsidRPr="00E34B7A" w:rsidRDefault="004122B7" w:rsidP="004122B7">
      <w:pPr>
        <w:spacing w:after="0" w:line="276" w:lineRule="auto"/>
        <w:jc w:val="both"/>
        <w:rPr>
          <w:rStyle w:val="Hipervnculo"/>
          <w:rFonts w:ascii="Verdana" w:hAnsi="Verdana" w:cs="Arial"/>
          <w:color w:val="auto"/>
          <w:highlight w:val="cyan"/>
        </w:rPr>
      </w:pPr>
    </w:p>
    <w:p w14:paraId="1106F8E0" w14:textId="77777777" w:rsidR="004122B7" w:rsidRPr="00E34B7A" w:rsidRDefault="004122B7" w:rsidP="004122B7">
      <w:pPr>
        <w:spacing w:line="276" w:lineRule="auto"/>
        <w:jc w:val="both"/>
        <w:rPr>
          <w:rStyle w:val="Hipervnculo"/>
          <w:rFonts w:ascii="Verdana" w:eastAsia="Century Gothic" w:hAnsi="Verdana" w:cs="Century Gothic"/>
          <w:color w:val="auto"/>
          <w:u w:val="none"/>
        </w:rPr>
      </w:pPr>
      <w:r w:rsidRPr="00E34B7A">
        <w:rPr>
          <w:rFonts w:ascii="Verdana" w:eastAsia="Calibri" w:hAnsi="Verdana" w:cs="Times New Roman"/>
        </w:rPr>
        <w:t xml:space="preserve">De acuerdo con el contenido de su solicitud, la Agencia procede a resolver el siguiente problema jurídico: ¿Las Entidades Promotoras de Salud (EPS) están obligadas a publicar en el Sistema Electrónico para la Contratación Pública –SECOP– la información relacionada con su contratación y, de ser así, cuáles son </w:t>
      </w:r>
      <w:r w:rsidRPr="00E34B7A">
        <w:rPr>
          <w:rFonts w:ascii="Verdana" w:eastAsia="Calibri" w:hAnsi="Verdana" w:cs="Times New Roman"/>
        </w:rPr>
        <w:lastRenderedPageBreak/>
        <w:t>las condiciones normativas que determinan el alcance y cumplimiento de dicha obligación?</w:t>
      </w:r>
    </w:p>
    <w:p w14:paraId="4459EEB3" w14:textId="77777777" w:rsidR="004122B7" w:rsidRPr="00E34B7A" w:rsidRDefault="004122B7" w:rsidP="004122B7">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E34B7A">
        <w:rPr>
          <w:rFonts w:ascii="Verdana" w:eastAsia="Arial" w:hAnsi="Verdana" w:cs="Arial"/>
          <w:b/>
          <w:bCs/>
        </w:rPr>
        <w:t>Respuesta:</w:t>
      </w:r>
    </w:p>
    <w:p w14:paraId="49272377" w14:textId="77777777" w:rsidR="004122B7" w:rsidRPr="00E34B7A" w:rsidRDefault="004122B7" w:rsidP="004122B7">
      <w:pPr>
        <w:spacing w:after="0" w:line="240" w:lineRule="auto"/>
        <w:jc w:val="both"/>
        <w:rPr>
          <w:rFonts w:ascii="Verdana" w:eastAsia="Verdana" w:hAnsi="Verdana" w:cs="Verdana"/>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22B7" w:rsidRPr="00E34B7A" w14:paraId="0CB425D1" w14:textId="77777777" w:rsidTr="00D165EE">
        <w:tc>
          <w:tcPr>
            <w:tcW w:w="8828" w:type="dxa"/>
          </w:tcPr>
          <w:p w14:paraId="0D5D7519" w14:textId="77777777" w:rsidR="004122B7" w:rsidRPr="00E34B7A" w:rsidRDefault="004122B7" w:rsidP="00D165EE">
            <w:pPr>
              <w:spacing w:after="120" w:line="276" w:lineRule="auto"/>
              <w:jc w:val="both"/>
              <w:rPr>
                <w:rFonts w:ascii="Verdana" w:hAnsi="Verdana" w:cs="Arial"/>
              </w:rPr>
            </w:pPr>
            <w:bookmarkStart w:id="1" w:name="_Hlk171067516"/>
            <w:r w:rsidRPr="00E34B7A">
              <w:rPr>
                <w:rFonts w:ascii="Verdana" w:hAnsi="Verdana" w:cs="Arial"/>
              </w:rPr>
              <w:t>En respuesta al problema antes planteado esta Subdirección manifiesta lo siguiente:</w:t>
            </w:r>
          </w:p>
          <w:p w14:paraId="5562053D" w14:textId="77777777" w:rsidR="004122B7" w:rsidRPr="00E34B7A" w:rsidRDefault="004122B7" w:rsidP="00D165EE">
            <w:pPr>
              <w:spacing w:after="120" w:line="276" w:lineRule="auto"/>
              <w:jc w:val="both"/>
              <w:rPr>
                <w:rFonts w:ascii="Verdana" w:eastAsia="Calibri" w:hAnsi="Verdana" w:cs="Times New Roman"/>
              </w:rPr>
            </w:pPr>
            <w:r w:rsidRPr="00E34B7A">
              <w:rPr>
                <w:rFonts w:ascii="Verdana" w:eastAsia="Calibri" w:hAnsi="Verdana" w:cs="Times New Roman"/>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2C6FE81A" w14:textId="77777777" w:rsidR="004122B7" w:rsidRPr="00E34B7A" w:rsidRDefault="004122B7" w:rsidP="00D165EE">
            <w:pPr>
              <w:widowControl w:val="0"/>
              <w:autoSpaceDE w:val="0"/>
              <w:autoSpaceDN w:val="0"/>
              <w:spacing w:after="120" w:line="276" w:lineRule="auto"/>
              <w:ind w:firstLine="743"/>
              <w:jc w:val="both"/>
              <w:rPr>
                <w:rFonts w:ascii="Verdana" w:hAnsi="Verdana"/>
              </w:rPr>
            </w:pPr>
            <w:r w:rsidRPr="00E34B7A">
              <w:rPr>
                <w:rFonts w:ascii="Verdana" w:hAnsi="Verdana"/>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5C27F959" w14:textId="77777777" w:rsidR="004122B7" w:rsidRPr="00E34B7A" w:rsidRDefault="004122B7" w:rsidP="00D165EE">
            <w:pPr>
              <w:widowControl w:val="0"/>
              <w:autoSpaceDE w:val="0"/>
              <w:autoSpaceDN w:val="0"/>
              <w:spacing w:after="120" w:line="276" w:lineRule="auto"/>
              <w:ind w:firstLine="743"/>
              <w:jc w:val="both"/>
              <w:rPr>
                <w:rFonts w:ascii="Verdana" w:eastAsia="Calibri" w:hAnsi="Verdana" w:cs="Times New Roman"/>
              </w:rPr>
            </w:pPr>
            <w:r w:rsidRPr="00E34B7A">
              <w:rPr>
                <w:rFonts w:ascii="Verdana" w:eastAsia="Calibri" w:hAnsi="Verdana" w:cs="Times New Roman"/>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4A658974" w14:textId="3218E833" w:rsidR="003F0A0E" w:rsidRPr="00E34B7A" w:rsidRDefault="004122B7" w:rsidP="00D165EE">
            <w:pPr>
              <w:widowControl w:val="0"/>
              <w:autoSpaceDE w:val="0"/>
              <w:autoSpaceDN w:val="0"/>
              <w:spacing w:after="120" w:line="276" w:lineRule="auto"/>
              <w:ind w:firstLine="743"/>
              <w:jc w:val="both"/>
              <w:rPr>
                <w:rFonts w:ascii="Verdana" w:eastAsia="Calibri" w:hAnsi="Verdana" w:cs="Times New Roman"/>
              </w:rPr>
            </w:pPr>
            <w:r w:rsidRPr="00E34B7A">
              <w:rPr>
                <w:rFonts w:ascii="Verdana" w:eastAsia="Calibri" w:hAnsi="Verdana" w:cs="Times New Roman"/>
              </w:rPr>
              <w:lastRenderedPageBreak/>
              <w:t>Ahora bien, debe precisarse que el alcance de esta obligación no necesariamente es idéntico al que corresponde a las entidades sometidas al Estatuto General de Contratación. El Consejo de Estado ha diferenciado el deber de publicidad de las entidades sometidas a dicho Estatuto frente al de aquellas que cuentan con regímenes especiales o se rigen por el derecho privado. En esta línea, el análisis debe distinguir entre la obligación de publicar la información contractual financiada con recursos públicos y la pretensión de exigir a una EPS la publicación de la totalidad de su actividad contractual</w:t>
            </w:r>
          </w:p>
          <w:p w14:paraId="03EF4BF0" w14:textId="77777777" w:rsidR="003F0A0E" w:rsidRDefault="00D77DB3" w:rsidP="003F0A0E">
            <w:pPr>
              <w:widowControl w:val="0"/>
              <w:autoSpaceDE w:val="0"/>
              <w:autoSpaceDN w:val="0"/>
              <w:spacing w:after="120" w:line="276" w:lineRule="auto"/>
              <w:ind w:firstLine="743"/>
              <w:jc w:val="both"/>
              <w:rPr>
                <w:rFonts w:ascii="Verdana" w:eastAsia="Calibri" w:hAnsi="Verdana" w:cs="Times New Roman"/>
              </w:rPr>
            </w:pPr>
            <w:r w:rsidRPr="003F0A0E">
              <w:rPr>
                <w:rFonts w:ascii="Verdana" w:eastAsia="Calibri" w:hAnsi="Verdana" w:cs="Times New Roman"/>
              </w:rPr>
              <w:t>Adicionalmente, tratándose de entidades estatales sometidas a un régimen contractual excepcional al Estatuto General de Contratación de la Administración Pública, debe tenerse en cuenta lo dispuesto en el artículo 53 de la Ley 2195 de 2022, norma que establece el deber de publicar en el SECOP II los documentos relacionados con su actividad contractual. Esta disposición debe interpretarse de manera sistemática con las normas que regulan la publicidad de la contratación financiada con recursos públicos, de manera que el alcance de la obligación dependerá de la naturaleza jurídica de la EPS, del régimen contractual que le resulte aplicable y del origen de los recursos comprometidos en cada contratación. En consecuencia, la existencia de un régimen de derecho privado no constituye, por sí sola, una excepción al deber de publicidad cuando se encuentren involucrados recursos públicos.</w:t>
            </w:r>
          </w:p>
          <w:p w14:paraId="705F224F" w14:textId="56E0AA3A" w:rsidR="004122B7" w:rsidRPr="00E34B7A" w:rsidRDefault="004122B7" w:rsidP="003F0A0E">
            <w:pPr>
              <w:widowControl w:val="0"/>
              <w:autoSpaceDE w:val="0"/>
              <w:autoSpaceDN w:val="0"/>
              <w:spacing w:after="120" w:line="276" w:lineRule="auto"/>
              <w:ind w:firstLine="743"/>
              <w:jc w:val="both"/>
              <w:rPr>
                <w:rFonts w:ascii="Verdana" w:eastAsia="Calibri" w:hAnsi="Verdana" w:cs="Times New Roman"/>
              </w:rPr>
            </w:pPr>
            <w:r w:rsidRPr="00E34B7A">
              <w:rPr>
                <w:rFonts w:ascii="Verdana" w:eastAsia="Calibri" w:hAnsi="Verdana" w:cs="Arial"/>
                <w:lang w:val="es-ES" w:eastAsia="es-ES_tradnl"/>
              </w:rPr>
              <w:t xml:space="preserve">Al </w:t>
            </w:r>
            <w:r w:rsidRPr="00E34B7A">
              <w:rPr>
                <w:rFonts w:ascii="Verdana" w:eastAsia="Calibri" w:hAnsi="Verdana" w:cs="Arial"/>
                <w:lang w:val="es-ES_tradnl" w:eastAsia="es-ES_tradnl"/>
              </w:rPr>
              <w:t>margen de la explicación precedente debe advertirse que el análisis requerido para resolver problemas específicos en torno a la naturaleza de una IPS y su deber de publicación debe realizarse por quienes tengan interés en ello, de acuerdo con lo explicado en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2618FFCA" w14:textId="77777777" w:rsidR="004122B7" w:rsidRPr="00E34B7A" w:rsidRDefault="004122B7" w:rsidP="004122B7">
      <w:pPr>
        <w:widowControl w:val="0"/>
        <w:autoSpaceDE w:val="0"/>
        <w:autoSpaceDN w:val="0"/>
        <w:spacing w:after="0" w:line="276" w:lineRule="auto"/>
        <w:outlineLvl w:val="0"/>
        <w:rPr>
          <w:rFonts w:ascii="Verdana" w:eastAsia="Arial" w:hAnsi="Verdana" w:cs="Arial"/>
          <w:b/>
          <w:bCs/>
          <w:highlight w:val="cyan"/>
        </w:rPr>
      </w:pPr>
    </w:p>
    <w:p w14:paraId="2819B2DE" w14:textId="77777777" w:rsidR="004122B7" w:rsidRPr="00E34B7A" w:rsidRDefault="004122B7" w:rsidP="004122B7">
      <w:pPr>
        <w:widowControl w:val="0"/>
        <w:autoSpaceDE w:val="0"/>
        <w:autoSpaceDN w:val="0"/>
        <w:spacing w:after="0" w:line="276" w:lineRule="auto"/>
        <w:ind w:left="360" w:hanging="360"/>
        <w:outlineLvl w:val="0"/>
        <w:rPr>
          <w:rFonts w:ascii="Verdana" w:eastAsia="Arial" w:hAnsi="Verdana" w:cs="Arial"/>
          <w:b/>
          <w:bCs/>
          <w:lang w:val="es-ES"/>
        </w:rPr>
      </w:pPr>
      <w:r w:rsidRPr="00E34B7A">
        <w:rPr>
          <w:rFonts w:ascii="Verdana" w:eastAsia="Arial" w:hAnsi="Verdana" w:cs="Arial"/>
          <w:b/>
          <w:bCs/>
          <w:lang w:val="es-ES"/>
        </w:rPr>
        <w:t>3. Razones de la respuesta:</w:t>
      </w:r>
    </w:p>
    <w:p w14:paraId="7CEFA7E4" w14:textId="77777777" w:rsidR="004122B7" w:rsidRPr="00E34B7A" w:rsidRDefault="004122B7" w:rsidP="004122B7">
      <w:pPr>
        <w:spacing w:after="0" w:line="276" w:lineRule="auto"/>
        <w:jc w:val="both"/>
        <w:rPr>
          <w:rFonts w:ascii="Verdana" w:eastAsia="Verdana" w:hAnsi="Verdana" w:cs="Verdana"/>
          <w:lang w:val="es-ES"/>
        </w:rPr>
      </w:pPr>
    </w:p>
    <w:p w14:paraId="1108CD58" w14:textId="77777777" w:rsidR="004122B7" w:rsidRPr="00E34B7A" w:rsidRDefault="004122B7" w:rsidP="004122B7">
      <w:pPr>
        <w:spacing w:after="0" w:line="276" w:lineRule="auto"/>
        <w:jc w:val="both"/>
        <w:rPr>
          <w:rFonts w:ascii="Verdana" w:eastAsia="Calibri" w:hAnsi="Verdana" w:cs="Arial"/>
          <w:lang w:val="es-ES"/>
        </w:rPr>
      </w:pPr>
      <w:r w:rsidRPr="00E34B7A">
        <w:rPr>
          <w:rFonts w:ascii="Verdana" w:eastAsia="Calibri" w:hAnsi="Verdana" w:cs="Arial"/>
          <w:lang w:val="es-ES"/>
        </w:rPr>
        <w:t xml:space="preserve">La respuesta anterior se sustenta en las siguientes consideraciones: </w:t>
      </w:r>
    </w:p>
    <w:p w14:paraId="19BA51A8" w14:textId="77777777" w:rsidR="004122B7" w:rsidRPr="00E34B7A" w:rsidRDefault="004122B7" w:rsidP="004122B7">
      <w:pPr>
        <w:widowControl w:val="0"/>
        <w:autoSpaceDE w:val="0"/>
        <w:autoSpaceDN w:val="0"/>
        <w:spacing w:after="0" w:line="276" w:lineRule="auto"/>
        <w:jc w:val="both"/>
        <w:rPr>
          <w:rFonts w:ascii="Verdana" w:hAnsi="Verdana" w:cs="Arial"/>
          <w:lang w:eastAsia="es-ES"/>
        </w:rPr>
      </w:pPr>
    </w:p>
    <w:p w14:paraId="742A4B41" w14:textId="77777777" w:rsidR="004122B7" w:rsidRPr="00E34B7A" w:rsidRDefault="004122B7" w:rsidP="004122B7">
      <w:pPr>
        <w:spacing w:after="120" w:line="276" w:lineRule="auto"/>
        <w:jc w:val="both"/>
        <w:rPr>
          <w:rFonts w:ascii="Verdana" w:hAnsi="Verdana" w:cs="Arial"/>
          <w:lang w:eastAsia="es-CO"/>
        </w:rPr>
      </w:pPr>
      <w:r w:rsidRPr="00E34B7A">
        <w:rPr>
          <w:rFonts w:ascii="Verdana" w:eastAsia="Times New Roman" w:hAnsi="Verdana" w:cs="Arial"/>
          <w:lang w:val="es-ES" w:eastAsia="es-ES"/>
          <w14:ligatures w14:val="standardContextual"/>
        </w:rPr>
        <w:lastRenderedPageBreak/>
        <w:t xml:space="preserve">i. </w:t>
      </w:r>
      <w:bookmarkStart w:id="2" w:name="_Hlk98877945"/>
      <w:r w:rsidRPr="00E34B7A">
        <w:rPr>
          <w:rFonts w:ascii="Verdana" w:hAnsi="Verdana" w:cs="Arial"/>
          <w:lang w:eastAsia="es-CO"/>
        </w:rPr>
        <w:t>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w:t>
      </w:r>
      <w:bookmarkEnd w:id="2"/>
      <w:r w:rsidRPr="00E34B7A">
        <w:rPr>
          <w:rStyle w:val="Refdenotaalpie"/>
          <w:rFonts w:ascii="Verdana" w:hAnsi="Verdana" w:cs="Arial"/>
          <w:lang w:eastAsia="es-CO"/>
        </w:rPr>
        <w:footnoteReference w:id="1"/>
      </w:r>
      <w:r w:rsidRPr="00E34B7A">
        <w:rPr>
          <w:rFonts w:ascii="Verdana" w:hAnsi="Verdana" w:cs="Arial"/>
          <w:lang w:eastAsia="es-CO"/>
        </w:rPr>
        <w:t xml:space="preserve">. </w:t>
      </w:r>
    </w:p>
    <w:p w14:paraId="1595EFA2" w14:textId="77777777" w:rsidR="004122B7" w:rsidRPr="00E34B7A" w:rsidRDefault="004122B7" w:rsidP="004122B7">
      <w:pPr>
        <w:spacing w:after="120" w:line="276" w:lineRule="auto"/>
        <w:jc w:val="both"/>
        <w:rPr>
          <w:rFonts w:ascii="Verdana" w:hAnsi="Verdana" w:cs="Arial"/>
          <w:lang w:eastAsia="es-CO"/>
        </w:rPr>
      </w:pPr>
      <w:r w:rsidRPr="00E34B7A">
        <w:rPr>
          <w:rFonts w:ascii="Verdana" w:hAnsi="Verdana" w:cs="Arial"/>
          <w:lang w:eastAsia="es-CO"/>
        </w:rPr>
        <w:tab/>
        <w:t>Tratándose de E.P.S de naturaleza pública, estas pueden ser conformadas como empresas industriales y comerciales del Estado, conforme indica el artículo 85 de la Ley 489 de 1998</w:t>
      </w:r>
      <w:r w:rsidRPr="00E34B7A">
        <w:rPr>
          <w:rStyle w:val="Refdenotaalpie"/>
          <w:rFonts w:ascii="Verdana" w:hAnsi="Verdana" w:cs="Arial"/>
          <w:lang w:eastAsia="es-CO"/>
        </w:rPr>
        <w:footnoteReference w:id="2"/>
      </w:r>
      <w:r w:rsidRPr="00E34B7A">
        <w:rPr>
          <w:rFonts w:ascii="Verdana" w:hAnsi="Verdana" w:cs="Arial"/>
          <w:lang w:eastAsia="es-CO"/>
        </w:rPr>
        <w:t xml:space="preserve"> o como sociedades públicas conformadas con participación de una o diversas entidades estatales. En ambos casos, estas tienen la calidad de entidades descentralizadas por servicios, por lo que deben ser creadas por disposición o autorización de la ley, en los términos de los artículos 68 y 69 de la Ley 489 de 1998</w:t>
      </w:r>
      <w:r w:rsidRPr="00E34B7A">
        <w:rPr>
          <w:rStyle w:val="Refdenotaalpie"/>
          <w:rFonts w:ascii="Verdana" w:hAnsi="Verdana" w:cs="Arial"/>
          <w:lang w:eastAsia="es-CO"/>
        </w:rPr>
        <w:footnoteReference w:id="3"/>
      </w:r>
      <w:r w:rsidRPr="00E34B7A">
        <w:rPr>
          <w:rFonts w:ascii="Verdana" w:hAnsi="Verdana" w:cs="Arial"/>
          <w:lang w:eastAsia="es-CO"/>
        </w:rPr>
        <w:t xml:space="preserve">. </w:t>
      </w:r>
    </w:p>
    <w:p w14:paraId="3416C66F" w14:textId="77777777" w:rsidR="004122B7" w:rsidRPr="00E34B7A" w:rsidRDefault="004122B7" w:rsidP="004122B7">
      <w:pPr>
        <w:spacing w:after="120" w:line="276" w:lineRule="auto"/>
        <w:ind w:firstLine="708"/>
        <w:jc w:val="both"/>
        <w:rPr>
          <w:rFonts w:ascii="Verdana" w:hAnsi="Verdana" w:cs="Arial"/>
          <w:lang w:eastAsia="es-CO"/>
        </w:rPr>
      </w:pPr>
      <w:r w:rsidRPr="00E34B7A">
        <w:rPr>
          <w:rFonts w:ascii="Verdana" w:hAnsi="Verdana" w:cs="Arial"/>
          <w:lang w:eastAsia="es-CO"/>
        </w:rPr>
        <w:lastRenderedPageBreak/>
        <w:t>Sin embargo, en cuanto al régimen de contratación de las E.P.S. públicas existe una norma especial que regula su régimen de contratación, establecida en el artículo 45 de la Ley 1122 de 2007</w:t>
      </w:r>
      <w:r w:rsidRPr="00E34B7A">
        <w:rPr>
          <w:rStyle w:val="Refdenotaalpie"/>
          <w:rFonts w:ascii="Verdana" w:hAnsi="Verdana" w:cs="Arial"/>
          <w:lang w:eastAsia="es-CO"/>
        </w:rPr>
        <w:footnoteReference w:id="4"/>
      </w:r>
      <w:r w:rsidRPr="00E34B7A">
        <w:rPr>
          <w:rFonts w:ascii="Verdana" w:hAnsi="Verdana" w:cs="Arial"/>
          <w:lang w:eastAsia="es-CO"/>
        </w:rPr>
        <w:t>, que les hace extensivo el régimen de contratación de las empresas sociales del Estado –E.S.E.–, entidades cuya contratación, de conformidad con el artículo 195, numeral 6, está regida de manera prevalente por el derecho privado</w:t>
      </w:r>
      <w:r w:rsidRPr="00E34B7A">
        <w:rPr>
          <w:rStyle w:val="Refdenotaalpie"/>
          <w:rFonts w:ascii="Verdana" w:hAnsi="Verdana" w:cs="Arial"/>
          <w:lang w:eastAsia="es-CO"/>
        </w:rPr>
        <w:footnoteReference w:id="5"/>
      </w:r>
      <w:r w:rsidRPr="00E34B7A">
        <w:rPr>
          <w:rFonts w:ascii="Verdana" w:hAnsi="Verdana" w:cs="Arial"/>
          <w:lang w:eastAsia="es-CO"/>
        </w:rPr>
        <w:t>.</w:t>
      </w:r>
    </w:p>
    <w:p w14:paraId="68C76D15" w14:textId="77777777" w:rsidR="004122B7" w:rsidRPr="00E34B7A" w:rsidRDefault="004122B7" w:rsidP="004122B7">
      <w:pPr>
        <w:spacing w:after="120" w:line="276" w:lineRule="auto"/>
        <w:ind w:firstLine="708"/>
        <w:jc w:val="both"/>
        <w:rPr>
          <w:rFonts w:ascii="Verdana" w:hAnsi="Verdana" w:cs="Arial"/>
          <w:lang w:eastAsia="es-CO"/>
        </w:rPr>
      </w:pPr>
      <w:r w:rsidRPr="00E34B7A">
        <w:rPr>
          <w:rFonts w:ascii="Verdana" w:hAnsi="Verdana" w:cs="Arial"/>
          <w:lang w:eastAsia="es-CO"/>
        </w:rPr>
        <w:t>En cuanto a las E.P.S mixtas, estas son creadas como sociedades de economía mixta, de acuerdo con el artículo 97 de la Ley 489 de 1998</w:t>
      </w:r>
      <w:r w:rsidRPr="00E34B7A">
        <w:rPr>
          <w:rStyle w:val="Refdenotaalpie"/>
          <w:rFonts w:ascii="Verdana" w:hAnsi="Verdana" w:cs="Arial"/>
          <w:lang w:eastAsia="es-CO"/>
        </w:rPr>
        <w:footnoteReference w:id="6"/>
      </w:r>
      <w:r w:rsidRPr="00E34B7A">
        <w:rPr>
          <w:rFonts w:ascii="Verdana" w:hAnsi="Verdana" w:cs="Arial"/>
          <w:lang w:eastAsia="es-CO"/>
        </w:rPr>
        <w:t xml:space="preserve">. Este tipo de entidades, bajo ciertos supuestos, </w:t>
      </w:r>
      <w:r w:rsidRPr="00E34B7A">
        <w:rPr>
          <w:rFonts w:ascii="Verdana" w:hAnsi="Verdana" w:cs="Arial"/>
        </w:rPr>
        <w:t>se encuentran exceptuadas de la aplicación del Estatuto General de Contratación de la Administración Pública, de conformidad con el artículo 14 de la Ley 1150 de 2007.</w:t>
      </w:r>
    </w:p>
    <w:p w14:paraId="45B0B9E3" w14:textId="77777777" w:rsidR="004122B7" w:rsidRPr="00E34B7A" w:rsidRDefault="004122B7" w:rsidP="004122B7">
      <w:pPr>
        <w:spacing w:after="120" w:line="276" w:lineRule="auto"/>
        <w:ind w:firstLine="708"/>
        <w:jc w:val="both"/>
        <w:rPr>
          <w:rFonts w:ascii="Verdana" w:hAnsi="Verdana" w:cs="Arial"/>
          <w:lang w:eastAsia="es-CO"/>
        </w:rPr>
      </w:pPr>
      <w:r w:rsidRPr="00E34B7A">
        <w:rPr>
          <w:rFonts w:ascii="Verdana" w:hAnsi="Verdana" w:cs="Arial"/>
          <w:lang w:eastAsia="es-CO"/>
        </w:rPr>
        <w:t>Por otro lado, respecto de las E.P.S privadas, el artículo 181 de la Ley 100 de 1993 permite que distintos tipos de entidades regidas por el derecho privado se constituyan como E.P.S. Así, por ejemplo, podrán hacerlo las asociaciones de cajas de compensación</w:t>
      </w:r>
      <w:r w:rsidRPr="00E34B7A">
        <w:rPr>
          <w:rStyle w:val="Refdenotaalpie"/>
          <w:rFonts w:ascii="Verdana" w:hAnsi="Verdana" w:cs="Arial"/>
          <w:lang w:eastAsia="es-CO"/>
        </w:rPr>
        <w:footnoteReference w:id="7"/>
      </w:r>
      <w:r w:rsidRPr="00E34B7A">
        <w:rPr>
          <w:rFonts w:ascii="Verdana" w:hAnsi="Verdana" w:cs="Arial"/>
          <w:lang w:eastAsia="es-CO"/>
        </w:rPr>
        <w:t xml:space="preserve"> –literal c)–, las sociedades comerciales y entidades de economía solidaria</w:t>
      </w:r>
      <w:r w:rsidRPr="00E34B7A">
        <w:rPr>
          <w:rStyle w:val="Refdenotaalpie"/>
          <w:rFonts w:ascii="Verdana" w:hAnsi="Verdana" w:cs="Arial"/>
          <w:lang w:eastAsia="es-CO"/>
        </w:rPr>
        <w:footnoteReference w:id="8"/>
      </w:r>
      <w:r w:rsidRPr="00E34B7A">
        <w:rPr>
          <w:rFonts w:ascii="Verdana" w:hAnsi="Verdana" w:cs="Arial"/>
          <w:lang w:eastAsia="es-CO"/>
        </w:rPr>
        <w:t xml:space="preserve"> que se creen con el propósito de funcionar como E.P.S –</w:t>
      </w:r>
      <w:r w:rsidRPr="00E34B7A">
        <w:rPr>
          <w:rFonts w:ascii="Verdana" w:hAnsi="Verdana" w:cs="Arial"/>
          <w:lang w:eastAsia="es-CO"/>
        </w:rPr>
        <w:lastRenderedPageBreak/>
        <w:t>literal h–. Este tipo 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27D80B97" w14:textId="77777777" w:rsidR="004122B7" w:rsidRPr="00E34B7A" w:rsidRDefault="004122B7" w:rsidP="004122B7">
      <w:pPr>
        <w:spacing w:after="120" w:line="276" w:lineRule="auto"/>
        <w:ind w:firstLine="708"/>
        <w:jc w:val="both"/>
        <w:rPr>
          <w:rFonts w:ascii="Verdana" w:hAnsi="Verdana" w:cs="Arial"/>
          <w:lang w:eastAsia="es-CO"/>
        </w:rPr>
      </w:pPr>
      <w:r w:rsidRPr="00E34B7A">
        <w:rPr>
          <w:rFonts w:ascii="Verdana" w:hAnsi="Verdana" w:cs="Arial"/>
          <w:lang w:eastAsia="es-CO"/>
        </w:rPr>
        <w:t>Ahora bien, independientemente de la naturaleza jurídica concreta a la que obedezca una E.P.S, es claro que estas como actores del sistema general de seguridad social en salud</w:t>
      </w:r>
      <w:r w:rsidRPr="00E34B7A">
        <w:rPr>
          <w:rStyle w:val="Refdenotaalpie"/>
          <w:rFonts w:ascii="Verdana" w:hAnsi="Verdana" w:cs="Arial"/>
          <w:lang w:eastAsia="es-CO"/>
        </w:rPr>
        <w:footnoteReference w:id="9"/>
      </w:r>
      <w:r w:rsidRPr="00E34B7A">
        <w:rPr>
          <w:rFonts w:ascii="Verdana" w:hAnsi="Verdana" w:cs="Arial"/>
          <w:lang w:eastAsia="es-CO"/>
        </w:rPr>
        <w:t>,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26415655" w14:textId="77777777" w:rsidR="004122B7" w:rsidRPr="00E34B7A" w:rsidRDefault="004122B7" w:rsidP="004122B7">
      <w:pPr>
        <w:spacing w:after="120" w:line="276" w:lineRule="auto"/>
        <w:jc w:val="both"/>
        <w:rPr>
          <w:rFonts w:ascii="Verdana" w:eastAsia="Calibri" w:hAnsi="Verdana" w:cs="Arial"/>
          <w:color w:val="000000" w:themeColor="text1"/>
          <w:lang w:val="es-ES"/>
        </w:rPr>
      </w:pPr>
      <w:r w:rsidRPr="00E34B7A">
        <w:rPr>
          <w:rFonts w:ascii="Verdana" w:eastAsia="Calibri" w:hAnsi="Verdana" w:cs="Arial"/>
          <w:color w:val="000000" w:themeColor="text1"/>
          <w:lang w:val="es-ES"/>
        </w:rPr>
        <w:t xml:space="preserve">Ahora bien, explicado lo anterior, uno de los postulados más importantes de un Estado social y democrático de derecho es el principio de </w:t>
      </w:r>
      <w:r w:rsidRPr="00E34B7A">
        <w:rPr>
          <w:rFonts w:ascii="Verdana" w:eastAsia="Calibri" w:hAnsi="Verdana" w:cs="Arial"/>
          <w:i/>
          <w:color w:val="000000" w:themeColor="text1"/>
          <w:lang w:val="es-ES"/>
        </w:rPr>
        <w:t>publicidad</w:t>
      </w:r>
      <w:r w:rsidRPr="00E34B7A">
        <w:rPr>
          <w:rFonts w:ascii="Verdana" w:eastAsia="Calibri" w:hAnsi="Verdana" w:cs="Arial"/>
          <w:color w:val="000000" w:themeColor="text1"/>
          <w:lang w:val="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E34B7A">
        <w:rPr>
          <w:rStyle w:val="Refdenotaalpie"/>
          <w:rFonts w:ascii="Verdana" w:eastAsia="Calibri" w:hAnsi="Verdana" w:cs="Arial"/>
          <w:color w:val="000000" w:themeColor="text1"/>
          <w:lang w:val="es-ES"/>
        </w:rPr>
        <w:footnoteReference w:id="10"/>
      </w:r>
      <w:r w:rsidRPr="00E34B7A">
        <w:rPr>
          <w:rFonts w:ascii="Verdana" w:eastAsia="Calibri" w:hAnsi="Verdana" w:cs="Arial"/>
          <w:color w:val="000000" w:themeColor="text1"/>
          <w:lang w:val="es-ES"/>
        </w:rPr>
        <w:t xml:space="preserve">. El secreto generalizado en el ejercicio del poder político constituye, por el contrario, una negación de la </w:t>
      </w:r>
      <w:r w:rsidRPr="00E34B7A">
        <w:rPr>
          <w:rFonts w:ascii="Verdana" w:eastAsia="Calibri" w:hAnsi="Verdana" w:cs="Arial"/>
          <w:color w:val="000000" w:themeColor="text1"/>
          <w:lang w:val="es-ES"/>
        </w:rPr>
        <w:lastRenderedPageBreak/>
        <w:t xml:space="preserve">democracia, porque dificulta la supervisión de las autoridades por parte de la sociedad civil y establece una barrera para la participación ciudadana. </w:t>
      </w:r>
    </w:p>
    <w:p w14:paraId="3399B061" w14:textId="77777777" w:rsidR="004122B7" w:rsidRPr="00E34B7A" w:rsidRDefault="004122B7" w:rsidP="004122B7">
      <w:pPr>
        <w:spacing w:line="276" w:lineRule="auto"/>
        <w:ind w:firstLine="708"/>
        <w:jc w:val="both"/>
        <w:rPr>
          <w:rFonts w:ascii="Verdana" w:eastAsia="Calibri" w:hAnsi="Verdana" w:cs="Arial"/>
          <w:color w:val="000000" w:themeColor="text1"/>
          <w:lang w:val="es-ES_tradnl"/>
        </w:rPr>
      </w:pPr>
      <w:r w:rsidRPr="00E34B7A">
        <w:rPr>
          <w:rFonts w:ascii="Verdana" w:eastAsia="Calibri" w:hAnsi="Verdana" w:cs="Arial"/>
          <w:color w:val="000000" w:themeColor="text1"/>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2A10473E" w14:textId="77777777" w:rsidR="004122B7" w:rsidRPr="00E34B7A" w:rsidRDefault="004122B7" w:rsidP="004122B7">
      <w:pPr>
        <w:tabs>
          <w:tab w:val="left" w:pos="3885"/>
        </w:tabs>
        <w:spacing w:after="120" w:line="240" w:lineRule="auto"/>
        <w:ind w:left="709" w:right="709"/>
        <w:jc w:val="both"/>
        <w:rPr>
          <w:rFonts w:ascii="Verdana" w:hAnsi="Verdana" w:cs="Arial"/>
          <w:color w:val="000000" w:themeColor="text1"/>
          <w:sz w:val="20"/>
          <w:szCs w:val="20"/>
          <w:lang w:val="es-ES_tradnl"/>
        </w:rPr>
      </w:pPr>
      <w:r w:rsidRPr="00E34B7A">
        <w:rPr>
          <w:rFonts w:ascii="Verdana" w:hAnsi="Verdana" w:cs="Arial"/>
          <w:color w:val="000000" w:themeColor="text1"/>
          <w:sz w:val="20"/>
          <w:szCs w:val="20"/>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D89CC5F" w14:textId="77777777" w:rsidR="004122B7" w:rsidRPr="00E34B7A" w:rsidRDefault="004122B7" w:rsidP="004122B7">
      <w:pPr>
        <w:tabs>
          <w:tab w:val="left" w:pos="3885"/>
          <w:tab w:val="left" w:pos="8222"/>
        </w:tabs>
        <w:spacing w:line="240" w:lineRule="auto"/>
        <w:ind w:left="709" w:right="709"/>
        <w:jc w:val="both"/>
        <w:rPr>
          <w:rFonts w:ascii="Verdana" w:hAnsi="Verdana" w:cs="Arial"/>
          <w:color w:val="000000" w:themeColor="text1"/>
          <w:sz w:val="20"/>
          <w:szCs w:val="20"/>
          <w:lang w:val="es-ES"/>
        </w:rPr>
      </w:pPr>
      <w:r w:rsidRPr="00E34B7A">
        <w:rPr>
          <w:rFonts w:ascii="Verdana" w:hAnsi="Verdana" w:cs="Arial"/>
          <w:color w:val="000000" w:themeColor="text1"/>
          <w:sz w:val="20"/>
          <w:szCs w:val="20"/>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E34B7A">
        <w:rPr>
          <w:rFonts w:ascii="Verdana" w:hAnsi="Verdana" w:cs="Arial"/>
          <w:color w:val="000000" w:themeColor="text1"/>
          <w:sz w:val="20"/>
          <w:szCs w:val="20"/>
          <w:lang w:val="es-ES"/>
        </w:rPr>
        <w:t>autoridades públicas</w:t>
      </w:r>
      <w:proofErr w:type="gramEnd"/>
      <w:r w:rsidRPr="00E34B7A">
        <w:rPr>
          <w:rFonts w:ascii="Verdana" w:hAnsi="Verdana" w:cs="Arial"/>
          <w:color w:val="000000" w:themeColor="text1"/>
          <w:sz w:val="20"/>
          <w:szCs w:val="20"/>
          <w:lang w:val="es-ES"/>
        </w:rPr>
        <w:t xml:space="preserve"> y, a través de ese conocimiento, a exigir que ellas se surtan conforme a la ley</w:t>
      </w:r>
      <w:r w:rsidRPr="00E34B7A">
        <w:rPr>
          <w:rStyle w:val="Refdenotaalpie"/>
          <w:rFonts w:ascii="Verdana" w:eastAsia="Calibri" w:hAnsi="Verdana" w:cs="Arial"/>
          <w:color w:val="000000" w:themeColor="text1"/>
          <w:sz w:val="20"/>
          <w:szCs w:val="20"/>
          <w:lang w:val="es-ES"/>
        </w:rPr>
        <w:footnoteReference w:id="11"/>
      </w:r>
      <w:r w:rsidRPr="00E34B7A">
        <w:rPr>
          <w:rFonts w:ascii="Verdana" w:eastAsia="Calibri" w:hAnsi="Verdana" w:cs="Arial"/>
          <w:color w:val="000000" w:themeColor="text1"/>
          <w:sz w:val="20"/>
          <w:szCs w:val="20"/>
          <w:lang w:val="es-ES"/>
        </w:rPr>
        <w:t>.</w:t>
      </w:r>
    </w:p>
    <w:p w14:paraId="3A7230DA" w14:textId="77777777" w:rsidR="004122B7" w:rsidRPr="00E34B7A" w:rsidRDefault="004122B7" w:rsidP="004122B7">
      <w:pPr>
        <w:spacing w:line="276" w:lineRule="auto"/>
        <w:ind w:firstLine="709"/>
        <w:jc w:val="both"/>
        <w:rPr>
          <w:rFonts w:ascii="Verdana" w:eastAsia="Calibri" w:hAnsi="Verdana" w:cs="Arial"/>
          <w:color w:val="000000" w:themeColor="text1"/>
          <w:lang w:val="es-ES"/>
        </w:rPr>
      </w:pPr>
      <w:r w:rsidRPr="00E34B7A">
        <w:rPr>
          <w:rFonts w:ascii="Verdana" w:eastAsia="Calibri" w:hAnsi="Verdana" w:cs="Arial"/>
          <w:color w:val="000000" w:themeColor="text1"/>
          <w:lang w:val="es-ES"/>
        </w:rPr>
        <w:t xml:space="preserve">El principio de publicidad impone a las autoridades administrativas el deber de dar a conocer sus actos, contratos y decisiones, para que se divulguen y eventualmente se controlen dichas actuaciones. Es por eso </w:t>
      </w:r>
      <w:proofErr w:type="gramStart"/>
      <w:r w:rsidRPr="00E34B7A">
        <w:rPr>
          <w:rFonts w:ascii="Verdana" w:eastAsia="Calibri" w:hAnsi="Verdana" w:cs="Arial"/>
          <w:color w:val="000000" w:themeColor="text1"/>
          <w:lang w:val="es-ES"/>
        </w:rPr>
        <w:t>que</w:t>
      </w:r>
      <w:proofErr w:type="gramEnd"/>
      <w:r w:rsidRPr="00E34B7A">
        <w:rPr>
          <w:rFonts w:ascii="Verdana" w:eastAsia="Calibri" w:hAnsi="Verdana" w:cs="Arial"/>
          <w:color w:val="000000" w:themeColor="text1"/>
          <w:lang w:val="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E34B7A">
        <w:rPr>
          <w:rStyle w:val="Refdenotaalpie"/>
          <w:rFonts w:ascii="Verdana" w:eastAsia="Calibri" w:hAnsi="Verdana" w:cs="Arial"/>
          <w:color w:val="000000" w:themeColor="text1"/>
          <w:lang w:val="es-ES"/>
        </w:rPr>
        <w:footnoteReference w:id="12"/>
      </w:r>
      <w:r w:rsidRPr="00E34B7A">
        <w:rPr>
          <w:rFonts w:ascii="Verdana" w:eastAsia="Calibri" w:hAnsi="Verdana" w:cs="Arial"/>
          <w:color w:val="000000" w:themeColor="text1"/>
          <w:lang w:val="es-ES"/>
        </w:rPr>
        <w:t xml:space="preserve">. </w:t>
      </w:r>
    </w:p>
    <w:p w14:paraId="49C8FAF4" w14:textId="77777777" w:rsidR="004122B7" w:rsidRPr="00E34B7A" w:rsidRDefault="004122B7" w:rsidP="004122B7">
      <w:pPr>
        <w:spacing w:before="120" w:line="276" w:lineRule="auto"/>
        <w:ind w:firstLine="709"/>
        <w:jc w:val="both"/>
        <w:rPr>
          <w:rFonts w:ascii="Verdana" w:eastAsia="Calibri" w:hAnsi="Verdana" w:cs="Arial"/>
          <w:color w:val="000000" w:themeColor="text1"/>
          <w:lang w:val="es-ES"/>
        </w:rPr>
      </w:pPr>
      <w:r w:rsidRPr="00E34B7A">
        <w:rPr>
          <w:rFonts w:ascii="Verdana" w:hAnsi="Verdana" w:cs="Arial"/>
          <w:color w:val="000000" w:themeColor="text1"/>
          <w:lang w:val="es-ES"/>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34B7A">
        <w:rPr>
          <w:rStyle w:val="Refdenotaalpie"/>
          <w:rFonts w:ascii="Verdana" w:hAnsi="Verdana" w:cs="Arial"/>
          <w:color w:val="000000" w:themeColor="text1"/>
          <w:lang w:val="es-ES"/>
        </w:rPr>
        <w:footnoteReference w:id="13"/>
      </w:r>
      <w:r w:rsidRPr="00E34B7A">
        <w:rPr>
          <w:rFonts w:ascii="Verdana" w:hAnsi="Verdana" w:cs="Arial"/>
          <w:color w:val="000000" w:themeColor="text1"/>
          <w:lang w:val="es-ES"/>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w:t>
      </w:r>
      <w:r w:rsidRPr="00E34B7A">
        <w:rPr>
          <w:rStyle w:val="Refdenotaalpie"/>
          <w:rFonts w:ascii="Verdana" w:hAnsi="Verdana" w:cs="Arial"/>
          <w:color w:val="000000" w:themeColor="text1"/>
          <w:lang w:val="es-ES"/>
        </w:rPr>
        <w:footnoteReference w:id="14"/>
      </w:r>
      <w:r w:rsidRPr="00E34B7A">
        <w:rPr>
          <w:rFonts w:ascii="Verdana" w:hAnsi="Verdana" w:cs="Arial"/>
          <w:color w:val="000000" w:themeColor="text1"/>
          <w:lang w:val="es-ES"/>
        </w:rPr>
        <w:t>, deben publicar la información relativa a su contratación. Esta obligación fue desarrollada por el Decreto Único Reglamentario 1081 de 2015</w:t>
      </w:r>
      <w:r w:rsidRPr="00E34B7A">
        <w:rPr>
          <w:rStyle w:val="Refdenotaalpie"/>
          <w:rFonts w:ascii="Verdana" w:hAnsi="Verdana" w:cs="Arial"/>
          <w:color w:val="000000" w:themeColor="text1"/>
          <w:lang w:val="es-ES"/>
        </w:rPr>
        <w:footnoteReference w:id="15"/>
      </w:r>
      <w:r w:rsidRPr="00E34B7A">
        <w:rPr>
          <w:rFonts w:ascii="Verdana" w:hAnsi="Verdana" w:cs="Arial"/>
          <w:color w:val="000000" w:themeColor="text1"/>
          <w:lang w:val="es-ES"/>
        </w:rPr>
        <w:t>, el cual dispuso que la publicación de la información contractual de los sujetos obligados, que contratan con cargo a recursos públicos, debe hacerse en el Sistema Electrónico para la Contratación Pública ─</w:t>
      </w:r>
      <w:r w:rsidRPr="00E34B7A">
        <w:rPr>
          <w:rFonts w:ascii="Verdana" w:hAnsi="Verdana" w:cs="Arial"/>
          <w:color w:val="000000" w:themeColor="text1"/>
          <w:lang w:val="es-ES_tradnl"/>
        </w:rPr>
        <w:softHyphen/>
      </w:r>
      <w:r w:rsidRPr="00E34B7A">
        <w:rPr>
          <w:rFonts w:ascii="Verdana" w:hAnsi="Verdana" w:cs="Arial"/>
          <w:color w:val="000000" w:themeColor="text1"/>
          <w:lang w:val="es-ES"/>
        </w:rPr>
        <w:t xml:space="preserve"> </w:t>
      </w:r>
      <w:r w:rsidRPr="00E34B7A">
        <w:rPr>
          <w:rFonts w:ascii="Verdana" w:hAnsi="Verdana" w:cs="Arial"/>
          <w:color w:val="000000" w:themeColor="text1"/>
          <w:lang w:val="es-ES_tradnl"/>
        </w:rPr>
        <w:softHyphen/>
      </w:r>
      <w:r w:rsidRPr="00E34B7A">
        <w:rPr>
          <w:rFonts w:ascii="Verdana" w:hAnsi="Verdana" w:cs="Arial"/>
          <w:color w:val="000000" w:themeColor="text1"/>
          <w:lang w:val="es-ES"/>
        </w:rPr>
        <w:t>SECOP–.</w:t>
      </w:r>
    </w:p>
    <w:p w14:paraId="3E5041BA" w14:textId="77777777" w:rsidR="004122B7" w:rsidRPr="00E34B7A" w:rsidRDefault="004122B7" w:rsidP="004122B7">
      <w:pPr>
        <w:spacing w:before="120" w:line="276" w:lineRule="auto"/>
        <w:ind w:firstLine="709"/>
        <w:jc w:val="both"/>
        <w:rPr>
          <w:rFonts w:ascii="Verdana" w:hAnsi="Verdana" w:cs="Arial"/>
          <w:color w:val="000000" w:themeColor="text1"/>
          <w:lang w:val="es-ES_tradnl"/>
        </w:rPr>
      </w:pPr>
      <w:r w:rsidRPr="00E34B7A">
        <w:rPr>
          <w:rFonts w:ascii="Verdana" w:hAnsi="Verdana" w:cs="Arial"/>
          <w:color w:val="000000" w:themeColor="text1"/>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E34B7A">
        <w:rPr>
          <w:rFonts w:ascii="Verdana" w:eastAsia="Calibri" w:hAnsi="Verdana" w:cs="Arial"/>
          <w:color w:val="000000" w:themeColor="text1"/>
          <w:lang w:val="es-ES_tradnl"/>
        </w:rPr>
        <w:t xml:space="preserve">El derecho de acceso a la información pública o de interés público </w:t>
      </w:r>
      <w:r w:rsidRPr="00E34B7A">
        <w:rPr>
          <w:rFonts w:ascii="Verdana" w:eastAsia="Calibri" w:hAnsi="Verdana" w:cs="Arial"/>
          <w:color w:val="000000" w:themeColor="text1"/>
          <w:lang w:val="es-ES_tradnl"/>
        </w:rPr>
        <w:lastRenderedPageBreak/>
        <w:t>permite a toda persona, sin necesidad de acreditar calidad, interés o condición particular, conocer la existencia de información pública, acceder a la misma y difundirla o publicarla, según su interés</w:t>
      </w:r>
      <w:r w:rsidRPr="00E34B7A">
        <w:rPr>
          <w:rStyle w:val="Refdenotaalpie"/>
          <w:rFonts w:ascii="Verdana" w:eastAsia="Calibri" w:hAnsi="Verdana" w:cs="Arial"/>
          <w:color w:val="000000" w:themeColor="text1"/>
          <w:lang w:val="es-ES_tradnl"/>
        </w:rPr>
        <w:footnoteReference w:id="16"/>
      </w:r>
      <w:r w:rsidRPr="00E34B7A">
        <w:rPr>
          <w:rFonts w:ascii="Verdana" w:eastAsia="Calibri" w:hAnsi="Verdana" w:cs="Arial"/>
          <w:color w:val="000000" w:themeColor="text1"/>
          <w:lang w:val="es-ES_tradnl"/>
        </w:rPr>
        <w:t>.</w:t>
      </w:r>
    </w:p>
    <w:p w14:paraId="27F6434E" w14:textId="77777777" w:rsidR="004122B7" w:rsidRPr="00E34B7A" w:rsidRDefault="004122B7" w:rsidP="004122B7">
      <w:pPr>
        <w:spacing w:before="120" w:line="276" w:lineRule="auto"/>
        <w:ind w:firstLine="709"/>
        <w:jc w:val="both"/>
        <w:rPr>
          <w:rFonts w:ascii="Verdana" w:hAnsi="Verdana" w:cs="Arial"/>
          <w:color w:val="000000" w:themeColor="text1"/>
          <w:lang w:val="es-ES_tradnl"/>
        </w:rPr>
      </w:pPr>
      <w:r w:rsidRPr="00E34B7A">
        <w:rPr>
          <w:rFonts w:ascii="Verdana" w:hAnsi="Verdana" w:cs="Arial"/>
          <w:color w:val="000000" w:themeColor="text1"/>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E34B7A">
        <w:rPr>
          <w:rStyle w:val="Refdenotaalpie"/>
          <w:rFonts w:ascii="Verdana" w:hAnsi="Verdana" w:cs="Arial"/>
          <w:color w:val="000000" w:themeColor="text1"/>
          <w:lang w:val="es-ES_tradnl"/>
        </w:rPr>
        <w:footnoteReference w:id="17"/>
      </w:r>
      <w:r w:rsidRPr="00E34B7A">
        <w:rPr>
          <w:rFonts w:ascii="Verdana" w:hAnsi="Verdana" w:cs="Arial"/>
          <w:color w:val="000000" w:themeColor="text1"/>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2D80CCCC" w14:textId="77777777" w:rsidR="004122B7" w:rsidRPr="00E34B7A" w:rsidRDefault="004122B7" w:rsidP="004122B7">
      <w:pPr>
        <w:spacing w:before="120" w:line="276" w:lineRule="auto"/>
        <w:ind w:firstLine="709"/>
        <w:jc w:val="both"/>
        <w:rPr>
          <w:rFonts w:ascii="Verdana" w:hAnsi="Verdana" w:cs="Arial"/>
          <w:color w:val="000000" w:themeColor="text1"/>
          <w:lang w:val="es-ES_tradnl"/>
        </w:rPr>
      </w:pPr>
      <w:r w:rsidRPr="00E34B7A">
        <w:rPr>
          <w:rFonts w:ascii="Verdana" w:hAnsi="Verdana" w:cs="Arial"/>
          <w:color w:val="000000" w:themeColor="text1"/>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E34B7A">
        <w:rPr>
          <w:rStyle w:val="Refdenotaalpie"/>
          <w:rFonts w:ascii="Verdana" w:hAnsi="Verdana" w:cs="Arial"/>
          <w:color w:val="000000" w:themeColor="text1"/>
          <w:lang w:val="es-ES_tradnl"/>
        </w:rPr>
        <w:footnoteReference w:id="18"/>
      </w:r>
      <w:r w:rsidRPr="00E34B7A">
        <w:rPr>
          <w:rFonts w:ascii="Verdana" w:hAnsi="Verdana" w:cs="Arial"/>
          <w:color w:val="000000" w:themeColor="text1"/>
          <w:lang w:val="es-ES_tradnl"/>
        </w:rPr>
        <w:t>, expresó que la obligación prevista en la Circular Externa No. 1 se ajusta a la normativa superior, en los siguientes términos:</w:t>
      </w:r>
    </w:p>
    <w:p w14:paraId="413D7032" w14:textId="77777777" w:rsidR="004122B7" w:rsidRPr="00E34B7A" w:rsidRDefault="004122B7" w:rsidP="004122B7">
      <w:pPr>
        <w:tabs>
          <w:tab w:val="left" w:pos="3885"/>
        </w:tabs>
        <w:spacing w:after="120" w:line="240" w:lineRule="auto"/>
        <w:ind w:left="709" w:right="709"/>
        <w:jc w:val="both"/>
        <w:rPr>
          <w:rFonts w:ascii="Verdana" w:hAnsi="Verdana" w:cs="Arial"/>
          <w:color w:val="000000" w:themeColor="text1"/>
          <w:sz w:val="20"/>
          <w:szCs w:val="20"/>
          <w:lang w:val="es-ES_tradnl"/>
        </w:rPr>
      </w:pPr>
      <w:r w:rsidRPr="00E34B7A">
        <w:rPr>
          <w:rFonts w:ascii="Verdana" w:hAnsi="Verdana" w:cs="Arial"/>
          <w:color w:val="000000" w:themeColor="text1"/>
          <w:sz w:val="20"/>
          <w:szCs w:val="20"/>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6D060FF1" w14:textId="77777777" w:rsidR="004122B7" w:rsidRPr="00E34B7A" w:rsidRDefault="004122B7" w:rsidP="004122B7">
      <w:pPr>
        <w:tabs>
          <w:tab w:val="left" w:pos="3885"/>
        </w:tabs>
        <w:spacing w:line="240" w:lineRule="auto"/>
        <w:ind w:left="709" w:right="709"/>
        <w:jc w:val="both"/>
        <w:rPr>
          <w:rFonts w:ascii="Verdana" w:hAnsi="Verdana" w:cs="Arial"/>
          <w:color w:val="000000" w:themeColor="text1"/>
          <w:sz w:val="20"/>
          <w:szCs w:val="20"/>
          <w:lang w:val="es-ES"/>
        </w:rPr>
      </w:pPr>
      <w:r w:rsidRPr="00E34B7A">
        <w:rPr>
          <w:rFonts w:ascii="Verdana" w:hAnsi="Verdana" w:cs="Arial"/>
          <w:color w:val="000000" w:themeColor="text1"/>
          <w:sz w:val="20"/>
          <w:szCs w:val="20"/>
          <w:lang w:val="es-ES"/>
        </w:rPr>
        <w:t xml:space="preserve">11.5. ─Y es que, si se quiere en términos más detallados el literal c) del artículo 3o de la Ley en comento responde claramente las siguientes inquietudes: ¿Quiénes están obligados? los que realizan contratación con </w:t>
      </w:r>
      <w:r w:rsidRPr="00E34B7A">
        <w:rPr>
          <w:rFonts w:ascii="Verdana" w:hAnsi="Verdana" w:cs="Arial"/>
          <w:color w:val="000000" w:themeColor="text1"/>
          <w:sz w:val="20"/>
          <w:szCs w:val="20"/>
          <w:lang w:val="es-ES"/>
        </w:rPr>
        <w:lastRenderedPageBreak/>
        <w:t>dineros públicos; ¿</w:t>
      </w:r>
      <w:proofErr w:type="gramStart"/>
      <w:r w:rsidRPr="00E34B7A">
        <w:rPr>
          <w:rFonts w:ascii="Verdana" w:hAnsi="Verdana" w:cs="Arial"/>
          <w:color w:val="000000" w:themeColor="text1"/>
          <w:sz w:val="20"/>
          <w:szCs w:val="20"/>
          <w:lang w:val="es-ES"/>
        </w:rPr>
        <w:t>en razón de</w:t>
      </w:r>
      <w:proofErr w:type="gramEnd"/>
      <w:r w:rsidRPr="00E34B7A">
        <w:rPr>
          <w:rFonts w:ascii="Verdana" w:hAnsi="Verdana" w:cs="Arial"/>
          <w:color w:val="000000" w:themeColor="text1"/>
          <w:sz w:val="20"/>
          <w:szCs w:val="20"/>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C9E9254" w14:textId="77777777" w:rsidR="004122B7" w:rsidRPr="00E34B7A" w:rsidRDefault="004122B7" w:rsidP="004122B7">
      <w:pPr>
        <w:tabs>
          <w:tab w:val="left" w:pos="3885"/>
        </w:tabs>
        <w:spacing w:after="120" w:line="240" w:lineRule="auto"/>
        <w:ind w:left="709" w:right="709"/>
        <w:jc w:val="both"/>
        <w:rPr>
          <w:rFonts w:ascii="Verdana" w:hAnsi="Verdana" w:cs="Arial"/>
          <w:color w:val="000000" w:themeColor="text1"/>
          <w:sz w:val="20"/>
          <w:szCs w:val="20"/>
          <w:lang w:val="es-ES_tradnl"/>
        </w:rPr>
      </w:pPr>
      <w:r w:rsidRPr="00E34B7A">
        <w:rPr>
          <w:rFonts w:ascii="Verdana" w:hAnsi="Verdana" w:cs="Arial"/>
          <w:color w:val="000000" w:themeColor="text1"/>
          <w:sz w:val="20"/>
          <w:szCs w:val="20"/>
          <w:lang w:val="es-ES_tradnl"/>
        </w:rPr>
        <w:t>[…]</w:t>
      </w:r>
    </w:p>
    <w:p w14:paraId="0A606B13" w14:textId="77777777" w:rsidR="004122B7" w:rsidRPr="00E34B7A" w:rsidRDefault="004122B7" w:rsidP="004122B7">
      <w:pPr>
        <w:tabs>
          <w:tab w:val="left" w:pos="3885"/>
        </w:tabs>
        <w:spacing w:line="240" w:lineRule="auto"/>
        <w:ind w:left="709" w:right="709"/>
        <w:jc w:val="both"/>
        <w:rPr>
          <w:rFonts w:ascii="Verdana" w:hAnsi="Verdana" w:cs="Arial"/>
          <w:color w:val="000000" w:themeColor="text1"/>
          <w:sz w:val="20"/>
          <w:szCs w:val="20"/>
          <w:lang w:val="es-ES"/>
        </w:rPr>
      </w:pPr>
      <w:r w:rsidRPr="00E34B7A">
        <w:rPr>
          <w:rFonts w:ascii="Verdana" w:hAnsi="Verdana" w:cs="Arial"/>
          <w:color w:val="000000" w:themeColor="text1"/>
          <w:sz w:val="20"/>
          <w:szCs w:val="20"/>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E34B7A">
        <w:rPr>
          <w:rStyle w:val="Refdenotaalpie"/>
          <w:rFonts w:ascii="Verdana" w:hAnsi="Verdana" w:cs="Arial"/>
          <w:color w:val="000000" w:themeColor="text1"/>
          <w:sz w:val="20"/>
          <w:szCs w:val="20"/>
          <w:lang w:val="es-ES"/>
        </w:rPr>
        <w:footnoteReference w:id="19"/>
      </w:r>
      <w:r w:rsidRPr="00E34B7A">
        <w:rPr>
          <w:rFonts w:ascii="Verdana" w:hAnsi="Verdana" w:cs="Arial"/>
          <w:color w:val="000000" w:themeColor="text1"/>
          <w:sz w:val="20"/>
          <w:szCs w:val="20"/>
          <w:lang w:val="es-ES"/>
        </w:rPr>
        <w:t>.</w:t>
      </w:r>
    </w:p>
    <w:p w14:paraId="2FF8611D" w14:textId="77777777" w:rsidR="004122B7" w:rsidRPr="00E34B7A" w:rsidRDefault="004122B7" w:rsidP="004122B7">
      <w:pPr>
        <w:spacing w:line="276" w:lineRule="auto"/>
        <w:ind w:firstLine="708"/>
        <w:jc w:val="both"/>
        <w:rPr>
          <w:rFonts w:ascii="Verdana" w:hAnsi="Verdana" w:cs="Arial"/>
          <w:color w:val="000000" w:themeColor="text1"/>
          <w:lang w:val="es-ES_tradnl"/>
        </w:rPr>
      </w:pPr>
      <w:r w:rsidRPr="00E34B7A">
        <w:rPr>
          <w:rFonts w:ascii="Verdana" w:hAnsi="Verdana" w:cs="Arial"/>
          <w:color w:val="000000" w:themeColor="text1"/>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66B26BA0" w14:textId="77777777" w:rsidR="004122B7" w:rsidRPr="00E34B7A" w:rsidRDefault="004122B7" w:rsidP="004122B7">
      <w:pPr>
        <w:spacing w:line="240" w:lineRule="auto"/>
        <w:ind w:left="709" w:right="709"/>
        <w:jc w:val="both"/>
        <w:rPr>
          <w:rFonts w:ascii="Verdana" w:hAnsi="Verdana" w:cs="Arial"/>
          <w:color w:val="000000" w:themeColor="text1"/>
          <w:sz w:val="20"/>
          <w:szCs w:val="20"/>
          <w:lang w:val="es-ES_tradnl"/>
        </w:rPr>
      </w:pPr>
      <w:r w:rsidRPr="00E34B7A">
        <w:rPr>
          <w:rFonts w:ascii="Verdana" w:hAnsi="Verdana" w:cs="Arial"/>
          <w:color w:val="000000" w:themeColor="text1"/>
          <w:sz w:val="20"/>
          <w:szCs w:val="20"/>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E34B7A">
        <w:rPr>
          <w:rStyle w:val="Refdenotaalpie"/>
          <w:rFonts w:ascii="Verdana" w:hAnsi="Verdana" w:cs="Arial"/>
          <w:color w:val="000000" w:themeColor="text1"/>
          <w:sz w:val="20"/>
          <w:szCs w:val="20"/>
          <w:lang w:val="es-ES_tradnl"/>
        </w:rPr>
        <w:footnoteReference w:id="20"/>
      </w:r>
      <w:r w:rsidRPr="00E34B7A">
        <w:rPr>
          <w:rFonts w:ascii="Verdana" w:hAnsi="Verdana" w:cs="Arial"/>
          <w:color w:val="000000" w:themeColor="text1"/>
          <w:sz w:val="20"/>
          <w:szCs w:val="20"/>
          <w:lang w:val="es-ES_tradnl"/>
        </w:rPr>
        <w:t>.</w:t>
      </w:r>
    </w:p>
    <w:p w14:paraId="65D7CE03" w14:textId="77777777" w:rsidR="004122B7" w:rsidRPr="00E34B7A" w:rsidRDefault="004122B7" w:rsidP="004122B7">
      <w:pPr>
        <w:spacing w:after="120" w:line="276" w:lineRule="auto"/>
        <w:ind w:firstLine="709"/>
        <w:jc w:val="both"/>
        <w:rPr>
          <w:rFonts w:ascii="Verdana" w:hAnsi="Verdana" w:cs="Arial"/>
          <w:color w:val="000000" w:themeColor="text1"/>
          <w:lang w:val="es-ES_tradnl"/>
        </w:rPr>
      </w:pPr>
      <w:r w:rsidRPr="00E34B7A">
        <w:rPr>
          <w:rFonts w:ascii="Verdana" w:hAnsi="Verdana" w:cs="Arial"/>
          <w:color w:val="000000" w:themeColor="text1"/>
          <w:lang w:val="es-ES_tradnl"/>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w:t>
      </w:r>
      <w:r w:rsidRPr="00E34B7A">
        <w:rPr>
          <w:rFonts w:ascii="Verdana" w:hAnsi="Verdana" w:cs="Arial"/>
          <w:color w:val="000000" w:themeColor="text1"/>
          <w:lang w:val="es-ES_tradnl"/>
        </w:rPr>
        <w:lastRenderedPageBreak/>
        <w:t>expresamente consagrado en las Leyes 1150 de 2007, 1712 de 2014 y la Circular Externa Única.</w:t>
      </w:r>
    </w:p>
    <w:p w14:paraId="230730B8" w14:textId="77777777" w:rsidR="004122B7" w:rsidRPr="00E34B7A" w:rsidRDefault="004122B7" w:rsidP="004122B7">
      <w:pPr>
        <w:spacing w:before="120" w:line="276" w:lineRule="auto"/>
        <w:ind w:firstLine="709"/>
        <w:jc w:val="both"/>
        <w:rPr>
          <w:rFonts w:ascii="Verdana" w:eastAsia="Calibri" w:hAnsi="Verdana" w:cs="Arial"/>
          <w:color w:val="000000"/>
          <w:lang w:val="es-ES"/>
        </w:rPr>
      </w:pPr>
      <w:r w:rsidRPr="00E34B7A">
        <w:rPr>
          <w:rFonts w:ascii="Verdana" w:hAnsi="Verdana" w:cs="Arial"/>
          <w:color w:val="000000" w:themeColor="text1"/>
          <w:lang w:val="es-ES"/>
        </w:rPr>
        <w:t xml:space="preserve">De otro lado, </w:t>
      </w:r>
      <w:r w:rsidRPr="00E34B7A">
        <w:rPr>
          <w:rFonts w:ascii="Verdana" w:eastAsia="Calibri" w:hAnsi="Verdana" w:cs="Arial"/>
          <w:color w:val="000000" w:themeColor="text1"/>
          <w:lang w:val="es-ES"/>
        </w:rPr>
        <w:t>el 18 de enero del año en curso se promulgó la Ley 2195 de 2022. Según lo establece su artículo 1, esta Ley «</w:t>
      </w:r>
      <w:r w:rsidRPr="00E34B7A">
        <w:rPr>
          <w:rFonts w:ascii="Verdana" w:hAnsi="Verdana" w:cs="Arial"/>
          <w:lang w:val="es-ES"/>
        </w:rPr>
        <w:t xml:space="preserve">[…] </w:t>
      </w:r>
      <w:r w:rsidRPr="00E34B7A">
        <w:rPr>
          <w:rFonts w:ascii="Verdana" w:eastAsia="Calibri" w:hAnsi="Verdana" w:cs="Arial"/>
          <w:color w:val="000000" w:themeColor="text1"/>
          <w:lang w:val="es-ES"/>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E34B7A">
        <w:rPr>
          <w:rFonts w:ascii="Verdana" w:eastAsia="Calibri" w:hAnsi="Verdana" w:cs="Arial"/>
          <w:color w:val="000000" w:themeColor="text1"/>
          <w:lang w:val="es-ES"/>
        </w:rPr>
        <w:t>ii</w:t>
      </w:r>
      <w:proofErr w:type="spellEnd"/>
      <w:r w:rsidRPr="00E34B7A">
        <w:rPr>
          <w:rFonts w:ascii="Verdana" w:eastAsia="Calibri" w:hAnsi="Verdana" w:cs="Arial"/>
          <w:color w:val="000000" w:themeColor="text1"/>
          <w:lang w:val="es-ES"/>
        </w:rPr>
        <w:t xml:space="preserve">) la inhabilidad por incumplimiento reiterado en los contratos de alimentación escolar –artículo 51–, </w:t>
      </w:r>
      <w:proofErr w:type="spellStart"/>
      <w:r w:rsidRPr="00E34B7A">
        <w:rPr>
          <w:rFonts w:ascii="Verdana" w:eastAsia="Calibri" w:hAnsi="Verdana" w:cs="Arial"/>
          <w:color w:val="000000" w:themeColor="text1"/>
          <w:lang w:val="es-ES"/>
        </w:rPr>
        <w:t>iii</w:t>
      </w:r>
      <w:proofErr w:type="spellEnd"/>
      <w:r w:rsidRPr="00E34B7A">
        <w:rPr>
          <w:rFonts w:ascii="Verdana" w:eastAsia="Calibri" w:hAnsi="Verdana" w:cs="Arial"/>
          <w:color w:val="000000" w:themeColor="text1"/>
          <w:lang w:val="es-ES"/>
        </w:rPr>
        <w:t xml:space="preserve">) las cláusulas excepcionales en los contratos celebrados con el objeto señalado anteriormente –artículo 52–, </w:t>
      </w:r>
      <w:proofErr w:type="spellStart"/>
      <w:r w:rsidRPr="00E34B7A">
        <w:rPr>
          <w:rFonts w:ascii="Verdana" w:eastAsia="Calibri" w:hAnsi="Verdana" w:cs="Arial"/>
          <w:color w:val="000000" w:themeColor="text1"/>
          <w:lang w:val="es-ES"/>
        </w:rPr>
        <w:t>iv</w:t>
      </w:r>
      <w:proofErr w:type="spellEnd"/>
      <w:r w:rsidRPr="00E34B7A">
        <w:rPr>
          <w:rFonts w:ascii="Verdana" w:eastAsia="Calibri" w:hAnsi="Verdana" w:cs="Arial"/>
          <w:color w:val="000000" w:themeColor="text1"/>
          <w:lang w:val="es-ES"/>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E34B7A">
        <w:rPr>
          <w:rFonts w:ascii="Verdana" w:eastAsia="Calibri" w:hAnsi="Verdana" w:cs="Arial"/>
          <w:i/>
          <w:color w:val="000000" w:themeColor="text1"/>
          <w:lang w:val="es-ES"/>
        </w:rPr>
        <w:t>no</w:t>
      </w:r>
      <w:r w:rsidRPr="00E34B7A">
        <w:rPr>
          <w:rFonts w:ascii="Verdana" w:eastAsia="Calibri" w:hAnsi="Verdana" w:cs="Arial"/>
          <w:color w:val="000000" w:themeColor="text1"/>
          <w:lang w:val="es-ES"/>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E34B7A">
        <w:rPr>
          <w:rFonts w:ascii="Verdana" w:eastAsia="Calibri" w:hAnsi="Verdana" w:cs="Arial"/>
          <w:color w:val="000000" w:themeColor="text1"/>
          <w:lang w:val="es-ES"/>
        </w:rPr>
        <w:t>vii</w:t>
      </w:r>
      <w:proofErr w:type="spellEnd"/>
      <w:r w:rsidRPr="00E34B7A">
        <w:rPr>
          <w:rFonts w:ascii="Verdana" w:eastAsia="Calibri" w:hAnsi="Verdana" w:cs="Arial"/>
          <w:color w:val="000000" w:themeColor="text1"/>
          <w:lang w:val="es-ES"/>
        </w:rPr>
        <w:t xml:space="preserve">) la aplicación de los documentos tipo a entidades con régimen especial –artículo 56–, </w:t>
      </w:r>
      <w:proofErr w:type="spellStart"/>
      <w:r w:rsidRPr="00E34B7A">
        <w:rPr>
          <w:rFonts w:ascii="Verdana" w:eastAsia="Calibri" w:hAnsi="Verdana" w:cs="Arial"/>
          <w:color w:val="000000" w:themeColor="text1"/>
          <w:lang w:val="es-ES"/>
        </w:rPr>
        <w:t>viii</w:t>
      </w:r>
      <w:proofErr w:type="spellEnd"/>
      <w:r w:rsidRPr="00E34B7A">
        <w:rPr>
          <w:rFonts w:ascii="Verdana" w:eastAsia="Calibri" w:hAnsi="Verdana" w:cs="Arial"/>
          <w:color w:val="000000" w:themeColor="text1"/>
          <w:lang w:val="es-ES"/>
        </w:rPr>
        <w:t xml:space="preserve">) la obligación, radicada en los revisores fiscales, de denunciar los actos de corrupción –artículo 57–, y </w:t>
      </w:r>
      <w:proofErr w:type="spellStart"/>
      <w:r w:rsidRPr="00E34B7A">
        <w:rPr>
          <w:rFonts w:ascii="Verdana" w:eastAsia="Calibri" w:hAnsi="Verdana" w:cs="Arial"/>
          <w:color w:val="000000" w:themeColor="text1"/>
          <w:lang w:val="es-ES"/>
        </w:rPr>
        <w:t>ix</w:t>
      </w:r>
      <w:proofErr w:type="spellEnd"/>
      <w:r w:rsidRPr="00E34B7A">
        <w:rPr>
          <w:rFonts w:ascii="Verdana" w:eastAsia="Calibri" w:hAnsi="Verdana" w:cs="Arial"/>
          <w:color w:val="000000" w:themeColor="text1"/>
          <w:lang w:val="es-ES"/>
        </w:rPr>
        <w:t>) la reducción de puntaje por incumplimiento de contratos –artículo 58–.</w:t>
      </w:r>
      <w:r w:rsidRPr="00E34B7A">
        <w:rPr>
          <w:rFonts w:ascii="Verdana" w:eastAsia="Calibri" w:hAnsi="Verdana" w:cs="Arial"/>
          <w:color w:val="000000"/>
          <w:lang w:val="es-ES"/>
        </w:rPr>
        <w:t xml:space="preserve"> </w:t>
      </w:r>
      <w:r w:rsidRPr="00E34B7A">
        <w:rPr>
          <w:rFonts w:ascii="Verdana" w:eastAsia="Calibri" w:hAnsi="Verdana" w:cs="Arial"/>
          <w:color w:val="000000"/>
          <w:lang w:val="es-ES_tradnl"/>
        </w:rPr>
        <w:t>Según se indicó, el artículo 53 de la Ley 2195 de 2022 hace obligatorio el uso del SECOP II para las entidades exceptuadas del Estatuto General de Contratación de la Administración Pública. En efecto, esta norma dispone:</w:t>
      </w:r>
    </w:p>
    <w:p w14:paraId="65E4BE56" w14:textId="77777777" w:rsidR="004122B7" w:rsidRPr="00E34B7A" w:rsidRDefault="004122B7" w:rsidP="004122B7">
      <w:pPr>
        <w:spacing w:line="240" w:lineRule="auto"/>
        <w:ind w:left="709" w:right="709"/>
        <w:jc w:val="both"/>
        <w:rPr>
          <w:rFonts w:ascii="Verdana" w:eastAsia="Calibri" w:hAnsi="Verdana" w:cs="Arial"/>
          <w:sz w:val="20"/>
          <w:szCs w:val="20"/>
        </w:rPr>
      </w:pPr>
      <w:r w:rsidRPr="00E34B7A">
        <w:rPr>
          <w:rFonts w:ascii="Verdana" w:eastAsia="Calibri" w:hAnsi="Verdana" w:cs="Arial"/>
          <w:sz w:val="20"/>
          <w:szCs w:val="20"/>
        </w:rPr>
        <w:t>Adiciónese los siguientes incisos al artículo 13 de la Ley 1150 de 2007, el cual quedará así:</w:t>
      </w:r>
    </w:p>
    <w:p w14:paraId="1366CBA0" w14:textId="77777777" w:rsidR="004122B7" w:rsidRPr="00E34B7A" w:rsidRDefault="004122B7" w:rsidP="004122B7">
      <w:pPr>
        <w:spacing w:line="240" w:lineRule="auto"/>
        <w:ind w:left="709" w:right="709"/>
        <w:jc w:val="both"/>
        <w:rPr>
          <w:rFonts w:ascii="Verdana" w:eastAsia="Calibri" w:hAnsi="Verdana" w:cs="Arial"/>
          <w:sz w:val="20"/>
          <w:szCs w:val="20"/>
        </w:rPr>
      </w:pPr>
      <w:r w:rsidRPr="00E34B7A">
        <w:rPr>
          <w:rFonts w:ascii="Verdana" w:eastAsia="Calibri" w:hAnsi="Verdana" w:cs="Arial"/>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w:t>
      </w:r>
      <w:r w:rsidRPr="00E34B7A">
        <w:rPr>
          <w:rFonts w:ascii="Verdana" w:eastAsia="Calibri" w:hAnsi="Verdana" w:cs="Arial"/>
          <w:sz w:val="20"/>
          <w:szCs w:val="20"/>
        </w:rPr>
        <w:lastRenderedPageBreak/>
        <w:t>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99E7F8E" w14:textId="77777777" w:rsidR="004122B7" w:rsidRPr="00E34B7A" w:rsidRDefault="004122B7" w:rsidP="004122B7">
      <w:pPr>
        <w:spacing w:line="240" w:lineRule="auto"/>
        <w:ind w:left="709" w:right="709"/>
        <w:jc w:val="both"/>
        <w:rPr>
          <w:rFonts w:ascii="Verdana" w:eastAsia="Calibri" w:hAnsi="Verdana" w:cs="Arial"/>
          <w:sz w:val="20"/>
          <w:szCs w:val="20"/>
        </w:rPr>
      </w:pPr>
      <w:r w:rsidRPr="00E34B7A">
        <w:rPr>
          <w:rFonts w:ascii="Verdana" w:eastAsia="Calibri" w:hAnsi="Verdana" w:cs="Arial"/>
          <w:sz w:val="20"/>
          <w:szCs w:val="20"/>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E34B7A">
        <w:rPr>
          <w:rFonts w:ascii="Verdana" w:eastAsia="Calibri" w:hAnsi="Verdana" w:cs="Arial"/>
          <w:sz w:val="20"/>
          <w:szCs w:val="20"/>
        </w:rPr>
        <w:t>postcontractual</w:t>
      </w:r>
      <w:proofErr w:type="spellEnd"/>
      <w:r w:rsidRPr="00E34B7A">
        <w:rPr>
          <w:rFonts w:ascii="Verdana" w:eastAsia="Calibri" w:hAnsi="Verdana" w:cs="Arial"/>
          <w:sz w:val="20"/>
          <w:szCs w:val="20"/>
        </w:rPr>
        <w:t>.</w:t>
      </w:r>
    </w:p>
    <w:p w14:paraId="009060E7" w14:textId="77777777" w:rsidR="004122B7" w:rsidRPr="00E34B7A" w:rsidRDefault="004122B7" w:rsidP="004122B7">
      <w:pPr>
        <w:spacing w:line="240" w:lineRule="auto"/>
        <w:ind w:left="709" w:right="709"/>
        <w:jc w:val="both"/>
        <w:rPr>
          <w:rFonts w:ascii="Verdana" w:eastAsia="Calibri" w:hAnsi="Verdana" w:cs="Arial"/>
          <w:sz w:val="20"/>
          <w:szCs w:val="20"/>
        </w:rPr>
      </w:pPr>
      <w:r w:rsidRPr="00E34B7A">
        <w:rPr>
          <w:rFonts w:ascii="Verdana" w:eastAsia="Calibri" w:hAnsi="Verdana" w:cs="Arial"/>
          <w:sz w:val="20"/>
          <w:szCs w:val="20"/>
        </w:rPr>
        <w:t>A partir de la entrada en vigencia de la presente Ley, se establecerá un periodo de transición de seis (6) meses, para que las entidades den cumplimiento efectivo a lo aquí establecido.</w:t>
      </w:r>
    </w:p>
    <w:p w14:paraId="3DE22A20" w14:textId="77777777" w:rsidR="004122B7" w:rsidRPr="00E34B7A" w:rsidRDefault="004122B7" w:rsidP="004122B7">
      <w:pPr>
        <w:spacing w:line="276" w:lineRule="auto"/>
        <w:ind w:firstLine="709"/>
        <w:jc w:val="both"/>
        <w:rPr>
          <w:rFonts w:ascii="Verdana" w:eastAsia="Calibri" w:hAnsi="Verdana" w:cs="Arial"/>
          <w:color w:val="000000"/>
          <w:lang w:val="es-ES_tradnl"/>
        </w:rPr>
      </w:pPr>
      <w:r w:rsidRPr="00E34B7A">
        <w:rPr>
          <w:rFonts w:ascii="Verdana" w:eastAsia="Calibri" w:hAnsi="Verdana" w:cs="Arial"/>
          <w:color w:val="000000"/>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2876EDE9" w14:textId="77777777" w:rsidR="004122B7" w:rsidRPr="00E34B7A" w:rsidRDefault="004122B7" w:rsidP="004122B7">
      <w:pPr>
        <w:spacing w:before="120" w:line="276" w:lineRule="auto"/>
        <w:ind w:firstLine="709"/>
        <w:jc w:val="both"/>
        <w:rPr>
          <w:rFonts w:ascii="Verdana" w:eastAsia="Calibri" w:hAnsi="Verdana" w:cs="Arial"/>
          <w:color w:val="000000"/>
          <w:lang w:val="es-ES_tradnl"/>
        </w:rPr>
      </w:pPr>
      <w:r w:rsidRPr="00E34B7A">
        <w:rPr>
          <w:rFonts w:ascii="Verdana" w:eastAsia="Calibri" w:hAnsi="Verdana" w:cs="Arial"/>
          <w:color w:val="000000"/>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7591D23E" w14:textId="77777777" w:rsidR="004122B7" w:rsidRPr="00E34B7A" w:rsidRDefault="004122B7" w:rsidP="004122B7">
      <w:pPr>
        <w:spacing w:before="120" w:line="276" w:lineRule="auto"/>
        <w:ind w:firstLine="709"/>
        <w:jc w:val="both"/>
        <w:rPr>
          <w:rFonts w:ascii="Verdana" w:eastAsia="Calibri" w:hAnsi="Verdana" w:cs="Arial"/>
          <w:color w:val="000000"/>
          <w:lang w:val="es-ES"/>
        </w:rPr>
      </w:pPr>
      <w:r w:rsidRPr="00E34B7A">
        <w:rPr>
          <w:rFonts w:ascii="Verdana" w:eastAsia="Calibri" w:hAnsi="Verdana" w:cs="Arial"/>
          <w:color w:val="000000"/>
          <w:lang w:val="es-ES"/>
        </w:rPr>
        <w:t xml:space="preserve">Finalmente, el referido artículo dispone, en el inciso final, que “A partir de la </w:t>
      </w:r>
      <w:proofErr w:type="gramStart"/>
      <w:r w:rsidRPr="00E34B7A">
        <w:rPr>
          <w:rFonts w:ascii="Verdana" w:eastAsia="Calibri" w:hAnsi="Verdana" w:cs="Arial"/>
          <w:color w:val="000000"/>
          <w:lang w:val="es-ES"/>
        </w:rPr>
        <w:t>entrada en vigencia</w:t>
      </w:r>
      <w:proofErr w:type="gramEnd"/>
      <w:r w:rsidRPr="00E34B7A">
        <w:rPr>
          <w:rFonts w:ascii="Verdana" w:eastAsia="Calibri" w:hAnsi="Verdana" w:cs="Arial"/>
          <w:color w:val="000000"/>
          <w:lang w:val="es-ES"/>
        </w:rPr>
        <w:t xml:space="preserve"> de la presente Ley, se establecerá un periodo de transición de seis (6) meses, para que las entidades den cumplimiento efectivo a lo aquí </w:t>
      </w:r>
      <w:r w:rsidRPr="00E34B7A">
        <w:rPr>
          <w:rFonts w:ascii="Verdana" w:eastAsia="Calibri" w:hAnsi="Verdana" w:cs="Arial"/>
          <w:color w:val="000000"/>
          <w:lang w:val="es-ES"/>
        </w:rPr>
        <w:lastRenderedPageBreak/>
        <w:t>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a través de sus instrumentos doctrinarios y reglamentarios</w:t>
      </w:r>
      <w:r w:rsidRPr="00E34B7A">
        <w:rPr>
          <w:rStyle w:val="Refdenotaalpie"/>
          <w:rFonts w:ascii="Verdana" w:eastAsia="Calibri" w:hAnsi="Verdana" w:cs="Arial"/>
          <w:color w:val="000000"/>
          <w:lang w:val="es-ES"/>
        </w:rPr>
        <w:footnoteReference w:id="21"/>
      </w:r>
      <w:r w:rsidRPr="00E34B7A">
        <w:rPr>
          <w:rFonts w:ascii="Verdana" w:eastAsia="Calibri" w:hAnsi="Verdana" w:cs="Arial"/>
          <w:color w:val="000000"/>
          <w:lang w:val="es-ES"/>
        </w:rPr>
        <w:t>.</w:t>
      </w:r>
    </w:p>
    <w:p w14:paraId="763B831D" w14:textId="77777777" w:rsidR="004122B7" w:rsidRPr="00E34B7A" w:rsidRDefault="004122B7" w:rsidP="004122B7">
      <w:pPr>
        <w:spacing w:before="120" w:line="276" w:lineRule="auto"/>
        <w:ind w:firstLine="709"/>
        <w:jc w:val="both"/>
        <w:rPr>
          <w:rFonts w:ascii="Verdana" w:eastAsia="Calibri" w:hAnsi="Verdana" w:cs="Arial"/>
          <w:color w:val="000000"/>
          <w:lang w:val="es-ES_tradnl"/>
        </w:rPr>
      </w:pPr>
      <w:r w:rsidRPr="00E34B7A">
        <w:rPr>
          <w:rFonts w:ascii="Verdana" w:eastAsia="Calibri" w:hAnsi="Verdana" w:cs="Arial"/>
          <w:color w:val="000000"/>
        </w:rPr>
        <w:t>En conclusión, de los argumentos precedentes se puede indicar que las EPS están obligadas a publicar en el SECOP la información contractual correspondiente cuando esta se encuentre asociada a la ejecución de recursos públicos, con independencia de su naturaleza jurídica o régimen contractual, sin que ello implique, en todos los casos, la obligación de publicar la totalidad de su actividad contractual. El alcance del deber deberá determinarse atendiendo a la naturaleza de la EPS, su régimen jurídico y el origen y destinación de los recursos involucrados.</w:t>
      </w:r>
    </w:p>
    <w:p w14:paraId="6421F3A2" w14:textId="77777777" w:rsidR="004122B7" w:rsidRPr="00E34B7A" w:rsidRDefault="004122B7" w:rsidP="004122B7">
      <w:pPr>
        <w:spacing w:before="120" w:line="276" w:lineRule="auto"/>
        <w:ind w:firstLine="709"/>
        <w:jc w:val="both"/>
        <w:rPr>
          <w:rFonts w:ascii="Verdana" w:hAnsi="Verdana" w:cs="Arial"/>
          <w:lang w:val="es-ES" w:eastAsia="es-ES"/>
        </w:rPr>
      </w:pPr>
      <w:r w:rsidRPr="00E34B7A">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58C70B0" w14:textId="77777777" w:rsidR="004122B7" w:rsidRPr="00E34B7A" w:rsidRDefault="004122B7" w:rsidP="004122B7">
      <w:pPr>
        <w:widowControl w:val="0"/>
        <w:autoSpaceDE w:val="0"/>
        <w:autoSpaceDN w:val="0"/>
        <w:spacing w:after="0" w:line="276" w:lineRule="auto"/>
        <w:jc w:val="both"/>
        <w:rPr>
          <w:rFonts w:ascii="Verdana" w:hAnsi="Verdana" w:cs="Arial"/>
          <w:lang w:eastAsia="es-ES"/>
        </w:rPr>
      </w:pPr>
    </w:p>
    <w:p w14:paraId="1BDB65B6" w14:textId="77777777" w:rsidR="004122B7" w:rsidRPr="00E34B7A" w:rsidRDefault="004122B7" w:rsidP="004122B7">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E34B7A">
        <w:rPr>
          <w:rFonts w:ascii="Verdana" w:eastAsia="Century Gothic" w:hAnsi="Verdana" w:cs="Century Gothic"/>
          <w:b/>
          <w:bCs/>
        </w:rPr>
        <w:t>Referencias normativas, jurisprudenciales y otras fuentes:</w:t>
      </w:r>
    </w:p>
    <w:p w14:paraId="4AD9BC20" w14:textId="77777777" w:rsidR="004122B7" w:rsidRPr="00E34B7A" w:rsidRDefault="004122B7" w:rsidP="004122B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22B7" w:rsidRPr="00E34B7A" w14:paraId="442E8E32" w14:textId="77777777" w:rsidTr="00D165EE">
        <w:trPr>
          <w:trHeight w:val="1162"/>
        </w:trPr>
        <w:tc>
          <w:tcPr>
            <w:tcW w:w="8647" w:type="dxa"/>
          </w:tcPr>
          <w:p w14:paraId="71962276"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Constitución Política, artículos 48, 74 y 209.</w:t>
            </w:r>
          </w:p>
          <w:p w14:paraId="27B5015B"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Ley 100 de 1993, artículo 185</w:t>
            </w:r>
          </w:p>
          <w:p w14:paraId="6601B688"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Ley 1438 de 2011, artículo 100.</w:t>
            </w:r>
          </w:p>
          <w:p w14:paraId="6AC45B44"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Ley 1150 de 2007, artículos 3 y 13.</w:t>
            </w:r>
          </w:p>
          <w:p w14:paraId="09EE3412"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lastRenderedPageBreak/>
              <w:t>Ley 2333 de 2023.</w:t>
            </w:r>
          </w:p>
          <w:p w14:paraId="12504D77"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rPr>
              <w:t xml:space="preserve">Decreto Ley 4170 de 2011, artículo 3° numerales 2, 5 y 8. </w:t>
            </w:r>
          </w:p>
          <w:p w14:paraId="2DB8872D"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 xml:space="preserve">Ley 1712 de 2014, artículos 5, 9, 10 y 11. </w:t>
            </w:r>
          </w:p>
          <w:p w14:paraId="1B26A4FD"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 xml:space="preserve">Decreto 1081 de 2015, artículos 2.1.1.2.1.7., </w:t>
            </w:r>
            <w:r w:rsidRPr="00E34B7A">
              <w:rPr>
                <w:rFonts w:ascii="Verdana" w:eastAsia="Calibri" w:hAnsi="Verdana" w:cs="Arial"/>
                <w:color w:val="000000"/>
                <w:lang w:val="es-ES"/>
              </w:rPr>
              <w:t xml:space="preserve">2.1.1.4.3.2. </w:t>
            </w:r>
          </w:p>
          <w:p w14:paraId="34943702"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lang w:val="es-ES_tradnl"/>
              </w:rPr>
              <w:t>Decreto 1082 de 2015, artículos 2.2.1.1.1.7.1, 2.2.1.1.1.3.1., 2.2.2.1.8.3., 2.2.2.1.5.11., 2.2.2.1.12.7.</w:t>
            </w:r>
          </w:p>
          <w:p w14:paraId="350F0AF0"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rPr>
              <w:t xml:space="preserve">Consejo de Estado. Sección Tercera. Subsección C. Auto del 14 de agosto de 2017. </w:t>
            </w:r>
            <w:proofErr w:type="spellStart"/>
            <w:r w:rsidRPr="00E34B7A">
              <w:rPr>
                <w:rFonts w:ascii="Verdana" w:hAnsi="Verdana" w:cs="Arial"/>
              </w:rPr>
              <w:t>Exp</w:t>
            </w:r>
            <w:proofErr w:type="spellEnd"/>
            <w:r w:rsidRPr="00E34B7A">
              <w:rPr>
                <w:rFonts w:ascii="Verdana" w:hAnsi="Verdana" w:cs="Arial"/>
              </w:rPr>
              <w:t>. 58.820. C.P. Jaime Orlando Santofimio Gamboa.</w:t>
            </w:r>
          </w:p>
          <w:p w14:paraId="1D237068" w14:textId="77777777" w:rsidR="004122B7" w:rsidRPr="00E34B7A" w:rsidRDefault="004122B7" w:rsidP="00D165E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E34B7A">
              <w:rPr>
                <w:rFonts w:ascii="Verdana" w:hAnsi="Verdana" w:cs="Arial"/>
              </w:rPr>
              <w:t>Corte Constitucional. Sentencia C‒274 de 9 de mayo de 2013. M.P. María Victoria Calle Correa.</w:t>
            </w:r>
          </w:p>
          <w:p w14:paraId="739C09BD" w14:textId="77777777" w:rsidR="004122B7" w:rsidRPr="00E34B7A" w:rsidRDefault="004122B7" w:rsidP="00D165EE">
            <w:pPr>
              <w:pStyle w:val="Prrafodelista"/>
              <w:numPr>
                <w:ilvl w:val="0"/>
                <w:numId w:val="17"/>
              </w:numPr>
              <w:spacing w:line="276" w:lineRule="auto"/>
              <w:jc w:val="both"/>
              <w:rPr>
                <w:rFonts w:ascii="Verdana" w:hAnsi="Verdana" w:cs="Arial"/>
              </w:rPr>
            </w:pPr>
            <w:r w:rsidRPr="00E34B7A">
              <w:rPr>
                <w:rFonts w:ascii="Verdana" w:hAnsi="Verdana" w:cs="Arial"/>
              </w:rPr>
              <w:t>Corte Constitucional. Sentencia C- 341 del 4 de junio de 2014. M. P. Mauricio González Cuervo</w:t>
            </w:r>
          </w:p>
        </w:tc>
      </w:tr>
    </w:tbl>
    <w:p w14:paraId="3249499D" w14:textId="77777777" w:rsidR="004122B7" w:rsidRPr="00E34B7A" w:rsidRDefault="004122B7" w:rsidP="004122B7">
      <w:pPr>
        <w:widowControl w:val="0"/>
        <w:autoSpaceDE w:val="0"/>
        <w:autoSpaceDN w:val="0"/>
        <w:spacing w:after="0" w:line="276" w:lineRule="auto"/>
        <w:jc w:val="both"/>
        <w:rPr>
          <w:rFonts w:ascii="Verdana" w:hAnsi="Verdana" w:cs="Arial"/>
        </w:rPr>
      </w:pPr>
    </w:p>
    <w:p w14:paraId="4099C86D" w14:textId="77777777" w:rsidR="004122B7" w:rsidRPr="00E34B7A" w:rsidRDefault="004122B7" w:rsidP="004122B7">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E34B7A">
        <w:rPr>
          <w:rFonts w:ascii="Verdana" w:eastAsia="Century Gothic" w:hAnsi="Verdana" w:cs="Arial"/>
          <w:b/>
          <w:bCs/>
        </w:rPr>
        <w:t>Doctrina de la Agencia Nacional de Contratación Pública:</w:t>
      </w:r>
    </w:p>
    <w:p w14:paraId="66AAE6DF" w14:textId="77777777" w:rsidR="004122B7" w:rsidRPr="00E34B7A" w:rsidRDefault="004122B7" w:rsidP="004122B7">
      <w:pPr>
        <w:widowControl w:val="0"/>
        <w:autoSpaceDE w:val="0"/>
        <w:autoSpaceDN w:val="0"/>
        <w:spacing w:after="0" w:line="276" w:lineRule="auto"/>
        <w:jc w:val="both"/>
        <w:rPr>
          <w:rFonts w:ascii="Verdana" w:hAnsi="Verdana" w:cs="Arial"/>
          <w:highlight w:val="cyan"/>
        </w:rPr>
      </w:pPr>
    </w:p>
    <w:p w14:paraId="4567DAB8" w14:textId="7A6E2BF8" w:rsidR="004122B7" w:rsidRPr="00E34B7A" w:rsidRDefault="004122B7" w:rsidP="004122B7">
      <w:pPr>
        <w:widowControl w:val="0"/>
        <w:autoSpaceDE w:val="0"/>
        <w:autoSpaceDN w:val="0"/>
        <w:spacing w:after="240" w:line="276" w:lineRule="auto"/>
        <w:jc w:val="both"/>
        <w:rPr>
          <w:rFonts w:ascii="Verdana" w:hAnsi="Verdana" w:cs="Arial"/>
          <w:bCs/>
          <w:shd w:val="clear" w:color="auto" w:fill="FFFFFF"/>
        </w:rPr>
      </w:pPr>
      <w:r w:rsidRPr="00E34B7A">
        <w:rPr>
          <w:rFonts w:ascii="Verdana" w:hAnsi="Verdana" w:cs="Arial"/>
          <w:bCs/>
          <w:shd w:val="clear" w:color="auto" w:fill="FFFFFF"/>
        </w:rPr>
        <w:t xml:space="preserve">La Agencia Nacional de Contratación Pública – Colombia Compra Eficiente, en referencia a al deber de publicidad contractual en los conceptos </w:t>
      </w:r>
      <w:r w:rsidRPr="00E34B7A">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E34B7A">
        <w:rPr>
          <w:rFonts w:ascii="Verdana" w:hAnsi="Verdana" w:cs="Arial"/>
          <w:bCs/>
          <w:shd w:val="clear" w:color="auto" w:fill="FFFFFF"/>
        </w:rPr>
        <w:t>, C-185 del 24 de marzo de 2025, C-487 del 30 de mayo de 2025, 1177 del 1 de octubre de 2025, C-1784 del 22 de diciembre de 2026, C-809 del 25 de junio de 2026 y C-</w:t>
      </w:r>
      <w:r w:rsidRPr="00E34B7A">
        <w:rPr>
          <w:rFonts w:ascii="Verdana" w:hAnsi="Verdana"/>
        </w:rPr>
        <w:t xml:space="preserve"> </w:t>
      </w:r>
      <w:r w:rsidRPr="00E34B7A">
        <w:rPr>
          <w:rFonts w:ascii="Verdana" w:hAnsi="Verdana" w:cs="Arial"/>
          <w:bCs/>
          <w:shd w:val="clear" w:color="auto" w:fill="FFFFFF"/>
        </w:rPr>
        <w:t xml:space="preserve">C-1163 del 13 de agosto del 2026, entre otros. “Asimismo, se adelantó un análisis sobre las IPS Universitarias con el fin de identificar y comprender sus distintas configuraciones organizativas. </w:t>
      </w:r>
      <w:r w:rsidRPr="00E34B7A">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E34B7A">
          <w:rPr>
            <w:rStyle w:val="Hipervnculo"/>
            <w:rFonts w:ascii="Verdana" w:eastAsia="Calibri" w:hAnsi="Verdana" w:cs="Times New Roman"/>
          </w:rPr>
          <w:t>https://relatoria.colombiacompra.gov.co/</w:t>
        </w:r>
      </w:hyperlink>
      <w:r w:rsidRPr="00E34B7A">
        <w:rPr>
          <w:rFonts w:ascii="Verdana" w:eastAsia="Calibri" w:hAnsi="Verdana" w:cs="Times New Roman"/>
        </w:rPr>
        <w:t xml:space="preserve"> </w:t>
      </w:r>
    </w:p>
    <w:p w14:paraId="3C3E994A" w14:textId="77777777" w:rsidR="004122B7" w:rsidRPr="00E34B7A" w:rsidRDefault="004122B7" w:rsidP="004122B7">
      <w:pPr>
        <w:widowControl w:val="0"/>
        <w:autoSpaceDE w:val="0"/>
        <w:autoSpaceDN w:val="0"/>
        <w:spacing w:after="240" w:line="276" w:lineRule="auto"/>
        <w:jc w:val="both"/>
        <w:rPr>
          <w:rFonts w:ascii="Verdana" w:hAnsi="Verdana" w:cs="Arial"/>
          <w:bCs/>
          <w:shd w:val="clear" w:color="auto" w:fill="FFFFFF"/>
        </w:rPr>
      </w:pPr>
      <w:r w:rsidRPr="00E34B7A">
        <w:rPr>
          <w:rFonts w:ascii="Verdana" w:hAnsi="Verdana" w:cs="Arial"/>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34B7A">
        <w:rPr>
          <w:rFonts w:ascii="Verdana" w:hAnsi="Verdana" w:cs="Arial"/>
          <w:b/>
          <w:bCs/>
        </w:rPr>
        <w:t>Guía para la Exigencia y Constitución de Garantías en los Procesos de Contratación</w:t>
      </w:r>
      <w:r w:rsidRPr="00E34B7A">
        <w:rPr>
          <w:rFonts w:ascii="Verdana" w:hAnsi="Verdana" w:cs="Ari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E34B7A">
          <w:rPr>
            <w:rStyle w:val="Hipervnculo"/>
            <w:rFonts w:ascii="Verdana" w:hAnsi="Verdana" w:cs="Arial"/>
          </w:rPr>
          <w:t>https://www.colombiacompra.gov.co/archivos/manual/guia-de-garantias-en-procesos-de-contratacion</w:t>
        </w:r>
      </w:hyperlink>
    </w:p>
    <w:p w14:paraId="488B7A8F" w14:textId="77777777" w:rsidR="004122B7" w:rsidRPr="00E34B7A" w:rsidRDefault="004122B7" w:rsidP="004122B7">
      <w:pPr>
        <w:widowControl w:val="0"/>
        <w:autoSpaceDE w:val="0"/>
        <w:autoSpaceDN w:val="0"/>
        <w:spacing w:after="240" w:line="276" w:lineRule="auto"/>
        <w:jc w:val="both"/>
        <w:rPr>
          <w:rFonts w:ascii="Verdana" w:eastAsia="Calibri" w:hAnsi="Verdana" w:cs="Arial"/>
        </w:rPr>
      </w:pPr>
      <w:r w:rsidRPr="00E34B7A">
        <w:rPr>
          <w:rFonts w:ascii="Verdana" w:hAnsi="Verdana" w:cs="Arial"/>
        </w:rPr>
        <w:t>De otro lado, te contamos que el Decreto 287 del 19 de marzo de 2026 sustituyó los artículos 2.2.1.2.4.2.6., 2.2.1.2.4.2.7. y 2.2.1.2.4.2.8. del Decreto 1082 de 2015 y estructuró el </w:t>
      </w:r>
      <w:r w:rsidRPr="00E34B7A">
        <w:rPr>
          <w:rFonts w:ascii="Verdana" w:hAnsi="Verdana" w:cs="Arial"/>
          <w:b/>
          <w:bCs/>
        </w:rPr>
        <w:t>Sistema Integral de Preferencias en favor de las personas con discapacidad</w:t>
      </w:r>
      <w:r w:rsidRPr="00E34B7A">
        <w:rPr>
          <w:rFonts w:ascii="Verdana" w:hAnsi="Verdana" w:cs="Arial"/>
        </w:rPr>
        <w:t>, en cumplimiento del artículo 13 de la Ley Estatutaria 1618 de 2013. Para orientar su aplicación, esta Agencia expidió la </w:t>
      </w:r>
      <w:r w:rsidRPr="00E34B7A">
        <w:rPr>
          <w:rFonts w:ascii="Verdana" w:hAnsi="Verdana" w:cs="Arial"/>
          <w:b/>
          <w:bCs/>
        </w:rPr>
        <w:t>Circular Externa 003 del 12 de mayo de 2026, </w:t>
      </w:r>
      <w:r w:rsidRPr="00E34B7A">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E34B7A">
          <w:rPr>
            <w:rStyle w:val="Hipervnculo"/>
            <w:rFonts w:ascii="Verdana" w:hAnsi="Verdana" w:cs="Arial"/>
          </w:rPr>
          <w:t>https://www.colombiacompra.gov.co/archivos/circular/circular-externa-003-de-2026</w:t>
        </w:r>
      </w:hyperlink>
    </w:p>
    <w:p w14:paraId="29E98F26" w14:textId="77777777" w:rsidR="004122B7" w:rsidRPr="00E34B7A" w:rsidRDefault="004122B7" w:rsidP="004122B7">
      <w:pPr>
        <w:widowControl w:val="0"/>
        <w:autoSpaceDE w:val="0"/>
        <w:autoSpaceDN w:val="0"/>
        <w:spacing w:after="240" w:line="276" w:lineRule="auto"/>
        <w:jc w:val="both"/>
        <w:rPr>
          <w:rFonts w:ascii="Verdana" w:eastAsia="Calibri" w:hAnsi="Verdana" w:cs="Arial"/>
        </w:rPr>
      </w:pPr>
      <w:r w:rsidRPr="00E34B7A">
        <w:rPr>
          <w:rFonts w:ascii="Verdana" w:hAnsi="Verdana" w:cs="Arial"/>
        </w:rPr>
        <w:t>Recuerda también que la</w:t>
      </w:r>
      <w:r w:rsidRPr="00E34B7A">
        <w:rPr>
          <w:rFonts w:ascii="Verdana" w:hAnsi="Verdana" w:cs="Arial"/>
          <w:b/>
          <w:bCs/>
        </w:rPr>
        <w:t> información sobre sanciones e inhabilidades </w:t>
      </w:r>
      <w:r w:rsidRPr="00E34B7A">
        <w:rPr>
          <w:rFonts w:ascii="Verdana" w:hAnsi="Verdana" w:cs="Arial"/>
        </w:rPr>
        <w:t>solo cumple su función preventiva si llega oportunamente a los registros públicos. Sobre este deber, esta Agencia expidió la </w:t>
      </w:r>
      <w:r w:rsidRPr="00E34B7A">
        <w:rPr>
          <w:rFonts w:ascii="Verdana" w:hAnsi="Verdana" w:cs="Arial"/>
          <w:b/>
          <w:bCs/>
        </w:rPr>
        <w:t>Circular Externa 002 del 5 de mayo de 2026,</w:t>
      </w:r>
      <w:r w:rsidRPr="00E34B7A">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E34B7A">
          <w:rPr>
            <w:rStyle w:val="Hipervnculo"/>
            <w:rFonts w:ascii="Verdana" w:hAnsi="Verdana" w:cs="Arial"/>
          </w:rPr>
          <w:t>https://www.colombiacompra.gov.co/archivos/circular/circular-externa-002-de-2026</w:t>
        </w:r>
      </w:hyperlink>
    </w:p>
    <w:p w14:paraId="00257E6C" w14:textId="77777777" w:rsidR="004122B7" w:rsidRPr="00E34B7A" w:rsidRDefault="004122B7" w:rsidP="004122B7">
      <w:pPr>
        <w:widowControl w:val="0"/>
        <w:autoSpaceDE w:val="0"/>
        <w:autoSpaceDN w:val="0"/>
        <w:spacing w:after="240" w:line="276" w:lineRule="auto"/>
        <w:jc w:val="both"/>
        <w:rPr>
          <w:rFonts w:ascii="Verdana" w:eastAsia="Calibri" w:hAnsi="Verdana" w:cs="Arial"/>
        </w:rPr>
      </w:pPr>
      <w:r w:rsidRPr="00E34B7A">
        <w:rPr>
          <w:rFonts w:ascii="Verdana" w:hAnsi="Verdana" w:cs="Arial"/>
        </w:rPr>
        <w:t xml:space="preserve">Finalmente, si quieres seguir de cerca la actividad de la Agencia, la tercera </w:t>
      </w:r>
      <w:r w:rsidRPr="00E34B7A">
        <w:rPr>
          <w:rFonts w:ascii="Verdana" w:hAnsi="Verdana" w:cs="Arial"/>
        </w:rPr>
        <w:lastRenderedPageBreak/>
        <w:t>edición de 2026 del</w:t>
      </w:r>
      <w:r w:rsidRPr="00E34B7A">
        <w:rPr>
          <w:rFonts w:ascii="Verdana" w:hAnsi="Verdana" w:cs="Arial"/>
          <w:b/>
          <w:bCs/>
        </w:rPr>
        <w:t> Radar de la Compra Pública</w:t>
      </w:r>
      <w:r w:rsidRPr="00E34B7A">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Dirección URL original: https://www.colombiacompra.gov.co/archivos/boletin/boletin-edicion-n-3-de-2026-radar-de-la-compra-publica. Haga clic o pulse si confía en este vínculo." w:history="1">
        <w:r w:rsidRPr="00E34B7A">
          <w:rPr>
            <w:rStyle w:val="Hipervnculo"/>
            <w:rFonts w:ascii="Verdana" w:hAnsi="Verdana" w:cs="Arial"/>
          </w:rPr>
          <w:t>https://www.colombiacompra.gov.co/archivos/boletin/boletin-edicion-n-3-de-2026-radar-de-la-compra-publica</w:t>
        </w:r>
      </w:hyperlink>
      <w:r w:rsidRPr="00E34B7A">
        <w:rPr>
          <w:rFonts w:ascii="Verdana" w:hAnsi="Verdana" w:cs="Arial"/>
        </w:rPr>
        <w:t>"</w:t>
      </w:r>
    </w:p>
    <w:p w14:paraId="396FB200" w14:textId="77777777" w:rsidR="004122B7" w:rsidRPr="00E34B7A" w:rsidRDefault="004122B7" w:rsidP="004122B7">
      <w:pPr>
        <w:widowControl w:val="0"/>
        <w:autoSpaceDE w:val="0"/>
        <w:autoSpaceDN w:val="0"/>
        <w:spacing w:after="120" w:line="276" w:lineRule="auto"/>
        <w:jc w:val="both"/>
        <w:rPr>
          <w:rFonts w:ascii="Verdana" w:eastAsia="Calibri" w:hAnsi="Verdana" w:cs="Arial"/>
        </w:rPr>
      </w:pPr>
      <w:r w:rsidRPr="00E34B7A">
        <w:rPr>
          <w:rFonts w:ascii="Verdana" w:hAnsi="Verdana" w:cs="Arial"/>
        </w:rPr>
        <w:t xml:space="preserve">Por último, lo invitamos a seguirnos en las redes sociales en las cuales se difunde información institucional: </w:t>
      </w:r>
    </w:p>
    <w:p w14:paraId="0D0C8FC2" w14:textId="77777777" w:rsidR="004122B7" w:rsidRPr="00E34B7A" w:rsidRDefault="004122B7" w:rsidP="004122B7">
      <w:pPr>
        <w:spacing w:after="0" w:line="276" w:lineRule="auto"/>
        <w:jc w:val="both"/>
        <w:rPr>
          <w:rFonts w:ascii="Verdana" w:hAnsi="Verdana" w:cs="Arial"/>
        </w:rPr>
      </w:pPr>
      <w:r w:rsidRPr="00E34B7A">
        <w:rPr>
          <w:rFonts w:ascii="Verdana" w:hAnsi="Verdana" w:cs="Arial"/>
        </w:rPr>
        <w:t xml:space="preserve">Twitter: </w:t>
      </w:r>
      <w:r w:rsidRPr="00E34B7A">
        <w:rPr>
          <w:rStyle w:val="Hipervnculo"/>
          <w:rFonts w:ascii="Verdana" w:hAnsi="Verdana" w:cs="Arial"/>
          <w:color w:val="auto"/>
        </w:rPr>
        <w:t>@colombiacompra</w:t>
      </w:r>
      <w:r w:rsidRPr="00E34B7A">
        <w:rPr>
          <w:rFonts w:ascii="Verdana" w:hAnsi="Verdana" w:cs="Arial"/>
        </w:rPr>
        <w:t xml:space="preserve"> </w:t>
      </w:r>
    </w:p>
    <w:p w14:paraId="35F3BA9A" w14:textId="77777777" w:rsidR="004122B7" w:rsidRPr="00E34B7A" w:rsidRDefault="004122B7" w:rsidP="004122B7">
      <w:pPr>
        <w:spacing w:after="0" w:line="276" w:lineRule="auto"/>
        <w:jc w:val="both"/>
        <w:rPr>
          <w:rFonts w:ascii="Verdana" w:hAnsi="Verdana" w:cs="Arial"/>
        </w:rPr>
      </w:pPr>
      <w:r w:rsidRPr="00E34B7A">
        <w:rPr>
          <w:rFonts w:ascii="Verdana" w:hAnsi="Verdana" w:cs="Arial"/>
        </w:rPr>
        <w:t xml:space="preserve">Facebook: </w:t>
      </w:r>
      <w:proofErr w:type="spellStart"/>
      <w:r w:rsidRPr="00E34B7A">
        <w:rPr>
          <w:rStyle w:val="Hipervnculo"/>
          <w:rFonts w:ascii="Verdana" w:hAnsi="Verdana" w:cs="Arial"/>
          <w:color w:val="auto"/>
        </w:rPr>
        <w:t>ColombiaCompraEficiente</w:t>
      </w:r>
      <w:proofErr w:type="spellEnd"/>
    </w:p>
    <w:p w14:paraId="624A7777" w14:textId="77777777" w:rsidR="004122B7" w:rsidRPr="00E34B7A" w:rsidRDefault="004122B7" w:rsidP="004122B7">
      <w:pPr>
        <w:spacing w:after="0" w:line="276" w:lineRule="auto"/>
        <w:jc w:val="both"/>
        <w:rPr>
          <w:rStyle w:val="Hipervnculo"/>
          <w:rFonts w:ascii="Verdana" w:hAnsi="Verdana" w:cs="Arial"/>
          <w:color w:val="auto"/>
        </w:rPr>
      </w:pPr>
      <w:r w:rsidRPr="00E34B7A">
        <w:rPr>
          <w:rFonts w:ascii="Verdana" w:hAnsi="Verdana" w:cs="Arial"/>
        </w:rPr>
        <w:t xml:space="preserve">LinkedIn: </w:t>
      </w:r>
      <w:r w:rsidRPr="00E34B7A">
        <w:rPr>
          <w:rStyle w:val="Hipervnculo"/>
          <w:rFonts w:ascii="Verdana" w:hAnsi="Verdana" w:cs="Arial"/>
          <w:color w:val="auto"/>
        </w:rPr>
        <w:t>Agencia Nacional de Contratación Pública - Colombia Compra Eficiente</w:t>
      </w:r>
      <w:r w:rsidRPr="00E34B7A">
        <w:rPr>
          <w:rFonts w:ascii="Verdana" w:hAnsi="Verdana" w:cs="Arial"/>
        </w:rPr>
        <w:t xml:space="preserve"> Instagram: </w:t>
      </w:r>
      <w:r w:rsidRPr="00E34B7A">
        <w:rPr>
          <w:rStyle w:val="Hipervnculo"/>
          <w:rFonts w:ascii="Verdana" w:hAnsi="Verdana" w:cs="Arial"/>
          <w:color w:val="auto"/>
        </w:rPr>
        <w:t>@colombiacompraeficiente_cce</w:t>
      </w:r>
    </w:p>
    <w:p w14:paraId="5DD6020C" w14:textId="77777777" w:rsidR="004122B7" w:rsidRPr="00E34B7A" w:rsidRDefault="004122B7" w:rsidP="004122B7">
      <w:pPr>
        <w:widowControl w:val="0"/>
        <w:autoSpaceDE w:val="0"/>
        <w:autoSpaceDN w:val="0"/>
        <w:spacing w:before="120" w:after="0" w:line="276" w:lineRule="auto"/>
        <w:jc w:val="both"/>
        <w:rPr>
          <w:rFonts w:ascii="Verdana" w:hAnsi="Verdana" w:cs="Arial"/>
          <w:lang w:val="es-ES_tradnl"/>
        </w:rPr>
      </w:pPr>
      <w:r w:rsidRPr="00E34B7A">
        <w:rPr>
          <w:rFonts w:ascii="Verdana" w:hAnsi="Verdana" w:cs="Arial"/>
        </w:rPr>
        <w:t xml:space="preserve">Este concepto tiene el alcance previsto en el artículo 28 del Código de Procedimiento Administrativo y de lo Contencioso Administrativo </w:t>
      </w:r>
      <w:r w:rsidRPr="00E34B7A">
        <w:rPr>
          <w:rFonts w:ascii="Verdana" w:hAnsi="Verdana" w:cs="Arial"/>
          <w:lang w:val="es-ES_tradnl"/>
        </w:rPr>
        <w:t>y las expresiones aquí utilizadas con mayúscula inicial deben ser entendidas con el significado que les otorga el artículo 2.2.1.1.1.3.1. del Decreto 1082 de 2015.</w:t>
      </w:r>
    </w:p>
    <w:p w14:paraId="76195CD3" w14:textId="77777777" w:rsidR="004122B7" w:rsidRPr="00E34B7A" w:rsidRDefault="004122B7" w:rsidP="004122B7">
      <w:pPr>
        <w:widowControl w:val="0"/>
        <w:autoSpaceDE w:val="0"/>
        <w:autoSpaceDN w:val="0"/>
        <w:spacing w:after="0" w:line="276" w:lineRule="auto"/>
        <w:jc w:val="both"/>
        <w:rPr>
          <w:rFonts w:ascii="Verdana" w:hAnsi="Verdana" w:cs="Arial"/>
        </w:rPr>
      </w:pPr>
    </w:p>
    <w:p w14:paraId="460AFC05" w14:textId="77777777" w:rsidR="004122B7" w:rsidRPr="00E34B7A" w:rsidRDefault="004122B7" w:rsidP="004122B7">
      <w:pPr>
        <w:spacing w:after="0" w:line="276" w:lineRule="auto"/>
        <w:jc w:val="both"/>
        <w:rPr>
          <w:rFonts w:ascii="Verdana" w:hAnsi="Verdana" w:cs="Arial"/>
          <w:lang w:eastAsia="es-CO"/>
        </w:rPr>
      </w:pPr>
      <w:r w:rsidRPr="00E34B7A">
        <w:rPr>
          <w:rFonts w:ascii="Verdana" w:eastAsia="Times New Roman" w:hAnsi="Verdana" w:cs="Arial"/>
          <w:lang w:eastAsia="es-CO"/>
        </w:rPr>
        <w:t>Atentamente,</w:t>
      </w:r>
      <w:r w:rsidRPr="00E34B7A">
        <w:rPr>
          <w:rFonts w:ascii="Verdana" w:hAnsi="Verdana" w:cs="Arial"/>
          <w:lang w:eastAsia="es-CO"/>
        </w:rPr>
        <w:t xml:space="preserve"> </w:t>
      </w:r>
    </w:p>
    <w:p w14:paraId="2E731EEA" w14:textId="76DACE69" w:rsidR="004122B7" w:rsidRPr="00E34B7A" w:rsidRDefault="000066E4" w:rsidP="004122B7">
      <w:pPr>
        <w:spacing w:line="276" w:lineRule="auto"/>
        <w:jc w:val="center"/>
        <w:rPr>
          <w:rFonts w:ascii="Verdana" w:hAnsi="Verdana" w:cs="Arial"/>
          <w:sz w:val="16"/>
          <w:szCs w:val="16"/>
          <w:lang w:val="es-ES_tradnl" w:eastAsia="es-CO"/>
        </w:rPr>
      </w:pPr>
      <w:r w:rsidRPr="004D5C25">
        <w:rPr>
          <w:rFonts w:ascii="Century Gothic" w:hAnsi="Century Gothic"/>
          <w:noProof/>
        </w:rPr>
        <w:drawing>
          <wp:inline distT="0" distB="0" distL="0" distR="0" wp14:anchorId="432D829D" wp14:editId="43F88D3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22B7" w:rsidRPr="00E34B7A" w14:paraId="54F0EDCB" w14:textId="77777777" w:rsidTr="00D165EE">
        <w:trPr>
          <w:trHeight w:val="315"/>
        </w:trPr>
        <w:tc>
          <w:tcPr>
            <w:tcW w:w="893" w:type="dxa"/>
            <w:vAlign w:val="center"/>
            <w:hideMark/>
          </w:tcPr>
          <w:p w14:paraId="1175BB58" w14:textId="77777777" w:rsidR="004122B7" w:rsidRPr="00E34B7A" w:rsidRDefault="004122B7" w:rsidP="00D165EE">
            <w:pPr>
              <w:contextualSpacing/>
              <w:rPr>
                <w:rFonts w:ascii="Verdana" w:hAnsi="Verdana" w:cs="Arial"/>
                <w:sz w:val="16"/>
                <w:szCs w:val="16"/>
                <w:lang w:val="es-ES" w:eastAsia="es-ES"/>
              </w:rPr>
            </w:pPr>
            <w:r w:rsidRPr="00E34B7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CA0EB9E" w14:textId="77777777" w:rsidR="004122B7" w:rsidRPr="00E34B7A" w:rsidRDefault="004122B7" w:rsidP="00D165EE">
            <w:pPr>
              <w:contextualSpacing/>
              <w:rPr>
                <w:rFonts w:ascii="Verdana" w:eastAsia="Arial" w:hAnsi="Verdana" w:cs="Arial"/>
                <w:sz w:val="16"/>
                <w:szCs w:val="16"/>
              </w:rPr>
            </w:pPr>
            <w:r w:rsidRPr="00E34B7A">
              <w:rPr>
                <w:rFonts w:ascii="Verdana" w:eastAsia="Arial" w:hAnsi="Verdana" w:cs="Arial"/>
                <w:sz w:val="16"/>
                <w:szCs w:val="16"/>
              </w:rPr>
              <w:t>Ana María Ortiz Ballesteros</w:t>
            </w:r>
          </w:p>
          <w:p w14:paraId="747C05A1" w14:textId="77777777" w:rsidR="004122B7" w:rsidRPr="00E34B7A" w:rsidRDefault="004122B7" w:rsidP="00D165EE">
            <w:pPr>
              <w:contextualSpacing/>
              <w:rPr>
                <w:rFonts w:ascii="Verdana" w:eastAsia="Arial" w:hAnsi="Verdana" w:cs="Arial"/>
                <w:sz w:val="16"/>
                <w:szCs w:val="16"/>
              </w:rPr>
            </w:pPr>
            <w:r w:rsidRPr="00E34B7A">
              <w:rPr>
                <w:rStyle w:val="normaltextrun"/>
                <w:rFonts w:ascii="Verdana" w:eastAsia="Arial" w:hAnsi="Verdana" w:cs="Arial"/>
                <w:sz w:val="16"/>
                <w:szCs w:val="16"/>
              </w:rPr>
              <w:t>C</w:t>
            </w:r>
            <w:r w:rsidRPr="00E34B7A">
              <w:rPr>
                <w:rStyle w:val="normaltextrun"/>
                <w:rFonts w:ascii="Verdana" w:hAnsi="Verdana"/>
                <w:sz w:val="16"/>
                <w:szCs w:val="16"/>
              </w:rPr>
              <w:t>ontratista</w:t>
            </w:r>
            <w:r w:rsidRPr="00E34B7A">
              <w:rPr>
                <w:rStyle w:val="normaltextrun"/>
                <w:rFonts w:ascii="Verdana" w:eastAsia="Arial" w:hAnsi="Verdana" w:cs="Arial"/>
                <w:sz w:val="16"/>
                <w:szCs w:val="16"/>
              </w:rPr>
              <w:t xml:space="preserve"> de la Subdirección de Gestión Contractual</w:t>
            </w:r>
          </w:p>
        </w:tc>
      </w:tr>
      <w:tr w:rsidR="004122B7" w:rsidRPr="00E34B7A" w14:paraId="3B886838" w14:textId="77777777" w:rsidTr="00D165EE">
        <w:trPr>
          <w:trHeight w:val="330"/>
        </w:trPr>
        <w:tc>
          <w:tcPr>
            <w:tcW w:w="893" w:type="dxa"/>
            <w:vAlign w:val="center"/>
            <w:hideMark/>
          </w:tcPr>
          <w:p w14:paraId="39DF6BC6" w14:textId="77777777" w:rsidR="004122B7" w:rsidRPr="00E34B7A" w:rsidRDefault="004122B7" w:rsidP="00D165EE">
            <w:pPr>
              <w:contextualSpacing/>
              <w:rPr>
                <w:rFonts w:ascii="Verdana" w:hAnsi="Verdana" w:cs="Arial"/>
                <w:sz w:val="16"/>
                <w:szCs w:val="16"/>
                <w:lang w:val="es-ES" w:eastAsia="es-ES"/>
              </w:rPr>
            </w:pPr>
            <w:r w:rsidRPr="00E34B7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365B67" w14:textId="77777777" w:rsidR="004122B7" w:rsidRPr="00E34B7A" w:rsidRDefault="004122B7" w:rsidP="00D165EE">
            <w:pPr>
              <w:pStyle w:val="paragraph"/>
              <w:spacing w:after="0"/>
              <w:contextualSpacing/>
              <w:textAlignment w:val="baseline"/>
              <w:rPr>
                <w:rFonts w:ascii="Verdana" w:hAnsi="Verdana" w:cs="Arial"/>
                <w:sz w:val="16"/>
                <w:szCs w:val="16"/>
              </w:rPr>
            </w:pPr>
            <w:r w:rsidRPr="00E34B7A">
              <w:rPr>
                <w:rFonts w:ascii="Verdana" w:hAnsi="Verdana" w:cs="Arial"/>
                <w:sz w:val="16"/>
                <w:szCs w:val="16"/>
              </w:rPr>
              <w:t xml:space="preserve">Adriana </w:t>
            </w:r>
            <w:proofErr w:type="spellStart"/>
            <w:r w:rsidRPr="00E34B7A">
              <w:rPr>
                <w:rFonts w:ascii="Verdana" w:hAnsi="Verdana" w:cs="Arial"/>
                <w:sz w:val="16"/>
                <w:szCs w:val="16"/>
              </w:rPr>
              <w:t>Katerine</w:t>
            </w:r>
            <w:proofErr w:type="spellEnd"/>
            <w:r w:rsidRPr="00E34B7A">
              <w:rPr>
                <w:rFonts w:ascii="Verdana" w:hAnsi="Verdana" w:cs="Arial"/>
                <w:sz w:val="16"/>
                <w:szCs w:val="16"/>
              </w:rPr>
              <w:t xml:space="preserve"> López Rodríguez</w:t>
            </w:r>
          </w:p>
          <w:p w14:paraId="7F5D5B67" w14:textId="77777777" w:rsidR="004122B7" w:rsidRPr="00E34B7A" w:rsidRDefault="004122B7" w:rsidP="00D165EE">
            <w:pPr>
              <w:pStyle w:val="paragraph"/>
              <w:spacing w:before="0" w:beforeAutospacing="0" w:after="0" w:afterAutospacing="0"/>
              <w:contextualSpacing/>
              <w:textAlignment w:val="baseline"/>
              <w:rPr>
                <w:rFonts w:ascii="Verdana" w:hAnsi="Verdana" w:cs="Arial"/>
                <w:sz w:val="16"/>
                <w:szCs w:val="16"/>
              </w:rPr>
            </w:pPr>
            <w:r w:rsidRPr="00E34B7A">
              <w:rPr>
                <w:rStyle w:val="normaltextrun"/>
                <w:rFonts w:ascii="Verdana" w:eastAsia="Arial" w:hAnsi="Verdana" w:cs="Arial"/>
                <w:sz w:val="16"/>
                <w:szCs w:val="16"/>
              </w:rPr>
              <w:t>C</w:t>
            </w:r>
            <w:r w:rsidRPr="00E34B7A">
              <w:rPr>
                <w:rStyle w:val="normaltextrun"/>
                <w:rFonts w:ascii="Verdana" w:hAnsi="Verdana"/>
                <w:sz w:val="16"/>
                <w:szCs w:val="16"/>
              </w:rPr>
              <w:t>ontratista</w:t>
            </w:r>
            <w:r w:rsidRPr="00E34B7A">
              <w:rPr>
                <w:rStyle w:val="normaltextrun"/>
                <w:rFonts w:ascii="Verdana" w:eastAsia="Arial" w:hAnsi="Verdana" w:cs="Arial"/>
                <w:sz w:val="16"/>
                <w:szCs w:val="16"/>
              </w:rPr>
              <w:t xml:space="preserve"> de la Subdirección de Gestión Contractual</w:t>
            </w:r>
          </w:p>
        </w:tc>
      </w:tr>
      <w:tr w:rsidR="004122B7" w:rsidRPr="00E34B7A" w14:paraId="733FDBEA" w14:textId="77777777" w:rsidTr="00D165EE">
        <w:trPr>
          <w:trHeight w:val="300"/>
        </w:trPr>
        <w:tc>
          <w:tcPr>
            <w:tcW w:w="893" w:type="dxa"/>
            <w:vAlign w:val="center"/>
          </w:tcPr>
          <w:p w14:paraId="7B12F219" w14:textId="77777777" w:rsidR="004122B7" w:rsidRPr="00E34B7A" w:rsidRDefault="004122B7" w:rsidP="00D165EE">
            <w:pPr>
              <w:contextualSpacing/>
              <w:rPr>
                <w:rFonts w:ascii="Verdana" w:hAnsi="Verdana" w:cs="Arial"/>
                <w:sz w:val="16"/>
                <w:szCs w:val="16"/>
                <w:lang w:val="es-ES" w:eastAsia="es-ES"/>
              </w:rPr>
            </w:pPr>
            <w:r w:rsidRPr="00E34B7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0DEAD68" w14:textId="77777777" w:rsidR="004122B7" w:rsidRPr="00E34B7A" w:rsidRDefault="004122B7" w:rsidP="00D165EE">
            <w:pPr>
              <w:contextualSpacing/>
              <w:rPr>
                <w:rFonts w:ascii="Verdana" w:eastAsia="Calibri" w:hAnsi="Verdana" w:cs="Arial"/>
                <w:sz w:val="16"/>
                <w:szCs w:val="16"/>
                <w:lang w:val="pt-BR" w:eastAsia="es-ES"/>
              </w:rPr>
            </w:pPr>
            <w:r w:rsidRPr="00E34B7A">
              <w:rPr>
                <w:rFonts w:ascii="Verdana" w:eastAsia="Calibri" w:hAnsi="Verdana" w:cs="Arial"/>
                <w:sz w:val="16"/>
                <w:szCs w:val="16"/>
                <w:lang w:val="pt-BR" w:eastAsia="es-ES"/>
              </w:rPr>
              <w:t xml:space="preserve">Carolina Quintero </w:t>
            </w:r>
            <w:proofErr w:type="spellStart"/>
            <w:r w:rsidRPr="00E34B7A">
              <w:rPr>
                <w:rFonts w:ascii="Verdana" w:eastAsia="Calibri" w:hAnsi="Verdana" w:cs="Arial"/>
                <w:sz w:val="16"/>
                <w:szCs w:val="16"/>
                <w:lang w:val="pt-BR" w:eastAsia="es-ES"/>
              </w:rPr>
              <w:t>Gacharná</w:t>
            </w:r>
            <w:proofErr w:type="spellEnd"/>
          </w:p>
          <w:p w14:paraId="19AF403B" w14:textId="77777777" w:rsidR="004122B7" w:rsidRPr="00E34B7A" w:rsidRDefault="004122B7" w:rsidP="00D165EE">
            <w:pPr>
              <w:contextualSpacing/>
              <w:rPr>
                <w:rFonts w:ascii="Verdana" w:eastAsia="Calibri" w:hAnsi="Verdana" w:cs="Arial"/>
                <w:sz w:val="16"/>
                <w:szCs w:val="16"/>
                <w:lang w:val="pt-BR" w:eastAsia="es-ES"/>
              </w:rPr>
            </w:pPr>
            <w:r w:rsidRPr="00E34B7A">
              <w:rPr>
                <w:rFonts w:ascii="Verdana" w:eastAsia="Calibri" w:hAnsi="Verdana" w:cs="Arial"/>
                <w:sz w:val="16"/>
                <w:szCs w:val="16"/>
                <w:lang w:eastAsia="es-ES"/>
              </w:rPr>
              <w:t>Subdirectora</w:t>
            </w:r>
            <w:r w:rsidRPr="00E34B7A">
              <w:rPr>
                <w:rFonts w:ascii="Verdana" w:eastAsia="Calibri" w:hAnsi="Verdana" w:cs="Arial"/>
                <w:sz w:val="16"/>
                <w:szCs w:val="16"/>
                <w:lang w:val="pt-BR" w:eastAsia="es-ES"/>
              </w:rPr>
              <w:t xml:space="preserve"> de Gestión Contractual ANCP – CCE</w:t>
            </w:r>
          </w:p>
        </w:tc>
      </w:tr>
    </w:tbl>
    <w:p w14:paraId="1006A388" w14:textId="77777777" w:rsidR="004122B7" w:rsidRPr="00E34B7A" w:rsidRDefault="004122B7" w:rsidP="004122B7">
      <w:pPr>
        <w:spacing w:after="0" w:line="240" w:lineRule="auto"/>
        <w:jc w:val="both"/>
        <w:textAlignment w:val="baseline"/>
        <w:rPr>
          <w:rFonts w:ascii="Verdana" w:eastAsia="Verdana" w:hAnsi="Verdana" w:cs="Verdana"/>
          <w:lang w:eastAsia="es-CO"/>
        </w:rPr>
      </w:pPr>
    </w:p>
    <w:p w14:paraId="62844FBE" w14:textId="78321EC7" w:rsidR="004122B7" w:rsidRPr="00E34B7A" w:rsidRDefault="004122B7" w:rsidP="004122B7">
      <w:pPr>
        <w:spacing w:after="0" w:line="240" w:lineRule="auto"/>
        <w:textAlignment w:val="baseline"/>
        <w:rPr>
          <w:rFonts w:ascii="Verdana" w:eastAsia="Verdana" w:hAnsi="Verdana" w:cs="Verdana"/>
          <w:lang w:eastAsia="es-CO"/>
        </w:rPr>
      </w:pPr>
      <w:r w:rsidRPr="00E34B7A">
        <w:rPr>
          <w:rFonts w:ascii="Verdana" w:eastAsia="Verdana" w:hAnsi="Verdana" w:cs="Verdana"/>
          <w:lang w:eastAsia="es-CO"/>
        </w:rPr>
        <w:t> </w:t>
      </w:r>
    </w:p>
    <w:bookmarkEnd w:id="0"/>
    <w:p w14:paraId="69BC4D14" w14:textId="01C87CD3" w:rsidR="00C15139" w:rsidRPr="00E34B7A" w:rsidRDefault="00C15139" w:rsidP="004122B7">
      <w:pPr>
        <w:spacing w:after="0" w:line="240" w:lineRule="auto"/>
        <w:rPr>
          <w:rFonts w:ascii="Verdana" w:eastAsia="Verdana" w:hAnsi="Verdana" w:cs="Verdana"/>
          <w:lang w:eastAsia="es-CO"/>
        </w:rPr>
      </w:pPr>
    </w:p>
    <w:sectPr w:rsidR="00C15139" w:rsidRPr="00E34B7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DAF2" w14:textId="77777777" w:rsidR="00E4029A" w:rsidRDefault="00E4029A" w:rsidP="004A1847">
      <w:pPr>
        <w:spacing w:after="0" w:line="240" w:lineRule="auto"/>
      </w:pPr>
      <w:r>
        <w:separator/>
      </w:r>
    </w:p>
  </w:endnote>
  <w:endnote w:type="continuationSeparator" w:id="0">
    <w:p w14:paraId="7DFC4122" w14:textId="77777777" w:rsidR="00E4029A" w:rsidRDefault="00E402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6D3FE" w14:textId="77777777" w:rsidR="00E4029A" w:rsidRDefault="00E4029A" w:rsidP="004A1847">
      <w:pPr>
        <w:spacing w:after="0" w:line="240" w:lineRule="auto"/>
      </w:pPr>
      <w:r>
        <w:separator/>
      </w:r>
    </w:p>
  </w:footnote>
  <w:footnote w:type="continuationSeparator" w:id="0">
    <w:p w14:paraId="228601FC" w14:textId="77777777" w:rsidR="00E4029A" w:rsidRDefault="00E4029A" w:rsidP="004A1847">
      <w:pPr>
        <w:spacing w:after="0" w:line="240" w:lineRule="auto"/>
      </w:pPr>
      <w:r>
        <w:continuationSeparator/>
      </w:r>
    </w:p>
  </w:footnote>
  <w:footnote w:id="1">
    <w:p w14:paraId="3EA2303D" w14:textId="77777777" w:rsidR="004122B7" w:rsidRPr="001869FC" w:rsidRDefault="004122B7" w:rsidP="004122B7">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1474 de 2011 “</w:t>
      </w:r>
      <w:r w:rsidRPr="001869FC">
        <w:rPr>
          <w:rStyle w:val="Fuerte"/>
          <w:rFonts w:ascii="Verdana" w:hAnsi="Verdana" w:cs="Arial"/>
          <w:b w:val="0"/>
          <w:bCs w:val="0"/>
          <w:color w:val="000000"/>
          <w:sz w:val="14"/>
          <w:szCs w:val="14"/>
        </w:rPr>
        <w:t>Artículo 93.</w:t>
      </w:r>
      <w:r w:rsidRPr="001869FC">
        <w:rPr>
          <w:rStyle w:val="nfasis"/>
          <w:rFonts w:ascii="Verdana" w:eastAsia="Arial" w:hAnsi="Verdana" w:cs="Arial"/>
          <w:color w:val="000000"/>
          <w:sz w:val="14"/>
          <w:szCs w:val="14"/>
        </w:rPr>
        <w:t> Del régimen contractual de las Empresas Industriales y Comerciales del Estado, las Sociedades de Economía Mixta, sus filiales y empresas con participación mayoritaria del Estado.</w:t>
      </w:r>
      <w:r w:rsidRPr="001869FC">
        <w:rPr>
          <w:rFonts w:ascii="Verdana" w:hAnsi="Verdana" w:cs="Arial"/>
          <w:color w:val="000000"/>
          <w:sz w:val="14"/>
          <w:szCs w:val="14"/>
        </w:rPr>
        <w:t> Modifíquese el artículo 14 de la Ley 1150 de 2007, el cual quedará así:   </w:t>
      </w:r>
      <w:r w:rsidRPr="001869FC">
        <w:rPr>
          <w:rFonts w:ascii="Verdana" w:hAnsi="Verdana" w:cs="Arial"/>
          <w:color w:val="000000"/>
          <w:sz w:val="14"/>
          <w:szCs w:val="14"/>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6F2162AF" w14:textId="77777777" w:rsidR="004122B7" w:rsidRPr="001869FC" w:rsidRDefault="004122B7" w:rsidP="004122B7">
      <w:pPr>
        <w:pStyle w:val="Textonotapie"/>
        <w:jc w:val="both"/>
        <w:rPr>
          <w:rFonts w:ascii="Verdana" w:hAnsi="Verdana" w:cs="Arial"/>
          <w:sz w:val="14"/>
          <w:szCs w:val="14"/>
        </w:rPr>
      </w:pPr>
    </w:p>
  </w:footnote>
  <w:footnote w:id="2">
    <w:p w14:paraId="6ED3BB33" w14:textId="77777777" w:rsidR="004122B7" w:rsidRPr="001869FC" w:rsidRDefault="004122B7" w:rsidP="004122B7">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489 de 1998 «</w:t>
      </w:r>
      <w:r w:rsidRPr="001869FC">
        <w:rPr>
          <w:rStyle w:val="Fuerte"/>
          <w:rFonts w:ascii="Verdana" w:hAnsi="Verdana" w:cs="Arial"/>
          <w:b w:val="0"/>
          <w:bCs w:val="0"/>
          <w:color w:val="000000"/>
          <w:sz w:val="14"/>
          <w:szCs w:val="14"/>
        </w:rPr>
        <w:t>Artículo 85.</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Empresas industriales y comerciales del Estado. </w:t>
      </w:r>
      <w:r w:rsidRPr="001869FC">
        <w:rPr>
          <w:rFonts w:ascii="Verdana" w:hAnsi="Verdana" w:cs="Arial"/>
          <w:color w:val="000000"/>
          <w:sz w:val="14"/>
          <w:szCs w:val="14"/>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4BC17575"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“a) Personería jurídica; </w:t>
      </w:r>
    </w:p>
    <w:p w14:paraId="57C3F2ED"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“b) Autonomía administrativa y financiera; </w:t>
      </w:r>
    </w:p>
    <w:p w14:paraId="134B5DBE"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4D580E3A"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“El capital de las empresas industriales y comerciales del Estado podrá estar representado en cuotas o acciones de igual valor nominal. </w:t>
      </w:r>
    </w:p>
    <w:p w14:paraId="4626967F"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“A las empresas industriales y comerciales del Estado y a las sociedades de economía mixta se les aplicará en lo pertinente los artículos 19, numerales 2°, 4°, 5°, 6°, 12, 13, 17, 27, numerales 2°, 3°, 4°, 5°, y 7°, y 183 de la Ley 142 de 1994. </w:t>
      </w:r>
    </w:p>
    <w:p w14:paraId="51684E4B" w14:textId="77777777" w:rsidR="004122B7" w:rsidRPr="001869FC" w:rsidRDefault="004122B7" w:rsidP="004122B7">
      <w:pPr>
        <w:pStyle w:val="NormalWeb"/>
        <w:spacing w:before="0" w:beforeAutospacing="0" w:after="0" w:afterAutospacing="0"/>
        <w:ind w:firstLine="708"/>
        <w:jc w:val="both"/>
        <w:rPr>
          <w:rFonts w:ascii="Verdana" w:hAnsi="Verdana" w:cs="Arial"/>
          <w:color w:val="000000"/>
          <w:sz w:val="14"/>
          <w:szCs w:val="14"/>
        </w:rPr>
      </w:pPr>
      <w:r w:rsidRPr="001869FC">
        <w:rPr>
          <w:rFonts w:ascii="Verdana" w:hAnsi="Verdana" w:cs="Arial"/>
          <w:color w:val="000000"/>
          <w:sz w:val="14"/>
          <w:szCs w:val="14"/>
        </w:rPr>
        <w:t>“</w:t>
      </w:r>
      <w:r w:rsidRPr="001869FC">
        <w:rPr>
          <w:rStyle w:val="Fuerte"/>
          <w:rFonts w:ascii="Verdana" w:hAnsi="Verdana" w:cs="Arial"/>
          <w:b w:val="0"/>
          <w:bCs w:val="0"/>
          <w:color w:val="000000"/>
          <w:sz w:val="14"/>
          <w:szCs w:val="14"/>
        </w:rPr>
        <w:t>Parágrafo</w:t>
      </w:r>
      <w:r w:rsidRPr="001869FC">
        <w:rPr>
          <w:rStyle w:val="Fuerte"/>
          <w:rFonts w:ascii="Verdana" w:hAnsi="Verdana" w:cs="Arial"/>
          <w:color w:val="000000"/>
          <w:sz w:val="14"/>
          <w:szCs w:val="14"/>
        </w:rPr>
        <w:t>.</w:t>
      </w:r>
      <w:r w:rsidRPr="001869FC">
        <w:rPr>
          <w:rFonts w:ascii="Verdana" w:hAnsi="Verdana" w:cs="Arial"/>
          <w:color w:val="000000"/>
          <w:sz w:val="14"/>
          <w:szCs w:val="14"/>
        </w:rPr>
        <w:t> Las disposiciones legales que protegen el secreto industrial y la información comercial se aplicarán a aquellos secretos e informaciones de esa naturaleza que desarrollen y posean las empresas industriales y comerciales del Estado». </w:t>
      </w:r>
    </w:p>
    <w:p w14:paraId="29906A04" w14:textId="77777777" w:rsidR="004122B7" w:rsidRPr="001869FC" w:rsidRDefault="004122B7" w:rsidP="004122B7">
      <w:pPr>
        <w:pStyle w:val="Textonotapie"/>
        <w:jc w:val="both"/>
        <w:rPr>
          <w:rFonts w:ascii="Verdana" w:hAnsi="Verdana" w:cs="Arial"/>
          <w:sz w:val="14"/>
          <w:szCs w:val="14"/>
        </w:rPr>
      </w:pPr>
    </w:p>
  </w:footnote>
  <w:footnote w:id="3">
    <w:p w14:paraId="243FDBF8" w14:textId="77777777" w:rsidR="004122B7" w:rsidRPr="001869FC" w:rsidRDefault="004122B7" w:rsidP="004122B7">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489 de 1998 «</w:t>
      </w:r>
      <w:r w:rsidRPr="001869FC">
        <w:rPr>
          <w:rStyle w:val="Fuerte"/>
          <w:rFonts w:ascii="Verdana" w:hAnsi="Verdana" w:cs="Arial"/>
          <w:b w:val="0"/>
          <w:bCs w:val="0"/>
          <w:color w:val="000000"/>
          <w:sz w:val="14"/>
          <w:szCs w:val="14"/>
        </w:rPr>
        <w:t>Artículo 68.</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Entidades descentralizadas. </w:t>
      </w:r>
      <w:r w:rsidRPr="001869FC">
        <w:rPr>
          <w:rFonts w:ascii="Verdana" w:hAnsi="Verdana" w:cs="Arial"/>
          <w:color w:val="000000"/>
          <w:sz w:val="14"/>
          <w:szCs w:val="14"/>
        </w:rPr>
        <w:t>Son entidades descentralizadas del orden nacional, los establecimientos públicos, las empresas industriales y comerciales del Estado, las sociedades públicas y las sociedades de economía mixta, las superintendencias y las unidades</w:t>
      </w:r>
      <w:r w:rsidRPr="00856A34">
        <w:rPr>
          <w:rFonts w:ascii="Arial" w:hAnsi="Arial" w:cs="Arial"/>
          <w:color w:val="000000"/>
          <w:sz w:val="19"/>
          <w:szCs w:val="19"/>
        </w:rPr>
        <w:t xml:space="preserve"> </w:t>
      </w:r>
      <w:r w:rsidRPr="001869FC">
        <w:rPr>
          <w:rFonts w:ascii="Verdana" w:hAnsi="Verdana" w:cs="Arial"/>
          <w:color w:val="000000"/>
          <w:sz w:val="14"/>
          <w:szCs w:val="14"/>
        </w:rPr>
        <w:t>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40E67BA1"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“Como órganos del Estado aun cuando gozan de autonomía administrativa están sujetas al control político y a la suprema dirección del órgano de la administración al cual están adscritas. </w:t>
      </w:r>
    </w:p>
    <w:p w14:paraId="6521B4B7"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9"/>
          <w:szCs w:val="19"/>
        </w:rPr>
        <w:t>  </w:t>
      </w:r>
      <w:r w:rsidRPr="001869FC">
        <w:rPr>
          <w:rFonts w:ascii="Verdana" w:hAnsi="Verdana" w:cs="Arial"/>
          <w:color w:val="000000"/>
          <w:sz w:val="19"/>
          <w:szCs w:val="19"/>
        </w:rPr>
        <w:tab/>
      </w:r>
      <w:r w:rsidRPr="001869FC">
        <w:rPr>
          <w:rFonts w:ascii="Verdana" w:hAnsi="Verdana" w:cs="Arial"/>
          <w:color w:val="000000"/>
          <w:sz w:val="14"/>
          <w:szCs w:val="14"/>
        </w:rPr>
        <w:t>“Las entidades descentralizadas se sujetan a las reglas señaladas en la Constitución Política, en la presente ley, en las leyes que las creen y determinen su estructura orgánica y a sus estatutos internos. </w:t>
      </w:r>
    </w:p>
    <w:p w14:paraId="591EB987" w14:textId="77777777" w:rsidR="004122B7" w:rsidRPr="001869FC" w:rsidRDefault="004122B7" w:rsidP="004122B7">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“Los organismos y entidades descentralizados, sujetos a regímenes especiales por mandato de la Constitución Política, se someterán a las disposiciones que para ellos establezca la respectiva ley. </w:t>
      </w:r>
    </w:p>
    <w:p w14:paraId="0AC06336" w14:textId="77777777" w:rsidR="004122B7" w:rsidRPr="001869FC" w:rsidRDefault="004122B7" w:rsidP="004122B7">
      <w:pPr>
        <w:pStyle w:val="NormalWeb"/>
        <w:spacing w:before="0" w:beforeAutospacing="0" w:after="0" w:afterAutospacing="0"/>
        <w:jc w:val="both"/>
        <w:rPr>
          <w:rFonts w:ascii="Verdana" w:hAnsi="Verdana" w:cs="Arial"/>
          <w:color w:val="000000"/>
          <w:sz w:val="19"/>
          <w:szCs w:val="19"/>
        </w:rPr>
      </w:pPr>
      <w:r w:rsidRPr="001869FC">
        <w:rPr>
          <w:rFonts w:ascii="Verdana" w:hAnsi="Verdana" w:cs="Arial"/>
          <w:color w:val="000000"/>
          <w:sz w:val="19"/>
          <w:szCs w:val="19"/>
        </w:rPr>
        <w:t>  </w:t>
      </w:r>
      <w:r w:rsidRPr="001869FC">
        <w:rPr>
          <w:rFonts w:ascii="Verdana" w:hAnsi="Verdana" w:cs="Arial"/>
          <w:color w:val="000000"/>
          <w:sz w:val="19"/>
          <w:szCs w:val="19"/>
        </w:rPr>
        <w:tab/>
      </w:r>
      <w:r w:rsidRPr="001869FC">
        <w:rPr>
          <w:rStyle w:val="Fuerte"/>
          <w:rFonts w:ascii="Verdana" w:hAnsi="Verdana" w:cs="Arial"/>
          <w:b w:val="0"/>
          <w:bCs w:val="0"/>
          <w:color w:val="000000"/>
          <w:sz w:val="14"/>
          <w:szCs w:val="14"/>
        </w:rPr>
        <w:t>“Parágrafo 1°.</w:t>
      </w:r>
      <w:r w:rsidRPr="001869FC">
        <w:rPr>
          <w:rFonts w:ascii="Verdana" w:hAnsi="Verdana" w:cs="Arial"/>
          <w:color w:val="000000"/>
          <w:sz w:val="14"/>
          <w:szCs w:val="14"/>
        </w:rPr>
        <w:t> De conformidad con el inciso segundo del artículo 210 de la Constitución Política, el régimen jurídico aquí previsto para las entidades descentralizadas es</w:t>
      </w:r>
      <w:r w:rsidRPr="001869FC">
        <w:rPr>
          <w:rFonts w:ascii="Verdana" w:hAnsi="Verdana" w:cs="Arial"/>
          <w:color w:val="000000"/>
          <w:sz w:val="19"/>
          <w:szCs w:val="19"/>
        </w:rPr>
        <w:t xml:space="preserve"> </w:t>
      </w:r>
      <w:r w:rsidRPr="001869FC">
        <w:rPr>
          <w:rFonts w:ascii="Verdana" w:hAnsi="Verdana" w:cs="Arial"/>
          <w:color w:val="000000"/>
          <w:sz w:val="14"/>
          <w:szCs w:val="14"/>
        </w:rPr>
        <w:t>aplicable a las de las entidades territoriales sin</w:t>
      </w:r>
      <w:r w:rsidRPr="001869FC">
        <w:rPr>
          <w:rFonts w:ascii="Verdana" w:hAnsi="Verdana" w:cs="Arial"/>
          <w:color w:val="000000"/>
          <w:sz w:val="19"/>
          <w:szCs w:val="19"/>
        </w:rPr>
        <w:t xml:space="preserve"> </w:t>
      </w:r>
      <w:r w:rsidRPr="001869FC">
        <w:rPr>
          <w:rFonts w:ascii="Verdana" w:hAnsi="Verdana" w:cs="Arial"/>
          <w:color w:val="000000"/>
          <w:sz w:val="14"/>
          <w:szCs w:val="14"/>
        </w:rPr>
        <w:t>perjuicio de las competencias asignadas por la Constitución y la ley a las autoridades del orden territorial.</w:t>
      </w:r>
      <w:r w:rsidRPr="001869FC">
        <w:rPr>
          <w:rFonts w:ascii="Verdana" w:hAnsi="Verdana" w:cs="Arial"/>
          <w:color w:val="000000"/>
          <w:sz w:val="19"/>
          <w:szCs w:val="19"/>
        </w:rPr>
        <w:t> </w:t>
      </w:r>
    </w:p>
    <w:p w14:paraId="11AAC910" w14:textId="77777777" w:rsidR="004122B7" w:rsidRPr="001869FC" w:rsidRDefault="004122B7" w:rsidP="004122B7">
      <w:pPr>
        <w:pStyle w:val="Textonotapie"/>
        <w:jc w:val="both"/>
        <w:rPr>
          <w:rFonts w:ascii="Verdana" w:hAnsi="Verdana" w:cs="Arial"/>
          <w:sz w:val="19"/>
          <w:szCs w:val="19"/>
        </w:rPr>
      </w:pPr>
    </w:p>
  </w:footnote>
  <w:footnote w:id="4">
    <w:p w14:paraId="5FF0385D" w14:textId="77777777" w:rsidR="004122B7" w:rsidRPr="001869FC" w:rsidRDefault="004122B7" w:rsidP="004122B7">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1122 de 2007. “</w:t>
      </w:r>
      <w:r w:rsidRPr="001869FC">
        <w:rPr>
          <w:rStyle w:val="Fuerte"/>
          <w:rFonts w:ascii="Verdana" w:hAnsi="Verdana" w:cs="Arial"/>
          <w:b w:val="0"/>
          <w:bCs w:val="0"/>
          <w:color w:val="000000"/>
          <w:sz w:val="14"/>
          <w:szCs w:val="14"/>
        </w:rPr>
        <w:t>Artículo 45.</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Régimen de contratación de EPS públicas. </w:t>
      </w:r>
      <w:r w:rsidRPr="001869FC">
        <w:rPr>
          <w:rFonts w:ascii="Verdana" w:hAnsi="Verdana" w:cs="Arial"/>
          <w:color w:val="000000"/>
          <w:sz w:val="14"/>
          <w:szCs w:val="14"/>
        </w:rPr>
        <w:t>Las Empresas promotoras de Salud del Régimen Subsidiado y Contributivo Públicas tendrán el mismo régimen de contratación que las Empresas Sociales del Estado”. </w:t>
      </w:r>
    </w:p>
    <w:p w14:paraId="1DAF218D" w14:textId="77777777" w:rsidR="004122B7" w:rsidRPr="001869FC" w:rsidRDefault="004122B7" w:rsidP="004122B7">
      <w:pPr>
        <w:pStyle w:val="NormalWeb"/>
        <w:spacing w:before="0" w:beforeAutospacing="0" w:after="0" w:afterAutospacing="0"/>
        <w:jc w:val="both"/>
        <w:rPr>
          <w:rFonts w:ascii="Verdana" w:hAnsi="Verdana" w:cs="Arial"/>
          <w:sz w:val="14"/>
          <w:szCs w:val="14"/>
        </w:rPr>
      </w:pPr>
      <w:r w:rsidRPr="001869FC">
        <w:rPr>
          <w:rFonts w:ascii="Verdana" w:hAnsi="Verdana" w:cs="Arial"/>
          <w:color w:val="000000"/>
          <w:sz w:val="14"/>
          <w:szCs w:val="14"/>
        </w:rPr>
        <w:t>  </w:t>
      </w:r>
    </w:p>
  </w:footnote>
  <w:footnote w:id="5">
    <w:p w14:paraId="62A6E8ED" w14:textId="77777777" w:rsidR="004122B7" w:rsidRPr="001869FC" w:rsidRDefault="004122B7" w:rsidP="004122B7">
      <w:pPr>
        <w:pStyle w:val="Textonotapie"/>
        <w:ind w:firstLine="708"/>
        <w:jc w:val="both"/>
        <w:rPr>
          <w:rFonts w:ascii="Verdana" w:hAnsi="Verdana" w:cs="Arial"/>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100 de 1993 «Artículo 195. Régimen jurídico. Las Empresas Sociales de Salud se someterán al siguiente régimen jurídico: </w:t>
      </w:r>
    </w:p>
    <w:p w14:paraId="3842A99C" w14:textId="77777777" w:rsidR="004122B7" w:rsidRPr="001869FC" w:rsidRDefault="004122B7" w:rsidP="004122B7">
      <w:pPr>
        <w:pStyle w:val="Textonotapie"/>
        <w:ind w:firstLine="708"/>
        <w:jc w:val="both"/>
        <w:rPr>
          <w:rFonts w:ascii="Verdana" w:hAnsi="Verdana" w:cs="Arial"/>
          <w:sz w:val="14"/>
          <w:szCs w:val="14"/>
        </w:rPr>
      </w:pPr>
      <w:r w:rsidRPr="001869FC">
        <w:rPr>
          <w:rFonts w:ascii="Verdana" w:hAnsi="Verdana" w:cs="Arial"/>
          <w:sz w:val="14"/>
          <w:szCs w:val="14"/>
        </w:rPr>
        <w:t>[…]</w:t>
      </w:r>
    </w:p>
    <w:p w14:paraId="70719385" w14:textId="77777777" w:rsidR="004122B7" w:rsidRPr="001869FC" w:rsidRDefault="004122B7" w:rsidP="004122B7">
      <w:pPr>
        <w:pStyle w:val="Textonotapie"/>
        <w:ind w:firstLine="708"/>
        <w:jc w:val="both"/>
        <w:rPr>
          <w:rFonts w:ascii="Verdana" w:hAnsi="Verdana" w:cs="Arial"/>
          <w:sz w:val="14"/>
          <w:szCs w:val="14"/>
        </w:rPr>
      </w:pPr>
      <w:r w:rsidRPr="001869FC">
        <w:rPr>
          <w:rFonts w:ascii="Verdana" w:hAnsi="Verdana" w:cs="Arial"/>
          <w:sz w:val="14"/>
          <w:szCs w:val="14"/>
        </w:rPr>
        <w:t>“6. En materia contractual se regirá por el derecho privado, pero podrá discrecionalmente utilizar las cláusulas exorbitantes previstas en el Estatuto General de Contratación de la Administración Pública”.</w:t>
      </w:r>
    </w:p>
    <w:p w14:paraId="50354AF4" w14:textId="77777777" w:rsidR="004122B7" w:rsidRPr="001869FC" w:rsidRDefault="004122B7" w:rsidP="004122B7">
      <w:pPr>
        <w:pStyle w:val="Textonotapie"/>
        <w:ind w:firstLine="708"/>
        <w:jc w:val="both"/>
        <w:rPr>
          <w:rFonts w:ascii="Arial" w:hAnsi="Arial" w:cs="Arial"/>
          <w:sz w:val="14"/>
          <w:szCs w:val="14"/>
        </w:rPr>
      </w:pPr>
      <w:r w:rsidRPr="001869FC">
        <w:rPr>
          <w:rFonts w:ascii="Arial" w:hAnsi="Arial" w:cs="Arial"/>
          <w:sz w:val="14"/>
          <w:szCs w:val="14"/>
        </w:rPr>
        <w:t xml:space="preserve"> </w:t>
      </w:r>
    </w:p>
  </w:footnote>
  <w:footnote w:id="6">
    <w:p w14:paraId="27895360" w14:textId="77777777" w:rsidR="004122B7" w:rsidRPr="001869FC" w:rsidRDefault="004122B7" w:rsidP="004122B7">
      <w:pPr>
        <w:pStyle w:val="NormalWeb"/>
        <w:spacing w:before="0" w:beforeAutospacing="0" w:after="0" w:afterAutospacing="0"/>
        <w:ind w:firstLine="708"/>
        <w:jc w:val="both"/>
        <w:rPr>
          <w:rFonts w:ascii="Arial" w:hAnsi="Arial" w:cs="Arial"/>
          <w:color w:val="000000"/>
          <w:sz w:val="14"/>
          <w:szCs w:val="14"/>
        </w:rPr>
      </w:pPr>
      <w:r w:rsidRPr="001869FC">
        <w:rPr>
          <w:rStyle w:val="Refdenotaalpie"/>
          <w:rFonts w:ascii="Arial" w:hAnsi="Arial" w:cs="Arial"/>
          <w:sz w:val="14"/>
          <w:szCs w:val="14"/>
        </w:rPr>
        <w:footnoteRef/>
      </w:r>
      <w:r w:rsidRPr="001869FC">
        <w:rPr>
          <w:rFonts w:ascii="Arial" w:hAnsi="Arial" w:cs="Arial"/>
          <w:sz w:val="14"/>
          <w:szCs w:val="14"/>
        </w:rPr>
        <w:t xml:space="preserve"> Ley 489 de 1998 “</w:t>
      </w:r>
      <w:r w:rsidRPr="001869FC">
        <w:rPr>
          <w:rStyle w:val="Fuerte"/>
          <w:rFonts w:ascii="Arial" w:hAnsi="Arial" w:cs="Arial"/>
          <w:b w:val="0"/>
          <w:bCs w:val="0"/>
          <w:color w:val="000000"/>
          <w:sz w:val="14"/>
          <w:szCs w:val="14"/>
        </w:rPr>
        <w:t>Artículo 97.</w:t>
      </w:r>
      <w:r w:rsidRPr="001869FC">
        <w:rPr>
          <w:rStyle w:val="nfasis"/>
          <w:rFonts w:ascii="Arial" w:eastAsia="Arial" w:hAnsi="Arial" w:cs="Arial"/>
          <w:color w:val="000000"/>
          <w:sz w:val="14"/>
          <w:szCs w:val="14"/>
        </w:rPr>
        <w:t xml:space="preserve"> Sociedades de economía mixta. </w:t>
      </w:r>
      <w:r w:rsidRPr="001869FC">
        <w:rPr>
          <w:rFonts w:ascii="Arial" w:hAnsi="Arial" w:cs="Arial"/>
          <w:color w:val="000000"/>
          <w:sz w:val="14"/>
          <w:szCs w:val="14"/>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5A505075" w14:textId="77777777" w:rsidR="004122B7" w:rsidRPr="001869FC" w:rsidRDefault="004122B7" w:rsidP="004122B7">
      <w:pPr>
        <w:pStyle w:val="NormalWeb"/>
        <w:spacing w:before="0" w:beforeAutospacing="0" w:after="0" w:afterAutospacing="0"/>
        <w:ind w:firstLine="708"/>
        <w:jc w:val="both"/>
        <w:rPr>
          <w:rFonts w:ascii="Arial" w:hAnsi="Arial" w:cs="Arial"/>
          <w:color w:val="000000"/>
          <w:sz w:val="14"/>
          <w:szCs w:val="14"/>
        </w:rPr>
      </w:pPr>
      <w:r w:rsidRPr="001869FC">
        <w:rPr>
          <w:rFonts w:ascii="Arial" w:hAnsi="Arial" w:cs="Arial"/>
          <w:color w:val="000000"/>
          <w:sz w:val="14"/>
          <w:szCs w:val="14"/>
        </w:rPr>
        <w:t>“Las inversiones temporales de carácter financiero no afectan su naturaleza jurídica ni su régimen. </w:t>
      </w:r>
    </w:p>
    <w:p w14:paraId="562B7663"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w:t>
      </w:r>
      <w:r w:rsidRPr="001869FC">
        <w:rPr>
          <w:rStyle w:val="Fuerte"/>
          <w:rFonts w:ascii="Arial" w:hAnsi="Arial" w:cs="Arial"/>
          <w:b w:val="0"/>
          <w:bCs w:val="0"/>
          <w:color w:val="000000"/>
          <w:sz w:val="14"/>
          <w:szCs w:val="14"/>
        </w:rPr>
        <w:t>Parágrafo.</w:t>
      </w:r>
      <w:r w:rsidRPr="001869FC">
        <w:rPr>
          <w:rFonts w:ascii="Arial" w:hAnsi="Arial" w:cs="Arial"/>
          <w:b/>
          <w:color w:val="000000"/>
          <w:sz w:val="14"/>
          <w:szCs w:val="14"/>
        </w:rPr>
        <w:t> </w:t>
      </w:r>
      <w:r w:rsidRPr="001869FC">
        <w:rPr>
          <w:rFonts w:ascii="Arial" w:hAnsi="Arial" w:cs="Arial"/>
          <w:color w:val="000000"/>
          <w:sz w:val="14"/>
          <w:szCs w:val="14"/>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p w14:paraId="5C69A4A8" w14:textId="77777777" w:rsidR="004122B7" w:rsidRPr="001869FC" w:rsidRDefault="004122B7" w:rsidP="004122B7">
      <w:pPr>
        <w:pStyle w:val="Textonotapie"/>
        <w:ind w:firstLine="708"/>
        <w:jc w:val="both"/>
        <w:rPr>
          <w:rFonts w:ascii="Arial" w:hAnsi="Arial" w:cs="Arial"/>
          <w:sz w:val="14"/>
          <w:szCs w:val="14"/>
        </w:rPr>
      </w:pPr>
      <w:r w:rsidRPr="001869FC">
        <w:rPr>
          <w:rFonts w:ascii="Arial" w:hAnsi="Arial" w:cs="Arial"/>
          <w:sz w:val="14"/>
          <w:szCs w:val="14"/>
        </w:rPr>
        <w:t xml:space="preserve"> </w:t>
      </w:r>
    </w:p>
  </w:footnote>
  <w:footnote w:id="7">
    <w:p w14:paraId="5BDEA210" w14:textId="77777777" w:rsidR="004122B7" w:rsidRPr="00856A34" w:rsidRDefault="004122B7" w:rsidP="004122B7">
      <w:pPr>
        <w:pStyle w:val="Textonotapie"/>
        <w:ind w:firstLine="708"/>
        <w:jc w:val="both"/>
        <w:rPr>
          <w:rFonts w:ascii="Arial" w:hAnsi="Arial" w:cs="Arial"/>
          <w:sz w:val="19"/>
          <w:szCs w:val="19"/>
        </w:rPr>
      </w:pPr>
      <w:r w:rsidRPr="001869FC">
        <w:rPr>
          <w:rStyle w:val="Refdenotaalpie"/>
          <w:rFonts w:ascii="Arial" w:hAnsi="Arial" w:cs="Arial"/>
          <w:sz w:val="14"/>
          <w:szCs w:val="14"/>
        </w:rPr>
        <w:footnoteRef/>
      </w:r>
      <w:r w:rsidRPr="001869FC">
        <w:rPr>
          <w:rFonts w:ascii="Arial" w:hAnsi="Arial" w:cs="Arial"/>
          <w:sz w:val="14"/>
          <w:szCs w:val="14"/>
        </w:rPr>
        <w:t xml:space="preserve">  Ley 21 de 1982 “</w:t>
      </w:r>
      <w:r w:rsidRPr="001869FC">
        <w:rPr>
          <w:rFonts w:ascii="Arial" w:hAnsi="Arial" w:cs="Arial"/>
          <w:color w:val="000000"/>
          <w:sz w:val="14"/>
          <w:szCs w:val="14"/>
        </w:rPr>
        <w:t>Artículo 39. Las Cajas de Compensación Familiar son personas jurídicas de derecho privado sin ánimo de lucro, organizadas como corporaciones en la forma prevista en el Código</w:t>
      </w:r>
      <w:r w:rsidRPr="00856A34">
        <w:rPr>
          <w:rFonts w:ascii="Arial" w:hAnsi="Arial" w:cs="Arial"/>
          <w:color w:val="000000"/>
          <w:sz w:val="19"/>
          <w:szCs w:val="19"/>
        </w:rPr>
        <w:t xml:space="preserve"> </w:t>
      </w:r>
      <w:r w:rsidRPr="001869FC">
        <w:rPr>
          <w:rFonts w:ascii="Arial" w:hAnsi="Arial" w:cs="Arial"/>
          <w:color w:val="000000"/>
          <w:sz w:val="14"/>
          <w:szCs w:val="14"/>
        </w:rPr>
        <w:t>Civil, cumplen funciones de seguridad social y se hallan sometidas al control y vigilancia del Estado en la forma establecida por la ley</w:t>
      </w:r>
      <w:r>
        <w:rPr>
          <w:rFonts w:ascii="Arial" w:hAnsi="Arial" w:cs="Arial"/>
          <w:color w:val="000000"/>
          <w:sz w:val="19"/>
          <w:szCs w:val="19"/>
        </w:rPr>
        <w:t>”</w:t>
      </w:r>
      <w:r w:rsidRPr="00856A34">
        <w:rPr>
          <w:rFonts w:ascii="Arial" w:hAnsi="Arial" w:cs="Arial"/>
          <w:color w:val="000000"/>
          <w:sz w:val="19"/>
          <w:szCs w:val="19"/>
        </w:rPr>
        <w:t>. </w:t>
      </w:r>
    </w:p>
  </w:footnote>
  <w:footnote w:id="8">
    <w:p w14:paraId="06FC2246" w14:textId="77777777" w:rsidR="004122B7" w:rsidRPr="00856A34" w:rsidRDefault="004122B7" w:rsidP="004122B7">
      <w:pPr>
        <w:pStyle w:val="Textonotapie"/>
        <w:jc w:val="both"/>
        <w:rPr>
          <w:rFonts w:ascii="Arial" w:hAnsi="Arial" w:cs="Arial"/>
          <w:sz w:val="19"/>
          <w:szCs w:val="19"/>
        </w:rPr>
      </w:pPr>
    </w:p>
    <w:p w14:paraId="11BB7E78" w14:textId="77777777" w:rsidR="004122B7" w:rsidRPr="001869FC" w:rsidRDefault="004122B7" w:rsidP="004122B7">
      <w:pPr>
        <w:pStyle w:val="NormalWeb"/>
        <w:spacing w:before="0" w:beforeAutospacing="0" w:after="0" w:afterAutospacing="0"/>
        <w:ind w:firstLine="708"/>
        <w:jc w:val="both"/>
        <w:rPr>
          <w:rFonts w:ascii="Arial" w:hAnsi="Arial" w:cs="Arial"/>
          <w:color w:val="000000"/>
          <w:sz w:val="14"/>
          <w:szCs w:val="14"/>
        </w:rPr>
      </w:pPr>
      <w:r w:rsidRPr="001869FC">
        <w:rPr>
          <w:rStyle w:val="Refdenotaalpie"/>
          <w:rFonts w:ascii="Arial" w:hAnsi="Arial" w:cs="Arial"/>
          <w:sz w:val="14"/>
          <w:szCs w:val="14"/>
        </w:rPr>
        <w:footnoteRef/>
      </w:r>
      <w:r w:rsidRPr="001869FC">
        <w:rPr>
          <w:rFonts w:ascii="Arial" w:hAnsi="Arial" w:cs="Arial"/>
          <w:sz w:val="14"/>
          <w:szCs w:val="14"/>
        </w:rPr>
        <w:t xml:space="preserve"> Ley 454 de 1998 «</w:t>
      </w:r>
      <w:r w:rsidRPr="001869FC">
        <w:rPr>
          <w:rStyle w:val="Fuerte"/>
          <w:rFonts w:ascii="Arial" w:hAnsi="Arial" w:cs="Arial"/>
          <w:b w:val="0"/>
          <w:bCs w:val="0"/>
          <w:color w:val="000000"/>
          <w:sz w:val="14"/>
          <w:szCs w:val="14"/>
        </w:rPr>
        <w:t>Artículo 6</w:t>
      </w:r>
      <w:r w:rsidRPr="001869FC">
        <w:rPr>
          <w:rStyle w:val="Fuerte"/>
          <w:rFonts w:ascii="Arial" w:hAnsi="Arial" w:cs="Arial"/>
          <w:color w:val="000000"/>
          <w:sz w:val="14"/>
          <w:szCs w:val="14"/>
        </w:rPr>
        <w:t xml:space="preserve">°. </w:t>
      </w:r>
      <w:r w:rsidRPr="001869FC">
        <w:rPr>
          <w:rStyle w:val="nfasis"/>
          <w:rFonts w:ascii="Arial" w:eastAsia="Arial" w:hAnsi="Arial" w:cs="Arial"/>
          <w:color w:val="000000"/>
          <w:sz w:val="14"/>
          <w:szCs w:val="14"/>
        </w:rPr>
        <w:t>Características de las organizaciones de Economía Solidaria. </w:t>
      </w:r>
      <w:r w:rsidRPr="001869FC">
        <w:rPr>
          <w:rFonts w:ascii="Arial" w:hAnsi="Arial" w:cs="Arial"/>
          <w:color w:val="000000"/>
          <w:sz w:val="14"/>
          <w:szCs w:val="14"/>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60EF8D6B"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856A34">
        <w:rPr>
          <w:rFonts w:ascii="Arial" w:hAnsi="Arial" w:cs="Arial"/>
          <w:color w:val="000000"/>
          <w:sz w:val="19"/>
          <w:szCs w:val="19"/>
        </w:rPr>
        <w:t>  </w:t>
      </w:r>
      <w:r w:rsidRPr="00856A34">
        <w:rPr>
          <w:rFonts w:ascii="Arial" w:hAnsi="Arial" w:cs="Arial"/>
          <w:color w:val="000000"/>
          <w:sz w:val="19"/>
          <w:szCs w:val="19"/>
        </w:rPr>
        <w:tab/>
      </w:r>
      <w:r>
        <w:rPr>
          <w:rFonts w:ascii="Arial" w:hAnsi="Arial" w:cs="Arial"/>
          <w:color w:val="000000"/>
          <w:sz w:val="19"/>
          <w:szCs w:val="19"/>
        </w:rPr>
        <w:t>“</w:t>
      </w:r>
      <w:r w:rsidRPr="001869FC">
        <w:rPr>
          <w:rFonts w:ascii="Arial" w:hAnsi="Arial" w:cs="Arial"/>
          <w:color w:val="000000"/>
          <w:sz w:val="14"/>
          <w:szCs w:val="14"/>
        </w:rPr>
        <w:t>1. Estar organizada como empresa que contemple en su objeto social, el ejercicio de una actividad socioeconómica, tendiente a satisfacer necesidades de sus asociados y el desarrollo de obras de servicio comunitario. </w:t>
      </w:r>
    </w:p>
    <w:p w14:paraId="61113B2E"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856A34">
        <w:rPr>
          <w:rFonts w:ascii="Arial" w:hAnsi="Arial" w:cs="Arial"/>
          <w:color w:val="000000"/>
          <w:sz w:val="19"/>
          <w:szCs w:val="19"/>
        </w:rPr>
        <w:t>  </w:t>
      </w:r>
      <w:r w:rsidRPr="00856A34">
        <w:rPr>
          <w:rFonts w:ascii="Arial" w:hAnsi="Arial" w:cs="Arial"/>
          <w:color w:val="000000"/>
          <w:sz w:val="19"/>
          <w:szCs w:val="19"/>
        </w:rPr>
        <w:tab/>
      </w:r>
      <w:r w:rsidRPr="001869FC">
        <w:rPr>
          <w:rFonts w:ascii="Arial" w:hAnsi="Arial" w:cs="Arial"/>
          <w:color w:val="000000"/>
          <w:sz w:val="14"/>
          <w:szCs w:val="14"/>
        </w:rPr>
        <w:t>“2. Tener establecido un vínculo asociativo, fundado en los principios y fines contemplados en la presente ley. </w:t>
      </w:r>
    </w:p>
    <w:p w14:paraId="6D183078"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“3. Tener incluido en sus estatutos o reglas básicas de funcionamiento la ausencia de ánimo de lucro, movida por la solidaridad, el servicio social o comunitario. </w:t>
      </w:r>
    </w:p>
    <w:p w14:paraId="540866DA"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p>
    <w:p w14:paraId="615E8B64" w14:textId="77777777" w:rsidR="004122B7" w:rsidRPr="001869FC" w:rsidRDefault="004122B7" w:rsidP="004122B7">
      <w:pPr>
        <w:pStyle w:val="NormalWeb"/>
        <w:spacing w:before="0" w:beforeAutospacing="0" w:after="0" w:afterAutospacing="0"/>
        <w:ind w:firstLine="708"/>
        <w:jc w:val="both"/>
        <w:rPr>
          <w:rFonts w:ascii="Arial" w:hAnsi="Arial" w:cs="Arial"/>
          <w:color w:val="000000"/>
          <w:sz w:val="14"/>
          <w:szCs w:val="14"/>
        </w:rPr>
      </w:pPr>
      <w:r w:rsidRPr="001869FC">
        <w:rPr>
          <w:rFonts w:ascii="Arial" w:hAnsi="Arial" w:cs="Arial"/>
          <w:color w:val="000000"/>
          <w:sz w:val="14"/>
          <w:szCs w:val="14"/>
        </w:rPr>
        <w:t>4. Garantizar la igualdad de derechos y obligaciones de sus miembros sin consideración a sus aportes. </w:t>
      </w:r>
    </w:p>
    <w:p w14:paraId="03165F23"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5. Establecer en sus estatutos un monto mínimo de aportes sociales no reducibles, debidamente pagados, durante su existencia. </w:t>
      </w:r>
    </w:p>
    <w:p w14:paraId="0C4C7319"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6. Integrarse social y económicamente, sin perjuicio de sus vínculos con otras entidades sin ánimo de lucro que tengan por fin promover el desarrollo integral del ser humano. </w:t>
      </w:r>
    </w:p>
    <w:p w14:paraId="6BE82E18"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r>
      <w:r w:rsidRPr="001869FC">
        <w:rPr>
          <w:rStyle w:val="Fuerte"/>
          <w:rFonts w:ascii="Arial" w:hAnsi="Arial" w:cs="Arial"/>
          <w:b w:val="0"/>
          <w:bCs w:val="0"/>
          <w:color w:val="000000"/>
          <w:sz w:val="14"/>
          <w:szCs w:val="14"/>
        </w:rPr>
        <w:t>Parágrafo 1°.</w:t>
      </w:r>
      <w:r w:rsidRPr="001869FC">
        <w:rPr>
          <w:rFonts w:ascii="Arial" w:hAnsi="Arial" w:cs="Arial"/>
          <w:color w:val="000000"/>
          <w:sz w:val="14"/>
          <w:szCs w:val="14"/>
        </w:rPr>
        <w:t> En todo caso, las organizaciones de la economía solidaria deberán cumplir con los siguientes principios económicos: </w:t>
      </w:r>
    </w:p>
    <w:p w14:paraId="453D3F67"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1. Establecer la irrepartibilidad de las reservas sociales y, en caso de liquidación, la del remanente patrimonial. </w:t>
      </w:r>
    </w:p>
    <w:p w14:paraId="59B62450" w14:textId="77777777" w:rsidR="004122B7" w:rsidRPr="001869FC" w:rsidRDefault="004122B7" w:rsidP="004122B7">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 xml:space="preserve">2. Destinar sus excedentes a la prestación de servicios de carácter social, al crecimiento de sus reservas y fondos, y a reintegrar a sus asociados parte de </w:t>
      </w:r>
      <w:proofErr w:type="gramStart"/>
      <w:r w:rsidRPr="001869FC">
        <w:rPr>
          <w:rFonts w:ascii="Arial" w:hAnsi="Arial" w:cs="Arial"/>
          <w:color w:val="000000"/>
          <w:sz w:val="14"/>
          <w:szCs w:val="14"/>
        </w:rPr>
        <w:t>los mismos</w:t>
      </w:r>
      <w:proofErr w:type="gramEnd"/>
      <w:r w:rsidRPr="001869FC">
        <w:rPr>
          <w:rFonts w:ascii="Arial" w:hAnsi="Arial" w:cs="Arial"/>
          <w:color w:val="000000"/>
          <w:sz w:val="14"/>
          <w:szCs w:val="14"/>
        </w:rPr>
        <w:t xml:space="preserve"> en proporción al uso de los servicios o a la participación en el trabajo de la empresa, sin perjuicio de amortizar los aportes y conservarlos en su valor real. </w:t>
      </w:r>
    </w:p>
    <w:p w14:paraId="3B9BFF5C" w14:textId="77777777" w:rsidR="004122B7" w:rsidRPr="001869FC" w:rsidRDefault="004122B7" w:rsidP="004122B7">
      <w:pPr>
        <w:pStyle w:val="NormalWeb"/>
        <w:spacing w:before="0" w:beforeAutospacing="0" w:after="0" w:afterAutospacing="0"/>
        <w:jc w:val="both"/>
        <w:rPr>
          <w:rFonts w:ascii="Arial" w:hAnsi="Arial" w:cs="Arial"/>
          <w:sz w:val="14"/>
          <w:szCs w:val="14"/>
        </w:rPr>
      </w:pPr>
      <w:r w:rsidRPr="001869FC">
        <w:rPr>
          <w:rFonts w:ascii="Arial" w:hAnsi="Arial" w:cs="Arial"/>
          <w:color w:val="000000"/>
          <w:sz w:val="14"/>
          <w:szCs w:val="14"/>
        </w:rPr>
        <w:t>  </w:t>
      </w:r>
      <w:r w:rsidRPr="001869FC">
        <w:rPr>
          <w:rFonts w:ascii="Arial" w:hAnsi="Arial" w:cs="Arial"/>
          <w:color w:val="000000"/>
          <w:sz w:val="14"/>
          <w:szCs w:val="14"/>
        </w:rPr>
        <w:tab/>
      </w:r>
      <w:r w:rsidRPr="001869FC">
        <w:rPr>
          <w:rStyle w:val="Fuerte"/>
          <w:rFonts w:ascii="Arial" w:hAnsi="Arial" w:cs="Arial"/>
          <w:b w:val="0"/>
          <w:bCs w:val="0"/>
          <w:color w:val="000000"/>
          <w:sz w:val="14"/>
          <w:szCs w:val="14"/>
        </w:rPr>
        <w:t>Parágrafo 2°.</w:t>
      </w:r>
      <w:r w:rsidRPr="001869FC">
        <w:rPr>
          <w:rFonts w:ascii="Arial" w:hAnsi="Arial" w:cs="Arial"/>
          <w:b/>
          <w:color w:val="000000"/>
          <w:sz w:val="14"/>
          <w:szCs w:val="14"/>
        </w:rPr>
        <w:t> </w:t>
      </w:r>
      <w:r w:rsidRPr="001869FC">
        <w:rPr>
          <w:rFonts w:ascii="Arial" w:hAnsi="Arial" w:cs="Arial"/>
          <w:color w:val="000000"/>
          <w:sz w:val="14"/>
          <w:szCs w:val="14"/>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9">
    <w:p w14:paraId="6AA02E48" w14:textId="77777777" w:rsidR="004122B7" w:rsidRPr="001869FC" w:rsidRDefault="004122B7" w:rsidP="004122B7">
      <w:pPr>
        <w:pStyle w:val="Textonotapie"/>
        <w:ind w:firstLine="708"/>
        <w:jc w:val="both"/>
        <w:rPr>
          <w:rFonts w:ascii="Arial" w:hAnsi="Arial" w:cs="Arial"/>
          <w:sz w:val="14"/>
          <w:szCs w:val="14"/>
        </w:rPr>
      </w:pPr>
    </w:p>
    <w:p w14:paraId="1E1C7366" w14:textId="77777777" w:rsidR="004122B7" w:rsidRPr="00F1638D" w:rsidRDefault="004122B7" w:rsidP="004122B7">
      <w:pPr>
        <w:pStyle w:val="Textonotapie"/>
        <w:ind w:firstLine="708"/>
        <w:jc w:val="both"/>
        <w:rPr>
          <w:rFonts w:ascii="Arial" w:hAnsi="Arial" w:cs="Arial"/>
          <w:sz w:val="19"/>
          <w:szCs w:val="19"/>
          <w:lang w:val="es-ES"/>
        </w:rPr>
      </w:pPr>
      <w:r w:rsidRPr="001869FC">
        <w:rPr>
          <w:rStyle w:val="Refdenotaalpie"/>
          <w:rFonts w:ascii="Arial" w:hAnsi="Arial" w:cs="Arial"/>
          <w:sz w:val="14"/>
          <w:szCs w:val="14"/>
        </w:rPr>
        <w:footnoteRef/>
      </w:r>
      <w:r w:rsidRPr="001869FC">
        <w:rPr>
          <w:rFonts w:ascii="Arial" w:hAnsi="Arial" w:cs="Arial"/>
          <w:sz w:val="14"/>
          <w:szCs w:val="14"/>
        </w:rPr>
        <w:t xml:space="preserve"> </w:t>
      </w:r>
      <w:bookmarkStart w:id="3" w:name="8"/>
      <w:bookmarkEnd w:id="3"/>
      <w:r w:rsidRPr="001869FC">
        <w:rPr>
          <w:rFonts w:ascii="Arial" w:eastAsia="Times New Roman" w:hAnsi="Arial" w:cs="Arial"/>
          <w:color w:val="000000"/>
          <w:sz w:val="14"/>
          <w:szCs w:val="14"/>
          <w:lang w:val="es-CO" w:eastAsia="es-CO"/>
        </w:rPr>
        <w:t xml:space="preserve">Ley 100 de 1993, </w:t>
      </w:r>
      <w:r w:rsidRPr="001869FC">
        <w:rPr>
          <w:rFonts w:ascii="Arial" w:hAnsi="Arial" w:cs="Arial"/>
          <w:sz w:val="14"/>
          <w:szCs w:val="14"/>
        </w:rPr>
        <w:t>A</w:t>
      </w:r>
      <w:proofErr w:type="spellStart"/>
      <w:r w:rsidRPr="001869FC">
        <w:rPr>
          <w:rFonts w:ascii="Arial" w:eastAsia="Times New Roman" w:hAnsi="Arial" w:cs="Arial"/>
          <w:color w:val="000000"/>
          <w:sz w:val="14"/>
          <w:szCs w:val="14"/>
          <w:lang w:val="es-CO" w:eastAsia="es-CO"/>
        </w:rPr>
        <w:t>rtículo</w:t>
      </w:r>
      <w:proofErr w:type="spellEnd"/>
      <w:r w:rsidRPr="001869FC">
        <w:rPr>
          <w:rFonts w:ascii="Arial" w:eastAsia="Times New Roman" w:hAnsi="Arial" w:cs="Arial"/>
          <w:b/>
          <w:bCs/>
          <w:color w:val="000000"/>
          <w:sz w:val="14"/>
          <w:szCs w:val="14"/>
          <w:lang w:val="es-CO" w:eastAsia="es-CO"/>
        </w:rPr>
        <w:t> </w:t>
      </w:r>
      <w:r w:rsidRPr="001869FC">
        <w:rPr>
          <w:rFonts w:ascii="Arial" w:eastAsia="Times New Roman" w:hAnsi="Arial" w:cs="Arial"/>
          <w:color w:val="000000"/>
          <w:sz w:val="14"/>
          <w:szCs w:val="14"/>
          <w:lang w:val="es-CO" w:eastAsia="es-CO"/>
        </w:rPr>
        <w:t>8</w:t>
      </w:r>
      <w:r w:rsidRPr="001869FC">
        <w:rPr>
          <w:rFonts w:ascii="Arial" w:eastAsia="Times New Roman" w:hAnsi="Arial" w:cs="Arial"/>
          <w:b/>
          <w:bCs/>
          <w:color w:val="000000"/>
          <w:sz w:val="14"/>
          <w:szCs w:val="14"/>
          <w:lang w:val="es-CO" w:eastAsia="es-CO"/>
        </w:rPr>
        <w:t>.</w:t>
      </w:r>
      <w:r w:rsidRPr="001869FC">
        <w:rPr>
          <w:rFonts w:ascii="Arial" w:eastAsia="Times New Roman" w:hAnsi="Arial" w:cs="Arial"/>
          <w:color w:val="000000"/>
          <w:sz w:val="14"/>
          <w:szCs w:val="14"/>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4" w:name="LPHit20"/>
      <w:bookmarkEnd w:id="4"/>
      <w:r w:rsidRPr="001869FC">
        <w:rPr>
          <w:rFonts w:ascii="Arial" w:eastAsia="Times New Roman" w:hAnsi="Arial" w:cs="Arial"/>
          <w:color w:val="000000"/>
          <w:sz w:val="14"/>
          <w:szCs w:val="14"/>
          <w:lang w:val="es-CO" w:eastAsia="es-CO"/>
        </w:rPr>
        <w:t> Ley</w:t>
      </w:r>
    </w:p>
  </w:footnote>
  <w:footnote w:id="10">
    <w:p w14:paraId="4483D178" w14:textId="77777777" w:rsidR="004122B7" w:rsidRPr="001869FC" w:rsidRDefault="004122B7" w:rsidP="004122B7">
      <w:pPr>
        <w:pStyle w:val="Textonotapie"/>
        <w:ind w:firstLine="709"/>
        <w:jc w:val="both"/>
        <w:rPr>
          <w:rFonts w:ascii="Arial" w:hAnsi="Arial" w:cs="Arial"/>
          <w:sz w:val="14"/>
          <w:szCs w:val="14"/>
          <w:lang w:val="es-ES"/>
        </w:rPr>
      </w:pPr>
      <w:r w:rsidRPr="00F1638D">
        <w:rPr>
          <w:rStyle w:val="Refdenotaalpie"/>
          <w:rFonts w:ascii="Arial" w:hAnsi="Arial" w:cs="Arial"/>
          <w:sz w:val="19"/>
          <w:szCs w:val="19"/>
        </w:rPr>
        <w:footnoteRef/>
      </w:r>
      <w:r w:rsidRPr="00F1638D">
        <w:rPr>
          <w:rFonts w:ascii="Arial" w:hAnsi="Arial" w:cs="Arial"/>
          <w:sz w:val="19"/>
          <w:szCs w:val="19"/>
        </w:rPr>
        <w:t xml:space="preserve"> </w:t>
      </w:r>
      <w:r w:rsidRPr="001869FC">
        <w:rPr>
          <w:rFonts w:ascii="Arial" w:hAnsi="Arial" w:cs="Arial"/>
          <w:sz w:val="14"/>
          <w:szCs w:val="14"/>
          <w:lang w:val="es-ES"/>
        </w:rPr>
        <w:t>BOBBIO, Norberto. Democracia y secreto. México: Fondo de Cultura Económica, 2013. p. 27.</w:t>
      </w:r>
    </w:p>
  </w:footnote>
  <w:footnote w:id="11">
    <w:p w14:paraId="1007B207" w14:textId="77777777" w:rsidR="004122B7" w:rsidRPr="001869FC" w:rsidRDefault="004122B7" w:rsidP="004122B7">
      <w:pPr>
        <w:pStyle w:val="Textonotapie"/>
        <w:ind w:firstLine="709"/>
        <w:jc w:val="both"/>
        <w:rPr>
          <w:rFonts w:ascii="Arial" w:hAnsi="Arial" w:cs="Arial"/>
          <w:color w:val="000000" w:themeColor="text1"/>
          <w:sz w:val="14"/>
          <w:szCs w:val="14"/>
        </w:rPr>
      </w:pPr>
    </w:p>
    <w:p w14:paraId="12456A52"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Corte Constitucional. Sentencia C- 341 del 4 de junio de 2014. M. P. Mauricio González Cuervo.</w:t>
      </w:r>
    </w:p>
    <w:p w14:paraId="0C0C92F9" w14:textId="77777777" w:rsidR="004122B7" w:rsidRPr="001869FC" w:rsidRDefault="004122B7" w:rsidP="004122B7">
      <w:pPr>
        <w:pStyle w:val="Textonotapie"/>
        <w:ind w:firstLine="709"/>
        <w:jc w:val="both"/>
        <w:rPr>
          <w:rFonts w:ascii="Arial" w:hAnsi="Arial" w:cs="Arial"/>
          <w:color w:val="000000" w:themeColor="text1"/>
          <w:sz w:val="14"/>
          <w:szCs w:val="14"/>
        </w:rPr>
      </w:pPr>
    </w:p>
  </w:footnote>
  <w:footnote w:id="12">
    <w:p w14:paraId="596F235C"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7AC7683"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“Lo anterior, sin perjuicio de las publicaciones previstas en el numeral 3 del artículo 30 de la Ley 80 de 1993.</w:t>
      </w:r>
    </w:p>
    <w:p w14:paraId="4E4B3D41"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3779D343" w14:textId="77777777" w:rsidR="004122B7" w:rsidRPr="001869FC" w:rsidRDefault="004122B7" w:rsidP="004122B7">
      <w:pPr>
        <w:pStyle w:val="Textonotapie"/>
        <w:ind w:firstLine="709"/>
        <w:jc w:val="both"/>
        <w:rPr>
          <w:rFonts w:ascii="Arial" w:hAnsi="Arial" w:cs="Arial"/>
          <w:color w:val="000000" w:themeColor="text1"/>
          <w:sz w:val="16"/>
          <w:szCs w:val="16"/>
        </w:rPr>
      </w:pPr>
      <w:r w:rsidRPr="001869FC">
        <w:rPr>
          <w:rFonts w:ascii="Arial" w:hAnsi="Arial" w:cs="Arial"/>
          <w:color w:val="000000" w:themeColor="text1"/>
          <w:sz w:val="16"/>
          <w:szCs w:val="16"/>
        </w:rPr>
        <w:t>[…]</w:t>
      </w:r>
    </w:p>
    <w:p w14:paraId="57AA735A"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41181E82" w14:textId="77777777" w:rsidR="004122B7" w:rsidRPr="001869FC" w:rsidRDefault="004122B7" w:rsidP="004122B7">
      <w:pPr>
        <w:pStyle w:val="Textonotapie"/>
        <w:ind w:firstLine="709"/>
        <w:jc w:val="both"/>
        <w:rPr>
          <w:rFonts w:ascii="Arial" w:hAnsi="Arial" w:cs="Arial"/>
          <w:color w:val="000000" w:themeColor="text1"/>
          <w:sz w:val="14"/>
          <w:szCs w:val="14"/>
          <w:lang w:val="es-CO"/>
        </w:rPr>
      </w:pPr>
    </w:p>
  </w:footnote>
  <w:footnote w:id="13">
    <w:p w14:paraId="555740C2"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F5C4306" w14:textId="77777777" w:rsidR="004122B7" w:rsidRPr="001869FC" w:rsidRDefault="004122B7" w:rsidP="004122B7">
      <w:pPr>
        <w:pStyle w:val="Textonotapie"/>
        <w:ind w:firstLine="709"/>
        <w:jc w:val="both"/>
        <w:rPr>
          <w:rFonts w:ascii="Arial" w:hAnsi="Arial" w:cs="Arial"/>
          <w:color w:val="000000" w:themeColor="text1"/>
          <w:sz w:val="14"/>
          <w:szCs w:val="14"/>
          <w:lang w:val="es-CO"/>
        </w:rPr>
      </w:pPr>
    </w:p>
  </w:footnote>
  <w:footnote w:id="14">
    <w:p w14:paraId="6183E9E9"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1712 de 2014: “Artículo 5. Ámbito de aplicación. Las disposiciones de esta ley serán aplicables a las siguientes personas en calidad de sujetos obligados: </w:t>
      </w:r>
    </w:p>
    <w:p w14:paraId="1CB17A58"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FAF4E9E" w14:textId="77777777" w:rsidR="004122B7" w:rsidRPr="001869FC" w:rsidRDefault="004122B7" w:rsidP="004122B7">
      <w:pPr>
        <w:pStyle w:val="Textonotapie"/>
        <w:ind w:firstLine="709"/>
        <w:jc w:val="both"/>
        <w:rPr>
          <w:rFonts w:ascii="Arial" w:hAnsi="Arial" w:cs="Arial"/>
          <w:color w:val="000000" w:themeColor="text1"/>
          <w:sz w:val="14"/>
          <w:szCs w:val="14"/>
          <w:lang w:val="es-CO"/>
        </w:rPr>
      </w:pPr>
    </w:p>
  </w:footnote>
  <w:footnote w:id="15">
    <w:p w14:paraId="6367FCA1"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Fonts w:ascii="Arial" w:eastAsia="Times New Roman" w:hAnsi="Arial" w:cs="Arial"/>
          <w:color w:val="000000" w:themeColor="text1"/>
          <w:sz w:val="14"/>
          <w:szCs w:val="14"/>
          <w:vertAlign w:val="superscript"/>
          <w:lang w:val="es-ES" w:eastAsia="es-ES"/>
        </w:rPr>
        <w:footnoteRef/>
      </w:r>
      <w:r w:rsidRPr="001869FC">
        <w:rPr>
          <w:rFonts w:ascii="Arial" w:eastAsia="Times New Roman" w:hAnsi="Arial" w:cs="Arial"/>
          <w:color w:val="000000" w:themeColor="text1"/>
          <w:sz w:val="14"/>
          <w:szCs w:val="14"/>
          <w:vertAlign w:val="superscript"/>
          <w:lang w:val="es-ES" w:eastAsia="es-ES"/>
        </w:rPr>
        <w:t xml:space="preserve"> </w:t>
      </w:r>
      <w:r w:rsidRPr="001869FC">
        <w:rPr>
          <w:rFonts w:ascii="Arial" w:eastAsia="Times New Roman" w:hAnsi="Arial" w:cs="Arial"/>
          <w:color w:val="000000" w:themeColor="text1"/>
          <w:sz w:val="14"/>
          <w:szCs w:val="14"/>
          <w:lang w:val="es-ES" w:eastAsia="es-ES"/>
        </w:rPr>
        <w:t>“</w:t>
      </w:r>
      <w:r w:rsidRPr="001869FC">
        <w:rPr>
          <w:rFonts w:ascii="Arial" w:hAnsi="Arial"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753A8A5" w14:textId="77777777" w:rsidR="004122B7" w:rsidRPr="001869FC" w:rsidRDefault="004122B7" w:rsidP="004122B7">
      <w:pPr>
        <w:pStyle w:val="Textonotapie"/>
        <w:ind w:firstLine="709"/>
        <w:jc w:val="both"/>
        <w:rPr>
          <w:rFonts w:ascii="Arial" w:eastAsia="Times New Roman" w:hAnsi="Arial" w:cs="Arial"/>
          <w:color w:val="000000" w:themeColor="text1"/>
          <w:sz w:val="14"/>
          <w:szCs w:val="14"/>
          <w:lang w:val="es-ES" w:eastAsia="es-ES"/>
        </w:rPr>
      </w:pPr>
      <w:r w:rsidRPr="001869FC">
        <w:rPr>
          <w:rFonts w:ascii="Arial" w:hAnsi="Arial" w:cs="Arial"/>
          <w:color w:val="000000" w:themeColor="text1"/>
          <w:sz w:val="14"/>
          <w:szCs w:val="14"/>
        </w:rPr>
        <w:t>[…].</w:t>
      </w:r>
    </w:p>
    <w:p w14:paraId="4F799AF5" w14:textId="77777777" w:rsidR="004122B7" w:rsidRPr="001869FC" w:rsidRDefault="004122B7" w:rsidP="004122B7">
      <w:pPr>
        <w:pStyle w:val="Textonotapie"/>
        <w:ind w:firstLine="709"/>
        <w:jc w:val="both"/>
        <w:rPr>
          <w:rFonts w:ascii="Arial" w:eastAsia="Times New Roman" w:hAnsi="Arial" w:cs="Arial"/>
          <w:color w:val="000000" w:themeColor="text1"/>
          <w:sz w:val="14"/>
          <w:szCs w:val="14"/>
          <w:lang w:val="es-ES" w:eastAsia="es-ES"/>
        </w:rPr>
      </w:pPr>
      <w:r w:rsidRPr="001869FC">
        <w:rPr>
          <w:rFonts w:ascii="Arial" w:eastAsia="Times New Roman" w:hAnsi="Arial"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73A7AC1" w14:textId="77777777" w:rsidR="004122B7" w:rsidRPr="001869FC" w:rsidRDefault="004122B7" w:rsidP="004122B7">
      <w:pPr>
        <w:pStyle w:val="Textonotapie"/>
        <w:ind w:firstLine="709"/>
        <w:jc w:val="both"/>
        <w:rPr>
          <w:rFonts w:ascii="Arial" w:eastAsia="Times New Roman" w:hAnsi="Arial" w:cs="Arial"/>
          <w:color w:val="000000" w:themeColor="text1"/>
          <w:sz w:val="14"/>
          <w:szCs w:val="14"/>
          <w:lang w:val="es-ES" w:eastAsia="es-ES"/>
        </w:rPr>
      </w:pPr>
    </w:p>
  </w:footnote>
  <w:footnote w:id="16">
    <w:p w14:paraId="6983F81B"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w:t>
      </w:r>
      <w:proofErr w:type="spellStart"/>
      <w:r w:rsidRPr="001869FC">
        <w:rPr>
          <w:rFonts w:ascii="Arial" w:eastAsia="Times New Roman" w:hAnsi="Arial" w:cs="Arial"/>
          <w:color w:val="000000" w:themeColor="text1"/>
          <w:sz w:val="14"/>
          <w:szCs w:val="14"/>
          <w:lang w:val="es-ES" w:eastAsia="es-ES"/>
        </w:rPr>
        <w:t>orte</w:t>
      </w:r>
      <w:proofErr w:type="spellEnd"/>
      <w:r w:rsidRPr="001869FC">
        <w:rPr>
          <w:rFonts w:ascii="Arial" w:eastAsia="Times New Roman" w:hAnsi="Arial" w:cs="Arial"/>
          <w:color w:val="000000" w:themeColor="text1"/>
          <w:sz w:val="14"/>
          <w:szCs w:val="14"/>
          <w:lang w:val="es-ES" w:eastAsia="es-ES"/>
        </w:rPr>
        <w:t xml:space="preserve"> Constitucional. Sentencia C‒274 de 9 de mayo de 2013. M.P. María Victoria Calle Correa. </w:t>
      </w:r>
    </w:p>
    <w:p w14:paraId="06D21448" w14:textId="77777777" w:rsidR="004122B7" w:rsidRPr="001869FC" w:rsidRDefault="004122B7" w:rsidP="004122B7">
      <w:pPr>
        <w:pStyle w:val="Textonotapie"/>
        <w:ind w:firstLine="709"/>
        <w:jc w:val="both"/>
        <w:rPr>
          <w:rFonts w:ascii="Arial" w:hAnsi="Arial" w:cs="Arial"/>
          <w:color w:val="000000" w:themeColor="text1"/>
          <w:sz w:val="14"/>
          <w:szCs w:val="14"/>
          <w:lang w:val="es-CO"/>
        </w:rPr>
      </w:pPr>
    </w:p>
  </w:footnote>
  <w:footnote w:id="17">
    <w:p w14:paraId="4460B3EC"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CE32D31" w14:textId="77777777" w:rsidR="004122B7" w:rsidRPr="001869FC" w:rsidRDefault="004122B7" w:rsidP="004122B7">
      <w:pPr>
        <w:pStyle w:val="Textonotapie"/>
        <w:ind w:firstLine="709"/>
        <w:jc w:val="both"/>
        <w:rPr>
          <w:rFonts w:ascii="Arial" w:hAnsi="Arial" w:cs="Arial"/>
          <w:color w:val="000000" w:themeColor="text1"/>
          <w:sz w:val="14"/>
          <w:szCs w:val="14"/>
          <w:lang w:val="es-CO"/>
        </w:rPr>
      </w:pPr>
    </w:p>
  </w:footnote>
  <w:footnote w:id="18">
    <w:p w14:paraId="42497D14" w14:textId="77777777" w:rsidR="004122B7" w:rsidRPr="00F1638D" w:rsidRDefault="004122B7" w:rsidP="004122B7">
      <w:pPr>
        <w:pStyle w:val="Textonotapie"/>
        <w:ind w:firstLine="709"/>
        <w:jc w:val="both"/>
        <w:rPr>
          <w:rFonts w:ascii="Arial" w:hAnsi="Arial" w:cs="Arial"/>
          <w:sz w:val="19"/>
          <w:szCs w:val="19"/>
          <w:lang w:val="es-ES"/>
        </w:rPr>
      </w:pPr>
      <w:r w:rsidRPr="001869FC">
        <w:rPr>
          <w:rStyle w:val="Refdenotaalpie"/>
          <w:rFonts w:ascii="Arial" w:hAnsi="Arial" w:cs="Arial"/>
          <w:sz w:val="14"/>
          <w:szCs w:val="14"/>
        </w:rPr>
        <w:footnoteRef/>
      </w:r>
      <w:r w:rsidRPr="001869FC">
        <w:rPr>
          <w:rFonts w:ascii="Arial" w:hAnsi="Arial" w:cs="Arial"/>
          <w:sz w:val="14"/>
          <w:szCs w:val="14"/>
        </w:rPr>
        <w:t xml:space="preserve"> </w:t>
      </w:r>
      <w:r w:rsidRPr="001869FC">
        <w:rPr>
          <w:rFonts w:ascii="Arial" w:hAnsi="Arial" w:cs="Arial"/>
          <w:color w:val="000000" w:themeColor="text1"/>
          <w:sz w:val="14"/>
          <w:szCs w:val="14"/>
          <w:lang w:val="es-ES"/>
        </w:rPr>
        <w:t>Consejero Ponente: Jaime Orlando Santofimio Gamboa.</w:t>
      </w:r>
    </w:p>
  </w:footnote>
  <w:footnote w:id="19">
    <w:p w14:paraId="18503EA9" w14:textId="77777777" w:rsidR="004122B7" w:rsidRPr="001869FC" w:rsidRDefault="004122B7" w:rsidP="004122B7">
      <w:pPr>
        <w:pStyle w:val="Textonotapie"/>
        <w:ind w:firstLine="709"/>
        <w:jc w:val="both"/>
        <w:rPr>
          <w:rFonts w:ascii="Arial" w:hAnsi="Arial" w:cs="Arial"/>
          <w:color w:val="000000" w:themeColor="text1"/>
          <w:sz w:val="14"/>
          <w:szCs w:val="14"/>
        </w:rPr>
      </w:pPr>
    </w:p>
    <w:p w14:paraId="59809D6E" w14:textId="77777777" w:rsidR="004122B7" w:rsidRPr="001869FC" w:rsidRDefault="004122B7" w:rsidP="004122B7">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Consejo de Estado. Sección Tercera. Subsección C. Auto del 14 de agosto de 2017. Exp. 58.820. C.P. Jaime Orlando Santofimio Gamboa. </w:t>
      </w:r>
    </w:p>
    <w:p w14:paraId="36245C1A" w14:textId="77777777" w:rsidR="004122B7" w:rsidRPr="00F1638D" w:rsidRDefault="004122B7" w:rsidP="004122B7">
      <w:pPr>
        <w:pStyle w:val="Textonotapie"/>
        <w:ind w:firstLine="709"/>
        <w:jc w:val="both"/>
        <w:rPr>
          <w:rFonts w:ascii="Arial" w:hAnsi="Arial" w:cs="Arial"/>
          <w:color w:val="000000" w:themeColor="text1"/>
          <w:sz w:val="19"/>
          <w:szCs w:val="19"/>
          <w:lang w:val="es-CO"/>
        </w:rPr>
      </w:pPr>
    </w:p>
  </w:footnote>
  <w:footnote w:id="20">
    <w:p w14:paraId="2BEE34CD" w14:textId="77777777" w:rsidR="004122B7" w:rsidRPr="00F1638D" w:rsidRDefault="004122B7" w:rsidP="004122B7">
      <w:pPr>
        <w:pStyle w:val="Textonotapie"/>
        <w:ind w:firstLine="709"/>
        <w:jc w:val="both"/>
        <w:rPr>
          <w:rFonts w:ascii="Arial" w:hAnsi="Arial" w:cs="Arial"/>
          <w:sz w:val="19"/>
          <w:szCs w:val="19"/>
        </w:rPr>
      </w:pPr>
      <w:r w:rsidRPr="00F1638D">
        <w:rPr>
          <w:rStyle w:val="Refdenotaalpie"/>
          <w:rFonts w:ascii="Arial" w:hAnsi="Arial" w:cs="Arial"/>
          <w:sz w:val="19"/>
          <w:szCs w:val="19"/>
        </w:rPr>
        <w:footnoteRef/>
      </w:r>
      <w:r w:rsidRPr="00F1638D">
        <w:rPr>
          <w:rFonts w:ascii="Arial" w:hAnsi="Arial" w:cs="Arial"/>
          <w:sz w:val="19"/>
          <w:szCs w:val="19"/>
        </w:rPr>
        <w:t xml:space="preserve"> Ibíd. </w:t>
      </w:r>
    </w:p>
  </w:footnote>
  <w:footnote w:id="21">
    <w:p w14:paraId="6C6C70C4" w14:textId="77777777" w:rsidR="004122B7" w:rsidRPr="001869FC" w:rsidRDefault="004122B7" w:rsidP="004122B7">
      <w:pPr>
        <w:pStyle w:val="Textonotapie"/>
        <w:ind w:firstLine="708"/>
        <w:jc w:val="both"/>
        <w:rPr>
          <w:rFonts w:ascii="Arial" w:hAnsi="Arial" w:cs="Arial"/>
          <w:sz w:val="14"/>
          <w:szCs w:val="14"/>
          <w:lang w:val="es-CO"/>
        </w:rPr>
      </w:pPr>
      <w:r w:rsidRPr="001869FC">
        <w:rPr>
          <w:rStyle w:val="Refdenotaalpie"/>
          <w:sz w:val="14"/>
          <w:szCs w:val="14"/>
        </w:rPr>
        <w:footnoteRef/>
      </w:r>
      <w:r w:rsidRPr="001869FC">
        <w:rPr>
          <w:sz w:val="14"/>
          <w:szCs w:val="14"/>
        </w:rPr>
        <w:t xml:space="preserve"> </w:t>
      </w:r>
      <w:r w:rsidRPr="001869FC">
        <w:rPr>
          <w:rFonts w:ascii="Arial" w:hAnsi="Arial" w:cs="Arial"/>
          <w:sz w:val="14"/>
          <w:szCs w:val="14"/>
        </w:rPr>
        <w:t xml:space="preserve">En relación con este aspecto, también resulta relevante la Circular Externa 002 del 17 de marzo de 2022, de la Agencia Nacional de Contratación Pública – Colombia Compra Eficiente, disponible en: </w:t>
      </w:r>
      <w:hyperlink r:id="rId1" w:history="1">
        <w:r w:rsidRPr="001869FC">
          <w:rPr>
            <w:rStyle w:val="Hipervnculo"/>
            <w:rFonts w:ascii="Arial" w:hAnsi="Arial" w:cs="Arial"/>
            <w:sz w:val="14"/>
            <w:szCs w:val="14"/>
          </w:rPr>
          <w:t>https://www.colombiacompra.gov.co/circulares</w:t>
        </w:r>
      </w:hyperlink>
      <w:r w:rsidRPr="001869FC">
        <w:rPr>
          <w:rFonts w:ascii="Arial" w:hAnsi="Arial"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8861081">
    <w:abstractNumId w:val="6"/>
  </w:num>
  <w:num w:numId="2" w16cid:durableId="1342468701">
    <w:abstractNumId w:val="2"/>
  </w:num>
  <w:num w:numId="3" w16cid:durableId="1758791527">
    <w:abstractNumId w:val="4"/>
  </w:num>
  <w:num w:numId="4" w16cid:durableId="2247556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8549661">
    <w:abstractNumId w:val="2"/>
  </w:num>
  <w:num w:numId="6" w16cid:durableId="231084815">
    <w:abstractNumId w:val="14"/>
  </w:num>
  <w:num w:numId="7" w16cid:durableId="1027101271">
    <w:abstractNumId w:val="5"/>
  </w:num>
  <w:num w:numId="8" w16cid:durableId="1863937534">
    <w:abstractNumId w:val="13"/>
  </w:num>
  <w:num w:numId="9" w16cid:durableId="986589464">
    <w:abstractNumId w:val="7"/>
  </w:num>
  <w:num w:numId="10" w16cid:durableId="198126382">
    <w:abstractNumId w:val="12"/>
  </w:num>
  <w:num w:numId="11" w16cid:durableId="75638980">
    <w:abstractNumId w:val="8"/>
  </w:num>
  <w:num w:numId="12" w16cid:durableId="2011447146">
    <w:abstractNumId w:val="1"/>
  </w:num>
  <w:num w:numId="13" w16cid:durableId="546450485">
    <w:abstractNumId w:val="3"/>
  </w:num>
  <w:num w:numId="14" w16cid:durableId="1422793504">
    <w:abstractNumId w:val="15"/>
  </w:num>
  <w:num w:numId="15" w16cid:durableId="1622416251">
    <w:abstractNumId w:val="11"/>
  </w:num>
  <w:num w:numId="16" w16cid:durableId="156381677">
    <w:abstractNumId w:val="0"/>
  </w:num>
  <w:num w:numId="17" w16cid:durableId="725688978">
    <w:abstractNumId w:val="9"/>
  </w:num>
  <w:num w:numId="18" w16cid:durableId="1165558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6E4"/>
    <w:rsid w:val="00016F78"/>
    <w:rsid w:val="00046945"/>
    <w:rsid w:val="00061B2A"/>
    <w:rsid w:val="00082362"/>
    <w:rsid w:val="000A683E"/>
    <w:rsid w:val="000A7CD1"/>
    <w:rsid w:val="000B0F55"/>
    <w:rsid w:val="000B19B9"/>
    <w:rsid w:val="000D0334"/>
    <w:rsid w:val="000D5DA7"/>
    <w:rsid w:val="000F6486"/>
    <w:rsid w:val="00116940"/>
    <w:rsid w:val="0012152C"/>
    <w:rsid w:val="00125105"/>
    <w:rsid w:val="00127233"/>
    <w:rsid w:val="0015699B"/>
    <w:rsid w:val="0016174C"/>
    <w:rsid w:val="001A33BF"/>
    <w:rsid w:val="001D7A6B"/>
    <w:rsid w:val="001E4177"/>
    <w:rsid w:val="001F0B24"/>
    <w:rsid w:val="001F7DC6"/>
    <w:rsid w:val="0022400B"/>
    <w:rsid w:val="002421BB"/>
    <w:rsid w:val="00247013"/>
    <w:rsid w:val="0025796E"/>
    <w:rsid w:val="002707A2"/>
    <w:rsid w:val="002951A0"/>
    <w:rsid w:val="002962BC"/>
    <w:rsid w:val="002A093D"/>
    <w:rsid w:val="002A0DD0"/>
    <w:rsid w:val="002A49AC"/>
    <w:rsid w:val="002A64FD"/>
    <w:rsid w:val="002C7A84"/>
    <w:rsid w:val="002E2BF8"/>
    <w:rsid w:val="002E4FD9"/>
    <w:rsid w:val="002E5839"/>
    <w:rsid w:val="0030657A"/>
    <w:rsid w:val="00322A85"/>
    <w:rsid w:val="00324168"/>
    <w:rsid w:val="00330834"/>
    <w:rsid w:val="003448F4"/>
    <w:rsid w:val="00374F5E"/>
    <w:rsid w:val="00377E3E"/>
    <w:rsid w:val="003A779E"/>
    <w:rsid w:val="003D0F4D"/>
    <w:rsid w:val="003D5B0D"/>
    <w:rsid w:val="003E0499"/>
    <w:rsid w:val="003E4F80"/>
    <w:rsid w:val="003E6439"/>
    <w:rsid w:val="003F0A0E"/>
    <w:rsid w:val="003F3941"/>
    <w:rsid w:val="00406575"/>
    <w:rsid w:val="004122B7"/>
    <w:rsid w:val="00414C74"/>
    <w:rsid w:val="0041538E"/>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66674"/>
    <w:rsid w:val="006900D9"/>
    <w:rsid w:val="00706C16"/>
    <w:rsid w:val="007340C3"/>
    <w:rsid w:val="0075235A"/>
    <w:rsid w:val="00756841"/>
    <w:rsid w:val="007649AB"/>
    <w:rsid w:val="00771D0C"/>
    <w:rsid w:val="007833AC"/>
    <w:rsid w:val="007867D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23DF"/>
    <w:rsid w:val="008F0443"/>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1D7F"/>
    <w:rsid w:val="00A32686"/>
    <w:rsid w:val="00A33C78"/>
    <w:rsid w:val="00A825FB"/>
    <w:rsid w:val="00AB0ADB"/>
    <w:rsid w:val="00AD2203"/>
    <w:rsid w:val="00B00C0E"/>
    <w:rsid w:val="00B01B1A"/>
    <w:rsid w:val="00B0381D"/>
    <w:rsid w:val="00B206BB"/>
    <w:rsid w:val="00B25471"/>
    <w:rsid w:val="00B44A47"/>
    <w:rsid w:val="00B67A48"/>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65EE"/>
    <w:rsid w:val="00D361FD"/>
    <w:rsid w:val="00D423A2"/>
    <w:rsid w:val="00D44E26"/>
    <w:rsid w:val="00D520D8"/>
    <w:rsid w:val="00D63AC2"/>
    <w:rsid w:val="00D7383B"/>
    <w:rsid w:val="00D7788A"/>
    <w:rsid w:val="00D77DB3"/>
    <w:rsid w:val="00DA231B"/>
    <w:rsid w:val="00DC39FC"/>
    <w:rsid w:val="00DD5FFD"/>
    <w:rsid w:val="00DF5254"/>
    <w:rsid w:val="00E02524"/>
    <w:rsid w:val="00E16408"/>
    <w:rsid w:val="00E20894"/>
    <w:rsid w:val="00E245AB"/>
    <w:rsid w:val="00E2764C"/>
    <w:rsid w:val="00E27F2E"/>
    <w:rsid w:val="00E34B7A"/>
    <w:rsid w:val="00E4029A"/>
    <w:rsid w:val="00E50AFE"/>
    <w:rsid w:val="00E75C92"/>
    <w:rsid w:val="00E771DC"/>
    <w:rsid w:val="00E8772A"/>
    <w:rsid w:val="00E90F6B"/>
    <w:rsid w:val="00E92C27"/>
    <w:rsid w:val="00EA0E3D"/>
    <w:rsid w:val="00EA4A0E"/>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DFB6297-5BD7-4DD4-91CA-060CDB98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0F55"/>
    <w:rPr>
      <w:rFonts w:ascii="Geomanist Light" w:hAnsi="Geomanist Light"/>
      <w:lang w:val="es-ES"/>
    </w:rPr>
  </w:style>
  <w:style w:type="paragraph" w:customStyle="1" w:styleId="Appelnotedebasde">
    <w:name w:val="Appel note de bas de..."/>
    <w:basedOn w:val="Normal"/>
    <w:link w:val="Refdenotaalpie"/>
    <w:uiPriority w:val="99"/>
    <w:rsid w:val="004122B7"/>
    <w:pPr>
      <w:spacing w:line="240" w:lineRule="exact"/>
    </w:pPr>
    <w:rPr>
      <w:vertAlign w:val="superscript"/>
    </w:rPr>
  </w:style>
  <w:style w:type="character" w:styleId="Fuerte">
    <w:name w:val="Strong"/>
    <w:basedOn w:val="Fuentedeprrafopredeter"/>
    <w:uiPriority w:val="22"/>
    <w:qFormat/>
    <w:rsid w:val="004122B7"/>
    <w:rPr>
      <w:b/>
      <w:bCs/>
    </w:rPr>
  </w:style>
  <w:style w:type="character" w:customStyle="1" w:styleId="NormalWebCar">
    <w:name w:val="Normal (Web) Car"/>
    <w:link w:val="NormalWeb"/>
    <w:uiPriority w:val="99"/>
    <w:locked/>
    <w:rsid w:val="004122B7"/>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4122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11983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aicsalud.org.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C3CD6B-AD20-47E1-A257-CCB316ED053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6601</Words>
  <Characters>36308</Characters>
  <Application>Microsoft Office Word</Application>
  <DocSecurity>0</DocSecurity>
  <Lines>302</Lines>
  <Paragraphs>85</Paragraphs>
  <ScaleCrop>false</ScaleCrop>
  <Company/>
  <LinksUpToDate>false</LinksUpToDate>
  <CharactersWithSpaces>42824</CharactersWithSpaces>
  <SharedDoc>false</SharedDoc>
  <HLinks>
    <vt:vector size="42" baseType="variant">
      <vt:variant>
        <vt:i4>3932267</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vt:lpwstr>
      </vt:variant>
      <vt:variant>
        <vt:lpwstr/>
      </vt:variant>
      <vt:variant>
        <vt:i4>7012459</vt:i4>
      </vt:variant>
      <vt:variant>
        <vt:i4>12</vt:i4>
      </vt:variant>
      <vt:variant>
        <vt:i4>0</vt:i4>
      </vt:variant>
      <vt:variant>
        <vt:i4>5</vt:i4>
      </vt:variant>
      <vt:variant>
        <vt:lpwstr>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vt:lpwstr>
      </vt:variant>
      <vt:variant>
        <vt:lpwstr/>
      </vt:variant>
      <vt:variant>
        <vt:i4>6946923</vt:i4>
      </vt:variant>
      <vt:variant>
        <vt:i4>9</vt:i4>
      </vt:variant>
      <vt:variant>
        <vt:i4>0</vt:i4>
      </vt:variant>
      <vt:variant>
        <vt:i4>5</vt:i4>
      </vt:variant>
      <vt:variant>
        <vt:lpwstr>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vt:lpwstr>
      </vt:variant>
      <vt:variant>
        <vt:lpwstr/>
      </vt:variant>
      <vt:variant>
        <vt:i4>3211309</vt:i4>
      </vt:variant>
      <vt:variant>
        <vt:i4>6</vt:i4>
      </vt:variant>
      <vt:variant>
        <vt:i4>0</vt:i4>
      </vt:variant>
      <vt:variant>
        <vt:i4>5</vt:i4>
      </vt:variant>
      <vt:variant>
        <vt:lpwstr>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4456510</vt:i4>
      </vt:variant>
      <vt:variant>
        <vt:i4>0</vt:i4>
      </vt:variant>
      <vt:variant>
        <vt:i4>0</vt:i4>
      </vt:variant>
      <vt:variant>
        <vt:i4>5</vt:i4>
      </vt:variant>
      <vt:variant>
        <vt:lpwstr>mailto:notificacionesjudiciales@aicsalud.org.co</vt:lpwstr>
      </vt:variant>
      <vt:variant>
        <vt:lpwstr/>
      </vt:variant>
      <vt:variant>
        <vt:i4>983127</vt:i4>
      </vt:variant>
      <vt:variant>
        <vt:i4>0</vt:i4>
      </vt:variant>
      <vt:variant>
        <vt:i4>0</vt:i4>
      </vt:variant>
      <vt:variant>
        <vt:i4>5</vt:i4>
      </vt:variant>
      <vt:variant>
        <vt:lpwstr>https://www.colombiacompra.gov.co/circulares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cp:revision>
  <cp:lastPrinted>2023-01-11T00:18:00Z</cp:lastPrinted>
  <dcterms:created xsi:type="dcterms:W3CDTF">2026-09-16T13:56:00Z</dcterms:created>
  <dcterms:modified xsi:type="dcterms:W3CDTF">2026-09-16T13:56:00Z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