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84F39" w14:textId="77777777" w:rsidR="00357EB3" w:rsidRDefault="00000000">
      <w:pPr>
        <w:jc w:val="both"/>
        <w:rPr>
          <w:rFonts w:ascii="Verdana" w:eastAsia="Calibri" w:hAnsi="Verdana" w:cs="Arial"/>
          <w:b/>
          <w:bCs/>
          <w:color w:val="000000" w:themeColor="text1"/>
          <w:lang w:val="es-ES" w:eastAsia="es-ES"/>
        </w:rPr>
      </w:pPr>
      <w:r>
        <w:rPr>
          <w:rFonts w:ascii="Verdana" w:eastAsia="Calibri" w:hAnsi="Verdana" w:cs="Arial"/>
          <w:b/>
          <w:bCs/>
          <w:color w:val="000000" w:themeColor="text1"/>
          <w:lang w:val="es-ES" w:eastAsia="es-ES"/>
        </w:rPr>
        <w:t>PROPONENTE PLURAL – Consorcio – Unión temporal – Concepto – Diferencias</w:t>
      </w:r>
    </w:p>
    <w:p w14:paraId="40A01F41" w14:textId="77777777" w:rsidR="00357EB3" w:rsidRDefault="00000000">
      <w:pPr>
        <w:jc w:val="both"/>
        <w:rPr>
          <w:rFonts w:ascii="Verdana" w:eastAsia="Calibri" w:hAnsi="Verdana" w:cs="Arial"/>
          <w:sz w:val="20"/>
          <w:szCs w:val="20"/>
          <w:lang w:eastAsia="es-ES"/>
        </w:rPr>
      </w:pPr>
      <w:r>
        <w:rPr>
          <w:rFonts w:ascii="Verdana" w:eastAsia="Arial" w:hAnsi="Verdana" w:cs="Arial"/>
          <w:sz w:val="20"/>
          <w:szCs w:val="20"/>
          <w:lang w:eastAsia="es-ES"/>
        </w:rPr>
        <w:t>[…] los consorcios o uniones temporales son convenios de asociación provenientes de la colaboración empresarial, mediante los cuales sus integrantes se unen y se organizan mancomunadamente para lograr con mayor eficacia un fin común de contenido patrimonial y lucrativo, como lo es la obtención del derecho a ser adjudicatarios de un contrato estatal, compartiendo recursos, de toda índole, para su ejecución, así como las utilidades y los riesgos. La diferencia radica en la responsabilidad frente a las eventuales sanciones por el incumplimiento de las obligaciones, toda vez que tratándose de una unión temporal, estas se individualizan según la participación de sus miembros, mientras que en el consorcio los miembros responden solidariamente, con independencia de este aspecto.</w:t>
      </w:r>
    </w:p>
    <w:p w14:paraId="62FF1E4F" w14:textId="77777777" w:rsidR="00357EB3" w:rsidRDefault="00000000">
      <w:pPr>
        <w:jc w:val="both"/>
        <w:rPr>
          <w:rFonts w:ascii="Verdana" w:eastAsia="Calibri" w:hAnsi="Verdana" w:cs="Arial"/>
          <w:b/>
          <w:bCs/>
          <w:color w:val="000000" w:themeColor="text1"/>
          <w:lang w:val="es-ES" w:eastAsia="es-ES"/>
        </w:rPr>
      </w:pPr>
      <w:r>
        <w:rPr>
          <w:rFonts w:ascii="Verdana" w:eastAsia="Calibri" w:hAnsi="Verdana" w:cs="Arial"/>
          <w:b/>
          <w:bCs/>
          <w:color w:val="000000" w:themeColor="text1"/>
          <w:lang w:val="es-ES" w:eastAsia="es-ES"/>
        </w:rPr>
        <w:t>CONSORCIOS Y UNIONES TEMPORALES – Ausencia de personería jurídica – Capacidad jurídica restringida</w:t>
      </w:r>
    </w:p>
    <w:p w14:paraId="17094BA1" w14:textId="77777777" w:rsidR="00357EB3" w:rsidRDefault="00000000">
      <w:pPr>
        <w:jc w:val="both"/>
        <w:rPr>
          <w:rFonts w:ascii="Verdana" w:eastAsia="Calibri" w:hAnsi="Verdana" w:cs="Arial"/>
          <w:sz w:val="20"/>
          <w:szCs w:val="20"/>
          <w:lang w:eastAsia="es-ES"/>
        </w:rPr>
      </w:pPr>
      <w:r>
        <w:rPr>
          <w:rFonts w:ascii="Verdana" w:eastAsia="Arial" w:hAnsi="Verdana" w:cs="Arial"/>
          <w:sz w:val="20"/>
          <w:szCs w:val="20"/>
          <w:lang w:eastAsia="es-ES"/>
        </w:rPr>
        <w:t>Debido a que los consorcios y las uniones temporales no son personas jurídicas, su creación depende de un acuerdo en el que concurre la voluntad de sus integrantes para regular su objeto, la participación de los miembros, las obligaciones frente al proyecto, su responsabilidad, la forma en que regirán sus relaciones internas y el relacionamiento con la entidad contratante, mediante la designación de un representante, de conformidad con el parágrafo 1 del artículo 7 de la Ley 80 de 1993.</w:t>
      </w:r>
    </w:p>
    <w:p w14:paraId="585B4AB6" w14:textId="77777777" w:rsidR="00357EB3" w:rsidRDefault="00000000">
      <w:pPr>
        <w:jc w:val="both"/>
        <w:rPr>
          <w:rFonts w:ascii="Verdana" w:eastAsia="Calibri" w:hAnsi="Verdana" w:cs="Arial"/>
          <w:sz w:val="20"/>
          <w:szCs w:val="20"/>
          <w:lang w:eastAsia="es-ES"/>
        </w:rPr>
      </w:pPr>
      <w:r>
        <w:rPr>
          <w:rFonts w:ascii="Verdana" w:eastAsia="Arial" w:hAnsi="Verdana" w:cs="Arial"/>
          <w:sz w:val="20"/>
          <w:szCs w:val="20"/>
          <w:lang w:eastAsia="es-ES"/>
        </w:rPr>
        <w:t>La capacidad jurídica de los proponentes plurales se limita al campo de la contratación estatal de las entidades sometidas al EGCAP, es decir, a las relaciones en consorcios y las uniones temporales con las entidades estatales del artículo 2 de la Ley 80 de 1993. Esta precisión es importante, porque la habilitación de los numerales 6 y 7 del artículo 7 de la Ley 80 de 1993 se restringe a las actividades allí dispuestas sin que se extienda, por ejemplo, a la celebración de contratos de fiducia, cesiones de crédito, cesiones de contrato o subcontratos. En estos casos, la celebración de dichos negocios jurídicos no corresponde a la estructura plural, sino a todos sus integrantes de forma conjunta. Es decir, fuera de las actividades descritas en el EGCAP, son los participantes –no estructura plural– los que tienen personería y capacidad para actuar.</w:t>
      </w:r>
    </w:p>
    <w:p w14:paraId="6788B2DD" w14:textId="77777777" w:rsidR="00755595" w:rsidRDefault="00755595" w:rsidP="00755595">
      <w:pPr>
        <w:jc w:val="both"/>
        <w:rPr>
          <w:rFonts w:ascii="Verdana" w:hAnsi="Verdana" w:cs="Arial"/>
          <w:b/>
          <w:bCs/>
          <w:lang w:val="es-ES" w:eastAsia="es-ES"/>
        </w:rPr>
      </w:pPr>
      <w:r>
        <w:rPr>
          <w:rFonts w:ascii="Verdana" w:hAnsi="Verdana" w:cs="Arial"/>
          <w:b/>
          <w:bCs/>
          <w:lang w:val="es-ES" w:eastAsia="es-ES"/>
        </w:rPr>
        <w:t xml:space="preserve">CESIÓN DE DERECHOS ECONÓMICOS – Requisitos </w:t>
      </w:r>
    </w:p>
    <w:p w14:paraId="0242C665" w14:textId="77777777" w:rsidR="00755595" w:rsidRDefault="00755595" w:rsidP="00755595">
      <w:pPr>
        <w:pStyle w:val="Textoindependiente"/>
        <w:spacing w:after="0" w:line="240" w:lineRule="auto"/>
        <w:jc w:val="both"/>
        <w:rPr>
          <w:rFonts w:ascii="Verdana" w:hAnsi="Verdana"/>
          <w:sz w:val="20"/>
          <w:szCs w:val="20"/>
        </w:rPr>
      </w:pPr>
      <w:r>
        <w:rPr>
          <w:rFonts w:ascii="Verdana" w:hAnsi="Verdana"/>
          <w:sz w:val="20"/>
          <w:szCs w:val="20"/>
        </w:rPr>
        <w:t xml:space="preserve">Los requisitos para hacer efectiva la </w:t>
      </w:r>
      <w:r>
        <w:rPr>
          <w:rFonts w:ascii="Verdana" w:hAnsi="Verdana"/>
          <w:i/>
          <w:iCs/>
          <w:sz w:val="20"/>
          <w:szCs w:val="20"/>
        </w:rPr>
        <w:t>cesión de créditos</w:t>
      </w:r>
      <w:r>
        <w:rPr>
          <w:rFonts w:ascii="Verdana" w:hAnsi="Verdana"/>
          <w:sz w:val="20"/>
          <w:szCs w:val="20"/>
        </w:rPr>
        <w:t xml:space="preserve"> están previstos en la regulación de esta figura contenida en los artículos 1959 a 1966 del Código Civil. En síntesis, los requisitos principales de la cesión son los siguientes: i) la cesión de créditos opera, a cualquier título que se haga, con la entrega del título; ii) si el crédito no consta en un documento, el cedente deberá hacer uno y entregarlo al cesionario; iii) la cesión produce efectos para el deudor y terceros luego de que el cesionario la notifica al deudor o es aceptada por éste; iv) la notificación se hace con exhibición del título o documento creado para el efecto, para lo cual, el título o documento deberá llevar anotado el </w:t>
      </w:r>
      <w:r>
        <w:rPr>
          <w:rFonts w:ascii="Verdana" w:hAnsi="Verdana"/>
          <w:sz w:val="20"/>
          <w:szCs w:val="20"/>
        </w:rPr>
        <w:lastRenderedPageBreak/>
        <w:t xml:space="preserve">traspaso del derecho, el cesionario designado y la firma del cedente; v) la falta de notificación de la cesión hace que el deudor pueda pagar válidamente al cedente o que terceros acreedores de éste puedan perseguir el crédito cedido; vi) el cedente a título oneroso será responsable de la existencia del crédito al tiempo de la cesión, pero no de la solvencia del deudor. El cedente a título gratuito no responderá por ninguna de las anteriores circunstancias; vii) las reglas de la cesión de créditos no se aplican a títulos valores regidos por las normas de transmisión del Código de Comercio. </w:t>
      </w:r>
    </w:p>
    <w:p w14:paraId="56C1B8B4" w14:textId="77777777" w:rsidR="00755595" w:rsidRPr="00D30D30" w:rsidRDefault="00755595" w:rsidP="00755595">
      <w:pPr>
        <w:pStyle w:val="Textoindependiente"/>
        <w:spacing w:after="0" w:line="240" w:lineRule="auto"/>
        <w:jc w:val="both"/>
        <w:rPr>
          <w:rFonts w:ascii="Verdana" w:hAnsi="Verdana"/>
          <w:sz w:val="20"/>
          <w:szCs w:val="20"/>
        </w:rPr>
      </w:pPr>
      <w:r>
        <w:rPr>
          <w:rFonts w:ascii="Verdana" w:hAnsi="Verdana"/>
          <w:sz w:val="20"/>
          <w:szCs w:val="20"/>
        </w:rPr>
        <w:t xml:space="preserve">En el contexto expuesto, un crédito puede ser cedido, cumpliendo con las previsiones legales que hacen oponible la transmisión del derecho a una tercera persona, caso en el cual podrá pagarse válidamente la prestación que debe al cesionario. Como explica la doctrina, la </w:t>
      </w:r>
      <w:r>
        <w:rPr>
          <w:rFonts w:ascii="Verdana" w:hAnsi="Verdana"/>
          <w:i/>
          <w:iCs/>
          <w:sz w:val="20"/>
          <w:szCs w:val="20"/>
        </w:rPr>
        <w:t>cesión de crédito</w:t>
      </w:r>
      <w:r>
        <w:rPr>
          <w:rFonts w:ascii="Verdana" w:hAnsi="Verdana"/>
          <w:sz w:val="20"/>
          <w:szCs w:val="20"/>
        </w:rPr>
        <w:t xml:space="preserve"> concierne al acreedor cedente y al tercero cesionario, de manera que el deudor cedido –aunque deba notificarse– juega un rol pasivo en el negocio celebrado. </w:t>
      </w:r>
    </w:p>
    <w:p w14:paraId="60D7AB15" w14:textId="77777777" w:rsidR="00755595" w:rsidRPr="00D30D30" w:rsidRDefault="00755595" w:rsidP="00755595">
      <w:pPr>
        <w:spacing w:after="0" w:line="240" w:lineRule="auto"/>
        <w:jc w:val="both"/>
        <w:rPr>
          <w:rFonts w:ascii="Verdana" w:hAnsi="Verdana" w:cs="Arial"/>
          <w:b/>
          <w:bCs/>
          <w:lang w:eastAsia="es-ES"/>
        </w:rPr>
      </w:pPr>
    </w:p>
    <w:p w14:paraId="4CCB1F5E" w14:textId="77777777" w:rsidR="00755595" w:rsidRDefault="00755595" w:rsidP="00755595">
      <w:pPr>
        <w:jc w:val="both"/>
        <w:rPr>
          <w:rFonts w:ascii="Verdana" w:hAnsi="Verdana" w:cs="Arial"/>
          <w:b/>
          <w:bCs/>
          <w:lang w:val="es-ES" w:eastAsia="es-ES"/>
        </w:rPr>
      </w:pPr>
      <w:r>
        <w:rPr>
          <w:rFonts w:ascii="Verdana" w:hAnsi="Verdana" w:cs="Arial"/>
          <w:b/>
          <w:bCs/>
          <w:lang w:val="es-ES" w:eastAsia="es-ES"/>
        </w:rPr>
        <w:t xml:space="preserve">CESIÓN DE DERECHOS ECONÓMICOS – Aceptación </w:t>
      </w:r>
    </w:p>
    <w:p w14:paraId="277F31B7" w14:textId="77777777" w:rsidR="00755595" w:rsidRPr="00D30D30" w:rsidRDefault="00755595" w:rsidP="00755595">
      <w:pPr>
        <w:spacing w:after="0" w:line="240" w:lineRule="auto"/>
        <w:jc w:val="both"/>
        <w:rPr>
          <w:rFonts w:ascii="Verdana" w:eastAsia="Calibri" w:hAnsi="Verdana" w:cs="Arial"/>
          <w:bCs/>
          <w:color w:val="000000" w:themeColor="text1"/>
          <w:sz w:val="20"/>
          <w:szCs w:val="20"/>
        </w:rPr>
      </w:pPr>
      <w:r>
        <w:rPr>
          <w:rFonts w:ascii="Verdana" w:eastAsia="Calibri" w:hAnsi="Verdana" w:cs="Arial"/>
          <w:bCs/>
          <w:color w:val="000000" w:themeColor="text1"/>
          <w:sz w:val="20"/>
          <w:szCs w:val="20"/>
        </w:rPr>
        <w:t>En el marco de lo expuesto, la Entidad Estatal deberá determinar si la aceptación de una cesión de derechos económicos debe materializarse necesariamente mediante resolución o si puede constar en un documento donde la entidad manifieste expresamente su aceptación. Para ello debe recordarse que, además de los requisitos esenciales señalados por el artículo 1501 del Código Civil —capacidad de las partes, consentimiento libre de vicios, objeto y causa lícitos—, el contrato estatal está sometido a la solemnidad escrituraria, que constituye un elemento sustancial del acto jurídico. En virtud de los artículos 39 y 41 de la Ley 80 de 1993, el contrato estatal existe y se perfecciona únicamente cuando consta por escrito, y en dicho escrito se plasma el acuerdo sobre el objeto y la contraprestación.</w:t>
      </w:r>
    </w:p>
    <w:p w14:paraId="55A307C8" w14:textId="77777777" w:rsidR="00755595" w:rsidRPr="00D30D30" w:rsidRDefault="00755595" w:rsidP="00755595">
      <w:pPr>
        <w:spacing w:after="0" w:line="240" w:lineRule="auto"/>
        <w:jc w:val="both"/>
        <w:rPr>
          <w:rFonts w:ascii="Verdana" w:hAnsi="Verdana" w:cs="Arial"/>
          <w:b/>
          <w:bCs/>
          <w:lang w:eastAsia="es-ES"/>
        </w:rPr>
      </w:pPr>
    </w:p>
    <w:p w14:paraId="6A6E5660" w14:textId="77777777" w:rsidR="00755595" w:rsidRDefault="00755595" w:rsidP="00755595">
      <w:pPr>
        <w:jc w:val="both"/>
        <w:rPr>
          <w:rFonts w:ascii="Verdana" w:eastAsia="Calibri" w:hAnsi="Verdana" w:cs="Arial"/>
          <w:color w:val="000000" w:themeColor="text1"/>
          <w:lang w:val="es-ES" w:eastAsia="es-ES"/>
        </w:rPr>
      </w:pPr>
      <w:r>
        <w:rPr>
          <w:rFonts w:ascii="Verdana" w:hAnsi="Verdana" w:cs="Arial"/>
          <w:b/>
          <w:bCs/>
          <w:lang w:val="es-ES" w:eastAsia="es-ES"/>
        </w:rPr>
        <w:t>CESIÓN DE DERECHOS ECONÓMICOS – Naturaleza solemne del contrato estatal</w:t>
      </w:r>
      <w:r>
        <w:rPr>
          <w:rFonts w:ascii="Verdana" w:hAnsi="Verdana" w:cs="Arial"/>
          <w:bCs/>
          <w:lang w:val="es-ES" w:eastAsia="es-ES"/>
        </w:rPr>
        <w:t xml:space="preserve">  </w:t>
      </w:r>
      <w:r>
        <w:rPr>
          <w:rFonts w:ascii="Verdana" w:eastAsia="Calibri" w:hAnsi="Verdana" w:cs="Arial"/>
          <w:color w:val="000000" w:themeColor="text1"/>
          <w:lang w:val="es-ES" w:eastAsia="es-ES"/>
        </w:rPr>
        <w:t xml:space="preserve">    </w:t>
      </w:r>
    </w:p>
    <w:p w14:paraId="25F48F19" w14:textId="77777777" w:rsidR="00755595" w:rsidRPr="00D30D30" w:rsidRDefault="00755595" w:rsidP="00755595">
      <w:pPr>
        <w:spacing w:after="0" w:line="240" w:lineRule="auto"/>
        <w:jc w:val="both"/>
        <w:rPr>
          <w:rFonts w:ascii="Verdana" w:eastAsia="Calibri" w:hAnsi="Verdana" w:cs="Arial"/>
          <w:bCs/>
          <w:color w:val="000000" w:themeColor="text1"/>
          <w:sz w:val="20"/>
          <w:szCs w:val="20"/>
        </w:rPr>
      </w:pPr>
      <w:r>
        <w:rPr>
          <w:rFonts w:ascii="Verdana" w:eastAsia="Calibri" w:hAnsi="Verdana" w:cs="Arial"/>
          <w:bCs/>
          <w:color w:val="000000" w:themeColor="text1"/>
          <w:sz w:val="20"/>
          <w:szCs w:val="20"/>
        </w:rPr>
        <w:t>Si bien la cesión de créditos no modifica el contenido contractual ni exige autorización previa del ente estatal, sí implica una actuación administrativa necesaria para efectos de su oponibilidad y para la validez del pago. Por ello, la manifestación de la voluntad de la administración respecto de la aceptación de la cesión —en caso de optar por esta vía en lugar de la simple notificación— debe constar por escrito, en atención a la solemnidad propia de la contratación estatal y al principio de publicidad que rige la actuación administrativa. Este principio exige que los actos, contratos y decisiones de las autoridades sean divulgados por medios oficiales, incluidos los sistemas electrónicos de información como el SECOP, para garantizar la transparencia, el debido proceso, la igualdad de oportunidades y la rendición de cuentas.</w:t>
      </w:r>
    </w:p>
    <w:p w14:paraId="32226CFA" w14:textId="77777777" w:rsidR="00755595" w:rsidRDefault="00755595" w:rsidP="00755595">
      <w:pPr>
        <w:spacing w:after="0" w:line="240" w:lineRule="auto"/>
        <w:jc w:val="both"/>
        <w:rPr>
          <w:rFonts w:ascii="Verdana" w:eastAsia="Calibri" w:hAnsi="Verdana" w:cs="Arial"/>
          <w:bCs/>
          <w:color w:val="000000" w:themeColor="text1"/>
          <w:sz w:val="20"/>
          <w:szCs w:val="20"/>
        </w:rPr>
      </w:pPr>
    </w:p>
    <w:p w14:paraId="6DBB83D1" w14:textId="77777777" w:rsidR="00755595" w:rsidRPr="00D30D30" w:rsidRDefault="00755595" w:rsidP="00755595">
      <w:pPr>
        <w:spacing w:after="0" w:line="240" w:lineRule="auto"/>
        <w:jc w:val="both"/>
        <w:rPr>
          <w:rFonts w:ascii="Verdana" w:eastAsia="Calibri" w:hAnsi="Verdana" w:cs="Arial"/>
          <w:bCs/>
          <w:color w:val="000000" w:themeColor="text1"/>
          <w:sz w:val="20"/>
          <w:szCs w:val="20"/>
        </w:rPr>
      </w:pPr>
      <w:r>
        <w:rPr>
          <w:rFonts w:ascii="Verdana" w:eastAsia="Calibri" w:hAnsi="Verdana" w:cs="Arial"/>
          <w:bCs/>
          <w:color w:val="000000" w:themeColor="text1"/>
          <w:sz w:val="20"/>
          <w:szCs w:val="20"/>
        </w:rPr>
        <w:t xml:space="preserve">En consecuencia, corresponde a cada entidad determinar, conforme a su propio procedimiento interno y a lo que establezca el contrato original, si acepta o no la cesión </w:t>
      </w:r>
      <w:r>
        <w:rPr>
          <w:rFonts w:ascii="Verdana" w:eastAsia="Calibri" w:hAnsi="Verdana" w:cs="Arial"/>
          <w:color w:val="000000" w:themeColor="text1"/>
          <w:sz w:val="20"/>
          <w:szCs w:val="20"/>
        </w:rPr>
        <w:t xml:space="preserve">de derechos económicos y en caso de aceptarla, </w:t>
      </w:r>
      <w:r>
        <w:rPr>
          <w:rFonts w:ascii="Verdana" w:eastAsia="Calibri" w:hAnsi="Verdana" w:cs="Arial"/>
          <w:bCs/>
          <w:color w:val="000000" w:themeColor="text1"/>
          <w:sz w:val="20"/>
          <w:szCs w:val="20"/>
        </w:rPr>
        <w:t xml:space="preserve">debe formalizarse mediante resolución, acto administrativo diferente, o documento escrito suscrito por el funcionario competente. En todo caso, resulta recomendable que la aceptación conste por escrito </w:t>
      </w:r>
      <w:r>
        <w:rPr>
          <w:rFonts w:ascii="Verdana" w:eastAsia="Calibri" w:hAnsi="Verdana" w:cs="Arial"/>
          <w:bCs/>
          <w:color w:val="000000" w:themeColor="text1"/>
          <w:sz w:val="20"/>
          <w:szCs w:val="20"/>
        </w:rPr>
        <w:lastRenderedPageBreak/>
        <w:t>para otorgar certeza jurídica, facilitar la trazabilidad en los sistemas de información, y asegurar que la entidad pueda realizar el pago válidamente al cesionario. Asimismo, puede ser conveniente la publicación del documento correspondiente o, cuando sea jurídicamente procedente, el título donde conste la cesión del derecho económico.</w:t>
      </w:r>
    </w:p>
    <w:p w14:paraId="4DBCD054"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5F90F377"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56D90AF9"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5F86DE21"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54047280"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49A98286"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07012959" w14:textId="77777777" w:rsidR="007871E6" w:rsidRDefault="007871E6" w:rsidP="007871E6">
      <w:pPr>
        <w:spacing w:after="0" w:line="240" w:lineRule="auto"/>
        <w:contextualSpacing/>
        <w:jc w:val="both"/>
        <w:rPr>
          <w:rFonts w:ascii="Verdana" w:eastAsia="Calibri" w:hAnsi="Verdana" w:cs="Arial"/>
          <w:sz w:val="20"/>
          <w:szCs w:val="20"/>
          <w:lang w:eastAsia="es-ES"/>
        </w:rPr>
      </w:pPr>
    </w:p>
    <w:p w14:paraId="529BE691" w14:textId="77777777" w:rsidR="007871E6" w:rsidRPr="00206556" w:rsidRDefault="007871E6" w:rsidP="007871E6">
      <w:pPr>
        <w:spacing w:after="0" w:line="240" w:lineRule="auto"/>
        <w:contextualSpacing/>
        <w:jc w:val="both"/>
        <w:rPr>
          <w:rFonts w:ascii="Verdana" w:eastAsia="Calibri" w:hAnsi="Verdana" w:cs="Arial"/>
          <w:sz w:val="20"/>
          <w:szCs w:val="20"/>
          <w:lang w:val="es-ES" w:eastAsia="es-ES"/>
        </w:rPr>
      </w:pPr>
    </w:p>
    <w:p w14:paraId="41E91B19" w14:textId="77777777" w:rsidR="007871E6" w:rsidRPr="00206556" w:rsidRDefault="007871E6" w:rsidP="007871E6">
      <w:pPr>
        <w:spacing w:after="0" w:line="240" w:lineRule="auto"/>
        <w:contextualSpacing/>
        <w:jc w:val="both"/>
        <w:rPr>
          <w:rFonts w:ascii="Verdana" w:eastAsia="Calibri" w:hAnsi="Verdana" w:cs="Arial"/>
          <w:sz w:val="20"/>
          <w:szCs w:val="20"/>
          <w:lang w:val="es-ES" w:eastAsia="es-ES"/>
        </w:rPr>
      </w:pPr>
    </w:p>
    <w:p w14:paraId="26C1606E" w14:textId="77777777" w:rsidR="007871E6" w:rsidRPr="00206556" w:rsidRDefault="007871E6" w:rsidP="007871E6">
      <w:pPr>
        <w:spacing w:after="0" w:line="240" w:lineRule="auto"/>
        <w:contextualSpacing/>
        <w:jc w:val="both"/>
        <w:rPr>
          <w:rFonts w:ascii="Verdana" w:eastAsia="Calibri" w:hAnsi="Verdana" w:cs="Arial"/>
          <w:b/>
          <w:bCs/>
          <w:color w:val="ED7D31" w:themeColor="accent2"/>
          <w:sz w:val="20"/>
          <w:szCs w:val="20"/>
          <w:lang w:val="es-ES" w:eastAsia="es-ES"/>
        </w:rPr>
      </w:pPr>
    </w:p>
    <w:p w14:paraId="639D2756" w14:textId="77777777" w:rsidR="007871E6" w:rsidRDefault="007871E6" w:rsidP="007871E6">
      <w:pPr>
        <w:spacing w:after="0"/>
        <w:rPr>
          <w:rFonts w:ascii="Verdana" w:hAnsi="Verdana"/>
          <w:lang w:val="es-ES_tradnl"/>
        </w:rPr>
      </w:pPr>
    </w:p>
    <w:p w14:paraId="1EFB041B" w14:textId="77777777" w:rsidR="007871E6" w:rsidRDefault="007871E6" w:rsidP="007871E6">
      <w:pPr>
        <w:spacing w:after="0"/>
        <w:rPr>
          <w:rFonts w:ascii="Verdana" w:hAnsi="Verdana"/>
          <w:lang w:val="es-ES_tradnl"/>
        </w:rPr>
      </w:pPr>
    </w:p>
    <w:p w14:paraId="1ED94EEF" w14:textId="77777777" w:rsidR="007871E6" w:rsidRDefault="007871E6" w:rsidP="007871E6">
      <w:pPr>
        <w:spacing w:after="0"/>
        <w:rPr>
          <w:rFonts w:ascii="Verdana" w:hAnsi="Verdana"/>
          <w:lang w:val="es-ES_tradnl"/>
        </w:rPr>
      </w:pPr>
    </w:p>
    <w:p w14:paraId="11B5F979" w14:textId="77777777" w:rsidR="007871E6" w:rsidRDefault="007871E6" w:rsidP="007871E6">
      <w:pPr>
        <w:spacing w:after="0"/>
        <w:rPr>
          <w:rFonts w:ascii="Verdana" w:hAnsi="Verdana"/>
          <w:lang w:val="es-ES_tradnl"/>
        </w:rPr>
      </w:pPr>
    </w:p>
    <w:p w14:paraId="0D3057D9" w14:textId="77777777" w:rsidR="007871E6" w:rsidRDefault="007871E6" w:rsidP="007871E6">
      <w:pPr>
        <w:spacing w:after="0"/>
        <w:rPr>
          <w:rFonts w:ascii="Verdana" w:hAnsi="Verdana"/>
          <w:lang w:val="es-ES_tradnl"/>
        </w:rPr>
      </w:pPr>
    </w:p>
    <w:p w14:paraId="12A6DEDA" w14:textId="77777777" w:rsidR="007871E6" w:rsidRDefault="007871E6" w:rsidP="007871E6">
      <w:pPr>
        <w:spacing w:after="0"/>
        <w:rPr>
          <w:rFonts w:ascii="Verdana" w:hAnsi="Verdana"/>
          <w:lang w:val="es-ES_tradnl"/>
        </w:rPr>
      </w:pPr>
    </w:p>
    <w:p w14:paraId="26BFFB75" w14:textId="77777777" w:rsidR="007871E6" w:rsidRDefault="007871E6" w:rsidP="007871E6">
      <w:pPr>
        <w:spacing w:after="0"/>
        <w:rPr>
          <w:rFonts w:ascii="Verdana" w:hAnsi="Verdana"/>
          <w:lang w:val="es-ES_tradnl"/>
        </w:rPr>
      </w:pPr>
    </w:p>
    <w:p w14:paraId="2E1E7C11" w14:textId="77777777" w:rsidR="00966744" w:rsidRDefault="00966744" w:rsidP="007741C2">
      <w:pPr>
        <w:spacing w:after="0" w:line="240" w:lineRule="auto"/>
        <w:rPr>
          <w:rFonts w:ascii="Verdana" w:eastAsia="Geomanist Light" w:hAnsi="Verdana" w:cs="Arial"/>
        </w:rPr>
      </w:pPr>
    </w:p>
    <w:p w14:paraId="628A535E" w14:textId="77777777" w:rsidR="00966744" w:rsidRDefault="00966744" w:rsidP="007741C2">
      <w:pPr>
        <w:spacing w:after="0" w:line="240" w:lineRule="auto"/>
        <w:rPr>
          <w:rFonts w:ascii="Verdana" w:eastAsia="Geomanist Light" w:hAnsi="Verdana" w:cs="Arial"/>
        </w:rPr>
      </w:pPr>
    </w:p>
    <w:p w14:paraId="6FAD2A04" w14:textId="77777777" w:rsidR="00966744" w:rsidRDefault="00966744" w:rsidP="007741C2">
      <w:pPr>
        <w:spacing w:after="0" w:line="240" w:lineRule="auto"/>
        <w:rPr>
          <w:rFonts w:ascii="Verdana" w:eastAsia="Geomanist Light" w:hAnsi="Verdana" w:cs="Arial"/>
        </w:rPr>
      </w:pPr>
    </w:p>
    <w:p w14:paraId="6131D8BB" w14:textId="77777777" w:rsidR="00966744" w:rsidRDefault="00966744" w:rsidP="007741C2">
      <w:pPr>
        <w:spacing w:after="0" w:line="240" w:lineRule="auto"/>
        <w:rPr>
          <w:rFonts w:ascii="Verdana" w:eastAsia="Geomanist Light" w:hAnsi="Verdana" w:cs="Arial"/>
        </w:rPr>
      </w:pPr>
    </w:p>
    <w:p w14:paraId="505472BF" w14:textId="77777777" w:rsidR="00966744" w:rsidRDefault="00966744" w:rsidP="007741C2">
      <w:pPr>
        <w:spacing w:after="0" w:line="240" w:lineRule="auto"/>
        <w:rPr>
          <w:rFonts w:ascii="Verdana" w:eastAsia="Geomanist Light" w:hAnsi="Verdana" w:cs="Arial"/>
        </w:rPr>
      </w:pPr>
    </w:p>
    <w:p w14:paraId="52C2EA0B" w14:textId="77777777" w:rsidR="00966744" w:rsidRDefault="00966744" w:rsidP="007741C2">
      <w:pPr>
        <w:spacing w:after="0" w:line="240" w:lineRule="auto"/>
        <w:rPr>
          <w:rFonts w:ascii="Verdana" w:eastAsia="Geomanist Light" w:hAnsi="Verdana" w:cs="Arial"/>
        </w:rPr>
      </w:pPr>
    </w:p>
    <w:p w14:paraId="1A998DFA" w14:textId="77777777" w:rsidR="00966744" w:rsidRDefault="00966744" w:rsidP="007741C2">
      <w:pPr>
        <w:spacing w:after="0" w:line="240" w:lineRule="auto"/>
        <w:rPr>
          <w:rFonts w:ascii="Verdana" w:eastAsia="Geomanist Light" w:hAnsi="Verdana" w:cs="Arial"/>
        </w:rPr>
      </w:pPr>
    </w:p>
    <w:p w14:paraId="0FE86B77" w14:textId="77777777" w:rsidR="00966744" w:rsidRDefault="00966744" w:rsidP="007741C2">
      <w:pPr>
        <w:spacing w:after="0" w:line="240" w:lineRule="auto"/>
        <w:rPr>
          <w:rFonts w:ascii="Verdana" w:eastAsia="Geomanist Light" w:hAnsi="Verdana" w:cs="Arial"/>
        </w:rPr>
      </w:pPr>
    </w:p>
    <w:p w14:paraId="626F7E2F" w14:textId="77777777" w:rsidR="00966744" w:rsidRDefault="00966744" w:rsidP="007741C2">
      <w:pPr>
        <w:spacing w:after="0" w:line="240" w:lineRule="auto"/>
        <w:rPr>
          <w:rFonts w:ascii="Verdana" w:eastAsia="Geomanist Light" w:hAnsi="Verdana" w:cs="Arial"/>
        </w:rPr>
      </w:pPr>
    </w:p>
    <w:p w14:paraId="6A48B5A0" w14:textId="77777777" w:rsidR="00966744" w:rsidRDefault="00966744" w:rsidP="007741C2">
      <w:pPr>
        <w:spacing w:after="0" w:line="240" w:lineRule="auto"/>
        <w:rPr>
          <w:rFonts w:ascii="Verdana" w:eastAsia="Geomanist Light" w:hAnsi="Verdana" w:cs="Arial"/>
        </w:rPr>
      </w:pPr>
    </w:p>
    <w:p w14:paraId="026CB231" w14:textId="77777777" w:rsidR="00966744" w:rsidRDefault="00966744" w:rsidP="007741C2">
      <w:pPr>
        <w:spacing w:after="0" w:line="240" w:lineRule="auto"/>
        <w:rPr>
          <w:rFonts w:ascii="Verdana" w:eastAsia="Geomanist Light" w:hAnsi="Verdana" w:cs="Arial"/>
        </w:rPr>
      </w:pPr>
    </w:p>
    <w:p w14:paraId="1EFCA6F8" w14:textId="77777777" w:rsidR="00966744" w:rsidRDefault="00966744" w:rsidP="007741C2">
      <w:pPr>
        <w:spacing w:after="0" w:line="240" w:lineRule="auto"/>
        <w:rPr>
          <w:rFonts w:ascii="Verdana" w:eastAsia="Geomanist Light" w:hAnsi="Verdana" w:cs="Arial"/>
        </w:rPr>
      </w:pPr>
    </w:p>
    <w:p w14:paraId="5D9E2F2B" w14:textId="77777777" w:rsidR="00966744" w:rsidRDefault="00966744" w:rsidP="007741C2">
      <w:pPr>
        <w:spacing w:after="0" w:line="240" w:lineRule="auto"/>
        <w:rPr>
          <w:rFonts w:ascii="Verdana" w:eastAsia="Geomanist Light" w:hAnsi="Verdana" w:cs="Arial"/>
        </w:rPr>
      </w:pPr>
    </w:p>
    <w:p w14:paraId="18846282" w14:textId="77777777" w:rsidR="00966744" w:rsidRDefault="00966744" w:rsidP="007741C2">
      <w:pPr>
        <w:spacing w:after="0" w:line="240" w:lineRule="auto"/>
        <w:rPr>
          <w:rFonts w:ascii="Verdana" w:eastAsia="Geomanist Light" w:hAnsi="Verdana" w:cs="Arial"/>
        </w:rPr>
      </w:pPr>
    </w:p>
    <w:p w14:paraId="11851C40" w14:textId="77777777" w:rsidR="00C11FD2" w:rsidRDefault="00C11FD2" w:rsidP="007741C2">
      <w:pPr>
        <w:spacing w:after="0" w:line="240" w:lineRule="auto"/>
        <w:rPr>
          <w:rFonts w:ascii="Verdana" w:eastAsia="Calibri" w:hAnsi="Verdana" w:cs="Arial"/>
          <w:bCs/>
          <w:lang w:eastAsia="es-ES_tradnl"/>
        </w:rPr>
      </w:pPr>
    </w:p>
    <w:p w14:paraId="2E6C3839" w14:textId="77777777" w:rsidR="00C11FD2" w:rsidRDefault="00C11FD2" w:rsidP="007741C2">
      <w:pPr>
        <w:spacing w:after="0" w:line="240" w:lineRule="auto"/>
        <w:rPr>
          <w:rFonts w:ascii="Verdana" w:eastAsia="Calibri" w:hAnsi="Verdana" w:cs="Arial"/>
          <w:bCs/>
          <w:lang w:eastAsia="es-ES_tradnl"/>
        </w:rPr>
      </w:pPr>
    </w:p>
    <w:p w14:paraId="3E4BA153" w14:textId="77777777" w:rsidR="00C11FD2" w:rsidRDefault="00C11FD2" w:rsidP="007741C2">
      <w:pPr>
        <w:spacing w:after="0" w:line="240" w:lineRule="auto"/>
        <w:rPr>
          <w:rFonts w:ascii="Verdana" w:eastAsia="Calibri" w:hAnsi="Verdana" w:cs="Arial"/>
          <w:bCs/>
          <w:lang w:eastAsia="es-ES_tradnl"/>
        </w:rPr>
      </w:pPr>
    </w:p>
    <w:p w14:paraId="1425FC8D" w14:textId="77777777" w:rsidR="00C11FD2" w:rsidRDefault="00C11FD2" w:rsidP="007741C2">
      <w:pPr>
        <w:spacing w:after="0" w:line="240" w:lineRule="auto"/>
        <w:rPr>
          <w:rFonts w:ascii="Verdana" w:eastAsia="Calibri" w:hAnsi="Verdana" w:cs="Arial"/>
          <w:bCs/>
          <w:lang w:eastAsia="es-ES_tradnl"/>
        </w:rPr>
      </w:pPr>
    </w:p>
    <w:p w14:paraId="457CD191" w14:textId="7678D23A" w:rsidR="007741C2" w:rsidRPr="00C11FD2" w:rsidRDefault="00055FE7" w:rsidP="007741C2">
      <w:pPr>
        <w:spacing w:after="0" w:line="240" w:lineRule="auto"/>
        <w:rPr>
          <w:rFonts w:ascii="Verdana" w:eastAsia="Calibri" w:hAnsi="Verdana" w:cs="Arial"/>
          <w:bCs/>
          <w:lang w:eastAsia="es-ES_tradnl"/>
        </w:rPr>
      </w:pPr>
      <w:r w:rsidRPr="00C11FD2">
        <w:rPr>
          <w:rFonts w:ascii="Verdana" w:hAnsi="Verdana"/>
          <w:b/>
          <w:bCs/>
          <w:noProof/>
          <w:sz w:val="24"/>
          <w:szCs w:val="24"/>
          <w:lang w:val="es-ES"/>
        </w:rPr>
        <w:lastRenderedPageBreak/>
        <w:drawing>
          <wp:anchor distT="0" distB="0" distL="114300" distR="114300" simplePos="0" relativeHeight="251658240" behindDoc="1" locked="0" layoutInCell="1" allowOverlap="1" wp14:anchorId="0FDA5103" wp14:editId="599E7638">
            <wp:simplePos x="0" y="0"/>
            <wp:positionH relativeFrom="column">
              <wp:posOffset>3553460</wp:posOffset>
            </wp:positionH>
            <wp:positionV relativeFrom="paragraph">
              <wp:posOffset>0</wp:posOffset>
            </wp:positionV>
            <wp:extent cx="2719070" cy="1028700"/>
            <wp:effectExtent l="0" t="0" r="5080" b="0"/>
            <wp:wrapTight wrapText="bothSides">
              <wp:wrapPolygon edited="0">
                <wp:start x="0" y="0"/>
                <wp:lineTo x="0" y="21200"/>
                <wp:lineTo x="21489" y="21200"/>
                <wp:lineTo x="21489" y="0"/>
                <wp:lineTo x="0" y="0"/>
              </wp:wrapPolygon>
            </wp:wrapTight>
            <wp:docPr id="11200908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090821" name=""/>
                    <pic:cNvPicPr/>
                  </pic:nvPicPr>
                  <pic:blipFill>
                    <a:blip r:embed="rId10">
                      <a:extLst>
                        <a:ext uri="{28A0092B-C50C-407E-A947-70E740481C1C}">
                          <a14:useLocalDpi xmlns:a14="http://schemas.microsoft.com/office/drawing/2010/main" val="0"/>
                        </a:ext>
                      </a:extLst>
                    </a:blip>
                    <a:stretch>
                      <a:fillRect/>
                    </a:stretch>
                  </pic:blipFill>
                  <pic:spPr>
                    <a:xfrm>
                      <a:off x="0" y="0"/>
                      <a:ext cx="2719070" cy="1028700"/>
                    </a:xfrm>
                    <a:prstGeom prst="rect">
                      <a:avLst/>
                    </a:prstGeom>
                  </pic:spPr>
                </pic:pic>
              </a:graphicData>
            </a:graphic>
            <wp14:sizeRelH relativeFrom="page">
              <wp14:pctWidth>0</wp14:pctWidth>
            </wp14:sizeRelH>
            <wp14:sizeRelV relativeFrom="page">
              <wp14:pctHeight>0</wp14:pctHeight>
            </wp14:sizeRelV>
          </wp:anchor>
        </w:drawing>
      </w:r>
      <w:r w:rsidRPr="00C11FD2">
        <w:rPr>
          <w:rFonts w:ascii="Verdana" w:eastAsia="Calibri" w:hAnsi="Verdana" w:cs="Arial"/>
          <w:bCs/>
          <w:lang w:eastAsia="es-ES_tradnl"/>
        </w:rPr>
        <w:t xml:space="preserve">Bogotá D.C., 24 de </w:t>
      </w:r>
      <w:r w:rsidR="00C11FD2" w:rsidRPr="00C11FD2">
        <w:rPr>
          <w:rFonts w:ascii="Verdana" w:eastAsia="Calibri" w:hAnsi="Verdana" w:cs="Arial"/>
          <w:bCs/>
          <w:lang w:eastAsia="es-ES_tradnl"/>
        </w:rPr>
        <w:t>agosto</w:t>
      </w:r>
      <w:r w:rsidRPr="00C11FD2">
        <w:rPr>
          <w:rFonts w:ascii="Verdana" w:eastAsia="Calibri" w:hAnsi="Verdana" w:cs="Arial"/>
          <w:bCs/>
          <w:lang w:eastAsia="es-ES_tradnl"/>
        </w:rPr>
        <w:t xml:space="preserve"> de 2026</w:t>
      </w:r>
    </w:p>
    <w:p w14:paraId="6080839C" w14:textId="7CD2D6FB" w:rsidR="007871E6" w:rsidRDefault="007871E6" w:rsidP="003248CC">
      <w:pPr>
        <w:spacing w:after="0" w:line="240" w:lineRule="auto"/>
        <w:rPr>
          <w:rFonts w:ascii="Verdana" w:hAnsi="Verdana"/>
        </w:rPr>
      </w:pPr>
    </w:p>
    <w:p w14:paraId="3D45F301" w14:textId="566C23F5" w:rsidR="00DD71D8" w:rsidRPr="00777292" w:rsidRDefault="00DD71D8" w:rsidP="003248CC">
      <w:pPr>
        <w:spacing w:after="0" w:line="240" w:lineRule="auto"/>
        <w:rPr>
          <w:rFonts w:ascii="Verdana" w:hAnsi="Verdana"/>
          <w:lang w:val="es-ES_tradnl"/>
        </w:rPr>
      </w:pPr>
    </w:p>
    <w:p w14:paraId="3F884674" w14:textId="550B246C" w:rsidR="007871E6" w:rsidRPr="00966744" w:rsidRDefault="007871E6" w:rsidP="005B1993">
      <w:pPr>
        <w:spacing w:after="0" w:line="240" w:lineRule="auto"/>
        <w:rPr>
          <w:rFonts w:ascii="Verdana" w:hAnsi="Verdana"/>
          <w:lang w:val="es-ES"/>
        </w:rPr>
      </w:pPr>
      <w:r>
        <w:rPr>
          <w:rFonts w:ascii="Verdana" w:eastAsia="Calibri" w:hAnsi="Verdana" w:cs="Arial"/>
          <w:lang w:val="es-ES" w:eastAsia="es-ES"/>
        </w:rPr>
        <w:t>Señor</w:t>
      </w:r>
    </w:p>
    <w:p w14:paraId="6A03A8DA" w14:textId="45DAB9B9" w:rsidR="007871E6" w:rsidRPr="00966744" w:rsidRDefault="00755595" w:rsidP="005B1993">
      <w:pPr>
        <w:spacing w:after="0" w:line="240" w:lineRule="auto"/>
        <w:rPr>
          <w:rFonts w:ascii="Verdana" w:hAnsi="Verdana"/>
          <w:b/>
          <w:bCs/>
          <w:lang w:val="es-ES"/>
        </w:rPr>
      </w:pPr>
      <w:r>
        <w:rPr>
          <w:rFonts w:ascii="Verdana" w:hAnsi="Verdana"/>
          <w:b/>
          <w:bCs/>
          <w:lang w:val="es-ES"/>
        </w:rPr>
        <w:t>Leandro Antonio Rodríguez Cruz</w:t>
      </w:r>
    </w:p>
    <w:p w14:paraId="2971B5CC" w14:textId="77777777" w:rsidR="007741C2" w:rsidRPr="00966744" w:rsidRDefault="00755595">
      <w:pPr>
        <w:spacing w:after="0" w:line="240" w:lineRule="auto"/>
        <w:rPr>
          <w:rStyle w:val="Hipervnculo"/>
          <w:rFonts w:ascii="Verdana" w:hAnsi="Verdana" w:cs="Arial"/>
          <w:color w:val="auto"/>
          <w:u w:val="none"/>
        </w:rPr>
      </w:pPr>
      <w:r>
        <w:rPr>
          <w:rFonts w:ascii="Verdana" w:hAnsi="Verdana"/>
        </w:rPr>
        <w:t>Leandro.rodriguez20@gmail.com</w:t>
      </w:r>
    </w:p>
    <w:p w14:paraId="0A581D97" w14:textId="77777777" w:rsidR="007871E6" w:rsidRPr="00966744" w:rsidRDefault="00755595" w:rsidP="003248CC">
      <w:pPr>
        <w:spacing w:after="0" w:line="240" w:lineRule="auto"/>
        <w:rPr>
          <w:rFonts w:ascii="Verdana" w:eastAsia="Calibri" w:hAnsi="Verdana" w:cs="Arial"/>
          <w:lang w:eastAsia="es-ES"/>
        </w:rPr>
      </w:pPr>
      <w:r>
        <w:rPr>
          <w:rFonts w:ascii="Verdana" w:eastAsia="Calibri" w:hAnsi="Verdana" w:cs="Arial"/>
          <w:lang w:eastAsia="es-ES"/>
        </w:rPr>
        <w:t>Bogotá, Cundinamarca</w:t>
      </w:r>
    </w:p>
    <w:p w14:paraId="7173F275" w14:textId="77777777" w:rsidR="005B1993" w:rsidRPr="00966744" w:rsidRDefault="005B1993" w:rsidP="003248CC">
      <w:pPr>
        <w:spacing w:after="0" w:line="240" w:lineRule="auto"/>
        <w:rPr>
          <w:rFonts w:ascii="Verdana" w:eastAsia="Calibri" w:hAnsi="Verdana" w:cs="Arial"/>
          <w:lang w:eastAsia="es-ES"/>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7871E6" w:rsidRPr="00777292" w14:paraId="4195FC50" w14:textId="77777777" w:rsidTr="000A1473">
        <w:trPr>
          <w:trHeight w:val="190"/>
        </w:trPr>
        <w:tc>
          <w:tcPr>
            <w:tcW w:w="2689" w:type="dxa"/>
          </w:tcPr>
          <w:p w14:paraId="08297316" w14:textId="77777777" w:rsidR="007871E6" w:rsidRDefault="007871E6" w:rsidP="005B1993">
            <w:pPr>
              <w:jc w:val="both"/>
              <w:rPr>
                <w:rFonts w:ascii="Verdana" w:eastAsia="Calibri" w:hAnsi="Verdana" w:cs="Arial"/>
                <w:b/>
                <w:bCs/>
                <w:lang w:eastAsia="es-ES_tradnl"/>
              </w:rPr>
            </w:pPr>
          </w:p>
          <w:p w14:paraId="3930BAC8" w14:textId="77777777" w:rsidR="005B1993" w:rsidRPr="00777292" w:rsidRDefault="005B1993" w:rsidP="005B1993">
            <w:pPr>
              <w:jc w:val="both"/>
              <w:rPr>
                <w:rFonts w:ascii="Verdana" w:eastAsia="Calibri" w:hAnsi="Verdana" w:cs="Arial"/>
                <w:b/>
                <w:bCs/>
                <w:lang w:eastAsia="es-ES_tradnl"/>
              </w:rPr>
            </w:pPr>
          </w:p>
        </w:tc>
        <w:tc>
          <w:tcPr>
            <w:tcW w:w="6100" w:type="dxa"/>
          </w:tcPr>
          <w:p w14:paraId="1D7A4F71" w14:textId="10565BE8" w:rsidR="007871E6" w:rsidRPr="00777292" w:rsidRDefault="007871E6">
            <w:pPr>
              <w:jc w:val="both"/>
              <w:rPr>
                <w:rFonts w:ascii="Verdana" w:eastAsia="Calibri" w:hAnsi="Verdana" w:cs="Arial"/>
                <w:b/>
                <w:bCs/>
                <w:lang w:eastAsia="es-ES"/>
              </w:rPr>
            </w:pPr>
            <w:r>
              <w:rPr>
                <w:rFonts w:ascii="Verdana" w:eastAsia="Calibri" w:hAnsi="Verdana" w:cs="Arial"/>
                <w:b/>
                <w:bCs/>
                <w:lang w:eastAsia="es-ES"/>
              </w:rPr>
              <w:t>Concepto C-1105 de 2026</w:t>
            </w:r>
          </w:p>
          <w:p w14:paraId="78467225" w14:textId="77777777" w:rsidR="007871E6" w:rsidRPr="00777292" w:rsidRDefault="007871E6">
            <w:pPr>
              <w:jc w:val="both"/>
              <w:rPr>
                <w:rFonts w:ascii="Verdana" w:eastAsia="Calibri" w:hAnsi="Verdana" w:cs="Arial"/>
                <w:b/>
                <w:bCs/>
                <w:lang w:eastAsia="es-ES"/>
              </w:rPr>
            </w:pPr>
          </w:p>
        </w:tc>
      </w:tr>
      <w:tr w:rsidR="007871E6" w:rsidRPr="00777292" w14:paraId="3C48CD6F" w14:textId="77777777" w:rsidTr="000A1473">
        <w:trPr>
          <w:trHeight w:val="884"/>
        </w:trPr>
        <w:tc>
          <w:tcPr>
            <w:tcW w:w="2689" w:type="dxa"/>
          </w:tcPr>
          <w:p w14:paraId="31FD611B" w14:textId="77777777" w:rsidR="007871E6" w:rsidRPr="00777292" w:rsidRDefault="007871E6" w:rsidP="005B1993">
            <w:pPr>
              <w:jc w:val="both"/>
              <w:rPr>
                <w:rFonts w:ascii="Verdana" w:eastAsia="Calibri" w:hAnsi="Verdana" w:cs="Arial"/>
                <w:lang w:eastAsia="es-ES_tradnl"/>
              </w:rPr>
            </w:pPr>
            <w:r>
              <w:rPr>
                <w:rFonts w:ascii="Verdana" w:eastAsia="Calibri" w:hAnsi="Verdana" w:cs="Arial"/>
                <w:b/>
                <w:lang w:eastAsia="es-ES_tradnl"/>
              </w:rPr>
              <w:t>Tema:</w:t>
            </w:r>
            <w:r>
              <w:rPr>
                <w:rFonts w:ascii="Verdana" w:eastAsia="Calibri" w:hAnsi="Verdana" w:cs="Arial"/>
                <w:lang w:eastAsia="es-ES_tradnl"/>
              </w:rPr>
              <w:t xml:space="preserve">                   </w:t>
            </w:r>
          </w:p>
        </w:tc>
        <w:tc>
          <w:tcPr>
            <w:tcW w:w="6100" w:type="dxa"/>
          </w:tcPr>
          <w:p w14:paraId="60830CB1" w14:textId="77777777" w:rsidR="005544FB" w:rsidRPr="005544FB" w:rsidRDefault="007871E6" w:rsidP="005544FB">
            <w:pPr>
              <w:contextualSpacing/>
              <w:jc w:val="both"/>
              <w:rPr>
                <w:rFonts w:ascii="Verdana" w:eastAsia="Calibri" w:hAnsi="Verdana" w:cs="Arial"/>
                <w:sz w:val="20"/>
                <w:szCs w:val="20"/>
                <w:lang w:eastAsia="es-ES"/>
              </w:rPr>
            </w:pPr>
            <w:r>
              <w:rPr>
                <w:rFonts w:ascii="Verdana" w:eastAsia="Calibri" w:hAnsi="Verdana" w:cs="Arial"/>
                <w:lang w:eastAsia="es-ES"/>
              </w:rPr>
              <w:t>PROPONENTE PLURAL – Consorcio – Unión temporal – Concepto – Diferencias / CONSORCIOS Y UNIONES TEMPORALES – Ausencia de personería jurídica – Capacidad jurídica restringida / CESIÓN DE DERECHOS ECONÓMICOS – Requisitos / CESIÓN DE DERECHOS ECONÓMICOS – Aceptación / CESIÓN DE DERECHOS ECONÓMICOS – Naturaleza solemne del contrato estatal</w:t>
            </w:r>
          </w:p>
          <w:p w14:paraId="1E8AD1DF" w14:textId="77777777" w:rsidR="007871E6" w:rsidRDefault="007871E6" w:rsidP="003248CC">
            <w:pPr>
              <w:jc w:val="both"/>
              <w:rPr>
                <w:rFonts w:ascii="Verdana" w:eastAsia="Calibri" w:hAnsi="Verdana" w:cs="Arial"/>
                <w:lang w:eastAsia="es-ES"/>
              </w:rPr>
            </w:pPr>
          </w:p>
          <w:p w14:paraId="4EA21D3F" w14:textId="77777777" w:rsidR="007871E6" w:rsidRPr="00777292" w:rsidRDefault="007871E6" w:rsidP="003248CC">
            <w:pPr>
              <w:jc w:val="both"/>
              <w:rPr>
                <w:rFonts w:ascii="Verdana" w:eastAsia="Calibri" w:hAnsi="Verdana" w:cs="Arial"/>
                <w:lang w:eastAsia="es-ES"/>
              </w:rPr>
            </w:pPr>
          </w:p>
        </w:tc>
      </w:tr>
      <w:tr w:rsidR="007871E6" w:rsidRPr="00777292" w14:paraId="0E465D34" w14:textId="77777777" w:rsidTr="000A1473">
        <w:tc>
          <w:tcPr>
            <w:tcW w:w="2689" w:type="dxa"/>
          </w:tcPr>
          <w:p w14:paraId="4FFDE31B" w14:textId="77777777" w:rsidR="007871E6" w:rsidRPr="00777292" w:rsidRDefault="007871E6" w:rsidP="005B1993">
            <w:pPr>
              <w:jc w:val="both"/>
              <w:rPr>
                <w:rFonts w:ascii="Verdana" w:eastAsia="Calibri" w:hAnsi="Verdana" w:cs="Arial"/>
                <w:b/>
                <w:lang w:eastAsia="es-ES_tradnl"/>
              </w:rPr>
            </w:pPr>
            <w:r>
              <w:rPr>
                <w:rFonts w:ascii="Verdana" w:eastAsia="Calibri" w:hAnsi="Verdana" w:cs="Arial"/>
                <w:b/>
                <w:lang w:eastAsia="es-ES_tradnl"/>
              </w:rPr>
              <w:t>Radicación:</w:t>
            </w:r>
            <w:r>
              <w:rPr>
                <w:rFonts w:ascii="Verdana" w:eastAsia="Calibri" w:hAnsi="Verdana" w:cs="Arial"/>
                <w:lang w:eastAsia="es-ES_tradnl"/>
              </w:rPr>
              <w:t xml:space="preserve">               </w:t>
            </w:r>
          </w:p>
        </w:tc>
        <w:tc>
          <w:tcPr>
            <w:tcW w:w="6100" w:type="dxa"/>
          </w:tcPr>
          <w:p w14:paraId="59FE5D19" w14:textId="77777777" w:rsidR="007871E6" w:rsidRPr="00777292" w:rsidRDefault="007871E6" w:rsidP="005B1993">
            <w:pPr>
              <w:jc w:val="both"/>
              <w:rPr>
                <w:rFonts w:ascii="Verdana" w:eastAsia="Calibri" w:hAnsi="Verdana" w:cs="Arial"/>
                <w:lang w:eastAsia="es-ES_tradnl"/>
              </w:rPr>
            </w:pPr>
            <w:r>
              <w:rPr>
                <w:rFonts w:ascii="Verdana" w:eastAsia="Calibri" w:hAnsi="Verdana" w:cs="Arial"/>
                <w:lang w:eastAsia="es-ES_tradnl"/>
              </w:rPr>
              <w:t>Respuesta a consulta con radicado No.</w:t>
            </w:r>
            <w:r>
              <w:rPr>
                <w:rFonts w:ascii="Roboto" w:hAnsi="Roboto"/>
                <w:color w:val="242424"/>
                <w:sz w:val="27"/>
                <w:szCs w:val="27"/>
                <w:shd w:val="clear" w:color="auto" w:fill="FFFFFF"/>
              </w:rPr>
              <w:t xml:space="preserve"> </w:t>
            </w:r>
            <w:r w:rsidRPr="00E944CD">
              <w:rPr>
                <w:rFonts w:ascii="Verdana" w:hAnsi="Verdana"/>
                <w:shd w:val="clear" w:color="auto" w:fill="FFFFFF"/>
              </w:rPr>
              <w:t>1_2026_07_10_009219</w:t>
            </w:r>
          </w:p>
        </w:tc>
      </w:tr>
    </w:tbl>
    <w:p w14:paraId="3C72548E" w14:textId="77777777" w:rsidR="007871E6" w:rsidRPr="00206556" w:rsidRDefault="007871E6" w:rsidP="005B1993">
      <w:pPr>
        <w:tabs>
          <w:tab w:val="left" w:pos="1520"/>
        </w:tabs>
        <w:spacing w:after="0" w:line="276" w:lineRule="auto"/>
        <w:jc w:val="both"/>
        <w:rPr>
          <w:rFonts w:ascii="Verdana" w:eastAsia="Calibri" w:hAnsi="Verdana" w:cs="Arial"/>
          <w:color w:val="ED7D31" w:themeColor="accent2"/>
          <w:sz w:val="20"/>
          <w:szCs w:val="20"/>
          <w:lang w:val="es-ES" w:eastAsia="es-ES"/>
        </w:rPr>
      </w:pPr>
    </w:p>
    <w:p w14:paraId="09229C10" w14:textId="77777777" w:rsidR="007871E6" w:rsidRPr="00206556" w:rsidRDefault="007871E6" w:rsidP="005B1993">
      <w:pPr>
        <w:spacing w:after="0" w:line="276" w:lineRule="auto"/>
        <w:jc w:val="both"/>
        <w:rPr>
          <w:rFonts w:ascii="Verdana" w:eastAsia="Calibri" w:hAnsi="Verdana" w:cs="Arial"/>
          <w:color w:val="ED7D31" w:themeColor="accent2"/>
          <w:lang w:val="es-ES" w:eastAsia="es-ES"/>
        </w:rPr>
      </w:pPr>
    </w:p>
    <w:p w14:paraId="0FC9C870" w14:textId="77777777" w:rsidR="007871E6" w:rsidRPr="00206556" w:rsidRDefault="007871E6">
      <w:pPr>
        <w:spacing w:after="0" w:line="276" w:lineRule="auto"/>
        <w:jc w:val="both"/>
        <w:rPr>
          <w:rFonts w:ascii="Verdana" w:eastAsia="Calibri" w:hAnsi="Verdana" w:cs="Arial"/>
          <w:lang w:val="es-ES" w:eastAsia="es-ES"/>
        </w:rPr>
      </w:pPr>
      <w:r>
        <w:rPr>
          <w:rFonts w:ascii="Verdana" w:eastAsia="Calibri" w:hAnsi="Verdana" w:cs="Arial"/>
          <w:lang w:val="es-ES" w:eastAsia="es-ES"/>
        </w:rPr>
        <w:t>Estimado señor Rodríguez:</w:t>
      </w:r>
    </w:p>
    <w:p w14:paraId="4B1B341F" w14:textId="77777777" w:rsidR="007871E6" w:rsidRPr="00206556" w:rsidRDefault="007871E6">
      <w:pPr>
        <w:tabs>
          <w:tab w:val="left" w:pos="3768"/>
        </w:tabs>
        <w:spacing w:after="0" w:line="276" w:lineRule="auto"/>
        <w:jc w:val="both"/>
        <w:rPr>
          <w:rFonts w:ascii="Verdana" w:eastAsia="Calibri" w:hAnsi="Verdana" w:cs="Arial"/>
          <w:lang w:val="es-ES" w:eastAsia="es-ES"/>
        </w:rPr>
      </w:pPr>
      <w:r>
        <w:rPr>
          <w:rFonts w:ascii="Verdana" w:eastAsia="Calibri" w:hAnsi="Verdana" w:cs="Arial"/>
          <w:lang w:val="es-ES" w:eastAsia="es-ES"/>
        </w:rPr>
        <w:tab/>
      </w:r>
    </w:p>
    <w:p w14:paraId="6DAB7561" w14:textId="77777777" w:rsidR="007871E6" w:rsidRPr="00206556" w:rsidRDefault="007871E6">
      <w:pPr>
        <w:spacing w:after="0" w:line="276" w:lineRule="auto"/>
        <w:jc w:val="both"/>
        <w:rPr>
          <w:rFonts w:ascii="Verdana" w:eastAsia="Calibri" w:hAnsi="Verdana" w:cs="Arial"/>
          <w:lang w:val="es-ES" w:eastAsia="es-ES"/>
        </w:rPr>
      </w:pPr>
      <w:r>
        <w:rPr>
          <w:rFonts w:ascii="Verdana" w:eastAsia="Calibri" w:hAnsi="Verdana" w:cs="Arial"/>
          <w:lang w:val="es-ES" w:eastAsia="es-ES"/>
        </w:rPr>
        <w:t>En ejercicio de la competencia otorgada por los artículos 3, numeral 5º, y 11, numeral 8º, del Decreto Ley 4170 de 2011,</w:t>
      </w:r>
      <w:r>
        <w:rPr>
          <w:rFonts w:ascii="Verdana" w:eastAsia="Arial MT" w:hAnsi="Verdana" w:cs="Arial MT"/>
          <w:lang w:val="es-ES" w:eastAsia="es-ES"/>
        </w:rPr>
        <w:t xml:space="preserve"> </w:t>
      </w:r>
      <w:r>
        <w:rPr>
          <w:rFonts w:ascii="Verdana" w:hAnsi="Verdana" w:cs="Arial"/>
          <w:lang w:val="es-ES"/>
        </w:rPr>
        <w:t xml:space="preserve">así como lo establecido en la Resolución 469 de 2025 expedida por esta Entidad, </w:t>
      </w:r>
      <w:r>
        <w:rPr>
          <w:rFonts w:ascii="Verdana" w:eastAsia="Calibri" w:hAnsi="Verdana" w:cs="Arial"/>
          <w:lang w:val="es-ES" w:eastAsia="es-ES"/>
        </w:rPr>
        <w:t xml:space="preserve">la Agencia Nacional de Contratación Pública – Colombia Compra Eficiente– responde su solicitud de consulta de fecha 10 de julio de 2026, en la cual manifiesta lo siguiente: </w:t>
      </w:r>
    </w:p>
    <w:p w14:paraId="65C30E8F" w14:textId="77777777" w:rsidR="007871E6" w:rsidRPr="006A0794" w:rsidRDefault="007871E6" w:rsidP="003248CC">
      <w:pPr>
        <w:spacing w:after="0" w:line="276" w:lineRule="auto"/>
        <w:ind w:right="709"/>
        <w:jc w:val="both"/>
        <w:rPr>
          <w:rFonts w:ascii="Verdana" w:eastAsia="Century Gothic" w:hAnsi="Verdana" w:cs="Century Gothic"/>
          <w:i/>
          <w:iCs/>
          <w:sz w:val="20"/>
          <w:szCs w:val="20"/>
          <w:lang w:val="es-ES"/>
        </w:rPr>
      </w:pPr>
    </w:p>
    <w:p w14:paraId="07127BC3" w14:textId="77777777" w:rsidR="007871E6" w:rsidRPr="00755595" w:rsidRDefault="00966744" w:rsidP="00755595">
      <w:pPr>
        <w:spacing w:after="0" w:line="240" w:lineRule="auto"/>
        <w:ind w:left="709" w:right="709"/>
        <w:jc w:val="both"/>
        <w:rPr>
          <w:rFonts w:ascii="Verdana" w:eastAsia="Century Gothic" w:hAnsi="Verdana" w:cs="Century Gothic"/>
          <w:sz w:val="20"/>
          <w:szCs w:val="20"/>
        </w:rPr>
      </w:pPr>
      <w:r>
        <w:rPr>
          <w:rFonts w:ascii="Verdana" w:eastAsia="Century Gothic" w:hAnsi="Verdana" w:cs="Century Gothic"/>
          <w:sz w:val="20"/>
          <w:szCs w:val="20"/>
        </w:rPr>
        <w:t>…</w:t>
      </w:r>
      <w:r>
        <w:rPr>
          <w:rFonts w:ascii="Roboto" w:hAnsi="Roboto"/>
          <w:color w:val="888888"/>
          <w:sz w:val="23"/>
          <w:szCs w:val="23"/>
          <w:shd w:val="clear" w:color="auto" w:fill="FAFAFA"/>
        </w:rPr>
        <w:t xml:space="preserve"> </w:t>
      </w:r>
      <w:r>
        <w:rPr>
          <w:rFonts w:ascii="Verdana" w:eastAsia="Century Gothic" w:hAnsi="Verdana" w:cs="Century Gothic"/>
          <w:sz w:val="20"/>
          <w:szCs w:val="20"/>
        </w:rPr>
        <w:t xml:space="preserve">El Estatuto de Contratación Estatal permite la celebración de los contratos estatales entre entidades públicas y Uniones Temporales. En ese orden de ideas, si las empresas de naturaleza privada que conforman la unión temporal suscriben un documento privado de cesión de derechos económicos sin que este sea firmado por quien ostenta la representación legal de la Unión Temporal, procede ante la entidad contratante la cesión de los derechos económicos?. </w:t>
      </w:r>
    </w:p>
    <w:p w14:paraId="6B22AC52" w14:textId="77777777" w:rsidR="007871E6" w:rsidRPr="003248CC" w:rsidRDefault="007871E6" w:rsidP="003248CC">
      <w:pPr>
        <w:spacing w:before="120" w:after="120" w:line="276" w:lineRule="auto"/>
        <w:ind w:left="709" w:right="709"/>
        <w:contextualSpacing/>
        <w:rPr>
          <w:rFonts w:ascii="Verdana" w:eastAsia="Century Gothic" w:hAnsi="Verdana" w:cs="Century Gothic"/>
          <w:lang w:val="es-ES"/>
        </w:rPr>
      </w:pPr>
    </w:p>
    <w:p w14:paraId="2C39C6BE" w14:textId="77777777" w:rsidR="007871E6" w:rsidRPr="00206556" w:rsidRDefault="007871E6" w:rsidP="005B1993">
      <w:pPr>
        <w:spacing w:after="120" w:line="276" w:lineRule="auto"/>
        <w:ind w:firstLine="708"/>
        <w:jc w:val="both"/>
        <w:rPr>
          <w:rFonts w:ascii="Verdana" w:eastAsia="Calibri" w:hAnsi="Verdana" w:cs="Arial"/>
          <w:lang w:val="es-ES" w:eastAsia="es-ES"/>
        </w:rPr>
      </w:pPr>
      <w:r>
        <w:rPr>
          <w:rFonts w:ascii="Verdana" w:eastAsia="Calibri" w:hAnsi="Verdana" w:cs="Arial"/>
          <w:lang w:val="es-ES" w:eastAsia="es-ES"/>
        </w:rPr>
        <w:lastRenderedPageBreak/>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la Agencia Nacional de Contratación Pública -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al </w:t>
      </w:r>
      <w:r>
        <w:rPr>
          <w:rFonts w:ascii="Verdana" w:hAnsi="Verdana"/>
        </w:rPr>
        <w:t>Estatuto General de Contratación Pública</w:t>
      </w:r>
      <w:r>
        <w:rPr>
          <w:rFonts w:ascii="Verdana" w:eastAsia="Calibri" w:hAnsi="Verdana" w:cs="Arial"/>
          <w:lang w:val="es-ES" w:eastAsia="es-ES"/>
        </w:rPr>
        <w:t xml:space="preserve"> o de los demás participantes de la contratación pública. Esta competencia de interpretación de normas generales, por definición, no puede extenderse a la resolución de controversias, ni a brindar asesorías sobre casos puntuales.  </w:t>
      </w:r>
      <w:r>
        <w:rPr>
          <w:rFonts w:ascii="Verdana" w:hAnsi="Verdana"/>
          <w:lang w:val="es-ES"/>
        </w:rPr>
        <w:tab/>
      </w:r>
    </w:p>
    <w:p w14:paraId="3F8A31BA" w14:textId="77777777" w:rsidR="007871E6" w:rsidRPr="00206556" w:rsidRDefault="007871E6" w:rsidP="005B1993">
      <w:pPr>
        <w:spacing w:after="0" w:line="276" w:lineRule="auto"/>
        <w:ind w:firstLine="709"/>
        <w:jc w:val="both"/>
        <w:rPr>
          <w:rFonts w:ascii="Verdana" w:eastAsia="Calibri" w:hAnsi="Verdana" w:cs="Arial"/>
          <w:lang w:val="es-ES" w:eastAsia="es-ES"/>
        </w:rPr>
      </w:pPr>
      <w:r>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33A28A15" w14:textId="77777777" w:rsidR="007871E6" w:rsidRPr="00206556" w:rsidRDefault="007871E6" w:rsidP="005B1993">
      <w:pPr>
        <w:spacing w:after="0" w:line="276" w:lineRule="auto"/>
        <w:ind w:firstLine="709"/>
        <w:jc w:val="both"/>
        <w:rPr>
          <w:rFonts w:ascii="Verdana" w:eastAsia="Calibri" w:hAnsi="Verdana" w:cs="Arial"/>
          <w:lang w:val="es-ES" w:eastAsia="es-ES"/>
        </w:rPr>
      </w:pPr>
    </w:p>
    <w:p w14:paraId="7D98157A" w14:textId="77777777" w:rsidR="007871E6" w:rsidRPr="00206556" w:rsidRDefault="007871E6" w:rsidP="003248CC">
      <w:pPr>
        <w:tabs>
          <w:tab w:val="left" w:pos="142"/>
          <w:tab w:val="left" w:pos="284"/>
        </w:tabs>
        <w:spacing w:after="0" w:line="276" w:lineRule="auto"/>
        <w:jc w:val="both"/>
        <w:rPr>
          <w:rFonts w:ascii="Verdana" w:eastAsia="Century Gothic" w:hAnsi="Verdana" w:cs="Century Gothic"/>
          <w:b/>
          <w:lang w:val="es-ES"/>
        </w:rPr>
      </w:pPr>
      <w:r>
        <w:rPr>
          <w:rFonts w:ascii="Verdana" w:eastAsia="Century Gothic" w:hAnsi="Verdana" w:cs="Century Gothic"/>
          <w:b/>
          <w:lang w:val="es-ES"/>
        </w:rPr>
        <w:t>1. Problema planteado:</w:t>
      </w:r>
    </w:p>
    <w:p w14:paraId="4E7CDEF5" w14:textId="77777777" w:rsidR="007871E6" w:rsidRPr="00206556" w:rsidRDefault="007871E6" w:rsidP="005B1993">
      <w:pPr>
        <w:tabs>
          <w:tab w:val="left" w:pos="426"/>
        </w:tabs>
        <w:spacing w:after="0" w:line="276" w:lineRule="auto"/>
        <w:jc w:val="both"/>
        <w:rPr>
          <w:rFonts w:ascii="Verdana" w:eastAsia="Century Gothic" w:hAnsi="Verdana" w:cs="Century Gothic"/>
          <w:color w:val="ED7D31" w:themeColor="accent2"/>
          <w:lang w:val="es-ES"/>
        </w:rPr>
      </w:pPr>
    </w:p>
    <w:p w14:paraId="27823DBD" w14:textId="77777777" w:rsidR="007871E6" w:rsidRPr="007741C2" w:rsidRDefault="007871E6" w:rsidP="007741C2">
      <w:pPr>
        <w:spacing w:after="0" w:line="276" w:lineRule="auto"/>
        <w:jc w:val="both"/>
        <w:rPr>
          <w:rFonts w:ascii="Verdana" w:eastAsia="Century Gothic" w:hAnsi="Verdana" w:cs="Century Gothic"/>
          <w:lang w:val="es-ES"/>
        </w:rPr>
      </w:pPr>
      <w:r>
        <w:rPr>
          <w:rFonts w:ascii="Verdana" w:eastAsia="Century Gothic" w:hAnsi="Verdana" w:cs="Century Gothic"/>
          <w:lang w:val="es-ES"/>
        </w:rPr>
        <w:t xml:space="preserve">De acuerdo con el contenido de su solicitud, esta Agencia resolverá el siguiente problema jurídico </w:t>
      </w:r>
      <w:r>
        <w:rPr>
          <w:rFonts w:ascii="Verdana" w:eastAsia="Century Gothic" w:hAnsi="Verdana" w:cs="Century Gothic"/>
        </w:rPr>
        <w:t>¿Es oponible a la entidad contratante la cesión de derechos económicos de una unión temporal cuando el documento de cesión es suscrito por sus integrantes, pero no por su representante legal?</w:t>
      </w:r>
    </w:p>
    <w:p w14:paraId="4A87423E" w14:textId="77777777" w:rsidR="007871E6" w:rsidRPr="00206556" w:rsidRDefault="007871E6" w:rsidP="005B1993">
      <w:pPr>
        <w:spacing w:after="0" w:line="276" w:lineRule="auto"/>
        <w:jc w:val="both"/>
        <w:rPr>
          <w:rFonts w:ascii="Verdana" w:eastAsia="Century Gothic" w:hAnsi="Verdana" w:cs="Century Gothic"/>
          <w:color w:val="ED7D31" w:themeColor="accent2"/>
        </w:rPr>
      </w:pPr>
    </w:p>
    <w:p w14:paraId="42052269" w14:textId="77777777" w:rsidR="007871E6" w:rsidRDefault="007871E6">
      <w:pPr>
        <w:tabs>
          <w:tab w:val="left" w:pos="142"/>
          <w:tab w:val="left" w:pos="284"/>
        </w:tabs>
        <w:spacing w:after="0" w:line="276" w:lineRule="auto"/>
        <w:jc w:val="both"/>
        <w:rPr>
          <w:rFonts w:ascii="Verdana" w:eastAsia="Century Gothic" w:hAnsi="Verdana" w:cs="Century Gothic"/>
          <w:b/>
          <w:lang w:val="es-ES"/>
        </w:rPr>
      </w:pPr>
      <w:r>
        <w:rPr>
          <w:rFonts w:ascii="Verdana" w:eastAsia="Century Gothic" w:hAnsi="Verdana" w:cs="Century Gothic"/>
          <w:b/>
          <w:lang w:val="es-ES"/>
        </w:rPr>
        <w:t>2. Respuesta:</w:t>
      </w:r>
    </w:p>
    <w:p w14:paraId="5A05E079" w14:textId="77777777" w:rsidR="005B1993" w:rsidRPr="00A4789E" w:rsidRDefault="005B1993">
      <w:pPr>
        <w:tabs>
          <w:tab w:val="left" w:pos="142"/>
          <w:tab w:val="left" w:pos="284"/>
        </w:tabs>
        <w:spacing w:after="0" w:line="276" w:lineRule="auto"/>
        <w:jc w:val="both"/>
        <w:rPr>
          <w:rFonts w:ascii="Verdana" w:eastAsia="Century Gothic" w:hAnsi="Verdana" w:cs="Century Gothic"/>
          <w:b/>
          <w:lang w:val="es-ES"/>
        </w:rPr>
      </w:pPr>
    </w:p>
    <w:p w14:paraId="2E8162FE" w14:textId="77777777" w:rsidR="00755595" w:rsidRPr="005644FE" w:rsidRDefault="00755595" w:rsidP="00755595">
      <w:pPr>
        <w:spacing w:after="0" w:line="276" w:lineRule="auto"/>
        <w:jc w:val="both"/>
        <w:rPr>
          <w:rFonts w:ascii="Verdana" w:eastAsia="Century Gothic" w:hAnsi="Verdana" w:cs="Century Gothic"/>
          <w:b/>
          <w:bCs/>
        </w:rPr>
      </w:pPr>
    </w:p>
    <w:tbl>
      <w:tblPr>
        <w:tblStyle w:val="Tablaconcuadrcula"/>
        <w:tblW w:w="0" w:type="auto"/>
        <w:tblLook w:val="04A0" w:firstRow="1" w:lastRow="0" w:firstColumn="1" w:lastColumn="0" w:noHBand="0" w:noVBand="1"/>
      </w:tblPr>
      <w:tblGrid>
        <w:gridCol w:w="8828"/>
      </w:tblGrid>
      <w:tr w:rsidR="00755595" w:rsidRPr="005644FE" w14:paraId="4188D7E2" w14:textId="77777777" w:rsidTr="001B1188">
        <w:tc>
          <w:tcPr>
            <w:tcW w:w="8828" w:type="dxa"/>
          </w:tcPr>
          <w:p w14:paraId="34BF665E" w14:textId="77777777" w:rsidR="00357EB3" w:rsidRDefault="00000000">
            <w:pPr>
              <w:spacing w:after="120" w:line="276" w:lineRule="auto"/>
              <w:ind w:firstLine="709"/>
              <w:jc w:val="both"/>
              <w:rPr>
                <w:rFonts w:ascii="Verdana" w:eastAsia="Arial" w:hAnsi="Verdana" w:cs="Arial"/>
              </w:rPr>
            </w:pPr>
            <w:r>
              <w:rPr>
                <w:rFonts w:ascii="Verdana" w:eastAsia="Arial" w:hAnsi="Verdana" w:cs="Arial"/>
              </w:rPr>
              <w:t xml:space="preserve">En atención al problema jurídico planteado, debe señalarse que los consorcios y las uniones temporales no son personas jurídicas: su capacidad, reconocida por el artículo 6 de la Ley 80 de 1993, se limita al campo de la contratación estatal de las entidades sometidas al Estatuto General de Contratación de la Administración Pública, esto es, a la presentación conjunta de una misma propuesta y a la adjudicación, celebración y ejecución del contrato estatal, en los términos de los numerales 6 y 7 del artículo 7 de la </w:t>
            </w:r>
            <w:r>
              <w:rPr>
                <w:rFonts w:ascii="Verdana" w:eastAsia="Arial" w:hAnsi="Verdana" w:cs="Arial"/>
              </w:rPr>
              <w:lastRenderedPageBreak/>
              <w:t>Ley 80 de 1993. Esa habilitación no se extiende a negocios jurídicos como los contratos de fiducia, las cesiones de crédito, las cesiones de contrato o los subcontratos: en estos casos, la celebración no corresponde a la estructura plural, sino a todos sus integrantes de forma conjunta, pues fuera de las actividades descritas en el EGCAP son los participantes –no la estructura plural– los que tienen personería y capacidad para actuar.</w:t>
            </w:r>
          </w:p>
          <w:p w14:paraId="2DC6F18D" w14:textId="77777777" w:rsidR="00357EB3" w:rsidRDefault="00000000">
            <w:pPr>
              <w:spacing w:after="120" w:line="276" w:lineRule="auto"/>
              <w:ind w:firstLine="709"/>
              <w:jc w:val="both"/>
              <w:rPr>
                <w:rFonts w:ascii="Verdana" w:eastAsia="Arial" w:hAnsi="Verdana" w:cs="Arial"/>
              </w:rPr>
            </w:pPr>
            <w:r>
              <w:rPr>
                <w:rFonts w:ascii="Verdana" w:eastAsia="Arial" w:hAnsi="Verdana" w:cs="Arial"/>
              </w:rPr>
              <w:t>En consecuencia, la cesión de los derechos económicos derivados de un contrato estatal celebrado con una unión temporal es una cesión de crédito cuya celebración corresponde a los integrantes de la estructura plural –titulares del derecho conforme a su participación– y no al representante de la unión temporal en cuanto tal, cuya designación, prevista en el parágrafo 1 del artículo 7 de la Ley 80 de 1993, lo habilita para representar a la estructura en la relación derivada de la propuesta y del contrato estatal, sin que dicha habilitación se extienda a la disposición de los derechos patrimoniales de sus miembros. Por tanto, el hecho de que el documento privado de cesión sea suscrito por las empresas integrantes de la unión temporal y no por su representante no determina, por sí solo, la inoponibilidad de la cesión: lo determinante es que concurra la voluntad de todos los integrantes titulares del crédito cedido y que se cumplan los requisitos de eficacia de la cesión frente al deudor.</w:t>
            </w:r>
          </w:p>
          <w:p w14:paraId="442D7A0D" w14:textId="77777777" w:rsidR="00357EB3" w:rsidRDefault="00000000">
            <w:pPr>
              <w:spacing w:after="120" w:line="276" w:lineRule="auto"/>
              <w:ind w:firstLine="709"/>
              <w:jc w:val="both"/>
              <w:rPr>
                <w:rFonts w:ascii="Verdana" w:eastAsia="Arial" w:hAnsi="Verdana" w:cs="Arial"/>
              </w:rPr>
            </w:pPr>
            <w:r>
              <w:rPr>
                <w:rFonts w:ascii="Verdana" w:eastAsia="Arial" w:hAnsi="Verdana" w:cs="Arial"/>
              </w:rPr>
              <w:t>En efecto, la oponibilidad de la cesión de créditos frente a la entidad estatal deudora se rige por los artículos 1959 a 1966 del Código Civil: la cesión se perfecciona entre cedente y cesionario con la entrega del título –o del documento creado para el efecto, con la anotación del traspaso, la designación del cesionario y la firma del cedente– y produce efectos contra el deudor y terceros desde que es notificada por el cesionario al deudor o aceptada por este. La entidad estatal no integra el negocio de cesión ni se requiere su consentimiento para la existencia, validez o eficacia de este; su participación se limita a la notificación o aceptación, a partir de la cual el pago solo puede hacerse válidamente al cesionario. A diferencia de la cesión del contrato estatal –que exige autorización previa y escrita de la entidad conforme al artículo 41, inciso tercero, de la Ley 80 de 1993–, la cesión de los derechos económicos no modifica la parte contratista ni el contenido de las obligaciones.</w:t>
            </w:r>
          </w:p>
          <w:p w14:paraId="1FB017AC" w14:textId="77777777" w:rsidR="00357EB3" w:rsidRDefault="00000000">
            <w:pPr>
              <w:spacing w:after="120" w:line="276" w:lineRule="auto"/>
              <w:ind w:firstLine="709"/>
              <w:jc w:val="both"/>
              <w:rPr>
                <w:rFonts w:ascii="Verdana" w:eastAsia="Arial" w:hAnsi="Verdana" w:cs="Arial"/>
              </w:rPr>
            </w:pPr>
            <w:r>
              <w:rPr>
                <w:rFonts w:ascii="Verdana" w:eastAsia="Arial" w:hAnsi="Verdana" w:cs="Arial"/>
              </w:rPr>
              <w:t xml:space="preserve">En todo caso, recibida la notificación o solicitada la aceptación, corresponde a la entidad verificar que quienes suscriben el documento de </w:t>
            </w:r>
            <w:r>
              <w:rPr>
                <w:rFonts w:ascii="Verdana" w:eastAsia="Arial" w:hAnsi="Verdana" w:cs="Arial"/>
              </w:rPr>
              <w:lastRenderedPageBreak/>
              <w:t>cesión sean efectivamente los titulares del crédito –esto es, la totalidad de los integrantes de la unión temporal o los titulares de la porción cedida, conforme a su participación y a las reglas del acuerdo de conformación–, así como observar las estipulaciones del contrato estatal. La aceptación, en caso de optarse por esta vía, debe constar por escrito, en atención a la solemnidad propia de la contratación estatal y al principio de publicidad, y corresponde a cada entidad determinar, conforme a su procedimiento interno, la forma de formalizarla, sin que sea atribución de Colombia Compra Eficiente validar sus actuaciones.</w:t>
            </w:r>
          </w:p>
        </w:tc>
      </w:tr>
    </w:tbl>
    <w:p w14:paraId="39CECDFF" w14:textId="77777777" w:rsidR="00755595" w:rsidRDefault="00755595" w:rsidP="00755595">
      <w:pPr>
        <w:tabs>
          <w:tab w:val="left" w:pos="142"/>
          <w:tab w:val="left" w:pos="284"/>
        </w:tabs>
        <w:spacing w:after="0" w:line="276" w:lineRule="auto"/>
        <w:jc w:val="both"/>
        <w:rPr>
          <w:rFonts w:ascii="Verdana" w:eastAsia="Century Gothic" w:hAnsi="Verdana" w:cs="Century Gothic"/>
          <w:b/>
          <w:bCs/>
        </w:rPr>
      </w:pPr>
    </w:p>
    <w:p w14:paraId="4DC181C2" w14:textId="77777777" w:rsidR="00755595" w:rsidRPr="005644FE" w:rsidRDefault="00755595" w:rsidP="00755595">
      <w:pPr>
        <w:tabs>
          <w:tab w:val="left" w:pos="142"/>
          <w:tab w:val="left" w:pos="284"/>
        </w:tabs>
        <w:spacing w:after="0" w:line="276" w:lineRule="auto"/>
        <w:jc w:val="both"/>
        <w:rPr>
          <w:rFonts w:ascii="Verdana" w:eastAsia="Century Gothic" w:hAnsi="Verdana" w:cs="Century Gothic"/>
          <w:b/>
          <w:bCs/>
        </w:rPr>
      </w:pPr>
      <w:r>
        <w:rPr>
          <w:rFonts w:ascii="Verdana" w:eastAsia="Century Gothic" w:hAnsi="Verdana" w:cs="Century Gothic"/>
          <w:b/>
          <w:bCs/>
        </w:rPr>
        <w:t>3. Razones de la respuesta:</w:t>
      </w:r>
    </w:p>
    <w:p w14:paraId="139BCC51" w14:textId="77777777" w:rsidR="00755595" w:rsidRPr="005644FE" w:rsidRDefault="00755595" w:rsidP="00755595">
      <w:pPr>
        <w:pStyle w:val="Prrafodelista"/>
        <w:tabs>
          <w:tab w:val="left" w:pos="142"/>
          <w:tab w:val="left" w:pos="284"/>
        </w:tabs>
        <w:spacing w:after="0" w:line="240" w:lineRule="auto"/>
        <w:ind w:left="0"/>
        <w:contextualSpacing w:val="0"/>
        <w:jc w:val="both"/>
        <w:rPr>
          <w:rFonts w:ascii="Verdana" w:eastAsia="Calibri" w:hAnsi="Verdana" w:cs="Arial"/>
        </w:rPr>
      </w:pPr>
    </w:p>
    <w:p w14:paraId="5AF9F4EC" w14:textId="77777777" w:rsidR="00755595" w:rsidRDefault="00755595" w:rsidP="00755595">
      <w:pPr>
        <w:tabs>
          <w:tab w:val="left" w:pos="142"/>
          <w:tab w:val="left" w:pos="284"/>
          <w:tab w:val="left" w:pos="6975"/>
        </w:tabs>
        <w:spacing w:after="0" w:line="276" w:lineRule="auto"/>
        <w:jc w:val="both"/>
        <w:rPr>
          <w:rFonts w:ascii="Verdana" w:eastAsia="Calibri" w:hAnsi="Verdana" w:cs="Arial"/>
        </w:rPr>
      </w:pPr>
      <w:r>
        <w:rPr>
          <w:rFonts w:ascii="Verdana" w:eastAsia="Calibri" w:hAnsi="Verdana" w:cs="Arial"/>
        </w:rPr>
        <w:t>Lo anterior se sustenta en las siguientes consideraciones:</w:t>
      </w:r>
    </w:p>
    <w:p w14:paraId="4235F619" w14:textId="77777777" w:rsidR="00755595" w:rsidRDefault="00755595" w:rsidP="00755595">
      <w:pPr>
        <w:tabs>
          <w:tab w:val="left" w:pos="142"/>
          <w:tab w:val="left" w:pos="284"/>
          <w:tab w:val="left" w:pos="6975"/>
        </w:tabs>
        <w:spacing w:after="0" w:line="240" w:lineRule="auto"/>
        <w:jc w:val="both"/>
        <w:rPr>
          <w:rFonts w:ascii="Verdana" w:eastAsia="Calibri" w:hAnsi="Verdana" w:cs="Arial"/>
        </w:rPr>
      </w:pPr>
    </w:p>
    <w:p w14:paraId="2B2EFA4B" w14:textId="77777777" w:rsidR="00357EB3" w:rsidRDefault="00000000">
      <w:pPr>
        <w:pStyle w:val="Textoindependiente"/>
        <w:ind w:firstLine="709"/>
        <w:jc w:val="both"/>
        <w:rPr>
          <w:rFonts w:ascii="Verdana" w:hAnsi="Verdana"/>
        </w:rPr>
      </w:pPr>
      <w:r>
        <w:rPr>
          <w:rFonts w:ascii="Verdana" w:hAnsi="Verdana"/>
        </w:rPr>
        <w:t>Para resolver el problema jurídico planteado, esta Agencia considera necesario examinar, en primer lugar, la naturaleza y la capacidad jurídica de los consorcios y las uniones temporales y, con fundamento en ello, el régimen de la cesión de los derechos económicos derivados del contrato estatal y las condiciones de su oponibilidad a la entidad contratante.</w:t>
      </w:r>
    </w:p>
    <w:p w14:paraId="4444E796" w14:textId="77777777" w:rsidR="00357EB3" w:rsidRDefault="00000000">
      <w:pPr>
        <w:pStyle w:val="Textoindependiente"/>
        <w:ind w:firstLine="709"/>
        <w:jc w:val="both"/>
        <w:rPr>
          <w:rFonts w:ascii="Verdana" w:hAnsi="Verdana"/>
        </w:rPr>
      </w:pPr>
      <w:r>
        <w:rPr>
          <w:rFonts w:ascii="Verdana" w:hAnsi="Verdana"/>
        </w:rPr>
        <w:t>i) Si bien las personas pueden presentarse individualmente a los procesos de selección, también pueden hacerlo en forma plural a través de consorcios o uniones temporales. De acuerdo con el Código Civil, la capacidad se refiere a la facultad que la ley le confiere a la persona para ejercer derechos y contraer obligaciones. Esta norma parte del supuesto de que todas las personas naturales mayores de edad son capaces, con excepción de aquellas que la ley expresamente excluye de esta presunción –artículos 1502, 1503 y 1504–, y de que la capacidad de las personas jurídicas se circunscribe a su objeto social –artículo 99 del Código de Comercio–. Al respecto, el artículo 6 de la Ley 80 de 1993 –modificado por el artículo 1 de la Ley 2160 de 2021– dispone que: “Pueden celebrar contratos con las entidades estatales las personas consideradas legalmente capaces en las disposiciones vigentes. También podrán celebrar contratos con las entidades estatales […] los consorcios y uniones temporales”.</w:t>
      </w:r>
    </w:p>
    <w:p w14:paraId="22754541" w14:textId="77777777" w:rsidR="00357EB3" w:rsidRDefault="00000000">
      <w:pPr>
        <w:pStyle w:val="Textoindependiente"/>
        <w:ind w:firstLine="709"/>
        <w:jc w:val="both"/>
        <w:rPr>
          <w:rFonts w:ascii="Verdana" w:hAnsi="Verdana"/>
        </w:rPr>
      </w:pPr>
      <w:r>
        <w:rPr>
          <w:rFonts w:ascii="Verdana" w:hAnsi="Verdana"/>
        </w:rPr>
        <w:t xml:space="preserve">La capacidad para contratar, e incluso la de realizar actos jurídicamente vinculantes como la presentación de una oferta en un procedimiento de selección </w:t>
      </w:r>
      <w:r>
        <w:rPr>
          <w:rFonts w:ascii="Verdana" w:hAnsi="Verdana"/>
        </w:rPr>
        <w:lastRenderedPageBreak/>
        <w:t>de contratistas, se consideró por mucho tiempo uno de los atributos de la personalidad reservado, en tanto tal, a las personas jurídicas y naturales. No obstante, el progreso en las formas negociales y asociativas hizo necesario reconocer nuevas estructuras plurales y otorgarles ciertos atributos que tradicionalmente habían estado reservados a las personas jurídicas. Tal es precisamente el caso de la capacidad para contratar otorgada a los consorcios y uniones temporales. En este sentido, la Corte Constitucional ha sostenido:</w:t>
      </w:r>
    </w:p>
    <w:p w14:paraId="07EE8756" w14:textId="77777777" w:rsidR="00357EB3" w:rsidRDefault="00000000">
      <w:pPr>
        <w:pStyle w:val="Textoindependiente"/>
        <w:spacing w:line="240" w:lineRule="auto"/>
        <w:ind w:left="709" w:right="709"/>
        <w:jc w:val="both"/>
        <w:rPr>
          <w:rFonts w:ascii="Verdana" w:hAnsi="Verdana"/>
          <w:sz w:val="20"/>
          <w:szCs w:val="20"/>
        </w:rPr>
      </w:pPr>
      <w:r>
        <w:rPr>
          <w:rFonts w:ascii="Verdana" w:hAnsi="Verdana"/>
          <w:sz w:val="20"/>
          <w:szCs w:val="20"/>
        </w:rPr>
        <w:t>“Respecto de la capacidad legal para contratar y la personalidad jurídica señala, que la Ley 80 de 1993 al crear las figuras de los consorcios y uniones temporales, y construirlas como sujetos de la contratación administrativa, reconoce una realidad del mundo negocial: la necesidad de los contratos de colaboración económica para la efectiva realización de proyectos de contratación pública, altamente especializados e intensivos en capital y, así mismo, indispensables para que el Estado Social de Derecho, cumpla los cometidos para los cuales fue instituido […] En torno a la capacidad contractual de los consorcios y uniones temporales la jurisprudencia constitucional ha expresado que el Estatuto de contratación les reconoce este atributo sin exigirles como condición de su ejercicio la de ser personas morales. También ha dicho que el consorcio es un convenio de asociación, o mejor, un sistema de mediación que permite a sus miembros organizarse mancomunadamente para la celebración y ejecución de un contrato con el Estado, sin que por ello pierdan su individualidad jurídica, pero asumiendo un grado de responsabilidad solidaria en el cumplimiento de las obligaciones contractuales”</w:t>
      </w:r>
      <w:r>
        <w:rPr>
          <w:rFonts w:ascii="Verdana" w:hAnsi="Verdana"/>
          <w:sz w:val="20"/>
          <w:szCs w:val="20"/>
        </w:rPr>
        <w:footnoteReference w:id="2"/>
      </w:r>
      <w:r>
        <w:rPr>
          <w:rFonts w:ascii="Verdana" w:hAnsi="Verdana"/>
          <w:sz w:val="20"/>
          <w:szCs w:val="20"/>
        </w:rPr>
        <w:t>.</w:t>
      </w:r>
    </w:p>
    <w:p w14:paraId="64CAB4F9" w14:textId="77777777" w:rsidR="00357EB3" w:rsidRDefault="00000000">
      <w:pPr>
        <w:pStyle w:val="Textoindependiente"/>
        <w:ind w:firstLine="709"/>
        <w:jc w:val="both"/>
        <w:rPr>
          <w:rFonts w:ascii="Verdana" w:hAnsi="Verdana"/>
        </w:rPr>
      </w:pPr>
      <w:r>
        <w:rPr>
          <w:rFonts w:ascii="Verdana" w:hAnsi="Verdana"/>
        </w:rPr>
        <w:t>Debido a que los consorcios y las uniones temporales no son personas jurídicas, su creación depende de un acuerdo en el que concurre la voluntad de sus integrantes para regular su objeto, la participación de los miembros, las obligaciones frente al proyecto, su responsabilidad, la forma en que regirán sus relaciones internas y el relacionamiento con la entidad contratante, mediante la designación de un representante, de conformidad con el parágrafo 1 del artículo 7 de la Ley 80 de 1993, norma según la cual los miembros del consorcio y de la unión temporal “deberán designar la persona que, para todos los efectos, representará al consorcio o unión temporal y señalarán las reglas básicas que regulen las relaciones entre ellos y su responsabilidad”.</w:t>
      </w:r>
    </w:p>
    <w:p w14:paraId="4F8DA047" w14:textId="77777777" w:rsidR="00357EB3" w:rsidRDefault="00000000">
      <w:pPr>
        <w:pStyle w:val="Textoindependiente"/>
        <w:ind w:firstLine="709"/>
        <w:jc w:val="both"/>
        <w:rPr>
          <w:rFonts w:ascii="Verdana" w:hAnsi="Verdana"/>
        </w:rPr>
      </w:pPr>
      <w:r>
        <w:rPr>
          <w:rFonts w:ascii="Verdana" w:hAnsi="Verdana"/>
        </w:rPr>
        <w:t xml:space="preserve">Como se observa, el artículo 7 de la Ley 80 de 1993 señala que el consorcio o la unión temporal se da “Cuando dos o más personas en forma </w:t>
      </w:r>
      <w:r>
        <w:rPr>
          <w:rFonts w:ascii="Verdana" w:hAnsi="Verdana"/>
        </w:rPr>
        <w:lastRenderedPageBreak/>
        <w:t>conjunta presentan una misma propuesta para la adjudicación, celebración y ejecución de un contrato […]”. Desde esta perspectiva, su capacidad para participar en la adjudicación, celebración y ejecución de los contratos estatales depende de que los integrantes de la estructura plural adopten la decisión conjunta de presentar una misma propuesta al proceso de selección. Como existe una relación de medio – fin, sin la entrega de la oferta no surge la habilitación legal para todo lo demás. De esta manera, los consorcios o uniones temporales son convenios de asociación provenientes de la colaboración empresarial, mediante los cuales sus integrantes se unen y se organizan mancomunadamente para lograr con mayor eficacia un fin común de contenido patrimonial y lucrativo, como lo es la obtención del derecho a ser adjudicatarios de un contrato estatal, compartiendo recursos, de toda índole, para su ejecución, así como las utilidades y los riesgos.</w:t>
      </w:r>
    </w:p>
    <w:p w14:paraId="074AAC3F" w14:textId="77777777" w:rsidR="00357EB3" w:rsidRDefault="00000000">
      <w:pPr>
        <w:pStyle w:val="Textoindependiente"/>
        <w:ind w:firstLine="709"/>
        <w:jc w:val="both"/>
        <w:rPr>
          <w:rFonts w:ascii="Verdana" w:hAnsi="Verdana"/>
        </w:rPr>
      </w:pPr>
      <w:r>
        <w:rPr>
          <w:rFonts w:ascii="Verdana" w:hAnsi="Verdana"/>
        </w:rPr>
        <w:t>En conclusión, la capacidad jurídica de los proponentes plurales se limita al campo de la contratación estatal de las entidades sometidas al EGCAP, es decir, a las relaciones en consorcios y las uniones temporales con las entidades estatales del artículo 2 de la Ley 80 de 1993. Esta precisión es importante, porque la habilitación de los numerales 6 y 7 del artículo 7 de la Ley 80 de 1993 se restringe a las actividades allí dispuestas sin que se extienda, por ejemplo, a la celebración de contratos de fiducia, cesiones de crédito, cesiones de contrato o subcontratos. En estos casos, la celebración de dichos negocios jurídicos no corresponde a la estructura plural, sino a todos sus integrantes de forma conjunta. Es decir, fuera de las actividades descritas en el EGCAP, son los participantes –no la estructura plural– los que tienen personería y capacidad para actuar.</w:t>
      </w:r>
    </w:p>
    <w:p w14:paraId="56BEA84E" w14:textId="77777777" w:rsidR="00357EB3" w:rsidRDefault="00000000">
      <w:pPr>
        <w:pStyle w:val="Textoindependiente"/>
        <w:ind w:firstLine="709"/>
        <w:jc w:val="both"/>
        <w:rPr>
          <w:rFonts w:ascii="Verdana" w:hAnsi="Verdana"/>
        </w:rPr>
      </w:pPr>
      <w:r>
        <w:rPr>
          <w:rFonts w:ascii="Verdana" w:hAnsi="Verdana"/>
        </w:rPr>
        <w:t xml:space="preserve">Trasladadas estas premisas al problema jurídico planteado, la cesión de los derechos económicos derivados de un contrato estatal celebrado con una unión temporal constituye una cesión de crédito que, por ser un negocio ajeno a las actividades habilitadas por los numerales 6 y 7 del artículo 7 de la Ley 80 de 1993, no corresponde celebrar a la estructura plural por conducto de su representante, sino a sus integrantes de forma conjunta, en cuanto titulares del crédito según los términos y extensión de su participación. La designación del representante lo habilita para actuar, para todos los efectos, en la relación derivada de la propuesta y del contrato estatal frente a la entidad contratante, pero esa habilitación no comprende la disposición de los derechos patrimoniales de los miembros. Por consiguiente, la suscripción del documento de cesión por </w:t>
      </w:r>
      <w:r>
        <w:rPr>
          <w:rFonts w:ascii="Verdana" w:hAnsi="Verdana"/>
        </w:rPr>
        <w:lastRenderedPageBreak/>
        <w:t>las empresas integrantes de la unión temporal –y no por su representante– corresponde, precisamente, a la celebración del negocio por quienes tienen capacidad para disponer del derecho, de modo que la ausencia de la firma del representante no determina, por sí sola, la inoponibilidad de la cesión ante la entidad contratante. Lo determinante, como se explica a continuación, es que concurra la voluntad de todos los integrantes titulares del crédito cedido, que se cumplan los requisitos de eficacia de la cesión frente al deudor previstos en la ley civil y que se observen las estipulaciones del contrato estatal y del acuerdo de conformación.</w:t>
      </w:r>
    </w:p>
    <w:p w14:paraId="6B4B93BF" w14:textId="77777777" w:rsidR="00755595" w:rsidRPr="00415608" w:rsidRDefault="00755595" w:rsidP="00240886">
      <w:pPr>
        <w:pStyle w:val="Textoindependiente"/>
        <w:ind w:firstLine="708"/>
        <w:jc w:val="both"/>
        <w:rPr>
          <w:rFonts w:ascii="Verdana" w:hAnsi="Verdana"/>
        </w:rPr>
      </w:pPr>
      <w:r>
        <w:rPr>
          <w:rFonts w:ascii="Verdana" w:eastAsia="Times New Roman" w:hAnsi="Verdana" w:cs="Times New Roman"/>
          <w:color w:val="000000" w:themeColor="text1"/>
        </w:rPr>
        <w:t xml:space="preserve">ii) Precisado lo anterior, es importante advertir que </w:t>
      </w:r>
      <w:r>
        <w:rPr>
          <w:rFonts w:ascii="Verdana" w:hAnsi="Verdana"/>
        </w:rPr>
        <w:t>el contrato estatal, como contrato bilateral y oneroso en su mayoría, genera obligaciones correlativas tanto para la entidad estatal contratante como para el contratista, que resultan equivalentes y comportan la ecuación financiera del contrato. Cuando el contratista cumple con las obligaciones de dar, hacer o no hacer, esto es, ejecuta las prestaciones a su cargo, surge para la entidad estatal la correlativa obligación de pagar la contraprestación, remuneración o precio pactado en favor del contratista. En derecho, pago es la ejecución de la prestación debida por el deudor, cualquiera que sea el objeto de ella</w:t>
      </w:r>
      <w:r>
        <w:rPr>
          <w:rStyle w:val="Refdenotaalpie"/>
          <w:rFonts w:ascii="Verdana" w:hAnsi="Verdana"/>
        </w:rPr>
        <w:footnoteReference w:id="3"/>
      </w:r>
      <w:r>
        <w:rPr>
          <w:rFonts w:ascii="Verdana" w:hAnsi="Verdana"/>
        </w:rPr>
        <w:t>.</w:t>
      </w:r>
    </w:p>
    <w:p w14:paraId="4D6FF74E" w14:textId="77777777" w:rsidR="00755595" w:rsidRPr="00415608" w:rsidRDefault="00755595" w:rsidP="00755595">
      <w:pPr>
        <w:pStyle w:val="Textoindependiente"/>
        <w:ind w:firstLine="709"/>
        <w:jc w:val="both"/>
        <w:rPr>
          <w:rFonts w:ascii="Verdana" w:hAnsi="Verdana"/>
        </w:rPr>
      </w:pPr>
      <w:r>
        <w:rPr>
          <w:rFonts w:ascii="Verdana" w:hAnsi="Verdana"/>
        </w:rPr>
        <w:t>El pago de la contraprestación a cargo de la entidad estatal, de conformidad con lo dispuesto por los artículos 1626 y siguientes del Código Civil, debe cumplirse, por regla general, en los términos de la obligación pactada, y debe hacerse al acreedor mismo o la persona que la ley o el juez autoricen a recibir por él, o a la persona diputada por el acreedor para recibir el cobro. Sólo de esa manera el pago se reputa válido, y libera al deudor del cumplimiento de su obligación</w:t>
      </w:r>
      <w:r>
        <w:rPr>
          <w:rStyle w:val="Refdenotaalpie"/>
          <w:rFonts w:ascii="Verdana" w:hAnsi="Verdana"/>
        </w:rPr>
        <w:footnoteReference w:id="4"/>
      </w:r>
      <w:r>
        <w:rPr>
          <w:rFonts w:ascii="Verdana" w:hAnsi="Verdana"/>
        </w:rPr>
        <w:t xml:space="preserve">. Sin perjuicio de lo anterior, la ley también tiene por pago válido el que se hace a persona distinta del acreedor, cuando éste lo ratifica de modo </w:t>
      </w:r>
      <w:r>
        <w:rPr>
          <w:rFonts w:ascii="Verdana" w:hAnsi="Verdana"/>
        </w:rPr>
        <w:lastRenderedPageBreak/>
        <w:t>expreso o tácito o cuando se paga a un representante o un mandatario del acreedor, siempre que lo anterior sea de conocimiento del deudor</w:t>
      </w:r>
      <w:r>
        <w:rPr>
          <w:rStyle w:val="Refdenotaalpie"/>
          <w:rFonts w:ascii="Verdana" w:hAnsi="Verdana"/>
        </w:rPr>
        <w:footnoteReference w:id="5"/>
      </w:r>
      <w:r>
        <w:rPr>
          <w:rFonts w:ascii="Verdana" w:hAnsi="Verdana"/>
        </w:rPr>
        <w:t>.</w:t>
      </w:r>
    </w:p>
    <w:p w14:paraId="5B6F3AFC" w14:textId="77777777" w:rsidR="00755595" w:rsidRPr="00A97F2A" w:rsidRDefault="00755595" w:rsidP="00755595">
      <w:pPr>
        <w:pStyle w:val="Textoindependiente"/>
        <w:ind w:firstLine="709"/>
        <w:jc w:val="both"/>
        <w:rPr>
          <w:rFonts w:ascii="Verdana" w:hAnsi="Verdana"/>
        </w:rPr>
      </w:pPr>
      <w:r>
        <w:rPr>
          <w:rFonts w:ascii="Verdana" w:hAnsi="Verdana"/>
        </w:rPr>
        <w:t>Esto permite afirmar que, por ejemplo, tratándose de un contrato celebrado entre una entidad estatal y un consorcio o unión temporal, en principio la contraprestación a cargo de la entidad debe pagarse válidamente al representante designado. Esto siempre y cuando la facultad de recibir sea conocida por la entidad contratante, ya sea porque así se dispuso en el contrato consorcial o porque el poder o mandato medie en otro instrumento de forma expresa o</w:t>
      </w:r>
      <w:r>
        <w:rPr>
          <w:rFonts w:ascii="Verdana" w:hAnsi="Verdana"/>
          <w:spacing w:val="-4"/>
        </w:rPr>
        <w:t xml:space="preserve"> </w:t>
      </w:r>
      <w:r>
        <w:rPr>
          <w:rFonts w:ascii="Verdana" w:hAnsi="Verdana"/>
        </w:rPr>
        <w:t>tácita. Sin perjuicio de lo anterior, también debe tenerse en cuenta que la obligación de pago comporta un crédito en favor del acreedor beneficiario, que constituye un derecho personal, de contenido económico, cuya definición está prevista en el artículo 666 del Código Civil de la siguiente</w:t>
      </w:r>
      <w:r>
        <w:rPr>
          <w:rFonts w:ascii="Verdana" w:hAnsi="Verdana"/>
          <w:spacing w:val="-6"/>
        </w:rPr>
        <w:t xml:space="preserve"> </w:t>
      </w:r>
      <w:r>
        <w:rPr>
          <w:rFonts w:ascii="Verdana" w:hAnsi="Verdana"/>
        </w:rPr>
        <w:t>manera:</w:t>
      </w:r>
    </w:p>
    <w:p w14:paraId="5536B29B" w14:textId="77777777" w:rsidR="00755595" w:rsidRPr="00DB2EFF" w:rsidRDefault="00755595" w:rsidP="00755595">
      <w:pPr>
        <w:pStyle w:val="Textoindependiente"/>
        <w:spacing w:after="0" w:line="240" w:lineRule="auto"/>
        <w:ind w:left="709" w:right="709"/>
        <w:jc w:val="both"/>
        <w:rPr>
          <w:rFonts w:ascii="Verdana" w:hAnsi="Verdana"/>
          <w:sz w:val="20"/>
          <w:szCs w:val="20"/>
        </w:rPr>
      </w:pPr>
      <w:r>
        <w:rPr>
          <w:rFonts w:ascii="Verdana" w:hAnsi="Verdana"/>
          <w:sz w:val="21"/>
          <w:szCs w:val="21"/>
        </w:rPr>
        <w:t>“</w:t>
      </w:r>
      <w:r>
        <w:rPr>
          <w:rFonts w:ascii="Verdana" w:hAnsi="Verdana"/>
          <w:sz w:val="20"/>
          <w:szCs w:val="20"/>
        </w:rPr>
        <w:t>Derechos personales o créditos son los que sólo pueden reclamarse de ciertas personas que, por un hecho suyo o la sola disposición de la ley, han contraído las obligaciones correlativas; como el que tiene el prestamista contra su deudor por el dinero prestado, o el hijo contra el padre por alimentos. De estos derechos nacen las acciones personales”.</w:t>
      </w:r>
    </w:p>
    <w:p w14:paraId="2E6ED514" w14:textId="77777777" w:rsidR="00755595" w:rsidRPr="00A97F2A" w:rsidRDefault="00755595" w:rsidP="00755595">
      <w:pPr>
        <w:pStyle w:val="Textoindependiente"/>
        <w:spacing w:after="0"/>
        <w:jc w:val="both"/>
        <w:rPr>
          <w:rFonts w:ascii="Verdana" w:hAnsi="Verdana"/>
        </w:rPr>
      </w:pPr>
    </w:p>
    <w:p w14:paraId="6CF121E7" w14:textId="77777777" w:rsidR="00755595" w:rsidRPr="005E27C9" w:rsidRDefault="00755595" w:rsidP="00755595">
      <w:pPr>
        <w:pStyle w:val="Textoindependiente"/>
        <w:tabs>
          <w:tab w:val="left" w:pos="8505"/>
        </w:tabs>
        <w:ind w:firstLine="709"/>
        <w:jc w:val="both"/>
        <w:rPr>
          <w:rFonts w:ascii="Verdana" w:hAnsi="Verdana"/>
        </w:rPr>
      </w:pPr>
      <w:r>
        <w:rPr>
          <w:rFonts w:ascii="Verdana" w:hAnsi="Verdana"/>
        </w:rPr>
        <w:t>El titular de un crédito, contenido o no en un documento que sirva de título, puede disponer de él por cualquier causa: venta, permuta, donación, aporte en sociedad, etc., es decir, onerosa o gratuitamente, por constituir un activo patrimonial</w:t>
      </w:r>
      <w:r>
        <w:rPr>
          <w:rStyle w:val="Refdenotaalpie"/>
          <w:rFonts w:ascii="Verdana" w:hAnsi="Verdana"/>
        </w:rPr>
        <w:footnoteReference w:id="6"/>
      </w:r>
      <w:r>
        <w:rPr>
          <w:rFonts w:ascii="Verdana" w:hAnsi="Verdana"/>
        </w:rPr>
        <w:t>. Asimismo, puede disponer de un crédito mediante la cesión; razón por la cual:</w:t>
      </w:r>
    </w:p>
    <w:p w14:paraId="79AE7940" w14:textId="77777777" w:rsidR="00755595" w:rsidRPr="00240886" w:rsidRDefault="00755595" w:rsidP="00755595">
      <w:pPr>
        <w:pStyle w:val="Textoindependiente"/>
        <w:spacing w:after="0" w:line="240" w:lineRule="auto"/>
        <w:ind w:left="709" w:right="709"/>
        <w:jc w:val="both"/>
        <w:rPr>
          <w:rFonts w:ascii="Verdana" w:hAnsi="Verdana"/>
          <w:sz w:val="20"/>
          <w:szCs w:val="20"/>
        </w:rPr>
      </w:pPr>
      <w:r w:rsidRPr="00240886">
        <w:rPr>
          <w:rFonts w:ascii="Verdana" w:hAnsi="Verdana"/>
          <w:sz w:val="20"/>
          <w:szCs w:val="20"/>
        </w:rPr>
        <w:lastRenderedPageBreak/>
        <w:t>“Consideramos que la cesión de créditos, tal como está regulada en el Código Civil, encierra un negocio jurídico participante de la causa o del título que se haga. Es decir: que si se hace a título de venta intervendrá la noción de este contrato, si se cambia; el de permuta y así sucesivamente. Mas, por imposición expresa del artículo 33 de la Ley 57 de 1887, la cesión no tendrá efecto alguno entre el que transmite el derecho, cedente, y el que se encarga de este crédito, cesionario, sino en virtud de la entrega del título contentivo del derecho personal traspasado o mediante el otorgamiento de un documento del cedente al cesionario en el evento en que no conste, en un título, ese crédito. Con la entrega se hace la</w:t>
      </w:r>
      <w:r w:rsidRPr="00240886">
        <w:rPr>
          <w:rFonts w:ascii="Verdana" w:hAnsi="Verdana"/>
          <w:spacing w:val="-4"/>
          <w:sz w:val="20"/>
          <w:szCs w:val="20"/>
        </w:rPr>
        <w:t xml:space="preserve"> </w:t>
      </w:r>
      <w:r w:rsidRPr="00240886">
        <w:rPr>
          <w:rFonts w:ascii="Verdana" w:hAnsi="Verdana"/>
          <w:sz w:val="20"/>
          <w:szCs w:val="20"/>
        </w:rPr>
        <w:t>tradición”</w:t>
      </w:r>
      <w:r w:rsidRPr="00240886">
        <w:rPr>
          <w:rStyle w:val="Refdenotaalpie"/>
          <w:rFonts w:ascii="Verdana" w:hAnsi="Verdana"/>
          <w:sz w:val="20"/>
          <w:szCs w:val="20"/>
        </w:rPr>
        <w:footnoteReference w:id="7"/>
      </w:r>
      <w:r w:rsidRPr="00240886">
        <w:rPr>
          <w:rFonts w:ascii="Verdana" w:hAnsi="Verdana"/>
          <w:sz w:val="20"/>
          <w:szCs w:val="20"/>
        </w:rPr>
        <w:t>.</w:t>
      </w:r>
      <w:bookmarkStart w:id="0" w:name="_Hlk161752048"/>
    </w:p>
    <w:p w14:paraId="356E8077" w14:textId="77777777" w:rsidR="00755595" w:rsidRPr="00240886" w:rsidRDefault="00755595" w:rsidP="00755595">
      <w:pPr>
        <w:pStyle w:val="Textoindependiente"/>
        <w:spacing w:after="0" w:line="240" w:lineRule="auto"/>
        <w:ind w:left="709" w:right="709"/>
        <w:jc w:val="both"/>
        <w:rPr>
          <w:rFonts w:ascii="Verdana" w:hAnsi="Verdana"/>
          <w:sz w:val="20"/>
          <w:szCs w:val="20"/>
        </w:rPr>
      </w:pPr>
    </w:p>
    <w:p w14:paraId="6B432494" w14:textId="77777777" w:rsidR="00755595" w:rsidRPr="00240886" w:rsidRDefault="00755595" w:rsidP="00755595">
      <w:pPr>
        <w:pStyle w:val="Textoindependiente"/>
        <w:ind w:firstLine="709"/>
        <w:jc w:val="both"/>
        <w:rPr>
          <w:rFonts w:ascii="Verdana" w:hAnsi="Verdana"/>
          <w:sz w:val="20"/>
          <w:szCs w:val="20"/>
        </w:rPr>
      </w:pPr>
      <w:r w:rsidRPr="00240886">
        <w:rPr>
          <w:rFonts w:ascii="Verdana" w:hAnsi="Verdana"/>
          <w:sz w:val="20"/>
          <w:szCs w:val="20"/>
        </w:rPr>
        <w:t>El Consejo de Estado a sostenido que la cesión de crédito:</w:t>
      </w:r>
    </w:p>
    <w:p w14:paraId="09DF2952" w14:textId="77777777" w:rsidR="00755595" w:rsidRPr="00240886" w:rsidRDefault="00755595" w:rsidP="00755595">
      <w:pPr>
        <w:pStyle w:val="Textoindependiente"/>
        <w:spacing w:after="0" w:line="240" w:lineRule="auto"/>
        <w:ind w:left="709" w:right="709"/>
        <w:jc w:val="both"/>
        <w:rPr>
          <w:rFonts w:ascii="Verdana" w:hAnsi="Verdana"/>
          <w:sz w:val="20"/>
          <w:szCs w:val="20"/>
        </w:rPr>
      </w:pPr>
      <w:r w:rsidRPr="00240886">
        <w:rPr>
          <w:rFonts w:ascii="Verdana" w:hAnsi="Verdana"/>
          <w:sz w:val="20"/>
          <w:szCs w:val="20"/>
        </w:rPr>
        <w:t>“es un negocio jurídico mediante el cual el acreedor (cedente) transfiere a un tercero (cesionario) el derecho personal que ostenta frente a su deudor (cedido). Como consecuencia de ello, el cesionario pasa a ocupar la posición del sujeto activo de la relación crediticia, razón por la cual, en los términos del artículo 666 del Código Civil, es el llamado a obtener la satisfacción de la obligación de parte del deudor y, por lo mismo, es el legitimado para reclamar de aquél su cumplimiento, pues el derecho de crédito que se le transfiere trae consigo la acción personal pertinente</w:t>
      </w:r>
      <w:r w:rsidRPr="00240886">
        <w:rPr>
          <w:rStyle w:val="Refdenotaalpie"/>
          <w:rFonts w:ascii="Verdana" w:hAnsi="Verdana"/>
          <w:sz w:val="20"/>
          <w:szCs w:val="20"/>
        </w:rPr>
        <w:footnoteReference w:id="8"/>
      </w:r>
      <w:r w:rsidRPr="00240886">
        <w:rPr>
          <w:rFonts w:ascii="Verdana" w:hAnsi="Verdana"/>
          <w:sz w:val="20"/>
          <w:szCs w:val="20"/>
        </w:rPr>
        <w:t>.</w:t>
      </w:r>
    </w:p>
    <w:p w14:paraId="5140E377" w14:textId="77777777" w:rsidR="00755595" w:rsidRPr="00400910" w:rsidRDefault="00755595" w:rsidP="00755595">
      <w:pPr>
        <w:pStyle w:val="Textoindependiente"/>
        <w:spacing w:after="0" w:line="240" w:lineRule="auto"/>
        <w:ind w:left="709" w:right="709"/>
        <w:jc w:val="both"/>
        <w:rPr>
          <w:rFonts w:ascii="Verdana" w:hAnsi="Verdana"/>
          <w:sz w:val="20"/>
          <w:szCs w:val="20"/>
        </w:rPr>
      </w:pPr>
    </w:p>
    <w:p w14:paraId="41631A4E" w14:textId="77777777" w:rsidR="00755595" w:rsidRDefault="00755595" w:rsidP="00755595">
      <w:pPr>
        <w:pStyle w:val="Textoindependiente"/>
        <w:ind w:firstLine="709"/>
        <w:jc w:val="both"/>
        <w:rPr>
          <w:rFonts w:ascii="Verdana" w:hAnsi="Verdana"/>
        </w:rPr>
      </w:pPr>
      <w:r>
        <w:rPr>
          <w:rFonts w:ascii="Verdana" w:hAnsi="Verdana"/>
        </w:rPr>
        <w:t>Así mismo, sostiene que el deudor, en este caso la entidad estatal, no integra la cesión de derechos personales y por ende carece de incidencia en su perfeccionamiento, de tal manera que no requiere del consentimiento para la existencia, validez o eficacia de la cesión y su única participación consiste en la notificación que debe hacerle el cesionario o la aceptación que él mismo formule, a efectos de que la transferencia del derecho de crédito resulta jurídicamente oponible</w:t>
      </w:r>
      <w:r>
        <w:rPr>
          <w:rStyle w:val="Refdenotaalpie"/>
          <w:rFonts w:ascii="Verdana" w:hAnsi="Verdana"/>
        </w:rPr>
        <w:footnoteReference w:id="9"/>
      </w:r>
      <w:r>
        <w:rPr>
          <w:rFonts w:ascii="Verdana" w:hAnsi="Verdana"/>
        </w:rPr>
        <w:t xml:space="preserve">. </w:t>
      </w:r>
    </w:p>
    <w:p w14:paraId="11F50685" w14:textId="77777777" w:rsidR="00755595" w:rsidRPr="005E27C9" w:rsidRDefault="00755595" w:rsidP="00755595">
      <w:pPr>
        <w:pStyle w:val="Textoindependiente"/>
        <w:ind w:firstLine="709"/>
        <w:jc w:val="both"/>
        <w:rPr>
          <w:rFonts w:ascii="Verdana" w:hAnsi="Verdana"/>
        </w:rPr>
      </w:pPr>
      <w:r>
        <w:rPr>
          <w:rFonts w:ascii="Verdana" w:hAnsi="Verdana"/>
        </w:rPr>
        <w:t xml:space="preserve">Los requisitos para hacer efectiva la </w:t>
      </w:r>
      <w:r>
        <w:rPr>
          <w:rFonts w:ascii="Verdana" w:hAnsi="Verdana"/>
          <w:i/>
          <w:iCs/>
        </w:rPr>
        <w:t>cesión de créditos</w:t>
      </w:r>
      <w:r>
        <w:rPr>
          <w:rFonts w:ascii="Verdana" w:hAnsi="Verdana"/>
        </w:rPr>
        <w:t xml:space="preserve"> están previstos en la regulación de esta figura contenida en los artículos 1959 a 1966 del Código Civil. En síntesis, los requisitos principales de la cesión son los siguientes: i) la cesión de créditos opera, a cualquier título que se haga, con la entrega del título; ii) si el crédito no consta en un documento, el cedente deberá hacer uno y </w:t>
      </w:r>
      <w:r>
        <w:rPr>
          <w:rFonts w:ascii="Verdana" w:hAnsi="Verdana"/>
        </w:rPr>
        <w:lastRenderedPageBreak/>
        <w:t xml:space="preserve">entregarlo al cesionario; iii) la cesión produce efectos para el deudor y terceros luego de que el cesionario la notifica al deudor o es aceptada por éste; iv) la notificación se hace con exhibición del título o documento creado para el efecto, para lo cual, el título o documento deberá llevar anotado el traspaso del derecho, el cesionario designado y la firma del cedente; v) la falta de notificación de la cesión hace que el deudor pueda pagar válidamente al cedente o que terceros acreedores de éste puedan perseguir el crédito cedido; vi) el cedente a título oneroso será responsable de la existencia del crédito al tiempo de la cesión, pero no de la solvencia del deudor. El cedente a título gratuito no responderá por ninguna de las anteriores circunstancias; vii) las reglas de la cesión de créditos no se aplican a títulos valores regidos por las normas de transmisión del Código de Comercio. </w:t>
      </w:r>
    </w:p>
    <w:bookmarkEnd w:id="0"/>
    <w:p w14:paraId="0007CA2D" w14:textId="77777777" w:rsidR="00755595" w:rsidRDefault="00755595" w:rsidP="00755595">
      <w:pPr>
        <w:spacing w:after="120" w:line="276" w:lineRule="auto"/>
        <w:ind w:firstLine="709"/>
        <w:jc w:val="both"/>
        <w:rPr>
          <w:rFonts w:ascii="Verdana" w:hAnsi="Verdana"/>
        </w:rPr>
      </w:pPr>
      <w:r>
        <w:rPr>
          <w:rFonts w:ascii="Verdana" w:hAnsi="Verdana"/>
        </w:rPr>
        <w:t xml:space="preserve">En el contexto expuesto, un crédito puede ser cedido, cumpliendo con las previsiones legales que hacen oponible la transmisión del derecho a una tercera persona, caso en el cual podrá pagarse válidamente la prestación que debe al cesionario. Como explica la doctrina, la </w:t>
      </w:r>
      <w:r>
        <w:rPr>
          <w:rFonts w:ascii="Verdana" w:hAnsi="Verdana"/>
          <w:i/>
          <w:iCs/>
        </w:rPr>
        <w:t>cesión de crédito</w:t>
      </w:r>
      <w:r>
        <w:rPr>
          <w:rFonts w:ascii="Verdana" w:hAnsi="Verdana"/>
        </w:rPr>
        <w:t xml:space="preserve"> concierne al acreedor cedente y al tercero cesionario, de manera que el deudor cedido –aunque deba notificarse– juega un rol pasivo en el negocio celebrado</w:t>
      </w:r>
      <w:r>
        <w:rPr>
          <w:rStyle w:val="Refdenotaalpie"/>
          <w:rFonts w:ascii="Verdana" w:hAnsi="Verdana"/>
        </w:rPr>
        <w:footnoteReference w:id="10"/>
      </w:r>
      <w:r>
        <w:rPr>
          <w:rFonts w:ascii="Verdana" w:hAnsi="Verdana"/>
        </w:rPr>
        <w:t xml:space="preserve">. </w:t>
      </w:r>
    </w:p>
    <w:p w14:paraId="45E3DA1E" w14:textId="77777777" w:rsidR="00755595" w:rsidRDefault="00755595" w:rsidP="00755595">
      <w:pPr>
        <w:spacing w:after="120" w:line="276" w:lineRule="auto"/>
        <w:ind w:firstLine="709"/>
        <w:jc w:val="both"/>
        <w:rPr>
          <w:rFonts w:ascii="Verdana" w:hAnsi="Verdana" w:cs="Arial"/>
        </w:rPr>
      </w:pPr>
      <w:r>
        <w:rPr>
          <w:rFonts w:ascii="Verdana" w:hAnsi="Verdana"/>
        </w:rPr>
        <w:t xml:space="preserve">La </w:t>
      </w:r>
      <w:r>
        <w:rPr>
          <w:rFonts w:ascii="Verdana" w:hAnsi="Verdana"/>
          <w:i/>
          <w:iCs/>
        </w:rPr>
        <w:t>cesión de créditos</w:t>
      </w:r>
      <w:r>
        <w:rPr>
          <w:rFonts w:ascii="Verdana" w:hAnsi="Verdana"/>
        </w:rPr>
        <w:t xml:space="preserve"> es una figura distinta a la </w:t>
      </w:r>
      <w:r>
        <w:rPr>
          <w:rFonts w:ascii="Verdana" w:hAnsi="Verdana"/>
          <w:i/>
          <w:iCs/>
        </w:rPr>
        <w:t>cesión de contratos</w:t>
      </w:r>
      <w:r>
        <w:rPr>
          <w:rFonts w:ascii="Verdana" w:hAnsi="Verdana"/>
        </w:rPr>
        <w:t xml:space="preserve">. </w:t>
      </w:r>
      <w:r>
        <w:rPr>
          <w:rFonts w:ascii="Verdana" w:eastAsia="Calibri" w:hAnsi="Verdana" w:cs="Arial"/>
          <w:bCs/>
          <w:color w:val="000000" w:themeColor="text1"/>
        </w:rPr>
        <w:t xml:space="preserve">Conforme a los artículos 887 y siguientes del Código de Comercio, esta última juega un papel importante en la gestión de los intereses, ya que –a diferencia de la regulada en los artículos 1959 y siguientes del Código Civil– facilita el tráfico jurídico tanto de los derechos como de las obligaciones surgidos con ocasión del acuerdo de voluntades, lo que permite su transferencia total o parcial </w:t>
      </w:r>
      <w:r>
        <w:rPr>
          <w:rFonts w:ascii="Verdana" w:eastAsia="Calibri" w:hAnsi="Verdana" w:cs="Arial"/>
          <w:bCs/>
          <w:color w:val="000000" w:themeColor="text1"/>
        </w:rPr>
        <w:lastRenderedPageBreak/>
        <w:t>a terceros como negocio generador de riqueza</w:t>
      </w:r>
      <w:r>
        <w:rPr>
          <w:rStyle w:val="Refdenotaalpie"/>
          <w:rFonts w:ascii="Verdana" w:eastAsia="Calibri" w:hAnsi="Verdana" w:cs="Arial"/>
          <w:bCs/>
          <w:color w:val="000000" w:themeColor="text1"/>
        </w:rPr>
        <w:footnoteReference w:id="11"/>
      </w:r>
      <w:r>
        <w:rPr>
          <w:rFonts w:ascii="Verdana" w:eastAsia="Calibri" w:hAnsi="Verdana" w:cs="Arial"/>
          <w:bCs/>
          <w:color w:val="000000" w:themeColor="text1"/>
        </w:rPr>
        <w:t>.</w:t>
      </w:r>
      <w:r>
        <w:rPr>
          <w:rFonts w:ascii="Verdana" w:eastAsia="Calibri" w:hAnsi="Verdana" w:cs="Arial"/>
          <w:color w:val="000000" w:themeColor="text1"/>
        </w:rPr>
        <w:t xml:space="preserve"> </w:t>
      </w:r>
      <w:r>
        <w:rPr>
          <w:rFonts w:ascii="Verdana" w:hAnsi="Verdana" w:cs="Arial"/>
        </w:rPr>
        <w:t xml:space="preserve">Para la doctrina, “La cesión del contrato sirve para hacer posible la </w:t>
      </w:r>
      <w:r>
        <w:rPr>
          <w:rFonts w:ascii="Verdana" w:hAnsi="Verdana" w:cs="Arial"/>
          <w:i/>
          <w:iCs/>
        </w:rPr>
        <w:t>circulación del contrato en su integridad</w:t>
      </w:r>
      <w:r>
        <w:rPr>
          <w:rFonts w:ascii="Verdana" w:hAnsi="Verdana" w:cs="Arial"/>
        </w:rPr>
        <w:t xml:space="preserve">, es decir, para hacer </w:t>
      </w:r>
      <w:r>
        <w:rPr>
          <w:rFonts w:ascii="Verdana" w:hAnsi="Verdana" w:cs="Arial"/>
          <w:i/>
          <w:iCs/>
        </w:rPr>
        <w:t>subintrar</w:t>
      </w:r>
      <w:r>
        <w:rPr>
          <w:rFonts w:ascii="Verdana" w:hAnsi="Verdana" w:cs="Arial"/>
        </w:rPr>
        <w:t xml:space="preserve"> un extraño en la categoría de parte contractual, en </w:t>
      </w:r>
      <w:r>
        <w:rPr>
          <w:rFonts w:ascii="Verdana" w:hAnsi="Verdana" w:cs="Arial"/>
          <w:i/>
          <w:iCs/>
        </w:rPr>
        <w:t>lugar</w:t>
      </w:r>
      <w:r>
        <w:rPr>
          <w:rFonts w:ascii="Verdana" w:hAnsi="Verdana" w:cs="Arial"/>
        </w:rPr>
        <w:t xml:space="preserve"> de uno de los contratantes originarios”</w:t>
      </w:r>
      <w:r>
        <w:rPr>
          <w:rStyle w:val="Refdenotaalpie"/>
          <w:rFonts w:ascii="Verdana" w:hAnsi="Verdana" w:cs="Arial"/>
          <w:color w:val="000000" w:themeColor="text1"/>
        </w:rPr>
        <w:footnoteReference w:id="12"/>
      </w:r>
      <w:r>
        <w:rPr>
          <w:rFonts w:ascii="Verdana" w:hAnsi="Verdana" w:cs="Arial"/>
        </w:rPr>
        <w:t>.</w:t>
      </w:r>
    </w:p>
    <w:p w14:paraId="51338C76" w14:textId="77777777" w:rsidR="00755595" w:rsidRDefault="00755595" w:rsidP="00755595">
      <w:pPr>
        <w:spacing w:after="120" w:line="276" w:lineRule="auto"/>
        <w:ind w:firstLine="709"/>
        <w:jc w:val="both"/>
        <w:rPr>
          <w:rFonts w:ascii="Verdana" w:eastAsia="Calibri" w:hAnsi="Verdana" w:cs="Arial"/>
          <w:color w:val="000000" w:themeColor="text1"/>
        </w:rPr>
      </w:pPr>
      <w:r>
        <w:rPr>
          <w:rFonts w:ascii="Verdana" w:eastAsia="Calibri" w:hAnsi="Verdana" w:cs="Arial"/>
          <w:color w:val="000000" w:themeColor="text1"/>
        </w:rPr>
        <w:t xml:space="preserve">En la </w:t>
      </w:r>
      <w:r>
        <w:rPr>
          <w:rFonts w:ascii="Verdana" w:eastAsia="Calibri" w:hAnsi="Verdana" w:cs="Arial"/>
          <w:i/>
          <w:iCs/>
          <w:color w:val="000000" w:themeColor="text1"/>
        </w:rPr>
        <w:t>cesión de contratos</w:t>
      </w:r>
      <w:r>
        <w:rPr>
          <w:rFonts w:ascii="Verdana" w:eastAsia="Calibri" w:hAnsi="Verdana" w:cs="Arial"/>
          <w:color w:val="000000" w:themeColor="text1"/>
        </w:rPr>
        <w:t xml:space="preserve">, la entidad cedida juega un rol activo, pues el artículo 41, inciso tercero, de la Ley 80 de 1993 la </w:t>
      </w:r>
      <w:r>
        <w:rPr>
          <w:rFonts w:ascii="Verdana" w:eastAsia="Calibri" w:hAnsi="Verdana" w:cs="Arial"/>
          <w:bCs/>
          <w:color w:val="000000" w:themeColor="text1"/>
        </w:rPr>
        <w:t>permite excepcionalmente siempre que exista autorización previa escrita del contratante. Por ello, “[…] El cocontratante que ‘</w:t>
      </w:r>
      <w:r>
        <w:rPr>
          <w:rFonts w:ascii="Verdana" w:eastAsia="Calibri" w:hAnsi="Verdana" w:cs="Arial"/>
          <w:bCs/>
          <w:i/>
          <w:iCs/>
          <w:color w:val="000000" w:themeColor="text1"/>
        </w:rPr>
        <w:t>ceda</w:t>
      </w:r>
      <w:r>
        <w:rPr>
          <w:rFonts w:ascii="Verdana" w:eastAsia="Calibri" w:hAnsi="Verdana" w:cs="Arial"/>
          <w:bCs/>
          <w:color w:val="000000" w:themeColor="text1"/>
        </w:rPr>
        <w:t>’ el contrato sin estar autorizado para ello incurre en grave responsabilidad: su actitud implica ‘</w:t>
      </w:r>
      <w:r>
        <w:rPr>
          <w:rFonts w:ascii="Verdana" w:eastAsia="Calibri" w:hAnsi="Verdana" w:cs="Arial"/>
          <w:bCs/>
          <w:i/>
          <w:iCs/>
          <w:color w:val="000000" w:themeColor="text1"/>
        </w:rPr>
        <w:t>incumplimiento</w:t>
      </w:r>
      <w:r>
        <w:rPr>
          <w:rFonts w:ascii="Verdana" w:eastAsia="Calibri" w:hAnsi="Verdana" w:cs="Arial"/>
          <w:bCs/>
          <w:color w:val="000000" w:themeColor="text1"/>
        </w:rPr>
        <w:t>’ del contrato; de ahí que esa cesión ilícita no resulte oponible a la Administración Pública […]”</w:t>
      </w:r>
      <w:r>
        <w:rPr>
          <w:rStyle w:val="Refdenotaalpie"/>
          <w:rFonts w:ascii="Verdana" w:eastAsia="Calibri" w:hAnsi="Verdana" w:cs="Arial"/>
          <w:bCs/>
          <w:color w:val="000000" w:themeColor="text1"/>
        </w:rPr>
        <w:footnoteReference w:id="13"/>
      </w:r>
      <w:r>
        <w:rPr>
          <w:rFonts w:ascii="Verdana" w:eastAsia="Calibri" w:hAnsi="Verdana" w:cs="Arial"/>
          <w:bCs/>
          <w:color w:val="000000" w:themeColor="text1"/>
        </w:rPr>
        <w:t>. Además</w:t>
      </w:r>
      <w:r>
        <w:rPr>
          <w:rFonts w:ascii="Verdana" w:eastAsia="Calibri" w:hAnsi="Verdana" w:cs="Arial"/>
          <w:color w:val="000000" w:themeColor="text1"/>
        </w:rPr>
        <w:t>, la Sección Tercera del Consejo de Estado ha explicado que, en la medida que el tercero cesionario asume la posición contractual del contratista cedente, las disposiciones, los pliegos de condiciones y el contrato mismo serán aplicables a quien asuma la nueva posición contractual. De esta manera, la capacidad jurídica, económica y técnica del contratista cedente se exigirá también al cesionario, ya que “[…] el proceso cesión del contrato y las exigencias que se le impongan al tercero, no pueden alterar ni burlar los procedimientos de selección del contratista, en otras palabras, la figura de la cesión de contrato no puede servir como instrumento para desviar las obligaciones que tiene la entidad contratante de cumplimiento de los parámetros de la selección objetiva</w:t>
      </w:r>
      <w:r>
        <w:rPr>
          <w:rStyle w:val="Refdenotaalpie"/>
          <w:rFonts w:ascii="Verdana" w:eastAsia="Calibri" w:hAnsi="Verdana" w:cs="Arial"/>
          <w:color w:val="000000" w:themeColor="text1"/>
        </w:rPr>
        <w:footnoteReference w:id="14"/>
      </w:r>
      <w:r>
        <w:rPr>
          <w:rFonts w:ascii="Verdana" w:eastAsia="Calibri" w:hAnsi="Verdana" w:cs="Arial"/>
          <w:color w:val="000000" w:themeColor="text1"/>
        </w:rPr>
        <w:t>”.</w:t>
      </w:r>
    </w:p>
    <w:p w14:paraId="41A070FF" w14:textId="77777777" w:rsidR="00755595" w:rsidRPr="00993659" w:rsidRDefault="00755595" w:rsidP="00755595">
      <w:pPr>
        <w:spacing w:after="120" w:line="276" w:lineRule="auto"/>
        <w:ind w:firstLine="708"/>
        <w:jc w:val="both"/>
        <w:rPr>
          <w:rFonts w:ascii="Verdana" w:eastAsia="Calibri" w:hAnsi="Verdana" w:cs="Arial"/>
          <w:bCs/>
          <w:color w:val="000000" w:themeColor="text1"/>
        </w:rPr>
      </w:pPr>
      <w:r>
        <w:rPr>
          <w:rFonts w:ascii="Verdana" w:eastAsia="Calibri" w:hAnsi="Verdana" w:cs="Arial"/>
          <w:bCs/>
          <w:color w:val="000000" w:themeColor="text1"/>
        </w:rPr>
        <w:t xml:space="preserve">En el marco de lo expuesto, la Entidad Estatal deberá determinar si la aceptación de una cesión de derechos económicos debe materializarse necesariamente mediante resolución o si puede constar en un documento donde la entidad manifieste expresamente su aceptación. Para ello debe recordarse que, además de los requisitos esenciales señalados por el artículo 1501 del </w:t>
      </w:r>
      <w:r>
        <w:rPr>
          <w:rFonts w:ascii="Verdana" w:eastAsia="Calibri" w:hAnsi="Verdana" w:cs="Arial"/>
          <w:bCs/>
          <w:color w:val="000000" w:themeColor="text1"/>
        </w:rPr>
        <w:lastRenderedPageBreak/>
        <w:t>Código Civil —capacidad de las partes, consentimiento libre de vicios, objeto y causa lícitos—, el contrato estatal está sometido a la solemnidad escrituraria, que constituye un elemento sustancial del acto jurídico. En virtud de los artículos 39 y 41 de la Ley 80 de 1993, el contrato estatal existe y se perfecciona únicamente cuando consta por escrito, y en dicho escrito se plasma el acuerdo sobre el objeto y la contraprestación.</w:t>
      </w:r>
    </w:p>
    <w:p w14:paraId="431BB037" w14:textId="77777777" w:rsidR="00755595" w:rsidRPr="00993659" w:rsidRDefault="00755595" w:rsidP="00755595">
      <w:pPr>
        <w:spacing w:after="120" w:line="276" w:lineRule="auto"/>
        <w:ind w:firstLine="708"/>
        <w:jc w:val="both"/>
        <w:rPr>
          <w:rFonts w:ascii="Verdana" w:eastAsia="Calibri" w:hAnsi="Verdana" w:cs="Arial"/>
          <w:bCs/>
          <w:color w:val="000000" w:themeColor="text1"/>
        </w:rPr>
      </w:pPr>
      <w:r>
        <w:rPr>
          <w:rFonts w:ascii="Verdana" w:eastAsia="Calibri" w:hAnsi="Verdana" w:cs="Arial"/>
          <w:bCs/>
          <w:color w:val="000000" w:themeColor="text1"/>
        </w:rPr>
        <w:t>Si bien la cesión de créditos no modifica el contenido contractual ni exige autorización previa del ente estatal, sí implica una actuación administrativa necesaria para efectos de su oponibilidad y para la validez del pago. Por ello, la manifestación de la voluntad de la administración respecto de la aceptación de la cesión —en caso de optar por esta vía en lugar de la simple notificación— debe constar por escrito, en atención a la solemnidad propia de la contratación estatal y al principio de publicidad que rige la actuación administrativa. Este principio exige que los actos, contratos y decisiones de las autoridades sean divulgados por medios oficiales, incluidos los sistemas electrónicos de información como el SECOP, para garantizar la transparencia, el debido proceso, la igualdad de oportunidades y la rendición de cuentas.</w:t>
      </w:r>
    </w:p>
    <w:p w14:paraId="1844160F" w14:textId="77777777" w:rsidR="00755595" w:rsidRPr="004C3E75" w:rsidRDefault="00755595" w:rsidP="00755595">
      <w:pPr>
        <w:spacing w:after="120" w:line="276" w:lineRule="auto"/>
        <w:ind w:firstLine="708"/>
        <w:jc w:val="both"/>
        <w:rPr>
          <w:rFonts w:ascii="Verdana" w:eastAsia="Calibri" w:hAnsi="Verdana" w:cs="Arial"/>
          <w:bCs/>
          <w:color w:val="000000" w:themeColor="text1"/>
        </w:rPr>
      </w:pPr>
      <w:r>
        <w:rPr>
          <w:rFonts w:ascii="Verdana" w:eastAsia="Calibri" w:hAnsi="Verdana" w:cs="Arial"/>
          <w:bCs/>
          <w:color w:val="000000" w:themeColor="text1"/>
        </w:rPr>
        <w:t xml:space="preserve">En consecuencia, corresponde a cada entidad determinar, conforme a su propio procedimiento interno y a lo que establezca el contrato original, si acepta o no la cesión </w:t>
      </w:r>
      <w:r>
        <w:rPr>
          <w:rFonts w:ascii="Verdana" w:eastAsia="Calibri" w:hAnsi="Verdana" w:cs="Arial"/>
          <w:color w:val="000000" w:themeColor="text1"/>
        </w:rPr>
        <w:t xml:space="preserve">de derechos económicos y en caso de aceptarla, </w:t>
      </w:r>
      <w:r>
        <w:rPr>
          <w:rFonts w:ascii="Verdana" w:eastAsia="Calibri" w:hAnsi="Verdana" w:cs="Arial"/>
          <w:bCs/>
          <w:color w:val="000000" w:themeColor="text1"/>
        </w:rPr>
        <w:t>debe formalizarse mediante resolución, acto administrativo diferente, o documento escrito suscrito por el funcionario competente. En todo caso, resulta recomendable que la aceptación conste por escrito para otorgar certeza jurídica, facilitar la trazabilidad en los sistemas de información, y asegurar que la entidad pueda realizar el pago válidamente al cesionario. Asimismo, puede ser conveniente la publicación del documento correspondiente o, cuando sea jurídicamente procedente, el título donde conste la cesión del derecho económico.</w:t>
      </w:r>
    </w:p>
    <w:p w14:paraId="070EFC65" w14:textId="77777777" w:rsidR="00755595" w:rsidRDefault="00755595" w:rsidP="00755595">
      <w:pPr>
        <w:spacing w:after="120" w:line="276" w:lineRule="auto"/>
        <w:ind w:firstLine="709"/>
        <w:jc w:val="both"/>
        <w:rPr>
          <w:rFonts w:ascii="Verdana" w:eastAsia="Calibri" w:hAnsi="Verdana" w:cs="Arial"/>
        </w:rPr>
      </w:pPr>
      <w:r>
        <w:rPr>
          <w:rFonts w:ascii="Verdana" w:eastAsia="Calibri" w:hAnsi="Verdana" w:cs="Arial"/>
        </w:rPr>
        <w:t>A</w:t>
      </w:r>
      <w:r>
        <w:rPr>
          <w:rFonts w:ascii="Verdana" w:eastAsia="Calibri" w:hAnsi="Verdana" w:cs="Arial"/>
          <w:bCs/>
          <w:color w:val="000000" w:themeColor="text1"/>
        </w:rPr>
        <w:t xml:space="preserve">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w:t>
      </w:r>
      <w:r>
        <w:rPr>
          <w:rFonts w:ascii="Verdana" w:eastAsia="Calibri" w:hAnsi="Verdana" w:cs="Arial"/>
          <w:bCs/>
          <w:color w:val="000000" w:themeColor="text1"/>
        </w:rPr>
        <w:lastRenderedPageBreak/>
        <w:t>correspondiente y, en caso de conflicto, a las autoridades judiciales, fiscales y disciplinarias.</w:t>
      </w:r>
    </w:p>
    <w:p w14:paraId="64F551FB" w14:textId="77777777" w:rsidR="00755595" w:rsidRPr="00224F57" w:rsidRDefault="00755595" w:rsidP="00755595">
      <w:pPr>
        <w:spacing w:after="120" w:line="276" w:lineRule="auto"/>
        <w:ind w:firstLine="709"/>
        <w:jc w:val="both"/>
        <w:rPr>
          <w:rFonts w:ascii="Verdana" w:eastAsia="Calibri" w:hAnsi="Verdana" w:cs="Arial"/>
        </w:rPr>
      </w:pPr>
      <w:r>
        <w:rPr>
          <w:rFonts w:ascii="Verdana" w:eastAsia="Calibri" w:hAnsi="Verdana" w:cs="Arial"/>
          <w:bCs/>
          <w:color w:val="000000" w:themeColor="text1"/>
        </w:rPr>
        <w:t xml:space="preserve">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bookmarkStart w:id="1" w:name="_Hlk204854194"/>
    </w:p>
    <w:p w14:paraId="3256F93A" w14:textId="77777777" w:rsidR="00755595" w:rsidRDefault="00755595" w:rsidP="00755595">
      <w:pPr>
        <w:spacing w:after="0" w:line="276" w:lineRule="auto"/>
        <w:jc w:val="both"/>
        <w:rPr>
          <w:rFonts w:ascii="Verdana" w:eastAsia="Century Gothic" w:hAnsi="Verdana" w:cs="Century Gothic"/>
          <w:b/>
          <w:bCs/>
        </w:rPr>
      </w:pPr>
      <w:r>
        <w:rPr>
          <w:rFonts w:ascii="Verdana" w:hAnsi="Verdana" w:cs="Arial"/>
          <w:b/>
          <w:color w:val="000000" w:themeColor="text1"/>
        </w:rPr>
        <w:t>4.</w:t>
      </w:r>
      <w:r>
        <w:rPr>
          <w:rFonts w:ascii="Verdana" w:hAnsi="Verdana" w:cs="Arial"/>
          <w:bCs/>
          <w:color w:val="000000" w:themeColor="text1"/>
        </w:rPr>
        <w:t xml:space="preserve"> </w:t>
      </w:r>
      <w:r>
        <w:rPr>
          <w:rFonts w:ascii="Verdana" w:eastAsia="Century Gothic" w:hAnsi="Verdana" w:cs="Century Gothic"/>
          <w:b/>
          <w:bCs/>
        </w:rPr>
        <w:t>Referencias normativas y jurisprudenciales:</w:t>
      </w:r>
      <w:bookmarkEnd w:id="1"/>
    </w:p>
    <w:p w14:paraId="4DA40740" w14:textId="77777777" w:rsidR="00755595" w:rsidRPr="00E5656D" w:rsidRDefault="00755595" w:rsidP="00755595">
      <w:pPr>
        <w:spacing w:after="0" w:line="276" w:lineRule="auto"/>
        <w:jc w:val="both"/>
        <w:rPr>
          <w:rFonts w:ascii="Verdana" w:eastAsia="Century Gothic" w:hAnsi="Verdana" w:cs="Century Gothic"/>
          <w:b/>
          <w:bC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755595" w:rsidRPr="002D2C18" w14:paraId="601B8DFE" w14:textId="77777777" w:rsidTr="001B1188">
        <w:trPr>
          <w:trHeight w:val="56"/>
          <w:jc w:val="center"/>
        </w:trPr>
        <w:tc>
          <w:tcPr>
            <w:tcW w:w="8647" w:type="dxa"/>
          </w:tcPr>
          <w:p w14:paraId="28B712A5" w14:textId="77777777" w:rsidR="00357EB3" w:rsidRDefault="00000000" w:rsidP="00055FE7">
            <w:pPr>
              <w:numPr>
                <w:ilvl w:val="0"/>
                <w:numId w:val="17"/>
              </w:numPr>
              <w:spacing w:line="276" w:lineRule="auto"/>
              <w:jc w:val="both"/>
              <w:rPr>
                <w:rFonts w:ascii="Verdana" w:hAnsi="Verdana" w:cs="Arial"/>
                <w:lang w:eastAsia="es-ES"/>
              </w:rPr>
            </w:pPr>
            <w:r>
              <w:rPr>
                <w:rFonts w:ascii="Verdana" w:eastAsia="Arial MT" w:hAnsi="Verdana" w:cs="Arial"/>
                <w:lang w:val="es-ES" w:eastAsia="es-ES" w:bidi="es-ES"/>
              </w:rPr>
              <w:t>Código Civil. Artículos 666, 1501, 1502, 1503, 1504, 1626 y siguientes, 1634, 1635 y 1959 a 1966.</w:t>
            </w:r>
          </w:p>
          <w:p w14:paraId="1253091A" w14:textId="77777777" w:rsidR="00357EB3" w:rsidRDefault="00000000" w:rsidP="00055FE7">
            <w:pPr>
              <w:numPr>
                <w:ilvl w:val="0"/>
                <w:numId w:val="17"/>
              </w:numPr>
              <w:spacing w:line="276" w:lineRule="auto"/>
              <w:jc w:val="both"/>
              <w:rPr>
                <w:rFonts w:ascii="Verdana" w:hAnsi="Verdana" w:cs="Arial"/>
                <w:lang w:eastAsia="es-ES"/>
              </w:rPr>
            </w:pPr>
            <w:r>
              <w:rPr>
                <w:rFonts w:ascii="Verdana" w:eastAsia="Arial MT" w:hAnsi="Verdana" w:cs="Arial"/>
                <w:lang w:val="es-ES" w:eastAsia="es-ES" w:bidi="es-ES"/>
              </w:rPr>
              <w:t>Ley 57 de 1887. Artículo 33.</w:t>
            </w:r>
          </w:p>
          <w:p w14:paraId="1690F706" w14:textId="77777777" w:rsidR="00357EB3" w:rsidRDefault="00000000" w:rsidP="00055FE7">
            <w:pPr>
              <w:numPr>
                <w:ilvl w:val="0"/>
                <w:numId w:val="17"/>
              </w:numPr>
              <w:spacing w:line="276" w:lineRule="auto"/>
              <w:jc w:val="both"/>
              <w:rPr>
                <w:rFonts w:ascii="Verdana" w:hAnsi="Verdana" w:cs="Arial"/>
                <w:lang w:eastAsia="es-ES"/>
              </w:rPr>
            </w:pPr>
            <w:r>
              <w:rPr>
                <w:rFonts w:ascii="Verdana" w:eastAsia="Arial MT" w:hAnsi="Verdana" w:cs="Arial"/>
                <w:lang w:val="es-ES" w:eastAsia="es-ES" w:bidi="es-ES"/>
              </w:rPr>
              <w:t>Código de Comercio. Artículos 99 y 887.</w:t>
            </w:r>
          </w:p>
          <w:p w14:paraId="52616D15" w14:textId="77777777" w:rsidR="00357EB3" w:rsidRDefault="00000000" w:rsidP="00055FE7">
            <w:pPr>
              <w:numPr>
                <w:ilvl w:val="0"/>
                <w:numId w:val="17"/>
              </w:numPr>
              <w:spacing w:line="276" w:lineRule="auto"/>
              <w:jc w:val="both"/>
              <w:rPr>
                <w:rFonts w:ascii="Verdana" w:hAnsi="Verdana" w:cs="Arial"/>
                <w:lang w:eastAsia="es-ES"/>
              </w:rPr>
            </w:pPr>
            <w:r>
              <w:rPr>
                <w:rFonts w:ascii="Verdana" w:eastAsia="Arial MT" w:hAnsi="Verdana" w:cs="Arial"/>
                <w:lang w:val="es-ES" w:eastAsia="es-ES" w:bidi="es-ES"/>
              </w:rPr>
              <w:t>Ley 80 de 1993. Artículos 2, 6, 7, 39 y 41.</w:t>
            </w:r>
          </w:p>
          <w:p w14:paraId="7EA2988A" w14:textId="77777777" w:rsidR="00357EB3" w:rsidRDefault="00000000" w:rsidP="00055FE7">
            <w:pPr>
              <w:numPr>
                <w:ilvl w:val="0"/>
                <w:numId w:val="17"/>
              </w:numPr>
              <w:spacing w:line="276" w:lineRule="auto"/>
              <w:jc w:val="both"/>
              <w:rPr>
                <w:rFonts w:ascii="Verdana" w:hAnsi="Verdana" w:cs="Arial"/>
                <w:lang w:eastAsia="es-ES"/>
              </w:rPr>
            </w:pPr>
            <w:r>
              <w:rPr>
                <w:rFonts w:ascii="Verdana" w:eastAsia="Arial MT" w:hAnsi="Verdana" w:cs="Arial"/>
                <w:lang w:val="es-ES" w:eastAsia="es-ES" w:bidi="es-ES"/>
              </w:rPr>
              <w:t>Ley 2160 de 2021. Artículos 1 y 3.</w:t>
            </w:r>
          </w:p>
          <w:p w14:paraId="3EC2E523" w14:textId="77777777" w:rsidR="00357EB3" w:rsidRDefault="00000000" w:rsidP="00055FE7">
            <w:pPr>
              <w:numPr>
                <w:ilvl w:val="0"/>
                <w:numId w:val="17"/>
              </w:numPr>
              <w:spacing w:line="276" w:lineRule="auto"/>
              <w:jc w:val="both"/>
              <w:rPr>
                <w:rFonts w:ascii="Verdana" w:hAnsi="Verdana" w:cs="Arial"/>
                <w:lang w:eastAsia="es-ES"/>
              </w:rPr>
            </w:pPr>
            <w:r>
              <w:rPr>
                <w:rFonts w:ascii="Verdana" w:eastAsia="Arial MT" w:hAnsi="Verdana" w:cs="Arial"/>
                <w:lang w:val="es-ES" w:eastAsia="es-ES" w:bidi="es-ES"/>
              </w:rPr>
              <w:t>Corte Constitucional. Sentencia C-949 del 5 de septiembre de 2001. M.P. Clara Inés Vargas Hernández.</w:t>
            </w:r>
          </w:p>
          <w:p w14:paraId="55DD450F" w14:textId="77777777" w:rsidR="00357EB3" w:rsidRDefault="00000000" w:rsidP="00055FE7">
            <w:pPr>
              <w:numPr>
                <w:ilvl w:val="0"/>
                <w:numId w:val="17"/>
              </w:numPr>
              <w:spacing w:line="276" w:lineRule="auto"/>
              <w:jc w:val="both"/>
              <w:rPr>
                <w:rFonts w:ascii="Verdana" w:hAnsi="Verdana" w:cs="Arial"/>
                <w:lang w:eastAsia="es-ES"/>
              </w:rPr>
            </w:pPr>
            <w:r>
              <w:rPr>
                <w:rFonts w:ascii="Verdana" w:eastAsia="Arial MT" w:hAnsi="Verdana" w:cs="Arial"/>
                <w:lang w:val="es-ES" w:eastAsia="es-ES" w:bidi="es-ES"/>
              </w:rPr>
              <w:t>Consejo de Estado. Sala de lo Contencioso Administrativo. Sección Tercera. Sentencia del 16 de marzo de 2015. Rad. 1999-03028. C.P. Jaime Orlando Santofimio Gamboa.</w:t>
            </w:r>
          </w:p>
          <w:p w14:paraId="24AF2605" w14:textId="77777777" w:rsidR="00357EB3" w:rsidRDefault="00000000" w:rsidP="00055FE7">
            <w:pPr>
              <w:numPr>
                <w:ilvl w:val="0"/>
                <w:numId w:val="17"/>
              </w:numPr>
              <w:spacing w:line="276" w:lineRule="auto"/>
              <w:jc w:val="both"/>
              <w:rPr>
                <w:rFonts w:ascii="Verdana" w:hAnsi="Verdana" w:cs="Arial"/>
                <w:lang w:eastAsia="es-ES"/>
              </w:rPr>
            </w:pPr>
            <w:r>
              <w:rPr>
                <w:rFonts w:ascii="Verdana" w:eastAsia="Arial MT" w:hAnsi="Verdana" w:cs="Arial"/>
                <w:lang w:val="es-ES" w:eastAsia="es-ES" w:bidi="es-ES"/>
              </w:rPr>
              <w:t>Consejo de Estado. Sala de lo Contencioso Administrativo. Sección Tercera. Subsección A. Sentencia del 26 de septiembre de 2025. Radicado: 250002336000 202000198 01 (71.909). C.P. José Roberto Sáchica Méndez.</w:t>
            </w:r>
          </w:p>
          <w:p w14:paraId="6E5251EC" w14:textId="77777777" w:rsidR="00357EB3" w:rsidRDefault="00000000" w:rsidP="00055FE7">
            <w:pPr>
              <w:numPr>
                <w:ilvl w:val="0"/>
                <w:numId w:val="17"/>
              </w:numPr>
              <w:spacing w:line="276" w:lineRule="auto"/>
              <w:jc w:val="both"/>
              <w:rPr>
                <w:rFonts w:ascii="Verdana" w:hAnsi="Verdana" w:cs="Arial"/>
                <w:lang w:eastAsia="es-ES"/>
              </w:rPr>
            </w:pPr>
            <w:r>
              <w:rPr>
                <w:rFonts w:ascii="Verdana" w:eastAsia="Arial MT" w:hAnsi="Verdana" w:cs="Arial"/>
                <w:lang w:val="es-ES" w:eastAsia="es-ES" w:bidi="es-ES"/>
              </w:rPr>
              <w:t>ALESSANDRI R., Arturo; SOMARRIVA U., Manuel y VODANOVIC H., Antonio. Tratado de las obligaciones, VII. Editorial Jurídica de Chile, 2.ª ed., 2004.</w:t>
            </w:r>
          </w:p>
          <w:p w14:paraId="671DCF35" w14:textId="77777777" w:rsidR="00357EB3" w:rsidRDefault="00000000" w:rsidP="00055FE7">
            <w:pPr>
              <w:numPr>
                <w:ilvl w:val="0"/>
                <w:numId w:val="17"/>
              </w:numPr>
              <w:spacing w:line="276" w:lineRule="auto"/>
              <w:jc w:val="both"/>
              <w:rPr>
                <w:rFonts w:ascii="Verdana" w:hAnsi="Verdana" w:cs="Arial"/>
                <w:lang w:eastAsia="es-ES"/>
              </w:rPr>
            </w:pPr>
            <w:r>
              <w:rPr>
                <w:rFonts w:ascii="Verdana" w:eastAsia="Arial MT" w:hAnsi="Verdana" w:cs="Arial"/>
                <w:lang w:val="es-ES" w:eastAsia="es-ES" w:bidi="es-ES"/>
              </w:rPr>
              <w:t>BONIVENTO FERNÁNDEZ, José. Los principales contratos civiles y su paralelo con los comerciales. Vigésima segunda edición. Bogotá: Tirant lo Blanch.</w:t>
            </w:r>
          </w:p>
          <w:p w14:paraId="7DA3037C" w14:textId="77777777" w:rsidR="00357EB3" w:rsidRDefault="00000000" w:rsidP="00055FE7">
            <w:pPr>
              <w:numPr>
                <w:ilvl w:val="0"/>
                <w:numId w:val="17"/>
              </w:numPr>
              <w:spacing w:line="276" w:lineRule="auto"/>
              <w:jc w:val="both"/>
              <w:rPr>
                <w:rFonts w:ascii="Verdana" w:hAnsi="Verdana" w:cs="Arial"/>
                <w:lang w:eastAsia="es-ES"/>
              </w:rPr>
            </w:pPr>
            <w:r>
              <w:rPr>
                <w:rFonts w:ascii="Verdana" w:eastAsia="Arial MT" w:hAnsi="Verdana" w:cs="Arial"/>
                <w:lang w:val="es-ES" w:eastAsia="es-ES" w:bidi="es-ES"/>
              </w:rPr>
              <w:t>MESSINEO, Francesco. Doctrina general del contrato. Santiago: Olejnik, 2018.</w:t>
            </w:r>
          </w:p>
          <w:p w14:paraId="71C9A714" w14:textId="77777777" w:rsidR="00357EB3" w:rsidRDefault="00000000" w:rsidP="00055FE7">
            <w:pPr>
              <w:numPr>
                <w:ilvl w:val="0"/>
                <w:numId w:val="17"/>
              </w:numPr>
              <w:spacing w:line="276" w:lineRule="auto"/>
              <w:jc w:val="both"/>
              <w:rPr>
                <w:rFonts w:ascii="Verdana" w:hAnsi="Verdana" w:cs="Arial"/>
                <w:lang w:eastAsia="es-ES"/>
              </w:rPr>
            </w:pPr>
            <w:r>
              <w:rPr>
                <w:rFonts w:ascii="Verdana" w:eastAsia="Arial MT" w:hAnsi="Verdana" w:cs="Arial"/>
                <w:lang w:val="es-ES" w:eastAsia="es-ES" w:bidi="es-ES"/>
              </w:rPr>
              <w:lastRenderedPageBreak/>
              <w:t>MARIENHOFF, Miguel S. Tratado de derecho administrativo. Tomo IIIA. Cuarta edición. Buenos Aires: Abeledo Perrot, 1998.</w:t>
            </w:r>
          </w:p>
        </w:tc>
      </w:tr>
    </w:tbl>
    <w:p w14:paraId="1C23407D" w14:textId="77777777" w:rsidR="00755595" w:rsidRPr="0091091D" w:rsidRDefault="00755595" w:rsidP="00755595">
      <w:pPr>
        <w:tabs>
          <w:tab w:val="left" w:pos="142"/>
          <w:tab w:val="left" w:pos="284"/>
          <w:tab w:val="left" w:pos="3828"/>
        </w:tabs>
        <w:spacing w:after="0" w:line="276" w:lineRule="auto"/>
        <w:jc w:val="both"/>
        <w:rPr>
          <w:rFonts w:ascii="Verdana" w:eastAsia="Century Gothic" w:hAnsi="Verdana" w:cs="Century Gothic"/>
          <w:b/>
          <w:bCs/>
        </w:rPr>
      </w:pPr>
      <w:r>
        <w:rPr>
          <w:rFonts w:ascii="Verdana" w:eastAsia="Century Gothic" w:hAnsi="Verdana" w:cs="Century Gothic"/>
          <w:b/>
          <w:bCs/>
        </w:rPr>
        <w:lastRenderedPageBreak/>
        <w:t>5. Doctrina de la Agencia Nacional de Contratación Pública:</w:t>
      </w:r>
    </w:p>
    <w:p w14:paraId="0F6DAE84" w14:textId="77777777" w:rsidR="00755595" w:rsidRPr="007A3DD4" w:rsidRDefault="00755595" w:rsidP="00755595">
      <w:pPr>
        <w:widowControl w:val="0"/>
        <w:autoSpaceDE w:val="0"/>
        <w:autoSpaceDN w:val="0"/>
        <w:spacing w:after="0" w:line="240" w:lineRule="auto"/>
        <w:jc w:val="both"/>
        <w:rPr>
          <w:rStyle w:val="normaltextrun"/>
          <w:rFonts w:ascii="Verdana" w:hAnsi="Verdana" w:cs="Arial"/>
          <w:shd w:val="clear" w:color="auto" w:fill="FFFFFF"/>
        </w:rPr>
      </w:pPr>
    </w:p>
    <w:p w14:paraId="7DCCACC8" w14:textId="77777777" w:rsidR="00357EB3" w:rsidRDefault="00000000">
      <w:pPr>
        <w:widowControl w:val="0"/>
        <w:autoSpaceDE w:val="0"/>
        <w:autoSpaceDN w:val="0"/>
        <w:spacing w:after="120" w:line="276" w:lineRule="auto"/>
        <w:jc w:val="both"/>
        <w:rPr>
          <w:rFonts w:ascii="Verdana" w:hAnsi="Verdana" w:cs="Arial"/>
          <w:shd w:val="clear" w:color="auto" w:fill="FFFFFF"/>
          <w:lang w:val="es-ES"/>
        </w:rPr>
      </w:pPr>
      <w:r>
        <w:rPr>
          <w:rFonts w:ascii="Verdana" w:hAnsi="Verdana"/>
        </w:rPr>
        <w:t>Esta Subdirección se ha pronunciado sobre la capacidad jurídica de los consorcios y las uniones temporales en los Conceptos 4201913000007643 del 26 de diciembre de 2019, C-343 del 17 de junio de 2020, C-518 del 9 de septiembre de 2020, C-614 del 5 de octubre de 2022, C-882 del 21 de diciembre de 2022, C-172 del 6 de junio de 2023, C-032 del 16 de abril de 2024, C-100 del 12 de junio de 2024 y C-238 del 9 de julio de 2024. Estos y otros se encuentran disponibles para consulta en el Sistema de relatoría de la Agencia, al cual puede accederse a través del siguiente enlace: https://relatoria.colombiacompra.gov.co/busqueda/conceptos.</w:t>
      </w:r>
    </w:p>
    <w:p w14:paraId="300D62A7" w14:textId="77777777" w:rsidR="007871E6" w:rsidRPr="00EE1130" w:rsidRDefault="007871E6">
      <w:pPr>
        <w:spacing w:after="0" w:line="276" w:lineRule="auto"/>
        <w:jc w:val="both"/>
        <w:rPr>
          <w:rFonts w:ascii="Verdana" w:hAnsi="Verdana" w:cs="Arial"/>
          <w:shd w:val="clear" w:color="auto" w:fill="FFFFFF"/>
        </w:rPr>
      </w:pPr>
      <w:r>
        <w:rPr>
          <w:rFonts w:ascii="Verdana" w:hAnsi="Verdana" w:cs="Arial"/>
          <w:shd w:val="clear" w:color="auto" w:fill="FFFFFF"/>
        </w:rPr>
        <w:t xml:space="preserve">La sostenibilidad no es una opción, es una obligación. Por ello, la Agencia Nacional de Contratación Pública –Colombia Compra Eficiente– te invita a realizar el Curso de Contratación Pública Sostenible y Socialmente Responsable,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 </w:t>
      </w:r>
      <w:hyperlink r:id="rId11" w:history="1">
        <w:r>
          <w:rPr>
            <w:rStyle w:val="Hipervnculo"/>
            <w:rFonts w:ascii="Verdana" w:hAnsi="Verdana" w:cs="Arial"/>
            <w:shd w:val="clear" w:color="auto" w:fill="FFFFFF"/>
          </w:rPr>
          <w:t>https://formacionvirtual.colombiacompra.gov.co/mod/page/view.php?id=3718</w:t>
        </w:r>
      </w:hyperlink>
      <w:r>
        <w:rPr>
          <w:rFonts w:ascii="Verdana" w:hAnsi="Verdana" w:cs="Arial"/>
          <w:shd w:val="clear" w:color="auto" w:fill="FFFFFF"/>
        </w:rPr>
        <w:t xml:space="preserve"> </w:t>
      </w:r>
    </w:p>
    <w:p w14:paraId="0C8E6D06" w14:textId="77777777" w:rsidR="007871E6" w:rsidRPr="001B3CBA" w:rsidRDefault="007871E6">
      <w:pPr>
        <w:spacing w:after="0" w:line="276" w:lineRule="auto"/>
        <w:jc w:val="both"/>
        <w:rPr>
          <w:rFonts w:ascii="Verdana" w:hAnsi="Verdana" w:cs="Arial"/>
          <w:shd w:val="clear" w:color="auto" w:fill="FFFFFF"/>
        </w:rPr>
      </w:pPr>
    </w:p>
    <w:p w14:paraId="4EF9362D" w14:textId="77777777" w:rsidR="007871E6" w:rsidRPr="00EE1130" w:rsidRDefault="007871E6">
      <w:pPr>
        <w:spacing w:after="0" w:line="276" w:lineRule="auto"/>
        <w:jc w:val="both"/>
        <w:rPr>
          <w:rFonts w:ascii="Verdana" w:hAnsi="Verdana" w:cs="Arial"/>
          <w:shd w:val="clear" w:color="auto" w:fill="FFFFFF"/>
        </w:rPr>
      </w:pPr>
      <w:r>
        <w:rPr>
          <w:rFonts w:ascii="Verdana" w:hAnsi="Verdana" w:cs="Arial"/>
          <w:shd w:val="clear" w:color="auto" w:fill="FFFFFF"/>
        </w:rPr>
        <w:t xml:space="preserve">De otro lado, te contamos que esta Agencia ha da un paso decisivo en la estandarización y modernización del sector social con la expedición de las Resoluciones 539, 540, 541, 952 y 953 de 2025, mediante las cuales adoptó Documentos Tipo para las modalidades de selección de licitación pública (versión 2), selección abreviada de menor cuantía, mínima cuantía, consultoría e interventoría, promoviendo procesos más transparentes, eficientes competitivos y sostenibles en sectores estratégicos como educación, salud, cultura, recreación, deporte, institucional y vivienda. Consulta y descarga los documentos aquí: </w:t>
      </w:r>
      <w:hyperlink r:id="rId12" w:history="1">
        <w:r>
          <w:rPr>
            <w:rStyle w:val="Hipervnculo"/>
            <w:rFonts w:ascii="Verdana" w:hAnsi="Verdana" w:cs="Arial"/>
            <w:shd w:val="clear" w:color="auto" w:fill="FFFFFF"/>
          </w:rPr>
          <w:t>https://www.colombiacompra.gov.co/normativa-y-relatoria/documentos-tipo</w:t>
        </w:r>
      </w:hyperlink>
    </w:p>
    <w:p w14:paraId="49A042A0" w14:textId="77777777" w:rsidR="007871E6" w:rsidRPr="00EE1130" w:rsidRDefault="007871E6">
      <w:pPr>
        <w:spacing w:after="0" w:line="276" w:lineRule="auto"/>
        <w:jc w:val="both"/>
        <w:rPr>
          <w:rFonts w:ascii="Verdana" w:hAnsi="Verdana" w:cs="Arial"/>
          <w:shd w:val="clear" w:color="auto" w:fill="FFFFFF"/>
        </w:rPr>
      </w:pPr>
    </w:p>
    <w:p w14:paraId="2428CBA5" w14:textId="77777777" w:rsidR="007871E6" w:rsidRPr="00EE1130" w:rsidRDefault="007871E6">
      <w:pPr>
        <w:spacing w:after="0" w:line="276" w:lineRule="auto"/>
        <w:jc w:val="both"/>
        <w:rPr>
          <w:rFonts w:ascii="Verdana" w:hAnsi="Verdana" w:cs="Arial"/>
          <w:shd w:val="clear" w:color="auto" w:fill="FFFFFF"/>
        </w:rPr>
      </w:pPr>
      <w:r>
        <w:rPr>
          <w:rFonts w:ascii="Verdana" w:hAnsi="Verdana" w:cs="Arial"/>
          <w:shd w:val="clear" w:color="auto" w:fill="FFFFFF"/>
        </w:rPr>
        <w:t xml:space="preserve">Si quieres conocer más sobre la aplicación de Documentos Tipo puedes consultar la última versión de la Guía para la comprensión e implementación de los Documentos Tipo de obra pública de infraestructura de transporte. En esta </w:t>
      </w:r>
      <w:r>
        <w:rPr>
          <w:rFonts w:ascii="Verdana" w:hAnsi="Verdana" w:cs="Arial"/>
          <w:shd w:val="clear" w:color="auto" w:fill="FFFFFF"/>
        </w:rPr>
        <w:lastRenderedPageBreak/>
        <w:t>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 https://www.colombiacompra.gov.co/archivos/manual/guia-para-la-comprension-e-implementacion-de-los-documentos-tipo-de-obra-publica-de-infraestructura-de-transporte-bajo-las-diferentes-modalidades-de-contratacion-vigentes</w:t>
      </w:r>
    </w:p>
    <w:p w14:paraId="4C193269" w14:textId="77777777" w:rsidR="007871E6" w:rsidRPr="00EE1130" w:rsidRDefault="007871E6">
      <w:pPr>
        <w:spacing w:after="0" w:line="276" w:lineRule="auto"/>
        <w:jc w:val="both"/>
        <w:rPr>
          <w:rFonts w:ascii="Verdana" w:hAnsi="Verdana" w:cs="Arial"/>
          <w:color w:val="ED7D31" w:themeColor="accent2"/>
          <w:shd w:val="clear" w:color="auto" w:fill="FFFFFF"/>
        </w:rPr>
      </w:pPr>
    </w:p>
    <w:p w14:paraId="7DAFCC32" w14:textId="77777777" w:rsidR="007871E6" w:rsidRPr="00EE1130" w:rsidRDefault="007871E6" w:rsidP="003248CC">
      <w:pPr>
        <w:spacing w:after="0" w:line="276" w:lineRule="auto"/>
        <w:jc w:val="both"/>
        <w:rPr>
          <w:rFonts w:ascii="Verdana" w:hAnsi="Verdana" w:cs="Arial"/>
          <w:shd w:val="clear" w:color="auto" w:fill="FFFFFF"/>
        </w:rPr>
      </w:pPr>
      <w:r>
        <w:rPr>
          <w:rFonts w:ascii="Verdana" w:hAnsi="Verdana" w:cs="Arial"/>
          <w:shd w:val="clear" w:color="auto" w:fill="FFFFFF"/>
        </w:rPr>
        <w:t xml:space="preserve">Por último, lo invitamos a seguirnos en las redes sociales en las cuales se difunde información institucional: </w:t>
      </w:r>
    </w:p>
    <w:p w14:paraId="5C398323" w14:textId="77777777" w:rsidR="007871E6" w:rsidRPr="00EE1130" w:rsidRDefault="007871E6" w:rsidP="003248CC">
      <w:pPr>
        <w:spacing w:after="0" w:line="276" w:lineRule="auto"/>
        <w:jc w:val="both"/>
        <w:rPr>
          <w:rFonts w:ascii="Verdana" w:hAnsi="Verdana" w:cs="Arial"/>
          <w:shd w:val="clear" w:color="auto" w:fill="FFFFFF"/>
        </w:rPr>
      </w:pPr>
    </w:p>
    <w:p w14:paraId="2568C1FD" w14:textId="77777777" w:rsidR="007871E6" w:rsidRPr="00EE1130" w:rsidRDefault="007871E6" w:rsidP="003248CC">
      <w:pPr>
        <w:spacing w:after="0" w:line="276" w:lineRule="auto"/>
        <w:jc w:val="both"/>
        <w:rPr>
          <w:rFonts w:ascii="Verdana" w:hAnsi="Verdana" w:cs="Arial"/>
          <w:shd w:val="clear" w:color="auto" w:fill="FFFFFF"/>
        </w:rPr>
      </w:pPr>
      <w:r>
        <w:rPr>
          <w:rFonts w:ascii="Verdana" w:hAnsi="Verdana" w:cs="Arial"/>
          <w:shd w:val="clear" w:color="auto" w:fill="FFFFFF"/>
        </w:rPr>
        <w:t xml:space="preserve">Twitter: </w:t>
      </w:r>
      <w:r>
        <w:rPr>
          <w:rStyle w:val="Hipervnculo"/>
          <w:rFonts w:ascii="Verdana" w:hAnsi="Verdana"/>
          <w:lang w:val="es-ES"/>
        </w:rPr>
        <w:t>@colombiacompra</w:t>
      </w:r>
      <w:r>
        <w:rPr>
          <w:rStyle w:val="Hipervnculo"/>
          <w:rFonts w:ascii="Verdana" w:hAnsi="Verdana"/>
          <w:color w:val="auto"/>
          <w:lang w:val="es-ES"/>
        </w:rPr>
        <w:t xml:space="preserve"> </w:t>
      </w:r>
    </w:p>
    <w:p w14:paraId="3EE6CC72" w14:textId="77777777" w:rsidR="007871E6" w:rsidRPr="00EE1130" w:rsidRDefault="007871E6" w:rsidP="003248CC">
      <w:pPr>
        <w:spacing w:after="0" w:line="276" w:lineRule="auto"/>
        <w:jc w:val="both"/>
        <w:rPr>
          <w:rFonts w:ascii="Verdana" w:hAnsi="Verdana" w:cs="Arial"/>
          <w:shd w:val="clear" w:color="auto" w:fill="FFFFFF"/>
        </w:rPr>
      </w:pPr>
      <w:r>
        <w:rPr>
          <w:rFonts w:ascii="Verdana" w:hAnsi="Verdana" w:cs="Arial"/>
          <w:shd w:val="clear" w:color="auto" w:fill="FFFFFF"/>
        </w:rPr>
        <w:t>Facebook:</w:t>
      </w:r>
      <w:r>
        <w:rPr>
          <w:rStyle w:val="Hipervnculo"/>
          <w:rFonts w:ascii="Verdana" w:hAnsi="Verdana"/>
          <w:lang w:val="es-ES"/>
        </w:rPr>
        <w:t xml:space="preserve"> ColombiaCompraEficiente</w:t>
      </w:r>
    </w:p>
    <w:p w14:paraId="373DFA78" w14:textId="77777777" w:rsidR="007871E6" w:rsidRPr="00EE1130" w:rsidRDefault="007871E6" w:rsidP="003248CC">
      <w:pPr>
        <w:spacing w:after="0" w:line="276" w:lineRule="auto"/>
        <w:jc w:val="both"/>
        <w:rPr>
          <w:rFonts w:ascii="Verdana" w:hAnsi="Verdana" w:cs="Arial"/>
          <w:shd w:val="clear" w:color="auto" w:fill="FFFFFF"/>
        </w:rPr>
      </w:pPr>
      <w:r>
        <w:rPr>
          <w:rFonts w:ascii="Verdana" w:hAnsi="Verdana" w:cs="Arial"/>
          <w:shd w:val="clear" w:color="auto" w:fill="FFFFFF"/>
        </w:rPr>
        <w:t xml:space="preserve">LinkedIn: </w:t>
      </w:r>
      <w:r>
        <w:rPr>
          <w:rStyle w:val="Hipervnculo"/>
          <w:rFonts w:ascii="Verdana" w:hAnsi="Verdana"/>
          <w:lang w:val="es-ES"/>
        </w:rPr>
        <w:t>Agencia Nacional de Contratación Pública - Colombia Compra Eficiente</w:t>
      </w:r>
      <w:r>
        <w:rPr>
          <w:rFonts w:ascii="Verdana" w:hAnsi="Verdana" w:cs="Arial"/>
          <w:color w:val="0000FF"/>
          <w:shd w:val="clear" w:color="auto" w:fill="FFFFFF"/>
        </w:rPr>
        <w:t xml:space="preserve"> </w:t>
      </w:r>
    </w:p>
    <w:p w14:paraId="5FBEAB41" w14:textId="77777777" w:rsidR="007871E6" w:rsidRPr="00EE1130" w:rsidRDefault="007871E6" w:rsidP="003248CC">
      <w:pPr>
        <w:spacing w:after="0" w:line="276" w:lineRule="auto"/>
        <w:jc w:val="both"/>
        <w:rPr>
          <w:rFonts w:ascii="Verdana" w:hAnsi="Verdana" w:cs="Arial"/>
          <w:shd w:val="clear" w:color="auto" w:fill="FFFFFF"/>
        </w:rPr>
      </w:pPr>
      <w:r>
        <w:rPr>
          <w:rFonts w:ascii="Verdana" w:hAnsi="Verdana" w:cs="Arial"/>
          <w:shd w:val="clear" w:color="auto" w:fill="FFFFFF"/>
        </w:rPr>
        <w:t xml:space="preserve">Instagram: </w:t>
      </w:r>
      <w:r>
        <w:rPr>
          <w:rStyle w:val="Hipervnculo"/>
          <w:rFonts w:ascii="Verdana" w:hAnsi="Verdana"/>
          <w:lang w:val="es-ES"/>
        </w:rPr>
        <w:t>@colombiacompraeficiente_cce</w:t>
      </w:r>
    </w:p>
    <w:p w14:paraId="30BCB867" w14:textId="77777777" w:rsidR="007871E6" w:rsidRPr="00EE1130" w:rsidRDefault="007871E6" w:rsidP="00EE1130">
      <w:pPr>
        <w:widowControl w:val="0"/>
        <w:autoSpaceDE w:val="0"/>
        <w:autoSpaceDN w:val="0"/>
        <w:spacing w:after="0" w:line="276" w:lineRule="auto"/>
        <w:jc w:val="both"/>
        <w:rPr>
          <w:rFonts w:ascii="Verdana" w:hAnsi="Verdana" w:cs="Arial"/>
          <w:color w:val="ED7D31" w:themeColor="accent2"/>
          <w:lang w:val="es-ES"/>
        </w:rPr>
      </w:pPr>
    </w:p>
    <w:p w14:paraId="52FB0E73" w14:textId="77777777" w:rsidR="007871E6" w:rsidRPr="00EE1130" w:rsidRDefault="007871E6" w:rsidP="001B3CBA">
      <w:pPr>
        <w:widowControl w:val="0"/>
        <w:autoSpaceDE w:val="0"/>
        <w:autoSpaceDN w:val="0"/>
        <w:spacing w:after="0" w:line="276" w:lineRule="auto"/>
        <w:jc w:val="both"/>
        <w:rPr>
          <w:rFonts w:ascii="Verdana" w:hAnsi="Verdana" w:cs="Arial"/>
          <w:lang w:val="es-ES"/>
        </w:rPr>
      </w:pPr>
      <w:r>
        <w:rPr>
          <w:rFonts w:ascii="Verdana" w:hAnsi="Verdana" w:cs="Arial"/>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0466331D" w14:textId="77777777" w:rsidR="007871E6" w:rsidRPr="00EE1130" w:rsidRDefault="007871E6">
      <w:pPr>
        <w:widowControl w:val="0"/>
        <w:autoSpaceDE w:val="0"/>
        <w:autoSpaceDN w:val="0"/>
        <w:spacing w:after="0" w:line="276" w:lineRule="auto"/>
        <w:jc w:val="both"/>
        <w:rPr>
          <w:rFonts w:ascii="Verdana" w:hAnsi="Verdana" w:cs="Arial"/>
          <w:lang w:val="es-ES"/>
        </w:rPr>
      </w:pPr>
    </w:p>
    <w:p w14:paraId="5FC39123" w14:textId="77777777" w:rsidR="007871E6" w:rsidRPr="00EE1130" w:rsidRDefault="007871E6">
      <w:pPr>
        <w:spacing w:after="0" w:line="276" w:lineRule="auto"/>
        <w:rPr>
          <w:rFonts w:ascii="Verdana" w:hAnsi="Verdana" w:cs="Arial"/>
          <w:lang w:val="es-ES" w:eastAsia="es-CO"/>
        </w:rPr>
      </w:pPr>
      <w:r>
        <w:rPr>
          <w:rFonts w:ascii="Verdana" w:eastAsia="Times New Roman" w:hAnsi="Verdana" w:cs="Arial"/>
          <w:lang w:val="es-ES" w:eastAsia="es-CO"/>
        </w:rPr>
        <w:t>Atentamente,</w:t>
      </w:r>
      <w:r>
        <w:rPr>
          <w:rFonts w:ascii="Verdana" w:hAnsi="Verdana" w:cs="Arial"/>
          <w:lang w:val="es-ES" w:eastAsia="es-CO"/>
        </w:rPr>
        <w:t xml:space="preserve"> </w:t>
      </w:r>
    </w:p>
    <w:p w14:paraId="6CA3CEFE" w14:textId="4C956EAA" w:rsidR="007871E6" w:rsidRPr="00206556" w:rsidRDefault="00055FE7" w:rsidP="007871E6">
      <w:pPr>
        <w:spacing w:after="0" w:line="256" w:lineRule="auto"/>
        <w:jc w:val="center"/>
        <w:rPr>
          <w:rFonts w:ascii="Verdana" w:eastAsia="Times New Roman" w:hAnsi="Verdana" w:cs="Arial"/>
          <w:lang w:eastAsia="es-ES"/>
        </w:rPr>
      </w:pPr>
      <w:r>
        <w:rPr>
          <w:rFonts w:ascii="Verdana" w:eastAsia="Times New Roman" w:hAnsi="Verdana" w:cs="Arial"/>
          <w:noProof/>
          <w:lang w:eastAsia="es-ES"/>
        </w:rPr>
        <w:drawing>
          <wp:inline distT="0" distB="0" distL="0" distR="0" wp14:anchorId="1BC33FC9" wp14:editId="3913A3DF">
            <wp:extent cx="2632710" cy="971759"/>
            <wp:effectExtent l="0" t="0" r="0" b="0"/>
            <wp:docPr id="2627338"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7338" name="Imagen 1" descr="Texto&#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2635479" cy="972781"/>
                    </a:xfrm>
                    <a:prstGeom prst="rect">
                      <a:avLst/>
                    </a:prstGeom>
                  </pic:spPr>
                </pic:pic>
              </a:graphicData>
            </a:graphic>
          </wp:inline>
        </w:drawing>
      </w:r>
    </w:p>
    <w:p w14:paraId="6348D9F6" w14:textId="77777777" w:rsidR="007871E6" w:rsidRPr="00206556" w:rsidRDefault="007871E6" w:rsidP="003248CC">
      <w:pPr>
        <w:spacing w:after="0" w:line="240" w:lineRule="auto"/>
        <w:rPr>
          <w:rFonts w:ascii="Verdana" w:eastAsia="Times New Roman" w:hAnsi="Verdana" w:cs="Arial"/>
          <w:lang w:eastAsia="es-ES"/>
        </w:rPr>
      </w:pPr>
    </w:p>
    <w:tbl>
      <w:tblPr>
        <w:tblW w:w="6570" w:type="dxa"/>
        <w:tblInd w:w="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33"/>
        <w:gridCol w:w="5837"/>
      </w:tblGrid>
      <w:tr w:rsidR="007871E6" w:rsidRPr="00206556" w14:paraId="2CECCF6C" w14:textId="77777777" w:rsidTr="000A1473">
        <w:trPr>
          <w:trHeight w:val="322"/>
        </w:trPr>
        <w:tc>
          <w:tcPr>
            <w:tcW w:w="733" w:type="dxa"/>
            <w:tcBorders>
              <w:top w:val="nil"/>
              <w:left w:val="nil"/>
              <w:bottom w:val="nil"/>
              <w:right w:val="nil"/>
            </w:tcBorders>
            <w:vAlign w:val="center"/>
            <w:hideMark/>
          </w:tcPr>
          <w:p w14:paraId="7CDE9D96" w14:textId="77777777" w:rsidR="007871E6" w:rsidRPr="00206556" w:rsidRDefault="007871E6" w:rsidP="000A1473">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val="es-MX" w:eastAsia="es-CO"/>
              </w:rPr>
              <w:t>Elaboró:         </w:t>
            </w:r>
            <w:r>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035080ED" w14:textId="77777777" w:rsidR="007871E6" w:rsidRPr="00206556" w:rsidRDefault="007871E6" w:rsidP="000A1473">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eastAsia="es-CO"/>
              </w:rPr>
              <w:t>Gloria Elizabeth Arango Builes</w:t>
            </w:r>
          </w:p>
          <w:p w14:paraId="426EBA45" w14:textId="77777777" w:rsidR="007871E6" w:rsidRPr="00206556" w:rsidRDefault="007871E6" w:rsidP="000A1473">
            <w:pPr>
              <w:spacing w:after="0" w:line="256" w:lineRule="auto"/>
              <w:rPr>
                <w:rFonts w:ascii="Verdana" w:eastAsia="Times New Roman" w:hAnsi="Verdana" w:cs="Arial"/>
                <w:sz w:val="16"/>
                <w:szCs w:val="16"/>
                <w:lang w:val="es-ES_tradnl" w:eastAsia="es-ES"/>
              </w:rPr>
            </w:pPr>
            <w:r>
              <w:rPr>
                <w:rFonts w:ascii="Verdana" w:eastAsia="Times New Roman" w:hAnsi="Verdana" w:cs="Arial"/>
                <w:sz w:val="16"/>
                <w:szCs w:val="16"/>
                <w:lang w:eastAsia="es-ES"/>
              </w:rPr>
              <w:t xml:space="preserve">Contratista </w:t>
            </w:r>
            <w:r>
              <w:rPr>
                <w:rFonts w:ascii="Verdana" w:eastAsia="Times New Roman" w:hAnsi="Verdana" w:cs="Times New Roman"/>
                <w:sz w:val="16"/>
                <w:szCs w:val="16"/>
                <w:lang w:eastAsia="es-CO"/>
              </w:rPr>
              <w:t>de la Subdirección de Gestión Contractual</w:t>
            </w:r>
          </w:p>
        </w:tc>
      </w:tr>
      <w:tr w:rsidR="007871E6" w:rsidRPr="00206556" w14:paraId="687B72F9" w14:textId="77777777" w:rsidTr="000A1473">
        <w:trPr>
          <w:trHeight w:val="322"/>
        </w:trPr>
        <w:tc>
          <w:tcPr>
            <w:tcW w:w="733" w:type="dxa"/>
            <w:tcBorders>
              <w:top w:val="nil"/>
              <w:left w:val="nil"/>
              <w:bottom w:val="nil"/>
              <w:right w:val="nil"/>
            </w:tcBorders>
            <w:vAlign w:val="center"/>
            <w:hideMark/>
          </w:tcPr>
          <w:p w14:paraId="13DE315D" w14:textId="77777777" w:rsidR="007871E6" w:rsidRPr="00206556" w:rsidRDefault="007871E6" w:rsidP="000A1473">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val="es-MX" w:eastAsia="es-CO"/>
              </w:rPr>
              <w:t>Revisó:</w:t>
            </w:r>
            <w:r>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4E186911" w14:textId="77777777" w:rsidR="007871E6" w:rsidRPr="00206556" w:rsidRDefault="00D13655" w:rsidP="000A1473">
            <w:pPr>
              <w:spacing w:after="0" w:line="256" w:lineRule="auto"/>
              <w:rPr>
                <w:rFonts w:ascii="Verdana" w:eastAsia="Times New Roman" w:hAnsi="Verdana" w:cs="Arial"/>
                <w:sz w:val="16"/>
                <w:szCs w:val="16"/>
                <w:lang w:val="es-ES_tradnl" w:eastAsia="es-ES"/>
              </w:rPr>
            </w:pPr>
            <w:r>
              <w:rPr>
                <w:rFonts w:ascii="Verdana" w:eastAsia="Times New Roman" w:hAnsi="Verdana" w:cs="Arial"/>
                <w:sz w:val="16"/>
                <w:szCs w:val="16"/>
                <w:lang w:val="es-ES_tradnl" w:eastAsia="es-ES"/>
              </w:rPr>
              <w:t>Juan David Cárdenas Cabeza</w:t>
            </w:r>
          </w:p>
          <w:p w14:paraId="1983986E" w14:textId="77777777" w:rsidR="007871E6" w:rsidRPr="00206556" w:rsidRDefault="007871E6" w:rsidP="003248CC">
            <w:pPr>
              <w:autoSpaceDE w:val="0"/>
              <w:autoSpaceDN w:val="0"/>
              <w:adjustRightInd w:val="0"/>
              <w:spacing w:after="0" w:line="276" w:lineRule="auto"/>
              <w:rPr>
                <w:rFonts w:ascii="Verdana" w:eastAsia="Times New Roman" w:hAnsi="Verdana" w:cs="Times New Roman"/>
                <w:sz w:val="16"/>
                <w:szCs w:val="16"/>
                <w:lang w:eastAsia="es-CO"/>
              </w:rPr>
            </w:pPr>
            <w:r>
              <w:rPr>
                <w:rFonts w:ascii="Verdana" w:eastAsia="Times New Roman" w:hAnsi="Verdana" w:cs="Arial"/>
                <w:sz w:val="16"/>
                <w:szCs w:val="16"/>
                <w:lang w:eastAsia="es-ES"/>
              </w:rPr>
              <w:t>Contratista de la Subdirección de Gestión Contractual</w:t>
            </w:r>
          </w:p>
        </w:tc>
      </w:tr>
      <w:tr w:rsidR="007871E6" w:rsidRPr="00206556" w14:paraId="36735FF6" w14:textId="77777777" w:rsidTr="000A1473">
        <w:trPr>
          <w:trHeight w:val="307"/>
        </w:trPr>
        <w:tc>
          <w:tcPr>
            <w:tcW w:w="733" w:type="dxa"/>
            <w:tcBorders>
              <w:top w:val="nil"/>
              <w:left w:val="nil"/>
              <w:bottom w:val="nil"/>
              <w:right w:val="nil"/>
            </w:tcBorders>
            <w:vAlign w:val="center"/>
            <w:hideMark/>
          </w:tcPr>
          <w:p w14:paraId="62F6B171" w14:textId="77777777" w:rsidR="007871E6" w:rsidRPr="00206556" w:rsidRDefault="007871E6" w:rsidP="000A1473">
            <w:pPr>
              <w:spacing w:after="0" w:line="240" w:lineRule="auto"/>
              <w:textAlignment w:val="baseline"/>
              <w:rPr>
                <w:rFonts w:ascii="Verdana" w:eastAsia="Times New Roman" w:hAnsi="Verdana" w:cs="Times New Roman"/>
                <w:sz w:val="16"/>
                <w:szCs w:val="16"/>
                <w:lang w:eastAsia="es-CO"/>
              </w:rPr>
            </w:pPr>
            <w:r>
              <w:rPr>
                <w:rFonts w:ascii="Verdana" w:eastAsia="Times New Roman" w:hAnsi="Verdana" w:cs="Times New Roman"/>
                <w:sz w:val="16"/>
                <w:szCs w:val="16"/>
                <w:lang w:val="es-MX" w:eastAsia="es-CO"/>
              </w:rPr>
              <w:t>Aprobó:</w:t>
            </w:r>
            <w:r>
              <w:rPr>
                <w:rFonts w:ascii="Verdana" w:eastAsia="Times New Roman" w:hAnsi="Verdana" w:cs="Times New Roman"/>
                <w:sz w:val="16"/>
                <w:szCs w:val="16"/>
                <w:lang w:eastAsia="es-CO"/>
              </w:rPr>
              <w:t> </w:t>
            </w:r>
          </w:p>
        </w:tc>
        <w:tc>
          <w:tcPr>
            <w:tcW w:w="5837" w:type="dxa"/>
            <w:tcBorders>
              <w:top w:val="dotted" w:sz="6" w:space="0" w:color="7F7F7F"/>
              <w:left w:val="nil"/>
              <w:bottom w:val="dotted" w:sz="6" w:space="0" w:color="7F7F7F"/>
              <w:right w:val="nil"/>
            </w:tcBorders>
            <w:vAlign w:val="center"/>
            <w:hideMark/>
          </w:tcPr>
          <w:p w14:paraId="2D0226FA" w14:textId="77777777" w:rsidR="007871E6" w:rsidRPr="00206556" w:rsidRDefault="007871E6" w:rsidP="000A1473">
            <w:pPr>
              <w:spacing w:after="0" w:line="256" w:lineRule="auto"/>
              <w:rPr>
                <w:rFonts w:ascii="Verdana" w:eastAsia="Times New Roman" w:hAnsi="Verdana" w:cs="Arial"/>
                <w:sz w:val="16"/>
                <w:szCs w:val="16"/>
                <w:lang w:eastAsia="es-ES"/>
              </w:rPr>
            </w:pPr>
            <w:r>
              <w:rPr>
                <w:rFonts w:ascii="Verdana" w:eastAsia="Times New Roman" w:hAnsi="Verdana" w:cs="Arial"/>
                <w:sz w:val="16"/>
                <w:szCs w:val="16"/>
                <w:lang w:eastAsia="es-ES"/>
              </w:rPr>
              <w:t>Carolina Quintero Gacharná</w:t>
            </w:r>
          </w:p>
          <w:p w14:paraId="469E0003" w14:textId="77777777" w:rsidR="007871E6" w:rsidRPr="00206556" w:rsidRDefault="007871E6" w:rsidP="000A1473">
            <w:pPr>
              <w:spacing w:after="0" w:line="256" w:lineRule="auto"/>
              <w:rPr>
                <w:rFonts w:ascii="Verdana" w:eastAsia="Times New Roman" w:hAnsi="Verdana" w:cs="Arial"/>
                <w:sz w:val="16"/>
                <w:szCs w:val="16"/>
                <w:lang w:eastAsia="es-ES"/>
              </w:rPr>
            </w:pPr>
            <w:r>
              <w:rPr>
                <w:rFonts w:ascii="Verdana" w:eastAsia="Times New Roman" w:hAnsi="Verdana" w:cs="Arial"/>
                <w:sz w:val="16"/>
                <w:szCs w:val="16"/>
                <w:lang w:eastAsia="es-ES"/>
              </w:rPr>
              <w:t>Subdirectora de Gestión Contractual ANCP – CCE</w:t>
            </w:r>
          </w:p>
        </w:tc>
      </w:tr>
    </w:tbl>
    <w:p w14:paraId="0335374A" w14:textId="77777777" w:rsidR="007871E6" w:rsidRDefault="007871E6" w:rsidP="007871E6">
      <w:pPr>
        <w:autoSpaceDE w:val="0"/>
        <w:autoSpaceDN w:val="0"/>
        <w:adjustRightInd w:val="0"/>
        <w:spacing w:after="0" w:line="276" w:lineRule="auto"/>
        <w:jc w:val="center"/>
        <w:rPr>
          <w:rFonts w:ascii="Verdana" w:eastAsia="Calibri" w:hAnsi="Verdana" w:cs="Arial"/>
        </w:rPr>
      </w:pPr>
    </w:p>
    <w:sectPr w:rsidR="007871E6" w:rsidSect="007C0C0F">
      <w:headerReference w:type="default" r:id="rId14"/>
      <w:footerReference w:type="default" r:id="rId15"/>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8F415" w14:textId="77777777" w:rsidR="00A43FB8" w:rsidRDefault="00A43FB8" w:rsidP="004A1847">
      <w:pPr>
        <w:spacing w:after="0" w:line="240" w:lineRule="auto"/>
      </w:pPr>
      <w:r>
        <w:separator/>
      </w:r>
    </w:p>
  </w:endnote>
  <w:endnote w:type="continuationSeparator" w:id="0">
    <w:p w14:paraId="77BE762F" w14:textId="77777777" w:rsidR="00A43FB8" w:rsidRDefault="00A43FB8" w:rsidP="004A1847">
      <w:pPr>
        <w:spacing w:after="0" w:line="240" w:lineRule="auto"/>
      </w:pPr>
      <w:r>
        <w:continuationSeparator/>
      </w:r>
    </w:p>
  </w:endnote>
  <w:endnote w:type="continuationNotice" w:id="1">
    <w:p w14:paraId="13853EC1" w14:textId="77777777" w:rsidR="00A43FB8" w:rsidRDefault="00A43F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E8638" w14:textId="77777777" w:rsidR="004A1847" w:rsidRDefault="004A1847">
    <w:pPr>
      <w:pStyle w:val="Piedepgina"/>
    </w:pPr>
  </w:p>
  <w:p w14:paraId="58CFECB5"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3BB8B7D7"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38719603"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894C1EF" w14:textId="77777777"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77D00" w14:textId="77777777" w:rsidR="00A43FB8" w:rsidRDefault="00A43FB8" w:rsidP="004A1847">
      <w:pPr>
        <w:spacing w:after="0" w:line="240" w:lineRule="auto"/>
      </w:pPr>
      <w:r>
        <w:separator/>
      </w:r>
    </w:p>
  </w:footnote>
  <w:footnote w:type="continuationSeparator" w:id="0">
    <w:p w14:paraId="727378DB" w14:textId="77777777" w:rsidR="00A43FB8" w:rsidRDefault="00A43FB8" w:rsidP="004A1847">
      <w:pPr>
        <w:spacing w:after="0" w:line="240" w:lineRule="auto"/>
      </w:pPr>
      <w:r>
        <w:continuationSeparator/>
      </w:r>
    </w:p>
  </w:footnote>
  <w:footnote w:type="continuationNotice" w:id="1">
    <w:p w14:paraId="693370E5" w14:textId="77777777" w:rsidR="00A43FB8" w:rsidRDefault="00A43FB8">
      <w:pPr>
        <w:spacing w:after="0" w:line="240" w:lineRule="auto"/>
      </w:pPr>
    </w:p>
  </w:footnote>
  <w:footnote w:id="2">
    <w:p w14:paraId="25D89357" w14:textId="77777777" w:rsidR="00357EB3" w:rsidRDefault="00000000">
      <w:pPr>
        <w:spacing w:after="0" w:line="240" w:lineRule="auto"/>
        <w:ind w:firstLine="708"/>
        <w:jc w:val="both"/>
        <w:rPr>
          <w:rFonts w:ascii="Verdana" w:hAnsi="Verdana"/>
          <w:color w:val="000000" w:themeColor="text1"/>
          <w:sz w:val="16"/>
          <w:szCs w:val="16"/>
        </w:rPr>
      </w:pPr>
      <w:r>
        <w:rPr>
          <w:rStyle w:val="Refdenotaalpie"/>
          <w:rFonts w:ascii="Verdana" w:hAnsi="Verdana"/>
          <w:sz w:val="16"/>
          <w:szCs w:val="16"/>
        </w:rPr>
        <w:footnoteRef/>
      </w:r>
      <w:r>
        <w:rPr>
          <w:rFonts w:ascii="Verdana" w:hAnsi="Verdana"/>
          <w:sz w:val="16"/>
          <w:szCs w:val="16"/>
        </w:rPr>
        <w:t xml:space="preserve"> Corte Constitucional. Sentencia C-949 del 5 de septiembre de 2001. M.P. Clara Inés Vargas Hernández.</w:t>
      </w:r>
    </w:p>
  </w:footnote>
  <w:footnote w:id="3">
    <w:p w14:paraId="00993F96" w14:textId="77777777" w:rsidR="00755595" w:rsidRPr="00DB2EFF" w:rsidRDefault="00755595" w:rsidP="00755595">
      <w:pPr>
        <w:spacing w:after="0" w:line="240" w:lineRule="auto"/>
        <w:ind w:firstLine="708"/>
        <w:jc w:val="both"/>
        <w:rPr>
          <w:rFonts w:ascii="Verdana" w:hAnsi="Verdana"/>
          <w:color w:val="000000" w:themeColor="text1"/>
          <w:sz w:val="16"/>
          <w:szCs w:val="16"/>
        </w:rPr>
      </w:pPr>
      <w:r w:rsidRPr="00DB2EFF">
        <w:rPr>
          <w:rStyle w:val="Refdenotaalpie"/>
          <w:rFonts w:ascii="Verdana" w:hAnsi="Verdana"/>
          <w:color w:val="000000" w:themeColor="text1"/>
          <w:sz w:val="16"/>
          <w:szCs w:val="16"/>
        </w:rPr>
        <w:footnoteRef/>
      </w:r>
      <w:r w:rsidRPr="00483A77">
        <w:rPr>
          <w:rFonts w:ascii="Verdana" w:hAnsi="Verdana"/>
          <w:color w:val="000000" w:themeColor="text1"/>
          <w:sz w:val="16"/>
          <w:szCs w:val="16"/>
        </w:rPr>
        <w:t xml:space="preserve"> ALESSANDRI R. Arturo, SOMARRIVA U. Manuel y VODANOVIC H. Antonio. </w:t>
      </w:r>
      <w:r w:rsidRPr="00DB2EFF">
        <w:rPr>
          <w:rFonts w:ascii="Verdana" w:hAnsi="Verdana"/>
          <w:color w:val="000000" w:themeColor="text1"/>
          <w:sz w:val="16"/>
          <w:szCs w:val="16"/>
        </w:rPr>
        <w:t>Tratado de las obligaciones, VII, Editorial Jurídica de Chile. 2Ed., 2004, Chile, p. 11.</w:t>
      </w:r>
    </w:p>
    <w:p w14:paraId="1228FBD7" w14:textId="77777777" w:rsidR="00755595" w:rsidRPr="00DB2EFF" w:rsidRDefault="00755595" w:rsidP="00755595">
      <w:pPr>
        <w:spacing w:after="0" w:line="240" w:lineRule="auto"/>
        <w:ind w:firstLine="708"/>
        <w:jc w:val="both"/>
        <w:rPr>
          <w:rFonts w:ascii="Verdana" w:hAnsi="Verdana"/>
          <w:color w:val="000000" w:themeColor="text1"/>
          <w:sz w:val="16"/>
          <w:szCs w:val="16"/>
        </w:rPr>
      </w:pPr>
    </w:p>
  </w:footnote>
  <w:footnote w:id="4">
    <w:p w14:paraId="4952303D" w14:textId="77777777" w:rsidR="00755595" w:rsidRPr="00DB2EFF" w:rsidRDefault="00755595" w:rsidP="00755595">
      <w:pPr>
        <w:spacing w:after="0" w:line="240" w:lineRule="auto"/>
        <w:ind w:firstLine="708"/>
        <w:jc w:val="both"/>
        <w:rPr>
          <w:rFonts w:ascii="Verdana" w:hAnsi="Verdana" w:cs="Arial"/>
          <w:color w:val="000000" w:themeColor="text1"/>
          <w:sz w:val="16"/>
          <w:szCs w:val="16"/>
        </w:rPr>
      </w:pPr>
      <w:r w:rsidRPr="00DB2EFF">
        <w:rPr>
          <w:rStyle w:val="Refdenotaalpie"/>
          <w:rFonts w:ascii="Verdana" w:hAnsi="Verdana" w:cs="Arial"/>
          <w:color w:val="000000" w:themeColor="text1"/>
          <w:sz w:val="16"/>
          <w:szCs w:val="16"/>
        </w:rPr>
        <w:footnoteRef/>
      </w:r>
      <w:r w:rsidRPr="00DB2EFF">
        <w:rPr>
          <w:rFonts w:ascii="Verdana" w:hAnsi="Verdana" w:cs="Arial"/>
          <w:color w:val="000000" w:themeColor="text1"/>
          <w:sz w:val="16"/>
          <w:szCs w:val="16"/>
        </w:rPr>
        <w:t xml:space="preserve"> “Artículo 1634 del Código Civil. Para que el pago sea válido, debe hacerse o al acreedor mismo (bajo cuyo nombre se entienden todos los que le hayan sucedido en el crédito aún a título singular), o a la persona que la ley o el juez autoricen a recibir por él, o a la persona diputada por el acreedor para el cobro.</w:t>
      </w:r>
    </w:p>
    <w:p w14:paraId="71115DED" w14:textId="77777777" w:rsidR="00755595" w:rsidRPr="00DB2EFF" w:rsidRDefault="00755595" w:rsidP="00755595">
      <w:pPr>
        <w:spacing w:after="0" w:line="240" w:lineRule="auto"/>
        <w:ind w:firstLine="708"/>
        <w:jc w:val="both"/>
        <w:rPr>
          <w:rFonts w:ascii="Verdana" w:hAnsi="Verdana" w:cs="Arial"/>
          <w:color w:val="000000" w:themeColor="text1"/>
          <w:sz w:val="16"/>
          <w:szCs w:val="16"/>
        </w:rPr>
      </w:pPr>
      <w:r w:rsidRPr="00DB2EFF">
        <w:rPr>
          <w:rFonts w:ascii="Verdana" w:hAnsi="Verdana" w:cs="Arial"/>
          <w:color w:val="000000" w:themeColor="text1"/>
          <w:sz w:val="16"/>
          <w:szCs w:val="16"/>
        </w:rPr>
        <w:t>El pago hecho de buena fe a la persona que estaba entonces en posesión del crédito, es válido, aunque después aparezca que el crédito no le pertenecía”.</w:t>
      </w:r>
    </w:p>
    <w:p w14:paraId="424D3373" w14:textId="77777777" w:rsidR="00755595" w:rsidRPr="00DB2EFF" w:rsidRDefault="00755595" w:rsidP="00755595">
      <w:pPr>
        <w:spacing w:after="0" w:line="240" w:lineRule="auto"/>
        <w:ind w:firstLine="708"/>
        <w:jc w:val="both"/>
        <w:rPr>
          <w:rFonts w:ascii="Verdana" w:hAnsi="Verdana" w:cs="Arial"/>
          <w:color w:val="000000" w:themeColor="text1"/>
          <w:sz w:val="16"/>
          <w:szCs w:val="16"/>
        </w:rPr>
      </w:pPr>
    </w:p>
  </w:footnote>
  <w:footnote w:id="5">
    <w:p w14:paraId="26BBA16A" w14:textId="77777777" w:rsidR="00755595" w:rsidRPr="00DB2EFF" w:rsidRDefault="00755595" w:rsidP="00755595">
      <w:pPr>
        <w:spacing w:after="0" w:line="240" w:lineRule="auto"/>
        <w:ind w:firstLine="708"/>
        <w:jc w:val="both"/>
        <w:rPr>
          <w:rFonts w:ascii="Verdana" w:hAnsi="Verdana" w:cs="Arial"/>
          <w:color w:val="000000" w:themeColor="text1"/>
          <w:sz w:val="16"/>
          <w:szCs w:val="16"/>
        </w:rPr>
      </w:pPr>
      <w:r w:rsidRPr="00DB2EFF">
        <w:rPr>
          <w:rStyle w:val="Refdenotaalpie"/>
          <w:rFonts w:ascii="Verdana" w:hAnsi="Verdana" w:cs="Arial"/>
          <w:color w:val="000000" w:themeColor="text1"/>
          <w:sz w:val="16"/>
          <w:szCs w:val="16"/>
        </w:rPr>
        <w:footnoteRef/>
      </w:r>
      <w:r w:rsidRPr="00DB2EFF">
        <w:rPr>
          <w:rFonts w:ascii="Verdana" w:hAnsi="Verdana" w:cs="Arial"/>
          <w:color w:val="000000" w:themeColor="text1"/>
          <w:sz w:val="16"/>
          <w:szCs w:val="16"/>
        </w:rPr>
        <w:t xml:space="preserve"> “Código Civil, Artículo 1635: El pago hecho a una persona diversa de las expresadas en el artículo precedente, es válido, si el acreedor lo ratifica de un modo expreso o tácito, pudiendo legítimamente hacerlo; o si el que ha recibido el pago sucede en el crédito, como heredero del acreedor, o bajo otro título cualquiera.</w:t>
      </w:r>
    </w:p>
    <w:p w14:paraId="072C22CC" w14:textId="77777777" w:rsidR="00755595" w:rsidRPr="00DB2EFF" w:rsidRDefault="00755595" w:rsidP="00755595">
      <w:pPr>
        <w:spacing w:after="0" w:line="240" w:lineRule="auto"/>
        <w:jc w:val="both"/>
        <w:rPr>
          <w:rFonts w:ascii="Verdana" w:hAnsi="Verdana" w:cs="Arial"/>
          <w:color w:val="000000" w:themeColor="text1"/>
          <w:sz w:val="16"/>
          <w:szCs w:val="16"/>
        </w:rPr>
      </w:pPr>
      <w:r w:rsidRPr="00DB2EFF">
        <w:rPr>
          <w:rFonts w:ascii="Verdana" w:hAnsi="Verdana" w:cs="Arial"/>
          <w:color w:val="000000" w:themeColor="text1"/>
          <w:sz w:val="16"/>
          <w:szCs w:val="16"/>
        </w:rPr>
        <w:t>Cuando el pago hecho a persona incompetente es ratificado por el acreedor, se mirará como válido desde el principio.</w:t>
      </w:r>
    </w:p>
    <w:p w14:paraId="433FA3EE" w14:textId="77777777" w:rsidR="00755595" w:rsidRPr="00DB2EFF" w:rsidRDefault="00755595" w:rsidP="00755595">
      <w:pPr>
        <w:spacing w:after="0" w:line="240" w:lineRule="auto"/>
        <w:ind w:firstLine="708"/>
        <w:jc w:val="both"/>
        <w:rPr>
          <w:rFonts w:ascii="Verdana" w:hAnsi="Verdana" w:cs="Arial"/>
          <w:color w:val="000000" w:themeColor="text1"/>
          <w:sz w:val="16"/>
          <w:szCs w:val="16"/>
        </w:rPr>
      </w:pPr>
      <w:r w:rsidRPr="00DB2EFF">
        <w:rPr>
          <w:rFonts w:ascii="Verdana" w:hAnsi="Verdana" w:cs="Arial"/>
          <w:color w:val="000000" w:themeColor="text1"/>
          <w:sz w:val="16"/>
          <w:szCs w:val="16"/>
        </w:rPr>
        <w:t>(…)</w:t>
      </w:r>
    </w:p>
    <w:p w14:paraId="7B80C7A9" w14:textId="77777777" w:rsidR="00755595" w:rsidRPr="00DB2EFF" w:rsidRDefault="00755595" w:rsidP="00755595">
      <w:pPr>
        <w:spacing w:after="0" w:line="240" w:lineRule="auto"/>
        <w:ind w:firstLine="708"/>
        <w:jc w:val="both"/>
        <w:rPr>
          <w:rFonts w:ascii="Verdana" w:hAnsi="Verdana" w:cs="Arial"/>
          <w:color w:val="000000" w:themeColor="text1"/>
          <w:sz w:val="16"/>
          <w:szCs w:val="16"/>
        </w:rPr>
      </w:pPr>
      <w:r w:rsidRPr="00DB2EFF">
        <w:rPr>
          <w:rFonts w:ascii="Verdana" w:hAnsi="Verdana" w:cs="Arial"/>
          <w:color w:val="000000" w:themeColor="text1"/>
          <w:sz w:val="16"/>
          <w:szCs w:val="16"/>
        </w:rPr>
        <w:t>“Código Civil, Artículo 1637: Reciben legítimamente los tutores y curadores por sus respectivos representados; los albaceas que tuvieron este encargo especial o la tenencia de los bienes del difunto; los padres de familia por sus hijos, en iguales términos; los recaudadores fiscales o de comunidades o establecimientos públicos, por el fisco o las respectivas comunidades o establecimientos; y las demás personas que por ley especial o decreto judicial estén autorizadas para</w:t>
      </w:r>
      <w:r w:rsidRPr="00DB2EFF">
        <w:rPr>
          <w:rFonts w:ascii="Verdana" w:hAnsi="Verdana" w:cs="Arial"/>
          <w:color w:val="000000" w:themeColor="text1"/>
          <w:spacing w:val="-7"/>
          <w:sz w:val="16"/>
          <w:szCs w:val="16"/>
        </w:rPr>
        <w:t xml:space="preserve"> </w:t>
      </w:r>
      <w:r w:rsidRPr="00DB2EFF">
        <w:rPr>
          <w:rFonts w:ascii="Verdana" w:hAnsi="Verdana" w:cs="Arial"/>
          <w:color w:val="000000" w:themeColor="text1"/>
          <w:sz w:val="16"/>
          <w:szCs w:val="16"/>
        </w:rPr>
        <w:t>ello.</w:t>
      </w:r>
    </w:p>
    <w:p w14:paraId="1678954F" w14:textId="77777777" w:rsidR="00755595" w:rsidRPr="00DB2EFF" w:rsidRDefault="00755595" w:rsidP="00755595">
      <w:pPr>
        <w:spacing w:after="0" w:line="240" w:lineRule="auto"/>
        <w:ind w:firstLine="708"/>
        <w:jc w:val="both"/>
        <w:rPr>
          <w:rFonts w:ascii="Verdana" w:hAnsi="Verdana" w:cs="Arial"/>
          <w:color w:val="000000" w:themeColor="text1"/>
          <w:sz w:val="16"/>
          <w:szCs w:val="16"/>
        </w:rPr>
      </w:pPr>
      <w:r w:rsidRPr="00DB2EFF">
        <w:rPr>
          <w:rFonts w:ascii="Verdana" w:hAnsi="Verdana" w:cs="Arial"/>
          <w:color w:val="000000" w:themeColor="text1"/>
          <w:sz w:val="16"/>
          <w:szCs w:val="16"/>
        </w:rPr>
        <w:t>“Código Civil, Artículo 1638: La diputación para recibir el pago puede conferirse por poder general para la libre administración de todos los negocios del acreedor, o por poder especial para la libre administración del negocio o negocios en que está comprendido el pago, o por un simple mandato comunicado al deudor”.</w:t>
      </w:r>
    </w:p>
    <w:p w14:paraId="2B04B55E" w14:textId="77777777" w:rsidR="00755595" w:rsidRPr="00DB2EFF" w:rsidRDefault="00755595" w:rsidP="00755595">
      <w:pPr>
        <w:spacing w:after="0" w:line="237" w:lineRule="auto"/>
        <w:ind w:firstLine="708"/>
        <w:jc w:val="both"/>
        <w:rPr>
          <w:rFonts w:ascii="Verdana" w:hAnsi="Verdana" w:cs="Arial"/>
          <w:color w:val="000000" w:themeColor="text1"/>
          <w:sz w:val="16"/>
          <w:szCs w:val="16"/>
        </w:rPr>
      </w:pPr>
    </w:p>
  </w:footnote>
  <w:footnote w:id="6">
    <w:p w14:paraId="6EAE9D6E" w14:textId="77777777" w:rsidR="00755595" w:rsidRPr="00DB2EFF" w:rsidRDefault="00755595" w:rsidP="00755595">
      <w:pPr>
        <w:spacing w:after="0" w:line="240" w:lineRule="auto"/>
        <w:ind w:firstLine="709"/>
        <w:jc w:val="both"/>
        <w:rPr>
          <w:rFonts w:ascii="Verdana" w:hAnsi="Verdana"/>
          <w:color w:val="000000" w:themeColor="text1"/>
          <w:sz w:val="16"/>
          <w:szCs w:val="16"/>
        </w:rPr>
      </w:pPr>
      <w:r w:rsidRPr="00DB2EFF">
        <w:rPr>
          <w:rStyle w:val="Refdenotaalpie"/>
          <w:rFonts w:ascii="Verdana" w:hAnsi="Verdana"/>
          <w:color w:val="000000" w:themeColor="text1"/>
          <w:sz w:val="16"/>
          <w:szCs w:val="16"/>
        </w:rPr>
        <w:footnoteRef/>
      </w:r>
      <w:r w:rsidRPr="00DB2EFF">
        <w:rPr>
          <w:rFonts w:ascii="Verdana" w:hAnsi="Verdana"/>
          <w:color w:val="000000" w:themeColor="text1"/>
          <w:sz w:val="16"/>
          <w:szCs w:val="16"/>
        </w:rPr>
        <w:t xml:space="preserve"> BONIVENTO FERNANDEZ, José. Los principales contratos civiles y su paralelo con los comerciales, Vigésimo segunda edición. Bogotá: Tirant lo Blanch, 2024. p. 524.</w:t>
      </w:r>
    </w:p>
    <w:p w14:paraId="3BDA6D56" w14:textId="77777777" w:rsidR="00755595" w:rsidRPr="00DB2EFF" w:rsidRDefault="00755595" w:rsidP="00755595">
      <w:pPr>
        <w:spacing w:after="0" w:line="240" w:lineRule="auto"/>
        <w:ind w:firstLine="709"/>
        <w:jc w:val="both"/>
        <w:rPr>
          <w:rFonts w:ascii="Verdana" w:hAnsi="Verdana"/>
          <w:color w:val="000000" w:themeColor="text1"/>
          <w:sz w:val="16"/>
          <w:szCs w:val="16"/>
        </w:rPr>
      </w:pPr>
    </w:p>
  </w:footnote>
  <w:footnote w:id="7">
    <w:p w14:paraId="45A15721" w14:textId="77777777" w:rsidR="00755595" w:rsidRPr="00DB2EFF" w:rsidRDefault="00755595" w:rsidP="00755595">
      <w:pPr>
        <w:spacing w:after="0" w:line="240" w:lineRule="auto"/>
        <w:ind w:firstLine="709"/>
        <w:jc w:val="both"/>
        <w:rPr>
          <w:rFonts w:ascii="Verdana" w:hAnsi="Verdana"/>
          <w:color w:val="000000" w:themeColor="text1"/>
          <w:sz w:val="16"/>
          <w:szCs w:val="16"/>
        </w:rPr>
      </w:pPr>
      <w:r w:rsidRPr="00DB2EFF">
        <w:rPr>
          <w:rStyle w:val="Refdenotaalpie"/>
          <w:rFonts w:ascii="Verdana" w:hAnsi="Verdana"/>
          <w:color w:val="000000" w:themeColor="text1"/>
          <w:sz w:val="16"/>
          <w:szCs w:val="16"/>
        </w:rPr>
        <w:footnoteRef/>
      </w:r>
      <w:r w:rsidRPr="00DB2EFF">
        <w:rPr>
          <w:rFonts w:ascii="Verdana" w:hAnsi="Verdana"/>
          <w:color w:val="000000" w:themeColor="text1"/>
          <w:sz w:val="16"/>
          <w:szCs w:val="16"/>
        </w:rPr>
        <w:t xml:space="preserve"> </w:t>
      </w:r>
      <w:r w:rsidRPr="00DB2EFF">
        <w:rPr>
          <w:rFonts w:ascii="Verdana" w:hAnsi="Verdana"/>
          <w:i/>
          <w:iCs/>
          <w:color w:val="000000" w:themeColor="text1"/>
          <w:sz w:val="16"/>
          <w:szCs w:val="16"/>
        </w:rPr>
        <w:t>Ibidem</w:t>
      </w:r>
      <w:r w:rsidRPr="00DB2EFF">
        <w:rPr>
          <w:rFonts w:ascii="Verdana" w:hAnsi="Verdana"/>
          <w:color w:val="000000" w:themeColor="text1"/>
          <w:sz w:val="16"/>
          <w:szCs w:val="16"/>
        </w:rPr>
        <w:t>, pp. 524-525.</w:t>
      </w:r>
    </w:p>
    <w:p w14:paraId="5998737D" w14:textId="77777777" w:rsidR="00755595" w:rsidRPr="00DB2EFF" w:rsidRDefault="00755595" w:rsidP="00755595">
      <w:pPr>
        <w:spacing w:after="0"/>
        <w:ind w:firstLine="709"/>
        <w:jc w:val="both"/>
        <w:rPr>
          <w:rFonts w:ascii="Verdana" w:hAnsi="Verdana"/>
          <w:color w:val="000000" w:themeColor="text1"/>
          <w:sz w:val="16"/>
          <w:szCs w:val="16"/>
        </w:rPr>
      </w:pPr>
    </w:p>
  </w:footnote>
  <w:footnote w:id="8">
    <w:p w14:paraId="48936ED5" w14:textId="77777777" w:rsidR="00755595" w:rsidRDefault="00755595" w:rsidP="00755595">
      <w:pPr>
        <w:pStyle w:val="Textonotapie"/>
        <w:ind w:firstLine="709"/>
        <w:jc w:val="both"/>
        <w:rPr>
          <w:rFonts w:ascii="Verdana" w:hAnsi="Verdana"/>
          <w:sz w:val="16"/>
          <w:szCs w:val="16"/>
          <w:lang w:val="es-CO"/>
        </w:rPr>
      </w:pPr>
      <w:r w:rsidRPr="00EF054E">
        <w:rPr>
          <w:rStyle w:val="Refdenotaalpie"/>
          <w:rFonts w:ascii="Verdana" w:hAnsi="Verdana"/>
          <w:sz w:val="16"/>
          <w:szCs w:val="16"/>
        </w:rPr>
        <w:footnoteRef/>
      </w:r>
      <w:r w:rsidRPr="00EF054E">
        <w:rPr>
          <w:rFonts w:ascii="Verdana" w:hAnsi="Verdana"/>
          <w:sz w:val="16"/>
          <w:szCs w:val="16"/>
        </w:rPr>
        <w:t xml:space="preserve"> Consejo de Estado. Sala de lo Contencioso Administrativo. Sección Tercera. Subsección A. Sentencia del 26 de septiembre de 2025. Radicado: </w:t>
      </w:r>
      <w:r w:rsidRPr="00EF054E">
        <w:rPr>
          <w:rFonts w:ascii="Verdana" w:hAnsi="Verdana"/>
          <w:sz w:val="16"/>
          <w:szCs w:val="16"/>
          <w:lang w:val="es-CO"/>
        </w:rPr>
        <w:t xml:space="preserve">250002336000 202000198 01 (71.909). C.P: José Roberto Sáchica Méndez. </w:t>
      </w:r>
    </w:p>
    <w:p w14:paraId="5B0FB4D9" w14:textId="77777777" w:rsidR="00755595" w:rsidRPr="00EF054E" w:rsidRDefault="00755595" w:rsidP="00755595">
      <w:pPr>
        <w:pStyle w:val="Textonotapie"/>
        <w:ind w:firstLine="709"/>
        <w:jc w:val="both"/>
        <w:rPr>
          <w:rFonts w:ascii="Verdana" w:hAnsi="Verdana"/>
          <w:sz w:val="16"/>
          <w:szCs w:val="16"/>
        </w:rPr>
      </w:pPr>
    </w:p>
  </w:footnote>
  <w:footnote w:id="9">
    <w:p w14:paraId="0499D003" w14:textId="77777777" w:rsidR="00755595" w:rsidRDefault="00755595" w:rsidP="00755595">
      <w:pPr>
        <w:pStyle w:val="Textonotapie"/>
        <w:ind w:firstLine="709"/>
        <w:rPr>
          <w:rFonts w:ascii="Verdana" w:hAnsi="Verdana"/>
          <w:sz w:val="16"/>
          <w:szCs w:val="16"/>
        </w:rPr>
      </w:pPr>
      <w:r w:rsidRPr="00E5664A">
        <w:rPr>
          <w:rStyle w:val="Refdenotaalpie"/>
          <w:rFonts w:ascii="Verdana" w:hAnsi="Verdana"/>
          <w:sz w:val="16"/>
          <w:szCs w:val="16"/>
        </w:rPr>
        <w:footnoteRef/>
      </w:r>
      <w:r w:rsidRPr="00E5664A">
        <w:rPr>
          <w:rFonts w:ascii="Verdana" w:hAnsi="Verdana"/>
          <w:sz w:val="16"/>
          <w:szCs w:val="16"/>
        </w:rPr>
        <w:t xml:space="preserve"> Ibidem. </w:t>
      </w:r>
    </w:p>
    <w:p w14:paraId="1BCDBB24" w14:textId="77777777" w:rsidR="00755595" w:rsidRPr="00E5664A" w:rsidRDefault="00755595" w:rsidP="00755595">
      <w:pPr>
        <w:pStyle w:val="Textonotapie"/>
        <w:ind w:firstLine="709"/>
        <w:rPr>
          <w:rFonts w:ascii="Verdana" w:hAnsi="Verdana"/>
          <w:sz w:val="16"/>
          <w:szCs w:val="16"/>
        </w:rPr>
      </w:pPr>
    </w:p>
  </w:footnote>
  <w:footnote w:id="10">
    <w:p w14:paraId="3E910276" w14:textId="77777777" w:rsidR="00755595" w:rsidRDefault="00755595" w:rsidP="00755595">
      <w:pPr>
        <w:pStyle w:val="Textonotapie"/>
        <w:ind w:firstLine="709"/>
        <w:jc w:val="both"/>
        <w:rPr>
          <w:rFonts w:ascii="Verdana" w:hAnsi="Verdana"/>
          <w:sz w:val="16"/>
          <w:szCs w:val="16"/>
        </w:rPr>
      </w:pPr>
      <w:r w:rsidRPr="00AD083A">
        <w:rPr>
          <w:rStyle w:val="Refdenotaalpie"/>
          <w:rFonts w:ascii="Verdana" w:hAnsi="Verdana"/>
          <w:sz w:val="16"/>
          <w:szCs w:val="16"/>
        </w:rPr>
        <w:footnoteRef/>
      </w:r>
      <w:r w:rsidRPr="00AD083A">
        <w:rPr>
          <w:rFonts w:ascii="Verdana" w:hAnsi="Verdana"/>
          <w:sz w:val="16"/>
          <w:szCs w:val="16"/>
        </w:rPr>
        <w:t xml:space="preserve"> Como explica la doctrina, “[…] La cesión de créditos es un negocio jurídico: acto de autonomía privada, en virtud del cual el acreedor dispone de su derecho, para transferirlo a un tercero, quien será en adelante el único sujeto activo de la relación, si la cesión es total, o uno de ellos, en la medida del traspaso, si la cesión es parcial, y con quien habrá de entenderse en lo sucesivo el deudor, ante todo para la cancelación. La cesión es un instrumento social y legal para la disposición de derechos subjetivos, acá el de crédito. Más específicamente es un contrato por el cual el acreedor cedente, gratuita o retributivamente, transfiere a la otra parte, cesionario, el crédito, considerado como un bien incorporal (arts. 653 [3] y 76i c. c.). Sus partes son el acreedor cedente y el tercero cesionario. </w:t>
      </w:r>
      <w:r w:rsidRPr="00AD083A">
        <w:rPr>
          <w:rFonts w:ascii="Verdana" w:hAnsi="Verdana"/>
          <w:i/>
          <w:iCs/>
          <w:sz w:val="16"/>
          <w:szCs w:val="16"/>
        </w:rPr>
        <w:t>El deudor no es parte en la cesión, es un extraño a ella, a la que no se puede oponer, a la que su asentimiento no agrega ni quita nada, y con la que su único contacto es la notificación que ha de hacérsele para que le sea oponible, así como para darle oportunidad de hacer reserva de sus excepciones personales frente al cedente</w:t>
      </w:r>
      <w:r w:rsidRPr="00AD083A">
        <w:rPr>
          <w:rFonts w:ascii="Verdana" w:hAnsi="Verdana"/>
          <w:sz w:val="16"/>
          <w:szCs w:val="16"/>
        </w:rPr>
        <w:t xml:space="preserve">” (Cfr. HINESTROSA, Fernando. Tratatado de las obligaciones: concepto, estructura y vicisitudes. Tercera edición. Bogotá: Universidad Externado de Colombia, 2017. Libro en formato EPUB. Énfasis fuera de texto). </w:t>
      </w:r>
    </w:p>
    <w:p w14:paraId="5C182D0D" w14:textId="77777777" w:rsidR="00755595" w:rsidRPr="00224F57" w:rsidRDefault="00755595" w:rsidP="00755595">
      <w:pPr>
        <w:pStyle w:val="Textonotapie"/>
        <w:ind w:firstLine="709"/>
        <w:jc w:val="both"/>
        <w:rPr>
          <w:rFonts w:ascii="Verdana" w:hAnsi="Verdana"/>
          <w:sz w:val="16"/>
          <w:szCs w:val="16"/>
        </w:rPr>
      </w:pPr>
    </w:p>
  </w:footnote>
  <w:footnote w:id="11">
    <w:p w14:paraId="268530CE" w14:textId="77777777" w:rsidR="00755595" w:rsidRPr="00E5664A" w:rsidRDefault="00755595" w:rsidP="00755595">
      <w:pPr>
        <w:pStyle w:val="Textonotapie"/>
        <w:ind w:firstLine="709"/>
        <w:jc w:val="both"/>
        <w:rPr>
          <w:rFonts w:ascii="Verdana" w:hAnsi="Verdana" w:cs="Arial"/>
          <w:sz w:val="16"/>
          <w:szCs w:val="16"/>
        </w:rPr>
      </w:pPr>
      <w:r w:rsidRPr="00E5664A">
        <w:rPr>
          <w:rStyle w:val="Refdenotaalpie"/>
          <w:rFonts w:ascii="Verdana" w:hAnsi="Verdana" w:cs="Arial"/>
          <w:sz w:val="16"/>
          <w:szCs w:val="16"/>
        </w:rPr>
        <w:footnoteRef/>
      </w:r>
      <w:r w:rsidRPr="00E5664A">
        <w:rPr>
          <w:rFonts w:ascii="Verdana" w:hAnsi="Verdana" w:cs="Arial"/>
          <w:sz w:val="16"/>
          <w:szCs w:val="16"/>
        </w:rPr>
        <w:t xml:space="preserve"> Al respecto, el artículo 887 del Código de Comercio dispone que “En los contratos mercantiles de ejecución periódica o sucesiva cada una de las partes podrá hacerse sustituir por un tercero, en la totalidad o en parte de las relaciones derivadas del contrato, sin necesidad de aceptación expresa del contratante cedido, si por la ley o por estipulación de las mismas partes no se ha prohibido o limitado dicha sustitución.</w:t>
      </w:r>
    </w:p>
    <w:p w14:paraId="5EAE0395" w14:textId="77777777" w:rsidR="00755595" w:rsidRPr="00E5664A" w:rsidRDefault="00755595" w:rsidP="00755595">
      <w:pPr>
        <w:pStyle w:val="Textonotapie"/>
        <w:ind w:firstLine="709"/>
        <w:jc w:val="both"/>
        <w:rPr>
          <w:rFonts w:ascii="Verdana" w:hAnsi="Verdana" w:cs="Arial"/>
          <w:sz w:val="16"/>
          <w:szCs w:val="16"/>
        </w:rPr>
      </w:pPr>
      <w:r w:rsidRPr="00E5664A">
        <w:rPr>
          <w:rFonts w:ascii="Verdana" w:hAnsi="Verdana" w:cs="Arial"/>
          <w:sz w:val="16"/>
          <w:szCs w:val="16"/>
        </w:rPr>
        <w:t xml:space="preserve">La misma sustitución podrá hacerse en los contratos mercantiles de ejecución instantánea que aún no hayan sido cumplidos en todo o en parte, y en los celebrados </w:t>
      </w:r>
      <w:r w:rsidRPr="00E5664A">
        <w:rPr>
          <w:rFonts w:ascii="Verdana" w:hAnsi="Verdana" w:cs="Arial"/>
          <w:i/>
          <w:iCs/>
          <w:sz w:val="16"/>
          <w:szCs w:val="16"/>
        </w:rPr>
        <w:t>intuitu personae</w:t>
      </w:r>
      <w:r w:rsidRPr="00E5664A">
        <w:rPr>
          <w:rFonts w:ascii="Verdana" w:hAnsi="Verdana" w:cs="Arial"/>
          <w:sz w:val="16"/>
          <w:szCs w:val="16"/>
        </w:rPr>
        <w:t>, pero en estos casos será necesaria la aceptación del contratante cedido”.</w:t>
      </w:r>
    </w:p>
    <w:p w14:paraId="54CC6689" w14:textId="77777777" w:rsidR="00755595" w:rsidRPr="00E5664A" w:rsidRDefault="00755595" w:rsidP="00755595">
      <w:pPr>
        <w:pStyle w:val="Textonotapie"/>
        <w:ind w:firstLine="709"/>
        <w:jc w:val="both"/>
        <w:rPr>
          <w:rFonts w:ascii="Verdana" w:hAnsi="Verdana" w:cs="Arial"/>
          <w:sz w:val="16"/>
          <w:szCs w:val="16"/>
        </w:rPr>
      </w:pPr>
    </w:p>
  </w:footnote>
  <w:footnote w:id="12">
    <w:p w14:paraId="408675D4" w14:textId="77777777" w:rsidR="00755595" w:rsidRPr="00E5664A" w:rsidRDefault="00755595" w:rsidP="00755595">
      <w:pPr>
        <w:pStyle w:val="Textonotapie"/>
        <w:ind w:firstLine="709"/>
        <w:jc w:val="both"/>
        <w:rPr>
          <w:rFonts w:ascii="Verdana" w:hAnsi="Verdana" w:cs="Arial"/>
          <w:sz w:val="16"/>
          <w:szCs w:val="16"/>
        </w:rPr>
      </w:pPr>
      <w:r w:rsidRPr="00E5664A">
        <w:rPr>
          <w:rStyle w:val="Refdenotaalpie"/>
          <w:rFonts w:ascii="Verdana" w:hAnsi="Verdana" w:cs="Arial"/>
          <w:sz w:val="16"/>
          <w:szCs w:val="16"/>
        </w:rPr>
        <w:footnoteRef/>
      </w:r>
      <w:r w:rsidRPr="00E5664A">
        <w:rPr>
          <w:rFonts w:ascii="Verdana" w:hAnsi="Verdana" w:cs="Arial"/>
          <w:sz w:val="16"/>
          <w:szCs w:val="16"/>
          <w:lang w:val="it-IT"/>
        </w:rPr>
        <w:t xml:space="preserve"> MESSINEO, Francesco. Doctrina general del contrato. </w:t>
      </w:r>
      <w:r w:rsidRPr="00E5664A">
        <w:rPr>
          <w:rFonts w:ascii="Verdana" w:hAnsi="Verdana" w:cs="Arial"/>
          <w:sz w:val="16"/>
          <w:szCs w:val="16"/>
        </w:rPr>
        <w:t>Santiago: Olejnik, 2018. p. 633. Énfasis dentro del texto.</w:t>
      </w:r>
    </w:p>
    <w:p w14:paraId="01631A9D" w14:textId="77777777" w:rsidR="00755595" w:rsidRPr="00812E1D" w:rsidRDefault="00755595" w:rsidP="00755595">
      <w:pPr>
        <w:pStyle w:val="Textonotapie"/>
        <w:ind w:firstLine="709"/>
        <w:jc w:val="both"/>
        <w:rPr>
          <w:rFonts w:ascii="Verdana" w:hAnsi="Verdana" w:cs="Arial"/>
          <w:sz w:val="14"/>
          <w:szCs w:val="14"/>
        </w:rPr>
      </w:pPr>
    </w:p>
  </w:footnote>
  <w:footnote w:id="13">
    <w:p w14:paraId="5200AF48" w14:textId="77777777" w:rsidR="00755595" w:rsidRPr="00740C59" w:rsidRDefault="00755595" w:rsidP="00755595">
      <w:pPr>
        <w:pStyle w:val="Textonotapie"/>
        <w:ind w:firstLine="709"/>
        <w:jc w:val="both"/>
        <w:rPr>
          <w:rFonts w:ascii="Verdana" w:hAnsi="Verdana" w:cs="Arial"/>
          <w:sz w:val="16"/>
          <w:szCs w:val="16"/>
        </w:rPr>
      </w:pPr>
      <w:r w:rsidRPr="004C3E75">
        <w:rPr>
          <w:rStyle w:val="Refdenotaalpie"/>
          <w:rFonts w:ascii="Verdana" w:hAnsi="Verdana" w:cs="Arial"/>
          <w:sz w:val="16"/>
          <w:szCs w:val="16"/>
        </w:rPr>
        <w:footnoteRef/>
      </w:r>
      <w:r w:rsidRPr="004C3E75">
        <w:rPr>
          <w:rFonts w:ascii="Verdana" w:hAnsi="Verdana" w:cs="Arial"/>
          <w:sz w:val="16"/>
          <w:szCs w:val="16"/>
        </w:rPr>
        <w:t xml:space="preserve"> MARIENHOFF, Miguel S. Tratado de derecho administrativo. Tomo IIIA. Cuarta Edición. Buenos Aires: Abeledo Perrot, 1998. p. 318. Énfasis dentro del texto.</w:t>
      </w:r>
    </w:p>
  </w:footnote>
  <w:footnote w:id="14">
    <w:p w14:paraId="7F514A79" w14:textId="77777777" w:rsidR="00755595" w:rsidRPr="004C3E75" w:rsidRDefault="00755595" w:rsidP="00755595">
      <w:pPr>
        <w:pStyle w:val="Textonotapie"/>
        <w:ind w:firstLine="709"/>
        <w:jc w:val="both"/>
        <w:rPr>
          <w:rFonts w:ascii="Verdana" w:hAnsi="Verdana" w:cs="Arial"/>
          <w:sz w:val="16"/>
          <w:szCs w:val="16"/>
          <w:lang w:val="es-ES"/>
        </w:rPr>
      </w:pPr>
      <w:r w:rsidRPr="004C3E75">
        <w:rPr>
          <w:rStyle w:val="Refdenotaalpie"/>
          <w:rFonts w:ascii="Verdana" w:hAnsi="Verdana" w:cs="Arial"/>
          <w:sz w:val="16"/>
          <w:szCs w:val="16"/>
        </w:rPr>
        <w:footnoteRef/>
      </w:r>
      <w:r w:rsidRPr="004C3E75">
        <w:rPr>
          <w:rFonts w:ascii="Verdana" w:hAnsi="Verdana" w:cs="Arial"/>
          <w:sz w:val="16"/>
          <w:szCs w:val="16"/>
        </w:rPr>
        <w:t xml:space="preserve"> </w:t>
      </w:r>
      <w:r>
        <w:rPr>
          <w:rFonts w:ascii="Verdana" w:hAnsi="Verdana" w:cs="Arial"/>
          <w:sz w:val="16"/>
          <w:szCs w:val="16"/>
          <w:lang w:val="es-ES"/>
        </w:rPr>
        <w:t>Consejo de Estado</w:t>
      </w:r>
      <w:r w:rsidRPr="004C3E75">
        <w:rPr>
          <w:rFonts w:ascii="Verdana" w:hAnsi="Verdana" w:cs="Arial"/>
          <w:sz w:val="16"/>
          <w:szCs w:val="16"/>
          <w:lang w:val="es-ES"/>
        </w:rPr>
        <w:t xml:space="preserve">. </w:t>
      </w:r>
      <w:r>
        <w:rPr>
          <w:rFonts w:ascii="Verdana" w:hAnsi="Verdana" w:cs="Arial"/>
          <w:sz w:val="16"/>
          <w:szCs w:val="16"/>
          <w:lang w:val="es-ES"/>
        </w:rPr>
        <w:t xml:space="preserve"> Sala de lo Contencioso Administrativo. </w:t>
      </w:r>
      <w:r w:rsidRPr="004C3E75">
        <w:rPr>
          <w:rFonts w:ascii="Verdana" w:hAnsi="Verdana" w:cs="Arial"/>
          <w:sz w:val="16"/>
          <w:szCs w:val="16"/>
          <w:lang w:val="es-ES"/>
        </w:rPr>
        <w:t>Sección Tercera. Sentencia del 16 de marzo de 2015. Rad. 1999-03028. C.P. Jaime Orlando Santofimio Gamboa.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7D7AB" w14:textId="77777777"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4E0949BB" wp14:editId="555E7C60">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24D648DE" wp14:editId="4BB625E5">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0E198959" w14:textId="77777777" w:rsidR="00756841" w:rsidRDefault="00756841">
    <w:pPr>
      <w:pStyle w:val="Encabezado"/>
    </w:pPr>
  </w:p>
  <w:p w14:paraId="04B6E717" w14:textId="77777777" w:rsidR="004A305D" w:rsidRPr="004A305D" w:rsidRDefault="004A305D" w:rsidP="00B01B1A">
    <w:pPr>
      <w:spacing w:after="0" w:line="120" w:lineRule="auto"/>
      <w:rPr>
        <w:rFonts w:ascii="Century Gothic" w:eastAsia="Geo" w:hAnsi="Century Gothic" w:cs="Geo"/>
        <w:sz w:val="16"/>
        <w:szCs w:val="16"/>
        <w:lang w:eastAsia="es-CO"/>
      </w:rPr>
    </w:pPr>
  </w:p>
  <w:p w14:paraId="77CC02F7" w14:textId="77777777" w:rsidR="00C925AC" w:rsidRDefault="00C925AC" w:rsidP="00844AE9">
    <w:pPr>
      <w:spacing w:after="0" w:line="240" w:lineRule="auto"/>
      <w:rPr>
        <w:rFonts w:ascii="Verdana" w:hAnsi="Verdana"/>
        <w:sz w:val="24"/>
        <w:szCs w:val="24"/>
      </w:rPr>
    </w:pPr>
  </w:p>
  <w:p w14:paraId="689AC4F9" w14:textId="77777777" w:rsidR="00A14468" w:rsidRPr="00C925AC" w:rsidRDefault="00A14468" w:rsidP="00844AE9">
    <w:pPr>
      <w:spacing w:after="0" w:line="240" w:lineRule="auto"/>
      <w:rPr>
        <w:rFonts w:ascii="Verdana" w:hAnsi="Verdana"/>
        <w:sz w:val="24"/>
        <w:szCs w:val="24"/>
      </w:rPr>
    </w:pPr>
  </w:p>
  <w:p w14:paraId="14837F6B" w14:textId="77777777"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pt;height:11.9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0733F7"/>
    <w:multiLevelType w:val="hybridMultilevel"/>
    <w:tmpl w:val="AF12C2B6"/>
    <w:lvl w:ilvl="0" w:tplc="672EB6E4">
      <w:start w:val="4"/>
      <w:numFmt w:val="bullet"/>
      <w:lvlText w:val=""/>
      <w:lvlJc w:val="left"/>
      <w:pPr>
        <w:ind w:left="720" w:hanging="360"/>
      </w:pPr>
      <w:rPr>
        <w:rFonts w:ascii="Symbol" w:eastAsia="Arial MT" w:hAnsi="Symbo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8FB7985"/>
    <w:multiLevelType w:val="hybridMultilevel"/>
    <w:tmpl w:val="6D723D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D15B0C"/>
    <w:multiLevelType w:val="hybridMultilevel"/>
    <w:tmpl w:val="5248163E"/>
    <w:lvl w:ilvl="0" w:tplc="3CB4454E">
      <w:start w:val="1"/>
      <w:numFmt w:val="upperLetter"/>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4860404">
    <w:abstractNumId w:val="7"/>
  </w:num>
  <w:num w:numId="2" w16cid:durableId="990980600">
    <w:abstractNumId w:val="2"/>
  </w:num>
  <w:num w:numId="3" w16cid:durableId="607928268">
    <w:abstractNumId w:val="5"/>
  </w:num>
  <w:num w:numId="4" w16cid:durableId="10560072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4858552">
    <w:abstractNumId w:val="2"/>
  </w:num>
  <w:num w:numId="6" w16cid:durableId="1752386460">
    <w:abstractNumId w:val="14"/>
  </w:num>
  <w:num w:numId="7" w16cid:durableId="1572693359">
    <w:abstractNumId w:val="6"/>
  </w:num>
  <w:num w:numId="8" w16cid:durableId="800264154">
    <w:abstractNumId w:val="12"/>
  </w:num>
  <w:num w:numId="9" w16cid:durableId="1590503547">
    <w:abstractNumId w:val="8"/>
  </w:num>
  <w:num w:numId="10" w16cid:durableId="1754164154">
    <w:abstractNumId w:val="11"/>
  </w:num>
  <w:num w:numId="11" w16cid:durableId="77290861">
    <w:abstractNumId w:val="9"/>
  </w:num>
  <w:num w:numId="12" w16cid:durableId="1324502715">
    <w:abstractNumId w:val="0"/>
  </w:num>
  <w:num w:numId="13" w16cid:durableId="1640918912">
    <w:abstractNumId w:val="4"/>
  </w:num>
  <w:num w:numId="14" w16cid:durableId="1936480602">
    <w:abstractNumId w:val="15"/>
  </w:num>
  <w:num w:numId="15" w16cid:durableId="1823277618">
    <w:abstractNumId w:val="10"/>
  </w:num>
  <w:num w:numId="16" w16cid:durableId="195001990">
    <w:abstractNumId w:val="1"/>
  </w:num>
  <w:num w:numId="17" w16cid:durableId="691346076">
    <w:abstractNumId w:val="3"/>
  </w:num>
  <w:num w:numId="18" w16cid:durableId="11179146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0E85"/>
    <w:rsid w:val="00016F78"/>
    <w:rsid w:val="00046945"/>
    <w:rsid w:val="00055FE7"/>
    <w:rsid w:val="00061B2A"/>
    <w:rsid w:val="000706F1"/>
    <w:rsid w:val="00082362"/>
    <w:rsid w:val="000A683E"/>
    <w:rsid w:val="000B19B9"/>
    <w:rsid w:val="000D0334"/>
    <w:rsid w:val="000D5DA7"/>
    <w:rsid w:val="000F4313"/>
    <w:rsid w:val="000F6486"/>
    <w:rsid w:val="00116940"/>
    <w:rsid w:val="00125105"/>
    <w:rsid w:val="00127233"/>
    <w:rsid w:val="0015699B"/>
    <w:rsid w:val="001868CD"/>
    <w:rsid w:val="001A33BF"/>
    <w:rsid w:val="001B3CBA"/>
    <w:rsid w:val="001E4177"/>
    <w:rsid w:val="001F0B24"/>
    <w:rsid w:val="001F7DC6"/>
    <w:rsid w:val="00212B15"/>
    <w:rsid w:val="0022400B"/>
    <w:rsid w:val="00240886"/>
    <w:rsid w:val="002421BB"/>
    <w:rsid w:val="0025796E"/>
    <w:rsid w:val="002707A2"/>
    <w:rsid w:val="00283DCB"/>
    <w:rsid w:val="00287F6B"/>
    <w:rsid w:val="002951A0"/>
    <w:rsid w:val="002962BC"/>
    <w:rsid w:val="002A093D"/>
    <w:rsid w:val="002A0DD0"/>
    <w:rsid w:val="002A49AC"/>
    <w:rsid w:val="002A64FD"/>
    <w:rsid w:val="002C7A84"/>
    <w:rsid w:val="002E2BF8"/>
    <w:rsid w:val="002E4FD9"/>
    <w:rsid w:val="002F15DA"/>
    <w:rsid w:val="00300EA6"/>
    <w:rsid w:val="0030657A"/>
    <w:rsid w:val="00322A85"/>
    <w:rsid w:val="00324168"/>
    <w:rsid w:val="003248CC"/>
    <w:rsid w:val="00330834"/>
    <w:rsid w:val="003448F4"/>
    <w:rsid w:val="00357EB3"/>
    <w:rsid w:val="00374F5E"/>
    <w:rsid w:val="00377E3E"/>
    <w:rsid w:val="003A779E"/>
    <w:rsid w:val="003D0F4D"/>
    <w:rsid w:val="003D5B0D"/>
    <w:rsid w:val="003E0499"/>
    <w:rsid w:val="003E281C"/>
    <w:rsid w:val="003E4F80"/>
    <w:rsid w:val="003E6439"/>
    <w:rsid w:val="003F3941"/>
    <w:rsid w:val="00406575"/>
    <w:rsid w:val="00414C74"/>
    <w:rsid w:val="0042722E"/>
    <w:rsid w:val="00430FA2"/>
    <w:rsid w:val="00430FE2"/>
    <w:rsid w:val="0044528D"/>
    <w:rsid w:val="00466E39"/>
    <w:rsid w:val="00467E7D"/>
    <w:rsid w:val="00485BA6"/>
    <w:rsid w:val="004A1847"/>
    <w:rsid w:val="004A305D"/>
    <w:rsid w:val="004D2EE4"/>
    <w:rsid w:val="004F21C4"/>
    <w:rsid w:val="004F685F"/>
    <w:rsid w:val="00540C3A"/>
    <w:rsid w:val="005544FB"/>
    <w:rsid w:val="005566E8"/>
    <w:rsid w:val="00567481"/>
    <w:rsid w:val="00574867"/>
    <w:rsid w:val="00591460"/>
    <w:rsid w:val="005A65E0"/>
    <w:rsid w:val="005B1993"/>
    <w:rsid w:val="005C3777"/>
    <w:rsid w:val="005C5CDC"/>
    <w:rsid w:val="005D476C"/>
    <w:rsid w:val="00607073"/>
    <w:rsid w:val="006200BF"/>
    <w:rsid w:val="006219F8"/>
    <w:rsid w:val="006302F7"/>
    <w:rsid w:val="00646B9F"/>
    <w:rsid w:val="00665D70"/>
    <w:rsid w:val="0067287B"/>
    <w:rsid w:val="00673581"/>
    <w:rsid w:val="00675CDC"/>
    <w:rsid w:val="006900D9"/>
    <w:rsid w:val="00696E67"/>
    <w:rsid w:val="006B13E0"/>
    <w:rsid w:val="00706C16"/>
    <w:rsid w:val="007340C3"/>
    <w:rsid w:val="0075235A"/>
    <w:rsid w:val="00755595"/>
    <w:rsid w:val="00756569"/>
    <w:rsid w:val="00756841"/>
    <w:rsid w:val="007649AB"/>
    <w:rsid w:val="00771D0C"/>
    <w:rsid w:val="007741C2"/>
    <w:rsid w:val="007833AC"/>
    <w:rsid w:val="007871E6"/>
    <w:rsid w:val="007B1106"/>
    <w:rsid w:val="007B268C"/>
    <w:rsid w:val="007B7171"/>
    <w:rsid w:val="007C0C0F"/>
    <w:rsid w:val="007C3DC2"/>
    <w:rsid w:val="007E5497"/>
    <w:rsid w:val="00806F5F"/>
    <w:rsid w:val="00820278"/>
    <w:rsid w:val="008258C9"/>
    <w:rsid w:val="00840403"/>
    <w:rsid w:val="00844AE9"/>
    <w:rsid w:val="00867F95"/>
    <w:rsid w:val="008843B6"/>
    <w:rsid w:val="00891928"/>
    <w:rsid w:val="008A446D"/>
    <w:rsid w:val="008B25F1"/>
    <w:rsid w:val="008D180B"/>
    <w:rsid w:val="008F0EA7"/>
    <w:rsid w:val="00923EEF"/>
    <w:rsid w:val="009419F9"/>
    <w:rsid w:val="009513BD"/>
    <w:rsid w:val="0095685E"/>
    <w:rsid w:val="00961B09"/>
    <w:rsid w:val="00965334"/>
    <w:rsid w:val="00966744"/>
    <w:rsid w:val="0097093E"/>
    <w:rsid w:val="009A0DFA"/>
    <w:rsid w:val="009A1C6F"/>
    <w:rsid w:val="009B2D26"/>
    <w:rsid w:val="009B58BB"/>
    <w:rsid w:val="009C71FA"/>
    <w:rsid w:val="009C72E7"/>
    <w:rsid w:val="009C7F7E"/>
    <w:rsid w:val="009D1776"/>
    <w:rsid w:val="009D3058"/>
    <w:rsid w:val="009F3A13"/>
    <w:rsid w:val="00A122D3"/>
    <w:rsid w:val="00A14468"/>
    <w:rsid w:val="00A17F13"/>
    <w:rsid w:val="00A20739"/>
    <w:rsid w:val="00A23AF9"/>
    <w:rsid w:val="00A33C78"/>
    <w:rsid w:val="00A43FB8"/>
    <w:rsid w:val="00AA3569"/>
    <w:rsid w:val="00AB0ADB"/>
    <w:rsid w:val="00AB15F5"/>
    <w:rsid w:val="00B00C0E"/>
    <w:rsid w:val="00B01B1A"/>
    <w:rsid w:val="00B0381D"/>
    <w:rsid w:val="00B44A47"/>
    <w:rsid w:val="00B72CD3"/>
    <w:rsid w:val="00B72FFF"/>
    <w:rsid w:val="00BC3D36"/>
    <w:rsid w:val="00BD54A6"/>
    <w:rsid w:val="00BD7F72"/>
    <w:rsid w:val="00BF7425"/>
    <w:rsid w:val="00C04FB3"/>
    <w:rsid w:val="00C11D8B"/>
    <w:rsid w:val="00C11FD2"/>
    <w:rsid w:val="00C15139"/>
    <w:rsid w:val="00C330EB"/>
    <w:rsid w:val="00C50D69"/>
    <w:rsid w:val="00C5365C"/>
    <w:rsid w:val="00C54352"/>
    <w:rsid w:val="00C74CFF"/>
    <w:rsid w:val="00C754BE"/>
    <w:rsid w:val="00C76B1C"/>
    <w:rsid w:val="00C925AC"/>
    <w:rsid w:val="00CB6357"/>
    <w:rsid w:val="00CC1B26"/>
    <w:rsid w:val="00D13655"/>
    <w:rsid w:val="00D361FD"/>
    <w:rsid w:val="00D423A2"/>
    <w:rsid w:val="00D44E26"/>
    <w:rsid w:val="00D474CF"/>
    <w:rsid w:val="00D520D8"/>
    <w:rsid w:val="00D63AC2"/>
    <w:rsid w:val="00D66164"/>
    <w:rsid w:val="00D7383B"/>
    <w:rsid w:val="00D7788A"/>
    <w:rsid w:val="00D92912"/>
    <w:rsid w:val="00DA231B"/>
    <w:rsid w:val="00DC39FC"/>
    <w:rsid w:val="00DD71D8"/>
    <w:rsid w:val="00DF5254"/>
    <w:rsid w:val="00E02524"/>
    <w:rsid w:val="00E16408"/>
    <w:rsid w:val="00E20894"/>
    <w:rsid w:val="00E245AB"/>
    <w:rsid w:val="00E2764C"/>
    <w:rsid w:val="00E27F2E"/>
    <w:rsid w:val="00E36DFE"/>
    <w:rsid w:val="00E43DCE"/>
    <w:rsid w:val="00E50AFE"/>
    <w:rsid w:val="00E75C92"/>
    <w:rsid w:val="00E771DC"/>
    <w:rsid w:val="00E80081"/>
    <w:rsid w:val="00E8772A"/>
    <w:rsid w:val="00E90F6B"/>
    <w:rsid w:val="00E92C27"/>
    <w:rsid w:val="00E944CD"/>
    <w:rsid w:val="00EA0E3D"/>
    <w:rsid w:val="00EC38A7"/>
    <w:rsid w:val="00ED4BC9"/>
    <w:rsid w:val="00EE02E2"/>
    <w:rsid w:val="00EE1130"/>
    <w:rsid w:val="00EE1AA8"/>
    <w:rsid w:val="00F158E3"/>
    <w:rsid w:val="00F23FEA"/>
    <w:rsid w:val="00F31EDC"/>
    <w:rsid w:val="00F462B3"/>
    <w:rsid w:val="00F5664F"/>
    <w:rsid w:val="00F61940"/>
    <w:rsid w:val="00F666C4"/>
    <w:rsid w:val="00F76AFC"/>
    <w:rsid w:val="00FA47C0"/>
    <w:rsid w:val="00FB45D3"/>
    <w:rsid w:val="00FB50A5"/>
    <w:rsid w:val="00FB5DD1"/>
    <w:rsid w:val="00FC2B5D"/>
    <w:rsid w:val="00FF1449"/>
    <w:rsid w:val="00FF7963"/>
    <w:rsid w:val="071B8F93"/>
    <w:rsid w:val="07C73DD1"/>
    <w:rsid w:val="09908A09"/>
    <w:rsid w:val="0E0AF0F4"/>
    <w:rsid w:val="0EFE6349"/>
    <w:rsid w:val="0FF4CCA8"/>
    <w:rsid w:val="13CFC91B"/>
    <w:rsid w:val="19A2EC2C"/>
    <w:rsid w:val="19C2847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12484"/>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7871E6"/>
    <w:pPr>
      <w:spacing w:line="240" w:lineRule="exact"/>
    </w:pPr>
    <w:rPr>
      <w:vertAlign w:val="superscript"/>
    </w:rPr>
  </w:style>
  <w:style w:type="character" w:styleId="Fuerte">
    <w:name w:val="Strong"/>
    <w:basedOn w:val="Fuentedeprrafopredeter"/>
    <w:uiPriority w:val="22"/>
    <w:qFormat/>
    <w:rsid w:val="00755595"/>
    <w:rPr>
      <w:b/>
      <w:bCs/>
    </w:rPr>
  </w:style>
  <w:style w:type="paragraph" w:styleId="Textoindependiente">
    <w:name w:val="Body Text"/>
    <w:basedOn w:val="Normal"/>
    <w:link w:val="TextoindependienteCar"/>
    <w:uiPriority w:val="99"/>
    <w:unhideWhenUsed/>
    <w:rsid w:val="00755595"/>
    <w:pPr>
      <w:spacing w:after="120" w:line="276" w:lineRule="auto"/>
    </w:pPr>
    <w:rPr>
      <w:rFonts w:eastAsiaTheme="minorEastAsia"/>
      <w:lang w:eastAsia="es-CO"/>
    </w:rPr>
  </w:style>
  <w:style w:type="character" w:customStyle="1" w:styleId="TextoindependienteCar">
    <w:name w:val="Texto independiente Car"/>
    <w:basedOn w:val="Fuentedeprrafopredeter"/>
    <w:link w:val="Textoindependiente"/>
    <w:uiPriority w:val="99"/>
    <w:rsid w:val="00755595"/>
    <w:rPr>
      <w:rFonts w:eastAsiaTheme="minorEastAsia"/>
      <w:lang w:eastAsia="es-CO"/>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755595"/>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12034420">
      <w:bodyDiv w:val="1"/>
      <w:marLeft w:val="0"/>
      <w:marRight w:val="0"/>
      <w:marTop w:val="0"/>
      <w:marBottom w:val="0"/>
      <w:divBdr>
        <w:top w:val="none" w:sz="0" w:space="0" w:color="auto"/>
        <w:left w:val="none" w:sz="0" w:space="0" w:color="auto"/>
        <w:bottom w:val="none" w:sz="0" w:space="0" w:color="auto"/>
        <w:right w:val="none" w:sz="0" w:space="0" w:color="auto"/>
      </w:divBdr>
      <w:divsChild>
        <w:div w:id="618488851">
          <w:marLeft w:val="0"/>
          <w:marRight w:val="0"/>
          <w:marTop w:val="0"/>
          <w:marBottom w:val="0"/>
          <w:divBdr>
            <w:top w:val="none" w:sz="0" w:space="0" w:color="auto"/>
            <w:left w:val="none" w:sz="0" w:space="0" w:color="auto"/>
            <w:bottom w:val="none" w:sz="0" w:space="0" w:color="auto"/>
            <w:right w:val="none" w:sz="0" w:space="0" w:color="auto"/>
          </w:divBdr>
          <w:divsChild>
            <w:div w:id="1312514199">
              <w:marLeft w:val="0"/>
              <w:marRight w:val="0"/>
              <w:marTop w:val="0"/>
              <w:marBottom w:val="0"/>
              <w:divBdr>
                <w:top w:val="none" w:sz="0" w:space="0" w:color="auto"/>
                <w:left w:val="none" w:sz="0" w:space="0" w:color="auto"/>
                <w:bottom w:val="none" w:sz="0" w:space="0" w:color="auto"/>
                <w:right w:val="none" w:sz="0" w:space="0" w:color="auto"/>
              </w:divBdr>
              <w:divsChild>
                <w:div w:id="651522952">
                  <w:marLeft w:val="0"/>
                  <w:marRight w:val="0"/>
                  <w:marTop w:val="0"/>
                  <w:marBottom w:val="0"/>
                  <w:divBdr>
                    <w:top w:val="none" w:sz="0" w:space="0" w:color="auto"/>
                    <w:left w:val="none" w:sz="0" w:space="0" w:color="auto"/>
                    <w:bottom w:val="none" w:sz="0" w:space="0" w:color="auto"/>
                    <w:right w:val="none" w:sz="0" w:space="0" w:color="auto"/>
                  </w:divBdr>
                  <w:divsChild>
                    <w:div w:id="1443960521">
                      <w:marLeft w:val="0"/>
                      <w:marRight w:val="0"/>
                      <w:marTop w:val="0"/>
                      <w:marBottom w:val="0"/>
                      <w:divBdr>
                        <w:top w:val="none" w:sz="0" w:space="0" w:color="auto"/>
                        <w:left w:val="none" w:sz="0" w:space="0" w:color="auto"/>
                        <w:bottom w:val="none" w:sz="0" w:space="0" w:color="auto"/>
                        <w:right w:val="none" w:sz="0" w:space="0" w:color="auto"/>
                      </w:divBdr>
                      <w:divsChild>
                        <w:div w:id="1892957634">
                          <w:marLeft w:val="0"/>
                          <w:marRight w:val="0"/>
                          <w:marTop w:val="0"/>
                          <w:marBottom w:val="0"/>
                          <w:divBdr>
                            <w:top w:val="none" w:sz="0" w:space="0" w:color="auto"/>
                            <w:left w:val="none" w:sz="0" w:space="0" w:color="auto"/>
                            <w:bottom w:val="none" w:sz="0" w:space="0" w:color="auto"/>
                            <w:right w:val="none" w:sz="0" w:space="0" w:color="auto"/>
                          </w:divBdr>
                          <w:divsChild>
                            <w:div w:id="780998957">
                              <w:marLeft w:val="0"/>
                              <w:marRight w:val="0"/>
                              <w:marTop w:val="0"/>
                              <w:marBottom w:val="0"/>
                              <w:divBdr>
                                <w:top w:val="none" w:sz="0" w:space="0" w:color="auto"/>
                                <w:left w:val="none" w:sz="0" w:space="0" w:color="auto"/>
                                <w:bottom w:val="none" w:sz="0" w:space="0" w:color="auto"/>
                                <w:right w:val="none" w:sz="0" w:space="0" w:color="auto"/>
                              </w:divBdr>
                              <w:divsChild>
                                <w:div w:id="1707415034">
                                  <w:marLeft w:val="0"/>
                                  <w:marRight w:val="0"/>
                                  <w:marTop w:val="0"/>
                                  <w:marBottom w:val="0"/>
                                  <w:divBdr>
                                    <w:top w:val="none" w:sz="0" w:space="0" w:color="auto"/>
                                    <w:left w:val="none" w:sz="0" w:space="0" w:color="auto"/>
                                    <w:bottom w:val="none" w:sz="0" w:space="0" w:color="auto"/>
                                    <w:right w:val="none" w:sz="0" w:space="0" w:color="auto"/>
                                  </w:divBdr>
                                  <w:divsChild>
                                    <w:div w:id="5493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1597518956">
      <w:bodyDiv w:val="1"/>
      <w:marLeft w:val="0"/>
      <w:marRight w:val="0"/>
      <w:marTop w:val="0"/>
      <w:marBottom w:val="0"/>
      <w:divBdr>
        <w:top w:val="none" w:sz="0" w:space="0" w:color="auto"/>
        <w:left w:val="none" w:sz="0" w:space="0" w:color="auto"/>
        <w:bottom w:val="none" w:sz="0" w:space="0" w:color="auto"/>
        <w:right w:val="none" w:sz="0" w:space="0" w:color="auto"/>
      </w:divBdr>
      <w:divsChild>
        <w:div w:id="1929848834">
          <w:marLeft w:val="0"/>
          <w:marRight w:val="0"/>
          <w:marTop w:val="0"/>
          <w:marBottom w:val="0"/>
          <w:divBdr>
            <w:top w:val="none" w:sz="0" w:space="0" w:color="auto"/>
            <w:left w:val="none" w:sz="0" w:space="0" w:color="auto"/>
            <w:bottom w:val="none" w:sz="0" w:space="0" w:color="auto"/>
            <w:right w:val="none" w:sz="0" w:space="0" w:color="auto"/>
          </w:divBdr>
          <w:divsChild>
            <w:div w:id="2056924019">
              <w:marLeft w:val="0"/>
              <w:marRight w:val="0"/>
              <w:marTop w:val="0"/>
              <w:marBottom w:val="0"/>
              <w:divBdr>
                <w:top w:val="none" w:sz="0" w:space="0" w:color="auto"/>
                <w:left w:val="none" w:sz="0" w:space="0" w:color="auto"/>
                <w:bottom w:val="none" w:sz="0" w:space="0" w:color="auto"/>
                <w:right w:val="none" w:sz="0" w:space="0" w:color="auto"/>
              </w:divBdr>
              <w:divsChild>
                <w:div w:id="1876308058">
                  <w:marLeft w:val="0"/>
                  <w:marRight w:val="0"/>
                  <w:marTop w:val="0"/>
                  <w:marBottom w:val="0"/>
                  <w:divBdr>
                    <w:top w:val="none" w:sz="0" w:space="0" w:color="auto"/>
                    <w:left w:val="none" w:sz="0" w:space="0" w:color="auto"/>
                    <w:bottom w:val="none" w:sz="0" w:space="0" w:color="auto"/>
                    <w:right w:val="none" w:sz="0" w:space="0" w:color="auto"/>
                  </w:divBdr>
                  <w:divsChild>
                    <w:div w:id="867257576">
                      <w:marLeft w:val="0"/>
                      <w:marRight w:val="0"/>
                      <w:marTop w:val="0"/>
                      <w:marBottom w:val="0"/>
                      <w:divBdr>
                        <w:top w:val="none" w:sz="0" w:space="0" w:color="auto"/>
                        <w:left w:val="none" w:sz="0" w:space="0" w:color="auto"/>
                        <w:bottom w:val="none" w:sz="0" w:space="0" w:color="auto"/>
                        <w:right w:val="none" w:sz="0" w:space="0" w:color="auto"/>
                      </w:divBdr>
                      <w:divsChild>
                        <w:div w:id="434636078">
                          <w:marLeft w:val="0"/>
                          <w:marRight w:val="0"/>
                          <w:marTop w:val="0"/>
                          <w:marBottom w:val="0"/>
                          <w:divBdr>
                            <w:top w:val="none" w:sz="0" w:space="0" w:color="auto"/>
                            <w:left w:val="none" w:sz="0" w:space="0" w:color="auto"/>
                            <w:bottom w:val="none" w:sz="0" w:space="0" w:color="auto"/>
                            <w:right w:val="none" w:sz="0" w:space="0" w:color="auto"/>
                          </w:divBdr>
                          <w:divsChild>
                            <w:div w:id="1226837747">
                              <w:marLeft w:val="0"/>
                              <w:marRight w:val="0"/>
                              <w:marTop w:val="0"/>
                              <w:marBottom w:val="0"/>
                              <w:divBdr>
                                <w:top w:val="none" w:sz="0" w:space="0" w:color="auto"/>
                                <w:left w:val="none" w:sz="0" w:space="0" w:color="auto"/>
                                <w:bottom w:val="none" w:sz="0" w:space="0" w:color="auto"/>
                                <w:right w:val="none" w:sz="0" w:space="0" w:color="auto"/>
                              </w:divBdr>
                              <w:divsChild>
                                <w:div w:id="986592301">
                                  <w:marLeft w:val="0"/>
                                  <w:marRight w:val="0"/>
                                  <w:marTop w:val="0"/>
                                  <w:marBottom w:val="0"/>
                                  <w:divBdr>
                                    <w:top w:val="none" w:sz="0" w:space="0" w:color="auto"/>
                                    <w:left w:val="none" w:sz="0" w:space="0" w:color="auto"/>
                                    <w:bottom w:val="none" w:sz="0" w:space="0" w:color="auto"/>
                                    <w:right w:val="none" w:sz="0" w:space="0" w:color="auto"/>
                                  </w:divBdr>
                                  <w:divsChild>
                                    <w:div w:id="68826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025263">
      <w:bodyDiv w:val="1"/>
      <w:marLeft w:val="0"/>
      <w:marRight w:val="0"/>
      <w:marTop w:val="0"/>
      <w:marBottom w:val="0"/>
      <w:divBdr>
        <w:top w:val="none" w:sz="0" w:space="0" w:color="auto"/>
        <w:left w:val="none" w:sz="0" w:space="0" w:color="auto"/>
        <w:bottom w:val="none" w:sz="0" w:space="0" w:color="auto"/>
        <w:right w:val="none" w:sz="0" w:space="0" w:color="auto"/>
      </w:divBdr>
    </w:div>
    <w:div w:id="1930771107">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olombiacompra.gov.co/normativa-y-relatoria/documentos-tip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acionvirtual.colombiacompra.gov.co/mod/page/view.php?id=3718"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A0DC24-EF67-47BF-BA3D-6BF5ABB0B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6</TotalTime>
  <Pages>18</Pages>
  <Words>5917</Words>
  <Characters>32547</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38388</CharactersWithSpaces>
  <SharedDoc>false</SharedDoc>
  <HLinks>
    <vt:vector size="24" baseType="variant">
      <vt:variant>
        <vt:i4>3735661</vt:i4>
      </vt:variant>
      <vt:variant>
        <vt:i4>9</vt:i4>
      </vt:variant>
      <vt:variant>
        <vt:i4>0</vt:i4>
      </vt:variant>
      <vt:variant>
        <vt:i4>5</vt:i4>
      </vt:variant>
      <vt:variant>
        <vt:lpwstr>https://www.colombiacompra.gov.co/normativa-y-relatoria/documentos-tipo</vt:lpwstr>
      </vt:variant>
      <vt:variant>
        <vt:lpwstr/>
      </vt:variant>
      <vt:variant>
        <vt:i4>65544</vt:i4>
      </vt:variant>
      <vt:variant>
        <vt:i4>6</vt:i4>
      </vt:variant>
      <vt:variant>
        <vt:i4>0</vt:i4>
      </vt:variant>
      <vt:variant>
        <vt:i4>5</vt:i4>
      </vt:variant>
      <vt:variant>
        <vt:lpwstr>https://formacionvirtual.colombiacompra.gov.co/mod/page/view.php?id=3718</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5505151</vt:i4>
      </vt:variant>
      <vt:variant>
        <vt:i4>0</vt:i4>
      </vt:variant>
      <vt:variant>
        <vt:i4>0</vt:i4>
      </vt:variant>
      <vt:variant>
        <vt:i4>5</vt:i4>
      </vt:variant>
      <vt:variant>
        <vt:lpwstr>mailto:Ana.menesesb@fiscalia.gov.co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5</cp:revision>
  <cp:lastPrinted>2023-01-10T21:18:00Z</cp:lastPrinted>
  <dcterms:created xsi:type="dcterms:W3CDTF">2026-09-02T19:05:00Z</dcterms:created>
  <dcterms:modified xsi:type="dcterms:W3CDTF">2026-09-03T13:46:00Z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