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F8239" w14:textId="47C8F9C3" w:rsidR="00E42995" w:rsidRPr="003B24BD" w:rsidRDefault="00E42995" w:rsidP="003B24BD">
      <w:pPr>
        <w:spacing w:after="0"/>
        <w:rPr>
          <w:rFonts w:ascii="Verdana" w:eastAsia="Verdana" w:hAnsi="Verdana" w:cs="Verdana"/>
        </w:rPr>
      </w:pPr>
      <w:bookmarkStart w:id="0" w:name="_Hlk143780582"/>
      <w:r w:rsidRPr="00EB7B22">
        <w:rPr>
          <w:rFonts w:ascii="Verdana" w:eastAsia="Calibri" w:hAnsi="Verdana" w:cs="Arial"/>
          <w:b/>
          <w:bCs/>
          <w:color w:val="000000" w:themeColor="text1"/>
          <w:lang w:val="es-ES_tradnl" w:eastAsia="es-MX"/>
        </w:rPr>
        <w:t xml:space="preserve">DOCUMENTOS TIPO – Fundamento normativo – Obligatoriedad </w:t>
      </w:r>
    </w:p>
    <w:p w14:paraId="28D39C4D" w14:textId="77777777" w:rsidR="00E42995" w:rsidRPr="00EB7B22" w:rsidRDefault="00E42995" w:rsidP="00E42995">
      <w:pPr>
        <w:spacing w:after="0" w:line="276" w:lineRule="auto"/>
        <w:jc w:val="both"/>
        <w:rPr>
          <w:rFonts w:ascii="Verdana" w:eastAsia="Calibri" w:hAnsi="Verdana" w:cs="Arial"/>
          <w:b/>
          <w:bCs/>
          <w:color w:val="000000" w:themeColor="text1"/>
          <w:sz w:val="20"/>
          <w:szCs w:val="20"/>
          <w:lang w:val="es-ES_tradnl" w:eastAsia="es-MX"/>
        </w:rPr>
      </w:pPr>
    </w:p>
    <w:p w14:paraId="591FF669" w14:textId="77777777" w:rsidR="00E42995" w:rsidRPr="00EB7B22" w:rsidRDefault="00E42995" w:rsidP="00E42995">
      <w:pPr>
        <w:tabs>
          <w:tab w:val="left" w:pos="709"/>
        </w:tabs>
        <w:spacing w:after="0" w:line="240" w:lineRule="auto"/>
        <w:jc w:val="both"/>
        <w:rPr>
          <w:rFonts w:ascii="Verdana" w:eastAsia="Calibri" w:hAnsi="Verdana" w:cs="Arial"/>
          <w:color w:val="000000" w:themeColor="text1"/>
          <w:sz w:val="20"/>
          <w:szCs w:val="20"/>
          <w:lang w:val="es-ES" w:eastAsia="es-MX"/>
        </w:rPr>
      </w:pPr>
      <w:r w:rsidRPr="00EB7B22">
        <w:rPr>
          <w:rFonts w:ascii="Verdana" w:eastAsia="Calibri" w:hAnsi="Verdana" w:cs="Arial"/>
          <w:color w:val="000000" w:themeColor="text1"/>
          <w:sz w:val="20"/>
          <w:szCs w:val="20"/>
          <w:lang w:val="es-ES" w:eastAsia="es-MX"/>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3A3CFC14" w14:textId="77777777" w:rsidR="00E42995" w:rsidRPr="00EB7B22" w:rsidRDefault="00E42995" w:rsidP="00E42995">
      <w:pPr>
        <w:spacing w:after="0"/>
        <w:jc w:val="both"/>
        <w:rPr>
          <w:rFonts w:ascii="Verdana" w:hAnsi="Verdana"/>
          <w:color w:val="000000" w:themeColor="text1"/>
          <w:lang w:val="es-ES"/>
        </w:rPr>
      </w:pPr>
    </w:p>
    <w:p w14:paraId="509F4E40" w14:textId="77777777" w:rsidR="00E42995" w:rsidRDefault="00E42995" w:rsidP="00E42995">
      <w:pPr>
        <w:spacing w:after="0" w:line="276" w:lineRule="auto"/>
        <w:jc w:val="both"/>
        <w:rPr>
          <w:rFonts w:ascii="Verdana" w:eastAsia="Calibri" w:hAnsi="Verdana" w:cs="Arial"/>
          <w:b/>
          <w:bCs/>
          <w:color w:val="000000" w:themeColor="text1"/>
          <w:lang w:val="es-ES_tradnl" w:eastAsia="es-MX"/>
        </w:rPr>
      </w:pPr>
      <w:r w:rsidRPr="00EB7B22">
        <w:rPr>
          <w:rFonts w:ascii="Verdana" w:eastAsia="Calibri" w:hAnsi="Verdana" w:cs="Arial"/>
          <w:b/>
          <w:bCs/>
          <w:color w:val="000000" w:themeColor="text1"/>
          <w:lang w:val="es-ES_tradnl" w:eastAsia="es-MX"/>
        </w:rPr>
        <w:t xml:space="preserve">DOCUMENTOS TIPO – Inalterabilidad </w:t>
      </w:r>
    </w:p>
    <w:p w14:paraId="0A89D5EE" w14:textId="77777777" w:rsidR="00E42995" w:rsidRPr="00EB7B22" w:rsidRDefault="00E42995" w:rsidP="00E42995">
      <w:pPr>
        <w:spacing w:after="0" w:line="276" w:lineRule="auto"/>
        <w:jc w:val="both"/>
        <w:rPr>
          <w:rFonts w:ascii="Verdana" w:hAnsi="Verdana"/>
          <w:color w:val="000000" w:themeColor="text1"/>
          <w:lang w:val="es-ES"/>
        </w:rPr>
      </w:pPr>
    </w:p>
    <w:p w14:paraId="64E0B56B" w14:textId="77777777" w:rsidR="00E42995" w:rsidRPr="0097520A" w:rsidRDefault="00E42995" w:rsidP="00E42995">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r w:rsidRPr="0097520A">
        <w:rPr>
          <w:rFonts w:ascii="Verdana" w:eastAsia="Calibri" w:hAnsi="Verdana" w:cs="Arial"/>
          <w:color w:val="000000" w:themeColor="text1"/>
          <w:kern w:val="2"/>
          <w:sz w:val="20"/>
          <w:szCs w:val="20"/>
          <w:lang w:val="es-ES"/>
          <w14:ligatures w14:val="standardContextual"/>
        </w:rPr>
        <w:t>En consecuencia, la posibilidad de modificación por parte de las entidades estatales no constituye una facultad discrecional, sino que se encuentra circunscrita a aquellos aspectos respecto de los cuales los propios Documentos Tipo hayan previsto expresamente un margen de configuración. Estos corresponden, de acuerdo con las instrucciones contenidas en los respectivos documentos, a los apartes identificados entre corchetes y resaltados en gris –[texto]–, los cuales deberán ser diligenciados por la entidad conforme a las reglas establecidas para tal efecto.</w:t>
      </w:r>
    </w:p>
    <w:p w14:paraId="1B9CBF49" w14:textId="77777777" w:rsidR="00E42995" w:rsidRDefault="00E42995" w:rsidP="00E42995">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r w:rsidRPr="0097520A">
        <w:rPr>
          <w:rFonts w:ascii="Verdana" w:eastAsia="Calibri" w:hAnsi="Verdana" w:cs="Arial"/>
          <w:color w:val="000000" w:themeColor="text1"/>
          <w:kern w:val="2"/>
          <w:sz w:val="20"/>
          <w:szCs w:val="20"/>
          <w:lang w:val="es-ES"/>
          <w14:ligatures w14:val="standardContextual"/>
        </w:rPr>
        <w:t>Por lo tanto, en aquellos apartes en los que los Documentos Tipo no contemplen expresamente una posibilidad de modificación, la entidad deberá incorporar su contenido al proceso de contratación sin alteración alguna. Esta regla resulta particularmente relevante frente a los factores y puntajes de evaluación, pues la entidad no puede, por su propia iniciativa, modificar su distribución, adicionar factores, suprimirlos o redistribuir los puntajes asignados, salvo que el Documento Tipo aplicable le otorgue expresamente dicha posibilidad.</w:t>
      </w:r>
    </w:p>
    <w:p w14:paraId="67631F32" w14:textId="77777777" w:rsidR="00E42995" w:rsidRDefault="00E42995" w:rsidP="00E42995">
      <w:pPr>
        <w:spacing w:after="0" w:line="276" w:lineRule="auto"/>
        <w:jc w:val="both"/>
        <w:rPr>
          <w:rFonts w:ascii="Verdana" w:eastAsia="Calibri" w:hAnsi="Verdana" w:cs="Arial"/>
          <w:b/>
          <w:bCs/>
          <w:color w:val="000000" w:themeColor="text1"/>
          <w:lang w:val="es-ES_tradnl" w:eastAsia="es-MX"/>
        </w:rPr>
      </w:pPr>
      <w:r w:rsidRPr="00EB7B22">
        <w:rPr>
          <w:rFonts w:ascii="Verdana" w:eastAsia="Calibri" w:hAnsi="Verdana" w:cs="Arial"/>
          <w:b/>
          <w:bCs/>
          <w:color w:val="000000" w:themeColor="text1"/>
          <w:lang w:val="es-ES_tradnl" w:eastAsia="es-MX"/>
        </w:rPr>
        <w:t xml:space="preserve">DOCUMENTOS TIPO – </w:t>
      </w:r>
      <w:r>
        <w:rPr>
          <w:rFonts w:ascii="Verdana" w:eastAsia="Calibri" w:hAnsi="Verdana" w:cs="Arial"/>
          <w:b/>
          <w:bCs/>
          <w:color w:val="000000" w:themeColor="text1"/>
          <w:lang w:val="es-ES_tradnl" w:eastAsia="es-MX"/>
        </w:rPr>
        <w:t>Puntaje de evaluación</w:t>
      </w:r>
      <w:r w:rsidRPr="00EB7B22">
        <w:rPr>
          <w:rFonts w:ascii="Verdana" w:eastAsia="Calibri" w:hAnsi="Verdana" w:cs="Arial"/>
          <w:b/>
          <w:bCs/>
          <w:color w:val="000000" w:themeColor="text1"/>
          <w:lang w:val="es-ES_tradnl" w:eastAsia="es-MX"/>
        </w:rPr>
        <w:t xml:space="preserve"> – </w:t>
      </w:r>
      <w:r>
        <w:rPr>
          <w:rFonts w:ascii="Verdana" w:eastAsia="Calibri" w:hAnsi="Verdana" w:cs="Arial"/>
          <w:b/>
          <w:bCs/>
          <w:color w:val="000000" w:themeColor="text1"/>
          <w:lang w:val="es-ES_tradnl" w:eastAsia="es-MX"/>
        </w:rPr>
        <w:t xml:space="preserve">Asignación de puntaje </w:t>
      </w:r>
    </w:p>
    <w:p w14:paraId="60B0AC89" w14:textId="77777777" w:rsidR="00E42995" w:rsidRPr="00EB7B22" w:rsidRDefault="00E42995" w:rsidP="00E42995">
      <w:pPr>
        <w:spacing w:after="0" w:line="276" w:lineRule="auto"/>
        <w:jc w:val="both"/>
        <w:rPr>
          <w:rFonts w:ascii="Verdana" w:eastAsia="Calibri" w:hAnsi="Verdana" w:cs="Arial"/>
          <w:b/>
          <w:bCs/>
          <w:color w:val="000000" w:themeColor="text1"/>
          <w:lang w:val="es-ES_tradnl" w:eastAsia="es-MX"/>
        </w:rPr>
      </w:pPr>
    </w:p>
    <w:p w14:paraId="74D7E8C5" w14:textId="77777777" w:rsidR="00E42995" w:rsidRPr="00EB7B22" w:rsidRDefault="00E42995" w:rsidP="00E42995">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r w:rsidRPr="0080450C">
        <w:rPr>
          <w:rFonts w:ascii="Verdana" w:eastAsia="Calibri" w:hAnsi="Verdana" w:cs="Arial"/>
          <w:color w:val="000000" w:themeColor="text1"/>
          <w:kern w:val="2"/>
          <w:sz w:val="20"/>
          <w:szCs w:val="20"/>
          <w:lang w:val="es-ES"/>
          <w14:ligatures w14:val="standardContextual"/>
        </w:rPr>
        <w:t xml:space="preserve">Así, tratándose de la distribución establecida para la evaluación de las ofertas, correspondiente a </w:t>
      </w:r>
      <w:r w:rsidRPr="00EB7B22">
        <w:rPr>
          <w:rFonts w:ascii="Verdana" w:eastAsia="Calibri" w:hAnsi="Verdana" w:cs="Arial"/>
          <w:color w:val="000000" w:themeColor="text1"/>
          <w:kern w:val="2"/>
          <w:sz w:val="20"/>
          <w:szCs w:val="20"/>
          <w14:ligatures w14:val="standardContextual"/>
        </w:rPr>
        <w:t xml:space="preserve">48,5 puntos para la oferta económica, 30 puntos para el factor de calidad, 20 puntos para el apoyo a la industria nacional, 1 punto por vinculación de personas con discapacidad, 0,25 puntos para emprendimientos y empresas de mujeres y 0,25 puntos para </w:t>
      </w:r>
      <w:proofErr w:type="spellStart"/>
      <w:r w:rsidRPr="00EB7B22">
        <w:rPr>
          <w:rFonts w:ascii="Verdana" w:eastAsia="Calibri" w:hAnsi="Verdana" w:cs="Arial"/>
          <w:color w:val="000000" w:themeColor="text1"/>
          <w:kern w:val="2"/>
          <w:sz w:val="20"/>
          <w:szCs w:val="20"/>
          <w14:ligatures w14:val="standardContextual"/>
        </w:rPr>
        <w:t>Mipyme</w:t>
      </w:r>
      <w:proofErr w:type="spellEnd"/>
      <w:r w:rsidRPr="00EB7B22">
        <w:rPr>
          <w:rFonts w:ascii="Verdana" w:eastAsia="Calibri" w:hAnsi="Verdana" w:cs="Arial"/>
          <w:color w:val="000000" w:themeColor="text1"/>
          <w:kern w:val="2"/>
          <w:sz w:val="20"/>
          <w:szCs w:val="20"/>
          <w14:ligatures w14:val="standardContextual"/>
        </w:rPr>
        <w:t>.</w:t>
      </w:r>
      <w:r w:rsidRPr="0080450C">
        <w:rPr>
          <w:rFonts w:ascii="Verdana" w:eastAsia="Calibri" w:hAnsi="Verdana" w:cs="Arial"/>
          <w:color w:val="000000" w:themeColor="text1"/>
          <w:kern w:val="2"/>
          <w:sz w:val="20"/>
          <w:szCs w:val="20"/>
          <w:lang w:val="es-ES"/>
          <w14:ligatures w14:val="standardContextual"/>
        </w:rPr>
        <w:t>, la entidad deberá sujetarse a los parámetros previstos en el Documento Tipo y no podrá modificarlos discrecionalmente.</w:t>
      </w:r>
    </w:p>
    <w:p w14:paraId="1A09C814" w14:textId="77777777" w:rsidR="00E42995" w:rsidRPr="00EB7B22" w:rsidRDefault="00E42995" w:rsidP="00E42995">
      <w:pPr>
        <w:widowControl w:val="0"/>
        <w:autoSpaceDE w:val="0"/>
        <w:autoSpaceDN w:val="0"/>
        <w:spacing w:after="120" w:line="240" w:lineRule="auto"/>
        <w:jc w:val="both"/>
        <w:rPr>
          <w:rFonts w:ascii="Verdana" w:eastAsia="Calibri" w:hAnsi="Verdana" w:cs="Arial"/>
          <w:kern w:val="2"/>
          <w:sz w:val="20"/>
          <w:szCs w:val="20"/>
          <w14:ligatures w14:val="standardContextual"/>
        </w:rPr>
      </w:pPr>
      <w:r w:rsidRPr="00EB7B22">
        <w:rPr>
          <w:rFonts w:ascii="Verdana" w:eastAsia="Calibri" w:hAnsi="Verdana" w:cs="Arial"/>
          <w:color w:val="000000" w:themeColor="text1"/>
          <w:kern w:val="2"/>
          <w:sz w:val="20"/>
          <w:szCs w:val="20"/>
          <w14:ligatures w14:val="standardContextual"/>
        </w:rPr>
        <w:t>La distribución de puntajes no constituye una decisión que pueda ser determinada discrecionalmente por cada entidad estatal en el respectivo proceso de contratación, sino que corresponde a una regla previamente establecida en los Documentos Tipos.</w:t>
      </w:r>
      <w:r w:rsidRPr="00EB7B22">
        <w:rPr>
          <w:rFonts w:ascii="Verdana" w:eastAsia="Calibri" w:hAnsi="Verdana" w:cs="Arial"/>
          <w:color w:val="000000" w:themeColor="text1"/>
          <w:kern w:val="2"/>
          <w:sz w:val="20"/>
          <w:szCs w:val="20"/>
          <w:lang w:val="es-ES"/>
          <w14:ligatures w14:val="standardContextual"/>
        </w:rPr>
        <w:t xml:space="preserve"> </w:t>
      </w:r>
      <w:r w:rsidRPr="00EB7B22">
        <w:rPr>
          <w:rFonts w:ascii="Verdana" w:eastAsia="Calibri" w:hAnsi="Verdana" w:cs="Arial"/>
          <w:kern w:val="2"/>
          <w:sz w:val="20"/>
          <w:szCs w:val="20"/>
          <w14:ligatures w14:val="standardContextual"/>
        </w:rPr>
        <w:t>Por consiguiente, debe sujetarse a la estructura de ponderación allí prevista y únicamente podrá ejercer aquellas opciones de configuración que el propio Documento Tipo haya autorizado expresamente.</w:t>
      </w:r>
    </w:p>
    <w:p w14:paraId="044D5A25" w14:textId="77777777" w:rsidR="00E42995" w:rsidRDefault="00E42995" w:rsidP="00E42995">
      <w:pPr>
        <w:jc w:val="both"/>
        <w:rPr>
          <w:rFonts w:ascii="Verdana" w:hAnsi="Verdana" w:cs="Arial"/>
          <w:b/>
          <w:bCs/>
          <w:lang w:val="es-MX"/>
        </w:rPr>
      </w:pPr>
      <w:r w:rsidRPr="0090232F">
        <w:rPr>
          <w:rFonts w:ascii="Verdana" w:hAnsi="Verdana" w:cs="Arial"/>
          <w:b/>
          <w:lang w:val="es-ES_tradnl"/>
        </w:rPr>
        <w:t xml:space="preserve">INHABILIDAD </w:t>
      </w:r>
      <w:r w:rsidRPr="0090232F">
        <w:rPr>
          <w:rFonts w:ascii="Verdana" w:hAnsi="Verdana" w:cs="Arial"/>
          <w:b/>
        </w:rPr>
        <w:t>E INCOMPATIBILIDAD</w:t>
      </w:r>
      <w:r w:rsidRPr="0021640A">
        <w:rPr>
          <w:rFonts w:ascii="Verdana" w:hAnsi="Verdana" w:cs="Arial"/>
          <w:b/>
          <w:bCs/>
          <w:lang w:val="es-MX"/>
        </w:rPr>
        <w:t xml:space="preserve"> – Delitos sexuales contra menores - Deber de verificación</w:t>
      </w:r>
      <w:r>
        <w:rPr>
          <w:rFonts w:ascii="Verdana" w:hAnsi="Verdana" w:cs="Arial"/>
          <w:b/>
          <w:bCs/>
          <w:lang w:val="es-MX"/>
        </w:rPr>
        <w:t xml:space="preserve"> – </w:t>
      </w:r>
      <w:proofErr w:type="spellStart"/>
      <w:r>
        <w:rPr>
          <w:rFonts w:ascii="Verdana" w:hAnsi="Verdana" w:cs="Arial"/>
          <w:b/>
          <w:bCs/>
          <w:lang w:val="es-MX"/>
        </w:rPr>
        <w:t>Ambito</w:t>
      </w:r>
      <w:proofErr w:type="spellEnd"/>
      <w:r>
        <w:rPr>
          <w:rFonts w:ascii="Verdana" w:hAnsi="Verdana" w:cs="Arial"/>
          <w:b/>
          <w:bCs/>
          <w:lang w:val="es-MX"/>
        </w:rPr>
        <w:t xml:space="preserve"> de aplicación</w:t>
      </w:r>
    </w:p>
    <w:p w14:paraId="2687FDBB" w14:textId="77777777" w:rsidR="00E42995" w:rsidRPr="00E221B1" w:rsidRDefault="00E42995" w:rsidP="00E42995">
      <w:pPr>
        <w:jc w:val="both"/>
        <w:rPr>
          <w:rFonts w:ascii="Verdana" w:hAnsi="Verdana" w:cs="Arial"/>
          <w:b/>
          <w:bCs/>
          <w:color w:val="000000" w:themeColor="text1"/>
          <w:sz w:val="20"/>
          <w:szCs w:val="20"/>
          <w:lang w:val="es-ES_tradnl"/>
        </w:rPr>
      </w:pPr>
      <w:r w:rsidRPr="00E221B1">
        <w:rPr>
          <w:rFonts w:ascii="Verdana" w:eastAsia="Verdana" w:hAnsi="Verdana" w:cs="Verdana"/>
          <w:sz w:val="20"/>
          <w:szCs w:val="20"/>
          <w:lang w:val="es-ES"/>
        </w:rPr>
        <w:lastRenderedPageBreak/>
        <w:t>Por otro lado, la</w:t>
      </w:r>
      <w:r w:rsidRPr="00E221B1">
        <w:rPr>
          <w:rFonts w:ascii="Verdana" w:eastAsia="Calibri" w:hAnsi="Verdana" w:cs="Arial"/>
          <w:bCs/>
          <w:sz w:val="20"/>
          <w:szCs w:val="20"/>
        </w:rPr>
        <w:t xml:space="preserve"> Ley 1918 de 2018 en su artículo 4, la norma establece que las entidades públicas y privadas deberán verificar, previa autorización del aspirante, que este no se encuentre inscrito en el Registro de Inhabilidades por delitos sexuales cometidos contra menores de edad, como requisito previo a su vinculación en empleos o contratos que impliquen contacto directo y habitual con menores. Dicha verificación deberá realizarse con una periodicidad mínima de cada cuatro (4) meses durante la vigencia de la relación laboral o contractual. El incumplimiento de esta obligación por parte de un servidor público, que conlleve la contratación de una persona inhabilitada, constituye falta disciplinaria gravísima.</w:t>
      </w:r>
      <w:r w:rsidRPr="00E221B1">
        <w:rPr>
          <w:rFonts w:ascii="Verdana" w:eastAsia="Calibri" w:hAnsi="Verdana" w:cs="Arial"/>
          <w:bCs/>
          <w:color w:val="EE0000"/>
          <w:sz w:val="20"/>
          <w:szCs w:val="20"/>
        </w:rPr>
        <w:t xml:space="preserve"> </w:t>
      </w:r>
      <w:r w:rsidRPr="00E221B1">
        <w:rPr>
          <w:rFonts w:ascii="Verdana" w:eastAsia="Calibri" w:hAnsi="Verdana" w:cs="Arial"/>
          <w:bCs/>
          <w:sz w:val="20"/>
          <w:szCs w:val="20"/>
        </w:rPr>
        <w:t>Es importante, tener en cuenta que el uso del registro debe cumplir con la Ley de Protección de Datos Personales -Ley 1581 de 2012-, bajo supervisión de la Superintendencia de Industria y Comercio. Esto, sin perjuicio del manejo y custodia del expediente contractual frente a este documento, así como los demás que tengan el carácter de reservado.</w:t>
      </w:r>
    </w:p>
    <w:p w14:paraId="4A1DC2EE" w14:textId="77777777" w:rsidR="00E42995" w:rsidRPr="00EB7B22" w:rsidRDefault="00E42995" w:rsidP="00E42995">
      <w:pPr>
        <w:spacing w:after="0"/>
        <w:rPr>
          <w:rFonts w:ascii="Verdana" w:hAnsi="Verdana"/>
        </w:rPr>
      </w:pPr>
    </w:p>
    <w:p w14:paraId="72CBEFB0" w14:textId="77777777" w:rsidR="00E42995" w:rsidRDefault="00E42995" w:rsidP="00E42995">
      <w:pPr>
        <w:spacing w:after="0"/>
        <w:rPr>
          <w:rFonts w:ascii="Verdana" w:hAnsi="Verdana"/>
          <w:lang w:val="es-ES_tradnl"/>
        </w:rPr>
      </w:pPr>
    </w:p>
    <w:p w14:paraId="14B71ADE" w14:textId="77777777" w:rsidR="00E42995" w:rsidRDefault="00E42995" w:rsidP="00E42995">
      <w:pPr>
        <w:spacing w:after="0"/>
        <w:rPr>
          <w:rFonts w:ascii="Verdana" w:hAnsi="Verdana"/>
          <w:lang w:val="es-ES_tradnl"/>
        </w:rPr>
      </w:pPr>
    </w:p>
    <w:p w14:paraId="4F8E67BA" w14:textId="77777777" w:rsidR="00E42995" w:rsidRDefault="00E42995" w:rsidP="00E42995">
      <w:pPr>
        <w:spacing w:after="0"/>
        <w:rPr>
          <w:rFonts w:ascii="Verdana" w:hAnsi="Verdana"/>
          <w:lang w:val="es-ES_tradnl"/>
        </w:rPr>
      </w:pPr>
    </w:p>
    <w:p w14:paraId="252E2370" w14:textId="77777777" w:rsidR="00E42995" w:rsidRDefault="00E42995" w:rsidP="00E42995">
      <w:pPr>
        <w:spacing w:after="0"/>
        <w:rPr>
          <w:rFonts w:ascii="Verdana" w:hAnsi="Verdana"/>
          <w:lang w:val="es-ES_tradnl"/>
        </w:rPr>
      </w:pPr>
    </w:p>
    <w:p w14:paraId="7612437F" w14:textId="77777777" w:rsidR="00E42995" w:rsidRDefault="00E42995" w:rsidP="00E42995">
      <w:pPr>
        <w:spacing w:after="0"/>
        <w:rPr>
          <w:rFonts w:ascii="Verdana" w:hAnsi="Verdana"/>
          <w:lang w:val="es-ES_tradnl"/>
        </w:rPr>
      </w:pPr>
    </w:p>
    <w:p w14:paraId="35B447BD" w14:textId="77777777" w:rsidR="00E42995" w:rsidRDefault="00E42995" w:rsidP="00E42995">
      <w:pPr>
        <w:spacing w:after="0"/>
        <w:rPr>
          <w:rFonts w:ascii="Verdana" w:hAnsi="Verdana"/>
          <w:lang w:val="es-ES_tradnl"/>
        </w:rPr>
      </w:pPr>
    </w:p>
    <w:p w14:paraId="6030E703" w14:textId="77777777" w:rsidR="00E42995" w:rsidRDefault="00E42995" w:rsidP="00E42995">
      <w:pPr>
        <w:spacing w:after="0"/>
        <w:rPr>
          <w:rFonts w:ascii="Verdana" w:hAnsi="Verdana"/>
          <w:lang w:val="es-ES_tradnl"/>
        </w:rPr>
      </w:pPr>
    </w:p>
    <w:p w14:paraId="4F1B579F" w14:textId="77777777" w:rsidR="00E42995" w:rsidRDefault="00E42995" w:rsidP="00E42995">
      <w:pPr>
        <w:spacing w:after="0"/>
        <w:rPr>
          <w:rFonts w:ascii="Verdana" w:hAnsi="Verdana"/>
          <w:lang w:val="es-ES_tradnl"/>
        </w:rPr>
      </w:pPr>
    </w:p>
    <w:p w14:paraId="66FD606D" w14:textId="77777777" w:rsidR="00E42995" w:rsidRDefault="00E42995" w:rsidP="00E42995">
      <w:pPr>
        <w:spacing w:after="0"/>
        <w:rPr>
          <w:rFonts w:ascii="Verdana" w:hAnsi="Verdana"/>
          <w:lang w:val="es-ES_tradnl"/>
        </w:rPr>
      </w:pPr>
    </w:p>
    <w:p w14:paraId="2169247E" w14:textId="77777777" w:rsidR="00E42995" w:rsidRDefault="00E42995" w:rsidP="00E42995">
      <w:pPr>
        <w:spacing w:after="0"/>
        <w:rPr>
          <w:rFonts w:ascii="Verdana" w:hAnsi="Verdana"/>
          <w:lang w:val="es-ES_tradnl"/>
        </w:rPr>
      </w:pPr>
    </w:p>
    <w:p w14:paraId="59A9C904" w14:textId="77777777" w:rsidR="00E42995" w:rsidRDefault="00E42995" w:rsidP="00E42995">
      <w:pPr>
        <w:spacing w:after="0"/>
        <w:rPr>
          <w:rFonts w:ascii="Verdana" w:hAnsi="Verdana"/>
          <w:lang w:val="es-ES_tradnl"/>
        </w:rPr>
      </w:pPr>
    </w:p>
    <w:p w14:paraId="61919716" w14:textId="77777777" w:rsidR="00E42995" w:rsidRDefault="00E42995" w:rsidP="00E42995">
      <w:pPr>
        <w:spacing w:after="0"/>
        <w:rPr>
          <w:rFonts w:ascii="Verdana" w:hAnsi="Verdana"/>
          <w:lang w:val="es-ES_tradnl"/>
        </w:rPr>
      </w:pPr>
    </w:p>
    <w:p w14:paraId="295E11C4" w14:textId="77777777" w:rsidR="00E42995" w:rsidRDefault="00E42995" w:rsidP="00E42995">
      <w:pPr>
        <w:spacing w:after="0"/>
        <w:rPr>
          <w:rFonts w:ascii="Verdana" w:hAnsi="Verdana"/>
          <w:lang w:val="es-ES_tradnl"/>
        </w:rPr>
      </w:pPr>
    </w:p>
    <w:p w14:paraId="18DC5FD3" w14:textId="77777777" w:rsidR="00E42995" w:rsidRDefault="00E42995" w:rsidP="00E42995">
      <w:pPr>
        <w:spacing w:after="0"/>
        <w:rPr>
          <w:rFonts w:ascii="Verdana" w:hAnsi="Verdana"/>
          <w:lang w:val="es-ES_tradnl"/>
        </w:rPr>
      </w:pPr>
    </w:p>
    <w:p w14:paraId="5954F067" w14:textId="77777777" w:rsidR="00E42995" w:rsidRDefault="00E42995" w:rsidP="00E42995">
      <w:pPr>
        <w:spacing w:after="0"/>
        <w:rPr>
          <w:rFonts w:ascii="Verdana" w:hAnsi="Verdana"/>
          <w:lang w:val="es-ES_tradnl"/>
        </w:rPr>
      </w:pPr>
    </w:p>
    <w:p w14:paraId="2A977596" w14:textId="77777777" w:rsidR="00E42995" w:rsidRDefault="00E42995" w:rsidP="00E42995">
      <w:pPr>
        <w:spacing w:after="0"/>
        <w:rPr>
          <w:rFonts w:ascii="Verdana" w:hAnsi="Verdana"/>
          <w:lang w:val="es-ES_tradnl"/>
        </w:rPr>
      </w:pPr>
    </w:p>
    <w:p w14:paraId="0F86D0FD" w14:textId="77777777" w:rsidR="00E42995" w:rsidRDefault="00E42995" w:rsidP="00E42995">
      <w:pPr>
        <w:spacing w:after="0"/>
        <w:rPr>
          <w:rFonts w:ascii="Verdana" w:hAnsi="Verdana"/>
          <w:lang w:val="es-ES_tradnl"/>
        </w:rPr>
      </w:pPr>
    </w:p>
    <w:p w14:paraId="420C370D" w14:textId="77777777" w:rsidR="00E42995" w:rsidRDefault="00E42995" w:rsidP="00E42995">
      <w:pPr>
        <w:spacing w:after="0"/>
        <w:rPr>
          <w:rFonts w:ascii="Verdana" w:hAnsi="Verdana"/>
          <w:lang w:val="es-ES_tradnl"/>
        </w:rPr>
      </w:pPr>
    </w:p>
    <w:p w14:paraId="69A8CFF4" w14:textId="77777777" w:rsidR="00E42995" w:rsidRDefault="00E42995" w:rsidP="00E42995">
      <w:pPr>
        <w:spacing w:after="0"/>
        <w:rPr>
          <w:rFonts w:ascii="Verdana" w:hAnsi="Verdana"/>
          <w:lang w:val="es-ES_tradnl"/>
        </w:rPr>
      </w:pPr>
    </w:p>
    <w:p w14:paraId="0C3EA281" w14:textId="77777777" w:rsidR="00E42995" w:rsidRDefault="00E42995" w:rsidP="00E42995">
      <w:pPr>
        <w:spacing w:after="0"/>
        <w:rPr>
          <w:rFonts w:ascii="Verdana" w:hAnsi="Verdana"/>
          <w:lang w:val="es-ES_tradnl"/>
        </w:rPr>
      </w:pPr>
    </w:p>
    <w:p w14:paraId="59ECE0B0" w14:textId="77777777" w:rsidR="00E42995" w:rsidRDefault="00E42995" w:rsidP="00E42995">
      <w:pPr>
        <w:spacing w:after="0"/>
        <w:rPr>
          <w:rFonts w:ascii="Verdana" w:hAnsi="Verdana"/>
          <w:lang w:val="es-ES_tradnl"/>
        </w:rPr>
      </w:pPr>
    </w:p>
    <w:p w14:paraId="6F74B81F" w14:textId="77777777" w:rsidR="00E42995" w:rsidRDefault="00E42995" w:rsidP="00E42995">
      <w:pPr>
        <w:spacing w:after="0"/>
        <w:rPr>
          <w:rFonts w:ascii="Verdana" w:hAnsi="Verdana"/>
          <w:lang w:val="es-ES_tradnl"/>
        </w:rPr>
      </w:pPr>
    </w:p>
    <w:p w14:paraId="6BC86496" w14:textId="77777777" w:rsidR="00E42995" w:rsidRDefault="00E42995" w:rsidP="00E42995">
      <w:pPr>
        <w:spacing w:after="0"/>
        <w:rPr>
          <w:rFonts w:ascii="Verdana" w:hAnsi="Verdana"/>
          <w:lang w:val="es-ES_tradnl"/>
        </w:rPr>
      </w:pPr>
    </w:p>
    <w:p w14:paraId="01C7BAEB" w14:textId="77777777" w:rsidR="00E42995" w:rsidRDefault="00E42995" w:rsidP="00E42995">
      <w:pPr>
        <w:spacing w:after="0"/>
        <w:rPr>
          <w:rFonts w:ascii="Verdana" w:hAnsi="Verdana"/>
          <w:lang w:val="es-ES_tradnl"/>
        </w:rPr>
      </w:pPr>
    </w:p>
    <w:p w14:paraId="665A768D" w14:textId="77777777" w:rsidR="00E42995" w:rsidRDefault="00E42995" w:rsidP="00E42995">
      <w:pPr>
        <w:spacing w:after="0"/>
        <w:rPr>
          <w:rFonts w:ascii="Verdana" w:hAnsi="Verdana"/>
          <w:lang w:val="es-ES_tradnl"/>
        </w:rPr>
      </w:pPr>
    </w:p>
    <w:p w14:paraId="54449918" w14:textId="77777777" w:rsidR="00720A53" w:rsidRDefault="00720A53" w:rsidP="00E42995">
      <w:pPr>
        <w:spacing w:after="0"/>
        <w:rPr>
          <w:rFonts w:ascii="Verdana" w:hAnsi="Verdana"/>
        </w:rPr>
      </w:pPr>
      <w:r w:rsidRPr="00720A53">
        <w:rPr>
          <w:rFonts w:ascii="Verdana" w:hAnsi="Verdana"/>
        </w:rPr>
        <w:lastRenderedPageBreak/>
        <w:t>Bogotá D.C., 27 Agosto 2026</w:t>
      </w:r>
    </w:p>
    <w:p w14:paraId="34D92071" w14:textId="5ADFBC38" w:rsidR="00E42995" w:rsidRPr="00A11AA2" w:rsidRDefault="00720A53" w:rsidP="00E42995">
      <w:pPr>
        <w:spacing w:after="0"/>
        <w:rPr>
          <w:rFonts w:ascii="Verdana" w:hAnsi="Verdana"/>
        </w:rPr>
      </w:pPr>
      <w:r w:rsidRPr="00720A53">
        <w:rPr>
          <w:rFonts w:ascii="Verdana" w:eastAsia="Calibri" w:hAnsi="Verdana" w:cs="Arial"/>
          <w:noProof/>
          <w:lang w:val="es-ES" w:eastAsia="es-ES"/>
        </w:rPr>
        <w:drawing>
          <wp:anchor distT="0" distB="0" distL="114300" distR="114300" simplePos="0" relativeHeight="251659264" behindDoc="0" locked="0" layoutInCell="1" allowOverlap="1" wp14:anchorId="46E8E23C" wp14:editId="664914AE">
            <wp:simplePos x="0" y="0"/>
            <wp:positionH relativeFrom="margin">
              <wp:posOffset>3524897</wp:posOffset>
            </wp:positionH>
            <wp:positionV relativeFrom="margin">
              <wp:posOffset>253041</wp:posOffset>
            </wp:positionV>
            <wp:extent cx="2486025" cy="742950"/>
            <wp:effectExtent l="0" t="0" r="9525" b="0"/>
            <wp:wrapSquare wrapText="bothSides"/>
            <wp:docPr id="16434435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443574" name=""/>
                    <pic:cNvPicPr/>
                  </pic:nvPicPr>
                  <pic:blipFill>
                    <a:blip r:embed="rId10">
                      <a:extLst>
                        <a:ext uri="{28A0092B-C50C-407E-A947-70E740481C1C}">
                          <a14:useLocalDpi xmlns:a14="http://schemas.microsoft.com/office/drawing/2010/main" val="0"/>
                        </a:ext>
                      </a:extLst>
                    </a:blip>
                    <a:stretch>
                      <a:fillRect/>
                    </a:stretch>
                  </pic:blipFill>
                  <pic:spPr>
                    <a:xfrm>
                      <a:off x="0" y="0"/>
                      <a:ext cx="2486025" cy="742950"/>
                    </a:xfrm>
                    <a:prstGeom prst="rect">
                      <a:avLst/>
                    </a:prstGeom>
                  </pic:spPr>
                </pic:pic>
              </a:graphicData>
            </a:graphic>
          </wp:anchor>
        </w:drawing>
      </w:r>
    </w:p>
    <w:p w14:paraId="08BE5B1B" w14:textId="09294218" w:rsidR="00E42995" w:rsidRPr="00A11AA2" w:rsidRDefault="00E42995" w:rsidP="00E42995">
      <w:pPr>
        <w:spacing w:after="0" w:line="276" w:lineRule="auto"/>
        <w:rPr>
          <w:rFonts w:ascii="Verdana" w:eastAsia="Calibri" w:hAnsi="Verdana" w:cs="Arial"/>
          <w:lang w:val="es-ES" w:eastAsia="es-ES"/>
        </w:rPr>
      </w:pPr>
      <w:r w:rsidRPr="00A11AA2">
        <w:rPr>
          <w:rFonts w:ascii="Verdana" w:eastAsia="Calibri" w:hAnsi="Verdana" w:cs="Arial"/>
          <w:lang w:val="es-ES" w:eastAsia="es-ES"/>
        </w:rPr>
        <w:t>Señor</w:t>
      </w:r>
      <w:r>
        <w:rPr>
          <w:rFonts w:ascii="Verdana" w:eastAsia="Calibri" w:hAnsi="Verdana" w:cs="Arial"/>
          <w:lang w:val="es-ES" w:eastAsia="es-ES"/>
        </w:rPr>
        <w:t xml:space="preserve"> </w:t>
      </w:r>
    </w:p>
    <w:p w14:paraId="09B9DC4D" w14:textId="77777777" w:rsidR="00E42995" w:rsidRDefault="00E42995" w:rsidP="00E42995">
      <w:pPr>
        <w:spacing w:after="0" w:line="276" w:lineRule="auto"/>
        <w:rPr>
          <w:rFonts w:ascii="Verdana" w:eastAsia="Calibri" w:hAnsi="Verdana" w:cs="Arial"/>
          <w:b/>
          <w:bCs/>
          <w:lang w:eastAsia="es-ES"/>
        </w:rPr>
      </w:pPr>
      <w:r w:rsidRPr="00D331BE">
        <w:rPr>
          <w:rFonts w:ascii="Verdana" w:eastAsia="Calibri" w:hAnsi="Verdana" w:cs="Arial"/>
          <w:b/>
          <w:bCs/>
          <w:lang w:eastAsia="es-ES"/>
        </w:rPr>
        <w:t>Iván Darío Valencia Estupiñán</w:t>
      </w:r>
    </w:p>
    <w:p w14:paraId="3A452002" w14:textId="77777777" w:rsidR="00E42995" w:rsidRPr="00AE5261" w:rsidRDefault="00E42995" w:rsidP="00E42995">
      <w:pPr>
        <w:spacing w:after="0" w:line="276" w:lineRule="auto"/>
        <w:rPr>
          <w:rFonts w:ascii="Verdana" w:eastAsia="Calibri" w:hAnsi="Verdana" w:cs="Arial"/>
          <w:lang w:eastAsia="es-ES"/>
        </w:rPr>
      </w:pPr>
      <w:hyperlink r:id="rId11" w:history="1">
        <w:r w:rsidRPr="00AE5261">
          <w:rPr>
            <w:rStyle w:val="Hipervnculo"/>
            <w:rFonts w:ascii="Verdana" w:eastAsia="Calibri" w:hAnsi="Verdana" w:cs="Arial"/>
            <w:lang w:eastAsia="es-ES"/>
          </w:rPr>
          <w:t>ivan_valencia1213@hotmail.com</w:t>
        </w:r>
      </w:hyperlink>
    </w:p>
    <w:p w14:paraId="08E9C2BF" w14:textId="77777777" w:rsidR="00E42995" w:rsidRPr="00AE5261" w:rsidRDefault="00E42995" w:rsidP="00E42995">
      <w:pPr>
        <w:spacing w:after="0" w:line="276" w:lineRule="auto"/>
        <w:rPr>
          <w:rFonts w:ascii="Verdana" w:eastAsia="Calibri" w:hAnsi="Verdana" w:cs="Arial"/>
          <w:lang w:eastAsia="es-ES"/>
        </w:rPr>
      </w:pPr>
      <w:r w:rsidRPr="00AE5261">
        <w:rPr>
          <w:rFonts w:ascii="Verdana" w:eastAsia="Calibri" w:hAnsi="Verdana" w:cs="Arial"/>
          <w:lang w:eastAsia="es-ES"/>
        </w:rPr>
        <w:t>Rionegro, Antioquia.</w:t>
      </w:r>
    </w:p>
    <w:p w14:paraId="0AE0E0F2" w14:textId="77777777" w:rsidR="00E42995" w:rsidRPr="007E53B7" w:rsidRDefault="00E42995" w:rsidP="00E42995">
      <w:pPr>
        <w:spacing w:after="0" w:line="276" w:lineRule="auto"/>
        <w:rPr>
          <w:rFonts w:ascii="Verdana" w:eastAsia="Calibri" w:hAnsi="Verdana" w:cs="Arial"/>
          <w:b/>
          <w:bCs/>
          <w:color w:val="66CCFF"/>
          <w:lang w:val="es-ES_tradnl" w:eastAsia="es-ES_tradnl"/>
        </w:rPr>
      </w:pPr>
    </w:p>
    <w:tbl>
      <w:tblPr>
        <w:tblStyle w:val="Tablaconcuadrcula1"/>
        <w:tblW w:w="9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114"/>
      </w:tblGrid>
      <w:tr w:rsidR="00E42995" w:rsidRPr="007E53B7" w14:paraId="56A8DA55" w14:textId="77777777">
        <w:trPr>
          <w:trHeight w:val="999"/>
        </w:trPr>
        <w:tc>
          <w:tcPr>
            <w:tcW w:w="3119" w:type="dxa"/>
          </w:tcPr>
          <w:p w14:paraId="7022694C" w14:textId="77777777" w:rsidR="00E42995" w:rsidRPr="00887D56" w:rsidRDefault="00E42995">
            <w:pPr>
              <w:spacing w:line="276" w:lineRule="auto"/>
              <w:jc w:val="both"/>
              <w:rPr>
                <w:rFonts w:ascii="Verdana" w:eastAsia="Calibri" w:hAnsi="Verdana" w:cs="Arial"/>
                <w:b/>
                <w:bCs/>
                <w:color w:val="66CCFF"/>
                <w:lang w:val="es-ES_tradnl" w:eastAsia="es-ES_tradnl"/>
              </w:rPr>
            </w:pPr>
          </w:p>
        </w:tc>
        <w:tc>
          <w:tcPr>
            <w:tcW w:w="6114" w:type="dxa"/>
            <w:hideMark/>
          </w:tcPr>
          <w:p w14:paraId="732E6A17" w14:textId="77777777" w:rsidR="00E42995" w:rsidRPr="00887D56" w:rsidRDefault="00E42995">
            <w:pPr>
              <w:spacing w:line="276" w:lineRule="auto"/>
              <w:jc w:val="both"/>
              <w:rPr>
                <w:rFonts w:ascii="Verdana" w:eastAsia="Calibri" w:hAnsi="Verdana" w:cs="Arial"/>
                <w:b/>
                <w:bCs/>
                <w:lang w:val="es-ES" w:eastAsia="es-ES"/>
              </w:rPr>
            </w:pPr>
            <w:r w:rsidRPr="00887D56">
              <w:rPr>
                <w:rFonts w:ascii="Verdana" w:eastAsia="Calibri" w:hAnsi="Verdana" w:cs="Arial"/>
                <w:b/>
                <w:bCs/>
                <w:lang w:val="es-ES" w:eastAsia="es-ES"/>
              </w:rPr>
              <w:t>Concepto C – 1134 de 2026</w:t>
            </w:r>
          </w:p>
        </w:tc>
      </w:tr>
      <w:tr w:rsidR="00E42995" w:rsidRPr="007E53B7" w14:paraId="0F6F5D80" w14:textId="77777777">
        <w:trPr>
          <w:trHeight w:val="999"/>
        </w:trPr>
        <w:tc>
          <w:tcPr>
            <w:tcW w:w="3119" w:type="dxa"/>
            <w:hideMark/>
          </w:tcPr>
          <w:p w14:paraId="26CCD0F6" w14:textId="77777777" w:rsidR="00E42995" w:rsidRPr="00A11AA2" w:rsidRDefault="00E42995">
            <w:pPr>
              <w:spacing w:line="276" w:lineRule="auto"/>
              <w:jc w:val="both"/>
              <w:rPr>
                <w:rFonts w:ascii="Verdana" w:eastAsia="Calibri" w:hAnsi="Verdana" w:cs="Arial"/>
                <w:color w:val="66CCFF"/>
                <w:lang w:val="es-ES_tradnl" w:eastAsia="es-ES_tradnl"/>
              </w:rPr>
            </w:pPr>
            <w:r w:rsidRPr="00A11AA2">
              <w:rPr>
                <w:rFonts w:ascii="Verdana" w:eastAsia="Calibri" w:hAnsi="Verdana" w:cs="Arial"/>
                <w:b/>
                <w:lang w:val="es-ES_tradnl" w:eastAsia="es-ES_tradnl"/>
              </w:rPr>
              <w:t>Temas:</w:t>
            </w:r>
            <w:r w:rsidRPr="00A11AA2">
              <w:rPr>
                <w:rFonts w:ascii="Verdana" w:eastAsia="Calibri" w:hAnsi="Verdana" w:cs="Arial"/>
                <w:lang w:val="es-ES_tradnl" w:eastAsia="es-ES_tradnl"/>
              </w:rPr>
              <w:t xml:space="preserve">                   </w:t>
            </w:r>
          </w:p>
        </w:tc>
        <w:tc>
          <w:tcPr>
            <w:tcW w:w="6114" w:type="dxa"/>
          </w:tcPr>
          <w:p w14:paraId="1A793E4B" w14:textId="3FFF2AF6" w:rsidR="00E42995" w:rsidRPr="00887D56" w:rsidRDefault="00E42995">
            <w:pPr>
              <w:jc w:val="both"/>
              <w:rPr>
                <w:rFonts w:ascii="Verdana" w:hAnsi="Verdana" w:cs="Arial"/>
                <w:lang w:val="es-MX"/>
              </w:rPr>
            </w:pPr>
            <w:r w:rsidRPr="00887D56">
              <w:rPr>
                <w:rFonts w:ascii="Verdana" w:eastAsia="Calibri" w:hAnsi="Verdana" w:cs="Arial"/>
                <w:lang w:val="es-ES_tradnl" w:eastAsia="es-MX"/>
              </w:rPr>
              <w:t xml:space="preserve">DOCUMENTOS TIPO – Fundamento normativo – Obligatoriedad / </w:t>
            </w:r>
            <w:r w:rsidRPr="00887D56">
              <w:rPr>
                <w:rFonts w:ascii="Verdana" w:eastAsia="Calibri" w:hAnsi="Verdana" w:cs="Arial"/>
                <w:color w:val="000000" w:themeColor="text1"/>
                <w:lang w:val="es-ES_tradnl" w:eastAsia="es-MX"/>
              </w:rPr>
              <w:t xml:space="preserve">DOCUMENTOS TIPO – Inalterabilidad / DOCUMENTOS TIPO – Puntaje de evaluación – Asignación de puntaje / </w:t>
            </w:r>
            <w:r w:rsidRPr="00887D56">
              <w:rPr>
                <w:rFonts w:ascii="Verdana" w:hAnsi="Verdana" w:cs="Arial"/>
                <w:lang w:val="es-ES_tradnl"/>
              </w:rPr>
              <w:t xml:space="preserve">INHABILIDAD </w:t>
            </w:r>
            <w:r w:rsidRPr="00887D56">
              <w:rPr>
                <w:rFonts w:ascii="Verdana" w:hAnsi="Verdana" w:cs="Arial"/>
              </w:rPr>
              <w:t>E INCOMPATIBILIDAD</w:t>
            </w:r>
            <w:r w:rsidRPr="00887D56">
              <w:rPr>
                <w:rFonts w:ascii="Verdana" w:hAnsi="Verdana" w:cs="Arial"/>
                <w:lang w:val="es-MX"/>
              </w:rPr>
              <w:t xml:space="preserve"> – Delitos sexuales contra menores - Deber de verificación – </w:t>
            </w:r>
            <w:r w:rsidR="007B5540" w:rsidRPr="00887D56">
              <w:rPr>
                <w:rFonts w:ascii="Verdana" w:hAnsi="Verdana" w:cs="Arial"/>
                <w:lang w:val="es-MX"/>
              </w:rPr>
              <w:t>Ámbito</w:t>
            </w:r>
            <w:r w:rsidRPr="00887D56">
              <w:rPr>
                <w:rFonts w:ascii="Verdana" w:hAnsi="Verdana" w:cs="Arial"/>
                <w:lang w:val="es-MX"/>
              </w:rPr>
              <w:t xml:space="preserve"> de aplicación</w:t>
            </w:r>
          </w:p>
          <w:p w14:paraId="38577D51" w14:textId="77777777" w:rsidR="00E42995" w:rsidRPr="00887D56" w:rsidRDefault="00E42995">
            <w:pPr>
              <w:spacing w:line="276" w:lineRule="auto"/>
              <w:jc w:val="both"/>
              <w:rPr>
                <w:rFonts w:ascii="Verdana" w:hAnsi="Verdana" w:cs="Arial"/>
                <w:lang w:val="es-MX" w:eastAsia="es-ES"/>
              </w:rPr>
            </w:pPr>
          </w:p>
        </w:tc>
      </w:tr>
      <w:tr w:rsidR="00E42995" w:rsidRPr="00724695" w14:paraId="4F69BA1E" w14:textId="77777777">
        <w:trPr>
          <w:trHeight w:val="597"/>
        </w:trPr>
        <w:tc>
          <w:tcPr>
            <w:tcW w:w="3119" w:type="dxa"/>
            <w:hideMark/>
          </w:tcPr>
          <w:p w14:paraId="3E62BF82" w14:textId="77777777" w:rsidR="00E42995" w:rsidRPr="008C5E3B" w:rsidRDefault="00E42995">
            <w:pPr>
              <w:spacing w:line="276" w:lineRule="auto"/>
              <w:jc w:val="both"/>
              <w:rPr>
                <w:rFonts w:ascii="Verdana" w:eastAsia="Calibri" w:hAnsi="Verdana" w:cs="Arial"/>
                <w:b/>
                <w:lang w:val="es-ES_tradnl" w:eastAsia="es-ES_tradnl"/>
              </w:rPr>
            </w:pPr>
            <w:r w:rsidRPr="008C5E3B">
              <w:rPr>
                <w:rFonts w:ascii="Verdana" w:eastAsia="Calibri" w:hAnsi="Verdana" w:cs="Arial"/>
                <w:b/>
                <w:lang w:val="es-ES_tradnl" w:eastAsia="es-ES_tradnl"/>
              </w:rPr>
              <w:t xml:space="preserve">Radicación:               </w:t>
            </w:r>
          </w:p>
        </w:tc>
        <w:tc>
          <w:tcPr>
            <w:tcW w:w="6114" w:type="dxa"/>
          </w:tcPr>
          <w:p w14:paraId="6D59A70E" w14:textId="77777777" w:rsidR="00E42995" w:rsidRPr="007602A1" w:rsidRDefault="00E42995">
            <w:pPr>
              <w:spacing w:line="276" w:lineRule="auto"/>
              <w:jc w:val="both"/>
              <w:rPr>
                <w:rFonts w:ascii="Verdana" w:eastAsia="Calibri" w:hAnsi="Verdana" w:cs="Arial"/>
                <w:bCs/>
                <w:lang w:eastAsia="es-ES_tradnl"/>
              </w:rPr>
            </w:pPr>
            <w:r w:rsidRPr="00724695">
              <w:rPr>
                <w:rFonts w:ascii="Verdana" w:eastAsia="Calibri" w:hAnsi="Verdana" w:cs="Arial"/>
                <w:bCs/>
                <w:lang w:val="es-ES_tradnl" w:eastAsia="es-ES_tradnl"/>
              </w:rPr>
              <w:t xml:space="preserve">Respuesta a consulta con radicado </w:t>
            </w:r>
            <w:r w:rsidRPr="00724695">
              <w:rPr>
                <w:rFonts w:ascii="Verdana" w:eastAsia="Calibri" w:hAnsi="Verdana" w:cs="Arial"/>
                <w:bCs/>
                <w:lang w:eastAsia="es-ES_tradnl"/>
              </w:rPr>
              <w:t xml:space="preserve">No. </w:t>
            </w:r>
            <w:r w:rsidRPr="00AE6733">
              <w:rPr>
                <w:rFonts w:ascii="Verdana" w:eastAsia="Calibri" w:hAnsi="Verdana" w:cs="Arial"/>
                <w:bCs/>
                <w:lang w:eastAsia="es-ES_tradnl"/>
              </w:rPr>
              <w:t>1_2026_07_15_009375</w:t>
            </w:r>
          </w:p>
          <w:p w14:paraId="236AB335" w14:textId="77777777" w:rsidR="00E42995" w:rsidRPr="007602A1" w:rsidRDefault="00E42995">
            <w:pPr>
              <w:spacing w:line="276" w:lineRule="auto"/>
              <w:jc w:val="both"/>
              <w:rPr>
                <w:rFonts w:ascii="Verdana" w:eastAsia="Calibri" w:hAnsi="Verdana" w:cs="Arial"/>
                <w:bCs/>
                <w:lang w:eastAsia="es-ES_tradnl"/>
              </w:rPr>
            </w:pPr>
          </w:p>
        </w:tc>
      </w:tr>
    </w:tbl>
    <w:p w14:paraId="2615DDC7" w14:textId="77777777" w:rsidR="00E42995" w:rsidRPr="00AB5C52" w:rsidRDefault="00E42995" w:rsidP="00E42995">
      <w:pPr>
        <w:spacing w:after="0" w:line="276" w:lineRule="auto"/>
        <w:jc w:val="both"/>
        <w:rPr>
          <w:rFonts w:ascii="Verdana" w:eastAsia="Calibri" w:hAnsi="Verdana" w:cs="Arial"/>
          <w:bCs/>
          <w:lang w:val="es-ES_tradnl" w:eastAsia="es-ES_tradnl"/>
        </w:rPr>
      </w:pPr>
    </w:p>
    <w:p w14:paraId="2FE9DCB5" w14:textId="77777777" w:rsidR="00E42995" w:rsidRPr="00AB5C52" w:rsidRDefault="00E42995" w:rsidP="00E42995">
      <w:pPr>
        <w:spacing w:after="0" w:line="276" w:lineRule="auto"/>
        <w:jc w:val="both"/>
        <w:rPr>
          <w:rFonts w:ascii="Verdana" w:eastAsia="Calibri" w:hAnsi="Verdana" w:cs="Arial"/>
          <w:bCs/>
          <w:lang w:val="es-ES" w:eastAsia="es-ES"/>
        </w:rPr>
      </w:pPr>
      <w:r w:rsidRPr="00AB5C52">
        <w:rPr>
          <w:rFonts w:ascii="Verdana" w:eastAsia="Calibri" w:hAnsi="Verdana" w:cs="Arial"/>
          <w:bCs/>
          <w:lang w:val="es-ES" w:eastAsia="es-ES"/>
        </w:rPr>
        <w:t>Estimad</w:t>
      </w:r>
      <w:r>
        <w:rPr>
          <w:rFonts w:ascii="Verdana" w:eastAsia="Calibri" w:hAnsi="Verdana" w:cs="Arial"/>
          <w:bCs/>
          <w:lang w:val="es-ES" w:eastAsia="es-ES"/>
        </w:rPr>
        <w:t>o Señor Iván Darío, Cordial Saludo</w:t>
      </w:r>
      <w:r w:rsidRPr="00AB5C52">
        <w:rPr>
          <w:rFonts w:ascii="Verdana" w:eastAsia="Calibri" w:hAnsi="Verdana" w:cs="Arial"/>
          <w:bCs/>
          <w:lang w:val="es-ES" w:eastAsia="es-ES"/>
        </w:rPr>
        <w:t xml:space="preserve">:  </w:t>
      </w:r>
    </w:p>
    <w:p w14:paraId="39C4D52F" w14:textId="77777777" w:rsidR="00E42995" w:rsidRPr="00AB5C52" w:rsidRDefault="00E42995" w:rsidP="00E42995">
      <w:pPr>
        <w:tabs>
          <w:tab w:val="left" w:pos="3768"/>
        </w:tabs>
        <w:spacing w:after="0" w:line="276" w:lineRule="auto"/>
        <w:jc w:val="both"/>
        <w:rPr>
          <w:rFonts w:ascii="Verdana" w:eastAsia="Calibri" w:hAnsi="Verdana" w:cs="Arial"/>
          <w:bCs/>
          <w:lang w:val="es-ES" w:eastAsia="es-ES"/>
        </w:rPr>
      </w:pPr>
      <w:r w:rsidRPr="00AB5C52">
        <w:rPr>
          <w:rFonts w:ascii="Verdana" w:eastAsia="Calibri" w:hAnsi="Verdana" w:cs="Arial"/>
          <w:bCs/>
          <w:lang w:val="es-ES" w:eastAsia="es-ES"/>
        </w:rPr>
        <w:tab/>
      </w:r>
    </w:p>
    <w:p w14:paraId="4F334636" w14:textId="77777777" w:rsidR="00E42995" w:rsidRPr="003125D1" w:rsidRDefault="00E42995" w:rsidP="00E42995">
      <w:pPr>
        <w:spacing w:after="0" w:line="276" w:lineRule="auto"/>
        <w:jc w:val="both"/>
        <w:rPr>
          <w:rFonts w:ascii="Verdana" w:eastAsia="Calibri" w:hAnsi="Verdana" w:cs="Arial"/>
          <w:lang w:val="es-ES" w:eastAsia="es-ES"/>
        </w:rPr>
      </w:pPr>
      <w:r w:rsidRPr="003125D1">
        <w:rPr>
          <w:rFonts w:ascii="Verdana" w:eastAsia="Calibri" w:hAnsi="Verdana" w:cs="Arial"/>
          <w:lang w:val="es-ES" w:eastAsia="es-ES"/>
        </w:rPr>
        <w:t>En ejercicio de la competencia otorgada por los artículos 3, numeral 5º, y 11, numeral 8º, del Decreto Ley 4170 de 2011,</w:t>
      </w:r>
      <w:r w:rsidRPr="003125D1">
        <w:rPr>
          <w:rFonts w:ascii="Verdana" w:eastAsia="Arial MT" w:hAnsi="Verdana" w:cs="Arial MT"/>
          <w:lang w:val="es-ES" w:eastAsia="es-ES"/>
        </w:rPr>
        <w:t xml:space="preserve"> </w:t>
      </w:r>
      <w:r w:rsidRPr="003125D1">
        <w:rPr>
          <w:rFonts w:ascii="Verdana" w:eastAsia="Calibri" w:hAnsi="Verdana" w:cs="Arial"/>
        </w:rPr>
        <w:t xml:space="preserve">así como lo establecido en el artículo 4 de la Resolución 1707 de 2018 expedida por esta Entidad, </w:t>
      </w:r>
      <w:r w:rsidRPr="003125D1">
        <w:rPr>
          <w:rFonts w:ascii="Verdana" w:eastAsia="Calibri" w:hAnsi="Verdana" w:cs="Arial"/>
          <w:lang w:val="es-ES" w:eastAsia="es-ES"/>
        </w:rPr>
        <w:t xml:space="preserve">la Agencia Nacional de Contratación Pública –Colombia Compra Eficiente– responde su solicitud de consulta de fecha </w:t>
      </w:r>
      <w:r>
        <w:rPr>
          <w:rFonts w:ascii="Verdana" w:eastAsia="Calibri" w:hAnsi="Verdana" w:cs="Arial"/>
          <w:lang w:val="es-ES" w:eastAsia="es-ES"/>
        </w:rPr>
        <w:t xml:space="preserve">15 </w:t>
      </w:r>
      <w:r w:rsidRPr="003125D1">
        <w:rPr>
          <w:rFonts w:ascii="Verdana" w:eastAsia="Calibri" w:hAnsi="Verdana" w:cs="Arial"/>
          <w:lang w:val="es-ES" w:eastAsia="es-ES"/>
        </w:rPr>
        <w:t xml:space="preserve">de </w:t>
      </w:r>
      <w:r>
        <w:rPr>
          <w:rFonts w:ascii="Verdana" w:eastAsia="Calibri" w:hAnsi="Verdana" w:cs="Arial"/>
          <w:lang w:val="es-ES" w:eastAsia="es-ES"/>
        </w:rPr>
        <w:t>julio</w:t>
      </w:r>
      <w:r w:rsidRPr="003125D1">
        <w:rPr>
          <w:rFonts w:ascii="Verdana" w:eastAsia="Calibri" w:hAnsi="Verdana" w:cs="Arial"/>
          <w:lang w:val="es-ES" w:eastAsia="es-ES"/>
        </w:rPr>
        <w:t xml:space="preserve"> de 2026, en la cual manifiesta lo siguiente: </w:t>
      </w:r>
      <w:bookmarkStart w:id="1" w:name="_Hlk95313578"/>
    </w:p>
    <w:p w14:paraId="7D197329" w14:textId="77777777" w:rsidR="00E42995" w:rsidRPr="003125D1" w:rsidRDefault="00E42995" w:rsidP="00E42995">
      <w:pPr>
        <w:spacing w:after="0" w:line="276" w:lineRule="auto"/>
        <w:jc w:val="both"/>
        <w:rPr>
          <w:rFonts w:ascii="Verdana" w:eastAsia="Calibri" w:hAnsi="Verdana" w:cs="Arial"/>
          <w:bCs/>
          <w:lang w:val="es-ES" w:eastAsia="es-ES"/>
        </w:rPr>
      </w:pPr>
    </w:p>
    <w:bookmarkEnd w:id="1"/>
    <w:p w14:paraId="5463DB2A" w14:textId="77777777" w:rsidR="00E42995" w:rsidRDefault="00E42995" w:rsidP="00E42995">
      <w:pPr>
        <w:spacing w:after="0" w:line="240" w:lineRule="auto"/>
        <w:ind w:left="709" w:right="709"/>
        <w:jc w:val="both"/>
        <w:rPr>
          <w:rFonts w:ascii="Verdana" w:eastAsia="Calibri" w:hAnsi="Verdana" w:cs="Arial"/>
          <w:i/>
          <w:iCs/>
          <w:sz w:val="21"/>
          <w:szCs w:val="21"/>
          <w:lang w:val="es-ES" w:eastAsia="es-ES"/>
        </w:rPr>
      </w:pPr>
      <w:r w:rsidRPr="003125D1">
        <w:rPr>
          <w:rFonts w:ascii="Verdana" w:eastAsia="Calibri" w:hAnsi="Verdana" w:cs="Arial"/>
          <w:i/>
          <w:iCs/>
          <w:sz w:val="21"/>
          <w:szCs w:val="21"/>
          <w:lang w:val="es-ES" w:eastAsia="es-ES"/>
        </w:rPr>
        <w:t>“(…)</w:t>
      </w:r>
    </w:p>
    <w:p w14:paraId="15DBAA0F" w14:textId="77777777" w:rsidR="00E42995" w:rsidRDefault="00E42995" w:rsidP="00E42995">
      <w:pPr>
        <w:spacing w:after="0" w:line="240" w:lineRule="auto"/>
        <w:ind w:left="709" w:right="709"/>
        <w:jc w:val="both"/>
        <w:rPr>
          <w:rFonts w:ascii="Verdana" w:eastAsia="Calibri" w:hAnsi="Verdana" w:cs="Arial"/>
          <w:i/>
          <w:iCs/>
          <w:sz w:val="21"/>
          <w:szCs w:val="21"/>
          <w:lang w:val="es-ES" w:eastAsia="es-ES"/>
        </w:rPr>
      </w:pPr>
    </w:p>
    <w:p w14:paraId="2717C616" w14:textId="77777777" w:rsidR="00E42995" w:rsidRDefault="00E42995" w:rsidP="00E42995">
      <w:pPr>
        <w:spacing w:after="0" w:line="240" w:lineRule="auto"/>
        <w:ind w:left="709" w:right="709"/>
        <w:jc w:val="both"/>
        <w:rPr>
          <w:rFonts w:ascii="Verdana" w:eastAsia="Calibri" w:hAnsi="Verdana" w:cs="Arial"/>
          <w:i/>
          <w:iCs/>
          <w:sz w:val="21"/>
          <w:szCs w:val="21"/>
          <w:lang w:eastAsia="es-ES"/>
        </w:rPr>
      </w:pPr>
      <w:r w:rsidRPr="00AE6733">
        <w:rPr>
          <w:rFonts w:ascii="Verdana" w:eastAsia="Calibri" w:hAnsi="Verdana" w:cs="Arial"/>
          <w:i/>
          <w:iCs/>
          <w:sz w:val="21"/>
          <w:szCs w:val="21"/>
          <w:lang w:eastAsia="es-ES"/>
        </w:rPr>
        <w:t xml:space="preserve">En los Documentos Tipo para infraestructura de transporte se fijan puntajes específicos (Oferta económica 49,5; Factor de calidad 30; Apoyo a industria nacional 20; Emprendimientos de mujeres 0,25; </w:t>
      </w:r>
      <w:proofErr w:type="spellStart"/>
      <w:r w:rsidRPr="00AE6733">
        <w:rPr>
          <w:rFonts w:ascii="Verdana" w:eastAsia="Calibri" w:hAnsi="Verdana" w:cs="Arial"/>
          <w:i/>
          <w:iCs/>
          <w:sz w:val="21"/>
          <w:szCs w:val="21"/>
          <w:lang w:eastAsia="es-ES"/>
        </w:rPr>
        <w:t>Mipyme</w:t>
      </w:r>
      <w:proofErr w:type="spellEnd"/>
      <w:r w:rsidRPr="00AE6733">
        <w:rPr>
          <w:rFonts w:ascii="Verdana" w:eastAsia="Calibri" w:hAnsi="Verdana" w:cs="Arial"/>
          <w:i/>
          <w:iCs/>
          <w:sz w:val="21"/>
          <w:szCs w:val="21"/>
          <w:lang w:eastAsia="es-ES"/>
        </w:rPr>
        <w:t xml:space="preserve"> 0,25). ¿La entidad contratante puede modificarlos discrecionalmente o son obligatorios e inmodificables? </w:t>
      </w:r>
    </w:p>
    <w:p w14:paraId="5616FC27" w14:textId="77777777" w:rsidR="00E42995" w:rsidRDefault="00E42995" w:rsidP="00E42995">
      <w:pPr>
        <w:spacing w:after="0" w:line="240" w:lineRule="auto"/>
        <w:ind w:left="709" w:right="709"/>
        <w:jc w:val="both"/>
        <w:rPr>
          <w:rFonts w:ascii="Verdana" w:eastAsia="Calibri" w:hAnsi="Verdana" w:cs="Arial"/>
          <w:i/>
          <w:iCs/>
          <w:sz w:val="21"/>
          <w:szCs w:val="21"/>
          <w:lang w:eastAsia="es-ES"/>
        </w:rPr>
      </w:pPr>
    </w:p>
    <w:p w14:paraId="4AD44CEB" w14:textId="77777777" w:rsidR="00E42995" w:rsidRDefault="00E42995" w:rsidP="00E42995">
      <w:pPr>
        <w:spacing w:after="0" w:line="240" w:lineRule="auto"/>
        <w:ind w:left="709" w:right="709"/>
        <w:jc w:val="both"/>
        <w:rPr>
          <w:rFonts w:ascii="Verdana" w:eastAsia="Calibri" w:hAnsi="Verdana" w:cs="Arial"/>
          <w:i/>
          <w:iCs/>
          <w:sz w:val="21"/>
          <w:szCs w:val="21"/>
          <w:lang w:val="es-ES" w:eastAsia="es-ES"/>
        </w:rPr>
      </w:pPr>
      <w:r w:rsidRPr="00AE6733">
        <w:rPr>
          <w:rFonts w:ascii="Verdana" w:eastAsia="Calibri" w:hAnsi="Verdana" w:cs="Arial"/>
          <w:i/>
          <w:iCs/>
          <w:sz w:val="21"/>
          <w:szCs w:val="21"/>
          <w:lang w:eastAsia="es-ES"/>
        </w:rPr>
        <w:t xml:space="preserve">El art. 4 de la Ley 1918 de 2018 exige verificar el registro de inhabilidades por delitos sexuales contra menores en selección de </w:t>
      </w:r>
      <w:r w:rsidRPr="00AE6733">
        <w:rPr>
          <w:rFonts w:ascii="Verdana" w:eastAsia="Calibri" w:hAnsi="Verdana" w:cs="Arial"/>
          <w:i/>
          <w:iCs/>
          <w:sz w:val="21"/>
          <w:szCs w:val="21"/>
          <w:lang w:eastAsia="es-ES"/>
        </w:rPr>
        <w:lastRenderedPageBreak/>
        <w:t>personal, pero no menciona contratación de contratistas. ¿Puede exigirse dicho certificado como requisito habilitante a proponentes? En caso afirmativo, ¿aplica en todas las modalidades de selección o solo en contratos cuyo objeto implique relación directa y habitual con menores?:</w:t>
      </w:r>
    </w:p>
    <w:p w14:paraId="4D97AAA9" w14:textId="77777777" w:rsidR="00E42995" w:rsidRPr="003125D1" w:rsidRDefault="00E42995" w:rsidP="00E42995">
      <w:pPr>
        <w:spacing w:after="0" w:line="240" w:lineRule="auto"/>
        <w:ind w:left="709" w:right="709"/>
        <w:jc w:val="both"/>
        <w:rPr>
          <w:rFonts w:ascii="Verdana" w:eastAsia="Calibri" w:hAnsi="Verdana" w:cs="Arial"/>
          <w:i/>
          <w:iCs/>
          <w:sz w:val="21"/>
          <w:szCs w:val="21"/>
          <w:lang w:val="es-ES" w:eastAsia="es-ES"/>
        </w:rPr>
      </w:pPr>
      <w:r w:rsidRPr="003125D1">
        <w:rPr>
          <w:rFonts w:ascii="Verdana" w:eastAsia="Calibri" w:hAnsi="Verdana" w:cs="Arial"/>
          <w:i/>
          <w:iCs/>
          <w:sz w:val="21"/>
          <w:szCs w:val="21"/>
          <w:lang w:val="es-ES" w:eastAsia="es-ES"/>
        </w:rPr>
        <w:t>(…)</w:t>
      </w:r>
      <w:r w:rsidRPr="003125D1">
        <w:rPr>
          <w:rFonts w:ascii="Verdana" w:eastAsia="Calibri" w:hAnsi="Verdana" w:cs="Arial"/>
          <w:i/>
          <w:iCs/>
          <w:sz w:val="21"/>
          <w:szCs w:val="21"/>
          <w:lang w:eastAsia="es-ES"/>
        </w:rPr>
        <w:t>”</w:t>
      </w:r>
    </w:p>
    <w:p w14:paraId="4E7B06B0" w14:textId="77777777" w:rsidR="00E42995" w:rsidRPr="003125D1" w:rsidRDefault="00E42995" w:rsidP="00E42995">
      <w:pPr>
        <w:spacing w:after="0" w:line="276" w:lineRule="auto"/>
        <w:ind w:left="709" w:right="709"/>
        <w:jc w:val="both"/>
        <w:rPr>
          <w:rFonts w:ascii="Verdana" w:eastAsia="Times New Roman" w:hAnsi="Verdana" w:cs="Times New Roman"/>
          <w:lang w:eastAsia="es-CO"/>
        </w:rPr>
      </w:pPr>
    </w:p>
    <w:p w14:paraId="60BC59FD" w14:textId="77777777" w:rsidR="00E42995" w:rsidRPr="003125D1" w:rsidRDefault="00E42995" w:rsidP="00E42995">
      <w:pPr>
        <w:spacing w:after="120" w:line="276" w:lineRule="auto"/>
        <w:ind w:firstLine="709"/>
        <w:jc w:val="both"/>
        <w:rPr>
          <w:rFonts w:ascii="Verdana" w:eastAsia="Calibri" w:hAnsi="Verdana" w:cs="Arial"/>
          <w:lang w:val="es-ES_tradnl" w:eastAsia="es-ES_tradnl"/>
        </w:rPr>
      </w:pPr>
      <w:r w:rsidRPr="003125D1">
        <w:rPr>
          <w:rFonts w:ascii="Verdana" w:eastAsia="Calibri" w:hAnsi="Verdana" w:cs="Arial"/>
          <w:lang w:val="es-ES" w:eastAsia="es-ES"/>
        </w:rPr>
        <w:t xml:space="preserve">De manera preliminar, resulta necesario resaltar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3125D1">
        <w:rPr>
          <w:rFonts w:ascii="Verdana" w:eastAsia="Calibri" w:hAnsi="Verdana" w:cs="Arial"/>
          <w:lang w:val="es-ES_tradnl" w:eastAsia="es-ES_tradnl"/>
        </w:rPr>
        <w:tab/>
      </w:r>
    </w:p>
    <w:p w14:paraId="34D526C3" w14:textId="77777777" w:rsidR="00E42995" w:rsidRPr="003125D1" w:rsidRDefault="00E42995" w:rsidP="00E42995">
      <w:pPr>
        <w:spacing w:after="0" w:line="276" w:lineRule="auto"/>
        <w:ind w:firstLine="708"/>
        <w:jc w:val="both"/>
        <w:rPr>
          <w:rFonts w:ascii="Verdana" w:eastAsia="Calibri" w:hAnsi="Verdana" w:cs="Arial"/>
          <w:lang w:val="es-ES" w:eastAsia="es-ES"/>
        </w:rPr>
      </w:pPr>
      <w:r w:rsidRPr="003125D1">
        <w:rPr>
          <w:rFonts w:ascii="Verdana" w:eastAsia="Calibri" w:hAnsi="Verdana" w:cs="Arial"/>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703CD73C" w14:textId="77777777" w:rsidR="00E42995" w:rsidRPr="003125D1" w:rsidRDefault="00E42995" w:rsidP="00E42995">
      <w:pPr>
        <w:spacing w:after="0" w:line="276" w:lineRule="auto"/>
        <w:ind w:firstLine="709"/>
        <w:jc w:val="both"/>
        <w:rPr>
          <w:rFonts w:ascii="Verdana" w:eastAsia="Calibri" w:hAnsi="Verdana" w:cs="Arial"/>
          <w:lang w:val="es-ES" w:eastAsia="es-ES"/>
        </w:rPr>
      </w:pPr>
    </w:p>
    <w:p w14:paraId="691A152D" w14:textId="77777777" w:rsidR="00E42995" w:rsidRPr="003125D1" w:rsidRDefault="00E42995" w:rsidP="00E42995">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3125D1">
        <w:rPr>
          <w:rFonts w:ascii="Verdana" w:eastAsia="Century Gothic" w:hAnsi="Verdana" w:cs="Century Gothic"/>
          <w:b/>
          <w:bCs/>
          <w:lang w:val="es-ES"/>
        </w:rPr>
        <w:t>Problema planteado:</w:t>
      </w:r>
    </w:p>
    <w:p w14:paraId="28AB4D45" w14:textId="77777777" w:rsidR="00E42995" w:rsidRPr="003125D1" w:rsidRDefault="00E42995" w:rsidP="00E42995">
      <w:pPr>
        <w:tabs>
          <w:tab w:val="left" w:pos="426"/>
        </w:tabs>
        <w:spacing w:after="0" w:line="276" w:lineRule="auto"/>
        <w:jc w:val="both"/>
        <w:rPr>
          <w:rFonts w:ascii="Verdana" w:eastAsia="Century Gothic" w:hAnsi="Verdana" w:cs="Century Gothic"/>
          <w:lang w:val="es-ES"/>
        </w:rPr>
      </w:pPr>
    </w:p>
    <w:p w14:paraId="4EC01573" w14:textId="77777777" w:rsidR="00E42995" w:rsidRPr="003125D1" w:rsidRDefault="00E42995" w:rsidP="00E42995">
      <w:pPr>
        <w:spacing w:line="276" w:lineRule="auto"/>
        <w:jc w:val="both"/>
        <w:rPr>
          <w:rFonts w:ascii="Verdana" w:eastAsia="Century Gothic" w:hAnsi="Verdana" w:cs="Century Gothic"/>
        </w:rPr>
      </w:pPr>
      <w:r w:rsidRPr="003125D1">
        <w:rPr>
          <w:rFonts w:ascii="Verdana" w:eastAsia="Century Gothic" w:hAnsi="Verdana" w:cs="Century Gothic"/>
        </w:rPr>
        <w:t>De acuerdo con el contenido de su solicitud, esta Agencia resolverá el siguiente problema jurídico:</w:t>
      </w:r>
    </w:p>
    <w:p w14:paraId="3A03BE42" w14:textId="77777777" w:rsidR="00E42995" w:rsidRDefault="00E42995" w:rsidP="00E42995">
      <w:pPr>
        <w:pStyle w:val="Prrafodelista"/>
        <w:numPr>
          <w:ilvl w:val="0"/>
          <w:numId w:val="20"/>
        </w:numPr>
        <w:spacing w:line="276" w:lineRule="auto"/>
        <w:jc w:val="both"/>
        <w:rPr>
          <w:rFonts w:ascii="Verdana" w:eastAsia="Century Gothic" w:hAnsi="Verdana" w:cs="Century Gothic"/>
        </w:rPr>
      </w:pPr>
      <w:r w:rsidRPr="00A00C9B">
        <w:rPr>
          <w:rFonts w:ascii="Verdana" w:eastAsia="Century Gothic" w:hAnsi="Verdana" w:cs="Century Gothic"/>
        </w:rPr>
        <w:t>¿Las entidades estatales sometidas a los Documentos Tipo pueden modificar o redistribuir discrecionalmente los puntajes asignados a los factores de evaluación, o su aplicación es obligatoria en los términos establecidos en el Documento Tipo?</w:t>
      </w:r>
    </w:p>
    <w:p w14:paraId="3CA6CFE1" w14:textId="77777777" w:rsidR="00E42995" w:rsidRPr="00A00C9B" w:rsidRDefault="00E42995" w:rsidP="00E42995">
      <w:pPr>
        <w:pStyle w:val="Prrafodelista"/>
        <w:numPr>
          <w:ilvl w:val="0"/>
          <w:numId w:val="20"/>
        </w:numPr>
        <w:spacing w:line="276" w:lineRule="auto"/>
        <w:jc w:val="both"/>
        <w:rPr>
          <w:rFonts w:ascii="Verdana" w:eastAsia="Century Gothic" w:hAnsi="Verdana" w:cs="Century Gothic"/>
        </w:rPr>
      </w:pPr>
      <w:r w:rsidRPr="00C50D4C">
        <w:rPr>
          <w:rFonts w:ascii="Verdana" w:eastAsia="Century Gothic" w:hAnsi="Verdana" w:cs="Century Gothic"/>
          <w:lang w:val="es-CO"/>
        </w:rPr>
        <w:t>¿Cuál es el alcance de la obligación de verificar las inhabilidades por delitos sexuales contra menores de edad en los procesos de contratación estatal, de conformidad con la Ley 1918 de 2018</w:t>
      </w:r>
      <w:r>
        <w:rPr>
          <w:rFonts w:ascii="Verdana" w:eastAsia="Century Gothic" w:hAnsi="Verdana" w:cs="Century Gothic"/>
          <w:lang w:val="es-CO"/>
        </w:rPr>
        <w:t>?</w:t>
      </w:r>
    </w:p>
    <w:p w14:paraId="6681C5C6" w14:textId="77777777" w:rsidR="00E42995" w:rsidRPr="003125D1" w:rsidRDefault="00E42995" w:rsidP="00E42995">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3125D1">
        <w:rPr>
          <w:rFonts w:ascii="Verdana" w:eastAsia="Century Gothic" w:hAnsi="Verdana" w:cs="Century Gothic"/>
          <w:b/>
          <w:bCs/>
          <w:lang w:val="es-ES"/>
        </w:rPr>
        <w:lastRenderedPageBreak/>
        <w:t>Respuesta:</w:t>
      </w:r>
    </w:p>
    <w:p w14:paraId="1B8D315F" w14:textId="77777777" w:rsidR="00E42995" w:rsidRPr="00AB496C" w:rsidRDefault="00E42995" w:rsidP="00E42995">
      <w:pPr>
        <w:tabs>
          <w:tab w:val="left" w:pos="142"/>
          <w:tab w:val="left" w:pos="284"/>
        </w:tabs>
        <w:spacing w:line="276" w:lineRule="auto"/>
        <w:contextualSpacing/>
        <w:jc w:val="both"/>
        <w:rPr>
          <w:rFonts w:ascii="Verdana" w:eastAsia="Century Gothic" w:hAnsi="Verdana" w:cs="Century Gothic"/>
          <w:b/>
          <w:bCs/>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42995" w:rsidRPr="00415AD8" w14:paraId="47FF41E8" w14:textId="77777777">
        <w:trPr>
          <w:trHeight w:val="1057"/>
        </w:trPr>
        <w:tc>
          <w:tcPr>
            <w:tcW w:w="8828" w:type="dxa"/>
            <w:tcBorders>
              <w:top w:val="dotted" w:sz="4" w:space="0" w:color="auto"/>
              <w:left w:val="dotted" w:sz="4" w:space="0" w:color="auto"/>
              <w:bottom w:val="dotted" w:sz="4" w:space="0" w:color="auto"/>
              <w:right w:val="dotted" w:sz="4" w:space="0" w:color="auto"/>
            </w:tcBorders>
          </w:tcPr>
          <w:p w14:paraId="12ABC755" w14:textId="77777777" w:rsidR="00E42995" w:rsidRPr="00415AD8" w:rsidRDefault="00E42995">
            <w:pPr>
              <w:spacing w:line="276" w:lineRule="auto"/>
              <w:ind w:right="74"/>
              <w:jc w:val="both"/>
              <w:textAlignment w:val="baseline"/>
              <w:rPr>
                <w:rFonts w:ascii="Verdana" w:hAnsi="Verdana"/>
              </w:rPr>
            </w:pPr>
          </w:p>
          <w:p w14:paraId="630AB5BC" w14:textId="77777777" w:rsidR="00E42995" w:rsidRPr="00415AD8" w:rsidRDefault="00E42995">
            <w:pPr>
              <w:spacing w:line="276" w:lineRule="auto"/>
              <w:ind w:right="74"/>
              <w:jc w:val="both"/>
              <w:textAlignment w:val="baseline"/>
              <w:rPr>
                <w:rFonts w:ascii="Verdana" w:hAnsi="Verdana"/>
              </w:rPr>
            </w:pPr>
            <w:r w:rsidRPr="00415AD8">
              <w:rPr>
                <w:rFonts w:ascii="Verdana" w:hAnsi="Verdana"/>
              </w:rPr>
              <w:t>I). Las entidades estatales sometidas a los Documentos Tipo no pueden modificar discrecionalmente la distribución de los puntajes ni los factores de evaluación establecidos en estos instrumentos. Su aplicación es obligatoria y únicamente pueden efectuarse modificaciones en aquellos aspectos en los que el propio Documento Tipo haya previsto expresamente un margen de configuración para la entidad. Esta regla se desprende del artículo 3 de la Resolución 456 de 2024, que establece que los obligados a aplicar los Documentos Tipo “solo podrán modificarlos en los aspectos en que los documentos tipo lo permitan”.</w:t>
            </w:r>
          </w:p>
          <w:p w14:paraId="2CEACD6E" w14:textId="77777777" w:rsidR="00E42995" w:rsidRPr="00415AD8" w:rsidRDefault="00E42995">
            <w:pPr>
              <w:spacing w:line="276" w:lineRule="auto"/>
              <w:ind w:right="74"/>
              <w:jc w:val="both"/>
              <w:textAlignment w:val="baseline"/>
              <w:rPr>
                <w:rFonts w:ascii="Verdana" w:hAnsi="Verdana"/>
              </w:rPr>
            </w:pPr>
          </w:p>
          <w:p w14:paraId="46D7D086" w14:textId="77777777" w:rsidR="00E42995" w:rsidRPr="00415AD8" w:rsidRDefault="00E42995">
            <w:pPr>
              <w:spacing w:line="276" w:lineRule="auto"/>
              <w:ind w:right="74"/>
              <w:jc w:val="both"/>
              <w:textAlignment w:val="baseline"/>
              <w:rPr>
                <w:rFonts w:ascii="Verdana" w:hAnsi="Verdana"/>
                <w:lang w:val="es-ES"/>
              </w:rPr>
            </w:pPr>
            <w:r w:rsidRPr="00C04604">
              <w:rPr>
                <w:rFonts w:ascii="Verdana" w:hAnsi="Verdana"/>
                <w:lang w:val="es-ES"/>
              </w:rPr>
              <w:t>Esta regla de inalterabilidad no se limita a los requisitos habilitantes</w:t>
            </w:r>
            <w:r w:rsidRPr="00415AD8">
              <w:rPr>
                <w:rFonts w:ascii="Verdana" w:hAnsi="Verdana"/>
                <w:lang w:val="es-ES"/>
              </w:rPr>
              <w:t>, esta</w:t>
            </w:r>
            <w:r w:rsidRPr="00C04604">
              <w:rPr>
                <w:rFonts w:ascii="Verdana" w:hAnsi="Verdana"/>
                <w:lang w:val="es-ES"/>
              </w:rPr>
              <w:t xml:space="preserve"> también los factores técnicos y económicos de escogencia y los sistemas de ponderación, de manera que las entidades no pueden introducir o modificar condiciones distintas de las establecidas en los Documentos Tipo. </w:t>
            </w:r>
          </w:p>
          <w:p w14:paraId="60677D2B" w14:textId="77777777" w:rsidR="00E42995" w:rsidRPr="00C04604" w:rsidRDefault="00E42995">
            <w:pPr>
              <w:spacing w:line="276" w:lineRule="auto"/>
              <w:ind w:right="74"/>
              <w:jc w:val="both"/>
              <w:textAlignment w:val="baseline"/>
              <w:rPr>
                <w:rFonts w:ascii="Verdana" w:hAnsi="Verdana"/>
                <w:lang w:val="es-ES"/>
              </w:rPr>
            </w:pPr>
          </w:p>
          <w:p w14:paraId="7D39C850" w14:textId="77777777" w:rsidR="00E42995" w:rsidRPr="00415AD8" w:rsidRDefault="00E42995">
            <w:pPr>
              <w:spacing w:line="276" w:lineRule="auto"/>
              <w:ind w:right="74"/>
              <w:jc w:val="both"/>
              <w:textAlignment w:val="baseline"/>
              <w:rPr>
                <w:rFonts w:ascii="Verdana" w:hAnsi="Verdana"/>
                <w:lang w:val="es-ES"/>
              </w:rPr>
            </w:pPr>
            <w:r w:rsidRPr="00C04604">
              <w:rPr>
                <w:rFonts w:ascii="Verdana" w:hAnsi="Verdana"/>
                <w:lang w:val="es-ES"/>
              </w:rPr>
              <w:t>En el caso de los Documentos Tipo para licitación de obra pública de infraestructura de transporte, la versión 4 adoptada mediante la Resolución 456 de 2024 establece en el Capítulo I del Documento Base la distribución de los cien (100) puntos de evaluación.,</w:t>
            </w:r>
            <w:r w:rsidRPr="00415AD8">
              <w:rPr>
                <w:rFonts w:ascii="Verdana" w:hAnsi="Verdana"/>
                <w:lang w:val="es-ES"/>
              </w:rPr>
              <w:t xml:space="preserve"> de la siguiente manera:</w:t>
            </w:r>
          </w:p>
          <w:p w14:paraId="2CC6A245" w14:textId="77777777" w:rsidR="00E42995" w:rsidRPr="00415AD8" w:rsidRDefault="00E42995">
            <w:pPr>
              <w:spacing w:line="276" w:lineRule="auto"/>
              <w:ind w:right="74"/>
              <w:jc w:val="both"/>
              <w:textAlignment w:val="baseline"/>
              <w:rPr>
                <w:rFonts w:ascii="Verdana" w:hAnsi="Verdana"/>
                <w:lang w:val="es-ES"/>
              </w:rPr>
            </w:pPr>
          </w:p>
          <w:tbl>
            <w:tblPr>
              <w:tblStyle w:val="Tablaconcuadrcula1"/>
              <w:tblW w:w="0" w:type="auto"/>
              <w:jc w:val="center"/>
              <w:tblLook w:val="04A0" w:firstRow="1" w:lastRow="0" w:firstColumn="1" w:lastColumn="0" w:noHBand="0" w:noVBand="1"/>
            </w:tblPr>
            <w:tblGrid>
              <w:gridCol w:w="2841"/>
              <w:gridCol w:w="2186"/>
            </w:tblGrid>
            <w:tr w:rsidR="00E42995" w:rsidRPr="00415AD8" w14:paraId="389177B6" w14:textId="77777777">
              <w:trPr>
                <w:trHeight w:val="283"/>
                <w:tblHeader/>
                <w:jc w:val="center"/>
              </w:trPr>
              <w:tc>
                <w:tcPr>
                  <w:tcW w:w="2841" w:type="dxa"/>
                  <w:tcBorders>
                    <w:top w:val="double" w:sz="4" w:space="0" w:color="auto"/>
                    <w:left w:val="double" w:sz="4" w:space="0" w:color="auto"/>
                    <w:bottom w:val="single" w:sz="4" w:space="0" w:color="auto"/>
                    <w:right w:val="single" w:sz="4" w:space="0" w:color="auto"/>
                  </w:tcBorders>
                  <w:shd w:val="clear" w:color="auto" w:fill="404040" w:themeFill="text1" w:themeFillTint="BF"/>
                  <w:vAlign w:val="center"/>
                  <w:hideMark/>
                </w:tcPr>
                <w:p w14:paraId="5B4BF89F" w14:textId="77777777" w:rsidR="00E42995" w:rsidRPr="00415AD8" w:rsidRDefault="00E42995">
                  <w:pPr>
                    <w:pStyle w:val="Captulo9"/>
                    <w:numPr>
                      <w:ilvl w:val="0"/>
                      <w:numId w:val="0"/>
                    </w:numPr>
                    <w:tabs>
                      <w:tab w:val="left" w:pos="993"/>
                    </w:tabs>
                    <w:ind w:left="720" w:right="624"/>
                    <w:jc w:val="center"/>
                    <w:rPr>
                      <w:rFonts w:ascii="Verdana" w:hAnsi="Verdana"/>
                      <w:color w:val="FFFFFF" w:themeColor="background1"/>
                      <w:sz w:val="22"/>
                      <w:szCs w:val="22"/>
                      <w:lang w:val="es-ES"/>
                    </w:rPr>
                  </w:pPr>
                  <w:r w:rsidRPr="00415AD8">
                    <w:rPr>
                      <w:rFonts w:ascii="Verdana" w:hAnsi="Verdana"/>
                      <w:color w:val="FFFFFF" w:themeColor="background1"/>
                      <w:sz w:val="22"/>
                      <w:szCs w:val="22"/>
                      <w:lang w:val="es-ES"/>
                    </w:rPr>
                    <w:t>Concepto</w:t>
                  </w:r>
                </w:p>
              </w:tc>
              <w:tc>
                <w:tcPr>
                  <w:tcW w:w="1966" w:type="dxa"/>
                  <w:tcBorders>
                    <w:top w:val="double" w:sz="4" w:space="0" w:color="auto"/>
                    <w:left w:val="single" w:sz="4" w:space="0" w:color="auto"/>
                    <w:bottom w:val="single" w:sz="4" w:space="0" w:color="auto"/>
                    <w:right w:val="double" w:sz="4" w:space="0" w:color="auto"/>
                  </w:tcBorders>
                  <w:shd w:val="clear" w:color="auto" w:fill="404040" w:themeFill="text1" w:themeFillTint="BF"/>
                  <w:vAlign w:val="center"/>
                  <w:hideMark/>
                </w:tcPr>
                <w:p w14:paraId="0C8DD783" w14:textId="77777777" w:rsidR="00E42995" w:rsidRPr="00415AD8" w:rsidRDefault="00E42995">
                  <w:pPr>
                    <w:pStyle w:val="Captulo9"/>
                    <w:numPr>
                      <w:ilvl w:val="0"/>
                      <w:numId w:val="0"/>
                    </w:numPr>
                    <w:tabs>
                      <w:tab w:val="left" w:pos="993"/>
                    </w:tabs>
                    <w:ind w:left="360" w:right="624"/>
                    <w:jc w:val="center"/>
                    <w:rPr>
                      <w:rFonts w:ascii="Verdana" w:hAnsi="Verdana"/>
                      <w:color w:val="FFFFFF" w:themeColor="background1"/>
                      <w:sz w:val="22"/>
                      <w:szCs w:val="22"/>
                      <w:lang w:val="es-ES"/>
                    </w:rPr>
                  </w:pPr>
                  <w:r w:rsidRPr="00415AD8">
                    <w:rPr>
                      <w:rFonts w:ascii="Verdana" w:hAnsi="Verdana"/>
                      <w:color w:val="FFFFFF" w:themeColor="background1"/>
                      <w:sz w:val="22"/>
                      <w:szCs w:val="22"/>
                      <w:lang w:val="es-ES"/>
                    </w:rPr>
                    <w:t>Puntaje máximo</w:t>
                  </w:r>
                </w:p>
              </w:tc>
            </w:tr>
            <w:tr w:rsidR="00E42995" w:rsidRPr="00415AD8" w14:paraId="19DD7338" w14:textId="77777777">
              <w:trPr>
                <w:trHeight w:val="153"/>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3FAA40A8" w14:textId="77777777" w:rsidR="00E42995" w:rsidRPr="00415AD8" w:rsidRDefault="00E42995">
                  <w:pPr>
                    <w:pStyle w:val="Captulo9"/>
                    <w:numPr>
                      <w:ilvl w:val="0"/>
                      <w:numId w:val="0"/>
                    </w:numPr>
                    <w:tabs>
                      <w:tab w:val="left" w:pos="993"/>
                    </w:tabs>
                    <w:spacing w:after="0"/>
                    <w:ind w:left="306" w:right="48"/>
                    <w:jc w:val="center"/>
                    <w:rPr>
                      <w:rFonts w:ascii="Verdana" w:hAnsi="Verdana"/>
                      <w:b w:val="0"/>
                      <w:color w:val="auto"/>
                      <w:sz w:val="22"/>
                      <w:szCs w:val="22"/>
                      <w:lang w:val="es-ES"/>
                    </w:rPr>
                  </w:pPr>
                  <w:r w:rsidRPr="00415AD8">
                    <w:rPr>
                      <w:rFonts w:ascii="Verdana" w:hAnsi="Verdana"/>
                      <w:b w:val="0"/>
                      <w:color w:val="auto"/>
                      <w:sz w:val="22"/>
                      <w:szCs w:val="22"/>
                      <w:lang w:val="es-ES"/>
                    </w:rPr>
                    <w:t>Oferta económica</w:t>
                  </w:r>
                </w:p>
              </w:tc>
              <w:tc>
                <w:tcPr>
                  <w:tcW w:w="1966" w:type="dxa"/>
                  <w:tcBorders>
                    <w:top w:val="single" w:sz="4" w:space="0" w:color="auto"/>
                    <w:left w:val="single" w:sz="4" w:space="0" w:color="auto"/>
                    <w:bottom w:val="single" w:sz="4" w:space="0" w:color="auto"/>
                    <w:right w:val="double" w:sz="4" w:space="0" w:color="auto"/>
                  </w:tcBorders>
                  <w:vAlign w:val="center"/>
                  <w:hideMark/>
                </w:tcPr>
                <w:p w14:paraId="017F4813" w14:textId="77777777" w:rsidR="00E42995" w:rsidRPr="00415AD8" w:rsidRDefault="00E42995">
                  <w:pPr>
                    <w:pStyle w:val="Captulo9"/>
                    <w:numPr>
                      <w:ilvl w:val="0"/>
                      <w:numId w:val="0"/>
                    </w:numPr>
                    <w:tabs>
                      <w:tab w:val="left" w:pos="993"/>
                    </w:tabs>
                    <w:spacing w:after="0"/>
                    <w:ind w:left="306" w:right="624"/>
                    <w:jc w:val="center"/>
                    <w:rPr>
                      <w:rFonts w:ascii="Verdana" w:hAnsi="Verdana"/>
                      <w:b w:val="0"/>
                      <w:color w:val="auto"/>
                      <w:sz w:val="22"/>
                      <w:szCs w:val="22"/>
                      <w:lang w:val="es-ES"/>
                    </w:rPr>
                  </w:pPr>
                </w:p>
                <w:p w14:paraId="0AFCA89E" w14:textId="77777777" w:rsidR="00E42995" w:rsidRPr="00415AD8" w:rsidRDefault="00E42995">
                  <w:pPr>
                    <w:pStyle w:val="Captulo9"/>
                    <w:numPr>
                      <w:ilvl w:val="0"/>
                      <w:numId w:val="0"/>
                    </w:numPr>
                    <w:tabs>
                      <w:tab w:val="left" w:pos="993"/>
                    </w:tabs>
                    <w:spacing w:after="0"/>
                    <w:ind w:left="306" w:right="624"/>
                    <w:jc w:val="center"/>
                    <w:rPr>
                      <w:rFonts w:ascii="Verdana" w:hAnsi="Verdana"/>
                      <w:b w:val="0"/>
                      <w:color w:val="auto"/>
                      <w:sz w:val="22"/>
                      <w:szCs w:val="22"/>
                      <w:lang w:val="es-ES"/>
                    </w:rPr>
                  </w:pPr>
                  <w:r w:rsidRPr="00415AD8">
                    <w:rPr>
                      <w:rFonts w:ascii="Verdana" w:hAnsi="Verdana"/>
                      <w:b w:val="0"/>
                      <w:color w:val="auto"/>
                      <w:sz w:val="22"/>
                      <w:szCs w:val="22"/>
                      <w:lang w:val="es-ES"/>
                    </w:rPr>
                    <w:t>48,5</w:t>
                  </w:r>
                </w:p>
              </w:tc>
            </w:tr>
            <w:tr w:rsidR="00E42995" w:rsidRPr="00415AD8" w14:paraId="2C40AD8E" w14:textId="77777777">
              <w:trPr>
                <w:trHeight w:val="495"/>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5F99E4B3" w14:textId="77777777" w:rsidR="00E42995" w:rsidRPr="00415AD8" w:rsidRDefault="00E42995">
                  <w:pPr>
                    <w:pStyle w:val="Captulo9"/>
                    <w:numPr>
                      <w:ilvl w:val="0"/>
                      <w:numId w:val="0"/>
                    </w:numPr>
                    <w:tabs>
                      <w:tab w:val="left" w:pos="993"/>
                    </w:tabs>
                    <w:spacing w:after="0"/>
                    <w:ind w:left="306" w:right="48"/>
                    <w:jc w:val="center"/>
                    <w:rPr>
                      <w:rFonts w:ascii="Verdana" w:hAnsi="Verdana"/>
                      <w:b w:val="0"/>
                      <w:color w:val="auto"/>
                      <w:sz w:val="22"/>
                      <w:szCs w:val="22"/>
                      <w:lang w:val="es-ES"/>
                    </w:rPr>
                  </w:pPr>
                  <w:r w:rsidRPr="00415AD8">
                    <w:rPr>
                      <w:rFonts w:ascii="Verdana" w:hAnsi="Verdana"/>
                      <w:b w:val="0"/>
                      <w:color w:val="auto"/>
                      <w:sz w:val="22"/>
                      <w:szCs w:val="22"/>
                      <w:lang w:val="es-ES"/>
                    </w:rPr>
                    <w:t>Factor de calidad</w:t>
                  </w:r>
                </w:p>
              </w:tc>
              <w:tc>
                <w:tcPr>
                  <w:tcW w:w="1966" w:type="dxa"/>
                  <w:tcBorders>
                    <w:top w:val="single" w:sz="4" w:space="0" w:color="auto"/>
                    <w:left w:val="single" w:sz="4" w:space="0" w:color="auto"/>
                    <w:bottom w:val="single" w:sz="4" w:space="0" w:color="auto"/>
                    <w:right w:val="double" w:sz="4" w:space="0" w:color="auto"/>
                  </w:tcBorders>
                  <w:vAlign w:val="center"/>
                  <w:hideMark/>
                </w:tcPr>
                <w:p w14:paraId="2DE795CF" w14:textId="77777777" w:rsidR="00E42995" w:rsidRPr="00415AD8" w:rsidRDefault="00E42995">
                  <w:pPr>
                    <w:pStyle w:val="Captulo9"/>
                    <w:numPr>
                      <w:ilvl w:val="0"/>
                      <w:numId w:val="0"/>
                    </w:numPr>
                    <w:tabs>
                      <w:tab w:val="left" w:pos="993"/>
                    </w:tabs>
                    <w:spacing w:after="0"/>
                    <w:ind w:left="306" w:right="624"/>
                    <w:jc w:val="center"/>
                    <w:rPr>
                      <w:rFonts w:ascii="Verdana" w:hAnsi="Verdana"/>
                      <w:b w:val="0"/>
                      <w:color w:val="auto"/>
                      <w:sz w:val="22"/>
                      <w:szCs w:val="22"/>
                      <w:lang w:val="es-ES"/>
                    </w:rPr>
                  </w:pPr>
                </w:p>
                <w:p w14:paraId="286B0237" w14:textId="77777777" w:rsidR="00E42995" w:rsidRPr="00415AD8" w:rsidRDefault="00E42995">
                  <w:pPr>
                    <w:pStyle w:val="Captulo9"/>
                    <w:numPr>
                      <w:ilvl w:val="0"/>
                      <w:numId w:val="0"/>
                    </w:numPr>
                    <w:tabs>
                      <w:tab w:val="left" w:pos="993"/>
                    </w:tabs>
                    <w:spacing w:after="0"/>
                    <w:ind w:left="306" w:right="624"/>
                    <w:jc w:val="center"/>
                    <w:rPr>
                      <w:rFonts w:ascii="Verdana" w:hAnsi="Verdana"/>
                      <w:b w:val="0"/>
                      <w:color w:val="auto"/>
                      <w:sz w:val="22"/>
                      <w:szCs w:val="22"/>
                      <w:lang w:val="es-ES"/>
                    </w:rPr>
                  </w:pPr>
                  <w:r w:rsidRPr="00415AD8">
                    <w:rPr>
                      <w:rFonts w:ascii="Verdana" w:hAnsi="Verdana"/>
                      <w:b w:val="0"/>
                      <w:color w:val="auto"/>
                      <w:sz w:val="22"/>
                      <w:szCs w:val="22"/>
                      <w:lang w:val="es-ES"/>
                    </w:rPr>
                    <w:t>30</w:t>
                  </w:r>
                </w:p>
              </w:tc>
            </w:tr>
            <w:tr w:rsidR="00E42995" w:rsidRPr="00415AD8" w14:paraId="20D3EA8D" w14:textId="77777777">
              <w:trPr>
                <w:trHeight w:val="305"/>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484EF58E" w14:textId="77777777" w:rsidR="00E42995" w:rsidRPr="00415AD8" w:rsidRDefault="00E42995">
                  <w:pPr>
                    <w:pStyle w:val="Captulo9"/>
                    <w:numPr>
                      <w:ilvl w:val="0"/>
                      <w:numId w:val="0"/>
                    </w:numPr>
                    <w:tabs>
                      <w:tab w:val="left" w:pos="993"/>
                    </w:tabs>
                    <w:spacing w:after="0"/>
                    <w:ind w:left="306" w:right="48"/>
                    <w:jc w:val="center"/>
                    <w:rPr>
                      <w:rFonts w:ascii="Verdana" w:hAnsi="Verdana"/>
                      <w:b w:val="0"/>
                      <w:color w:val="auto"/>
                      <w:sz w:val="22"/>
                      <w:szCs w:val="22"/>
                      <w:lang w:val="es-ES"/>
                    </w:rPr>
                  </w:pPr>
                  <w:r w:rsidRPr="00415AD8">
                    <w:rPr>
                      <w:rFonts w:ascii="Verdana" w:hAnsi="Verdana"/>
                      <w:b w:val="0"/>
                      <w:color w:val="auto"/>
                      <w:sz w:val="22"/>
                      <w:szCs w:val="22"/>
                      <w:lang w:val="es-ES"/>
                    </w:rPr>
                    <w:t>Apoyo a la industria nacional</w:t>
                  </w:r>
                </w:p>
              </w:tc>
              <w:tc>
                <w:tcPr>
                  <w:tcW w:w="1966" w:type="dxa"/>
                  <w:tcBorders>
                    <w:top w:val="single" w:sz="4" w:space="0" w:color="auto"/>
                    <w:left w:val="single" w:sz="4" w:space="0" w:color="auto"/>
                    <w:bottom w:val="single" w:sz="4" w:space="0" w:color="auto"/>
                    <w:right w:val="double" w:sz="4" w:space="0" w:color="auto"/>
                  </w:tcBorders>
                  <w:vAlign w:val="center"/>
                  <w:hideMark/>
                </w:tcPr>
                <w:p w14:paraId="182F21AE" w14:textId="77777777" w:rsidR="00E42995" w:rsidRPr="00415AD8" w:rsidRDefault="00E42995">
                  <w:pPr>
                    <w:pStyle w:val="Captulo9"/>
                    <w:numPr>
                      <w:ilvl w:val="0"/>
                      <w:numId w:val="0"/>
                    </w:numPr>
                    <w:tabs>
                      <w:tab w:val="left" w:pos="993"/>
                    </w:tabs>
                    <w:spacing w:after="0"/>
                    <w:ind w:left="306" w:right="624"/>
                    <w:jc w:val="center"/>
                    <w:rPr>
                      <w:rFonts w:ascii="Verdana" w:hAnsi="Verdana"/>
                      <w:b w:val="0"/>
                      <w:color w:val="auto"/>
                      <w:sz w:val="22"/>
                      <w:szCs w:val="22"/>
                      <w:lang w:val="es-ES"/>
                    </w:rPr>
                  </w:pPr>
                </w:p>
                <w:p w14:paraId="632BC290" w14:textId="77777777" w:rsidR="00E42995" w:rsidRPr="00415AD8" w:rsidRDefault="00E42995">
                  <w:pPr>
                    <w:pStyle w:val="Captulo9"/>
                    <w:numPr>
                      <w:ilvl w:val="0"/>
                      <w:numId w:val="0"/>
                    </w:numPr>
                    <w:tabs>
                      <w:tab w:val="left" w:pos="993"/>
                    </w:tabs>
                    <w:spacing w:after="0"/>
                    <w:ind w:left="306" w:right="624"/>
                    <w:jc w:val="center"/>
                    <w:rPr>
                      <w:rFonts w:ascii="Verdana" w:hAnsi="Verdana"/>
                      <w:b w:val="0"/>
                      <w:color w:val="auto"/>
                      <w:sz w:val="22"/>
                      <w:szCs w:val="22"/>
                      <w:lang w:val="es-ES"/>
                    </w:rPr>
                  </w:pPr>
                  <w:r w:rsidRPr="00415AD8">
                    <w:rPr>
                      <w:rFonts w:ascii="Verdana" w:hAnsi="Verdana"/>
                      <w:b w:val="0"/>
                      <w:color w:val="auto"/>
                      <w:sz w:val="22"/>
                      <w:szCs w:val="22"/>
                      <w:lang w:val="es-ES"/>
                    </w:rPr>
                    <w:t>20</w:t>
                  </w:r>
                </w:p>
              </w:tc>
            </w:tr>
            <w:tr w:rsidR="00E42995" w:rsidRPr="00415AD8" w14:paraId="1D5E42EE"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tcPr>
                <w:p w14:paraId="7CD9EDB3" w14:textId="77777777" w:rsidR="00E42995" w:rsidRPr="00415AD8" w:rsidRDefault="00E42995">
                  <w:pPr>
                    <w:pStyle w:val="Captulo9"/>
                    <w:numPr>
                      <w:ilvl w:val="0"/>
                      <w:numId w:val="0"/>
                    </w:numPr>
                    <w:tabs>
                      <w:tab w:val="left" w:pos="993"/>
                    </w:tabs>
                    <w:spacing w:after="0"/>
                    <w:ind w:left="306" w:right="48"/>
                    <w:jc w:val="center"/>
                    <w:rPr>
                      <w:rFonts w:ascii="Verdana" w:hAnsi="Verdana"/>
                      <w:b w:val="0"/>
                      <w:bCs w:val="0"/>
                      <w:color w:val="auto"/>
                      <w:sz w:val="22"/>
                      <w:szCs w:val="22"/>
                      <w:lang w:val="es-ES"/>
                    </w:rPr>
                  </w:pPr>
                  <w:r w:rsidRPr="00415AD8">
                    <w:rPr>
                      <w:rFonts w:ascii="Verdana" w:hAnsi="Verdana"/>
                      <w:b w:val="0"/>
                      <w:bCs w:val="0"/>
                      <w:color w:val="auto"/>
                      <w:sz w:val="22"/>
                      <w:szCs w:val="22"/>
                      <w:lang w:val="es-ES"/>
                    </w:rPr>
                    <w:t>Vinculación de personas con discapacidad</w:t>
                  </w:r>
                </w:p>
              </w:tc>
              <w:tc>
                <w:tcPr>
                  <w:tcW w:w="1966" w:type="dxa"/>
                  <w:tcBorders>
                    <w:top w:val="single" w:sz="4" w:space="0" w:color="auto"/>
                    <w:left w:val="single" w:sz="4" w:space="0" w:color="auto"/>
                    <w:bottom w:val="single" w:sz="4" w:space="0" w:color="auto"/>
                    <w:right w:val="double" w:sz="4" w:space="0" w:color="auto"/>
                  </w:tcBorders>
                  <w:vAlign w:val="center"/>
                </w:tcPr>
                <w:p w14:paraId="4F80DAFF" w14:textId="77777777" w:rsidR="00E42995" w:rsidRPr="00415AD8" w:rsidRDefault="00E42995">
                  <w:pPr>
                    <w:pStyle w:val="Captulo9"/>
                    <w:numPr>
                      <w:ilvl w:val="0"/>
                      <w:numId w:val="0"/>
                    </w:numPr>
                    <w:tabs>
                      <w:tab w:val="left" w:pos="993"/>
                    </w:tabs>
                    <w:spacing w:after="0"/>
                    <w:ind w:left="306" w:right="624"/>
                    <w:jc w:val="center"/>
                    <w:rPr>
                      <w:rFonts w:ascii="Verdana" w:hAnsi="Verdana"/>
                      <w:b w:val="0"/>
                      <w:bCs w:val="0"/>
                      <w:color w:val="auto"/>
                      <w:sz w:val="22"/>
                      <w:szCs w:val="22"/>
                      <w:lang w:val="es-ES"/>
                    </w:rPr>
                  </w:pPr>
                  <w:r w:rsidRPr="00415AD8">
                    <w:rPr>
                      <w:rFonts w:ascii="Verdana" w:hAnsi="Verdana"/>
                      <w:b w:val="0"/>
                      <w:bCs w:val="0"/>
                      <w:color w:val="auto"/>
                      <w:sz w:val="22"/>
                      <w:szCs w:val="22"/>
                      <w:lang w:val="es-ES"/>
                    </w:rPr>
                    <w:t>1</w:t>
                  </w:r>
                </w:p>
              </w:tc>
            </w:tr>
            <w:tr w:rsidR="00E42995" w:rsidRPr="00415AD8" w14:paraId="234BB934" w14:textId="77777777">
              <w:trPr>
                <w:trHeight w:val="265"/>
                <w:jc w:val="center"/>
              </w:trPr>
              <w:tc>
                <w:tcPr>
                  <w:tcW w:w="2841" w:type="dxa"/>
                  <w:tcBorders>
                    <w:top w:val="single" w:sz="4" w:space="0" w:color="auto"/>
                    <w:left w:val="double" w:sz="4" w:space="0" w:color="auto"/>
                    <w:bottom w:val="single" w:sz="4" w:space="0" w:color="auto"/>
                    <w:right w:val="single" w:sz="4" w:space="0" w:color="auto"/>
                  </w:tcBorders>
                  <w:vAlign w:val="center"/>
                </w:tcPr>
                <w:p w14:paraId="443A5337" w14:textId="77777777" w:rsidR="00E42995" w:rsidRPr="00415AD8" w:rsidRDefault="00E42995">
                  <w:pPr>
                    <w:pStyle w:val="Captulo9"/>
                    <w:numPr>
                      <w:ilvl w:val="0"/>
                      <w:numId w:val="0"/>
                    </w:numPr>
                    <w:tabs>
                      <w:tab w:val="left" w:pos="993"/>
                    </w:tabs>
                    <w:spacing w:after="0"/>
                    <w:ind w:left="306" w:right="48"/>
                    <w:jc w:val="center"/>
                    <w:rPr>
                      <w:rFonts w:ascii="Verdana" w:hAnsi="Verdana"/>
                      <w:b w:val="0"/>
                      <w:bCs w:val="0"/>
                      <w:color w:val="auto"/>
                      <w:sz w:val="22"/>
                      <w:szCs w:val="22"/>
                      <w:lang w:val="es-ES"/>
                    </w:rPr>
                  </w:pPr>
                  <w:r w:rsidRPr="00415AD8">
                    <w:rPr>
                      <w:rFonts w:ascii="Verdana" w:hAnsi="Verdana"/>
                      <w:b w:val="0"/>
                      <w:bCs w:val="0"/>
                      <w:color w:val="auto"/>
                      <w:sz w:val="22"/>
                      <w:szCs w:val="22"/>
                      <w:lang w:val="es-ES"/>
                    </w:rPr>
                    <w:lastRenderedPageBreak/>
                    <w:t>Emprendimientos y empresas de mujeres</w:t>
                  </w:r>
                </w:p>
              </w:tc>
              <w:tc>
                <w:tcPr>
                  <w:tcW w:w="1966" w:type="dxa"/>
                  <w:tcBorders>
                    <w:top w:val="single" w:sz="4" w:space="0" w:color="auto"/>
                    <w:left w:val="single" w:sz="4" w:space="0" w:color="auto"/>
                    <w:bottom w:val="single" w:sz="4" w:space="0" w:color="auto"/>
                    <w:right w:val="double" w:sz="4" w:space="0" w:color="auto"/>
                  </w:tcBorders>
                  <w:vAlign w:val="center"/>
                </w:tcPr>
                <w:p w14:paraId="0C974C03" w14:textId="77777777" w:rsidR="00E42995" w:rsidRPr="00415AD8" w:rsidRDefault="00E42995">
                  <w:pPr>
                    <w:pStyle w:val="Captulo9"/>
                    <w:numPr>
                      <w:ilvl w:val="0"/>
                      <w:numId w:val="0"/>
                    </w:numPr>
                    <w:tabs>
                      <w:tab w:val="left" w:pos="993"/>
                    </w:tabs>
                    <w:spacing w:after="0"/>
                    <w:ind w:left="306" w:right="624"/>
                    <w:jc w:val="center"/>
                    <w:rPr>
                      <w:rFonts w:ascii="Verdana" w:hAnsi="Verdana"/>
                      <w:b w:val="0"/>
                      <w:bCs w:val="0"/>
                      <w:color w:val="auto"/>
                      <w:sz w:val="22"/>
                      <w:szCs w:val="22"/>
                      <w:lang w:val="es-ES"/>
                    </w:rPr>
                  </w:pPr>
                  <w:r w:rsidRPr="00415AD8">
                    <w:rPr>
                      <w:rFonts w:ascii="Verdana" w:hAnsi="Verdana"/>
                      <w:b w:val="0"/>
                      <w:bCs w:val="0"/>
                      <w:color w:val="auto"/>
                      <w:sz w:val="22"/>
                      <w:szCs w:val="22"/>
                      <w:lang w:val="es-ES"/>
                    </w:rPr>
                    <w:t>0,25</w:t>
                  </w:r>
                </w:p>
              </w:tc>
            </w:tr>
            <w:tr w:rsidR="00E42995" w:rsidRPr="00415AD8" w14:paraId="43E92716"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tcPr>
                <w:p w14:paraId="2B0CB684" w14:textId="77777777" w:rsidR="00E42995" w:rsidRPr="00415AD8" w:rsidRDefault="00E42995">
                  <w:pPr>
                    <w:pStyle w:val="Captulo9"/>
                    <w:numPr>
                      <w:ilvl w:val="0"/>
                      <w:numId w:val="0"/>
                    </w:numPr>
                    <w:tabs>
                      <w:tab w:val="left" w:pos="993"/>
                    </w:tabs>
                    <w:spacing w:after="0"/>
                    <w:ind w:left="306" w:right="48"/>
                    <w:jc w:val="center"/>
                    <w:rPr>
                      <w:rFonts w:ascii="Verdana" w:hAnsi="Verdana"/>
                      <w:b w:val="0"/>
                      <w:color w:val="auto"/>
                      <w:sz w:val="22"/>
                      <w:szCs w:val="22"/>
                      <w:lang w:val="es-ES"/>
                    </w:rPr>
                  </w:pPr>
                  <w:proofErr w:type="spellStart"/>
                  <w:r w:rsidRPr="00415AD8">
                    <w:rPr>
                      <w:rFonts w:ascii="Verdana" w:hAnsi="Verdana"/>
                      <w:b w:val="0"/>
                      <w:color w:val="auto"/>
                      <w:sz w:val="22"/>
                      <w:szCs w:val="22"/>
                      <w:lang w:val="es-ES"/>
                    </w:rPr>
                    <w:t>Mipyme</w:t>
                  </w:r>
                  <w:proofErr w:type="spellEnd"/>
                </w:p>
              </w:tc>
              <w:tc>
                <w:tcPr>
                  <w:tcW w:w="1966" w:type="dxa"/>
                  <w:tcBorders>
                    <w:top w:val="single" w:sz="4" w:space="0" w:color="auto"/>
                    <w:left w:val="single" w:sz="4" w:space="0" w:color="auto"/>
                    <w:bottom w:val="single" w:sz="4" w:space="0" w:color="auto"/>
                    <w:right w:val="double" w:sz="4" w:space="0" w:color="auto"/>
                  </w:tcBorders>
                  <w:vAlign w:val="center"/>
                </w:tcPr>
                <w:p w14:paraId="21C2A964" w14:textId="77777777" w:rsidR="00E42995" w:rsidRPr="00415AD8" w:rsidRDefault="00E42995">
                  <w:pPr>
                    <w:pStyle w:val="Captulo9"/>
                    <w:numPr>
                      <w:ilvl w:val="0"/>
                      <w:numId w:val="0"/>
                    </w:numPr>
                    <w:tabs>
                      <w:tab w:val="left" w:pos="993"/>
                    </w:tabs>
                    <w:spacing w:after="0"/>
                    <w:ind w:left="306" w:right="624"/>
                    <w:jc w:val="center"/>
                    <w:rPr>
                      <w:rFonts w:ascii="Verdana" w:hAnsi="Verdana"/>
                      <w:b w:val="0"/>
                      <w:color w:val="auto"/>
                      <w:sz w:val="22"/>
                      <w:szCs w:val="22"/>
                      <w:lang w:val="es-ES"/>
                    </w:rPr>
                  </w:pPr>
                  <w:r w:rsidRPr="00415AD8">
                    <w:rPr>
                      <w:rFonts w:ascii="Verdana" w:hAnsi="Verdana"/>
                      <w:b w:val="0"/>
                      <w:color w:val="auto"/>
                      <w:sz w:val="22"/>
                      <w:szCs w:val="22"/>
                      <w:lang w:val="es-ES"/>
                    </w:rPr>
                    <w:t>0,25</w:t>
                  </w:r>
                </w:p>
              </w:tc>
            </w:tr>
            <w:tr w:rsidR="00E42995" w:rsidRPr="00415AD8" w14:paraId="34820519" w14:textId="77777777">
              <w:trPr>
                <w:jc w:val="center"/>
              </w:trPr>
              <w:tc>
                <w:tcPr>
                  <w:tcW w:w="2841" w:type="dxa"/>
                  <w:tcBorders>
                    <w:top w:val="single" w:sz="4" w:space="0" w:color="auto"/>
                    <w:left w:val="double" w:sz="4" w:space="0" w:color="auto"/>
                    <w:bottom w:val="double" w:sz="4" w:space="0" w:color="auto"/>
                    <w:right w:val="single" w:sz="4" w:space="0" w:color="auto"/>
                  </w:tcBorders>
                  <w:vAlign w:val="center"/>
                  <w:hideMark/>
                </w:tcPr>
                <w:p w14:paraId="628D54F3" w14:textId="77777777" w:rsidR="00E42995" w:rsidRPr="00415AD8" w:rsidRDefault="00E42995">
                  <w:pPr>
                    <w:pStyle w:val="Captulo9"/>
                    <w:numPr>
                      <w:ilvl w:val="0"/>
                      <w:numId w:val="0"/>
                    </w:numPr>
                    <w:tabs>
                      <w:tab w:val="left" w:pos="993"/>
                    </w:tabs>
                    <w:spacing w:after="0"/>
                    <w:ind w:left="720" w:right="48" w:hanging="419"/>
                    <w:jc w:val="center"/>
                    <w:rPr>
                      <w:rFonts w:ascii="Verdana" w:hAnsi="Verdana"/>
                      <w:b w:val="0"/>
                      <w:color w:val="auto"/>
                      <w:sz w:val="22"/>
                      <w:szCs w:val="22"/>
                      <w:lang w:val="es-ES"/>
                    </w:rPr>
                  </w:pPr>
                  <w:r w:rsidRPr="00415AD8">
                    <w:rPr>
                      <w:rFonts w:ascii="Verdana" w:hAnsi="Verdana"/>
                      <w:b w:val="0"/>
                      <w:color w:val="auto"/>
                      <w:sz w:val="22"/>
                      <w:szCs w:val="22"/>
                      <w:lang w:val="es-ES"/>
                    </w:rPr>
                    <w:t>Total</w:t>
                  </w:r>
                </w:p>
              </w:tc>
              <w:tc>
                <w:tcPr>
                  <w:tcW w:w="1966" w:type="dxa"/>
                  <w:tcBorders>
                    <w:top w:val="single" w:sz="4" w:space="0" w:color="auto"/>
                    <w:left w:val="single" w:sz="4" w:space="0" w:color="auto"/>
                    <w:bottom w:val="double" w:sz="4" w:space="0" w:color="auto"/>
                    <w:right w:val="double" w:sz="4" w:space="0" w:color="auto"/>
                  </w:tcBorders>
                  <w:vAlign w:val="center"/>
                  <w:hideMark/>
                </w:tcPr>
                <w:p w14:paraId="6300E5F0" w14:textId="77777777" w:rsidR="00E42995" w:rsidRPr="00415AD8" w:rsidRDefault="00E42995">
                  <w:pPr>
                    <w:pStyle w:val="Captulo9"/>
                    <w:numPr>
                      <w:ilvl w:val="0"/>
                      <w:numId w:val="0"/>
                    </w:numPr>
                    <w:tabs>
                      <w:tab w:val="left" w:pos="993"/>
                    </w:tabs>
                    <w:spacing w:after="0"/>
                    <w:ind w:left="433" w:right="624" w:hanging="145"/>
                    <w:jc w:val="center"/>
                    <w:rPr>
                      <w:rFonts w:ascii="Verdana" w:hAnsi="Verdana"/>
                      <w:b w:val="0"/>
                      <w:color w:val="auto"/>
                      <w:sz w:val="22"/>
                      <w:szCs w:val="22"/>
                      <w:lang w:val="es-ES"/>
                    </w:rPr>
                  </w:pPr>
                  <w:r w:rsidRPr="00415AD8">
                    <w:rPr>
                      <w:rFonts w:ascii="Verdana" w:hAnsi="Verdana"/>
                      <w:b w:val="0"/>
                      <w:color w:val="auto"/>
                      <w:sz w:val="22"/>
                      <w:szCs w:val="22"/>
                      <w:lang w:val="es-ES"/>
                    </w:rPr>
                    <w:t>100</w:t>
                  </w:r>
                </w:p>
              </w:tc>
            </w:tr>
          </w:tbl>
          <w:p w14:paraId="7B0A72E9" w14:textId="77777777" w:rsidR="00E42995" w:rsidRPr="00415AD8" w:rsidRDefault="00E42995">
            <w:pPr>
              <w:spacing w:line="276" w:lineRule="auto"/>
              <w:ind w:right="74"/>
              <w:jc w:val="both"/>
              <w:textAlignment w:val="baseline"/>
              <w:rPr>
                <w:rFonts w:ascii="Verdana" w:hAnsi="Verdana"/>
                <w:lang w:val="es-ES"/>
              </w:rPr>
            </w:pPr>
          </w:p>
          <w:p w14:paraId="5AE744E3" w14:textId="77777777" w:rsidR="00E42995" w:rsidRPr="00415AD8" w:rsidRDefault="00E42995">
            <w:pPr>
              <w:spacing w:line="276" w:lineRule="auto"/>
              <w:ind w:right="74" w:firstLine="709"/>
              <w:jc w:val="both"/>
              <w:textAlignment w:val="baseline"/>
              <w:rPr>
                <w:rFonts w:ascii="Verdana" w:hAnsi="Verdana"/>
              </w:rPr>
            </w:pPr>
            <w:r w:rsidRPr="00415AD8">
              <w:rPr>
                <w:rFonts w:ascii="Verdana" w:hAnsi="Verdana"/>
              </w:rPr>
              <w:t>En consecuencia, esta distribución constituye el parámetro que debe observar la entidad al evaluar las ofertas y no puede ser alterada por razones de conveniencia, autonomía administrativa o por una valoración particular de la entidad respecto de la importancia de cada factor.</w:t>
            </w:r>
          </w:p>
          <w:p w14:paraId="754A960C" w14:textId="77777777" w:rsidR="00E42995" w:rsidRPr="00415AD8" w:rsidRDefault="00E42995">
            <w:pPr>
              <w:spacing w:line="276" w:lineRule="auto"/>
              <w:ind w:right="74" w:firstLine="709"/>
              <w:jc w:val="both"/>
              <w:textAlignment w:val="baseline"/>
              <w:rPr>
                <w:rFonts w:ascii="Verdana" w:hAnsi="Verdana"/>
              </w:rPr>
            </w:pPr>
          </w:p>
          <w:p w14:paraId="496B458B" w14:textId="77777777" w:rsidR="00E42995" w:rsidRDefault="00E42995">
            <w:pPr>
              <w:spacing w:line="276" w:lineRule="auto"/>
              <w:ind w:right="74" w:firstLine="709"/>
              <w:jc w:val="both"/>
              <w:textAlignment w:val="baseline"/>
              <w:rPr>
                <w:rFonts w:ascii="Verdana" w:hAnsi="Verdana"/>
                <w:lang w:val="es-ES"/>
              </w:rPr>
            </w:pPr>
            <w:r w:rsidRPr="00767615">
              <w:rPr>
                <w:rFonts w:ascii="Verdana" w:hAnsi="Verdana"/>
                <w:lang w:val="es-ES"/>
              </w:rPr>
              <w:t>Ahora bien, la regla de inalterabilidad no significa que la distribución de puntajes sea absolutamente invariable en cualquier circunstancia. El propio Documento Base contempla determinados supuestos en los cuales la distribución debe ajustarse. Precisamente, estos casos permiten identificar la diferencia entre una modificación autorizada y una modificación discrecional.</w:t>
            </w:r>
          </w:p>
          <w:p w14:paraId="3357B0A6" w14:textId="77777777" w:rsidR="00E42995" w:rsidRDefault="00E42995">
            <w:pPr>
              <w:spacing w:line="276" w:lineRule="auto"/>
              <w:ind w:right="74" w:firstLine="709"/>
              <w:jc w:val="both"/>
              <w:textAlignment w:val="baseline"/>
              <w:rPr>
                <w:rFonts w:ascii="Verdana" w:hAnsi="Verdana"/>
                <w:lang w:val="es-ES"/>
              </w:rPr>
            </w:pPr>
          </w:p>
          <w:p w14:paraId="4620B143" w14:textId="77777777" w:rsidR="00E42995" w:rsidRPr="00C04604" w:rsidRDefault="00E42995">
            <w:pPr>
              <w:spacing w:line="276" w:lineRule="auto"/>
              <w:ind w:right="74" w:firstLine="709"/>
              <w:jc w:val="both"/>
              <w:textAlignment w:val="baseline"/>
              <w:rPr>
                <w:rFonts w:ascii="Verdana" w:hAnsi="Verdana"/>
                <w:lang w:val="es-ES"/>
              </w:rPr>
            </w:pPr>
            <w:r w:rsidRPr="001F494F">
              <w:rPr>
                <w:rFonts w:ascii="Verdana" w:hAnsi="Verdana"/>
              </w:rPr>
              <w:t>En este sentido, la Agencia Nacional de Contratación Pública ha reiterado que los espacios de configuración corresponden, principalmente, a los apartes identificados entre corchetes y resaltados en gris, que deben ser diligenciados de acuerdo con las instrucciones del respectivo Documento Tipo</w:t>
            </w:r>
          </w:p>
          <w:p w14:paraId="6F3D32D3" w14:textId="77777777" w:rsidR="00E42995" w:rsidRPr="00415AD8" w:rsidRDefault="00E42995">
            <w:pPr>
              <w:spacing w:line="276" w:lineRule="auto"/>
              <w:ind w:right="74"/>
              <w:jc w:val="both"/>
              <w:textAlignment w:val="baseline"/>
              <w:rPr>
                <w:rFonts w:ascii="Verdana" w:hAnsi="Verdana"/>
              </w:rPr>
            </w:pPr>
          </w:p>
          <w:p w14:paraId="19D3C08A" w14:textId="77777777" w:rsidR="00E42995" w:rsidRPr="00415AD8" w:rsidRDefault="00E42995">
            <w:pPr>
              <w:spacing w:line="276" w:lineRule="auto"/>
              <w:ind w:right="74"/>
              <w:jc w:val="both"/>
              <w:textAlignment w:val="baseline"/>
              <w:rPr>
                <w:rFonts w:ascii="Verdana" w:hAnsi="Verdana"/>
              </w:rPr>
            </w:pPr>
            <w:r w:rsidRPr="00415AD8">
              <w:rPr>
                <w:rFonts w:ascii="Verdana" w:hAnsi="Verdana"/>
              </w:rPr>
              <w:t>II). El alcance de la obligación de verificar las inhabilidades por delitos sexuales contra menores de edad debe determinarse a partir de los supuestos expresamente establecidos en la Ley 1918 de 2018, modificada por la Ley 2375 de 2024, atendiendo al carácter restrictivo de las normas que establecen inhabilidades. En consecuencia, dicha obligación no se extiende de manera general a todos los procesos de contratación estatal ni a todas las personas que pretendan celebrar un contrato con una entidad pública, sino que está condicionada a que la vinculación corresponda al desempeño de un cargo, oficio o profesión que implique una relación directa y habitual con menores de edad.</w:t>
            </w:r>
          </w:p>
          <w:p w14:paraId="6B8E3995" w14:textId="77777777" w:rsidR="00E42995" w:rsidRPr="00415AD8" w:rsidRDefault="00E42995">
            <w:pPr>
              <w:spacing w:before="120" w:line="276" w:lineRule="auto"/>
              <w:ind w:right="74" w:firstLine="709"/>
              <w:jc w:val="both"/>
              <w:textAlignment w:val="baseline"/>
              <w:rPr>
                <w:rFonts w:ascii="Verdana" w:hAnsi="Verdana"/>
              </w:rPr>
            </w:pPr>
            <w:r w:rsidRPr="00415AD8">
              <w:rPr>
                <w:rFonts w:ascii="Verdana" w:hAnsi="Verdana"/>
              </w:rPr>
              <w:t xml:space="preserve">En efecto, el artículo 4 de la Ley 1918 de 2018 establece expresamente el deber de las entidades públicas y privadas de verificar, previa autorización del aspirante, que este no se encuentre inscrito en el Registro de Inhabilidades por delitos sexuales contra menores de edad, antes de su </w:t>
            </w:r>
            <w:r w:rsidRPr="00415AD8">
              <w:rPr>
                <w:rFonts w:ascii="Verdana" w:hAnsi="Verdana"/>
              </w:rPr>
              <w:lastRenderedPageBreak/>
              <w:t>vinculación en empleos o contratos que impliquen contacto directo y habitual con menores. La verificación debe actualizarse cada cuatro meses durante la vigencia de la relación laboral o contractual.</w:t>
            </w:r>
          </w:p>
          <w:p w14:paraId="4A4405F6" w14:textId="77777777" w:rsidR="00E42995" w:rsidRPr="00CE71EA" w:rsidRDefault="00E42995">
            <w:pPr>
              <w:spacing w:before="120" w:line="276" w:lineRule="auto"/>
              <w:ind w:right="74" w:firstLine="709"/>
              <w:jc w:val="both"/>
              <w:textAlignment w:val="baseline"/>
              <w:rPr>
                <w:rFonts w:ascii="Verdana" w:hAnsi="Verdana"/>
                <w:lang w:val="es-ES"/>
              </w:rPr>
            </w:pPr>
            <w:r w:rsidRPr="00CE71EA">
              <w:rPr>
                <w:rFonts w:ascii="Verdana" w:hAnsi="Verdana"/>
                <w:lang w:val="es-ES"/>
              </w:rPr>
              <w:t xml:space="preserve">Este régimen debe interpretarse de manera restrictiva, pues las inhabilidades constituyen limitaciones a la capacidad para contratar y, por tanto, deben estar previstas expresamente en la Constitución o en la ley. En este sentido, Colombia Compra Eficiente ha reiterado que no resulta procedente acudir a interpretaciones analógicas o extensivas para ampliar los supuestos de aplicación de una inhabilidad. </w:t>
            </w:r>
          </w:p>
          <w:p w14:paraId="2EA5795F" w14:textId="77777777" w:rsidR="00E42995" w:rsidRPr="00CE71EA" w:rsidRDefault="00E42995">
            <w:pPr>
              <w:spacing w:before="120" w:line="276" w:lineRule="auto"/>
              <w:ind w:right="74" w:firstLine="709"/>
              <w:jc w:val="both"/>
              <w:textAlignment w:val="baseline"/>
              <w:rPr>
                <w:rFonts w:ascii="Verdana" w:hAnsi="Verdana"/>
                <w:lang w:val="es-ES"/>
              </w:rPr>
            </w:pPr>
            <w:r w:rsidRPr="00CE71EA">
              <w:rPr>
                <w:rFonts w:ascii="Verdana" w:hAnsi="Verdana"/>
                <w:lang w:val="es-ES"/>
              </w:rPr>
              <w:t xml:space="preserve">Ahora bien, la Ley 2375 de 2024 modificó este régimen y trasladó directamente a la ley la determinación de los ámbitos, cargos, oficios y profesiones susceptibles de la inhabilidad. Actualmente, el artículo 2 de la Ley 1918 de 2018 comprende, entre otros, los ámbitos educativo, recreativo, de cuidado, protección, asistencia, salud, nutrición, bienestar, cultural, artístico, deportivo, religioso y de seguridad, siempre que las actividades impliquen un trato directo y habitual con menores de edad. La norma también contempla cualquier cargo, oficio o profesión respecto del cual se demuestre dicho trato. </w:t>
            </w:r>
          </w:p>
          <w:p w14:paraId="1D2E0489" w14:textId="77777777" w:rsidR="00E42995" w:rsidRPr="00415AD8" w:rsidRDefault="00E42995">
            <w:pPr>
              <w:spacing w:before="120" w:line="276" w:lineRule="auto"/>
              <w:ind w:right="74" w:firstLine="709"/>
              <w:jc w:val="both"/>
              <w:textAlignment w:val="baseline"/>
              <w:rPr>
                <w:rFonts w:ascii="Verdana" w:hAnsi="Verdana"/>
                <w:lang w:val="es-ES"/>
              </w:rPr>
            </w:pPr>
            <w:r w:rsidRPr="00CE71EA">
              <w:rPr>
                <w:rFonts w:ascii="Verdana" w:hAnsi="Verdana"/>
                <w:lang w:val="es-ES"/>
              </w:rPr>
              <w:t xml:space="preserve">Por consiguiente, la modalidad de selección no determina por sí sola la procedencia de la verificación. Lo determinante es la naturaleza del vínculo y, particularmente, las actividades que desarrollará la persona que será contratada. </w:t>
            </w:r>
            <w:r w:rsidRPr="00415AD8">
              <w:rPr>
                <w:rFonts w:ascii="Verdana" w:hAnsi="Verdana"/>
                <w:lang w:val="es-ES"/>
              </w:rPr>
              <w:t xml:space="preserve">Esta agencia ha sido reiterativa en señalar </w:t>
            </w:r>
            <w:r w:rsidRPr="00CE71EA">
              <w:rPr>
                <w:rFonts w:ascii="Verdana" w:hAnsi="Verdana"/>
                <w:lang w:val="es-ES"/>
              </w:rPr>
              <w:t>que, independientemente de la modalidad de selección, la entidad debe revisar si el objeto contractual implica una interacción frecuente y personal con menores de edad y, cuando ello ocurra, exigir la verificación correspondiente</w:t>
            </w:r>
            <w:r w:rsidRPr="00415AD8">
              <w:rPr>
                <w:rFonts w:ascii="Verdana" w:hAnsi="Verdana"/>
                <w:lang w:val="es-ES"/>
              </w:rPr>
              <w:t>.</w:t>
            </w:r>
          </w:p>
          <w:p w14:paraId="0970B924" w14:textId="77777777" w:rsidR="00E42995" w:rsidRPr="00CE71EA" w:rsidRDefault="00E42995">
            <w:pPr>
              <w:spacing w:before="120" w:line="276" w:lineRule="auto"/>
              <w:ind w:right="74" w:firstLine="709"/>
              <w:jc w:val="both"/>
              <w:textAlignment w:val="baseline"/>
              <w:rPr>
                <w:rFonts w:ascii="Verdana" w:hAnsi="Verdana"/>
                <w:lang w:val="es-ES"/>
              </w:rPr>
            </w:pPr>
            <w:r w:rsidRPr="00415AD8">
              <w:rPr>
                <w:rFonts w:ascii="Verdana" w:hAnsi="Verdana"/>
                <w:lang w:val="es-ES"/>
              </w:rPr>
              <w:t>Debe precisarse, que l</w:t>
            </w:r>
            <w:r w:rsidRPr="00415AD8">
              <w:rPr>
                <w:rFonts w:ascii="Verdana" w:hAnsi="Verdana"/>
              </w:rPr>
              <w:t>a verificación debe realizarse respetando las reglas sobre protección de datos personales, dado que la información correspondiente al registro tiene carácter reservado y su utilización está sometida a las disposiciones de la Ley 1581 de 2012.</w:t>
            </w:r>
          </w:p>
          <w:p w14:paraId="447B447D" w14:textId="77777777" w:rsidR="00E42995" w:rsidRPr="00415AD8" w:rsidRDefault="00E42995">
            <w:pPr>
              <w:spacing w:line="276" w:lineRule="auto"/>
              <w:ind w:right="74"/>
              <w:jc w:val="both"/>
              <w:textAlignment w:val="baseline"/>
              <w:rPr>
                <w:rFonts w:ascii="Verdana" w:hAnsi="Verdana"/>
              </w:rPr>
            </w:pPr>
          </w:p>
        </w:tc>
      </w:tr>
    </w:tbl>
    <w:p w14:paraId="26903A99" w14:textId="77777777" w:rsidR="00E42995" w:rsidRPr="0010023F" w:rsidRDefault="00E42995" w:rsidP="00E42995">
      <w:pPr>
        <w:tabs>
          <w:tab w:val="left" w:pos="142"/>
          <w:tab w:val="left" w:pos="284"/>
        </w:tabs>
        <w:spacing w:after="0" w:line="276" w:lineRule="auto"/>
        <w:ind w:left="142" w:hanging="142"/>
        <w:jc w:val="both"/>
        <w:rPr>
          <w:rFonts w:ascii="Verdana" w:eastAsia="Century Gothic" w:hAnsi="Verdana" w:cs="Century Gothic"/>
          <w:b/>
          <w:bCs/>
          <w:lang w:val="es-ES"/>
        </w:rPr>
      </w:pPr>
    </w:p>
    <w:p w14:paraId="0624C6D8" w14:textId="77777777" w:rsidR="00E42995" w:rsidRPr="0010023F" w:rsidRDefault="00E42995" w:rsidP="00E42995">
      <w:pPr>
        <w:numPr>
          <w:ilvl w:val="0"/>
          <w:numId w:val="16"/>
        </w:numPr>
        <w:tabs>
          <w:tab w:val="left" w:pos="142"/>
          <w:tab w:val="left" w:pos="284"/>
        </w:tabs>
        <w:spacing w:after="0" w:line="276" w:lineRule="auto"/>
        <w:contextualSpacing/>
        <w:jc w:val="both"/>
        <w:rPr>
          <w:rFonts w:ascii="Verdana" w:eastAsia="Calibri" w:hAnsi="Verdana" w:cs="Arial"/>
          <w:lang w:val="es-ES" w:eastAsia="es-MX"/>
        </w:rPr>
      </w:pPr>
      <w:r w:rsidRPr="0010023F">
        <w:rPr>
          <w:rFonts w:ascii="Verdana" w:eastAsia="Century Gothic" w:hAnsi="Verdana" w:cs="Century Gothic"/>
          <w:b/>
          <w:bCs/>
          <w:lang w:val="es-ES"/>
        </w:rPr>
        <w:t>Razones de la respuesta:</w:t>
      </w:r>
    </w:p>
    <w:p w14:paraId="4BECF5FB" w14:textId="77777777" w:rsidR="00E42995" w:rsidRPr="0010023F" w:rsidRDefault="00E42995" w:rsidP="00E42995">
      <w:pPr>
        <w:tabs>
          <w:tab w:val="left" w:pos="142"/>
          <w:tab w:val="left" w:pos="284"/>
        </w:tabs>
        <w:spacing w:after="0" w:line="276" w:lineRule="auto"/>
        <w:contextualSpacing/>
        <w:jc w:val="both"/>
        <w:rPr>
          <w:rFonts w:ascii="Verdana" w:eastAsia="Century Gothic" w:hAnsi="Verdana" w:cs="Century Gothic"/>
          <w:b/>
          <w:bCs/>
          <w:lang w:val="es-ES"/>
        </w:rPr>
      </w:pPr>
    </w:p>
    <w:p w14:paraId="5CA569C9" w14:textId="77777777" w:rsidR="00E42995" w:rsidRPr="0010023F" w:rsidRDefault="00E42995" w:rsidP="00E42995">
      <w:pPr>
        <w:tabs>
          <w:tab w:val="left" w:pos="142"/>
          <w:tab w:val="left" w:pos="284"/>
        </w:tabs>
        <w:spacing w:after="0" w:line="276" w:lineRule="auto"/>
        <w:contextualSpacing/>
        <w:jc w:val="both"/>
        <w:rPr>
          <w:rFonts w:ascii="Verdana" w:eastAsia="Calibri" w:hAnsi="Verdana" w:cs="Arial"/>
          <w:lang w:val="es-ES" w:eastAsia="es-MX"/>
        </w:rPr>
      </w:pPr>
      <w:r w:rsidRPr="0010023F">
        <w:rPr>
          <w:rFonts w:ascii="Verdana" w:eastAsia="Calibri" w:hAnsi="Verdana" w:cs="Arial"/>
          <w:lang w:val="es-ES" w:eastAsia="es-MX"/>
        </w:rPr>
        <w:t xml:space="preserve">Lo anterior se sustenta en las siguientes consideraciones: </w:t>
      </w:r>
    </w:p>
    <w:p w14:paraId="50D8286C" w14:textId="77777777" w:rsidR="00E42995" w:rsidRPr="0010023F" w:rsidRDefault="00E42995" w:rsidP="00E42995">
      <w:pPr>
        <w:spacing w:after="0" w:line="276" w:lineRule="auto"/>
        <w:jc w:val="both"/>
        <w:rPr>
          <w:rFonts w:ascii="Verdana" w:eastAsia="Calibri" w:hAnsi="Verdana" w:cs="Arial"/>
          <w:lang w:val="es-ES" w:eastAsia="es-MX"/>
        </w:rPr>
      </w:pPr>
    </w:p>
    <w:p w14:paraId="0F93A05D" w14:textId="77777777" w:rsidR="00E42995" w:rsidRPr="00E15FD8" w:rsidRDefault="00E42995" w:rsidP="00E42995">
      <w:pPr>
        <w:spacing w:after="120"/>
        <w:jc w:val="both"/>
        <w:rPr>
          <w:rFonts w:ascii="Verdana" w:eastAsia="Aptos" w:hAnsi="Verdana" w:cs="ArialMT"/>
        </w:rPr>
      </w:pPr>
      <w:r w:rsidRPr="0010023F">
        <w:rPr>
          <w:rFonts w:ascii="Verdana" w:eastAsia="Aptos" w:hAnsi="Verdana" w:cs="Arial"/>
          <w:lang w:eastAsia="es-MX"/>
        </w:rPr>
        <w:lastRenderedPageBreak/>
        <w:t xml:space="preserve">I). </w:t>
      </w:r>
      <w:r w:rsidRPr="00E15FD8">
        <w:rPr>
          <w:rFonts w:ascii="Verdana" w:eastAsia="Aptos" w:hAnsi="Verdana" w:cs="Arial"/>
        </w:rPr>
        <w:t xml:space="preserve">Los documentos tipo expedidos por la Agencia Nacional de Contratación Pública </w:t>
      </w:r>
      <w:r w:rsidRPr="00E15FD8">
        <w:rPr>
          <w:rFonts w:ascii="Verdana" w:eastAsia="Aptos" w:hAnsi="Verdana" w:cs="ArialMT"/>
        </w:rPr>
        <w:t xml:space="preserve">– Colombia Compra Eficiente </w:t>
      </w:r>
      <w:r w:rsidRPr="00E15FD8">
        <w:rPr>
          <w:rFonts w:ascii="Verdana" w:eastAsia="Aptos" w:hAnsi="Verdana" w:cs="Arial"/>
        </w:rPr>
        <w:t>en ejercicio de la potestad otorgada</w:t>
      </w:r>
      <w:r w:rsidRPr="00E15FD8">
        <w:rPr>
          <w:rFonts w:ascii="Verdana" w:eastAsia="Aptos" w:hAnsi="Verdana" w:cs="ArialMT"/>
        </w:rPr>
        <w:t xml:space="preserve"> por la Ley 2022 de 2020 son de obligatoria observancia por parte de las Entidades Estatales sometidas al Estatuto General de Contratación de la Administración Pública –EGCAP–. Debido a esto, tales entidades deben aplicar de manera forzosa los documentos tipo para desarrollar los Procesos de Contratación en los objetos y modalidades cobijadas por los documentos tipo. Así mismo, los sujetos obligados a su aplicación, no podrán variar los requisitos que en ellos sean fijados, ni establecer reglas o requisitos adicionales a los establecidos en estos para la presentación de las ofertas y la acreditación de los requisitos habilitantes.</w:t>
      </w:r>
    </w:p>
    <w:p w14:paraId="2D7BBD31" w14:textId="77777777" w:rsidR="00E42995" w:rsidRPr="00E15FD8" w:rsidRDefault="00E42995" w:rsidP="00E42995">
      <w:pPr>
        <w:spacing w:after="120"/>
        <w:ind w:firstLine="708"/>
        <w:jc w:val="both"/>
        <w:rPr>
          <w:rFonts w:ascii="Verdana" w:eastAsia="Aptos" w:hAnsi="Verdana" w:cs="ArialMT"/>
        </w:rPr>
      </w:pPr>
      <w:r w:rsidRPr="00E15FD8">
        <w:rPr>
          <w:rFonts w:ascii="Verdana" w:eastAsia="Aptos" w:hAnsi="Verdana" w:cs="ArialMT"/>
        </w:rPr>
        <w:t>La Agencia Nacional de Contratación Pública – Colombia Compra Eficiente expidió documentos tipo para los sectores de infraestructura de transporte, agua potable y saneamiento básico y social. Asimismo, esta Agencia expidió los documentos tipo de gestión catastral con enfoque multipropósito y para la contratación directa de convenios solidarios para la ejecución de obras hasta la menor cuantía con organismos de acción comunal</w:t>
      </w:r>
      <w:r w:rsidRPr="00E15FD8">
        <w:rPr>
          <w:rFonts w:ascii="Calibri" w:eastAsia="Calibri" w:hAnsi="Calibri" w:cs="Times New Roman"/>
          <w:vertAlign w:val="superscript"/>
        </w:rPr>
        <w:footnoteReference w:id="2"/>
      </w:r>
      <w:r w:rsidRPr="00E15FD8">
        <w:rPr>
          <w:rFonts w:ascii="Verdana" w:eastAsia="Aptos" w:hAnsi="Verdana" w:cs="ArialMT"/>
        </w:rPr>
        <w:t xml:space="preserve">. </w:t>
      </w:r>
    </w:p>
    <w:p w14:paraId="7F15DD7C" w14:textId="77777777" w:rsidR="00E42995" w:rsidRPr="00E15FD8" w:rsidRDefault="00E42995" w:rsidP="00E42995">
      <w:pPr>
        <w:spacing w:after="120"/>
        <w:ind w:firstLine="708"/>
        <w:jc w:val="both"/>
        <w:rPr>
          <w:rFonts w:ascii="Verdana" w:eastAsia="Aptos" w:hAnsi="Verdana" w:cs="ArialMT"/>
        </w:rPr>
      </w:pPr>
      <w:r w:rsidRPr="00E15FD8">
        <w:rPr>
          <w:rFonts w:ascii="Verdana" w:eastAsia="Aptos" w:hAnsi="Verdana" w:cs="ArialMT"/>
        </w:rPr>
        <w:t>En el sector de infraestructura de transporte, la Agencia Nacional de Contratación Pública – Colombia Compra Eficiente expidió documentos tipo para contratar obras públicas de infraestructura de transporte bajo las modalidades de selección de licitación pública, selección abreviada de menor cuantía y mínima cuantía. Así mismo, esta Agencia expidió documentos tipo de concurso de méritos para contratar la interventoría y la consultoría de estudios de ingeniería de infraestructura de transporte</w:t>
      </w:r>
      <w:r w:rsidRPr="00E15FD8">
        <w:rPr>
          <w:rFonts w:ascii="Calibri" w:eastAsia="Calibri" w:hAnsi="Calibri" w:cs="Times New Roman"/>
          <w:vertAlign w:val="superscript"/>
        </w:rPr>
        <w:footnoteReference w:id="3"/>
      </w:r>
      <w:r w:rsidRPr="00E15FD8">
        <w:rPr>
          <w:rFonts w:ascii="Verdana" w:eastAsia="Aptos" w:hAnsi="Verdana" w:cs="ArialMT"/>
        </w:rPr>
        <w:t xml:space="preserve">. </w:t>
      </w:r>
    </w:p>
    <w:p w14:paraId="04DED257" w14:textId="77777777" w:rsidR="00E42995" w:rsidRPr="00E15FD8" w:rsidRDefault="00E42995" w:rsidP="00E42995">
      <w:pPr>
        <w:spacing w:after="120"/>
        <w:ind w:firstLine="708"/>
        <w:jc w:val="both"/>
        <w:rPr>
          <w:rFonts w:ascii="Verdana" w:eastAsia="Aptos" w:hAnsi="Verdana" w:cs="ArialMT"/>
        </w:rPr>
      </w:pPr>
      <w:r w:rsidRPr="00E15FD8">
        <w:rPr>
          <w:rFonts w:ascii="Verdana" w:eastAsia="Aptos" w:hAnsi="Verdana" w:cs="ArialMT"/>
        </w:rPr>
        <w:lastRenderedPageBreak/>
        <w:t xml:space="preserve">La Ley 2022 de 2020 indicó que la Agencia Nacional de Contratación Pública – Colombia Compra Eficiente, debe revisar constantemente el contenido de los documentos tipo que expida. En desarrollo de este deber, esta Agencia estableció un procedimiento para recibir y revisar los comentarios a los documentos tipo de infraestructura de transporte, realizados por todos los partícipes del sistema de la compra pública en el primero y parte del segundo semestre del año 2024. Como consecuencia de ello, se expidieron los diferentes actos administrativos por medio de los cuales se adoptaron y/o modificaron los documentos tipo de este sector, y en simultaneo se publicaron las respuestas a todas las observaciones y/o comentarios realizados a los proyectos de documentos tipo. </w:t>
      </w:r>
    </w:p>
    <w:p w14:paraId="7338037B" w14:textId="77777777" w:rsidR="00E42995" w:rsidRPr="00E15FD8" w:rsidRDefault="00E42995" w:rsidP="00E42995">
      <w:pPr>
        <w:spacing w:after="120"/>
        <w:ind w:firstLine="708"/>
        <w:jc w:val="both"/>
        <w:rPr>
          <w:rFonts w:ascii="Verdana" w:eastAsia="Aptos" w:hAnsi="Verdana" w:cs="ArialMT"/>
        </w:rPr>
      </w:pPr>
      <w:r w:rsidRPr="00E15FD8">
        <w:rPr>
          <w:rFonts w:ascii="Verdana" w:eastAsia="Aptos" w:hAnsi="Verdana" w:cs="ArialMT"/>
        </w:rPr>
        <w:t xml:space="preserve">Así, los documentos tipo del sector de infraestructura de transporte fueron modificados después de surtir el procedimiento interno establecido por esta Agencia. En la actualización de estos documentos tipo, participaron entidades técnicas y especializadas del sector transporte, tales como el Instituto Nacional de Vías – INVIAS, el Instituto de Desarrollo Urbano – IDU, el Instituto de Infraestructura y Concesiones de Cundinamarca – ICCU, entre otras. </w:t>
      </w:r>
    </w:p>
    <w:p w14:paraId="46EA8882" w14:textId="77777777" w:rsidR="00E42995" w:rsidRDefault="00E42995" w:rsidP="00E42995">
      <w:pPr>
        <w:spacing w:before="120" w:after="120" w:line="276" w:lineRule="auto"/>
        <w:ind w:firstLine="709"/>
        <w:jc w:val="both"/>
        <w:rPr>
          <w:rFonts w:ascii="Verdana" w:eastAsia="Calibri" w:hAnsi="Verdana" w:cs="Arial"/>
          <w:kern w:val="2"/>
          <w14:ligatures w14:val="standardContextual"/>
        </w:rPr>
      </w:pPr>
      <w:r w:rsidRPr="00E15FD8">
        <w:rPr>
          <w:rFonts w:ascii="Verdana" w:eastAsia="Aptos" w:hAnsi="Verdana" w:cs="Arial"/>
          <w:lang w:val="es-ES"/>
        </w:rPr>
        <w:t xml:space="preserve">En relación con los documentos tipo de licitación de obra pública de infraestructura de transporte, mediante la Resolución 465 del 10 de septiembre de 2024, se adoptó la </w:t>
      </w:r>
      <w:r w:rsidRPr="00E15FD8">
        <w:rPr>
          <w:rFonts w:ascii="Verdana" w:eastAsia="Calibri" w:hAnsi="Verdana" w:cs="Arial"/>
          <w:kern w:val="2"/>
          <w14:ligatures w14:val="standardContextual"/>
        </w:rPr>
        <w:t xml:space="preserve">versión 4 de estos documentos y se derogó la Resolución 240 de 2020. </w:t>
      </w:r>
    </w:p>
    <w:p w14:paraId="2E83C29D" w14:textId="77777777" w:rsidR="00E42995" w:rsidRPr="00995973" w:rsidRDefault="00E42995" w:rsidP="00E42995">
      <w:pPr>
        <w:spacing w:before="120" w:after="120" w:line="276" w:lineRule="auto"/>
        <w:ind w:firstLine="709"/>
        <w:jc w:val="both"/>
        <w:rPr>
          <w:rFonts w:ascii="Verdana" w:eastAsia="Calibri" w:hAnsi="Verdana" w:cs="Arial"/>
          <w:kern w:val="2"/>
          <w:lang w:val="es-ES"/>
          <w14:ligatures w14:val="standardContextual"/>
        </w:rPr>
      </w:pPr>
      <w:r>
        <w:rPr>
          <w:rFonts w:ascii="Verdana" w:eastAsia="Calibri" w:hAnsi="Verdana" w:cs="Arial"/>
          <w:kern w:val="2"/>
          <w:lang w:val="es-ES"/>
          <w14:ligatures w14:val="standardContextual"/>
        </w:rPr>
        <w:t>L</w:t>
      </w:r>
      <w:r w:rsidRPr="00995973">
        <w:rPr>
          <w:rFonts w:ascii="Verdana" w:eastAsia="Calibri" w:hAnsi="Verdana" w:cs="Arial"/>
          <w:kern w:val="2"/>
          <w:lang w:val="es-ES"/>
          <w14:ligatures w14:val="standardContextual"/>
        </w:rPr>
        <w:t xml:space="preserve">a Resolución 456 de 2024, mediante la cual se adoptó la versión 4 de los Documentos Tipo para los procesos de selección de licitación de obra pública de infraestructura de transporte, establece en su artículo 2 que hacen parte integral de estos instrumentos el Documento Base del Pliego Tipo, sus anexos, formatos, </w:t>
      </w:r>
      <w:r w:rsidRPr="00995973">
        <w:rPr>
          <w:rFonts w:ascii="Verdana" w:eastAsia="Calibri" w:hAnsi="Verdana" w:cs="Arial"/>
          <w:kern w:val="2"/>
          <w:lang w:val="es-ES"/>
          <w14:ligatures w14:val="standardContextual"/>
        </w:rPr>
        <w:lastRenderedPageBreak/>
        <w:t>matrices y formularios. En consecuencia, las reglas de evaluación y ponderación contenidas en el Documento Base hacen parte de los parámetros obligatorios que deben observar las entidades estatales sometidas a su aplicación.</w:t>
      </w:r>
    </w:p>
    <w:p w14:paraId="0FCDBD48" w14:textId="77777777" w:rsidR="00E42995" w:rsidRDefault="00E42995" w:rsidP="00E42995">
      <w:pPr>
        <w:spacing w:before="120" w:after="120" w:line="276" w:lineRule="auto"/>
        <w:ind w:firstLine="709"/>
        <w:jc w:val="both"/>
        <w:rPr>
          <w:rFonts w:ascii="Verdana" w:eastAsia="Calibri" w:hAnsi="Verdana" w:cs="Arial"/>
          <w:kern w:val="2"/>
          <w14:ligatures w14:val="standardContextual"/>
        </w:rPr>
      </w:pPr>
      <w:r w:rsidRPr="0067781F">
        <w:rPr>
          <w:rFonts w:ascii="Verdana" w:eastAsia="Calibri" w:hAnsi="Verdana" w:cs="Arial"/>
          <w:kern w:val="2"/>
          <w14:ligatures w14:val="standardContextual"/>
        </w:rPr>
        <w:t>A su vez, el artículo 3 de la misma resolución dispone que</w:t>
      </w:r>
      <w:r>
        <w:rPr>
          <w:rFonts w:ascii="Verdana" w:eastAsia="Calibri" w:hAnsi="Verdana" w:cs="Arial"/>
          <w:kern w:val="2"/>
          <w14:ligatures w14:val="standardContextual"/>
        </w:rPr>
        <w:t>:</w:t>
      </w:r>
    </w:p>
    <w:p w14:paraId="62E32821" w14:textId="77777777" w:rsidR="00E42995" w:rsidRPr="0039594B" w:rsidRDefault="00E42995" w:rsidP="00E42995">
      <w:pPr>
        <w:spacing w:before="120" w:after="120" w:line="276" w:lineRule="auto"/>
        <w:ind w:left="709" w:right="709"/>
        <w:jc w:val="both"/>
        <w:rPr>
          <w:rFonts w:ascii="Verdana" w:eastAsia="Calibri" w:hAnsi="Verdana" w:cs="Arial"/>
          <w:kern w:val="2"/>
          <w:sz w:val="21"/>
          <w:szCs w:val="21"/>
          <w14:ligatures w14:val="standardContextual"/>
        </w:rPr>
      </w:pPr>
      <w:r w:rsidRPr="0039594B">
        <w:rPr>
          <w:rFonts w:ascii="Verdana" w:eastAsia="Calibri" w:hAnsi="Verdana" w:cs="Arial"/>
          <w:kern w:val="2"/>
          <w:sz w:val="21"/>
          <w:szCs w:val="21"/>
          <w14:ligatures w14:val="standardContextual"/>
        </w:rPr>
        <w:t>“</w:t>
      </w:r>
      <w:r w:rsidRPr="0039594B">
        <w:rPr>
          <w:rFonts w:ascii="Verdana" w:eastAsia="Calibri" w:hAnsi="Verdana" w:cs="Arial"/>
          <w:b/>
          <w:bCs/>
          <w:kern w:val="2"/>
          <w:sz w:val="21"/>
          <w:szCs w:val="21"/>
          <w14:ligatures w14:val="standardContextual"/>
        </w:rPr>
        <w:t>Artículo 3. Inalterabilidad de los documentos tipo.</w:t>
      </w:r>
      <w:r w:rsidRPr="0039594B">
        <w:rPr>
          <w:rFonts w:ascii="Verdana" w:eastAsia="Calibri" w:hAnsi="Verdana" w:cs="Arial"/>
          <w:kern w:val="2"/>
          <w:sz w:val="21"/>
          <w:szCs w:val="21"/>
          <w14:ligatures w14:val="standardContextual"/>
        </w:rPr>
        <w:t xml:space="preserve"> De conformidad con el artículo 1 de la Ley 2022 de 2020, los documentos tipo son obligatorios en la actividad contractual de las entidades estatales sometidas al Estatuto General de Contratación de la Administración Pública, patrimonios autónomos o personas naturales o jurídicas de derecho público o privado que por mandamiento legal estén obligadas a su aplicación. </w:t>
      </w:r>
      <w:r w:rsidRPr="0039594B">
        <w:rPr>
          <w:rFonts w:ascii="Verdana" w:eastAsia="Calibri" w:hAnsi="Verdana" w:cs="Arial"/>
          <w:b/>
          <w:bCs/>
          <w:kern w:val="2"/>
          <w:sz w:val="21"/>
          <w:szCs w:val="21"/>
          <w:u w:val="single"/>
          <w14:ligatures w14:val="standardContextual"/>
        </w:rPr>
        <w:t>En consecuencia, los obligados a su aplicación, al adelantar sus procedimientos de selección, solo podrán modificarlos en los aspectos en que los documentos tipo lo permitan</w:t>
      </w:r>
      <w:r>
        <w:rPr>
          <w:rFonts w:ascii="Verdana" w:eastAsia="Calibri" w:hAnsi="Verdana" w:cs="Arial"/>
          <w:kern w:val="2"/>
          <w:sz w:val="21"/>
          <w:szCs w:val="21"/>
          <w14:ligatures w14:val="standardContextual"/>
        </w:rPr>
        <w:t>”. ( Negrilla y subrayado fuera del texto).</w:t>
      </w:r>
    </w:p>
    <w:p w14:paraId="3F8763F0" w14:textId="77777777" w:rsidR="00E42995" w:rsidRPr="0097520A" w:rsidRDefault="00E42995" w:rsidP="00E42995">
      <w:pPr>
        <w:widowControl w:val="0"/>
        <w:autoSpaceDE w:val="0"/>
        <w:autoSpaceDN w:val="0"/>
        <w:spacing w:after="120" w:line="276" w:lineRule="auto"/>
        <w:ind w:firstLine="708"/>
        <w:jc w:val="both"/>
        <w:rPr>
          <w:rFonts w:ascii="Verdana" w:eastAsia="Calibri" w:hAnsi="Verdana" w:cs="Arial"/>
          <w:color w:val="000000" w:themeColor="text1"/>
          <w:kern w:val="2"/>
          <w:lang w:val="es-ES"/>
          <w14:ligatures w14:val="standardContextual"/>
        </w:rPr>
      </w:pPr>
      <w:r w:rsidRPr="0097520A">
        <w:rPr>
          <w:rFonts w:ascii="Verdana" w:eastAsia="Calibri" w:hAnsi="Verdana" w:cs="Arial"/>
          <w:color w:val="000000" w:themeColor="text1"/>
          <w:kern w:val="2"/>
          <w:lang w:val="es-ES"/>
          <w14:ligatures w14:val="standardContextual"/>
        </w:rPr>
        <w:t xml:space="preserve">En consecuencia, la posibilidad de modificación por parte de las entidades estatales no constituye una facultad discrecional, sino que se encuentra circunscrita a aquellos aspectos respecto de los cuales los propios Documentos Tipo hayan previsto expresamente un margen de configuración. Estos corresponden, de acuerdo con las instrucciones contenidas en los respectivos documentos, a los apartes identificados entre corchetes y resaltados en gris </w:t>
      </w:r>
      <w:r w:rsidRPr="0097520A">
        <w:rPr>
          <w:rFonts w:ascii="Verdana" w:eastAsia="Calibri" w:hAnsi="Verdana" w:cs="Arial"/>
          <w:color w:val="000000" w:themeColor="text1"/>
          <w:kern w:val="2"/>
          <w:highlight w:val="lightGray"/>
          <w:lang w:val="es-ES"/>
          <w14:ligatures w14:val="standardContextual"/>
        </w:rPr>
        <w:t>–[texto]–</w:t>
      </w:r>
      <w:r w:rsidRPr="0097520A">
        <w:rPr>
          <w:rFonts w:ascii="Verdana" w:eastAsia="Calibri" w:hAnsi="Verdana" w:cs="Arial"/>
          <w:color w:val="000000" w:themeColor="text1"/>
          <w:kern w:val="2"/>
          <w:lang w:val="es-ES"/>
          <w14:ligatures w14:val="standardContextual"/>
        </w:rPr>
        <w:t>, los cuales deberán ser diligenciados por la entidad conforme a las reglas establecidas para tal efecto.</w:t>
      </w:r>
    </w:p>
    <w:p w14:paraId="4811C1E2" w14:textId="77777777" w:rsidR="00E42995" w:rsidRDefault="00E42995" w:rsidP="00E42995">
      <w:pPr>
        <w:widowControl w:val="0"/>
        <w:autoSpaceDE w:val="0"/>
        <w:autoSpaceDN w:val="0"/>
        <w:spacing w:after="120" w:line="276" w:lineRule="auto"/>
        <w:ind w:firstLine="708"/>
        <w:jc w:val="both"/>
        <w:rPr>
          <w:rFonts w:ascii="Verdana" w:eastAsia="Calibri" w:hAnsi="Verdana" w:cs="Arial"/>
          <w:color w:val="000000" w:themeColor="text1"/>
          <w:kern w:val="2"/>
          <w:lang w:val="es-ES"/>
          <w14:ligatures w14:val="standardContextual"/>
        </w:rPr>
      </w:pPr>
      <w:r w:rsidRPr="0097520A">
        <w:rPr>
          <w:rFonts w:ascii="Verdana" w:eastAsia="Calibri" w:hAnsi="Verdana" w:cs="Arial"/>
          <w:color w:val="000000" w:themeColor="text1"/>
          <w:kern w:val="2"/>
          <w:lang w:val="es-ES"/>
          <w14:ligatures w14:val="standardContextual"/>
        </w:rPr>
        <w:t>Por lo tanto, en aquellos apartes en los que los Documentos Tipo no contemplen expresamente una posibilidad de modificación, la entidad deberá incorporar su contenido al proceso de contratación sin alteración alguna. Esta regla resulta particularmente relevante frente a los factores y puntajes de evaluación, pues la entidad no puede, por su propia iniciativa, modificar su distribución, adicionar factores, suprimirlos o redistribuir los puntajes asignados, salvo que el Documento Tipo aplicable le otorgue expresamente dicha posibilidad.</w:t>
      </w:r>
    </w:p>
    <w:p w14:paraId="6C47D0D1" w14:textId="77777777" w:rsidR="00E42995" w:rsidRDefault="00E42995" w:rsidP="00E42995">
      <w:pPr>
        <w:widowControl w:val="0"/>
        <w:autoSpaceDE w:val="0"/>
        <w:autoSpaceDN w:val="0"/>
        <w:spacing w:after="120" w:line="276" w:lineRule="auto"/>
        <w:ind w:firstLine="708"/>
        <w:jc w:val="both"/>
        <w:rPr>
          <w:rFonts w:ascii="Verdana" w:eastAsia="Calibri" w:hAnsi="Verdana" w:cs="Arial"/>
          <w:color w:val="000000" w:themeColor="text1"/>
          <w:kern w:val="2"/>
          <w14:ligatures w14:val="standardContextual"/>
        </w:rPr>
      </w:pPr>
      <w:r w:rsidRPr="00AD4727">
        <w:rPr>
          <w:rFonts w:ascii="Verdana" w:eastAsia="Calibri" w:hAnsi="Verdana" w:cs="Arial"/>
          <w:color w:val="000000" w:themeColor="text1"/>
          <w:kern w:val="2"/>
          <w14:ligatures w14:val="standardContextual"/>
        </w:rPr>
        <w:t xml:space="preserve">En </w:t>
      </w:r>
      <w:r>
        <w:rPr>
          <w:rFonts w:ascii="Verdana" w:eastAsia="Calibri" w:hAnsi="Verdana" w:cs="Arial"/>
          <w:color w:val="000000" w:themeColor="text1"/>
          <w:kern w:val="2"/>
          <w14:ligatures w14:val="standardContextual"/>
        </w:rPr>
        <w:t>relación con la asignación de puntajes</w:t>
      </w:r>
      <w:r w:rsidRPr="00AD4727">
        <w:rPr>
          <w:rFonts w:ascii="Verdana" w:eastAsia="Calibri" w:hAnsi="Verdana" w:cs="Arial"/>
          <w:color w:val="000000" w:themeColor="text1"/>
          <w:kern w:val="2"/>
          <w14:ligatures w14:val="standardContextual"/>
        </w:rPr>
        <w:t>, el Documento Base de los Documentos Tipo para los procesos de licitación de obra pública de infraestructura de transporte establece, en el Capítulo I –“Criterios de evaluación, asignación de puntaje y criterios de desempate</w:t>
      </w:r>
      <w:r>
        <w:rPr>
          <w:rFonts w:ascii="Verdana" w:eastAsia="Calibri" w:hAnsi="Verdana" w:cs="Arial"/>
          <w:color w:val="000000" w:themeColor="text1"/>
          <w:kern w:val="2"/>
          <w14:ligatures w14:val="standardContextual"/>
        </w:rPr>
        <w:t>:</w:t>
      </w:r>
    </w:p>
    <w:p w14:paraId="1A22DA57" w14:textId="77777777" w:rsidR="00E42995" w:rsidRPr="001E3D1D" w:rsidRDefault="00E42995" w:rsidP="00E42995">
      <w:pPr>
        <w:widowControl w:val="0"/>
        <w:autoSpaceDE w:val="0"/>
        <w:autoSpaceDN w:val="0"/>
        <w:spacing w:after="120" w:line="276" w:lineRule="auto"/>
        <w:jc w:val="both"/>
        <w:rPr>
          <w:rFonts w:ascii="Verdana" w:eastAsia="Calibri" w:hAnsi="Verdana" w:cs="Arial"/>
          <w:color w:val="000000" w:themeColor="text1"/>
          <w:kern w:val="2"/>
          <w:lang w:val="es-MX"/>
          <w14:ligatures w14:val="standardContextual"/>
        </w:rPr>
      </w:pPr>
    </w:p>
    <w:p w14:paraId="461EEB2F" w14:textId="77777777" w:rsidR="00E42995" w:rsidRPr="008215F7" w:rsidRDefault="00E42995" w:rsidP="00E42995">
      <w:pPr>
        <w:widowControl w:val="0"/>
        <w:autoSpaceDE w:val="0"/>
        <w:autoSpaceDN w:val="0"/>
        <w:spacing w:after="120" w:line="276" w:lineRule="auto"/>
        <w:ind w:left="709" w:right="709"/>
        <w:jc w:val="both"/>
        <w:rPr>
          <w:rFonts w:ascii="Verdana" w:eastAsia="Calibri" w:hAnsi="Verdana" w:cs="Arial"/>
          <w:b/>
          <w:bCs/>
          <w:color w:val="000000" w:themeColor="text1"/>
          <w:kern w:val="2"/>
          <w:sz w:val="21"/>
          <w:szCs w:val="21"/>
          <w14:ligatures w14:val="standardContextual"/>
        </w:rPr>
      </w:pPr>
      <w:r w:rsidRPr="008215F7">
        <w:rPr>
          <w:rFonts w:ascii="Verdana" w:eastAsia="Calibri" w:hAnsi="Verdana" w:cs="Arial"/>
          <w:b/>
          <w:bCs/>
          <w:color w:val="000000" w:themeColor="text1"/>
          <w:kern w:val="2"/>
          <w:sz w:val="21"/>
          <w:szCs w:val="21"/>
          <w14:ligatures w14:val="standardContextual"/>
        </w:rPr>
        <w:t>“ CAPÍTULO IV CRITERIOS DE EVALUACIÓN, ASIGNACIÓN DE PUNTAJE Y CRITERIOS DE DESEMPATE</w:t>
      </w:r>
    </w:p>
    <w:p w14:paraId="2B315107" w14:textId="77777777" w:rsidR="00E42995" w:rsidRPr="00BE2460" w:rsidRDefault="00E42995" w:rsidP="00E42995">
      <w:pPr>
        <w:widowControl w:val="0"/>
        <w:autoSpaceDE w:val="0"/>
        <w:autoSpaceDN w:val="0"/>
        <w:spacing w:after="120" w:line="276" w:lineRule="auto"/>
        <w:ind w:left="709" w:right="709"/>
        <w:jc w:val="both"/>
        <w:rPr>
          <w:rFonts w:ascii="Verdana" w:eastAsia="Calibri" w:hAnsi="Verdana" w:cs="Arial"/>
          <w:color w:val="000000" w:themeColor="text1"/>
          <w:kern w:val="2"/>
          <w:sz w:val="21"/>
          <w:szCs w:val="21"/>
          <w14:ligatures w14:val="standardContextual"/>
        </w:rPr>
      </w:pPr>
      <w:r w:rsidRPr="00BE2460">
        <w:rPr>
          <w:rFonts w:ascii="Verdana" w:eastAsia="Calibri" w:hAnsi="Verdana" w:cs="Arial"/>
          <w:color w:val="000000" w:themeColor="text1"/>
          <w:kern w:val="2"/>
          <w:sz w:val="21"/>
          <w:szCs w:val="21"/>
          <w14:ligatures w14:val="standardContextual"/>
        </w:rPr>
        <w:t>La Entidad calificará las ofertas que hayan cumplido con los requisitos habilitantes con los siguientes puntajes:</w:t>
      </w:r>
    </w:p>
    <w:tbl>
      <w:tblPr>
        <w:tblStyle w:val="Tablaconcuadrcula1"/>
        <w:tblW w:w="0" w:type="auto"/>
        <w:jc w:val="center"/>
        <w:tblLook w:val="04A0" w:firstRow="1" w:lastRow="0" w:firstColumn="1" w:lastColumn="0" w:noHBand="0" w:noVBand="1"/>
      </w:tblPr>
      <w:tblGrid>
        <w:gridCol w:w="2841"/>
        <w:gridCol w:w="2142"/>
      </w:tblGrid>
      <w:tr w:rsidR="00E42995" w:rsidRPr="00BE2460" w14:paraId="5E3B32A7" w14:textId="77777777">
        <w:trPr>
          <w:trHeight w:val="283"/>
          <w:tblHeader/>
          <w:jc w:val="center"/>
        </w:trPr>
        <w:tc>
          <w:tcPr>
            <w:tcW w:w="2841" w:type="dxa"/>
            <w:tcBorders>
              <w:top w:val="double" w:sz="4" w:space="0" w:color="auto"/>
              <w:left w:val="double" w:sz="4" w:space="0" w:color="auto"/>
              <w:bottom w:val="single" w:sz="4" w:space="0" w:color="auto"/>
              <w:right w:val="single" w:sz="4" w:space="0" w:color="auto"/>
            </w:tcBorders>
            <w:shd w:val="clear" w:color="auto" w:fill="404040" w:themeFill="text1" w:themeFillTint="BF"/>
            <w:vAlign w:val="center"/>
            <w:hideMark/>
          </w:tcPr>
          <w:p w14:paraId="1DFE430D" w14:textId="77777777" w:rsidR="00E42995" w:rsidRPr="00BE2460" w:rsidRDefault="00E42995">
            <w:pPr>
              <w:pStyle w:val="Captulo9"/>
              <w:numPr>
                <w:ilvl w:val="0"/>
                <w:numId w:val="0"/>
              </w:numPr>
              <w:tabs>
                <w:tab w:val="left" w:pos="993"/>
              </w:tabs>
              <w:spacing w:line="240" w:lineRule="auto"/>
              <w:ind w:left="720" w:right="624"/>
              <w:jc w:val="center"/>
              <w:rPr>
                <w:rFonts w:ascii="Verdana" w:hAnsi="Verdana"/>
                <w:color w:val="FFFFFF" w:themeColor="background1"/>
                <w:sz w:val="21"/>
                <w:szCs w:val="21"/>
                <w:lang w:val="es-ES"/>
              </w:rPr>
            </w:pPr>
            <w:r w:rsidRPr="00BE2460">
              <w:rPr>
                <w:rFonts w:ascii="Verdana" w:hAnsi="Verdana"/>
                <w:color w:val="FFFFFF" w:themeColor="background1"/>
                <w:sz w:val="21"/>
                <w:szCs w:val="21"/>
                <w:lang w:val="es-ES"/>
              </w:rPr>
              <w:t>Concepto</w:t>
            </w:r>
          </w:p>
        </w:tc>
        <w:tc>
          <w:tcPr>
            <w:tcW w:w="1966" w:type="dxa"/>
            <w:tcBorders>
              <w:top w:val="double" w:sz="4" w:space="0" w:color="auto"/>
              <w:left w:val="single" w:sz="4" w:space="0" w:color="auto"/>
              <w:bottom w:val="single" w:sz="4" w:space="0" w:color="auto"/>
              <w:right w:val="double" w:sz="4" w:space="0" w:color="auto"/>
            </w:tcBorders>
            <w:shd w:val="clear" w:color="auto" w:fill="404040" w:themeFill="text1" w:themeFillTint="BF"/>
            <w:vAlign w:val="center"/>
            <w:hideMark/>
          </w:tcPr>
          <w:p w14:paraId="3E5F0478" w14:textId="77777777" w:rsidR="00E42995" w:rsidRPr="00BE2460" w:rsidRDefault="00E42995">
            <w:pPr>
              <w:pStyle w:val="Captulo9"/>
              <w:numPr>
                <w:ilvl w:val="0"/>
                <w:numId w:val="0"/>
              </w:numPr>
              <w:tabs>
                <w:tab w:val="left" w:pos="993"/>
              </w:tabs>
              <w:spacing w:line="240" w:lineRule="auto"/>
              <w:ind w:left="360" w:right="624"/>
              <w:jc w:val="center"/>
              <w:rPr>
                <w:rFonts w:ascii="Verdana" w:hAnsi="Verdana"/>
                <w:color w:val="FFFFFF" w:themeColor="background1"/>
                <w:sz w:val="21"/>
                <w:szCs w:val="21"/>
                <w:lang w:val="es-ES"/>
              </w:rPr>
            </w:pPr>
            <w:r w:rsidRPr="00BE2460">
              <w:rPr>
                <w:rFonts w:ascii="Verdana" w:hAnsi="Verdana"/>
                <w:color w:val="FFFFFF" w:themeColor="background1"/>
                <w:sz w:val="21"/>
                <w:szCs w:val="21"/>
                <w:lang w:val="es-ES"/>
              </w:rPr>
              <w:t>Puntaje máximo</w:t>
            </w:r>
          </w:p>
        </w:tc>
      </w:tr>
      <w:tr w:rsidR="00E42995" w:rsidRPr="00BE2460" w14:paraId="57A72B25" w14:textId="77777777">
        <w:trPr>
          <w:trHeight w:val="153"/>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20132050" w14:textId="77777777" w:rsidR="00E42995" w:rsidRPr="00BE2460" w:rsidRDefault="00E42995">
            <w:pPr>
              <w:pStyle w:val="Captulo9"/>
              <w:numPr>
                <w:ilvl w:val="0"/>
                <w:numId w:val="0"/>
              </w:numPr>
              <w:tabs>
                <w:tab w:val="left" w:pos="993"/>
              </w:tabs>
              <w:spacing w:after="0" w:line="240" w:lineRule="auto"/>
              <w:ind w:left="306" w:right="48"/>
              <w:jc w:val="center"/>
              <w:rPr>
                <w:rFonts w:ascii="Verdana" w:hAnsi="Verdana"/>
                <w:b w:val="0"/>
                <w:color w:val="auto"/>
                <w:sz w:val="21"/>
                <w:szCs w:val="21"/>
                <w:lang w:val="es-ES"/>
              </w:rPr>
            </w:pPr>
            <w:r w:rsidRPr="00BE2460">
              <w:rPr>
                <w:rFonts w:ascii="Verdana" w:hAnsi="Verdana"/>
                <w:b w:val="0"/>
                <w:color w:val="auto"/>
                <w:sz w:val="21"/>
                <w:szCs w:val="21"/>
                <w:lang w:val="es-ES"/>
              </w:rPr>
              <w:t>Oferta económica</w:t>
            </w:r>
          </w:p>
        </w:tc>
        <w:tc>
          <w:tcPr>
            <w:tcW w:w="1966" w:type="dxa"/>
            <w:tcBorders>
              <w:top w:val="single" w:sz="4" w:space="0" w:color="auto"/>
              <w:left w:val="single" w:sz="4" w:space="0" w:color="auto"/>
              <w:bottom w:val="single" w:sz="4" w:space="0" w:color="auto"/>
              <w:right w:val="double" w:sz="4" w:space="0" w:color="auto"/>
            </w:tcBorders>
            <w:vAlign w:val="center"/>
            <w:hideMark/>
          </w:tcPr>
          <w:p w14:paraId="18CB6944" w14:textId="77777777" w:rsidR="00E42995" w:rsidRPr="00BE2460" w:rsidRDefault="00E42995">
            <w:pPr>
              <w:pStyle w:val="Captulo9"/>
              <w:numPr>
                <w:ilvl w:val="0"/>
                <w:numId w:val="0"/>
              </w:numPr>
              <w:tabs>
                <w:tab w:val="left" w:pos="993"/>
              </w:tabs>
              <w:spacing w:after="0" w:line="240" w:lineRule="auto"/>
              <w:ind w:left="306" w:right="624"/>
              <w:jc w:val="center"/>
              <w:rPr>
                <w:rFonts w:ascii="Verdana" w:hAnsi="Verdana"/>
                <w:b w:val="0"/>
                <w:color w:val="auto"/>
                <w:sz w:val="21"/>
                <w:szCs w:val="21"/>
                <w:lang w:val="es-ES"/>
              </w:rPr>
            </w:pPr>
          </w:p>
          <w:p w14:paraId="4E922520" w14:textId="77777777" w:rsidR="00E42995" w:rsidRPr="00BE2460" w:rsidRDefault="00E42995">
            <w:pPr>
              <w:pStyle w:val="Captulo9"/>
              <w:numPr>
                <w:ilvl w:val="0"/>
                <w:numId w:val="0"/>
              </w:numPr>
              <w:tabs>
                <w:tab w:val="left" w:pos="993"/>
              </w:tabs>
              <w:spacing w:after="0" w:line="240" w:lineRule="auto"/>
              <w:ind w:left="306" w:right="624"/>
              <w:jc w:val="center"/>
              <w:rPr>
                <w:rFonts w:ascii="Verdana" w:hAnsi="Verdana"/>
                <w:b w:val="0"/>
                <w:color w:val="auto"/>
                <w:sz w:val="21"/>
                <w:szCs w:val="21"/>
                <w:lang w:val="es-ES"/>
              </w:rPr>
            </w:pPr>
            <w:r w:rsidRPr="00BE2460">
              <w:rPr>
                <w:rFonts w:ascii="Verdana" w:hAnsi="Verdana"/>
                <w:b w:val="0"/>
                <w:color w:val="auto"/>
                <w:sz w:val="21"/>
                <w:szCs w:val="21"/>
                <w:lang w:val="es-ES"/>
              </w:rPr>
              <w:t>48,5</w:t>
            </w:r>
          </w:p>
        </w:tc>
      </w:tr>
      <w:tr w:rsidR="00E42995" w:rsidRPr="00BE2460" w14:paraId="418FB8B1" w14:textId="77777777">
        <w:trPr>
          <w:trHeight w:val="495"/>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432F0135" w14:textId="77777777" w:rsidR="00E42995" w:rsidRPr="00BE2460" w:rsidRDefault="00E42995">
            <w:pPr>
              <w:pStyle w:val="Captulo9"/>
              <w:numPr>
                <w:ilvl w:val="0"/>
                <w:numId w:val="0"/>
              </w:numPr>
              <w:tabs>
                <w:tab w:val="left" w:pos="993"/>
              </w:tabs>
              <w:spacing w:after="0" w:line="240" w:lineRule="auto"/>
              <w:ind w:left="306" w:right="48"/>
              <w:jc w:val="center"/>
              <w:rPr>
                <w:rFonts w:ascii="Verdana" w:hAnsi="Verdana"/>
                <w:b w:val="0"/>
                <w:color w:val="auto"/>
                <w:sz w:val="21"/>
                <w:szCs w:val="21"/>
                <w:lang w:val="es-ES"/>
              </w:rPr>
            </w:pPr>
            <w:r w:rsidRPr="00BE2460">
              <w:rPr>
                <w:rFonts w:ascii="Verdana" w:hAnsi="Verdana"/>
                <w:b w:val="0"/>
                <w:color w:val="auto"/>
                <w:sz w:val="21"/>
                <w:szCs w:val="21"/>
                <w:lang w:val="es-ES"/>
              </w:rPr>
              <w:t>Factor de calidad</w:t>
            </w:r>
          </w:p>
        </w:tc>
        <w:tc>
          <w:tcPr>
            <w:tcW w:w="1966" w:type="dxa"/>
            <w:tcBorders>
              <w:top w:val="single" w:sz="4" w:space="0" w:color="auto"/>
              <w:left w:val="single" w:sz="4" w:space="0" w:color="auto"/>
              <w:bottom w:val="single" w:sz="4" w:space="0" w:color="auto"/>
              <w:right w:val="double" w:sz="4" w:space="0" w:color="auto"/>
            </w:tcBorders>
            <w:vAlign w:val="center"/>
            <w:hideMark/>
          </w:tcPr>
          <w:p w14:paraId="7D4E3521" w14:textId="77777777" w:rsidR="00E42995" w:rsidRPr="00BE2460" w:rsidRDefault="00E42995">
            <w:pPr>
              <w:pStyle w:val="Captulo9"/>
              <w:numPr>
                <w:ilvl w:val="0"/>
                <w:numId w:val="0"/>
              </w:numPr>
              <w:tabs>
                <w:tab w:val="left" w:pos="993"/>
              </w:tabs>
              <w:spacing w:after="0" w:line="240" w:lineRule="auto"/>
              <w:ind w:left="306" w:right="624"/>
              <w:jc w:val="center"/>
              <w:rPr>
                <w:rFonts w:ascii="Verdana" w:hAnsi="Verdana"/>
                <w:b w:val="0"/>
                <w:color w:val="auto"/>
                <w:sz w:val="21"/>
                <w:szCs w:val="21"/>
                <w:lang w:val="es-ES"/>
              </w:rPr>
            </w:pPr>
          </w:p>
          <w:p w14:paraId="3C591BE3" w14:textId="77777777" w:rsidR="00E42995" w:rsidRPr="00BE2460" w:rsidRDefault="00E42995">
            <w:pPr>
              <w:pStyle w:val="Captulo9"/>
              <w:numPr>
                <w:ilvl w:val="0"/>
                <w:numId w:val="0"/>
              </w:numPr>
              <w:tabs>
                <w:tab w:val="left" w:pos="993"/>
              </w:tabs>
              <w:spacing w:after="0" w:line="240" w:lineRule="auto"/>
              <w:ind w:left="306" w:right="624"/>
              <w:jc w:val="center"/>
              <w:rPr>
                <w:rFonts w:ascii="Verdana" w:hAnsi="Verdana"/>
                <w:b w:val="0"/>
                <w:color w:val="auto"/>
                <w:sz w:val="21"/>
                <w:szCs w:val="21"/>
                <w:lang w:val="es-ES"/>
              </w:rPr>
            </w:pPr>
            <w:r w:rsidRPr="00BE2460">
              <w:rPr>
                <w:rFonts w:ascii="Verdana" w:hAnsi="Verdana"/>
                <w:b w:val="0"/>
                <w:color w:val="auto"/>
                <w:sz w:val="21"/>
                <w:szCs w:val="21"/>
                <w:lang w:val="es-ES"/>
              </w:rPr>
              <w:t>30</w:t>
            </w:r>
          </w:p>
        </w:tc>
      </w:tr>
      <w:tr w:rsidR="00E42995" w:rsidRPr="00BE2460" w14:paraId="059B0D78" w14:textId="77777777">
        <w:trPr>
          <w:trHeight w:val="305"/>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41AD475A" w14:textId="77777777" w:rsidR="00E42995" w:rsidRPr="00BE2460" w:rsidRDefault="00E42995">
            <w:pPr>
              <w:pStyle w:val="Captulo9"/>
              <w:numPr>
                <w:ilvl w:val="0"/>
                <w:numId w:val="0"/>
              </w:numPr>
              <w:tabs>
                <w:tab w:val="left" w:pos="993"/>
              </w:tabs>
              <w:spacing w:after="0" w:line="240" w:lineRule="auto"/>
              <w:ind w:left="306" w:right="48"/>
              <w:jc w:val="center"/>
              <w:rPr>
                <w:rFonts w:ascii="Verdana" w:hAnsi="Verdana"/>
                <w:b w:val="0"/>
                <w:color w:val="auto"/>
                <w:sz w:val="21"/>
                <w:szCs w:val="21"/>
                <w:lang w:val="es-ES"/>
              </w:rPr>
            </w:pPr>
            <w:r w:rsidRPr="00BE2460">
              <w:rPr>
                <w:rFonts w:ascii="Verdana" w:hAnsi="Verdana"/>
                <w:b w:val="0"/>
                <w:color w:val="auto"/>
                <w:sz w:val="21"/>
                <w:szCs w:val="21"/>
                <w:lang w:val="es-ES"/>
              </w:rPr>
              <w:t>Apoyo a la industria nacional</w:t>
            </w:r>
          </w:p>
        </w:tc>
        <w:tc>
          <w:tcPr>
            <w:tcW w:w="1966" w:type="dxa"/>
            <w:tcBorders>
              <w:top w:val="single" w:sz="4" w:space="0" w:color="auto"/>
              <w:left w:val="single" w:sz="4" w:space="0" w:color="auto"/>
              <w:bottom w:val="single" w:sz="4" w:space="0" w:color="auto"/>
              <w:right w:val="double" w:sz="4" w:space="0" w:color="auto"/>
            </w:tcBorders>
            <w:vAlign w:val="center"/>
            <w:hideMark/>
          </w:tcPr>
          <w:p w14:paraId="2F971480" w14:textId="77777777" w:rsidR="00E42995" w:rsidRPr="00BE2460" w:rsidRDefault="00E42995">
            <w:pPr>
              <w:pStyle w:val="Captulo9"/>
              <w:numPr>
                <w:ilvl w:val="0"/>
                <w:numId w:val="0"/>
              </w:numPr>
              <w:tabs>
                <w:tab w:val="left" w:pos="993"/>
              </w:tabs>
              <w:spacing w:after="0" w:line="240" w:lineRule="auto"/>
              <w:ind w:left="306" w:right="624"/>
              <w:jc w:val="center"/>
              <w:rPr>
                <w:rFonts w:ascii="Verdana" w:hAnsi="Verdana"/>
                <w:b w:val="0"/>
                <w:color w:val="auto"/>
                <w:sz w:val="21"/>
                <w:szCs w:val="21"/>
                <w:lang w:val="es-ES"/>
              </w:rPr>
            </w:pPr>
          </w:p>
          <w:p w14:paraId="51FA2CF1" w14:textId="77777777" w:rsidR="00E42995" w:rsidRPr="00BE2460" w:rsidRDefault="00E42995">
            <w:pPr>
              <w:pStyle w:val="Captulo9"/>
              <w:numPr>
                <w:ilvl w:val="0"/>
                <w:numId w:val="0"/>
              </w:numPr>
              <w:tabs>
                <w:tab w:val="left" w:pos="993"/>
              </w:tabs>
              <w:spacing w:after="0" w:line="240" w:lineRule="auto"/>
              <w:ind w:left="306" w:right="624"/>
              <w:jc w:val="center"/>
              <w:rPr>
                <w:rFonts w:ascii="Verdana" w:hAnsi="Verdana"/>
                <w:b w:val="0"/>
                <w:color w:val="auto"/>
                <w:sz w:val="21"/>
                <w:szCs w:val="21"/>
                <w:lang w:val="es-ES"/>
              </w:rPr>
            </w:pPr>
            <w:r w:rsidRPr="00BE2460">
              <w:rPr>
                <w:rFonts w:ascii="Verdana" w:hAnsi="Verdana"/>
                <w:b w:val="0"/>
                <w:color w:val="auto"/>
                <w:sz w:val="21"/>
                <w:szCs w:val="21"/>
                <w:lang w:val="es-ES"/>
              </w:rPr>
              <w:t>20</w:t>
            </w:r>
          </w:p>
        </w:tc>
      </w:tr>
      <w:tr w:rsidR="00E42995" w:rsidRPr="00BE2460" w14:paraId="4783231E"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tcPr>
          <w:p w14:paraId="286067FF" w14:textId="77777777" w:rsidR="00E42995" w:rsidRPr="00BE2460" w:rsidRDefault="00E42995">
            <w:pPr>
              <w:pStyle w:val="Captulo9"/>
              <w:numPr>
                <w:ilvl w:val="0"/>
                <w:numId w:val="0"/>
              </w:numPr>
              <w:tabs>
                <w:tab w:val="left" w:pos="993"/>
              </w:tabs>
              <w:spacing w:after="0" w:line="240" w:lineRule="auto"/>
              <w:ind w:left="306" w:right="48"/>
              <w:jc w:val="center"/>
              <w:rPr>
                <w:rFonts w:ascii="Verdana" w:hAnsi="Verdana"/>
                <w:b w:val="0"/>
                <w:bCs w:val="0"/>
                <w:color w:val="auto"/>
                <w:sz w:val="21"/>
                <w:szCs w:val="21"/>
                <w:lang w:val="es-ES"/>
              </w:rPr>
            </w:pPr>
            <w:r w:rsidRPr="00BE2460">
              <w:rPr>
                <w:rFonts w:ascii="Verdana" w:hAnsi="Verdana"/>
                <w:b w:val="0"/>
                <w:bCs w:val="0"/>
                <w:color w:val="auto"/>
                <w:sz w:val="21"/>
                <w:szCs w:val="21"/>
                <w:lang w:val="es-ES"/>
              </w:rPr>
              <w:t>Vinculación de personas con discapacidad</w:t>
            </w:r>
          </w:p>
        </w:tc>
        <w:tc>
          <w:tcPr>
            <w:tcW w:w="1966" w:type="dxa"/>
            <w:tcBorders>
              <w:top w:val="single" w:sz="4" w:space="0" w:color="auto"/>
              <w:left w:val="single" w:sz="4" w:space="0" w:color="auto"/>
              <w:bottom w:val="single" w:sz="4" w:space="0" w:color="auto"/>
              <w:right w:val="double" w:sz="4" w:space="0" w:color="auto"/>
            </w:tcBorders>
            <w:vAlign w:val="center"/>
          </w:tcPr>
          <w:p w14:paraId="15826C58" w14:textId="77777777" w:rsidR="00E42995" w:rsidRPr="00BE2460" w:rsidRDefault="00E42995">
            <w:pPr>
              <w:pStyle w:val="Captulo9"/>
              <w:numPr>
                <w:ilvl w:val="0"/>
                <w:numId w:val="0"/>
              </w:numPr>
              <w:tabs>
                <w:tab w:val="left" w:pos="993"/>
              </w:tabs>
              <w:spacing w:after="0" w:line="240" w:lineRule="auto"/>
              <w:ind w:left="306" w:right="624"/>
              <w:jc w:val="center"/>
              <w:rPr>
                <w:rFonts w:ascii="Verdana" w:hAnsi="Verdana"/>
                <w:b w:val="0"/>
                <w:bCs w:val="0"/>
                <w:color w:val="auto"/>
                <w:sz w:val="21"/>
                <w:szCs w:val="21"/>
                <w:lang w:val="es-ES"/>
              </w:rPr>
            </w:pPr>
            <w:r w:rsidRPr="00BE2460">
              <w:rPr>
                <w:rFonts w:ascii="Verdana" w:hAnsi="Verdana"/>
                <w:b w:val="0"/>
                <w:bCs w:val="0"/>
                <w:color w:val="auto"/>
                <w:sz w:val="21"/>
                <w:szCs w:val="21"/>
                <w:lang w:val="es-ES"/>
              </w:rPr>
              <w:t>1</w:t>
            </w:r>
          </w:p>
        </w:tc>
      </w:tr>
      <w:tr w:rsidR="00E42995" w:rsidRPr="00BE2460" w14:paraId="10DF42C4" w14:textId="77777777">
        <w:trPr>
          <w:trHeight w:val="265"/>
          <w:jc w:val="center"/>
        </w:trPr>
        <w:tc>
          <w:tcPr>
            <w:tcW w:w="2841" w:type="dxa"/>
            <w:tcBorders>
              <w:top w:val="single" w:sz="4" w:space="0" w:color="auto"/>
              <w:left w:val="double" w:sz="4" w:space="0" w:color="auto"/>
              <w:bottom w:val="single" w:sz="4" w:space="0" w:color="auto"/>
              <w:right w:val="single" w:sz="4" w:space="0" w:color="auto"/>
            </w:tcBorders>
            <w:vAlign w:val="center"/>
          </w:tcPr>
          <w:p w14:paraId="0CE703C1" w14:textId="77777777" w:rsidR="00E42995" w:rsidRPr="00BE2460" w:rsidRDefault="00E42995">
            <w:pPr>
              <w:pStyle w:val="Captulo9"/>
              <w:numPr>
                <w:ilvl w:val="0"/>
                <w:numId w:val="0"/>
              </w:numPr>
              <w:tabs>
                <w:tab w:val="left" w:pos="993"/>
              </w:tabs>
              <w:spacing w:after="0" w:line="240" w:lineRule="auto"/>
              <w:ind w:left="306" w:right="48"/>
              <w:jc w:val="center"/>
              <w:rPr>
                <w:rFonts w:ascii="Verdana" w:hAnsi="Verdana"/>
                <w:b w:val="0"/>
                <w:bCs w:val="0"/>
                <w:color w:val="auto"/>
                <w:sz w:val="21"/>
                <w:szCs w:val="21"/>
                <w:lang w:val="es-ES"/>
              </w:rPr>
            </w:pPr>
            <w:r w:rsidRPr="00BE2460">
              <w:rPr>
                <w:rFonts w:ascii="Verdana" w:hAnsi="Verdana"/>
                <w:b w:val="0"/>
                <w:bCs w:val="0"/>
                <w:color w:val="auto"/>
                <w:sz w:val="21"/>
                <w:szCs w:val="21"/>
                <w:lang w:val="es-ES"/>
              </w:rPr>
              <w:t>Emprendimientos y empresas de mujeres</w:t>
            </w:r>
          </w:p>
        </w:tc>
        <w:tc>
          <w:tcPr>
            <w:tcW w:w="1966" w:type="dxa"/>
            <w:tcBorders>
              <w:top w:val="single" w:sz="4" w:space="0" w:color="auto"/>
              <w:left w:val="single" w:sz="4" w:space="0" w:color="auto"/>
              <w:bottom w:val="single" w:sz="4" w:space="0" w:color="auto"/>
              <w:right w:val="double" w:sz="4" w:space="0" w:color="auto"/>
            </w:tcBorders>
            <w:vAlign w:val="center"/>
          </w:tcPr>
          <w:p w14:paraId="1587AC07" w14:textId="77777777" w:rsidR="00E42995" w:rsidRPr="00BE2460" w:rsidRDefault="00E42995">
            <w:pPr>
              <w:pStyle w:val="Captulo9"/>
              <w:numPr>
                <w:ilvl w:val="0"/>
                <w:numId w:val="0"/>
              </w:numPr>
              <w:tabs>
                <w:tab w:val="left" w:pos="993"/>
              </w:tabs>
              <w:spacing w:after="0" w:line="240" w:lineRule="auto"/>
              <w:ind w:left="306" w:right="624"/>
              <w:jc w:val="center"/>
              <w:rPr>
                <w:rFonts w:ascii="Verdana" w:hAnsi="Verdana"/>
                <w:b w:val="0"/>
                <w:bCs w:val="0"/>
                <w:color w:val="auto"/>
                <w:sz w:val="21"/>
                <w:szCs w:val="21"/>
                <w:lang w:val="es-ES"/>
              </w:rPr>
            </w:pPr>
            <w:r w:rsidRPr="00BE2460">
              <w:rPr>
                <w:rFonts w:ascii="Verdana" w:hAnsi="Verdana"/>
                <w:b w:val="0"/>
                <w:bCs w:val="0"/>
                <w:color w:val="auto"/>
                <w:sz w:val="21"/>
                <w:szCs w:val="21"/>
                <w:lang w:val="es-ES"/>
              </w:rPr>
              <w:t>0,25</w:t>
            </w:r>
          </w:p>
        </w:tc>
      </w:tr>
      <w:tr w:rsidR="00E42995" w:rsidRPr="00BE2460" w14:paraId="6E6081F2"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tcPr>
          <w:p w14:paraId="601111D9" w14:textId="77777777" w:rsidR="00E42995" w:rsidRPr="00BE2460" w:rsidRDefault="00E42995">
            <w:pPr>
              <w:pStyle w:val="Captulo9"/>
              <w:numPr>
                <w:ilvl w:val="0"/>
                <w:numId w:val="0"/>
              </w:numPr>
              <w:tabs>
                <w:tab w:val="left" w:pos="993"/>
              </w:tabs>
              <w:spacing w:after="0" w:line="240" w:lineRule="auto"/>
              <w:ind w:left="306" w:right="48"/>
              <w:jc w:val="center"/>
              <w:rPr>
                <w:rFonts w:ascii="Verdana" w:hAnsi="Verdana"/>
                <w:b w:val="0"/>
                <w:color w:val="auto"/>
                <w:sz w:val="21"/>
                <w:szCs w:val="21"/>
                <w:lang w:val="es-ES"/>
              </w:rPr>
            </w:pPr>
            <w:proofErr w:type="spellStart"/>
            <w:r w:rsidRPr="00BE2460">
              <w:rPr>
                <w:rFonts w:ascii="Verdana" w:hAnsi="Verdana"/>
                <w:b w:val="0"/>
                <w:color w:val="auto"/>
                <w:sz w:val="21"/>
                <w:szCs w:val="21"/>
                <w:lang w:val="es-ES"/>
              </w:rPr>
              <w:t>Mipyme</w:t>
            </w:r>
            <w:proofErr w:type="spellEnd"/>
          </w:p>
        </w:tc>
        <w:tc>
          <w:tcPr>
            <w:tcW w:w="1966" w:type="dxa"/>
            <w:tcBorders>
              <w:top w:val="single" w:sz="4" w:space="0" w:color="auto"/>
              <w:left w:val="single" w:sz="4" w:space="0" w:color="auto"/>
              <w:bottom w:val="single" w:sz="4" w:space="0" w:color="auto"/>
              <w:right w:val="double" w:sz="4" w:space="0" w:color="auto"/>
            </w:tcBorders>
            <w:vAlign w:val="center"/>
          </w:tcPr>
          <w:p w14:paraId="09E697F7" w14:textId="77777777" w:rsidR="00E42995" w:rsidRPr="00BE2460" w:rsidRDefault="00E42995">
            <w:pPr>
              <w:pStyle w:val="Captulo9"/>
              <w:numPr>
                <w:ilvl w:val="0"/>
                <w:numId w:val="0"/>
              </w:numPr>
              <w:tabs>
                <w:tab w:val="left" w:pos="993"/>
              </w:tabs>
              <w:spacing w:after="0" w:line="240" w:lineRule="auto"/>
              <w:ind w:left="306" w:right="624"/>
              <w:jc w:val="center"/>
              <w:rPr>
                <w:rFonts w:ascii="Verdana" w:hAnsi="Verdana"/>
                <w:b w:val="0"/>
                <w:color w:val="auto"/>
                <w:sz w:val="21"/>
                <w:szCs w:val="21"/>
                <w:lang w:val="es-ES"/>
              </w:rPr>
            </w:pPr>
            <w:r w:rsidRPr="00BE2460">
              <w:rPr>
                <w:rFonts w:ascii="Verdana" w:hAnsi="Verdana"/>
                <w:b w:val="0"/>
                <w:color w:val="auto"/>
                <w:sz w:val="21"/>
                <w:szCs w:val="21"/>
                <w:lang w:val="es-ES"/>
              </w:rPr>
              <w:t>0,25</w:t>
            </w:r>
          </w:p>
        </w:tc>
      </w:tr>
      <w:tr w:rsidR="00E42995" w:rsidRPr="00BE2460" w14:paraId="224B6282" w14:textId="77777777">
        <w:trPr>
          <w:jc w:val="center"/>
        </w:trPr>
        <w:tc>
          <w:tcPr>
            <w:tcW w:w="2841" w:type="dxa"/>
            <w:tcBorders>
              <w:top w:val="single" w:sz="4" w:space="0" w:color="auto"/>
              <w:left w:val="double" w:sz="4" w:space="0" w:color="auto"/>
              <w:bottom w:val="double" w:sz="4" w:space="0" w:color="auto"/>
              <w:right w:val="single" w:sz="4" w:space="0" w:color="auto"/>
            </w:tcBorders>
            <w:vAlign w:val="center"/>
            <w:hideMark/>
          </w:tcPr>
          <w:p w14:paraId="076608FE" w14:textId="77777777" w:rsidR="00E42995" w:rsidRPr="00BE2460" w:rsidRDefault="00E42995">
            <w:pPr>
              <w:pStyle w:val="Captulo9"/>
              <w:numPr>
                <w:ilvl w:val="0"/>
                <w:numId w:val="0"/>
              </w:numPr>
              <w:tabs>
                <w:tab w:val="left" w:pos="993"/>
              </w:tabs>
              <w:spacing w:after="0" w:line="240" w:lineRule="auto"/>
              <w:ind w:left="720" w:right="48" w:hanging="419"/>
              <w:jc w:val="center"/>
              <w:rPr>
                <w:rFonts w:ascii="Verdana" w:hAnsi="Verdana"/>
                <w:b w:val="0"/>
                <w:color w:val="auto"/>
                <w:sz w:val="21"/>
                <w:szCs w:val="21"/>
                <w:lang w:val="es-ES"/>
              </w:rPr>
            </w:pPr>
            <w:r w:rsidRPr="00BE2460">
              <w:rPr>
                <w:rFonts w:ascii="Verdana" w:hAnsi="Verdana"/>
                <w:b w:val="0"/>
                <w:color w:val="auto"/>
                <w:sz w:val="21"/>
                <w:szCs w:val="21"/>
                <w:lang w:val="es-ES"/>
              </w:rPr>
              <w:t>Total</w:t>
            </w:r>
          </w:p>
        </w:tc>
        <w:tc>
          <w:tcPr>
            <w:tcW w:w="1966" w:type="dxa"/>
            <w:tcBorders>
              <w:top w:val="single" w:sz="4" w:space="0" w:color="auto"/>
              <w:left w:val="single" w:sz="4" w:space="0" w:color="auto"/>
              <w:bottom w:val="double" w:sz="4" w:space="0" w:color="auto"/>
              <w:right w:val="double" w:sz="4" w:space="0" w:color="auto"/>
            </w:tcBorders>
            <w:vAlign w:val="center"/>
            <w:hideMark/>
          </w:tcPr>
          <w:p w14:paraId="7073B749" w14:textId="77777777" w:rsidR="00E42995" w:rsidRPr="00BE2460" w:rsidRDefault="00E42995">
            <w:pPr>
              <w:pStyle w:val="Captulo9"/>
              <w:numPr>
                <w:ilvl w:val="0"/>
                <w:numId w:val="0"/>
              </w:numPr>
              <w:tabs>
                <w:tab w:val="left" w:pos="993"/>
              </w:tabs>
              <w:spacing w:after="0" w:line="240" w:lineRule="auto"/>
              <w:ind w:left="433" w:right="624" w:hanging="145"/>
              <w:jc w:val="center"/>
              <w:rPr>
                <w:rFonts w:ascii="Verdana" w:hAnsi="Verdana"/>
                <w:b w:val="0"/>
                <w:color w:val="auto"/>
                <w:sz w:val="21"/>
                <w:szCs w:val="21"/>
                <w:lang w:val="es-ES"/>
              </w:rPr>
            </w:pPr>
            <w:r w:rsidRPr="00BE2460">
              <w:rPr>
                <w:rFonts w:ascii="Verdana" w:hAnsi="Verdana"/>
                <w:b w:val="0"/>
                <w:color w:val="auto"/>
                <w:sz w:val="21"/>
                <w:szCs w:val="21"/>
                <w:lang w:val="es-ES"/>
              </w:rPr>
              <w:t>100</w:t>
            </w:r>
          </w:p>
        </w:tc>
      </w:tr>
    </w:tbl>
    <w:p w14:paraId="410ED9C9" w14:textId="77777777" w:rsidR="00E42995" w:rsidRPr="00BE2460" w:rsidRDefault="00E42995" w:rsidP="00E42995">
      <w:pPr>
        <w:widowControl w:val="0"/>
        <w:autoSpaceDE w:val="0"/>
        <w:autoSpaceDN w:val="0"/>
        <w:spacing w:after="120" w:line="276" w:lineRule="auto"/>
        <w:ind w:right="709"/>
        <w:jc w:val="both"/>
        <w:rPr>
          <w:rFonts w:ascii="Verdana" w:eastAsia="Calibri" w:hAnsi="Verdana" w:cs="Arial"/>
          <w:color w:val="000000" w:themeColor="text1"/>
          <w:kern w:val="2"/>
          <w:sz w:val="21"/>
          <w:szCs w:val="21"/>
          <w14:ligatures w14:val="standardContextual"/>
        </w:rPr>
      </w:pPr>
    </w:p>
    <w:p w14:paraId="71C5D593" w14:textId="77777777" w:rsidR="00E42995" w:rsidRPr="00BE2460" w:rsidRDefault="00E42995" w:rsidP="00E42995">
      <w:pPr>
        <w:widowControl w:val="0"/>
        <w:autoSpaceDE w:val="0"/>
        <w:autoSpaceDN w:val="0"/>
        <w:spacing w:after="120" w:line="276" w:lineRule="auto"/>
        <w:ind w:left="709" w:right="709"/>
        <w:jc w:val="both"/>
        <w:rPr>
          <w:rFonts w:ascii="Verdana" w:eastAsia="Calibri" w:hAnsi="Verdana" w:cs="Arial"/>
          <w:color w:val="000000" w:themeColor="text1"/>
          <w:kern w:val="2"/>
          <w:sz w:val="21"/>
          <w:szCs w:val="21"/>
          <w14:ligatures w14:val="standardContextual"/>
        </w:rPr>
      </w:pPr>
      <w:r w:rsidRPr="00BE2460">
        <w:rPr>
          <w:rFonts w:ascii="Verdana" w:eastAsia="Calibri" w:hAnsi="Verdana" w:cs="Arial"/>
          <w:color w:val="000000" w:themeColor="text1"/>
          <w:kern w:val="2"/>
          <w:sz w:val="21"/>
          <w:szCs w:val="21"/>
          <w14:ligatures w14:val="standardContextual"/>
        </w:rPr>
        <w:t>De conformidad con el artículo 67 de la Ley 915 de 2004, cuando el objeto del contrato deba ser desarrollado en el territorio del departamento Archipiélago de San Andrés, Providencia y Santa Catalina, la Entidad calificará las ofertas que hayan cumplido con los requisitos habilitantes con los siguientes puntajes:</w:t>
      </w:r>
    </w:p>
    <w:tbl>
      <w:tblPr>
        <w:tblStyle w:val="Tablaconcuadrcula2"/>
        <w:tblW w:w="0" w:type="auto"/>
        <w:jc w:val="center"/>
        <w:tblLook w:val="04A0" w:firstRow="1" w:lastRow="0" w:firstColumn="1" w:lastColumn="0" w:noHBand="0" w:noVBand="1"/>
      </w:tblPr>
      <w:tblGrid>
        <w:gridCol w:w="2841"/>
        <w:gridCol w:w="2142"/>
      </w:tblGrid>
      <w:tr w:rsidR="00E42995" w:rsidRPr="00BE2460" w14:paraId="67E945A7" w14:textId="77777777">
        <w:trPr>
          <w:trHeight w:val="283"/>
          <w:tblHeader/>
          <w:jc w:val="center"/>
        </w:trPr>
        <w:tc>
          <w:tcPr>
            <w:tcW w:w="2841" w:type="dxa"/>
            <w:tcBorders>
              <w:top w:val="double" w:sz="4" w:space="0" w:color="auto"/>
              <w:left w:val="double" w:sz="4" w:space="0" w:color="auto"/>
              <w:bottom w:val="single" w:sz="4" w:space="0" w:color="auto"/>
              <w:right w:val="single" w:sz="4" w:space="0" w:color="auto"/>
            </w:tcBorders>
            <w:shd w:val="clear" w:color="auto" w:fill="404040" w:themeFill="text1" w:themeFillTint="BF"/>
            <w:vAlign w:val="center"/>
            <w:hideMark/>
          </w:tcPr>
          <w:p w14:paraId="4D9F5546" w14:textId="77777777" w:rsidR="00E42995" w:rsidRPr="00BE2460" w:rsidRDefault="00E42995">
            <w:pPr>
              <w:tabs>
                <w:tab w:val="left" w:pos="993"/>
              </w:tabs>
              <w:spacing w:after="200"/>
              <w:ind w:left="720" w:right="624"/>
              <w:contextualSpacing/>
              <w:jc w:val="center"/>
              <w:rPr>
                <w:rFonts w:ascii="Verdana" w:eastAsia="Calibri" w:hAnsi="Verdana" w:cs="Arial"/>
                <w:b/>
                <w:bCs/>
                <w:iCs/>
                <w:color w:val="FFFFFF" w:themeColor="background1"/>
                <w:sz w:val="21"/>
                <w:szCs w:val="21"/>
                <w:lang w:val="es-ES"/>
              </w:rPr>
            </w:pPr>
            <w:r w:rsidRPr="00BE2460">
              <w:rPr>
                <w:rFonts w:ascii="Verdana" w:eastAsia="Calibri" w:hAnsi="Verdana" w:cs="Arial"/>
                <w:b/>
                <w:bCs/>
                <w:iCs/>
                <w:color w:val="FFFFFF" w:themeColor="background1"/>
                <w:sz w:val="21"/>
                <w:szCs w:val="21"/>
                <w:lang w:val="es-ES"/>
              </w:rPr>
              <w:t>Concepto</w:t>
            </w:r>
          </w:p>
        </w:tc>
        <w:tc>
          <w:tcPr>
            <w:tcW w:w="1775" w:type="dxa"/>
            <w:tcBorders>
              <w:top w:val="double" w:sz="4" w:space="0" w:color="auto"/>
              <w:left w:val="single" w:sz="4" w:space="0" w:color="auto"/>
              <w:bottom w:val="single" w:sz="4" w:space="0" w:color="auto"/>
              <w:right w:val="double" w:sz="4" w:space="0" w:color="auto"/>
            </w:tcBorders>
            <w:shd w:val="clear" w:color="auto" w:fill="404040" w:themeFill="text1" w:themeFillTint="BF"/>
            <w:vAlign w:val="center"/>
            <w:hideMark/>
          </w:tcPr>
          <w:p w14:paraId="7497356B" w14:textId="77777777" w:rsidR="00E42995" w:rsidRPr="00BE2460" w:rsidRDefault="00E42995">
            <w:pPr>
              <w:tabs>
                <w:tab w:val="left" w:pos="993"/>
              </w:tabs>
              <w:spacing w:after="200"/>
              <w:ind w:left="360" w:right="624"/>
              <w:contextualSpacing/>
              <w:jc w:val="center"/>
              <w:rPr>
                <w:rFonts w:ascii="Verdana" w:eastAsia="Calibri" w:hAnsi="Verdana" w:cs="Arial"/>
                <w:b/>
                <w:bCs/>
                <w:iCs/>
                <w:color w:val="FFFFFF" w:themeColor="background1"/>
                <w:sz w:val="21"/>
                <w:szCs w:val="21"/>
                <w:lang w:val="es-ES"/>
              </w:rPr>
            </w:pPr>
            <w:r w:rsidRPr="00BE2460">
              <w:rPr>
                <w:rFonts w:ascii="Verdana" w:eastAsia="Calibri" w:hAnsi="Verdana" w:cs="Arial"/>
                <w:b/>
                <w:bCs/>
                <w:iCs/>
                <w:color w:val="FFFFFF" w:themeColor="background1"/>
                <w:sz w:val="21"/>
                <w:szCs w:val="21"/>
                <w:lang w:val="es-ES"/>
              </w:rPr>
              <w:t>Puntaje máximo</w:t>
            </w:r>
          </w:p>
        </w:tc>
      </w:tr>
      <w:tr w:rsidR="00E42995" w:rsidRPr="00BE2460" w14:paraId="4EAD0A02" w14:textId="77777777">
        <w:trPr>
          <w:trHeight w:val="569"/>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7B21F433" w14:textId="77777777" w:rsidR="00E42995" w:rsidRPr="00BE2460" w:rsidRDefault="00E42995">
            <w:pPr>
              <w:tabs>
                <w:tab w:val="left" w:pos="993"/>
              </w:tabs>
              <w:spacing w:after="200"/>
              <w:ind w:left="164" w:right="48"/>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Oferta económica</w:t>
            </w:r>
          </w:p>
        </w:tc>
        <w:tc>
          <w:tcPr>
            <w:tcW w:w="1775" w:type="dxa"/>
            <w:tcBorders>
              <w:top w:val="single" w:sz="4" w:space="0" w:color="auto"/>
              <w:left w:val="single" w:sz="4" w:space="0" w:color="auto"/>
              <w:bottom w:val="single" w:sz="4" w:space="0" w:color="auto"/>
              <w:right w:val="double" w:sz="4" w:space="0" w:color="auto"/>
            </w:tcBorders>
            <w:vAlign w:val="center"/>
          </w:tcPr>
          <w:p w14:paraId="60A2553E" w14:textId="77777777" w:rsidR="00E42995" w:rsidRPr="00BE2460" w:rsidRDefault="00E42995">
            <w:pPr>
              <w:tabs>
                <w:tab w:val="left" w:pos="993"/>
              </w:tabs>
              <w:spacing w:after="200"/>
              <w:ind w:left="360" w:right="624"/>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43,5</w:t>
            </w:r>
          </w:p>
        </w:tc>
      </w:tr>
      <w:tr w:rsidR="00E42995" w:rsidRPr="00BE2460" w14:paraId="1FE16AFE"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5F65CA70" w14:textId="77777777" w:rsidR="00E42995" w:rsidRPr="00BE2460" w:rsidRDefault="00E42995">
            <w:pPr>
              <w:tabs>
                <w:tab w:val="left" w:pos="993"/>
              </w:tabs>
              <w:spacing w:after="200"/>
              <w:ind w:left="164" w:right="48"/>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Factor de calidad</w:t>
            </w:r>
          </w:p>
        </w:tc>
        <w:tc>
          <w:tcPr>
            <w:tcW w:w="1775" w:type="dxa"/>
            <w:tcBorders>
              <w:top w:val="single" w:sz="4" w:space="0" w:color="auto"/>
              <w:left w:val="single" w:sz="4" w:space="0" w:color="auto"/>
              <w:bottom w:val="single" w:sz="4" w:space="0" w:color="auto"/>
              <w:right w:val="double" w:sz="4" w:space="0" w:color="auto"/>
            </w:tcBorders>
            <w:vAlign w:val="center"/>
          </w:tcPr>
          <w:p w14:paraId="5F14111D" w14:textId="77777777" w:rsidR="00E42995" w:rsidRPr="00BE2460" w:rsidRDefault="00E42995">
            <w:pPr>
              <w:tabs>
                <w:tab w:val="left" w:pos="993"/>
              </w:tabs>
              <w:spacing w:after="200"/>
              <w:ind w:left="360" w:right="624"/>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30</w:t>
            </w:r>
          </w:p>
        </w:tc>
      </w:tr>
      <w:tr w:rsidR="00E42995" w:rsidRPr="00BE2460" w14:paraId="236BA7E8"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25D24381" w14:textId="77777777" w:rsidR="00E42995" w:rsidRPr="00BE2460" w:rsidRDefault="00E42995">
            <w:pPr>
              <w:tabs>
                <w:tab w:val="left" w:pos="993"/>
              </w:tabs>
              <w:spacing w:after="200"/>
              <w:ind w:left="164" w:right="48"/>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Apoyo a la industria nacional</w:t>
            </w:r>
          </w:p>
        </w:tc>
        <w:tc>
          <w:tcPr>
            <w:tcW w:w="1775" w:type="dxa"/>
            <w:tcBorders>
              <w:top w:val="single" w:sz="4" w:space="0" w:color="auto"/>
              <w:left w:val="single" w:sz="4" w:space="0" w:color="auto"/>
              <w:bottom w:val="single" w:sz="4" w:space="0" w:color="auto"/>
              <w:right w:val="double" w:sz="4" w:space="0" w:color="auto"/>
            </w:tcBorders>
            <w:vAlign w:val="center"/>
          </w:tcPr>
          <w:p w14:paraId="0E746C4E" w14:textId="77777777" w:rsidR="00E42995" w:rsidRPr="00BE2460" w:rsidRDefault="00E42995">
            <w:pPr>
              <w:tabs>
                <w:tab w:val="left" w:pos="993"/>
              </w:tabs>
              <w:spacing w:after="200"/>
              <w:ind w:left="360" w:right="624"/>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20</w:t>
            </w:r>
          </w:p>
        </w:tc>
      </w:tr>
      <w:tr w:rsidR="00E42995" w:rsidRPr="00BE2460" w14:paraId="78C3B0A2"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tcPr>
          <w:p w14:paraId="74153244" w14:textId="77777777" w:rsidR="00E42995" w:rsidRPr="00BE2460" w:rsidRDefault="00E42995">
            <w:pPr>
              <w:tabs>
                <w:tab w:val="left" w:pos="993"/>
              </w:tabs>
              <w:spacing w:after="200"/>
              <w:ind w:left="164"/>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Vinculación de personas con discapacidad</w:t>
            </w:r>
          </w:p>
        </w:tc>
        <w:tc>
          <w:tcPr>
            <w:tcW w:w="1775" w:type="dxa"/>
            <w:tcBorders>
              <w:top w:val="single" w:sz="4" w:space="0" w:color="auto"/>
              <w:left w:val="single" w:sz="4" w:space="0" w:color="auto"/>
              <w:bottom w:val="single" w:sz="4" w:space="0" w:color="auto"/>
              <w:right w:val="double" w:sz="4" w:space="0" w:color="auto"/>
            </w:tcBorders>
            <w:vAlign w:val="center"/>
          </w:tcPr>
          <w:p w14:paraId="6C364360" w14:textId="77777777" w:rsidR="00E42995" w:rsidRPr="00BE2460" w:rsidRDefault="00E42995">
            <w:pPr>
              <w:tabs>
                <w:tab w:val="left" w:pos="993"/>
              </w:tabs>
              <w:spacing w:after="200"/>
              <w:ind w:left="360" w:right="624"/>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1</w:t>
            </w:r>
          </w:p>
        </w:tc>
      </w:tr>
      <w:tr w:rsidR="00E42995" w:rsidRPr="00BE2460" w14:paraId="38954E34"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tcPr>
          <w:p w14:paraId="065C3350" w14:textId="77777777" w:rsidR="00E42995" w:rsidRPr="00BE2460" w:rsidRDefault="00E42995">
            <w:pPr>
              <w:tabs>
                <w:tab w:val="left" w:pos="993"/>
              </w:tabs>
              <w:spacing w:after="200"/>
              <w:ind w:left="164" w:right="190"/>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lastRenderedPageBreak/>
              <w:t>Tarjeta de Circulación y Residencia “OCCRE”</w:t>
            </w:r>
          </w:p>
        </w:tc>
        <w:tc>
          <w:tcPr>
            <w:tcW w:w="1775" w:type="dxa"/>
            <w:tcBorders>
              <w:top w:val="single" w:sz="4" w:space="0" w:color="auto"/>
              <w:left w:val="single" w:sz="4" w:space="0" w:color="auto"/>
              <w:bottom w:val="single" w:sz="4" w:space="0" w:color="auto"/>
              <w:right w:val="double" w:sz="4" w:space="0" w:color="auto"/>
            </w:tcBorders>
            <w:vAlign w:val="center"/>
          </w:tcPr>
          <w:p w14:paraId="1A292C4D" w14:textId="77777777" w:rsidR="00E42995" w:rsidRPr="00BE2460" w:rsidRDefault="00E42995">
            <w:pPr>
              <w:tabs>
                <w:tab w:val="left" w:pos="993"/>
              </w:tabs>
              <w:spacing w:after="200"/>
              <w:ind w:left="360" w:right="624"/>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5</w:t>
            </w:r>
          </w:p>
        </w:tc>
      </w:tr>
      <w:tr w:rsidR="00E42995" w:rsidRPr="00BE2460" w14:paraId="5554FB03"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tcPr>
          <w:p w14:paraId="52E5FEA0" w14:textId="77777777" w:rsidR="00E42995" w:rsidRPr="00BE2460" w:rsidRDefault="00E42995">
            <w:pPr>
              <w:tabs>
                <w:tab w:val="left" w:pos="993"/>
              </w:tabs>
              <w:spacing w:after="200"/>
              <w:ind w:left="164" w:right="190"/>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 xml:space="preserve">Emprendimientos y empresas de mujeres </w:t>
            </w:r>
          </w:p>
        </w:tc>
        <w:tc>
          <w:tcPr>
            <w:tcW w:w="1775" w:type="dxa"/>
            <w:tcBorders>
              <w:top w:val="single" w:sz="4" w:space="0" w:color="auto"/>
              <w:left w:val="single" w:sz="4" w:space="0" w:color="auto"/>
              <w:bottom w:val="single" w:sz="4" w:space="0" w:color="auto"/>
              <w:right w:val="double" w:sz="4" w:space="0" w:color="auto"/>
            </w:tcBorders>
            <w:vAlign w:val="center"/>
          </w:tcPr>
          <w:p w14:paraId="5C6622E1" w14:textId="77777777" w:rsidR="00E42995" w:rsidRPr="00BE2460" w:rsidRDefault="00E42995">
            <w:pPr>
              <w:tabs>
                <w:tab w:val="left" w:pos="993"/>
              </w:tabs>
              <w:spacing w:after="200"/>
              <w:ind w:left="360" w:right="624"/>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0,25</w:t>
            </w:r>
          </w:p>
        </w:tc>
      </w:tr>
      <w:tr w:rsidR="00E42995" w:rsidRPr="00BE2460" w14:paraId="1B45FF43"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tcPr>
          <w:p w14:paraId="382E83CC" w14:textId="77777777" w:rsidR="00E42995" w:rsidRPr="00BE2460" w:rsidRDefault="00E42995">
            <w:pPr>
              <w:tabs>
                <w:tab w:val="left" w:pos="993"/>
              </w:tabs>
              <w:spacing w:after="200"/>
              <w:ind w:left="164" w:right="-93"/>
              <w:contextualSpacing/>
              <w:jc w:val="center"/>
              <w:rPr>
                <w:rFonts w:ascii="Verdana" w:eastAsia="Calibri" w:hAnsi="Verdana" w:cs="Arial"/>
                <w:bCs/>
                <w:iCs/>
                <w:sz w:val="21"/>
                <w:szCs w:val="21"/>
                <w:lang w:val="es-ES"/>
              </w:rPr>
            </w:pPr>
            <w:proofErr w:type="spellStart"/>
            <w:r w:rsidRPr="00BE2460">
              <w:rPr>
                <w:rFonts w:ascii="Verdana" w:eastAsia="Calibri" w:hAnsi="Verdana" w:cs="Arial"/>
                <w:bCs/>
                <w:iCs/>
                <w:sz w:val="21"/>
                <w:szCs w:val="21"/>
                <w:lang w:val="es-ES"/>
              </w:rPr>
              <w:t>Mipyme</w:t>
            </w:r>
            <w:proofErr w:type="spellEnd"/>
          </w:p>
        </w:tc>
        <w:tc>
          <w:tcPr>
            <w:tcW w:w="1775" w:type="dxa"/>
            <w:tcBorders>
              <w:top w:val="single" w:sz="4" w:space="0" w:color="auto"/>
              <w:left w:val="single" w:sz="4" w:space="0" w:color="auto"/>
              <w:bottom w:val="single" w:sz="4" w:space="0" w:color="auto"/>
              <w:right w:val="double" w:sz="4" w:space="0" w:color="auto"/>
            </w:tcBorders>
            <w:vAlign w:val="center"/>
          </w:tcPr>
          <w:p w14:paraId="6B82FD8D" w14:textId="77777777" w:rsidR="00E42995" w:rsidRPr="00BE2460" w:rsidRDefault="00E42995">
            <w:pPr>
              <w:tabs>
                <w:tab w:val="left" w:pos="993"/>
              </w:tabs>
              <w:spacing w:after="200"/>
              <w:ind w:left="360" w:right="624"/>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0,25</w:t>
            </w:r>
          </w:p>
        </w:tc>
      </w:tr>
      <w:tr w:rsidR="00E42995" w:rsidRPr="00BE2460" w14:paraId="5F1CE984" w14:textId="77777777">
        <w:trPr>
          <w:jc w:val="center"/>
        </w:trPr>
        <w:tc>
          <w:tcPr>
            <w:tcW w:w="2841" w:type="dxa"/>
            <w:tcBorders>
              <w:top w:val="single" w:sz="4" w:space="0" w:color="auto"/>
              <w:left w:val="double" w:sz="4" w:space="0" w:color="auto"/>
              <w:bottom w:val="double" w:sz="4" w:space="0" w:color="auto"/>
              <w:right w:val="single" w:sz="4" w:space="0" w:color="auto"/>
            </w:tcBorders>
            <w:vAlign w:val="center"/>
            <w:hideMark/>
          </w:tcPr>
          <w:p w14:paraId="675E7C89" w14:textId="77777777" w:rsidR="00E42995" w:rsidRPr="00BE2460" w:rsidRDefault="00E42995">
            <w:pPr>
              <w:tabs>
                <w:tab w:val="left" w:pos="993"/>
              </w:tabs>
              <w:spacing w:after="200"/>
              <w:ind w:left="164" w:right="48"/>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Total</w:t>
            </w:r>
          </w:p>
        </w:tc>
        <w:tc>
          <w:tcPr>
            <w:tcW w:w="1775" w:type="dxa"/>
            <w:tcBorders>
              <w:top w:val="single" w:sz="4" w:space="0" w:color="auto"/>
              <w:left w:val="single" w:sz="4" w:space="0" w:color="auto"/>
              <w:bottom w:val="double" w:sz="4" w:space="0" w:color="auto"/>
              <w:right w:val="double" w:sz="4" w:space="0" w:color="auto"/>
            </w:tcBorders>
            <w:vAlign w:val="center"/>
            <w:hideMark/>
          </w:tcPr>
          <w:p w14:paraId="2EDC93C0" w14:textId="77777777" w:rsidR="00E42995" w:rsidRPr="00BE2460" w:rsidRDefault="00E42995">
            <w:pPr>
              <w:tabs>
                <w:tab w:val="left" w:pos="993"/>
              </w:tabs>
              <w:spacing w:after="200"/>
              <w:ind w:left="360" w:right="624"/>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100</w:t>
            </w:r>
          </w:p>
        </w:tc>
      </w:tr>
    </w:tbl>
    <w:p w14:paraId="733752B4" w14:textId="77777777" w:rsidR="00E42995" w:rsidRPr="00BE2460" w:rsidRDefault="00E42995" w:rsidP="00E42995">
      <w:pPr>
        <w:widowControl w:val="0"/>
        <w:autoSpaceDE w:val="0"/>
        <w:autoSpaceDN w:val="0"/>
        <w:spacing w:after="120" w:line="276" w:lineRule="auto"/>
        <w:ind w:right="709"/>
        <w:jc w:val="both"/>
        <w:rPr>
          <w:rFonts w:ascii="Verdana" w:eastAsia="Calibri" w:hAnsi="Verdana" w:cs="Arial"/>
          <w:color w:val="000000" w:themeColor="text1"/>
          <w:kern w:val="2"/>
          <w:sz w:val="21"/>
          <w:szCs w:val="21"/>
          <w14:ligatures w14:val="standardContextual"/>
        </w:rPr>
      </w:pPr>
    </w:p>
    <w:p w14:paraId="2C6CB6DB" w14:textId="77777777" w:rsidR="00E42995" w:rsidRPr="00BE2460" w:rsidRDefault="00E42995" w:rsidP="00E42995">
      <w:pPr>
        <w:widowControl w:val="0"/>
        <w:autoSpaceDE w:val="0"/>
        <w:autoSpaceDN w:val="0"/>
        <w:spacing w:after="120" w:line="276" w:lineRule="auto"/>
        <w:ind w:left="709" w:right="709"/>
        <w:jc w:val="both"/>
        <w:rPr>
          <w:rFonts w:ascii="Verdana" w:eastAsia="Calibri" w:hAnsi="Verdana" w:cs="Arial"/>
          <w:color w:val="000000" w:themeColor="text1"/>
          <w:kern w:val="2"/>
          <w:sz w:val="21"/>
          <w:szCs w:val="21"/>
          <w14:ligatures w14:val="standardContextual"/>
        </w:rPr>
      </w:pPr>
      <w:r w:rsidRPr="00BE2460">
        <w:rPr>
          <w:rFonts w:ascii="Verdana" w:eastAsia="Calibri" w:hAnsi="Verdana" w:cs="Arial"/>
          <w:color w:val="000000" w:themeColor="text1"/>
          <w:kern w:val="2"/>
          <w:sz w:val="21"/>
          <w:szCs w:val="21"/>
          <w:highlight w:val="lightGray"/>
          <w14:ligatures w14:val="standardContextual"/>
        </w:rPr>
        <w:t>[Cuando el objeto del contrato deba ser desarrollado en el territorio del departamento Archipiélago, de San Andrés, Providencia y Santa Catalina, las Entidades deberán ajustar los puntajes y fórmulas de los métodos de ponderación de acuerdo con el anterior cuadro]</w:t>
      </w:r>
    </w:p>
    <w:p w14:paraId="61AFC5F3" w14:textId="77777777" w:rsidR="00E42995" w:rsidRPr="00BE2460" w:rsidRDefault="00E42995" w:rsidP="00E42995">
      <w:pPr>
        <w:widowControl w:val="0"/>
        <w:autoSpaceDE w:val="0"/>
        <w:autoSpaceDN w:val="0"/>
        <w:spacing w:after="120" w:line="276" w:lineRule="auto"/>
        <w:ind w:left="709" w:right="709"/>
        <w:jc w:val="both"/>
        <w:rPr>
          <w:rFonts w:ascii="Verdana" w:eastAsia="Calibri" w:hAnsi="Verdana" w:cs="Arial"/>
          <w:color w:val="000000" w:themeColor="text1"/>
          <w:kern w:val="2"/>
          <w:sz w:val="21"/>
          <w:szCs w:val="21"/>
          <w14:ligatures w14:val="standardContextual"/>
        </w:rPr>
      </w:pPr>
      <w:r w:rsidRPr="00BE2460">
        <w:rPr>
          <w:rFonts w:ascii="Verdana" w:eastAsia="Calibri" w:hAnsi="Verdana" w:cs="Arial"/>
          <w:color w:val="000000" w:themeColor="text1"/>
          <w:kern w:val="2"/>
          <w:sz w:val="21"/>
          <w:szCs w:val="21"/>
          <w14:ligatures w14:val="standardContextual"/>
        </w:rPr>
        <w:t xml:space="preserve">En las convocatorias limitadas a </w:t>
      </w:r>
      <w:proofErr w:type="spellStart"/>
      <w:r w:rsidRPr="00BE2460">
        <w:rPr>
          <w:rFonts w:ascii="Verdana" w:eastAsia="Calibri" w:hAnsi="Verdana" w:cs="Arial"/>
          <w:color w:val="000000" w:themeColor="text1"/>
          <w:kern w:val="2"/>
          <w:sz w:val="21"/>
          <w:szCs w:val="21"/>
          <w14:ligatures w14:val="standardContextual"/>
        </w:rPr>
        <w:t>Mipyme</w:t>
      </w:r>
      <w:proofErr w:type="spellEnd"/>
      <w:r w:rsidRPr="00BE2460">
        <w:rPr>
          <w:rFonts w:ascii="Verdana" w:eastAsia="Calibri" w:hAnsi="Verdana" w:cs="Arial"/>
          <w:color w:val="000000" w:themeColor="text1"/>
          <w:kern w:val="2"/>
          <w:sz w:val="21"/>
          <w:szCs w:val="21"/>
          <w14:ligatures w14:val="standardContextual"/>
        </w:rPr>
        <w:t xml:space="preserve"> el puntaje por este concepto se trasladará al puntaje de oferta económica. En este caso, en el Pliego de Condiciones definitivo se incluirá el siguiente cuadro: </w:t>
      </w:r>
    </w:p>
    <w:p w14:paraId="2F49E5AD" w14:textId="77777777" w:rsidR="00E42995" w:rsidRPr="00BE2460" w:rsidRDefault="00E42995" w:rsidP="00E42995">
      <w:pPr>
        <w:widowControl w:val="0"/>
        <w:autoSpaceDE w:val="0"/>
        <w:autoSpaceDN w:val="0"/>
        <w:spacing w:after="120" w:line="276" w:lineRule="auto"/>
        <w:ind w:left="709" w:right="709"/>
        <w:jc w:val="both"/>
        <w:rPr>
          <w:rFonts w:ascii="Verdana" w:eastAsia="Calibri" w:hAnsi="Verdana" w:cs="Arial"/>
          <w:color w:val="000000" w:themeColor="text1"/>
          <w:kern w:val="2"/>
          <w:sz w:val="21"/>
          <w:szCs w:val="21"/>
          <w14:ligatures w14:val="standardContextual"/>
        </w:rPr>
      </w:pPr>
      <w:r w:rsidRPr="00BE2460">
        <w:rPr>
          <w:rFonts w:ascii="Verdana" w:eastAsia="Calibri" w:hAnsi="Verdana" w:cs="Arial"/>
          <w:color w:val="000000" w:themeColor="text1"/>
          <w:kern w:val="2"/>
          <w:sz w:val="21"/>
          <w:szCs w:val="21"/>
          <w14:ligatures w14:val="standardContextual"/>
        </w:rPr>
        <w:t>La Entidad calificará las ofertas que hayan cumplido con los requisitos habilitantes con los siguientes puntajes:</w:t>
      </w:r>
    </w:p>
    <w:tbl>
      <w:tblPr>
        <w:tblStyle w:val="Tablaconcuadrcula2"/>
        <w:tblW w:w="0" w:type="auto"/>
        <w:jc w:val="center"/>
        <w:tblLook w:val="04A0" w:firstRow="1" w:lastRow="0" w:firstColumn="1" w:lastColumn="0" w:noHBand="0" w:noVBand="1"/>
      </w:tblPr>
      <w:tblGrid>
        <w:gridCol w:w="2841"/>
        <w:gridCol w:w="2142"/>
      </w:tblGrid>
      <w:tr w:rsidR="00E42995" w:rsidRPr="00BE2460" w14:paraId="59B911FF" w14:textId="77777777">
        <w:trPr>
          <w:trHeight w:val="283"/>
          <w:tblHeader/>
          <w:jc w:val="center"/>
        </w:trPr>
        <w:tc>
          <w:tcPr>
            <w:tcW w:w="2841" w:type="dxa"/>
            <w:tcBorders>
              <w:top w:val="double" w:sz="4" w:space="0" w:color="auto"/>
              <w:left w:val="double" w:sz="4" w:space="0" w:color="auto"/>
              <w:bottom w:val="single" w:sz="4" w:space="0" w:color="auto"/>
              <w:right w:val="single" w:sz="4" w:space="0" w:color="auto"/>
            </w:tcBorders>
            <w:shd w:val="clear" w:color="auto" w:fill="404040" w:themeFill="text1" w:themeFillTint="BF"/>
            <w:vAlign w:val="center"/>
            <w:hideMark/>
          </w:tcPr>
          <w:p w14:paraId="40FCF4FD" w14:textId="77777777" w:rsidR="00E42995" w:rsidRPr="00BE2460" w:rsidRDefault="00E42995">
            <w:pPr>
              <w:tabs>
                <w:tab w:val="left" w:pos="993"/>
              </w:tabs>
              <w:spacing w:after="200"/>
              <w:ind w:left="720" w:right="624"/>
              <w:contextualSpacing/>
              <w:jc w:val="center"/>
              <w:rPr>
                <w:rFonts w:ascii="Verdana" w:eastAsia="Calibri" w:hAnsi="Verdana" w:cs="Arial"/>
                <w:b/>
                <w:color w:val="FFFFFF" w:themeColor="background1"/>
                <w:sz w:val="21"/>
                <w:szCs w:val="21"/>
                <w:lang w:val="es-ES"/>
              </w:rPr>
            </w:pPr>
            <w:r w:rsidRPr="00BE2460">
              <w:rPr>
                <w:rFonts w:ascii="Verdana" w:eastAsia="Calibri" w:hAnsi="Verdana" w:cs="Arial"/>
                <w:b/>
                <w:color w:val="FFFFFF" w:themeColor="background1"/>
                <w:sz w:val="21"/>
                <w:szCs w:val="21"/>
                <w:lang w:val="es-ES"/>
              </w:rPr>
              <w:t>Concepto</w:t>
            </w:r>
          </w:p>
        </w:tc>
        <w:tc>
          <w:tcPr>
            <w:tcW w:w="2049" w:type="dxa"/>
            <w:tcBorders>
              <w:top w:val="double" w:sz="4" w:space="0" w:color="auto"/>
              <w:left w:val="single" w:sz="4" w:space="0" w:color="auto"/>
              <w:bottom w:val="single" w:sz="4" w:space="0" w:color="auto"/>
              <w:right w:val="double" w:sz="4" w:space="0" w:color="auto"/>
            </w:tcBorders>
            <w:shd w:val="clear" w:color="auto" w:fill="404040" w:themeFill="text1" w:themeFillTint="BF"/>
            <w:vAlign w:val="center"/>
            <w:hideMark/>
          </w:tcPr>
          <w:p w14:paraId="434F7144" w14:textId="77777777" w:rsidR="00E42995" w:rsidRPr="00BE2460" w:rsidRDefault="00E42995">
            <w:pPr>
              <w:tabs>
                <w:tab w:val="left" w:pos="993"/>
              </w:tabs>
              <w:spacing w:after="200"/>
              <w:ind w:left="360" w:right="624"/>
              <w:contextualSpacing/>
              <w:jc w:val="center"/>
              <w:rPr>
                <w:rFonts w:ascii="Verdana" w:eastAsia="Calibri" w:hAnsi="Verdana" w:cs="Arial"/>
                <w:b/>
                <w:color w:val="FFFFFF" w:themeColor="background1"/>
                <w:sz w:val="21"/>
                <w:szCs w:val="21"/>
                <w:lang w:val="es-ES"/>
              </w:rPr>
            </w:pPr>
            <w:r w:rsidRPr="00BE2460">
              <w:rPr>
                <w:rFonts w:ascii="Verdana" w:eastAsia="Calibri" w:hAnsi="Verdana" w:cs="Arial"/>
                <w:b/>
                <w:color w:val="FFFFFF" w:themeColor="background1"/>
                <w:sz w:val="21"/>
                <w:szCs w:val="21"/>
                <w:lang w:val="es-ES"/>
              </w:rPr>
              <w:t>Puntaje máximo</w:t>
            </w:r>
          </w:p>
        </w:tc>
      </w:tr>
      <w:tr w:rsidR="00E42995" w:rsidRPr="00BE2460" w14:paraId="2D4B32E0" w14:textId="77777777">
        <w:trPr>
          <w:trHeight w:val="153"/>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2BF44ABD" w14:textId="77777777" w:rsidR="00E42995" w:rsidRPr="00BE2460" w:rsidRDefault="00E42995">
            <w:pPr>
              <w:tabs>
                <w:tab w:val="left" w:pos="993"/>
              </w:tabs>
              <w:ind w:left="306" w:right="48"/>
              <w:contextualSpacing/>
              <w:jc w:val="center"/>
              <w:rPr>
                <w:rFonts w:ascii="Verdana" w:eastAsia="Calibri" w:hAnsi="Verdana" w:cs="Arial"/>
                <w:sz w:val="21"/>
                <w:szCs w:val="21"/>
                <w:lang w:val="es-ES"/>
              </w:rPr>
            </w:pPr>
            <w:r w:rsidRPr="00BE2460">
              <w:rPr>
                <w:rFonts w:ascii="Verdana" w:eastAsia="Calibri" w:hAnsi="Verdana" w:cs="Arial"/>
                <w:sz w:val="21"/>
                <w:szCs w:val="21"/>
                <w:lang w:val="es-ES"/>
              </w:rPr>
              <w:t>Oferta económica</w:t>
            </w:r>
          </w:p>
        </w:tc>
        <w:tc>
          <w:tcPr>
            <w:tcW w:w="2049" w:type="dxa"/>
            <w:tcBorders>
              <w:top w:val="single" w:sz="4" w:space="0" w:color="auto"/>
              <w:left w:val="single" w:sz="4" w:space="0" w:color="auto"/>
              <w:bottom w:val="single" w:sz="4" w:space="0" w:color="auto"/>
              <w:right w:val="double" w:sz="4" w:space="0" w:color="auto"/>
            </w:tcBorders>
            <w:vAlign w:val="center"/>
            <w:hideMark/>
          </w:tcPr>
          <w:p w14:paraId="55E40C1A" w14:textId="77777777" w:rsidR="00E42995" w:rsidRPr="00BE2460" w:rsidRDefault="00E42995">
            <w:pPr>
              <w:tabs>
                <w:tab w:val="left" w:pos="993"/>
              </w:tabs>
              <w:ind w:left="306" w:right="624"/>
              <w:contextualSpacing/>
              <w:jc w:val="center"/>
              <w:rPr>
                <w:rFonts w:ascii="Verdana" w:eastAsia="Calibri" w:hAnsi="Verdana" w:cs="Arial"/>
                <w:sz w:val="21"/>
                <w:szCs w:val="21"/>
                <w:lang w:val="es-ES"/>
              </w:rPr>
            </w:pPr>
          </w:p>
          <w:p w14:paraId="28B11A50" w14:textId="77777777" w:rsidR="00E42995" w:rsidRPr="00BE2460" w:rsidRDefault="00E42995">
            <w:pPr>
              <w:tabs>
                <w:tab w:val="left" w:pos="993"/>
              </w:tabs>
              <w:ind w:left="306" w:right="624"/>
              <w:contextualSpacing/>
              <w:jc w:val="center"/>
              <w:rPr>
                <w:rFonts w:ascii="Verdana" w:eastAsia="Calibri" w:hAnsi="Verdana" w:cs="Arial"/>
                <w:sz w:val="21"/>
                <w:szCs w:val="21"/>
                <w:lang w:val="es-ES"/>
              </w:rPr>
            </w:pPr>
            <w:r w:rsidRPr="00BE2460">
              <w:rPr>
                <w:rFonts w:ascii="Verdana" w:eastAsia="Calibri" w:hAnsi="Verdana" w:cs="Arial"/>
                <w:sz w:val="21"/>
                <w:szCs w:val="21"/>
                <w:lang w:val="es-ES"/>
              </w:rPr>
              <w:t>48,75</w:t>
            </w:r>
          </w:p>
        </w:tc>
      </w:tr>
      <w:tr w:rsidR="00E42995" w:rsidRPr="00BE2460" w14:paraId="00C86DCF" w14:textId="77777777">
        <w:trPr>
          <w:trHeight w:val="287"/>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38EB7D9D" w14:textId="77777777" w:rsidR="00E42995" w:rsidRPr="00BE2460" w:rsidRDefault="00E42995">
            <w:pPr>
              <w:tabs>
                <w:tab w:val="left" w:pos="993"/>
              </w:tabs>
              <w:ind w:left="306" w:right="48"/>
              <w:contextualSpacing/>
              <w:jc w:val="center"/>
              <w:rPr>
                <w:rFonts w:ascii="Verdana" w:eastAsia="Calibri" w:hAnsi="Verdana" w:cs="Arial"/>
                <w:sz w:val="21"/>
                <w:szCs w:val="21"/>
                <w:lang w:val="es-ES"/>
              </w:rPr>
            </w:pPr>
            <w:r w:rsidRPr="00BE2460">
              <w:rPr>
                <w:rFonts w:ascii="Verdana" w:eastAsia="Calibri" w:hAnsi="Verdana" w:cs="Arial"/>
                <w:sz w:val="21"/>
                <w:szCs w:val="21"/>
                <w:lang w:val="es-ES"/>
              </w:rPr>
              <w:t>Factor de calidad</w:t>
            </w:r>
          </w:p>
        </w:tc>
        <w:tc>
          <w:tcPr>
            <w:tcW w:w="2049" w:type="dxa"/>
            <w:tcBorders>
              <w:top w:val="single" w:sz="4" w:space="0" w:color="auto"/>
              <w:left w:val="single" w:sz="4" w:space="0" w:color="auto"/>
              <w:bottom w:val="single" w:sz="4" w:space="0" w:color="auto"/>
              <w:right w:val="double" w:sz="4" w:space="0" w:color="auto"/>
            </w:tcBorders>
            <w:vAlign w:val="center"/>
            <w:hideMark/>
          </w:tcPr>
          <w:p w14:paraId="3D3EB964" w14:textId="77777777" w:rsidR="00E42995" w:rsidRPr="00BE2460" w:rsidRDefault="00E42995">
            <w:pPr>
              <w:tabs>
                <w:tab w:val="left" w:pos="993"/>
              </w:tabs>
              <w:ind w:left="306" w:right="624"/>
              <w:contextualSpacing/>
              <w:jc w:val="center"/>
              <w:rPr>
                <w:rFonts w:ascii="Verdana" w:eastAsia="Calibri" w:hAnsi="Verdana" w:cs="Arial"/>
                <w:sz w:val="21"/>
                <w:szCs w:val="21"/>
                <w:lang w:val="es-ES"/>
              </w:rPr>
            </w:pPr>
          </w:p>
          <w:p w14:paraId="2A5B0480" w14:textId="77777777" w:rsidR="00E42995" w:rsidRPr="00BE2460" w:rsidRDefault="00E42995">
            <w:pPr>
              <w:tabs>
                <w:tab w:val="left" w:pos="993"/>
              </w:tabs>
              <w:ind w:left="306" w:right="624"/>
              <w:contextualSpacing/>
              <w:jc w:val="center"/>
              <w:rPr>
                <w:rFonts w:ascii="Verdana" w:eastAsia="Calibri" w:hAnsi="Verdana" w:cs="Arial"/>
                <w:sz w:val="21"/>
                <w:szCs w:val="21"/>
                <w:lang w:val="es-ES"/>
              </w:rPr>
            </w:pPr>
            <w:r w:rsidRPr="00BE2460">
              <w:rPr>
                <w:rFonts w:ascii="Verdana" w:eastAsia="Calibri" w:hAnsi="Verdana" w:cs="Arial"/>
                <w:sz w:val="21"/>
                <w:szCs w:val="21"/>
                <w:lang w:val="es-ES"/>
              </w:rPr>
              <w:t>30</w:t>
            </w:r>
          </w:p>
        </w:tc>
      </w:tr>
      <w:tr w:rsidR="00E42995" w:rsidRPr="00BE2460" w14:paraId="483ED953" w14:textId="77777777">
        <w:trPr>
          <w:trHeight w:val="305"/>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2429405E" w14:textId="77777777" w:rsidR="00E42995" w:rsidRPr="00BE2460" w:rsidRDefault="00E42995">
            <w:pPr>
              <w:tabs>
                <w:tab w:val="left" w:pos="993"/>
              </w:tabs>
              <w:ind w:left="306" w:right="48"/>
              <w:contextualSpacing/>
              <w:jc w:val="center"/>
              <w:rPr>
                <w:rFonts w:ascii="Verdana" w:eastAsia="Calibri" w:hAnsi="Verdana" w:cs="Arial"/>
                <w:sz w:val="21"/>
                <w:szCs w:val="21"/>
                <w:lang w:val="es-ES"/>
              </w:rPr>
            </w:pPr>
            <w:r w:rsidRPr="00BE2460">
              <w:rPr>
                <w:rFonts w:ascii="Verdana" w:eastAsia="Calibri" w:hAnsi="Verdana" w:cs="Arial"/>
                <w:sz w:val="21"/>
                <w:szCs w:val="21"/>
                <w:lang w:val="es-ES"/>
              </w:rPr>
              <w:t>Apoyo a la industria nacional</w:t>
            </w:r>
          </w:p>
        </w:tc>
        <w:tc>
          <w:tcPr>
            <w:tcW w:w="2049" w:type="dxa"/>
            <w:tcBorders>
              <w:top w:val="single" w:sz="4" w:space="0" w:color="auto"/>
              <w:left w:val="single" w:sz="4" w:space="0" w:color="auto"/>
              <w:bottom w:val="single" w:sz="4" w:space="0" w:color="auto"/>
              <w:right w:val="double" w:sz="4" w:space="0" w:color="auto"/>
            </w:tcBorders>
            <w:vAlign w:val="center"/>
            <w:hideMark/>
          </w:tcPr>
          <w:p w14:paraId="5D972965" w14:textId="77777777" w:rsidR="00E42995" w:rsidRPr="00BE2460" w:rsidRDefault="00E42995">
            <w:pPr>
              <w:tabs>
                <w:tab w:val="left" w:pos="993"/>
              </w:tabs>
              <w:ind w:left="306" w:right="624"/>
              <w:contextualSpacing/>
              <w:jc w:val="center"/>
              <w:rPr>
                <w:rFonts w:ascii="Verdana" w:eastAsia="Calibri" w:hAnsi="Verdana" w:cs="Arial"/>
                <w:sz w:val="21"/>
                <w:szCs w:val="21"/>
                <w:lang w:val="es-ES"/>
              </w:rPr>
            </w:pPr>
          </w:p>
          <w:p w14:paraId="0B1BE578" w14:textId="77777777" w:rsidR="00E42995" w:rsidRPr="00BE2460" w:rsidRDefault="00E42995">
            <w:pPr>
              <w:tabs>
                <w:tab w:val="left" w:pos="993"/>
              </w:tabs>
              <w:ind w:left="306" w:right="624"/>
              <w:contextualSpacing/>
              <w:jc w:val="center"/>
              <w:rPr>
                <w:rFonts w:ascii="Verdana" w:eastAsia="Calibri" w:hAnsi="Verdana" w:cs="Arial"/>
                <w:sz w:val="21"/>
                <w:szCs w:val="21"/>
                <w:lang w:val="es-ES"/>
              </w:rPr>
            </w:pPr>
            <w:r w:rsidRPr="00BE2460">
              <w:rPr>
                <w:rFonts w:ascii="Verdana" w:eastAsia="Calibri" w:hAnsi="Verdana" w:cs="Arial"/>
                <w:sz w:val="21"/>
                <w:szCs w:val="21"/>
                <w:lang w:val="es-ES"/>
              </w:rPr>
              <w:t>20</w:t>
            </w:r>
          </w:p>
        </w:tc>
      </w:tr>
      <w:tr w:rsidR="00E42995" w:rsidRPr="00BE2460" w14:paraId="3C7779B4"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tcPr>
          <w:p w14:paraId="2E242FDA" w14:textId="77777777" w:rsidR="00E42995" w:rsidRPr="00BE2460" w:rsidRDefault="00E42995">
            <w:pPr>
              <w:tabs>
                <w:tab w:val="left" w:pos="993"/>
              </w:tabs>
              <w:ind w:left="306" w:right="48"/>
              <w:contextualSpacing/>
              <w:jc w:val="center"/>
              <w:rPr>
                <w:rFonts w:ascii="Verdana" w:eastAsia="Calibri" w:hAnsi="Verdana" w:cs="Arial"/>
                <w:sz w:val="21"/>
                <w:szCs w:val="21"/>
                <w:lang w:val="es-ES"/>
              </w:rPr>
            </w:pPr>
            <w:r w:rsidRPr="00BE2460">
              <w:rPr>
                <w:rFonts w:ascii="Verdana" w:eastAsia="Calibri" w:hAnsi="Verdana" w:cs="Arial"/>
                <w:sz w:val="21"/>
                <w:szCs w:val="21"/>
                <w:lang w:val="es-ES"/>
              </w:rPr>
              <w:t>Vinculación de personas con discapacidad</w:t>
            </w:r>
          </w:p>
        </w:tc>
        <w:tc>
          <w:tcPr>
            <w:tcW w:w="2049" w:type="dxa"/>
            <w:tcBorders>
              <w:top w:val="single" w:sz="4" w:space="0" w:color="auto"/>
              <w:left w:val="single" w:sz="4" w:space="0" w:color="auto"/>
              <w:bottom w:val="single" w:sz="4" w:space="0" w:color="auto"/>
              <w:right w:val="double" w:sz="4" w:space="0" w:color="auto"/>
            </w:tcBorders>
            <w:vAlign w:val="center"/>
          </w:tcPr>
          <w:p w14:paraId="3D4C8AD9" w14:textId="77777777" w:rsidR="00E42995" w:rsidRPr="00BE2460" w:rsidRDefault="00E42995">
            <w:pPr>
              <w:tabs>
                <w:tab w:val="left" w:pos="993"/>
              </w:tabs>
              <w:ind w:left="306" w:right="624"/>
              <w:contextualSpacing/>
              <w:jc w:val="center"/>
              <w:rPr>
                <w:rFonts w:ascii="Verdana" w:eastAsia="Calibri" w:hAnsi="Verdana" w:cs="Arial"/>
                <w:sz w:val="21"/>
                <w:szCs w:val="21"/>
                <w:lang w:val="es-ES"/>
              </w:rPr>
            </w:pPr>
            <w:r w:rsidRPr="00BE2460">
              <w:rPr>
                <w:rFonts w:ascii="Verdana" w:eastAsia="Calibri" w:hAnsi="Verdana" w:cs="Arial"/>
                <w:sz w:val="21"/>
                <w:szCs w:val="21"/>
                <w:lang w:val="es-ES"/>
              </w:rPr>
              <w:t>1</w:t>
            </w:r>
          </w:p>
        </w:tc>
      </w:tr>
      <w:tr w:rsidR="00E42995" w:rsidRPr="00BE2460" w14:paraId="4C13FC1A" w14:textId="77777777">
        <w:trPr>
          <w:trHeight w:val="265"/>
          <w:jc w:val="center"/>
        </w:trPr>
        <w:tc>
          <w:tcPr>
            <w:tcW w:w="2841" w:type="dxa"/>
            <w:tcBorders>
              <w:top w:val="single" w:sz="4" w:space="0" w:color="auto"/>
              <w:left w:val="double" w:sz="4" w:space="0" w:color="auto"/>
              <w:bottom w:val="single" w:sz="4" w:space="0" w:color="auto"/>
              <w:right w:val="single" w:sz="4" w:space="0" w:color="auto"/>
            </w:tcBorders>
            <w:vAlign w:val="center"/>
          </w:tcPr>
          <w:p w14:paraId="4E84C42F" w14:textId="77777777" w:rsidR="00E42995" w:rsidRPr="00BE2460" w:rsidRDefault="00E42995">
            <w:pPr>
              <w:tabs>
                <w:tab w:val="left" w:pos="993"/>
              </w:tabs>
              <w:ind w:left="306" w:right="48"/>
              <w:contextualSpacing/>
              <w:jc w:val="center"/>
              <w:rPr>
                <w:rFonts w:ascii="Verdana" w:eastAsia="Calibri" w:hAnsi="Verdana" w:cs="Arial"/>
                <w:sz w:val="21"/>
                <w:szCs w:val="21"/>
                <w:lang w:val="es-ES"/>
              </w:rPr>
            </w:pPr>
            <w:r w:rsidRPr="00BE2460">
              <w:rPr>
                <w:rFonts w:ascii="Verdana" w:eastAsia="Calibri" w:hAnsi="Verdana" w:cs="Arial"/>
                <w:sz w:val="21"/>
                <w:szCs w:val="21"/>
                <w:lang w:val="es-ES"/>
              </w:rPr>
              <w:t>Emprendimientos y empresas de mujeres</w:t>
            </w:r>
          </w:p>
        </w:tc>
        <w:tc>
          <w:tcPr>
            <w:tcW w:w="2049" w:type="dxa"/>
            <w:tcBorders>
              <w:top w:val="single" w:sz="4" w:space="0" w:color="auto"/>
              <w:left w:val="single" w:sz="4" w:space="0" w:color="auto"/>
              <w:bottom w:val="single" w:sz="4" w:space="0" w:color="auto"/>
              <w:right w:val="double" w:sz="4" w:space="0" w:color="auto"/>
            </w:tcBorders>
            <w:vAlign w:val="center"/>
          </w:tcPr>
          <w:p w14:paraId="56671817" w14:textId="77777777" w:rsidR="00E42995" w:rsidRPr="00BE2460" w:rsidRDefault="00E42995">
            <w:pPr>
              <w:tabs>
                <w:tab w:val="left" w:pos="993"/>
              </w:tabs>
              <w:ind w:left="306" w:right="624"/>
              <w:contextualSpacing/>
              <w:jc w:val="center"/>
              <w:rPr>
                <w:rFonts w:ascii="Verdana" w:eastAsia="Calibri" w:hAnsi="Verdana" w:cs="Arial"/>
                <w:sz w:val="21"/>
                <w:szCs w:val="21"/>
                <w:lang w:val="es-ES"/>
              </w:rPr>
            </w:pPr>
            <w:r w:rsidRPr="00BE2460">
              <w:rPr>
                <w:rFonts w:ascii="Verdana" w:eastAsia="Calibri" w:hAnsi="Verdana" w:cs="Arial"/>
                <w:sz w:val="21"/>
                <w:szCs w:val="21"/>
                <w:lang w:val="es-ES"/>
              </w:rPr>
              <w:t>0,25</w:t>
            </w:r>
          </w:p>
        </w:tc>
      </w:tr>
      <w:tr w:rsidR="00E42995" w:rsidRPr="00BE2460" w14:paraId="5EDC8AAD" w14:textId="77777777">
        <w:trPr>
          <w:jc w:val="center"/>
        </w:trPr>
        <w:tc>
          <w:tcPr>
            <w:tcW w:w="2841" w:type="dxa"/>
            <w:tcBorders>
              <w:top w:val="single" w:sz="4" w:space="0" w:color="auto"/>
              <w:left w:val="double" w:sz="4" w:space="0" w:color="auto"/>
              <w:bottom w:val="double" w:sz="4" w:space="0" w:color="auto"/>
              <w:right w:val="single" w:sz="4" w:space="0" w:color="auto"/>
            </w:tcBorders>
            <w:vAlign w:val="center"/>
            <w:hideMark/>
          </w:tcPr>
          <w:p w14:paraId="35BB51CE" w14:textId="77777777" w:rsidR="00E42995" w:rsidRPr="00BE2460" w:rsidRDefault="00E42995">
            <w:pPr>
              <w:tabs>
                <w:tab w:val="left" w:pos="993"/>
              </w:tabs>
              <w:ind w:left="720" w:right="624"/>
              <w:contextualSpacing/>
              <w:jc w:val="center"/>
              <w:rPr>
                <w:rFonts w:ascii="Verdana" w:eastAsia="Calibri" w:hAnsi="Verdana" w:cs="Arial"/>
                <w:sz w:val="21"/>
                <w:szCs w:val="21"/>
                <w:lang w:val="es-ES"/>
              </w:rPr>
            </w:pPr>
            <w:r w:rsidRPr="00BE2460">
              <w:rPr>
                <w:rFonts w:ascii="Verdana" w:eastAsia="Calibri" w:hAnsi="Verdana" w:cs="Arial"/>
                <w:sz w:val="21"/>
                <w:szCs w:val="21"/>
                <w:lang w:val="es-ES"/>
              </w:rPr>
              <w:t>Total</w:t>
            </w:r>
          </w:p>
        </w:tc>
        <w:tc>
          <w:tcPr>
            <w:tcW w:w="2049" w:type="dxa"/>
            <w:tcBorders>
              <w:top w:val="single" w:sz="4" w:space="0" w:color="auto"/>
              <w:left w:val="single" w:sz="4" w:space="0" w:color="auto"/>
              <w:bottom w:val="double" w:sz="4" w:space="0" w:color="auto"/>
              <w:right w:val="double" w:sz="4" w:space="0" w:color="auto"/>
            </w:tcBorders>
            <w:vAlign w:val="center"/>
            <w:hideMark/>
          </w:tcPr>
          <w:p w14:paraId="6E3E15F0" w14:textId="77777777" w:rsidR="00E42995" w:rsidRPr="00BE2460" w:rsidRDefault="00E42995">
            <w:pPr>
              <w:tabs>
                <w:tab w:val="left" w:pos="993"/>
              </w:tabs>
              <w:ind w:left="433" w:right="624" w:hanging="145"/>
              <w:contextualSpacing/>
              <w:jc w:val="center"/>
              <w:rPr>
                <w:rFonts w:ascii="Verdana" w:eastAsia="Calibri" w:hAnsi="Verdana" w:cs="Arial"/>
                <w:sz w:val="21"/>
                <w:szCs w:val="21"/>
                <w:lang w:val="es-ES"/>
              </w:rPr>
            </w:pPr>
            <w:r w:rsidRPr="00BE2460">
              <w:rPr>
                <w:rFonts w:ascii="Verdana" w:eastAsia="Calibri" w:hAnsi="Verdana" w:cs="Arial"/>
                <w:sz w:val="21"/>
                <w:szCs w:val="21"/>
                <w:lang w:val="es-ES"/>
              </w:rPr>
              <w:t>100</w:t>
            </w:r>
          </w:p>
        </w:tc>
      </w:tr>
    </w:tbl>
    <w:p w14:paraId="4DC0FDAB" w14:textId="77777777" w:rsidR="00E42995" w:rsidRPr="00BE2460" w:rsidRDefault="00E42995" w:rsidP="00E42995">
      <w:pPr>
        <w:widowControl w:val="0"/>
        <w:autoSpaceDE w:val="0"/>
        <w:autoSpaceDN w:val="0"/>
        <w:spacing w:after="120" w:line="276" w:lineRule="auto"/>
        <w:ind w:left="709" w:right="709"/>
        <w:jc w:val="both"/>
        <w:rPr>
          <w:rFonts w:ascii="Verdana" w:eastAsia="Calibri" w:hAnsi="Verdana" w:cs="Arial"/>
          <w:color w:val="000000" w:themeColor="text1"/>
          <w:kern w:val="2"/>
          <w:sz w:val="21"/>
          <w:szCs w:val="21"/>
          <w14:ligatures w14:val="standardContextual"/>
        </w:rPr>
      </w:pPr>
    </w:p>
    <w:p w14:paraId="7FD05565" w14:textId="77777777" w:rsidR="00E42995" w:rsidRPr="00BE2460" w:rsidRDefault="00E42995" w:rsidP="00E42995">
      <w:pPr>
        <w:widowControl w:val="0"/>
        <w:autoSpaceDE w:val="0"/>
        <w:autoSpaceDN w:val="0"/>
        <w:spacing w:after="120" w:line="276" w:lineRule="auto"/>
        <w:ind w:left="709" w:right="709"/>
        <w:jc w:val="both"/>
        <w:rPr>
          <w:rFonts w:ascii="Verdana" w:eastAsia="Calibri" w:hAnsi="Verdana" w:cs="Arial"/>
          <w:color w:val="000000" w:themeColor="text1"/>
          <w:kern w:val="2"/>
          <w:sz w:val="21"/>
          <w:szCs w:val="21"/>
          <w14:ligatures w14:val="standardContextual"/>
        </w:rPr>
      </w:pPr>
      <w:r w:rsidRPr="00BE2460">
        <w:rPr>
          <w:rFonts w:ascii="Verdana" w:eastAsia="Calibri" w:hAnsi="Verdana" w:cs="Arial"/>
          <w:color w:val="000000" w:themeColor="text1"/>
          <w:kern w:val="2"/>
          <w:sz w:val="21"/>
          <w:szCs w:val="21"/>
          <w14:ligatures w14:val="standardContextual"/>
        </w:rPr>
        <w:t xml:space="preserve">De conformidad con el artículo 67 de la Ley 915 de 2004, cuando el objeto del contrato deba ser desarrollado en el territorio del departamento Archipiélago de San Andrés, Providencia y Santa </w:t>
      </w:r>
      <w:r w:rsidRPr="00BE2460">
        <w:rPr>
          <w:rFonts w:ascii="Verdana" w:eastAsia="Calibri" w:hAnsi="Verdana" w:cs="Arial"/>
          <w:color w:val="000000" w:themeColor="text1"/>
          <w:kern w:val="2"/>
          <w:sz w:val="21"/>
          <w:szCs w:val="21"/>
          <w14:ligatures w14:val="standardContextual"/>
        </w:rPr>
        <w:lastRenderedPageBreak/>
        <w:t>Catalina, la Entidad calificará las ofertas que hayan cumplido con los requisitos habilitantes con los siguientes puntajes:</w:t>
      </w:r>
    </w:p>
    <w:tbl>
      <w:tblPr>
        <w:tblStyle w:val="Tablaconcuadrcula2"/>
        <w:tblW w:w="0" w:type="auto"/>
        <w:jc w:val="center"/>
        <w:tblLook w:val="04A0" w:firstRow="1" w:lastRow="0" w:firstColumn="1" w:lastColumn="0" w:noHBand="0" w:noVBand="1"/>
      </w:tblPr>
      <w:tblGrid>
        <w:gridCol w:w="2841"/>
        <w:gridCol w:w="2142"/>
      </w:tblGrid>
      <w:tr w:rsidR="00E42995" w:rsidRPr="00BE2460" w14:paraId="665F85A6" w14:textId="77777777">
        <w:trPr>
          <w:trHeight w:val="283"/>
          <w:tblHeader/>
          <w:jc w:val="center"/>
        </w:trPr>
        <w:tc>
          <w:tcPr>
            <w:tcW w:w="2841" w:type="dxa"/>
            <w:tcBorders>
              <w:top w:val="double" w:sz="4" w:space="0" w:color="auto"/>
              <w:left w:val="double" w:sz="4" w:space="0" w:color="auto"/>
              <w:bottom w:val="single" w:sz="4" w:space="0" w:color="auto"/>
              <w:right w:val="single" w:sz="4" w:space="0" w:color="auto"/>
            </w:tcBorders>
            <w:shd w:val="clear" w:color="auto" w:fill="404040" w:themeFill="text1" w:themeFillTint="BF"/>
            <w:vAlign w:val="center"/>
            <w:hideMark/>
          </w:tcPr>
          <w:p w14:paraId="76690072" w14:textId="77777777" w:rsidR="00E42995" w:rsidRPr="00BE2460" w:rsidRDefault="00E42995">
            <w:pPr>
              <w:tabs>
                <w:tab w:val="left" w:pos="993"/>
              </w:tabs>
              <w:spacing w:after="200"/>
              <w:ind w:left="720" w:right="624"/>
              <w:contextualSpacing/>
              <w:rPr>
                <w:rFonts w:ascii="Verdana" w:eastAsia="Calibri" w:hAnsi="Verdana" w:cs="Arial"/>
                <w:b/>
                <w:iCs/>
                <w:color w:val="FFFFFF" w:themeColor="background1"/>
                <w:sz w:val="21"/>
                <w:szCs w:val="21"/>
                <w:lang w:val="es-ES"/>
              </w:rPr>
            </w:pPr>
            <w:r w:rsidRPr="00BE2460">
              <w:rPr>
                <w:rFonts w:ascii="Verdana" w:eastAsia="Calibri" w:hAnsi="Verdana" w:cs="Arial"/>
                <w:b/>
                <w:iCs/>
                <w:color w:val="FFFFFF" w:themeColor="background1"/>
                <w:sz w:val="21"/>
                <w:szCs w:val="21"/>
                <w:lang w:val="es-ES"/>
              </w:rPr>
              <w:t>Concepto</w:t>
            </w:r>
          </w:p>
        </w:tc>
        <w:tc>
          <w:tcPr>
            <w:tcW w:w="1820" w:type="dxa"/>
            <w:tcBorders>
              <w:top w:val="double" w:sz="4" w:space="0" w:color="auto"/>
              <w:left w:val="single" w:sz="4" w:space="0" w:color="auto"/>
              <w:bottom w:val="single" w:sz="4" w:space="0" w:color="auto"/>
              <w:right w:val="double" w:sz="4" w:space="0" w:color="auto"/>
            </w:tcBorders>
            <w:shd w:val="clear" w:color="auto" w:fill="404040" w:themeFill="text1" w:themeFillTint="BF"/>
            <w:vAlign w:val="center"/>
            <w:hideMark/>
          </w:tcPr>
          <w:p w14:paraId="3542FFE3" w14:textId="77777777" w:rsidR="00E42995" w:rsidRPr="00BE2460" w:rsidRDefault="00E42995">
            <w:pPr>
              <w:tabs>
                <w:tab w:val="left" w:pos="993"/>
              </w:tabs>
              <w:spacing w:after="200"/>
              <w:ind w:left="360" w:right="624"/>
              <w:contextualSpacing/>
              <w:jc w:val="center"/>
              <w:rPr>
                <w:rFonts w:ascii="Verdana" w:eastAsia="Calibri" w:hAnsi="Verdana" w:cs="Arial"/>
                <w:b/>
                <w:iCs/>
                <w:color w:val="FFFFFF" w:themeColor="background1"/>
                <w:sz w:val="21"/>
                <w:szCs w:val="21"/>
                <w:lang w:val="es-ES"/>
              </w:rPr>
            </w:pPr>
            <w:r w:rsidRPr="00BE2460">
              <w:rPr>
                <w:rFonts w:ascii="Verdana" w:eastAsia="Calibri" w:hAnsi="Verdana" w:cs="Arial"/>
                <w:b/>
                <w:iCs/>
                <w:color w:val="FFFFFF" w:themeColor="background1"/>
                <w:sz w:val="21"/>
                <w:szCs w:val="21"/>
                <w:lang w:val="es-ES"/>
              </w:rPr>
              <w:t>Puntaje máximo</w:t>
            </w:r>
          </w:p>
        </w:tc>
      </w:tr>
      <w:tr w:rsidR="00E42995" w:rsidRPr="00BE2460" w14:paraId="6DA3DDF5" w14:textId="77777777">
        <w:trPr>
          <w:trHeight w:val="569"/>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79971781" w14:textId="77777777" w:rsidR="00E42995" w:rsidRPr="00BE2460" w:rsidRDefault="00E42995">
            <w:pPr>
              <w:tabs>
                <w:tab w:val="left" w:pos="993"/>
              </w:tabs>
              <w:spacing w:after="200"/>
              <w:ind w:left="164" w:right="48"/>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Oferta económica</w:t>
            </w:r>
          </w:p>
        </w:tc>
        <w:tc>
          <w:tcPr>
            <w:tcW w:w="1820" w:type="dxa"/>
            <w:tcBorders>
              <w:top w:val="single" w:sz="4" w:space="0" w:color="auto"/>
              <w:left w:val="single" w:sz="4" w:space="0" w:color="auto"/>
              <w:bottom w:val="single" w:sz="4" w:space="0" w:color="auto"/>
              <w:right w:val="double" w:sz="4" w:space="0" w:color="auto"/>
            </w:tcBorders>
            <w:vAlign w:val="center"/>
          </w:tcPr>
          <w:p w14:paraId="346DA6C7" w14:textId="77777777" w:rsidR="00E42995" w:rsidRPr="00BE2460" w:rsidRDefault="00E42995">
            <w:pPr>
              <w:tabs>
                <w:tab w:val="left" w:pos="993"/>
              </w:tabs>
              <w:spacing w:after="200"/>
              <w:ind w:left="360" w:right="624"/>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43,75</w:t>
            </w:r>
          </w:p>
        </w:tc>
      </w:tr>
      <w:tr w:rsidR="00E42995" w:rsidRPr="00BE2460" w14:paraId="7FBBE205"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4286ECA6" w14:textId="77777777" w:rsidR="00E42995" w:rsidRPr="00BE2460" w:rsidRDefault="00E42995">
            <w:pPr>
              <w:tabs>
                <w:tab w:val="left" w:pos="993"/>
              </w:tabs>
              <w:spacing w:after="200"/>
              <w:ind w:left="164" w:right="48"/>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Factor de calidad</w:t>
            </w:r>
          </w:p>
        </w:tc>
        <w:tc>
          <w:tcPr>
            <w:tcW w:w="1820" w:type="dxa"/>
            <w:tcBorders>
              <w:top w:val="single" w:sz="4" w:space="0" w:color="auto"/>
              <w:left w:val="single" w:sz="4" w:space="0" w:color="auto"/>
              <w:bottom w:val="single" w:sz="4" w:space="0" w:color="auto"/>
              <w:right w:val="double" w:sz="4" w:space="0" w:color="auto"/>
            </w:tcBorders>
            <w:vAlign w:val="center"/>
          </w:tcPr>
          <w:p w14:paraId="4D3184AE" w14:textId="77777777" w:rsidR="00E42995" w:rsidRPr="00BE2460" w:rsidRDefault="00E42995">
            <w:pPr>
              <w:tabs>
                <w:tab w:val="left" w:pos="993"/>
              </w:tabs>
              <w:spacing w:after="200"/>
              <w:ind w:left="360" w:right="624"/>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30</w:t>
            </w:r>
          </w:p>
        </w:tc>
      </w:tr>
      <w:tr w:rsidR="00E42995" w:rsidRPr="00BE2460" w14:paraId="6144BB5C"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65DADFB6" w14:textId="77777777" w:rsidR="00E42995" w:rsidRPr="00BE2460" w:rsidRDefault="00E42995">
            <w:pPr>
              <w:tabs>
                <w:tab w:val="left" w:pos="993"/>
              </w:tabs>
              <w:spacing w:after="200"/>
              <w:ind w:left="164" w:right="48"/>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Apoyo a la industria nacional</w:t>
            </w:r>
          </w:p>
        </w:tc>
        <w:tc>
          <w:tcPr>
            <w:tcW w:w="1820" w:type="dxa"/>
            <w:tcBorders>
              <w:top w:val="single" w:sz="4" w:space="0" w:color="auto"/>
              <w:left w:val="single" w:sz="4" w:space="0" w:color="auto"/>
              <w:bottom w:val="single" w:sz="4" w:space="0" w:color="auto"/>
              <w:right w:val="double" w:sz="4" w:space="0" w:color="auto"/>
            </w:tcBorders>
            <w:vAlign w:val="center"/>
          </w:tcPr>
          <w:p w14:paraId="18C539BD" w14:textId="77777777" w:rsidR="00E42995" w:rsidRPr="00BE2460" w:rsidRDefault="00E42995">
            <w:pPr>
              <w:tabs>
                <w:tab w:val="left" w:pos="993"/>
              </w:tabs>
              <w:spacing w:after="200"/>
              <w:ind w:left="360" w:right="624"/>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20</w:t>
            </w:r>
          </w:p>
        </w:tc>
      </w:tr>
      <w:tr w:rsidR="00E42995" w:rsidRPr="00BE2460" w14:paraId="5A762BE4"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tcPr>
          <w:p w14:paraId="24D49F00" w14:textId="77777777" w:rsidR="00E42995" w:rsidRPr="00BE2460" w:rsidRDefault="00E42995">
            <w:pPr>
              <w:tabs>
                <w:tab w:val="left" w:pos="993"/>
              </w:tabs>
              <w:spacing w:after="200"/>
              <w:ind w:left="164" w:right="48"/>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Vinculación de personas con discapacidad</w:t>
            </w:r>
          </w:p>
        </w:tc>
        <w:tc>
          <w:tcPr>
            <w:tcW w:w="1820" w:type="dxa"/>
            <w:tcBorders>
              <w:top w:val="single" w:sz="4" w:space="0" w:color="auto"/>
              <w:left w:val="single" w:sz="4" w:space="0" w:color="auto"/>
              <w:bottom w:val="single" w:sz="4" w:space="0" w:color="auto"/>
              <w:right w:val="double" w:sz="4" w:space="0" w:color="auto"/>
            </w:tcBorders>
            <w:vAlign w:val="center"/>
          </w:tcPr>
          <w:p w14:paraId="0BE49008" w14:textId="77777777" w:rsidR="00E42995" w:rsidRPr="00BE2460" w:rsidRDefault="00E42995">
            <w:pPr>
              <w:tabs>
                <w:tab w:val="left" w:pos="993"/>
              </w:tabs>
              <w:spacing w:after="200"/>
              <w:ind w:left="360" w:right="624"/>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1</w:t>
            </w:r>
          </w:p>
        </w:tc>
      </w:tr>
      <w:tr w:rsidR="00E42995" w:rsidRPr="00BE2460" w14:paraId="1202FF22"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tcPr>
          <w:p w14:paraId="027EB162" w14:textId="77777777" w:rsidR="00E42995" w:rsidRPr="00BE2460" w:rsidRDefault="00E42995">
            <w:pPr>
              <w:tabs>
                <w:tab w:val="left" w:pos="993"/>
              </w:tabs>
              <w:spacing w:after="200"/>
              <w:ind w:left="164" w:right="48"/>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Tarjeta de Circulación y Residencia “OCCRE”</w:t>
            </w:r>
          </w:p>
        </w:tc>
        <w:tc>
          <w:tcPr>
            <w:tcW w:w="1820" w:type="dxa"/>
            <w:tcBorders>
              <w:top w:val="single" w:sz="4" w:space="0" w:color="auto"/>
              <w:left w:val="single" w:sz="4" w:space="0" w:color="auto"/>
              <w:bottom w:val="single" w:sz="4" w:space="0" w:color="auto"/>
              <w:right w:val="double" w:sz="4" w:space="0" w:color="auto"/>
            </w:tcBorders>
            <w:vAlign w:val="center"/>
          </w:tcPr>
          <w:p w14:paraId="5167B120" w14:textId="77777777" w:rsidR="00E42995" w:rsidRPr="00BE2460" w:rsidRDefault="00E42995">
            <w:pPr>
              <w:tabs>
                <w:tab w:val="left" w:pos="993"/>
              </w:tabs>
              <w:spacing w:after="200"/>
              <w:ind w:left="360" w:right="624"/>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5</w:t>
            </w:r>
          </w:p>
        </w:tc>
      </w:tr>
      <w:tr w:rsidR="00E42995" w:rsidRPr="00BE2460" w14:paraId="558FDEA0"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tcPr>
          <w:p w14:paraId="1802720D" w14:textId="77777777" w:rsidR="00E42995" w:rsidRPr="00BE2460" w:rsidRDefault="00E42995">
            <w:pPr>
              <w:tabs>
                <w:tab w:val="left" w:pos="993"/>
              </w:tabs>
              <w:spacing w:after="200"/>
              <w:ind w:left="164" w:right="48"/>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Emprendimientos y empresas de mujeres</w:t>
            </w:r>
          </w:p>
        </w:tc>
        <w:tc>
          <w:tcPr>
            <w:tcW w:w="1820" w:type="dxa"/>
            <w:tcBorders>
              <w:top w:val="single" w:sz="4" w:space="0" w:color="auto"/>
              <w:left w:val="single" w:sz="4" w:space="0" w:color="auto"/>
              <w:bottom w:val="single" w:sz="4" w:space="0" w:color="auto"/>
              <w:right w:val="double" w:sz="4" w:space="0" w:color="auto"/>
            </w:tcBorders>
            <w:vAlign w:val="center"/>
          </w:tcPr>
          <w:p w14:paraId="30DE2721" w14:textId="77777777" w:rsidR="00E42995" w:rsidRPr="00BE2460" w:rsidRDefault="00E42995">
            <w:pPr>
              <w:tabs>
                <w:tab w:val="left" w:pos="993"/>
              </w:tabs>
              <w:spacing w:after="200"/>
              <w:ind w:left="360" w:right="624"/>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0,25</w:t>
            </w:r>
          </w:p>
        </w:tc>
      </w:tr>
      <w:tr w:rsidR="00E42995" w:rsidRPr="00BE2460" w14:paraId="32457C40" w14:textId="77777777">
        <w:trPr>
          <w:jc w:val="center"/>
        </w:trPr>
        <w:tc>
          <w:tcPr>
            <w:tcW w:w="2841" w:type="dxa"/>
            <w:tcBorders>
              <w:top w:val="single" w:sz="4" w:space="0" w:color="auto"/>
              <w:left w:val="double" w:sz="4" w:space="0" w:color="auto"/>
              <w:bottom w:val="double" w:sz="4" w:space="0" w:color="auto"/>
              <w:right w:val="single" w:sz="4" w:space="0" w:color="auto"/>
            </w:tcBorders>
            <w:vAlign w:val="center"/>
            <w:hideMark/>
          </w:tcPr>
          <w:p w14:paraId="0B5C7E77" w14:textId="77777777" w:rsidR="00E42995" w:rsidRPr="00BE2460" w:rsidRDefault="00E42995">
            <w:pPr>
              <w:tabs>
                <w:tab w:val="left" w:pos="993"/>
              </w:tabs>
              <w:spacing w:after="200"/>
              <w:ind w:left="164" w:right="624"/>
              <w:contextualSpacing/>
              <w:jc w:val="center"/>
              <w:rPr>
                <w:rFonts w:ascii="Verdana" w:eastAsia="Calibri" w:hAnsi="Verdana" w:cs="Arial"/>
                <w:iCs/>
                <w:sz w:val="21"/>
                <w:szCs w:val="21"/>
                <w:lang w:val="es-ES"/>
              </w:rPr>
            </w:pPr>
            <w:r w:rsidRPr="00BE2460">
              <w:rPr>
                <w:rFonts w:ascii="Verdana" w:eastAsia="Calibri" w:hAnsi="Verdana" w:cs="Arial"/>
                <w:iCs/>
                <w:sz w:val="21"/>
                <w:szCs w:val="21"/>
                <w:lang w:val="es-ES"/>
              </w:rPr>
              <w:t>Total</w:t>
            </w:r>
          </w:p>
        </w:tc>
        <w:tc>
          <w:tcPr>
            <w:tcW w:w="1820" w:type="dxa"/>
            <w:tcBorders>
              <w:top w:val="single" w:sz="4" w:space="0" w:color="auto"/>
              <w:left w:val="single" w:sz="4" w:space="0" w:color="auto"/>
              <w:bottom w:val="double" w:sz="4" w:space="0" w:color="auto"/>
              <w:right w:val="double" w:sz="4" w:space="0" w:color="auto"/>
            </w:tcBorders>
            <w:vAlign w:val="center"/>
            <w:hideMark/>
          </w:tcPr>
          <w:p w14:paraId="766C42A4" w14:textId="77777777" w:rsidR="00E42995" w:rsidRPr="00BE2460" w:rsidRDefault="00E42995">
            <w:pPr>
              <w:tabs>
                <w:tab w:val="left" w:pos="993"/>
              </w:tabs>
              <w:spacing w:after="200"/>
              <w:ind w:left="360" w:right="624"/>
              <w:contextualSpacing/>
              <w:jc w:val="center"/>
              <w:rPr>
                <w:rFonts w:ascii="Verdana" w:eastAsia="Calibri" w:hAnsi="Verdana" w:cs="Arial"/>
                <w:bCs/>
                <w:iCs/>
                <w:sz w:val="21"/>
                <w:szCs w:val="21"/>
                <w:lang w:val="es-ES"/>
              </w:rPr>
            </w:pPr>
            <w:r w:rsidRPr="00BE2460">
              <w:rPr>
                <w:rFonts w:ascii="Verdana" w:eastAsia="Calibri" w:hAnsi="Verdana" w:cs="Arial"/>
                <w:bCs/>
                <w:iCs/>
                <w:sz w:val="21"/>
                <w:szCs w:val="21"/>
                <w:lang w:val="es-ES"/>
              </w:rPr>
              <w:t>100</w:t>
            </w:r>
          </w:p>
        </w:tc>
      </w:tr>
    </w:tbl>
    <w:p w14:paraId="2EBC61AB" w14:textId="77777777" w:rsidR="00E42995" w:rsidRPr="00BE2460" w:rsidRDefault="00E42995" w:rsidP="00E42995">
      <w:pPr>
        <w:widowControl w:val="0"/>
        <w:autoSpaceDE w:val="0"/>
        <w:autoSpaceDN w:val="0"/>
        <w:spacing w:after="120" w:line="276" w:lineRule="auto"/>
        <w:ind w:right="709"/>
        <w:jc w:val="both"/>
        <w:rPr>
          <w:rFonts w:ascii="Verdana" w:eastAsia="Calibri" w:hAnsi="Verdana" w:cs="Arial"/>
          <w:color w:val="000000" w:themeColor="text1"/>
          <w:kern w:val="2"/>
          <w:sz w:val="21"/>
          <w:szCs w:val="21"/>
          <w14:ligatures w14:val="standardContextual"/>
        </w:rPr>
      </w:pPr>
    </w:p>
    <w:p w14:paraId="0BFB9C5D" w14:textId="77777777" w:rsidR="00E42995" w:rsidRPr="00BE2460" w:rsidRDefault="00E42995" w:rsidP="00E42995">
      <w:pPr>
        <w:widowControl w:val="0"/>
        <w:autoSpaceDE w:val="0"/>
        <w:autoSpaceDN w:val="0"/>
        <w:spacing w:after="120" w:line="276" w:lineRule="auto"/>
        <w:ind w:left="709" w:right="709"/>
        <w:jc w:val="both"/>
        <w:rPr>
          <w:rFonts w:ascii="Verdana" w:eastAsia="Calibri" w:hAnsi="Verdana" w:cs="Arial"/>
          <w:color w:val="000000" w:themeColor="text1"/>
          <w:kern w:val="2"/>
          <w:sz w:val="21"/>
          <w:szCs w:val="21"/>
          <w14:ligatures w14:val="standardContextual"/>
        </w:rPr>
      </w:pPr>
      <w:r w:rsidRPr="00BE2460">
        <w:rPr>
          <w:rFonts w:ascii="Verdana" w:eastAsia="Calibri" w:hAnsi="Verdana" w:cs="Arial"/>
          <w:color w:val="000000" w:themeColor="text1"/>
          <w:kern w:val="2"/>
          <w:sz w:val="21"/>
          <w:szCs w:val="21"/>
          <w:highlight w:val="lightGray"/>
          <w14:ligatures w14:val="standardContextual"/>
        </w:rPr>
        <w:t>[Cuando el objeto del contrato deba ser desarrollado en el territorio del departamento Archipiélago, de San Andrés, Providencia y Santa Catalina, las Entidades deberán ajustar los puntajes y fórmulas de los métodos de ponderación de acuerdo con el anterior cuadro]</w:t>
      </w:r>
    </w:p>
    <w:p w14:paraId="4EAA5AF3" w14:textId="77777777" w:rsidR="00E42995" w:rsidRPr="00BE2460" w:rsidRDefault="00E42995" w:rsidP="00E42995">
      <w:pPr>
        <w:widowControl w:val="0"/>
        <w:autoSpaceDE w:val="0"/>
        <w:autoSpaceDN w:val="0"/>
        <w:spacing w:after="120" w:line="276" w:lineRule="auto"/>
        <w:ind w:left="709" w:right="709"/>
        <w:jc w:val="both"/>
        <w:rPr>
          <w:rFonts w:ascii="Verdana" w:eastAsia="Calibri" w:hAnsi="Verdana" w:cs="Arial"/>
          <w:color w:val="000000" w:themeColor="text1"/>
          <w:kern w:val="2"/>
          <w:sz w:val="21"/>
          <w:szCs w:val="21"/>
          <w14:ligatures w14:val="standardContextual"/>
        </w:rPr>
      </w:pPr>
      <w:r w:rsidRPr="00BE2460">
        <w:rPr>
          <w:rFonts w:ascii="Verdana" w:eastAsia="Calibri" w:hAnsi="Verdana" w:cs="Arial"/>
          <w:color w:val="000000" w:themeColor="text1"/>
          <w:kern w:val="2"/>
          <w:sz w:val="21"/>
          <w:szCs w:val="21"/>
          <w14:ligatures w14:val="standardContextual"/>
        </w:rPr>
        <w:t xml:space="preserve">Las Entidades deberán reducir durante la evaluación de las ofertas dos (2) puntos a los Proponentes que se les haya impuesto una o más multas o cláusulas penales durante el último año, contado a partir de la fecha prevista para el cierre del proceso, sin importar la cuantía y sin perjuicio de las demás consecuencias derivadas del incumplimiento. Esta reducción también afectará a los Consorcios y a las Uniones Temporales si alguno de sus integrantes se encuentra en la situación anterior. </w:t>
      </w:r>
    </w:p>
    <w:p w14:paraId="786FFAD5" w14:textId="77777777" w:rsidR="00E42995" w:rsidRPr="00242120" w:rsidRDefault="00E42995" w:rsidP="00E42995">
      <w:pPr>
        <w:widowControl w:val="0"/>
        <w:autoSpaceDE w:val="0"/>
        <w:autoSpaceDN w:val="0"/>
        <w:spacing w:after="120" w:line="276" w:lineRule="auto"/>
        <w:ind w:left="709" w:right="709"/>
        <w:jc w:val="both"/>
        <w:rPr>
          <w:rFonts w:ascii="Verdana" w:eastAsia="Calibri" w:hAnsi="Verdana" w:cs="Arial"/>
          <w:color w:val="000000" w:themeColor="text1"/>
          <w:kern w:val="2"/>
          <w:sz w:val="21"/>
          <w:szCs w:val="21"/>
          <w14:ligatures w14:val="standardContextual"/>
        </w:rPr>
      </w:pPr>
      <w:r w:rsidRPr="00BE2460">
        <w:rPr>
          <w:rFonts w:ascii="Verdana" w:eastAsia="Calibri" w:hAnsi="Verdana" w:cs="Arial"/>
          <w:color w:val="000000" w:themeColor="text1"/>
          <w:kern w:val="2"/>
          <w:sz w:val="21"/>
          <w:szCs w:val="21"/>
          <w14:ligatures w14:val="standardContextual"/>
        </w:rPr>
        <w:t>La reducción del puntaje antes señalada no se materializará en caso de que los actos administrativos que hayan impuesto las multas sean objeto de medios de control jurisdiccional previstos en la Ley 1437 de 2011 o las normas que la modifiquen, adicionen o sustituyan. Además, se aplicará sin perjuicio de lo dispuesto en el artículo 6 de la Ley 2020 de 2020. Lo anterior de conformidad con el artículo 58 de la Ley 2195 de 2022 y las normas que lo modifiquen, sustituyan, adicionen o reglamenten.</w:t>
      </w:r>
    </w:p>
    <w:p w14:paraId="7AF6C66B" w14:textId="77777777" w:rsidR="00E42995" w:rsidRPr="0080450C" w:rsidRDefault="00E42995" w:rsidP="00E42995">
      <w:pPr>
        <w:widowControl w:val="0"/>
        <w:autoSpaceDE w:val="0"/>
        <w:autoSpaceDN w:val="0"/>
        <w:spacing w:after="120" w:line="276" w:lineRule="auto"/>
        <w:ind w:firstLine="708"/>
        <w:jc w:val="both"/>
        <w:rPr>
          <w:rFonts w:ascii="Verdana" w:eastAsia="Calibri" w:hAnsi="Verdana" w:cs="Arial"/>
          <w:color w:val="000000" w:themeColor="text1"/>
          <w:kern w:val="2"/>
          <w:lang w:val="es-ES"/>
          <w14:ligatures w14:val="standardContextual"/>
        </w:rPr>
      </w:pPr>
      <w:r w:rsidRPr="0080450C">
        <w:rPr>
          <w:rFonts w:ascii="Verdana" w:eastAsia="Calibri" w:hAnsi="Verdana" w:cs="Arial"/>
          <w:color w:val="000000" w:themeColor="text1"/>
          <w:kern w:val="2"/>
          <w:lang w:val="es-ES"/>
          <w14:ligatures w14:val="standardContextual"/>
        </w:rPr>
        <w:lastRenderedPageBreak/>
        <w:t xml:space="preserve">Así, tratándose de la distribución establecida para la evaluación de las ofertas, correspondiente a </w:t>
      </w:r>
      <w:r w:rsidRPr="00242120">
        <w:rPr>
          <w:rFonts w:ascii="Verdana" w:eastAsia="Calibri" w:hAnsi="Verdana" w:cs="Arial"/>
          <w:color w:val="000000" w:themeColor="text1"/>
          <w:kern w:val="2"/>
          <w14:ligatures w14:val="standardContextual"/>
        </w:rPr>
        <w:t xml:space="preserve">48,5 puntos para la oferta económica, 30 puntos para el factor de calidad, 20 puntos para el apoyo a la industria nacional, 1 punto por vinculación de personas con discapacidad, 0,25 puntos para emprendimientos y empresas de mujeres y 0,25 puntos para </w:t>
      </w:r>
      <w:proofErr w:type="spellStart"/>
      <w:r w:rsidRPr="00242120">
        <w:rPr>
          <w:rFonts w:ascii="Verdana" w:eastAsia="Calibri" w:hAnsi="Verdana" w:cs="Arial"/>
          <w:color w:val="000000" w:themeColor="text1"/>
          <w:kern w:val="2"/>
          <w14:ligatures w14:val="standardContextual"/>
        </w:rPr>
        <w:t>Mipyme</w:t>
      </w:r>
      <w:proofErr w:type="spellEnd"/>
      <w:r w:rsidRPr="00242120">
        <w:rPr>
          <w:rFonts w:ascii="Verdana" w:eastAsia="Calibri" w:hAnsi="Verdana" w:cs="Arial"/>
          <w:color w:val="000000" w:themeColor="text1"/>
          <w:kern w:val="2"/>
          <w14:ligatures w14:val="standardContextual"/>
        </w:rPr>
        <w:t>.</w:t>
      </w:r>
      <w:r w:rsidRPr="0080450C">
        <w:rPr>
          <w:rFonts w:ascii="Verdana" w:eastAsia="Calibri" w:hAnsi="Verdana" w:cs="Arial"/>
          <w:color w:val="000000" w:themeColor="text1"/>
          <w:kern w:val="2"/>
          <w:lang w:val="es-ES"/>
          <w14:ligatures w14:val="standardContextual"/>
        </w:rPr>
        <w:t>, la entidad deberá sujetarse a los parámetros previstos en el Documento Tipo y no podrá modificarlos discrecionalmente.</w:t>
      </w:r>
    </w:p>
    <w:p w14:paraId="6826FF9D" w14:textId="77777777" w:rsidR="00E42995" w:rsidRDefault="00E42995" w:rsidP="00E42995">
      <w:pPr>
        <w:widowControl w:val="0"/>
        <w:autoSpaceDE w:val="0"/>
        <w:autoSpaceDN w:val="0"/>
        <w:spacing w:after="120" w:line="276" w:lineRule="auto"/>
        <w:ind w:firstLine="708"/>
        <w:jc w:val="both"/>
        <w:rPr>
          <w:rFonts w:ascii="Verdana" w:eastAsia="Calibri" w:hAnsi="Verdana" w:cs="Arial"/>
          <w:kern w:val="2"/>
          <w14:ligatures w14:val="standardContextual"/>
        </w:rPr>
      </w:pPr>
      <w:r w:rsidRPr="001433A6">
        <w:rPr>
          <w:rFonts w:ascii="Verdana" w:eastAsia="Calibri" w:hAnsi="Verdana" w:cs="Arial"/>
          <w:color w:val="000000" w:themeColor="text1"/>
          <w:kern w:val="2"/>
          <w14:ligatures w14:val="standardContextual"/>
        </w:rPr>
        <w:t>La distribución de puntajes no constituye una decisión que pueda ser determinada discrecionalmente por cada entidad estatal en el respectivo proceso de contratación, sino que corresponde a una regla previamente establecida en los Documentos Tipos.</w:t>
      </w:r>
      <w:r w:rsidRPr="001433A6">
        <w:rPr>
          <w:rFonts w:ascii="Verdana" w:eastAsia="Calibri" w:hAnsi="Verdana" w:cs="Arial"/>
          <w:color w:val="000000" w:themeColor="text1"/>
          <w:kern w:val="2"/>
          <w:lang w:val="es-ES"/>
          <w14:ligatures w14:val="standardContextual"/>
        </w:rPr>
        <w:t xml:space="preserve"> </w:t>
      </w:r>
      <w:r w:rsidRPr="008215F7">
        <w:rPr>
          <w:rFonts w:ascii="Verdana" w:eastAsia="Calibri" w:hAnsi="Verdana" w:cs="Arial"/>
          <w:kern w:val="2"/>
          <w14:ligatures w14:val="standardContextual"/>
        </w:rPr>
        <w:t>Por consiguiente, debe sujetarse a la estructura de ponderación allí prevista y únicamente podrá ejercer aquellas opciones de configuración que el propio Documento Tipo haya autorizado expresamente.</w:t>
      </w:r>
    </w:p>
    <w:p w14:paraId="3B2916E8" w14:textId="77777777" w:rsidR="00E42995" w:rsidRDefault="00E42995" w:rsidP="00E42995">
      <w:pPr>
        <w:jc w:val="both"/>
        <w:rPr>
          <w:rFonts w:ascii="Verdana" w:eastAsia="Calibri" w:hAnsi="Verdana" w:cs="Arial"/>
          <w:kern w:val="2"/>
          <w14:ligatures w14:val="standardContextual"/>
        </w:rPr>
      </w:pPr>
      <w:r>
        <w:rPr>
          <w:rFonts w:ascii="Verdana" w:eastAsia="Calibri" w:hAnsi="Verdana" w:cs="Arial"/>
          <w:kern w:val="2"/>
          <w14:ligatures w14:val="standardContextual"/>
        </w:rPr>
        <w:t>II). En relación con el segundo interrogante, es pertinente precisar en primer lugar que l</w:t>
      </w:r>
      <w:r w:rsidRPr="00C73841">
        <w:rPr>
          <w:rFonts w:ascii="Verdana" w:eastAsia="Calibri" w:hAnsi="Verdana" w:cs="Arial"/>
          <w:kern w:val="2"/>
          <w14:ligatures w14:val="standardContextual"/>
        </w:rPr>
        <w:t xml:space="preserve">as inhabilidades e incompatibilidades son circunstancias establecidas por la Constitución o la ley que impiden la posibilidad de que ciertas personas sean elegidas o designadas en un cargo público o puedan celebrar contratos con el Estado, con el objetivo de garantizar la idoneidad, imparcialidad, probidad, transparencia y moralidad de la gestión pública.  El régimen de inhabilidades e incompatibilidades para contratar con el Estado es un conjunto de restricciones establecidas por el constituyente o por el legislador que afectan directamente la capacidad de las personas para establecer una relación jurídica contractual con el Estado, que pueden resultar de condenas, sanciones o situaciones previamente establecidas por el ordenamiento jurídico. Estas restricciones o limitaciones que afectan la capacidad jurídica de las personas para contratar realizan los principios de la función administrativa, consagrados en el artículo 209 de la Constitución Política, con especial énfasis en el de moralidad. Así lo ha entendido el Consejo de Estado: </w:t>
      </w:r>
    </w:p>
    <w:p w14:paraId="32609933" w14:textId="77777777" w:rsidR="00E42995" w:rsidRPr="00872B9F" w:rsidRDefault="00E42995" w:rsidP="00E42995">
      <w:pPr>
        <w:pStyle w:val="NormalWeb"/>
        <w:shd w:val="clear" w:color="auto" w:fill="FFFFFF"/>
        <w:spacing w:before="0" w:beforeAutospacing="0" w:after="120" w:afterAutospacing="0"/>
        <w:ind w:left="709" w:right="709"/>
        <w:jc w:val="both"/>
        <w:rPr>
          <w:rFonts w:ascii="Verdana" w:hAnsi="Verdana" w:cs="Arial"/>
          <w:color w:val="000000" w:themeColor="text1"/>
          <w:sz w:val="20"/>
          <w:szCs w:val="20"/>
          <w:lang w:val="es-ES"/>
        </w:rPr>
      </w:pPr>
      <w:r w:rsidRPr="00872B9F">
        <w:rPr>
          <w:rFonts w:ascii="Verdana" w:hAnsi="Verdana" w:cs="Arial"/>
          <w:color w:val="000000" w:themeColor="text1"/>
          <w:sz w:val="20"/>
          <w:szCs w:val="20"/>
          <w:lang w:val="es-ES"/>
        </w:rPr>
        <w:t>“De manera primordial en esta reflexión debe advertirse que la consagración legal de las incompatibilidades e inhabilidades en materia contractual, no es sino desarrollo del Principio de Moralidad que la Constitución Política consagra como uno de los rectores de la Función 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3EE207FA" w14:textId="77777777" w:rsidR="00E42995" w:rsidRPr="00EB497B" w:rsidRDefault="00E42995" w:rsidP="00E42995">
      <w:pPr>
        <w:pStyle w:val="NormalWeb"/>
        <w:shd w:val="clear" w:color="auto" w:fill="FFFFFF"/>
        <w:spacing w:before="0" w:beforeAutospacing="0" w:after="0"/>
        <w:ind w:left="709" w:right="709"/>
        <w:jc w:val="both"/>
        <w:rPr>
          <w:rFonts w:ascii="Verdana" w:hAnsi="Verdana" w:cs="Arial"/>
          <w:color w:val="000000" w:themeColor="text1"/>
          <w:sz w:val="20"/>
          <w:szCs w:val="20"/>
          <w:lang w:val="es-ES"/>
        </w:rPr>
      </w:pPr>
      <w:r w:rsidRPr="00872B9F">
        <w:rPr>
          <w:rFonts w:ascii="Verdana" w:hAnsi="Verdana" w:cs="Arial"/>
          <w:color w:val="000000" w:themeColor="text1"/>
          <w:sz w:val="20"/>
          <w:szCs w:val="20"/>
          <w:lang w:val="es-ES"/>
        </w:rPr>
        <w:lastRenderedPageBreak/>
        <w:t>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razón de ese fin de interés general como regla legal prevalente, esto es que puede ser impuesta sobre el derecho individual a contratar con el Estado”</w:t>
      </w:r>
      <w:r w:rsidRPr="00872B9F">
        <w:rPr>
          <w:rStyle w:val="Refdenotaalpie"/>
          <w:rFonts w:ascii="Verdana" w:hAnsi="Verdana" w:cs="Arial"/>
          <w:color w:val="000000" w:themeColor="text1"/>
          <w:sz w:val="20"/>
          <w:szCs w:val="20"/>
          <w:lang w:val="es-ES"/>
        </w:rPr>
        <w:footnoteReference w:id="4"/>
      </w:r>
      <w:r w:rsidRPr="00872B9F">
        <w:rPr>
          <w:rFonts w:ascii="Verdana" w:hAnsi="Verdana" w:cs="Arial"/>
          <w:color w:val="000000" w:themeColor="text1"/>
          <w:sz w:val="20"/>
          <w:szCs w:val="20"/>
          <w:lang w:val="es-ES"/>
        </w:rPr>
        <w:t xml:space="preserve">. </w:t>
      </w:r>
    </w:p>
    <w:p w14:paraId="0058E27B" w14:textId="77777777" w:rsidR="00E42995" w:rsidRDefault="00E42995" w:rsidP="00E42995">
      <w:pPr>
        <w:spacing w:after="120" w:line="276" w:lineRule="auto"/>
        <w:ind w:firstLine="708"/>
        <w:jc w:val="both"/>
        <w:rPr>
          <w:rFonts w:ascii="Verdana" w:hAnsi="Verdana" w:cs="Arial"/>
          <w:color w:val="000000" w:themeColor="text1"/>
        </w:rPr>
      </w:pPr>
      <w:r w:rsidRPr="000C6D8F">
        <w:rPr>
          <w:rFonts w:ascii="Verdana" w:hAnsi="Verdana" w:cs="Arial"/>
          <w:color w:val="000000" w:themeColor="text1"/>
        </w:rPr>
        <w:t>Las inhabilidades e incompatibilidades son medios que buscan garantizar la transparencia y eficiencia en la actividad contractual del Estado y para ello imponen restricciones en la personalidad jurídica, la igualdad, la libre empresa y, particularmente, el derecho a participar en procesos de selección y celebrar contratos con la Administración. Asimismo</w:t>
      </w:r>
      <w:r w:rsidRPr="000C6D8F">
        <w:rPr>
          <w:rFonts w:ascii="Verdana" w:eastAsia="Calibri" w:hAnsi="Verdana" w:cs="Arial"/>
          <w:color w:val="000000" w:themeColor="text1"/>
          <w:lang w:val="es-ES_tradnl"/>
        </w:rPr>
        <w:t xml:space="preserve">, el carácter reconocidamente taxativo </w:t>
      </w:r>
      <w:r>
        <w:rPr>
          <w:rFonts w:ascii="Verdana" w:eastAsia="Calibri" w:hAnsi="Verdana" w:cs="Arial"/>
          <w:color w:val="000000" w:themeColor="text1"/>
          <w:lang w:val="es-ES_tradnl"/>
        </w:rPr>
        <w:t>del</w:t>
      </w:r>
      <w:r w:rsidRPr="000C6D8F">
        <w:rPr>
          <w:rFonts w:ascii="Verdana" w:eastAsia="Calibri" w:hAnsi="Verdana" w:cs="Arial"/>
          <w:color w:val="000000" w:themeColor="text1"/>
          <w:lang w:val="es-ES_tradnl"/>
        </w:rPr>
        <w:t xml:space="preserve"> régimen de inhabilidades obedece a la necesidad de salvaguardar el interés general inherente en la contratación pública, de forma que implique el menor sacrificio posible al derecho de igualdad y de reconocimiento de la personalidad jurídica de quienes aspiran a contratar con el Estado. Por ello, </w:t>
      </w:r>
      <w:r w:rsidRPr="000C6D8F">
        <w:rPr>
          <w:rFonts w:ascii="Verdana" w:hAnsi="Verdana" w:cs="Arial"/>
          <w:color w:val="000000" w:themeColor="text1"/>
        </w:rPr>
        <w:t>la competencia para determinar qué hechos o situaciones generan inhabilidad para contratar con el Estado la tiene el legislador, pues este régimen es un aspecto propio del Estatuto General de la Contratación Pública, cuya expedición corresponde al Congreso de la República, conforme al artículo 150 de la Constitución Política, por lo que en esta materia rige el principio de legalidad.</w:t>
      </w:r>
    </w:p>
    <w:p w14:paraId="6CF5484C" w14:textId="77777777" w:rsidR="00E42995" w:rsidRDefault="00E42995" w:rsidP="00E42995">
      <w:pPr>
        <w:spacing w:after="0" w:line="276" w:lineRule="auto"/>
        <w:ind w:firstLine="709"/>
        <w:contextualSpacing/>
        <w:jc w:val="both"/>
        <w:rPr>
          <w:rFonts w:ascii="Verdana" w:eastAsia="Calibri" w:hAnsi="Verdana" w:cs="Arial"/>
          <w:lang w:val="es-ES_tradnl"/>
        </w:rPr>
      </w:pPr>
      <w:r>
        <w:rPr>
          <w:rFonts w:ascii="Verdana" w:eastAsia="Calibri" w:hAnsi="Verdana" w:cs="Arial"/>
          <w:lang w:val="es-ES_tradnl"/>
        </w:rPr>
        <w:t>De esta manera</w:t>
      </w:r>
      <w:r w:rsidRPr="000C6D8F">
        <w:rPr>
          <w:rFonts w:ascii="Verdana" w:eastAsia="Calibri" w:hAnsi="Verdana" w:cs="Arial"/>
          <w:lang w:val="es-ES_tradnl"/>
        </w:rPr>
        <w:t xml:space="preserve">, las inhabilidades e incompatibilidades al ser límites especiales a la capacidad para presentar ofertas y celebrar contratos estatales, solo pueden tipificarse en la ley o la Constitución –o sea, deben satisfacer el principio de legalidad– y su interpretación debe ser </w:t>
      </w:r>
      <w:r w:rsidRPr="000C6D8F">
        <w:rPr>
          <w:rFonts w:ascii="Verdana" w:eastAsia="Calibri" w:hAnsi="Verdana" w:cs="Arial"/>
          <w:i/>
          <w:iCs/>
          <w:lang w:val="es-ES_tradnl"/>
        </w:rPr>
        <w:t>restrictiva</w:t>
      </w:r>
      <w:r w:rsidRPr="000C6D8F">
        <w:rPr>
          <w:rFonts w:ascii="Verdana" w:eastAsia="Calibri" w:hAnsi="Verdana" w:cs="Arial"/>
          <w:lang w:val="es-ES_tradnl"/>
        </w:rPr>
        <w:t>. En contraste, si se admitiera una interpretación amplia, extensiva</w:t>
      </w:r>
      <w:r>
        <w:rPr>
          <w:rFonts w:ascii="Verdana" w:eastAsia="Calibri" w:hAnsi="Verdana" w:cs="Arial"/>
          <w:lang w:val="es-ES_tradnl"/>
        </w:rPr>
        <w:t>, analógica</w:t>
      </w:r>
      <w:r w:rsidRPr="000C6D8F">
        <w:rPr>
          <w:rFonts w:ascii="Verdana" w:eastAsia="Calibri" w:hAnsi="Verdana" w:cs="Arial"/>
          <w:lang w:val="es-ES_tradnl"/>
        </w:rPr>
        <w:t xml:space="preserve"> o finalista de las mismas, tales enunciados normativos contemplarían múltiples supuestos indeterminados, según el parecer o el sentido común de los operadores jurídicos, poniendo en riesgo principios como la igualdad, el debido proceso, la seguridad </w:t>
      </w:r>
      <w:r w:rsidRPr="000C6D8F">
        <w:rPr>
          <w:rFonts w:ascii="Verdana" w:eastAsia="Calibri" w:hAnsi="Verdana" w:cs="Arial"/>
          <w:lang w:val="es-ES_tradnl"/>
        </w:rPr>
        <w:lastRenderedPageBreak/>
        <w:t>jurídica, la libre concurrencia y el ejercicio de la profesión u oficio. Tal ha sido la postura al interior de la jurisprudencia, tanto de la Corte Constitucional como de la Sección Tercera del Consejo de Estado</w:t>
      </w:r>
      <w:r>
        <w:rPr>
          <w:rStyle w:val="Refdenotaalpie"/>
          <w:rFonts w:ascii="Verdana" w:eastAsia="Calibri" w:hAnsi="Verdana" w:cs="Arial"/>
          <w:lang w:val="es-ES_tradnl"/>
        </w:rPr>
        <w:footnoteReference w:id="5"/>
      </w:r>
      <w:r w:rsidRPr="000C6D8F">
        <w:rPr>
          <w:rFonts w:ascii="Verdana" w:eastAsia="Calibri" w:hAnsi="Verdana" w:cs="Arial"/>
          <w:lang w:val="es-ES_tradnl"/>
        </w:rPr>
        <w:t>.</w:t>
      </w:r>
    </w:p>
    <w:p w14:paraId="18E36D9F" w14:textId="77777777" w:rsidR="00E42995" w:rsidRDefault="00E42995" w:rsidP="00E42995">
      <w:pPr>
        <w:spacing w:after="0" w:line="276" w:lineRule="auto"/>
        <w:ind w:firstLine="709"/>
        <w:contextualSpacing/>
        <w:jc w:val="both"/>
        <w:rPr>
          <w:rFonts w:ascii="Verdana" w:eastAsia="Calibri" w:hAnsi="Verdana" w:cs="Arial"/>
          <w:bCs/>
        </w:rPr>
      </w:pPr>
      <w:r w:rsidRPr="00A95105">
        <w:rPr>
          <w:rFonts w:ascii="Verdana" w:eastAsia="Calibri" w:hAnsi="Verdana" w:cs="Arial"/>
        </w:rPr>
        <w:t>En aplicación de este criterio, el alcance de la Ley 1918 de 2018</w:t>
      </w:r>
      <w:r>
        <w:rPr>
          <w:rFonts w:ascii="Verdana" w:eastAsia="Calibri" w:hAnsi="Verdana" w:cs="Arial"/>
        </w:rPr>
        <w:t xml:space="preserve"> </w:t>
      </w:r>
      <w:r w:rsidRPr="00C25C8B">
        <w:rPr>
          <w:rFonts w:ascii="Verdana" w:eastAsia="Calibri" w:hAnsi="Verdana" w:cs="Arial"/>
          <w:bCs/>
        </w:rPr>
        <w:t>en su artículo 4</w:t>
      </w:r>
      <w:r w:rsidRPr="00C25C8B">
        <w:rPr>
          <w:rStyle w:val="Refdenotaalpie"/>
          <w:rFonts w:ascii="Verdana" w:eastAsia="Calibri" w:hAnsi="Verdana" w:cs="Arial"/>
          <w:bCs/>
        </w:rPr>
        <w:footnoteReference w:id="6"/>
      </w:r>
      <w:r w:rsidRPr="00C25C8B">
        <w:rPr>
          <w:rFonts w:ascii="Verdana" w:eastAsia="Calibri" w:hAnsi="Verdana" w:cs="Arial"/>
          <w:bCs/>
        </w:rPr>
        <w:t xml:space="preserve">, </w:t>
      </w:r>
      <w:r>
        <w:rPr>
          <w:rFonts w:ascii="Verdana" w:eastAsia="Calibri" w:hAnsi="Verdana" w:cs="Arial"/>
          <w:bCs/>
        </w:rPr>
        <w:t xml:space="preserve">establece </w:t>
      </w:r>
      <w:r w:rsidRPr="00C25C8B">
        <w:rPr>
          <w:rFonts w:ascii="Verdana" w:eastAsia="Calibri" w:hAnsi="Verdana" w:cs="Arial"/>
          <w:bCs/>
        </w:rPr>
        <w:t>que las entidades públicas y privadas deberán verificar, previa autorización del aspirante, que este no se encuentre inscrito en el Registro de Inhabilidades por delitos sexuales cometidos contra menores de edad, como requisito previo a su vinculación en empleos o contratos que impliquen contacto directo y habitual con menores. Dicha verificación deberá realizarse con una periodicidad mínima de cada cuatro (4) meses durante la vigencia de la relación laboral o contractual. El incumplimiento de esta obligación por parte de un servidor público, que conlleve la contratación de una persona inhabilitada, constituye falta disciplinaria gravísima.</w:t>
      </w:r>
      <w:r>
        <w:rPr>
          <w:rFonts w:ascii="Verdana" w:eastAsia="Calibri" w:hAnsi="Verdana" w:cs="Arial"/>
          <w:bCs/>
          <w:color w:val="EE0000"/>
        </w:rPr>
        <w:t xml:space="preserve"> </w:t>
      </w:r>
      <w:r w:rsidRPr="00BC286A">
        <w:rPr>
          <w:rFonts w:ascii="Verdana" w:eastAsia="Calibri" w:hAnsi="Verdana" w:cs="Arial"/>
          <w:bCs/>
        </w:rPr>
        <w:t>Es importante, tener en cuenta que el uso del registro debe cumplir con la Ley de Protección de Datos Personales -Ley 1581 de 2012-, bajo supervisión de la Superintendencia de Industria y Comercio. Esto, sin perjuicio del manejo y custodia del expediente contractual frente a este documento, así como los demás que tengan el carácter de reservado</w:t>
      </w:r>
      <w:r>
        <w:rPr>
          <w:rFonts w:ascii="Verdana" w:eastAsia="Calibri" w:hAnsi="Verdana" w:cs="Arial"/>
          <w:bCs/>
        </w:rPr>
        <w:t>.</w:t>
      </w:r>
    </w:p>
    <w:p w14:paraId="67F11EBD" w14:textId="77777777" w:rsidR="00E42995" w:rsidRPr="001B349F" w:rsidRDefault="00E42995" w:rsidP="00E42995">
      <w:pPr>
        <w:spacing w:after="0" w:line="276" w:lineRule="auto"/>
        <w:ind w:firstLine="709"/>
        <w:contextualSpacing/>
        <w:jc w:val="both"/>
        <w:rPr>
          <w:rFonts w:ascii="Verdana" w:eastAsia="Calibri" w:hAnsi="Verdana" w:cs="Arial"/>
          <w:lang w:val="es-ES_tradnl"/>
        </w:rPr>
      </w:pPr>
    </w:p>
    <w:p w14:paraId="2835186C" w14:textId="77777777" w:rsidR="00E42995" w:rsidRPr="00D147A0" w:rsidRDefault="00E42995" w:rsidP="00E42995">
      <w:pPr>
        <w:spacing w:after="120" w:line="276" w:lineRule="auto"/>
        <w:jc w:val="both"/>
        <w:rPr>
          <w:rFonts w:ascii="Verdana" w:eastAsia="Calibri" w:hAnsi="Verdana" w:cs="Arial"/>
          <w:bCs/>
        </w:rPr>
      </w:pPr>
      <w:r w:rsidRPr="00D147A0">
        <w:rPr>
          <w:rFonts w:ascii="Verdana" w:eastAsia="Calibri" w:hAnsi="Verdana" w:cs="Arial"/>
          <w:bCs/>
        </w:rPr>
        <w:tab/>
      </w:r>
      <w:r>
        <w:rPr>
          <w:rFonts w:ascii="Verdana" w:eastAsia="Calibri" w:hAnsi="Verdana" w:cs="Arial"/>
          <w:bCs/>
        </w:rPr>
        <w:t>Es preciso</w:t>
      </w:r>
      <w:r w:rsidRPr="00D147A0">
        <w:rPr>
          <w:rFonts w:ascii="Verdana" w:eastAsia="Calibri" w:hAnsi="Verdana" w:cs="Arial"/>
          <w:bCs/>
          <w:lang w:val="es-MX"/>
        </w:rPr>
        <w:t xml:space="preserve"> mencionar que a diferencia de la Ley 80 de 1993, donde no es relevante el objeto del contrato para la aplicación del régimen de inhabilidades e incompatibilidades, la Ley 1918 de 2018 modificado por la Ley 2375 de 2024 </w:t>
      </w:r>
      <w:r w:rsidRPr="00D147A0">
        <w:rPr>
          <w:rFonts w:ascii="Verdana" w:eastAsia="Calibri" w:hAnsi="Verdana" w:cs="Arial"/>
          <w:bCs/>
          <w:lang w:val="es-MX"/>
        </w:rPr>
        <w:lastRenderedPageBreak/>
        <w:t>si establece que la inhabilidad es para vinculaciones donde la persona tenga relación directa y habitual con menores, lo cual está definido en el listado regulado en el artículo 2 de la Ley 1918 de 2018 modificado por el artículo 3° de la Ley 2375 de 2024. Al respecto, l</w:t>
      </w:r>
      <w:r w:rsidRPr="00D147A0">
        <w:rPr>
          <w:rFonts w:ascii="Verdana" w:eastAsia="Calibri" w:hAnsi="Verdana" w:cs="Arial"/>
          <w:bCs/>
        </w:rPr>
        <w:t xml:space="preserve">os diferentes cargos, profesiones u oficios que se enumeran son enunciativos, teniendo en cuenta el numeral 21° que prescribe: “Cualquier cargo, oficio o profesión que demuestre </w:t>
      </w:r>
      <w:r w:rsidRPr="00D147A0">
        <w:rPr>
          <w:rFonts w:ascii="Verdana" w:eastAsia="Calibri" w:hAnsi="Verdana" w:cs="Arial"/>
          <w:bCs/>
          <w:i/>
        </w:rPr>
        <w:t>un trato directo y habitual con menores de edad</w:t>
      </w:r>
      <w:r w:rsidRPr="00D147A0">
        <w:rPr>
          <w:rFonts w:ascii="Verdana" w:eastAsia="Calibri" w:hAnsi="Verdana" w:cs="Arial"/>
          <w:bCs/>
        </w:rPr>
        <w:t>”, que es entendido así: “[…] por trato directo el contacto o la interacción personal o a través de cualquier medio tecnológico, que se genere en el ejercicio del cargo, profesión u oficio, de forma frecuente con personas menores de edad”.</w:t>
      </w:r>
    </w:p>
    <w:p w14:paraId="17F69FF5" w14:textId="77777777" w:rsidR="00E42995" w:rsidRPr="006216B5" w:rsidRDefault="00E42995" w:rsidP="00E42995">
      <w:pPr>
        <w:spacing w:after="120" w:line="276" w:lineRule="auto"/>
        <w:ind w:firstLine="720"/>
        <w:jc w:val="both"/>
        <w:rPr>
          <w:rFonts w:ascii="Verdana" w:eastAsia="Calibri" w:hAnsi="Verdana" w:cs="Arial"/>
          <w:bCs/>
        </w:rPr>
      </w:pPr>
      <w:r w:rsidRPr="00AB1B8C">
        <w:rPr>
          <w:rFonts w:ascii="Verdana" w:eastAsia="Calibri" w:hAnsi="Verdana" w:cs="Arial"/>
          <w:bCs/>
          <w:lang w:val="es-MX"/>
        </w:rPr>
        <w:t xml:space="preserve">Por tanto, la entidad que va a contratar a una persona y el objeto contractual, independiente de la modalidad de selección, deberá revisar si el objeto contractual </w:t>
      </w:r>
      <w:r w:rsidRPr="00AB1B8C">
        <w:rPr>
          <w:rFonts w:ascii="Verdana" w:eastAsia="Calibri" w:hAnsi="Verdana" w:cs="Arial"/>
          <w:bCs/>
        </w:rPr>
        <w:t>implica una interacción frecuente y personal con menores de edad,</w:t>
      </w:r>
      <w:r w:rsidRPr="00AB1B8C">
        <w:rPr>
          <w:rFonts w:ascii="Verdana" w:eastAsia="Calibri" w:hAnsi="Verdana" w:cs="Arial"/>
          <w:bCs/>
          <w:lang w:val="es-MX"/>
        </w:rPr>
        <w:t xml:space="preserve"> para exigir el registro de inhabilidades por delitos sexuales contra menores de edad, teniendo que el término de esta inhabilidad es definido por el juez como pena accesoria con fundamento en la Ley 599 de 2000 el inciso primero del artículo 51</w:t>
      </w:r>
      <w:r>
        <w:rPr>
          <w:rStyle w:val="Refdenotaalpie"/>
          <w:rFonts w:ascii="Verdana" w:eastAsia="Calibri" w:hAnsi="Verdana" w:cs="Arial"/>
          <w:bCs/>
          <w:lang w:val="es-MX"/>
        </w:rPr>
        <w:footnoteReference w:id="7"/>
      </w:r>
      <w:r w:rsidRPr="00AB1B8C">
        <w:rPr>
          <w:rFonts w:ascii="Verdana" w:eastAsia="Calibri" w:hAnsi="Verdana" w:cs="Arial"/>
          <w:bCs/>
          <w:lang w:val="es-MX"/>
        </w:rPr>
        <w:t xml:space="preserve">, la cual se contabiliza </w:t>
      </w:r>
      <w:r w:rsidRPr="00AB1B8C">
        <w:rPr>
          <w:rFonts w:ascii="Verdana" w:eastAsia="Calibri" w:hAnsi="Verdana" w:cs="Arial"/>
          <w:bCs/>
        </w:rPr>
        <w:t>una vez se cumpla la pena principal</w:t>
      </w:r>
      <w:r w:rsidRPr="00AB1B8C">
        <w:rPr>
          <w:rFonts w:ascii="Verdana" w:eastAsia="Calibri" w:hAnsi="Verdana" w:cs="Arial"/>
          <w:bCs/>
          <w:lang w:val="es-MX"/>
        </w:rPr>
        <w:t>. En otras palabras, aquellos contratos que se relacionen con el contacto directo -personal o mediante tecnolog</w:t>
      </w:r>
      <w:r w:rsidRPr="00AB1B8C">
        <w:rPr>
          <w:rFonts w:ascii="Verdana" w:eastAsia="Calibri" w:hAnsi="Verdana" w:cs="Verdana"/>
          <w:bCs/>
          <w:lang w:val="es-MX"/>
        </w:rPr>
        <w:t>í</w:t>
      </w:r>
      <w:r w:rsidRPr="00AB1B8C">
        <w:rPr>
          <w:rFonts w:ascii="Verdana" w:eastAsia="Calibri" w:hAnsi="Verdana" w:cs="Arial"/>
          <w:bCs/>
          <w:lang w:val="es-MX"/>
        </w:rPr>
        <w:t xml:space="preserve">a </w:t>
      </w:r>
      <w:r w:rsidRPr="00AB1B8C">
        <w:rPr>
          <w:rFonts w:ascii="Arial" w:eastAsia="Calibri" w:hAnsi="Arial" w:cs="Arial"/>
          <w:bCs/>
          <w:lang w:val="es-MX"/>
        </w:rPr>
        <w:t>̶</w:t>
      </w:r>
      <w:r w:rsidRPr="00AB1B8C">
        <w:rPr>
          <w:rFonts w:ascii="Verdana" w:eastAsia="Calibri" w:hAnsi="Verdana" w:cs="Arial"/>
          <w:bCs/>
          <w:lang w:val="es-MX"/>
        </w:rPr>
        <w:t xml:space="preserve"> y habitual –frecuente- con menores, puede configurar la inhabilidad prevista. </w:t>
      </w:r>
      <w:r w:rsidRPr="00AB1B8C">
        <w:rPr>
          <w:rFonts w:ascii="Verdana" w:eastAsia="Calibri" w:hAnsi="Verdana" w:cs="Arial"/>
          <w:bCs/>
        </w:rPr>
        <w:t>Dicha omisión de verificación implica sanciones reguladas en el artículo 5 de la Ley 1918 de 2018, que fueron modificadas por el artículo 4</w:t>
      </w:r>
      <w:r>
        <w:rPr>
          <w:rStyle w:val="Refdenotaalpie"/>
          <w:rFonts w:ascii="Verdana" w:eastAsia="Calibri" w:hAnsi="Verdana" w:cs="Arial"/>
          <w:bCs/>
        </w:rPr>
        <w:footnoteReference w:id="8"/>
      </w:r>
      <w:r w:rsidRPr="00AB1B8C">
        <w:rPr>
          <w:rFonts w:ascii="Verdana" w:eastAsia="Calibri" w:hAnsi="Verdana" w:cs="Arial"/>
          <w:bCs/>
        </w:rPr>
        <w:t xml:space="preserve"> de la Ley 2375 de 2024.</w:t>
      </w:r>
    </w:p>
    <w:p w14:paraId="6B6340BC" w14:textId="77777777" w:rsidR="00E42995" w:rsidRPr="00E15FD8" w:rsidRDefault="00E42995" w:rsidP="00E42995">
      <w:pPr>
        <w:tabs>
          <w:tab w:val="left" w:pos="709"/>
        </w:tabs>
        <w:snapToGrid w:val="0"/>
        <w:spacing w:after="120" w:line="276" w:lineRule="auto"/>
        <w:jc w:val="both"/>
        <w:rPr>
          <w:rFonts w:ascii="Verdana" w:eastAsia="Calibri" w:hAnsi="Verdana" w:cs="Arial"/>
          <w:color w:val="000000"/>
          <w:kern w:val="2"/>
          <w:lang w:val="es-ES"/>
          <w14:ligatures w14:val="standardContextual"/>
        </w:rPr>
      </w:pPr>
      <w:r>
        <w:rPr>
          <w:rFonts w:ascii="Verdana" w:eastAsia="Century Gothic" w:hAnsi="Verdana" w:cs="Century Gothic"/>
          <w:b/>
          <w:bCs/>
          <w:lang w:val="es-ES_tradnl"/>
        </w:rPr>
        <w:t xml:space="preserve">III). </w:t>
      </w:r>
      <w:r w:rsidRPr="00E15FD8">
        <w:rPr>
          <w:rFonts w:ascii="Verdana" w:eastAsia="Calibri" w:hAnsi="Verdana" w:cs="Arial"/>
          <w:color w:val="000000"/>
          <w:kern w:val="2"/>
          <w:lang w:val="es-ES"/>
          <w14:ligatures w14:val="standardContextual"/>
        </w:rPr>
        <w:t xml:space="preserve">Finalmente, debe advertirse que, el análisis requerido para resolver problemas específicos en torno a la contratación de las entidades estatales debe ser realizado por quienes tengan interés en ello. De esta manera, las afirmaciones aquí realizadas no pueden ser interpretadas como juicios de valor sobre circunstancias concretas relacionadas con los hechos que motivan la </w:t>
      </w:r>
      <w:r w:rsidRPr="00E15FD8">
        <w:rPr>
          <w:rFonts w:ascii="Verdana" w:eastAsia="Calibri" w:hAnsi="Verdana" w:cs="Arial"/>
          <w:color w:val="000000"/>
          <w:kern w:val="2"/>
          <w:lang w:val="es-ES"/>
          <w14:ligatures w14:val="standardContextual"/>
        </w:rPr>
        <w:lastRenderedPageBreak/>
        <w:t>consulta. Por lo anterior, previo concepto de sus asesores, la solución de situaciones particulares corresponde a los interesados adoptar la decisión correspondiente y, en caso de conflicto, a las autoridades judiciales, fiscales y disciplinarias.</w:t>
      </w:r>
    </w:p>
    <w:p w14:paraId="59B7581E" w14:textId="77777777" w:rsidR="00E42995" w:rsidRPr="00E15FD8" w:rsidRDefault="00E42995" w:rsidP="00E42995">
      <w:pPr>
        <w:tabs>
          <w:tab w:val="left" w:pos="709"/>
        </w:tabs>
        <w:snapToGrid w:val="0"/>
        <w:spacing w:after="0" w:line="276" w:lineRule="auto"/>
        <w:ind w:firstLine="709"/>
        <w:jc w:val="both"/>
        <w:rPr>
          <w:rFonts w:ascii="Verdana" w:eastAsia="Calibri" w:hAnsi="Verdana" w:cs="Arial"/>
          <w:color w:val="000000"/>
          <w:kern w:val="2"/>
          <w:lang w:val="es-ES"/>
          <w14:ligatures w14:val="standardContextual"/>
        </w:rPr>
      </w:pPr>
      <w:r w:rsidRPr="00E15FD8">
        <w:rPr>
          <w:rFonts w:ascii="Verdana" w:eastAsia="Calibri" w:hAnsi="Verdana" w:cs="Arial"/>
          <w:color w:val="000000"/>
          <w:kern w:val="2"/>
          <w:lang w:val="es-ES"/>
          <w14:ligatures w14:val="standardContextual"/>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69BC5F6C" w14:textId="77777777" w:rsidR="00E42995" w:rsidRPr="00D03524" w:rsidRDefault="00E42995" w:rsidP="00E42995">
      <w:pPr>
        <w:tabs>
          <w:tab w:val="left" w:pos="142"/>
          <w:tab w:val="left" w:pos="284"/>
        </w:tabs>
        <w:snapToGrid w:val="0"/>
        <w:spacing w:after="0" w:line="276" w:lineRule="auto"/>
        <w:jc w:val="both"/>
        <w:rPr>
          <w:rFonts w:ascii="Verdana" w:eastAsia="Century Gothic" w:hAnsi="Verdana" w:cs="Century Gothic"/>
          <w:b/>
          <w:bCs/>
          <w:lang w:val="es-ES"/>
        </w:rPr>
      </w:pPr>
    </w:p>
    <w:p w14:paraId="7AA59AFB" w14:textId="77777777" w:rsidR="00E42995" w:rsidRPr="004D7523" w:rsidRDefault="00E42995" w:rsidP="00E42995">
      <w:pPr>
        <w:numPr>
          <w:ilvl w:val="0"/>
          <w:numId w:val="18"/>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4D7523">
        <w:rPr>
          <w:rFonts w:ascii="Verdana" w:eastAsia="Century Gothic" w:hAnsi="Verdana" w:cs="Century Gothic"/>
          <w:b/>
          <w:bCs/>
          <w:lang w:val="es-ES_tradnl"/>
        </w:rPr>
        <w:t>Referencias normativas, jurisprudenciales y otras fuentes:</w:t>
      </w:r>
    </w:p>
    <w:p w14:paraId="3E378CD7" w14:textId="77777777" w:rsidR="00E42995" w:rsidRPr="004D7523" w:rsidRDefault="00E42995" w:rsidP="00E42995">
      <w:pPr>
        <w:tabs>
          <w:tab w:val="left" w:pos="970"/>
        </w:tabs>
        <w:spacing w:after="0" w:line="276" w:lineRule="auto"/>
        <w:ind w:left="-15840"/>
        <w:jc w:val="both"/>
        <w:rPr>
          <w:rFonts w:ascii="Verdana" w:eastAsia="Calibri" w:hAnsi="Verdana" w:cs="Arial"/>
          <w:b/>
          <w:bCs/>
        </w:rPr>
      </w:pPr>
      <w:r w:rsidRPr="004D7523">
        <w:rPr>
          <w:rFonts w:ascii="Verdana" w:eastAsia="Calibri" w:hAnsi="Verdana" w:cs="Arial"/>
          <w:b/>
          <w:bCs/>
        </w:rPr>
        <w:t>4. Referencias normativas, jurisprudenciales y otras fuentes:</w:t>
      </w:r>
      <w:r w:rsidRPr="004D7523">
        <w:rPr>
          <w:rFonts w:ascii="Verdana" w:eastAsia="Calibri" w:hAnsi="Verdana" w:cs="Arial"/>
          <w:b/>
          <w:bCs/>
        </w:rPr>
        <w:tab/>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E42995" w:rsidRPr="00D56B2A" w14:paraId="706ECDDC" w14:textId="77777777">
        <w:trPr>
          <w:trHeight w:val="242"/>
        </w:trPr>
        <w:tc>
          <w:tcPr>
            <w:tcW w:w="8647" w:type="dxa"/>
            <w:tcBorders>
              <w:top w:val="dotted" w:sz="4" w:space="0" w:color="auto"/>
              <w:left w:val="dotted" w:sz="4" w:space="0" w:color="auto"/>
              <w:bottom w:val="dotted" w:sz="4" w:space="0" w:color="auto"/>
              <w:right w:val="dotted" w:sz="4" w:space="0" w:color="auto"/>
            </w:tcBorders>
          </w:tcPr>
          <w:p w14:paraId="7422DF1B" w14:textId="77777777" w:rsidR="00E42995" w:rsidRPr="00D56B2A" w:rsidRDefault="00E42995">
            <w:pPr>
              <w:widowControl w:val="0"/>
              <w:autoSpaceDE w:val="0"/>
              <w:autoSpaceDN w:val="0"/>
              <w:snapToGrid w:val="0"/>
              <w:spacing w:after="120" w:line="276" w:lineRule="auto"/>
              <w:ind w:left="714"/>
              <w:jc w:val="both"/>
              <w:rPr>
                <w:rFonts w:ascii="Verdana" w:eastAsia="Calibri" w:hAnsi="Verdana" w:cs="Arial"/>
                <w:color w:val="3399FF"/>
                <w:lang w:val="es-ES_tradnl"/>
              </w:rPr>
            </w:pPr>
          </w:p>
          <w:p w14:paraId="78D60830" w14:textId="77777777" w:rsidR="00E42995" w:rsidRPr="006216B5" w:rsidRDefault="00E42995" w:rsidP="00E42995">
            <w:pPr>
              <w:widowControl w:val="0"/>
              <w:numPr>
                <w:ilvl w:val="0"/>
                <w:numId w:val="17"/>
              </w:numPr>
              <w:autoSpaceDE w:val="0"/>
              <w:autoSpaceDN w:val="0"/>
              <w:spacing w:after="160" w:line="276" w:lineRule="auto"/>
              <w:ind w:left="714" w:hanging="357"/>
              <w:jc w:val="both"/>
              <w:rPr>
                <w:rFonts w:ascii="Verdana" w:eastAsia="Calibri" w:hAnsi="Verdana" w:cs="Arial"/>
                <w:lang w:val="es-ES_tradnl" w:eastAsia="es-MX"/>
              </w:rPr>
            </w:pPr>
            <w:r w:rsidRPr="00DA2A79">
              <w:rPr>
                <w:rFonts w:ascii="Verdana" w:eastAsia="Calibri" w:hAnsi="Verdana" w:cs="Arial"/>
                <w:lang w:val="es-ES_tradnl" w:eastAsia="es-MX"/>
              </w:rPr>
              <w:t xml:space="preserve">Ley 2022 de 2020, artículo 1. </w:t>
            </w:r>
          </w:p>
          <w:p w14:paraId="46052388" w14:textId="77777777" w:rsidR="00E42995" w:rsidRPr="001704AC" w:rsidRDefault="00E42995" w:rsidP="00E42995">
            <w:pPr>
              <w:widowControl w:val="0"/>
              <w:numPr>
                <w:ilvl w:val="0"/>
                <w:numId w:val="17"/>
              </w:numPr>
              <w:autoSpaceDE w:val="0"/>
              <w:autoSpaceDN w:val="0"/>
              <w:spacing w:after="160" w:line="276" w:lineRule="auto"/>
              <w:jc w:val="both"/>
              <w:rPr>
                <w:rFonts w:ascii="Verdana" w:eastAsia="Calibri" w:hAnsi="Verdana" w:cs="Arial"/>
                <w:lang w:eastAsia="es-MX"/>
              </w:rPr>
            </w:pPr>
            <w:r w:rsidRPr="00DA2A79">
              <w:rPr>
                <w:rFonts w:ascii="Verdana" w:eastAsia="Calibri" w:hAnsi="Verdana" w:cs="Arial"/>
                <w:lang w:eastAsia="es-MX"/>
              </w:rPr>
              <w:t>Ley 1150 de 2007, ar</w:t>
            </w:r>
            <w:r w:rsidRPr="001704AC">
              <w:rPr>
                <w:rFonts w:ascii="Verdana" w:eastAsia="Calibri" w:hAnsi="Verdana" w:cs="Arial"/>
                <w:lang w:eastAsia="es-MX"/>
              </w:rPr>
              <w:t>tículo 2.</w:t>
            </w:r>
          </w:p>
          <w:p w14:paraId="4E30E941" w14:textId="77777777" w:rsidR="00E42995" w:rsidRPr="001704AC" w:rsidRDefault="00E42995" w:rsidP="00E42995">
            <w:pPr>
              <w:widowControl w:val="0"/>
              <w:numPr>
                <w:ilvl w:val="0"/>
                <w:numId w:val="17"/>
              </w:numPr>
              <w:autoSpaceDE w:val="0"/>
              <w:autoSpaceDN w:val="0"/>
              <w:spacing w:after="160" w:line="276" w:lineRule="auto"/>
              <w:jc w:val="both"/>
              <w:rPr>
                <w:rFonts w:ascii="Verdana" w:eastAsia="Calibri" w:hAnsi="Verdana" w:cs="Arial"/>
                <w:lang w:eastAsia="es-MX"/>
              </w:rPr>
            </w:pPr>
            <w:r w:rsidRPr="00AB1B8C">
              <w:rPr>
                <w:rFonts w:ascii="Verdana" w:eastAsia="Calibri" w:hAnsi="Verdana" w:cs="Arial"/>
                <w:bCs/>
              </w:rPr>
              <w:t>Ley 1918 de 2018</w:t>
            </w:r>
            <w:r>
              <w:rPr>
                <w:rFonts w:ascii="Verdana" w:eastAsia="Calibri" w:hAnsi="Verdana" w:cs="Arial"/>
                <w:bCs/>
              </w:rPr>
              <w:t xml:space="preserve">, </w:t>
            </w:r>
            <w:r w:rsidRPr="00DA2A79">
              <w:rPr>
                <w:rFonts w:ascii="Verdana" w:eastAsia="Calibri" w:hAnsi="Verdana" w:cs="Arial"/>
                <w:lang w:eastAsia="es-MX"/>
              </w:rPr>
              <w:t>ar</w:t>
            </w:r>
            <w:r w:rsidRPr="001704AC">
              <w:rPr>
                <w:rFonts w:ascii="Verdana" w:eastAsia="Calibri" w:hAnsi="Verdana" w:cs="Arial"/>
                <w:lang w:eastAsia="es-MX"/>
              </w:rPr>
              <w:t xml:space="preserve">tículo </w:t>
            </w:r>
            <w:r>
              <w:rPr>
                <w:rFonts w:ascii="Verdana" w:eastAsia="Calibri" w:hAnsi="Verdana" w:cs="Arial"/>
                <w:lang w:eastAsia="es-MX"/>
              </w:rPr>
              <w:t>4 y 5.</w:t>
            </w:r>
          </w:p>
          <w:p w14:paraId="45713C14" w14:textId="77777777" w:rsidR="00E42995" w:rsidRPr="00A631F9" w:rsidRDefault="00E42995" w:rsidP="00E42995">
            <w:pPr>
              <w:widowControl w:val="0"/>
              <w:numPr>
                <w:ilvl w:val="0"/>
                <w:numId w:val="17"/>
              </w:numPr>
              <w:autoSpaceDE w:val="0"/>
              <w:autoSpaceDN w:val="0"/>
              <w:spacing w:after="160" w:line="276" w:lineRule="auto"/>
              <w:jc w:val="both"/>
              <w:rPr>
                <w:rFonts w:ascii="Verdana" w:eastAsia="Calibri" w:hAnsi="Verdana" w:cs="Arial"/>
                <w:lang w:eastAsia="es-MX"/>
              </w:rPr>
            </w:pPr>
            <w:r w:rsidRPr="00AB1B8C">
              <w:rPr>
                <w:rFonts w:ascii="Verdana" w:eastAsia="Calibri" w:hAnsi="Verdana" w:cs="Arial"/>
                <w:bCs/>
                <w:lang w:val="es-MX"/>
              </w:rPr>
              <w:t>Ley 599 de 2000</w:t>
            </w:r>
            <w:r>
              <w:rPr>
                <w:rFonts w:ascii="Verdana" w:eastAsia="Calibri" w:hAnsi="Verdana" w:cs="Arial"/>
                <w:bCs/>
                <w:lang w:val="es-MX"/>
              </w:rPr>
              <w:t>,  a</w:t>
            </w:r>
            <w:r w:rsidRPr="00AB1B8C">
              <w:rPr>
                <w:rFonts w:ascii="Verdana" w:eastAsia="Calibri" w:hAnsi="Verdana" w:cs="Arial"/>
                <w:bCs/>
                <w:lang w:val="es-MX"/>
              </w:rPr>
              <w:t>rtículo 51</w:t>
            </w:r>
            <w:r>
              <w:rPr>
                <w:rFonts w:ascii="Verdana" w:eastAsia="Calibri" w:hAnsi="Verdana" w:cs="Arial"/>
                <w:bCs/>
                <w:lang w:val="es-MX"/>
              </w:rPr>
              <w:t>.</w:t>
            </w:r>
          </w:p>
          <w:p w14:paraId="241AA076" w14:textId="77777777" w:rsidR="00E42995" w:rsidRPr="00DA2A79" w:rsidRDefault="00E42995" w:rsidP="00E42995">
            <w:pPr>
              <w:widowControl w:val="0"/>
              <w:numPr>
                <w:ilvl w:val="0"/>
                <w:numId w:val="17"/>
              </w:numPr>
              <w:autoSpaceDE w:val="0"/>
              <w:autoSpaceDN w:val="0"/>
              <w:spacing w:after="160" w:line="276" w:lineRule="auto"/>
              <w:jc w:val="both"/>
              <w:rPr>
                <w:rFonts w:ascii="Verdana" w:eastAsia="Calibri" w:hAnsi="Verdana" w:cs="Arial"/>
                <w:lang w:eastAsia="es-MX"/>
              </w:rPr>
            </w:pPr>
            <w:r w:rsidRPr="00A631F9">
              <w:rPr>
                <w:rFonts w:ascii="Verdana" w:eastAsia="Calibri" w:hAnsi="Verdana" w:cs="Arial"/>
                <w:lang w:eastAsia="es-MX"/>
              </w:rPr>
              <w:t>Consejo De Estado. Sección Tercera, Subsección A. Sentencia del 13 de noviembre de 2013. Rad. 25.646.C.P. Mauricio Fajardo Gómez.</w:t>
            </w:r>
          </w:p>
          <w:p w14:paraId="6875208E" w14:textId="46C12C4B" w:rsidR="00E42995" w:rsidRPr="003B24BD" w:rsidRDefault="00E42995" w:rsidP="003B24BD">
            <w:pPr>
              <w:widowControl w:val="0"/>
              <w:numPr>
                <w:ilvl w:val="0"/>
                <w:numId w:val="17"/>
              </w:numPr>
              <w:autoSpaceDE w:val="0"/>
              <w:autoSpaceDN w:val="0"/>
              <w:spacing w:after="120" w:line="276" w:lineRule="auto"/>
              <w:jc w:val="both"/>
              <w:rPr>
                <w:rFonts w:ascii="Verdana" w:hAnsi="Verdana" w:cs="Arial"/>
                <w:color w:val="3399FF"/>
              </w:rPr>
            </w:pPr>
            <w:r w:rsidRPr="00DA2A79">
              <w:rPr>
                <w:rFonts w:ascii="Verdana" w:eastAsia="Calibri" w:hAnsi="Verdana" w:cs="Arial"/>
                <w:lang w:val="es-ES_tradnl" w:eastAsia="es-MX"/>
              </w:rPr>
              <w:t xml:space="preserve">Documentos Tipo. Disponibles en: </w:t>
            </w:r>
            <w:hyperlink r:id="rId12" w:history="1">
              <w:r w:rsidRPr="00DA2A79">
                <w:rPr>
                  <w:rFonts w:ascii="Verdana" w:eastAsia="Calibri" w:hAnsi="Verdana" w:cs="Arial"/>
                  <w:color w:val="0000FF"/>
                  <w:u w:val="single"/>
                  <w:lang w:val="es-ES_tradnl" w:eastAsia="es-MX"/>
                </w:rPr>
                <w:t>https://www.colombiacompra.gov.co/documentos-tipo/documentos-tipo</w:t>
              </w:r>
            </w:hyperlink>
            <w:r w:rsidRPr="00DA2A79">
              <w:rPr>
                <w:rFonts w:ascii="Verdana" w:eastAsia="Calibri" w:hAnsi="Verdana" w:cs="Arial"/>
                <w:lang w:val="es-ES_tradnl" w:eastAsia="es-MX"/>
              </w:rPr>
              <w:t>.</w:t>
            </w:r>
          </w:p>
        </w:tc>
      </w:tr>
    </w:tbl>
    <w:p w14:paraId="65DC6ECD" w14:textId="77777777" w:rsidR="00E42995" w:rsidRPr="00155CC1" w:rsidRDefault="00E42995" w:rsidP="00E42995">
      <w:pPr>
        <w:tabs>
          <w:tab w:val="left" w:pos="142"/>
          <w:tab w:val="left" w:pos="284"/>
        </w:tabs>
        <w:spacing w:after="0" w:line="276" w:lineRule="auto"/>
        <w:jc w:val="both"/>
        <w:rPr>
          <w:rFonts w:ascii="Verdana" w:eastAsia="Calibri" w:hAnsi="Verdana" w:cs="Arial"/>
          <w:color w:val="6699FF"/>
        </w:rPr>
      </w:pPr>
    </w:p>
    <w:p w14:paraId="3BC72C64" w14:textId="5663685E" w:rsidR="00E42995" w:rsidRPr="003B24BD" w:rsidRDefault="00E42995" w:rsidP="003B24BD">
      <w:pPr>
        <w:tabs>
          <w:tab w:val="left" w:pos="142"/>
          <w:tab w:val="left" w:pos="284"/>
        </w:tabs>
        <w:spacing w:after="0" w:line="276" w:lineRule="auto"/>
        <w:jc w:val="both"/>
        <w:rPr>
          <w:rFonts w:ascii="Verdana" w:eastAsia="Century Gothic" w:hAnsi="Verdana" w:cs="Century Gothic"/>
          <w:b/>
          <w:bCs/>
          <w:lang w:val="es-ES"/>
        </w:rPr>
      </w:pPr>
      <w:r w:rsidRPr="0026211F">
        <w:rPr>
          <w:rFonts w:ascii="Verdana" w:eastAsia="Calibri" w:hAnsi="Verdana" w:cs="Arial"/>
          <w:b/>
          <w:bCs/>
        </w:rPr>
        <w:t>5</w:t>
      </w:r>
      <w:r w:rsidRPr="0026211F">
        <w:rPr>
          <w:rFonts w:ascii="Verdana" w:eastAsia="Calibri" w:hAnsi="Verdana" w:cs="Arial"/>
        </w:rPr>
        <w:t>.</w:t>
      </w:r>
      <w:r w:rsidRPr="0026211F">
        <w:rPr>
          <w:rFonts w:ascii="Verdana" w:eastAsia="Century Gothic" w:hAnsi="Verdana" w:cs="Century Gothic"/>
          <w:b/>
          <w:bCs/>
          <w:lang w:val="es-ES"/>
        </w:rPr>
        <w:t>Doctrina de la Agencia Nacional de Contratación Pública:</w:t>
      </w:r>
    </w:p>
    <w:p w14:paraId="62FEBAF0" w14:textId="77777777" w:rsidR="00E42995" w:rsidRPr="00097BFD" w:rsidRDefault="00E42995" w:rsidP="00E42995">
      <w:pPr>
        <w:widowControl w:val="0"/>
        <w:autoSpaceDE w:val="0"/>
        <w:autoSpaceDN w:val="0"/>
        <w:snapToGrid w:val="0"/>
        <w:spacing w:after="0" w:line="276" w:lineRule="auto"/>
        <w:jc w:val="both"/>
        <w:rPr>
          <w:rFonts w:ascii="Verdana" w:eastAsia="Calibri" w:hAnsi="Verdana" w:cs="Arial"/>
          <w:lang w:val="es-ES_tradnl"/>
        </w:rPr>
      </w:pPr>
    </w:p>
    <w:p w14:paraId="61567562" w14:textId="77777777" w:rsidR="00E42995" w:rsidRPr="00097BFD" w:rsidRDefault="00E42995" w:rsidP="00E42995">
      <w:pPr>
        <w:widowControl w:val="0"/>
        <w:autoSpaceDE w:val="0"/>
        <w:autoSpaceDN w:val="0"/>
        <w:spacing w:after="0" w:line="276" w:lineRule="auto"/>
        <w:jc w:val="both"/>
        <w:rPr>
          <w:rFonts w:ascii="Verdana" w:eastAsia="Calibri" w:hAnsi="Verdana" w:cs="Arial"/>
          <w:color w:val="000000"/>
          <w:kern w:val="2"/>
          <w:shd w:val="clear" w:color="auto" w:fill="FFFFFF"/>
          <w:lang w:val="es-ES"/>
          <w14:ligatures w14:val="standardContextual"/>
        </w:rPr>
      </w:pPr>
      <w:r w:rsidRPr="00097BFD">
        <w:rPr>
          <w:rFonts w:ascii="Verdana" w:eastAsia="Calibri" w:hAnsi="Verdana" w:cs="Arial"/>
          <w:color w:val="000000"/>
          <w:kern w:val="2"/>
          <w:shd w:val="clear" w:color="auto" w:fill="FFFFFF"/>
          <w:lang w:val="es-ES"/>
          <w14:ligatures w14:val="standardContextual"/>
        </w:rPr>
        <w:t>La Agencia Nacional de Contratación Pública – Colombia Compra Eficiente se</w:t>
      </w:r>
      <w:r w:rsidRPr="00097BFD">
        <w:rPr>
          <w:rFonts w:ascii="Verdana" w:eastAsia="Aptos" w:hAnsi="Verdana" w:cs="Times New Roman"/>
          <w:color w:val="000000"/>
          <w:kern w:val="2"/>
          <w:lang w:val="es-ES_tradnl"/>
          <w14:ligatures w14:val="standardContextual"/>
        </w:rPr>
        <w:t xml:space="preserve"> </w:t>
      </w:r>
      <w:r w:rsidRPr="00097BFD">
        <w:rPr>
          <w:rFonts w:ascii="Verdana" w:eastAsia="Calibri" w:hAnsi="Verdana" w:cs="Arial"/>
          <w:color w:val="000000"/>
          <w:kern w:val="2"/>
          <w:shd w:val="clear" w:color="auto" w:fill="FFFFFF"/>
          <w:lang w:val="es-ES"/>
          <w14:ligatures w14:val="standardContextual"/>
        </w:rPr>
        <w:t xml:space="preserve">pronunció sobre el ámbito de aplicación de los documentos tipo en los conceptos C-448 del 11 de julio de 2022, C-672 del 27 de diciembre de 2021, C-018 del </w:t>
      </w:r>
      <w:r w:rsidRPr="00097BFD">
        <w:rPr>
          <w:rFonts w:ascii="Verdana" w:eastAsia="Calibri" w:hAnsi="Verdana" w:cs="Arial"/>
          <w:color w:val="000000"/>
          <w:kern w:val="2"/>
          <w:shd w:val="clear" w:color="auto" w:fill="FFFFFF"/>
          <w:lang w:val="es-ES"/>
          <w14:ligatures w14:val="standardContextual"/>
        </w:rPr>
        <w:lastRenderedPageBreak/>
        <w:t xml:space="preserve">22 de febrero de 2022, C-130 del 22 de marzo de 2022, C- 006 del 07 de marzo de 2022, C-159 del 5 de abril de 2022, C-200 del 18 de abril de 2022, C-417 del 30 de junio de 2022, C-430 del 30 de junio de 2022, C-678 del 18 de octubre de 2022, C-765 del 11 de noviembre de 2022, C-809 del 12 de diciembre de 2022, C-848 del 09 de diciembre de 2022, C-053 del 28 de marzo  de 2023, C-161 del 16 de julio de 2024, C-654 del 07 de noviembre de 2024, entre otros. Por otra parte, sobre el alcance del numeral 3.8 del documento base de los documentos tipo de licitación de obra pública de infraestructura de transporte, esta Agencia se pronunció en los conceptos C-174 del 20 de febrero de 2025, C-267 del 11 de marzo de 2025 , C-684 del 7 de julio de 2025, </w:t>
      </w:r>
      <w:r w:rsidRPr="00097BFD">
        <w:rPr>
          <w:rFonts w:ascii="Verdana" w:eastAsia="Calibri" w:hAnsi="Verdana" w:cs="Arial"/>
          <w:lang w:val="es-ES_tradnl" w:eastAsia="es-ES"/>
        </w:rPr>
        <w:t>C – 865 del 08 de agosto de 2025, entre otros.</w:t>
      </w:r>
    </w:p>
    <w:p w14:paraId="4CE21588" w14:textId="77777777" w:rsidR="00E42995" w:rsidRPr="00097BFD" w:rsidRDefault="00E42995" w:rsidP="00E42995">
      <w:pPr>
        <w:widowControl w:val="0"/>
        <w:autoSpaceDE w:val="0"/>
        <w:autoSpaceDN w:val="0"/>
        <w:spacing w:after="0" w:line="276" w:lineRule="auto"/>
        <w:jc w:val="both"/>
        <w:rPr>
          <w:rFonts w:ascii="Verdana" w:eastAsia="Calibri" w:hAnsi="Verdana" w:cs="Arial"/>
          <w:lang w:eastAsia="es-MX"/>
        </w:rPr>
      </w:pPr>
    </w:p>
    <w:p w14:paraId="5508646A" w14:textId="3573270F" w:rsidR="00E42995" w:rsidRPr="00BA274A" w:rsidRDefault="00E42995" w:rsidP="00E42995">
      <w:pPr>
        <w:spacing w:after="550"/>
        <w:jc w:val="both"/>
        <w:rPr>
          <w:rFonts w:ascii="Verdana" w:eastAsia="Calibri" w:hAnsi="Verdana" w:cs="Arial"/>
          <w:lang w:val="es-ES" w:eastAsia="es-ES"/>
        </w:rPr>
      </w:pPr>
      <w:r>
        <w:rPr>
          <w:rFonts w:ascii="Verdana" w:eastAsia="Calibri" w:hAnsi="Verdana" w:cs="Arial"/>
          <w:lang w:val="es-ES"/>
        </w:rPr>
        <w:t>En relación con</w:t>
      </w:r>
      <w:r w:rsidRPr="00097BFD">
        <w:rPr>
          <w:rFonts w:ascii="Verdana" w:eastAsia="Calibri" w:hAnsi="Verdana" w:cs="Arial"/>
          <w:lang w:val="es-ES"/>
        </w:rPr>
        <w:t xml:space="preserve"> </w:t>
      </w:r>
      <w:r>
        <w:rPr>
          <w:rFonts w:ascii="Verdana" w:hAnsi="Verdana" w:cs="Arial"/>
          <w:shd w:val="clear" w:color="auto" w:fill="FFFFFF"/>
          <w:lang w:val="es-ES"/>
        </w:rPr>
        <w:t xml:space="preserve">el </w:t>
      </w:r>
      <w:r w:rsidRPr="00097BFD">
        <w:rPr>
          <w:rFonts w:ascii="Verdana" w:hAnsi="Verdana" w:cs="Arial"/>
          <w:shd w:val="clear" w:color="auto" w:fill="FFFFFF"/>
          <w:lang w:val="es-ES"/>
        </w:rPr>
        <w:t xml:space="preserve">régimen de inhabilidades en los conceptos </w:t>
      </w:r>
      <w:r w:rsidRPr="00097BFD">
        <w:rPr>
          <w:rStyle w:val="normaltextrun"/>
          <w:rFonts w:ascii="Verdana" w:hAnsi="Verdana" w:cs="Arial"/>
          <w:shd w:val="clear" w:color="auto" w:fill="FFFFFF"/>
          <w:lang w:val="es-ES"/>
        </w:rPr>
        <w:t>C-273 del 21 de mayo de 2020, C-386 del 24 de julio de 2020, C-580 del 21 de septiembre de 2020, C-639 del 27 de octubre del 2020, C-650 del 10 de noviembre de 2020, C-684 del 24 de noviembre de 2020 C-004 del 12 de febrero de 2021, C-815 del 18 de febrero de 2021, C-210 del 12 de mayo de 2021, C-275 del 11 de junio de 2021, C-321 del 2 de julio de 2021, C-410 del 7 de julio del 2021, C-491 del 14 de septiembre de 2021, C-028 del 28 de febrero de 2022, C-318 del 18 de mayo de 2022, C-252 del 30 de mayo de 2022, C-175 del 4 de mayo de 2023, C-234 del 5 de julio de 2023, C-408 del 21 de agosto de 2024, C-975 del 16 de diciembre de 2024, C-1716 del 23 de diciembre de 2025 y C-1790 del 30 de diciembre de</w:t>
      </w:r>
      <w:r>
        <w:rPr>
          <w:rStyle w:val="normaltextrun"/>
          <w:rFonts w:ascii="Verdana" w:hAnsi="Verdana" w:cs="Arial"/>
          <w:shd w:val="clear" w:color="auto" w:fill="FFFFFF"/>
          <w:lang w:val="es-ES"/>
        </w:rPr>
        <w:t xml:space="preserve"> 2</w:t>
      </w:r>
      <w:r w:rsidRPr="00097BFD">
        <w:rPr>
          <w:rStyle w:val="normaltextrun"/>
          <w:rFonts w:ascii="Verdana" w:hAnsi="Verdana" w:cs="Arial"/>
          <w:shd w:val="clear" w:color="auto" w:fill="FFFFFF"/>
          <w:lang w:val="es-ES"/>
        </w:rPr>
        <w:t xml:space="preserve">025 y </w:t>
      </w:r>
      <w:r w:rsidRPr="00097BFD">
        <w:rPr>
          <w:rFonts w:ascii="Verdana" w:eastAsia="Calibri" w:hAnsi="Verdana" w:cs="Arial"/>
          <w:lang w:val="es-ES" w:eastAsia="es-ES"/>
        </w:rPr>
        <w:t>C</w:t>
      </w:r>
      <w:r>
        <w:rPr>
          <w:rFonts w:ascii="Verdana" w:eastAsia="Calibri" w:hAnsi="Verdana" w:cs="Arial"/>
          <w:lang w:val="es-ES" w:eastAsia="es-ES"/>
        </w:rPr>
        <w:t>-</w:t>
      </w:r>
      <w:r w:rsidRPr="00097BFD">
        <w:rPr>
          <w:rFonts w:ascii="Verdana" w:eastAsia="Calibri" w:hAnsi="Verdana" w:cs="Arial"/>
          <w:lang w:val="es-ES" w:eastAsia="es-ES"/>
        </w:rPr>
        <w:t>1655 del 03 de febrero de 2026</w:t>
      </w:r>
      <w:r>
        <w:rPr>
          <w:rFonts w:ascii="Verdana" w:eastAsia="Calibri" w:hAnsi="Verdana" w:cs="Arial"/>
          <w:lang w:val="es-ES" w:eastAsia="es-ES"/>
        </w:rPr>
        <w:t>.</w:t>
      </w:r>
      <w:r w:rsidR="00BA274A">
        <w:rPr>
          <w:rFonts w:ascii="Verdana" w:eastAsia="Calibri" w:hAnsi="Verdana" w:cs="Arial"/>
          <w:lang w:val="es-ES" w:eastAsia="es-ES"/>
        </w:rPr>
        <w:t xml:space="preserve"> </w:t>
      </w:r>
      <w:r w:rsidRPr="00B65AE3">
        <w:rPr>
          <w:rFonts w:ascii="Verdana" w:eastAsia="Calibri" w:hAnsi="Verdana" w:cs="Arial"/>
          <w:sz w:val="24"/>
          <w:szCs w:val="24"/>
        </w:rPr>
        <w:t xml:space="preserve">Estos y otros conceptos se encuentran disponibles para consulta en el Sistema de relatoría de la Agencia, al cual se puede acceder a través del siguiente enlace: </w:t>
      </w:r>
      <w:hyperlink r:id="rId13" w:history="1">
        <w:r w:rsidRPr="00B65AE3">
          <w:rPr>
            <w:rStyle w:val="Hipervnculo"/>
            <w:rFonts w:ascii="Verdana" w:eastAsia="Calibri" w:hAnsi="Verdana" w:cs="Arial"/>
            <w:sz w:val="24"/>
            <w:szCs w:val="24"/>
          </w:rPr>
          <w:t>https://relatoria.colombiacompra.gov.co/busqueda/conceptos</w:t>
        </w:r>
      </w:hyperlink>
    </w:p>
    <w:p w14:paraId="3E0115D1" w14:textId="77777777" w:rsidR="00E42995" w:rsidRPr="00A71C0F" w:rsidRDefault="00E42995" w:rsidP="00E42995">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A71C0F">
        <w:rPr>
          <w:rFonts w:ascii="Verdana" w:eastAsia="Calibri" w:hAnsi="Verdana" w:cs="Arial"/>
          <w:kern w:val="2"/>
          <w:shd w:val="clear" w:color="auto" w:fill="FFFFFF"/>
          <w:lang w:val="es-ES_tradnl"/>
          <w14:ligatures w14:val="standardContextual"/>
        </w:rPr>
        <w:t>La</w:t>
      </w:r>
      <w:r w:rsidRPr="00A71C0F">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A71C0F">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A71C0F">
        <w:rPr>
          <w:rFonts w:ascii="Verdana" w:eastAsia="Calibri" w:hAnsi="Verdana" w:cs="Arial"/>
          <w:b/>
          <w:bCs/>
          <w:kern w:val="2"/>
          <w:shd w:val="clear" w:color="auto" w:fill="FFFFFF"/>
          <w:lang w:val="es-ES_tradnl"/>
          <w14:ligatures w14:val="standardContextual"/>
        </w:rPr>
        <w:t>Documentos Tipo</w:t>
      </w:r>
      <w:r w:rsidRPr="00A71C0F">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A71C0F">
        <w:rPr>
          <w:rFonts w:ascii="Verdana" w:eastAsia="Calibri" w:hAnsi="Verdana" w:cs="Arial"/>
          <w:b/>
          <w:bCs/>
          <w:kern w:val="2"/>
          <w:shd w:val="clear" w:color="auto" w:fill="FFFFFF"/>
          <w:lang w:val="es-ES_tradnl"/>
          <w14:ligatures w14:val="standardContextual"/>
        </w:rPr>
        <w:t>transparencia</w:t>
      </w:r>
      <w:r w:rsidRPr="00A71C0F">
        <w:rPr>
          <w:rFonts w:ascii="Verdana" w:eastAsia="Calibri" w:hAnsi="Verdana" w:cs="Arial"/>
          <w:kern w:val="2"/>
          <w:shd w:val="clear" w:color="auto" w:fill="FFFFFF"/>
          <w:lang w:val="es-ES_tradnl"/>
          <w14:ligatures w14:val="standardContextual"/>
        </w:rPr>
        <w:t> y promover un proceso de </w:t>
      </w:r>
      <w:r w:rsidRPr="00A71C0F">
        <w:rPr>
          <w:rFonts w:ascii="Verdana" w:eastAsia="Calibri" w:hAnsi="Verdana" w:cs="Arial"/>
          <w:b/>
          <w:bCs/>
          <w:kern w:val="2"/>
          <w:shd w:val="clear" w:color="auto" w:fill="FFFFFF"/>
          <w:lang w:val="es-ES_tradnl"/>
          <w14:ligatures w14:val="standardContextual"/>
        </w:rPr>
        <w:t>selección objetiva</w:t>
      </w:r>
      <w:r w:rsidRPr="00A71C0F">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4AAECE90" w14:textId="77777777" w:rsidR="00E42995" w:rsidRPr="00A71C0F" w:rsidRDefault="00E42995" w:rsidP="00E42995">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2F3749C6" w14:textId="77777777" w:rsidR="00E42995" w:rsidRPr="00A71C0F" w:rsidRDefault="00E42995" w:rsidP="00E42995">
      <w:pPr>
        <w:spacing w:after="0" w:line="276" w:lineRule="auto"/>
        <w:jc w:val="both"/>
        <w:rPr>
          <w:rFonts w:ascii="Verdana" w:eastAsia="Aptos" w:hAnsi="Verdana" w:cs="Times New Roman"/>
          <w:kern w:val="2"/>
          <w:lang w:val="es-ES_tradnl"/>
          <w14:ligatures w14:val="standardContextual"/>
        </w:rPr>
      </w:pPr>
      <w:r w:rsidRPr="00A71C0F">
        <w:rPr>
          <w:rFonts w:ascii="Verdana" w:eastAsia="Aptos" w:hAnsi="Verdana" w:cs="Times New Roman"/>
          <w:kern w:val="2"/>
          <w14:ligatures w14:val="standardContextual"/>
        </w:rPr>
        <w:t>Las garantías no son un requisito formal: son el instrumento con el que se protege el patrimonio público frente a los riesgos del contrato. Por ello, la Agencia Nacional de Contratación Pública –Colombia Compra Eficiente– le invita a consultar la nueva versión de la </w:t>
      </w:r>
      <w:r w:rsidRPr="00A71C0F">
        <w:rPr>
          <w:rFonts w:ascii="Verdana" w:eastAsia="Aptos" w:hAnsi="Verdana" w:cs="Times New Roman"/>
          <w:b/>
          <w:bCs/>
          <w:kern w:val="2"/>
          <w14:ligatures w14:val="standardContextual"/>
        </w:rPr>
        <w:t>Guía para la Exigencia y Constitución de Garantías en los Procesos de Contratación</w:t>
      </w:r>
      <w:r w:rsidRPr="00A71C0F">
        <w:rPr>
          <w:rFonts w:ascii="Verdana" w:eastAsia="Aptos" w:hAnsi="Verdana" w:cs="Times New Roman"/>
          <w:kern w:val="2"/>
          <w14:ligatures w14:val="standardContextual"/>
        </w:rPr>
        <w:t>, dirigida a las entidades sometidas al EGCAP y a las de regímenes exceptuados, así como a proveedores y órganos de control. Encontrará orientaciones sobre las clases de garantías admisibles, la correspondencia entre riesgos asignados y amparos exigidos, su suficiencia y vigencia, y el procedimiento para hacerlas efectivas. Consúltela aquí: </w:t>
      </w:r>
      <w:hyperlink r:id="rId14" w:tgtFrame="_blank" w:tooltip="Original URL: https://www.colombiacompra.gov.co/archivos/manual/guia-de-garantias-en-procesos-de-contratacion. Click or tap if you trust this link." w:history="1">
        <w:r w:rsidRPr="00A71C0F">
          <w:rPr>
            <w:rFonts w:ascii="Verdana" w:eastAsia="Aptos" w:hAnsi="Verdana" w:cs="Times New Roman"/>
            <w:color w:val="0000FF"/>
            <w:kern w:val="2"/>
            <w:u w:val="single"/>
            <w14:ligatures w14:val="standardContextual"/>
          </w:rPr>
          <w:t>https://www.colombiacompra.gov.co/archivos/manual/guia-de-garantias-en-procesos-de-contratacion</w:t>
        </w:r>
      </w:hyperlink>
    </w:p>
    <w:p w14:paraId="7715F423" w14:textId="77777777" w:rsidR="00E42995" w:rsidRPr="00A71C0F" w:rsidRDefault="00E42995" w:rsidP="00E42995">
      <w:pPr>
        <w:spacing w:after="0" w:line="276" w:lineRule="auto"/>
        <w:jc w:val="both"/>
        <w:rPr>
          <w:rFonts w:ascii="Verdana" w:eastAsia="Aptos" w:hAnsi="Verdana" w:cs="Times New Roman"/>
          <w:kern w:val="2"/>
          <w14:ligatures w14:val="standardContextual"/>
        </w:rPr>
      </w:pPr>
    </w:p>
    <w:p w14:paraId="2043E04C" w14:textId="77777777" w:rsidR="00E42995" w:rsidRPr="00A71C0F" w:rsidRDefault="00E42995" w:rsidP="00E42995">
      <w:pPr>
        <w:spacing w:after="0" w:line="276" w:lineRule="auto"/>
        <w:jc w:val="both"/>
        <w:rPr>
          <w:rFonts w:ascii="Verdana" w:eastAsia="Aptos" w:hAnsi="Verdana" w:cs="Times New Roman"/>
          <w:kern w:val="2"/>
          <w:lang w:val="es-ES_tradnl"/>
          <w14:ligatures w14:val="standardContextual"/>
        </w:rPr>
      </w:pPr>
      <w:r w:rsidRPr="00A71C0F">
        <w:rPr>
          <w:rFonts w:ascii="Verdana" w:eastAsia="Aptos" w:hAnsi="Verdana" w:cs="Times New Roman"/>
          <w:kern w:val="2"/>
          <w14:ligatures w14:val="standardContextual"/>
        </w:rPr>
        <w:t>De otro lado, le contamos que el Decreto 287 del 19 de marzo de 2026 sustituyó los artículos 2.2.1.2.4.2.6., 2.2.1.2.4.2.7. y 2.2.1.2.4.2.8. del Decreto 1082 de 2015 y estructuró el </w:t>
      </w:r>
      <w:r w:rsidRPr="00A71C0F">
        <w:rPr>
          <w:rFonts w:ascii="Verdana" w:eastAsia="Aptos" w:hAnsi="Verdana" w:cs="Times New Roman"/>
          <w:b/>
          <w:bCs/>
          <w:kern w:val="2"/>
          <w14:ligatures w14:val="standardContextual"/>
        </w:rPr>
        <w:t>Sistema Integral de Preferencias en favor de las personas con discapacidad</w:t>
      </w:r>
      <w:r w:rsidRPr="00A71C0F">
        <w:rPr>
          <w:rFonts w:ascii="Verdana" w:eastAsia="Aptos" w:hAnsi="Verdana" w:cs="Times New Roman"/>
          <w:kern w:val="2"/>
          <w14:ligatures w14:val="standardContextual"/>
        </w:rPr>
        <w:t>, en cumplimiento del artículo 13 de la Ley Estatutaria 1618 de 2013. Para orientar su aplicación, esta Agencia expidió la </w:t>
      </w:r>
      <w:r w:rsidRPr="00A71C0F">
        <w:rPr>
          <w:rFonts w:ascii="Verdana" w:eastAsia="Aptos" w:hAnsi="Verdana" w:cs="Times New Roman"/>
          <w:b/>
          <w:bCs/>
          <w:kern w:val="2"/>
          <w14:ligatures w14:val="standardContextual"/>
        </w:rPr>
        <w:t>Circular Externa 003 del 12 de mayo de 2026, </w:t>
      </w:r>
      <w:r w:rsidRPr="00A71C0F">
        <w:rPr>
          <w:rFonts w:ascii="Verdana" w:eastAsia="Aptos" w:hAnsi="Verdana" w:cs="Times New Roman"/>
          <w:kern w:val="2"/>
          <w14:ligatures w14:val="standardContextual"/>
        </w:rPr>
        <w:t>en la que precisa quiénes son los beneficiarios, las cinco medidas que integran el sistema y su obligatoriedad según la modalidad de selección, y el régimen de transición aplicable a los procesos en curso. Consúltela aquí: </w:t>
      </w:r>
      <w:hyperlink r:id="rId15" w:tgtFrame="_blank" w:tooltip="Original URL: https://www.colombiacompra.gov.co/archivos/circular/circular-externa-003-de-2026. Click or tap if you trust this link." w:history="1">
        <w:r w:rsidRPr="00A71C0F">
          <w:rPr>
            <w:rFonts w:ascii="Verdana" w:eastAsia="Aptos" w:hAnsi="Verdana" w:cs="Times New Roman"/>
            <w:color w:val="0000FF"/>
            <w:kern w:val="2"/>
            <w:u w:val="single"/>
            <w14:ligatures w14:val="standardContextual"/>
          </w:rPr>
          <w:t>https://www.colombiacompra.gov.co/archivos/circular/circular-externa-003-de-2026</w:t>
        </w:r>
      </w:hyperlink>
    </w:p>
    <w:p w14:paraId="67008791" w14:textId="77777777" w:rsidR="00E42995" w:rsidRPr="00A71C0F" w:rsidRDefault="00E42995" w:rsidP="00E42995">
      <w:pPr>
        <w:spacing w:after="0" w:line="276" w:lineRule="auto"/>
        <w:jc w:val="both"/>
        <w:rPr>
          <w:rFonts w:ascii="Verdana" w:eastAsia="Aptos" w:hAnsi="Verdana" w:cs="Times New Roman"/>
          <w:kern w:val="2"/>
          <w14:ligatures w14:val="standardContextual"/>
        </w:rPr>
      </w:pPr>
    </w:p>
    <w:p w14:paraId="1A5DBC37" w14:textId="77777777" w:rsidR="00E42995" w:rsidRPr="00A71C0F" w:rsidRDefault="00E42995" w:rsidP="00E42995">
      <w:pPr>
        <w:spacing w:after="0" w:line="276" w:lineRule="auto"/>
        <w:jc w:val="both"/>
        <w:rPr>
          <w:rFonts w:ascii="Verdana" w:eastAsia="Aptos" w:hAnsi="Verdana" w:cs="Times New Roman"/>
          <w:kern w:val="2"/>
          <w:lang w:val="es-ES_tradnl"/>
          <w14:ligatures w14:val="standardContextual"/>
        </w:rPr>
      </w:pPr>
      <w:r w:rsidRPr="00A71C0F">
        <w:rPr>
          <w:rFonts w:ascii="Verdana" w:eastAsia="Aptos" w:hAnsi="Verdana" w:cs="Times New Roman"/>
          <w:kern w:val="2"/>
          <w14:ligatures w14:val="standardContextual"/>
        </w:rPr>
        <w:t>Recuerde también que la</w:t>
      </w:r>
      <w:r w:rsidRPr="00A71C0F">
        <w:rPr>
          <w:rFonts w:ascii="Verdana" w:eastAsia="Aptos" w:hAnsi="Verdana" w:cs="Times New Roman"/>
          <w:b/>
          <w:bCs/>
          <w:kern w:val="2"/>
          <w14:ligatures w14:val="standardContextual"/>
        </w:rPr>
        <w:t> información sobre sanciones e inhabilidades </w:t>
      </w:r>
      <w:r w:rsidRPr="00A71C0F">
        <w:rPr>
          <w:rFonts w:ascii="Verdana" w:eastAsia="Aptos" w:hAnsi="Verdana" w:cs="Times New Roman"/>
          <w:kern w:val="2"/>
          <w14:ligatures w14:val="standardContextual"/>
        </w:rPr>
        <w:t>solo cumple su función preventiva si llega oportunamente a los registros públicos. Sobre este deber, esta Agencia expidió la </w:t>
      </w:r>
      <w:r w:rsidRPr="00A71C0F">
        <w:rPr>
          <w:rFonts w:ascii="Verdana" w:eastAsia="Aptos" w:hAnsi="Verdana" w:cs="Times New Roman"/>
          <w:b/>
          <w:bCs/>
          <w:kern w:val="2"/>
          <w14:ligatures w14:val="standardContextual"/>
        </w:rPr>
        <w:t>Circular Externa 002 del 5 de mayo de 2026,</w:t>
      </w:r>
      <w:r w:rsidRPr="00A71C0F">
        <w:rPr>
          <w:rFonts w:ascii="Verdana" w:eastAsia="Aptos" w:hAnsi="Verdana" w:cs="Times New Roman"/>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Original URL: https://www.colombiacompra.gov.co/archivos/circular/circular-externa-002-de-2026. Click or tap if you trust this link." w:history="1">
        <w:r w:rsidRPr="00A71C0F">
          <w:rPr>
            <w:rFonts w:ascii="Verdana" w:eastAsia="Aptos" w:hAnsi="Verdana" w:cs="Times New Roman"/>
            <w:color w:val="0000FF"/>
            <w:kern w:val="2"/>
            <w:u w:val="single"/>
            <w14:ligatures w14:val="standardContextual"/>
          </w:rPr>
          <w:t>https://www.colombiacompra.gov.co/archivos/circular/circular-externa-002-de-2026</w:t>
        </w:r>
      </w:hyperlink>
    </w:p>
    <w:p w14:paraId="190A4B19" w14:textId="77777777" w:rsidR="00E42995" w:rsidRPr="00A71C0F" w:rsidRDefault="00E42995" w:rsidP="00E42995">
      <w:pPr>
        <w:spacing w:after="0" w:line="276" w:lineRule="auto"/>
        <w:jc w:val="both"/>
        <w:rPr>
          <w:rFonts w:ascii="Verdana" w:eastAsia="Aptos" w:hAnsi="Verdana" w:cs="Times New Roman"/>
          <w:kern w:val="2"/>
          <w14:ligatures w14:val="standardContextual"/>
        </w:rPr>
      </w:pPr>
    </w:p>
    <w:p w14:paraId="3AEFABA4" w14:textId="77777777" w:rsidR="00E42995" w:rsidRPr="00A71C0F" w:rsidRDefault="00E42995" w:rsidP="00E42995">
      <w:pPr>
        <w:spacing w:after="0" w:line="276" w:lineRule="auto"/>
        <w:jc w:val="both"/>
        <w:rPr>
          <w:rFonts w:ascii="Verdana" w:eastAsia="Aptos" w:hAnsi="Verdana" w:cs="Times New Roman"/>
          <w:kern w:val="2"/>
          <w14:ligatures w14:val="standardContextual"/>
        </w:rPr>
      </w:pPr>
      <w:r w:rsidRPr="00A71C0F">
        <w:rPr>
          <w:rFonts w:ascii="Verdana" w:eastAsia="Aptos" w:hAnsi="Verdana" w:cs="Times New Roman"/>
          <w:kern w:val="2"/>
          <w14:ligatures w14:val="standardContextual"/>
        </w:rPr>
        <w:t>Finalmente, si quiere seguir de cerca la actividad de la Agencia, la tercera edición de 2026 del</w:t>
      </w:r>
      <w:r w:rsidRPr="00A71C0F">
        <w:rPr>
          <w:rFonts w:ascii="Verdana" w:eastAsia="Aptos" w:hAnsi="Verdana" w:cs="Times New Roman"/>
          <w:b/>
          <w:bCs/>
          <w:kern w:val="2"/>
          <w14:ligatures w14:val="standardContextual"/>
        </w:rPr>
        <w:t> Radar de la Compra Pública</w:t>
      </w:r>
      <w:r w:rsidRPr="00A71C0F">
        <w:rPr>
          <w:rFonts w:ascii="Verdana" w:eastAsia="Aptos" w:hAnsi="Verdana" w:cs="Times New Roman"/>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7" w:tgtFrame="_blank" w:tooltip="Original URL: https://www.colombiacompra.gov.co/archivos/boletin/boletin-edicion-n-3-de-2026-radar-de-la-compra-publica. Click or tap if you trust this link." w:history="1">
        <w:r w:rsidRPr="00A71C0F">
          <w:rPr>
            <w:rFonts w:ascii="Verdana" w:eastAsia="Aptos" w:hAnsi="Verdana" w:cs="Times New Roman"/>
            <w:color w:val="0000FF"/>
            <w:kern w:val="2"/>
            <w:u w:val="single"/>
            <w14:ligatures w14:val="standardContextual"/>
          </w:rPr>
          <w:t>https://www.colombiacompra.gov.co/archivos/boletin/boletin-edicion-n-3-de-2026-radar-de-la-compra-publica</w:t>
        </w:r>
      </w:hyperlink>
    </w:p>
    <w:p w14:paraId="179876D7" w14:textId="77777777" w:rsidR="00E42995" w:rsidRPr="009552C8" w:rsidRDefault="00E42995" w:rsidP="00E42995">
      <w:pPr>
        <w:spacing w:after="0" w:line="240" w:lineRule="auto"/>
        <w:jc w:val="both"/>
        <w:rPr>
          <w:rFonts w:ascii="Verdana" w:eastAsia="Calibri" w:hAnsi="Verdana" w:cs="Times New Roman"/>
          <w:kern w:val="2"/>
          <w14:ligatures w14:val="standardContextual"/>
        </w:rPr>
      </w:pPr>
      <w:r w:rsidRPr="009552C8">
        <w:rPr>
          <w:rFonts w:ascii="Verdana" w:eastAsia="Aptos" w:hAnsi="Verdana" w:cs="Times New Roman"/>
          <w:kern w:val="2"/>
          <w14:ligatures w14:val="standardContextual"/>
        </w:rPr>
        <w:t xml:space="preserve">Por último, lo invitamos a seguirnos en las redes sociales en las cuales se difunde información institucional: </w:t>
      </w:r>
    </w:p>
    <w:p w14:paraId="4F13DBCA" w14:textId="77777777" w:rsidR="00E42995" w:rsidRPr="009552C8" w:rsidRDefault="00E42995" w:rsidP="00E42995">
      <w:pPr>
        <w:spacing w:after="0" w:line="240" w:lineRule="auto"/>
        <w:jc w:val="both"/>
        <w:rPr>
          <w:rFonts w:ascii="Verdana" w:eastAsia="Aptos" w:hAnsi="Verdana" w:cs="Times New Roman"/>
          <w:kern w:val="2"/>
          <w14:ligatures w14:val="standardContextual"/>
        </w:rPr>
      </w:pPr>
    </w:p>
    <w:p w14:paraId="47E3AB60" w14:textId="77777777" w:rsidR="00E42995" w:rsidRPr="009552C8" w:rsidRDefault="00E42995" w:rsidP="00E42995">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Twitter: </w:t>
      </w:r>
      <w:r w:rsidRPr="007603CE">
        <w:rPr>
          <w:rFonts w:ascii="Verdana" w:eastAsia="Calibri" w:hAnsi="Verdana" w:cs="Times New Roman"/>
          <w:color w:val="0000FF"/>
          <w:kern w:val="2"/>
          <w:u w:val="single"/>
          <w14:ligatures w14:val="standardContextual"/>
        </w:rPr>
        <w:t>@colombiacompra</w:t>
      </w:r>
      <w:r w:rsidRPr="007603CE">
        <w:rPr>
          <w:rFonts w:ascii="Verdana" w:eastAsia="Calibri" w:hAnsi="Verdana" w:cs="Times New Roman"/>
          <w:color w:val="0000FF"/>
          <w:kern w:val="2"/>
          <w14:ligatures w14:val="standardContextual"/>
        </w:rPr>
        <w:t xml:space="preserve"> </w:t>
      </w:r>
    </w:p>
    <w:p w14:paraId="0432574C" w14:textId="77777777" w:rsidR="00E42995" w:rsidRPr="009552C8" w:rsidRDefault="00E42995" w:rsidP="00E42995">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Facebook: </w:t>
      </w:r>
      <w:proofErr w:type="spellStart"/>
      <w:r w:rsidRPr="007603CE">
        <w:rPr>
          <w:rFonts w:ascii="Verdana" w:eastAsia="Calibri" w:hAnsi="Verdana" w:cs="Times New Roman"/>
          <w:color w:val="0000FF"/>
          <w:kern w:val="2"/>
          <w:u w:val="single"/>
          <w14:ligatures w14:val="standardContextual"/>
        </w:rPr>
        <w:t>ColombiaCompraEficiente</w:t>
      </w:r>
      <w:proofErr w:type="spellEnd"/>
    </w:p>
    <w:p w14:paraId="1A4BB4C9" w14:textId="77777777" w:rsidR="00E42995" w:rsidRPr="009552C8" w:rsidRDefault="00E42995" w:rsidP="00E42995">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LinkedIn: </w:t>
      </w:r>
      <w:r w:rsidRPr="007603CE">
        <w:rPr>
          <w:rFonts w:ascii="Verdana" w:eastAsia="Calibri" w:hAnsi="Verdana" w:cs="Times New Roman"/>
          <w:color w:val="0000FF"/>
          <w:kern w:val="2"/>
          <w:u w:val="single"/>
          <w14:ligatures w14:val="standardContextual"/>
        </w:rPr>
        <w:t>Agencia Nacional de Contratación Pública - Colombia Compra Eficiente</w:t>
      </w:r>
      <w:r w:rsidRPr="007603CE">
        <w:rPr>
          <w:rFonts w:ascii="Verdana" w:eastAsia="Calibri" w:hAnsi="Verdana" w:cs="Times New Roman"/>
          <w:color w:val="0000FF"/>
          <w:kern w:val="2"/>
          <w14:ligatures w14:val="standardContextual"/>
        </w:rPr>
        <w:t xml:space="preserve"> </w:t>
      </w:r>
      <w:r w:rsidRPr="009552C8">
        <w:rPr>
          <w:rFonts w:ascii="Verdana" w:eastAsia="Aptos" w:hAnsi="Verdana" w:cs="Times New Roman"/>
          <w:kern w:val="2"/>
          <w14:ligatures w14:val="standardContextual"/>
        </w:rPr>
        <w:t xml:space="preserve">Instagram: </w:t>
      </w:r>
      <w:r w:rsidRPr="007603CE">
        <w:rPr>
          <w:rFonts w:ascii="Verdana" w:eastAsia="Calibri" w:hAnsi="Verdana" w:cs="Times New Roman"/>
          <w:color w:val="0000FF"/>
          <w:kern w:val="2"/>
          <w:u w:val="single"/>
          <w14:ligatures w14:val="standardContextual"/>
        </w:rPr>
        <w:t>@colombiacompraeficiente_cce</w:t>
      </w:r>
    </w:p>
    <w:p w14:paraId="65634302" w14:textId="77777777" w:rsidR="00E42995" w:rsidRPr="005D21BF" w:rsidRDefault="00E42995" w:rsidP="00E42995">
      <w:pPr>
        <w:widowControl w:val="0"/>
        <w:autoSpaceDE w:val="0"/>
        <w:autoSpaceDN w:val="0"/>
        <w:spacing w:after="0" w:line="276" w:lineRule="auto"/>
        <w:jc w:val="both"/>
        <w:rPr>
          <w:rFonts w:ascii="Verdana" w:eastAsia="Calibri" w:hAnsi="Verdana" w:cs="Arial"/>
          <w:color w:val="000000" w:themeColor="text1"/>
          <w:kern w:val="2"/>
          <w14:ligatures w14:val="standardContextual"/>
        </w:rPr>
      </w:pPr>
    </w:p>
    <w:p w14:paraId="2C0E8236" w14:textId="77777777" w:rsidR="00E42995" w:rsidRDefault="00E42995" w:rsidP="00E42995">
      <w:pPr>
        <w:widowControl w:val="0"/>
        <w:autoSpaceDE w:val="0"/>
        <w:autoSpaceDN w:val="0"/>
        <w:spacing w:after="0" w:line="276" w:lineRule="auto"/>
        <w:jc w:val="both"/>
        <w:rPr>
          <w:rFonts w:ascii="Verdana" w:eastAsia="Calibri" w:hAnsi="Verdana" w:cs="Arial"/>
          <w:color w:val="000000" w:themeColor="text1"/>
          <w:kern w:val="2"/>
          <w:lang w:val="es-ES_tradnl"/>
          <w14:ligatures w14:val="standardContextual"/>
        </w:rPr>
      </w:pPr>
      <w:r w:rsidRPr="00EF54B1">
        <w:rPr>
          <w:rFonts w:ascii="Verdana" w:eastAsia="Calibri" w:hAnsi="Verdana" w:cs="Arial"/>
          <w:color w:val="000000" w:themeColor="text1"/>
          <w:kern w:val="2"/>
          <w:lang w:val="es-ES_tradnl"/>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43A62D54" w14:textId="327F7BE3" w:rsidR="00E42995" w:rsidRPr="00EF54B1" w:rsidRDefault="00E42995" w:rsidP="00E42995">
      <w:pPr>
        <w:widowControl w:val="0"/>
        <w:autoSpaceDE w:val="0"/>
        <w:autoSpaceDN w:val="0"/>
        <w:spacing w:after="0" w:line="276" w:lineRule="auto"/>
        <w:jc w:val="both"/>
        <w:rPr>
          <w:rFonts w:ascii="Verdana" w:eastAsia="Calibri" w:hAnsi="Verdana" w:cs="Arial"/>
          <w:color w:val="000000" w:themeColor="text1"/>
        </w:rPr>
      </w:pPr>
    </w:p>
    <w:p w14:paraId="5925D5F1" w14:textId="6122BAAF" w:rsidR="00E42995" w:rsidRPr="00EF54B1" w:rsidRDefault="00E42995" w:rsidP="00E42995">
      <w:pPr>
        <w:spacing w:after="0" w:line="240" w:lineRule="auto"/>
        <w:rPr>
          <w:rFonts w:ascii="Verdana" w:eastAsia="Calibri" w:hAnsi="Verdana" w:cs="Arial"/>
          <w:color w:val="000000" w:themeColor="text1"/>
          <w:lang w:eastAsia="es-CO"/>
        </w:rPr>
      </w:pPr>
      <w:r w:rsidRPr="00EF54B1">
        <w:rPr>
          <w:rFonts w:ascii="Verdana" w:eastAsia="Times New Roman" w:hAnsi="Verdana" w:cs="Arial"/>
          <w:color w:val="000000" w:themeColor="text1"/>
          <w:lang w:eastAsia="es-CO"/>
        </w:rPr>
        <w:t>Atentamente,</w:t>
      </w:r>
      <w:r w:rsidRPr="00EF54B1">
        <w:rPr>
          <w:rFonts w:ascii="Verdana" w:eastAsia="Calibri" w:hAnsi="Verdana" w:cs="Arial"/>
          <w:color w:val="000000" w:themeColor="text1"/>
          <w:lang w:eastAsia="es-CO"/>
        </w:rPr>
        <w:t xml:space="preserve"> </w:t>
      </w:r>
    </w:p>
    <w:p w14:paraId="1B8D6402" w14:textId="66B20502" w:rsidR="00E42995" w:rsidRDefault="00E42995" w:rsidP="00E42995">
      <w:pPr>
        <w:tabs>
          <w:tab w:val="left" w:pos="1320"/>
        </w:tabs>
        <w:rPr>
          <w:noProof/>
        </w:rPr>
      </w:pPr>
    </w:p>
    <w:p w14:paraId="31C691C3" w14:textId="730F0F6F" w:rsidR="00E42995" w:rsidRPr="00300ED6" w:rsidRDefault="00720A53" w:rsidP="00720A53">
      <w:pPr>
        <w:tabs>
          <w:tab w:val="left" w:pos="1320"/>
        </w:tabs>
        <w:jc w:val="center"/>
        <w:rPr>
          <w:noProof/>
        </w:rPr>
      </w:pPr>
      <w:r>
        <w:rPr>
          <w:noProof/>
        </w:rPr>
        <w:drawing>
          <wp:inline distT="0" distB="0" distL="0" distR="0" wp14:anchorId="58BA68E6" wp14:editId="61E64FD4">
            <wp:extent cx="3493311" cy="1298561"/>
            <wp:effectExtent l="0" t="0" r="0" b="0"/>
            <wp:docPr id="3936002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00283" name="Imagen 393600283"/>
                    <pic:cNvPicPr/>
                  </pic:nvPicPr>
                  <pic:blipFill>
                    <a:blip r:embed="rId18">
                      <a:extLst>
                        <a:ext uri="{28A0092B-C50C-407E-A947-70E740481C1C}">
                          <a14:useLocalDpi xmlns:a14="http://schemas.microsoft.com/office/drawing/2010/main" val="0"/>
                        </a:ext>
                      </a:extLst>
                    </a:blip>
                    <a:stretch>
                      <a:fillRect/>
                    </a:stretch>
                  </pic:blipFill>
                  <pic:spPr>
                    <a:xfrm>
                      <a:off x="0" y="0"/>
                      <a:ext cx="3493311" cy="1298561"/>
                    </a:xfrm>
                    <a:prstGeom prst="rect">
                      <a:avLst/>
                    </a:prstGeom>
                  </pic:spPr>
                </pic:pic>
              </a:graphicData>
            </a:graphic>
          </wp:inline>
        </w:drawing>
      </w: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85"/>
        <w:gridCol w:w="5925"/>
      </w:tblGrid>
      <w:tr w:rsidR="00E42995" w14:paraId="7A059BF3" w14:textId="77777777">
        <w:trPr>
          <w:trHeight w:val="315"/>
        </w:trPr>
        <w:tc>
          <w:tcPr>
            <w:tcW w:w="1185" w:type="dxa"/>
            <w:tcBorders>
              <w:top w:val="nil"/>
              <w:left w:val="nil"/>
              <w:bottom w:val="nil"/>
              <w:right w:val="nil"/>
            </w:tcBorders>
            <w:tcMar>
              <w:left w:w="105" w:type="dxa"/>
              <w:right w:w="105" w:type="dxa"/>
            </w:tcMar>
            <w:vAlign w:val="center"/>
          </w:tcPr>
          <w:p w14:paraId="7D4EE470" w14:textId="77777777" w:rsidR="00E42995" w:rsidRDefault="00E42995">
            <w:pPr>
              <w:rPr>
                <w:rFonts w:ascii="Verdana" w:eastAsia="Verdana" w:hAnsi="Verdana" w:cs="Verdana"/>
                <w:sz w:val="16"/>
                <w:szCs w:val="16"/>
              </w:rPr>
            </w:pPr>
            <w:r w:rsidRPr="3F869DD7">
              <w:rPr>
                <w:rFonts w:ascii="Verdana" w:eastAsia="Verdana" w:hAnsi="Verdana" w:cs="Verdana"/>
                <w:sz w:val="16"/>
                <w:szCs w:val="16"/>
              </w:rPr>
              <w:t>Elabor</w:t>
            </w:r>
            <w:r>
              <w:rPr>
                <w:rFonts w:ascii="Verdana" w:eastAsia="Verdana" w:hAnsi="Verdana" w:cs="Verdana"/>
                <w:sz w:val="16"/>
                <w:szCs w:val="16"/>
              </w:rPr>
              <w:t>ó</w:t>
            </w:r>
            <w:r w:rsidRPr="3F869DD7">
              <w:rPr>
                <w:rFonts w:ascii="Verdana" w:eastAsia="Verdana" w:hAnsi="Verdana" w:cs="Verdana"/>
                <w:sz w:val="16"/>
                <w:szCs w:val="16"/>
              </w:rPr>
              <w:t>:</w:t>
            </w:r>
          </w:p>
        </w:tc>
        <w:tc>
          <w:tcPr>
            <w:tcW w:w="5925" w:type="dxa"/>
            <w:tcBorders>
              <w:top w:val="nil"/>
              <w:left w:val="nil"/>
              <w:bottom w:val="dotted" w:sz="4" w:space="0" w:color="7F7F7F" w:themeColor="text1" w:themeTint="80"/>
              <w:right w:val="nil"/>
            </w:tcBorders>
            <w:tcMar>
              <w:left w:w="105" w:type="dxa"/>
              <w:right w:w="105" w:type="dxa"/>
            </w:tcMar>
            <w:vAlign w:val="center"/>
          </w:tcPr>
          <w:p w14:paraId="569EA4FB" w14:textId="77777777" w:rsidR="00E42995" w:rsidRDefault="00E42995">
            <w:pPr>
              <w:rPr>
                <w:rFonts w:ascii="Verdana" w:eastAsia="Times New Roman" w:hAnsi="Verdana" w:cs="Segoe UI"/>
                <w:color w:val="000000" w:themeColor="text1"/>
                <w:sz w:val="16"/>
                <w:szCs w:val="16"/>
                <w:lang w:eastAsia="es-ES"/>
              </w:rPr>
            </w:pPr>
            <w:r w:rsidRPr="3F869DD7">
              <w:rPr>
                <w:rFonts w:ascii="Verdana" w:eastAsia="Arial" w:hAnsi="Verdana" w:cs="Arial"/>
                <w:color w:val="000000" w:themeColor="text1"/>
                <w:sz w:val="16"/>
                <w:szCs w:val="16"/>
                <w:lang w:val="es-ES"/>
              </w:rPr>
              <w:t>Denis Andrea Cárdenas Hernández</w:t>
            </w:r>
          </w:p>
          <w:p w14:paraId="1F2C1A9C" w14:textId="77777777" w:rsidR="00E42995" w:rsidRDefault="00E42995">
            <w:pPr>
              <w:rPr>
                <w:rFonts w:ascii="Verdana" w:eastAsia="Arial" w:hAnsi="Verdana" w:cs="Arial"/>
                <w:color w:val="000000" w:themeColor="text1"/>
                <w:sz w:val="16"/>
                <w:szCs w:val="16"/>
                <w:lang w:val="es-ES"/>
              </w:rPr>
            </w:pPr>
            <w:r w:rsidRPr="3F869DD7">
              <w:rPr>
                <w:rFonts w:ascii="Verdana" w:eastAsia="Arial" w:hAnsi="Verdana" w:cs="Arial"/>
                <w:color w:val="000000" w:themeColor="text1"/>
                <w:sz w:val="16"/>
                <w:szCs w:val="16"/>
                <w:lang w:val="es-ES"/>
              </w:rPr>
              <w:t>Analista T2-01 de la Subdirección de Gestión Contractual</w:t>
            </w:r>
          </w:p>
        </w:tc>
      </w:tr>
      <w:tr w:rsidR="00E42995" w14:paraId="56AB57FD" w14:textId="77777777">
        <w:trPr>
          <w:trHeight w:val="315"/>
        </w:trPr>
        <w:tc>
          <w:tcPr>
            <w:tcW w:w="1185" w:type="dxa"/>
            <w:tcBorders>
              <w:top w:val="nil"/>
              <w:left w:val="nil"/>
              <w:bottom w:val="nil"/>
              <w:right w:val="nil"/>
            </w:tcBorders>
            <w:tcMar>
              <w:left w:w="105" w:type="dxa"/>
              <w:right w:w="105" w:type="dxa"/>
            </w:tcMar>
            <w:vAlign w:val="center"/>
          </w:tcPr>
          <w:p w14:paraId="443CABD8" w14:textId="77777777" w:rsidR="00E42995" w:rsidRDefault="00E42995">
            <w:pPr>
              <w:rPr>
                <w:rFonts w:ascii="Verdana" w:eastAsia="Verdana" w:hAnsi="Verdana" w:cs="Verdana"/>
                <w:sz w:val="16"/>
                <w:szCs w:val="16"/>
              </w:rPr>
            </w:pPr>
            <w:r w:rsidRPr="3F869DD7">
              <w:rPr>
                <w:rFonts w:ascii="Verdana" w:eastAsia="Verdana" w:hAnsi="Verdana" w:cs="Verdana"/>
                <w:sz w:val="16"/>
                <w:szCs w:val="16"/>
              </w:rPr>
              <w:t>Revisó: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66994CF7" w14:textId="77777777" w:rsidR="00E42995" w:rsidRDefault="00E42995">
            <w:pPr>
              <w:rPr>
                <w:rFonts w:ascii="Verdana" w:eastAsia="Verdana" w:hAnsi="Verdana" w:cs="Verdana"/>
                <w:sz w:val="16"/>
                <w:szCs w:val="16"/>
              </w:rPr>
            </w:pPr>
            <w:r w:rsidRPr="3F869DD7">
              <w:rPr>
                <w:rFonts w:ascii="Verdana" w:eastAsia="Verdana" w:hAnsi="Verdana" w:cs="Verdana"/>
                <w:sz w:val="16"/>
                <w:szCs w:val="16"/>
              </w:rPr>
              <w:t xml:space="preserve">Juan David Cárdenas Cabeza </w:t>
            </w:r>
          </w:p>
          <w:p w14:paraId="222A9538" w14:textId="77777777" w:rsidR="00E42995" w:rsidRDefault="00E42995">
            <w:pPr>
              <w:rPr>
                <w:rFonts w:ascii="Verdana" w:eastAsia="Verdana" w:hAnsi="Verdana" w:cs="Verdana"/>
                <w:sz w:val="16"/>
                <w:szCs w:val="16"/>
              </w:rPr>
            </w:pPr>
            <w:r w:rsidRPr="3F869DD7">
              <w:rPr>
                <w:rFonts w:ascii="Verdana" w:eastAsia="Verdana" w:hAnsi="Verdana" w:cs="Verdana"/>
                <w:sz w:val="16"/>
                <w:szCs w:val="16"/>
              </w:rPr>
              <w:t>Contratista de la Subdirección de Gestión Contractual</w:t>
            </w:r>
          </w:p>
        </w:tc>
      </w:tr>
      <w:tr w:rsidR="00E42995" w14:paraId="3E9829A5" w14:textId="77777777">
        <w:trPr>
          <w:trHeight w:val="300"/>
        </w:trPr>
        <w:tc>
          <w:tcPr>
            <w:tcW w:w="1185" w:type="dxa"/>
            <w:tcBorders>
              <w:top w:val="nil"/>
              <w:left w:val="nil"/>
              <w:bottom w:val="nil"/>
              <w:right w:val="nil"/>
            </w:tcBorders>
            <w:tcMar>
              <w:left w:w="105" w:type="dxa"/>
              <w:right w:w="105" w:type="dxa"/>
            </w:tcMar>
            <w:vAlign w:val="center"/>
          </w:tcPr>
          <w:p w14:paraId="065B6C2A" w14:textId="77777777" w:rsidR="00E42995" w:rsidRDefault="00E42995">
            <w:pPr>
              <w:rPr>
                <w:rFonts w:ascii="Verdana" w:eastAsia="Verdana" w:hAnsi="Verdana" w:cs="Verdana"/>
                <w:sz w:val="16"/>
                <w:szCs w:val="16"/>
              </w:rPr>
            </w:pPr>
            <w:r w:rsidRPr="3F869DD7">
              <w:rPr>
                <w:rFonts w:ascii="Verdana" w:eastAsia="Verdana" w:hAnsi="Verdana" w:cs="Verdana"/>
                <w:sz w:val="16"/>
                <w:szCs w:val="16"/>
              </w:rPr>
              <w:t>Aprobó: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7C514645" w14:textId="77777777" w:rsidR="00E42995" w:rsidRDefault="00E42995">
            <w:pPr>
              <w:rPr>
                <w:rFonts w:ascii="Verdana" w:eastAsia="Verdana" w:hAnsi="Verdana" w:cs="Verdana"/>
                <w:sz w:val="16"/>
                <w:szCs w:val="16"/>
              </w:rPr>
            </w:pPr>
            <w:r w:rsidRPr="3F869DD7">
              <w:rPr>
                <w:rFonts w:ascii="Verdana" w:eastAsia="Verdana" w:hAnsi="Verdana" w:cs="Verdana"/>
                <w:sz w:val="16"/>
                <w:szCs w:val="16"/>
              </w:rPr>
              <w:t>Carolina Quintero Gacharná</w:t>
            </w:r>
          </w:p>
          <w:p w14:paraId="5501BC0D" w14:textId="77777777" w:rsidR="00E42995" w:rsidRDefault="00E42995">
            <w:pPr>
              <w:rPr>
                <w:rFonts w:ascii="Verdana" w:eastAsia="Verdana" w:hAnsi="Verdana" w:cs="Verdana"/>
                <w:sz w:val="16"/>
                <w:szCs w:val="16"/>
              </w:rPr>
            </w:pPr>
            <w:r w:rsidRPr="3F869DD7">
              <w:rPr>
                <w:rFonts w:ascii="Verdana" w:eastAsia="Verdana" w:hAnsi="Verdana" w:cs="Verdana"/>
                <w:sz w:val="16"/>
                <w:szCs w:val="16"/>
              </w:rPr>
              <w:t>Subdirectora de Gestión Contractual ANCP – CCE</w:t>
            </w:r>
          </w:p>
        </w:tc>
      </w:tr>
    </w:tbl>
    <w:p w14:paraId="3B27AFCD" w14:textId="77777777" w:rsidR="002A0DD0" w:rsidRPr="00E02524" w:rsidRDefault="002A0DD0" w:rsidP="30821638">
      <w:pPr>
        <w:spacing w:after="0" w:line="240" w:lineRule="auto"/>
        <w:jc w:val="both"/>
        <w:rPr>
          <w:rFonts w:ascii="Verdana" w:eastAsia="Verdana" w:hAnsi="Verdana" w:cs="Verdana"/>
          <w:b/>
          <w:bCs/>
          <w:lang w:val="es-MX"/>
        </w:rPr>
      </w:pPr>
    </w:p>
    <w:bookmarkEnd w:id="0"/>
    <w:p w14:paraId="0F293BF4" w14:textId="767B6AC5" w:rsidR="00127233" w:rsidRPr="0015699B" w:rsidRDefault="00127233" w:rsidP="00BA274A">
      <w:pPr>
        <w:spacing w:after="0" w:line="240" w:lineRule="auto"/>
        <w:textAlignment w:val="baseline"/>
        <w:rPr>
          <w:rFonts w:ascii="Verdana" w:eastAsia="Verdana" w:hAnsi="Verdana" w:cs="Verdana"/>
          <w:lang w:eastAsia="es-CO"/>
        </w:rPr>
      </w:pPr>
    </w:p>
    <w:sectPr w:rsidR="00127233" w:rsidRPr="0015699B"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08BA9" w14:textId="77777777" w:rsidR="00F2045B" w:rsidRDefault="00F2045B" w:rsidP="004A1847">
      <w:pPr>
        <w:spacing w:after="0" w:line="240" w:lineRule="auto"/>
      </w:pPr>
      <w:r>
        <w:separator/>
      </w:r>
    </w:p>
  </w:endnote>
  <w:endnote w:type="continuationSeparator" w:id="0">
    <w:p w14:paraId="0C91D962" w14:textId="77777777" w:rsidR="00F2045B" w:rsidRDefault="00F2045B" w:rsidP="004A1847">
      <w:pPr>
        <w:spacing w:after="0" w:line="240" w:lineRule="auto"/>
      </w:pPr>
      <w:r>
        <w:continuationSeparator/>
      </w:r>
    </w:p>
  </w:endnote>
  <w:endnote w:type="continuationNotice" w:id="1">
    <w:p w14:paraId="782520A8" w14:textId="77777777" w:rsidR="00F2045B" w:rsidRDefault="00F204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sig w:usb0="00000001"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MT">
    <w:altName w:val="Heiti TC Light"/>
    <w:charset w:val="00"/>
    <w:family w:val="roman"/>
    <w:pitch w:val="default"/>
  </w:font>
  <w:font w:name="Work Sans">
    <w:charset w:val="00"/>
    <w:family w:val="auto"/>
    <w:pitch w:val="variable"/>
    <w:sig w:usb0="A00000FF" w:usb1="5000E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63E3B" w14:textId="77777777" w:rsidR="00F2045B" w:rsidRDefault="00F2045B" w:rsidP="004A1847">
      <w:pPr>
        <w:spacing w:after="0" w:line="240" w:lineRule="auto"/>
      </w:pPr>
      <w:r>
        <w:separator/>
      </w:r>
    </w:p>
  </w:footnote>
  <w:footnote w:type="continuationSeparator" w:id="0">
    <w:p w14:paraId="0BAD6721" w14:textId="77777777" w:rsidR="00F2045B" w:rsidRDefault="00F2045B" w:rsidP="004A1847">
      <w:pPr>
        <w:spacing w:after="0" w:line="240" w:lineRule="auto"/>
      </w:pPr>
      <w:r>
        <w:continuationSeparator/>
      </w:r>
    </w:p>
  </w:footnote>
  <w:footnote w:type="continuationNotice" w:id="1">
    <w:p w14:paraId="1B3034A2" w14:textId="77777777" w:rsidR="00F2045B" w:rsidRDefault="00F2045B">
      <w:pPr>
        <w:spacing w:after="0" w:line="240" w:lineRule="auto"/>
      </w:pPr>
    </w:p>
  </w:footnote>
  <w:footnote w:id="2">
    <w:p w14:paraId="6E82807F" w14:textId="77777777" w:rsidR="00E42995" w:rsidRPr="0048541D" w:rsidRDefault="00E42995" w:rsidP="00E42995">
      <w:pPr>
        <w:pStyle w:val="Textonotapie"/>
        <w:ind w:firstLine="708"/>
        <w:jc w:val="both"/>
        <w:rPr>
          <w:rFonts w:ascii="Verdana" w:hAnsi="Verdana"/>
          <w:sz w:val="18"/>
          <w:szCs w:val="18"/>
          <w:lang w:val="es-CO"/>
        </w:rPr>
      </w:pPr>
      <w:r w:rsidRPr="0048541D">
        <w:rPr>
          <w:rStyle w:val="Refdenotaalpie"/>
          <w:rFonts w:ascii="Verdana" w:hAnsi="Verdana"/>
          <w:sz w:val="18"/>
          <w:szCs w:val="18"/>
          <w:lang w:val="es-CO"/>
        </w:rPr>
        <w:footnoteRef/>
      </w:r>
      <w:r w:rsidRPr="0048541D">
        <w:rPr>
          <w:rFonts w:ascii="Verdana" w:hAnsi="Verdana"/>
          <w:sz w:val="18"/>
          <w:szCs w:val="18"/>
          <w:lang w:val="es-CO"/>
        </w:rPr>
        <w:t xml:space="preserve"> Estos Documentos Tipo pueden ser consultados en la página web de Colombia Compra Eficiente, a través del siguiente enlace: </w:t>
      </w:r>
      <w:hyperlink r:id="rId1" w:history="1">
        <w:r w:rsidRPr="0048541D">
          <w:rPr>
            <w:rStyle w:val="Hipervnculo"/>
            <w:rFonts w:ascii="Verdana" w:hAnsi="Verdana"/>
            <w:sz w:val="18"/>
            <w:szCs w:val="18"/>
            <w:lang w:val="es-CO"/>
          </w:rPr>
          <w:t>https://www.colombiacompra.gov.co/documentos-tipo/documentos-tipo</w:t>
        </w:r>
      </w:hyperlink>
      <w:r w:rsidRPr="0048541D">
        <w:rPr>
          <w:rFonts w:ascii="Verdana" w:hAnsi="Verdana"/>
          <w:sz w:val="18"/>
          <w:szCs w:val="18"/>
          <w:lang w:val="es-CO"/>
        </w:rPr>
        <w:t xml:space="preserve"> </w:t>
      </w:r>
    </w:p>
  </w:footnote>
  <w:footnote w:id="3">
    <w:p w14:paraId="1F887503" w14:textId="77777777" w:rsidR="00E42995" w:rsidRPr="0048541D" w:rsidRDefault="00E42995" w:rsidP="00E42995">
      <w:pPr>
        <w:spacing w:after="0" w:line="276" w:lineRule="auto"/>
        <w:jc w:val="both"/>
        <w:rPr>
          <w:rFonts w:ascii="Verdana" w:hAnsi="Verdana"/>
          <w:sz w:val="18"/>
          <w:szCs w:val="18"/>
        </w:rPr>
      </w:pPr>
    </w:p>
    <w:p w14:paraId="50FDA4B8" w14:textId="77777777" w:rsidR="00E42995" w:rsidRDefault="00E42995" w:rsidP="00E42995">
      <w:pPr>
        <w:spacing w:after="0" w:line="276" w:lineRule="auto"/>
        <w:ind w:firstLine="708"/>
        <w:jc w:val="both"/>
        <w:rPr>
          <w:rFonts w:ascii="Verdana" w:eastAsia="Calibri" w:hAnsi="Verdana" w:cs="Arial"/>
          <w:bCs/>
          <w:sz w:val="18"/>
          <w:szCs w:val="18"/>
        </w:rPr>
      </w:pPr>
      <w:r w:rsidRPr="0048541D">
        <w:rPr>
          <w:rStyle w:val="Refdenotaalpie"/>
          <w:rFonts w:ascii="Verdana" w:hAnsi="Verdana"/>
          <w:sz w:val="18"/>
          <w:szCs w:val="18"/>
        </w:rPr>
        <w:footnoteRef/>
      </w:r>
      <w:r w:rsidRPr="0048541D">
        <w:rPr>
          <w:rFonts w:ascii="Verdana" w:hAnsi="Verdana"/>
          <w:sz w:val="18"/>
          <w:szCs w:val="18"/>
        </w:rPr>
        <w:t xml:space="preserve"> </w:t>
      </w:r>
      <w:r w:rsidRPr="0048541D">
        <w:rPr>
          <w:rFonts w:ascii="Verdana" w:eastAsia="Calibri" w:hAnsi="Verdana" w:cs="Arial"/>
          <w:bCs/>
          <w:sz w:val="18"/>
          <w:szCs w:val="18"/>
        </w:rPr>
        <w:t>Resolución 726 del 19 de diciembre de 2024: “Por la cual se adopta la versión 2 de los documentos tipo para los procesos de selección de concurso de méritos para contratar la consultoría de ingeniería de infraestructura de transporte y se deroga la Resolución 193 de 2021”.</w:t>
      </w:r>
    </w:p>
    <w:p w14:paraId="2DA4FC43" w14:textId="77777777" w:rsidR="00E42995" w:rsidRDefault="00E42995" w:rsidP="00E42995">
      <w:pPr>
        <w:spacing w:after="0" w:line="276" w:lineRule="auto"/>
        <w:ind w:firstLine="708"/>
        <w:jc w:val="both"/>
        <w:rPr>
          <w:rFonts w:ascii="Verdana" w:eastAsia="Calibri" w:hAnsi="Verdana" w:cs="Arial"/>
          <w:bCs/>
          <w:sz w:val="18"/>
          <w:szCs w:val="18"/>
        </w:rPr>
      </w:pPr>
    </w:p>
    <w:p w14:paraId="2D6E72E1" w14:textId="77777777" w:rsidR="00E42995" w:rsidRPr="0048541D" w:rsidRDefault="00E42995" w:rsidP="00E42995">
      <w:pPr>
        <w:spacing w:after="0" w:line="276" w:lineRule="auto"/>
        <w:ind w:firstLine="708"/>
        <w:jc w:val="both"/>
        <w:rPr>
          <w:rFonts w:ascii="Verdana" w:eastAsia="Calibri" w:hAnsi="Verdana" w:cs="Arial"/>
          <w:bCs/>
          <w:sz w:val="18"/>
          <w:szCs w:val="18"/>
        </w:rPr>
      </w:pPr>
      <w:r w:rsidRPr="0048541D">
        <w:rPr>
          <w:rFonts w:ascii="Verdana" w:eastAsia="Calibri" w:hAnsi="Verdana" w:cs="Arial"/>
          <w:bCs/>
          <w:sz w:val="18"/>
          <w:szCs w:val="18"/>
        </w:rPr>
        <w:t>Resolución 725 del 19 de diciembre de 2024: “Por la cual se adopta la versión 3 de los documentos tipo para los procesos de selección de concurso de méritos para contratar la interventoría de obras públicas de infraestructura de transporte y se deroga la Resolución 326 de 2022”.</w:t>
      </w:r>
    </w:p>
    <w:p w14:paraId="0139E1BB" w14:textId="77777777" w:rsidR="00E42995" w:rsidRDefault="00E42995" w:rsidP="00E42995">
      <w:pPr>
        <w:spacing w:after="0" w:line="276" w:lineRule="auto"/>
        <w:jc w:val="both"/>
        <w:rPr>
          <w:rFonts w:ascii="Verdana" w:eastAsia="Calibri" w:hAnsi="Verdana" w:cs="Arial"/>
          <w:bCs/>
          <w:sz w:val="18"/>
          <w:szCs w:val="18"/>
        </w:rPr>
      </w:pPr>
    </w:p>
    <w:p w14:paraId="24957B0F" w14:textId="77777777" w:rsidR="00E42995" w:rsidRDefault="00E42995" w:rsidP="00E42995">
      <w:pPr>
        <w:spacing w:after="0" w:line="276" w:lineRule="auto"/>
        <w:ind w:firstLine="708"/>
        <w:jc w:val="both"/>
        <w:rPr>
          <w:rFonts w:ascii="Verdana" w:eastAsia="Calibri" w:hAnsi="Verdana" w:cs="Arial"/>
          <w:bCs/>
          <w:sz w:val="18"/>
          <w:szCs w:val="18"/>
        </w:rPr>
      </w:pPr>
      <w:r w:rsidRPr="0048541D">
        <w:rPr>
          <w:rFonts w:ascii="Verdana" w:eastAsia="Calibri" w:hAnsi="Verdana" w:cs="Arial"/>
          <w:bCs/>
          <w:sz w:val="18"/>
          <w:szCs w:val="18"/>
        </w:rPr>
        <w:t xml:space="preserve">Resolución 464 del 10 de septiembre de 2024: “Por la cual se actualizan los documentos tipo para los procesos de obra pública de infraestructura de transporte adelantados bajo la modalidad de mínima cuantía”. </w:t>
      </w:r>
    </w:p>
    <w:p w14:paraId="159EA3CD" w14:textId="77777777" w:rsidR="00E42995" w:rsidRPr="0048541D" w:rsidRDefault="00E42995" w:rsidP="00E42995">
      <w:pPr>
        <w:spacing w:after="0" w:line="276" w:lineRule="auto"/>
        <w:jc w:val="both"/>
        <w:rPr>
          <w:rFonts w:ascii="Verdana" w:eastAsia="Calibri" w:hAnsi="Verdana" w:cs="Arial"/>
          <w:bCs/>
          <w:sz w:val="18"/>
          <w:szCs w:val="18"/>
        </w:rPr>
      </w:pPr>
    </w:p>
    <w:p w14:paraId="01FEBB0B" w14:textId="77777777" w:rsidR="00E42995" w:rsidRDefault="00E42995" w:rsidP="00E42995">
      <w:pPr>
        <w:spacing w:after="0" w:line="276" w:lineRule="auto"/>
        <w:ind w:firstLine="708"/>
        <w:jc w:val="both"/>
        <w:rPr>
          <w:rFonts w:ascii="Verdana" w:eastAsia="Calibri" w:hAnsi="Verdana" w:cs="Arial"/>
          <w:bCs/>
          <w:sz w:val="18"/>
          <w:szCs w:val="18"/>
        </w:rPr>
      </w:pPr>
      <w:r w:rsidRPr="0048541D">
        <w:rPr>
          <w:rFonts w:ascii="Verdana" w:eastAsia="Calibri" w:hAnsi="Verdana" w:cs="Arial"/>
          <w:bCs/>
          <w:sz w:val="18"/>
          <w:szCs w:val="18"/>
        </w:rPr>
        <w:t>Resolución 463 del 10 de septiembre de 2024: “Por la cual se adopta la versión 3 de los documentos tipo para los procesos de selección abreviada de menor cuantía de obra pública de infraestructura de transporte y se deroga la Resolución 241 de 2020”.</w:t>
      </w:r>
    </w:p>
    <w:p w14:paraId="245A3C5F" w14:textId="77777777" w:rsidR="00E42995" w:rsidRPr="0048541D" w:rsidRDefault="00E42995" w:rsidP="00E42995">
      <w:pPr>
        <w:spacing w:after="0" w:line="276" w:lineRule="auto"/>
        <w:ind w:firstLine="708"/>
        <w:jc w:val="both"/>
        <w:rPr>
          <w:rFonts w:ascii="Verdana" w:eastAsia="Calibri" w:hAnsi="Verdana" w:cs="Arial"/>
          <w:bCs/>
          <w:sz w:val="18"/>
          <w:szCs w:val="18"/>
        </w:rPr>
      </w:pPr>
    </w:p>
    <w:p w14:paraId="34CAE085" w14:textId="77777777" w:rsidR="00E42995" w:rsidRPr="0048541D" w:rsidRDefault="00E42995" w:rsidP="00E42995">
      <w:pPr>
        <w:spacing w:after="0" w:line="276" w:lineRule="auto"/>
        <w:ind w:firstLine="708"/>
        <w:jc w:val="both"/>
        <w:rPr>
          <w:rFonts w:ascii="Verdana" w:eastAsia="Calibri" w:hAnsi="Verdana" w:cs="Arial"/>
          <w:bCs/>
          <w:sz w:val="18"/>
          <w:szCs w:val="18"/>
        </w:rPr>
      </w:pPr>
      <w:r w:rsidRPr="0048541D">
        <w:rPr>
          <w:rFonts w:ascii="Verdana" w:eastAsia="Calibri" w:hAnsi="Verdana" w:cs="Arial"/>
          <w:bCs/>
          <w:sz w:val="18"/>
          <w:szCs w:val="18"/>
        </w:rPr>
        <w:t>Resolución 456 del 10 de septiembre de 2024: “Por la cual se adopta la versión 4 de los documentos tipo para los procesos de selección de licitación de obra pública de infraestructura de transporte y se deroga la Resolución 240 de 2020”.</w:t>
      </w:r>
    </w:p>
    <w:p w14:paraId="66141289" w14:textId="77777777" w:rsidR="00E42995" w:rsidRPr="0048541D" w:rsidRDefault="00E42995" w:rsidP="00E42995">
      <w:pPr>
        <w:spacing w:after="0" w:line="276" w:lineRule="auto"/>
        <w:ind w:firstLine="708"/>
        <w:jc w:val="both"/>
        <w:rPr>
          <w:rFonts w:ascii="Verdana" w:eastAsia="Calibri" w:hAnsi="Verdana" w:cs="Arial"/>
          <w:bCs/>
          <w:sz w:val="18"/>
          <w:szCs w:val="18"/>
        </w:rPr>
      </w:pPr>
    </w:p>
    <w:p w14:paraId="2B180D84" w14:textId="77777777" w:rsidR="00E42995" w:rsidRPr="0048541D" w:rsidRDefault="00E42995" w:rsidP="00E42995">
      <w:pPr>
        <w:pStyle w:val="Textonotapie"/>
        <w:rPr>
          <w:rFonts w:ascii="Verdana" w:hAnsi="Verdana"/>
          <w:sz w:val="18"/>
          <w:szCs w:val="18"/>
          <w:lang w:val="es-CO"/>
        </w:rPr>
      </w:pPr>
    </w:p>
  </w:footnote>
  <w:footnote w:id="4">
    <w:p w14:paraId="54CB46DC" w14:textId="77777777" w:rsidR="00E42995" w:rsidRPr="00D4796C" w:rsidRDefault="00E42995" w:rsidP="00E42995">
      <w:pPr>
        <w:pStyle w:val="Textonotapie"/>
        <w:ind w:firstLine="708"/>
        <w:jc w:val="both"/>
        <w:rPr>
          <w:rFonts w:ascii="Verdana" w:hAnsi="Verdana" w:cs="Arial"/>
          <w:color w:val="000000" w:themeColor="text1"/>
          <w:sz w:val="16"/>
          <w:szCs w:val="16"/>
        </w:rPr>
      </w:pPr>
      <w:r w:rsidRPr="00D4796C">
        <w:rPr>
          <w:rStyle w:val="Refdenotaalpie"/>
          <w:rFonts w:ascii="Verdana" w:hAnsi="Verdana" w:cs="Arial"/>
          <w:color w:val="000000" w:themeColor="text1"/>
          <w:sz w:val="16"/>
          <w:szCs w:val="16"/>
        </w:rPr>
        <w:footnoteRef/>
      </w:r>
      <w:r w:rsidRPr="00D4796C">
        <w:rPr>
          <w:rFonts w:ascii="Verdana" w:hAnsi="Verdana" w:cs="Arial"/>
          <w:color w:val="000000" w:themeColor="text1"/>
          <w:sz w:val="16"/>
          <w:szCs w:val="16"/>
        </w:rPr>
        <w:t xml:space="preserve"> Consejo De Estado. Sección Tercera, Subsección A. Sentencia del 13 de noviembre de 2013. Rad. 25.646.C.P. Mauricio Fajardo Gómez. </w:t>
      </w:r>
    </w:p>
  </w:footnote>
  <w:footnote w:id="5">
    <w:p w14:paraId="156A51D2" w14:textId="77777777" w:rsidR="00E42995" w:rsidRDefault="00E42995" w:rsidP="00E42995">
      <w:pPr>
        <w:pStyle w:val="Textonotapie"/>
        <w:ind w:firstLine="708"/>
        <w:jc w:val="both"/>
        <w:rPr>
          <w:rFonts w:ascii="Verdana" w:hAnsi="Verdana"/>
          <w:sz w:val="16"/>
          <w:szCs w:val="16"/>
        </w:rPr>
      </w:pPr>
      <w:r w:rsidRPr="001664CE">
        <w:rPr>
          <w:rStyle w:val="Refdenotaalpie"/>
          <w:rFonts w:ascii="Verdana" w:hAnsi="Verdana"/>
          <w:sz w:val="16"/>
          <w:szCs w:val="16"/>
        </w:rPr>
        <w:footnoteRef/>
      </w:r>
      <w:r w:rsidRPr="001664CE">
        <w:rPr>
          <w:rFonts w:ascii="Verdana" w:hAnsi="Verdana"/>
          <w:sz w:val="16"/>
          <w:szCs w:val="16"/>
        </w:rPr>
        <w:t xml:space="preserve"> </w:t>
      </w:r>
      <w:r>
        <w:rPr>
          <w:rFonts w:ascii="Verdana" w:hAnsi="Verdana"/>
          <w:sz w:val="16"/>
          <w:szCs w:val="16"/>
        </w:rPr>
        <w:t>Por ejemplo</w:t>
      </w:r>
      <w:r w:rsidRPr="001664CE">
        <w:rPr>
          <w:rFonts w:ascii="Verdana" w:hAnsi="Verdana"/>
          <w:sz w:val="16"/>
          <w:szCs w:val="16"/>
        </w:rPr>
        <w:t>, el máximo tribunal constitucional ha indicado, al tratar de precisar el sentido de este tipo de normas, que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r>
        <w:rPr>
          <w:rFonts w:ascii="Verdana" w:hAnsi="Verdana"/>
          <w:sz w:val="16"/>
          <w:szCs w:val="16"/>
        </w:rPr>
        <w:t xml:space="preserve"> (Cfr. </w:t>
      </w:r>
      <w:r w:rsidRPr="001664CE">
        <w:rPr>
          <w:rFonts w:ascii="Verdana" w:hAnsi="Verdana"/>
          <w:sz w:val="16"/>
          <w:szCs w:val="16"/>
        </w:rPr>
        <w:t>Corte Constitucional. Sentencia T-1039 de 2006. M.P. Humberto Sierra Porto. La Corte Constitucional ha mantenido este criterio en las sentencias: C-903 de 2008. M.P. Jaime Araujo Rentería; C-101 de 2018. M.P. Gloria Stella Ortiz Delgado; entre otras</w:t>
      </w:r>
      <w:r>
        <w:rPr>
          <w:rFonts w:ascii="Verdana" w:hAnsi="Verdana"/>
          <w:sz w:val="16"/>
          <w:szCs w:val="16"/>
        </w:rPr>
        <w:t>)</w:t>
      </w:r>
      <w:r w:rsidRPr="001664CE">
        <w:rPr>
          <w:rFonts w:ascii="Verdana" w:hAnsi="Verdana"/>
          <w:sz w:val="16"/>
          <w:szCs w:val="16"/>
        </w:rPr>
        <w:t>.</w:t>
      </w:r>
      <w:r>
        <w:rPr>
          <w:rFonts w:ascii="Verdana" w:hAnsi="Verdana"/>
          <w:sz w:val="16"/>
          <w:szCs w:val="16"/>
        </w:rPr>
        <w:t xml:space="preserve"> </w:t>
      </w:r>
    </w:p>
    <w:p w14:paraId="2AD1AE59" w14:textId="77777777" w:rsidR="00E42995" w:rsidRPr="001664CE" w:rsidRDefault="00E42995" w:rsidP="00E42995">
      <w:pPr>
        <w:pStyle w:val="Textonotapie"/>
        <w:ind w:firstLine="708"/>
        <w:jc w:val="both"/>
        <w:rPr>
          <w:rFonts w:ascii="Verdana" w:hAnsi="Verdana"/>
          <w:sz w:val="16"/>
          <w:szCs w:val="16"/>
          <w:lang w:val="es-CO"/>
        </w:rPr>
      </w:pPr>
      <w:r w:rsidRPr="001664CE">
        <w:rPr>
          <w:rFonts w:ascii="Verdana" w:hAnsi="Verdana"/>
          <w:sz w:val="16"/>
          <w:szCs w:val="16"/>
        </w:rPr>
        <w:t xml:space="preserve">Por su parte, el Consejo de Estado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w:t>
      </w:r>
      <w:r>
        <w:rPr>
          <w:rFonts w:ascii="Verdana" w:hAnsi="Verdana"/>
          <w:sz w:val="16"/>
          <w:szCs w:val="16"/>
        </w:rPr>
        <w:t>‘</w:t>
      </w:r>
      <w:r w:rsidRPr="001664CE">
        <w:rPr>
          <w:rFonts w:ascii="Verdana" w:hAnsi="Verdana"/>
          <w:sz w:val="16"/>
          <w:szCs w:val="16"/>
        </w:rPr>
        <w:t>Los particulares sólo son responsables ante las autoridades por infringir la Constitución y las leyes</w:t>
      </w:r>
      <w:r>
        <w:rPr>
          <w:rFonts w:ascii="Verdana" w:hAnsi="Verdana"/>
          <w:sz w:val="16"/>
          <w:szCs w:val="16"/>
        </w:rPr>
        <w:t>’</w:t>
      </w:r>
      <w:r w:rsidRPr="001664CE">
        <w:rPr>
          <w:rFonts w:ascii="Verdana" w:hAnsi="Verdana"/>
          <w:sz w:val="16"/>
          <w:szCs w:val="16"/>
        </w:rPr>
        <w:t xml:space="preserve"> lo que se traduce en que pueden hacer todo aquello que no les esté expresamente prohibido”</w:t>
      </w:r>
      <w:r>
        <w:rPr>
          <w:rFonts w:ascii="Verdana" w:hAnsi="Verdana"/>
          <w:sz w:val="16"/>
          <w:szCs w:val="16"/>
        </w:rPr>
        <w:t xml:space="preserve"> (Cfr. </w:t>
      </w:r>
      <w:r w:rsidRPr="001664CE">
        <w:rPr>
          <w:rFonts w:ascii="Verdana" w:hAnsi="Verdana"/>
          <w:sz w:val="16"/>
          <w:szCs w:val="16"/>
        </w:rPr>
        <w:t>Consejo De Estado. Sala de Consulta y Servicio Civil. Concepto del 30 de abril de 2015. Exp. 2251. C.P. Álvaro Namén Vargas.</w:t>
      </w:r>
      <w:r>
        <w:rPr>
          <w:rFonts w:ascii="Verdana" w:hAnsi="Verdana"/>
          <w:sz w:val="16"/>
          <w:szCs w:val="16"/>
        </w:rPr>
        <w:t xml:space="preserve"> En un sentido similar, </w:t>
      </w:r>
      <w:r w:rsidRPr="001664CE">
        <w:rPr>
          <w:rFonts w:ascii="Verdana" w:hAnsi="Verdana"/>
          <w:sz w:val="16"/>
          <w:szCs w:val="16"/>
        </w:rPr>
        <w:t>Sección Tercera. Subsección A. Sentencia del 24 de junio de 2015. Exp. 40.635. C.P. Hernán Andrade Rincón (E)</w:t>
      </w:r>
      <w:r>
        <w:rPr>
          <w:rFonts w:ascii="Verdana" w:hAnsi="Verdana"/>
          <w:sz w:val="16"/>
          <w:szCs w:val="16"/>
        </w:rPr>
        <w:t xml:space="preserve"> y </w:t>
      </w:r>
      <w:r w:rsidRPr="001664CE">
        <w:rPr>
          <w:rFonts w:ascii="Verdana" w:hAnsi="Verdana"/>
          <w:sz w:val="16"/>
          <w:szCs w:val="16"/>
        </w:rPr>
        <w:t>Sección Tercera. Subsección C. Sentencia del 22 de mayo de 2013. Rad. 24.057. C.P. Olga Mélida Valle De La Hoz</w:t>
      </w:r>
      <w:r>
        <w:rPr>
          <w:rFonts w:ascii="Verdana" w:hAnsi="Verdana"/>
          <w:sz w:val="16"/>
          <w:szCs w:val="16"/>
        </w:rPr>
        <w:t>)</w:t>
      </w:r>
      <w:r w:rsidRPr="001664CE">
        <w:rPr>
          <w:rFonts w:ascii="Verdana" w:hAnsi="Verdana"/>
          <w:sz w:val="16"/>
          <w:szCs w:val="16"/>
        </w:rPr>
        <w:t>.</w:t>
      </w:r>
    </w:p>
  </w:footnote>
  <w:footnote w:id="6">
    <w:p w14:paraId="491A43A1" w14:textId="77777777" w:rsidR="00E42995" w:rsidRPr="00CD3504" w:rsidRDefault="00E42995" w:rsidP="00E42995">
      <w:pPr>
        <w:pStyle w:val="Textonotapie"/>
        <w:ind w:firstLine="709"/>
        <w:jc w:val="both"/>
        <w:rPr>
          <w:rFonts w:ascii="Verdana" w:hAnsi="Verdana"/>
          <w:sz w:val="16"/>
          <w:szCs w:val="16"/>
        </w:rPr>
      </w:pPr>
      <w:r w:rsidRPr="00CD3504">
        <w:rPr>
          <w:rStyle w:val="Refdenotaalpie"/>
          <w:rFonts w:ascii="Verdana" w:hAnsi="Verdana"/>
          <w:sz w:val="16"/>
          <w:szCs w:val="16"/>
        </w:rPr>
        <w:footnoteRef/>
      </w:r>
      <w:r w:rsidRPr="00CD3504">
        <w:rPr>
          <w:rFonts w:ascii="Verdana" w:hAnsi="Verdana"/>
          <w:sz w:val="16"/>
          <w:szCs w:val="16"/>
        </w:rPr>
        <w:t xml:space="preserve"> </w:t>
      </w:r>
      <w:r w:rsidRPr="00CD3504">
        <w:rPr>
          <w:rFonts w:ascii="Verdana" w:hAnsi="Verdana"/>
          <w:sz w:val="16"/>
          <w:szCs w:val="16"/>
          <w:lang w:val="es-CO"/>
        </w:rPr>
        <w:t>Artículo 4. </w:t>
      </w:r>
      <w:r w:rsidRPr="00CD3504">
        <w:rPr>
          <w:rFonts w:ascii="Verdana" w:hAnsi="Verdana"/>
          <w:i/>
          <w:iCs/>
          <w:sz w:val="16"/>
          <w:szCs w:val="16"/>
          <w:lang w:val="es-CO"/>
        </w:rPr>
        <w:t>Deber de verificación.</w:t>
      </w:r>
      <w:r w:rsidRPr="00CD3504">
        <w:rPr>
          <w:rFonts w:ascii="Verdana" w:hAnsi="Verdana"/>
          <w:sz w:val="16"/>
          <w:szCs w:val="16"/>
          <w:lang w:val="es-CO"/>
        </w:rPr>
        <w:t> </w:t>
      </w:r>
      <w:r>
        <w:rPr>
          <w:rFonts w:ascii="Verdana" w:hAnsi="Verdana"/>
          <w:sz w:val="16"/>
          <w:szCs w:val="16"/>
          <w:lang w:val="es-CO"/>
        </w:rPr>
        <w:t>“</w:t>
      </w:r>
      <w:r w:rsidRPr="00CD3504">
        <w:rPr>
          <w:rFonts w:ascii="Verdana" w:hAnsi="Verdana"/>
          <w:sz w:val="16"/>
          <w:szCs w:val="16"/>
          <w:lang w:val="es-CO"/>
        </w:rPr>
        <w:t>Es deber de las entidades públicas o privadas, de acuerdo a lo reglamentado por el Gobierno Nacional, verificar, previa autorización del aspirante, que este no se encuentra inscrito en el registro de inhabilidades por delitos sexuales cometidos contra personas menores edad, en el desarrollo de los procesos de selección de personal para el desempeño de cargos, oficios, profesiones que involucren una relación directa y habitual con menores previamente definidos por el Instituto Colombiano de Bienestar Familiar.</w:t>
      </w:r>
      <w:r w:rsidRPr="0083021E">
        <w:rPr>
          <w:rFonts w:ascii="Work Sans" w:eastAsia="Times New Roman" w:hAnsi="Work Sans" w:cs="Times New Roman"/>
          <w:color w:val="333333"/>
          <w:sz w:val="25"/>
          <w:szCs w:val="25"/>
          <w:lang w:eastAsia="es-CO"/>
        </w:rPr>
        <w:t xml:space="preserve"> </w:t>
      </w:r>
      <w:r w:rsidRPr="0083021E">
        <w:rPr>
          <w:rFonts w:ascii="Verdana" w:hAnsi="Verdana"/>
          <w:sz w:val="16"/>
          <w:szCs w:val="16"/>
        </w:rPr>
        <w:t>Dicha verificación, deberá actualizarse cada cuatro meses después del inicio de la relación contractual, laboral o reglamentaria.</w:t>
      </w:r>
      <w:r>
        <w:rPr>
          <w:rFonts w:ascii="Verdana" w:hAnsi="Verdana"/>
          <w:sz w:val="16"/>
          <w:szCs w:val="16"/>
        </w:rPr>
        <w:t>”</w:t>
      </w:r>
    </w:p>
  </w:footnote>
  <w:footnote w:id="7">
    <w:p w14:paraId="0FA15347" w14:textId="77777777" w:rsidR="00E42995" w:rsidRPr="00B15A35" w:rsidRDefault="00E42995" w:rsidP="00E42995">
      <w:pPr>
        <w:ind w:firstLine="709"/>
        <w:jc w:val="both"/>
        <w:rPr>
          <w:rFonts w:ascii="Verdana" w:hAnsi="Verdana"/>
          <w:sz w:val="16"/>
          <w:szCs w:val="16"/>
        </w:rPr>
      </w:pPr>
      <w:r w:rsidRPr="00B15A35">
        <w:rPr>
          <w:rFonts w:ascii="Verdana" w:hAnsi="Verdana"/>
          <w:sz w:val="16"/>
          <w:szCs w:val="16"/>
          <w:vertAlign w:val="superscript"/>
        </w:rPr>
        <w:footnoteRef/>
      </w:r>
      <w:r w:rsidRPr="00B15A35">
        <w:rPr>
          <w:rFonts w:ascii="Verdana" w:hAnsi="Verdana"/>
          <w:sz w:val="16"/>
          <w:szCs w:val="16"/>
          <w:vertAlign w:val="superscript"/>
        </w:rPr>
        <w:t xml:space="preserve"> </w:t>
      </w:r>
      <w:r w:rsidRPr="00B15A35">
        <w:rPr>
          <w:rFonts w:ascii="Verdana" w:hAnsi="Verdana"/>
          <w:sz w:val="16"/>
          <w:szCs w:val="16"/>
        </w:rPr>
        <w:t>Artículo</w:t>
      </w:r>
      <w:bookmarkStart w:id="2" w:name="51"/>
      <w:bookmarkEnd w:id="2"/>
      <w:r w:rsidRPr="00B15A35">
        <w:rPr>
          <w:rFonts w:ascii="Verdana" w:hAnsi="Verdana"/>
          <w:sz w:val="16"/>
          <w:szCs w:val="16"/>
        </w:rPr>
        <w:t> 51. Duración de las penas privativas de otros derechos. “La inhabilitación para el ejercicio de derechos y funciones públicas tendrá una duración de cinco (5) a veinte (20) años, salvo en el caso del inciso 3 del Artículo 52. Se excluyen de esta regla las penas impuestas a servidores públicos condenados por delitos contra el patrimonio del Estado, en cuyo caso se aplicará el inciso 5 del Artículo 122 de la Constitución Política […]”</w:t>
      </w:r>
    </w:p>
  </w:footnote>
  <w:footnote w:id="8">
    <w:p w14:paraId="3B0491D3" w14:textId="77777777" w:rsidR="00E42995" w:rsidRPr="00B15A35" w:rsidRDefault="00E42995" w:rsidP="00E42995">
      <w:pPr>
        <w:pStyle w:val="Textonotapie"/>
        <w:ind w:firstLine="709"/>
        <w:jc w:val="both"/>
        <w:rPr>
          <w:rFonts w:ascii="Verdana" w:hAnsi="Verdana"/>
          <w:sz w:val="16"/>
          <w:szCs w:val="16"/>
        </w:rPr>
      </w:pPr>
      <w:r w:rsidRPr="00B15A35">
        <w:rPr>
          <w:rStyle w:val="Refdenotaalpie"/>
          <w:rFonts w:ascii="Verdana" w:hAnsi="Verdana"/>
          <w:sz w:val="16"/>
          <w:szCs w:val="16"/>
        </w:rPr>
        <w:footnoteRef/>
      </w:r>
      <w:r w:rsidRPr="00B15A35">
        <w:rPr>
          <w:rFonts w:ascii="Verdana" w:hAnsi="Verdana"/>
          <w:sz w:val="16"/>
          <w:szCs w:val="16"/>
        </w:rPr>
        <w:t xml:space="preserve"> Artículo 5. Sanciones. “La omisión al deber de verificación en los términos de la presente ley o la contratación de personas inhabilitadas para el ejercicio de los cargos, oficios o profesiones mencionadas en el artículo 2 acarreará a las entidades públicas o privadas y/o personas naturales contratantes, sanción consistente en multa equivalente al valor de cincuenta (50) a quinientos (500) salarios mínimos mensuales legales vigentes.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0"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1"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7.6pt" o:bullet="t">
        <v:imagedata r:id="rId1" o:title="mso1B13"/>
      </v:shape>
    </w:pict>
  </w:numPicBullet>
  <w:abstractNum w:abstractNumId="0" w15:restartNumberingAfterBreak="0">
    <w:nsid w:val="01C06310"/>
    <w:multiLevelType w:val="multilevel"/>
    <w:tmpl w:val="9B2EAF2E"/>
    <w:lvl w:ilvl="0">
      <w:start w:val="1"/>
      <w:numFmt w:val="decimal"/>
      <w:lvlText w:val="%1."/>
      <w:lvlJc w:val="left"/>
      <w:pPr>
        <w:ind w:left="360" w:hanging="360"/>
      </w:pPr>
      <w:rPr>
        <w:b/>
        <w:color w:val="auto"/>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B431E95"/>
    <w:multiLevelType w:val="hybridMultilevel"/>
    <w:tmpl w:val="FD322EF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EE8E77B4"/>
    <w:lvl w:ilvl="0" w:tplc="C1D210D2">
      <w:start w:val="1"/>
      <w:numFmt w:val="bullet"/>
      <w:lvlText w:val=""/>
      <w:lvlJc w:val="left"/>
      <w:pPr>
        <w:ind w:left="720" w:hanging="360"/>
      </w:pPr>
      <w:rPr>
        <w:rFonts w:ascii="Symbol" w:hAnsi="Symbol" w:hint="default"/>
        <w:color w:val="auto"/>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1" w15:restartNumberingAfterBreak="0">
    <w:nsid w:val="5EB80BC6"/>
    <w:multiLevelType w:val="hybridMultilevel"/>
    <w:tmpl w:val="277AD332"/>
    <w:lvl w:ilvl="0" w:tplc="7AFECE06">
      <w:start w:val="14"/>
      <w:numFmt w:val="decimal"/>
      <w:pStyle w:val="Captulo9"/>
      <w:lvlText w:val="%1."/>
      <w:lvlJc w:val="left"/>
      <w:pPr>
        <w:ind w:left="720" w:hanging="360"/>
      </w:pPr>
      <w:rPr>
        <w:rFonts w:ascii="Arial Narrow" w:eastAsiaTheme="minorHAnsi" w:hAnsi="Arial Narrow" w:cs="Arial" w:hint="default"/>
        <w:b w:val="0"/>
        <w:bCs w:val="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5"/>
  </w:num>
  <w:num w:numId="7" w16cid:durableId="1946422806">
    <w:abstractNumId w:val="6"/>
  </w:num>
  <w:num w:numId="8" w16cid:durableId="152644682">
    <w:abstractNumId w:val="14"/>
  </w:num>
  <w:num w:numId="9" w16cid:durableId="1317221377">
    <w:abstractNumId w:val="8"/>
  </w:num>
  <w:num w:numId="10" w16cid:durableId="1471245386">
    <w:abstractNumId w:val="13"/>
  </w:num>
  <w:num w:numId="11" w16cid:durableId="289172385">
    <w:abstractNumId w:val="9"/>
  </w:num>
  <w:num w:numId="12" w16cid:durableId="1470781324">
    <w:abstractNumId w:val="1"/>
  </w:num>
  <w:num w:numId="13" w16cid:durableId="1512908409">
    <w:abstractNumId w:val="4"/>
  </w:num>
  <w:num w:numId="14" w16cid:durableId="895897244">
    <w:abstractNumId w:val="16"/>
  </w:num>
  <w:num w:numId="15" w16cid:durableId="390349800">
    <w:abstractNumId w:val="12"/>
  </w:num>
  <w:num w:numId="16" w16cid:durableId="169981602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7985604">
    <w:abstractNumId w:val="10"/>
  </w:num>
  <w:num w:numId="18" w16cid:durableId="341274352">
    <w:abstractNumId w:val="0"/>
  </w:num>
  <w:num w:numId="19" w16cid:durableId="1854414482">
    <w:abstractNumId w:val="11"/>
  </w:num>
  <w:num w:numId="20" w16cid:durableId="1067070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31B64"/>
    <w:rsid w:val="00046945"/>
    <w:rsid w:val="00061B2A"/>
    <w:rsid w:val="00082362"/>
    <w:rsid w:val="000A683E"/>
    <w:rsid w:val="000B19B9"/>
    <w:rsid w:val="000D0334"/>
    <w:rsid w:val="000D5DA7"/>
    <w:rsid w:val="000F6486"/>
    <w:rsid w:val="00116940"/>
    <w:rsid w:val="00125105"/>
    <w:rsid w:val="00127233"/>
    <w:rsid w:val="0015699B"/>
    <w:rsid w:val="001824D5"/>
    <w:rsid w:val="001A33BF"/>
    <w:rsid w:val="001E4177"/>
    <w:rsid w:val="001F0B24"/>
    <w:rsid w:val="001F7DC6"/>
    <w:rsid w:val="00212E62"/>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B24BD"/>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43730"/>
    <w:rsid w:val="005566E8"/>
    <w:rsid w:val="00574867"/>
    <w:rsid w:val="00581698"/>
    <w:rsid w:val="00591460"/>
    <w:rsid w:val="005A65E0"/>
    <w:rsid w:val="005C3777"/>
    <w:rsid w:val="005C5CDC"/>
    <w:rsid w:val="005D476C"/>
    <w:rsid w:val="005E4EBD"/>
    <w:rsid w:val="006200BF"/>
    <w:rsid w:val="006219F8"/>
    <w:rsid w:val="006302F7"/>
    <w:rsid w:val="00646B9F"/>
    <w:rsid w:val="00665D70"/>
    <w:rsid w:val="006900D9"/>
    <w:rsid w:val="00706C16"/>
    <w:rsid w:val="00720A53"/>
    <w:rsid w:val="00725401"/>
    <w:rsid w:val="007340C3"/>
    <w:rsid w:val="0075206A"/>
    <w:rsid w:val="0075235A"/>
    <w:rsid w:val="00756841"/>
    <w:rsid w:val="007649AB"/>
    <w:rsid w:val="00771D0C"/>
    <w:rsid w:val="007833AC"/>
    <w:rsid w:val="007B268C"/>
    <w:rsid w:val="007B5540"/>
    <w:rsid w:val="007B7171"/>
    <w:rsid w:val="007C0C0F"/>
    <w:rsid w:val="007C3C67"/>
    <w:rsid w:val="007C3DC2"/>
    <w:rsid w:val="007E5497"/>
    <w:rsid w:val="00806F5F"/>
    <w:rsid w:val="00812715"/>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73587"/>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683"/>
    <w:rsid w:val="00B44A47"/>
    <w:rsid w:val="00B72CD3"/>
    <w:rsid w:val="00B72FFF"/>
    <w:rsid w:val="00BA274A"/>
    <w:rsid w:val="00BC3D36"/>
    <w:rsid w:val="00BD54A6"/>
    <w:rsid w:val="00BD6E4B"/>
    <w:rsid w:val="00BD7F72"/>
    <w:rsid w:val="00BF1752"/>
    <w:rsid w:val="00BF7425"/>
    <w:rsid w:val="00C04FB3"/>
    <w:rsid w:val="00C11D8B"/>
    <w:rsid w:val="00C15139"/>
    <w:rsid w:val="00C330EB"/>
    <w:rsid w:val="00C50D69"/>
    <w:rsid w:val="00C5365C"/>
    <w:rsid w:val="00C754BE"/>
    <w:rsid w:val="00C76B1C"/>
    <w:rsid w:val="00C925AC"/>
    <w:rsid w:val="00CB6357"/>
    <w:rsid w:val="00CC1B26"/>
    <w:rsid w:val="00D11032"/>
    <w:rsid w:val="00D361FD"/>
    <w:rsid w:val="00D423A2"/>
    <w:rsid w:val="00D44E26"/>
    <w:rsid w:val="00D50B99"/>
    <w:rsid w:val="00D520D8"/>
    <w:rsid w:val="00D63AC2"/>
    <w:rsid w:val="00D7383B"/>
    <w:rsid w:val="00D7788A"/>
    <w:rsid w:val="00DA231B"/>
    <w:rsid w:val="00DC131F"/>
    <w:rsid w:val="00DC39FC"/>
    <w:rsid w:val="00DF5254"/>
    <w:rsid w:val="00E02524"/>
    <w:rsid w:val="00E16408"/>
    <w:rsid w:val="00E20894"/>
    <w:rsid w:val="00E245AB"/>
    <w:rsid w:val="00E24D0E"/>
    <w:rsid w:val="00E2764C"/>
    <w:rsid w:val="00E27F2E"/>
    <w:rsid w:val="00E35A34"/>
    <w:rsid w:val="00E42995"/>
    <w:rsid w:val="00E50AFE"/>
    <w:rsid w:val="00E75C92"/>
    <w:rsid w:val="00E771DC"/>
    <w:rsid w:val="00E8772A"/>
    <w:rsid w:val="00E90F6B"/>
    <w:rsid w:val="00E92C27"/>
    <w:rsid w:val="00EA0E3D"/>
    <w:rsid w:val="00EC38A7"/>
    <w:rsid w:val="00EE1AA8"/>
    <w:rsid w:val="00F2045B"/>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9909A81A-9B2F-472B-9A05-00AC52D3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59"/>
    <w:qFormat/>
    <w:rsid w:val="00E42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E42995"/>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E42995"/>
    <w:rPr>
      <w:rFonts w:ascii="Geomanist Light" w:hAnsi="Geomanist Light"/>
      <w:lang w:val="es-ES"/>
    </w:rPr>
  </w:style>
  <w:style w:type="paragraph" w:customStyle="1" w:styleId="Captulo9">
    <w:name w:val="Capítulo 9"/>
    <w:basedOn w:val="Normal"/>
    <w:qFormat/>
    <w:rsid w:val="00E42995"/>
    <w:pPr>
      <w:numPr>
        <w:numId w:val="19"/>
      </w:numPr>
      <w:spacing w:after="200" w:line="276" w:lineRule="auto"/>
      <w:contextualSpacing/>
    </w:pPr>
    <w:rPr>
      <w:rFonts w:ascii="Arial" w:eastAsia="Calibri" w:hAnsi="Arial" w:cs="Arial"/>
      <w:b/>
      <w:bCs/>
      <w:color w:val="3B3838" w:themeColor="background2" w:themeShade="40"/>
      <w:sz w:val="20"/>
      <w:szCs w:val="20"/>
    </w:rPr>
  </w:style>
  <w:style w:type="table" w:customStyle="1" w:styleId="Tablaconcuadrcula2">
    <w:name w:val="Tabla con cuadrícula2"/>
    <w:basedOn w:val="Tablanormal"/>
    <w:next w:val="Tablaconcuadrcula"/>
    <w:uiPriority w:val="59"/>
    <w:rsid w:val="00E42995"/>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ar">
    <w:name w:val="Normal (Web) Car"/>
    <w:link w:val="NormalWeb"/>
    <w:uiPriority w:val="99"/>
    <w:locked/>
    <w:rsid w:val="00E42995"/>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colombiacompra.gov.co/documentos-tipo/documentos-tipo" TargetMode="External"/><Relationship Id="rId17" Type="http://schemas.openxmlformats.org/officeDocument/2006/relationships/hyperlink" Target="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van_valencia1213@hot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documentos-tipo/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3EBB7754-BEE7-4DC4-8A48-E0301B96D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6434</Words>
  <Characters>35389</Characters>
  <Application>Microsoft Office Word</Application>
  <DocSecurity>0</DocSecurity>
  <Lines>294</Lines>
  <Paragraphs>83</Paragraphs>
  <ScaleCrop>false</ScaleCrop>
  <Company/>
  <LinksUpToDate>false</LinksUpToDate>
  <CharactersWithSpaces>41740</CharactersWithSpaces>
  <SharedDoc>false</SharedDoc>
  <HLinks>
    <vt:vector size="48" baseType="variant">
      <vt:variant>
        <vt:i4>8126526</vt:i4>
      </vt:variant>
      <vt:variant>
        <vt:i4>18</vt:i4>
      </vt:variant>
      <vt:variant>
        <vt:i4>0</vt:i4>
      </vt:variant>
      <vt:variant>
        <vt:i4>5</vt:i4>
      </vt:variant>
      <vt:variant>
        <vt:lpwstr>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vt:lpwstr>
      </vt:variant>
      <vt:variant>
        <vt:lpwstr/>
      </vt:variant>
      <vt:variant>
        <vt:i4>8060982</vt:i4>
      </vt:variant>
      <vt:variant>
        <vt:i4>15</vt:i4>
      </vt:variant>
      <vt:variant>
        <vt:i4>0</vt:i4>
      </vt:variant>
      <vt:variant>
        <vt:i4>5</vt:i4>
      </vt:variant>
      <vt:variant>
        <vt:lpwstr>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vt:lpwstr>
      </vt:variant>
      <vt:variant>
        <vt:lpwstr/>
      </vt:variant>
      <vt:variant>
        <vt:i4>7995446</vt:i4>
      </vt:variant>
      <vt:variant>
        <vt:i4>12</vt:i4>
      </vt:variant>
      <vt:variant>
        <vt:i4>0</vt:i4>
      </vt:variant>
      <vt:variant>
        <vt:i4>5</vt:i4>
      </vt:variant>
      <vt:variant>
        <vt:lpwstr>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vt:lpwstr>
      </vt:variant>
      <vt:variant>
        <vt:lpwstr/>
      </vt:variant>
      <vt:variant>
        <vt:i4>6815795</vt:i4>
      </vt:variant>
      <vt:variant>
        <vt:i4>9</vt:i4>
      </vt:variant>
      <vt:variant>
        <vt:i4>0</vt:i4>
      </vt:variant>
      <vt:variant>
        <vt:i4>5</vt:i4>
      </vt:variant>
      <vt:variant>
        <vt:lpwstr>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4653144</vt:i4>
      </vt:variant>
      <vt:variant>
        <vt:i4>3</vt:i4>
      </vt:variant>
      <vt:variant>
        <vt:i4>0</vt:i4>
      </vt:variant>
      <vt:variant>
        <vt:i4>5</vt:i4>
      </vt:variant>
      <vt:variant>
        <vt:lpwstr>https://www.colombiacompra.gov.co/documentos-tipo/documentos-tipo</vt:lpwstr>
      </vt:variant>
      <vt:variant>
        <vt:lpwstr/>
      </vt:variant>
      <vt:variant>
        <vt:i4>2949157</vt:i4>
      </vt:variant>
      <vt:variant>
        <vt:i4>0</vt:i4>
      </vt:variant>
      <vt:variant>
        <vt:i4>0</vt:i4>
      </vt:variant>
      <vt:variant>
        <vt:i4>5</vt:i4>
      </vt:variant>
      <vt:variant>
        <vt:lpwstr>mailto:ivan_valencia1213@hotmail.com</vt:lpwstr>
      </vt:variant>
      <vt:variant>
        <vt:lpwstr/>
      </vt:variant>
      <vt:variant>
        <vt:i4>4653144</vt:i4>
      </vt:variant>
      <vt:variant>
        <vt:i4>0</vt:i4>
      </vt:variant>
      <vt:variant>
        <vt:i4>0</vt:i4>
      </vt:variant>
      <vt:variant>
        <vt:i4>5</vt:i4>
      </vt:variant>
      <vt:variant>
        <vt:lpwstr>https://www.colombiacompra.gov.co/documentos-tipo/documentos-tipo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Andreina Cerpa Muñoz</cp:lastModifiedBy>
  <cp:revision>57</cp:revision>
  <cp:lastPrinted>2023-01-11T00:18:00Z</cp:lastPrinted>
  <dcterms:created xsi:type="dcterms:W3CDTF">2025-08-19T15:43:00Z</dcterms:created>
  <dcterms:modified xsi:type="dcterms:W3CDTF">2026-09-01T21:35:00Z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