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6DCF" w14:textId="77777777" w:rsidR="00A161C6" w:rsidRPr="004A0841" w:rsidRDefault="00A161C6" w:rsidP="00A161C6">
      <w:pPr>
        <w:spacing w:after="0" w:line="240" w:lineRule="auto"/>
        <w:jc w:val="both"/>
        <w:rPr>
          <w:rFonts w:ascii="Verdana" w:hAnsi="Verdana" w:cs="Arial"/>
          <w:b/>
          <w:bCs/>
          <w:color w:val="000000"/>
          <w:lang w:val="es-ES"/>
        </w:rPr>
      </w:pPr>
      <w:r w:rsidRPr="004A0841">
        <w:rPr>
          <w:rFonts w:ascii="Verdana" w:hAnsi="Verdana" w:cs="Arial"/>
          <w:b/>
          <w:bCs/>
          <w:color w:val="000000"/>
          <w:lang w:val="es-ES"/>
        </w:rPr>
        <w:t>ENTIDADES ESTATALES – Autonomía – Definición de la necesidad – Diseño del Proceso de Contratación</w:t>
      </w:r>
    </w:p>
    <w:p w14:paraId="045F7FAF" w14:textId="77777777" w:rsidR="00A161C6" w:rsidRDefault="00A161C6" w:rsidP="00A161C6">
      <w:pPr>
        <w:spacing w:after="0" w:line="240" w:lineRule="auto"/>
        <w:jc w:val="both"/>
        <w:rPr>
          <w:rFonts w:ascii="Verdana" w:hAnsi="Verdana" w:cs="Arial"/>
          <w:b/>
          <w:bCs/>
          <w:color w:val="000000"/>
          <w:lang w:val="es-ES"/>
        </w:rPr>
      </w:pPr>
    </w:p>
    <w:p w14:paraId="5EB21C1D" w14:textId="77777777" w:rsidR="00A161C6" w:rsidRPr="004A0841" w:rsidRDefault="00A161C6" w:rsidP="00A161C6">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Estatuto General de Contratación de la Administración Pública reconoce a las entidades estatales un margen de autonomía para identificar la necesidad que pretenden satisfacer, delimitar su alcance y escoger el negocio jurídico idóneo para atenderla. Ese margen se concreta en el análisis del sector y en los estudios y documentos previos, y encuentra respaldo en los numerales 7 y 12 del artículo 25 de la Ley 80 de 1993 y en los artículos 2.2.1.1.1.6.1 y 2.2.1.1.2.1.1 del Decreto 1082 de 2015. La ley no le indica a la entidad cuál necesidad debe tener, sino cómo debe justificarla, estructurarla y tramitarla.</w:t>
      </w:r>
    </w:p>
    <w:p w14:paraId="71ED5F92" w14:textId="77777777" w:rsidR="00A161C6" w:rsidRDefault="00A161C6" w:rsidP="00A161C6">
      <w:pPr>
        <w:spacing w:after="0" w:line="240" w:lineRule="auto"/>
        <w:jc w:val="both"/>
        <w:rPr>
          <w:rFonts w:ascii="Verdana" w:hAnsi="Verdana" w:cs="Arial"/>
          <w:b/>
          <w:bCs/>
          <w:color w:val="000000"/>
          <w:lang w:val="es-ES"/>
        </w:rPr>
      </w:pPr>
    </w:p>
    <w:p w14:paraId="3A78587A" w14:textId="77777777" w:rsidR="00A161C6" w:rsidRPr="004A0841" w:rsidRDefault="00A161C6" w:rsidP="00A161C6">
      <w:pPr>
        <w:spacing w:after="0" w:line="240" w:lineRule="auto"/>
        <w:jc w:val="both"/>
        <w:rPr>
          <w:rFonts w:ascii="Verdana" w:hAnsi="Verdana" w:cs="Arial"/>
          <w:b/>
          <w:bCs/>
          <w:color w:val="000000"/>
          <w:lang w:val="es-ES"/>
        </w:rPr>
      </w:pPr>
      <w:r w:rsidRPr="004A0841">
        <w:rPr>
          <w:rFonts w:ascii="Verdana" w:hAnsi="Verdana" w:cs="Arial"/>
          <w:b/>
          <w:bCs/>
          <w:color w:val="000000"/>
          <w:lang w:val="es-ES"/>
        </w:rPr>
        <w:t>AUTONOMÍA DE LA VOLUNTAD – Tipicidad contractual – Contratos del derecho privado</w:t>
      </w:r>
    </w:p>
    <w:p w14:paraId="35E72480" w14:textId="77777777" w:rsidR="00A161C6" w:rsidRDefault="00A161C6" w:rsidP="00A161C6">
      <w:pPr>
        <w:spacing w:after="0" w:line="240" w:lineRule="auto"/>
        <w:jc w:val="both"/>
        <w:rPr>
          <w:rFonts w:ascii="Verdana" w:hAnsi="Verdana" w:cs="Arial"/>
          <w:b/>
          <w:bCs/>
          <w:color w:val="000000"/>
          <w:lang w:val="es-ES"/>
        </w:rPr>
      </w:pPr>
    </w:p>
    <w:p w14:paraId="7F7016B7" w14:textId="77777777" w:rsidR="00A161C6" w:rsidRPr="004A0841" w:rsidRDefault="00A161C6" w:rsidP="00A161C6">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inciso primero del artículo 32 de la Ley 80 de 1993 define como contratos estatales todos los actos jurídicos generadores de obligaciones que celebren las entidades estatales, previstos en el derecho privado o en disposiciones especiales, o derivados del ejercicio de la autonomía de la voluntad. En concordancia con los artículos 13 y 40 de la misma ley, las entidades pueden acudir a tipos contractuales regulados por el derecho civil y comercial. Con todo, esa remisión opera en lo no regulado particularmente por el estatuto y no habilita a desconocer las normas imperativas de otros regímenes que resulten aplicables por razón de la materia.</w:t>
      </w:r>
    </w:p>
    <w:p w14:paraId="0A2470FB" w14:textId="77777777" w:rsidR="00A161C6" w:rsidRDefault="00A161C6" w:rsidP="00A161C6">
      <w:pPr>
        <w:spacing w:after="0" w:line="240" w:lineRule="auto"/>
        <w:jc w:val="both"/>
        <w:rPr>
          <w:rFonts w:ascii="Verdana" w:hAnsi="Verdana" w:cs="Arial"/>
          <w:b/>
          <w:bCs/>
          <w:color w:val="000000"/>
          <w:lang w:val="es-ES"/>
        </w:rPr>
      </w:pPr>
    </w:p>
    <w:p w14:paraId="330F0275" w14:textId="77777777" w:rsidR="00A161C6" w:rsidRPr="004A0841" w:rsidRDefault="00A161C6" w:rsidP="00A161C6">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CONTRATO DE PRESTACIÓN DE SERVICIOS – Contratación de personal – Límite</w:t>
      </w:r>
    </w:p>
    <w:p w14:paraId="61DE21F6" w14:textId="77777777" w:rsidR="00A161C6" w:rsidRDefault="00A161C6" w:rsidP="00A161C6">
      <w:pPr>
        <w:spacing w:after="0" w:line="240" w:lineRule="auto"/>
        <w:jc w:val="both"/>
        <w:rPr>
          <w:rFonts w:ascii="Verdana" w:hAnsi="Verdana" w:cs="Arial"/>
          <w:b/>
          <w:bCs/>
          <w:color w:val="000000"/>
          <w:lang w:val="es-ES"/>
        </w:rPr>
      </w:pPr>
    </w:p>
    <w:p w14:paraId="21C9C3F1" w14:textId="77777777" w:rsidR="00A161C6" w:rsidRPr="004A0841" w:rsidRDefault="00A161C6" w:rsidP="00A161C6">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numeral 3 del artículo 32 de la Ley 80 de 1993 dispone que el contrato de prestación de servicios solo puede celebrarse con personas naturales cuando las actividades no puedan realizarse con personal de planta o requieran conocimientos especializados, y que “en ningún caso estos contratos generan relación laboral ni prestaciones sociales y se celebrarán por el término estrictamente indispensable”. La ausencia de subordinación es el elemento que diferencia este contrato del contrato de trabajo, de modo que la figura no constituye un instrumento para vincular personal en condiciones propias de una relación laboral.</w:t>
      </w:r>
    </w:p>
    <w:p w14:paraId="546ECBC4" w14:textId="77777777" w:rsidR="00A161C6" w:rsidRDefault="00A161C6" w:rsidP="00A161C6">
      <w:pPr>
        <w:spacing w:after="0" w:line="240" w:lineRule="auto"/>
        <w:jc w:val="both"/>
        <w:rPr>
          <w:rFonts w:ascii="Verdana" w:hAnsi="Verdana" w:cs="Arial"/>
          <w:b/>
          <w:bCs/>
          <w:color w:val="000000"/>
          <w:lang w:val="es-ES"/>
        </w:rPr>
      </w:pPr>
    </w:p>
    <w:p w14:paraId="398C0887" w14:textId="77777777" w:rsidR="00A161C6" w:rsidRPr="004A0841" w:rsidRDefault="00A161C6" w:rsidP="00A161C6">
      <w:pPr>
        <w:spacing w:after="0" w:line="240" w:lineRule="auto"/>
        <w:jc w:val="both"/>
        <w:rPr>
          <w:rFonts w:ascii="Verdana" w:hAnsi="Verdana" w:cs="Arial"/>
          <w:b/>
          <w:bCs/>
          <w:color w:val="000000"/>
          <w:lang w:val="es-ES"/>
        </w:rPr>
      </w:pPr>
      <w:r w:rsidRPr="004A0841">
        <w:rPr>
          <w:rFonts w:ascii="Verdana" w:hAnsi="Verdana" w:cs="Arial"/>
          <w:b/>
          <w:bCs/>
          <w:color w:val="000000"/>
          <w:lang w:val="es-ES"/>
        </w:rPr>
        <w:t>EMPRESAS DE SERVICIOS TEMPORALES – Régimen aplicable – Normas de relaciones laborales</w:t>
      </w:r>
    </w:p>
    <w:p w14:paraId="4C2FF337" w14:textId="77777777" w:rsidR="00A161C6" w:rsidRDefault="00A161C6" w:rsidP="00A161C6">
      <w:pPr>
        <w:spacing w:after="0" w:line="240" w:lineRule="auto"/>
        <w:jc w:val="both"/>
        <w:rPr>
          <w:rFonts w:ascii="Verdana" w:hAnsi="Verdana" w:cs="Arial"/>
          <w:b/>
          <w:bCs/>
          <w:color w:val="000000"/>
          <w:lang w:val="es-ES"/>
        </w:rPr>
      </w:pPr>
    </w:p>
    <w:p w14:paraId="66926C74" w14:textId="77777777" w:rsidR="00A161C6" w:rsidRPr="004A0841" w:rsidRDefault="00A161C6" w:rsidP="00A161C6">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El régimen de las empresas de servicios temporales está contenido en los artículos 71 a 94 de la Ley 50 de 1990 –cuyo artículo 77 fue adicionado por el artículo 45 de la Ley 2466 de 2025–, en el Capítulo 5 del Título 6 de la Parte 2 del Libro 2 del Decreto 1072 de 2015 y en el Capítulo 4 del Título 3 de la Parte 2 del Libro 2 del mismo decreto, adicionado por el Decreto 0581 de 2026. Se trata de normas sustantivas del trabajo y </w:t>
      </w:r>
      <w:r>
        <w:rPr>
          <w:rFonts w:ascii="Verdana" w:hAnsi="Verdana" w:cs="Arial"/>
          <w:bCs/>
          <w:color w:val="000000"/>
          <w:sz w:val="20"/>
          <w:lang w:val="es-ES"/>
        </w:rPr>
        <w:lastRenderedPageBreak/>
        <w:t>de reglamentos del sector trabajo, y no de normas del sistema de compras y contratación pública.</w:t>
      </w:r>
    </w:p>
    <w:p w14:paraId="1A57986D" w14:textId="77777777" w:rsidR="00A161C6" w:rsidRDefault="00A161C6" w:rsidP="00A161C6">
      <w:pPr>
        <w:spacing w:after="0" w:line="240" w:lineRule="auto"/>
        <w:jc w:val="both"/>
        <w:rPr>
          <w:rFonts w:ascii="Verdana" w:hAnsi="Verdana" w:cs="Arial"/>
          <w:b/>
          <w:bCs/>
          <w:color w:val="000000"/>
          <w:lang w:val="es-ES"/>
        </w:rPr>
      </w:pPr>
    </w:p>
    <w:p w14:paraId="2D7F51DC" w14:textId="77777777" w:rsidR="00A161C6" w:rsidRPr="004A0841" w:rsidRDefault="00A161C6" w:rsidP="00A161C6">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COMPETENCIA DE COLOMBIA COMPRA EFICIENTE – Abstención – Intermediación laboral</w:t>
      </w:r>
    </w:p>
    <w:p w14:paraId="08742A9C" w14:textId="77777777" w:rsidR="00A161C6" w:rsidRDefault="00A161C6" w:rsidP="00A161C6">
      <w:pPr>
        <w:spacing w:after="0" w:line="240" w:lineRule="auto"/>
        <w:jc w:val="both"/>
        <w:rPr>
          <w:rFonts w:ascii="Verdana" w:hAnsi="Verdana" w:cs="Arial"/>
          <w:b/>
          <w:bCs/>
          <w:color w:val="000000"/>
          <w:lang w:val="es-ES"/>
        </w:rPr>
      </w:pPr>
    </w:p>
    <w:p w14:paraId="6B93534C" w14:textId="77777777" w:rsidR="00A161C6" w:rsidRPr="004A0841" w:rsidRDefault="00A161C6" w:rsidP="00A161C6">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Agencia carece de competencia para interpretar las normas sustantivas del trabajo y, por consiguiente, para determinar los supuestos, límites, condiciones y requisitos bajo los cuales una entidad estatal, en calidad de usuaria, podría contratar los servicios de una empresa de servicios temporales. Esa definición corresponde al Ministerio del Trabajo, a quien los artículos 91, 92 y 93 de la Ley 50 de 1990 y el numeral 2 del artículo 486 del Código Sustantivo del Trabajo asignan el control, la vigilancia y la potestad sancionatoria sobre esa actividad, incluso frente a la empresa usuaria.</w:t>
      </w:r>
    </w:p>
    <w:p w14:paraId="0DEF8665" w14:textId="77777777" w:rsidR="00A161C6" w:rsidRDefault="00A161C6" w:rsidP="00A161C6">
      <w:pPr>
        <w:spacing w:after="0" w:line="240" w:lineRule="auto"/>
        <w:jc w:val="both"/>
        <w:rPr>
          <w:rFonts w:ascii="Verdana" w:hAnsi="Verdana" w:cs="Arial"/>
          <w:b/>
          <w:bCs/>
          <w:color w:val="000000"/>
          <w:lang w:val="es-ES"/>
        </w:rPr>
      </w:pPr>
    </w:p>
    <w:p w14:paraId="390386DE" w14:textId="77777777" w:rsidR="00A161C6" w:rsidRDefault="00A161C6" w:rsidP="00A161C6">
      <w:pPr>
        <w:spacing w:after="0" w:line="240" w:lineRule="auto"/>
        <w:rPr>
          <w:rFonts w:ascii="Verdana" w:eastAsia="Verdana" w:hAnsi="Verdana" w:cs="Verdana"/>
        </w:rPr>
      </w:pPr>
    </w:p>
    <w:p w14:paraId="5759B2A3" w14:textId="77777777" w:rsidR="00A161C6" w:rsidRDefault="00A161C6" w:rsidP="00A161C6">
      <w:pPr>
        <w:spacing w:after="0" w:line="240" w:lineRule="auto"/>
        <w:rPr>
          <w:rFonts w:ascii="Verdana" w:eastAsia="Verdana" w:hAnsi="Verdana" w:cs="Verdana"/>
        </w:rPr>
      </w:pPr>
    </w:p>
    <w:p w14:paraId="2726F5B4" w14:textId="77777777" w:rsidR="00A161C6" w:rsidRDefault="00A161C6" w:rsidP="00A161C6">
      <w:pPr>
        <w:spacing w:after="0" w:line="240" w:lineRule="auto"/>
        <w:rPr>
          <w:rFonts w:ascii="Verdana" w:eastAsia="Verdana" w:hAnsi="Verdana" w:cs="Verdana"/>
        </w:rPr>
      </w:pPr>
    </w:p>
    <w:p w14:paraId="1CACAFBE" w14:textId="77777777" w:rsidR="00A161C6" w:rsidRDefault="00A161C6" w:rsidP="00A161C6">
      <w:pPr>
        <w:spacing w:after="0" w:line="240" w:lineRule="auto"/>
        <w:rPr>
          <w:rFonts w:ascii="Verdana" w:eastAsia="Verdana" w:hAnsi="Verdana" w:cs="Verdana"/>
        </w:rPr>
      </w:pPr>
    </w:p>
    <w:p w14:paraId="27DECC17" w14:textId="77777777" w:rsidR="00A161C6" w:rsidRDefault="00A161C6" w:rsidP="00A161C6">
      <w:pPr>
        <w:spacing w:after="0" w:line="240" w:lineRule="auto"/>
        <w:rPr>
          <w:rFonts w:ascii="Verdana" w:eastAsia="Verdana" w:hAnsi="Verdana" w:cs="Verdana"/>
        </w:rPr>
      </w:pPr>
    </w:p>
    <w:p w14:paraId="29484D72" w14:textId="77777777" w:rsidR="00A161C6" w:rsidRDefault="00A161C6" w:rsidP="00A161C6">
      <w:pPr>
        <w:spacing w:after="0" w:line="240" w:lineRule="auto"/>
        <w:rPr>
          <w:rFonts w:ascii="Verdana" w:eastAsia="Verdana" w:hAnsi="Verdana" w:cs="Verdana"/>
        </w:rPr>
      </w:pPr>
    </w:p>
    <w:p w14:paraId="55CFE601" w14:textId="77777777" w:rsidR="00A161C6" w:rsidRDefault="00A161C6" w:rsidP="00A161C6">
      <w:pPr>
        <w:spacing w:after="0" w:line="240" w:lineRule="auto"/>
        <w:rPr>
          <w:rFonts w:ascii="Verdana" w:eastAsia="Verdana" w:hAnsi="Verdana" w:cs="Verdana"/>
        </w:rPr>
      </w:pPr>
    </w:p>
    <w:p w14:paraId="23B79B2B" w14:textId="77777777" w:rsidR="00A161C6" w:rsidRDefault="00A161C6" w:rsidP="00A161C6">
      <w:pPr>
        <w:spacing w:after="0" w:line="240" w:lineRule="auto"/>
        <w:rPr>
          <w:rFonts w:ascii="Verdana" w:eastAsia="Verdana" w:hAnsi="Verdana" w:cs="Verdana"/>
        </w:rPr>
      </w:pPr>
    </w:p>
    <w:p w14:paraId="55C87C30" w14:textId="77777777" w:rsidR="00A161C6" w:rsidRDefault="00A161C6" w:rsidP="00A161C6">
      <w:pPr>
        <w:spacing w:after="0" w:line="240" w:lineRule="auto"/>
        <w:rPr>
          <w:rFonts w:ascii="Verdana" w:eastAsia="Verdana" w:hAnsi="Verdana" w:cs="Verdana"/>
        </w:rPr>
      </w:pPr>
    </w:p>
    <w:p w14:paraId="075126CA" w14:textId="77777777" w:rsidR="00A161C6" w:rsidRDefault="00A161C6" w:rsidP="00A161C6">
      <w:pPr>
        <w:spacing w:after="0" w:line="240" w:lineRule="auto"/>
        <w:rPr>
          <w:rFonts w:ascii="Verdana" w:eastAsia="Verdana" w:hAnsi="Verdana" w:cs="Verdana"/>
        </w:rPr>
      </w:pPr>
    </w:p>
    <w:p w14:paraId="4F49D5B2" w14:textId="77777777" w:rsidR="00A161C6" w:rsidRDefault="00A161C6" w:rsidP="00A161C6">
      <w:pPr>
        <w:spacing w:after="0" w:line="240" w:lineRule="auto"/>
        <w:rPr>
          <w:rFonts w:ascii="Verdana" w:eastAsia="Verdana" w:hAnsi="Verdana" w:cs="Verdana"/>
        </w:rPr>
      </w:pPr>
    </w:p>
    <w:p w14:paraId="5E97DDFC" w14:textId="77777777" w:rsidR="00A161C6" w:rsidRDefault="00A161C6" w:rsidP="00A161C6">
      <w:pPr>
        <w:spacing w:after="0" w:line="240" w:lineRule="auto"/>
        <w:rPr>
          <w:rFonts w:ascii="Verdana" w:eastAsia="Verdana" w:hAnsi="Verdana" w:cs="Verdana"/>
        </w:rPr>
      </w:pPr>
    </w:p>
    <w:p w14:paraId="032C01F7" w14:textId="77777777" w:rsidR="00A161C6" w:rsidRDefault="00A161C6" w:rsidP="00A161C6">
      <w:pPr>
        <w:spacing w:after="0" w:line="240" w:lineRule="auto"/>
        <w:rPr>
          <w:rFonts w:ascii="Verdana" w:eastAsia="Verdana" w:hAnsi="Verdana" w:cs="Verdana"/>
        </w:rPr>
      </w:pPr>
    </w:p>
    <w:p w14:paraId="4A54060B" w14:textId="77777777" w:rsidR="00A161C6" w:rsidRDefault="00A161C6" w:rsidP="00A161C6">
      <w:pPr>
        <w:spacing w:after="0" w:line="240" w:lineRule="auto"/>
        <w:rPr>
          <w:rFonts w:ascii="Verdana" w:eastAsia="Verdana" w:hAnsi="Verdana" w:cs="Verdana"/>
        </w:rPr>
      </w:pPr>
    </w:p>
    <w:p w14:paraId="1478BF60" w14:textId="77777777" w:rsidR="00A161C6" w:rsidRDefault="00A161C6" w:rsidP="00A161C6">
      <w:pPr>
        <w:spacing w:after="0" w:line="240" w:lineRule="auto"/>
        <w:rPr>
          <w:rFonts w:ascii="Verdana" w:eastAsia="Verdana" w:hAnsi="Verdana" w:cs="Verdana"/>
        </w:rPr>
      </w:pPr>
    </w:p>
    <w:p w14:paraId="77527527" w14:textId="77777777" w:rsidR="00A161C6" w:rsidRDefault="00A161C6" w:rsidP="00A161C6">
      <w:pPr>
        <w:spacing w:after="0" w:line="240" w:lineRule="auto"/>
        <w:rPr>
          <w:rFonts w:ascii="Verdana" w:eastAsia="Verdana" w:hAnsi="Verdana" w:cs="Verdana"/>
        </w:rPr>
      </w:pPr>
    </w:p>
    <w:p w14:paraId="31654A9C" w14:textId="77777777" w:rsidR="00A161C6" w:rsidRDefault="00A161C6" w:rsidP="00A161C6">
      <w:pPr>
        <w:spacing w:after="0" w:line="240" w:lineRule="auto"/>
        <w:rPr>
          <w:rFonts w:ascii="Verdana" w:eastAsia="Verdana" w:hAnsi="Verdana" w:cs="Verdana"/>
        </w:rPr>
      </w:pPr>
    </w:p>
    <w:p w14:paraId="15EC1CAA" w14:textId="77777777" w:rsidR="00A161C6" w:rsidRDefault="00A161C6" w:rsidP="00A161C6">
      <w:pPr>
        <w:spacing w:after="0" w:line="240" w:lineRule="auto"/>
        <w:rPr>
          <w:rFonts w:ascii="Verdana" w:eastAsia="Verdana" w:hAnsi="Verdana" w:cs="Verdana"/>
        </w:rPr>
      </w:pPr>
    </w:p>
    <w:p w14:paraId="1E145F01" w14:textId="77777777" w:rsidR="00A161C6" w:rsidRDefault="00A161C6" w:rsidP="00A161C6">
      <w:pPr>
        <w:spacing w:after="0" w:line="240" w:lineRule="auto"/>
        <w:rPr>
          <w:rFonts w:ascii="Verdana" w:eastAsia="Verdana" w:hAnsi="Verdana" w:cs="Verdana"/>
        </w:rPr>
      </w:pPr>
    </w:p>
    <w:p w14:paraId="0E8D7A84" w14:textId="77777777" w:rsidR="00A161C6" w:rsidRDefault="00A161C6" w:rsidP="00A161C6">
      <w:pPr>
        <w:spacing w:after="0" w:line="240" w:lineRule="auto"/>
        <w:rPr>
          <w:rFonts w:ascii="Verdana" w:eastAsia="Verdana" w:hAnsi="Verdana" w:cs="Verdana"/>
        </w:rPr>
      </w:pPr>
    </w:p>
    <w:p w14:paraId="64A1C290" w14:textId="77777777" w:rsidR="00A161C6" w:rsidRDefault="00A161C6" w:rsidP="00A161C6">
      <w:pPr>
        <w:spacing w:after="0" w:line="240" w:lineRule="auto"/>
        <w:rPr>
          <w:rFonts w:ascii="Verdana" w:eastAsia="Verdana" w:hAnsi="Verdana" w:cs="Verdana"/>
        </w:rPr>
      </w:pPr>
    </w:p>
    <w:p w14:paraId="2CB1F963" w14:textId="77777777" w:rsidR="00A161C6" w:rsidRDefault="00A161C6" w:rsidP="00A161C6">
      <w:pPr>
        <w:spacing w:after="0" w:line="240" w:lineRule="auto"/>
        <w:rPr>
          <w:rFonts w:ascii="Verdana" w:eastAsia="Verdana" w:hAnsi="Verdana" w:cs="Verdana"/>
        </w:rPr>
      </w:pPr>
    </w:p>
    <w:p w14:paraId="42B91418" w14:textId="77777777" w:rsidR="00A161C6" w:rsidRDefault="00A161C6" w:rsidP="00A161C6">
      <w:pPr>
        <w:spacing w:after="0" w:line="240" w:lineRule="auto"/>
        <w:rPr>
          <w:rFonts w:ascii="Verdana" w:eastAsia="Verdana" w:hAnsi="Verdana" w:cs="Verdana"/>
        </w:rPr>
      </w:pPr>
    </w:p>
    <w:p w14:paraId="5144C159" w14:textId="77777777" w:rsidR="00A161C6" w:rsidRDefault="00A161C6" w:rsidP="00A161C6">
      <w:pPr>
        <w:spacing w:after="0" w:line="240" w:lineRule="auto"/>
        <w:rPr>
          <w:rFonts w:ascii="Verdana" w:eastAsia="Verdana" w:hAnsi="Verdana" w:cs="Verdana"/>
        </w:rPr>
      </w:pPr>
    </w:p>
    <w:p w14:paraId="55BA4AFF" w14:textId="77777777" w:rsidR="00A161C6" w:rsidRDefault="00A161C6" w:rsidP="00A161C6">
      <w:pPr>
        <w:spacing w:after="0" w:line="240" w:lineRule="auto"/>
        <w:rPr>
          <w:rFonts w:ascii="Verdana" w:eastAsia="Verdana" w:hAnsi="Verdana" w:cs="Verdana"/>
        </w:rPr>
      </w:pPr>
    </w:p>
    <w:p w14:paraId="66DC0668" w14:textId="77777777" w:rsidR="00A161C6" w:rsidRDefault="00A161C6" w:rsidP="00A161C6">
      <w:pPr>
        <w:spacing w:after="0" w:line="240" w:lineRule="auto"/>
        <w:rPr>
          <w:rFonts w:ascii="Verdana" w:eastAsia="Verdana" w:hAnsi="Verdana" w:cs="Verdana"/>
        </w:rPr>
      </w:pPr>
    </w:p>
    <w:p w14:paraId="21EEA198" w14:textId="77777777" w:rsidR="00A161C6" w:rsidRDefault="00A161C6" w:rsidP="00A161C6">
      <w:pPr>
        <w:spacing w:after="0" w:line="240" w:lineRule="auto"/>
        <w:rPr>
          <w:rFonts w:ascii="Verdana" w:eastAsia="Verdana" w:hAnsi="Verdana" w:cs="Verdana"/>
        </w:rPr>
      </w:pPr>
    </w:p>
    <w:p w14:paraId="5ABA0794" w14:textId="77777777" w:rsidR="00A161C6" w:rsidRDefault="00A161C6" w:rsidP="00A161C6">
      <w:pPr>
        <w:spacing w:after="0" w:line="240" w:lineRule="auto"/>
        <w:rPr>
          <w:rFonts w:ascii="Verdana" w:eastAsia="Verdana" w:hAnsi="Verdana" w:cs="Verdana"/>
        </w:rPr>
      </w:pPr>
    </w:p>
    <w:p w14:paraId="2DC19DEC" w14:textId="03637A5D" w:rsidR="00A161C6" w:rsidRDefault="00A161C6" w:rsidP="00A161C6">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D338B1">
        <w:rPr>
          <w:rFonts w:ascii="Verdana" w:eastAsia="Geomanist Light" w:hAnsi="Verdana" w:cs="Arial"/>
          <w:color w:val="000000" w:themeColor="text1"/>
          <w:lang w:val="es-MX"/>
        </w:rPr>
        <w:t xml:space="preserve">31 de agosto de 2026 </w:t>
      </w:r>
    </w:p>
    <w:p w14:paraId="203A8D11" w14:textId="77777777" w:rsidR="00A161C6" w:rsidRDefault="00A161C6" w:rsidP="00A161C6">
      <w:pPr>
        <w:spacing w:after="0" w:line="240" w:lineRule="auto"/>
        <w:rPr>
          <w:rFonts w:ascii="Verdana" w:hAnsi="Verdana"/>
        </w:rPr>
      </w:pPr>
    </w:p>
    <w:p w14:paraId="01427F40" w14:textId="07BBD8B2" w:rsidR="00A161C6" w:rsidRDefault="00A161C6" w:rsidP="00A161C6">
      <w:pPr>
        <w:spacing w:after="0" w:line="240" w:lineRule="auto"/>
        <w:rPr>
          <w:rFonts w:ascii="Verdana" w:hAnsi="Verdana"/>
        </w:rPr>
      </w:pPr>
    </w:p>
    <w:p w14:paraId="3B159068" w14:textId="1B8E8611" w:rsidR="00A924B1" w:rsidRPr="002B4BE9" w:rsidRDefault="00A924B1" w:rsidP="00A924B1">
      <w:pPr>
        <w:spacing w:after="0" w:line="240" w:lineRule="auto"/>
        <w:jc w:val="right"/>
        <w:rPr>
          <w:rFonts w:ascii="Verdana" w:hAnsi="Verdana"/>
        </w:rPr>
      </w:pPr>
    </w:p>
    <w:p w14:paraId="6F1864F5" w14:textId="4C74C93B" w:rsidR="00A161C6" w:rsidRPr="00524422" w:rsidRDefault="00046C6B" w:rsidP="00A161C6">
      <w:pPr>
        <w:spacing w:after="0" w:line="240" w:lineRule="auto"/>
        <w:rPr>
          <w:rFonts w:ascii="Verdana" w:eastAsia="Calibri" w:hAnsi="Verdana" w:cs="Times New Roman"/>
          <w:lang w:val="es-MX"/>
        </w:rPr>
      </w:pPr>
      <w:r w:rsidRPr="00A924B1">
        <w:rPr>
          <w:rFonts w:ascii="Verdana" w:hAnsi="Verdana"/>
          <w:noProof/>
        </w:rPr>
        <w:drawing>
          <wp:anchor distT="0" distB="0" distL="114300" distR="114300" simplePos="0" relativeHeight="251658240" behindDoc="0" locked="0" layoutInCell="1" allowOverlap="1" wp14:anchorId="4FE7A1C9" wp14:editId="3758A87D">
            <wp:simplePos x="0" y="0"/>
            <wp:positionH relativeFrom="margin">
              <wp:align>right</wp:align>
            </wp:positionH>
            <wp:positionV relativeFrom="paragraph">
              <wp:posOffset>6018</wp:posOffset>
            </wp:positionV>
            <wp:extent cx="2322830" cy="930275"/>
            <wp:effectExtent l="0" t="0" r="1270" b="3175"/>
            <wp:wrapSquare wrapText="bothSides"/>
            <wp:docPr id="272328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28261" name=""/>
                    <pic:cNvPicPr/>
                  </pic:nvPicPr>
                  <pic:blipFill>
                    <a:blip r:embed="rId10">
                      <a:extLst>
                        <a:ext uri="{28A0092B-C50C-407E-A947-70E740481C1C}">
                          <a14:useLocalDpi xmlns:a14="http://schemas.microsoft.com/office/drawing/2010/main" val="0"/>
                        </a:ext>
                      </a:extLst>
                    </a:blip>
                    <a:stretch>
                      <a:fillRect/>
                    </a:stretch>
                  </pic:blipFill>
                  <pic:spPr>
                    <a:xfrm>
                      <a:off x="0" y="0"/>
                      <a:ext cx="2322830" cy="930275"/>
                    </a:xfrm>
                    <a:prstGeom prst="rect">
                      <a:avLst/>
                    </a:prstGeom>
                  </pic:spPr>
                </pic:pic>
              </a:graphicData>
            </a:graphic>
            <wp14:sizeRelH relativeFrom="margin">
              <wp14:pctWidth>0</wp14:pctWidth>
            </wp14:sizeRelH>
            <wp14:sizeRelV relativeFrom="margin">
              <wp14:pctHeight>0</wp14:pctHeight>
            </wp14:sizeRelV>
          </wp:anchor>
        </w:drawing>
      </w:r>
      <w:r w:rsidR="00A161C6" w:rsidRPr="00524422">
        <w:rPr>
          <w:rFonts w:ascii="Verdana" w:eastAsia="Calibri" w:hAnsi="Verdana" w:cs="Times New Roman"/>
          <w:lang w:val="es-MX"/>
        </w:rPr>
        <w:t>Señora</w:t>
      </w:r>
    </w:p>
    <w:p w14:paraId="15E5F961" w14:textId="699BCC87" w:rsidR="00A161C6" w:rsidRPr="00AA04C7" w:rsidRDefault="00A161C6" w:rsidP="00A161C6">
      <w:pPr>
        <w:spacing w:after="0" w:line="240" w:lineRule="auto"/>
        <w:rPr>
          <w:rFonts w:ascii="Verdana" w:eastAsia="Calibri" w:hAnsi="Verdana" w:cs="Times New Roman"/>
          <w:b/>
          <w:bCs/>
          <w:lang w:val="es-MX"/>
        </w:rPr>
      </w:pPr>
      <w:r w:rsidRPr="00AA04C7">
        <w:rPr>
          <w:rFonts w:ascii="Verdana" w:eastAsia="Calibri" w:hAnsi="Verdana" w:cs="Times New Roman"/>
          <w:b/>
          <w:bCs/>
          <w:lang w:val="es-MX"/>
        </w:rPr>
        <w:t>ANA MARÍA ARAUJO BARCO</w:t>
      </w:r>
    </w:p>
    <w:p w14:paraId="329CAC2C" w14:textId="77777777" w:rsidR="00A161C6" w:rsidRPr="00524422" w:rsidRDefault="00A161C6" w:rsidP="00A161C6">
      <w:pPr>
        <w:spacing w:after="0" w:line="240" w:lineRule="auto"/>
        <w:rPr>
          <w:rFonts w:ascii="Verdana" w:eastAsia="Calibri" w:hAnsi="Verdana" w:cs="Times New Roman"/>
          <w:lang w:val="es-MX"/>
        </w:rPr>
      </w:pPr>
      <w:r w:rsidRPr="00524422">
        <w:rPr>
          <w:rFonts w:ascii="Verdana" w:eastAsia="Calibri" w:hAnsi="Verdana" w:cs="Times New Roman"/>
          <w:lang w:val="es-MX"/>
        </w:rPr>
        <w:t>Representante legal</w:t>
      </w:r>
    </w:p>
    <w:p w14:paraId="3F85D4B9" w14:textId="77777777" w:rsidR="00A161C6" w:rsidRPr="00524422" w:rsidRDefault="00A161C6" w:rsidP="00A161C6">
      <w:pPr>
        <w:spacing w:after="0" w:line="240" w:lineRule="auto"/>
        <w:rPr>
          <w:rFonts w:ascii="Verdana" w:eastAsia="Calibri" w:hAnsi="Verdana" w:cs="Times New Roman"/>
          <w:lang w:val="es-MX"/>
        </w:rPr>
      </w:pPr>
      <w:r w:rsidRPr="00524422">
        <w:rPr>
          <w:rFonts w:ascii="Verdana" w:eastAsia="Calibri" w:hAnsi="Verdana" w:cs="Times New Roman"/>
          <w:lang w:val="es-MX"/>
        </w:rPr>
        <w:t>ESTRATEGIAS PERSONAL TEMPORAL S.A.S.</w:t>
      </w:r>
    </w:p>
    <w:p w14:paraId="0C3E94A7" w14:textId="77777777" w:rsidR="00A161C6" w:rsidRDefault="00A161C6" w:rsidP="00A161C6">
      <w:pPr>
        <w:spacing w:after="0" w:line="240" w:lineRule="auto"/>
        <w:rPr>
          <w:rFonts w:ascii="Verdana" w:eastAsia="Calibri" w:hAnsi="Verdana" w:cs="Times New Roman"/>
          <w:lang w:val="es-MX"/>
        </w:rPr>
      </w:pPr>
      <w:hyperlink r:id="rId11" w:history="1">
        <w:r w:rsidRPr="003E64DE">
          <w:rPr>
            <w:rStyle w:val="Hipervnculo"/>
            <w:rFonts w:ascii="Verdana" w:eastAsia="Calibri" w:hAnsi="Verdana" w:cs="Times New Roman"/>
            <w:lang w:val="es-MX"/>
          </w:rPr>
          <w:t>juridico@estrategiastemporales.com</w:t>
        </w:r>
      </w:hyperlink>
    </w:p>
    <w:p w14:paraId="57D97D2B" w14:textId="77777777" w:rsidR="00A161C6" w:rsidRPr="00524422" w:rsidRDefault="00A161C6" w:rsidP="00A161C6">
      <w:pPr>
        <w:spacing w:after="0" w:line="240" w:lineRule="auto"/>
        <w:rPr>
          <w:rFonts w:ascii="Verdana" w:eastAsia="Calibri" w:hAnsi="Verdana" w:cs="Times New Roman"/>
          <w:lang w:val="es-MX"/>
        </w:rPr>
      </w:pPr>
      <w:hyperlink r:id="rId12" w:history="1">
        <w:r w:rsidRPr="003E64DE">
          <w:rPr>
            <w:rStyle w:val="Hipervnculo"/>
            <w:rFonts w:ascii="Verdana" w:eastAsia="Calibri" w:hAnsi="Verdana" w:cs="Times New Roman"/>
            <w:lang w:val="es-MX"/>
          </w:rPr>
          <w:t>estrategiastemporales@outlook.es</w:t>
        </w:r>
      </w:hyperlink>
      <w:r>
        <w:rPr>
          <w:rFonts w:ascii="Verdana" w:eastAsia="Calibri" w:hAnsi="Verdana" w:cs="Times New Roman"/>
          <w:lang w:val="es-MX"/>
        </w:rPr>
        <w:t xml:space="preserve"> </w:t>
      </w:r>
    </w:p>
    <w:p w14:paraId="4DA3C4CB" w14:textId="77777777" w:rsidR="00A161C6" w:rsidRPr="00524422" w:rsidRDefault="00A161C6" w:rsidP="00A161C6">
      <w:pPr>
        <w:spacing w:after="0" w:line="240" w:lineRule="auto"/>
        <w:rPr>
          <w:rFonts w:ascii="Verdana" w:eastAsia="Calibri" w:hAnsi="Verdana" w:cs="Times New Roman"/>
          <w:lang w:val="es-MX"/>
        </w:rPr>
      </w:pPr>
      <w:r w:rsidRPr="00524422">
        <w:rPr>
          <w:rFonts w:ascii="Verdana" w:eastAsia="Calibri" w:hAnsi="Verdana" w:cs="Times New Roman"/>
          <w:lang w:val="es-MX"/>
        </w:rPr>
        <w:t>Santiago de Cali, Valle del Cauca</w:t>
      </w:r>
    </w:p>
    <w:p w14:paraId="1EC18859" w14:textId="77777777" w:rsidR="00A161C6" w:rsidRPr="002B4BE9" w:rsidRDefault="00A161C6" w:rsidP="00A161C6">
      <w:pPr>
        <w:spacing w:after="0" w:line="240" w:lineRule="auto"/>
        <w:rPr>
          <w:rFonts w:ascii="Verdana" w:eastAsia="Calibri" w:hAnsi="Verdana" w:cs="Times New Roman"/>
        </w:rPr>
      </w:pPr>
    </w:p>
    <w:p w14:paraId="019887B1" w14:textId="77777777" w:rsidR="00A161C6" w:rsidRPr="002B4BE9" w:rsidRDefault="00A161C6" w:rsidP="00A161C6">
      <w:pPr>
        <w:spacing w:after="0" w:line="240" w:lineRule="auto"/>
        <w:rPr>
          <w:rFonts w:ascii="Verdana" w:eastAsia="Calibri" w:hAnsi="Verdana" w:cs="Times New Roman"/>
        </w:rPr>
      </w:pPr>
    </w:p>
    <w:p w14:paraId="539A3E1B" w14:textId="77777777" w:rsidR="00A161C6" w:rsidRPr="002B4BE9" w:rsidRDefault="00A161C6" w:rsidP="00A161C6">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w:t>
      </w:r>
      <w:r w:rsidRPr="000A146D">
        <w:rPr>
          <w:rFonts w:ascii="Verdana" w:eastAsia="Calibri" w:hAnsi="Verdana" w:cs="Times New Roman"/>
          <w:b/>
          <w:bCs/>
          <w:lang w:val="es-ES"/>
        </w:rPr>
        <w:t>C-1142</w:t>
      </w:r>
      <w:r>
        <w:rPr>
          <w:rFonts w:ascii="Verdana" w:eastAsia="Calibri" w:hAnsi="Verdana" w:cs="Times New Roman"/>
          <w:b/>
          <w:bCs/>
          <w:lang w:val="es-ES"/>
        </w:rPr>
        <w:t xml:space="preserve"> de 2026</w:t>
      </w:r>
    </w:p>
    <w:p w14:paraId="5F4D8379" w14:textId="77777777" w:rsidR="00A161C6" w:rsidRPr="002B4BE9" w:rsidRDefault="00A161C6" w:rsidP="00A161C6">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161C6" w:rsidRPr="002B4BE9" w14:paraId="21007196" w14:textId="77777777" w:rsidTr="004B4C64">
        <w:trPr>
          <w:trHeight w:val="645"/>
        </w:trPr>
        <w:tc>
          <w:tcPr>
            <w:tcW w:w="2685" w:type="dxa"/>
            <w:hideMark/>
          </w:tcPr>
          <w:p w14:paraId="3BB9B351" w14:textId="77777777" w:rsidR="00A161C6" w:rsidRPr="00403388" w:rsidRDefault="00A161C6" w:rsidP="004B4C64">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5E20F5A7" w14:textId="77777777" w:rsidR="00A161C6" w:rsidRPr="00403388" w:rsidRDefault="00A161C6" w:rsidP="004B4C64">
            <w:pPr>
              <w:spacing w:line="276" w:lineRule="auto"/>
              <w:jc w:val="both"/>
              <w:rPr>
                <w:rFonts w:ascii="Verdana" w:hAnsi="Verdana" w:cs="Arial"/>
                <w:lang w:val="es-ES" w:eastAsia="es-ES"/>
              </w:rPr>
            </w:pPr>
            <w:r w:rsidRPr="001B49B3">
              <w:rPr>
                <w:rFonts w:ascii="Verdana" w:hAnsi="Verdana" w:cs="Arial"/>
                <w:bCs/>
                <w:color w:val="000000"/>
                <w:lang w:val="es-ES"/>
              </w:rPr>
              <w:t>ENTIDADES ESTATALES – Autonomía – Definición de la necesidad – Diseño del Proceso de Contratación / AUTONOMÍA DE LA VOLUNTAD – Tipicidad contractual – Contratos del derecho privado / CONTRATO DE PRESTACIÓN DE SERVICIOS – Contratación de personal – Límite / EMPRESAS DE SERVICIOS TEMPORALES – Régimen aplicable – Normas de relaciones laborales / COMPETENCIA DE COLOMBIA COMPRA EFICIENTE – Abstención – Intermediación laboral</w:t>
            </w:r>
          </w:p>
        </w:tc>
        <w:tc>
          <w:tcPr>
            <w:tcW w:w="6237" w:type="dxa"/>
          </w:tcPr>
          <w:p w14:paraId="317CEF98" w14:textId="77777777" w:rsidR="00A161C6" w:rsidRPr="002B4BE9" w:rsidRDefault="00A161C6" w:rsidP="004B4C64">
            <w:pPr>
              <w:rPr>
                <w:rFonts w:ascii="Verdana" w:hAnsi="Verdana"/>
                <w:lang w:val="es-ES"/>
              </w:rPr>
            </w:pPr>
          </w:p>
        </w:tc>
      </w:tr>
      <w:tr w:rsidR="00A161C6" w:rsidRPr="002B4BE9" w14:paraId="2548C89E" w14:textId="77777777" w:rsidTr="004B4C64">
        <w:tc>
          <w:tcPr>
            <w:tcW w:w="2685" w:type="dxa"/>
          </w:tcPr>
          <w:p w14:paraId="29125964" w14:textId="77777777" w:rsidR="00A161C6" w:rsidRPr="002B4BE9" w:rsidRDefault="00A161C6" w:rsidP="004B4C64">
            <w:pPr>
              <w:rPr>
                <w:rFonts w:ascii="Verdana" w:hAnsi="Verdana"/>
                <w:b/>
                <w:bCs/>
                <w:lang w:val="es-ES_tradnl"/>
              </w:rPr>
            </w:pPr>
          </w:p>
          <w:p w14:paraId="3FFC1942" w14:textId="77777777" w:rsidR="00A161C6" w:rsidRPr="00995618" w:rsidRDefault="00A161C6" w:rsidP="004B4C64">
            <w:pPr>
              <w:rPr>
                <w:rFonts w:ascii="Verdana" w:hAnsi="Verdana"/>
                <w:b/>
                <w:bCs/>
                <w:lang w:val="es-ES_tradnl"/>
              </w:rPr>
            </w:pPr>
            <w:r w:rsidRPr="002B4BE9">
              <w:rPr>
                <w:rFonts w:ascii="Verdana" w:hAnsi="Verdana"/>
                <w:b/>
                <w:bCs/>
                <w:lang w:val="es-ES_tradnl"/>
              </w:rPr>
              <w:t xml:space="preserve">Radicación:               </w:t>
            </w:r>
          </w:p>
        </w:tc>
        <w:tc>
          <w:tcPr>
            <w:tcW w:w="6241" w:type="dxa"/>
          </w:tcPr>
          <w:p w14:paraId="4561E134" w14:textId="77777777" w:rsidR="00A161C6" w:rsidRPr="002B4BE9" w:rsidRDefault="00A161C6" w:rsidP="004B4C64">
            <w:pPr>
              <w:spacing w:line="276" w:lineRule="auto"/>
              <w:jc w:val="both"/>
              <w:rPr>
                <w:rFonts w:ascii="Verdana" w:hAnsi="Verdana"/>
                <w:lang w:val="es-ES_tradnl"/>
              </w:rPr>
            </w:pPr>
          </w:p>
          <w:p w14:paraId="570954C4" w14:textId="29FEFB6D" w:rsidR="00A161C6" w:rsidRPr="002B4BE9" w:rsidRDefault="00A161C6" w:rsidP="004B4C64">
            <w:pPr>
              <w:spacing w:line="276" w:lineRule="auto"/>
              <w:jc w:val="both"/>
              <w:rPr>
                <w:rFonts w:ascii="Verdana" w:hAnsi="Verdana"/>
                <w:lang w:val="es-ES_tradnl"/>
              </w:rPr>
            </w:pPr>
            <w:r w:rsidRPr="002B4BE9">
              <w:rPr>
                <w:rFonts w:ascii="Verdana" w:hAnsi="Verdana"/>
                <w:lang w:val="es-ES_tradnl"/>
              </w:rPr>
              <w:t>Respuesta a consulta con radicado No. 1_2026_07_16_009422</w:t>
            </w:r>
            <w:r w:rsidR="00D338B1">
              <w:rPr>
                <w:rFonts w:ascii="Verdana" w:hAnsi="Verdana"/>
                <w:lang w:val="es-ES_tradnl"/>
              </w:rPr>
              <w:t xml:space="preserve"> acumulada con </w:t>
            </w:r>
            <w:r w:rsidR="00D338B1" w:rsidRPr="00D338B1">
              <w:rPr>
                <w:rFonts w:ascii="Verdana" w:hAnsi="Verdana"/>
                <w:lang w:val="es-ES_tradnl"/>
              </w:rPr>
              <w:t>1_2026_07_17_009493</w:t>
            </w:r>
          </w:p>
        </w:tc>
        <w:tc>
          <w:tcPr>
            <w:tcW w:w="6237" w:type="dxa"/>
          </w:tcPr>
          <w:p w14:paraId="1C05CAFB" w14:textId="77777777" w:rsidR="00A161C6" w:rsidRPr="002B4BE9" w:rsidRDefault="00A161C6" w:rsidP="004B4C64">
            <w:pPr>
              <w:rPr>
                <w:rFonts w:ascii="Verdana" w:hAnsi="Verdana"/>
              </w:rPr>
            </w:pPr>
          </w:p>
        </w:tc>
      </w:tr>
    </w:tbl>
    <w:p w14:paraId="7445092C" w14:textId="77777777" w:rsidR="00A161C6" w:rsidRDefault="00A161C6" w:rsidP="00A161C6">
      <w:pPr>
        <w:spacing w:after="0" w:line="256" w:lineRule="auto"/>
        <w:rPr>
          <w:rFonts w:ascii="Verdana" w:eastAsia="Calibri" w:hAnsi="Verdana" w:cs="Times New Roman"/>
          <w:lang w:val="es-ES"/>
        </w:rPr>
      </w:pPr>
    </w:p>
    <w:p w14:paraId="177DCA88" w14:textId="77777777" w:rsidR="00A161C6" w:rsidRPr="009037F6" w:rsidRDefault="00A161C6" w:rsidP="00A161C6">
      <w:pPr>
        <w:spacing w:after="0" w:line="256" w:lineRule="auto"/>
        <w:rPr>
          <w:rFonts w:ascii="Verdana" w:eastAsia="Calibri" w:hAnsi="Verdana" w:cs="Times New Roman"/>
          <w:lang w:val="es-ES"/>
        </w:rPr>
      </w:pPr>
      <w:r>
        <w:rPr>
          <w:rFonts w:ascii="Verdana" w:eastAsia="Calibri" w:hAnsi="Verdana" w:cs="Times New Roman"/>
          <w:lang w:val="es-ES"/>
        </w:rPr>
        <w:t>Estimada señora Araujo:</w:t>
      </w:r>
    </w:p>
    <w:p w14:paraId="4FCF8C50" w14:textId="77777777" w:rsidR="00A161C6" w:rsidRPr="009037F6" w:rsidRDefault="00A161C6" w:rsidP="00A161C6">
      <w:pPr>
        <w:spacing w:after="0" w:line="276" w:lineRule="auto"/>
        <w:rPr>
          <w:rFonts w:ascii="Verdana" w:eastAsia="Calibri" w:hAnsi="Verdana" w:cs="Times New Roman"/>
          <w:lang w:val="es-ES"/>
        </w:rPr>
      </w:pPr>
    </w:p>
    <w:p w14:paraId="6846A8C9" w14:textId="77777777" w:rsidR="00A161C6" w:rsidRDefault="00A161C6" w:rsidP="00A161C6">
      <w:pPr>
        <w:spacing w:after="12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La Agencia Nacional de Contratación Pública – Colombia Compra Eficiente –, en ejercicio de las competencias otorgadas por el numeral 5 del artículo 3 y el numeral 8 del artículo 11 del Decreto Ley 4170 de 2011</w:t>
      </w:r>
      <w:r>
        <w:rPr>
          <w:rFonts w:ascii="Verdana" w:eastAsia="Calibri" w:hAnsi="Verdana" w:cs="Times New Roman"/>
          <w:bCs/>
          <w:lang w:bidi="es-ES"/>
        </w:rPr>
        <w:t xml:space="preserve"> y </w:t>
      </w:r>
      <w:r w:rsidRPr="009037F6">
        <w:rPr>
          <w:rFonts w:ascii="Verdana" w:eastAsia="Calibri" w:hAnsi="Verdana" w:cs="Times New Roman"/>
          <w:bCs/>
          <w:lang w:bidi="es-ES"/>
        </w:rPr>
        <w:t xml:space="preserve">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w:t>
      </w:r>
      <w:r>
        <w:rPr>
          <w:rFonts w:ascii="Verdana" w:eastAsia="Calibri" w:hAnsi="Verdana" w:cs="Times New Roman"/>
          <w:bCs/>
          <w:lang w:bidi="es-ES"/>
        </w:rPr>
        <w:t xml:space="preserve">a, </w:t>
      </w:r>
      <w:r w:rsidRPr="009037F6">
        <w:rPr>
          <w:rFonts w:ascii="Verdana" w:eastAsia="Calibri" w:hAnsi="Verdana" w:cs="Times New Roman"/>
          <w:bCs/>
          <w:lang w:bidi="es-ES"/>
        </w:rPr>
        <w:t xml:space="preserve">responde su solicitud del 16 de julio de 2026, </w:t>
      </w:r>
      <w:proofErr w:type="spellStart"/>
      <w:r w:rsidRPr="009037F6">
        <w:rPr>
          <w:rFonts w:ascii="Verdana" w:eastAsia="Calibri" w:hAnsi="Verdana" w:cs="Times New Roman"/>
          <w:bCs/>
          <w:lang w:bidi="es-ES"/>
        </w:rPr>
        <w:t>reiteratoria</w:t>
      </w:r>
      <w:proofErr w:type="spellEnd"/>
      <w:r w:rsidRPr="009037F6">
        <w:rPr>
          <w:rFonts w:ascii="Verdana" w:eastAsia="Calibri" w:hAnsi="Verdana" w:cs="Times New Roman"/>
          <w:bCs/>
          <w:lang w:bidi="es-ES"/>
        </w:rPr>
        <w:t xml:space="preserve"> de la petición trasladada a esta Agencia por el Departamento </w:t>
      </w:r>
      <w:r w:rsidRPr="009037F6">
        <w:rPr>
          <w:rFonts w:ascii="Verdana" w:eastAsia="Calibri" w:hAnsi="Verdana" w:cs="Times New Roman"/>
          <w:bCs/>
          <w:lang w:bidi="es-ES"/>
        </w:rPr>
        <w:lastRenderedPageBreak/>
        <w:t>Administrativo de la Función Pública mediante comunicación con radicado No. 20262040131681 del 9 de abril de 2026, en la que formula los siguientes interrogantes:</w:t>
      </w:r>
    </w:p>
    <w:p w14:paraId="79C60B0C" w14:textId="77777777" w:rsidR="00A161C6" w:rsidRDefault="00A161C6" w:rsidP="00A161C6">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“1. ¿Pueden las entidades estatales, tales como alcaldías, gobernaciones u otras entidades públicas, suplir necesidades de personal mediante la contratación de Empresas de Servicios Temporales?</w:t>
      </w:r>
    </w:p>
    <w:p w14:paraId="3DA2B802" w14:textId="77777777" w:rsidR="00A161C6" w:rsidRDefault="00A161C6" w:rsidP="00A161C6">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2. En caso afirmativo, ¿cuáles son los límites, condiciones y requisitos específicos que deben cumplirse para que dicha contratación se ajuste a la normatividad vigente?”</w:t>
      </w:r>
    </w:p>
    <w:p w14:paraId="2679E6BE" w14:textId="77777777" w:rsidR="00A161C6" w:rsidRDefault="00A161C6" w:rsidP="00A161C6">
      <w:pPr>
        <w:tabs>
          <w:tab w:val="left" w:pos="709"/>
        </w:tabs>
        <w:spacing w:after="120" w:line="240" w:lineRule="auto"/>
        <w:ind w:left="709" w:right="709"/>
        <w:jc w:val="both"/>
        <w:rPr>
          <w:rFonts w:ascii="Verdana" w:hAnsi="Verdana" w:cs="Arial"/>
          <w:sz w:val="21"/>
          <w:szCs w:val="21"/>
          <w:lang w:val="es-ES" w:eastAsia="es-ES"/>
        </w:rPr>
      </w:pPr>
    </w:p>
    <w:p w14:paraId="2D95BB7A" w14:textId="77777777" w:rsidR="00A161C6" w:rsidRPr="009037F6" w:rsidRDefault="00A161C6" w:rsidP="00A161C6">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445F07D" w14:textId="77777777" w:rsidR="00A161C6" w:rsidRPr="009037F6" w:rsidRDefault="00A161C6" w:rsidP="00A161C6">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6A27DBF3" w14:textId="77777777" w:rsidR="00A161C6" w:rsidRPr="009037F6" w:rsidRDefault="00A161C6" w:rsidP="00A161C6">
      <w:pPr>
        <w:spacing w:after="0" w:line="276" w:lineRule="auto"/>
        <w:rPr>
          <w:rFonts w:ascii="Verdana" w:eastAsia="Calibri" w:hAnsi="Verdana" w:cs="Times New Roman"/>
          <w:lang w:val="es-ES"/>
        </w:rPr>
      </w:pPr>
    </w:p>
    <w:p w14:paraId="162DF2BD" w14:textId="77777777" w:rsidR="00A161C6" w:rsidRPr="009037F6" w:rsidRDefault="00A161C6" w:rsidP="00A161C6">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7BC600FE" w14:textId="77777777" w:rsidR="00A161C6" w:rsidRPr="009037F6" w:rsidRDefault="00A161C6" w:rsidP="00A161C6">
      <w:pPr>
        <w:spacing w:after="0" w:line="276" w:lineRule="auto"/>
        <w:rPr>
          <w:rFonts w:ascii="Verdana" w:eastAsia="Calibri" w:hAnsi="Verdana" w:cs="Times New Roman"/>
        </w:rPr>
      </w:pPr>
    </w:p>
    <w:p w14:paraId="76210349" w14:textId="77777777" w:rsidR="00A161C6" w:rsidRPr="00D1210B" w:rsidRDefault="00A161C6" w:rsidP="00A161C6">
      <w:pPr>
        <w:spacing w:after="0" w:line="276" w:lineRule="auto"/>
        <w:jc w:val="both"/>
        <w:rPr>
          <w:rFonts w:ascii="Verdana" w:eastAsia="Calibri" w:hAnsi="Verdana" w:cs="Times New Roman"/>
        </w:rPr>
      </w:pPr>
      <w:r w:rsidRPr="009037F6">
        <w:rPr>
          <w:rFonts w:ascii="Verdana" w:eastAsia="Calibri" w:hAnsi="Verdana" w:cs="Times New Roman"/>
        </w:rPr>
        <w:lastRenderedPageBreak/>
        <w:t xml:space="preserve">De acuerdo con el contenido de su solicitud, la Agencia procede a resolver los siguientes problemas jurídicos: i) ¿Qué margen de autonomía reconoce el Estatuto General de Contratación de la Administración Pública </w:t>
      </w:r>
      <w:r>
        <w:rPr>
          <w:rFonts w:ascii="Verdana" w:eastAsia="Calibri" w:hAnsi="Verdana" w:cs="Times New Roman"/>
        </w:rPr>
        <w:t xml:space="preserve">(EGCAP) </w:t>
      </w:r>
      <w:r w:rsidRPr="009037F6">
        <w:rPr>
          <w:rFonts w:ascii="Verdana" w:eastAsia="Calibri" w:hAnsi="Verdana" w:cs="Times New Roman"/>
        </w:rPr>
        <w:t xml:space="preserve">a las entidades estatales para definir la necesidad que pretenden satisfacer y para escoger el tipo contractual con el que la atienden, y cuáles son los límites de ese margen? </w:t>
      </w:r>
      <w:proofErr w:type="spellStart"/>
      <w:r w:rsidRPr="009037F6">
        <w:rPr>
          <w:rFonts w:ascii="Verdana" w:eastAsia="Calibri" w:hAnsi="Verdana" w:cs="Times New Roman"/>
        </w:rPr>
        <w:t>ii</w:t>
      </w:r>
      <w:proofErr w:type="spellEnd"/>
      <w:r w:rsidRPr="009037F6">
        <w:rPr>
          <w:rFonts w:ascii="Verdana" w:eastAsia="Calibri" w:hAnsi="Verdana" w:cs="Times New Roman"/>
        </w:rPr>
        <w:t>) ¿Tiene la Agencia Nacional de Contratación Pública – Colombia Compra Eficiente competencia para determinar los supuestos, límites, condiciones y requisitos bajo los cuales una entidad estatal puede contratar los servicios de una empresa de servicios temporales con el fin de suplir necesidades de personal?</w:t>
      </w:r>
    </w:p>
    <w:p w14:paraId="6B8800D3" w14:textId="77777777" w:rsidR="00A161C6" w:rsidRPr="00E27EDD" w:rsidRDefault="00A161C6" w:rsidP="00A161C6">
      <w:pPr>
        <w:spacing w:after="0" w:line="276" w:lineRule="auto"/>
        <w:jc w:val="both"/>
        <w:rPr>
          <w:rFonts w:ascii="Verdana" w:eastAsia="Calibri" w:hAnsi="Verdana" w:cs="Times New Roman"/>
          <w:i/>
          <w:iCs/>
        </w:rPr>
      </w:pPr>
    </w:p>
    <w:p w14:paraId="5B94A1DA" w14:textId="77777777" w:rsidR="00A161C6" w:rsidRPr="009037F6" w:rsidRDefault="00A161C6" w:rsidP="00A161C6">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70120421" w14:textId="77777777" w:rsidR="00A161C6" w:rsidRPr="009037F6" w:rsidRDefault="00A161C6" w:rsidP="00A161C6">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A161C6" w:rsidRPr="009037F6" w14:paraId="4BE2E05C" w14:textId="77777777" w:rsidTr="004B4C64">
        <w:trPr>
          <w:trHeight w:val="345"/>
          <w:jc w:val="center"/>
        </w:trPr>
        <w:tc>
          <w:tcPr>
            <w:tcW w:w="8784" w:type="dxa"/>
            <w:tcBorders>
              <w:bottom w:val="single" w:sz="4" w:space="0" w:color="auto"/>
            </w:tcBorders>
          </w:tcPr>
          <w:p w14:paraId="7E356151" w14:textId="77777777" w:rsidR="00A161C6" w:rsidRPr="004F3256" w:rsidRDefault="00A161C6" w:rsidP="004B4C64">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i) Las entidades estatales gozan de autonomía para identificar la necesidad que pretenden satisfacer, delimitar su alcance y escoger el negocio jurídico idóneo para atenderla. Esa autonomía se ejerce a través del análisis del sector y de los estudios y documentos previos, y se sustenta en los numerales 7 y 12 del artículo 25 de la Ley 80 de 1993 y en los artículos 2.2.1.1.1.6.1 y 2.2.1.1.2.1.1 del Decreto 1082 de 2015. El ordenamiento no define por la entidad cuál es su necesidad; le impone justificarla, estructurarla y tramitarla conforme a las reglas del sistema de compra pública</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60E35FE1" w14:textId="77777777" w:rsidR="00A161C6" w:rsidRPr="004F3256" w:rsidRDefault="00A161C6" w:rsidP="004B4C64">
            <w:pPr>
              <w:spacing w:after="120" w:line="276" w:lineRule="auto"/>
              <w:ind w:firstLine="588"/>
              <w:jc w:val="both"/>
              <w:rPr>
                <w:rFonts w:ascii="Verdana" w:hAnsi="Verdana" w:cs="Arial"/>
                <w:lang w:val="es-ES" w:eastAsia="es-ES"/>
              </w:rPr>
            </w:pPr>
            <w:r w:rsidRPr="004F3256">
              <w:rPr>
                <w:rFonts w:ascii="Verdana" w:eastAsia="Times New Roman" w:hAnsi="Verdana" w:cs="Arial"/>
                <w:color w:val="000000" w:themeColor="text1"/>
                <w:lang w:val="es-ES" w:eastAsia="es-ES"/>
              </w:rPr>
              <w:t>En ejercicio de esa autonomía, las entidades pueden acudir a los tipos contractuales nominados en el artículo 32 de la Ley 80 de 1993 –entre ellos el contrato de prestación de servicios de su numeral 3– y también a los contratos previstos en el derecho privado o en disposiciones especiales, así como a los derivados del ejercicio de la autonomía de la voluntad, según el inciso primero de la misma disposición y en concordancia con los artículos 13 y 40 de esa ley</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0DE21388" w14:textId="77777777" w:rsidR="00A161C6" w:rsidRPr="004F3256" w:rsidRDefault="00A161C6" w:rsidP="004B4C64">
            <w:pPr>
              <w:spacing w:after="120" w:line="276" w:lineRule="auto"/>
              <w:ind w:firstLine="588"/>
              <w:jc w:val="both"/>
              <w:rPr>
                <w:rFonts w:ascii="Verdana" w:hAnsi="Verdana" w:cs="Arial"/>
                <w:lang w:val="es-ES" w:eastAsia="es-ES"/>
              </w:rPr>
            </w:pPr>
            <w:r w:rsidRPr="004F3256">
              <w:rPr>
                <w:rFonts w:ascii="Verdana" w:eastAsia="Times New Roman" w:hAnsi="Verdana" w:cs="Arial"/>
                <w:color w:val="000000" w:themeColor="text1"/>
                <w:lang w:val="es-ES" w:eastAsia="es-ES"/>
              </w:rPr>
              <w:lastRenderedPageBreak/>
              <w:t xml:space="preserve"> Esa autonomía no es ilimitada. Opera dentro del ordenamiento jurídico y está sujeta a los principios de legalidad y de función administrativa, de suerte que las entidades solo pueden ejercer las competencias que la Constitución y la ley les asignan y deben orientar su actividad contractual al cumplimiento de los fines estatales. Además, el propio numeral 3 del artículo 32 de la Ley 80 de 1993 fija un límite intrínseco cuando dispone que los contratos de prestación de servicios “en ningún caso […] generan relación laboral ni prestaciones sociales” y que se celebran por el término estrictamente indispensable</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35140540" w14:textId="77777777" w:rsidR="00A161C6" w:rsidRPr="004F3256" w:rsidRDefault="00A161C6" w:rsidP="004B4C64">
            <w:pPr>
              <w:spacing w:after="120" w:line="276" w:lineRule="auto"/>
              <w:ind w:firstLine="588"/>
              <w:jc w:val="both"/>
              <w:rPr>
                <w:rFonts w:ascii="Verdana" w:hAnsi="Verdana" w:cs="Arial"/>
                <w:lang w:val="es-ES" w:eastAsia="es-ES"/>
              </w:rPr>
            </w:pPr>
            <w:r w:rsidRPr="004F3256">
              <w:rPr>
                <w:rFonts w:ascii="Verdana" w:eastAsia="Times New Roman" w:hAnsi="Verdana" w:cs="Arial"/>
                <w:color w:val="000000" w:themeColor="text1"/>
                <w:lang w:val="es-ES" w:eastAsia="es-ES"/>
              </w:rPr>
              <w:t>Junto a esos límites internos del Estatuto General de Contratación de la Administración Pública operan límites externos que provienen de otros regímenes: de una parte, las normas que rigen la función pública, en particular las relativas a la estructura de las plantas de personal y a la provisión de empleos, incluidos los de carácter temporal; de otra, las normas que rigen las relaciones laborales, entre ellas las que regulan la actividad de las empresas de servicios temporales y la intermediación laboral. La entidad estatal debe observar unas y otras al definir el instrumento con el que atenderá una necesidad de personal</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5C1A2E9B" w14:textId="77777777" w:rsidR="00A161C6" w:rsidRPr="004F3256" w:rsidRDefault="00A161C6" w:rsidP="004B4C64">
            <w:pPr>
              <w:spacing w:after="120" w:line="276" w:lineRule="auto"/>
              <w:ind w:firstLine="588"/>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En consecuencia, esta Agencia se abstiene de pronunciarse sobre los supuestos, límites, condiciones y requisitos bajo los cuales una entidad estatal, en calidad de usuaria, podría contratar los servicios de una empresa de servicios temporales. Definir esos supuestos exige interpretar normas sustantivas del trabajo –señaladamente el artículo 77 de la Ley 50 de 1990 y sus disposiciones reglamentarias–, que no forman parte del sistema de compras y contratación pública. Esa competencia corresponde al Ministerio del Trabajo, autoridad a la que la ley asigna el control, la vigilancia y la potestad sancionatoria sobre la actividad de las empresas de servicios </w:t>
            </w:r>
            <w:r w:rsidRPr="004F3256">
              <w:rPr>
                <w:rFonts w:ascii="Verdana" w:eastAsia="Times New Roman" w:hAnsi="Verdana" w:cs="Arial"/>
                <w:color w:val="000000" w:themeColor="text1"/>
                <w:lang w:val="es-ES" w:eastAsia="es-ES"/>
              </w:rPr>
              <w:lastRenderedPageBreak/>
              <w:t>temporales, incluso frente a la empresa usuaria que contrate por fuera de los casos legalmente previstos</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737ADFA6" w14:textId="77777777" w:rsidR="00A161C6" w:rsidRPr="004F3256" w:rsidRDefault="00A161C6" w:rsidP="004B4C64">
            <w:pPr>
              <w:spacing w:after="120" w:line="276" w:lineRule="auto"/>
              <w:ind w:firstLine="588"/>
              <w:jc w:val="both"/>
              <w:rPr>
                <w:rFonts w:ascii="Verdana" w:hAnsi="Verdana" w:cs="Arial"/>
                <w:lang w:val="es-ES" w:eastAsia="es-ES"/>
              </w:rPr>
            </w:pPr>
            <w:r w:rsidRPr="004F3256">
              <w:rPr>
                <w:rFonts w:ascii="Verdana" w:eastAsia="Times New Roman" w:hAnsi="Verdana" w:cs="Arial"/>
                <w:color w:val="000000" w:themeColor="text1"/>
                <w:lang w:val="es-ES" w:eastAsia="es-ES"/>
              </w:rPr>
              <w:t>Con propósito exclusivamente orientador, y sin determinar los supuestos en que una entidad estatal podría o no contratar con empresas de servicios temporales o con intermediarios de personal, en las razones de esta respuesta se relacionan las normas vigentes que regulan la materia en el ámbito de las relaciones laborales. Se advierte, en particular, que el Decreto 583 de 2016 fue anulado por el Consejo de Estado y que, por lo tanto, no puede invocarse como fundamento normativo</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tc>
      </w:tr>
    </w:tbl>
    <w:p w14:paraId="59C60967" w14:textId="77777777" w:rsidR="00A161C6" w:rsidRPr="00B57A1B" w:rsidRDefault="00A161C6" w:rsidP="00A161C6">
      <w:pPr>
        <w:spacing w:after="0" w:line="276" w:lineRule="auto"/>
        <w:jc w:val="both"/>
        <w:rPr>
          <w:rFonts w:ascii="Verdana" w:eastAsia="Calibri" w:hAnsi="Verdana" w:cs="Arial"/>
          <w:bCs/>
          <w:color w:val="000000" w:themeColor="text1"/>
        </w:rPr>
      </w:pPr>
      <w:bookmarkStart w:id="0" w:name="_Hlk37703813"/>
    </w:p>
    <w:p w14:paraId="1D63A869" w14:textId="77777777" w:rsidR="00A161C6" w:rsidRPr="00B57A1B" w:rsidRDefault="00A161C6" w:rsidP="00A161C6">
      <w:pPr>
        <w:numPr>
          <w:ilvl w:val="0"/>
          <w:numId w:val="2"/>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13407E84" w14:textId="77777777" w:rsidR="00A161C6" w:rsidRPr="003C0ED7" w:rsidRDefault="00A161C6" w:rsidP="00A161C6">
      <w:pPr>
        <w:spacing w:after="0" w:line="276" w:lineRule="auto"/>
        <w:jc w:val="both"/>
        <w:rPr>
          <w:rFonts w:ascii="Verdana" w:eastAsia="Calibri" w:hAnsi="Verdana" w:cs="Arial"/>
          <w:lang w:val="es-ES"/>
        </w:rPr>
      </w:pPr>
    </w:p>
    <w:p w14:paraId="2C425489" w14:textId="77777777" w:rsidR="00A161C6" w:rsidRPr="00A0389A" w:rsidRDefault="00A161C6" w:rsidP="00A161C6">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07B1E9A9" w14:textId="77777777" w:rsidR="00A161C6" w:rsidRDefault="00A161C6" w:rsidP="00A161C6">
      <w:pPr>
        <w:spacing w:after="0" w:line="240" w:lineRule="auto"/>
        <w:jc w:val="both"/>
        <w:rPr>
          <w:rFonts w:ascii="Verdana" w:hAnsi="Verdana" w:cs="Arial"/>
          <w:b/>
          <w:bCs/>
          <w:color w:val="000000"/>
          <w:lang w:val="es-ES"/>
        </w:rPr>
      </w:pPr>
    </w:p>
    <w:p w14:paraId="4F5D9C5C" w14:textId="77777777" w:rsidR="00A161C6" w:rsidRDefault="00A161C6" w:rsidP="00A161C6">
      <w:pPr>
        <w:spacing w:after="0" w:line="240" w:lineRule="auto"/>
        <w:jc w:val="both"/>
        <w:rPr>
          <w:rFonts w:ascii="Verdana" w:hAnsi="Verdana" w:cs="Arial"/>
          <w:b/>
          <w:bCs/>
          <w:color w:val="000000"/>
          <w:lang w:val="es-ES"/>
        </w:rPr>
      </w:pPr>
    </w:p>
    <w:p w14:paraId="55445674" w14:textId="77777777" w:rsidR="00A161C6" w:rsidRPr="00A0389A" w:rsidRDefault="00A161C6" w:rsidP="00A161C6">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La Agencia Nacional de Contratación Pública – Colombia Compra Eficiente es la entidad rectora del sistema de compra pública y, en tal calidad, absuelve consultas sobre la aplicación de las normas de carácter general en materia de compras y contratación pública. Esa función se desprende del numeral 5 del artículo 3 del Decreto Ley 4170 de 2011, que le asigna la atribución de absolver consultas sobre la aplicación de normas de carácter general, y del numeral 8 del artículo 11 del mismo decreto, que radica dicha función en la Subdirección de Gestión Contractual, en concordancia con el artículo 4 de la Resolución 1707 de 2018</w:t>
      </w:r>
      <w:r>
        <w:rPr>
          <w:rStyle w:val="Refdenotaalpie"/>
          <w:rFonts w:ascii="Verdana" w:hAnsi="Verdana"/>
          <w:sz w:val="20"/>
        </w:rPr>
        <w:footnoteReference w:id="7"/>
      </w:r>
      <w:r>
        <w:rPr>
          <w:rFonts w:ascii="Verdana" w:hAnsi="Verdana" w:cs="Arial"/>
          <w:bCs/>
          <w:szCs w:val="24"/>
          <w:lang w:val="es-ES_tradnl" w:eastAsia="es-ES_tradnl"/>
        </w:rPr>
        <w:t>.</w:t>
      </w:r>
    </w:p>
    <w:p w14:paraId="39B58299" w14:textId="77777777" w:rsidR="00A161C6" w:rsidRDefault="00A161C6" w:rsidP="00A161C6">
      <w:pPr>
        <w:spacing w:after="0" w:line="240" w:lineRule="auto"/>
        <w:jc w:val="both"/>
        <w:rPr>
          <w:rFonts w:ascii="Verdana" w:hAnsi="Verdana" w:cs="Arial"/>
          <w:b/>
          <w:bCs/>
          <w:color w:val="000000"/>
          <w:lang w:val="es-ES"/>
        </w:rPr>
      </w:pPr>
    </w:p>
    <w:p w14:paraId="035FF4FD"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 competencia tiene un objeto y un límite precisos. El objeto es la interpretación en abstracto de las normas del sistema de compras y contratación pública. El límite es doble: de un lado, la Agencia no resuelve casos particulares ni valida las actuaciones de las entidades estatales o de los demás partícipes del sistema; de otro, no se pronuncia sobre normas que no pertenecen a ese sistema, aunque incidan en la actividad contractual del Estado. El concepto que se emite no compromete la responsabilidad de la entidad ni es de obligatorio cumplimiento, en los términos del artículo 28 del Código de Procedimiento Administrativo y de lo Contencioso Administrativo</w:t>
      </w:r>
      <w:r>
        <w:rPr>
          <w:rStyle w:val="Refdenotaalpie"/>
          <w:rFonts w:ascii="Verdana" w:hAnsi="Verdana"/>
          <w:sz w:val="20"/>
        </w:rPr>
        <w:footnoteReference w:id="8"/>
      </w:r>
      <w:r>
        <w:rPr>
          <w:rFonts w:ascii="Verdana" w:hAnsi="Verdana" w:cs="Arial"/>
          <w:bCs/>
          <w:szCs w:val="24"/>
          <w:lang w:val="es-ES_tradnl" w:eastAsia="es-ES_tradnl"/>
        </w:rPr>
        <w:t>.</w:t>
      </w:r>
    </w:p>
    <w:p w14:paraId="13463361" w14:textId="77777777" w:rsidR="00A161C6" w:rsidRDefault="00A161C6" w:rsidP="00A161C6">
      <w:pPr>
        <w:spacing w:after="0" w:line="240" w:lineRule="auto"/>
        <w:jc w:val="both"/>
        <w:rPr>
          <w:rFonts w:ascii="Verdana" w:hAnsi="Verdana" w:cs="Arial"/>
          <w:b/>
          <w:bCs/>
          <w:color w:val="000000"/>
          <w:lang w:val="es-ES"/>
        </w:rPr>
      </w:pPr>
    </w:p>
    <w:p w14:paraId="072DBCD3"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segundo de esos límites es el que resulta determinante en el presente asunto. La consulta se estructura sobre dos interrogantes que, aunque formulados de manera unitaria, pertenecen a órdenes normativos distintos. El primero –si una entidad estatal puede acudir a un contrato para atender una necesidad de personal– admite una respuesta desde el Estatuto General de Contratación de la Administración Pública. El segundo –en qué supuestos, con qué límites y bajo qué requisitos puede hacerlo específicamente a través de una empresa de servicios temporales– no se resuelve con normas de contratación pública, sino con normas sustantivas del trabajo. La respuesta se construye, por tanto, deslindando ambos planos.</w:t>
      </w:r>
    </w:p>
    <w:p w14:paraId="00B1A10E" w14:textId="77777777" w:rsidR="00A161C6" w:rsidRDefault="00A161C6" w:rsidP="00A161C6">
      <w:pPr>
        <w:spacing w:after="0" w:line="276" w:lineRule="auto"/>
        <w:jc w:val="both"/>
        <w:rPr>
          <w:rFonts w:ascii="Verdana" w:hAnsi="Verdana" w:cs="Arial"/>
          <w:b/>
          <w:bCs/>
          <w:color w:val="000000"/>
          <w:lang w:val="es-ES"/>
        </w:rPr>
      </w:pPr>
    </w:p>
    <w:p w14:paraId="397C449E" w14:textId="77777777" w:rsidR="00A161C6" w:rsidRPr="00426C95" w:rsidRDefault="00A161C6" w:rsidP="00A161C6">
      <w:pPr>
        <w:spacing w:after="0" w:line="276" w:lineRule="auto"/>
        <w:jc w:val="both"/>
        <w:rPr>
          <w:rFonts w:ascii="Verdana" w:hAnsi="Verdana" w:cs="Arial"/>
          <w:b/>
          <w:bCs/>
          <w:color w:val="000000"/>
          <w:lang w:val="es-ES"/>
        </w:rPr>
      </w:pPr>
      <w:proofErr w:type="spellStart"/>
      <w:r w:rsidRPr="00426C95">
        <w:rPr>
          <w:rFonts w:ascii="Verdana" w:hAnsi="Verdana" w:cs="Arial"/>
          <w:szCs w:val="24"/>
          <w:lang w:val="es-ES_tradnl" w:eastAsia="es-ES_tradnl"/>
        </w:rPr>
        <w:t>ii</w:t>
      </w:r>
      <w:proofErr w:type="spellEnd"/>
      <w:r w:rsidRPr="00426C95">
        <w:rPr>
          <w:rFonts w:ascii="Verdana" w:hAnsi="Verdana" w:cs="Arial"/>
          <w:szCs w:val="24"/>
          <w:lang w:val="es-ES_tradnl" w:eastAsia="es-ES_tradnl"/>
        </w:rPr>
        <w:t>)</w:t>
      </w:r>
      <w:r>
        <w:rPr>
          <w:rFonts w:ascii="Verdana" w:hAnsi="Verdana" w:cs="Arial"/>
          <w:b/>
          <w:bCs/>
          <w:color w:val="000000"/>
          <w:lang w:val="es-ES"/>
        </w:rPr>
        <w:t xml:space="preserve"> </w:t>
      </w:r>
      <w:r>
        <w:rPr>
          <w:rFonts w:ascii="Verdana" w:hAnsi="Verdana" w:cs="Arial"/>
          <w:bCs/>
          <w:szCs w:val="24"/>
          <w:lang w:val="es-ES_tradnl" w:eastAsia="es-ES_tradnl"/>
        </w:rPr>
        <w:t>El punto de partida es que el ordenamiento no le indica a la entidad estatal cuál debe ser su necesidad. La identificación de la necesidad, la delimitación de su alcance y la escogencia del negocio jurídico idóneo para atenderla constituyen decisiones que corresponden a la propia entidad, en ejercicio de la autonomía de la voluntad reconocida a las entidades públicas en materia contractual y en desarrollo de las funciones que le asigna la norma que la crea y organiza. Lo que el ordenamiento sí impone es el modo en que esa decisión debe adoptarse, justificarse y documentarse</w:t>
      </w:r>
      <w:r>
        <w:rPr>
          <w:rStyle w:val="Refdenotaalpie"/>
          <w:rFonts w:ascii="Verdana" w:hAnsi="Verdana"/>
          <w:sz w:val="20"/>
        </w:rPr>
        <w:footnoteReference w:id="9"/>
      </w:r>
      <w:r>
        <w:rPr>
          <w:rFonts w:ascii="Verdana" w:hAnsi="Verdana" w:cs="Arial"/>
          <w:bCs/>
          <w:szCs w:val="24"/>
          <w:lang w:val="es-ES_tradnl" w:eastAsia="es-ES_tradnl"/>
        </w:rPr>
        <w:t>.</w:t>
      </w:r>
    </w:p>
    <w:p w14:paraId="6F613385" w14:textId="77777777" w:rsidR="00A161C6" w:rsidRDefault="00A161C6" w:rsidP="00A161C6">
      <w:pPr>
        <w:spacing w:after="0" w:line="240" w:lineRule="auto"/>
        <w:jc w:val="both"/>
        <w:rPr>
          <w:rFonts w:ascii="Verdana" w:hAnsi="Verdana" w:cs="Arial"/>
          <w:b/>
          <w:bCs/>
          <w:color w:val="000000"/>
          <w:lang w:val="es-ES"/>
        </w:rPr>
      </w:pPr>
    </w:p>
    <w:p w14:paraId="7F025D9D"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El deber de planeación es el vehículo de esa exigencia. El numeral 7 del artículo 25 de la Ley 80 de 1993 dispone que la conveniencia o inconveniencia del objeto a contratar y las autorizaciones y aprobaciones para ello se analizarán o impartirán con antelación al inicio del proceso de selección; y el numeral 12 de la misma disposición –modificado por el artículo 87 de la Ley 1474 de 2011– exige que, previamente a la apertura del proceso de selección o a la firma del contrato, la entidad elabore los estudios, diseños y proyectos requeridos, así como el pliego de condiciones</w:t>
      </w:r>
      <w:r>
        <w:rPr>
          <w:rStyle w:val="Refdenotaalpie"/>
          <w:rFonts w:ascii="Verdana" w:hAnsi="Verdana"/>
          <w:sz w:val="20"/>
        </w:rPr>
        <w:footnoteReference w:id="10"/>
      </w:r>
      <w:r>
        <w:rPr>
          <w:rFonts w:ascii="Verdana" w:hAnsi="Verdana" w:cs="Arial"/>
          <w:bCs/>
          <w:szCs w:val="24"/>
          <w:lang w:val="es-ES_tradnl" w:eastAsia="es-ES_tradnl"/>
        </w:rPr>
        <w:t>.</w:t>
      </w:r>
    </w:p>
    <w:p w14:paraId="18CE4A3F" w14:textId="77777777" w:rsidR="00A161C6" w:rsidRDefault="00A161C6" w:rsidP="00A161C6">
      <w:pPr>
        <w:spacing w:after="0" w:line="240" w:lineRule="auto"/>
        <w:jc w:val="both"/>
        <w:rPr>
          <w:rFonts w:ascii="Verdana" w:hAnsi="Verdana" w:cs="Arial"/>
          <w:b/>
          <w:bCs/>
          <w:color w:val="000000"/>
          <w:lang w:val="es-ES"/>
        </w:rPr>
      </w:pPr>
    </w:p>
    <w:p w14:paraId="3D031041"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el plano reglamentario, el artículo 2.2.1.1.2.1.1 del Decreto 1082 de 2015 concreta el contenido de los estudios y documentos previos, cuyo primer elemento es precisamente “la descripción de la necesidad que la Entidad Estatal pretende satisfacer con el Proceso de Contratación”, seguida del objeto a contratar, la modalidad de selección y su justificación, el valor estimado y su soporte, los criterios de selección, el análisis del riesgo y las garantías. A su turno, el artículo 2.2.1.1.1.6.1 impone a la entidad el deber de analizar el sector relativo al objeto del Proceso de Contratación desde la perspectiva legal, comercial, financiera, organizacional, técnica y de análisis de riesgo</w:t>
      </w:r>
      <w:r>
        <w:rPr>
          <w:rStyle w:val="Refdenotaalpie"/>
          <w:rFonts w:ascii="Verdana" w:hAnsi="Verdana"/>
          <w:sz w:val="20"/>
        </w:rPr>
        <w:footnoteReference w:id="11"/>
      </w:r>
      <w:r>
        <w:rPr>
          <w:rFonts w:ascii="Verdana" w:hAnsi="Verdana" w:cs="Arial"/>
          <w:bCs/>
          <w:szCs w:val="24"/>
          <w:lang w:val="es-ES_tradnl" w:eastAsia="es-ES_tradnl"/>
        </w:rPr>
        <w:t>.</w:t>
      </w:r>
    </w:p>
    <w:p w14:paraId="39935E63" w14:textId="77777777" w:rsidR="00A161C6" w:rsidRDefault="00A161C6" w:rsidP="00A161C6">
      <w:pPr>
        <w:spacing w:after="0" w:line="240" w:lineRule="auto"/>
        <w:jc w:val="both"/>
        <w:rPr>
          <w:rFonts w:ascii="Verdana" w:hAnsi="Verdana" w:cs="Arial"/>
          <w:b/>
          <w:bCs/>
          <w:color w:val="000000"/>
          <w:lang w:val="es-ES"/>
        </w:rPr>
      </w:pPr>
    </w:p>
    <w:p w14:paraId="6598CE75"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esas disposiciones se desprende una conclusión que interesa al caso: la definición de la necesidad es una decisión de la entidad, no de esta Agencia ni de un tercero. Corresponde a la entidad establecer si requiere un bien, una obra o un servicio; si ese servicio puede prestarse con su personal de planta o exige acudir al mercado; y qué tipo contractual resulta idóneo. Lo que la Agencia puede hacer –y hace en este concepto– es exponer en abstracto el marco jurídico dentro del cual esa decisión debe adoptarse</w:t>
      </w:r>
      <w:r>
        <w:rPr>
          <w:rStyle w:val="Refdenotaalpie"/>
          <w:rFonts w:ascii="Verdana" w:hAnsi="Verdana"/>
          <w:sz w:val="20"/>
        </w:rPr>
        <w:footnoteReference w:id="12"/>
      </w:r>
      <w:r>
        <w:rPr>
          <w:rFonts w:ascii="Verdana" w:hAnsi="Verdana" w:cs="Arial"/>
          <w:bCs/>
          <w:szCs w:val="24"/>
          <w:lang w:val="es-ES_tradnl" w:eastAsia="es-ES_tradnl"/>
        </w:rPr>
        <w:t>.</w:t>
      </w:r>
    </w:p>
    <w:p w14:paraId="32355E2F" w14:textId="77777777" w:rsidR="00A161C6" w:rsidRDefault="00A161C6" w:rsidP="00A161C6">
      <w:pPr>
        <w:spacing w:after="0" w:line="240" w:lineRule="auto"/>
        <w:jc w:val="both"/>
        <w:rPr>
          <w:rFonts w:ascii="Verdana" w:hAnsi="Verdana" w:cs="Arial"/>
          <w:b/>
          <w:bCs/>
          <w:color w:val="000000"/>
          <w:lang w:val="es-ES"/>
        </w:rPr>
      </w:pPr>
    </w:p>
    <w:p w14:paraId="446AF855"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Ahora bien, autonomía no equivale a discrecionalidad ilimitada. Las entidades estatales solo pueden ejercer las competencias que la Constitución y </w:t>
      </w:r>
      <w:r>
        <w:rPr>
          <w:rFonts w:ascii="Verdana" w:hAnsi="Verdana" w:cs="Arial"/>
          <w:bCs/>
          <w:szCs w:val="24"/>
          <w:lang w:val="es-ES_tradnl" w:eastAsia="es-ES_tradnl"/>
        </w:rPr>
        <w:lastRenderedPageBreak/>
        <w:t>la ley les atribuyen, sus servidores son responsables por infringir la Constitución y las leyes y por omisión o extralimitación en el ejercicio de sus funciones, y la función administrativa está al servicio del interés general y se desarrolla con fundamento en los principios de igualdad, moralidad, eficacia, economía, celeridad, imparcialidad y publicidad. En el plano legal, el artículo 3 de la Ley 80 de 1993 vincula la actividad contractual al cumplimiento de los fines estatales, el artículo 23 la somete a los principios de transparencia, economía y responsabilidad y a los postulados que rigen la función administrativa, y el artículo 26 desarrolla el principio de responsabilidad</w:t>
      </w:r>
      <w:r>
        <w:rPr>
          <w:rStyle w:val="Refdenotaalpie"/>
          <w:rFonts w:ascii="Verdana" w:hAnsi="Verdana"/>
          <w:sz w:val="20"/>
        </w:rPr>
        <w:footnoteReference w:id="13"/>
      </w:r>
      <w:r>
        <w:rPr>
          <w:rFonts w:ascii="Verdana" w:hAnsi="Verdana" w:cs="Arial"/>
          <w:bCs/>
          <w:szCs w:val="24"/>
          <w:lang w:val="es-ES_tradnl" w:eastAsia="es-ES_tradnl"/>
        </w:rPr>
        <w:t>.</w:t>
      </w:r>
    </w:p>
    <w:p w14:paraId="56C5A4C0" w14:textId="77777777" w:rsidR="00A161C6" w:rsidRDefault="00A161C6" w:rsidP="00A161C6">
      <w:pPr>
        <w:spacing w:after="0" w:line="240" w:lineRule="auto"/>
        <w:jc w:val="both"/>
        <w:rPr>
          <w:rFonts w:ascii="Verdana" w:hAnsi="Verdana" w:cs="Arial"/>
          <w:b/>
          <w:bCs/>
          <w:color w:val="000000"/>
          <w:lang w:val="es-ES"/>
        </w:rPr>
      </w:pPr>
    </w:p>
    <w:p w14:paraId="774E4BB6" w14:textId="77777777" w:rsidR="00A161C6" w:rsidRPr="00A0389A" w:rsidRDefault="00A161C6" w:rsidP="00A161C6">
      <w:pPr>
        <w:spacing w:after="0" w:line="276" w:lineRule="auto"/>
        <w:jc w:val="both"/>
        <w:rPr>
          <w:rFonts w:ascii="Verdana" w:hAnsi="Verdana" w:cs="Arial"/>
          <w:bCs/>
          <w:szCs w:val="24"/>
          <w:lang w:val="es-ES_tradnl" w:eastAsia="es-ES_tradnl"/>
        </w:rPr>
      </w:pPr>
      <w:proofErr w:type="spellStart"/>
      <w:r w:rsidRPr="00426C95">
        <w:rPr>
          <w:rFonts w:ascii="Verdana" w:hAnsi="Verdana" w:cs="Arial"/>
          <w:szCs w:val="24"/>
          <w:lang w:val="es-ES_tradnl" w:eastAsia="es-ES_tradnl"/>
        </w:rPr>
        <w:t>iii</w:t>
      </w:r>
      <w:proofErr w:type="spellEnd"/>
      <w:r w:rsidRPr="00426C95">
        <w:rPr>
          <w:rFonts w:ascii="Verdana" w:hAnsi="Verdana" w:cs="Arial"/>
          <w:szCs w:val="24"/>
          <w:lang w:val="es-ES_tradnl" w:eastAsia="es-ES_tradnl"/>
        </w:rPr>
        <w:t>)</w:t>
      </w:r>
      <w:r>
        <w:rPr>
          <w:rFonts w:ascii="Verdana" w:hAnsi="Verdana" w:cs="Arial"/>
          <w:bCs/>
          <w:szCs w:val="24"/>
          <w:lang w:val="es-ES_tradnl" w:eastAsia="es-ES_tradnl"/>
        </w:rPr>
        <w:t xml:space="preserve"> Delimitada la necesidad, la entidad escoge el tipo contractual. El inciso primero del artículo 32 de la Ley 80 de 1993 adopta una definición amplia del contrato estatal al señalar que son 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La enumeración de los numerales 1 a 5 es, por consiguiente, enunciativa y no taxativa</w:t>
      </w:r>
      <w:r>
        <w:rPr>
          <w:rStyle w:val="Refdenotaalpie"/>
          <w:rFonts w:ascii="Verdana" w:hAnsi="Verdana"/>
          <w:sz w:val="20"/>
        </w:rPr>
        <w:footnoteReference w:id="14"/>
      </w:r>
      <w:r>
        <w:rPr>
          <w:rFonts w:ascii="Verdana" w:hAnsi="Verdana" w:cs="Arial"/>
          <w:bCs/>
          <w:szCs w:val="24"/>
          <w:lang w:val="es-ES_tradnl" w:eastAsia="es-ES_tradnl"/>
        </w:rPr>
        <w:t>.</w:t>
      </w:r>
    </w:p>
    <w:p w14:paraId="11BB8FE3" w14:textId="77777777" w:rsidR="00A161C6" w:rsidRDefault="00A161C6" w:rsidP="00A161C6">
      <w:pPr>
        <w:spacing w:after="0" w:line="240" w:lineRule="auto"/>
        <w:jc w:val="both"/>
        <w:rPr>
          <w:rFonts w:ascii="Verdana" w:hAnsi="Verdana" w:cs="Arial"/>
          <w:b/>
          <w:bCs/>
          <w:color w:val="000000"/>
          <w:lang w:val="es-ES"/>
        </w:rPr>
      </w:pPr>
    </w:p>
    <w:p w14:paraId="638BBA39"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Esa apertura se refuerza con el artículo 13 de la Ley 80 de 1993, según el cual los contratos estatales se rigen por las disposiciones comerciales y civiles pertinentes, salvo en las materias particularmente reguladas en el estatuto, y con el artículo 40, conforme al cual las estipulaciones de los contratos serán las que, de acuerdo con las normas civiles y comerciales y las previstas en la ley, correspondan a su esencia y naturaleza, pudiendo las entidades incluir las modalidades, condiciones y cláusulas que consideren necesarias siempre que no sean contrarias a la Constitución, la ley, el orden público y los principios y finalidades de la ley y a los de la buena administración</w:t>
      </w:r>
      <w:r>
        <w:rPr>
          <w:rStyle w:val="Refdenotaalpie"/>
          <w:rFonts w:ascii="Verdana" w:hAnsi="Verdana"/>
          <w:sz w:val="20"/>
        </w:rPr>
        <w:footnoteReference w:id="15"/>
      </w:r>
      <w:r>
        <w:rPr>
          <w:rFonts w:ascii="Verdana" w:hAnsi="Verdana" w:cs="Arial"/>
          <w:bCs/>
          <w:szCs w:val="24"/>
          <w:lang w:val="es-ES_tradnl" w:eastAsia="es-ES_tradnl"/>
        </w:rPr>
        <w:t>.</w:t>
      </w:r>
    </w:p>
    <w:p w14:paraId="027416D8" w14:textId="77777777" w:rsidR="00A161C6" w:rsidRDefault="00A161C6" w:rsidP="00A161C6">
      <w:pPr>
        <w:spacing w:after="0" w:line="240" w:lineRule="auto"/>
        <w:jc w:val="both"/>
        <w:rPr>
          <w:rFonts w:ascii="Verdana" w:hAnsi="Verdana" w:cs="Arial"/>
          <w:b/>
          <w:bCs/>
          <w:color w:val="000000"/>
          <w:lang w:val="es-ES"/>
        </w:rPr>
      </w:pPr>
    </w:p>
    <w:p w14:paraId="3A9D12CB"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Dentro de esa tipología, el numeral 3 del artículo 32 regula el contrato de prestación de servicios en los siguientes términos:</w:t>
      </w:r>
    </w:p>
    <w:p w14:paraId="36E6C3AD" w14:textId="77777777" w:rsidR="00A161C6" w:rsidRDefault="00A161C6" w:rsidP="00A161C6">
      <w:pPr>
        <w:spacing w:after="0" w:line="240" w:lineRule="auto"/>
        <w:jc w:val="both"/>
        <w:rPr>
          <w:rFonts w:ascii="Verdana" w:hAnsi="Verdana" w:cs="Arial"/>
          <w:b/>
          <w:bCs/>
          <w:color w:val="000000"/>
          <w:lang w:val="es-ES"/>
        </w:rPr>
      </w:pPr>
    </w:p>
    <w:p w14:paraId="4DED8ABB" w14:textId="77777777" w:rsidR="00A161C6" w:rsidRPr="00A0389A" w:rsidRDefault="00A161C6" w:rsidP="00A161C6">
      <w:pPr>
        <w:tabs>
          <w:tab w:val="left" w:pos="709"/>
        </w:tabs>
        <w:spacing w:after="120" w:line="240" w:lineRule="auto"/>
        <w:ind w:left="709" w:right="709"/>
        <w:jc w:val="both"/>
        <w:rPr>
          <w:rFonts w:ascii="Verdana" w:hAnsi="Verdana" w:cs="Arial"/>
          <w:sz w:val="21"/>
          <w:szCs w:val="21"/>
          <w:lang w:val="es-ES" w:eastAsia="es-ES"/>
        </w:rPr>
      </w:pPr>
      <w:r w:rsidRPr="00A0389A">
        <w:rPr>
          <w:rFonts w:ascii="Verdana" w:hAnsi="Verdana" w:cs="Arial"/>
          <w:sz w:val="21"/>
          <w:szCs w:val="21"/>
          <w:lang w:val="es-ES" w:eastAsia="es-ES"/>
        </w:rPr>
        <w:lastRenderedPageBreak/>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0389A">
        <w:rPr>
          <w:rStyle w:val="Refdenotaalpie"/>
          <w:rFonts w:ascii="Verdana" w:hAnsi="Verdana"/>
          <w:sz w:val="20"/>
        </w:rPr>
        <w:footnoteReference w:id="16"/>
      </w:r>
      <w:r w:rsidRPr="00A0389A">
        <w:rPr>
          <w:rFonts w:ascii="Verdana" w:hAnsi="Verdana" w:cs="Arial"/>
          <w:sz w:val="21"/>
          <w:szCs w:val="21"/>
          <w:lang w:val="es-ES" w:eastAsia="es-ES"/>
        </w:rPr>
        <w:t>.</w:t>
      </w:r>
    </w:p>
    <w:p w14:paraId="2CEFFB55" w14:textId="77777777" w:rsidR="00A161C6" w:rsidRDefault="00A161C6" w:rsidP="00A161C6">
      <w:pPr>
        <w:spacing w:after="0" w:line="240" w:lineRule="auto"/>
        <w:jc w:val="both"/>
        <w:rPr>
          <w:rFonts w:ascii="Verdana" w:hAnsi="Verdana" w:cs="Arial"/>
          <w:b/>
          <w:bCs/>
          <w:color w:val="000000"/>
          <w:lang w:val="es-ES"/>
        </w:rPr>
      </w:pPr>
    </w:p>
    <w:p w14:paraId="0D89A5BA"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 Subdirección ha sistematizado las características de esa tipología: solo puede celebrarse para actividades relacionadas con la administración o el funcionamiento de la entidad, es decir, de su giro ordinario; admite celebrarse tanto con personas naturales como con personas jurídicas, si bien tratándose de personas naturales la entidad debe justificar en los estudios previos que las actividades no pueden realizarse con personal de planta o requieren conocimientos especializados; exige que el contratista conserve autonomía e independencia en la ejecución, de modo que no puede existir subordinación ni dependencia; debe ser temporal; constituye un género que comprende los contratos de prestación de servicios profesionales, los de apoyo a la gestión y los artísticos; y se celebra por contratación directa, con independencia de la cuantía</w:t>
      </w:r>
      <w:r>
        <w:rPr>
          <w:rStyle w:val="Refdenotaalpie"/>
          <w:rFonts w:ascii="Verdana" w:hAnsi="Verdana"/>
          <w:sz w:val="20"/>
        </w:rPr>
        <w:footnoteReference w:id="17"/>
      </w:r>
      <w:r>
        <w:rPr>
          <w:rFonts w:ascii="Verdana" w:hAnsi="Verdana" w:cs="Arial"/>
          <w:bCs/>
          <w:szCs w:val="24"/>
          <w:lang w:val="es-ES_tradnl" w:eastAsia="es-ES_tradnl"/>
        </w:rPr>
        <w:t>.</w:t>
      </w:r>
    </w:p>
    <w:p w14:paraId="74A78CBC" w14:textId="77777777" w:rsidR="00A161C6" w:rsidRDefault="00A161C6" w:rsidP="00A161C6">
      <w:pPr>
        <w:spacing w:after="0" w:line="240" w:lineRule="auto"/>
        <w:jc w:val="both"/>
        <w:rPr>
          <w:rFonts w:ascii="Verdana" w:hAnsi="Verdana" w:cs="Arial"/>
          <w:b/>
          <w:bCs/>
          <w:color w:val="000000"/>
          <w:lang w:val="es-ES"/>
        </w:rPr>
      </w:pPr>
    </w:p>
    <w:p w14:paraId="5ACF0307"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ese conjunto interesa destacar dos rasgos. El primero es que el contrato de prestación de servicios puede celebrarse con personas jurídicas; la exigencia de justificar la insuficiencia del personal de planta o la necesidad de conocimientos especializados es una condición que el numeral 3 predica expresamente de la contratación con personas naturales. El segundo, y decisivo, es que la ausencia de subordinación constituye el elemento que diferencia el contrato de prestación de servicios del contrato de trabajo: el precepto es </w:t>
      </w:r>
      <w:r>
        <w:rPr>
          <w:rFonts w:ascii="Verdana" w:hAnsi="Verdana" w:cs="Arial"/>
          <w:bCs/>
          <w:szCs w:val="24"/>
          <w:lang w:val="es-ES_tradnl" w:eastAsia="es-ES_tradnl"/>
        </w:rPr>
        <w:lastRenderedPageBreak/>
        <w:t>enfático al declarar que “en ningún caso” estos contratos generan relación laboral ni prestaciones sociales</w:t>
      </w:r>
      <w:r>
        <w:rPr>
          <w:rStyle w:val="Refdenotaalpie"/>
          <w:rFonts w:ascii="Verdana" w:hAnsi="Verdana"/>
          <w:sz w:val="20"/>
        </w:rPr>
        <w:footnoteReference w:id="18"/>
      </w:r>
      <w:r>
        <w:rPr>
          <w:rFonts w:ascii="Verdana" w:hAnsi="Verdana" w:cs="Arial"/>
          <w:bCs/>
          <w:szCs w:val="24"/>
          <w:lang w:val="es-ES_tradnl" w:eastAsia="es-ES_tradnl"/>
        </w:rPr>
        <w:t>.</w:t>
      </w:r>
    </w:p>
    <w:p w14:paraId="52B4119D" w14:textId="77777777" w:rsidR="00A161C6" w:rsidRDefault="00A161C6" w:rsidP="00A161C6">
      <w:pPr>
        <w:spacing w:after="0" w:line="240" w:lineRule="auto"/>
        <w:jc w:val="both"/>
        <w:rPr>
          <w:rFonts w:ascii="Verdana" w:hAnsi="Verdana" w:cs="Arial"/>
          <w:b/>
          <w:bCs/>
          <w:color w:val="000000"/>
          <w:lang w:val="es-ES"/>
        </w:rPr>
      </w:pPr>
    </w:p>
    <w:p w14:paraId="6114875B"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Ese es un límite intrínseco del Estatuto General de Contratación de la Administración Pública y no una remisión a otro régimen: la norma de contratación pública se niega a sí misma como instrumento para generar vínculos laborales. La consecuencia es que la autonomía de la entidad para escoger el tipo contractual, siendo amplia, no alcanza a permitirle utilizar la contratación estatal como sucedáneo de la vinculación de personal en condiciones propias de una relación de trabajo. Sostener lo contrario privaría de todo efecto útil a la prohibición del inciso final del numeral 3.</w:t>
      </w:r>
    </w:p>
    <w:p w14:paraId="6B99874C" w14:textId="77777777" w:rsidR="00A161C6" w:rsidRDefault="00A161C6" w:rsidP="00A161C6">
      <w:pPr>
        <w:spacing w:after="0" w:line="240" w:lineRule="auto"/>
        <w:jc w:val="both"/>
        <w:rPr>
          <w:rFonts w:ascii="Verdana" w:hAnsi="Verdana" w:cs="Arial"/>
          <w:b/>
          <w:bCs/>
          <w:color w:val="000000"/>
          <w:lang w:val="es-ES"/>
        </w:rPr>
      </w:pPr>
    </w:p>
    <w:p w14:paraId="7BE85542" w14:textId="77777777" w:rsidR="00A161C6" w:rsidRPr="00A0389A" w:rsidRDefault="00A161C6" w:rsidP="00A161C6">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Al lado de los límites internos del estatuto operan límites externos. Cuando la necesidad que la entidad busca atender es una necesidad de personal, la decisión no se agota en el régimen contractual: concurren, al menos, dos ordenamientos adicionales cuyas normas son imperativas y cuya interpretación auténtica corresponde a autoridades distintas de esta Agencia.</w:t>
      </w:r>
    </w:p>
    <w:p w14:paraId="1B1BBF56" w14:textId="77777777" w:rsidR="00A161C6" w:rsidRDefault="00A161C6" w:rsidP="00A161C6">
      <w:pPr>
        <w:spacing w:after="0" w:line="240" w:lineRule="auto"/>
        <w:jc w:val="both"/>
        <w:rPr>
          <w:rFonts w:ascii="Verdana" w:hAnsi="Verdana" w:cs="Arial"/>
          <w:b/>
          <w:bCs/>
          <w:color w:val="000000"/>
          <w:lang w:val="es-ES"/>
        </w:rPr>
      </w:pPr>
    </w:p>
    <w:p w14:paraId="1288118C"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primero es el régimen de la función pública. La estructura de las plantas de personal, la creación y supresión de empleos, la clasificación de los cargos y las reglas de provisión –incluida la de los empleos de carácter temporal, prevista en el artículo 21 de la Ley 909 de 2004, que autoriza excepcionalmente a las entidades a contemplar en sus plantas empleos de esa naturaleza y fija el orden en que deben proveerse– pertenecen a ese régimen. La interpretación de esas disposiciones corresponde al Departamento Administrativo de la Función Pública y, en lo atinente a las listas de elegibles y a los procesos de selección, a la Comisión Nacional del Servicio Civil</w:t>
      </w:r>
      <w:r>
        <w:rPr>
          <w:rStyle w:val="Refdenotaalpie"/>
          <w:rFonts w:ascii="Verdana" w:hAnsi="Verdana"/>
          <w:sz w:val="20"/>
        </w:rPr>
        <w:footnoteReference w:id="19"/>
      </w:r>
      <w:r>
        <w:rPr>
          <w:rFonts w:ascii="Verdana" w:hAnsi="Verdana" w:cs="Arial"/>
          <w:bCs/>
          <w:szCs w:val="24"/>
          <w:lang w:val="es-ES_tradnl" w:eastAsia="es-ES_tradnl"/>
        </w:rPr>
        <w:t>.</w:t>
      </w:r>
    </w:p>
    <w:p w14:paraId="0915F065" w14:textId="77777777" w:rsidR="00A161C6" w:rsidRDefault="00A161C6" w:rsidP="00A161C6">
      <w:pPr>
        <w:spacing w:after="0" w:line="240" w:lineRule="auto"/>
        <w:jc w:val="both"/>
        <w:rPr>
          <w:rFonts w:ascii="Verdana" w:hAnsi="Verdana" w:cs="Arial"/>
          <w:b/>
          <w:bCs/>
          <w:color w:val="000000"/>
          <w:lang w:val="es-ES"/>
        </w:rPr>
      </w:pPr>
    </w:p>
    <w:p w14:paraId="29B3FF93"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El segundo es el régimen de las relaciones laborales, que es el que gobierna específicamente la figura por la que se consulta. La actividad de las empresas de servicios temporales está regulada en los artículos 71 a 94 de la Ley 50 de 1990. El artículo 71 define esas empresas como aquellas que contratan la prestación de servicios con terceros beneficiarios para colaborar temporalmente en el desarrollo de sus actividades, mediante la labor desarrollada por personas naturales contratadas directamente por la empresa de servicios temporales, la cual tiene respecto de ellas el carácter de empleador; el artículo 73 califica como usuario a quien contrate sus servicios; y el artículo 74 distingue entre trabajadores de planta y trabajadores en misión</w:t>
      </w:r>
      <w:r>
        <w:rPr>
          <w:rStyle w:val="Refdenotaalpie"/>
          <w:rFonts w:ascii="Verdana" w:hAnsi="Verdana"/>
          <w:sz w:val="20"/>
        </w:rPr>
        <w:footnoteReference w:id="20"/>
      </w:r>
      <w:r>
        <w:rPr>
          <w:rFonts w:ascii="Verdana" w:hAnsi="Verdana" w:cs="Arial"/>
          <w:bCs/>
          <w:szCs w:val="24"/>
          <w:lang w:val="es-ES_tradnl" w:eastAsia="es-ES_tradnl"/>
        </w:rPr>
        <w:t>.</w:t>
      </w:r>
    </w:p>
    <w:p w14:paraId="79607CAC" w14:textId="77777777" w:rsidR="00A161C6" w:rsidRDefault="00A161C6" w:rsidP="00A161C6">
      <w:pPr>
        <w:spacing w:after="0" w:line="240" w:lineRule="auto"/>
        <w:jc w:val="both"/>
        <w:rPr>
          <w:rFonts w:ascii="Verdana" w:hAnsi="Verdana" w:cs="Arial"/>
          <w:b/>
          <w:bCs/>
          <w:color w:val="000000"/>
          <w:lang w:val="es-ES"/>
        </w:rPr>
      </w:pPr>
    </w:p>
    <w:p w14:paraId="059BBD43"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artículo 77 de la misma ley señala los casos en que los usuarios de las empresas de servicios temporales pueden contratar con ellas. Esta Agencia no reproduce ni interpreta aquí esos supuestos, por las razones de competencia que se exponen en el apartado siguiente. Sí conviene advertir que el precepto fue adicionado por el artículo 45 de la Ley 2466 de 2025, que le incorporó cuatro parágrafos, y que la Corte Constitucional ha señalado que la finalidad de la norma es “la protección de los trabajadores, para que las empresas no abusen de la posibilidad de contratar trabajadores temporales, haciendo a un lado los permanentes”</w:t>
      </w:r>
      <w:r>
        <w:rPr>
          <w:rStyle w:val="Refdenotaalpie"/>
          <w:rFonts w:ascii="Verdana" w:hAnsi="Verdana"/>
          <w:sz w:val="20"/>
        </w:rPr>
        <w:footnoteReference w:id="21"/>
      </w:r>
      <w:r>
        <w:rPr>
          <w:rFonts w:ascii="Verdana" w:hAnsi="Verdana" w:cs="Arial"/>
          <w:bCs/>
          <w:szCs w:val="24"/>
          <w:lang w:val="es-ES_tradnl" w:eastAsia="es-ES_tradnl"/>
        </w:rPr>
        <w:t>.</w:t>
      </w:r>
    </w:p>
    <w:p w14:paraId="42B860AC" w14:textId="77777777" w:rsidR="00A161C6" w:rsidRDefault="00A161C6" w:rsidP="00A161C6">
      <w:pPr>
        <w:spacing w:after="0" w:line="240" w:lineRule="auto"/>
        <w:jc w:val="both"/>
        <w:rPr>
          <w:rFonts w:ascii="Verdana" w:hAnsi="Verdana" w:cs="Arial"/>
          <w:b/>
          <w:bCs/>
          <w:color w:val="000000"/>
          <w:lang w:val="es-ES"/>
        </w:rPr>
      </w:pPr>
    </w:p>
    <w:p w14:paraId="36617C34"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el plano reglamentario, el Decreto 4369 de 2006, que reglamentó el ejercicio de la actividad de las empresas de servicios temporales, fue compilado en el Capítulo 5 del Título 6 de la Parte 2 del Libro 2 del Decreto 1072 de 2015 –Decreto Único Reglamentario del Sector Trabajo–, artículos 2.2.6.5.1 y siguientes. El artículo 2.2.6.5.6, que la peticionaria invoca, corresponde a esa compilación. Más recientemente, el Decreto 0581 del 5 de junio de 2026 adicionó el Capítulo 4 al Título 3 de la Parte 2 del Libro 2 del Decreto 1072 de 2015 –</w:t>
      </w:r>
      <w:r>
        <w:rPr>
          <w:rFonts w:ascii="Verdana" w:hAnsi="Verdana" w:cs="Arial"/>
          <w:bCs/>
          <w:szCs w:val="24"/>
          <w:lang w:val="es-ES_tradnl" w:eastAsia="es-ES_tradnl"/>
        </w:rPr>
        <w:lastRenderedPageBreak/>
        <w:t>artículos 2.2.3.4.1 a 2.2.3.4.7–, en materia de tercerización e intermediación laboral ilegal, y modificó, entre otros, el artículo 2.2.6.5.20 del mismo decreto</w:t>
      </w:r>
      <w:r>
        <w:rPr>
          <w:rStyle w:val="Refdenotaalpie"/>
          <w:rFonts w:ascii="Verdana" w:hAnsi="Verdana"/>
          <w:sz w:val="20"/>
        </w:rPr>
        <w:footnoteReference w:id="22"/>
      </w:r>
      <w:r>
        <w:rPr>
          <w:rFonts w:ascii="Verdana" w:hAnsi="Verdana" w:cs="Arial"/>
          <w:bCs/>
          <w:szCs w:val="24"/>
          <w:lang w:val="es-ES_tradnl" w:eastAsia="es-ES_tradnl"/>
        </w:rPr>
        <w:t>.</w:t>
      </w:r>
    </w:p>
    <w:p w14:paraId="54E6A8F0" w14:textId="77777777" w:rsidR="00A161C6" w:rsidRDefault="00A161C6" w:rsidP="00A161C6">
      <w:pPr>
        <w:spacing w:after="0" w:line="240" w:lineRule="auto"/>
        <w:jc w:val="both"/>
        <w:rPr>
          <w:rFonts w:ascii="Verdana" w:hAnsi="Verdana" w:cs="Arial"/>
          <w:b/>
          <w:bCs/>
          <w:color w:val="000000"/>
          <w:lang w:val="es-ES"/>
        </w:rPr>
      </w:pPr>
    </w:p>
    <w:p w14:paraId="2FEBD50E"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Estas disposiciones no forman parte del sistema de compras y contratación pública. Son normas sustantivas del trabajo y reglamentos del sector trabajo. Su aplicación no depende de la naturaleza pública o privada del usuario, sino de la configuración de una relación de trabajo y de la protección de sus garantías. Por eso la respuesta a la pregunta de la consulta no se encuentra en el Estatuto General de Contratación de la Administración Pública ni en el Decreto 1082 de 2015, sino en un cuerpo normativo cuya interpretación esta Agencia no puede realizar.</w:t>
      </w:r>
    </w:p>
    <w:p w14:paraId="05595A13" w14:textId="77777777" w:rsidR="00A161C6" w:rsidRDefault="00A161C6" w:rsidP="00A161C6">
      <w:pPr>
        <w:spacing w:after="0" w:line="240" w:lineRule="auto"/>
        <w:jc w:val="both"/>
        <w:rPr>
          <w:rFonts w:ascii="Verdana" w:hAnsi="Verdana" w:cs="Arial"/>
          <w:b/>
          <w:bCs/>
          <w:color w:val="000000"/>
          <w:lang w:val="es-ES"/>
        </w:rPr>
      </w:pPr>
    </w:p>
    <w:p w14:paraId="4FE1322A" w14:textId="77777777" w:rsidR="00A161C6" w:rsidRPr="00A0389A" w:rsidRDefault="00A161C6" w:rsidP="00A161C6">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v) La conclusión anterior no es una fórmula para eludir el fondo del asunto: se apoya en normas de competencia expresas y en la naturaleza misma de la consecuencia jurídica que se sigue de la respuesta que la peticionaria solicita.</w:t>
      </w:r>
    </w:p>
    <w:p w14:paraId="0D4E55FE" w14:textId="77777777" w:rsidR="00A161C6" w:rsidRDefault="00A161C6" w:rsidP="00A161C6">
      <w:pPr>
        <w:spacing w:after="0" w:line="240" w:lineRule="auto"/>
        <w:jc w:val="both"/>
        <w:rPr>
          <w:rFonts w:ascii="Verdana" w:hAnsi="Verdana" w:cs="Arial"/>
          <w:b/>
          <w:bCs/>
          <w:color w:val="000000"/>
          <w:lang w:val="es-ES"/>
        </w:rPr>
      </w:pPr>
    </w:p>
    <w:p w14:paraId="1145B7DC"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primer lugar, el Decreto 4108 de 2011, que modificó los objetivos y la estructura del Ministerio del Trabajo e integró el Sector Administrativo del Trabajo, asigna a esa cartera la formulación y adopción de las políticas, planes, programas y proyectos en materia de trabajo y garantías de los trabajadores, a través de un sistema efectivo de vigilancia, información, registro, inspección y control; y le atribuye específicamente las funciones de coordinar los servicios de empleo, intermediación laboral, selección y colocación asistida de trabajadores, y de diseñar la regulación para el funcionamiento de las agencias privadas de colocación y de las empresas de servicios temporales</w:t>
      </w:r>
      <w:r>
        <w:rPr>
          <w:rStyle w:val="Refdenotaalpie"/>
          <w:rFonts w:ascii="Verdana" w:hAnsi="Verdana"/>
          <w:sz w:val="20"/>
        </w:rPr>
        <w:footnoteReference w:id="23"/>
      </w:r>
      <w:r>
        <w:rPr>
          <w:rFonts w:ascii="Verdana" w:hAnsi="Verdana" w:cs="Arial"/>
          <w:bCs/>
          <w:szCs w:val="24"/>
          <w:lang w:val="es-ES_tradnl" w:eastAsia="es-ES_tradnl"/>
        </w:rPr>
        <w:t>.</w:t>
      </w:r>
    </w:p>
    <w:p w14:paraId="3AAB2A72" w14:textId="77777777" w:rsidR="00A161C6" w:rsidRDefault="00A161C6" w:rsidP="00A161C6">
      <w:pPr>
        <w:spacing w:after="0" w:line="240" w:lineRule="auto"/>
        <w:jc w:val="both"/>
        <w:rPr>
          <w:rFonts w:ascii="Verdana" w:hAnsi="Verdana" w:cs="Arial"/>
          <w:b/>
          <w:bCs/>
          <w:color w:val="000000"/>
          <w:lang w:val="es-ES"/>
        </w:rPr>
      </w:pPr>
    </w:p>
    <w:p w14:paraId="538821BE"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segundo lugar, la propia Ley 50 de 1990 radica en el Ministerio del Trabajo el control y la vigilancia de las empresas de servicios temporales, a efectos de garantizar el cumplimiento de las normas del Código Sustantivo del Trabajo y de esa ley –artículo 91–; la suspensión y la cancelación de las </w:t>
      </w:r>
      <w:r>
        <w:rPr>
          <w:rFonts w:ascii="Verdana" w:hAnsi="Verdana" w:cs="Arial"/>
          <w:bCs/>
          <w:szCs w:val="24"/>
          <w:lang w:val="es-ES_tradnl" w:eastAsia="es-ES_tradnl"/>
        </w:rPr>
        <w:lastRenderedPageBreak/>
        <w:t>autorizaciones de funcionamiento –artículo 92–; y la investigación e imposición de multas a quienes desarrollen la actividad sin autorización, sanción que se extiende al usuario que contrate con ellos –artículo 93–. La autorización de funcionamiento, además, es otorgada por esa misma cartera conforme al artículo 82</w:t>
      </w:r>
      <w:r>
        <w:rPr>
          <w:rStyle w:val="Refdenotaalpie"/>
          <w:rFonts w:ascii="Verdana" w:hAnsi="Verdana"/>
          <w:sz w:val="20"/>
        </w:rPr>
        <w:footnoteReference w:id="24"/>
      </w:r>
      <w:r>
        <w:rPr>
          <w:rFonts w:ascii="Verdana" w:hAnsi="Verdana" w:cs="Arial"/>
          <w:bCs/>
          <w:szCs w:val="24"/>
          <w:lang w:val="es-ES_tradnl" w:eastAsia="es-ES_tradnl"/>
        </w:rPr>
        <w:t>.</w:t>
      </w:r>
    </w:p>
    <w:p w14:paraId="2883570F" w14:textId="77777777" w:rsidR="00A161C6" w:rsidRDefault="00A161C6" w:rsidP="00A161C6">
      <w:pPr>
        <w:spacing w:after="0" w:line="240" w:lineRule="auto"/>
        <w:jc w:val="both"/>
        <w:rPr>
          <w:rFonts w:ascii="Verdana" w:hAnsi="Verdana" w:cs="Arial"/>
          <w:b/>
          <w:bCs/>
          <w:color w:val="000000"/>
          <w:lang w:val="es-ES"/>
        </w:rPr>
      </w:pPr>
    </w:p>
    <w:p w14:paraId="51AF968A"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tercer lugar, el numeral 2 del artículo 486 del Código Sustantivo del Trabajo –modificado por el artículo 97 de la Ley 50 de 1990 y, posteriormente, por el artículo 7 de la Ley 1610 de 2013– confiere a los funcionarios del Ministerio del Trabajo el carácter de autoridades de policía para todo lo relacionado con la vigilancia y el control del cumplimiento de las normas laborales, y los faculta para imponer multas. El Decreto 0581 de 2026 remite expresamente a esa disposición como fundamento del régimen sancionatorio de la intermediación laboral ilegal</w:t>
      </w:r>
      <w:r>
        <w:rPr>
          <w:rStyle w:val="Refdenotaalpie"/>
          <w:rFonts w:ascii="Verdana" w:hAnsi="Verdana"/>
          <w:sz w:val="20"/>
        </w:rPr>
        <w:footnoteReference w:id="25"/>
      </w:r>
      <w:r>
        <w:rPr>
          <w:rFonts w:ascii="Verdana" w:hAnsi="Verdana" w:cs="Arial"/>
          <w:bCs/>
          <w:szCs w:val="24"/>
          <w:lang w:val="es-ES_tradnl" w:eastAsia="es-ES_tradnl"/>
        </w:rPr>
        <w:t>.</w:t>
      </w:r>
    </w:p>
    <w:p w14:paraId="582F1FE5" w14:textId="77777777" w:rsidR="00A161C6" w:rsidRDefault="00A161C6" w:rsidP="00A161C6">
      <w:pPr>
        <w:spacing w:after="0" w:line="240" w:lineRule="auto"/>
        <w:jc w:val="both"/>
        <w:rPr>
          <w:rFonts w:ascii="Verdana" w:hAnsi="Verdana" w:cs="Arial"/>
          <w:b/>
          <w:bCs/>
          <w:color w:val="000000"/>
          <w:lang w:val="es-ES"/>
        </w:rPr>
      </w:pPr>
    </w:p>
    <w:p w14:paraId="22E78662"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Consejo de Estado ha sido explícito sobre el alcance de esa competencia. Al resolver la acción de nulidad promovida contra el artículo 20 del Decreto 4369 de 2006 –hoy artículo 2.2.6.5.20 del Decreto 1072 de 2015–, la Sección Segunda sostuvo que la facultad sancionatoria del Ministerio del Trabajo no se circunscribe al artículo 93 de la Ley 50 de 1990, sino que se apoya en la función general de policía del numeral 2 del artículo 486 del Código Sustantivo del Trabajo, y concluyó que el Gobierno Nacional sí podía prever la imposición de multas a las empresas usuarias que contraten con empresas de servicios temporales por fuera de los casos previstos en el artículo 77 de la Ley 50 de 1990</w:t>
      </w:r>
      <w:r>
        <w:rPr>
          <w:rStyle w:val="Refdenotaalpie"/>
          <w:rFonts w:ascii="Verdana" w:hAnsi="Verdana"/>
          <w:sz w:val="20"/>
        </w:rPr>
        <w:footnoteReference w:id="26"/>
      </w:r>
      <w:r>
        <w:rPr>
          <w:rFonts w:ascii="Verdana" w:hAnsi="Verdana" w:cs="Arial"/>
          <w:bCs/>
          <w:szCs w:val="24"/>
          <w:lang w:val="es-ES_tradnl" w:eastAsia="es-ES_tradnl"/>
        </w:rPr>
        <w:t>.</w:t>
      </w:r>
    </w:p>
    <w:p w14:paraId="271B308D" w14:textId="77777777" w:rsidR="00A161C6" w:rsidRDefault="00A161C6" w:rsidP="00A161C6">
      <w:pPr>
        <w:spacing w:after="0" w:line="240" w:lineRule="auto"/>
        <w:jc w:val="both"/>
        <w:rPr>
          <w:rFonts w:ascii="Verdana" w:hAnsi="Verdana" w:cs="Arial"/>
          <w:b/>
          <w:bCs/>
          <w:color w:val="000000"/>
          <w:lang w:val="es-ES"/>
        </w:rPr>
      </w:pPr>
    </w:p>
    <w:p w14:paraId="5922479F"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La autoridad llamada a establecer si una determinada contratación se ajusta o no al artículo 77 de la Ley 50 de 1990 es la misma que está facultada para sancionar a la empresa usuaria cuando concluya que no se ajusta. Si esta </w:t>
      </w:r>
      <w:r>
        <w:rPr>
          <w:rFonts w:ascii="Verdana" w:hAnsi="Verdana" w:cs="Arial"/>
          <w:bCs/>
          <w:szCs w:val="24"/>
          <w:lang w:val="es-ES_tradnl" w:eastAsia="es-ES_tradnl"/>
        </w:rPr>
        <w:lastRenderedPageBreak/>
        <w:t>Agencia se pronunciara sobre los supuestos en que una entidad estatal, como usuaria, podría contratar con una empresa de servicios temporales, emitiría un juicio anticipado sobre una materia respecto de la cual carece de competencia y sobre la cual otra autoridad conserva íntegra su potestad de inspección, vigilancia, control y sanción. El concepto no relevaría a la entidad ni a la empresa de servicios temporales de esa potestad; solo generaría una apariencia de seguridad jurídica que el ordenamiento no respalda.</w:t>
      </w:r>
    </w:p>
    <w:p w14:paraId="132273A9" w14:textId="77777777" w:rsidR="00A161C6" w:rsidRDefault="00A161C6" w:rsidP="00A161C6">
      <w:pPr>
        <w:spacing w:after="0" w:line="240" w:lineRule="auto"/>
        <w:jc w:val="both"/>
        <w:rPr>
          <w:rFonts w:ascii="Verdana" w:hAnsi="Verdana" w:cs="Arial"/>
          <w:b/>
          <w:bCs/>
          <w:color w:val="000000"/>
          <w:lang w:val="es-ES"/>
        </w:rPr>
      </w:pPr>
    </w:p>
    <w:p w14:paraId="2BBBC627"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 ello se suma que la calificación de una contratación como irregular produce efectos que pertenecen por entero al derecho laboral. Según lo ha decantado la jurisprudencia, cuando la contratación desconoce el marco legal, la empresa de servicios temporales deja de considerarse empleadora de los trabajadores en misión y, en virtud del principio de primacía de la realidad sobre las formalidades, la usuaria pasa a considerarse empleadora y aquella una simple intermediaria, respondiendo ambas solidariamente por las acreencias laborales. Esos efectos se gobiernan por los numerales 2 del artículo 34 y 3 del artículo 35 del Código Sustantivo del Trabajo –el primero modificado por el artículo 44 de la Ley 2466 de 2025– y por el artículo 53 de la Constitución, no por normas de contratación estatal</w:t>
      </w:r>
      <w:r>
        <w:rPr>
          <w:rStyle w:val="Refdenotaalpie"/>
          <w:rFonts w:ascii="Verdana" w:hAnsi="Verdana"/>
          <w:sz w:val="20"/>
        </w:rPr>
        <w:footnoteReference w:id="27"/>
      </w:r>
      <w:r>
        <w:rPr>
          <w:rFonts w:ascii="Verdana" w:hAnsi="Verdana" w:cs="Arial"/>
          <w:bCs/>
          <w:szCs w:val="24"/>
          <w:lang w:val="es-ES_tradnl" w:eastAsia="es-ES_tradnl"/>
        </w:rPr>
        <w:t>.</w:t>
      </w:r>
    </w:p>
    <w:p w14:paraId="5DADA301" w14:textId="77777777" w:rsidR="00A161C6" w:rsidRDefault="00A161C6" w:rsidP="00A161C6">
      <w:pPr>
        <w:spacing w:after="0" w:line="240" w:lineRule="auto"/>
        <w:jc w:val="both"/>
        <w:rPr>
          <w:rFonts w:ascii="Verdana" w:hAnsi="Verdana" w:cs="Arial"/>
          <w:b/>
          <w:bCs/>
          <w:color w:val="000000"/>
          <w:lang w:val="es-ES"/>
        </w:rPr>
      </w:pPr>
    </w:p>
    <w:p w14:paraId="69533939" w14:textId="77777777" w:rsidR="00A161C6" w:rsidRDefault="00A161C6" w:rsidP="00A161C6">
      <w:pPr>
        <w:spacing w:after="0" w:line="240" w:lineRule="auto"/>
        <w:jc w:val="both"/>
        <w:rPr>
          <w:rFonts w:ascii="Verdana" w:hAnsi="Verdana" w:cs="Arial"/>
          <w:b/>
          <w:bCs/>
          <w:color w:val="000000"/>
          <w:lang w:val="es-ES"/>
        </w:rPr>
      </w:pPr>
    </w:p>
    <w:p w14:paraId="38C73412" w14:textId="77777777" w:rsidR="00A161C6" w:rsidRPr="00A0389A" w:rsidRDefault="00A161C6" w:rsidP="00A161C6">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vi) Con el propósito exclusivo de orientar a la peticionaria sobre el marco normativo que deberá consultar ante la autoridad competente, y sin determinar en modo alguno los supuestos en que una entidad estatal podría contratar con empresas de servicios temporales o con intermediarios de personal, se relacionan a continuación las disposiciones vigentes que regulan la materia en el ámbito de las relaciones laborales.</w:t>
      </w:r>
    </w:p>
    <w:p w14:paraId="4D2573C0" w14:textId="77777777" w:rsidR="00A161C6" w:rsidRDefault="00A161C6" w:rsidP="00A161C6">
      <w:pPr>
        <w:spacing w:after="0" w:line="240" w:lineRule="auto"/>
        <w:jc w:val="both"/>
        <w:rPr>
          <w:rFonts w:ascii="Verdana" w:hAnsi="Verdana" w:cs="Arial"/>
          <w:b/>
          <w:bCs/>
          <w:color w:val="000000"/>
          <w:lang w:val="es-ES"/>
        </w:rPr>
      </w:pPr>
    </w:p>
    <w:p w14:paraId="30D66517"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el nivel legal: i) los artículos 71 a 94 de la Ley 50 de 1990, que contienen el régimen de las empresas de servicios temporales, incluidos su definición, la </w:t>
      </w:r>
      <w:r>
        <w:rPr>
          <w:rFonts w:ascii="Verdana" w:hAnsi="Verdana" w:cs="Arial"/>
          <w:bCs/>
          <w:szCs w:val="24"/>
          <w:lang w:val="es-ES_tradnl" w:eastAsia="es-ES_tradnl"/>
        </w:rPr>
        <w:lastRenderedPageBreak/>
        <w:t xml:space="preserve">calidad de usuario, la distinción entre trabajadores de planta y en misión, los casos de contratación por los usuarios, la autorización de funcionamiento, las garantías y el régimen de control y sanciones;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el artículo 45 de la Ley 2466 de 2025, que adicionó cuatro parágrafos al artículo 77 de la Ley 50 de 1990; </w:t>
      </w: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xml:space="preserve">) el artículo 44 de la Ley 2466 de 2025, que modificó el artículo 34 del Código Sustantivo del Trabajo; </w:t>
      </w: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los artículos 6, 34 y 35 del Código Sustantivo del Trabajo; v) el numeral 2 del artículo 486 del mismo código, modificado por el artículo 7 de la Ley 1610 de 2013; y vi) el artículo 63 de la Ley 1429 de 2010</w:t>
      </w:r>
      <w:r>
        <w:rPr>
          <w:rStyle w:val="Refdenotaalpie"/>
          <w:rFonts w:ascii="Verdana" w:hAnsi="Verdana"/>
          <w:sz w:val="20"/>
        </w:rPr>
        <w:footnoteReference w:id="28"/>
      </w:r>
      <w:r>
        <w:rPr>
          <w:rFonts w:ascii="Verdana" w:hAnsi="Verdana" w:cs="Arial"/>
          <w:bCs/>
          <w:szCs w:val="24"/>
          <w:lang w:val="es-ES_tradnl" w:eastAsia="es-ES_tradnl"/>
        </w:rPr>
        <w:t>.</w:t>
      </w:r>
    </w:p>
    <w:p w14:paraId="2BF1031E" w14:textId="77777777" w:rsidR="00A161C6" w:rsidRDefault="00A161C6" w:rsidP="00A161C6">
      <w:pPr>
        <w:spacing w:after="0" w:line="240" w:lineRule="auto"/>
        <w:jc w:val="both"/>
        <w:rPr>
          <w:rFonts w:ascii="Verdana" w:hAnsi="Verdana" w:cs="Arial"/>
          <w:b/>
          <w:bCs/>
          <w:color w:val="000000"/>
          <w:lang w:val="es-ES"/>
        </w:rPr>
      </w:pPr>
    </w:p>
    <w:p w14:paraId="58114E9E"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el nivel reglamentario: i) el Capítulo 5 del Título 6 de la Parte 2 del Libro 2 del Decreto 1072 de 2015 –artículos 2.2.6.5.1 y siguientes–, que compiló el Decreto 4369 de 2006, y dentro de él el artículo 2.2.6.5.6 invocado en la consulta;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el Capítulo 4 del Título 3 de la Parte 2 del Libro 2 del mismo decreto –artículos 2.2.3.4.1 a 2.2.3.4.7–, adicionado por el Decreto 0581 del 5 de junio de 2026, sobre tercerización e intermediación laboral ilegal; y </w:t>
      </w: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el Decreto 2025 de 2011, reglamentario del artículo 63 de la Ley 1429 de 2010</w:t>
      </w:r>
      <w:r>
        <w:rPr>
          <w:rStyle w:val="Refdenotaalpie"/>
          <w:rFonts w:ascii="Verdana" w:hAnsi="Verdana"/>
          <w:sz w:val="20"/>
        </w:rPr>
        <w:footnoteReference w:id="29"/>
      </w:r>
      <w:r>
        <w:rPr>
          <w:rFonts w:ascii="Verdana" w:hAnsi="Verdana" w:cs="Arial"/>
          <w:bCs/>
          <w:szCs w:val="24"/>
          <w:lang w:val="es-ES_tradnl" w:eastAsia="es-ES_tradnl"/>
        </w:rPr>
        <w:t>.</w:t>
      </w:r>
    </w:p>
    <w:p w14:paraId="2B01F07F" w14:textId="77777777" w:rsidR="00A161C6" w:rsidRDefault="00A161C6" w:rsidP="00A161C6">
      <w:pPr>
        <w:spacing w:after="0" w:line="240" w:lineRule="auto"/>
        <w:jc w:val="both"/>
        <w:rPr>
          <w:rFonts w:ascii="Verdana" w:hAnsi="Verdana" w:cs="Arial"/>
          <w:b/>
          <w:bCs/>
          <w:color w:val="000000"/>
          <w:lang w:val="es-ES"/>
        </w:rPr>
      </w:pPr>
    </w:p>
    <w:p w14:paraId="0473FD99"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materia de actos administrativos de carácter general, la Resolución 2021 de 2018 del Ministerio del Trabajo se ocupa de la intermediación laboral. No se ha localizado disposición que la derogue expresamente; en todo caso, deberá leerse de manera armónica con el Decreto 0581 de 2026, que elevó a rango reglamentario buena parte de la materia que ella regula. La verificación de su vigencia y de su alcance corresponde igualmente al Ministerio del Trabajo</w:t>
      </w:r>
      <w:r>
        <w:rPr>
          <w:rStyle w:val="Refdenotaalpie"/>
          <w:rFonts w:ascii="Verdana" w:hAnsi="Verdana"/>
          <w:sz w:val="20"/>
        </w:rPr>
        <w:footnoteReference w:id="30"/>
      </w:r>
      <w:r>
        <w:rPr>
          <w:rFonts w:ascii="Verdana" w:hAnsi="Verdana" w:cs="Arial"/>
          <w:bCs/>
          <w:szCs w:val="24"/>
          <w:lang w:val="es-ES_tradnl" w:eastAsia="es-ES_tradnl"/>
        </w:rPr>
        <w:t>.</w:t>
      </w:r>
    </w:p>
    <w:p w14:paraId="70D498AB" w14:textId="77777777" w:rsidR="00A161C6" w:rsidRDefault="00A161C6" w:rsidP="00A161C6">
      <w:pPr>
        <w:spacing w:after="0" w:line="240" w:lineRule="auto"/>
        <w:jc w:val="both"/>
        <w:rPr>
          <w:rFonts w:ascii="Verdana" w:hAnsi="Verdana" w:cs="Arial"/>
          <w:b/>
          <w:bCs/>
          <w:color w:val="000000"/>
          <w:lang w:val="es-ES"/>
        </w:rPr>
      </w:pPr>
    </w:p>
    <w:p w14:paraId="26F1B9E8" w14:textId="77777777" w:rsidR="00A161C6" w:rsidRPr="00A0389A"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Debe advertirse, finalmente, que el Decreto 583 de 2016, que había reglamentado el artículo 63 de la Ley 1429 de 2010 en materia de tercerización laboral, fue anulado por el Consejo de Estado, y que el capítulo que ese decreto adicionó al Decreto 1072 de 2015 fue derogado por el Decreto 683 de 2018. En consecuencia, no puede invocarse como fundamento normativo vigente. Esta </w:t>
      </w:r>
      <w:r>
        <w:rPr>
          <w:rFonts w:ascii="Verdana" w:hAnsi="Verdana" w:cs="Arial"/>
          <w:bCs/>
          <w:szCs w:val="24"/>
          <w:lang w:val="es-ES_tradnl" w:eastAsia="es-ES_tradnl"/>
        </w:rPr>
        <w:lastRenderedPageBreak/>
        <w:t>Agencia no se pronuncia sobre el contenido ni sobre la aplicación de ninguna de las disposiciones relacionadas en este apartado: se limita a identificarlas para facilitar la gestión de la peticionaria ante la autoridad competente</w:t>
      </w:r>
      <w:r>
        <w:rPr>
          <w:rStyle w:val="Refdenotaalpie"/>
          <w:rFonts w:ascii="Verdana" w:hAnsi="Verdana"/>
          <w:sz w:val="20"/>
        </w:rPr>
        <w:footnoteReference w:id="31"/>
      </w:r>
      <w:r>
        <w:rPr>
          <w:rFonts w:ascii="Verdana" w:hAnsi="Verdana" w:cs="Arial"/>
          <w:bCs/>
          <w:szCs w:val="24"/>
          <w:lang w:val="es-ES_tradnl" w:eastAsia="es-ES_tradnl"/>
        </w:rPr>
        <w:t>.</w:t>
      </w:r>
    </w:p>
    <w:p w14:paraId="2275AE68" w14:textId="77777777" w:rsidR="00A161C6" w:rsidRDefault="00A161C6" w:rsidP="00A161C6">
      <w:pPr>
        <w:spacing w:after="0" w:line="240" w:lineRule="auto"/>
        <w:jc w:val="both"/>
        <w:rPr>
          <w:rFonts w:ascii="Verdana" w:hAnsi="Verdana" w:cs="Arial"/>
          <w:b/>
          <w:bCs/>
          <w:color w:val="000000"/>
          <w:lang w:val="es-ES"/>
        </w:rPr>
      </w:pPr>
    </w:p>
    <w:p w14:paraId="17B09D4E" w14:textId="77777777" w:rsidR="00A161C6" w:rsidRDefault="00A161C6" w:rsidP="00A161C6">
      <w:pPr>
        <w:spacing w:after="0" w:line="240" w:lineRule="auto"/>
        <w:jc w:val="both"/>
        <w:rPr>
          <w:rFonts w:ascii="Verdana" w:hAnsi="Verdana" w:cs="Arial"/>
          <w:b/>
          <w:bCs/>
          <w:color w:val="000000"/>
          <w:lang w:val="es-ES"/>
        </w:rPr>
      </w:pPr>
    </w:p>
    <w:p w14:paraId="6D8F84C9" w14:textId="77777777" w:rsidR="00A161C6" w:rsidRPr="00A0389A" w:rsidRDefault="00A161C6" w:rsidP="00A161C6">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vii</w:t>
      </w:r>
      <w:proofErr w:type="spellEnd"/>
      <w:r>
        <w:rPr>
          <w:rFonts w:ascii="Verdana" w:hAnsi="Verdana" w:cs="Arial"/>
          <w:bCs/>
          <w:szCs w:val="24"/>
          <w:lang w:val="es-ES_tradnl" w:eastAsia="es-ES_tradnl"/>
        </w:rPr>
        <w:t>) Para concluir, esta Agencia debe dejar claro que las entidades estatales cuentan con autonomía para identificar la necesidad que pretenden satisfacer y para escoger el negocio jurídico con el que la atienden, dentro del marco de planeación que les imponen el artículo 25 de la Ley 80 de 1993 y el Decreto 1082 de 2015, y pueden acudir tanto a los tipos contractuales enunciados en el artículo 32 de la Ley 80 de 1993 como a los previstos en el derecho privado o derivados del ejercicio de la autonomía de la voluntad. Esa autonomía halla un límite intrínseco en el numeral 3 del artículo 32, que excluye que el contrato de prestación de servicios genere relación laboral, y límites externos en las normas de función pública y de relaciones laborales.</w:t>
      </w:r>
    </w:p>
    <w:p w14:paraId="35E60FDA" w14:textId="77777777" w:rsidR="00A161C6" w:rsidRDefault="00A161C6" w:rsidP="00A161C6">
      <w:pPr>
        <w:spacing w:after="0" w:line="240" w:lineRule="auto"/>
        <w:jc w:val="both"/>
        <w:rPr>
          <w:rFonts w:ascii="Verdana" w:hAnsi="Verdana" w:cs="Arial"/>
          <w:b/>
          <w:bCs/>
          <w:color w:val="000000"/>
          <w:lang w:val="es-ES"/>
        </w:rPr>
      </w:pPr>
    </w:p>
    <w:p w14:paraId="55FAE933" w14:textId="77777777" w:rsidR="00A161C6" w:rsidRPr="00A0389A" w:rsidRDefault="00A161C6" w:rsidP="00A161C6">
      <w:pPr>
        <w:spacing w:after="0" w:line="276" w:lineRule="auto"/>
        <w:ind w:firstLine="426"/>
        <w:jc w:val="both"/>
        <w:rPr>
          <w:rFonts w:ascii="Verdana" w:hAnsi="Verdana" w:cs="Arial"/>
          <w:bCs/>
          <w:szCs w:val="24"/>
          <w:lang w:val="es-ES_tradnl" w:eastAsia="es-ES_tradnl"/>
        </w:rPr>
      </w:pPr>
      <w:r>
        <w:rPr>
          <w:rFonts w:ascii="Verdana" w:hAnsi="Verdana" w:cs="Arial"/>
          <w:bCs/>
          <w:szCs w:val="24"/>
          <w:lang w:val="es-ES_tradnl" w:eastAsia="es-ES_tradnl"/>
        </w:rPr>
        <w:t>Determinar si una entidad estatal puede suplir necesidades de personal mediante la contratación de empresas de servicios temporales, y bajo qué supuestos, límites, condiciones y requisitos podría hacerlo, exige interpretar y aplicar normas sustantivas del trabajo. Esa competencia corresponde al Ministerio del Trabajo y no a esta Agencia, por lo que la consulta se resuelve en los términos expuestos, con la orientación normativa contenida en el apartado anterior.</w:t>
      </w:r>
    </w:p>
    <w:p w14:paraId="15D11C8D" w14:textId="77777777" w:rsidR="00A161C6" w:rsidRDefault="00A161C6" w:rsidP="00A161C6">
      <w:pPr>
        <w:spacing w:after="0" w:line="240" w:lineRule="auto"/>
        <w:jc w:val="both"/>
        <w:rPr>
          <w:rFonts w:ascii="Verdana" w:hAnsi="Verdana" w:cs="Arial"/>
          <w:b/>
          <w:bCs/>
          <w:color w:val="000000"/>
          <w:lang w:val="es-ES"/>
        </w:rPr>
      </w:pPr>
    </w:p>
    <w:p w14:paraId="12410A98" w14:textId="77777777" w:rsidR="00A161C6" w:rsidRDefault="00A161C6" w:rsidP="00A161C6">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atendiendo las normas que rigen la materia y las que resulten aplicables por razón de ella, sin que sea atribución de Colombia Compra Eficiente validar sus actuaciones ni las de los demás partícipes del sistema de compra pública.</w:t>
      </w:r>
    </w:p>
    <w:p w14:paraId="644013A0" w14:textId="77777777" w:rsidR="00A161C6" w:rsidRDefault="00A161C6" w:rsidP="00A161C6">
      <w:pPr>
        <w:spacing w:after="0" w:line="276" w:lineRule="auto"/>
        <w:jc w:val="both"/>
        <w:rPr>
          <w:rFonts w:ascii="Verdana" w:hAnsi="Verdana" w:cs="Arial"/>
          <w:bCs/>
          <w:szCs w:val="24"/>
          <w:lang w:val="es-ES_tradnl" w:eastAsia="es-ES_tradnl"/>
        </w:rPr>
      </w:pPr>
    </w:p>
    <w:p w14:paraId="093DD9FD" w14:textId="77777777" w:rsidR="00A161C6" w:rsidRPr="00A0389A" w:rsidRDefault="00A161C6" w:rsidP="00A161C6">
      <w:pPr>
        <w:spacing w:after="0" w:line="276" w:lineRule="auto"/>
        <w:jc w:val="both"/>
        <w:rPr>
          <w:rFonts w:ascii="Verdana" w:hAnsi="Verdana" w:cs="Arial"/>
          <w:bCs/>
          <w:szCs w:val="24"/>
          <w:lang w:val="es-ES_tradnl" w:eastAsia="es-ES_tradnl"/>
        </w:rPr>
      </w:pPr>
    </w:p>
    <w:bookmarkEnd w:id="0"/>
    <w:p w14:paraId="24E071DD" w14:textId="77777777" w:rsidR="00A161C6" w:rsidRPr="009037F6" w:rsidRDefault="00A161C6" w:rsidP="00A161C6">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517CF28B" w14:textId="77777777" w:rsidR="00A161C6" w:rsidRPr="009037F6" w:rsidRDefault="00A161C6" w:rsidP="00A161C6">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61C6" w:rsidRPr="009037F6" w14:paraId="168C62D6" w14:textId="77777777" w:rsidTr="004B4C64">
        <w:trPr>
          <w:trHeight w:val="487"/>
          <w:jc w:val="center"/>
        </w:trPr>
        <w:tc>
          <w:tcPr>
            <w:tcW w:w="8647" w:type="dxa"/>
          </w:tcPr>
          <w:p w14:paraId="41718E5F" w14:textId="77777777" w:rsidR="00A161C6" w:rsidRDefault="00A161C6" w:rsidP="00A161C6">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6, 53, 121, 122 y 209. Decreto Ley 4170 de 2011, artículos 3, numeral 5, y 11, numeral 8. Ley 80 de 1993, artículos 3, 13, 23, 25, 26, 32 y 40. Ley 1150 de 2007, artículo 2, numeral 4, literal h). Ley 1474 de 2011, artículo 87. Ley 1437 de 2011, artículos 14, 21 y 28, sustituidos por la Ley 1755 de 2015. Ley 909 de 2004, artículo 21. Decreto 1082 de 2015, artículos 2.2.1.1.1.6.1 y 2.2.1.1.2.1.1. Resolución 1707 de 2018 de la ANCP-CCE, artículo 4.</w:t>
            </w:r>
          </w:p>
          <w:p w14:paraId="3C6F9E1D" w14:textId="77777777" w:rsidR="00A161C6" w:rsidRDefault="00A161C6" w:rsidP="00A161C6">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laboral relacionada: Código Sustantivo del Trabajo, artículos 6, 34, 35 y 486, numeral 2. Ley 50 de 1990, artículos 71 a 94. Ley 1429 de 2010, artículo 63. Ley 1444 de 2011, artículo 7. Ley 1610 de 2013, artículo 7. Ley 2466 de 2025, artículos 44 y 45. Decreto 4108 de 2011, artículos 1 y 2. Decreto 2025 de 2011. Decreto 1072 de 2015, artículos 2.2.3.4.1 a 2.2.3.4.7 y 2.2.6.5.1 y siguientes. Decreto 0581 del 5 de junio de 2026. Resolución 2021 de 2018 del Ministerio del Trabajo.</w:t>
            </w:r>
          </w:p>
          <w:p w14:paraId="2111A2F1" w14:textId="77777777" w:rsidR="00A161C6" w:rsidRDefault="00A161C6" w:rsidP="00A161C6">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Jurisprudencia: CORTE CONSTITUCIONAL. Sentencia C-330 de 1995. M.P. Jorge Arango Mejía. CONSEJO DE ESTADO. Sección Segunda. Sentencia del 19 de febrero de 2014. Rad. 11001-03-25-000-2007-00055-00 (1096-07). C.P. Gerardo Arenas Monsalve. CONSEJO DE ESTADO. Sección Segunda, Subsección B. Sentencia del 6 de julio de 2017. Rad. 11001-03-25-000-2016-00485-00 (2218-2016). CORTE SUPREMA DE JUSTICIA. Sala de Casación Laboral. Sentencia del 24 de abril de 1997. Rad. 9435. M.P. Francisco Escobar Henríquez.</w:t>
            </w:r>
          </w:p>
          <w:p w14:paraId="3CA4BA50" w14:textId="77777777" w:rsidR="00A161C6" w:rsidRDefault="00A161C6" w:rsidP="00A161C6">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 C-1836 del 5 de enero de 2026.</w:t>
            </w:r>
          </w:p>
        </w:tc>
      </w:tr>
    </w:tbl>
    <w:p w14:paraId="22B86211" w14:textId="77777777" w:rsidR="00A161C6" w:rsidRPr="009037F6" w:rsidRDefault="00A161C6" w:rsidP="00A161C6">
      <w:pPr>
        <w:widowControl w:val="0"/>
        <w:autoSpaceDE w:val="0"/>
        <w:autoSpaceDN w:val="0"/>
        <w:spacing w:after="0" w:line="276" w:lineRule="auto"/>
        <w:jc w:val="both"/>
        <w:rPr>
          <w:rFonts w:ascii="Verdana" w:hAnsi="Verdana" w:cs="Arial"/>
        </w:rPr>
      </w:pPr>
    </w:p>
    <w:p w14:paraId="1696F41B" w14:textId="77777777" w:rsidR="00A161C6" w:rsidRPr="009037F6" w:rsidRDefault="00A161C6" w:rsidP="00A161C6">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81F5FB0" w14:textId="77777777" w:rsidR="00A161C6" w:rsidRPr="009037F6" w:rsidRDefault="00A161C6" w:rsidP="00A161C6">
      <w:pPr>
        <w:widowControl w:val="0"/>
        <w:autoSpaceDE w:val="0"/>
        <w:autoSpaceDN w:val="0"/>
        <w:spacing w:after="0" w:line="276" w:lineRule="auto"/>
        <w:jc w:val="both"/>
        <w:rPr>
          <w:rFonts w:ascii="Verdana" w:hAnsi="Verdana" w:cs="Arial"/>
        </w:rPr>
      </w:pPr>
    </w:p>
    <w:p w14:paraId="26A6BF67" w14:textId="77777777" w:rsidR="00A161C6" w:rsidRDefault="00A161C6" w:rsidP="00A161C6">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se ha pronunciado sobre las características del contrato de prestación de servicios y sobre la autonomía de las entidades estatales para estructurar su Proceso de Contratación, entre otros, en el Concepto C-1836 del 5 de enero de 2026. Los conceptos emitidos por la Agencia pueden consultarse </w:t>
      </w:r>
      <w:r>
        <w:rPr>
          <w:rFonts w:ascii="Verdana" w:hAnsi="Verdana" w:cs="Arial"/>
          <w:shd w:val="clear" w:color="auto" w:fill="FFFFFF"/>
        </w:rPr>
        <w:lastRenderedPageBreak/>
        <w:t>en el siguiente enlace:</w:t>
      </w:r>
    </w:p>
    <w:p w14:paraId="66098B70" w14:textId="77777777" w:rsidR="00A161C6" w:rsidRDefault="00A161C6" w:rsidP="00A161C6">
      <w:pPr>
        <w:widowControl w:val="0"/>
        <w:autoSpaceDE w:val="0"/>
        <w:autoSpaceDN w:val="0"/>
        <w:spacing w:after="0" w:line="276" w:lineRule="auto"/>
        <w:jc w:val="both"/>
        <w:rPr>
          <w:rStyle w:val="normaltextrun"/>
          <w:rFonts w:ascii="Verdana" w:hAnsi="Verdana" w:cs="Arial"/>
          <w:shd w:val="clear" w:color="auto" w:fill="FFFFFF"/>
        </w:rPr>
      </w:pPr>
    </w:p>
    <w:p w14:paraId="17372A4C" w14:textId="77777777" w:rsidR="00A161C6" w:rsidRPr="009037F6" w:rsidRDefault="00A161C6" w:rsidP="00A161C6">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p>
    <w:p w14:paraId="3A5E5A96" w14:textId="77777777" w:rsidR="00A161C6" w:rsidRPr="009037F6" w:rsidRDefault="00A161C6" w:rsidP="00A161C6">
      <w:pPr>
        <w:spacing w:after="0"/>
        <w:jc w:val="both"/>
        <w:rPr>
          <w:rFonts w:ascii="Verdana" w:hAnsi="Verdana"/>
        </w:rPr>
      </w:pPr>
    </w:p>
    <w:p w14:paraId="50C5F014" w14:textId="77777777" w:rsidR="00A161C6" w:rsidRDefault="00A161C6" w:rsidP="00A161C6">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549802F6" w14:textId="77777777" w:rsidR="00A161C6" w:rsidRPr="009A385A" w:rsidRDefault="00A161C6" w:rsidP="00A161C6">
      <w:pPr>
        <w:spacing w:after="0"/>
        <w:jc w:val="both"/>
        <w:rPr>
          <w:rFonts w:ascii="Verdana" w:hAnsi="Verdana"/>
        </w:rPr>
      </w:pPr>
    </w:p>
    <w:p w14:paraId="66B66D15" w14:textId="77777777" w:rsidR="00A161C6" w:rsidRDefault="00A161C6" w:rsidP="00A161C6">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7F83B709" w14:textId="77777777" w:rsidR="00A161C6" w:rsidRDefault="00A161C6" w:rsidP="00A161C6">
      <w:pPr>
        <w:spacing w:after="0"/>
        <w:jc w:val="both"/>
        <w:rPr>
          <w:rFonts w:ascii="Verdana" w:hAnsi="Verdana"/>
        </w:rPr>
      </w:pPr>
    </w:p>
    <w:p w14:paraId="7B11D07F" w14:textId="77777777" w:rsidR="00A161C6" w:rsidRPr="008E1CD7" w:rsidRDefault="00A161C6" w:rsidP="00A161C6">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5789E7B" w14:textId="77777777" w:rsidR="00A161C6" w:rsidRDefault="00A161C6" w:rsidP="00A161C6">
      <w:pPr>
        <w:shd w:val="clear" w:color="auto" w:fill="FFFFFF"/>
        <w:spacing w:after="0" w:line="276" w:lineRule="auto"/>
        <w:jc w:val="both"/>
        <w:rPr>
          <w:rFonts w:ascii="Verdana" w:hAnsi="Verdana"/>
          <w:color w:val="000000"/>
          <w:u w:val="single"/>
        </w:rPr>
      </w:pPr>
    </w:p>
    <w:p w14:paraId="2F64C8C0" w14:textId="77777777" w:rsidR="00A161C6" w:rsidRPr="0038088D" w:rsidRDefault="00A161C6" w:rsidP="00A161C6">
      <w:pPr>
        <w:spacing w:after="0"/>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8762F2A" w14:textId="77777777" w:rsidR="00A161C6" w:rsidRPr="0038088D" w:rsidRDefault="00A161C6" w:rsidP="00A161C6">
      <w:pPr>
        <w:spacing w:after="0"/>
        <w:jc w:val="both"/>
        <w:rPr>
          <w:rFonts w:ascii="Verdana" w:hAnsi="Verdana"/>
        </w:rPr>
      </w:pPr>
    </w:p>
    <w:p w14:paraId="78FC27AF" w14:textId="77777777" w:rsidR="00A161C6" w:rsidRPr="0038088D" w:rsidRDefault="00A161C6" w:rsidP="00A161C6">
      <w:pPr>
        <w:pStyle w:val="Prrafodelista"/>
        <w:numPr>
          <w:ilvl w:val="0"/>
          <w:numId w:val="1"/>
        </w:numPr>
        <w:spacing w:after="0" w:line="240" w:lineRule="auto"/>
        <w:jc w:val="both"/>
        <w:rPr>
          <w:rFonts w:ascii="Verdana" w:eastAsia="Verdana" w:hAnsi="Verdana" w:cs="Verdana"/>
          <w:color w:val="156082"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7C8B6513" w14:textId="77777777" w:rsidR="00A161C6" w:rsidRPr="0038088D" w:rsidRDefault="00A161C6" w:rsidP="00A161C6">
      <w:pPr>
        <w:pStyle w:val="Prrafodelista"/>
        <w:numPr>
          <w:ilvl w:val="0"/>
          <w:numId w:val="1"/>
        </w:numPr>
        <w:spacing w:after="0"/>
        <w:rPr>
          <w:rFonts w:ascii="Verdana" w:eastAsia="Verdana" w:hAnsi="Verdana" w:cs="Verdana"/>
          <w:color w:val="156082"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0AB17787" w14:textId="77777777" w:rsidR="00A161C6" w:rsidRPr="0038088D" w:rsidRDefault="00A161C6" w:rsidP="00A161C6">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7">
        <w:r w:rsidRPr="0038088D">
          <w:rPr>
            <w:rStyle w:val="Hipervnculo"/>
            <w:rFonts w:ascii="Verdana" w:eastAsia="Verdana" w:hAnsi="Verdana" w:cs="Verdana"/>
          </w:rPr>
          <w:t>ventanilladeradicacion@colombiacompra.gov.co</w:t>
        </w:r>
      </w:hyperlink>
    </w:p>
    <w:p w14:paraId="55431FA1" w14:textId="77777777" w:rsidR="00A161C6" w:rsidRPr="0038088D" w:rsidRDefault="00A161C6" w:rsidP="00A161C6">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8">
        <w:r w:rsidRPr="0038088D">
          <w:rPr>
            <w:rStyle w:val="Hipervnculo"/>
            <w:rFonts w:ascii="Verdana" w:eastAsia="Verdana" w:hAnsi="Verdana" w:cs="Verdana"/>
          </w:rPr>
          <w:t>https://www.colombiacompra.gov.co/pqrsd/informacion-importante-antes-de-formular-una-pqrsd</w:t>
        </w:r>
      </w:hyperlink>
    </w:p>
    <w:p w14:paraId="0B213610" w14:textId="77777777" w:rsidR="00A161C6" w:rsidRPr="0038088D" w:rsidRDefault="00A161C6" w:rsidP="00A161C6">
      <w:pPr>
        <w:spacing w:after="0" w:line="240" w:lineRule="auto"/>
        <w:ind w:left="720"/>
        <w:jc w:val="both"/>
        <w:rPr>
          <w:rFonts w:ascii="Verdana" w:hAnsi="Verdana"/>
        </w:rPr>
      </w:pPr>
    </w:p>
    <w:p w14:paraId="1423BDBC" w14:textId="77777777" w:rsidR="00A161C6" w:rsidRPr="0038088D" w:rsidRDefault="00A161C6" w:rsidP="00A161C6">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9"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3A32986F" w14:textId="77777777" w:rsidR="00A161C6" w:rsidRPr="0038088D" w:rsidRDefault="00A161C6" w:rsidP="00A161C6">
      <w:pPr>
        <w:spacing w:after="0" w:line="240" w:lineRule="auto"/>
        <w:rPr>
          <w:rFonts w:ascii="Verdana" w:hAnsi="Verdana"/>
        </w:rPr>
      </w:pPr>
    </w:p>
    <w:p w14:paraId="420EAA93" w14:textId="77777777" w:rsidR="00A161C6" w:rsidRPr="0038088D" w:rsidRDefault="00A161C6" w:rsidP="00A161C6">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47B2917C" w14:textId="77777777" w:rsidR="00A161C6" w:rsidRPr="00116940" w:rsidRDefault="00A161C6" w:rsidP="00A161C6">
      <w:pPr>
        <w:spacing w:after="0" w:line="240" w:lineRule="auto"/>
        <w:jc w:val="both"/>
        <w:rPr>
          <w:rFonts w:ascii="Verdana" w:hAnsi="Verdana"/>
        </w:rPr>
      </w:pPr>
    </w:p>
    <w:p w14:paraId="288411D9" w14:textId="77777777" w:rsidR="00A161C6" w:rsidRPr="00116940" w:rsidRDefault="00A161C6" w:rsidP="00A161C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DAD7677" w14:textId="77777777" w:rsidR="00A161C6" w:rsidRPr="00116940" w:rsidRDefault="00A161C6" w:rsidP="00A161C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2A69BC2" w14:textId="77777777" w:rsidR="00A161C6" w:rsidRPr="00E22E6E" w:rsidRDefault="00A161C6" w:rsidP="00A161C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CB223F0" w14:textId="77777777" w:rsidR="00A161C6" w:rsidRPr="009C4035" w:rsidRDefault="00A161C6" w:rsidP="00A161C6">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9198C73" w14:textId="77777777" w:rsidR="00A161C6" w:rsidRPr="00593A5F" w:rsidRDefault="00A161C6" w:rsidP="00A161C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042DDE97" w14:textId="77777777" w:rsidR="00A161C6" w:rsidRDefault="00A161C6" w:rsidP="00A161C6">
      <w:pPr>
        <w:widowControl w:val="0"/>
        <w:autoSpaceDE w:val="0"/>
        <w:autoSpaceDN w:val="0"/>
        <w:spacing w:after="0" w:line="276" w:lineRule="auto"/>
        <w:jc w:val="both"/>
        <w:rPr>
          <w:rFonts w:ascii="Verdana" w:hAnsi="Verdana" w:cs="Arial"/>
        </w:rPr>
      </w:pPr>
    </w:p>
    <w:p w14:paraId="453A52E9" w14:textId="59A530FE" w:rsidR="00A161C6" w:rsidRPr="00A161C6" w:rsidRDefault="00A161C6" w:rsidP="00A161C6">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2AB2138A" w14:textId="67D9FF85" w:rsidR="00A161C6" w:rsidRPr="008D539F" w:rsidRDefault="00A161C6" w:rsidP="00A161C6">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312C7832" wp14:editId="12EE633E">
            <wp:extent cx="2636054" cy="978535"/>
            <wp:effectExtent l="0" t="0" r="5715"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2659896" cy="987385"/>
                    </a:xfrm>
                    <a:prstGeom prst="rect">
                      <a:avLst/>
                    </a:prstGeom>
                  </pic:spPr>
                </pic:pic>
              </a:graphicData>
            </a:graphic>
          </wp:inline>
        </w:drawing>
      </w:r>
    </w:p>
    <w:p w14:paraId="0CA45679" w14:textId="77777777" w:rsidR="00A161C6" w:rsidRPr="008D539F" w:rsidRDefault="00A161C6" w:rsidP="00A161C6">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161C6" w:rsidRPr="008D539F" w14:paraId="5765FD65" w14:textId="77777777" w:rsidTr="004B4C64">
        <w:trPr>
          <w:trHeight w:val="322"/>
        </w:trPr>
        <w:tc>
          <w:tcPr>
            <w:tcW w:w="733" w:type="dxa"/>
            <w:tcBorders>
              <w:top w:val="nil"/>
              <w:left w:val="nil"/>
              <w:bottom w:val="nil"/>
              <w:right w:val="nil"/>
            </w:tcBorders>
            <w:vAlign w:val="center"/>
            <w:hideMark/>
          </w:tcPr>
          <w:p w14:paraId="1796226C" w14:textId="77777777" w:rsidR="00A161C6" w:rsidRPr="008D539F" w:rsidRDefault="00A161C6" w:rsidP="004B4C64">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5B34121" w14:textId="77777777" w:rsidR="00A161C6" w:rsidRPr="008D539F" w:rsidRDefault="00A161C6" w:rsidP="004B4C64">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Camilo J Martínez M </w:t>
            </w:r>
          </w:p>
          <w:p w14:paraId="78D67C28" w14:textId="77777777" w:rsidR="00A161C6" w:rsidRPr="008D539F" w:rsidRDefault="00A161C6" w:rsidP="004B4C64">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Contratista de la</w:t>
            </w:r>
            <w:r w:rsidRPr="008D539F">
              <w:rPr>
                <w:rFonts w:ascii="Verdana" w:eastAsia="Times New Roman" w:hAnsi="Verdana" w:cs="Arial"/>
                <w:sz w:val="16"/>
                <w:szCs w:val="16"/>
                <w:lang w:eastAsia="es-ES"/>
              </w:rPr>
              <w:t xml:space="preserve"> Subdirección de Gestión Contractual</w:t>
            </w:r>
          </w:p>
        </w:tc>
      </w:tr>
      <w:tr w:rsidR="00A161C6" w:rsidRPr="008D539F" w14:paraId="45EB46B4" w14:textId="77777777" w:rsidTr="004B4C64">
        <w:trPr>
          <w:trHeight w:val="322"/>
        </w:trPr>
        <w:tc>
          <w:tcPr>
            <w:tcW w:w="733" w:type="dxa"/>
            <w:tcBorders>
              <w:top w:val="nil"/>
              <w:left w:val="nil"/>
              <w:bottom w:val="nil"/>
              <w:right w:val="nil"/>
            </w:tcBorders>
            <w:vAlign w:val="center"/>
            <w:hideMark/>
          </w:tcPr>
          <w:p w14:paraId="7EB6F70F" w14:textId="77777777" w:rsidR="00A161C6" w:rsidRPr="008D539F" w:rsidRDefault="00A161C6" w:rsidP="004B4C64">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C3105D1" w14:textId="77777777" w:rsidR="00A161C6" w:rsidRPr="008D539F" w:rsidRDefault="00A161C6" w:rsidP="004B4C64">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Saavedra</w:t>
            </w:r>
          </w:p>
          <w:p w14:paraId="0FB8F713" w14:textId="77777777" w:rsidR="00A161C6" w:rsidRPr="008D539F" w:rsidRDefault="00A161C6" w:rsidP="004B4C64">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A161C6" w:rsidRPr="008D539F" w14:paraId="581A0991" w14:textId="77777777" w:rsidTr="004B4C64">
        <w:trPr>
          <w:trHeight w:val="307"/>
        </w:trPr>
        <w:tc>
          <w:tcPr>
            <w:tcW w:w="733" w:type="dxa"/>
            <w:tcBorders>
              <w:top w:val="nil"/>
              <w:left w:val="nil"/>
              <w:bottom w:val="nil"/>
              <w:right w:val="nil"/>
            </w:tcBorders>
            <w:vAlign w:val="center"/>
            <w:hideMark/>
          </w:tcPr>
          <w:p w14:paraId="6E044712" w14:textId="77777777" w:rsidR="00A161C6" w:rsidRPr="008D539F" w:rsidRDefault="00A161C6" w:rsidP="004B4C64">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5277C05" w14:textId="77777777" w:rsidR="00A161C6" w:rsidRPr="008D539F" w:rsidRDefault="00A161C6" w:rsidP="004B4C64">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46CD96AB" w14:textId="77777777" w:rsidR="00A161C6" w:rsidRPr="008D539F" w:rsidRDefault="00A161C6" w:rsidP="004B4C64">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78A5E202" w14:textId="77777777" w:rsidR="00307A3F" w:rsidRDefault="00307A3F"/>
    <w:sectPr w:rsidR="00307A3F" w:rsidSect="00A161C6">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B5C74" w14:textId="77777777" w:rsidR="00815E1A" w:rsidRDefault="00815E1A" w:rsidP="00A161C6">
      <w:pPr>
        <w:spacing w:after="0" w:line="240" w:lineRule="auto"/>
      </w:pPr>
      <w:r>
        <w:separator/>
      </w:r>
    </w:p>
  </w:endnote>
  <w:endnote w:type="continuationSeparator" w:id="0">
    <w:p w14:paraId="2F2B3D34" w14:textId="77777777" w:rsidR="00815E1A" w:rsidRDefault="00815E1A" w:rsidP="00A1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charset w:val="00"/>
    <w:family w:val="modern"/>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B0A3" w14:textId="77777777" w:rsidR="00A161C6" w:rsidRDefault="00A161C6">
    <w:pPr>
      <w:pStyle w:val="Piedepgina"/>
    </w:pPr>
  </w:p>
  <w:p w14:paraId="4DD62E23" w14:textId="77777777" w:rsidR="00A161C6" w:rsidRPr="00174B77" w:rsidRDefault="00A161C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CB4D526" w14:textId="77777777" w:rsidR="00A161C6" w:rsidRDefault="00A161C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061E3E1" w14:textId="77777777" w:rsidR="00A161C6" w:rsidRPr="00E41027" w:rsidRDefault="00A161C6" w:rsidP="00D520D8">
    <w:pPr>
      <w:spacing w:after="0"/>
      <w:jc w:val="both"/>
      <w:rPr>
        <w:rFonts w:ascii="Verdana" w:hAnsi="Verdana"/>
        <w:sz w:val="18"/>
        <w:szCs w:val="18"/>
      </w:rPr>
    </w:pPr>
    <w:r w:rsidRPr="00E41027">
      <w:rPr>
        <w:rFonts w:ascii="Verdana" w:hAnsi="Verdana"/>
        <w:sz w:val="18"/>
        <w:szCs w:val="18"/>
      </w:rPr>
      <w:t>Mesa de servicio: (+57) 601 7456788</w:t>
    </w:r>
  </w:p>
  <w:p w14:paraId="366FF6BF" w14:textId="77777777" w:rsidR="00A161C6" w:rsidRDefault="00A161C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1EFA6" w14:textId="77777777" w:rsidR="00815E1A" w:rsidRDefault="00815E1A" w:rsidP="00A161C6">
      <w:pPr>
        <w:spacing w:after="0" w:line="240" w:lineRule="auto"/>
      </w:pPr>
      <w:r>
        <w:separator/>
      </w:r>
    </w:p>
  </w:footnote>
  <w:footnote w:type="continuationSeparator" w:id="0">
    <w:p w14:paraId="5D155D27" w14:textId="77777777" w:rsidR="00815E1A" w:rsidRDefault="00815E1A" w:rsidP="00A161C6">
      <w:pPr>
        <w:spacing w:after="0" w:line="240" w:lineRule="auto"/>
      </w:pPr>
      <w:r>
        <w:continuationSeparator/>
      </w:r>
    </w:p>
  </w:footnote>
  <w:footnote w:id="1">
    <w:p w14:paraId="5FFA2B83"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numerales 7 y 12; Decreto 1082 de 2015, artículos 2.2.1.1.1.6.1 y 2.2.1.1.2.1.1.</w:t>
      </w:r>
    </w:p>
  </w:footnote>
  <w:footnote w:id="2">
    <w:p w14:paraId="1B6438A1"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inciso primero y numeral 3; artículos 13 y 40. Sobre las características del contrato de prestación de servicios, AGENCIA NACIONAL DE CONTRATACIÓN PÚBLICA – COLOMBIA COMPRA EFICIENTE. Subdirección de Gestión Contractual. Concepto C-1836 del 5 de enero de 2026.</w:t>
      </w:r>
    </w:p>
  </w:footnote>
  <w:footnote w:id="3">
    <w:p w14:paraId="6EDD2B83"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artículos 6, 121, 122 y 209; Ley 80 de 1993, artículos 3, 23 y 26. Ley 80 de 1993, artículo 32, numeral 3.</w:t>
      </w:r>
    </w:p>
  </w:footnote>
  <w:footnote w:id="4">
    <w:p w14:paraId="35DB352E"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909 de 2004, artículo 21, sobre los empleos de carácter temporal, materia cuya interpretación corresponde al Departamento Administrativo de la Función Pública y a la Comisión Nacional del Servicio Civil. Sobre las normas de relaciones laborales, Ley 50 de 1990, artículos 71 a 94; Decreto 1072 de 2015, Libro 2, Parte 2, Título 6, Capítulo 5, y Título 3, Capítulo 4, este último adicionado por el Decreto 0581 del 5 de junio de 2026.</w:t>
      </w:r>
    </w:p>
  </w:footnote>
  <w:footnote w:id="5">
    <w:p w14:paraId="3593F177"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50 de 1990, artículos 91, 92 y 93; Código Sustantivo del Trabajo, artículo 486, numeral 2, modificado por el artículo 7 de la Ley 1610 de 2013; Decreto 4108 de 2011, artículos 1 y 2. En el mismo sentido, CONSEJO DE ESTADO. Sala de lo Contencioso Administrativo. Sección Segunda. Sentencia del 19 de febrero de 2014. Rad. 11001-03-25-000-2007-00055-00 (1096-07). C.P. Gerardo Arenas Monsalve.</w:t>
      </w:r>
    </w:p>
  </w:footnote>
  <w:footnote w:id="6">
    <w:p w14:paraId="07A32E36"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Sala de lo Contencioso Administrativo. Sección Segunda, Subsección B. Sentencia del 6 de julio de 2017. Rad. 11001-03-25-000-2016-00485-00 (2218-2016). El capítulo que el Decreto 583 de 2016 había adicionado al Decreto 1072 de 2015 fue derogado por el Decreto 683 de 2018, según se lee en los considerandos del Decreto 0581 del 5 de junio de 2026.</w:t>
      </w:r>
    </w:p>
  </w:footnote>
  <w:footnote w:id="7">
    <w:p w14:paraId="1A308824"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Ley 4170 de 2011, artículos 3, numeral 5, y 11, numeral 8; Resolución 1707 de 2018 de la Agencia Nacional de Contratación Pública – Colombia Compra Eficiente, artículo 4.</w:t>
      </w:r>
    </w:p>
  </w:footnote>
  <w:footnote w:id="8">
    <w:p w14:paraId="52E37B3C"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1437 de 2011, artículo 28, sustituido por el artículo 1 de la Ley 1755 de 2015.</w:t>
      </w:r>
    </w:p>
  </w:footnote>
  <w:footnote w:id="9">
    <w:p w14:paraId="7BFB8270"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inciso primero, que reconoce como contratos estatales los derivados del ejercicio de la autonomía de la voluntad; y artículo 40, inciso primero, sobre el contenido del contrato estatal.</w:t>
      </w:r>
    </w:p>
  </w:footnote>
  <w:footnote w:id="10">
    <w:p w14:paraId="7AC7F420"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numerales 7 y 12; este último modificado por el artículo 87 de la Ley 1474 de 2011.</w:t>
      </w:r>
    </w:p>
  </w:footnote>
  <w:footnote w:id="11">
    <w:p w14:paraId="63ED6FFA"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2.2.1.1.2.1.1 y 2.2.1.1.1.6.1.</w:t>
      </w:r>
    </w:p>
  </w:footnote>
  <w:footnote w:id="12">
    <w:p w14:paraId="26EDA981"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En sentido concordante sobre la autonomía de la entidad para estructurar su Proceso de Contratación, AGENCIA NACIONAL DE CONTRATACIÓN PÚBLICA – COLOMBIA COMPRA EFICIENTE. Subdirección de Gestión Contractual. Concepto C-1836 del 5 de enero de 2026.</w:t>
      </w:r>
    </w:p>
  </w:footnote>
  <w:footnote w:id="13">
    <w:p w14:paraId="068C91FC"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artículos 6, 121, 122 y 209; Ley 80 de 1993, artículos 3, 23 y 26.</w:t>
      </w:r>
    </w:p>
  </w:footnote>
  <w:footnote w:id="14">
    <w:p w14:paraId="59C91509"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inciso primero.</w:t>
      </w:r>
    </w:p>
  </w:footnote>
  <w:footnote w:id="15">
    <w:p w14:paraId="1238E5B8"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13 y 40.</w:t>
      </w:r>
    </w:p>
  </w:footnote>
  <w:footnote w:id="16">
    <w:p w14:paraId="2BD18974"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w:t>
      </w:r>
    </w:p>
  </w:footnote>
  <w:footnote w:id="17">
    <w:p w14:paraId="2092F72B"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C-1836 del 5 de enero de 2026. La causal de contratación directa está prevista en el literal h) del numeral 4 del artículo 2 de la Ley 1150 de 2007.</w:t>
      </w:r>
    </w:p>
  </w:footnote>
  <w:footnote w:id="18">
    <w:p w14:paraId="4120DFCC"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Sobre la subordinación como elemento diferenciador, AGENCIA NACIONAL DE CONTRATACIÓN PÚBLICA – COLOMBIA COMPRA EFICIENTE. Subdirección de Gestión Contractual. Concepto C-1836 del 5 de enero de 2026.</w:t>
      </w:r>
    </w:p>
  </w:footnote>
  <w:footnote w:id="19">
    <w:p w14:paraId="25367146"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909 de 2004, artículo 21. Se advierte que el hecho de que la consulta haya sido trasladada a esta Agencia por el Departamento Administrativo de la Función Pública no amplía la competencia consultiva que el Decreto Ley 4170 de 2011 le atribuye, la cual está circunscrita a las normas del sistema de compras y contratación pública.</w:t>
      </w:r>
    </w:p>
  </w:footnote>
  <w:footnote w:id="20">
    <w:p w14:paraId="34A44DF1"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50 de 1990, artículos 71, 73 y 74, según se sintetiza en CONSEJO DE ESTADO. Sala de lo Contencioso Administrativo. Sección Segunda. Sentencia del 19 de febrero de 2014. Rad. 11001-03-25-000-2007-00055-00 (1096-07). C.P. Gerardo Arenas Monsalve.</w:t>
      </w:r>
    </w:p>
  </w:footnote>
  <w:footnote w:id="21">
    <w:p w14:paraId="1E4EE348"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50 de 1990, artículo 77, adicionado por el artículo 45 de la Ley 2466 de 2025. CORTE CONSTITUCIONAL. Sentencia C-330 de 1995. M.P. Jorge Arango Mejía, citada en CONSEJO DE ESTADO. Sala de lo Contencioso Administrativo. Sección Segunda. Sentencia del 19 de febrero de 2014. Rad. 11001-03-25-000-2007-00055-00 (1096-07). C.P. Gerardo Arenas Monsalve.</w:t>
      </w:r>
    </w:p>
  </w:footnote>
  <w:footnote w:id="22">
    <w:p w14:paraId="5371F4A2"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1072 de 2015, Libro 2, Parte 2, Título 6, Capítulo 5, artículos 2.2.6.5.1 y siguientes, que compilaron el Decreto 4369 de 2006; y Título 3, Capítulo 4, artículos 2.2.3.4.1 a 2.2.3.4.7, adicionado por el Decreto 0581 del 5 de junio de 2026.</w:t>
      </w:r>
    </w:p>
  </w:footnote>
  <w:footnote w:id="23">
    <w:p w14:paraId="55C2BC86"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4108 de 2011, artículos 1 y 2. La denominación proviene del artículo 7 de la Ley 1444 de 2011, que reorganizó el Ministerio de la Protección Social bajo el nombre de Ministerio del Trabajo.</w:t>
      </w:r>
    </w:p>
  </w:footnote>
  <w:footnote w:id="24">
    <w:p w14:paraId="2AC73A12"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50 de 1990, artículos 82, 91, 92 y 93.</w:t>
      </w:r>
    </w:p>
  </w:footnote>
  <w:footnote w:id="25">
    <w:p w14:paraId="380B92C4"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Sustantivo del Trabajo, artículo 486, numeral 2, modificado por el artículo 7 de la Ley 1610 de 2013; Decreto 1072 de 2015, artículo 2.2.3.4.7, adicionado por el Decreto 0581 del 5 de junio de 2026.</w:t>
      </w:r>
    </w:p>
  </w:footnote>
  <w:footnote w:id="26">
    <w:p w14:paraId="2F0A34F5"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Sala de lo Contencioso Administrativo. Sección Segunda. Sentencia del 19 de febrero de 2014. Rad. 11001-03-25-000-2007-00055-00 (1096-07). C.P. Gerardo Arenas Monsalve.</w:t>
      </w:r>
    </w:p>
  </w:footnote>
  <w:footnote w:id="27">
    <w:p w14:paraId="359E66FB"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 53; Código Sustantivo del Trabajo, artículos 34, numeral 2, modificado por el artículo 44 de la Ley 2466 de 2025, y 35, numeral 3. En el mismo sentido, CORTE SUPREMA DE JUSTICIA. Sala de Casación Laboral. Sentencia del 24 de abril de 1997. Rad. 9435. M.P. Francisco Escobar Henríquez, citada en CONSEJO DE ESTADO. Sala de lo Contencioso Administrativo. Sección Segunda. Sentencia del 19 de febrero de 2014. Rad. 11001-03-25-000-2007-00055-00 (1096-07). C.P. Gerardo Arenas Monsalve.</w:t>
      </w:r>
    </w:p>
  </w:footnote>
  <w:footnote w:id="28">
    <w:p w14:paraId="18E18C12"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50 de 1990, artículos 71 a 94; Ley 2466 de 2025, artículos 44 y 45; Código Sustantivo del Trabajo, artículos 6, 34, 35 y 486, numeral 2; Ley 1610 de 2013, artículo 7; Ley 1429 de 2010, artículo 63. Todas estas disposiciones se encuentran vigentes a la fecha de expedición de este concepto.</w:t>
      </w:r>
    </w:p>
  </w:footnote>
  <w:footnote w:id="29">
    <w:p w14:paraId="1FC73CB2"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1072 de 2015, artículos 2.2.6.5.1 y siguientes, y 2.2.3.4.1 a 2.2.3.4.7, estos últimos adicionados por el Decreto 0581 del 5 de junio de 2026; Decreto 2025 de 2011. Disposiciones vigentes a la fecha de expedición de este concepto.</w:t>
      </w:r>
    </w:p>
  </w:footnote>
  <w:footnote w:id="30">
    <w:p w14:paraId="39704E4F"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2021 de 2018 del Ministerio del Trabajo.</w:t>
      </w:r>
    </w:p>
  </w:footnote>
  <w:footnote w:id="31">
    <w:p w14:paraId="2478F7C8" w14:textId="77777777" w:rsidR="00A161C6" w:rsidRDefault="00A161C6" w:rsidP="00A161C6">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Sala de lo Contencioso Administrativo. Sección Segunda, Subsección B. Sentencia del 6 de julio de 2017. Rad. 11001-03-25-000-2016-00485-00 (2218-2016). La derogatoria operada por el Decreto 683 de 2018 consta en los considerandos del Decreto 0581 del 5 de junio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14C5" w14:textId="77777777" w:rsidR="00A161C6" w:rsidRDefault="00A161C6"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0288" behindDoc="1" locked="0" layoutInCell="1" allowOverlap="1" wp14:anchorId="2A621C68" wp14:editId="10E8793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9264" behindDoc="0" locked="0" layoutInCell="1" allowOverlap="1" wp14:anchorId="417F8FCB" wp14:editId="55BC43E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BAA7459" w14:textId="77777777" w:rsidR="00A161C6" w:rsidRDefault="00A161C6">
    <w:pPr>
      <w:pStyle w:val="Encabezado"/>
    </w:pPr>
  </w:p>
  <w:p w14:paraId="053E6FAC" w14:textId="77777777" w:rsidR="00A161C6" w:rsidRPr="004A305D" w:rsidRDefault="00A161C6" w:rsidP="00B01B1A">
    <w:pPr>
      <w:spacing w:after="0" w:line="120" w:lineRule="auto"/>
      <w:rPr>
        <w:rFonts w:ascii="Century Gothic" w:eastAsia="Geo" w:hAnsi="Century Gothic" w:cs="Geo"/>
        <w:sz w:val="16"/>
        <w:szCs w:val="16"/>
        <w:lang w:eastAsia="es-CO"/>
      </w:rPr>
    </w:pPr>
  </w:p>
  <w:p w14:paraId="474EDE32" w14:textId="77777777" w:rsidR="00A161C6" w:rsidRDefault="00A161C6" w:rsidP="00844AE9">
    <w:pPr>
      <w:spacing w:after="0" w:line="240" w:lineRule="auto"/>
      <w:rPr>
        <w:rFonts w:ascii="Verdana" w:hAnsi="Verdana"/>
        <w:sz w:val="24"/>
        <w:szCs w:val="24"/>
      </w:rPr>
    </w:pPr>
  </w:p>
  <w:p w14:paraId="37AEED4B" w14:textId="77777777" w:rsidR="00A161C6" w:rsidRPr="00C925AC" w:rsidRDefault="00A161C6" w:rsidP="00844AE9">
    <w:pPr>
      <w:spacing w:after="0" w:line="240" w:lineRule="auto"/>
      <w:rPr>
        <w:rFonts w:ascii="Verdana" w:hAnsi="Verdana"/>
        <w:sz w:val="24"/>
        <w:szCs w:val="24"/>
      </w:rPr>
    </w:pPr>
  </w:p>
  <w:p w14:paraId="4CD23AE0" w14:textId="77777777" w:rsidR="00A161C6" w:rsidRPr="00C925AC" w:rsidRDefault="00A161C6"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68184482">
    <w:abstractNumId w:val="2"/>
  </w:num>
  <w:num w:numId="2" w16cid:durableId="986013926">
    <w:abstractNumId w:val="0"/>
  </w:num>
  <w:num w:numId="3" w16cid:durableId="173233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C6"/>
    <w:rsid w:val="00046C6B"/>
    <w:rsid w:val="000D25A4"/>
    <w:rsid w:val="001C4B14"/>
    <w:rsid w:val="00307A3F"/>
    <w:rsid w:val="003211A9"/>
    <w:rsid w:val="003C6384"/>
    <w:rsid w:val="00815E1A"/>
    <w:rsid w:val="00A161C6"/>
    <w:rsid w:val="00A924B1"/>
    <w:rsid w:val="00AA1C9E"/>
    <w:rsid w:val="00D338B1"/>
    <w:rsid w:val="00E90C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6A37"/>
  <w15:chartTrackingRefBased/>
  <w15:docId w15:val="{0AF55351-FF39-184E-9E7C-D6BA19BC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1C6"/>
    <w:pPr>
      <w:spacing w:line="259" w:lineRule="auto"/>
    </w:pPr>
    <w:rPr>
      <w:kern w:val="0"/>
      <w:sz w:val="22"/>
      <w:szCs w:val="22"/>
      <w14:ligatures w14:val="none"/>
    </w:rPr>
  </w:style>
  <w:style w:type="paragraph" w:styleId="Ttulo1">
    <w:name w:val="heading 1"/>
    <w:basedOn w:val="Normal"/>
    <w:next w:val="Normal"/>
    <w:link w:val="Ttulo1Car"/>
    <w:uiPriority w:val="9"/>
    <w:qFormat/>
    <w:rsid w:val="00A161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61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61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61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61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61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61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61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61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61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61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61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61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61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61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61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61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61C6"/>
    <w:rPr>
      <w:rFonts w:eastAsiaTheme="majorEastAsia" w:cstheme="majorBidi"/>
      <w:color w:val="272727" w:themeColor="text1" w:themeTint="D8"/>
    </w:rPr>
  </w:style>
  <w:style w:type="paragraph" w:styleId="Ttulo">
    <w:name w:val="Title"/>
    <w:basedOn w:val="Normal"/>
    <w:next w:val="Normal"/>
    <w:link w:val="TtuloCar"/>
    <w:uiPriority w:val="10"/>
    <w:qFormat/>
    <w:rsid w:val="00A16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61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61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61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61C6"/>
    <w:pPr>
      <w:spacing w:before="160"/>
      <w:jc w:val="center"/>
    </w:pPr>
    <w:rPr>
      <w:i/>
      <w:iCs/>
      <w:color w:val="404040" w:themeColor="text1" w:themeTint="BF"/>
    </w:rPr>
  </w:style>
  <w:style w:type="character" w:customStyle="1" w:styleId="CitaCar">
    <w:name w:val="Cita Car"/>
    <w:basedOn w:val="Fuentedeprrafopredeter"/>
    <w:link w:val="Cita"/>
    <w:uiPriority w:val="29"/>
    <w:rsid w:val="00A161C6"/>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161C6"/>
    <w:pPr>
      <w:ind w:left="720"/>
      <w:contextualSpacing/>
    </w:pPr>
  </w:style>
  <w:style w:type="character" w:styleId="nfasisintenso">
    <w:name w:val="Intense Emphasis"/>
    <w:basedOn w:val="Fuentedeprrafopredeter"/>
    <w:uiPriority w:val="21"/>
    <w:qFormat/>
    <w:rsid w:val="00A161C6"/>
    <w:rPr>
      <w:i/>
      <w:iCs/>
      <w:color w:val="0F4761" w:themeColor="accent1" w:themeShade="BF"/>
    </w:rPr>
  </w:style>
  <w:style w:type="paragraph" w:styleId="Citadestacada">
    <w:name w:val="Intense Quote"/>
    <w:basedOn w:val="Normal"/>
    <w:next w:val="Normal"/>
    <w:link w:val="CitadestacadaCar"/>
    <w:uiPriority w:val="30"/>
    <w:qFormat/>
    <w:rsid w:val="00A16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61C6"/>
    <w:rPr>
      <w:i/>
      <w:iCs/>
      <w:color w:val="0F4761" w:themeColor="accent1" w:themeShade="BF"/>
    </w:rPr>
  </w:style>
  <w:style w:type="character" w:styleId="Referenciaintensa">
    <w:name w:val="Intense Reference"/>
    <w:basedOn w:val="Fuentedeprrafopredeter"/>
    <w:uiPriority w:val="32"/>
    <w:qFormat/>
    <w:rsid w:val="00A161C6"/>
    <w:rPr>
      <w:b/>
      <w:bCs/>
      <w:smallCaps/>
      <w:color w:val="0F4761" w:themeColor="accent1" w:themeShade="BF"/>
      <w:spacing w:val="5"/>
    </w:rPr>
  </w:style>
  <w:style w:type="paragraph" w:styleId="Encabezado">
    <w:name w:val="header"/>
    <w:basedOn w:val="Normal"/>
    <w:link w:val="EncabezadoCar"/>
    <w:uiPriority w:val="99"/>
    <w:unhideWhenUsed/>
    <w:rsid w:val="00A161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61C6"/>
    <w:rPr>
      <w:kern w:val="0"/>
      <w:sz w:val="22"/>
      <w:szCs w:val="22"/>
      <w14:ligatures w14:val="none"/>
    </w:rPr>
  </w:style>
  <w:style w:type="paragraph" w:styleId="Piedepgina">
    <w:name w:val="footer"/>
    <w:basedOn w:val="Normal"/>
    <w:link w:val="PiedepginaCar"/>
    <w:uiPriority w:val="99"/>
    <w:unhideWhenUsed/>
    <w:rsid w:val="00A161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61C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161C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161C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161C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161C6"/>
    <w:rPr>
      <w:vertAlign w:val="superscript"/>
    </w:rPr>
  </w:style>
  <w:style w:type="character" w:customStyle="1" w:styleId="normaltextrun">
    <w:name w:val="normaltextrun"/>
    <w:basedOn w:val="Fuentedeprrafopredeter"/>
    <w:rsid w:val="00A161C6"/>
  </w:style>
  <w:style w:type="character" w:styleId="Hipervnculo">
    <w:name w:val="Hyperlink"/>
    <w:basedOn w:val="Fuentedeprrafopredeter"/>
    <w:uiPriority w:val="99"/>
    <w:unhideWhenUsed/>
    <w:rsid w:val="00A161C6"/>
    <w:rPr>
      <w:color w:val="0000FF"/>
      <w:u w:val="single"/>
    </w:rPr>
  </w:style>
  <w:style w:type="paragraph" w:customStyle="1" w:styleId="Appelnotedebasde">
    <w:name w:val="Appel note de bas de..."/>
    <w:basedOn w:val="Normal"/>
    <w:link w:val="Refdenotaalpie"/>
    <w:uiPriority w:val="99"/>
    <w:rsid w:val="00A161C6"/>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61C6"/>
  </w:style>
  <w:style w:type="table" w:customStyle="1" w:styleId="Tablaconcuadrcula11">
    <w:name w:val="Tabla con cuadrícula11"/>
    <w:basedOn w:val="Tablanormal"/>
    <w:next w:val="Tablaconcuadrcula"/>
    <w:uiPriority w:val="59"/>
    <w:qFormat/>
    <w:rsid w:val="00A161C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A161C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16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estrategiastemporales@outlook.es"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ridico@estrategiastemporales.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F36EB6-EB33-4621-8BD2-8D2401A33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9CCA5-0A04-46CB-99C3-456967EC600A}">
  <ds:schemaRefs>
    <ds:schemaRef ds:uri="http://schemas.microsoft.com/sharepoint/v3/contenttype/forms"/>
  </ds:schemaRefs>
</ds:datastoreItem>
</file>

<file path=customXml/itemProps3.xml><?xml version="1.0" encoding="utf-8"?>
<ds:datastoreItem xmlns:ds="http://schemas.openxmlformats.org/officeDocument/2006/customXml" ds:itemID="{755E2DE6-5721-45CC-9FA8-5424A9A51F9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6133</Words>
  <Characters>33734</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José Martínez Martínez</dc:creator>
  <cp:keywords/>
  <dc:description/>
  <cp:lastModifiedBy>Sergio Andrés Rivera Cano</cp:lastModifiedBy>
  <cp:revision>3</cp:revision>
  <dcterms:created xsi:type="dcterms:W3CDTF">2026-09-03T14:37:00Z</dcterms:created>
  <dcterms:modified xsi:type="dcterms:W3CDTF">2026-09-03T16:31:00Z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