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6AF0C8" w14:textId="77777777" w:rsidR="00AA3A70" w:rsidRPr="005534FB" w:rsidRDefault="00AA3A70" w:rsidP="00AA3A70">
      <w:pPr>
        <w:spacing w:after="0" w:line="240" w:lineRule="auto"/>
        <w:jc w:val="both"/>
        <w:rPr>
          <w:rFonts w:ascii="Verdana" w:eastAsia="Calibri" w:hAnsi="Verdana" w:cs="Arial"/>
          <w:b/>
          <w:color w:val="000000"/>
          <w:lang w:val="es-ES_tradnl"/>
        </w:rPr>
      </w:pPr>
      <w:r w:rsidRPr="005534FB">
        <w:rPr>
          <w:rFonts w:ascii="Verdana" w:eastAsia="Calibri" w:hAnsi="Verdana" w:cs="Arial"/>
          <w:b/>
          <w:color w:val="000000"/>
          <w:lang w:val="es-ES_tradnl"/>
        </w:rPr>
        <w:t xml:space="preserve">ASOCIACIONES PÚBLICO PRIVADAS – Formas de colaboración </w:t>
      </w:r>
    </w:p>
    <w:p w14:paraId="7BA3FFCB" w14:textId="77777777" w:rsidR="00AA3A70" w:rsidRPr="005534FB" w:rsidRDefault="00AA3A70" w:rsidP="00AA3A70">
      <w:pPr>
        <w:tabs>
          <w:tab w:val="left" w:pos="1816"/>
        </w:tabs>
        <w:spacing w:after="0" w:line="240" w:lineRule="auto"/>
        <w:jc w:val="both"/>
        <w:rPr>
          <w:rFonts w:ascii="Verdana" w:eastAsia="Calibri" w:hAnsi="Verdana" w:cs="Arial"/>
          <w:b/>
          <w:color w:val="000000"/>
          <w:sz w:val="20"/>
          <w:szCs w:val="20"/>
          <w:lang w:val="es-ES_tradnl"/>
        </w:rPr>
      </w:pPr>
      <w:r w:rsidRPr="005534FB">
        <w:rPr>
          <w:rFonts w:ascii="Verdana" w:eastAsia="Calibri" w:hAnsi="Verdana" w:cs="Arial"/>
          <w:b/>
          <w:color w:val="000000"/>
          <w:sz w:val="20"/>
          <w:szCs w:val="20"/>
          <w:lang w:val="es-ES_tradnl"/>
        </w:rPr>
        <w:t xml:space="preserve"> </w:t>
      </w:r>
      <w:r w:rsidRPr="005534FB">
        <w:rPr>
          <w:rFonts w:ascii="Verdana" w:eastAsia="Calibri" w:hAnsi="Verdana" w:cs="Arial"/>
          <w:b/>
          <w:color w:val="000000"/>
          <w:sz w:val="20"/>
          <w:szCs w:val="20"/>
          <w:lang w:val="es-ES_tradnl"/>
        </w:rPr>
        <w:tab/>
      </w:r>
      <w:r w:rsidRPr="005534FB">
        <w:rPr>
          <w:rFonts w:ascii="Verdana" w:eastAsia="Calibri" w:hAnsi="Verdana" w:cs="Arial"/>
          <w:color w:val="000000"/>
          <w:sz w:val="20"/>
          <w:szCs w:val="20"/>
          <w:lang w:val="es-ES_tradnl"/>
        </w:rPr>
        <w:t xml:space="preserve"> </w:t>
      </w:r>
    </w:p>
    <w:p w14:paraId="5D991876" w14:textId="77777777" w:rsidR="00AA3A70" w:rsidRPr="005534FB" w:rsidRDefault="00AA3A70" w:rsidP="00AA3A70">
      <w:pPr>
        <w:spacing w:after="0" w:line="240" w:lineRule="auto"/>
        <w:jc w:val="both"/>
        <w:rPr>
          <w:rFonts w:ascii="Verdana" w:eastAsia="Calibri" w:hAnsi="Verdana" w:cs="Arial"/>
          <w:color w:val="000000"/>
          <w:sz w:val="20"/>
          <w:szCs w:val="20"/>
          <w:lang w:val="es-ES"/>
        </w:rPr>
      </w:pPr>
      <w:r w:rsidRPr="005534FB">
        <w:rPr>
          <w:rFonts w:ascii="Verdana" w:eastAsia="Calibri" w:hAnsi="Verdana" w:cs="Arial"/>
          <w:color w:val="000000" w:themeColor="text1"/>
          <w:sz w:val="20"/>
          <w:szCs w:val="20"/>
          <w:lang w:val="es-ES"/>
        </w:rPr>
        <w:t>Las asociaciones público privadas – APP– son formas de colaboración entre el sector público y el privado para la ejecución de proyectos estatales, a través de las cuales se retienen y transfieren riesgos entre las partes. Se trata de modalidades de negocio en las cuales la disponibilidad y el nivel de la infraestructura o servicio resultan determinantes. Así lo consideró la Corte Constitucional, expresando lo siguiente:</w:t>
      </w:r>
    </w:p>
    <w:p w14:paraId="554C61AC" w14:textId="77777777" w:rsidR="00AA3A70" w:rsidRPr="005534FB" w:rsidRDefault="00AA3A70" w:rsidP="00AA3A70">
      <w:pPr>
        <w:spacing w:after="0" w:line="240" w:lineRule="auto"/>
        <w:jc w:val="both"/>
        <w:rPr>
          <w:rFonts w:ascii="Verdana" w:eastAsia="Calibri" w:hAnsi="Verdana" w:cs="Arial"/>
          <w:color w:val="000000"/>
          <w:sz w:val="20"/>
          <w:szCs w:val="20"/>
          <w:lang w:val="es-ES_tradnl"/>
        </w:rPr>
      </w:pPr>
    </w:p>
    <w:p w14:paraId="6E4BF885" w14:textId="77777777" w:rsidR="00AA3A70" w:rsidRPr="005534FB" w:rsidRDefault="00AA3A70" w:rsidP="00AA3A70">
      <w:pPr>
        <w:spacing w:after="0" w:line="240" w:lineRule="auto"/>
        <w:jc w:val="both"/>
        <w:rPr>
          <w:rFonts w:ascii="Verdana" w:hAnsi="Verdana" w:cs="Arial"/>
          <w:noProof/>
          <w:color w:val="000000" w:themeColor="text1"/>
          <w:sz w:val="20"/>
          <w:szCs w:val="20"/>
          <w:lang w:val="es-ES"/>
        </w:rPr>
      </w:pPr>
      <w:r w:rsidRPr="005534FB">
        <w:rPr>
          <w:rFonts w:ascii="Verdana" w:eastAsia="Calibri" w:hAnsi="Verdana" w:cs="Arial"/>
          <w:color w:val="000000" w:themeColor="text1"/>
          <w:sz w:val="20"/>
          <w:szCs w:val="20"/>
          <w:lang w:val="es-ES"/>
        </w:rPr>
        <w:t>Las APP se caracterizan por: (i) tener una larga duración; (</w:t>
      </w:r>
      <w:proofErr w:type="spellStart"/>
      <w:r w:rsidRPr="005534FB">
        <w:rPr>
          <w:rFonts w:ascii="Verdana" w:eastAsia="Calibri" w:hAnsi="Verdana" w:cs="Arial"/>
          <w:color w:val="000000" w:themeColor="text1"/>
          <w:sz w:val="20"/>
          <w:szCs w:val="20"/>
          <w:lang w:val="es-ES"/>
        </w:rPr>
        <w:t>ii</w:t>
      </w:r>
      <w:proofErr w:type="spellEnd"/>
      <w:r w:rsidRPr="005534FB">
        <w:rPr>
          <w:rFonts w:ascii="Verdana" w:eastAsia="Calibri" w:hAnsi="Verdana" w:cs="Arial"/>
          <w:color w:val="000000" w:themeColor="text1"/>
          <w:sz w:val="20"/>
          <w:szCs w:val="20"/>
          <w:lang w:val="es-ES"/>
        </w:rPr>
        <w:t>) definir sus objetos alrededor de proyectos, lo que conlleva la previsión de actividades como el diseño, construcción y mantenimiento de la infraestructura pública sobre la que verse el contrato y/o los servicios asociados; (</w:t>
      </w:r>
      <w:proofErr w:type="spellStart"/>
      <w:r w:rsidRPr="005534FB">
        <w:rPr>
          <w:rFonts w:ascii="Verdana" w:eastAsia="Calibri" w:hAnsi="Verdana" w:cs="Arial"/>
          <w:color w:val="000000" w:themeColor="text1"/>
          <w:sz w:val="20"/>
          <w:szCs w:val="20"/>
          <w:lang w:val="es-ES"/>
        </w:rPr>
        <w:t>iii</w:t>
      </w:r>
      <w:proofErr w:type="spellEnd"/>
      <w:r w:rsidRPr="005534FB">
        <w:rPr>
          <w:rFonts w:ascii="Verdana" w:eastAsia="Calibri" w:hAnsi="Verdana" w:cs="Arial"/>
          <w:color w:val="000000" w:themeColor="text1"/>
          <w:sz w:val="20"/>
          <w:szCs w:val="20"/>
          <w:lang w:val="es-ES"/>
        </w:rPr>
        <w:t>) contar con financiación privada o público-privada; (</w:t>
      </w:r>
      <w:proofErr w:type="spellStart"/>
      <w:r w:rsidRPr="005534FB">
        <w:rPr>
          <w:rFonts w:ascii="Verdana" w:eastAsia="Calibri" w:hAnsi="Verdana" w:cs="Arial"/>
          <w:color w:val="000000" w:themeColor="text1"/>
          <w:sz w:val="20"/>
          <w:szCs w:val="20"/>
          <w:lang w:val="es-ES"/>
        </w:rPr>
        <w:t>iv</w:t>
      </w:r>
      <w:proofErr w:type="spellEnd"/>
      <w:r w:rsidRPr="005534FB">
        <w:rPr>
          <w:rFonts w:ascii="Verdana" w:eastAsia="Calibri" w:hAnsi="Verdana" w:cs="Arial"/>
          <w:color w:val="000000" w:themeColor="text1"/>
          <w:sz w:val="20"/>
          <w:szCs w:val="20"/>
          <w:lang w:val="es-ES"/>
        </w:rPr>
        <w:t>) establecer como forma de remuneración el otorgamiento del derecho a la explotación de la infraestructura o servicio, aunque en algunos casos es posible pactar el desembolso de recursos públicos; (v) condicionar la remuneración a niveles de calidad; (vi) trasladar parte importante de los riesgos al contratista –por ejemplo, los asociados al diseño, niveles de demanda, deterioro y mantenimiento de la infraestructura- según su capacidad y experiencia; y (</w:t>
      </w:r>
      <w:proofErr w:type="spellStart"/>
      <w:r w:rsidRPr="005534FB">
        <w:rPr>
          <w:rFonts w:ascii="Verdana" w:eastAsia="Calibri" w:hAnsi="Verdana" w:cs="Arial"/>
          <w:color w:val="000000" w:themeColor="text1"/>
          <w:sz w:val="20"/>
          <w:szCs w:val="20"/>
          <w:lang w:val="es-ES"/>
        </w:rPr>
        <w:t>vii</w:t>
      </w:r>
      <w:proofErr w:type="spellEnd"/>
      <w:r w:rsidRPr="005534FB">
        <w:rPr>
          <w:rFonts w:ascii="Verdana" w:eastAsia="Calibri" w:hAnsi="Verdana" w:cs="Arial"/>
          <w:color w:val="000000" w:themeColor="text1"/>
          <w:sz w:val="20"/>
          <w:szCs w:val="20"/>
          <w:lang w:val="es-ES"/>
        </w:rPr>
        <w:t>) distribuir las tareas entre las partes de acuerdo con su experiencia y ventaja competitiva.</w:t>
      </w:r>
    </w:p>
    <w:p w14:paraId="7389FBE0" w14:textId="77777777" w:rsidR="00AA3A70" w:rsidRPr="005534FB" w:rsidRDefault="00AA3A70" w:rsidP="00AA3A70">
      <w:pPr>
        <w:spacing w:after="0" w:line="240" w:lineRule="auto"/>
        <w:jc w:val="both"/>
        <w:rPr>
          <w:rFonts w:ascii="Verdana" w:eastAsia="Calibri" w:hAnsi="Verdana" w:cs="Arial"/>
          <w:b/>
          <w:color w:val="000000"/>
          <w:sz w:val="20"/>
          <w:szCs w:val="20"/>
          <w:lang w:val="es-ES_tradnl"/>
        </w:rPr>
      </w:pPr>
    </w:p>
    <w:p w14:paraId="0F90C06E" w14:textId="77777777" w:rsidR="00AA3A70" w:rsidRPr="005534FB" w:rsidRDefault="00AA3A70" w:rsidP="00AA3A70">
      <w:pPr>
        <w:spacing w:after="0" w:line="240" w:lineRule="auto"/>
        <w:jc w:val="both"/>
        <w:rPr>
          <w:rFonts w:ascii="Verdana" w:eastAsia="Calibri" w:hAnsi="Verdana" w:cs="Arial"/>
          <w:b/>
          <w:color w:val="000000"/>
          <w:lang w:val="es-ES_tradnl"/>
        </w:rPr>
      </w:pPr>
      <w:r w:rsidRPr="005534FB">
        <w:rPr>
          <w:rFonts w:ascii="Verdana" w:eastAsia="Calibri" w:hAnsi="Verdana" w:cs="Arial"/>
          <w:b/>
          <w:color w:val="000000"/>
          <w:lang w:val="es-ES_tradnl"/>
        </w:rPr>
        <w:t>ASOCIACIONES PÚBLICO PRIVADAS – Concepto – Ley 1508 de 2012</w:t>
      </w:r>
    </w:p>
    <w:p w14:paraId="3F32FFC5" w14:textId="77777777" w:rsidR="00AA3A70" w:rsidRPr="005534FB" w:rsidRDefault="00AA3A70" w:rsidP="00AA3A70">
      <w:pPr>
        <w:spacing w:after="0" w:line="240" w:lineRule="auto"/>
        <w:jc w:val="both"/>
        <w:rPr>
          <w:rFonts w:ascii="Verdana" w:hAnsi="Verdana" w:cs="Arial"/>
          <w:noProof/>
          <w:color w:val="000000" w:themeColor="text1"/>
          <w:sz w:val="20"/>
          <w:szCs w:val="20"/>
          <w:lang w:val="es-ES_tradnl"/>
        </w:rPr>
      </w:pPr>
    </w:p>
    <w:p w14:paraId="228B112B" w14:textId="77777777" w:rsidR="00AA3A70" w:rsidRPr="005534FB" w:rsidRDefault="00AA3A70" w:rsidP="00AA3A70">
      <w:pPr>
        <w:tabs>
          <w:tab w:val="left" w:pos="709"/>
        </w:tabs>
        <w:spacing w:after="0" w:line="240" w:lineRule="auto"/>
        <w:jc w:val="both"/>
        <w:rPr>
          <w:rFonts w:ascii="Verdana" w:eastAsia="Calibri" w:hAnsi="Verdana" w:cs="Arial"/>
          <w:color w:val="000000"/>
          <w:sz w:val="20"/>
          <w:szCs w:val="20"/>
          <w:lang w:val="es-ES_tradnl"/>
        </w:rPr>
      </w:pPr>
      <w:r w:rsidRPr="005534FB">
        <w:rPr>
          <w:rFonts w:ascii="Verdana" w:eastAsia="Calibri" w:hAnsi="Verdana" w:cs="Arial"/>
          <w:color w:val="000000"/>
          <w:sz w:val="20"/>
          <w:szCs w:val="20"/>
          <w:lang w:val="es-ES_tradnl"/>
        </w:rPr>
        <w:t>La Ley 1508 de 2012, «Por la cual se establece el régimen jurídico de las Asociaciones Público Privadas, se dictan normas orgánicas de presupuesto y se dictan otras disposiciones», en el artículo 1, definió las asociaciones público privadas –APP– de la siguiente manera:</w:t>
      </w:r>
    </w:p>
    <w:p w14:paraId="4C1E67FA" w14:textId="77777777" w:rsidR="00AA3A70" w:rsidRPr="005534FB" w:rsidRDefault="00AA3A70" w:rsidP="00AA3A70">
      <w:pPr>
        <w:tabs>
          <w:tab w:val="left" w:pos="709"/>
        </w:tabs>
        <w:spacing w:after="0" w:line="240" w:lineRule="auto"/>
        <w:jc w:val="both"/>
        <w:rPr>
          <w:rFonts w:ascii="Verdana" w:eastAsia="Calibri" w:hAnsi="Verdana" w:cs="Arial"/>
          <w:color w:val="000000"/>
          <w:sz w:val="20"/>
          <w:szCs w:val="20"/>
          <w:lang w:val="es-ES_tradnl"/>
        </w:rPr>
      </w:pPr>
    </w:p>
    <w:p w14:paraId="4587B4FE" w14:textId="77777777" w:rsidR="00AA3A70" w:rsidRPr="005534FB" w:rsidRDefault="00AA3A70" w:rsidP="00AA3A70">
      <w:pPr>
        <w:tabs>
          <w:tab w:val="left" w:pos="709"/>
        </w:tabs>
        <w:spacing w:after="0" w:line="240" w:lineRule="auto"/>
        <w:jc w:val="both"/>
        <w:rPr>
          <w:rFonts w:ascii="Verdana" w:eastAsia="Calibri" w:hAnsi="Verdana" w:cs="Arial"/>
          <w:color w:val="000000"/>
          <w:sz w:val="20"/>
          <w:szCs w:val="20"/>
          <w:lang w:val="es-ES_tradnl"/>
        </w:rPr>
      </w:pPr>
      <w:r w:rsidRPr="005534FB">
        <w:rPr>
          <w:rFonts w:ascii="Verdana" w:eastAsia="Calibri" w:hAnsi="Verdana" w:cs="Arial"/>
          <w:color w:val="000000"/>
          <w:sz w:val="20"/>
          <w:szCs w:val="20"/>
          <w:lang w:val="es-ES_tradnl"/>
        </w:rPr>
        <w:t>Las Asociaciones Público Privadas son un instrumento de vinculación de capital privado, que se materializan en un contrato entre una entidad estatal y una persona natural o jurídica de derecho privado, para la provisión de bienes públicos y de sus servicios relacionados, que involucra la retención y transferencia de riesgos entre las partes y mecanismos de pago, relacionados con la disponibilidad y el nivel de servicio de la infraestructura y/o servicio.</w:t>
      </w:r>
    </w:p>
    <w:p w14:paraId="02373F95" w14:textId="77777777" w:rsidR="00AA3A70" w:rsidRPr="005534FB" w:rsidRDefault="00AA3A70" w:rsidP="00AA3A70">
      <w:pPr>
        <w:spacing w:after="0" w:line="240" w:lineRule="auto"/>
        <w:jc w:val="both"/>
        <w:rPr>
          <w:rFonts w:ascii="Verdana" w:hAnsi="Verdana" w:cs="Arial"/>
          <w:noProof/>
          <w:color w:val="000000" w:themeColor="text1"/>
          <w:sz w:val="20"/>
          <w:szCs w:val="20"/>
          <w:lang w:val="es-ES_tradnl"/>
        </w:rPr>
      </w:pPr>
    </w:p>
    <w:p w14:paraId="1C8ED94C" w14:textId="77777777" w:rsidR="00AA3A70" w:rsidRPr="005534FB" w:rsidRDefault="00AA3A70" w:rsidP="00AA3A70">
      <w:pPr>
        <w:spacing w:after="0" w:line="240" w:lineRule="auto"/>
        <w:jc w:val="both"/>
        <w:rPr>
          <w:rFonts w:ascii="Verdana" w:eastAsia="Calibri" w:hAnsi="Verdana" w:cs="Arial"/>
          <w:b/>
          <w:color w:val="000000"/>
          <w:lang w:val="es-ES_tradnl"/>
        </w:rPr>
      </w:pPr>
      <w:r w:rsidRPr="005534FB">
        <w:rPr>
          <w:rFonts w:ascii="Verdana" w:eastAsia="Calibri" w:hAnsi="Verdana" w:cs="Arial"/>
          <w:b/>
          <w:color w:val="000000"/>
          <w:lang w:val="es-ES_tradnl"/>
        </w:rPr>
        <w:t>TIPOS DE APP – De iniciativa pública – De iniciativa privada</w:t>
      </w:r>
    </w:p>
    <w:p w14:paraId="2F330BDC" w14:textId="77777777" w:rsidR="00AA3A70" w:rsidRPr="005534FB" w:rsidRDefault="00AA3A70" w:rsidP="00AA3A70">
      <w:pPr>
        <w:spacing w:after="0" w:line="240" w:lineRule="auto"/>
        <w:jc w:val="both"/>
        <w:rPr>
          <w:rFonts w:ascii="Verdana" w:hAnsi="Verdana" w:cs="Arial"/>
          <w:noProof/>
          <w:color w:val="000000" w:themeColor="text1"/>
          <w:sz w:val="20"/>
          <w:szCs w:val="20"/>
          <w:lang w:val="es-ES_tradnl"/>
        </w:rPr>
      </w:pPr>
    </w:p>
    <w:p w14:paraId="545AB9D5" w14:textId="77777777" w:rsidR="00AA3A70" w:rsidRPr="005534FB" w:rsidRDefault="00AA3A70" w:rsidP="00AA3A70">
      <w:pPr>
        <w:tabs>
          <w:tab w:val="left" w:pos="709"/>
        </w:tabs>
        <w:spacing w:after="0" w:line="240" w:lineRule="auto"/>
        <w:jc w:val="both"/>
        <w:rPr>
          <w:rFonts w:ascii="Verdana" w:eastAsia="Calibri" w:hAnsi="Verdana" w:cs="Arial"/>
          <w:color w:val="000000"/>
          <w:sz w:val="20"/>
          <w:szCs w:val="20"/>
          <w:lang w:val="es-ES_tradnl"/>
        </w:rPr>
      </w:pPr>
      <w:r w:rsidRPr="005534FB">
        <w:rPr>
          <w:rFonts w:ascii="Verdana" w:eastAsia="Calibri" w:hAnsi="Verdana" w:cs="Arial"/>
          <w:color w:val="000000"/>
          <w:sz w:val="20"/>
          <w:szCs w:val="20"/>
          <w:lang w:val="es-ES_tradnl"/>
        </w:rPr>
        <w:t xml:space="preserve">La Ley 1508 de 2012 regula dos tipos de proyecto de asociación público privada: i) los de iniciativa pública y </w:t>
      </w:r>
      <w:proofErr w:type="spellStart"/>
      <w:r w:rsidRPr="005534FB">
        <w:rPr>
          <w:rFonts w:ascii="Verdana" w:eastAsia="Calibri" w:hAnsi="Verdana" w:cs="Arial"/>
          <w:color w:val="000000"/>
          <w:sz w:val="20"/>
          <w:szCs w:val="20"/>
          <w:lang w:val="es-ES_tradnl"/>
        </w:rPr>
        <w:t>ii</w:t>
      </w:r>
      <w:proofErr w:type="spellEnd"/>
      <w:r w:rsidRPr="005534FB">
        <w:rPr>
          <w:rFonts w:ascii="Verdana" w:eastAsia="Calibri" w:hAnsi="Verdana" w:cs="Arial"/>
          <w:color w:val="000000"/>
          <w:sz w:val="20"/>
          <w:szCs w:val="20"/>
          <w:lang w:val="es-ES_tradnl"/>
        </w:rPr>
        <w:t>) los de iniciativa privada. En relación con los primeros, es la entidad estatal la que estructura el proyecto y realiza la invitación a participar en el proceso de selección. En los segundos, son los particulares quienes elaboran la propuesta, previa estructuración del proyecto, por su cuenta y riesgo. Los proyectos de asociación pública privada de iniciativa pública o privada, a su vez, se clasifican en dos modalidades: a) los que requieren el desembolso de recursos públicos y b) los que no necesitan dicho desembolso.</w:t>
      </w:r>
    </w:p>
    <w:p w14:paraId="17F28865" w14:textId="77777777" w:rsidR="00AA3A70" w:rsidRDefault="00AA3A70" w:rsidP="00AA3A70">
      <w:pPr>
        <w:spacing w:line="276" w:lineRule="auto"/>
        <w:jc w:val="both"/>
        <w:rPr>
          <w:rFonts w:ascii="Verdana" w:eastAsia="Calibri" w:hAnsi="Verdana" w:cs="Arial"/>
          <w:lang w:val="es-ES" w:eastAsia="es-ES"/>
        </w:rPr>
      </w:pPr>
    </w:p>
    <w:p w14:paraId="51C56BA9" w14:textId="77777777" w:rsidR="00AA3A70" w:rsidRPr="005534FB" w:rsidRDefault="00AA3A70" w:rsidP="00AA3A70">
      <w:pPr>
        <w:spacing w:after="0" w:line="240" w:lineRule="auto"/>
        <w:jc w:val="both"/>
        <w:rPr>
          <w:rFonts w:ascii="Verdana" w:eastAsia="Calibri" w:hAnsi="Verdana" w:cs="Arial"/>
          <w:b/>
          <w:color w:val="000000"/>
          <w:lang w:val="es-ES_tradnl"/>
        </w:rPr>
      </w:pPr>
      <w:r w:rsidRPr="005534FB">
        <w:rPr>
          <w:rFonts w:ascii="Verdana" w:eastAsia="Calibri" w:hAnsi="Verdana" w:cs="Arial"/>
          <w:b/>
          <w:color w:val="000000"/>
          <w:lang w:val="es-ES_tradnl"/>
        </w:rPr>
        <w:lastRenderedPageBreak/>
        <w:t>EVALUACIÓN – Proyectos de APP – Iniciativa privada – Ley 1955 de 2019</w:t>
      </w:r>
    </w:p>
    <w:p w14:paraId="1DC01022" w14:textId="77777777" w:rsidR="00AA3A70" w:rsidRPr="005534FB" w:rsidRDefault="00AA3A70" w:rsidP="00AA3A70">
      <w:pPr>
        <w:spacing w:after="0" w:line="240" w:lineRule="auto"/>
        <w:jc w:val="both"/>
        <w:rPr>
          <w:rFonts w:ascii="Verdana" w:hAnsi="Verdana" w:cs="Arial"/>
          <w:noProof/>
          <w:color w:val="000000" w:themeColor="text1"/>
          <w:sz w:val="20"/>
          <w:szCs w:val="20"/>
          <w:lang w:val="es-ES_tradnl"/>
        </w:rPr>
      </w:pPr>
    </w:p>
    <w:p w14:paraId="6C37A4BE" w14:textId="77777777" w:rsidR="00AA3A70" w:rsidRDefault="00AA3A70" w:rsidP="00AA3A70">
      <w:pPr>
        <w:tabs>
          <w:tab w:val="left" w:pos="709"/>
        </w:tabs>
        <w:spacing w:after="0" w:line="240" w:lineRule="auto"/>
        <w:jc w:val="both"/>
        <w:rPr>
          <w:rFonts w:ascii="Verdana" w:eastAsia="Calibri" w:hAnsi="Verdana" w:cs="Arial"/>
          <w:color w:val="000000"/>
          <w:sz w:val="20"/>
          <w:szCs w:val="20"/>
          <w:lang w:val="es-ES_tradnl"/>
        </w:rPr>
      </w:pPr>
      <w:r w:rsidRPr="005534FB">
        <w:rPr>
          <w:rFonts w:ascii="Verdana" w:eastAsia="Calibri" w:hAnsi="Verdana" w:cs="Arial"/>
          <w:color w:val="000000"/>
          <w:sz w:val="20"/>
          <w:szCs w:val="20"/>
          <w:lang w:val="es-ES_tradnl"/>
        </w:rPr>
        <w:t>El artículo 116 de la Ley 1955 de 2019, modificatorio del artículo 19 de la Ley 1882 de 2018, dispone, además, que “La entidad estatal encargada de la revisión y/o evaluación del proyecto será la beneficiaria del patrimonio autónomo y la encargada de autorizar la celebración de los contratos requeridos para el efecto, así como autorizar los pagos a que hubiere lugar en desarrollo de los mismos”. De allí que surja, por tanto, la siguiente inquietud: ¿quién debe celebrar los contratos requeridos para la revisión o evaluación del proyecto en la etapa de factibilidad? ¿la entidad estatal –</w:t>
      </w:r>
      <w:r w:rsidRPr="005534FB">
        <w:rPr>
          <w:rFonts w:ascii="Verdana" w:eastAsia="Calibri" w:hAnsi="Verdana" w:cs="Arial"/>
          <w:i/>
          <w:iCs/>
          <w:color w:val="000000"/>
          <w:sz w:val="20"/>
          <w:szCs w:val="20"/>
          <w:lang w:val="es-ES_tradnl"/>
        </w:rPr>
        <w:t>beneficiaria</w:t>
      </w:r>
      <w:r w:rsidRPr="005534FB">
        <w:rPr>
          <w:rFonts w:ascii="Verdana" w:eastAsia="Calibri" w:hAnsi="Verdana" w:cs="Arial"/>
          <w:color w:val="000000"/>
          <w:sz w:val="20"/>
          <w:szCs w:val="20"/>
          <w:lang w:val="es-ES_tradnl"/>
        </w:rPr>
        <w:t xml:space="preserve"> del patrimonio autónomo– o la fiduciaria –</w:t>
      </w:r>
      <w:r w:rsidRPr="005534FB">
        <w:rPr>
          <w:rFonts w:ascii="Verdana" w:eastAsia="Calibri" w:hAnsi="Verdana" w:cs="Arial"/>
          <w:i/>
          <w:iCs/>
          <w:color w:val="000000"/>
          <w:sz w:val="20"/>
          <w:szCs w:val="20"/>
          <w:lang w:val="es-ES_tradnl"/>
        </w:rPr>
        <w:t>administradora</w:t>
      </w:r>
      <w:r w:rsidRPr="005534FB">
        <w:rPr>
          <w:rFonts w:ascii="Verdana" w:eastAsia="Calibri" w:hAnsi="Verdana" w:cs="Arial"/>
          <w:color w:val="000000"/>
          <w:sz w:val="20"/>
          <w:szCs w:val="20"/>
          <w:lang w:val="es-ES_tradnl"/>
        </w:rPr>
        <w:t xml:space="preserve"> del patrimonio autónomo–?</w:t>
      </w:r>
    </w:p>
    <w:p w14:paraId="2DB7F64D" w14:textId="77777777" w:rsidR="00AA3A70" w:rsidRPr="005534FB" w:rsidRDefault="00AA3A70" w:rsidP="00AA3A70">
      <w:pPr>
        <w:tabs>
          <w:tab w:val="left" w:pos="709"/>
        </w:tabs>
        <w:spacing w:after="0" w:line="240" w:lineRule="auto"/>
        <w:jc w:val="both"/>
        <w:rPr>
          <w:rFonts w:ascii="Verdana" w:eastAsia="Calibri" w:hAnsi="Verdana" w:cs="Arial"/>
          <w:color w:val="000000"/>
          <w:sz w:val="20"/>
          <w:szCs w:val="20"/>
          <w:lang w:val="es-ES_tradnl"/>
        </w:rPr>
      </w:pPr>
    </w:p>
    <w:p w14:paraId="0570A365" w14:textId="77777777" w:rsidR="00AA3A70" w:rsidRDefault="00AA3A70" w:rsidP="00AA3A70">
      <w:pPr>
        <w:tabs>
          <w:tab w:val="left" w:pos="709"/>
        </w:tabs>
        <w:spacing w:after="0" w:line="240" w:lineRule="auto"/>
        <w:jc w:val="both"/>
        <w:rPr>
          <w:rFonts w:ascii="Verdana" w:eastAsia="Calibri" w:hAnsi="Verdana" w:cs="Arial"/>
          <w:color w:val="000000"/>
          <w:sz w:val="20"/>
          <w:szCs w:val="20"/>
          <w:lang w:val="es-ES_tradnl"/>
        </w:rPr>
      </w:pPr>
      <w:r w:rsidRPr="005534FB">
        <w:rPr>
          <w:rFonts w:ascii="Verdana" w:eastAsia="Calibri" w:hAnsi="Verdana" w:cs="Arial"/>
          <w:color w:val="000000"/>
          <w:sz w:val="20"/>
          <w:szCs w:val="20"/>
          <w:lang w:val="es-ES_tradnl"/>
        </w:rPr>
        <w:t>Conforme a la interpretación sistemática de la disposición anteriormente citada con los artículos 16 y 33 de la Ley 1508 de 2012, el Concepto C-386 del 3 de agosto de 2021 estimó que las entidades estatales “[…] siguen siendo las obligadas a celebrar los contratos, y no las sociedades fiduciarias. En otras palabras, la expresión ‘autorizar la celebración’ no se debe interpretar de manera aislada o descontextualizada, es decir, deduciendo que el legislador les sustrajo a las entidades estatales la competencia para celebrar los contratos requeridos para la revisión o evaluación de los proyectos de iniciativa privada, para conferírsela a las fiduciarias que administran los patrimonios autónomos constituidos por el originador para tal fin”</w:t>
      </w:r>
      <w:r>
        <w:rPr>
          <w:rFonts w:ascii="Verdana" w:eastAsia="Calibri" w:hAnsi="Verdana" w:cs="Arial"/>
          <w:color w:val="000000"/>
          <w:sz w:val="20"/>
          <w:szCs w:val="20"/>
          <w:lang w:val="es-ES_tradnl"/>
        </w:rPr>
        <w:t>.</w:t>
      </w:r>
    </w:p>
    <w:p w14:paraId="0C7B2DA2" w14:textId="77777777" w:rsidR="00AA3A70" w:rsidRDefault="00AA3A70" w:rsidP="00AA3A70">
      <w:pPr>
        <w:spacing w:after="120" w:line="240" w:lineRule="auto"/>
        <w:jc w:val="both"/>
        <w:rPr>
          <w:rFonts w:ascii="Verdana" w:eastAsia="Calibri" w:hAnsi="Verdana" w:cs="Arial"/>
          <w:lang w:val="es-ES" w:eastAsia="es-ES"/>
        </w:rPr>
      </w:pPr>
    </w:p>
    <w:p w14:paraId="2C6A3550" w14:textId="43D2F7DA" w:rsidR="00AA3A70" w:rsidRPr="00AA3A70" w:rsidRDefault="00AA3A70" w:rsidP="00AA3A70">
      <w:pPr>
        <w:spacing w:line="240" w:lineRule="auto"/>
        <w:jc w:val="both"/>
        <w:rPr>
          <w:rFonts w:ascii="Verdana" w:eastAsia="Calibri" w:hAnsi="Verdana" w:cs="Arial"/>
          <w:b/>
          <w:bCs/>
          <w:lang w:val="es-ES" w:eastAsia="es-ES"/>
        </w:rPr>
      </w:pPr>
      <w:r w:rsidRPr="00AA3A70">
        <w:rPr>
          <w:rFonts w:ascii="Verdana" w:eastAsia="Calibri" w:hAnsi="Verdana" w:cs="Arial"/>
          <w:b/>
          <w:bCs/>
          <w:lang w:val="es-ES" w:eastAsia="es-ES"/>
        </w:rPr>
        <w:t>ASOCIACIONES PÚBLICO PRIVADAS – De iniciativa privada – Contratación de la interventoría</w:t>
      </w:r>
    </w:p>
    <w:p w14:paraId="5D07C8C5" w14:textId="77777777" w:rsidR="00AA3A70" w:rsidRPr="00AA3A70" w:rsidRDefault="00AA3A70" w:rsidP="00AA3A70">
      <w:pPr>
        <w:spacing w:before="120" w:after="120" w:line="240" w:lineRule="auto"/>
        <w:jc w:val="both"/>
        <w:rPr>
          <w:rFonts w:ascii="Verdana" w:hAnsi="Verdana" w:cs="Arial"/>
          <w:color w:val="000000" w:themeColor="text1"/>
          <w:sz w:val="20"/>
          <w:szCs w:val="20"/>
          <w:lang w:val="en-CO"/>
        </w:rPr>
      </w:pPr>
      <w:r w:rsidRPr="00AA3A70">
        <w:rPr>
          <w:rFonts w:ascii="Verdana" w:hAnsi="Verdana" w:cs="Arial"/>
          <w:color w:val="000000" w:themeColor="text1"/>
          <w:sz w:val="20"/>
          <w:szCs w:val="20"/>
          <w:lang w:val="en-CO"/>
        </w:rPr>
        <w:t xml:space="preserve">Corresponde a la entidad estatal adelantar la contratación de la interventoría, y no al patrimonio autónomo que se constituya para la gestión de los recursos. La interventoría del contrato de APP, regulada tanto por el artículo 33 de la Ley 1508 de 2012 como por el artículo 83 de la Ley 1474 de 2011, es un mecanismo de control eminentemente estatal, que existe para proteger la moralidad administrativa, prevenir la corrupción y verificar que el concesionario cumpla lo pactado. </w:t>
      </w:r>
    </w:p>
    <w:p w14:paraId="0EAE17AB" w14:textId="77777777" w:rsidR="00AA3A70" w:rsidRPr="00AA3A70" w:rsidRDefault="00AA3A70" w:rsidP="00AA3A70">
      <w:pPr>
        <w:spacing w:before="120" w:after="120" w:line="240" w:lineRule="auto"/>
        <w:jc w:val="both"/>
        <w:rPr>
          <w:rFonts w:ascii="Verdana" w:hAnsi="Verdana" w:cs="Arial"/>
          <w:color w:val="000000" w:themeColor="text1"/>
          <w:sz w:val="20"/>
          <w:szCs w:val="20"/>
          <w:lang w:val="en-CO"/>
        </w:rPr>
      </w:pPr>
      <w:r w:rsidRPr="00AA3A70">
        <w:rPr>
          <w:rFonts w:ascii="Verdana" w:hAnsi="Verdana" w:cs="Arial"/>
          <w:color w:val="000000" w:themeColor="text1"/>
          <w:sz w:val="20"/>
          <w:szCs w:val="20"/>
          <w:lang w:val="en-CO"/>
        </w:rPr>
        <w:t>Esta obligación de vigilancia no se torna optativa ni desaparece porque el contrato no involucre el desembolso de recursos públicos, pues tal distinción no fue incluida en la Ley 1508 de 2012 y el artículo 33 hace parte de las disposiciones comunes a todos los proyectos de APP, incluidos los de iniciativa privada que cumplen con esa característica. En consonancia, el legislador se refirió específicamente a las modalidades de selección abreviada de menor cuantía o mínima cuantía según el valor, propias de las entidades sometidas al Estatuto General de Contratación de la Administración Pública, como los procedimientos para que la entidad adelante la contratación del interventor. Lo anterior es consistente con la doctrina de esta Agencia (Conceptos C</w:t>
      </w:r>
      <w:r w:rsidRPr="00AA3A70">
        <w:rPr>
          <w:rFonts w:ascii="Verdana" w:hAnsi="Verdana" w:cs="Arial"/>
          <w:color w:val="000000" w:themeColor="text1"/>
          <w:sz w:val="20"/>
          <w:szCs w:val="20"/>
          <w:lang w:val="en-CO"/>
        </w:rPr>
        <w:noBreakHyphen/>
        <w:t>386 de 2021 y C</w:t>
      </w:r>
      <w:r w:rsidRPr="00AA3A70">
        <w:rPr>
          <w:rFonts w:ascii="Verdana" w:hAnsi="Verdana" w:cs="Arial"/>
          <w:color w:val="000000" w:themeColor="text1"/>
          <w:sz w:val="20"/>
          <w:szCs w:val="20"/>
          <w:lang w:val="en-CO"/>
        </w:rPr>
        <w:noBreakHyphen/>
        <w:t>150 de 2025), según la cual la administración de recursos privados por la fiduciaria no traslada a esta la competencia para celebrar los contratos del proyecto.</w:t>
      </w:r>
    </w:p>
    <w:p w14:paraId="47CEB664" w14:textId="77777777" w:rsidR="00AA3A70" w:rsidRPr="00AA3A70" w:rsidRDefault="00AA3A70" w:rsidP="00AA3A70">
      <w:pPr>
        <w:spacing w:before="120" w:after="120" w:line="240" w:lineRule="auto"/>
        <w:jc w:val="both"/>
        <w:rPr>
          <w:rFonts w:ascii="Verdana" w:eastAsia="Times New Roman" w:hAnsi="Verdana" w:cs="Arial"/>
          <w:color w:val="000000" w:themeColor="text1"/>
          <w:sz w:val="20"/>
          <w:szCs w:val="20"/>
          <w:lang w:val="en-CO"/>
        </w:rPr>
      </w:pPr>
      <w:r w:rsidRPr="00AA3A70">
        <w:rPr>
          <w:rFonts w:ascii="Verdana" w:eastAsia="Times New Roman" w:hAnsi="Verdana" w:cs="Arial"/>
          <w:color w:val="000000" w:themeColor="text1"/>
          <w:sz w:val="20"/>
          <w:szCs w:val="20"/>
          <w:lang w:val="en-CO"/>
        </w:rPr>
        <w:t xml:space="preserve">Ahora bien, debe distinguirse entre la competencia para adelantar el proceso de contratación y la naturaleza de los recursos que lo financian: es viable que la entidad </w:t>
      </w:r>
      <w:r w:rsidRPr="00AA3A70">
        <w:rPr>
          <w:rFonts w:ascii="Verdana" w:eastAsia="Times New Roman" w:hAnsi="Verdana" w:cs="Arial"/>
          <w:color w:val="000000" w:themeColor="text1"/>
          <w:sz w:val="20"/>
          <w:szCs w:val="20"/>
          <w:lang w:val="en-CO"/>
        </w:rPr>
        <w:lastRenderedPageBreak/>
        <w:t>estatal adelante la contratación y que, no obstante, el costo de la interventoría se financie y pague con recursos privados, sin que ello desnaturalice el control estatal ni altere el carácter privado de tales recursos. En cualquier caso, corresponde a la entidad, en ejercicio de su autonomía, determinar la forma y los mecanismos de financiación de la interventoría, de acuerdo con el esquema específico del proyecto. Esta misma lógica se mantiene en la etapa de operación y mantenimiento, en la que no cesa el deber estatal de vigilancia, de modo que la interventoría podrá verificar la disponibilidad, los niveles de servicio, los estándares de calidad, la conservación de los activos y la veracidad de los ingresos reportados por la fiduciaria.</w:t>
      </w:r>
    </w:p>
    <w:p w14:paraId="661E1DCD" w14:textId="77777777" w:rsidR="00AA3A70" w:rsidRPr="00AA3A70" w:rsidRDefault="00AA3A70" w:rsidP="00B75843">
      <w:pPr>
        <w:widowControl w:val="0"/>
        <w:spacing w:after="0" w:line="276" w:lineRule="auto"/>
        <w:jc w:val="both"/>
        <w:rPr>
          <w:rFonts w:ascii="Verdana" w:hAnsi="Verdana"/>
          <w:sz w:val="20"/>
          <w:szCs w:val="20"/>
          <w:lang w:val="es-ES"/>
        </w:rPr>
      </w:pPr>
    </w:p>
    <w:p w14:paraId="03E7A15B" w14:textId="77777777" w:rsidR="00AA3A70" w:rsidRDefault="00AA3A70" w:rsidP="00B75843">
      <w:pPr>
        <w:widowControl w:val="0"/>
        <w:spacing w:after="0" w:line="276" w:lineRule="auto"/>
        <w:jc w:val="both"/>
        <w:rPr>
          <w:rFonts w:ascii="Verdana" w:hAnsi="Verdana"/>
          <w:lang w:val="es-ES"/>
        </w:rPr>
      </w:pPr>
    </w:p>
    <w:p w14:paraId="0E0BA220" w14:textId="77777777" w:rsidR="00AA3A70" w:rsidRDefault="00AA3A70" w:rsidP="00B75843">
      <w:pPr>
        <w:widowControl w:val="0"/>
        <w:spacing w:after="0" w:line="276" w:lineRule="auto"/>
        <w:jc w:val="both"/>
        <w:rPr>
          <w:rFonts w:ascii="Verdana" w:hAnsi="Verdana"/>
          <w:lang w:val="es-ES"/>
        </w:rPr>
      </w:pPr>
    </w:p>
    <w:p w14:paraId="073852A5" w14:textId="77777777" w:rsidR="00AA3A70" w:rsidRDefault="00AA3A70" w:rsidP="00B75843">
      <w:pPr>
        <w:widowControl w:val="0"/>
        <w:spacing w:after="0" w:line="276" w:lineRule="auto"/>
        <w:jc w:val="both"/>
        <w:rPr>
          <w:rFonts w:ascii="Verdana" w:hAnsi="Verdana"/>
          <w:lang w:val="es-ES"/>
        </w:rPr>
      </w:pPr>
    </w:p>
    <w:p w14:paraId="72A8E0EC" w14:textId="77777777" w:rsidR="00AA3A70" w:rsidRDefault="00AA3A70" w:rsidP="00B75843">
      <w:pPr>
        <w:widowControl w:val="0"/>
        <w:spacing w:after="0" w:line="276" w:lineRule="auto"/>
        <w:jc w:val="both"/>
        <w:rPr>
          <w:rFonts w:ascii="Verdana" w:hAnsi="Verdana"/>
          <w:lang w:val="es-ES"/>
        </w:rPr>
      </w:pPr>
    </w:p>
    <w:p w14:paraId="7A5256EB" w14:textId="77777777" w:rsidR="00AA3A70" w:rsidRDefault="00AA3A70" w:rsidP="00B75843">
      <w:pPr>
        <w:widowControl w:val="0"/>
        <w:spacing w:after="0" w:line="276" w:lineRule="auto"/>
        <w:jc w:val="both"/>
        <w:rPr>
          <w:rFonts w:ascii="Verdana" w:hAnsi="Verdana"/>
          <w:lang w:val="es-ES"/>
        </w:rPr>
      </w:pPr>
    </w:p>
    <w:p w14:paraId="21564130" w14:textId="77777777" w:rsidR="00AA3A70" w:rsidRDefault="00AA3A70" w:rsidP="00B75843">
      <w:pPr>
        <w:widowControl w:val="0"/>
        <w:spacing w:after="0" w:line="276" w:lineRule="auto"/>
        <w:jc w:val="both"/>
        <w:rPr>
          <w:rFonts w:ascii="Verdana" w:hAnsi="Verdana"/>
          <w:lang w:val="es-ES"/>
        </w:rPr>
      </w:pPr>
    </w:p>
    <w:p w14:paraId="441F2452" w14:textId="77777777" w:rsidR="00AA3A70" w:rsidRDefault="00AA3A70" w:rsidP="00B75843">
      <w:pPr>
        <w:widowControl w:val="0"/>
        <w:spacing w:after="0" w:line="276" w:lineRule="auto"/>
        <w:jc w:val="both"/>
        <w:rPr>
          <w:rFonts w:ascii="Verdana" w:hAnsi="Verdana"/>
          <w:lang w:val="es-ES"/>
        </w:rPr>
      </w:pPr>
    </w:p>
    <w:p w14:paraId="02AB623F" w14:textId="77777777" w:rsidR="00AA3A70" w:rsidRDefault="00AA3A70" w:rsidP="00B75843">
      <w:pPr>
        <w:widowControl w:val="0"/>
        <w:spacing w:after="0" w:line="276" w:lineRule="auto"/>
        <w:jc w:val="both"/>
        <w:rPr>
          <w:rFonts w:ascii="Verdana" w:hAnsi="Verdana"/>
          <w:lang w:val="es-ES"/>
        </w:rPr>
      </w:pPr>
    </w:p>
    <w:p w14:paraId="7687E890" w14:textId="77777777" w:rsidR="00AA3A70" w:rsidRDefault="00AA3A70" w:rsidP="00B75843">
      <w:pPr>
        <w:widowControl w:val="0"/>
        <w:spacing w:after="0" w:line="276" w:lineRule="auto"/>
        <w:jc w:val="both"/>
        <w:rPr>
          <w:rFonts w:ascii="Verdana" w:hAnsi="Verdana"/>
          <w:lang w:val="es-ES"/>
        </w:rPr>
      </w:pPr>
    </w:p>
    <w:p w14:paraId="182683F2" w14:textId="77777777" w:rsidR="00AA3A70" w:rsidRDefault="00AA3A70" w:rsidP="00B75843">
      <w:pPr>
        <w:widowControl w:val="0"/>
        <w:spacing w:after="0" w:line="276" w:lineRule="auto"/>
        <w:jc w:val="both"/>
        <w:rPr>
          <w:rFonts w:ascii="Verdana" w:hAnsi="Verdana"/>
          <w:lang w:val="es-ES"/>
        </w:rPr>
      </w:pPr>
    </w:p>
    <w:p w14:paraId="652CA559" w14:textId="77777777" w:rsidR="00AA3A70" w:rsidRDefault="00AA3A70" w:rsidP="00B75843">
      <w:pPr>
        <w:widowControl w:val="0"/>
        <w:spacing w:after="0" w:line="276" w:lineRule="auto"/>
        <w:jc w:val="both"/>
        <w:rPr>
          <w:rFonts w:ascii="Verdana" w:hAnsi="Verdana"/>
          <w:lang w:val="es-ES"/>
        </w:rPr>
      </w:pPr>
    </w:p>
    <w:p w14:paraId="5AA0639C" w14:textId="77777777" w:rsidR="00AA3A70" w:rsidRDefault="00AA3A70" w:rsidP="00B75843">
      <w:pPr>
        <w:widowControl w:val="0"/>
        <w:spacing w:after="0" w:line="276" w:lineRule="auto"/>
        <w:jc w:val="both"/>
        <w:rPr>
          <w:rFonts w:ascii="Verdana" w:hAnsi="Verdana"/>
          <w:lang w:val="es-ES"/>
        </w:rPr>
      </w:pPr>
    </w:p>
    <w:p w14:paraId="45380848" w14:textId="77777777" w:rsidR="00AA3A70" w:rsidRDefault="00AA3A70" w:rsidP="00B75843">
      <w:pPr>
        <w:widowControl w:val="0"/>
        <w:spacing w:after="0" w:line="276" w:lineRule="auto"/>
        <w:jc w:val="both"/>
        <w:rPr>
          <w:rFonts w:ascii="Verdana" w:hAnsi="Verdana"/>
          <w:lang w:val="es-ES"/>
        </w:rPr>
      </w:pPr>
    </w:p>
    <w:p w14:paraId="21DC1E97" w14:textId="77777777" w:rsidR="00AA3A70" w:rsidRDefault="00AA3A70" w:rsidP="00B75843">
      <w:pPr>
        <w:widowControl w:val="0"/>
        <w:spacing w:after="0" w:line="276" w:lineRule="auto"/>
        <w:jc w:val="both"/>
        <w:rPr>
          <w:rFonts w:ascii="Verdana" w:hAnsi="Verdana"/>
          <w:lang w:val="es-ES"/>
        </w:rPr>
      </w:pPr>
    </w:p>
    <w:p w14:paraId="313DCB15" w14:textId="77777777" w:rsidR="00AA3A70" w:rsidRDefault="00AA3A70" w:rsidP="00B75843">
      <w:pPr>
        <w:widowControl w:val="0"/>
        <w:spacing w:after="0" w:line="276" w:lineRule="auto"/>
        <w:jc w:val="both"/>
        <w:rPr>
          <w:rFonts w:ascii="Verdana" w:hAnsi="Verdana"/>
          <w:lang w:val="es-ES"/>
        </w:rPr>
      </w:pPr>
    </w:p>
    <w:p w14:paraId="0E11C8EC" w14:textId="77777777" w:rsidR="00AA3A70" w:rsidRDefault="00AA3A70" w:rsidP="00B75843">
      <w:pPr>
        <w:widowControl w:val="0"/>
        <w:spacing w:after="0" w:line="276" w:lineRule="auto"/>
        <w:jc w:val="both"/>
        <w:rPr>
          <w:rFonts w:ascii="Verdana" w:hAnsi="Verdana"/>
          <w:lang w:val="es-ES"/>
        </w:rPr>
      </w:pPr>
    </w:p>
    <w:p w14:paraId="04F3C42B" w14:textId="77777777" w:rsidR="00AA3A70" w:rsidRDefault="00AA3A70" w:rsidP="00B75843">
      <w:pPr>
        <w:widowControl w:val="0"/>
        <w:spacing w:after="0" w:line="276" w:lineRule="auto"/>
        <w:jc w:val="both"/>
        <w:rPr>
          <w:rFonts w:ascii="Verdana" w:hAnsi="Verdana"/>
          <w:lang w:val="es-ES"/>
        </w:rPr>
      </w:pPr>
    </w:p>
    <w:p w14:paraId="6145529D" w14:textId="77777777" w:rsidR="00AA3A70" w:rsidRDefault="00AA3A70" w:rsidP="00B75843">
      <w:pPr>
        <w:widowControl w:val="0"/>
        <w:spacing w:after="0" w:line="276" w:lineRule="auto"/>
        <w:jc w:val="both"/>
        <w:rPr>
          <w:rFonts w:ascii="Verdana" w:hAnsi="Verdana"/>
          <w:lang w:val="es-ES"/>
        </w:rPr>
      </w:pPr>
    </w:p>
    <w:p w14:paraId="1920DF1A" w14:textId="77777777" w:rsidR="00AA3A70" w:rsidRDefault="00AA3A70" w:rsidP="00B75843">
      <w:pPr>
        <w:widowControl w:val="0"/>
        <w:spacing w:after="0" w:line="276" w:lineRule="auto"/>
        <w:jc w:val="both"/>
        <w:rPr>
          <w:rFonts w:ascii="Verdana" w:hAnsi="Verdana"/>
          <w:lang w:val="es-ES"/>
        </w:rPr>
      </w:pPr>
    </w:p>
    <w:p w14:paraId="477E7B4D" w14:textId="77777777" w:rsidR="00AA3A70" w:rsidRDefault="00AA3A70" w:rsidP="00B75843">
      <w:pPr>
        <w:widowControl w:val="0"/>
        <w:spacing w:after="0" w:line="276" w:lineRule="auto"/>
        <w:jc w:val="both"/>
        <w:rPr>
          <w:rFonts w:ascii="Verdana" w:hAnsi="Verdana"/>
          <w:lang w:val="es-ES"/>
        </w:rPr>
      </w:pPr>
    </w:p>
    <w:p w14:paraId="5C332C13" w14:textId="77777777" w:rsidR="00AA3A70" w:rsidRDefault="00AA3A70" w:rsidP="00B75843">
      <w:pPr>
        <w:widowControl w:val="0"/>
        <w:spacing w:after="0" w:line="276" w:lineRule="auto"/>
        <w:jc w:val="both"/>
        <w:rPr>
          <w:rFonts w:ascii="Verdana" w:hAnsi="Verdana"/>
          <w:lang w:val="es-ES"/>
        </w:rPr>
      </w:pPr>
    </w:p>
    <w:p w14:paraId="466AE43E" w14:textId="77777777" w:rsidR="00AA3A70" w:rsidRDefault="00AA3A70" w:rsidP="00B75843">
      <w:pPr>
        <w:widowControl w:val="0"/>
        <w:spacing w:after="0" w:line="276" w:lineRule="auto"/>
        <w:jc w:val="both"/>
        <w:rPr>
          <w:rFonts w:ascii="Verdana" w:hAnsi="Verdana"/>
          <w:lang w:val="es-ES"/>
        </w:rPr>
      </w:pPr>
    </w:p>
    <w:p w14:paraId="0DCA01EC" w14:textId="77777777" w:rsidR="00AA3A70" w:rsidRDefault="00AA3A70" w:rsidP="00B75843">
      <w:pPr>
        <w:widowControl w:val="0"/>
        <w:spacing w:after="0" w:line="276" w:lineRule="auto"/>
        <w:jc w:val="both"/>
        <w:rPr>
          <w:rFonts w:ascii="Verdana" w:hAnsi="Verdana"/>
          <w:lang w:val="es-ES"/>
        </w:rPr>
      </w:pPr>
    </w:p>
    <w:p w14:paraId="55ECC252" w14:textId="77777777" w:rsidR="00AA3A70" w:rsidRDefault="00AA3A70" w:rsidP="00B75843">
      <w:pPr>
        <w:widowControl w:val="0"/>
        <w:spacing w:after="0" w:line="276" w:lineRule="auto"/>
        <w:jc w:val="both"/>
        <w:rPr>
          <w:rFonts w:ascii="Verdana" w:hAnsi="Verdana"/>
          <w:lang w:val="es-ES"/>
        </w:rPr>
      </w:pPr>
    </w:p>
    <w:p w14:paraId="2E29C013" w14:textId="77777777" w:rsidR="00AA3A70" w:rsidRDefault="00AA3A70" w:rsidP="00B75843">
      <w:pPr>
        <w:widowControl w:val="0"/>
        <w:spacing w:after="0" w:line="276" w:lineRule="auto"/>
        <w:jc w:val="both"/>
        <w:rPr>
          <w:rFonts w:ascii="Verdana" w:hAnsi="Verdana"/>
          <w:lang w:val="es-ES"/>
        </w:rPr>
      </w:pPr>
    </w:p>
    <w:p w14:paraId="1638300B" w14:textId="77777777" w:rsidR="00AA3A70" w:rsidRDefault="00AA3A70" w:rsidP="00B75843">
      <w:pPr>
        <w:widowControl w:val="0"/>
        <w:spacing w:after="0" w:line="276" w:lineRule="auto"/>
        <w:jc w:val="both"/>
        <w:rPr>
          <w:rFonts w:ascii="Verdana" w:hAnsi="Verdana"/>
          <w:lang w:val="es-ES"/>
        </w:rPr>
      </w:pPr>
    </w:p>
    <w:p w14:paraId="4ECB309C" w14:textId="77777777" w:rsidR="00AA3A70" w:rsidRDefault="00AA3A70" w:rsidP="00B75843">
      <w:pPr>
        <w:widowControl w:val="0"/>
        <w:spacing w:after="0" w:line="276" w:lineRule="auto"/>
        <w:jc w:val="both"/>
        <w:rPr>
          <w:rFonts w:ascii="Verdana" w:hAnsi="Verdana"/>
          <w:lang w:val="es-ES"/>
        </w:rPr>
      </w:pPr>
    </w:p>
    <w:p w14:paraId="09C11F8A" w14:textId="77777777" w:rsidR="00AA3A70" w:rsidRDefault="00AA3A70" w:rsidP="00B75843">
      <w:pPr>
        <w:widowControl w:val="0"/>
        <w:spacing w:after="0" w:line="276" w:lineRule="auto"/>
        <w:jc w:val="both"/>
        <w:rPr>
          <w:rFonts w:ascii="Verdana" w:hAnsi="Verdana"/>
          <w:lang w:val="es-ES"/>
        </w:rPr>
      </w:pPr>
    </w:p>
    <w:p w14:paraId="688F65AA" w14:textId="6414B719" w:rsidR="00B75843" w:rsidRPr="003E0B17" w:rsidRDefault="00B75843" w:rsidP="00B75843">
      <w:pPr>
        <w:widowControl w:val="0"/>
        <w:spacing w:after="0" w:line="276" w:lineRule="auto"/>
        <w:jc w:val="both"/>
        <w:rPr>
          <w:rFonts w:ascii="Verdana" w:hAnsi="Verdana"/>
          <w:lang w:val="es-ES"/>
        </w:rPr>
      </w:pPr>
      <w:r w:rsidRPr="003E0B17">
        <w:rPr>
          <w:rFonts w:ascii="Verdana" w:hAnsi="Verdana"/>
          <w:lang w:val="es-ES"/>
        </w:rPr>
        <w:lastRenderedPageBreak/>
        <w:t xml:space="preserve">Bogotá D.C., </w:t>
      </w:r>
      <w:r w:rsidR="006B2C62">
        <w:rPr>
          <w:rFonts w:ascii="Verdana" w:hAnsi="Verdana"/>
          <w:lang w:val="es-ES"/>
        </w:rPr>
        <w:t>31 de agosto de 2026</w:t>
      </w:r>
    </w:p>
    <w:p w14:paraId="603C20B1" w14:textId="6AC846B6" w:rsidR="00B75843" w:rsidRPr="003E0B17" w:rsidRDefault="00B75843" w:rsidP="00B75843">
      <w:pPr>
        <w:spacing w:after="0"/>
        <w:rPr>
          <w:rFonts w:ascii="Verdana" w:hAnsi="Verdana"/>
          <w:lang w:val="es-ES"/>
        </w:rPr>
      </w:pPr>
    </w:p>
    <w:p w14:paraId="7DBF22C1" w14:textId="7B20D6A9" w:rsidR="00B75843" w:rsidRPr="003E0B17" w:rsidRDefault="006B2C62" w:rsidP="00B75843">
      <w:pPr>
        <w:spacing w:after="0" w:line="240" w:lineRule="auto"/>
        <w:rPr>
          <w:rFonts w:ascii="Verdana" w:eastAsia="Calibri" w:hAnsi="Verdana" w:cs="Arial"/>
          <w:color w:val="000000" w:themeColor="text1"/>
          <w:lang w:val="es-ES" w:eastAsia="es-ES"/>
        </w:rPr>
      </w:pPr>
      <w:r>
        <w:rPr>
          <w:rFonts w:ascii="Verdana" w:eastAsia="Calibri" w:hAnsi="Verdana" w:cs="Arial"/>
          <w:noProof/>
          <w:color w:val="000000" w:themeColor="text1"/>
          <w:lang w:val="es-ES" w:eastAsia="es-ES"/>
        </w:rPr>
        <w:drawing>
          <wp:anchor distT="0" distB="0" distL="114300" distR="114300" simplePos="0" relativeHeight="251659264" behindDoc="0" locked="0" layoutInCell="1" allowOverlap="1" wp14:anchorId="77749319" wp14:editId="4135DE9B">
            <wp:simplePos x="0" y="0"/>
            <wp:positionH relativeFrom="column">
              <wp:posOffset>3258820</wp:posOffset>
            </wp:positionH>
            <wp:positionV relativeFrom="paragraph">
              <wp:posOffset>149860</wp:posOffset>
            </wp:positionV>
            <wp:extent cx="2422525" cy="658495"/>
            <wp:effectExtent l="0" t="0" r="3175" b="1905"/>
            <wp:wrapSquare wrapText="bothSides"/>
            <wp:docPr id="4124489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448962" name="Picture 412448962"/>
                    <pic:cNvPicPr/>
                  </pic:nvPicPr>
                  <pic:blipFill>
                    <a:blip r:embed="rId10">
                      <a:extLst>
                        <a:ext uri="{28A0092B-C50C-407E-A947-70E740481C1C}">
                          <a14:useLocalDpi xmlns:a14="http://schemas.microsoft.com/office/drawing/2010/main" val="0"/>
                        </a:ext>
                      </a:extLst>
                    </a:blip>
                    <a:stretch>
                      <a:fillRect/>
                    </a:stretch>
                  </pic:blipFill>
                  <pic:spPr>
                    <a:xfrm>
                      <a:off x="0" y="0"/>
                      <a:ext cx="2422525" cy="658495"/>
                    </a:xfrm>
                    <a:prstGeom prst="rect">
                      <a:avLst/>
                    </a:prstGeom>
                  </pic:spPr>
                </pic:pic>
              </a:graphicData>
            </a:graphic>
            <wp14:sizeRelH relativeFrom="page">
              <wp14:pctWidth>0</wp14:pctWidth>
            </wp14:sizeRelH>
            <wp14:sizeRelV relativeFrom="page">
              <wp14:pctHeight>0</wp14:pctHeight>
            </wp14:sizeRelV>
          </wp:anchor>
        </w:drawing>
      </w:r>
      <w:r w:rsidR="00B75843" w:rsidRPr="003E0B17">
        <w:rPr>
          <w:rFonts w:ascii="Verdana" w:eastAsia="Calibri" w:hAnsi="Verdana" w:cs="Arial"/>
          <w:color w:val="000000" w:themeColor="text1"/>
          <w:lang w:val="es-ES" w:eastAsia="es-ES"/>
        </w:rPr>
        <w:t>Señor</w:t>
      </w:r>
    </w:p>
    <w:p w14:paraId="28A53B01" w14:textId="77777777" w:rsidR="00B75843" w:rsidRPr="003E0B17" w:rsidRDefault="00B75843" w:rsidP="00B75843">
      <w:pPr>
        <w:spacing w:after="0" w:line="240" w:lineRule="auto"/>
        <w:rPr>
          <w:rFonts w:ascii="Verdana" w:eastAsia="Calibri" w:hAnsi="Verdana" w:cs="Arial"/>
          <w:b/>
          <w:bCs/>
          <w:color w:val="000000" w:themeColor="text1"/>
          <w:lang w:val="es-ES" w:eastAsia="es-ES"/>
        </w:rPr>
      </w:pPr>
      <w:r w:rsidRPr="003E0B17">
        <w:rPr>
          <w:rFonts w:ascii="Verdana" w:eastAsia="Calibri" w:hAnsi="Verdana" w:cs="Arial"/>
          <w:b/>
          <w:bCs/>
          <w:color w:val="000000" w:themeColor="text1"/>
          <w:lang w:val="es-ES" w:eastAsia="es-ES"/>
        </w:rPr>
        <w:t>Camilo Moscoso López</w:t>
      </w:r>
    </w:p>
    <w:p w14:paraId="65D556A0" w14:textId="77777777" w:rsidR="00B75843" w:rsidRPr="00016768" w:rsidRDefault="00B75843" w:rsidP="00B75843">
      <w:pPr>
        <w:spacing w:after="0" w:line="240" w:lineRule="auto"/>
        <w:rPr>
          <w:rFonts w:ascii="Verdana" w:eastAsia="Calibri" w:hAnsi="Verdana" w:cs="Arial"/>
          <w:color w:val="000000" w:themeColor="text1"/>
          <w:lang w:val="es-ES" w:eastAsia="es-ES"/>
        </w:rPr>
      </w:pPr>
      <w:hyperlink r:id="rId11" w:history="1">
        <w:r w:rsidRPr="00016768">
          <w:rPr>
            <w:rStyle w:val="Hyperlink"/>
            <w:rFonts w:ascii="Verdana" w:eastAsia="Calibri" w:hAnsi="Verdana" w:cs="Arial"/>
            <w:lang w:val="es-ES" w:eastAsia="es-ES"/>
          </w:rPr>
          <w:t>c.moscoso25@hotmail.com</w:t>
        </w:r>
      </w:hyperlink>
      <w:r w:rsidRPr="003E0B17">
        <w:rPr>
          <w:rFonts w:ascii="Verdana" w:eastAsia="Calibri" w:hAnsi="Verdana" w:cs="Arial"/>
          <w:color w:val="000000" w:themeColor="text1"/>
          <w:lang w:val="es-ES" w:eastAsia="es-ES"/>
        </w:rPr>
        <w:t xml:space="preserve"> </w:t>
      </w:r>
      <w:r w:rsidRPr="00016768">
        <w:rPr>
          <w:rFonts w:ascii="Verdana" w:eastAsia="Calibri" w:hAnsi="Verdana" w:cs="Arial"/>
          <w:color w:val="000000" w:themeColor="text1"/>
          <w:lang w:val="es-ES" w:eastAsia="es-ES"/>
        </w:rPr>
        <w:t xml:space="preserve"> </w:t>
      </w:r>
    </w:p>
    <w:p w14:paraId="446919FB" w14:textId="77777777" w:rsidR="00B75843" w:rsidRPr="00016768" w:rsidRDefault="00B75843" w:rsidP="00B75843">
      <w:pPr>
        <w:spacing w:after="0" w:line="240" w:lineRule="auto"/>
        <w:rPr>
          <w:rFonts w:ascii="Verdana" w:eastAsia="Calibri" w:hAnsi="Verdana" w:cs="Arial"/>
          <w:color w:val="000000" w:themeColor="text1"/>
          <w:lang w:val="es-ES" w:eastAsia="es-ES"/>
        </w:rPr>
      </w:pPr>
      <w:r w:rsidRPr="00016768">
        <w:rPr>
          <w:rFonts w:ascii="Verdana" w:eastAsia="Calibri" w:hAnsi="Verdana" w:cs="Arial"/>
          <w:color w:val="000000" w:themeColor="text1"/>
          <w:lang w:val="es-ES" w:eastAsia="es-ES"/>
        </w:rPr>
        <w:t xml:space="preserve">Armenia, </w:t>
      </w:r>
      <w:proofErr w:type="spellStart"/>
      <w:r w:rsidRPr="00016768">
        <w:rPr>
          <w:rFonts w:ascii="Verdana" w:eastAsia="Calibri" w:hAnsi="Verdana" w:cs="Arial"/>
          <w:color w:val="000000" w:themeColor="text1"/>
          <w:lang w:val="es-ES" w:eastAsia="es-ES"/>
        </w:rPr>
        <w:t>Quindío</w:t>
      </w:r>
      <w:proofErr w:type="spellEnd"/>
      <w:r w:rsidRPr="00016768">
        <w:rPr>
          <w:rFonts w:ascii="Verdana" w:eastAsia="Calibri" w:hAnsi="Verdana" w:cs="Arial"/>
          <w:color w:val="000000" w:themeColor="text1"/>
          <w:lang w:val="es-ES" w:eastAsia="es-ES"/>
        </w:rPr>
        <w:t xml:space="preserve"> </w:t>
      </w:r>
    </w:p>
    <w:p w14:paraId="0F169491" w14:textId="77777777" w:rsidR="00B75843" w:rsidRPr="003E0B17" w:rsidRDefault="00B75843" w:rsidP="00B75843">
      <w:pPr>
        <w:spacing w:after="0" w:line="240" w:lineRule="auto"/>
        <w:rPr>
          <w:rFonts w:ascii="Verdana" w:eastAsia="Calibri" w:hAnsi="Verdana" w:cs="Arial"/>
          <w:color w:val="000000" w:themeColor="text1"/>
          <w:lang w:val="es-ES" w:eastAsia="es-ES"/>
        </w:rPr>
      </w:pPr>
    </w:p>
    <w:tbl>
      <w:tblPr>
        <w:tblStyle w:val="TableGrid"/>
        <w:tblW w:w="851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10"/>
        <w:gridCol w:w="6100"/>
      </w:tblGrid>
      <w:tr w:rsidR="00B75843" w:rsidRPr="003E0B17" w14:paraId="41F433C9" w14:textId="77777777" w:rsidTr="00213751">
        <w:trPr>
          <w:trHeight w:val="300"/>
        </w:trPr>
        <w:tc>
          <w:tcPr>
            <w:tcW w:w="2410" w:type="dxa"/>
          </w:tcPr>
          <w:p w14:paraId="704E451B" w14:textId="77777777" w:rsidR="00B75843" w:rsidRPr="003E0B17" w:rsidRDefault="00B75843" w:rsidP="00213751">
            <w:pPr>
              <w:ind w:left="-142"/>
              <w:jc w:val="both"/>
              <w:rPr>
                <w:rFonts w:ascii="Verdana" w:eastAsia="Calibri" w:hAnsi="Verdana" w:cs="Arial"/>
                <w:b/>
                <w:bCs/>
                <w:color w:val="000000" w:themeColor="text1"/>
                <w:lang w:val="es-ES" w:eastAsia="es-ES_tradnl"/>
              </w:rPr>
            </w:pPr>
          </w:p>
        </w:tc>
        <w:tc>
          <w:tcPr>
            <w:tcW w:w="6100" w:type="dxa"/>
          </w:tcPr>
          <w:p w14:paraId="05BE1320" w14:textId="77777777" w:rsidR="00B75843" w:rsidRPr="003E0B17" w:rsidRDefault="00B75843" w:rsidP="00213751">
            <w:pPr>
              <w:ind w:left="3"/>
              <w:jc w:val="both"/>
              <w:rPr>
                <w:rFonts w:ascii="Verdana" w:eastAsia="Calibri" w:hAnsi="Verdana" w:cs="Arial"/>
                <w:b/>
                <w:bCs/>
                <w:color w:val="000000" w:themeColor="text1"/>
                <w:lang w:val="es-ES" w:eastAsia="es-ES"/>
              </w:rPr>
            </w:pPr>
          </w:p>
          <w:p w14:paraId="67F05EE8" w14:textId="77777777" w:rsidR="00B75843" w:rsidRPr="003E0B17" w:rsidRDefault="00B75843" w:rsidP="00213751">
            <w:pPr>
              <w:ind w:left="3"/>
              <w:jc w:val="both"/>
              <w:rPr>
                <w:rFonts w:ascii="Verdana" w:eastAsia="Calibri" w:hAnsi="Verdana" w:cs="Arial"/>
                <w:b/>
                <w:bCs/>
                <w:color w:val="000000" w:themeColor="text1"/>
                <w:lang w:val="es-ES" w:eastAsia="es-ES"/>
              </w:rPr>
            </w:pPr>
            <w:r w:rsidRPr="003E0B17">
              <w:rPr>
                <w:rFonts w:ascii="Verdana" w:eastAsia="Calibri" w:hAnsi="Verdana" w:cs="Arial"/>
                <w:b/>
                <w:bCs/>
                <w:color w:val="000000" w:themeColor="text1"/>
                <w:lang w:val="es-ES" w:eastAsia="es-ES"/>
              </w:rPr>
              <w:t>Concepto C-1150 de 2026</w:t>
            </w:r>
          </w:p>
          <w:p w14:paraId="0B75D189" w14:textId="77777777" w:rsidR="00B75843" w:rsidRPr="003E0B17" w:rsidRDefault="00B75843" w:rsidP="00213751">
            <w:pPr>
              <w:ind w:left="3"/>
              <w:jc w:val="both"/>
              <w:rPr>
                <w:rFonts w:ascii="Verdana" w:eastAsia="Calibri" w:hAnsi="Verdana" w:cs="Arial"/>
                <w:b/>
                <w:bCs/>
                <w:color w:val="000000" w:themeColor="text1"/>
                <w:lang w:val="es-ES" w:eastAsia="es-ES"/>
              </w:rPr>
            </w:pPr>
          </w:p>
        </w:tc>
      </w:tr>
      <w:tr w:rsidR="00B75843" w:rsidRPr="003E0B17" w14:paraId="40FC121B" w14:textId="77777777" w:rsidTr="00213751">
        <w:trPr>
          <w:trHeight w:val="300"/>
        </w:trPr>
        <w:tc>
          <w:tcPr>
            <w:tcW w:w="2410" w:type="dxa"/>
          </w:tcPr>
          <w:p w14:paraId="507376A4" w14:textId="77777777" w:rsidR="00B75843" w:rsidRPr="003E0B17" w:rsidRDefault="00B75843" w:rsidP="00213751">
            <w:pPr>
              <w:ind w:left="424" w:firstLine="142"/>
              <w:jc w:val="both"/>
              <w:rPr>
                <w:rFonts w:ascii="Verdana" w:eastAsia="Calibri" w:hAnsi="Verdana" w:cs="Arial"/>
                <w:color w:val="000000" w:themeColor="text1"/>
                <w:lang w:val="es-ES" w:eastAsia="es-ES_tradnl"/>
              </w:rPr>
            </w:pPr>
            <w:r w:rsidRPr="003E0B17">
              <w:rPr>
                <w:rFonts w:ascii="Verdana" w:eastAsia="Calibri" w:hAnsi="Verdana" w:cs="Arial"/>
                <w:b/>
                <w:color w:val="000000" w:themeColor="text1"/>
                <w:lang w:val="es-ES" w:eastAsia="es-ES_tradnl"/>
              </w:rPr>
              <w:t>Temas:</w:t>
            </w:r>
            <w:r w:rsidRPr="003E0B17">
              <w:rPr>
                <w:rFonts w:ascii="Verdana" w:eastAsia="Calibri" w:hAnsi="Verdana" w:cs="Arial"/>
                <w:color w:val="000000" w:themeColor="text1"/>
                <w:lang w:val="es-ES" w:eastAsia="es-ES_tradnl"/>
              </w:rPr>
              <w:t xml:space="preserve">                  </w:t>
            </w:r>
          </w:p>
        </w:tc>
        <w:tc>
          <w:tcPr>
            <w:tcW w:w="6100" w:type="dxa"/>
          </w:tcPr>
          <w:p w14:paraId="789B5C7F" w14:textId="77777777" w:rsidR="00B75843" w:rsidRPr="003E0B17" w:rsidRDefault="00B75843" w:rsidP="00213751">
            <w:pPr>
              <w:spacing w:line="276" w:lineRule="auto"/>
              <w:jc w:val="both"/>
              <w:rPr>
                <w:rFonts w:ascii="Verdana" w:eastAsia="Calibri" w:hAnsi="Verdana" w:cs="Arial"/>
                <w:lang w:val="es-ES" w:eastAsia="es-ES"/>
              </w:rPr>
            </w:pPr>
            <w:r w:rsidRPr="003E0B17">
              <w:rPr>
                <w:rFonts w:ascii="Verdana" w:eastAsia="Calibri" w:hAnsi="Verdana" w:cs="Arial"/>
                <w:lang w:val="es-ES" w:eastAsia="es-ES"/>
              </w:rPr>
              <w:t>ASOCIACIONES PÚBLICO PRIVADAS – Formas de colaboración / ASOCIACIONES PÚBLICO PRIVADAS – Concepto – Ley 1508 de 2012 / TIPOS DE APP – De iniciativa pública – De iniciativa privada / EVALUACIÓN – Proyectos de APP – Iniciativa privada – Ley 1955 de 2019 / ASOCIACIONES PÚBLICO PRIVADAS – De iniciativa privada – Contratación de la interventoría</w:t>
            </w:r>
          </w:p>
          <w:p w14:paraId="7B387C0E" w14:textId="77777777" w:rsidR="00B75843" w:rsidRPr="003E0B17" w:rsidRDefault="00B75843" w:rsidP="00213751">
            <w:pPr>
              <w:spacing w:line="276" w:lineRule="auto"/>
              <w:jc w:val="both"/>
              <w:rPr>
                <w:rFonts w:ascii="Verdana" w:eastAsia="Calibri" w:hAnsi="Verdana" w:cs="Arial"/>
                <w:color w:val="000000" w:themeColor="text1"/>
                <w:lang w:val="es-ES" w:eastAsia="es-ES"/>
              </w:rPr>
            </w:pPr>
          </w:p>
        </w:tc>
      </w:tr>
      <w:tr w:rsidR="00B75843" w:rsidRPr="003E0B17" w14:paraId="6E2FFC07" w14:textId="77777777" w:rsidTr="00213751">
        <w:trPr>
          <w:trHeight w:val="300"/>
        </w:trPr>
        <w:tc>
          <w:tcPr>
            <w:tcW w:w="2410" w:type="dxa"/>
          </w:tcPr>
          <w:p w14:paraId="214F7ABD" w14:textId="77777777" w:rsidR="00B75843" w:rsidRPr="003E0B17" w:rsidRDefault="00B75843" w:rsidP="00213751">
            <w:pPr>
              <w:ind w:left="561"/>
              <w:jc w:val="both"/>
              <w:rPr>
                <w:rFonts w:ascii="Verdana" w:eastAsia="Calibri" w:hAnsi="Verdana" w:cs="Arial"/>
                <w:b/>
                <w:color w:val="000000" w:themeColor="text1"/>
                <w:lang w:val="es-ES" w:eastAsia="es-ES_tradnl"/>
              </w:rPr>
            </w:pPr>
            <w:r w:rsidRPr="003E0B17">
              <w:rPr>
                <w:rFonts w:ascii="Verdana" w:eastAsia="Calibri" w:hAnsi="Verdana" w:cs="Arial"/>
                <w:b/>
                <w:color w:val="000000" w:themeColor="text1"/>
                <w:lang w:val="es-ES" w:eastAsia="es-ES_tradnl"/>
              </w:rPr>
              <w:t xml:space="preserve">Radicación:              </w:t>
            </w:r>
          </w:p>
        </w:tc>
        <w:tc>
          <w:tcPr>
            <w:tcW w:w="6100" w:type="dxa"/>
          </w:tcPr>
          <w:p w14:paraId="012471D7" w14:textId="77777777" w:rsidR="00B75843" w:rsidRPr="003E0B17" w:rsidRDefault="00B75843" w:rsidP="00213751">
            <w:pPr>
              <w:ind w:left="3"/>
              <w:jc w:val="both"/>
              <w:rPr>
                <w:rFonts w:ascii="Verdana" w:hAnsi="Verdana"/>
                <w:bCs/>
                <w:color w:val="000000"/>
                <w:lang w:val="es-ES"/>
              </w:rPr>
            </w:pPr>
            <w:r w:rsidRPr="003E0B17">
              <w:rPr>
                <w:rFonts w:ascii="Verdana" w:eastAsia="Calibri" w:hAnsi="Verdana" w:cs="Arial"/>
                <w:bCs/>
                <w:color w:val="000000" w:themeColor="text1"/>
                <w:lang w:val="es-ES" w:eastAsia="es-ES"/>
              </w:rPr>
              <w:t>Respuesta a consulta con radicado No.</w:t>
            </w:r>
            <w:r w:rsidRPr="003E0B17">
              <w:rPr>
                <w:rFonts w:ascii="Verdana" w:hAnsi="Verdana" w:cs="Segoe UI"/>
                <w:bCs/>
                <w:color w:val="242424"/>
                <w:shd w:val="clear" w:color="auto" w:fill="FFFFFF"/>
                <w:lang w:val="es-ES"/>
              </w:rPr>
              <w:t xml:space="preserve"> 1_2026_07_17_009483</w:t>
            </w:r>
            <w:r w:rsidRPr="003E0B17">
              <w:rPr>
                <w:rFonts w:ascii="Verdana" w:eastAsia="Calibri" w:hAnsi="Verdana" w:cs="Arial"/>
                <w:bCs/>
                <w:color w:val="000000" w:themeColor="text1"/>
                <w:lang w:val="es-ES" w:eastAsia="es-ES"/>
              </w:rPr>
              <w:t xml:space="preserve"> </w:t>
            </w:r>
          </w:p>
        </w:tc>
      </w:tr>
    </w:tbl>
    <w:p w14:paraId="41E477DA" w14:textId="77777777" w:rsidR="00B75843" w:rsidRPr="003E0B17" w:rsidRDefault="00B75843" w:rsidP="00B75843">
      <w:pPr>
        <w:spacing w:after="0" w:line="276" w:lineRule="auto"/>
        <w:jc w:val="both"/>
        <w:rPr>
          <w:rFonts w:ascii="Verdana" w:eastAsia="Calibri" w:hAnsi="Verdana" w:cs="Arial"/>
          <w:color w:val="000000" w:themeColor="text1"/>
          <w:lang w:val="es-ES" w:eastAsia="es-ES"/>
        </w:rPr>
      </w:pPr>
    </w:p>
    <w:p w14:paraId="74D6CD5E" w14:textId="77777777" w:rsidR="00B75843" w:rsidRPr="003E0B17" w:rsidRDefault="00B75843" w:rsidP="00B75843">
      <w:pPr>
        <w:spacing w:after="0" w:line="276" w:lineRule="auto"/>
        <w:jc w:val="both"/>
        <w:rPr>
          <w:rFonts w:ascii="Verdana" w:eastAsia="Calibri" w:hAnsi="Verdana" w:cs="Arial"/>
          <w:color w:val="000000" w:themeColor="text1"/>
          <w:lang w:val="es-ES" w:eastAsia="es-ES"/>
        </w:rPr>
      </w:pPr>
      <w:r w:rsidRPr="003E0B17">
        <w:rPr>
          <w:rFonts w:ascii="Verdana" w:eastAsia="Calibri" w:hAnsi="Verdana" w:cs="Arial"/>
          <w:color w:val="000000" w:themeColor="text1"/>
          <w:lang w:val="es-ES" w:eastAsia="es-ES"/>
        </w:rPr>
        <w:t xml:space="preserve">Estimado señor Moscoso: </w:t>
      </w:r>
    </w:p>
    <w:p w14:paraId="6F9193EB" w14:textId="77777777" w:rsidR="00B75843" w:rsidRPr="003E0B17" w:rsidRDefault="00B75843" w:rsidP="00B75843">
      <w:pPr>
        <w:tabs>
          <w:tab w:val="left" w:pos="3768"/>
        </w:tabs>
        <w:spacing w:after="0" w:line="276" w:lineRule="auto"/>
        <w:jc w:val="both"/>
        <w:rPr>
          <w:rFonts w:ascii="Verdana" w:eastAsia="Calibri" w:hAnsi="Verdana" w:cs="Arial"/>
          <w:color w:val="000000" w:themeColor="text1"/>
          <w:lang w:val="es-ES" w:eastAsia="es-ES"/>
        </w:rPr>
      </w:pPr>
      <w:r w:rsidRPr="003E0B17">
        <w:rPr>
          <w:rFonts w:ascii="Verdana" w:eastAsia="Calibri" w:hAnsi="Verdana" w:cs="Arial"/>
          <w:color w:val="000000" w:themeColor="text1"/>
          <w:lang w:val="es-ES" w:eastAsia="es-ES"/>
        </w:rPr>
        <w:tab/>
      </w:r>
    </w:p>
    <w:p w14:paraId="3EE4997B" w14:textId="77777777" w:rsidR="00B75843" w:rsidRPr="003E0B17" w:rsidRDefault="00B75843" w:rsidP="00B75843">
      <w:pPr>
        <w:spacing w:after="0" w:line="276" w:lineRule="auto"/>
        <w:jc w:val="both"/>
        <w:rPr>
          <w:rFonts w:ascii="Verdana" w:eastAsia="Calibri" w:hAnsi="Verdana" w:cs="Arial"/>
          <w:color w:val="000000" w:themeColor="text1"/>
          <w:lang w:val="es-ES" w:eastAsia="es-ES"/>
        </w:rPr>
      </w:pPr>
      <w:r w:rsidRPr="003E0B17">
        <w:rPr>
          <w:rFonts w:ascii="Verdana" w:eastAsia="Calibri" w:hAnsi="Verdana" w:cs="Arial"/>
          <w:color w:val="000000" w:themeColor="text1"/>
          <w:lang w:val="es-ES" w:eastAsia="es-ES"/>
        </w:rPr>
        <w:t>En ejercicio de la competencia otorgada por los artículos 3, numeral 5º, y 11, numeral 8º, del Decreto Ley 4170 de 2011,</w:t>
      </w:r>
      <w:r w:rsidRPr="003E0B17">
        <w:rPr>
          <w:rFonts w:ascii="Verdana" w:eastAsia="Arial MT" w:hAnsi="Verdana" w:cs="Arial MT"/>
          <w:color w:val="000000" w:themeColor="text1"/>
          <w:lang w:val="es-ES" w:eastAsia="es-ES"/>
        </w:rPr>
        <w:t xml:space="preserve"> </w:t>
      </w:r>
      <w:r w:rsidRPr="003E0B17">
        <w:rPr>
          <w:rFonts w:ascii="Verdana" w:hAnsi="Verdana" w:cs="Arial"/>
          <w:color w:val="000000" w:themeColor="text1"/>
          <w:lang w:val="es-ES"/>
        </w:rPr>
        <w:t xml:space="preserve">así como lo establecido en el artículo 4 de la Resolución 1707 de 2018 expedida por esta Entidad, </w:t>
      </w:r>
      <w:r w:rsidRPr="003E0B17">
        <w:rPr>
          <w:rFonts w:ascii="Verdana" w:eastAsia="Calibri" w:hAnsi="Verdana" w:cs="Arial"/>
          <w:color w:val="000000" w:themeColor="text1"/>
          <w:lang w:val="es-ES" w:eastAsia="es-ES"/>
        </w:rPr>
        <w:t xml:space="preserve">la Agencia Nacional de Contratación Pública – Colombia Compra Eficiente– responde su solicitud de consulta del 17 julio de 2026, en la cual manifiesta lo siguiente: </w:t>
      </w:r>
    </w:p>
    <w:p w14:paraId="62E0C7F1" w14:textId="77777777" w:rsidR="00B75843" w:rsidRPr="003E0B17" w:rsidRDefault="00B75843" w:rsidP="00B75843">
      <w:pPr>
        <w:tabs>
          <w:tab w:val="left" w:pos="142"/>
          <w:tab w:val="left" w:pos="284"/>
        </w:tabs>
        <w:spacing w:after="0" w:line="276" w:lineRule="auto"/>
        <w:contextualSpacing/>
        <w:jc w:val="both"/>
        <w:rPr>
          <w:rFonts w:ascii="Verdana" w:eastAsia="Century Gothic" w:hAnsi="Verdana" w:cs="Century Gothic"/>
          <w:b/>
          <w:color w:val="000000" w:themeColor="text1"/>
          <w:lang w:val="es-ES"/>
        </w:rPr>
      </w:pPr>
    </w:p>
    <w:p w14:paraId="64635498" w14:textId="77777777" w:rsidR="00B75843" w:rsidRPr="003E0B17" w:rsidRDefault="00B75843" w:rsidP="00B75843">
      <w:pPr>
        <w:ind w:left="709" w:right="709"/>
        <w:jc w:val="both"/>
        <w:rPr>
          <w:rFonts w:ascii="Verdana" w:eastAsia="Calibri" w:hAnsi="Verdana" w:cs="Arial"/>
          <w:i/>
          <w:iCs/>
          <w:sz w:val="20"/>
          <w:szCs w:val="20"/>
          <w:lang w:val="es-ES"/>
        </w:rPr>
      </w:pPr>
      <w:r w:rsidRPr="003E0B17">
        <w:rPr>
          <w:rFonts w:ascii="Verdana" w:eastAsia="Calibri" w:hAnsi="Verdana" w:cs="Arial"/>
          <w:i/>
          <w:iCs/>
          <w:sz w:val="20"/>
          <w:szCs w:val="20"/>
          <w:lang w:val="es-ES"/>
        </w:rPr>
        <w:t xml:space="preserve">“[…] La consulta se refiere a una iniciativa que ya </w:t>
      </w:r>
      <w:proofErr w:type="spellStart"/>
      <w:r w:rsidRPr="003E0B17">
        <w:rPr>
          <w:rFonts w:ascii="Verdana" w:eastAsia="Calibri" w:hAnsi="Verdana" w:cs="Arial"/>
          <w:i/>
          <w:iCs/>
          <w:sz w:val="20"/>
          <w:szCs w:val="20"/>
          <w:lang w:val="es-ES"/>
        </w:rPr>
        <w:t>surtio</w:t>
      </w:r>
      <w:proofErr w:type="spellEnd"/>
      <w:r w:rsidRPr="003E0B17">
        <w:rPr>
          <w:rFonts w:ascii="Verdana" w:eastAsia="Calibri" w:hAnsi="Verdana" w:cs="Arial"/>
          <w:i/>
          <w:iCs/>
          <w:sz w:val="20"/>
          <w:szCs w:val="20"/>
          <w:lang w:val="es-ES"/>
        </w:rPr>
        <w:t xml:space="preserve">́ las etapas de prefactibilidad y factibilidad y fue declarada viable por la entidad estatal competente. La estructura contractual del proyecto contempla las etapa y fases correspondientes a: preoperativa, de construcción, operación y </w:t>
      </w:r>
      <w:proofErr w:type="spellStart"/>
      <w:r w:rsidRPr="003E0B17">
        <w:rPr>
          <w:rFonts w:ascii="Verdana" w:eastAsia="Calibri" w:hAnsi="Verdana" w:cs="Arial"/>
          <w:i/>
          <w:iCs/>
          <w:sz w:val="20"/>
          <w:szCs w:val="20"/>
          <w:lang w:val="es-ES"/>
        </w:rPr>
        <w:t>reversión</w:t>
      </w:r>
      <w:proofErr w:type="spellEnd"/>
      <w:r w:rsidRPr="003E0B17">
        <w:rPr>
          <w:rFonts w:ascii="Verdana" w:eastAsia="Calibri" w:hAnsi="Verdana" w:cs="Arial"/>
          <w:i/>
          <w:iCs/>
          <w:sz w:val="20"/>
          <w:szCs w:val="20"/>
          <w:lang w:val="es-ES"/>
        </w:rPr>
        <w:t xml:space="preserve">. Asimismo, para la </w:t>
      </w:r>
      <w:proofErr w:type="spellStart"/>
      <w:r w:rsidRPr="003E0B17">
        <w:rPr>
          <w:rFonts w:ascii="Verdana" w:eastAsia="Calibri" w:hAnsi="Verdana" w:cs="Arial"/>
          <w:i/>
          <w:iCs/>
          <w:sz w:val="20"/>
          <w:szCs w:val="20"/>
          <w:lang w:val="es-ES"/>
        </w:rPr>
        <w:t>administración</w:t>
      </w:r>
      <w:proofErr w:type="spellEnd"/>
      <w:r w:rsidRPr="003E0B17">
        <w:rPr>
          <w:rFonts w:ascii="Verdana" w:eastAsia="Calibri" w:hAnsi="Verdana" w:cs="Arial"/>
          <w:i/>
          <w:iCs/>
          <w:sz w:val="20"/>
          <w:szCs w:val="20"/>
          <w:lang w:val="es-ES"/>
        </w:rPr>
        <w:t xml:space="preserve"> de los recursos privados se </w:t>
      </w:r>
      <w:proofErr w:type="spellStart"/>
      <w:r w:rsidRPr="003E0B17">
        <w:rPr>
          <w:rFonts w:ascii="Verdana" w:eastAsia="Calibri" w:hAnsi="Verdana" w:cs="Arial"/>
          <w:i/>
          <w:iCs/>
          <w:sz w:val="20"/>
          <w:szCs w:val="20"/>
          <w:lang w:val="es-ES"/>
        </w:rPr>
        <w:t>preve</w:t>
      </w:r>
      <w:proofErr w:type="spellEnd"/>
      <w:r w:rsidRPr="003E0B17">
        <w:rPr>
          <w:rFonts w:ascii="Verdana" w:eastAsia="Calibri" w:hAnsi="Verdana" w:cs="Arial"/>
          <w:i/>
          <w:iCs/>
          <w:sz w:val="20"/>
          <w:szCs w:val="20"/>
          <w:lang w:val="es-ES"/>
        </w:rPr>
        <w:t xml:space="preserve">́ la </w:t>
      </w:r>
      <w:proofErr w:type="spellStart"/>
      <w:r w:rsidRPr="003E0B17">
        <w:rPr>
          <w:rFonts w:ascii="Verdana" w:eastAsia="Calibri" w:hAnsi="Verdana" w:cs="Arial"/>
          <w:i/>
          <w:iCs/>
          <w:sz w:val="20"/>
          <w:szCs w:val="20"/>
          <w:lang w:val="es-ES"/>
        </w:rPr>
        <w:t>constitución</w:t>
      </w:r>
      <w:proofErr w:type="spellEnd"/>
      <w:r w:rsidRPr="003E0B17">
        <w:rPr>
          <w:rFonts w:ascii="Verdana" w:eastAsia="Calibri" w:hAnsi="Verdana" w:cs="Arial"/>
          <w:i/>
          <w:iCs/>
          <w:sz w:val="20"/>
          <w:szCs w:val="20"/>
          <w:lang w:val="es-ES"/>
        </w:rPr>
        <w:t xml:space="preserve"> de un patrimonio </w:t>
      </w:r>
      <w:proofErr w:type="spellStart"/>
      <w:r w:rsidRPr="003E0B17">
        <w:rPr>
          <w:rFonts w:ascii="Verdana" w:eastAsia="Calibri" w:hAnsi="Verdana" w:cs="Arial"/>
          <w:i/>
          <w:iCs/>
          <w:sz w:val="20"/>
          <w:szCs w:val="20"/>
          <w:lang w:val="es-ES"/>
        </w:rPr>
        <w:t>autónomo</w:t>
      </w:r>
      <w:proofErr w:type="spellEnd"/>
      <w:r w:rsidRPr="003E0B17">
        <w:rPr>
          <w:rFonts w:ascii="Verdana" w:eastAsia="Calibri" w:hAnsi="Verdana" w:cs="Arial"/>
          <w:i/>
          <w:iCs/>
          <w:sz w:val="20"/>
          <w:szCs w:val="20"/>
          <w:lang w:val="es-ES"/>
        </w:rPr>
        <w:t xml:space="preserve">, administrado por una sociedad fiduciaria. En este contexto, se solicita concepto sobre los siguientes aspectos: </w:t>
      </w:r>
    </w:p>
    <w:p w14:paraId="51B14893" w14:textId="77777777" w:rsidR="00B75843" w:rsidRPr="003E0B17" w:rsidRDefault="00B75843" w:rsidP="00B75843">
      <w:pPr>
        <w:pStyle w:val="ListParagraph"/>
        <w:numPr>
          <w:ilvl w:val="0"/>
          <w:numId w:val="19"/>
        </w:numPr>
        <w:spacing w:line="240" w:lineRule="auto"/>
        <w:ind w:left="1134" w:right="709"/>
        <w:jc w:val="both"/>
        <w:rPr>
          <w:rFonts w:ascii="Verdana" w:eastAsia="Calibri" w:hAnsi="Verdana" w:cs="Arial"/>
          <w:i/>
          <w:iCs/>
          <w:sz w:val="20"/>
          <w:szCs w:val="20"/>
        </w:rPr>
      </w:pPr>
      <w:r w:rsidRPr="003E0B17">
        <w:rPr>
          <w:rFonts w:ascii="Verdana" w:eastAsia="Calibri" w:hAnsi="Verdana" w:cs="Arial"/>
          <w:i/>
          <w:iCs/>
          <w:sz w:val="20"/>
          <w:szCs w:val="20"/>
        </w:rPr>
        <w:t xml:space="preserve">¿Es jurídicamente viable que, durante la fase de construcción, la sociedad fiduciaria, en calidad de vocera y administradora del </w:t>
      </w:r>
      <w:r w:rsidRPr="003E0B17">
        <w:rPr>
          <w:rFonts w:ascii="Verdana" w:eastAsia="Calibri" w:hAnsi="Verdana" w:cs="Arial"/>
          <w:i/>
          <w:iCs/>
          <w:sz w:val="20"/>
          <w:szCs w:val="20"/>
        </w:rPr>
        <w:lastRenderedPageBreak/>
        <w:t xml:space="preserve">patrimonio </w:t>
      </w:r>
      <w:proofErr w:type="spellStart"/>
      <w:r w:rsidRPr="003E0B17">
        <w:rPr>
          <w:rFonts w:ascii="Verdana" w:eastAsia="Calibri" w:hAnsi="Verdana" w:cs="Arial"/>
          <w:i/>
          <w:iCs/>
          <w:sz w:val="20"/>
          <w:szCs w:val="20"/>
        </w:rPr>
        <w:t>autónomo</w:t>
      </w:r>
      <w:proofErr w:type="spellEnd"/>
      <w:r w:rsidRPr="003E0B17">
        <w:rPr>
          <w:rFonts w:ascii="Verdana" w:eastAsia="Calibri" w:hAnsi="Verdana" w:cs="Arial"/>
          <w:i/>
          <w:iCs/>
          <w:sz w:val="20"/>
          <w:szCs w:val="20"/>
        </w:rPr>
        <w:t xml:space="preserve"> constituido para el proyecto, adelante la contratación de la </w:t>
      </w:r>
      <w:proofErr w:type="spellStart"/>
      <w:r w:rsidRPr="003E0B17">
        <w:rPr>
          <w:rFonts w:ascii="Verdana" w:eastAsia="Calibri" w:hAnsi="Verdana" w:cs="Arial"/>
          <w:i/>
          <w:iCs/>
          <w:sz w:val="20"/>
          <w:szCs w:val="20"/>
        </w:rPr>
        <w:t>interventoría</w:t>
      </w:r>
      <w:proofErr w:type="spellEnd"/>
      <w:r w:rsidRPr="003E0B17">
        <w:rPr>
          <w:rFonts w:ascii="Verdana" w:eastAsia="Calibri" w:hAnsi="Verdana" w:cs="Arial"/>
          <w:i/>
          <w:iCs/>
          <w:sz w:val="20"/>
          <w:szCs w:val="20"/>
        </w:rPr>
        <w:t xml:space="preserve"> integral encargada de verificar la ejecución de las obras, considerando que la infraestructura será financiada y ejecutada en su totalidad con recursos privados aportados por el concesionario y los financiadores del proyecto, </w:t>
      </w:r>
      <w:proofErr w:type="spellStart"/>
      <w:r w:rsidRPr="003E0B17">
        <w:rPr>
          <w:rFonts w:ascii="Verdana" w:eastAsia="Calibri" w:hAnsi="Verdana" w:cs="Arial"/>
          <w:i/>
          <w:iCs/>
          <w:sz w:val="20"/>
          <w:szCs w:val="20"/>
        </w:rPr>
        <w:t>interventoría</w:t>
      </w:r>
      <w:proofErr w:type="spellEnd"/>
      <w:r w:rsidRPr="003E0B17">
        <w:rPr>
          <w:rFonts w:ascii="Verdana" w:eastAsia="Calibri" w:hAnsi="Verdana" w:cs="Arial"/>
          <w:i/>
          <w:iCs/>
          <w:sz w:val="20"/>
          <w:szCs w:val="20"/>
        </w:rPr>
        <w:t xml:space="preserve"> que debe de responderle a los inversionistas y financiadores del proyecto y no a la entidad estatal, toda que no hay desembolso de recursos públicos? </w:t>
      </w:r>
    </w:p>
    <w:p w14:paraId="193A04D3" w14:textId="77777777" w:rsidR="00B75843" w:rsidRPr="003E0B17" w:rsidRDefault="00B75843" w:rsidP="00B75843">
      <w:pPr>
        <w:pStyle w:val="ListParagraph"/>
        <w:numPr>
          <w:ilvl w:val="0"/>
          <w:numId w:val="19"/>
        </w:numPr>
        <w:spacing w:line="240" w:lineRule="auto"/>
        <w:ind w:left="1134" w:right="709"/>
        <w:jc w:val="both"/>
        <w:rPr>
          <w:rFonts w:ascii="Verdana" w:eastAsia="Calibri" w:hAnsi="Verdana" w:cs="Arial"/>
          <w:i/>
          <w:iCs/>
          <w:sz w:val="20"/>
          <w:szCs w:val="20"/>
        </w:rPr>
      </w:pPr>
      <w:r w:rsidRPr="003E0B17">
        <w:rPr>
          <w:rFonts w:ascii="Verdana" w:eastAsia="Calibri" w:hAnsi="Verdana" w:cs="Arial"/>
          <w:i/>
          <w:iCs/>
          <w:sz w:val="20"/>
          <w:szCs w:val="20"/>
        </w:rPr>
        <w:t xml:space="preserve">¿Es jurídicamente viable mantener esta misma estructura durante la etapa de operación y mantenimiento, en la cual la prestación, </w:t>
      </w:r>
      <w:proofErr w:type="spellStart"/>
      <w:r w:rsidRPr="003E0B17">
        <w:rPr>
          <w:rFonts w:ascii="Verdana" w:eastAsia="Calibri" w:hAnsi="Verdana" w:cs="Arial"/>
          <w:i/>
          <w:iCs/>
          <w:sz w:val="20"/>
          <w:szCs w:val="20"/>
        </w:rPr>
        <w:t>administración</w:t>
      </w:r>
      <w:proofErr w:type="spellEnd"/>
      <w:r w:rsidRPr="003E0B17">
        <w:rPr>
          <w:rFonts w:ascii="Verdana" w:eastAsia="Calibri" w:hAnsi="Verdana" w:cs="Arial"/>
          <w:i/>
          <w:iCs/>
          <w:sz w:val="20"/>
          <w:szCs w:val="20"/>
        </w:rPr>
        <w:t xml:space="preserve"> y </w:t>
      </w:r>
      <w:proofErr w:type="spellStart"/>
      <w:r w:rsidRPr="003E0B17">
        <w:rPr>
          <w:rFonts w:ascii="Verdana" w:eastAsia="Calibri" w:hAnsi="Verdana" w:cs="Arial"/>
          <w:i/>
          <w:iCs/>
          <w:sz w:val="20"/>
          <w:szCs w:val="20"/>
        </w:rPr>
        <w:t>explotación</w:t>
      </w:r>
      <w:proofErr w:type="spellEnd"/>
      <w:r w:rsidRPr="003E0B17">
        <w:rPr>
          <w:rFonts w:ascii="Verdana" w:eastAsia="Calibri" w:hAnsi="Verdana" w:cs="Arial"/>
          <w:i/>
          <w:iCs/>
          <w:sz w:val="20"/>
          <w:szCs w:val="20"/>
        </w:rPr>
        <w:t xml:space="preserve"> económica del proyecto </w:t>
      </w:r>
      <w:proofErr w:type="spellStart"/>
      <w:r w:rsidRPr="003E0B17">
        <w:rPr>
          <w:rFonts w:ascii="Verdana" w:eastAsia="Calibri" w:hAnsi="Verdana" w:cs="Arial"/>
          <w:i/>
          <w:iCs/>
          <w:sz w:val="20"/>
          <w:szCs w:val="20"/>
        </w:rPr>
        <w:t>estarán</w:t>
      </w:r>
      <w:proofErr w:type="spellEnd"/>
      <w:r w:rsidRPr="003E0B17">
        <w:rPr>
          <w:rFonts w:ascii="Verdana" w:eastAsia="Calibri" w:hAnsi="Verdana" w:cs="Arial"/>
          <w:i/>
          <w:iCs/>
          <w:sz w:val="20"/>
          <w:szCs w:val="20"/>
        </w:rPr>
        <w:t xml:space="preserve"> a cargo del concesionario y/o de la sociedad de propósito </w:t>
      </w:r>
      <w:proofErr w:type="spellStart"/>
      <w:r w:rsidRPr="003E0B17">
        <w:rPr>
          <w:rFonts w:ascii="Verdana" w:eastAsia="Calibri" w:hAnsi="Verdana" w:cs="Arial"/>
          <w:i/>
          <w:iCs/>
          <w:sz w:val="20"/>
          <w:szCs w:val="20"/>
        </w:rPr>
        <w:t>específico</w:t>
      </w:r>
      <w:proofErr w:type="spellEnd"/>
      <w:r w:rsidRPr="003E0B17">
        <w:rPr>
          <w:rFonts w:ascii="Verdana" w:eastAsia="Calibri" w:hAnsi="Verdana" w:cs="Arial"/>
          <w:i/>
          <w:iCs/>
          <w:sz w:val="20"/>
          <w:szCs w:val="20"/>
        </w:rPr>
        <w:t xml:space="preserve"> —SPV— constituida para su ejecución, </w:t>
      </w:r>
      <w:proofErr w:type="spellStart"/>
      <w:r w:rsidRPr="003E0B17">
        <w:rPr>
          <w:rFonts w:ascii="Verdana" w:eastAsia="Calibri" w:hAnsi="Verdana" w:cs="Arial"/>
          <w:i/>
          <w:iCs/>
          <w:sz w:val="20"/>
          <w:szCs w:val="20"/>
        </w:rPr>
        <w:t>cuál</w:t>
      </w:r>
      <w:proofErr w:type="spellEnd"/>
      <w:r w:rsidRPr="003E0B17">
        <w:rPr>
          <w:rFonts w:ascii="Verdana" w:eastAsia="Calibri" w:hAnsi="Verdana" w:cs="Arial"/>
          <w:i/>
          <w:iCs/>
          <w:sz w:val="20"/>
          <w:szCs w:val="20"/>
        </w:rPr>
        <w:t xml:space="preserve"> serí</w:t>
      </w:r>
      <w:proofErr w:type="spellStart"/>
      <w:r w:rsidRPr="003E0B17">
        <w:rPr>
          <w:rFonts w:ascii="Verdana" w:eastAsia="Calibri" w:hAnsi="Verdana" w:cs="Arial"/>
          <w:i/>
          <w:iCs/>
          <w:sz w:val="20"/>
          <w:szCs w:val="20"/>
        </w:rPr>
        <w:t>a el</w:t>
      </w:r>
      <w:proofErr w:type="spellEnd"/>
      <w:r w:rsidRPr="003E0B17">
        <w:rPr>
          <w:rFonts w:ascii="Verdana" w:eastAsia="Calibri" w:hAnsi="Verdana" w:cs="Arial"/>
          <w:i/>
          <w:iCs/>
          <w:sz w:val="20"/>
          <w:szCs w:val="20"/>
        </w:rPr>
        <w:t xml:space="preserve"> alcance de la </w:t>
      </w:r>
      <w:proofErr w:type="spellStart"/>
      <w:r w:rsidRPr="003E0B17">
        <w:rPr>
          <w:rFonts w:ascii="Verdana" w:eastAsia="Calibri" w:hAnsi="Verdana" w:cs="Arial"/>
          <w:i/>
          <w:iCs/>
          <w:sz w:val="20"/>
          <w:szCs w:val="20"/>
        </w:rPr>
        <w:t>invertiría</w:t>
      </w:r>
      <w:proofErr w:type="spellEnd"/>
      <w:r w:rsidRPr="003E0B17">
        <w:rPr>
          <w:rFonts w:ascii="Verdana" w:eastAsia="Calibri" w:hAnsi="Verdana" w:cs="Arial"/>
          <w:i/>
          <w:iCs/>
          <w:sz w:val="20"/>
          <w:szCs w:val="20"/>
        </w:rPr>
        <w:t xml:space="preserve"> toda vez que los ingresos brutos son reportados por la entidad fiduciaria? </w:t>
      </w:r>
    </w:p>
    <w:p w14:paraId="61D7C8D3" w14:textId="77777777" w:rsidR="00B75843" w:rsidRPr="003E0B17" w:rsidRDefault="00B75843" w:rsidP="00B75843">
      <w:pPr>
        <w:pStyle w:val="ListParagraph"/>
        <w:numPr>
          <w:ilvl w:val="0"/>
          <w:numId w:val="19"/>
        </w:numPr>
        <w:spacing w:line="240" w:lineRule="auto"/>
        <w:ind w:left="1134" w:right="709"/>
        <w:jc w:val="both"/>
        <w:rPr>
          <w:rFonts w:ascii="Verdana" w:eastAsia="Calibri" w:hAnsi="Verdana" w:cs="Arial"/>
          <w:i/>
          <w:iCs/>
          <w:sz w:val="20"/>
          <w:szCs w:val="20"/>
        </w:rPr>
      </w:pPr>
      <w:r w:rsidRPr="003E0B17">
        <w:rPr>
          <w:rFonts w:ascii="Verdana" w:eastAsia="Calibri" w:hAnsi="Verdana" w:cs="Arial"/>
          <w:i/>
          <w:iCs/>
          <w:sz w:val="20"/>
          <w:szCs w:val="20"/>
        </w:rPr>
        <w:t xml:space="preserve">¿en la etapa de </w:t>
      </w:r>
      <w:proofErr w:type="spellStart"/>
      <w:r w:rsidRPr="003E0B17">
        <w:rPr>
          <w:rFonts w:ascii="Verdana" w:eastAsia="Calibri" w:hAnsi="Verdana" w:cs="Arial"/>
          <w:i/>
          <w:iCs/>
          <w:sz w:val="20"/>
          <w:szCs w:val="20"/>
        </w:rPr>
        <w:t>reversión</w:t>
      </w:r>
      <w:proofErr w:type="spellEnd"/>
      <w:r w:rsidRPr="003E0B17">
        <w:rPr>
          <w:rFonts w:ascii="Verdana" w:eastAsia="Calibri" w:hAnsi="Verdana" w:cs="Arial"/>
          <w:i/>
          <w:iCs/>
          <w:sz w:val="20"/>
          <w:szCs w:val="20"/>
        </w:rPr>
        <w:t xml:space="preserve">, </w:t>
      </w:r>
      <w:proofErr w:type="spellStart"/>
      <w:r w:rsidRPr="003E0B17">
        <w:rPr>
          <w:rFonts w:ascii="Verdana" w:eastAsia="Calibri" w:hAnsi="Verdana" w:cs="Arial"/>
          <w:i/>
          <w:iCs/>
          <w:sz w:val="20"/>
          <w:szCs w:val="20"/>
        </w:rPr>
        <w:t>cuál</w:t>
      </w:r>
      <w:proofErr w:type="spellEnd"/>
      <w:r w:rsidRPr="003E0B17">
        <w:rPr>
          <w:rFonts w:ascii="Verdana" w:eastAsia="Calibri" w:hAnsi="Verdana" w:cs="Arial"/>
          <w:i/>
          <w:iCs/>
          <w:sz w:val="20"/>
          <w:szCs w:val="20"/>
        </w:rPr>
        <w:t xml:space="preserve"> sería el mecanismo para verificar el estado, funcionamiento, </w:t>
      </w:r>
      <w:proofErr w:type="spellStart"/>
      <w:r w:rsidRPr="003E0B17">
        <w:rPr>
          <w:rFonts w:ascii="Verdana" w:eastAsia="Calibri" w:hAnsi="Verdana" w:cs="Arial"/>
          <w:i/>
          <w:iCs/>
          <w:sz w:val="20"/>
          <w:szCs w:val="20"/>
        </w:rPr>
        <w:t>conservación</w:t>
      </w:r>
      <w:proofErr w:type="spellEnd"/>
      <w:r w:rsidRPr="003E0B17">
        <w:rPr>
          <w:rFonts w:ascii="Verdana" w:eastAsia="Calibri" w:hAnsi="Verdana" w:cs="Arial"/>
          <w:i/>
          <w:iCs/>
          <w:sz w:val="20"/>
          <w:szCs w:val="20"/>
        </w:rPr>
        <w:t xml:space="preserve">, inventario y condiciones de entrega de los bienes e infraestructura que, habiendo sido construidos, adquiridos o incorporados con recursos privados durante la ejecución del proyecto, deban ser transferidos o revertidos a la entidad estatal al finalizar el plazo contractual? </w:t>
      </w:r>
    </w:p>
    <w:p w14:paraId="2E402D01" w14:textId="77777777" w:rsidR="00B75843" w:rsidRPr="003E0B17" w:rsidRDefault="00B75843" w:rsidP="00B75843">
      <w:pPr>
        <w:pStyle w:val="ListParagraph"/>
        <w:numPr>
          <w:ilvl w:val="0"/>
          <w:numId w:val="19"/>
        </w:numPr>
        <w:spacing w:line="240" w:lineRule="auto"/>
        <w:ind w:left="1134" w:right="709"/>
        <w:jc w:val="both"/>
        <w:rPr>
          <w:rFonts w:ascii="Verdana" w:eastAsia="Calibri" w:hAnsi="Verdana" w:cs="Arial"/>
          <w:i/>
          <w:iCs/>
          <w:sz w:val="20"/>
          <w:szCs w:val="20"/>
        </w:rPr>
      </w:pPr>
      <w:r w:rsidRPr="003E0B17">
        <w:rPr>
          <w:rFonts w:ascii="Verdana" w:eastAsia="Calibri" w:hAnsi="Verdana" w:cs="Arial"/>
          <w:i/>
          <w:iCs/>
          <w:sz w:val="20"/>
          <w:szCs w:val="20"/>
        </w:rPr>
        <w:t xml:space="preserve">¿Existe una disposición legal o reglamentaria que establezca expresamente quien debe contrata la </w:t>
      </w:r>
      <w:proofErr w:type="spellStart"/>
      <w:r w:rsidRPr="003E0B17">
        <w:rPr>
          <w:rFonts w:ascii="Verdana" w:eastAsia="Calibri" w:hAnsi="Verdana" w:cs="Arial"/>
          <w:i/>
          <w:iCs/>
          <w:sz w:val="20"/>
          <w:szCs w:val="20"/>
        </w:rPr>
        <w:t>interventoría</w:t>
      </w:r>
      <w:proofErr w:type="spellEnd"/>
      <w:r w:rsidRPr="003E0B17">
        <w:rPr>
          <w:rFonts w:ascii="Verdana" w:eastAsia="Calibri" w:hAnsi="Verdana" w:cs="Arial"/>
          <w:i/>
          <w:iCs/>
          <w:sz w:val="20"/>
          <w:szCs w:val="20"/>
        </w:rPr>
        <w:t xml:space="preserve">, en una APP de iniciativa privada sin desembolso de recursos públicos? </w:t>
      </w:r>
    </w:p>
    <w:p w14:paraId="6F0B5DD8" w14:textId="77777777" w:rsidR="00B75843" w:rsidRPr="003E0B17" w:rsidRDefault="00B75843" w:rsidP="00B75843">
      <w:pPr>
        <w:pStyle w:val="ListParagraph"/>
        <w:numPr>
          <w:ilvl w:val="0"/>
          <w:numId w:val="19"/>
        </w:numPr>
        <w:spacing w:line="240" w:lineRule="auto"/>
        <w:ind w:left="1134" w:right="709"/>
        <w:jc w:val="both"/>
        <w:rPr>
          <w:rFonts w:ascii="Verdana" w:eastAsia="Calibri" w:hAnsi="Verdana" w:cs="Arial"/>
          <w:i/>
          <w:iCs/>
          <w:sz w:val="20"/>
          <w:szCs w:val="20"/>
        </w:rPr>
      </w:pPr>
      <w:r w:rsidRPr="003E0B17">
        <w:rPr>
          <w:rFonts w:ascii="Verdana" w:eastAsia="Calibri" w:hAnsi="Verdana" w:cs="Arial"/>
          <w:i/>
          <w:iCs/>
          <w:sz w:val="20"/>
          <w:szCs w:val="20"/>
        </w:rPr>
        <w:t xml:space="preserve">En caso de ser viable la contratación por parte de la fiduciaria, ¿qué condiciones deben incorporarse en el contrato APP y en el contrato fiduciario para garantizar la transparencia, selección objetiva, independencia e imparcialidad del interventor? </w:t>
      </w:r>
    </w:p>
    <w:p w14:paraId="221C298C" w14:textId="77777777" w:rsidR="00B75843" w:rsidRPr="003E0B17" w:rsidRDefault="00B75843" w:rsidP="00B75843">
      <w:pPr>
        <w:pStyle w:val="ListParagraph"/>
        <w:numPr>
          <w:ilvl w:val="0"/>
          <w:numId w:val="19"/>
        </w:numPr>
        <w:spacing w:line="240" w:lineRule="auto"/>
        <w:ind w:left="1134" w:right="709"/>
        <w:jc w:val="both"/>
        <w:rPr>
          <w:rFonts w:ascii="Verdana" w:eastAsia="Calibri" w:hAnsi="Verdana" w:cs="Arial"/>
          <w:i/>
          <w:iCs/>
          <w:sz w:val="20"/>
          <w:szCs w:val="20"/>
        </w:rPr>
      </w:pPr>
      <w:r w:rsidRPr="003E0B17">
        <w:rPr>
          <w:rFonts w:ascii="Verdana" w:eastAsia="Calibri" w:hAnsi="Verdana" w:cs="Arial"/>
          <w:i/>
          <w:iCs/>
          <w:sz w:val="20"/>
          <w:szCs w:val="20"/>
        </w:rPr>
        <w:t>En caso de no resultar procedente esta estructura, ¿</w:t>
      </w:r>
      <w:proofErr w:type="spellStart"/>
      <w:r w:rsidRPr="003E0B17">
        <w:rPr>
          <w:rFonts w:ascii="Verdana" w:eastAsia="Calibri" w:hAnsi="Verdana" w:cs="Arial"/>
          <w:i/>
          <w:iCs/>
          <w:sz w:val="20"/>
          <w:szCs w:val="20"/>
        </w:rPr>
        <w:t>cuál</w:t>
      </w:r>
      <w:proofErr w:type="spellEnd"/>
      <w:r w:rsidRPr="003E0B17">
        <w:rPr>
          <w:rFonts w:ascii="Verdana" w:eastAsia="Calibri" w:hAnsi="Verdana" w:cs="Arial"/>
          <w:i/>
          <w:iCs/>
          <w:sz w:val="20"/>
          <w:szCs w:val="20"/>
        </w:rPr>
        <w:t xml:space="preserve"> sería el mecanismo jurídico adecuado para que la </w:t>
      </w:r>
      <w:proofErr w:type="spellStart"/>
      <w:r w:rsidRPr="003E0B17">
        <w:rPr>
          <w:rFonts w:ascii="Verdana" w:eastAsia="Calibri" w:hAnsi="Verdana" w:cs="Arial"/>
          <w:i/>
          <w:iCs/>
          <w:sz w:val="20"/>
          <w:szCs w:val="20"/>
        </w:rPr>
        <w:t>interventoría</w:t>
      </w:r>
      <w:proofErr w:type="spellEnd"/>
      <w:r w:rsidRPr="003E0B17">
        <w:rPr>
          <w:rFonts w:ascii="Verdana" w:eastAsia="Calibri" w:hAnsi="Verdana" w:cs="Arial"/>
          <w:i/>
          <w:iCs/>
          <w:sz w:val="20"/>
          <w:szCs w:val="20"/>
        </w:rPr>
        <w:t xml:space="preserve"> sea financiada y pagada </w:t>
      </w:r>
      <w:proofErr w:type="spellStart"/>
      <w:r w:rsidRPr="003E0B17">
        <w:rPr>
          <w:rFonts w:ascii="Verdana" w:eastAsia="Calibri" w:hAnsi="Verdana" w:cs="Arial"/>
          <w:i/>
          <w:iCs/>
          <w:sz w:val="20"/>
          <w:szCs w:val="20"/>
        </w:rPr>
        <w:t>íntegramente</w:t>
      </w:r>
      <w:proofErr w:type="spellEnd"/>
      <w:r w:rsidRPr="003E0B17">
        <w:rPr>
          <w:rFonts w:ascii="Verdana" w:eastAsia="Calibri" w:hAnsi="Verdana" w:cs="Arial"/>
          <w:i/>
          <w:iCs/>
          <w:sz w:val="20"/>
          <w:szCs w:val="20"/>
        </w:rPr>
        <w:t xml:space="preserve"> con recursos privados administrados por el patrimonio </w:t>
      </w:r>
      <w:proofErr w:type="spellStart"/>
      <w:r w:rsidRPr="003E0B17">
        <w:rPr>
          <w:rFonts w:ascii="Verdana" w:eastAsia="Calibri" w:hAnsi="Verdana" w:cs="Arial"/>
          <w:i/>
          <w:iCs/>
          <w:sz w:val="20"/>
          <w:szCs w:val="20"/>
        </w:rPr>
        <w:t>autónomo</w:t>
      </w:r>
      <w:proofErr w:type="spellEnd"/>
      <w:r w:rsidRPr="003E0B17">
        <w:rPr>
          <w:rFonts w:ascii="Verdana" w:eastAsia="Calibri" w:hAnsi="Verdana" w:cs="Arial"/>
          <w:i/>
          <w:iCs/>
          <w:sz w:val="20"/>
          <w:szCs w:val="20"/>
        </w:rPr>
        <w:t>?</w:t>
      </w:r>
      <w:r w:rsidRPr="003E0B17">
        <w:rPr>
          <w:rFonts w:ascii="Verdana" w:eastAsia="Calibri" w:hAnsi="Verdana" w:cs="Arial"/>
          <w:sz w:val="20"/>
          <w:szCs w:val="20"/>
        </w:rPr>
        <w:t>”.</w:t>
      </w:r>
    </w:p>
    <w:p w14:paraId="2D729FED" w14:textId="77777777" w:rsidR="00B75843" w:rsidRPr="003E0B17" w:rsidRDefault="00B75843" w:rsidP="00B75843">
      <w:pPr>
        <w:spacing w:after="0" w:line="276" w:lineRule="auto"/>
        <w:ind w:right="709"/>
        <w:jc w:val="both"/>
        <w:rPr>
          <w:rFonts w:ascii="Verdana" w:eastAsia="Calibri" w:hAnsi="Verdana" w:cs="Arial"/>
          <w:lang w:val="es-ES"/>
        </w:rPr>
      </w:pPr>
    </w:p>
    <w:p w14:paraId="216E0631" w14:textId="77777777" w:rsidR="00B75843" w:rsidRPr="003E0B17" w:rsidRDefault="00B75843" w:rsidP="00B75843">
      <w:pPr>
        <w:spacing w:after="120" w:line="276" w:lineRule="auto"/>
        <w:ind w:firstLine="708"/>
        <w:jc w:val="both"/>
        <w:rPr>
          <w:rFonts w:ascii="Verdana" w:eastAsia="Calibri" w:hAnsi="Verdana" w:cs="Arial"/>
          <w:color w:val="000000" w:themeColor="text1"/>
          <w:lang w:val="es-ES" w:eastAsia="es-ES"/>
        </w:rPr>
      </w:pPr>
      <w:r w:rsidRPr="003E0B17">
        <w:rPr>
          <w:rFonts w:ascii="Verdana" w:eastAsia="Calibri" w:hAnsi="Verdana" w:cs="Arial"/>
          <w:color w:val="000000" w:themeColor="text1"/>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w:t>
      </w:r>
      <w:r w:rsidRPr="003E0B17">
        <w:rPr>
          <w:rFonts w:ascii="Verdana" w:eastAsia="Calibri" w:hAnsi="Verdana" w:cs="Arial"/>
          <w:color w:val="000000" w:themeColor="text1"/>
          <w:lang w:val="es-ES" w:eastAsia="es-ES"/>
        </w:rPr>
        <w:lastRenderedPageBreak/>
        <w:t xml:space="preserve">interpretación de normas generales, por definición, no puede extenderse a la resolución de controversias, ni a brindar asesorías sobre casos puntuales. </w:t>
      </w:r>
      <w:r w:rsidRPr="003E0B17">
        <w:rPr>
          <w:lang w:val="es-ES"/>
        </w:rPr>
        <w:tab/>
      </w:r>
    </w:p>
    <w:p w14:paraId="14F03708" w14:textId="77777777" w:rsidR="00B75843" w:rsidRPr="003E0B17" w:rsidRDefault="00B75843" w:rsidP="00B75843">
      <w:pPr>
        <w:spacing w:after="0" w:line="276" w:lineRule="auto"/>
        <w:ind w:firstLine="709"/>
        <w:jc w:val="both"/>
        <w:rPr>
          <w:rFonts w:ascii="Verdana" w:eastAsia="Calibri" w:hAnsi="Verdana" w:cs="Arial"/>
          <w:color w:val="000000" w:themeColor="text1"/>
          <w:lang w:val="es-ES" w:eastAsia="es-ES"/>
        </w:rPr>
      </w:pPr>
      <w:r w:rsidRPr="003E0B17">
        <w:rPr>
          <w:rFonts w:ascii="Verdana" w:eastAsia="Calibri" w:hAnsi="Verdana" w:cs="Arial"/>
          <w:color w:val="000000" w:themeColor="text1"/>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los problemas jurídicos de su consulta. </w:t>
      </w:r>
    </w:p>
    <w:p w14:paraId="5E7BEE58" w14:textId="77777777" w:rsidR="00B75843" w:rsidRPr="003E0B17" w:rsidRDefault="00B75843" w:rsidP="00B75843">
      <w:pPr>
        <w:spacing w:after="0" w:line="276" w:lineRule="auto"/>
        <w:jc w:val="both"/>
        <w:rPr>
          <w:rFonts w:ascii="Verdana" w:eastAsia="Calibri" w:hAnsi="Verdana" w:cs="Arial"/>
          <w:color w:val="000000" w:themeColor="text1"/>
          <w:lang w:val="es-ES" w:eastAsia="es-ES"/>
        </w:rPr>
      </w:pPr>
    </w:p>
    <w:p w14:paraId="537387E6" w14:textId="77777777" w:rsidR="00B75843" w:rsidRPr="003E0B17" w:rsidRDefault="00B75843" w:rsidP="00B75843">
      <w:pPr>
        <w:pStyle w:val="ListParagraph"/>
        <w:numPr>
          <w:ilvl w:val="0"/>
          <w:numId w:val="18"/>
        </w:numPr>
        <w:tabs>
          <w:tab w:val="left" w:pos="142"/>
          <w:tab w:val="left" w:pos="284"/>
        </w:tabs>
        <w:spacing w:after="0" w:line="276" w:lineRule="auto"/>
        <w:jc w:val="both"/>
        <w:rPr>
          <w:rFonts w:ascii="Verdana" w:eastAsia="Century Gothic" w:hAnsi="Verdana" w:cs="Century Gothic"/>
          <w:b/>
          <w:color w:val="000000" w:themeColor="text1"/>
        </w:rPr>
      </w:pPr>
      <w:r w:rsidRPr="003E0B17">
        <w:rPr>
          <w:rFonts w:ascii="Verdana" w:eastAsia="Century Gothic" w:hAnsi="Verdana" w:cs="Century Gothic"/>
          <w:b/>
          <w:bCs/>
          <w:color w:val="000000" w:themeColor="text1"/>
        </w:rPr>
        <w:t>Problema planteado:</w:t>
      </w:r>
    </w:p>
    <w:p w14:paraId="12316BE8" w14:textId="77777777" w:rsidR="00B75843" w:rsidRPr="003E0B17" w:rsidRDefault="00B75843" w:rsidP="00B75843">
      <w:pPr>
        <w:tabs>
          <w:tab w:val="left" w:pos="426"/>
        </w:tabs>
        <w:spacing w:after="0" w:line="276" w:lineRule="auto"/>
        <w:jc w:val="both"/>
        <w:rPr>
          <w:rFonts w:ascii="Verdana" w:eastAsia="Century Gothic" w:hAnsi="Verdana" w:cs="Century Gothic"/>
          <w:color w:val="000000" w:themeColor="text1"/>
          <w:lang w:val="es-ES"/>
        </w:rPr>
      </w:pPr>
    </w:p>
    <w:p w14:paraId="0D056599" w14:textId="77777777" w:rsidR="00B75843" w:rsidRPr="003E0B17" w:rsidRDefault="00B75843" w:rsidP="00B75843">
      <w:pPr>
        <w:spacing w:after="140" w:line="276" w:lineRule="auto"/>
        <w:jc w:val="both"/>
        <w:rPr>
          <w:rFonts w:ascii="Verdana" w:eastAsia="Century Gothic" w:hAnsi="Verdana" w:cs="Century Gothic"/>
          <w:lang w:val="es-ES"/>
        </w:rPr>
      </w:pPr>
      <w:r w:rsidRPr="003E0B17">
        <w:rPr>
          <w:rFonts w:ascii="Verdana" w:eastAsia="Century Gothic" w:hAnsi="Verdana" w:cs="Century Gothic"/>
          <w:color w:val="000000" w:themeColor="text1"/>
          <w:lang w:val="es-ES"/>
        </w:rPr>
        <w:t xml:space="preserve">De acuerdo con el contenido de su solicitud, esta Agencia resolverá los siguientes problemas jurídicos: </w:t>
      </w:r>
      <w:r w:rsidRPr="003E0B17">
        <w:rPr>
          <w:rFonts w:ascii="Verdana" w:eastAsia="Century Gothic" w:hAnsi="Verdana" w:cs="Century Gothic"/>
          <w:lang w:val="es-ES"/>
        </w:rPr>
        <w:t xml:space="preserve">i) ¿Quién debe efectuar la contratación de las interventorías de los proyectos de APP de que trata el artículo 33 de la Ley 1508 de 2012? y </w:t>
      </w:r>
      <w:proofErr w:type="spellStart"/>
      <w:r w:rsidRPr="003E0B17">
        <w:rPr>
          <w:rFonts w:ascii="Verdana" w:eastAsia="Century Gothic" w:hAnsi="Verdana" w:cs="Century Gothic"/>
          <w:lang w:val="es-ES"/>
        </w:rPr>
        <w:t>ii</w:t>
      </w:r>
      <w:proofErr w:type="spellEnd"/>
      <w:r w:rsidRPr="003E0B17">
        <w:rPr>
          <w:rFonts w:ascii="Verdana" w:eastAsia="Century Gothic" w:hAnsi="Verdana" w:cs="Century Gothic"/>
          <w:lang w:val="es-ES"/>
        </w:rPr>
        <w:t>) ¿</w:t>
      </w:r>
      <w:r>
        <w:rPr>
          <w:rFonts w:ascii="Verdana" w:eastAsia="Century Gothic" w:hAnsi="Verdana" w:cs="Century Gothic"/>
          <w:lang w:val="es-ES"/>
        </w:rPr>
        <w:t>cómo determina la entidad el</w:t>
      </w:r>
      <w:r w:rsidRPr="003E0B17">
        <w:rPr>
          <w:rFonts w:ascii="Verdana" w:eastAsia="Century Gothic" w:hAnsi="Verdana" w:cs="Century Gothic"/>
          <w:lang w:val="es-ES"/>
        </w:rPr>
        <w:t xml:space="preserve"> mecanismo para verificar el estado, funcionamiento, conservación, inventario y condiciones de entrega de los bienes e infraestructura que</w:t>
      </w:r>
      <w:r>
        <w:rPr>
          <w:rFonts w:ascii="Verdana" w:eastAsia="Century Gothic" w:hAnsi="Verdana" w:cs="Century Gothic"/>
          <w:lang w:val="es-ES"/>
        </w:rPr>
        <w:t xml:space="preserve"> </w:t>
      </w:r>
      <w:r w:rsidRPr="003E0B17">
        <w:rPr>
          <w:rFonts w:ascii="Verdana" w:eastAsia="Century Gothic" w:hAnsi="Verdana" w:cs="Century Gothic"/>
          <w:lang w:val="es-ES"/>
        </w:rPr>
        <w:t>deban ser transferidos o revertidos al finalizar el plazo contractual?</w:t>
      </w:r>
      <w:r w:rsidRPr="003E0B17">
        <w:rPr>
          <w:rFonts w:ascii="Verdana" w:eastAsia="Calibri" w:hAnsi="Verdana" w:cs="Arial"/>
          <w:i/>
          <w:iCs/>
          <w:sz w:val="20"/>
          <w:szCs w:val="20"/>
          <w:lang w:val="es-ES"/>
        </w:rPr>
        <w:t xml:space="preserve"> </w:t>
      </w:r>
    </w:p>
    <w:p w14:paraId="2317488B" w14:textId="77777777" w:rsidR="00B75843" w:rsidRPr="003E0B17" w:rsidRDefault="00B75843" w:rsidP="00B75843">
      <w:pPr>
        <w:pStyle w:val="ListParagraph"/>
        <w:numPr>
          <w:ilvl w:val="0"/>
          <w:numId w:val="17"/>
        </w:numPr>
        <w:tabs>
          <w:tab w:val="left" w:pos="142"/>
          <w:tab w:val="left" w:pos="284"/>
        </w:tabs>
        <w:spacing w:after="0" w:line="276" w:lineRule="auto"/>
        <w:ind w:left="709"/>
        <w:jc w:val="both"/>
        <w:rPr>
          <w:rFonts w:ascii="Verdana" w:eastAsia="Century Gothic" w:hAnsi="Verdana" w:cs="Century Gothic"/>
          <w:b/>
          <w:color w:val="000000" w:themeColor="text1"/>
        </w:rPr>
      </w:pPr>
      <w:r w:rsidRPr="003E0B17">
        <w:rPr>
          <w:rFonts w:ascii="Verdana" w:eastAsia="Century Gothic" w:hAnsi="Verdana" w:cs="Century Gothic"/>
          <w:b/>
          <w:bCs/>
          <w:color w:val="000000" w:themeColor="text1"/>
        </w:rPr>
        <w:t>Respuesta:</w:t>
      </w:r>
    </w:p>
    <w:p w14:paraId="4F46CB8B" w14:textId="77777777" w:rsidR="00B75843" w:rsidRPr="003E0B17" w:rsidRDefault="00B75843" w:rsidP="00B75843">
      <w:pPr>
        <w:spacing w:after="0" w:line="276" w:lineRule="auto"/>
        <w:jc w:val="both"/>
        <w:rPr>
          <w:rFonts w:ascii="Verdana" w:eastAsia="Calibri" w:hAnsi="Verdana" w:cs="Arial"/>
          <w:b/>
          <w:bCs/>
          <w:color w:val="000000" w:themeColor="text1"/>
          <w:lang w:val="es-ES"/>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B75843" w:rsidRPr="003E0B17" w14:paraId="1EE5C068" w14:textId="77777777" w:rsidTr="00213751">
        <w:trPr>
          <w:trHeight w:val="300"/>
        </w:trPr>
        <w:tc>
          <w:tcPr>
            <w:tcW w:w="8828" w:type="dxa"/>
          </w:tcPr>
          <w:p w14:paraId="69FB8589" w14:textId="77777777" w:rsidR="00B75843" w:rsidRDefault="00B75843" w:rsidP="00213751">
            <w:pPr>
              <w:spacing w:before="120" w:after="120" w:line="276" w:lineRule="auto"/>
              <w:jc w:val="both"/>
              <w:rPr>
                <w:rFonts w:ascii="Verdana" w:hAnsi="Verdana" w:cs="Arial"/>
                <w:color w:val="000000" w:themeColor="text1"/>
                <w:lang w:val="en-CO"/>
              </w:rPr>
            </w:pPr>
            <w:r>
              <w:rPr>
                <w:rFonts w:ascii="Verdana" w:hAnsi="Verdana" w:cs="Arial"/>
                <w:color w:val="000000" w:themeColor="text1"/>
                <w:lang w:val="en-CO"/>
              </w:rPr>
              <w:t xml:space="preserve">i) </w:t>
            </w:r>
            <w:r w:rsidRPr="000D59AE">
              <w:rPr>
                <w:rFonts w:ascii="Verdana" w:hAnsi="Verdana" w:cs="Arial"/>
                <w:color w:val="000000" w:themeColor="text1"/>
                <w:lang w:val="en-CO"/>
              </w:rPr>
              <w:t>Corresponde a la entidad estatal adelantar la contratación de la interventoría, y no al patrimonio autónomo que se constituya para la gestión de los recursos. La interventoría del contrato de APP</w:t>
            </w:r>
            <w:r>
              <w:rPr>
                <w:rFonts w:ascii="Verdana" w:hAnsi="Verdana" w:cs="Arial"/>
                <w:color w:val="000000" w:themeColor="text1"/>
                <w:lang w:val="en-CO"/>
              </w:rPr>
              <w:t xml:space="preserve">, </w:t>
            </w:r>
            <w:r w:rsidRPr="000D59AE">
              <w:rPr>
                <w:rFonts w:ascii="Verdana" w:hAnsi="Verdana" w:cs="Arial"/>
                <w:color w:val="000000" w:themeColor="text1"/>
                <w:lang w:val="en-CO"/>
              </w:rPr>
              <w:t>regulada tanto por el artículo 33 de la Ley 1508 de 2012 como por el artículo 83 de la Ley 1474 de 2011</w:t>
            </w:r>
            <w:r>
              <w:rPr>
                <w:rFonts w:ascii="Verdana" w:hAnsi="Verdana" w:cs="Arial"/>
                <w:color w:val="000000" w:themeColor="text1"/>
                <w:lang w:val="en-CO"/>
              </w:rPr>
              <w:t>,</w:t>
            </w:r>
            <w:r w:rsidRPr="000D59AE">
              <w:rPr>
                <w:rFonts w:ascii="Verdana" w:hAnsi="Verdana" w:cs="Arial"/>
                <w:color w:val="000000" w:themeColor="text1"/>
                <w:lang w:val="en-CO"/>
              </w:rPr>
              <w:t xml:space="preserve"> es un mecanismo de control eminentemente estatal, que existe para proteger la moralidad administrativa, prevenir la corrupción y verificar que el concesionario cumpla lo pactado. </w:t>
            </w:r>
          </w:p>
          <w:p w14:paraId="713EC424" w14:textId="77777777" w:rsidR="00B75843" w:rsidRPr="000D59AE" w:rsidRDefault="00B75843" w:rsidP="00213751">
            <w:pPr>
              <w:spacing w:before="120" w:after="120" w:line="276" w:lineRule="auto"/>
              <w:ind w:firstLine="741"/>
              <w:jc w:val="both"/>
              <w:rPr>
                <w:rFonts w:ascii="Verdana" w:hAnsi="Verdana" w:cs="Arial"/>
                <w:color w:val="000000" w:themeColor="text1"/>
                <w:lang w:val="en-CO"/>
              </w:rPr>
            </w:pPr>
            <w:r w:rsidRPr="000D59AE">
              <w:rPr>
                <w:rFonts w:ascii="Verdana" w:hAnsi="Verdana" w:cs="Arial"/>
                <w:color w:val="000000" w:themeColor="text1"/>
                <w:lang w:val="en-CO"/>
              </w:rPr>
              <w:t>Esta obligación de vigilancia no se torna optativa ni desaparece porque el contrato no involucre el desembolso de recursos públicos, pues tal distinción no fue incluida en la Ley 1508 de 2012 y el artículo 33 hace parte de las disposiciones comunes a todos los proyectos de APP, incluidos los de iniciativa privada</w:t>
            </w:r>
            <w:r>
              <w:rPr>
                <w:rFonts w:ascii="Verdana" w:hAnsi="Verdana" w:cs="Arial"/>
                <w:color w:val="000000" w:themeColor="text1"/>
                <w:lang w:val="en-CO"/>
              </w:rPr>
              <w:t xml:space="preserve"> que cumplen con esa característica</w:t>
            </w:r>
            <w:r w:rsidRPr="000D59AE">
              <w:rPr>
                <w:rFonts w:ascii="Verdana" w:hAnsi="Verdana" w:cs="Arial"/>
                <w:color w:val="000000" w:themeColor="text1"/>
                <w:lang w:val="en-CO"/>
              </w:rPr>
              <w:t xml:space="preserve">. En consonancia, el legislador </w:t>
            </w:r>
            <w:r>
              <w:rPr>
                <w:rFonts w:ascii="Verdana" w:hAnsi="Verdana" w:cs="Arial"/>
                <w:color w:val="000000" w:themeColor="text1"/>
                <w:lang w:val="en-CO"/>
              </w:rPr>
              <w:t xml:space="preserve">se refirió específicamente a las </w:t>
            </w:r>
            <w:r w:rsidRPr="000D59AE">
              <w:rPr>
                <w:rFonts w:ascii="Verdana" w:hAnsi="Verdana" w:cs="Arial"/>
                <w:color w:val="000000" w:themeColor="text1"/>
                <w:lang w:val="en-CO"/>
              </w:rPr>
              <w:t xml:space="preserve">modalidades de selección abreviada de menor cuantía o mínima cuantía según el valor, propias de las entidades sometidas </w:t>
            </w:r>
            <w:r w:rsidRPr="000D59AE">
              <w:rPr>
                <w:rFonts w:ascii="Verdana" w:hAnsi="Verdana" w:cs="Arial"/>
                <w:color w:val="000000" w:themeColor="text1"/>
                <w:lang w:val="en-CO"/>
              </w:rPr>
              <w:lastRenderedPageBreak/>
              <w:t>al Estatuto General de Contratación de la Administración Pública,</w:t>
            </w:r>
            <w:r>
              <w:rPr>
                <w:rFonts w:ascii="Verdana" w:hAnsi="Verdana" w:cs="Arial"/>
                <w:color w:val="000000" w:themeColor="text1"/>
                <w:lang w:val="en-CO"/>
              </w:rPr>
              <w:t xml:space="preserve"> como los procedimientos para que la entidad adelante la contratación del interventor</w:t>
            </w:r>
            <w:r w:rsidRPr="000D59AE">
              <w:rPr>
                <w:rFonts w:ascii="Verdana" w:hAnsi="Verdana" w:cs="Arial"/>
                <w:color w:val="000000" w:themeColor="text1"/>
                <w:lang w:val="en-CO"/>
              </w:rPr>
              <w:t>. Lo anterior es consistente con la doctrina de esta Agencia (Conceptos C</w:t>
            </w:r>
            <w:r w:rsidRPr="000D59AE">
              <w:rPr>
                <w:rFonts w:ascii="Verdana" w:hAnsi="Verdana" w:cs="Arial"/>
                <w:color w:val="000000" w:themeColor="text1"/>
                <w:lang w:val="en-CO"/>
              </w:rPr>
              <w:noBreakHyphen/>
              <w:t>386 de 2021 y C</w:t>
            </w:r>
            <w:r w:rsidRPr="000D59AE">
              <w:rPr>
                <w:rFonts w:ascii="Verdana" w:hAnsi="Verdana" w:cs="Arial"/>
                <w:color w:val="000000" w:themeColor="text1"/>
                <w:lang w:val="en-CO"/>
              </w:rPr>
              <w:noBreakHyphen/>
              <w:t>150 de 2025), según la cual la administración de recursos privados por la fiduciaria no traslada a esta la competencia para celebrar los contratos del proyecto.</w:t>
            </w:r>
          </w:p>
          <w:p w14:paraId="0FF77E16" w14:textId="77777777" w:rsidR="00B75843" w:rsidRPr="000D59AE" w:rsidRDefault="00B75843" w:rsidP="00213751">
            <w:pPr>
              <w:spacing w:before="120" w:after="120" w:line="276" w:lineRule="auto"/>
              <w:ind w:firstLine="741"/>
              <w:jc w:val="both"/>
              <w:rPr>
                <w:rFonts w:ascii="Verdana" w:eastAsia="Times New Roman" w:hAnsi="Verdana" w:cs="Arial"/>
                <w:color w:val="000000" w:themeColor="text1"/>
                <w:lang w:val="en-CO"/>
              </w:rPr>
            </w:pPr>
            <w:r w:rsidRPr="000D59AE">
              <w:rPr>
                <w:rFonts w:ascii="Verdana" w:eastAsia="Times New Roman" w:hAnsi="Verdana" w:cs="Arial"/>
                <w:color w:val="000000" w:themeColor="text1"/>
                <w:lang w:val="en-CO"/>
              </w:rPr>
              <w:t>Ahora bien, debe distinguirse entre la competencia para adelantar el proceso de contratación y la naturaleza de los recursos que lo financian: es viable que la entidad estatal adelante la contratación y que, no obstante, el costo de la interventoría se financie y pague con recursos privados, sin que ello desnaturalice el control estatal ni altere el carácter privado de tales recursos. En cualquier caso, corresponde a la entidad, en ejercicio de su autonomía, determinar la forma y los mecanismos de financiación de la interventoría, de acuerdo con el esquema específico del proyecto. Esta misma lógica se mantiene en la etapa de operación y mantenimiento, en la que no cesa el deber estatal de vigilancia, de modo que la interventoría podrá verificar la disponibilidad, los niveles de servicio, los estándares de calidad, la conservación de los activos y la veracidad de los ingresos reportados por la fiduciaria.</w:t>
            </w:r>
          </w:p>
          <w:p w14:paraId="24ACBFC6" w14:textId="77777777" w:rsidR="00B75843" w:rsidRDefault="00B75843" w:rsidP="00213751">
            <w:pPr>
              <w:spacing w:before="120" w:after="120" w:line="276" w:lineRule="auto"/>
              <w:jc w:val="both"/>
              <w:rPr>
                <w:rFonts w:ascii="Verdana" w:eastAsia="Times New Roman" w:hAnsi="Verdana" w:cs="Arial"/>
                <w:color w:val="000000" w:themeColor="text1"/>
                <w:lang w:val="en-CO"/>
              </w:rPr>
            </w:pPr>
            <w:r w:rsidRPr="000D59AE">
              <w:rPr>
                <w:rFonts w:ascii="Verdana" w:eastAsia="Times New Roman" w:hAnsi="Verdana" w:cs="Arial"/>
                <w:color w:val="000000" w:themeColor="text1"/>
                <w:lang w:val="en-CO"/>
              </w:rPr>
              <w:t xml:space="preserve">ii) Los bienes e infraestructura construidos, adquiridos o incorporados con recursos privados durante la ejecución de una APP de iniciativa privada sin desembolso de recursos públicos están sujetos a reversión a favor de la entidad estatal, sin compensación, en los términos del artículo 31 de la Ley 1508 de 2012 y del artículo 2.2.2.1.8.4 del Decreto 1082 de 2015, en tanto se trate de bienes directamente afectados a la prestación del servicio o a la ejecución del proyecto. </w:t>
            </w:r>
          </w:p>
          <w:p w14:paraId="1245E819" w14:textId="77777777" w:rsidR="00B75843" w:rsidRPr="009C2EC3" w:rsidRDefault="00B75843" w:rsidP="00213751">
            <w:pPr>
              <w:spacing w:before="120" w:after="120" w:line="276" w:lineRule="auto"/>
              <w:ind w:firstLine="741"/>
              <w:jc w:val="both"/>
              <w:rPr>
                <w:rFonts w:ascii="Verdana" w:eastAsia="Times New Roman" w:hAnsi="Verdana" w:cs="Arial"/>
                <w:color w:val="000000" w:themeColor="text1"/>
                <w:lang w:val="en-CO"/>
              </w:rPr>
            </w:pPr>
            <w:r w:rsidRPr="000D59AE">
              <w:rPr>
                <w:rFonts w:ascii="Verdana" w:eastAsia="Times New Roman" w:hAnsi="Verdana" w:cs="Arial"/>
                <w:color w:val="000000" w:themeColor="text1"/>
                <w:lang w:val="en-CO"/>
              </w:rPr>
              <w:t xml:space="preserve">El artículo 31 no restringe la reversión a los bienes de origen estatal, sino que la extiende a los bienes del Estado o de los particulares afectos al proyecto, de modo que el origen privado de la financiación no los exceptúa. La verificación del estado, funcionamiento, conservación, inventario y condiciones de entrega de los bienes es una función a cargo de la entidad estatal, que la ejerce en desarrollo del deber de vigilancia del artículo 83 de la Ley 1474 de 2011, con el apoyo de la interventoría del contrato. El mecanismo concreto dependerá de lo que las partes hayan pactado en el contrato para la entrega y transferencia, así como de las disposiciones o lineamientos que la </w:t>
            </w:r>
            <w:r w:rsidRPr="000D59AE">
              <w:rPr>
                <w:rFonts w:ascii="Verdana" w:eastAsia="Times New Roman" w:hAnsi="Verdana" w:cs="Arial"/>
                <w:color w:val="000000" w:themeColor="text1"/>
                <w:lang w:val="en-CO"/>
              </w:rPr>
              <w:lastRenderedPageBreak/>
              <w:t xml:space="preserve">entidad contratante haya expedido para el efecto. A modo de ejemplo, </w:t>
            </w:r>
            <w:r>
              <w:rPr>
                <w:rFonts w:ascii="Verdana" w:eastAsia="Times New Roman" w:hAnsi="Verdana" w:cs="Arial"/>
                <w:color w:val="000000" w:themeColor="text1"/>
                <w:lang w:val="en-CO"/>
              </w:rPr>
              <w:t xml:space="preserve">podrán contemplar aspectos como: </w:t>
            </w:r>
            <w:r w:rsidRPr="000D59AE">
              <w:rPr>
                <w:rFonts w:ascii="Verdana" w:eastAsia="Times New Roman" w:hAnsi="Verdana" w:cs="Arial"/>
                <w:color w:val="000000" w:themeColor="text1"/>
                <w:lang w:val="en-CO"/>
              </w:rPr>
              <w:t>la determinación de un plan y cronograma de reversión; la realización de un inventario de los bienes muebles e inmuebles afectos al proyecto; la verificación de su estado, funcionamiento y conservación contra indicadores y estándares técnicos pactados, con validación por la interventoría de la información reportada por el concesionario; y la suscripción de actas de reversión y de terminación entre la entidad, la interventoría y el concesionario, en las que se deja constancia de las condiciones de entrega y del cumplimiento de los indicadores. En todo caso, la definición del mecanismo aplicable a cada proyecto corresponde a la entidad contratante, sin que sea atribución de esta Agencia validar sus actuaciones.</w:t>
            </w:r>
          </w:p>
        </w:tc>
      </w:tr>
    </w:tbl>
    <w:p w14:paraId="6F130788" w14:textId="77777777" w:rsidR="00B75843" w:rsidRPr="003E0B17" w:rsidRDefault="00B75843" w:rsidP="00B75843">
      <w:pPr>
        <w:tabs>
          <w:tab w:val="left" w:pos="142"/>
          <w:tab w:val="left" w:pos="284"/>
        </w:tabs>
        <w:spacing w:after="0" w:line="276" w:lineRule="auto"/>
        <w:jc w:val="both"/>
        <w:rPr>
          <w:rFonts w:ascii="Verdana" w:eastAsia="Century Gothic" w:hAnsi="Verdana" w:cs="Century Gothic"/>
          <w:b/>
          <w:bCs/>
          <w:color w:val="000000" w:themeColor="text1"/>
          <w:lang w:val="es-ES"/>
        </w:rPr>
      </w:pPr>
    </w:p>
    <w:p w14:paraId="4814DD9F" w14:textId="77777777" w:rsidR="00B75843" w:rsidRPr="003E0B17" w:rsidRDefault="00B75843" w:rsidP="00B75843">
      <w:pPr>
        <w:pStyle w:val="ListParagraph"/>
        <w:numPr>
          <w:ilvl w:val="0"/>
          <w:numId w:val="17"/>
        </w:numPr>
        <w:tabs>
          <w:tab w:val="left" w:pos="142"/>
          <w:tab w:val="left" w:pos="284"/>
        </w:tabs>
        <w:spacing w:after="0" w:line="276" w:lineRule="auto"/>
        <w:jc w:val="both"/>
        <w:rPr>
          <w:rFonts w:ascii="Verdana" w:eastAsia="Century Gothic" w:hAnsi="Verdana" w:cs="Century Gothic"/>
          <w:b/>
          <w:color w:val="000000" w:themeColor="text1"/>
        </w:rPr>
      </w:pPr>
      <w:r w:rsidRPr="003E0B17">
        <w:rPr>
          <w:rFonts w:ascii="Verdana" w:eastAsia="Century Gothic" w:hAnsi="Verdana" w:cs="Century Gothic"/>
          <w:b/>
          <w:color w:val="000000" w:themeColor="text1"/>
        </w:rPr>
        <w:t>Razones de la respuesta:</w:t>
      </w:r>
    </w:p>
    <w:p w14:paraId="63870848" w14:textId="77777777" w:rsidR="00B75843" w:rsidRPr="003E0B17" w:rsidRDefault="00B75843" w:rsidP="00B75843">
      <w:pPr>
        <w:spacing w:after="0" w:line="276" w:lineRule="auto"/>
        <w:jc w:val="both"/>
        <w:rPr>
          <w:rFonts w:ascii="Verdana" w:eastAsia="Calibri" w:hAnsi="Verdana" w:cs="Arial"/>
          <w:color w:val="000000" w:themeColor="text1"/>
          <w:lang w:val="es-ES"/>
        </w:rPr>
      </w:pPr>
    </w:p>
    <w:p w14:paraId="4E55A518" w14:textId="77777777" w:rsidR="00B75843" w:rsidRPr="003E0B17" w:rsidRDefault="00B75843" w:rsidP="00B75843">
      <w:pPr>
        <w:spacing w:after="0" w:line="276" w:lineRule="auto"/>
        <w:jc w:val="both"/>
        <w:rPr>
          <w:rFonts w:ascii="Verdana" w:eastAsia="Calibri" w:hAnsi="Verdana" w:cs="Arial"/>
          <w:lang w:val="es-ES"/>
        </w:rPr>
      </w:pPr>
      <w:r w:rsidRPr="003E0B17">
        <w:rPr>
          <w:rFonts w:ascii="Verdana" w:eastAsia="Calibri" w:hAnsi="Verdana" w:cs="Arial"/>
          <w:lang w:val="es-ES"/>
        </w:rPr>
        <w:t>Lo anterior se sustenta en las siguientes consideraciones:</w:t>
      </w:r>
    </w:p>
    <w:p w14:paraId="46AB7BFC" w14:textId="77777777" w:rsidR="00B75843" w:rsidRPr="003E0B17" w:rsidRDefault="00B75843" w:rsidP="00B75843">
      <w:pPr>
        <w:spacing w:after="0" w:line="276" w:lineRule="auto"/>
        <w:jc w:val="both"/>
        <w:rPr>
          <w:rFonts w:ascii="Verdana" w:eastAsia="Calibri" w:hAnsi="Verdana" w:cs="Arial"/>
          <w:lang w:val="es-ES"/>
        </w:rPr>
      </w:pPr>
    </w:p>
    <w:p w14:paraId="3BC04C76" w14:textId="77777777" w:rsidR="00B75843" w:rsidRPr="008D79C3" w:rsidRDefault="00B75843" w:rsidP="00B75843">
      <w:pPr>
        <w:spacing w:after="0" w:line="276" w:lineRule="auto"/>
        <w:jc w:val="both"/>
        <w:rPr>
          <w:rFonts w:ascii="Verdana" w:eastAsia="Calibri" w:hAnsi="Verdana" w:cs="Arial"/>
          <w:color w:val="000000" w:themeColor="text1"/>
          <w:lang w:val="es-ES"/>
        </w:rPr>
      </w:pPr>
      <w:r w:rsidRPr="003E0B17">
        <w:rPr>
          <w:rFonts w:ascii="Verdana" w:eastAsia="Calibri" w:hAnsi="Verdana" w:cs="Arial"/>
          <w:lang w:val="es-ES"/>
        </w:rPr>
        <w:t xml:space="preserve">i. </w:t>
      </w:r>
      <w:r w:rsidRPr="003E0B17">
        <w:rPr>
          <w:rFonts w:ascii="Verdana" w:eastAsia="Calibri" w:hAnsi="Verdana" w:cs="Arial"/>
          <w:color w:val="000000" w:themeColor="text1"/>
          <w:lang w:val="es-ES"/>
        </w:rPr>
        <w:t xml:space="preserve">Las asociaciones público privadas – APP– son formas de colaboración entre el sector público y el privado para la ejecución de proyectos estatales, a través de </w:t>
      </w:r>
      <w:r w:rsidRPr="008D79C3">
        <w:rPr>
          <w:rFonts w:ascii="Verdana" w:eastAsia="Calibri" w:hAnsi="Verdana" w:cs="Arial"/>
          <w:color w:val="000000" w:themeColor="text1"/>
          <w:lang w:val="es-ES"/>
        </w:rPr>
        <w:t>las cuales se retienen y transfieren riesgos entre las partes. Se trata de modalidades de negocio en las cuales la disponibilidad y el nivel de la infraestructura o servicio resultan determinantes. Así lo consideró la Corte Constitucional, expresando lo siguiente:</w:t>
      </w:r>
    </w:p>
    <w:p w14:paraId="5B422382" w14:textId="77777777" w:rsidR="00B75843" w:rsidRPr="008D79C3" w:rsidRDefault="00B75843" w:rsidP="00B75843">
      <w:pPr>
        <w:tabs>
          <w:tab w:val="left" w:pos="0"/>
        </w:tabs>
        <w:spacing w:after="0" w:line="276" w:lineRule="auto"/>
        <w:jc w:val="both"/>
        <w:rPr>
          <w:rFonts w:ascii="Verdana" w:eastAsia="Calibri" w:hAnsi="Verdana" w:cs="Arial"/>
          <w:bCs/>
          <w:color w:val="000000" w:themeColor="text1"/>
          <w:lang w:val="es-ES"/>
        </w:rPr>
      </w:pPr>
    </w:p>
    <w:p w14:paraId="1359077F" w14:textId="77777777" w:rsidR="00B75843" w:rsidRPr="008D79C3" w:rsidRDefault="00B75843" w:rsidP="00B75843">
      <w:pPr>
        <w:spacing w:after="0" w:line="240" w:lineRule="auto"/>
        <w:ind w:left="709" w:right="709"/>
        <w:jc w:val="both"/>
        <w:rPr>
          <w:rFonts w:ascii="Verdana" w:eastAsia="Calibri" w:hAnsi="Verdana" w:cs="Arial"/>
          <w:color w:val="000000" w:themeColor="text1"/>
          <w:sz w:val="20"/>
          <w:szCs w:val="20"/>
          <w:lang w:val="es-ES"/>
        </w:rPr>
      </w:pPr>
      <w:r w:rsidRPr="008D79C3">
        <w:rPr>
          <w:rFonts w:ascii="Verdana" w:eastAsia="Calibri" w:hAnsi="Verdana" w:cs="Arial"/>
          <w:color w:val="000000" w:themeColor="text1"/>
          <w:sz w:val="20"/>
          <w:szCs w:val="20"/>
          <w:lang w:val="es-ES"/>
        </w:rPr>
        <w:t>“Las APP se caracterizan por: (i) tener una larga duración; (</w:t>
      </w:r>
      <w:proofErr w:type="spellStart"/>
      <w:r w:rsidRPr="008D79C3">
        <w:rPr>
          <w:rFonts w:ascii="Verdana" w:eastAsia="Calibri" w:hAnsi="Verdana" w:cs="Arial"/>
          <w:color w:val="000000" w:themeColor="text1"/>
          <w:sz w:val="20"/>
          <w:szCs w:val="20"/>
          <w:lang w:val="es-ES"/>
        </w:rPr>
        <w:t>ii</w:t>
      </w:r>
      <w:proofErr w:type="spellEnd"/>
      <w:r w:rsidRPr="008D79C3">
        <w:rPr>
          <w:rFonts w:ascii="Verdana" w:eastAsia="Calibri" w:hAnsi="Verdana" w:cs="Arial"/>
          <w:color w:val="000000" w:themeColor="text1"/>
          <w:sz w:val="20"/>
          <w:szCs w:val="20"/>
          <w:lang w:val="es-ES"/>
        </w:rPr>
        <w:t>) definir sus objetos alrededor de proyectos, lo que conlleva la previsión de actividades como el diseño, construcción y mantenimiento de la infraestructura pública sobre la que verse el contrato y/o los servicios asociados; (</w:t>
      </w:r>
      <w:proofErr w:type="spellStart"/>
      <w:r w:rsidRPr="008D79C3">
        <w:rPr>
          <w:rFonts w:ascii="Verdana" w:eastAsia="Calibri" w:hAnsi="Verdana" w:cs="Arial"/>
          <w:color w:val="000000" w:themeColor="text1"/>
          <w:sz w:val="20"/>
          <w:szCs w:val="20"/>
          <w:lang w:val="es-ES"/>
        </w:rPr>
        <w:t>iii</w:t>
      </w:r>
      <w:proofErr w:type="spellEnd"/>
      <w:r w:rsidRPr="008D79C3">
        <w:rPr>
          <w:rFonts w:ascii="Verdana" w:eastAsia="Calibri" w:hAnsi="Verdana" w:cs="Arial"/>
          <w:color w:val="000000" w:themeColor="text1"/>
          <w:sz w:val="20"/>
          <w:szCs w:val="20"/>
          <w:lang w:val="es-ES"/>
        </w:rPr>
        <w:t>) contar con financiación privada o público-privada; (</w:t>
      </w:r>
      <w:proofErr w:type="spellStart"/>
      <w:r w:rsidRPr="008D79C3">
        <w:rPr>
          <w:rFonts w:ascii="Verdana" w:eastAsia="Calibri" w:hAnsi="Verdana" w:cs="Arial"/>
          <w:color w:val="000000" w:themeColor="text1"/>
          <w:sz w:val="20"/>
          <w:szCs w:val="20"/>
          <w:lang w:val="es-ES"/>
        </w:rPr>
        <w:t>iv</w:t>
      </w:r>
      <w:proofErr w:type="spellEnd"/>
      <w:r w:rsidRPr="008D79C3">
        <w:rPr>
          <w:rFonts w:ascii="Verdana" w:eastAsia="Calibri" w:hAnsi="Verdana" w:cs="Arial"/>
          <w:color w:val="000000" w:themeColor="text1"/>
          <w:sz w:val="20"/>
          <w:szCs w:val="20"/>
          <w:lang w:val="es-ES"/>
        </w:rPr>
        <w:t>) establecer como forma de remuneración el otorgamiento del derecho a la explotación de la infraestructura o servicio, aunque en algunos casos es posible pactar el desembolso de recursos públicos; (v) condicionar la remuneración a niveles de calidad; (vi) trasladar parte importante de los riesgos al contratista –por ejemplo, los asociados al diseño, niveles de demanda, deterioro y mantenimiento de la infraestructura- según su capacidad y experiencia; y (</w:t>
      </w:r>
      <w:proofErr w:type="spellStart"/>
      <w:r w:rsidRPr="008D79C3">
        <w:rPr>
          <w:rFonts w:ascii="Verdana" w:eastAsia="Calibri" w:hAnsi="Verdana" w:cs="Arial"/>
          <w:color w:val="000000" w:themeColor="text1"/>
          <w:sz w:val="20"/>
          <w:szCs w:val="20"/>
          <w:lang w:val="es-ES"/>
        </w:rPr>
        <w:t>vii</w:t>
      </w:r>
      <w:proofErr w:type="spellEnd"/>
      <w:r w:rsidRPr="008D79C3">
        <w:rPr>
          <w:rFonts w:ascii="Verdana" w:eastAsia="Calibri" w:hAnsi="Verdana" w:cs="Arial"/>
          <w:color w:val="000000" w:themeColor="text1"/>
          <w:sz w:val="20"/>
          <w:szCs w:val="20"/>
          <w:lang w:val="es-ES"/>
        </w:rPr>
        <w:t>) distribuir las tareas entre las partes de acuerdo con su experiencia y ventaja competitiva”</w:t>
      </w:r>
      <w:r w:rsidRPr="008D79C3">
        <w:rPr>
          <w:rStyle w:val="FootnoteReference"/>
          <w:rFonts w:ascii="Verdana" w:eastAsia="Calibri" w:hAnsi="Verdana" w:cs="Arial"/>
          <w:color w:val="000000" w:themeColor="text1"/>
          <w:sz w:val="20"/>
          <w:szCs w:val="20"/>
          <w:lang w:val="es-ES"/>
        </w:rPr>
        <w:footnoteReference w:id="2"/>
      </w:r>
      <w:r w:rsidRPr="008D79C3">
        <w:rPr>
          <w:rFonts w:ascii="Verdana" w:eastAsia="Calibri" w:hAnsi="Verdana" w:cs="Arial"/>
          <w:color w:val="000000" w:themeColor="text1"/>
          <w:sz w:val="20"/>
          <w:szCs w:val="20"/>
          <w:lang w:val="es-ES"/>
        </w:rPr>
        <w:t>.</w:t>
      </w:r>
    </w:p>
    <w:p w14:paraId="598161BC" w14:textId="77777777" w:rsidR="00B75843" w:rsidRPr="008D79C3" w:rsidRDefault="00B75843" w:rsidP="00B75843">
      <w:pPr>
        <w:tabs>
          <w:tab w:val="left" w:pos="0"/>
        </w:tabs>
        <w:spacing w:after="0" w:line="276" w:lineRule="auto"/>
        <w:jc w:val="both"/>
        <w:rPr>
          <w:rFonts w:ascii="Verdana" w:eastAsia="Calibri" w:hAnsi="Verdana" w:cs="Arial"/>
          <w:bCs/>
          <w:color w:val="000000" w:themeColor="text1"/>
          <w:lang w:val="es-ES"/>
        </w:rPr>
      </w:pPr>
    </w:p>
    <w:p w14:paraId="538F57E4" w14:textId="77777777" w:rsidR="00B75843" w:rsidRPr="008D79C3" w:rsidRDefault="00B75843" w:rsidP="00B75843">
      <w:pPr>
        <w:spacing w:after="0" w:line="276" w:lineRule="auto"/>
        <w:ind w:firstLine="709"/>
        <w:jc w:val="both"/>
        <w:rPr>
          <w:rFonts w:ascii="Verdana" w:eastAsia="Calibri" w:hAnsi="Verdana" w:cs="Arial"/>
          <w:color w:val="000000" w:themeColor="text1"/>
          <w:lang w:val="es-ES"/>
        </w:rPr>
      </w:pPr>
      <w:r w:rsidRPr="008D79C3">
        <w:rPr>
          <w:rFonts w:ascii="Verdana" w:eastAsia="Calibri" w:hAnsi="Verdana" w:cs="Arial"/>
          <w:color w:val="000000" w:themeColor="text1"/>
          <w:lang w:val="es-ES"/>
        </w:rPr>
        <w:lastRenderedPageBreak/>
        <w:t>La Ley 1508 de 2012, “Por la cual se establece el régimen jurídico de las Asociaciones Público Privadas, se dictan normas orgánicas de presupuesto y se dictan otras disposiciones”, en el artículo 1, definió las asociaciones público privadas –APP– de la siguiente manera:</w:t>
      </w:r>
    </w:p>
    <w:p w14:paraId="3D2BA390" w14:textId="77777777" w:rsidR="00B75843" w:rsidRPr="008D79C3" w:rsidRDefault="00B75843" w:rsidP="00B75843">
      <w:pPr>
        <w:tabs>
          <w:tab w:val="left" w:pos="0"/>
        </w:tabs>
        <w:spacing w:after="0"/>
        <w:ind w:left="709" w:right="709"/>
        <w:jc w:val="both"/>
        <w:rPr>
          <w:rFonts w:ascii="Verdana" w:eastAsia="Calibri" w:hAnsi="Verdana" w:cs="Arial"/>
          <w:bCs/>
          <w:color w:val="000000" w:themeColor="text1"/>
          <w:lang w:val="es-ES"/>
        </w:rPr>
      </w:pPr>
    </w:p>
    <w:p w14:paraId="4E2EAE11" w14:textId="77777777" w:rsidR="00B75843" w:rsidRPr="008D79C3" w:rsidRDefault="00B75843" w:rsidP="00B75843">
      <w:pPr>
        <w:spacing w:after="0" w:line="240" w:lineRule="auto"/>
        <w:ind w:left="709" w:right="709"/>
        <w:jc w:val="both"/>
        <w:rPr>
          <w:rFonts w:ascii="Verdana" w:eastAsia="Calibri" w:hAnsi="Verdana" w:cs="Arial"/>
          <w:color w:val="000000" w:themeColor="text1"/>
          <w:sz w:val="20"/>
          <w:szCs w:val="20"/>
          <w:lang w:val="es-ES"/>
        </w:rPr>
      </w:pPr>
      <w:r w:rsidRPr="008D79C3">
        <w:rPr>
          <w:rFonts w:ascii="Verdana" w:eastAsia="Calibri" w:hAnsi="Verdana" w:cs="Arial"/>
          <w:color w:val="000000" w:themeColor="text1"/>
          <w:sz w:val="20"/>
          <w:szCs w:val="20"/>
          <w:lang w:val="es-ES"/>
        </w:rPr>
        <w:t>“Las Asociaciones Público Privadas son un instrumento de vinculación de capital privado, que se materializan en un contrato entre una entidad estatal y una persona natural o jurídica de derecho privado, para la provisión de bienes públicos y de sus servicios relacionados, que involucra la retención y transferencia de riesgos entre las partes y mecanismos de pago, relacionados con la disponibilidad y el nivel de servicio de la infraestructura y/o servicio”.</w:t>
      </w:r>
    </w:p>
    <w:p w14:paraId="6FD8AB73" w14:textId="77777777" w:rsidR="00B75843" w:rsidRPr="008D79C3" w:rsidRDefault="00B75843" w:rsidP="00B75843">
      <w:pPr>
        <w:tabs>
          <w:tab w:val="left" w:pos="0"/>
        </w:tabs>
        <w:spacing w:after="0" w:line="276" w:lineRule="auto"/>
        <w:ind w:firstLine="709"/>
        <w:jc w:val="both"/>
        <w:rPr>
          <w:rFonts w:ascii="Verdana" w:eastAsia="Calibri" w:hAnsi="Verdana" w:cs="Arial"/>
          <w:bCs/>
          <w:color w:val="000000" w:themeColor="text1"/>
          <w:lang w:val="es-ES"/>
        </w:rPr>
      </w:pPr>
    </w:p>
    <w:p w14:paraId="66363C7B" w14:textId="77777777" w:rsidR="00B75843" w:rsidRPr="008D79C3" w:rsidRDefault="00B75843" w:rsidP="00B75843">
      <w:pPr>
        <w:tabs>
          <w:tab w:val="left" w:pos="0"/>
        </w:tabs>
        <w:spacing w:after="0" w:line="276" w:lineRule="auto"/>
        <w:ind w:firstLine="709"/>
        <w:jc w:val="both"/>
        <w:rPr>
          <w:rFonts w:ascii="Verdana" w:eastAsia="Calibri" w:hAnsi="Verdana" w:cs="Arial"/>
          <w:bCs/>
          <w:color w:val="000000" w:themeColor="text1"/>
          <w:sz w:val="20"/>
          <w:szCs w:val="20"/>
          <w:lang w:val="es-ES"/>
        </w:rPr>
      </w:pPr>
      <w:r w:rsidRPr="008D79C3">
        <w:rPr>
          <w:rFonts w:ascii="Verdana" w:eastAsia="Calibri" w:hAnsi="Verdana" w:cs="Arial"/>
          <w:bCs/>
          <w:color w:val="000000" w:themeColor="text1"/>
          <w:lang w:val="es-ES"/>
        </w:rPr>
        <w:t>Con fundamento en dicha noción, puede decirse que la colaboración público-privada es un mecanismo a través del cual el sector privado participa en la gestión pública, representada en la ejecución de actividades de infraestructura o de otros servicios, vinculando capital, conocimientos y experiencia, así como un mayor riesgo que el ordinariamente asumido en otras tipologías contractuales</w:t>
      </w:r>
      <w:r w:rsidRPr="008D79C3">
        <w:rPr>
          <w:rStyle w:val="FootnoteReference"/>
          <w:rFonts w:ascii="Verdana" w:eastAsia="Calibri" w:hAnsi="Verdana" w:cs="Arial"/>
          <w:bCs/>
          <w:color w:val="000000" w:themeColor="text1"/>
          <w:lang w:val="es-ES"/>
        </w:rPr>
        <w:footnoteReference w:id="3"/>
      </w:r>
      <w:r w:rsidRPr="008D79C3">
        <w:rPr>
          <w:rFonts w:ascii="Verdana" w:eastAsia="Calibri" w:hAnsi="Verdana" w:cs="Arial"/>
          <w:bCs/>
          <w:color w:val="000000" w:themeColor="text1"/>
          <w:lang w:val="es-ES"/>
        </w:rPr>
        <w:t>. Por lo anterior, la doctrina nacional ha expresado que “[…] las APP no constituyen un instrumento absolutamente novedoso en el derecho colombiano, pues los contratos con los que se pretende instrumentarlas –ya sea el caso de una concesión u otro tipo contractual– son figuras que ya existían en nuestra legislación”</w:t>
      </w:r>
      <w:r w:rsidRPr="008D79C3">
        <w:rPr>
          <w:rStyle w:val="FootnoteReference"/>
          <w:rFonts w:ascii="Verdana" w:eastAsia="Calibri" w:hAnsi="Verdana" w:cs="Arial"/>
          <w:bCs/>
          <w:color w:val="000000" w:themeColor="text1"/>
          <w:lang w:val="es-ES"/>
        </w:rPr>
        <w:footnoteReference w:id="4"/>
      </w:r>
      <w:r w:rsidRPr="008D79C3">
        <w:rPr>
          <w:rFonts w:ascii="Verdana" w:eastAsia="Calibri" w:hAnsi="Verdana" w:cs="Arial"/>
          <w:bCs/>
          <w:color w:val="000000" w:themeColor="text1"/>
          <w:lang w:val="es-ES"/>
        </w:rPr>
        <w:t xml:space="preserve">. </w:t>
      </w:r>
    </w:p>
    <w:p w14:paraId="49BB357E" w14:textId="77777777" w:rsidR="00B75843" w:rsidRPr="008D79C3" w:rsidRDefault="00B75843" w:rsidP="00B75843">
      <w:pPr>
        <w:tabs>
          <w:tab w:val="left" w:pos="0"/>
        </w:tabs>
        <w:spacing w:after="0" w:line="276" w:lineRule="auto"/>
        <w:jc w:val="both"/>
        <w:rPr>
          <w:rFonts w:ascii="Verdana" w:eastAsia="Calibri" w:hAnsi="Verdana" w:cs="Arial"/>
          <w:bCs/>
          <w:color w:val="000000" w:themeColor="text1"/>
          <w:lang w:val="es-ES"/>
        </w:rPr>
      </w:pPr>
    </w:p>
    <w:p w14:paraId="2DFFF173" w14:textId="77777777" w:rsidR="00B75843" w:rsidRPr="008D79C3" w:rsidRDefault="00B75843" w:rsidP="00B75843">
      <w:pPr>
        <w:tabs>
          <w:tab w:val="left" w:pos="426"/>
        </w:tabs>
        <w:spacing w:line="276" w:lineRule="auto"/>
        <w:jc w:val="both"/>
        <w:rPr>
          <w:rFonts w:ascii="Verdana" w:eastAsia="Calibri" w:hAnsi="Verdana" w:cs="Arial"/>
          <w:lang w:val="es-ES"/>
        </w:rPr>
      </w:pPr>
      <w:proofErr w:type="spellStart"/>
      <w:r w:rsidRPr="008D79C3">
        <w:rPr>
          <w:rFonts w:ascii="Verdana" w:eastAsia="Calibri" w:hAnsi="Verdana" w:cs="Arial"/>
          <w:color w:val="000000" w:themeColor="text1"/>
          <w:lang w:val="es-ES"/>
        </w:rPr>
        <w:lastRenderedPageBreak/>
        <w:t>ii</w:t>
      </w:r>
      <w:proofErr w:type="spellEnd"/>
      <w:r w:rsidRPr="008D79C3">
        <w:rPr>
          <w:rFonts w:ascii="Verdana" w:eastAsia="Calibri" w:hAnsi="Verdana" w:cs="Arial"/>
          <w:color w:val="000000" w:themeColor="text1"/>
          <w:lang w:val="es-ES"/>
        </w:rPr>
        <w:t>. L</w:t>
      </w:r>
      <w:r w:rsidRPr="008D79C3">
        <w:rPr>
          <w:rFonts w:ascii="Verdana" w:eastAsia="Calibri" w:hAnsi="Verdana" w:cs="Arial"/>
          <w:lang w:val="es-ES"/>
        </w:rPr>
        <w:t xml:space="preserve">a Ley 1508 de 2012 regula dos (2) tipos de proyecto de asociación público privada: i) los de iniciativa pública y </w:t>
      </w:r>
      <w:proofErr w:type="spellStart"/>
      <w:r w:rsidRPr="008D79C3">
        <w:rPr>
          <w:rFonts w:ascii="Verdana" w:eastAsia="Calibri" w:hAnsi="Verdana" w:cs="Arial"/>
          <w:lang w:val="es-ES"/>
        </w:rPr>
        <w:t>ii</w:t>
      </w:r>
      <w:proofErr w:type="spellEnd"/>
      <w:r w:rsidRPr="008D79C3">
        <w:rPr>
          <w:rFonts w:ascii="Verdana" w:eastAsia="Calibri" w:hAnsi="Verdana" w:cs="Arial"/>
          <w:lang w:val="es-ES"/>
        </w:rPr>
        <w:t xml:space="preserve">) los de iniciativa privada. En relación con los primeros, es la entidad estatal la que estructura el proyecto y realiza la invitación a participar en el proceso de selección. En los segundos, son los particulares quienes elaboran la propuesta, previa estructuración del proyecto, por su cuenta y riesgo. Los proyectos de asociación pública privada de iniciativa </w:t>
      </w:r>
      <w:r w:rsidRPr="008D79C3">
        <w:rPr>
          <w:rFonts w:ascii="Verdana" w:eastAsia="Calibri" w:hAnsi="Verdana" w:cs="Arial"/>
          <w:i/>
          <w:lang w:val="es-ES"/>
        </w:rPr>
        <w:t>pública</w:t>
      </w:r>
      <w:r w:rsidRPr="008D79C3">
        <w:rPr>
          <w:rFonts w:ascii="Verdana" w:eastAsia="Calibri" w:hAnsi="Verdana" w:cs="Arial"/>
          <w:lang w:val="es-ES"/>
        </w:rPr>
        <w:t xml:space="preserve"> o </w:t>
      </w:r>
      <w:r w:rsidRPr="008D79C3">
        <w:rPr>
          <w:rFonts w:ascii="Verdana" w:eastAsia="Calibri" w:hAnsi="Verdana" w:cs="Arial"/>
          <w:i/>
          <w:lang w:val="es-ES"/>
        </w:rPr>
        <w:t>privada</w:t>
      </w:r>
      <w:r w:rsidRPr="008D79C3">
        <w:rPr>
          <w:rFonts w:ascii="Verdana" w:eastAsia="Calibri" w:hAnsi="Verdana" w:cs="Arial"/>
          <w:lang w:val="es-ES"/>
        </w:rPr>
        <w:t>, a su vez, se clasifican en dos modalidades: a) los que requieren el desembolso de recursos públicos y b) los que no necesitan dicho desembolso.</w:t>
      </w:r>
    </w:p>
    <w:p w14:paraId="4EDE97FA" w14:textId="77777777" w:rsidR="00B75843" w:rsidRPr="008D79C3" w:rsidRDefault="00B75843" w:rsidP="00B75843">
      <w:pPr>
        <w:tabs>
          <w:tab w:val="left" w:pos="426"/>
        </w:tabs>
        <w:spacing w:before="120" w:line="276" w:lineRule="auto"/>
        <w:ind w:firstLine="709"/>
        <w:jc w:val="both"/>
        <w:rPr>
          <w:rFonts w:ascii="Verdana" w:eastAsia="Calibri" w:hAnsi="Verdana" w:cs="Arial"/>
          <w:lang w:val="es-ES"/>
        </w:rPr>
      </w:pPr>
      <w:r w:rsidRPr="008D79C3">
        <w:rPr>
          <w:rFonts w:ascii="Verdana" w:eastAsia="Calibri" w:hAnsi="Verdana" w:cs="Arial"/>
          <w:lang w:val="es-ES"/>
        </w:rPr>
        <w:t xml:space="preserve">Teniendo en cuenta que la consulta se formula en el marco de APP de </w:t>
      </w:r>
      <w:r w:rsidRPr="008D79C3">
        <w:rPr>
          <w:rFonts w:ascii="Verdana" w:eastAsia="Calibri" w:hAnsi="Verdana" w:cs="Arial"/>
          <w:i/>
          <w:iCs/>
          <w:lang w:val="es-ES"/>
        </w:rPr>
        <w:t>iniciativa privada</w:t>
      </w:r>
      <w:r w:rsidRPr="008D79C3">
        <w:rPr>
          <w:rFonts w:ascii="Verdana" w:eastAsia="Calibri" w:hAnsi="Verdana" w:cs="Arial"/>
          <w:lang w:val="es-ES"/>
        </w:rPr>
        <w:t xml:space="preserve">, es importante explicar que, luego de estructurar el proyecto, cumpliendo con las exigencias del artículo 14 de la Ley 1508 de 2012, el particular le debe presentar a la entidad estatal una propuesta después de la fase de </w:t>
      </w:r>
      <w:r w:rsidRPr="008D79C3">
        <w:rPr>
          <w:rFonts w:ascii="Verdana" w:eastAsia="Calibri" w:hAnsi="Verdana" w:cs="Arial"/>
          <w:i/>
          <w:iCs/>
          <w:lang w:val="es-ES"/>
        </w:rPr>
        <w:t>prefactibilidad</w:t>
      </w:r>
      <w:r w:rsidRPr="008D79C3">
        <w:rPr>
          <w:rStyle w:val="FootnoteReference"/>
          <w:rFonts w:ascii="Verdana" w:eastAsia="Calibri" w:hAnsi="Verdana" w:cs="Arial"/>
          <w:lang w:val="es-ES"/>
        </w:rPr>
        <w:footnoteReference w:id="5"/>
      </w:r>
      <w:r w:rsidRPr="008D79C3">
        <w:rPr>
          <w:rFonts w:ascii="Verdana" w:eastAsia="Calibri" w:hAnsi="Verdana" w:cs="Arial"/>
          <w:lang w:val="es-ES"/>
        </w:rPr>
        <w:t xml:space="preserve">. Si esta es aceptada por la entidad, el originador privado continúa con la fase de </w:t>
      </w:r>
      <w:r w:rsidRPr="008D79C3">
        <w:rPr>
          <w:rFonts w:ascii="Verdana" w:eastAsia="Calibri" w:hAnsi="Verdana" w:cs="Arial"/>
          <w:i/>
          <w:iCs/>
          <w:lang w:val="es-ES"/>
        </w:rPr>
        <w:t>factibilidad</w:t>
      </w:r>
      <w:r w:rsidRPr="008D79C3">
        <w:rPr>
          <w:rFonts w:ascii="Verdana" w:eastAsia="Calibri" w:hAnsi="Verdana" w:cs="Arial"/>
          <w:lang w:val="es-ES"/>
        </w:rPr>
        <w:t xml:space="preserve">, al cabo de la cual le allega la propuesta a la </w:t>
      </w:r>
      <w:r w:rsidRPr="008D79C3">
        <w:rPr>
          <w:rFonts w:ascii="Verdana" w:eastAsia="Calibri" w:hAnsi="Verdana" w:cs="Arial"/>
          <w:lang w:val="es-ES"/>
        </w:rPr>
        <w:lastRenderedPageBreak/>
        <w:t>entidad pública, quien puede aceptarla o rechazarla</w:t>
      </w:r>
      <w:r w:rsidRPr="008D79C3">
        <w:rPr>
          <w:rStyle w:val="FootnoteReference"/>
          <w:rFonts w:ascii="Verdana" w:eastAsia="Calibri" w:hAnsi="Verdana" w:cs="Arial"/>
          <w:lang w:val="es-ES"/>
        </w:rPr>
        <w:footnoteReference w:id="6"/>
      </w:r>
      <w:r w:rsidRPr="008D79C3">
        <w:rPr>
          <w:rFonts w:ascii="Verdana" w:eastAsia="Calibri" w:hAnsi="Verdana" w:cs="Arial"/>
          <w:lang w:val="es-ES"/>
        </w:rPr>
        <w:t xml:space="preserve">. Así se deduce del artículo 16 </w:t>
      </w:r>
      <w:r w:rsidRPr="008D79C3">
        <w:rPr>
          <w:rFonts w:ascii="Verdana" w:eastAsia="Calibri" w:hAnsi="Verdana" w:cs="Arial"/>
          <w:i/>
          <w:iCs/>
          <w:lang w:val="es-ES"/>
        </w:rPr>
        <w:t>ibidem</w:t>
      </w:r>
      <w:r w:rsidRPr="008D79C3">
        <w:rPr>
          <w:rFonts w:ascii="Verdana" w:eastAsia="Calibri" w:hAnsi="Verdana" w:cs="Arial"/>
          <w:lang w:val="es-ES"/>
        </w:rPr>
        <w:t xml:space="preserve">, según el cual, luego de la presentación de la iniciativa en fase de factibilidad, la entidad cuenta en principio con seis (6) meses, prorrogables hasta la mitad de dicho término, para estudiar la viabilidad de la iniciativa. </w:t>
      </w:r>
    </w:p>
    <w:p w14:paraId="4C792B6F" w14:textId="77777777" w:rsidR="00B75843" w:rsidRPr="008D79C3" w:rsidRDefault="00B75843" w:rsidP="00B75843">
      <w:pPr>
        <w:tabs>
          <w:tab w:val="left" w:pos="426"/>
        </w:tabs>
        <w:spacing w:before="120" w:after="0" w:line="276" w:lineRule="auto"/>
        <w:ind w:firstLine="709"/>
        <w:jc w:val="both"/>
        <w:rPr>
          <w:rFonts w:ascii="Verdana" w:eastAsia="Calibri" w:hAnsi="Verdana" w:cs="Arial"/>
          <w:lang w:val="es-ES"/>
        </w:rPr>
      </w:pPr>
      <w:r w:rsidRPr="008D79C3">
        <w:rPr>
          <w:rFonts w:ascii="Verdana" w:eastAsia="Calibri" w:hAnsi="Verdana" w:cs="Arial"/>
          <w:lang w:val="es-ES"/>
        </w:rPr>
        <w:t>Después de esto puede decidir aceptarla o rechazarla. En el primer caso, la entidad estatal y el originador pueden llegar a un acuerdo sobre el precio y las condiciones del proyecto. En el segundo, es decir, si se rechaza la iniciativa, el originador conserva la propiedad de los estudios, pero estos pueden ser adquiridos por la entidad estatal. Sin embargo, la presentación de la iniciativa no genera un derecho para el particular, ni una obligación para la entidad estatal</w:t>
      </w:r>
      <w:r w:rsidRPr="008D79C3">
        <w:rPr>
          <w:rStyle w:val="FootnoteReference"/>
          <w:rFonts w:ascii="Verdana" w:eastAsia="Calibri" w:hAnsi="Verdana" w:cs="Arial"/>
          <w:lang w:val="es-ES"/>
        </w:rPr>
        <w:footnoteReference w:id="7"/>
      </w:r>
      <w:r w:rsidRPr="008D79C3">
        <w:rPr>
          <w:rFonts w:ascii="Verdana" w:eastAsia="Calibri" w:hAnsi="Verdana" w:cs="Arial"/>
          <w:lang w:val="es-ES"/>
        </w:rPr>
        <w:t xml:space="preserve">. Como se advierte, si el proyecto de iniciativa privada es aceptado, la entidad llega a un acuerdo con el originador sobre la viabilidad del proyecto y el valor de los estudios efectuados por el particular en la estructuración del proyecto. </w:t>
      </w:r>
    </w:p>
    <w:p w14:paraId="5F842474" w14:textId="77777777" w:rsidR="00B75843" w:rsidRPr="008D79C3" w:rsidRDefault="00B75843" w:rsidP="00B75843">
      <w:pPr>
        <w:tabs>
          <w:tab w:val="left" w:pos="426"/>
        </w:tabs>
        <w:spacing w:after="0" w:line="276" w:lineRule="auto"/>
        <w:ind w:firstLine="709"/>
        <w:jc w:val="both"/>
        <w:rPr>
          <w:rFonts w:ascii="Verdana" w:eastAsia="Calibri" w:hAnsi="Verdana" w:cs="Arial"/>
          <w:lang w:val="es-ES"/>
        </w:rPr>
      </w:pPr>
    </w:p>
    <w:p w14:paraId="6B775BE4" w14:textId="77777777" w:rsidR="00B75843" w:rsidRPr="008D79C3" w:rsidRDefault="00B75843" w:rsidP="00B75843">
      <w:pPr>
        <w:pStyle w:val="NoSpacing"/>
        <w:spacing w:line="276" w:lineRule="auto"/>
        <w:jc w:val="both"/>
        <w:rPr>
          <w:rFonts w:ascii="Verdana" w:hAnsi="Verdana" w:cs="Arial"/>
          <w:bCs/>
          <w:sz w:val="22"/>
          <w:lang w:val="es-ES"/>
        </w:rPr>
      </w:pPr>
      <w:proofErr w:type="spellStart"/>
      <w:r w:rsidRPr="008D79C3">
        <w:rPr>
          <w:rFonts w:ascii="Verdana" w:eastAsia="Calibri" w:hAnsi="Verdana" w:cs="Arial"/>
          <w:sz w:val="22"/>
          <w:lang w:val="es-ES"/>
        </w:rPr>
        <w:t>iii</w:t>
      </w:r>
      <w:proofErr w:type="spellEnd"/>
      <w:r w:rsidRPr="008D79C3">
        <w:rPr>
          <w:rFonts w:ascii="Verdana" w:eastAsia="Calibri" w:hAnsi="Verdana" w:cs="Arial"/>
          <w:sz w:val="22"/>
          <w:lang w:val="es-ES"/>
        </w:rPr>
        <w:t>.</w:t>
      </w:r>
      <w:r w:rsidRPr="008D79C3">
        <w:rPr>
          <w:rFonts w:ascii="Verdana" w:eastAsia="Calibri" w:hAnsi="Verdana" w:cs="Arial"/>
          <w:lang w:val="es-ES"/>
        </w:rPr>
        <w:t xml:space="preserve"> </w:t>
      </w:r>
      <w:r w:rsidRPr="008D79C3">
        <w:rPr>
          <w:rFonts w:ascii="Verdana" w:hAnsi="Verdana" w:cs="Arial"/>
          <w:bCs/>
          <w:sz w:val="22"/>
          <w:lang w:val="es-ES"/>
        </w:rPr>
        <w:t>Ahora bien, el Estado acude a la contratación de bienes, obras y servicios para cumplir los fines que le impone el ordenamiento jurídico, la continuidad y eficiente prestación de los servicios públicos y la efectividad de los derechos e intereses de los administrados y de quienes colaboran en la consecución de dichos fines, entre otros</w:t>
      </w:r>
      <w:r w:rsidRPr="008D79C3">
        <w:rPr>
          <w:rStyle w:val="FootnoteReference"/>
          <w:rFonts w:ascii="Verdana" w:hAnsi="Verdana" w:cs="Arial"/>
          <w:sz w:val="22"/>
          <w:lang w:val="es-ES"/>
        </w:rPr>
        <w:footnoteReference w:id="8"/>
      </w:r>
      <w:r w:rsidRPr="008D79C3">
        <w:rPr>
          <w:rFonts w:ascii="Verdana" w:hAnsi="Verdana" w:cs="Arial"/>
          <w:bCs/>
          <w:sz w:val="22"/>
          <w:lang w:val="es-ES"/>
        </w:rPr>
        <w:t xml:space="preserve">. Para la garantía de los fines de interés general </w:t>
      </w:r>
      <w:r w:rsidRPr="008D79C3">
        <w:rPr>
          <w:rFonts w:ascii="Verdana" w:hAnsi="Verdana" w:cs="Arial"/>
          <w:bCs/>
          <w:sz w:val="22"/>
          <w:lang w:val="es-ES"/>
        </w:rPr>
        <w:lastRenderedPageBreak/>
        <w:t xml:space="preserve">involucrados en la contratación de las entidades estatales, el Estatuto General de Contratación de la Administración Pública dispone que, en la etapa de ejecución del contrato, las entidades estatales y los servidores públicos que participan en ella tienen la obligación de controlar y vigilar la correcta ejecución del objeto contratado, para efectos de que las finalidades perseguidas con la celebración de los negocios jurídicos se logren de manera satisfactoria. </w:t>
      </w:r>
    </w:p>
    <w:p w14:paraId="5D0D2D4B" w14:textId="77777777" w:rsidR="00B75843" w:rsidRPr="008D79C3" w:rsidRDefault="00B75843" w:rsidP="00B75843">
      <w:pPr>
        <w:pStyle w:val="NoSpacing"/>
        <w:spacing w:before="120" w:after="120" w:line="276" w:lineRule="auto"/>
        <w:ind w:firstLine="709"/>
        <w:jc w:val="both"/>
        <w:rPr>
          <w:rFonts w:ascii="Verdana" w:hAnsi="Verdana" w:cs="Arial"/>
          <w:bCs/>
          <w:sz w:val="22"/>
          <w:lang w:val="es-ES"/>
        </w:rPr>
      </w:pPr>
      <w:r w:rsidRPr="008D79C3">
        <w:rPr>
          <w:rFonts w:ascii="Verdana" w:hAnsi="Verdana" w:cs="Arial"/>
          <w:bCs/>
          <w:sz w:val="22"/>
          <w:lang w:val="es-ES"/>
        </w:rPr>
        <w:t xml:space="preserve">Por esto, la Ley 80 de 1993 alude a la obligación mencionada, que guarda relación con el principio de responsabilidad que rige la celebración y ejecución de los contratos estatales. Así, por ejemplo, los artículos 4, 5, 12, 14 y 26 </w:t>
      </w:r>
      <w:r w:rsidRPr="008D79C3">
        <w:rPr>
          <w:rFonts w:ascii="Verdana" w:hAnsi="Verdana" w:cs="Arial"/>
          <w:bCs/>
          <w:i/>
          <w:iCs/>
          <w:sz w:val="22"/>
          <w:lang w:val="es-ES"/>
        </w:rPr>
        <w:t>ibidem</w:t>
      </w:r>
      <w:r w:rsidRPr="008D79C3">
        <w:rPr>
          <w:rFonts w:ascii="Verdana" w:hAnsi="Verdana" w:cs="Arial"/>
          <w:bCs/>
          <w:sz w:val="22"/>
          <w:lang w:val="es-ES"/>
        </w:rPr>
        <w:t xml:space="preserve"> consagran normas relacionadas con el control y vigilancia de la ejecución de los contratos estatales. Estas disposiciones establecen, entre otros aspectos, la obligación de las entidades estatales de velar por el correcto y oportuno cumplimiento de las prestaciones del contrato, incluyendo las especificaciones de los bienes, obras y servicios, las condiciones de calidad ofrecidas, etc. Esta obligación se predica, en principio, del jefe o representante legal de la entidad, por tener la responsabilidad de la dirección y manejo de la actividad contractual, pero también de los servidores públicos que intervienen en ella. En ese sentido, las entidades estatales deben ejercer el control de la ejecución del contrato y, de ser el caso, tomar medidas para exigir el adecuado cumplimiento.</w:t>
      </w:r>
    </w:p>
    <w:p w14:paraId="5D8F6CA3" w14:textId="77777777" w:rsidR="00B75843" w:rsidRPr="008D79C3" w:rsidRDefault="00B75843" w:rsidP="00B75843">
      <w:pPr>
        <w:pStyle w:val="NoSpacing"/>
        <w:spacing w:before="120" w:line="276" w:lineRule="auto"/>
        <w:ind w:firstLine="709"/>
        <w:jc w:val="both"/>
        <w:rPr>
          <w:rFonts w:ascii="Verdana" w:hAnsi="Verdana" w:cs="Arial"/>
          <w:bCs/>
          <w:sz w:val="22"/>
          <w:lang w:val="es-ES"/>
        </w:rPr>
      </w:pPr>
      <w:r w:rsidRPr="008D79C3">
        <w:rPr>
          <w:rFonts w:ascii="Verdana" w:hAnsi="Verdana" w:cs="Arial"/>
          <w:bCs/>
          <w:sz w:val="22"/>
          <w:lang w:val="es-ES"/>
        </w:rPr>
        <w:t>Las Leyes 1150 de 2007 y 1474 de 2011 complementan el régimen jurídico de la obligación de vigilar la correcta ejecución de los contratos estatales. En dichas leyes se impone el debido proceso como principio rector en materia sancionatoria contractual para la imposición de multas y la decisión de hacer efectiva la cláusula penal; principio que se debe respetar en el ejercicio del control y vigilancia de la ejecución contractual</w:t>
      </w:r>
      <w:r w:rsidRPr="008D79C3">
        <w:rPr>
          <w:rStyle w:val="FootnoteReference"/>
          <w:rFonts w:ascii="Verdana" w:hAnsi="Verdana" w:cs="Arial"/>
          <w:sz w:val="22"/>
          <w:lang w:val="es-ES"/>
        </w:rPr>
        <w:footnoteReference w:id="9"/>
      </w:r>
      <w:r w:rsidRPr="008D79C3">
        <w:rPr>
          <w:rFonts w:ascii="Verdana" w:hAnsi="Verdana" w:cs="Arial"/>
          <w:bCs/>
          <w:sz w:val="22"/>
          <w:lang w:val="es-ES"/>
        </w:rPr>
        <w:t>. De igual forma, se establecen los límites de la responsabilidad del representante legal ante la delegación de sus funciones en materia contractual</w:t>
      </w:r>
      <w:r w:rsidRPr="008D79C3">
        <w:rPr>
          <w:rStyle w:val="FootnoteReference"/>
          <w:rFonts w:ascii="Verdana" w:hAnsi="Verdana" w:cs="Arial"/>
          <w:sz w:val="22"/>
          <w:lang w:val="es-ES"/>
        </w:rPr>
        <w:footnoteReference w:id="10"/>
      </w:r>
      <w:r w:rsidRPr="008D79C3">
        <w:rPr>
          <w:rFonts w:ascii="Verdana" w:hAnsi="Verdana" w:cs="Arial"/>
          <w:bCs/>
          <w:sz w:val="22"/>
          <w:lang w:val="es-ES"/>
        </w:rPr>
        <w:t xml:space="preserve"> y se regula la supervisión y la interventoría de los contratos estatales</w:t>
      </w:r>
      <w:r w:rsidRPr="008D79C3">
        <w:rPr>
          <w:rStyle w:val="FootnoteReference"/>
          <w:rFonts w:ascii="Verdana" w:hAnsi="Verdana" w:cs="Arial"/>
          <w:sz w:val="22"/>
          <w:lang w:val="es-ES"/>
        </w:rPr>
        <w:footnoteReference w:id="11"/>
      </w:r>
      <w:r w:rsidRPr="008D79C3">
        <w:rPr>
          <w:rFonts w:ascii="Verdana" w:hAnsi="Verdana" w:cs="Arial"/>
          <w:bCs/>
          <w:sz w:val="22"/>
          <w:lang w:val="es-ES"/>
        </w:rPr>
        <w:t>. La jurisprudencia de lo contencioso-administrativo, por su parte, ha considerado que la obligación de vigilar la correcta ejecución del objeto contractual es una función de la entidad contratante, en los siguientes términos:</w:t>
      </w:r>
    </w:p>
    <w:p w14:paraId="6247939C" w14:textId="77777777" w:rsidR="00B75843" w:rsidRPr="008D79C3" w:rsidRDefault="00B75843" w:rsidP="00B75843">
      <w:pPr>
        <w:pStyle w:val="NoSpacing"/>
        <w:spacing w:line="276" w:lineRule="auto"/>
        <w:jc w:val="both"/>
        <w:rPr>
          <w:rFonts w:ascii="Verdana" w:hAnsi="Verdana" w:cs="Arial"/>
          <w:bCs/>
          <w:sz w:val="22"/>
          <w:szCs w:val="20"/>
          <w:lang w:val="es-ES"/>
        </w:rPr>
      </w:pPr>
      <w:r w:rsidRPr="008D79C3">
        <w:rPr>
          <w:rFonts w:ascii="Verdana" w:hAnsi="Verdana" w:cs="Arial"/>
          <w:bCs/>
          <w:lang w:val="es-ES"/>
        </w:rPr>
        <w:t xml:space="preserve"> </w:t>
      </w:r>
    </w:p>
    <w:p w14:paraId="6EF6C52D" w14:textId="77777777" w:rsidR="00B75843" w:rsidRPr="008D79C3" w:rsidRDefault="00B75843" w:rsidP="00B75843">
      <w:pPr>
        <w:pStyle w:val="NoSpacing"/>
        <w:ind w:left="709" w:right="709"/>
        <w:jc w:val="both"/>
        <w:rPr>
          <w:rFonts w:ascii="Verdana" w:hAnsi="Verdana" w:cs="Arial"/>
          <w:bCs/>
          <w:sz w:val="20"/>
          <w:szCs w:val="20"/>
          <w:lang w:val="es-ES"/>
        </w:rPr>
      </w:pPr>
      <w:r w:rsidRPr="008D79C3">
        <w:rPr>
          <w:rFonts w:ascii="Verdana" w:hAnsi="Verdana" w:cs="Arial"/>
          <w:bCs/>
          <w:sz w:val="20"/>
          <w:szCs w:val="20"/>
          <w:lang w:val="es-ES"/>
        </w:rPr>
        <w:lastRenderedPageBreak/>
        <w:t>“La función de vigilancia y control del contrato estatal supone el cuidado y la supervisión, de forma tal que en ejercicio de esa función, quien administra la adecuada y oportuna ejecución del contrato no sólo debe velar por que las partes den cumplimiento a las obligaciones contractuales, sino que el contrato se ejecute en el tiempo y la forma convenidos, para de esta forma garantizar la satisfacción de las necesidades que la administración buscaba alcanzar con la celebración del respectivo contrato”</w:t>
      </w:r>
      <w:r w:rsidRPr="008D79C3">
        <w:rPr>
          <w:rStyle w:val="FootnoteReference"/>
          <w:rFonts w:ascii="Verdana" w:hAnsi="Verdana" w:cs="Arial"/>
          <w:sz w:val="20"/>
          <w:szCs w:val="20"/>
          <w:lang w:val="es-ES"/>
        </w:rPr>
        <w:footnoteReference w:id="12"/>
      </w:r>
      <w:r w:rsidRPr="008D79C3">
        <w:rPr>
          <w:rFonts w:ascii="Verdana" w:eastAsia="Calibri" w:hAnsi="Verdana" w:cs="Arial"/>
          <w:sz w:val="20"/>
          <w:szCs w:val="20"/>
          <w:lang w:val="es-ES"/>
        </w:rPr>
        <w:t>.</w:t>
      </w:r>
    </w:p>
    <w:p w14:paraId="0BF732B5" w14:textId="77777777" w:rsidR="00B75843" w:rsidRPr="008D79C3" w:rsidRDefault="00B75843" w:rsidP="00B75843">
      <w:pPr>
        <w:pStyle w:val="NoSpacing"/>
        <w:spacing w:line="276" w:lineRule="auto"/>
        <w:jc w:val="both"/>
        <w:rPr>
          <w:rFonts w:ascii="Verdana" w:hAnsi="Verdana" w:cs="Arial"/>
          <w:bCs/>
          <w:lang w:val="es-ES"/>
        </w:rPr>
      </w:pPr>
    </w:p>
    <w:p w14:paraId="2560F7D6" w14:textId="77777777" w:rsidR="00B75843" w:rsidRPr="008D79C3" w:rsidRDefault="00B75843" w:rsidP="00B75843">
      <w:pPr>
        <w:pStyle w:val="NoSpacing"/>
        <w:spacing w:line="276" w:lineRule="auto"/>
        <w:ind w:firstLine="708"/>
        <w:jc w:val="both"/>
        <w:rPr>
          <w:rFonts w:ascii="Verdana" w:hAnsi="Verdana" w:cs="Arial"/>
          <w:bCs/>
          <w:sz w:val="22"/>
          <w:lang w:val="es-ES"/>
        </w:rPr>
      </w:pPr>
      <w:r w:rsidRPr="008D79C3">
        <w:rPr>
          <w:rFonts w:ascii="Verdana" w:hAnsi="Verdana" w:cs="Arial"/>
          <w:bCs/>
          <w:sz w:val="22"/>
          <w:lang w:val="es-ES"/>
        </w:rPr>
        <w:t>En este punto, se reitera lo expuesto en el concepto emitido por esta Agencia con el radicado 4201913000008240 del 20 de diciembre de 2019, esto es, que “el seguimiento de la ejecución del contrato para su dirección, control y vigilancia del correcto cumplimiento del objeto es un deber legal que permite a las entidades estatales tomar medidas orientadas a la satisfacción de los fines de la contratación, dentro de las cuales, se encuentra la posibilidad de pactar y ejercer las cláusulas exorbitantes, la designación de una supervisión o la contratación de una interventoría para vigilar la ejecución del contrato y la facultad de pactar e imponer multas, cláusula penal o hacer efectivas las garantías del contrato, previa declaratoria de incumplimiento de las obligaciones del contrato, en aras de lograr la satisfacción de las necesidades de bienes, obras o servicios que se pretenden suplir con la celebración de los contratos estatales”. En desarrollo del deber descrito, se analizará uno de los instrumentos dispuestos por el ordenamiento jurídico para su cumplimiento, relacionado con la interventoría de los contratos estatales.</w:t>
      </w:r>
    </w:p>
    <w:p w14:paraId="14109B6B" w14:textId="77777777" w:rsidR="00B75843" w:rsidRPr="008D79C3" w:rsidRDefault="00B75843" w:rsidP="00B75843">
      <w:pPr>
        <w:pStyle w:val="NoSpacing"/>
        <w:spacing w:line="276" w:lineRule="auto"/>
        <w:jc w:val="both"/>
        <w:rPr>
          <w:rFonts w:ascii="Verdana" w:hAnsi="Verdana" w:cs="Arial"/>
          <w:bCs/>
          <w:sz w:val="22"/>
          <w:lang w:val="es-ES"/>
        </w:rPr>
      </w:pPr>
    </w:p>
    <w:p w14:paraId="5C272712" w14:textId="77777777" w:rsidR="00B75843" w:rsidRPr="008D79C3" w:rsidRDefault="00B75843" w:rsidP="00B75843">
      <w:pPr>
        <w:pStyle w:val="NoSpacing"/>
        <w:spacing w:line="276" w:lineRule="auto"/>
        <w:jc w:val="both"/>
        <w:rPr>
          <w:rFonts w:ascii="Verdana" w:hAnsi="Verdana" w:cs="Arial"/>
          <w:sz w:val="22"/>
          <w:lang w:val="es-ES"/>
        </w:rPr>
      </w:pPr>
      <w:proofErr w:type="spellStart"/>
      <w:r w:rsidRPr="008D79C3">
        <w:rPr>
          <w:rFonts w:ascii="Verdana" w:hAnsi="Verdana" w:cs="Arial"/>
          <w:bCs/>
          <w:sz w:val="22"/>
          <w:lang w:val="es-ES"/>
        </w:rPr>
        <w:t>iv</w:t>
      </w:r>
      <w:proofErr w:type="spellEnd"/>
      <w:r w:rsidRPr="008D79C3">
        <w:rPr>
          <w:rFonts w:ascii="Verdana" w:hAnsi="Verdana" w:cs="Arial"/>
          <w:bCs/>
          <w:sz w:val="22"/>
          <w:lang w:val="es-ES"/>
        </w:rPr>
        <w:t xml:space="preserve">. </w:t>
      </w:r>
      <w:r w:rsidRPr="008D79C3">
        <w:rPr>
          <w:rFonts w:ascii="Verdana" w:hAnsi="Verdana" w:cs="Arial"/>
          <w:sz w:val="22"/>
          <w:lang w:val="es-ES"/>
        </w:rPr>
        <w:t xml:space="preserve">La Ley 1474 de 2011 enmarcó el seguimiento, control y vigilancia de la ejecución del contrato estatal dentro del principio de moralidad administrativa. El artículo 83 </w:t>
      </w:r>
      <w:r w:rsidRPr="008D79C3">
        <w:rPr>
          <w:rFonts w:ascii="Verdana" w:hAnsi="Verdana" w:cs="Arial"/>
          <w:i/>
          <w:iCs/>
          <w:sz w:val="22"/>
          <w:lang w:val="es-ES"/>
        </w:rPr>
        <w:t xml:space="preserve">ibidem </w:t>
      </w:r>
      <w:r w:rsidRPr="008D79C3">
        <w:rPr>
          <w:rFonts w:ascii="Verdana" w:hAnsi="Verdana" w:cs="Arial"/>
          <w:sz w:val="22"/>
          <w:lang w:val="es-ES"/>
        </w:rPr>
        <w:t xml:space="preserve">prescribe que “con el fin de proteger la moralidad administrativa, de prevenir la ocurrencia de actos de corrupción y de tutelar la transparencia de la actividad contractual, las entidades públicas están obligadas a vigilar permanentemente la correcta ejecución del objeto contratado a través de un supervisor o un interventor, según corresponda”. Además, el legislador, en el mismo artículo, definió las nociones de </w:t>
      </w:r>
      <w:r w:rsidRPr="008D79C3">
        <w:rPr>
          <w:rFonts w:ascii="Verdana" w:hAnsi="Verdana" w:cs="Arial"/>
          <w:i/>
          <w:iCs/>
          <w:sz w:val="22"/>
          <w:lang w:val="es-ES"/>
        </w:rPr>
        <w:t>supervisión</w:t>
      </w:r>
      <w:r w:rsidRPr="008D79C3">
        <w:rPr>
          <w:rFonts w:ascii="Verdana" w:hAnsi="Verdana" w:cs="Arial"/>
          <w:sz w:val="22"/>
          <w:lang w:val="es-ES"/>
        </w:rPr>
        <w:t xml:space="preserve"> e </w:t>
      </w:r>
      <w:r w:rsidRPr="008D79C3">
        <w:rPr>
          <w:rFonts w:ascii="Verdana" w:hAnsi="Verdana" w:cs="Arial"/>
          <w:i/>
          <w:iCs/>
          <w:sz w:val="22"/>
          <w:lang w:val="es-ES"/>
        </w:rPr>
        <w:t>interventoría</w:t>
      </w:r>
      <w:r w:rsidRPr="008D79C3">
        <w:rPr>
          <w:rFonts w:ascii="Verdana" w:hAnsi="Verdana" w:cs="Arial"/>
          <w:sz w:val="22"/>
          <w:lang w:val="es-ES"/>
        </w:rPr>
        <w:t xml:space="preserve">, como mecanismos que pueden usar las entidades estatales para vigilar el contrato, en estos términos: </w:t>
      </w:r>
    </w:p>
    <w:p w14:paraId="6512B727" w14:textId="77777777" w:rsidR="00B75843" w:rsidRPr="008D79C3" w:rsidRDefault="00B75843" w:rsidP="00B75843">
      <w:pPr>
        <w:pStyle w:val="NoSpacing"/>
        <w:spacing w:line="276" w:lineRule="auto"/>
        <w:jc w:val="both"/>
        <w:rPr>
          <w:rFonts w:ascii="Verdana" w:hAnsi="Verdana" w:cs="Arial"/>
          <w:lang w:val="es-ES"/>
        </w:rPr>
      </w:pPr>
    </w:p>
    <w:p w14:paraId="1A09364D" w14:textId="77777777" w:rsidR="00B75843" w:rsidRPr="008D79C3" w:rsidRDefault="00B75843" w:rsidP="00B75843">
      <w:pPr>
        <w:pStyle w:val="NoSpacing"/>
        <w:spacing w:after="120"/>
        <w:ind w:left="709" w:right="709"/>
        <w:jc w:val="both"/>
        <w:rPr>
          <w:rFonts w:ascii="Verdana" w:hAnsi="Verdana" w:cs="Arial"/>
          <w:sz w:val="20"/>
          <w:szCs w:val="20"/>
          <w:lang w:val="es-ES"/>
        </w:rPr>
      </w:pPr>
      <w:r w:rsidRPr="008D79C3">
        <w:rPr>
          <w:rFonts w:ascii="Verdana" w:hAnsi="Verdana" w:cs="Arial"/>
          <w:sz w:val="20"/>
          <w:szCs w:val="20"/>
          <w:lang w:val="es-ES"/>
        </w:rPr>
        <w:lastRenderedPageBreak/>
        <w:t>“La supervisión consistirá en el seguimiento técnico, administrativo, financiero, contable, y jurídico que sobre el cumplimiento del objeto del contrato, es ejercida por la misma entidad estatal cuando no requieren conocimientos especializados. Para la supervisión, la Entidad estatal podrá contratar personal de apoyo, a través de los contratos de prestación de servicios que sean requeridos.</w:t>
      </w:r>
    </w:p>
    <w:p w14:paraId="6E74E75C" w14:textId="77777777" w:rsidR="00B75843" w:rsidRPr="008D79C3" w:rsidRDefault="00B75843" w:rsidP="00B75843">
      <w:pPr>
        <w:pStyle w:val="NoSpacing"/>
        <w:ind w:left="709" w:right="709"/>
        <w:jc w:val="both"/>
        <w:rPr>
          <w:rFonts w:ascii="Verdana" w:hAnsi="Verdana" w:cs="Arial"/>
          <w:sz w:val="21"/>
          <w:szCs w:val="21"/>
          <w:lang w:val="es-ES"/>
        </w:rPr>
      </w:pPr>
      <w:r w:rsidRPr="008D79C3">
        <w:rPr>
          <w:rFonts w:ascii="Verdana" w:hAnsi="Verdana" w:cs="Arial"/>
          <w:sz w:val="20"/>
          <w:szCs w:val="20"/>
          <w:lang w:val="es-ES"/>
        </w:rPr>
        <w:t>La interventoría consistirá en el seguimiento técnico que sobre el cumplimiento del contrato realice una persona natural o jurídica contratada para tal fin por la Entidad Estatal, cuando el seguimiento del contrato suponga conocimiento especializado en la materia, o cuando la complejidad o la extensión del mismo lo justifiquen. No obstante, lo anterior cuando la entidad lo encuentre justificado y acorde a la naturaleza del contrato principal, podrá contratar el seguimiento administrativo, técnico, financiero, contable, jurídico del objeto o contrato dentro de la interventoría”.</w:t>
      </w:r>
    </w:p>
    <w:p w14:paraId="15DCA7E4" w14:textId="77777777" w:rsidR="00B75843" w:rsidRPr="008D79C3" w:rsidRDefault="00B75843" w:rsidP="00B75843">
      <w:pPr>
        <w:pStyle w:val="NoSpacing"/>
        <w:spacing w:line="276" w:lineRule="auto"/>
        <w:jc w:val="both"/>
        <w:rPr>
          <w:rFonts w:ascii="Verdana" w:hAnsi="Verdana" w:cs="Arial"/>
          <w:lang w:val="es-ES"/>
        </w:rPr>
      </w:pPr>
    </w:p>
    <w:p w14:paraId="4D2185DB" w14:textId="77777777" w:rsidR="00B75843" w:rsidRPr="008D79C3" w:rsidRDefault="00B75843" w:rsidP="00B75843">
      <w:pPr>
        <w:pStyle w:val="NoSpacing"/>
        <w:spacing w:after="120" w:line="276" w:lineRule="auto"/>
        <w:ind w:firstLine="709"/>
        <w:jc w:val="both"/>
        <w:rPr>
          <w:rFonts w:ascii="Verdana" w:hAnsi="Verdana" w:cs="Arial"/>
          <w:sz w:val="22"/>
          <w:lang w:val="es-ES"/>
        </w:rPr>
      </w:pPr>
      <w:r w:rsidRPr="008D79C3">
        <w:rPr>
          <w:rFonts w:ascii="Verdana" w:hAnsi="Verdana" w:cs="Arial"/>
          <w:sz w:val="22"/>
          <w:lang w:val="es-ES"/>
        </w:rPr>
        <w:t xml:space="preserve">De este modo, la interventoría: i) será un mecanismo de vigilancia contingente en la medida que solo es obligatorio para el seguimiento de los contratos de obra adjudicados por licitación pública ‒art. 32, numeral 1‒; en los demás casos se requerirá cuando “el seguimiento del contrato suponga conocimiento especializado en la materia, o cuando la complejidad o la extensión del mismo lo justifiquen” ‒art. 83, Ley 1474 de 2011‒. </w:t>
      </w:r>
      <w:proofErr w:type="spellStart"/>
      <w:r w:rsidRPr="008D79C3">
        <w:rPr>
          <w:rFonts w:ascii="Verdana" w:hAnsi="Verdana" w:cs="Arial"/>
          <w:sz w:val="22"/>
          <w:lang w:val="es-ES"/>
        </w:rPr>
        <w:t>ii</w:t>
      </w:r>
      <w:proofErr w:type="spellEnd"/>
      <w:r w:rsidRPr="008D79C3">
        <w:rPr>
          <w:rFonts w:ascii="Verdana" w:hAnsi="Verdana" w:cs="Arial"/>
          <w:sz w:val="22"/>
          <w:lang w:val="es-ES"/>
        </w:rPr>
        <w:t xml:space="preserve">) Este mecanismo de vigilancia exige, en su ejecución, la utilización de conocimientos especializados. </w:t>
      </w:r>
      <w:proofErr w:type="spellStart"/>
      <w:r w:rsidRPr="008D79C3">
        <w:rPr>
          <w:rFonts w:ascii="Verdana" w:hAnsi="Verdana" w:cs="Arial"/>
          <w:sz w:val="22"/>
          <w:lang w:val="es-ES"/>
        </w:rPr>
        <w:t>iii</w:t>
      </w:r>
      <w:proofErr w:type="spellEnd"/>
      <w:r w:rsidRPr="008D79C3">
        <w:rPr>
          <w:rFonts w:ascii="Verdana" w:hAnsi="Verdana" w:cs="Arial"/>
          <w:sz w:val="22"/>
          <w:lang w:val="es-ES"/>
        </w:rPr>
        <w:t>) Por lo anterior, la entidad contrata un experto a través de un concurso de méritos, al tratarse la interventoría de una especie del contrato de consultoría ‒art. 32, numeral 2, inciso 2, Ley 80 de 1993</w:t>
      </w:r>
      <w:r w:rsidRPr="008D79C3">
        <w:rPr>
          <w:rStyle w:val="FootnoteReference"/>
          <w:rFonts w:ascii="Verdana" w:hAnsi="Verdana" w:cs="Arial"/>
          <w:sz w:val="22"/>
          <w:lang w:val="es-ES"/>
        </w:rPr>
        <w:footnoteReference w:id="13"/>
      </w:r>
      <w:r w:rsidRPr="008D79C3">
        <w:rPr>
          <w:rFonts w:ascii="Verdana" w:hAnsi="Verdana" w:cs="Arial"/>
          <w:sz w:val="22"/>
          <w:lang w:val="es-ES"/>
        </w:rPr>
        <w:t xml:space="preserve">‒, de manera que la interventoría es realizada por una “persona natural o jurídica contratada para tal fin por la Entidad Estatal” ‒art. 83, Ley 1474‒. </w:t>
      </w:r>
      <w:proofErr w:type="spellStart"/>
      <w:r w:rsidRPr="008D79C3">
        <w:rPr>
          <w:rFonts w:ascii="Verdana" w:hAnsi="Verdana" w:cs="Arial"/>
          <w:sz w:val="22"/>
          <w:lang w:val="es-ES"/>
        </w:rPr>
        <w:t>iv</w:t>
      </w:r>
      <w:proofErr w:type="spellEnd"/>
      <w:r w:rsidRPr="008D79C3">
        <w:rPr>
          <w:rFonts w:ascii="Verdana" w:hAnsi="Verdana" w:cs="Arial"/>
          <w:sz w:val="22"/>
          <w:lang w:val="es-ES"/>
        </w:rPr>
        <w:t>) Le es inherente el seguimiento técnico, frente a la vigilancia de la correcta ejecución del contrato vigilado; sin embargo, el artículo 83 de la Ley 1474 de 2011 permite que en el contrato de interventoría también se pacten obligaciones para que el contratista realice el seguimiento administrativo, financiero, contable o jurídico. v) En caso de que no se encomiende al interventor el seguimiento total del contrato, en el contrato de interventoría “se deberán indicar las actividades técnicas a cargo del interventor y las demás quedarán a cargo de la Entidad a través del supervisor” ‒art. 83, inciso 3‒. Finalmente, vi) el contrato de interventoría será supervisado directamente por la entidad ‒art. 83, inciso 4‒.</w:t>
      </w:r>
    </w:p>
    <w:p w14:paraId="1A190CF6" w14:textId="77777777" w:rsidR="00B75843" w:rsidRPr="003E0B17" w:rsidRDefault="00B75843" w:rsidP="00B75843">
      <w:pPr>
        <w:pStyle w:val="NoSpacing"/>
        <w:spacing w:line="276" w:lineRule="auto"/>
        <w:ind w:firstLine="709"/>
        <w:jc w:val="both"/>
        <w:rPr>
          <w:rFonts w:ascii="Verdana" w:hAnsi="Verdana" w:cs="Arial"/>
          <w:sz w:val="22"/>
          <w:lang w:val="es-ES"/>
        </w:rPr>
      </w:pPr>
      <w:r w:rsidRPr="008D79C3">
        <w:rPr>
          <w:rFonts w:ascii="Verdana" w:hAnsi="Verdana" w:cs="Arial"/>
          <w:sz w:val="22"/>
          <w:lang w:val="es-ES"/>
        </w:rPr>
        <w:lastRenderedPageBreak/>
        <w:t>De lo anterior se desprende que el interventor es un contratista externo a la entidad estatal y al contratista vigilado, de manera que es seleccionado por la entidad estatal mediante los procedimientos del artículo 2 de la Ley 1150 de 2007, en principio, a través del concurso de méritos. Lo anterior, sin perjuicio de que eventualmente aplique alguna causal especial que permita la celebración de este tipo de contratos mediante una modalidad diferente, como podría suceder frente a la posibilidad de realizar, por ejemplo, una contratación de mínima cuantía o una contratación directa, en caso de presentarse alguna de las causales establecidas en el artículo 2 de la Ley 1150 de 2007, que dé lugar a acudir a otra modalidad de selección.</w:t>
      </w:r>
      <w:r w:rsidRPr="003E0B17">
        <w:rPr>
          <w:rFonts w:ascii="Verdana" w:hAnsi="Verdana" w:cs="Arial"/>
          <w:sz w:val="22"/>
          <w:lang w:val="es-ES"/>
        </w:rPr>
        <w:t xml:space="preserve"> </w:t>
      </w:r>
    </w:p>
    <w:p w14:paraId="4E12EA25" w14:textId="77777777" w:rsidR="00B75843" w:rsidRPr="003E0B17" w:rsidRDefault="00B75843" w:rsidP="00B75843">
      <w:pPr>
        <w:pStyle w:val="NoSpacing"/>
        <w:spacing w:line="276" w:lineRule="auto"/>
        <w:ind w:firstLine="709"/>
        <w:jc w:val="both"/>
        <w:rPr>
          <w:rFonts w:ascii="Verdana" w:hAnsi="Verdana" w:cs="Arial"/>
          <w:sz w:val="22"/>
          <w:lang w:val="es-ES"/>
        </w:rPr>
      </w:pPr>
    </w:p>
    <w:p w14:paraId="46AD70CC" w14:textId="77777777" w:rsidR="00B75843" w:rsidRPr="003E0B17" w:rsidRDefault="00B75843" w:rsidP="00B75843">
      <w:pPr>
        <w:spacing w:after="120" w:line="276" w:lineRule="auto"/>
        <w:jc w:val="both"/>
        <w:rPr>
          <w:rFonts w:ascii="Verdana" w:hAnsi="Verdana" w:cs="Arial"/>
          <w:color w:val="000000" w:themeColor="text1"/>
          <w:lang w:val="es-ES"/>
        </w:rPr>
      </w:pPr>
      <w:r w:rsidRPr="003E0B17">
        <w:rPr>
          <w:rFonts w:ascii="Verdana" w:hAnsi="Verdana" w:cs="Arial"/>
          <w:color w:val="000000" w:themeColor="text1"/>
          <w:lang w:val="es-ES"/>
        </w:rPr>
        <w:t xml:space="preserve">v. Dentro de este marco jurídico, el inciso primero del artículo 33 de la Ley 1508 de 2012 establece disposiciones especiales respecto a la contratación de la interventoría en los proyectos del APP. La norma señala lo siguiente: “La elaboración de estudios, la evaluación de proyectos de iniciativa privada y </w:t>
      </w:r>
      <w:r w:rsidRPr="003E0B17">
        <w:rPr>
          <w:rFonts w:ascii="Verdana" w:hAnsi="Verdana" w:cs="Arial"/>
          <w:i/>
          <w:iCs/>
          <w:color w:val="000000" w:themeColor="text1"/>
          <w:lang w:val="es-ES"/>
        </w:rPr>
        <w:t>las interventorías de los contratos, se podrán contratar mediante el procedimiento de selección abreviada de menor cuantía</w:t>
      </w:r>
      <w:r w:rsidRPr="003E0B17">
        <w:rPr>
          <w:rFonts w:ascii="Verdana" w:hAnsi="Verdana" w:cs="Arial"/>
          <w:color w:val="000000" w:themeColor="text1"/>
          <w:lang w:val="es-ES"/>
        </w:rPr>
        <w:t xml:space="preserve"> o mínima cuantía </w:t>
      </w:r>
      <w:r w:rsidRPr="003E0B17">
        <w:rPr>
          <w:rFonts w:ascii="Verdana" w:hAnsi="Verdana" w:cs="Arial"/>
          <w:i/>
          <w:iCs/>
          <w:color w:val="000000" w:themeColor="text1"/>
          <w:lang w:val="es-ES"/>
        </w:rPr>
        <w:t>según su valor</w:t>
      </w:r>
      <w:r w:rsidRPr="003E0B17">
        <w:rPr>
          <w:rFonts w:ascii="Verdana" w:hAnsi="Verdana" w:cs="Arial"/>
          <w:color w:val="000000" w:themeColor="text1"/>
          <w:lang w:val="es-ES"/>
        </w:rPr>
        <w:t>” (Énfasis fuera de texto).</w:t>
      </w:r>
    </w:p>
    <w:p w14:paraId="06CD1668" w14:textId="77777777" w:rsidR="00B75843" w:rsidRPr="003E0B17" w:rsidRDefault="00B75843" w:rsidP="00B75843">
      <w:pPr>
        <w:spacing w:after="120" w:line="276" w:lineRule="auto"/>
        <w:jc w:val="both"/>
        <w:rPr>
          <w:rFonts w:ascii="Verdana" w:hAnsi="Verdana" w:cs="Arial"/>
          <w:color w:val="000000" w:themeColor="text1"/>
          <w:lang w:val="es-ES"/>
        </w:rPr>
      </w:pPr>
      <w:r w:rsidRPr="003E0B17">
        <w:rPr>
          <w:rFonts w:ascii="Verdana" w:hAnsi="Verdana" w:cs="Arial"/>
          <w:color w:val="000000" w:themeColor="text1"/>
          <w:lang w:val="es-ES"/>
        </w:rPr>
        <w:tab/>
        <w:t>Respecto a las normas generales del sistema de compras públicas, para efectos de los procedimientos con pluralidad de ofertes, la entidades deben contratar la interventoría a través del concurso de méritos. En caso de que el presupuesto oficial sea menor al 10% de la menor cuantía de la entidad, el procedimiento aplicable será el de mínima cuantía. En este caso, “Dado que la selección de mínima cuantía es especial para cualquier objeto contractual, de conformidad con el inciso primero del artículo 30 de la Ley 2069 de 2020, en caso de concurrencia entre el concurso de méritos y la mínima cuantía, la modalidad de selección aplicable será la de mínima cuantía”</w:t>
      </w:r>
      <w:r w:rsidRPr="003E0B17">
        <w:rPr>
          <w:rStyle w:val="FootnoteReference"/>
          <w:rFonts w:ascii="Verdana" w:hAnsi="Verdana" w:cs="Arial"/>
          <w:color w:val="000000" w:themeColor="text1"/>
          <w:lang w:val="es-ES"/>
        </w:rPr>
        <w:footnoteReference w:id="14"/>
      </w:r>
      <w:r w:rsidRPr="003E0B17">
        <w:rPr>
          <w:rFonts w:ascii="Verdana" w:hAnsi="Verdana" w:cs="Arial"/>
          <w:color w:val="000000" w:themeColor="text1"/>
          <w:lang w:val="es-ES"/>
        </w:rPr>
        <w:t xml:space="preserve">. </w:t>
      </w:r>
    </w:p>
    <w:p w14:paraId="04E15486" w14:textId="77777777" w:rsidR="00B75843" w:rsidRPr="003E0B17" w:rsidRDefault="00B75843" w:rsidP="00B75843">
      <w:pPr>
        <w:spacing w:after="120" w:line="276" w:lineRule="auto"/>
        <w:jc w:val="both"/>
        <w:rPr>
          <w:rFonts w:ascii="Verdana" w:eastAsia="Calibri" w:hAnsi="Verdana" w:cs="Arial"/>
          <w:lang w:val="es-ES"/>
        </w:rPr>
      </w:pPr>
      <w:r w:rsidRPr="003E0B17">
        <w:rPr>
          <w:rFonts w:ascii="Verdana" w:hAnsi="Verdana" w:cs="Arial"/>
          <w:color w:val="000000" w:themeColor="text1"/>
          <w:lang w:val="es-ES"/>
        </w:rPr>
        <w:tab/>
        <w:t xml:space="preserve">Sin embargo, para los proyectos de APP, el artículo 33 de la Ley 1508 de 2012 permite que la interventoría se contrate a través de la selección abreviada de menor cuantía según el valor del contrato. </w:t>
      </w:r>
      <w:bookmarkStart w:id="0" w:name="_Hlk39070608"/>
      <w:r w:rsidRPr="003E0B17">
        <w:rPr>
          <w:rFonts w:ascii="Verdana" w:eastAsia="Calibri" w:hAnsi="Verdana" w:cs="Arial"/>
          <w:lang w:val="es-ES"/>
        </w:rPr>
        <w:t>El numeral 2 del artículo 2 de la Ley 1150 de 2007</w:t>
      </w:r>
      <w:bookmarkEnd w:id="0"/>
      <w:r w:rsidRPr="003E0B17">
        <w:rPr>
          <w:rFonts w:ascii="Verdana" w:eastAsia="Calibri" w:hAnsi="Verdana" w:cs="Arial"/>
          <w:lang w:val="es-ES"/>
        </w:rPr>
        <w:t xml:space="preserve"> dispone que “[…] corresponde a la modalidad de selección objetiva prevista para aquellos casos en que por las características del objeto a contratar, las circunstancias de la contratación o la cuantía o destinación del </w:t>
      </w:r>
      <w:r w:rsidRPr="003E0B17">
        <w:rPr>
          <w:rFonts w:ascii="Verdana" w:eastAsia="Calibri" w:hAnsi="Verdana" w:cs="Arial"/>
          <w:lang w:val="es-ES"/>
        </w:rPr>
        <w:lastRenderedPageBreak/>
        <w:t>bien, obra o servicio, puedan adelantarse procesos simplificados para garantizar la eficiencia de la gestión contractual”, regulando cada una de las causales</w:t>
      </w:r>
      <w:r w:rsidRPr="003E0B17">
        <w:rPr>
          <w:rStyle w:val="FootnoteReference"/>
          <w:rFonts w:ascii="Verdana" w:eastAsia="Calibri" w:hAnsi="Verdana" w:cs="Arial"/>
          <w:lang w:val="es-ES"/>
        </w:rPr>
        <w:footnoteReference w:id="15"/>
      </w:r>
      <w:r w:rsidRPr="003E0B17">
        <w:rPr>
          <w:rFonts w:ascii="Verdana" w:eastAsia="Calibri" w:hAnsi="Verdana" w:cs="Arial"/>
          <w:lang w:val="es-ES"/>
        </w:rPr>
        <w:t xml:space="preserve">. </w:t>
      </w:r>
      <w:bookmarkStart w:id="1" w:name="_Hlk39174727"/>
    </w:p>
    <w:p w14:paraId="537449C2" w14:textId="77777777" w:rsidR="00B75843" w:rsidRPr="003E0B17" w:rsidRDefault="00B75843" w:rsidP="00B75843">
      <w:pPr>
        <w:spacing w:after="120" w:line="276" w:lineRule="auto"/>
        <w:ind w:firstLine="708"/>
        <w:jc w:val="both"/>
        <w:rPr>
          <w:rFonts w:ascii="Verdana" w:eastAsia="Calibri" w:hAnsi="Verdana" w:cs="Arial"/>
          <w:lang w:val="es-ES"/>
        </w:rPr>
      </w:pPr>
      <w:r w:rsidRPr="003E0B17">
        <w:rPr>
          <w:rFonts w:ascii="Verdana" w:eastAsia="Calibri" w:hAnsi="Verdana" w:cs="Arial"/>
          <w:lang w:val="es-ES"/>
        </w:rPr>
        <w:t>Se trata de un procedimiento que agiliza la contratación estatal en los eventos en que no se justifica adelantar una licitación pública, pero tampoco limita la participación de los proponentes como en la contratación directa, de forma tal que es un mecanismo de selección objetiva que asegura una mayor concurrencia de participantes sin sacrificar los principios de eficacia y eficiencia en el proceso de selección</w:t>
      </w:r>
      <w:bookmarkEnd w:id="1"/>
      <w:r w:rsidRPr="003E0B17">
        <w:rPr>
          <w:rFonts w:ascii="Verdana" w:eastAsia="Calibri" w:hAnsi="Verdana" w:cs="Arial"/>
          <w:lang w:val="es-ES"/>
        </w:rPr>
        <w:t>.</w:t>
      </w:r>
    </w:p>
    <w:p w14:paraId="2F3E7058" w14:textId="77777777" w:rsidR="00B75843" w:rsidRPr="003E0B17" w:rsidRDefault="00B75843" w:rsidP="00B75843">
      <w:pPr>
        <w:spacing w:after="120" w:line="276" w:lineRule="auto"/>
        <w:ind w:firstLine="709"/>
        <w:jc w:val="both"/>
        <w:rPr>
          <w:rFonts w:ascii="Verdana" w:eastAsia="Calibri" w:hAnsi="Verdana" w:cs="Arial"/>
          <w:lang w:val="es-ES"/>
        </w:rPr>
      </w:pPr>
      <w:r w:rsidRPr="003E0B17">
        <w:rPr>
          <w:rFonts w:ascii="Verdana" w:eastAsia="Calibri" w:hAnsi="Verdana" w:cs="Arial"/>
          <w:lang w:val="es-ES"/>
        </w:rPr>
        <w:lastRenderedPageBreak/>
        <w:t>De esta manera, la selección abreviada se caracteriza por tener etapas un poco sencillas y términos relativamente más cortos que los de la licitación pública, lo cual se justifica por las circunstancias, la naturaleza y los objetos que se contratan a través de esta modalidad, los cuales requieren de procedimientos un poco más agiles, sencillos y eficientes. A continuación, el Decreto 1082 de 2015 desarrolla las causales, regulando el pliego de condiciones, el procedimiento, las etapas, entre otros. Según el Consejo de Estado, el propósito del legislador es “[…] proveer de mayor agilidad y eficiencia la contratación de algunos bienes o servicios, en los que es deseable la concurrencia de oferentes, pero no en los términos y condiciones de una licitación pública, sino de manera abreviada o, en términos de la ley, simplificada”</w:t>
      </w:r>
      <w:r w:rsidRPr="003E0B17">
        <w:rPr>
          <w:rStyle w:val="FootnoteReference"/>
          <w:rFonts w:ascii="Verdana" w:eastAsia="Calibri" w:hAnsi="Verdana" w:cs="Arial"/>
          <w:lang w:val="es-ES"/>
        </w:rPr>
        <w:footnoteReference w:id="16"/>
      </w:r>
      <w:r w:rsidRPr="003E0B17">
        <w:rPr>
          <w:rFonts w:ascii="Verdana" w:eastAsia="Calibri" w:hAnsi="Verdana" w:cs="Arial"/>
          <w:lang w:val="es-ES"/>
        </w:rPr>
        <w:t xml:space="preserve">. </w:t>
      </w:r>
    </w:p>
    <w:p w14:paraId="0968A3C8" w14:textId="77777777" w:rsidR="00B75843" w:rsidRPr="00732800" w:rsidRDefault="00B75843" w:rsidP="00B75843">
      <w:pPr>
        <w:spacing w:after="120" w:line="276" w:lineRule="auto"/>
        <w:ind w:firstLine="709"/>
        <w:jc w:val="both"/>
        <w:rPr>
          <w:rFonts w:ascii="Verdana" w:eastAsia="Calibri" w:hAnsi="Verdana" w:cs="Arial"/>
          <w:lang w:val="es-ES"/>
        </w:rPr>
      </w:pPr>
      <w:r w:rsidRPr="003E0B17">
        <w:rPr>
          <w:rFonts w:ascii="Verdana" w:eastAsia="Calibri" w:hAnsi="Verdana" w:cs="Arial"/>
          <w:color w:val="000000" w:themeColor="text1"/>
          <w:lang w:val="es-ES"/>
        </w:rPr>
        <w:t xml:space="preserve">Conforme al literal b) del artículo 2.2 de la Ley 1150 de 2007, una de las </w:t>
      </w:r>
      <w:r w:rsidRPr="00732800">
        <w:rPr>
          <w:rFonts w:ascii="Verdana" w:eastAsia="Calibri" w:hAnsi="Verdana" w:cs="Arial"/>
          <w:color w:val="000000" w:themeColor="text1"/>
          <w:lang w:val="es-ES"/>
        </w:rPr>
        <w:t>causales de selección abreviada es la de menor cuantía. Esta se refiere a los procesos contractuales cuyo su valor es inferior a los topes que la norma señala respecto de su presupuesto anual, y se desarrolla en el Decreto único Reglamentario del Sector Planeación donde se establece su procedimiento.</w:t>
      </w:r>
    </w:p>
    <w:p w14:paraId="0E5FF1E5" w14:textId="77777777" w:rsidR="00B75843" w:rsidRPr="00732800" w:rsidRDefault="00B75843" w:rsidP="00B75843">
      <w:pPr>
        <w:spacing w:after="0" w:line="276" w:lineRule="auto"/>
        <w:ind w:firstLine="709"/>
        <w:jc w:val="both"/>
        <w:rPr>
          <w:rFonts w:ascii="Verdana" w:eastAsia="Calibri" w:hAnsi="Verdana" w:cs="Arial"/>
          <w:lang w:val="es-ES"/>
        </w:rPr>
      </w:pPr>
      <w:r w:rsidRPr="00732800">
        <w:rPr>
          <w:rFonts w:ascii="Verdana" w:hAnsi="Verdana" w:cs="Arial"/>
          <w:color w:val="000000" w:themeColor="text1"/>
          <w:lang w:val="es-ES"/>
        </w:rPr>
        <w:t xml:space="preserve">En consecuencia, como el artículo 33 de la Ley 1508 de 2012 dispone que “[…] las interventorías de los contratos, se podrán contratar mediante el procedimiento de selección abreviada de menor cuantía […] según su valor”, esto significa que sólo es procedente esta modalidad dentro de los topes indicados anteriormente. Es decir, si el presupuesto oficial los supera, aplica el concurso de méritos, pues así lo dispone el artículo 2.3 de la Ley 1150 de 2007 en concordancia con el artículo 32.2 de la Ley 80 de 1993. </w:t>
      </w:r>
    </w:p>
    <w:p w14:paraId="11CFA78D" w14:textId="77777777" w:rsidR="00B75843" w:rsidRPr="00732800" w:rsidRDefault="00B75843" w:rsidP="00B75843">
      <w:pPr>
        <w:spacing w:after="0" w:line="276" w:lineRule="auto"/>
        <w:jc w:val="both"/>
        <w:rPr>
          <w:rFonts w:ascii="Verdana" w:eastAsia="Calibri" w:hAnsi="Verdana" w:cs="Arial"/>
          <w:bCs/>
          <w:color w:val="000000" w:themeColor="text1"/>
          <w:lang w:val="es-ES"/>
        </w:rPr>
      </w:pPr>
    </w:p>
    <w:p w14:paraId="665B7907" w14:textId="77777777" w:rsidR="00B75843" w:rsidRPr="00732800" w:rsidRDefault="00B75843" w:rsidP="00B75843">
      <w:pPr>
        <w:spacing w:after="120" w:line="276" w:lineRule="auto"/>
        <w:jc w:val="both"/>
        <w:rPr>
          <w:rFonts w:ascii="Verdana" w:eastAsia="Calibri" w:hAnsi="Verdana" w:cs="Arial"/>
          <w:bCs/>
          <w:color w:val="000000" w:themeColor="text1"/>
          <w:lang w:val="es-ES"/>
        </w:rPr>
      </w:pPr>
      <w:r w:rsidRPr="00732800">
        <w:rPr>
          <w:rFonts w:ascii="Verdana" w:eastAsia="Calibri" w:hAnsi="Verdana" w:cs="Arial"/>
          <w:bCs/>
          <w:color w:val="000000" w:themeColor="text1"/>
          <w:lang w:val="es-ES"/>
        </w:rPr>
        <w:t xml:space="preserve">vi. Del análisis expuesto, es claro que es obligación de la </w:t>
      </w:r>
      <w:r>
        <w:rPr>
          <w:rFonts w:ascii="Verdana" w:eastAsia="Calibri" w:hAnsi="Verdana" w:cs="Arial"/>
          <w:bCs/>
          <w:color w:val="000000" w:themeColor="text1"/>
          <w:lang w:val="es-ES"/>
        </w:rPr>
        <w:t>e</w:t>
      </w:r>
      <w:r w:rsidRPr="00732800">
        <w:rPr>
          <w:rFonts w:ascii="Verdana" w:eastAsia="Calibri" w:hAnsi="Verdana" w:cs="Arial"/>
          <w:bCs/>
          <w:color w:val="000000" w:themeColor="text1"/>
          <w:lang w:val="es-ES"/>
        </w:rPr>
        <w:t xml:space="preserve">ntidad contratante cumplir con los deberes que le impone en Estatuto General de Contratación de la </w:t>
      </w:r>
      <w:r>
        <w:rPr>
          <w:rFonts w:ascii="Verdana" w:eastAsia="Calibri" w:hAnsi="Verdana" w:cs="Arial"/>
          <w:bCs/>
          <w:color w:val="000000" w:themeColor="text1"/>
          <w:lang w:val="es-ES"/>
        </w:rPr>
        <w:t>A</w:t>
      </w:r>
      <w:r w:rsidRPr="00732800">
        <w:rPr>
          <w:rFonts w:ascii="Verdana" w:eastAsia="Calibri" w:hAnsi="Verdana" w:cs="Arial"/>
          <w:bCs/>
          <w:color w:val="000000" w:themeColor="text1"/>
          <w:lang w:val="es-ES"/>
        </w:rPr>
        <w:t xml:space="preserve">dministración Pública de controlar y vigilar la ejecución del objeto contratado para la garantía de los fines del interés general. </w:t>
      </w:r>
      <w:r w:rsidRPr="00732800">
        <w:rPr>
          <w:rFonts w:ascii="Verdana" w:hAnsi="Verdana" w:cs="Arial"/>
          <w:color w:val="000000" w:themeColor="text1"/>
          <w:lang w:val="es-ES"/>
        </w:rPr>
        <w:t xml:space="preserve">Adicionalmente, se resalta que la normativa también establece límites </w:t>
      </w:r>
      <w:r>
        <w:rPr>
          <w:rFonts w:ascii="Verdana" w:hAnsi="Verdana" w:cs="Arial"/>
          <w:color w:val="000000" w:themeColor="text1"/>
          <w:lang w:val="es-ES"/>
        </w:rPr>
        <w:t>sobre</w:t>
      </w:r>
      <w:r w:rsidRPr="00732800">
        <w:rPr>
          <w:rFonts w:ascii="Verdana" w:hAnsi="Verdana" w:cs="Arial"/>
          <w:color w:val="000000" w:themeColor="text1"/>
          <w:lang w:val="es-ES"/>
        </w:rPr>
        <w:t xml:space="preserve"> la responsabilidad del representante legal ante la delegación de sus funciones en materia contractual, dentro de las cuales se incluye la obligación de vigilar la correcta ejecución de los contratos que suscribe</w:t>
      </w:r>
      <w:r>
        <w:rPr>
          <w:rFonts w:ascii="Verdana" w:hAnsi="Verdana" w:cs="Arial"/>
          <w:color w:val="000000" w:themeColor="text1"/>
          <w:lang w:val="es-ES"/>
        </w:rPr>
        <w:t xml:space="preserve"> la Entidad Estatal</w:t>
      </w:r>
      <w:r w:rsidRPr="00732800">
        <w:rPr>
          <w:rFonts w:ascii="Verdana" w:hAnsi="Verdana" w:cs="Arial"/>
          <w:color w:val="000000" w:themeColor="text1"/>
          <w:lang w:val="es-ES"/>
        </w:rPr>
        <w:t xml:space="preserve">.  </w:t>
      </w:r>
    </w:p>
    <w:p w14:paraId="5E3EF335" w14:textId="77777777" w:rsidR="00B75843" w:rsidRDefault="00B75843" w:rsidP="00B75843">
      <w:pPr>
        <w:spacing w:after="120" w:line="276" w:lineRule="auto"/>
        <w:ind w:firstLine="708"/>
        <w:jc w:val="both"/>
        <w:rPr>
          <w:rFonts w:ascii="Verdana" w:eastAsia="Calibri" w:hAnsi="Verdana" w:cs="Arial"/>
          <w:bCs/>
          <w:color w:val="000000" w:themeColor="text1"/>
          <w:lang w:val="es-ES"/>
        </w:rPr>
      </w:pPr>
      <w:r w:rsidRPr="00732800">
        <w:rPr>
          <w:rFonts w:ascii="Verdana" w:eastAsia="Calibri" w:hAnsi="Verdana" w:cs="Arial"/>
          <w:bCs/>
          <w:color w:val="000000" w:themeColor="text1"/>
          <w:lang w:val="es-ES"/>
        </w:rPr>
        <w:lastRenderedPageBreak/>
        <w:t xml:space="preserve">La interventoría a la cual se refiere el artículo 33 de la Ley 1508 de 2012 no desvirtúa estos presupuestos, por lo que corresponde a la entidad contratante </w:t>
      </w:r>
      <w:r>
        <w:rPr>
          <w:rFonts w:ascii="Verdana" w:eastAsia="Calibri" w:hAnsi="Verdana" w:cs="Arial"/>
          <w:bCs/>
          <w:color w:val="000000" w:themeColor="text1"/>
          <w:lang w:val="es-ES"/>
        </w:rPr>
        <w:t xml:space="preserve">contratarla </w:t>
      </w:r>
      <w:r w:rsidRPr="00732800">
        <w:rPr>
          <w:rFonts w:ascii="Verdana" w:eastAsia="Calibri" w:hAnsi="Verdana" w:cs="Arial"/>
          <w:bCs/>
          <w:color w:val="000000" w:themeColor="text1"/>
          <w:lang w:val="es-ES"/>
        </w:rPr>
        <w:t xml:space="preserve">y no </w:t>
      </w:r>
      <w:r>
        <w:rPr>
          <w:rFonts w:ascii="Verdana" w:eastAsia="Calibri" w:hAnsi="Verdana" w:cs="Arial"/>
          <w:bCs/>
          <w:color w:val="000000" w:themeColor="text1"/>
          <w:lang w:val="es-ES"/>
        </w:rPr>
        <w:t xml:space="preserve">al </w:t>
      </w:r>
      <w:r w:rsidRPr="00732800">
        <w:rPr>
          <w:rFonts w:ascii="Verdana" w:eastAsia="Calibri" w:hAnsi="Verdana" w:cs="Arial"/>
          <w:bCs/>
          <w:color w:val="000000" w:themeColor="text1"/>
          <w:lang w:val="es-ES"/>
        </w:rPr>
        <w:t xml:space="preserve">patrimonio autónomo que se constituya para la gestión de los recursos. Esto se debe, en primer lugar, a que </w:t>
      </w:r>
      <w:r w:rsidRPr="00732800">
        <w:rPr>
          <w:rFonts w:ascii="Verdana" w:eastAsia="Calibri" w:hAnsi="Verdana" w:cs="Arial"/>
          <w:color w:val="000000" w:themeColor="text1"/>
          <w:lang w:val="es-ES"/>
        </w:rPr>
        <w:t>la interventoría del contrato de APP, cuya regulación aplicable incluye lo dispuesto tanto en el art</w:t>
      </w:r>
      <w:r>
        <w:rPr>
          <w:rFonts w:ascii="Verdana" w:eastAsia="Calibri" w:hAnsi="Verdana" w:cs="Arial"/>
          <w:color w:val="000000" w:themeColor="text1"/>
          <w:lang w:val="es-ES"/>
        </w:rPr>
        <w:t>ículo</w:t>
      </w:r>
      <w:r w:rsidRPr="00732800">
        <w:rPr>
          <w:rFonts w:ascii="Verdana" w:eastAsia="Calibri" w:hAnsi="Verdana" w:cs="Arial"/>
          <w:color w:val="000000" w:themeColor="text1"/>
          <w:lang w:val="es-ES"/>
        </w:rPr>
        <w:t xml:space="preserve"> 33 de la Ley 1508 de 2012 como el art</w:t>
      </w:r>
      <w:r>
        <w:rPr>
          <w:rFonts w:ascii="Verdana" w:eastAsia="Calibri" w:hAnsi="Verdana" w:cs="Arial"/>
          <w:color w:val="000000" w:themeColor="text1"/>
          <w:lang w:val="es-ES"/>
        </w:rPr>
        <w:t>ículo</w:t>
      </w:r>
      <w:r w:rsidRPr="00732800">
        <w:rPr>
          <w:rFonts w:ascii="Verdana" w:eastAsia="Calibri" w:hAnsi="Verdana" w:cs="Arial"/>
          <w:color w:val="000000" w:themeColor="text1"/>
          <w:lang w:val="es-ES"/>
        </w:rPr>
        <w:t xml:space="preserve"> 83 de la Ley 1474 de 2011, es un mecanismo de control eminentemente estatal. Existe para proteger la moralidad administrativa, prevenir la corrupción y verificar que el concesionario cumpla</w:t>
      </w:r>
      <w:r>
        <w:rPr>
          <w:rFonts w:ascii="Verdana" w:eastAsia="Calibri" w:hAnsi="Verdana" w:cs="Arial"/>
          <w:color w:val="000000" w:themeColor="text1"/>
          <w:lang w:val="es-ES"/>
        </w:rPr>
        <w:t xml:space="preserve"> con lo pactado</w:t>
      </w:r>
      <w:r w:rsidRPr="00732800">
        <w:rPr>
          <w:rFonts w:ascii="Verdana" w:eastAsia="Calibri" w:hAnsi="Verdana" w:cs="Arial"/>
          <w:color w:val="000000" w:themeColor="text1"/>
          <w:lang w:val="es-ES"/>
        </w:rPr>
        <w:t>. Así lo señala el referido artículo</w:t>
      </w:r>
      <w:r w:rsidRPr="00732800">
        <w:rPr>
          <w:rFonts w:ascii="Verdana" w:eastAsia="Calibri" w:hAnsi="Verdana" w:cs="Arial"/>
          <w:bCs/>
          <w:color w:val="000000" w:themeColor="text1"/>
          <w:lang w:val="es-ES"/>
        </w:rPr>
        <w:t xml:space="preserve"> 83 de la Ley 1474 de 2011, el cual obliga a las entidades públicas a vigilar permanentemente la correcta ejecución del objeto contratado a través de un supervisor o un interventor, según corresponda, con el fin de proteger la moralidad administrativa y tutelar la transparencia de la actividad contractual. En consecuencia, la figura de la interventoría responde a la entidad estatal, no a los inversionistas o contratistas. </w:t>
      </w:r>
    </w:p>
    <w:p w14:paraId="30052726" w14:textId="77777777" w:rsidR="00B75843" w:rsidRDefault="00B75843" w:rsidP="00B75843">
      <w:pPr>
        <w:spacing w:after="120" w:line="276" w:lineRule="auto"/>
        <w:ind w:firstLine="708"/>
        <w:jc w:val="both"/>
        <w:rPr>
          <w:rFonts w:ascii="Verdana" w:eastAsia="Calibri" w:hAnsi="Verdana" w:cs="Arial"/>
          <w:bCs/>
          <w:color w:val="000000" w:themeColor="text1"/>
          <w:lang w:val="es-ES"/>
        </w:rPr>
      </w:pPr>
      <w:r w:rsidRPr="00732800">
        <w:rPr>
          <w:rFonts w:ascii="Verdana" w:eastAsia="Calibri" w:hAnsi="Verdana" w:cs="Arial"/>
          <w:bCs/>
          <w:color w:val="000000" w:themeColor="text1"/>
          <w:lang w:val="es-ES"/>
        </w:rPr>
        <w:t xml:space="preserve">En segundo lugar, es claro que la figura de a interventoría no se convierte en optativa para la entidad ni desaparece su obligación de vigilancia porque el contrato estatal no involucre el desembolso de recursos públicos. Tal excepción o distinción no fue incluida en la Ley 1508 de 2012 al regular la figura; por el contrario, la disposición del artículo 33 </w:t>
      </w:r>
      <w:r>
        <w:rPr>
          <w:rFonts w:ascii="Verdana" w:eastAsia="Calibri" w:hAnsi="Verdana" w:cs="Arial"/>
          <w:bCs/>
          <w:color w:val="000000" w:themeColor="text1"/>
          <w:lang w:val="es-ES"/>
        </w:rPr>
        <w:t xml:space="preserve">hace parte </w:t>
      </w:r>
      <w:r w:rsidRPr="00732800">
        <w:rPr>
          <w:rFonts w:ascii="Verdana" w:eastAsia="Calibri" w:hAnsi="Verdana" w:cs="Arial"/>
          <w:bCs/>
          <w:color w:val="000000" w:themeColor="text1"/>
          <w:lang w:val="es-ES"/>
        </w:rPr>
        <w:t xml:space="preserve">del </w:t>
      </w:r>
      <w:r w:rsidRPr="00F11FD6">
        <w:rPr>
          <w:rFonts w:ascii="Verdana" w:eastAsia="Calibri" w:hAnsi="Verdana" w:cs="Arial"/>
          <w:bCs/>
          <w:color w:val="000000" w:themeColor="text1"/>
          <w:lang w:val="es-ES"/>
        </w:rPr>
        <w:t>Título IV que se refiere a las “disposiciones comunes de los proyectos de asociación público privada”, lo cual incluye los proyectos de APP de iniciativa privada que no involucran el desembolso de recursos públicos. Esto se debe a que en el artículo 33 el contrato sigue siendo estatal y la infraestructura es un bien público que al final revierte al Estado, de modo que permanece la obligación que en materia de seguimiento y control impone el ordenamiento jurídico a la entidad contratante.</w:t>
      </w:r>
      <w:r w:rsidRPr="00732800">
        <w:rPr>
          <w:rFonts w:ascii="Verdana" w:eastAsia="Calibri" w:hAnsi="Verdana" w:cs="Arial"/>
          <w:bCs/>
          <w:color w:val="000000" w:themeColor="text1"/>
          <w:lang w:val="es-ES"/>
        </w:rPr>
        <w:t xml:space="preserve"> </w:t>
      </w:r>
    </w:p>
    <w:p w14:paraId="2068700B" w14:textId="77777777" w:rsidR="005F2D9E" w:rsidRPr="00732800" w:rsidRDefault="005F2D9E" w:rsidP="005F2D9E">
      <w:pPr>
        <w:spacing w:after="120" w:line="276" w:lineRule="auto"/>
        <w:ind w:firstLine="708"/>
        <w:jc w:val="both"/>
        <w:rPr>
          <w:rFonts w:ascii="Verdana" w:eastAsia="Calibri" w:hAnsi="Verdana" w:cs="Arial"/>
          <w:bCs/>
          <w:color w:val="000000" w:themeColor="text1"/>
          <w:lang w:val="es-ES"/>
        </w:rPr>
      </w:pPr>
      <w:r w:rsidRPr="00861F6D">
        <w:rPr>
          <w:rFonts w:ascii="Verdana" w:eastAsia="Calibri" w:hAnsi="Verdana" w:cs="Arial"/>
          <w:bCs/>
          <w:color w:val="000000" w:themeColor="text1"/>
        </w:rPr>
        <w:t xml:space="preserve">En consonancia con lo expuesto, el artículo 33 de la Ley 1508 de 2012 previó de manera expresa modalidades a las que puede acudir </w:t>
      </w:r>
      <w:r w:rsidRPr="00861F6D">
        <w:rPr>
          <w:rFonts w:ascii="Verdana" w:eastAsia="Calibri" w:hAnsi="Verdana" w:cs="Arial"/>
          <w:bCs/>
          <w:i/>
          <w:iCs/>
          <w:color w:val="000000" w:themeColor="text1"/>
        </w:rPr>
        <w:t>la entidad estatal</w:t>
      </w:r>
      <w:r w:rsidRPr="00861F6D">
        <w:rPr>
          <w:rFonts w:ascii="Verdana" w:eastAsia="Calibri" w:hAnsi="Verdana" w:cs="Arial"/>
          <w:bCs/>
          <w:color w:val="000000" w:themeColor="text1"/>
        </w:rPr>
        <w:t xml:space="preserve"> para contratar la interventoría, a saber, la selección abreviada de menor cuantía o la mínima cuantía, según el valor del respectivo contrato. Se trata de las modalidades de selección que el ordenamiento dispone, por regla general, para la adquisición de determinados bienes y servicios en atención a su cuantía. A ello se suma lo señalado previamente sobre la procedencia del concurso de méritos cuando el presupuesto oficial supere los topes de la menor cuantía, conforme al numeral 3 del artículo 2 de la Ley 1150 de 2007, en concordancia con el numeral 2 del artículo 32 de la Ley 80 de 1993.</w:t>
      </w:r>
    </w:p>
    <w:p w14:paraId="4B5DB4FE" w14:textId="77777777" w:rsidR="00B75843" w:rsidRPr="00732800" w:rsidRDefault="00B75843" w:rsidP="00B75843">
      <w:pPr>
        <w:tabs>
          <w:tab w:val="left" w:pos="426"/>
        </w:tabs>
        <w:spacing w:before="120" w:line="276" w:lineRule="auto"/>
        <w:ind w:firstLine="709"/>
        <w:jc w:val="both"/>
        <w:rPr>
          <w:rFonts w:ascii="Verdana" w:eastAsia="Calibri" w:hAnsi="Verdana" w:cs="Arial"/>
          <w:b/>
          <w:bCs/>
          <w:color w:val="000000" w:themeColor="text1"/>
          <w:lang w:val="es-ES"/>
        </w:rPr>
      </w:pPr>
      <w:r w:rsidRPr="00F11FD6">
        <w:rPr>
          <w:rFonts w:ascii="Verdana" w:eastAsia="Calibri" w:hAnsi="Verdana" w:cs="Arial"/>
          <w:bCs/>
          <w:color w:val="000000" w:themeColor="text1"/>
          <w:lang w:val="es-ES"/>
        </w:rPr>
        <w:lastRenderedPageBreak/>
        <w:t>Por otra parte, se resalta que la doctrina de esta Agencia es consistente en que la administración de recursos privados por la fiduciaria no traslada a esta la competencia para celebrar los contratos del proyecto.</w:t>
      </w:r>
      <w:r w:rsidRPr="00732800">
        <w:rPr>
          <w:rFonts w:ascii="Verdana" w:eastAsia="Calibri" w:hAnsi="Verdana" w:cs="Arial"/>
          <w:bCs/>
          <w:color w:val="000000" w:themeColor="text1"/>
          <w:lang w:val="es-ES"/>
        </w:rPr>
        <w:t xml:space="preserve"> En los Conceptos C</w:t>
      </w:r>
      <w:r w:rsidRPr="00732800">
        <w:rPr>
          <w:rFonts w:ascii="Verdana" w:eastAsia="Calibri" w:hAnsi="Verdana" w:cs="Arial"/>
          <w:bCs/>
          <w:color w:val="000000" w:themeColor="text1"/>
          <w:lang w:val="es-ES"/>
        </w:rPr>
        <w:noBreakHyphen/>
        <w:t>386 de 2021 y C</w:t>
      </w:r>
      <w:r w:rsidRPr="00732800">
        <w:rPr>
          <w:rFonts w:ascii="Verdana" w:eastAsia="Calibri" w:hAnsi="Verdana" w:cs="Arial"/>
          <w:bCs/>
          <w:color w:val="000000" w:themeColor="text1"/>
          <w:lang w:val="es-ES"/>
        </w:rPr>
        <w:noBreakHyphen/>
        <w:t xml:space="preserve">150 de 2025, esta Agencia </w:t>
      </w:r>
      <w:r>
        <w:rPr>
          <w:rFonts w:ascii="Verdana" w:eastAsia="Calibri" w:hAnsi="Verdana" w:cs="Arial"/>
          <w:bCs/>
          <w:color w:val="000000" w:themeColor="text1"/>
          <w:lang w:val="es-ES"/>
        </w:rPr>
        <w:t>analizó</w:t>
      </w:r>
      <w:r w:rsidRPr="00732800">
        <w:rPr>
          <w:rFonts w:ascii="Verdana" w:eastAsia="Calibri" w:hAnsi="Verdana" w:cs="Arial"/>
          <w:bCs/>
          <w:color w:val="000000" w:themeColor="text1"/>
          <w:lang w:val="es-ES"/>
        </w:rPr>
        <w:t xml:space="preserve"> </w:t>
      </w:r>
      <w:r w:rsidRPr="00732800">
        <w:rPr>
          <w:rFonts w:ascii="Verdana" w:eastAsia="Calibri" w:hAnsi="Verdana" w:cs="Arial"/>
          <w:lang w:val="es-ES"/>
        </w:rPr>
        <w:t>quién debe celebrar los contratos requeridos para la revisión o evaluación del proyecto en la etapa de factibilidad</w:t>
      </w:r>
      <w:r>
        <w:rPr>
          <w:rFonts w:ascii="Verdana" w:eastAsia="Calibri" w:hAnsi="Verdana" w:cs="Arial"/>
          <w:lang w:val="es-ES"/>
        </w:rPr>
        <w:t xml:space="preserve">, a saber, </w:t>
      </w:r>
      <w:r w:rsidRPr="00732800">
        <w:rPr>
          <w:rFonts w:ascii="Verdana" w:eastAsia="Calibri" w:hAnsi="Verdana" w:cs="Arial"/>
          <w:lang w:val="es-ES"/>
        </w:rPr>
        <w:t>la entidad estatal –</w:t>
      </w:r>
      <w:r w:rsidRPr="00732800">
        <w:rPr>
          <w:rFonts w:ascii="Verdana" w:eastAsia="Calibri" w:hAnsi="Verdana" w:cs="Arial"/>
          <w:i/>
          <w:iCs/>
          <w:lang w:val="es-ES"/>
        </w:rPr>
        <w:t>beneficiaria</w:t>
      </w:r>
      <w:r w:rsidRPr="00732800">
        <w:rPr>
          <w:rFonts w:ascii="Verdana" w:eastAsia="Calibri" w:hAnsi="Verdana" w:cs="Arial"/>
          <w:lang w:val="es-ES"/>
        </w:rPr>
        <w:t xml:space="preserve"> del patrimonio autónomo– o la fiduciaria –</w:t>
      </w:r>
      <w:r w:rsidRPr="00732800">
        <w:rPr>
          <w:rFonts w:ascii="Verdana" w:eastAsia="Calibri" w:hAnsi="Verdana" w:cs="Arial"/>
          <w:i/>
          <w:iCs/>
          <w:lang w:val="es-ES"/>
        </w:rPr>
        <w:t>administradora</w:t>
      </w:r>
      <w:r w:rsidRPr="00732800">
        <w:rPr>
          <w:rFonts w:ascii="Verdana" w:eastAsia="Calibri" w:hAnsi="Verdana" w:cs="Arial"/>
          <w:lang w:val="es-ES"/>
        </w:rPr>
        <w:t xml:space="preserve"> del patrimonio autónomo–</w:t>
      </w:r>
      <w:r>
        <w:rPr>
          <w:rFonts w:ascii="Verdana" w:eastAsia="Calibri" w:hAnsi="Verdana" w:cs="Arial"/>
          <w:lang w:val="es-ES"/>
        </w:rPr>
        <w:t>,</w:t>
      </w:r>
      <w:r w:rsidRPr="00732800">
        <w:rPr>
          <w:rFonts w:ascii="Verdana" w:eastAsia="Calibri" w:hAnsi="Verdana" w:cs="Arial"/>
          <w:lang w:val="es-ES"/>
        </w:rPr>
        <w:t xml:space="preserve"> según </w:t>
      </w:r>
      <w:r w:rsidRPr="00732800">
        <w:rPr>
          <w:rFonts w:ascii="Verdana" w:eastAsia="Calibri" w:hAnsi="Verdana" w:cs="Arial"/>
          <w:bCs/>
          <w:color w:val="000000" w:themeColor="text1"/>
          <w:lang w:val="es-ES"/>
        </w:rPr>
        <w:t xml:space="preserve">lo dispuesto en el </w:t>
      </w:r>
      <w:r w:rsidRPr="00732800">
        <w:rPr>
          <w:rFonts w:ascii="Verdana" w:eastAsia="Calibri" w:hAnsi="Verdana" w:cs="Arial"/>
          <w:lang w:val="es-ES"/>
        </w:rPr>
        <w:t xml:space="preserve">artículo 116 de la Ley 1955 </w:t>
      </w:r>
      <w:r w:rsidRPr="00F11FD6">
        <w:rPr>
          <w:rFonts w:ascii="Verdana" w:eastAsia="Calibri" w:hAnsi="Verdana" w:cs="Arial"/>
          <w:lang w:val="es-ES"/>
        </w:rPr>
        <w:t xml:space="preserve">de 2019. Al respecto, concluyó que </w:t>
      </w:r>
      <w:r w:rsidRPr="00F11FD6">
        <w:rPr>
          <w:rFonts w:ascii="Verdana" w:eastAsia="Calibri" w:hAnsi="Verdana" w:cs="Arial"/>
          <w:color w:val="000000" w:themeColor="text1"/>
          <w:lang w:val="es-ES"/>
        </w:rPr>
        <w:t>la expresión "autorizar la celebración" empleada en la norma no significa que el legislador haya sustraído a las entidades estatales la competencia para celebrar los contratos requeridos, para conferírsela a las fiduciarias que administran los patrimonios autónomos, de modo que aunque la fiduciaria administra y paga, la entidad estatal es quien adelanta la contratación. Sobre la relación de esta disposición con el artículo 33 de la Ley 1506 de 2012, esta Agencia resaltó lo siguiente:</w:t>
      </w:r>
      <w:r w:rsidRPr="00732800">
        <w:rPr>
          <w:rFonts w:ascii="Verdana" w:eastAsia="Calibri" w:hAnsi="Verdana" w:cs="Arial"/>
          <w:b/>
          <w:bCs/>
          <w:color w:val="000000" w:themeColor="text1"/>
          <w:lang w:val="es-ES"/>
        </w:rPr>
        <w:t xml:space="preserve"> </w:t>
      </w:r>
    </w:p>
    <w:p w14:paraId="344C22FB" w14:textId="77777777" w:rsidR="00B75843" w:rsidRPr="00F11FD6" w:rsidRDefault="00B75843" w:rsidP="00B75843">
      <w:pPr>
        <w:tabs>
          <w:tab w:val="left" w:pos="426"/>
        </w:tabs>
        <w:spacing w:before="120" w:line="240" w:lineRule="auto"/>
        <w:ind w:left="709" w:right="709"/>
        <w:jc w:val="both"/>
        <w:rPr>
          <w:rFonts w:ascii="Verdana" w:eastAsia="Calibri" w:hAnsi="Verdana" w:cs="Arial"/>
          <w:sz w:val="20"/>
          <w:szCs w:val="20"/>
          <w:lang w:val="es-ES"/>
        </w:rPr>
      </w:pPr>
      <w:r w:rsidRPr="00F11FD6">
        <w:rPr>
          <w:rFonts w:ascii="Verdana" w:eastAsia="Calibri" w:hAnsi="Verdana" w:cs="Arial"/>
          <w:sz w:val="20"/>
          <w:szCs w:val="20"/>
          <w:lang w:val="es-ES"/>
        </w:rPr>
        <w:t>En primer lugar, la referida disposición debe interpretarse en armonía con el artículo 33 de la Ley 1508 de 2012, modificado por el artículo 7 de la Ley 1882 de 2018, el cual dice que: «La elaboración de estudios, la evaluación de proyectos de iniciativa privada y las interventorías de los contratos, se podrán contratar mediante el procedimiento de selección abreviada de menor cuantía o mínima cuantía según su valor». Como se observa claramente, son las entidades estatales las que pueden celebrar los contratos tendientes a la evaluación de dichos proyectos. Esta tesis se deduce de los procedimientos que la disposición enuncia. Si fueran las instituciones fiduciarias, como administradoras del patrimonio autónomo, las encargadas de contratar, no tendría sentido que el legislador las obligara a adelantar dicha contratación a través de los procedimientos de selección abreviada de menor cuantía o de mínima cuantía, pues tales modalidades contractuales se encuentran reguladas para las entidades estatales sometidas al Estatuto General de Contratación de la Administración Pública</w:t>
      </w:r>
      <w:r w:rsidRPr="00F11FD6">
        <w:rPr>
          <w:rStyle w:val="FootnoteReference"/>
          <w:rFonts w:ascii="Verdana" w:eastAsia="Calibri" w:hAnsi="Verdana" w:cs="Arial"/>
          <w:sz w:val="20"/>
          <w:szCs w:val="20"/>
          <w:lang w:val="es-ES"/>
        </w:rPr>
        <w:footnoteReference w:id="17"/>
      </w:r>
      <w:r w:rsidRPr="00F11FD6">
        <w:rPr>
          <w:rFonts w:ascii="Verdana" w:eastAsia="Calibri" w:hAnsi="Verdana" w:cs="Arial"/>
          <w:sz w:val="20"/>
          <w:szCs w:val="20"/>
          <w:lang w:val="es-ES"/>
        </w:rPr>
        <w:t>.</w:t>
      </w:r>
    </w:p>
    <w:p w14:paraId="67E6C5EE" w14:textId="77777777" w:rsidR="00B75843" w:rsidRPr="00F11FD6" w:rsidRDefault="00B75843" w:rsidP="00B75843">
      <w:pPr>
        <w:tabs>
          <w:tab w:val="left" w:pos="426"/>
        </w:tabs>
        <w:spacing w:before="120" w:line="240" w:lineRule="auto"/>
        <w:ind w:left="709" w:right="709"/>
        <w:jc w:val="both"/>
        <w:rPr>
          <w:rFonts w:ascii="Verdana" w:eastAsia="Calibri" w:hAnsi="Verdana" w:cs="Arial"/>
          <w:sz w:val="20"/>
          <w:szCs w:val="20"/>
          <w:lang w:val="es-ES"/>
        </w:rPr>
      </w:pPr>
      <w:r w:rsidRPr="00F11FD6">
        <w:rPr>
          <w:rFonts w:ascii="Verdana" w:eastAsia="Calibri" w:hAnsi="Verdana" w:cs="Arial"/>
          <w:sz w:val="20"/>
          <w:szCs w:val="20"/>
          <w:lang w:val="es-ES"/>
        </w:rPr>
        <w:t xml:space="preserve">En segundo lugar, la conclusión según la cual el artículo 116 de la Ley 1955 de 2019 de 2019 no les quita a las entidades estatales la competencia para celebrar los contratos requeridos para revisar o evaluar los proyectos de asociación público privada de iniciativa privada en etapa de factibilidad es acorde con un segundo elemento contextual, relacionado con el argumento histórico –o sea, con aquel que «[…] intenta buscar el </w:t>
      </w:r>
      <w:r w:rsidRPr="00F11FD6">
        <w:rPr>
          <w:rFonts w:ascii="Verdana" w:eastAsia="Calibri" w:hAnsi="Verdana" w:cs="Arial"/>
          <w:sz w:val="20"/>
          <w:szCs w:val="20"/>
          <w:lang w:val="es-ES"/>
        </w:rPr>
        <w:lastRenderedPageBreak/>
        <w:t>significado de la legislación a través de sus antecedentes y trabajos preparatorios»</w:t>
      </w:r>
      <w:r w:rsidRPr="00F11FD6">
        <w:rPr>
          <w:rStyle w:val="FootnoteReference"/>
          <w:rFonts w:ascii="Verdana" w:eastAsia="Calibri" w:hAnsi="Verdana" w:cs="Arial"/>
          <w:sz w:val="20"/>
          <w:szCs w:val="20"/>
          <w:lang w:val="es-ES"/>
        </w:rPr>
        <w:footnoteReference w:id="18"/>
      </w:r>
      <w:r w:rsidRPr="00F11FD6">
        <w:rPr>
          <w:rFonts w:ascii="Verdana" w:eastAsia="Calibri" w:hAnsi="Verdana" w:cs="Arial"/>
          <w:sz w:val="20"/>
          <w:szCs w:val="20"/>
          <w:lang w:val="es-ES"/>
        </w:rPr>
        <w:t>–. En efecto, al consultar los antecedentes legislativos no se advierte que la intención del legislador haya sido revestir a las entidades fiduciarias que administren los patrimonios autónomos constituidos por los originadores, de competencia para celebrar los contratos, sino todo lo contrario: conservar la ordenación del gasto y la competencia contractual en las entidades estatales. […] Como puede verse, la finalidad perseguida por los autores del nuevo artículo fue que la entidad estatal, encargada de la respectiva revisión o evaluación, fuera la que ejecutara y pagara el valor de los contratos, sirviéndose del mecanismo fiduciario.</w:t>
      </w:r>
    </w:p>
    <w:p w14:paraId="1B4437FF" w14:textId="77777777" w:rsidR="00B75843" w:rsidRDefault="00B75843" w:rsidP="00B75843">
      <w:pPr>
        <w:tabs>
          <w:tab w:val="left" w:pos="426"/>
        </w:tabs>
        <w:spacing w:before="120" w:line="276" w:lineRule="auto"/>
        <w:ind w:firstLine="709"/>
        <w:jc w:val="both"/>
        <w:rPr>
          <w:rFonts w:ascii="Verdana" w:eastAsia="Calibri" w:hAnsi="Verdana" w:cs="Arial"/>
          <w:bCs/>
          <w:color w:val="000000" w:themeColor="text1"/>
          <w:lang w:val="es-ES"/>
        </w:rPr>
      </w:pPr>
      <w:r w:rsidRPr="00732800">
        <w:rPr>
          <w:rFonts w:ascii="Verdana" w:eastAsia="Calibri" w:hAnsi="Verdana" w:cs="Arial"/>
          <w:bCs/>
          <w:color w:val="000000" w:themeColor="text1"/>
          <w:lang w:val="es-ES"/>
        </w:rPr>
        <w:t xml:space="preserve">En efecto, con respecto a su consulta, lo anterior supone que corresponde a la entidad estatal y no al patrimonio autónomo contratar la interventoría, en los términos señalados por el artículo 33 de la </w:t>
      </w:r>
      <w:r>
        <w:rPr>
          <w:rFonts w:ascii="Verdana" w:eastAsia="Calibri" w:hAnsi="Verdana" w:cs="Arial"/>
          <w:bCs/>
          <w:color w:val="000000" w:themeColor="text1"/>
          <w:lang w:val="es-ES"/>
        </w:rPr>
        <w:t>L</w:t>
      </w:r>
      <w:r w:rsidRPr="00732800">
        <w:rPr>
          <w:rFonts w:ascii="Verdana" w:eastAsia="Calibri" w:hAnsi="Verdana" w:cs="Arial"/>
          <w:bCs/>
          <w:color w:val="000000" w:themeColor="text1"/>
          <w:lang w:val="es-ES"/>
        </w:rPr>
        <w:t>ey 150</w:t>
      </w:r>
      <w:r>
        <w:rPr>
          <w:rFonts w:ascii="Verdana" w:eastAsia="Calibri" w:hAnsi="Verdana" w:cs="Arial"/>
          <w:bCs/>
          <w:color w:val="000000" w:themeColor="text1"/>
          <w:lang w:val="es-ES"/>
        </w:rPr>
        <w:t>o</w:t>
      </w:r>
      <w:r w:rsidRPr="00732800">
        <w:rPr>
          <w:rFonts w:ascii="Verdana" w:eastAsia="Calibri" w:hAnsi="Verdana" w:cs="Arial"/>
          <w:bCs/>
          <w:color w:val="000000" w:themeColor="text1"/>
          <w:lang w:val="es-ES"/>
        </w:rPr>
        <w:t xml:space="preserve"> de 2012. Ahora bien, es necesario distinguir entre la competencia para adelantar el proceso de contratación y la naturaleza de los recursos que se utilicen para</w:t>
      </w:r>
      <w:r>
        <w:rPr>
          <w:rFonts w:ascii="Verdana" w:eastAsia="Calibri" w:hAnsi="Verdana" w:cs="Arial"/>
          <w:bCs/>
          <w:color w:val="000000" w:themeColor="text1"/>
          <w:lang w:val="es-ES"/>
        </w:rPr>
        <w:t xml:space="preserve"> su financiación</w:t>
      </w:r>
      <w:r w:rsidRPr="00732800">
        <w:rPr>
          <w:rFonts w:ascii="Verdana" w:eastAsia="Calibri" w:hAnsi="Verdana" w:cs="Arial"/>
          <w:bCs/>
          <w:color w:val="000000" w:themeColor="text1"/>
          <w:lang w:val="es-ES"/>
        </w:rPr>
        <w:t>. En este sentido, es viable que sea la entidad estatal quien adelante el proceso de contratación, pero que el costo de la interventoría se financie y pague con recursos privados, pues este carácter no desnaturaliza el control estatal</w:t>
      </w:r>
      <w:r>
        <w:rPr>
          <w:rFonts w:ascii="Verdana" w:eastAsia="Calibri" w:hAnsi="Verdana" w:cs="Arial"/>
          <w:bCs/>
          <w:color w:val="000000" w:themeColor="text1"/>
          <w:lang w:val="es-ES"/>
        </w:rPr>
        <w:t xml:space="preserve">; ni </w:t>
      </w:r>
      <w:r w:rsidRPr="00732800">
        <w:rPr>
          <w:rFonts w:ascii="Verdana" w:eastAsia="Calibri" w:hAnsi="Verdana" w:cs="Arial"/>
          <w:bCs/>
          <w:color w:val="000000" w:themeColor="text1"/>
          <w:lang w:val="es-ES"/>
        </w:rPr>
        <w:t>tampoco la naturaleza privada de esos recursos cambia por su destinación al proyecto. Al respecto, la Corte Constitucional, en la Sentencia C</w:t>
      </w:r>
      <w:r w:rsidRPr="00732800">
        <w:rPr>
          <w:rFonts w:ascii="Verdana" w:eastAsia="Calibri" w:hAnsi="Verdana" w:cs="Arial"/>
          <w:bCs/>
          <w:color w:val="000000" w:themeColor="text1"/>
          <w:lang w:val="es-ES"/>
        </w:rPr>
        <w:noBreakHyphen/>
        <w:t>269 de 2021, precisó que el diseño normativo de las APP de iniciativa privada no pretende convertir recursos privados en públicos ni hacerlos parte del patrimonio estatal.</w:t>
      </w:r>
      <w:r>
        <w:rPr>
          <w:rFonts w:ascii="Verdana" w:eastAsia="Calibri" w:hAnsi="Verdana" w:cs="Arial"/>
          <w:bCs/>
          <w:color w:val="000000" w:themeColor="text1"/>
          <w:lang w:val="es-ES"/>
        </w:rPr>
        <w:t xml:space="preserve"> En cualquier caso corresponde a la entidad, en ejercicio de su autonomía, determinar la forma y mecanismos que efectuará para la financiación de la interventoría de acuerdo con el esquema específico del proyecto y en función del marco de estructuración del negocio.</w:t>
      </w:r>
    </w:p>
    <w:p w14:paraId="2324E0C5" w14:textId="77777777" w:rsidR="00B75843" w:rsidRPr="00F11FD6" w:rsidRDefault="00B75843" w:rsidP="00B75843">
      <w:pPr>
        <w:tabs>
          <w:tab w:val="left" w:pos="426"/>
        </w:tabs>
        <w:spacing w:before="120" w:line="276" w:lineRule="auto"/>
        <w:ind w:firstLine="709"/>
        <w:jc w:val="both"/>
        <w:rPr>
          <w:rFonts w:ascii="Verdana" w:eastAsia="Calibri" w:hAnsi="Verdana" w:cs="Arial"/>
          <w:bCs/>
          <w:color w:val="000000" w:themeColor="text1"/>
          <w:lang w:val="es-ES"/>
        </w:rPr>
      </w:pPr>
      <w:r w:rsidRPr="00F11FD6">
        <w:rPr>
          <w:rFonts w:ascii="Verdana" w:eastAsia="Calibri" w:hAnsi="Verdana" w:cs="Arial"/>
          <w:bCs/>
          <w:color w:val="000000" w:themeColor="text1"/>
          <w:lang w:val="es-ES"/>
        </w:rPr>
        <w:t xml:space="preserve">Esta misma lógica se mantiene para la etapa de operación y mantenimiento, pues en estas no cesa el deber estatal de vigilancia. Por eso, corresponde verificar aspectos como la disponibilidad, </w:t>
      </w:r>
      <w:r>
        <w:rPr>
          <w:rFonts w:ascii="Verdana" w:eastAsia="Calibri" w:hAnsi="Verdana" w:cs="Arial"/>
          <w:bCs/>
          <w:color w:val="000000" w:themeColor="text1"/>
          <w:lang w:val="es-ES"/>
        </w:rPr>
        <w:t xml:space="preserve">los </w:t>
      </w:r>
      <w:r w:rsidRPr="00F11FD6">
        <w:rPr>
          <w:rFonts w:ascii="Verdana" w:eastAsia="Calibri" w:hAnsi="Verdana" w:cs="Arial"/>
          <w:bCs/>
          <w:color w:val="000000" w:themeColor="text1"/>
          <w:lang w:val="es-ES"/>
        </w:rPr>
        <w:t xml:space="preserve">niveles de servicio, estándares de calidad, conservación de los activos y la veracidad de los ingresos que reporta la fiduciaria. En esta fase, la interventoría puede validar que lo reportado por la entidad fiduciaria corresponda a la explotación real y que los bienes se mantienen en las condiciones pactadas. </w:t>
      </w:r>
    </w:p>
    <w:p w14:paraId="58CFA2B5" w14:textId="77777777" w:rsidR="00B75843" w:rsidRPr="003E0B17" w:rsidRDefault="00B75843" w:rsidP="00B75843">
      <w:pPr>
        <w:tabs>
          <w:tab w:val="left" w:pos="426"/>
        </w:tabs>
        <w:spacing w:line="276" w:lineRule="auto"/>
        <w:jc w:val="both"/>
        <w:rPr>
          <w:rFonts w:ascii="Verdana" w:eastAsia="Calibri" w:hAnsi="Verdana" w:cs="Arial"/>
          <w:bCs/>
          <w:color w:val="000000" w:themeColor="text1"/>
          <w:lang w:val="es-ES"/>
        </w:rPr>
      </w:pPr>
      <w:proofErr w:type="spellStart"/>
      <w:r w:rsidRPr="003E0B17">
        <w:rPr>
          <w:rFonts w:ascii="Verdana" w:eastAsia="Calibri" w:hAnsi="Verdana" w:cs="Arial"/>
          <w:bCs/>
          <w:color w:val="000000" w:themeColor="text1"/>
          <w:lang w:val="es-ES"/>
        </w:rPr>
        <w:lastRenderedPageBreak/>
        <w:t>vii</w:t>
      </w:r>
      <w:proofErr w:type="spellEnd"/>
      <w:r w:rsidRPr="003E0B17">
        <w:rPr>
          <w:rFonts w:ascii="Verdana" w:eastAsia="Calibri" w:hAnsi="Verdana" w:cs="Arial"/>
          <w:bCs/>
          <w:color w:val="000000" w:themeColor="text1"/>
          <w:lang w:val="es-ES"/>
        </w:rPr>
        <w:t>. La reversión es una figura propia de los contratos de concesión y de las Asociaciones Público Privadas, en virtud de la cual, al terminar el plazo contractual, los elementos y bienes directamente afectados a la prestación del servicio o a la ejecución del proyecto se transfieren a la entidad estatal, sin que esta deba reconocer compensación alguna al concesionario. Su fundamento normativo se encuentra en los artículos 14</w:t>
      </w:r>
      <w:r>
        <w:rPr>
          <w:rFonts w:ascii="Verdana" w:eastAsia="Calibri" w:hAnsi="Verdana" w:cs="Arial"/>
          <w:bCs/>
          <w:color w:val="000000" w:themeColor="text1"/>
          <w:lang w:val="es-ES"/>
        </w:rPr>
        <w:t xml:space="preserve"> </w:t>
      </w:r>
      <w:r w:rsidRPr="003E0B17">
        <w:rPr>
          <w:rFonts w:ascii="Verdana" w:eastAsia="Calibri" w:hAnsi="Verdana" w:cs="Arial"/>
          <w:bCs/>
          <w:color w:val="000000" w:themeColor="text1"/>
          <w:lang w:val="es-ES"/>
        </w:rPr>
        <w:t xml:space="preserve">y 19 de la Ley 80 de 1993 —que la consagran como estipulación propia de los contratos de explotación o concesión de bienes del Estado— y, en materia de </w:t>
      </w:r>
      <w:proofErr w:type="spellStart"/>
      <w:r w:rsidRPr="003E0B17">
        <w:rPr>
          <w:rFonts w:ascii="Verdana" w:eastAsia="Calibri" w:hAnsi="Verdana" w:cs="Arial"/>
          <w:bCs/>
          <w:color w:val="000000" w:themeColor="text1"/>
          <w:lang w:val="es-ES"/>
        </w:rPr>
        <w:t>APP</w:t>
      </w:r>
      <w:r>
        <w:rPr>
          <w:rFonts w:ascii="Verdana" w:eastAsia="Calibri" w:hAnsi="Verdana" w:cs="Arial"/>
          <w:bCs/>
          <w:color w:val="000000" w:themeColor="text1"/>
          <w:lang w:val="es-ES"/>
        </w:rPr>
        <w:t>s</w:t>
      </w:r>
      <w:proofErr w:type="spellEnd"/>
      <w:r w:rsidRPr="003E0B17">
        <w:rPr>
          <w:rFonts w:ascii="Verdana" w:eastAsia="Calibri" w:hAnsi="Verdana" w:cs="Arial"/>
          <w:bCs/>
          <w:color w:val="000000" w:themeColor="text1"/>
          <w:lang w:val="es-ES"/>
        </w:rPr>
        <w:t>, en el artículo 31 de la Ley 1508 de 2012. Estas normas señalas, respectivamente, lo siguiente:</w:t>
      </w:r>
    </w:p>
    <w:p w14:paraId="30A1DBFC" w14:textId="77777777" w:rsidR="00B75843" w:rsidRPr="003E0B17" w:rsidRDefault="00B75843" w:rsidP="00B75843">
      <w:pPr>
        <w:tabs>
          <w:tab w:val="left" w:pos="426"/>
        </w:tabs>
        <w:spacing w:after="120" w:line="240" w:lineRule="auto"/>
        <w:ind w:left="709" w:right="709"/>
        <w:jc w:val="both"/>
        <w:rPr>
          <w:rFonts w:ascii="Verdana" w:eastAsia="Calibri" w:hAnsi="Verdana" w:cs="Arial"/>
          <w:color w:val="000000" w:themeColor="text1"/>
          <w:sz w:val="20"/>
          <w:szCs w:val="20"/>
          <w:lang w:val="es-ES"/>
        </w:rPr>
      </w:pPr>
      <w:r w:rsidRPr="003E0B17">
        <w:rPr>
          <w:rFonts w:ascii="Verdana" w:eastAsia="Calibri" w:hAnsi="Verdana" w:cs="Arial"/>
          <w:color w:val="000000" w:themeColor="text1"/>
          <w:sz w:val="20"/>
          <w:szCs w:val="20"/>
          <w:lang w:val="es-ES"/>
        </w:rPr>
        <w:t>ARTÍCULO </w:t>
      </w:r>
      <w:bookmarkStart w:id="2" w:name="BM19"/>
      <w:bookmarkStart w:id="3" w:name="19"/>
      <w:bookmarkEnd w:id="2"/>
      <w:bookmarkEnd w:id="3"/>
      <w:r w:rsidRPr="003E0B17">
        <w:rPr>
          <w:rFonts w:ascii="Verdana" w:eastAsia="Calibri" w:hAnsi="Verdana" w:cs="Arial"/>
          <w:color w:val="000000" w:themeColor="text1"/>
          <w:sz w:val="20"/>
          <w:szCs w:val="20"/>
          <w:lang w:val="es-ES"/>
        </w:rPr>
        <w:t>19.- </w:t>
      </w:r>
      <w:r w:rsidRPr="003E0B17">
        <w:rPr>
          <w:rFonts w:ascii="Verdana" w:eastAsia="Calibri" w:hAnsi="Verdana" w:cs="Arial"/>
          <w:i/>
          <w:iCs/>
          <w:color w:val="000000" w:themeColor="text1"/>
          <w:sz w:val="20"/>
          <w:szCs w:val="20"/>
          <w:lang w:val="es-ES"/>
        </w:rPr>
        <w:t>De la Reversión.</w:t>
      </w:r>
      <w:r w:rsidRPr="003E0B17">
        <w:rPr>
          <w:rFonts w:ascii="Verdana" w:eastAsia="Calibri" w:hAnsi="Verdana" w:cs="Arial"/>
          <w:color w:val="000000" w:themeColor="text1"/>
          <w:sz w:val="20"/>
          <w:szCs w:val="20"/>
          <w:lang w:val="es-ES"/>
        </w:rPr>
        <w:t> En los contratos de explotación o concesión de bienes estatales se pactará que, al finalizar el término de la explotación o concesión, los elementos y bienes directamente afectados a la misma pasen a ser propiedad de la entidad contratante, sin que por ello ésta deba efectuar compensación alguna.</w:t>
      </w:r>
    </w:p>
    <w:p w14:paraId="4C813168" w14:textId="77777777" w:rsidR="00B75843" w:rsidRPr="005F4D8E" w:rsidRDefault="00B75843" w:rsidP="00B75843">
      <w:pPr>
        <w:tabs>
          <w:tab w:val="left" w:pos="426"/>
        </w:tabs>
        <w:spacing w:after="120" w:line="240" w:lineRule="auto"/>
        <w:ind w:left="709" w:right="709"/>
        <w:jc w:val="both"/>
        <w:rPr>
          <w:rFonts w:ascii="Verdana" w:eastAsia="Calibri" w:hAnsi="Verdana" w:cs="Arial"/>
          <w:color w:val="000000" w:themeColor="text1"/>
          <w:sz w:val="20"/>
          <w:szCs w:val="20"/>
          <w:lang w:val="es-ES"/>
        </w:rPr>
      </w:pPr>
      <w:r w:rsidRPr="003E0B17">
        <w:rPr>
          <w:rFonts w:ascii="Verdana" w:eastAsia="Calibri" w:hAnsi="Verdana" w:cs="Arial"/>
          <w:color w:val="000000" w:themeColor="text1"/>
          <w:sz w:val="20"/>
          <w:szCs w:val="20"/>
          <w:lang w:val="es-ES"/>
        </w:rPr>
        <w:t>[…]</w:t>
      </w:r>
    </w:p>
    <w:p w14:paraId="13513AFA" w14:textId="77777777" w:rsidR="00B75843" w:rsidRDefault="00B75843" w:rsidP="00B75843">
      <w:pPr>
        <w:tabs>
          <w:tab w:val="left" w:pos="426"/>
        </w:tabs>
        <w:spacing w:after="0" w:line="240" w:lineRule="auto"/>
        <w:ind w:left="709" w:right="709"/>
        <w:jc w:val="both"/>
        <w:rPr>
          <w:rFonts w:ascii="Verdana" w:eastAsia="Calibri" w:hAnsi="Verdana" w:cs="Arial"/>
          <w:color w:val="000000" w:themeColor="text1"/>
          <w:sz w:val="20"/>
          <w:szCs w:val="20"/>
          <w:lang w:val="es-ES"/>
        </w:rPr>
      </w:pPr>
      <w:r w:rsidRPr="003E0B17">
        <w:rPr>
          <w:rFonts w:ascii="Verdana" w:eastAsia="Calibri" w:hAnsi="Verdana" w:cs="Arial"/>
          <w:color w:val="000000" w:themeColor="text1"/>
          <w:sz w:val="20"/>
          <w:szCs w:val="20"/>
          <w:lang w:val="es-ES"/>
        </w:rPr>
        <w:t>ARTÍCULO </w:t>
      </w:r>
      <w:bookmarkStart w:id="4" w:name="31"/>
      <w:bookmarkEnd w:id="4"/>
      <w:r w:rsidRPr="003E0B17">
        <w:rPr>
          <w:rFonts w:ascii="Verdana" w:eastAsia="Calibri" w:hAnsi="Verdana" w:cs="Arial"/>
          <w:color w:val="000000" w:themeColor="text1"/>
          <w:sz w:val="20"/>
          <w:szCs w:val="20"/>
          <w:lang w:val="es-ES"/>
        </w:rPr>
        <w:t>31. </w:t>
      </w:r>
      <w:r w:rsidRPr="003E0B17">
        <w:rPr>
          <w:rFonts w:ascii="Verdana" w:eastAsia="Calibri" w:hAnsi="Verdana" w:cs="Arial"/>
          <w:i/>
          <w:iCs/>
          <w:color w:val="000000" w:themeColor="text1"/>
          <w:sz w:val="20"/>
          <w:szCs w:val="20"/>
          <w:lang w:val="es-ES"/>
        </w:rPr>
        <w:t>Entrega de bienes. </w:t>
      </w:r>
      <w:r w:rsidRPr="003E0B17">
        <w:rPr>
          <w:rFonts w:ascii="Verdana" w:eastAsia="Calibri" w:hAnsi="Verdana" w:cs="Arial"/>
          <w:color w:val="000000" w:themeColor="text1"/>
          <w:sz w:val="20"/>
          <w:szCs w:val="20"/>
          <w:lang w:val="es-ES"/>
        </w:rPr>
        <w:t>En los contratos para la ejecución de Proyectos de Asociación Público Privada se deberán especificar los bienes muebles e inmuebles del Estado o de los particulares, afectos a la prestación del servicio o a la ejecución del proyecto, que revertirán al Estado a la terminación del contrato y las condiciones en que lo harán.</w:t>
      </w:r>
    </w:p>
    <w:p w14:paraId="2E503448" w14:textId="77777777" w:rsidR="00B75843" w:rsidRPr="003E0B17" w:rsidRDefault="00B75843" w:rsidP="00B75843">
      <w:pPr>
        <w:tabs>
          <w:tab w:val="left" w:pos="426"/>
        </w:tabs>
        <w:spacing w:after="0" w:line="240" w:lineRule="auto"/>
        <w:ind w:left="709" w:right="709"/>
        <w:jc w:val="both"/>
        <w:rPr>
          <w:rFonts w:ascii="Verdana" w:eastAsia="Calibri" w:hAnsi="Verdana" w:cs="Arial"/>
          <w:color w:val="000000" w:themeColor="text1"/>
          <w:sz w:val="20"/>
          <w:szCs w:val="20"/>
          <w:lang w:val="es-ES"/>
        </w:rPr>
      </w:pPr>
    </w:p>
    <w:p w14:paraId="55F26F1E" w14:textId="77777777" w:rsidR="00B75843" w:rsidRPr="003E0B17" w:rsidRDefault="00B75843" w:rsidP="00B75843">
      <w:pPr>
        <w:spacing w:after="120" w:line="276" w:lineRule="auto"/>
        <w:ind w:firstLine="708"/>
        <w:jc w:val="both"/>
        <w:rPr>
          <w:rFonts w:ascii="Verdana" w:eastAsia="Calibri" w:hAnsi="Verdana" w:cs="Arial"/>
          <w:bCs/>
          <w:color w:val="000000" w:themeColor="text1"/>
          <w:lang w:val="es-ES"/>
        </w:rPr>
      </w:pPr>
      <w:r w:rsidRPr="003E0B17">
        <w:rPr>
          <w:rFonts w:ascii="Verdana" w:eastAsia="Calibri" w:hAnsi="Verdana" w:cs="Arial"/>
          <w:bCs/>
          <w:color w:val="000000" w:themeColor="text1"/>
          <w:lang w:val="es-ES"/>
        </w:rPr>
        <w:t>En cuanto a su naturaleza, la Corte Constitucional, en la Sentencia C</w:t>
      </w:r>
      <w:r w:rsidRPr="003E0B17">
        <w:rPr>
          <w:rFonts w:ascii="Verdana" w:eastAsia="Calibri" w:hAnsi="Verdana" w:cs="Arial"/>
          <w:bCs/>
          <w:color w:val="000000" w:themeColor="text1"/>
          <w:lang w:val="es-ES"/>
        </w:rPr>
        <w:noBreakHyphen/>
        <w:t>250 de 1996</w:t>
      </w:r>
      <w:r w:rsidRPr="003E0B17">
        <w:rPr>
          <w:rStyle w:val="FootnoteReference"/>
          <w:rFonts w:ascii="Verdana" w:eastAsia="Calibri" w:hAnsi="Verdana" w:cs="Arial"/>
          <w:bCs/>
          <w:color w:val="000000" w:themeColor="text1"/>
          <w:lang w:val="es-ES"/>
        </w:rPr>
        <w:footnoteReference w:id="19"/>
      </w:r>
      <w:r w:rsidRPr="003E0B17">
        <w:rPr>
          <w:rFonts w:ascii="Verdana" w:eastAsia="Calibri" w:hAnsi="Verdana" w:cs="Arial"/>
          <w:bCs/>
          <w:color w:val="000000" w:themeColor="text1"/>
          <w:lang w:val="es-ES"/>
        </w:rPr>
        <w:t>, al examinar el artículo 19 de la Ley 80 de 1993, precisó que la reversión no constituye una expropiación sin indemnización, sino una obligación inherente a esa clase de contratos, consistente en que los elementos y bienes directamente afectados a la concesión pasen a ser propiedad de la entidad contratante al término de la explotación, con la finalidad de mantener la continuidad del servicio público.</w:t>
      </w:r>
    </w:p>
    <w:p w14:paraId="509DBE3E" w14:textId="77777777" w:rsidR="00B75843" w:rsidRPr="003E0B17" w:rsidRDefault="00B75843" w:rsidP="00B75843">
      <w:pPr>
        <w:spacing w:after="120" w:line="276" w:lineRule="auto"/>
        <w:ind w:firstLine="708"/>
        <w:jc w:val="both"/>
        <w:rPr>
          <w:rFonts w:ascii="Verdana" w:eastAsia="Calibri" w:hAnsi="Verdana" w:cs="Arial"/>
          <w:bCs/>
          <w:color w:val="000000" w:themeColor="text1"/>
          <w:lang w:val="es-ES"/>
        </w:rPr>
      </w:pPr>
      <w:r w:rsidRPr="003E0B17">
        <w:rPr>
          <w:rFonts w:ascii="Verdana" w:eastAsia="Calibri" w:hAnsi="Verdana" w:cs="Arial"/>
          <w:bCs/>
          <w:color w:val="000000" w:themeColor="text1"/>
          <w:lang w:val="es-ES"/>
        </w:rPr>
        <w:t xml:space="preserve">La ausencia de compensación que caracteriza a esta figura encuentra justificación económica en la estructura misma del negocio jurídico. Dado que el concesionario explota el proyecto por su cuenta y riesgo durante un plazo amplio, se entiende que amortiza el valor de los bienes que dispone para la prestación del servicio dentro de ese periodo, de modo que, al vencimiento, la transferencia gratuita no lo empobrece. En consecuencia, la vigencia del contrato </w:t>
      </w:r>
      <w:r w:rsidRPr="003E0B17">
        <w:rPr>
          <w:rFonts w:ascii="Verdana" w:eastAsia="Calibri" w:hAnsi="Verdana" w:cs="Arial"/>
          <w:bCs/>
          <w:color w:val="000000" w:themeColor="text1"/>
          <w:lang w:val="es-ES"/>
        </w:rPr>
        <w:lastRenderedPageBreak/>
        <w:t>debería estar calculada, entre otras variables, en función de la amortización de las inversiones que serán objeto de reversión.</w:t>
      </w:r>
    </w:p>
    <w:p w14:paraId="4E984363" w14:textId="77777777" w:rsidR="00B75843" w:rsidRPr="003E0B17" w:rsidRDefault="00B75843" w:rsidP="00B75843">
      <w:pPr>
        <w:spacing w:after="120" w:line="276" w:lineRule="auto"/>
        <w:ind w:firstLine="708"/>
        <w:jc w:val="both"/>
        <w:rPr>
          <w:rFonts w:ascii="Verdana" w:eastAsia="Calibri" w:hAnsi="Verdana" w:cs="Arial"/>
          <w:bCs/>
          <w:color w:val="000000" w:themeColor="text1"/>
          <w:lang w:val="es-ES"/>
        </w:rPr>
      </w:pPr>
      <w:r w:rsidRPr="003E0B17">
        <w:rPr>
          <w:rFonts w:ascii="Verdana" w:eastAsia="Calibri" w:hAnsi="Verdana" w:cs="Arial"/>
          <w:bCs/>
          <w:color w:val="000000" w:themeColor="text1"/>
          <w:lang w:val="es-ES"/>
        </w:rPr>
        <w:t>Por su parte, el Consejo de Estado en sentencia del 16 de junio de 1994</w:t>
      </w:r>
      <w:r w:rsidRPr="003E0B17">
        <w:rPr>
          <w:rStyle w:val="FootnoteReference"/>
          <w:rFonts w:ascii="Verdana" w:eastAsia="Calibri" w:hAnsi="Verdana" w:cs="Arial"/>
          <w:bCs/>
          <w:color w:val="000000" w:themeColor="text1"/>
          <w:lang w:val="es-ES"/>
        </w:rPr>
        <w:footnoteReference w:id="20"/>
      </w:r>
      <w:r w:rsidRPr="003E0B17">
        <w:rPr>
          <w:rFonts w:ascii="Verdana" w:eastAsia="Calibri" w:hAnsi="Verdana" w:cs="Arial"/>
          <w:bCs/>
          <w:color w:val="000000" w:themeColor="text1"/>
          <w:lang w:val="es-ES"/>
        </w:rPr>
        <w:t xml:space="preserve"> señaló que no es necesario que las partes celebren un acto adicional para que los bienes destinados a la explotación reviertan al Estado, porque ello es de la esencia misma del contrato de concesión. En la misma línea, en sentencia del 27 de marzo de 2014</w:t>
      </w:r>
      <w:r w:rsidRPr="003E0B17">
        <w:rPr>
          <w:rStyle w:val="FootnoteReference"/>
          <w:rFonts w:ascii="Verdana" w:eastAsia="Calibri" w:hAnsi="Verdana" w:cs="Arial"/>
          <w:bCs/>
          <w:color w:val="000000" w:themeColor="text1"/>
          <w:lang w:val="es-ES"/>
        </w:rPr>
        <w:footnoteReference w:id="21"/>
      </w:r>
      <w:r w:rsidRPr="003E0B17">
        <w:rPr>
          <w:rFonts w:ascii="Verdana" w:eastAsia="Calibri" w:hAnsi="Verdana" w:cs="Arial"/>
          <w:bCs/>
          <w:color w:val="000000" w:themeColor="text1"/>
          <w:lang w:val="es-ES"/>
        </w:rPr>
        <w:t>, reiteró que el contrato de concesión, cualquiera sea su modalidad, persigue siempre una finalidad de servicio público, lo que explica el régimen especial de los bienes afectos.</w:t>
      </w:r>
    </w:p>
    <w:p w14:paraId="425E1843" w14:textId="77777777" w:rsidR="00B75843" w:rsidRPr="00BC5D3A" w:rsidRDefault="00B75843" w:rsidP="00B75843">
      <w:pPr>
        <w:spacing w:after="120" w:line="276" w:lineRule="auto"/>
        <w:ind w:firstLine="708"/>
        <w:jc w:val="both"/>
        <w:rPr>
          <w:rFonts w:ascii="Verdana" w:eastAsia="Calibri" w:hAnsi="Verdana" w:cs="Arial"/>
          <w:bCs/>
          <w:color w:val="000000" w:themeColor="text1"/>
          <w:lang w:val="es-ES"/>
        </w:rPr>
      </w:pPr>
      <w:r w:rsidRPr="00BC5D3A">
        <w:rPr>
          <w:rFonts w:ascii="Verdana" w:eastAsia="Calibri" w:hAnsi="Verdana" w:cs="Arial"/>
          <w:bCs/>
          <w:color w:val="000000" w:themeColor="text1"/>
          <w:lang w:val="es-ES"/>
        </w:rPr>
        <w:t xml:space="preserve">Aunque </w:t>
      </w:r>
      <w:r w:rsidRPr="003E0B17">
        <w:rPr>
          <w:rFonts w:ascii="Verdana" w:eastAsia="Calibri" w:hAnsi="Verdana" w:cs="Arial"/>
          <w:bCs/>
          <w:color w:val="000000" w:themeColor="text1"/>
          <w:lang w:val="es-ES"/>
        </w:rPr>
        <w:t xml:space="preserve">la reversión es </w:t>
      </w:r>
      <w:r w:rsidRPr="00BC5D3A">
        <w:rPr>
          <w:rFonts w:ascii="Verdana" w:eastAsia="Calibri" w:hAnsi="Verdana" w:cs="Arial"/>
          <w:bCs/>
          <w:color w:val="000000" w:themeColor="text1"/>
          <w:lang w:val="es-ES"/>
        </w:rPr>
        <w:t xml:space="preserve">de la esencia de la concesión de bienes estatales, no opera de manera idéntica en todos los esquemas. </w:t>
      </w:r>
      <w:r w:rsidRPr="003E0B17">
        <w:rPr>
          <w:rFonts w:ascii="Verdana" w:eastAsia="Calibri" w:hAnsi="Verdana" w:cs="Arial"/>
          <w:bCs/>
          <w:color w:val="000000" w:themeColor="text1"/>
          <w:lang w:val="es-ES"/>
        </w:rPr>
        <w:t>E</w:t>
      </w:r>
      <w:r w:rsidRPr="00BC5D3A">
        <w:rPr>
          <w:rFonts w:ascii="Verdana" w:eastAsia="Calibri" w:hAnsi="Verdana" w:cs="Arial"/>
          <w:bCs/>
          <w:color w:val="000000" w:themeColor="text1"/>
          <w:lang w:val="es-ES"/>
        </w:rPr>
        <w:t xml:space="preserve">l Consejo de Estado, </w:t>
      </w:r>
      <w:r w:rsidRPr="003E0B17">
        <w:rPr>
          <w:rFonts w:ascii="Verdana" w:eastAsia="Calibri" w:hAnsi="Verdana" w:cs="Arial"/>
          <w:bCs/>
          <w:color w:val="000000" w:themeColor="text1"/>
          <w:lang w:val="es-ES"/>
        </w:rPr>
        <w:t xml:space="preserve">se ha referido a </w:t>
      </w:r>
      <w:r w:rsidRPr="00BC5D3A">
        <w:rPr>
          <w:rFonts w:ascii="Verdana" w:eastAsia="Calibri" w:hAnsi="Verdana" w:cs="Arial"/>
          <w:bCs/>
          <w:color w:val="000000" w:themeColor="text1"/>
          <w:lang w:val="es-ES"/>
        </w:rPr>
        <w:t xml:space="preserve">modalidades </w:t>
      </w:r>
      <w:r w:rsidRPr="003E0B17">
        <w:rPr>
          <w:rFonts w:ascii="Verdana" w:eastAsia="Calibri" w:hAnsi="Verdana" w:cs="Arial"/>
          <w:bCs/>
          <w:color w:val="000000" w:themeColor="text1"/>
          <w:lang w:val="es-ES"/>
        </w:rPr>
        <w:t xml:space="preserve">de concesión </w:t>
      </w:r>
      <w:r w:rsidRPr="00BC5D3A">
        <w:rPr>
          <w:rFonts w:ascii="Verdana" w:eastAsia="Calibri" w:hAnsi="Verdana" w:cs="Arial"/>
          <w:bCs/>
          <w:color w:val="000000" w:themeColor="text1"/>
          <w:lang w:val="es-ES"/>
        </w:rPr>
        <w:t>en las que la reversión no se presume y depende de un análisis de conveniencia de la entidad, que debe entonces pactarla y delimitarla expresamente</w:t>
      </w:r>
      <w:r w:rsidRPr="003E0B17">
        <w:rPr>
          <w:rFonts w:ascii="Verdana" w:eastAsia="Calibri" w:hAnsi="Verdana" w:cs="Arial"/>
          <w:bCs/>
          <w:color w:val="000000" w:themeColor="text1"/>
          <w:lang w:val="es-ES"/>
        </w:rPr>
        <w:t>. Al respecto, aunque l</w:t>
      </w:r>
      <w:r w:rsidRPr="00BC5D3A">
        <w:rPr>
          <w:rFonts w:ascii="Verdana" w:eastAsia="Calibri" w:hAnsi="Verdana" w:cs="Arial"/>
          <w:bCs/>
          <w:color w:val="000000" w:themeColor="text1"/>
          <w:lang w:val="es-ES"/>
        </w:rPr>
        <w:t>os artículos 14 y 19 de la Ley 80 de 1993 disponen que la cláusula de reversión debe incluirse en los contratos de explotación o concesión de bienes</w:t>
      </w:r>
      <w:r w:rsidRPr="003E0B17">
        <w:rPr>
          <w:rFonts w:ascii="Verdana" w:eastAsia="Calibri" w:hAnsi="Verdana" w:cs="Arial"/>
          <w:bCs/>
          <w:color w:val="000000" w:themeColor="text1"/>
          <w:lang w:val="es-ES"/>
        </w:rPr>
        <w:t xml:space="preserve">, esto </w:t>
      </w:r>
      <w:r w:rsidRPr="00BC5D3A">
        <w:rPr>
          <w:rFonts w:ascii="Verdana" w:eastAsia="Calibri" w:hAnsi="Verdana" w:cs="Arial"/>
          <w:bCs/>
          <w:color w:val="000000" w:themeColor="text1"/>
          <w:lang w:val="es-ES"/>
        </w:rPr>
        <w:t xml:space="preserve">no </w:t>
      </w:r>
      <w:r w:rsidRPr="003E0B17">
        <w:rPr>
          <w:rFonts w:ascii="Verdana" w:eastAsia="Calibri" w:hAnsi="Verdana" w:cs="Arial"/>
          <w:bCs/>
          <w:color w:val="000000" w:themeColor="text1"/>
          <w:lang w:val="es-ES"/>
        </w:rPr>
        <w:t xml:space="preserve">incluye </w:t>
      </w:r>
      <w:r w:rsidRPr="00BC5D3A">
        <w:rPr>
          <w:rFonts w:ascii="Verdana" w:eastAsia="Calibri" w:hAnsi="Verdana" w:cs="Arial"/>
          <w:bCs/>
          <w:color w:val="000000" w:themeColor="text1"/>
          <w:lang w:val="es-ES"/>
        </w:rPr>
        <w:t>la concesión de un servicio público.</w:t>
      </w:r>
      <w:r w:rsidRPr="003E0B17">
        <w:rPr>
          <w:rFonts w:ascii="Verdana" w:eastAsia="Calibri" w:hAnsi="Verdana" w:cs="Arial"/>
          <w:bCs/>
          <w:color w:val="000000" w:themeColor="text1"/>
          <w:lang w:val="es-ES"/>
        </w:rPr>
        <w:t xml:space="preserve"> Al no tratarse de</w:t>
      </w:r>
      <w:r>
        <w:rPr>
          <w:rFonts w:ascii="Verdana" w:eastAsia="Calibri" w:hAnsi="Verdana" w:cs="Arial"/>
          <w:bCs/>
          <w:color w:val="000000" w:themeColor="text1"/>
          <w:lang w:val="es-ES"/>
        </w:rPr>
        <w:t xml:space="preserve"> </w:t>
      </w:r>
      <w:r w:rsidRPr="003E0B17">
        <w:rPr>
          <w:rFonts w:ascii="Verdana" w:eastAsia="Calibri" w:hAnsi="Verdana" w:cs="Arial"/>
          <w:bCs/>
          <w:color w:val="000000" w:themeColor="text1"/>
          <w:lang w:val="es-ES"/>
        </w:rPr>
        <w:t>una concesión de un bien estatal, sino de un</w:t>
      </w:r>
      <w:r w:rsidRPr="00BC5D3A">
        <w:rPr>
          <w:rFonts w:ascii="Verdana" w:eastAsia="Calibri" w:hAnsi="Verdana" w:cs="Arial"/>
          <w:bCs/>
          <w:color w:val="000000" w:themeColor="text1"/>
          <w:lang w:val="es-ES"/>
        </w:rPr>
        <w:t xml:space="preserve"> área de servicio exclusivo de aseo</w:t>
      </w:r>
      <w:r w:rsidRPr="003E0B17">
        <w:rPr>
          <w:rFonts w:ascii="Verdana" w:eastAsia="Calibri" w:hAnsi="Verdana" w:cs="Arial"/>
          <w:bCs/>
          <w:color w:val="000000" w:themeColor="text1"/>
          <w:lang w:val="es-ES"/>
        </w:rPr>
        <w:t xml:space="preserve">, la entidad debe realizar un </w:t>
      </w:r>
      <w:r w:rsidRPr="00BC5D3A">
        <w:rPr>
          <w:rFonts w:ascii="Verdana" w:eastAsia="Calibri" w:hAnsi="Verdana" w:cs="Arial"/>
          <w:bCs/>
          <w:color w:val="000000" w:themeColor="text1"/>
          <w:lang w:val="es-ES"/>
        </w:rPr>
        <w:t xml:space="preserve">análisis de conveniencia para tomar la decisión de pactar la reversión. </w:t>
      </w:r>
      <w:r w:rsidRPr="003E0B17">
        <w:rPr>
          <w:rFonts w:ascii="Verdana" w:eastAsia="Calibri" w:hAnsi="Verdana" w:cs="Arial"/>
          <w:bCs/>
          <w:color w:val="000000" w:themeColor="text1"/>
          <w:lang w:val="es-ES"/>
        </w:rPr>
        <w:t xml:space="preserve">En este sentido, se entiende como una variable para </w:t>
      </w:r>
      <w:r w:rsidRPr="00BC5D3A">
        <w:rPr>
          <w:rFonts w:ascii="Verdana" w:eastAsia="Calibri" w:hAnsi="Verdana" w:cs="Arial"/>
          <w:bCs/>
          <w:color w:val="000000" w:themeColor="text1"/>
          <w:lang w:val="es-ES"/>
        </w:rPr>
        <w:t>la construcción del modelo de proyección del valor presente neto del contrato</w:t>
      </w:r>
      <w:r w:rsidRPr="003E0B17">
        <w:rPr>
          <w:rStyle w:val="FootnoteReference"/>
          <w:rFonts w:ascii="Verdana" w:eastAsia="Calibri" w:hAnsi="Verdana" w:cs="Arial"/>
          <w:bCs/>
          <w:color w:val="000000" w:themeColor="text1"/>
          <w:lang w:val="es-ES"/>
        </w:rPr>
        <w:footnoteReference w:id="22"/>
      </w:r>
      <w:r w:rsidRPr="003E0B17">
        <w:rPr>
          <w:rFonts w:ascii="Verdana" w:eastAsia="Calibri" w:hAnsi="Verdana" w:cs="Arial"/>
          <w:bCs/>
          <w:color w:val="000000" w:themeColor="text1"/>
          <w:lang w:val="es-ES"/>
        </w:rPr>
        <w:t>.</w:t>
      </w:r>
    </w:p>
    <w:p w14:paraId="2ED5A060" w14:textId="77777777" w:rsidR="00B75843" w:rsidRPr="00874B96" w:rsidRDefault="00B75843" w:rsidP="00B75843">
      <w:pPr>
        <w:spacing w:after="120" w:line="276" w:lineRule="auto"/>
        <w:ind w:firstLine="708"/>
        <w:jc w:val="both"/>
        <w:rPr>
          <w:rFonts w:ascii="Verdana" w:eastAsia="Calibri" w:hAnsi="Verdana" w:cs="Arial"/>
          <w:bCs/>
          <w:color w:val="000000" w:themeColor="text1"/>
          <w:lang w:val="es-ES"/>
        </w:rPr>
      </w:pPr>
      <w:r w:rsidRPr="003E0B17">
        <w:rPr>
          <w:rFonts w:ascii="Verdana" w:eastAsia="Calibri" w:hAnsi="Verdana" w:cs="Arial"/>
          <w:bCs/>
          <w:color w:val="000000" w:themeColor="text1"/>
          <w:lang w:val="es-ES"/>
        </w:rPr>
        <w:t xml:space="preserve">Con respecto a las </w:t>
      </w:r>
      <w:proofErr w:type="spellStart"/>
      <w:r w:rsidRPr="003E0B17">
        <w:rPr>
          <w:rFonts w:ascii="Verdana" w:eastAsia="Calibri" w:hAnsi="Verdana" w:cs="Arial"/>
          <w:bCs/>
          <w:color w:val="000000" w:themeColor="text1"/>
          <w:lang w:val="es-ES"/>
        </w:rPr>
        <w:t>APP</w:t>
      </w:r>
      <w:r>
        <w:rPr>
          <w:rFonts w:ascii="Verdana" w:eastAsia="Calibri" w:hAnsi="Verdana" w:cs="Arial"/>
          <w:bCs/>
          <w:color w:val="000000" w:themeColor="text1"/>
          <w:lang w:val="es-ES"/>
        </w:rPr>
        <w:t>s</w:t>
      </w:r>
      <w:proofErr w:type="spellEnd"/>
      <w:r w:rsidRPr="003E0B17">
        <w:rPr>
          <w:rFonts w:ascii="Verdana" w:eastAsia="Calibri" w:hAnsi="Verdana" w:cs="Arial"/>
          <w:bCs/>
          <w:color w:val="000000" w:themeColor="text1"/>
          <w:lang w:val="es-ES"/>
        </w:rPr>
        <w:t xml:space="preserve">, el </w:t>
      </w:r>
      <w:r w:rsidRPr="00874B96">
        <w:rPr>
          <w:rFonts w:ascii="Verdana" w:eastAsia="Calibri" w:hAnsi="Verdana" w:cs="Arial"/>
          <w:bCs/>
          <w:color w:val="000000" w:themeColor="text1"/>
          <w:lang w:val="es-ES"/>
        </w:rPr>
        <w:t xml:space="preserve">artículo 31 </w:t>
      </w:r>
      <w:r w:rsidRPr="003E0B17">
        <w:rPr>
          <w:rFonts w:ascii="Verdana" w:eastAsia="Calibri" w:hAnsi="Verdana" w:cs="Arial"/>
          <w:bCs/>
          <w:color w:val="000000" w:themeColor="text1"/>
          <w:lang w:val="es-ES"/>
        </w:rPr>
        <w:t>de la Ley</w:t>
      </w:r>
      <w:r>
        <w:rPr>
          <w:rFonts w:ascii="Verdana" w:eastAsia="Calibri" w:hAnsi="Verdana" w:cs="Arial"/>
          <w:bCs/>
          <w:color w:val="000000" w:themeColor="text1"/>
          <w:lang w:val="es-ES"/>
        </w:rPr>
        <w:t xml:space="preserve"> 1508 de 2012</w:t>
      </w:r>
      <w:r w:rsidRPr="003E0B17">
        <w:rPr>
          <w:rFonts w:ascii="Verdana" w:eastAsia="Calibri" w:hAnsi="Verdana" w:cs="Arial"/>
          <w:bCs/>
          <w:color w:val="000000" w:themeColor="text1"/>
          <w:lang w:val="es-ES"/>
        </w:rPr>
        <w:t xml:space="preserve"> </w:t>
      </w:r>
      <w:r w:rsidRPr="00874B96">
        <w:rPr>
          <w:rFonts w:ascii="Verdana" w:eastAsia="Calibri" w:hAnsi="Verdana" w:cs="Arial"/>
          <w:bCs/>
          <w:color w:val="000000" w:themeColor="text1"/>
          <w:lang w:val="es-ES"/>
        </w:rPr>
        <w:t xml:space="preserve">ordena que en los contratos para la ejecución </w:t>
      </w:r>
      <w:r w:rsidRPr="003E0B17">
        <w:rPr>
          <w:rFonts w:ascii="Verdana" w:eastAsia="Calibri" w:hAnsi="Verdana" w:cs="Arial"/>
          <w:bCs/>
          <w:color w:val="000000" w:themeColor="text1"/>
          <w:lang w:val="es-ES"/>
        </w:rPr>
        <w:t xml:space="preserve">de estos proyectos </w:t>
      </w:r>
      <w:r w:rsidRPr="00874B96">
        <w:rPr>
          <w:rFonts w:ascii="Verdana" w:eastAsia="Calibri" w:hAnsi="Verdana" w:cs="Arial"/>
          <w:bCs/>
          <w:color w:val="000000" w:themeColor="text1"/>
          <w:lang w:val="es-ES"/>
        </w:rPr>
        <w:t xml:space="preserve">se especifiquen los bienes muebles e inmuebles, del Estado </w:t>
      </w:r>
      <w:r w:rsidRPr="00874B96">
        <w:rPr>
          <w:rFonts w:ascii="Verdana" w:eastAsia="Calibri" w:hAnsi="Verdana" w:cs="Arial"/>
          <w:bCs/>
          <w:i/>
          <w:iCs/>
          <w:color w:val="000000" w:themeColor="text1"/>
          <w:lang w:val="es-ES"/>
        </w:rPr>
        <w:t>o de los particulares</w:t>
      </w:r>
      <w:r w:rsidRPr="00874B96">
        <w:rPr>
          <w:rFonts w:ascii="Verdana" w:eastAsia="Calibri" w:hAnsi="Verdana" w:cs="Arial"/>
          <w:bCs/>
          <w:color w:val="000000" w:themeColor="text1"/>
          <w:lang w:val="es-ES"/>
        </w:rPr>
        <w:t xml:space="preserve">, afectos a la prestación del servicio o a la ejecución del proyecto, que revertirán al Estado a la terminación del contrato, </w:t>
      </w:r>
      <w:r w:rsidRPr="00874B96">
        <w:rPr>
          <w:rFonts w:ascii="Verdana" w:eastAsia="Calibri" w:hAnsi="Verdana" w:cs="Arial"/>
          <w:bCs/>
          <w:i/>
          <w:iCs/>
          <w:color w:val="000000" w:themeColor="text1"/>
          <w:lang w:val="es-ES"/>
        </w:rPr>
        <w:t>así como las condiciones en que lo harán</w:t>
      </w:r>
      <w:r w:rsidRPr="00874B96">
        <w:rPr>
          <w:rFonts w:ascii="Verdana" w:eastAsia="Calibri" w:hAnsi="Verdana" w:cs="Arial"/>
          <w:bCs/>
          <w:color w:val="000000" w:themeColor="text1"/>
          <w:lang w:val="es-ES"/>
        </w:rPr>
        <w:t>.</w:t>
      </w:r>
      <w:r w:rsidRPr="003E0B17">
        <w:rPr>
          <w:rFonts w:ascii="Verdana" w:eastAsia="Calibri" w:hAnsi="Verdana" w:cs="Arial"/>
          <w:bCs/>
          <w:color w:val="000000" w:themeColor="text1"/>
          <w:lang w:val="es-ES"/>
        </w:rPr>
        <w:t xml:space="preserve"> Esta disposición también hace parte del referido Título IV de la Ley que contiene las disposiciones que son transversales o comunes a todos los proyectos de APP.</w:t>
      </w:r>
    </w:p>
    <w:p w14:paraId="54765B24" w14:textId="77777777" w:rsidR="00B75843" w:rsidRDefault="00B75843" w:rsidP="00B75843">
      <w:pPr>
        <w:spacing w:after="0" w:line="276" w:lineRule="auto"/>
        <w:ind w:firstLine="708"/>
        <w:jc w:val="both"/>
        <w:rPr>
          <w:rFonts w:ascii="Verdana" w:eastAsia="Calibri" w:hAnsi="Verdana" w:cs="Arial"/>
          <w:bCs/>
          <w:color w:val="000000" w:themeColor="text1"/>
          <w:lang w:val="es-ES"/>
        </w:rPr>
      </w:pPr>
      <w:r w:rsidRPr="00874B96">
        <w:rPr>
          <w:rFonts w:ascii="Verdana" w:eastAsia="Calibri" w:hAnsi="Verdana" w:cs="Arial"/>
          <w:bCs/>
          <w:color w:val="000000" w:themeColor="text1"/>
          <w:lang w:val="es-ES"/>
        </w:rPr>
        <w:lastRenderedPageBreak/>
        <w:t xml:space="preserve">Este mandato </w:t>
      </w:r>
      <w:r w:rsidRPr="003E0B17">
        <w:rPr>
          <w:rFonts w:ascii="Verdana" w:eastAsia="Calibri" w:hAnsi="Verdana" w:cs="Arial"/>
          <w:bCs/>
          <w:color w:val="000000" w:themeColor="text1"/>
          <w:lang w:val="es-ES"/>
        </w:rPr>
        <w:t xml:space="preserve">fue reglamentado </w:t>
      </w:r>
      <w:r w:rsidRPr="00874B96">
        <w:rPr>
          <w:rFonts w:ascii="Verdana" w:eastAsia="Calibri" w:hAnsi="Verdana" w:cs="Arial"/>
          <w:bCs/>
          <w:color w:val="000000" w:themeColor="text1"/>
          <w:lang w:val="es-ES"/>
        </w:rPr>
        <w:t>en el artículo 2.2.2.1.8.4 del Decreto 1082 de 2015</w:t>
      </w:r>
      <w:r w:rsidRPr="003E0B17">
        <w:rPr>
          <w:rFonts w:ascii="Verdana" w:eastAsia="Calibri" w:hAnsi="Verdana" w:cs="Arial"/>
          <w:bCs/>
          <w:color w:val="000000" w:themeColor="text1"/>
          <w:lang w:val="es-ES"/>
        </w:rPr>
        <w:t>, modificado por el artículo 19 del Decreto 438 de 2021.</w:t>
      </w:r>
      <w:r w:rsidRPr="00874B96">
        <w:rPr>
          <w:rFonts w:ascii="Verdana" w:eastAsia="Calibri" w:hAnsi="Verdana" w:cs="Arial"/>
          <w:bCs/>
          <w:color w:val="000000" w:themeColor="text1"/>
          <w:lang w:val="es-ES"/>
        </w:rPr>
        <w:t xml:space="preserve"> </w:t>
      </w:r>
      <w:r w:rsidRPr="003E0B17">
        <w:rPr>
          <w:rFonts w:ascii="Verdana" w:eastAsia="Calibri" w:hAnsi="Verdana" w:cs="Arial"/>
          <w:bCs/>
          <w:color w:val="000000" w:themeColor="text1"/>
          <w:lang w:val="es-ES"/>
        </w:rPr>
        <w:t>Conforme a esta disposición:</w:t>
      </w:r>
    </w:p>
    <w:p w14:paraId="5B934CDE" w14:textId="77777777" w:rsidR="00B75843" w:rsidRPr="003E0B17" w:rsidRDefault="00B75843" w:rsidP="00B75843">
      <w:pPr>
        <w:spacing w:after="0" w:line="276" w:lineRule="auto"/>
        <w:jc w:val="both"/>
        <w:rPr>
          <w:rFonts w:ascii="Verdana" w:eastAsia="Calibri" w:hAnsi="Verdana" w:cs="Arial"/>
          <w:bCs/>
          <w:color w:val="000000" w:themeColor="text1"/>
          <w:lang w:val="es-ES"/>
        </w:rPr>
      </w:pPr>
    </w:p>
    <w:p w14:paraId="3CF8C3DB" w14:textId="77777777" w:rsidR="00B75843" w:rsidRPr="00874B96" w:rsidRDefault="00B75843" w:rsidP="00B75843">
      <w:pPr>
        <w:spacing w:after="120" w:line="240" w:lineRule="auto"/>
        <w:ind w:left="709" w:right="709"/>
        <w:jc w:val="both"/>
        <w:rPr>
          <w:rFonts w:ascii="Verdana" w:eastAsia="Calibri" w:hAnsi="Verdana" w:cs="Arial"/>
          <w:color w:val="000000" w:themeColor="text1"/>
          <w:sz w:val="20"/>
          <w:szCs w:val="20"/>
          <w:lang w:val="es-ES"/>
        </w:rPr>
      </w:pPr>
      <w:r w:rsidRPr="00874B96">
        <w:rPr>
          <w:rFonts w:ascii="Verdana" w:eastAsia="Calibri" w:hAnsi="Verdana" w:cs="Arial"/>
          <w:color w:val="000000" w:themeColor="text1"/>
          <w:sz w:val="20"/>
          <w:szCs w:val="20"/>
          <w:lang w:val="es-ES"/>
        </w:rPr>
        <w:t>ARTÍCULO </w:t>
      </w:r>
      <w:bookmarkStart w:id="5" w:name="2.2.2.1.8.4"/>
      <w:bookmarkEnd w:id="5"/>
      <w:r w:rsidRPr="00874B96">
        <w:rPr>
          <w:rFonts w:ascii="Verdana" w:eastAsia="Calibri" w:hAnsi="Verdana" w:cs="Arial"/>
          <w:color w:val="000000" w:themeColor="text1"/>
          <w:sz w:val="20"/>
          <w:szCs w:val="20"/>
          <w:lang w:val="es-ES"/>
        </w:rPr>
        <w:t>2.2.2.1.8.4. Reversión de la infraestructura de proyectos de Asociación Público Privada. Con el propósito de asegurar la continuidad de la prestación de servicios públicos en proyectos de Asociación Público Privada, la entidad estatal competente, en desarrollo de lo previsto en los artículos </w:t>
      </w:r>
      <w:hyperlink r:id="rId12" w:anchor="31" w:history="1">
        <w:r w:rsidRPr="00874B96">
          <w:rPr>
            <w:rStyle w:val="Hyperlink"/>
            <w:rFonts w:ascii="Verdana" w:eastAsia="Calibri" w:hAnsi="Verdana" w:cs="Arial"/>
            <w:color w:val="000000" w:themeColor="text1"/>
            <w:sz w:val="20"/>
            <w:szCs w:val="20"/>
            <w:lang w:val="es-ES"/>
          </w:rPr>
          <w:t>31</w:t>
        </w:r>
      </w:hyperlink>
      <w:r w:rsidRPr="00874B96">
        <w:rPr>
          <w:rFonts w:ascii="Verdana" w:eastAsia="Calibri" w:hAnsi="Verdana" w:cs="Arial"/>
          <w:color w:val="000000" w:themeColor="text1"/>
          <w:sz w:val="20"/>
          <w:szCs w:val="20"/>
          <w:lang w:val="es-ES"/>
        </w:rPr>
        <w:t> y </w:t>
      </w:r>
      <w:hyperlink r:id="rId13" w:anchor="34" w:history="1">
        <w:r w:rsidRPr="00874B96">
          <w:rPr>
            <w:rStyle w:val="Hyperlink"/>
            <w:rFonts w:ascii="Verdana" w:eastAsia="Calibri" w:hAnsi="Verdana" w:cs="Arial"/>
            <w:color w:val="000000" w:themeColor="text1"/>
            <w:sz w:val="20"/>
            <w:szCs w:val="20"/>
            <w:lang w:val="es-ES"/>
          </w:rPr>
          <w:t>34</w:t>
        </w:r>
      </w:hyperlink>
      <w:r w:rsidRPr="00874B96">
        <w:rPr>
          <w:rFonts w:ascii="Verdana" w:eastAsia="Calibri" w:hAnsi="Verdana" w:cs="Arial"/>
          <w:color w:val="000000" w:themeColor="text1"/>
          <w:sz w:val="20"/>
          <w:szCs w:val="20"/>
          <w:lang w:val="es-ES"/>
        </w:rPr>
        <w:t> de la Ley 1508 de 2012, pactará en el contrato la entrega y transferencia de los elementos y bienes directamente afectados a la prestación de dicho servicio y el estado en el que los mismos revertirán al finalizar el plazo del respectivo contrato, sin que por ello deba efectuarse compensación alguna, y excluirá los elementos y bienes que por su estado o naturaleza no se considere conveniente su reversión.</w:t>
      </w:r>
    </w:p>
    <w:p w14:paraId="2E7E6EEB" w14:textId="77777777" w:rsidR="00B75843" w:rsidRDefault="00B75843" w:rsidP="00B75843">
      <w:pPr>
        <w:spacing w:after="0" w:line="240" w:lineRule="auto"/>
        <w:ind w:left="709" w:right="709"/>
        <w:jc w:val="both"/>
        <w:rPr>
          <w:rFonts w:ascii="Verdana" w:eastAsia="Calibri" w:hAnsi="Verdana" w:cs="Arial"/>
          <w:color w:val="000000" w:themeColor="text1"/>
          <w:sz w:val="20"/>
          <w:szCs w:val="20"/>
          <w:lang w:val="es-ES"/>
        </w:rPr>
      </w:pPr>
      <w:r w:rsidRPr="00874B96">
        <w:rPr>
          <w:rFonts w:ascii="Verdana" w:eastAsia="Calibri" w:hAnsi="Verdana" w:cs="Arial"/>
          <w:color w:val="000000" w:themeColor="text1"/>
          <w:sz w:val="20"/>
          <w:szCs w:val="20"/>
          <w:lang w:val="es-ES"/>
        </w:rPr>
        <w:t>Los bienes objeto de aporte del Estado diferentes a los desembolsos de recursos públicos efectuados por la entidad estatal competente que no formen parte de la remuneración del inversionista privado, revertirán a la entidad contratante al término del contrato.</w:t>
      </w:r>
    </w:p>
    <w:p w14:paraId="4371F65A" w14:textId="77777777" w:rsidR="00B75843" w:rsidRPr="00874B96" w:rsidRDefault="00B75843" w:rsidP="00B75843">
      <w:pPr>
        <w:spacing w:after="0" w:line="240" w:lineRule="auto"/>
        <w:ind w:left="709" w:right="709"/>
        <w:jc w:val="both"/>
        <w:rPr>
          <w:rFonts w:ascii="Verdana" w:eastAsia="Calibri" w:hAnsi="Verdana" w:cs="Arial"/>
          <w:color w:val="000000" w:themeColor="text1"/>
          <w:sz w:val="20"/>
          <w:szCs w:val="20"/>
          <w:lang w:val="es-ES"/>
        </w:rPr>
      </w:pPr>
    </w:p>
    <w:p w14:paraId="0604B164" w14:textId="77777777" w:rsidR="00B75843" w:rsidRDefault="00B75843" w:rsidP="00B75843">
      <w:pPr>
        <w:spacing w:after="120" w:line="276" w:lineRule="auto"/>
        <w:ind w:firstLine="708"/>
        <w:jc w:val="both"/>
        <w:rPr>
          <w:rFonts w:ascii="Verdana" w:eastAsia="Calibri" w:hAnsi="Verdana" w:cs="Arial"/>
          <w:bCs/>
          <w:color w:val="000000" w:themeColor="text1"/>
          <w:lang w:val="es-ES"/>
        </w:rPr>
      </w:pPr>
      <w:r w:rsidRPr="003E0B17">
        <w:rPr>
          <w:rFonts w:ascii="Verdana" w:eastAsia="Calibri" w:hAnsi="Verdana" w:cs="Arial"/>
          <w:bCs/>
          <w:color w:val="000000" w:themeColor="text1"/>
          <w:lang w:val="es-ES"/>
        </w:rPr>
        <w:t xml:space="preserve">En efecto, en los contratos de APP de iniciativa privada, </w:t>
      </w:r>
      <w:r w:rsidRPr="00874B96">
        <w:rPr>
          <w:rFonts w:ascii="Verdana" w:eastAsia="Calibri" w:hAnsi="Verdana" w:cs="Arial"/>
          <w:bCs/>
          <w:color w:val="000000" w:themeColor="text1"/>
          <w:lang w:val="es-ES"/>
        </w:rPr>
        <w:t xml:space="preserve">los bienes construidos, adquiridos o incorporados con </w:t>
      </w:r>
      <w:r w:rsidRPr="003E0B17">
        <w:rPr>
          <w:rFonts w:ascii="Verdana" w:eastAsia="Calibri" w:hAnsi="Verdana" w:cs="Arial"/>
          <w:bCs/>
          <w:color w:val="000000" w:themeColor="text1"/>
          <w:lang w:val="es-ES"/>
        </w:rPr>
        <w:t xml:space="preserve">los </w:t>
      </w:r>
      <w:r w:rsidRPr="00874B96">
        <w:rPr>
          <w:rFonts w:ascii="Verdana" w:eastAsia="Calibri" w:hAnsi="Verdana" w:cs="Arial"/>
          <w:bCs/>
          <w:color w:val="000000" w:themeColor="text1"/>
          <w:lang w:val="es-ES"/>
        </w:rPr>
        <w:t>recursos privados</w:t>
      </w:r>
      <w:r w:rsidRPr="003E0B17">
        <w:rPr>
          <w:rFonts w:ascii="Verdana" w:eastAsia="Calibri" w:hAnsi="Verdana" w:cs="Arial"/>
          <w:bCs/>
          <w:color w:val="000000" w:themeColor="text1"/>
          <w:lang w:val="es-ES"/>
        </w:rPr>
        <w:t xml:space="preserve"> que  hayan sido directamente afectados a la prestación del servicio</w:t>
      </w:r>
      <w:r w:rsidRPr="00874B96">
        <w:rPr>
          <w:rFonts w:ascii="Verdana" w:eastAsia="Calibri" w:hAnsi="Verdana" w:cs="Arial"/>
          <w:bCs/>
          <w:color w:val="000000" w:themeColor="text1"/>
          <w:lang w:val="es-ES"/>
        </w:rPr>
        <w:t xml:space="preserve"> est</w:t>
      </w:r>
      <w:r w:rsidRPr="003E0B17">
        <w:rPr>
          <w:rFonts w:ascii="Verdana" w:eastAsia="Calibri" w:hAnsi="Verdana" w:cs="Arial"/>
          <w:bCs/>
          <w:color w:val="000000" w:themeColor="text1"/>
          <w:lang w:val="es-ES"/>
        </w:rPr>
        <w:t>arán</w:t>
      </w:r>
      <w:r w:rsidRPr="00874B96">
        <w:rPr>
          <w:rFonts w:ascii="Verdana" w:eastAsia="Calibri" w:hAnsi="Verdana" w:cs="Arial"/>
          <w:bCs/>
          <w:color w:val="000000" w:themeColor="text1"/>
          <w:lang w:val="es-ES"/>
        </w:rPr>
        <w:t xml:space="preserve"> sujetos a reversión</w:t>
      </w:r>
      <w:r w:rsidRPr="003E0B17">
        <w:rPr>
          <w:rFonts w:ascii="Verdana" w:eastAsia="Calibri" w:hAnsi="Verdana" w:cs="Arial"/>
          <w:bCs/>
          <w:color w:val="000000" w:themeColor="text1"/>
          <w:lang w:val="es-ES"/>
        </w:rPr>
        <w:t xml:space="preserve"> y deberán ser entregados o transferidos a la entidad en la forma, estado y términos que para ello pacten las partes en el contrato</w:t>
      </w:r>
      <w:r w:rsidRPr="00874B96">
        <w:rPr>
          <w:rFonts w:ascii="Verdana" w:eastAsia="Calibri" w:hAnsi="Verdana" w:cs="Arial"/>
          <w:bCs/>
          <w:color w:val="000000" w:themeColor="text1"/>
          <w:lang w:val="es-ES"/>
        </w:rPr>
        <w:t>.</w:t>
      </w:r>
      <w:r w:rsidRPr="003E0B17">
        <w:rPr>
          <w:rFonts w:ascii="Verdana" w:eastAsia="Calibri" w:hAnsi="Verdana" w:cs="Arial"/>
          <w:bCs/>
          <w:color w:val="000000" w:themeColor="text1"/>
          <w:lang w:val="es-ES"/>
        </w:rPr>
        <w:t xml:space="preserve"> Nótese que</w:t>
      </w:r>
      <w:r w:rsidRPr="00874B96">
        <w:rPr>
          <w:rFonts w:ascii="Verdana" w:eastAsia="Calibri" w:hAnsi="Verdana" w:cs="Arial"/>
          <w:bCs/>
          <w:color w:val="000000" w:themeColor="text1"/>
          <w:lang w:val="es-ES"/>
        </w:rPr>
        <w:t xml:space="preserve"> </w:t>
      </w:r>
      <w:r w:rsidRPr="003E0B17">
        <w:rPr>
          <w:rFonts w:ascii="Verdana" w:eastAsia="Calibri" w:hAnsi="Verdana" w:cs="Arial"/>
          <w:bCs/>
          <w:color w:val="000000" w:themeColor="text1"/>
          <w:lang w:val="es-ES"/>
        </w:rPr>
        <w:t xml:space="preserve">el </w:t>
      </w:r>
      <w:r w:rsidRPr="00874B96">
        <w:rPr>
          <w:rFonts w:ascii="Verdana" w:eastAsia="Calibri" w:hAnsi="Verdana" w:cs="Arial"/>
          <w:bCs/>
          <w:color w:val="000000" w:themeColor="text1"/>
          <w:lang w:val="es-ES"/>
        </w:rPr>
        <w:t xml:space="preserve">artículo 31 de la Ley 1508 no restringe la reversión a los bienes de origen estatal, sino que la extiende a los bienes “del Estado o de los particulares” afectos a la prestación del servicio o a la ejecución del proyecto. Por consiguiente, </w:t>
      </w:r>
      <w:r w:rsidRPr="003E0B17">
        <w:rPr>
          <w:rFonts w:ascii="Verdana" w:eastAsia="Calibri" w:hAnsi="Verdana" w:cs="Arial"/>
          <w:bCs/>
          <w:color w:val="000000" w:themeColor="text1"/>
          <w:lang w:val="es-ES"/>
        </w:rPr>
        <w:t xml:space="preserve">es importante aclarar que </w:t>
      </w:r>
      <w:r w:rsidRPr="00874B96">
        <w:rPr>
          <w:rFonts w:ascii="Verdana" w:eastAsia="Calibri" w:hAnsi="Verdana" w:cs="Arial"/>
          <w:bCs/>
          <w:color w:val="000000" w:themeColor="text1"/>
          <w:lang w:val="es-ES"/>
        </w:rPr>
        <w:t xml:space="preserve">el origen privado de la financiación </w:t>
      </w:r>
      <w:r w:rsidRPr="003E0B17">
        <w:rPr>
          <w:rFonts w:ascii="Verdana" w:eastAsia="Calibri" w:hAnsi="Verdana" w:cs="Arial"/>
          <w:bCs/>
          <w:color w:val="000000" w:themeColor="text1"/>
          <w:lang w:val="es-ES"/>
        </w:rPr>
        <w:t xml:space="preserve">o la ausencia de recursos públicos </w:t>
      </w:r>
      <w:r w:rsidRPr="00874B96">
        <w:rPr>
          <w:rFonts w:ascii="Verdana" w:eastAsia="Calibri" w:hAnsi="Verdana" w:cs="Arial"/>
          <w:bCs/>
          <w:color w:val="000000" w:themeColor="text1"/>
          <w:lang w:val="es-ES"/>
        </w:rPr>
        <w:t>no exceptúa a esos bienes de la reversión, siempre que estén directamente afectados al proyecto.</w:t>
      </w:r>
    </w:p>
    <w:p w14:paraId="7D1602DF" w14:textId="77777777" w:rsidR="00B75843" w:rsidRPr="00874B96" w:rsidRDefault="00B75843" w:rsidP="00B75843">
      <w:pPr>
        <w:spacing w:after="120" w:line="276" w:lineRule="auto"/>
        <w:ind w:firstLine="708"/>
        <w:jc w:val="both"/>
        <w:rPr>
          <w:rFonts w:ascii="Verdana" w:eastAsia="Calibri" w:hAnsi="Verdana" w:cs="Arial"/>
          <w:bCs/>
          <w:color w:val="000000" w:themeColor="text1"/>
          <w:lang w:val="es-ES"/>
        </w:rPr>
      </w:pPr>
      <w:r w:rsidRPr="00874B96">
        <w:rPr>
          <w:rFonts w:ascii="Verdana" w:eastAsia="Calibri" w:hAnsi="Verdana" w:cs="Arial"/>
          <w:bCs/>
          <w:color w:val="000000" w:themeColor="text1"/>
          <w:lang w:val="es-ES"/>
        </w:rPr>
        <w:t xml:space="preserve">Ahora bien, esta Agencia advierte </w:t>
      </w:r>
      <w:r w:rsidRPr="003E0B17">
        <w:rPr>
          <w:rFonts w:ascii="Verdana" w:eastAsia="Calibri" w:hAnsi="Verdana" w:cs="Arial"/>
          <w:bCs/>
          <w:color w:val="000000" w:themeColor="text1"/>
          <w:lang w:val="es-ES"/>
        </w:rPr>
        <w:t xml:space="preserve">que </w:t>
      </w:r>
      <w:r w:rsidRPr="00874B96">
        <w:rPr>
          <w:rFonts w:ascii="Verdana" w:eastAsia="Calibri" w:hAnsi="Verdana" w:cs="Arial"/>
          <w:bCs/>
          <w:color w:val="000000" w:themeColor="text1"/>
          <w:lang w:val="es-ES"/>
        </w:rPr>
        <w:t>la ley no define con criterios cerrados qué debe entenderse por bienes “directamente afectados”, lo que cobra especial relevancia en</w:t>
      </w:r>
      <w:r w:rsidRPr="003E0B17">
        <w:rPr>
          <w:rFonts w:ascii="Verdana" w:eastAsia="Calibri" w:hAnsi="Verdana" w:cs="Arial"/>
          <w:bCs/>
          <w:color w:val="000000" w:themeColor="text1"/>
          <w:lang w:val="es-ES"/>
        </w:rPr>
        <w:t xml:space="preserve"> escenarios como</w:t>
      </w:r>
      <w:r w:rsidRPr="00874B96">
        <w:rPr>
          <w:rFonts w:ascii="Verdana" w:eastAsia="Calibri" w:hAnsi="Verdana" w:cs="Arial"/>
          <w:bCs/>
          <w:color w:val="000000" w:themeColor="text1"/>
          <w:lang w:val="es-ES"/>
        </w:rPr>
        <w:t xml:space="preserve"> la terminación anticipada </w:t>
      </w:r>
      <w:r w:rsidRPr="003E0B17">
        <w:rPr>
          <w:rFonts w:ascii="Verdana" w:eastAsia="Calibri" w:hAnsi="Verdana" w:cs="Arial"/>
          <w:bCs/>
          <w:color w:val="000000" w:themeColor="text1"/>
          <w:lang w:val="es-ES"/>
        </w:rPr>
        <w:t>o</w:t>
      </w:r>
      <w:r w:rsidRPr="00874B96">
        <w:rPr>
          <w:rFonts w:ascii="Verdana" w:eastAsia="Calibri" w:hAnsi="Verdana" w:cs="Arial"/>
          <w:bCs/>
          <w:color w:val="000000" w:themeColor="text1"/>
          <w:lang w:val="es-ES"/>
        </w:rPr>
        <w:t xml:space="preserve"> respecto de bienes de uso ocasional o no esenciales para el servicio. De ahí que, en las iniciativas privadas —donde la totalidad de la inversión es privada—, resulte imperativo que el contrato delimite con precisión el universo de bienes revertibles, su estado de entrega</w:t>
      </w:r>
      <w:r w:rsidRPr="003E0B17">
        <w:rPr>
          <w:rFonts w:ascii="Verdana" w:eastAsia="Calibri" w:hAnsi="Verdana" w:cs="Arial"/>
          <w:bCs/>
          <w:color w:val="000000" w:themeColor="text1"/>
          <w:lang w:val="es-ES"/>
        </w:rPr>
        <w:t xml:space="preserve"> y la manera en que se realizará la transferencia a la Entidad</w:t>
      </w:r>
      <w:r w:rsidRPr="00874B96">
        <w:rPr>
          <w:rFonts w:ascii="Verdana" w:eastAsia="Calibri" w:hAnsi="Verdana" w:cs="Arial"/>
          <w:bCs/>
          <w:color w:val="000000" w:themeColor="text1"/>
          <w:lang w:val="es-ES"/>
        </w:rPr>
        <w:t>.</w:t>
      </w:r>
    </w:p>
    <w:p w14:paraId="50791208" w14:textId="77777777" w:rsidR="00B75843" w:rsidRDefault="00B75843" w:rsidP="00B75843">
      <w:pPr>
        <w:spacing w:after="120" w:line="276" w:lineRule="auto"/>
        <w:ind w:firstLine="708"/>
        <w:jc w:val="both"/>
        <w:rPr>
          <w:rFonts w:ascii="Verdana" w:eastAsia="Calibri" w:hAnsi="Verdana" w:cs="Arial"/>
          <w:bCs/>
          <w:color w:val="000000" w:themeColor="text1"/>
          <w:lang w:val="es-ES"/>
        </w:rPr>
      </w:pPr>
      <w:r w:rsidRPr="003E0B17">
        <w:rPr>
          <w:rFonts w:ascii="Verdana" w:eastAsia="Calibri" w:hAnsi="Verdana" w:cs="Arial"/>
          <w:bCs/>
          <w:color w:val="000000" w:themeColor="text1"/>
          <w:lang w:val="es-ES"/>
        </w:rPr>
        <w:lastRenderedPageBreak/>
        <w:t>En el marco de lo anterior, l</w:t>
      </w:r>
      <w:r w:rsidRPr="00874B96">
        <w:rPr>
          <w:rFonts w:ascii="Verdana" w:eastAsia="Calibri" w:hAnsi="Verdana" w:cs="Arial"/>
          <w:bCs/>
          <w:color w:val="000000" w:themeColor="text1"/>
          <w:lang w:val="es-ES"/>
        </w:rPr>
        <w:t>a verificación del estado, funcionamiento, conservación, inventario y condiciones de entrega de los bienes es una función a cargo de la entidad estatal, quien la ejerce en desarrollo del deber de vigilancia del artículo 83 de la Ley 1474 de 2011, con el apoyo técnico de la interventoría del contrato</w:t>
      </w:r>
      <w:r w:rsidRPr="003E0B17">
        <w:rPr>
          <w:rFonts w:ascii="Verdana" w:eastAsia="Calibri" w:hAnsi="Verdana" w:cs="Arial"/>
          <w:bCs/>
          <w:color w:val="000000" w:themeColor="text1"/>
          <w:lang w:val="es-ES"/>
        </w:rPr>
        <w:t xml:space="preserve">. Los mecanismos que implemente para el cumplimiento de dicha verificación dependerán de lo que al respecto hayan pactado las partes </w:t>
      </w:r>
      <w:r>
        <w:rPr>
          <w:rFonts w:ascii="Verdana" w:eastAsia="Calibri" w:hAnsi="Verdana" w:cs="Arial"/>
          <w:bCs/>
          <w:color w:val="000000" w:themeColor="text1"/>
          <w:lang w:val="es-ES"/>
        </w:rPr>
        <w:t xml:space="preserve">en el </w:t>
      </w:r>
      <w:r w:rsidRPr="003E0B17">
        <w:rPr>
          <w:rFonts w:ascii="Verdana" w:eastAsia="Calibri" w:hAnsi="Verdana" w:cs="Arial"/>
          <w:bCs/>
          <w:color w:val="000000" w:themeColor="text1"/>
          <w:lang w:val="es-ES"/>
        </w:rPr>
        <w:t>contrato para su entrega y transferencia</w:t>
      </w:r>
      <w:r w:rsidRPr="00874B96">
        <w:rPr>
          <w:rFonts w:ascii="Verdana" w:eastAsia="Calibri" w:hAnsi="Verdana" w:cs="Arial"/>
          <w:bCs/>
          <w:color w:val="000000" w:themeColor="text1"/>
          <w:lang w:val="es-ES"/>
        </w:rPr>
        <w:t xml:space="preserve">. </w:t>
      </w:r>
      <w:r w:rsidRPr="003E0B17">
        <w:rPr>
          <w:rFonts w:ascii="Verdana" w:eastAsia="Calibri" w:hAnsi="Verdana" w:cs="Arial"/>
          <w:bCs/>
          <w:color w:val="000000" w:themeColor="text1"/>
          <w:lang w:val="es-ES"/>
        </w:rPr>
        <w:t xml:space="preserve">Adicionalmente, serán relevantes las disposiciones o lineamientos que la Entidad contratante haya expedido para el efecto. </w:t>
      </w:r>
    </w:p>
    <w:p w14:paraId="4FB5A1D6" w14:textId="77777777" w:rsidR="00B75843" w:rsidRPr="00874B96" w:rsidRDefault="00B75843" w:rsidP="00B75843">
      <w:pPr>
        <w:spacing w:after="120" w:line="276" w:lineRule="auto"/>
        <w:ind w:firstLine="708"/>
        <w:jc w:val="both"/>
        <w:rPr>
          <w:rFonts w:ascii="Verdana" w:eastAsia="Calibri" w:hAnsi="Verdana" w:cs="Arial"/>
          <w:bCs/>
          <w:color w:val="000000" w:themeColor="text1"/>
          <w:lang w:val="es-ES"/>
        </w:rPr>
      </w:pPr>
      <w:r w:rsidRPr="003E0B17">
        <w:rPr>
          <w:rFonts w:ascii="Verdana" w:eastAsia="Calibri" w:hAnsi="Verdana" w:cs="Arial"/>
          <w:bCs/>
          <w:color w:val="000000" w:themeColor="text1"/>
          <w:lang w:val="es-ES"/>
        </w:rPr>
        <w:t xml:space="preserve">Un ejemplo de ello es el </w:t>
      </w:r>
      <w:r w:rsidRPr="00874B96">
        <w:rPr>
          <w:rFonts w:ascii="Verdana" w:eastAsia="Calibri" w:hAnsi="Verdana" w:cs="Arial"/>
          <w:bCs/>
          <w:color w:val="000000" w:themeColor="text1"/>
          <w:lang w:val="es-ES"/>
        </w:rPr>
        <w:t>Manual de Reversiones de la Agencia Nacional de Infraestructura</w:t>
      </w:r>
      <w:r w:rsidRPr="003E0B17">
        <w:rPr>
          <w:rFonts w:ascii="Verdana" w:eastAsia="Calibri" w:hAnsi="Verdana" w:cs="Arial"/>
          <w:bCs/>
          <w:color w:val="000000" w:themeColor="text1"/>
          <w:lang w:val="es-ES"/>
        </w:rPr>
        <w:t xml:space="preserve">, el cual especifica el procedimiento que sigue dicha Agencia para la etapa de reversión, incluyendo: la determinación de un </w:t>
      </w:r>
      <w:r w:rsidRPr="00874B96">
        <w:rPr>
          <w:rFonts w:ascii="Verdana" w:eastAsia="Calibri" w:hAnsi="Verdana" w:cs="Arial"/>
          <w:bCs/>
          <w:color w:val="000000" w:themeColor="text1"/>
          <w:lang w:val="es-ES"/>
        </w:rPr>
        <w:t>plan y cronograma de reversión</w:t>
      </w:r>
      <w:r w:rsidRPr="003E0B17">
        <w:rPr>
          <w:rFonts w:ascii="Verdana" w:eastAsia="Calibri" w:hAnsi="Verdana" w:cs="Arial"/>
          <w:bCs/>
          <w:color w:val="000000" w:themeColor="text1"/>
          <w:lang w:val="es-ES"/>
        </w:rPr>
        <w:t xml:space="preserve">; la realización de un inventario de los </w:t>
      </w:r>
      <w:r w:rsidRPr="00874B96">
        <w:rPr>
          <w:rFonts w:ascii="Verdana" w:eastAsia="Calibri" w:hAnsi="Verdana" w:cs="Arial"/>
          <w:bCs/>
          <w:color w:val="000000" w:themeColor="text1"/>
          <w:lang w:val="es-ES"/>
        </w:rPr>
        <w:t>muebles e inmuebles afectos al proyecto que serán objeto de reversión</w:t>
      </w:r>
      <w:r w:rsidRPr="003E0B17">
        <w:rPr>
          <w:rFonts w:ascii="Verdana" w:eastAsia="Calibri" w:hAnsi="Verdana" w:cs="Arial"/>
          <w:bCs/>
          <w:color w:val="000000" w:themeColor="text1"/>
          <w:lang w:val="es-ES"/>
        </w:rPr>
        <w:t>;</w:t>
      </w:r>
      <w:r w:rsidRPr="00874B96">
        <w:rPr>
          <w:rFonts w:ascii="Verdana" w:eastAsia="Calibri" w:hAnsi="Verdana" w:cs="Arial"/>
          <w:bCs/>
          <w:color w:val="000000" w:themeColor="text1"/>
          <w:lang w:val="es-ES"/>
        </w:rPr>
        <w:t xml:space="preserve"> </w:t>
      </w:r>
      <w:r w:rsidRPr="003E0B17">
        <w:rPr>
          <w:rFonts w:ascii="Verdana" w:eastAsia="Calibri" w:hAnsi="Verdana" w:cs="Arial"/>
          <w:bCs/>
          <w:color w:val="000000" w:themeColor="text1"/>
          <w:lang w:val="es-ES"/>
        </w:rPr>
        <w:t>la verificación d</w:t>
      </w:r>
      <w:r w:rsidRPr="00874B96">
        <w:rPr>
          <w:rFonts w:ascii="Verdana" w:eastAsia="Calibri" w:hAnsi="Verdana" w:cs="Arial"/>
          <w:bCs/>
          <w:color w:val="000000" w:themeColor="text1"/>
          <w:lang w:val="es-ES"/>
        </w:rPr>
        <w:t>el estado, funcionamiento y conservación de los bienes contra indicadores y estándares técnicos pactado</w:t>
      </w:r>
      <w:r w:rsidRPr="003E0B17">
        <w:rPr>
          <w:rFonts w:ascii="Verdana" w:eastAsia="Calibri" w:hAnsi="Verdana" w:cs="Arial"/>
          <w:bCs/>
          <w:color w:val="000000" w:themeColor="text1"/>
          <w:lang w:val="es-ES"/>
        </w:rPr>
        <w:t xml:space="preserve">, </w:t>
      </w:r>
      <w:r w:rsidRPr="00874B96">
        <w:rPr>
          <w:rFonts w:ascii="Verdana" w:eastAsia="Calibri" w:hAnsi="Verdana" w:cs="Arial"/>
          <w:bCs/>
          <w:color w:val="000000" w:themeColor="text1"/>
          <w:lang w:val="es-ES"/>
        </w:rPr>
        <w:t>labor en la que la interventoría valida la información reportada por el concesionario</w:t>
      </w:r>
      <w:r w:rsidRPr="003E0B17">
        <w:rPr>
          <w:rFonts w:ascii="Verdana" w:eastAsia="Calibri" w:hAnsi="Verdana" w:cs="Arial"/>
          <w:bCs/>
          <w:color w:val="000000" w:themeColor="text1"/>
          <w:lang w:val="es-ES"/>
        </w:rPr>
        <w:t xml:space="preserve">; así como la implementación de los mecanismos de documentación del proceso </w:t>
      </w:r>
      <w:r w:rsidRPr="00874B96">
        <w:rPr>
          <w:rFonts w:ascii="Verdana" w:eastAsia="Calibri" w:hAnsi="Verdana" w:cs="Arial"/>
          <w:bCs/>
          <w:color w:val="000000" w:themeColor="text1"/>
          <w:lang w:val="es-ES"/>
        </w:rPr>
        <w:t>mediante actas de reversión y de terminación, suscritas por la entidad, la interventoría y el concesionario, en las que se deja constancia de las condiciones de entrega y del cumplimiento de los indicadores</w:t>
      </w:r>
      <w:r w:rsidRPr="003E0B17">
        <w:rPr>
          <w:rStyle w:val="FootnoteReference"/>
          <w:rFonts w:ascii="Verdana" w:eastAsia="Calibri" w:hAnsi="Verdana" w:cs="Arial"/>
          <w:bCs/>
          <w:color w:val="000000" w:themeColor="text1"/>
          <w:lang w:val="es-ES"/>
        </w:rPr>
        <w:footnoteReference w:id="23"/>
      </w:r>
      <w:r w:rsidRPr="003E0B17">
        <w:rPr>
          <w:rFonts w:ascii="Verdana" w:eastAsia="Calibri" w:hAnsi="Verdana" w:cs="Arial"/>
          <w:bCs/>
          <w:color w:val="000000" w:themeColor="text1"/>
          <w:lang w:val="es-ES"/>
        </w:rPr>
        <w:t xml:space="preserve">. </w:t>
      </w:r>
    </w:p>
    <w:p w14:paraId="060E5BEC" w14:textId="77777777" w:rsidR="00B75843" w:rsidRPr="003E0B17" w:rsidRDefault="00B75843" w:rsidP="00B75843">
      <w:pPr>
        <w:spacing w:after="120" w:line="276" w:lineRule="auto"/>
        <w:ind w:firstLine="708"/>
        <w:jc w:val="both"/>
        <w:rPr>
          <w:rFonts w:ascii="Verdana" w:eastAsia="Calibri" w:hAnsi="Verdana" w:cs="Arial"/>
          <w:bCs/>
          <w:color w:val="000000" w:themeColor="text1"/>
          <w:lang w:val="es-ES"/>
        </w:rPr>
      </w:pPr>
      <w:r w:rsidRPr="003E0B17">
        <w:rPr>
          <w:rFonts w:ascii="Verdana" w:eastAsia="Calibri" w:hAnsi="Verdana" w:cs="Arial"/>
          <w:bCs/>
          <w:color w:val="000000" w:themeColor="text1"/>
          <w:lang w:val="es-ES"/>
        </w:rPr>
        <w:t>En suma,</w:t>
      </w:r>
      <w:r>
        <w:rPr>
          <w:rFonts w:ascii="Verdana" w:eastAsia="Calibri" w:hAnsi="Verdana" w:cs="Arial"/>
          <w:bCs/>
          <w:color w:val="000000" w:themeColor="text1"/>
          <w:lang w:val="es-ES"/>
        </w:rPr>
        <w:t xml:space="preserve"> </w:t>
      </w:r>
      <w:r w:rsidRPr="003E0B17">
        <w:rPr>
          <w:rFonts w:ascii="Verdana" w:eastAsia="Calibri" w:hAnsi="Verdana" w:cs="Arial"/>
          <w:bCs/>
          <w:color w:val="000000" w:themeColor="text1"/>
          <w:lang w:val="es-ES"/>
        </w:rPr>
        <w:t>l</w:t>
      </w:r>
      <w:r w:rsidRPr="00874B96">
        <w:rPr>
          <w:rFonts w:ascii="Verdana" w:eastAsia="Calibri" w:hAnsi="Verdana" w:cs="Arial"/>
          <w:bCs/>
          <w:color w:val="000000" w:themeColor="text1"/>
          <w:lang w:val="es-ES"/>
        </w:rPr>
        <w:t xml:space="preserve">os bienes e infraestructura construidos, adquiridos o incorporados con recursos privados durante la ejecución de una APP de iniciativa privada sin desembolso de recursos públicos están sujetos a reversión a favor de la entidad estatal, sin compensación, </w:t>
      </w:r>
      <w:r w:rsidRPr="003E0B17">
        <w:rPr>
          <w:rFonts w:ascii="Verdana" w:eastAsia="Calibri" w:hAnsi="Verdana" w:cs="Arial"/>
          <w:bCs/>
          <w:color w:val="000000" w:themeColor="text1"/>
          <w:lang w:val="es-ES"/>
        </w:rPr>
        <w:t xml:space="preserve">en los términos del </w:t>
      </w:r>
      <w:r w:rsidRPr="00874B96">
        <w:rPr>
          <w:rFonts w:ascii="Verdana" w:eastAsia="Calibri" w:hAnsi="Verdana" w:cs="Arial"/>
          <w:bCs/>
          <w:color w:val="000000" w:themeColor="text1"/>
          <w:lang w:val="es-ES"/>
        </w:rPr>
        <w:t xml:space="preserve">artículo 31 de la Ley 1508 de 2012 y del artículo 2.2.2.1.8.4 del Decreto 1082 de 2015, en tanto se trate de bienes directamente afectados a la prestación del servicio o a la ejecución del proyecto. </w:t>
      </w:r>
      <w:r>
        <w:rPr>
          <w:rFonts w:ascii="Verdana" w:eastAsia="Calibri" w:hAnsi="Verdana" w:cs="Arial"/>
          <w:bCs/>
          <w:color w:val="000000" w:themeColor="text1"/>
          <w:lang w:val="es-ES"/>
        </w:rPr>
        <w:t xml:space="preserve"> </w:t>
      </w:r>
      <w:r w:rsidRPr="003E0B17">
        <w:rPr>
          <w:rFonts w:ascii="Verdana" w:eastAsia="Calibri" w:hAnsi="Verdana" w:cs="Arial"/>
          <w:bCs/>
          <w:color w:val="000000" w:themeColor="text1"/>
          <w:lang w:val="es-ES"/>
        </w:rPr>
        <w:t xml:space="preserve">El mecanismo </w:t>
      </w:r>
      <w:r w:rsidRPr="00874B96">
        <w:rPr>
          <w:rFonts w:ascii="Verdana" w:eastAsia="Calibri" w:hAnsi="Verdana" w:cs="Arial"/>
          <w:bCs/>
          <w:color w:val="000000" w:themeColor="text1"/>
          <w:lang w:val="es-ES"/>
        </w:rPr>
        <w:t>para verificar su estado, funcionamiento, conservación, inventario y condiciones de entrega es una función de la entidad estatal</w:t>
      </w:r>
      <w:r>
        <w:rPr>
          <w:rFonts w:ascii="Verdana" w:eastAsia="Calibri" w:hAnsi="Verdana" w:cs="Arial"/>
          <w:bCs/>
          <w:color w:val="000000" w:themeColor="text1"/>
          <w:lang w:val="es-ES"/>
        </w:rPr>
        <w:t xml:space="preserve"> que ejerce con el apoyo de la </w:t>
      </w:r>
      <w:r w:rsidRPr="00874B96">
        <w:rPr>
          <w:rFonts w:ascii="Verdana" w:eastAsia="Calibri" w:hAnsi="Verdana" w:cs="Arial"/>
          <w:bCs/>
          <w:color w:val="000000" w:themeColor="text1"/>
          <w:lang w:val="es-ES"/>
        </w:rPr>
        <w:t xml:space="preserve">interventoría del contrato, y </w:t>
      </w:r>
      <w:r>
        <w:rPr>
          <w:rFonts w:ascii="Verdana" w:eastAsia="Calibri" w:hAnsi="Verdana" w:cs="Arial"/>
          <w:bCs/>
          <w:color w:val="000000" w:themeColor="text1"/>
          <w:lang w:val="es-ES"/>
        </w:rPr>
        <w:t xml:space="preserve">que </w:t>
      </w:r>
      <w:r w:rsidRPr="00874B96">
        <w:rPr>
          <w:rFonts w:ascii="Verdana" w:eastAsia="Calibri" w:hAnsi="Verdana" w:cs="Arial"/>
          <w:bCs/>
          <w:color w:val="000000" w:themeColor="text1"/>
          <w:lang w:val="es-ES"/>
        </w:rPr>
        <w:t>se materializa a través de</w:t>
      </w:r>
      <w:r w:rsidRPr="003E0B17">
        <w:rPr>
          <w:rFonts w:ascii="Verdana" w:eastAsia="Calibri" w:hAnsi="Verdana" w:cs="Arial"/>
          <w:bCs/>
          <w:color w:val="000000" w:themeColor="text1"/>
          <w:lang w:val="es-ES"/>
        </w:rPr>
        <w:t>l</w:t>
      </w:r>
      <w:r w:rsidRPr="00874B96">
        <w:rPr>
          <w:rFonts w:ascii="Verdana" w:eastAsia="Calibri" w:hAnsi="Verdana" w:cs="Arial"/>
          <w:bCs/>
          <w:color w:val="000000" w:themeColor="text1"/>
          <w:lang w:val="es-ES"/>
        </w:rPr>
        <w:t xml:space="preserve"> procedimiento </w:t>
      </w:r>
      <w:r w:rsidRPr="003E0B17">
        <w:rPr>
          <w:rFonts w:ascii="Verdana" w:eastAsia="Calibri" w:hAnsi="Verdana" w:cs="Arial"/>
          <w:bCs/>
          <w:color w:val="000000" w:themeColor="text1"/>
          <w:lang w:val="es-ES"/>
        </w:rPr>
        <w:t xml:space="preserve">que definan las partes </w:t>
      </w:r>
      <w:r w:rsidRPr="00874B96">
        <w:rPr>
          <w:rFonts w:ascii="Verdana" w:eastAsia="Calibri" w:hAnsi="Verdana" w:cs="Arial"/>
          <w:bCs/>
          <w:color w:val="000000" w:themeColor="text1"/>
          <w:lang w:val="es-ES"/>
        </w:rPr>
        <w:t>contractualment</w:t>
      </w:r>
      <w:r w:rsidRPr="003E0B17">
        <w:rPr>
          <w:rFonts w:ascii="Verdana" w:eastAsia="Calibri" w:hAnsi="Verdana" w:cs="Arial"/>
          <w:bCs/>
          <w:color w:val="000000" w:themeColor="text1"/>
          <w:lang w:val="es-ES"/>
        </w:rPr>
        <w:t xml:space="preserve">e; el cual puede contemplar </w:t>
      </w:r>
      <w:r>
        <w:rPr>
          <w:rFonts w:ascii="Verdana" w:eastAsia="Calibri" w:hAnsi="Verdana" w:cs="Arial"/>
          <w:bCs/>
          <w:color w:val="000000" w:themeColor="text1"/>
          <w:lang w:val="es-ES"/>
        </w:rPr>
        <w:t xml:space="preserve"> aspectos como: </w:t>
      </w:r>
      <w:r w:rsidRPr="003E0B17">
        <w:rPr>
          <w:rFonts w:ascii="Verdana" w:eastAsia="Calibri" w:hAnsi="Verdana" w:cs="Arial"/>
          <w:bCs/>
          <w:color w:val="000000" w:themeColor="text1"/>
          <w:lang w:val="es-ES"/>
        </w:rPr>
        <w:t>la realización de un</w:t>
      </w:r>
      <w:r w:rsidRPr="00874B96">
        <w:rPr>
          <w:rFonts w:ascii="Verdana" w:eastAsia="Calibri" w:hAnsi="Verdana" w:cs="Arial"/>
          <w:bCs/>
          <w:color w:val="000000" w:themeColor="text1"/>
          <w:lang w:val="es-ES"/>
        </w:rPr>
        <w:t xml:space="preserve"> plan y cronograma de reversión activado con la anticipación legal,</w:t>
      </w:r>
      <w:r w:rsidRPr="003E0B17">
        <w:rPr>
          <w:rFonts w:ascii="Verdana" w:eastAsia="Calibri" w:hAnsi="Verdana" w:cs="Arial"/>
          <w:bCs/>
          <w:color w:val="000000" w:themeColor="text1"/>
          <w:lang w:val="es-ES"/>
        </w:rPr>
        <w:t xml:space="preserve"> el</w:t>
      </w:r>
      <w:r w:rsidRPr="00874B96">
        <w:rPr>
          <w:rFonts w:ascii="Verdana" w:eastAsia="Calibri" w:hAnsi="Verdana" w:cs="Arial"/>
          <w:bCs/>
          <w:color w:val="000000" w:themeColor="text1"/>
          <w:lang w:val="es-ES"/>
        </w:rPr>
        <w:t xml:space="preserve"> inventario de los bienes afectos, </w:t>
      </w:r>
      <w:r w:rsidRPr="003E0B17">
        <w:rPr>
          <w:rFonts w:ascii="Verdana" w:eastAsia="Calibri" w:hAnsi="Verdana" w:cs="Arial"/>
          <w:bCs/>
          <w:color w:val="000000" w:themeColor="text1"/>
          <w:lang w:val="es-ES"/>
        </w:rPr>
        <w:t xml:space="preserve">la </w:t>
      </w:r>
      <w:r w:rsidRPr="00874B96">
        <w:rPr>
          <w:rFonts w:ascii="Verdana" w:eastAsia="Calibri" w:hAnsi="Verdana" w:cs="Arial"/>
          <w:bCs/>
          <w:color w:val="000000" w:themeColor="text1"/>
          <w:lang w:val="es-ES"/>
        </w:rPr>
        <w:t xml:space="preserve">verificación técnica con validación de la interventoría, y </w:t>
      </w:r>
      <w:r w:rsidRPr="003E0B17">
        <w:rPr>
          <w:rFonts w:ascii="Verdana" w:eastAsia="Calibri" w:hAnsi="Verdana" w:cs="Arial"/>
          <w:bCs/>
          <w:color w:val="000000" w:themeColor="text1"/>
          <w:lang w:val="es-ES"/>
        </w:rPr>
        <w:t xml:space="preserve">la </w:t>
      </w:r>
      <w:r w:rsidRPr="00874B96">
        <w:rPr>
          <w:rFonts w:ascii="Verdana" w:eastAsia="Calibri" w:hAnsi="Verdana" w:cs="Arial"/>
          <w:bCs/>
          <w:color w:val="000000" w:themeColor="text1"/>
          <w:lang w:val="es-ES"/>
        </w:rPr>
        <w:t xml:space="preserve">suscripción de actas de reversión y de terminación entre la entidad, la interventoría y el </w:t>
      </w:r>
      <w:r w:rsidRPr="00874B96">
        <w:rPr>
          <w:rFonts w:ascii="Verdana" w:eastAsia="Calibri" w:hAnsi="Verdana" w:cs="Arial"/>
          <w:bCs/>
          <w:color w:val="000000" w:themeColor="text1"/>
          <w:lang w:val="es-ES"/>
        </w:rPr>
        <w:lastRenderedPageBreak/>
        <w:t>concesionario. Para su adecuada operación, el contrato de APP debe delimitar con precisión los bienes revertibles, su estado de entrega, el procedimiento de reversión</w:t>
      </w:r>
      <w:r w:rsidRPr="003E0B17">
        <w:rPr>
          <w:rFonts w:ascii="Verdana" w:eastAsia="Calibri" w:hAnsi="Verdana" w:cs="Arial"/>
          <w:bCs/>
          <w:color w:val="000000" w:themeColor="text1"/>
          <w:lang w:val="es-ES"/>
        </w:rPr>
        <w:t>.</w:t>
      </w:r>
    </w:p>
    <w:p w14:paraId="6FE923A7" w14:textId="77777777" w:rsidR="00B75843" w:rsidRPr="003E0B17" w:rsidRDefault="00B75843" w:rsidP="00B75843">
      <w:pPr>
        <w:spacing w:after="120" w:line="276" w:lineRule="auto"/>
        <w:ind w:firstLine="708"/>
        <w:jc w:val="both"/>
        <w:rPr>
          <w:rFonts w:ascii="Verdana" w:eastAsia="Calibri" w:hAnsi="Verdana" w:cs="Arial"/>
          <w:bCs/>
          <w:color w:val="000000" w:themeColor="text1"/>
          <w:lang w:val="es-ES"/>
        </w:rPr>
      </w:pPr>
      <w:r w:rsidRPr="003E0B17">
        <w:rPr>
          <w:rFonts w:ascii="Verdana" w:eastAsia="Calibri" w:hAnsi="Verdana" w:cs="Arial"/>
          <w:bCs/>
          <w:color w:val="000000" w:themeColor="text1"/>
          <w:lang w:val="es-ES"/>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5E09C357" w14:textId="77777777" w:rsidR="00B75843" w:rsidRPr="003E0B17" w:rsidRDefault="00B75843" w:rsidP="00B75843">
      <w:pPr>
        <w:spacing w:after="0" w:line="276" w:lineRule="auto"/>
        <w:ind w:firstLine="708"/>
        <w:jc w:val="both"/>
        <w:rPr>
          <w:rFonts w:ascii="Verdana" w:eastAsia="Calibri" w:hAnsi="Verdana" w:cs="Arial"/>
          <w:bCs/>
          <w:color w:val="000000" w:themeColor="text1"/>
          <w:lang w:val="es-ES"/>
        </w:rPr>
      </w:pPr>
      <w:r w:rsidRPr="003E0B17">
        <w:rPr>
          <w:rFonts w:ascii="Verdana" w:eastAsia="Calibri" w:hAnsi="Verdana" w:cs="Arial"/>
          <w:bCs/>
          <w:color w:val="000000" w:themeColor="text1"/>
          <w:lang w:val="es-ES"/>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3797BC3E" w14:textId="77777777" w:rsidR="00B75843" w:rsidRPr="003E0B17" w:rsidRDefault="00B75843" w:rsidP="00B75843">
      <w:pPr>
        <w:spacing w:after="0" w:line="276" w:lineRule="auto"/>
        <w:jc w:val="both"/>
        <w:rPr>
          <w:rFonts w:ascii="Verdana" w:eastAsia="Times New Roman" w:hAnsi="Verdana" w:cs="Arial"/>
          <w:color w:val="000000" w:themeColor="text1"/>
          <w:lang w:val="es-ES"/>
        </w:rPr>
      </w:pPr>
    </w:p>
    <w:p w14:paraId="531D75FB" w14:textId="77777777" w:rsidR="00B75843" w:rsidRPr="003E0B17" w:rsidRDefault="00B75843" w:rsidP="00B75843">
      <w:pPr>
        <w:pStyle w:val="ListParagraph"/>
        <w:numPr>
          <w:ilvl w:val="0"/>
          <w:numId w:val="17"/>
        </w:numPr>
        <w:tabs>
          <w:tab w:val="left" w:pos="142"/>
          <w:tab w:val="left" w:pos="284"/>
        </w:tabs>
        <w:spacing w:after="0" w:line="276" w:lineRule="auto"/>
        <w:jc w:val="both"/>
        <w:rPr>
          <w:rFonts w:ascii="Verdana" w:eastAsia="Century Gothic" w:hAnsi="Verdana" w:cs="Century Gothic"/>
          <w:b/>
          <w:color w:val="000000" w:themeColor="text1"/>
        </w:rPr>
      </w:pPr>
      <w:r w:rsidRPr="003E0B17">
        <w:rPr>
          <w:rFonts w:ascii="Verdana" w:eastAsia="Century Gothic" w:hAnsi="Verdana" w:cs="Century Gothic"/>
          <w:b/>
          <w:color w:val="000000" w:themeColor="text1"/>
        </w:rPr>
        <w:t>Referencias normativas, jurisprudenciales y otras fuentes:</w:t>
      </w:r>
    </w:p>
    <w:p w14:paraId="2C4407C2" w14:textId="77777777" w:rsidR="00B75843" w:rsidRPr="003E0B17" w:rsidRDefault="00B75843" w:rsidP="00B75843">
      <w:pPr>
        <w:widowControl w:val="0"/>
        <w:autoSpaceDE w:val="0"/>
        <w:autoSpaceDN w:val="0"/>
        <w:spacing w:after="0" w:line="276" w:lineRule="auto"/>
        <w:jc w:val="both"/>
        <w:rPr>
          <w:rFonts w:ascii="Verdana" w:hAnsi="Verdana" w:cs="Arial"/>
          <w:color w:val="000000" w:themeColor="text1"/>
          <w:lang w:val="es-ES"/>
        </w:rPr>
      </w:pPr>
    </w:p>
    <w:tbl>
      <w:tblPr>
        <w:tblStyle w:val="TableGrid"/>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B75843" w:rsidRPr="003E0B17" w14:paraId="521EC144" w14:textId="77777777" w:rsidTr="00213751">
        <w:trPr>
          <w:trHeight w:val="297"/>
        </w:trPr>
        <w:tc>
          <w:tcPr>
            <w:tcW w:w="8647" w:type="dxa"/>
          </w:tcPr>
          <w:p w14:paraId="48EA74B1" w14:textId="77777777" w:rsidR="00B75843" w:rsidRPr="003E0B17" w:rsidRDefault="00B75843" w:rsidP="00B3180C">
            <w:pPr>
              <w:pStyle w:val="ListParagraph"/>
              <w:widowControl w:val="0"/>
              <w:numPr>
                <w:ilvl w:val="0"/>
                <w:numId w:val="16"/>
              </w:numPr>
              <w:autoSpaceDE w:val="0"/>
              <w:autoSpaceDN w:val="0"/>
              <w:snapToGrid w:val="0"/>
              <w:ind w:left="714" w:hanging="357"/>
              <w:jc w:val="both"/>
              <w:rPr>
                <w:rFonts w:ascii="Verdana" w:hAnsi="Verdana" w:cs="Arial"/>
              </w:rPr>
            </w:pPr>
            <w:r w:rsidRPr="003E0B17">
              <w:rPr>
                <w:rFonts w:ascii="Verdana" w:hAnsi="Verdana" w:cs="Arial"/>
              </w:rPr>
              <w:t>Ley 80 de 1993, artículos 4, 5, 12, 14, 26 y 32.</w:t>
            </w:r>
          </w:p>
          <w:p w14:paraId="658B949F" w14:textId="77777777" w:rsidR="00B75843" w:rsidRPr="003E0B17" w:rsidRDefault="00B75843" w:rsidP="00B3180C">
            <w:pPr>
              <w:pStyle w:val="ListParagraph"/>
              <w:widowControl w:val="0"/>
              <w:numPr>
                <w:ilvl w:val="0"/>
                <w:numId w:val="16"/>
              </w:numPr>
              <w:autoSpaceDE w:val="0"/>
              <w:autoSpaceDN w:val="0"/>
              <w:snapToGrid w:val="0"/>
              <w:ind w:left="714" w:hanging="357"/>
              <w:jc w:val="both"/>
              <w:rPr>
                <w:rFonts w:ascii="Verdana" w:hAnsi="Verdana" w:cs="Arial"/>
              </w:rPr>
            </w:pPr>
            <w:r w:rsidRPr="003E0B17">
              <w:rPr>
                <w:rFonts w:ascii="Verdana" w:hAnsi="Verdana" w:cs="Arial"/>
              </w:rPr>
              <w:t>Ley 1150 de 2007, artículo 2.</w:t>
            </w:r>
          </w:p>
          <w:p w14:paraId="36D18E4D" w14:textId="77777777" w:rsidR="00B75843" w:rsidRPr="003E0B17" w:rsidRDefault="00B75843" w:rsidP="00B3180C">
            <w:pPr>
              <w:pStyle w:val="ListParagraph"/>
              <w:widowControl w:val="0"/>
              <w:numPr>
                <w:ilvl w:val="0"/>
                <w:numId w:val="16"/>
              </w:numPr>
              <w:autoSpaceDE w:val="0"/>
              <w:autoSpaceDN w:val="0"/>
              <w:snapToGrid w:val="0"/>
              <w:ind w:left="714" w:hanging="357"/>
              <w:jc w:val="both"/>
              <w:rPr>
                <w:rFonts w:ascii="Verdana" w:hAnsi="Verdana" w:cs="Arial"/>
              </w:rPr>
            </w:pPr>
            <w:r w:rsidRPr="003E0B17">
              <w:rPr>
                <w:rFonts w:ascii="Verdana" w:hAnsi="Verdana" w:cs="Arial"/>
              </w:rPr>
              <w:t>Ley 1474 de 2011, artículo 83.</w:t>
            </w:r>
          </w:p>
          <w:p w14:paraId="204CE116" w14:textId="77777777" w:rsidR="00B75843" w:rsidRPr="003E0B17" w:rsidRDefault="00B75843" w:rsidP="00B3180C">
            <w:pPr>
              <w:pStyle w:val="ListParagraph"/>
              <w:widowControl w:val="0"/>
              <w:numPr>
                <w:ilvl w:val="0"/>
                <w:numId w:val="16"/>
              </w:numPr>
              <w:autoSpaceDE w:val="0"/>
              <w:autoSpaceDN w:val="0"/>
              <w:snapToGrid w:val="0"/>
              <w:ind w:left="714" w:hanging="357"/>
              <w:jc w:val="both"/>
              <w:rPr>
                <w:rFonts w:ascii="Verdana" w:hAnsi="Verdana" w:cs="Arial"/>
              </w:rPr>
            </w:pPr>
            <w:r w:rsidRPr="003E0B17">
              <w:rPr>
                <w:rFonts w:ascii="Verdana" w:hAnsi="Verdana" w:cs="Arial"/>
              </w:rPr>
              <w:t>Ley 1508 de 2012, artículos 14, 31 y 33.</w:t>
            </w:r>
          </w:p>
          <w:p w14:paraId="4063DCEA" w14:textId="77777777" w:rsidR="00B75843" w:rsidRPr="003E0B17" w:rsidRDefault="00B75843" w:rsidP="00B3180C">
            <w:pPr>
              <w:widowControl w:val="0"/>
              <w:numPr>
                <w:ilvl w:val="0"/>
                <w:numId w:val="16"/>
              </w:numPr>
              <w:autoSpaceDE w:val="0"/>
              <w:autoSpaceDN w:val="0"/>
              <w:snapToGrid w:val="0"/>
              <w:ind w:left="714" w:hanging="357"/>
              <w:contextualSpacing/>
              <w:jc w:val="both"/>
              <w:rPr>
                <w:rFonts w:ascii="Verdana" w:hAnsi="Verdana" w:cs="Arial"/>
                <w:lang w:val="es-ES"/>
              </w:rPr>
            </w:pPr>
            <w:r w:rsidRPr="003E0B17">
              <w:rPr>
                <w:rFonts w:ascii="Verdana" w:hAnsi="Verdana" w:cs="Arial"/>
                <w:lang w:val="es-ES"/>
              </w:rPr>
              <w:t>Ley 2069 de 2020, artículo 30.</w:t>
            </w:r>
          </w:p>
        </w:tc>
      </w:tr>
    </w:tbl>
    <w:p w14:paraId="00E939C1" w14:textId="77777777" w:rsidR="00B75843" w:rsidRPr="003E0B17" w:rsidRDefault="00B75843" w:rsidP="00B75843">
      <w:pPr>
        <w:widowControl w:val="0"/>
        <w:autoSpaceDE w:val="0"/>
        <w:autoSpaceDN w:val="0"/>
        <w:spacing w:after="0" w:line="276" w:lineRule="auto"/>
        <w:jc w:val="both"/>
        <w:rPr>
          <w:rFonts w:ascii="Verdana" w:hAnsi="Verdana" w:cs="Arial"/>
          <w:color w:val="000000" w:themeColor="text1"/>
          <w:lang w:val="es-ES"/>
        </w:rPr>
      </w:pPr>
    </w:p>
    <w:p w14:paraId="0E5951BF" w14:textId="77777777" w:rsidR="00B75843" w:rsidRPr="003E0B17" w:rsidRDefault="00B75843" w:rsidP="00B75843">
      <w:pPr>
        <w:pStyle w:val="ListParagraph"/>
        <w:numPr>
          <w:ilvl w:val="0"/>
          <w:numId w:val="17"/>
        </w:numPr>
        <w:tabs>
          <w:tab w:val="left" w:pos="142"/>
          <w:tab w:val="left" w:pos="284"/>
        </w:tabs>
        <w:spacing w:after="0" w:line="276" w:lineRule="auto"/>
        <w:jc w:val="both"/>
        <w:rPr>
          <w:rFonts w:ascii="Verdana" w:eastAsia="Century Gothic" w:hAnsi="Verdana" w:cs="Century Gothic"/>
          <w:b/>
          <w:color w:val="000000" w:themeColor="text1"/>
        </w:rPr>
      </w:pPr>
      <w:r w:rsidRPr="003E0B17">
        <w:rPr>
          <w:rFonts w:ascii="Verdana" w:eastAsia="Century Gothic" w:hAnsi="Verdana" w:cs="Century Gothic"/>
          <w:b/>
          <w:color w:val="000000" w:themeColor="text1"/>
        </w:rPr>
        <w:t>Doctrina de la Agencia Nacional de Contratación Pública:</w:t>
      </w:r>
    </w:p>
    <w:p w14:paraId="13A1BB72" w14:textId="77777777" w:rsidR="00B75843" w:rsidRPr="003E0B17" w:rsidRDefault="00B75843" w:rsidP="00B75843">
      <w:pPr>
        <w:widowControl w:val="0"/>
        <w:autoSpaceDE w:val="0"/>
        <w:autoSpaceDN w:val="0"/>
        <w:spacing w:after="0" w:line="276" w:lineRule="auto"/>
        <w:jc w:val="both"/>
        <w:rPr>
          <w:rFonts w:ascii="Verdana" w:hAnsi="Verdana" w:cs="Arial"/>
          <w:color w:val="000000" w:themeColor="text1"/>
          <w:lang w:val="es-ES"/>
        </w:rPr>
      </w:pPr>
    </w:p>
    <w:p w14:paraId="3EA0C617" w14:textId="77777777" w:rsidR="00B75843" w:rsidRPr="003E0B17" w:rsidRDefault="00B75843" w:rsidP="00B3180C">
      <w:pPr>
        <w:snapToGrid w:val="0"/>
        <w:spacing w:before="120" w:after="120" w:line="276" w:lineRule="auto"/>
        <w:jc w:val="both"/>
        <w:rPr>
          <w:rFonts w:ascii="Arial" w:eastAsia="Calibri" w:hAnsi="Arial" w:cs="Arial"/>
          <w:b/>
          <w:bCs/>
          <w:color w:val="000000" w:themeColor="text1"/>
          <w:lang w:val="es-ES"/>
        </w:rPr>
      </w:pPr>
      <w:r w:rsidRPr="003E0B17">
        <w:rPr>
          <w:rFonts w:ascii="Verdana" w:eastAsia="Calibri" w:hAnsi="Verdana" w:cs="Arial"/>
          <w:lang w:val="es-ES"/>
        </w:rPr>
        <w:t xml:space="preserve">La Agencia Nacional de Contratación Pública – Colombia Compra Eficiente se ha pronunciado sobre las APP de iniciativa privada en los conceptos C ‒ 386 del 03 de agosto de 2020, C–150 del 06 de marzo de 2025, C–1324 del 27 de octubre </w:t>
      </w:r>
      <w:r w:rsidRPr="003E0B17">
        <w:rPr>
          <w:rFonts w:ascii="Verdana" w:eastAsia="Calibri" w:hAnsi="Verdana" w:cs="Arial"/>
          <w:lang w:val="es-ES"/>
        </w:rPr>
        <w:lastRenderedPageBreak/>
        <w:t>de 2025.</w:t>
      </w:r>
      <w:r w:rsidRPr="003E0B17">
        <w:rPr>
          <w:rFonts w:ascii="Verdana" w:eastAsia="Arial" w:hAnsi="Verdana" w:cs="Arial"/>
          <w:lang w:val="es-ES"/>
        </w:rPr>
        <w:t xml:space="preserve"> Estos y</w:t>
      </w:r>
      <w:r w:rsidRPr="003E0B17">
        <w:rPr>
          <w:rFonts w:ascii="Verdana" w:hAnsi="Verdana" w:cs="Arial"/>
          <w:shd w:val="clear" w:color="auto" w:fill="FFFFFF"/>
          <w:lang w:val="es-ES"/>
        </w:rPr>
        <w:t xml:space="preserve"> </w:t>
      </w:r>
      <w:r w:rsidRPr="003E0B17">
        <w:rPr>
          <w:rFonts w:ascii="Verdana" w:hAnsi="Verdana"/>
          <w:lang w:val="es-ES"/>
        </w:rPr>
        <w:t>otros conceptos se encuentran disponibles para consulta en el Sistema de relatoría de la Agencia, al cual se puede acceder a través del siguiente enlace:</w:t>
      </w:r>
      <w:r w:rsidRPr="003E0B17">
        <w:rPr>
          <w:rFonts w:ascii="Verdana" w:hAnsi="Verdana" w:cs="Arial"/>
          <w:shd w:val="clear" w:color="auto" w:fill="FFFFFF"/>
          <w:lang w:val="es-ES"/>
        </w:rPr>
        <w:t xml:space="preserve"> </w:t>
      </w:r>
      <w:hyperlink r:id="rId14" w:history="1">
        <w:r w:rsidRPr="003E0B17">
          <w:rPr>
            <w:rStyle w:val="Hyperlink"/>
            <w:rFonts w:ascii="Verdana" w:hAnsi="Verdana"/>
            <w:lang w:val="es-ES"/>
          </w:rPr>
          <w:t>https://relatoria.colombiacompra.gov.co/busqueda/conceptos</w:t>
        </w:r>
      </w:hyperlink>
      <w:r w:rsidRPr="003E0B17">
        <w:rPr>
          <w:rFonts w:ascii="Verdana" w:hAnsi="Verdana" w:cs="Arial"/>
          <w:shd w:val="clear" w:color="auto" w:fill="FFFFFF"/>
          <w:lang w:val="es-ES"/>
        </w:rPr>
        <w:t>.</w:t>
      </w:r>
      <w:r w:rsidRPr="003E0B17">
        <w:rPr>
          <w:rFonts w:ascii="Verdana" w:hAnsi="Verdana" w:cs="Arial"/>
          <w:color w:val="FF0000"/>
          <w:shd w:val="clear" w:color="auto" w:fill="FFFFFF"/>
          <w:lang w:val="es-ES"/>
        </w:rPr>
        <w:t xml:space="preserve"> </w:t>
      </w:r>
      <w:r w:rsidRPr="003E0B17">
        <w:rPr>
          <w:rFonts w:ascii="Verdana" w:hAnsi="Verdana" w:cs="Arial"/>
          <w:color w:val="000000" w:themeColor="text1"/>
          <w:shd w:val="clear" w:color="auto" w:fill="FFFFFF"/>
          <w:lang w:val="es-ES"/>
        </w:rPr>
        <w:t>  </w:t>
      </w:r>
    </w:p>
    <w:p w14:paraId="33D260E3" w14:textId="67B905E7" w:rsidR="00B3180C" w:rsidRDefault="00B75843" w:rsidP="00B3180C">
      <w:pPr>
        <w:snapToGrid w:val="0"/>
        <w:spacing w:before="120" w:after="120" w:line="276" w:lineRule="auto"/>
        <w:jc w:val="both"/>
        <w:rPr>
          <w:rFonts w:ascii="Verdana" w:hAnsi="Verdana"/>
          <w:lang w:val="es-ES"/>
        </w:rPr>
      </w:pPr>
      <w:r w:rsidRPr="003E0B17">
        <w:rPr>
          <w:rFonts w:ascii="Verdana" w:hAnsi="Verdana"/>
          <w:lang w:val="es-ES"/>
        </w:rPr>
        <w:t>Las garantías no son un requisito formal: son el instrumento con el que se protege el patrimonio público frente a los riesgos del contrato. Por ello, la Agencia Nacional de Contratación Pública –Colombia Compra Eficiente–  invita a consultar la nueva versión de la </w:t>
      </w:r>
      <w:r w:rsidRPr="003E0B17">
        <w:rPr>
          <w:rFonts w:ascii="Verdana" w:hAnsi="Verdana"/>
          <w:b/>
          <w:bCs/>
          <w:lang w:val="es-ES"/>
        </w:rPr>
        <w:t>Guía para la Exigencia y Constitución de Garantías en los Procesos de Contratación</w:t>
      </w:r>
      <w:r w:rsidRPr="003E0B17">
        <w:rPr>
          <w:rFonts w:ascii="Verdana" w:hAnsi="Verdana"/>
          <w:lang w:val="es-ES"/>
        </w:rPr>
        <w:t>, dirigida a las entidades sometidas al EGCAP y a las de regímenes exceptuados, así como a proveedores y órganos de control. Encontrará orientaciones sobre las clases de garantías admisibles, la correspondencia entre riesgos asignados y amparos exigidos, su suficiencia y vigencia, y el procedimiento para hacerlas efectivas. Consúltela aquí: </w:t>
      </w:r>
      <w:hyperlink r:id="rId15">
        <w:r w:rsidRPr="003E0B17">
          <w:rPr>
            <w:rStyle w:val="Hyperlink"/>
            <w:rFonts w:ascii="Verdana" w:hAnsi="Verdana"/>
            <w:lang w:val="es-ES"/>
          </w:rPr>
          <w:t>https://www.colombiacompra.gov.co/archivos/manual/guia-de-garantias-en-procesos-de-contratacion</w:t>
        </w:r>
      </w:hyperlink>
    </w:p>
    <w:p w14:paraId="259997F6" w14:textId="77777777" w:rsidR="00B3180C" w:rsidRDefault="00B75843" w:rsidP="00B3180C">
      <w:pPr>
        <w:snapToGrid w:val="0"/>
        <w:spacing w:before="120" w:after="120" w:line="276" w:lineRule="auto"/>
        <w:jc w:val="both"/>
        <w:rPr>
          <w:rFonts w:ascii="Verdana" w:hAnsi="Verdana"/>
          <w:lang w:val="es-ES"/>
        </w:rPr>
      </w:pPr>
      <w:r w:rsidRPr="003E0B17">
        <w:rPr>
          <w:rFonts w:ascii="Verdana" w:hAnsi="Verdana"/>
          <w:lang w:val="es-ES"/>
        </w:rPr>
        <w:t>De otro lado, te contamos que el Decreto 287 del 19 de marzo de 2026 sustituyó los artículos 2.2.1.2.4.2.6., 2.2.1.2.4.2.7. y 2.2.1.2.4.2.8. del Decreto 1082 de 2015 y estructuró el </w:t>
      </w:r>
      <w:r w:rsidRPr="003E0B17">
        <w:rPr>
          <w:rFonts w:ascii="Verdana" w:hAnsi="Verdana"/>
          <w:b/>
          <w:bCs/>
          <w:lang w:val="es-ES"/>
        </w:rPr>
        <w:t>Sistema Integral de Preferencias en favor de las personas con discapacidad</w:t>
      </w:r>
      <w:r w:rsidRPr="003E0B17">
        <w:rPr>
          <w:rFonts w:ascii="Verdana" w:hAnsi="Verdana"/>
          <w:lang w:val="es-ES"/>
        </w:rPr>
        <w:t>, en cumplimiento del artículo 13 de la Ley Estatutaria 1618 de 2013. Para orientar su aplicación, esta Agencia expidió la </w:t>
      </w:r>
      <w:r w:rsidRPr="003E0B17">
        <w:rPr>
          <w:rFonts w:ascii="Verdana" w:hAnsi="Verdana"/>
          <w:b/>
          <w:bCs/>
          <w:lang w:val="es-ES"/>
        </w:rPr>
        <w:t>Circular Externa 003 del 12 de mayo de 2026, </w:t>
      </w:r>
      <w:r w:rsidRPr="003E0B17">
        <w:rPr>
          <w:rFonts w:ascii="Verdana" w:hAnsi="Verdana"/>
          <w:lang w:val="es-ES"/>
        </w:rPr>
        <w:t>en la que precisa quiénes son los beneficiarios, las cinco medidas que integran el sistema y su obligatoriedad según la modalidad de selección, y el régimen de transición aplicable a los procesos en curso. Consúltela aquí: </w:t>
      </w:r>
      <w:hyperlink r:id="rId16">
        <w:r w:rsidRPr="003E0B17">
          <w:rPr>
            <w:rStyle w:val="Hyperlink"/>
            <w:rFonts w:ascii="Verdana" w:hAnsi="Verdana"/>
            <w:lang w:val="es-ES"/>
          </w:rPr>
          <w:t>https://www.colombiacompra.gov.co/archivos/circular/circular-externa-003-de-2026</w:t>
        </w:r>
      </w:hyperlink>
    </w:p>
    <w:p w14:paraId="46CEB030" w14:textId="77777777" w:rsidR="00B3180C" w:rsidRDefault="00B75843" w:rsidP="00B3180C">
      <w:pPr>
        <w:snapToGrid w:val="0"/>
        <w:spacing w:before="120" w:after="120" w:line="276" w:lineRule="auto"/>
        <w:jc w:val="both"/>
        <w:rPr>
          <w:rFonts w:ascii="Verdana" w:hAnsi="Verdana"/>
          <w:lang w:val="es-ES"/>
        </w:rPr>
      </w:pPr>
      <w:r w:rsidRPr="003E0B17">
        <w:rPr>
          <w:rFonts w:ascii="Verdana" w:hAnsi="Verdana"/>
          <w:lang w:val="es-ES"/>
        </w:rPr>
        <w:t>Recuerde también que la</w:t>
      </w:r>
      <w:r w:rsidRPr="003E0B17">
        <w:rPr>
          <w:rFonts w:ascii="Verdana" w:hAnsi="Verdana"/>
          <w:b/>
          <w:bCs/>
          <w:lang w:val="es-ES"/>
        </w:rPr>
        <w:t> información sobre sanciones e inhabilidades </w:t>
      </w:r>
      <w:r w:rsidRPr="003E0B17">
        <w:rPr>
          <w:rFonts w:ascii="Verdana" w:hAnsi="Verdana"/>
          <w:lang w:val="es-ES"/>
        </w:rPr>
        <w:t>solo cumple su función preventiva si llega oportunamente a los registros públicos. Sobre este deber, esta Agencia expidió la </w:t>
      </w:r>
      <w:r w:rsidRPr="003E0B17">
        <w:rPr>
          <w:rFonts w:ascii="Verdana" w:hAnsi="Verdana"/>
          <w:b/>
          <w:bCs/>
          <w:lang w:val="es-ES"/>
        </w:rPr>
        <w:t>Circular Externa 002 del 5 de mayo de 2026,</w:t>
      </w:r>
      <w:r w:rsidRPr="003E0B17">
        <w:rPr>
          <w:rFonts w:ascii="Verdana" w:hAnsi="Verdana"/>
          <w:lang w:val="es-ES"/>
        </w:rPr>
        <w:t xml:space="preserve">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Consúltela </w:t>
      </w:r>
      <w:r w:rsidRPr="003E0B17">
        <w:rPr>
          <w:rFonts w:ascii="Verdana" w:hAnsi="Verdana"/>
          <w:lang w:val="es-ES"/>
        </w:rPr>
        <w:lastRenderedPageBreak/>
        <w:t>aquí: </w:t>
      </w:r>
      <w:hyperlink r:id="rId17">
        <w:r w:rsidRPr="003E0B17">
          <w:rPr>
            <w:rStyle w:val="Hyperlink"/>
            <w:rFonts w:ascii="Verdana" w:hAnsi="Verdana"/>
            <w:lang w:val="es-ES"/>
          </w:rPr>
          <w:t>https://www.colombiacompra.gov.co/archivos/circular/circular-externa-002-de-2026</w:t>
        </w:r>
      </w:hyperlink>
    </w:p>
    <w:p w14:paraId="2502D2E1" w14:textId="77777777" w:rsidR="00B3180C" w:rsidRDefault="00B75843" w:rsidP="00B3180C">
      <w:pPr>
        <w:snapToGrid w:val="0"/>
        <w:spacing w:before="120" w:after="120" w:line="276" w:lineRule="auto"/>
        <w:jc w:val="both"/>
        <w:rPr>
          <w:rFonts w:ascii="Verdana" w:hAnsi="Verdana"/>
          <w:lang w:val="es-ES"/>
        </w:rPr>
      </w:pPr>
      <w:r w:rsidRPr="003E0B17">
        <w:rPr>
          <w:rFonts w:ascii="Verdana" w:hAnsi="Verdana"/>
          <w:lang w:val="es-ES"/>
        </w:rPr>
        <w:t>Finalmente, si quiere seguir de cerca la actividad de la Agencia, la tercera edición de 2026 del</w:t>
      </w:r>
      <w:r w:rsidRPr="003E0B17">
        <w:rPr>
          <w:rFonts w:ascii="Verdana" w:hAnsi="Verdana"/>
          <w:b/>
          <w:bCs/>
          <w:lang w:val="es-ES"/>
        </w:rPr>
        <w:t> Radar de la Compra Pública</w:t>
      </w:r>
      <w:r w:rsidRPr="003E0B17">
        <w:rPr>
          <w:rFonts w:ascii="Verdana" w:hAnsi="Verdana"/>
          <w:lang w:val="es-ES"/>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Descárguelo aquí: </w:t>
      </w:r>
      <w:hyperlink r:id="rId18">
        <w:r w:rsidRPr="003E0B17">
          <w:rPr>
            <w:rStyle w:val="Hyperlink"/>
            <w:rFonts w:ascii="Verdana" w:hAnsi="Verdana"/>
            <w:lang w:val="es-ES"/>
          </w:rPr>
          <w:t>https://www.colombiacompra.gov.co/archivos/boletin/boletin-edicion-n-3-de-2026-radar-de-la-compra-publica</w:t>
        </w:r>
      </w:hyperlink>
    </w:p>
    <w:p w14:paraId="73A5C789" w14:textId="6CD791D7" w:rsidR="00B75843" w:rsidRPr="003E0B17" w:rsidRDefault="00B75843" w:rsidP="00B3180C">
      <w:pPr>
        <w:snapToGrid w:val="0"/>
        <w:spacing w:before="120" w:after="120" w:line="276" w:lineRule="auto"/>
        <w:jc w:val="both"/>
        <w:rPr>
          <w:rFonts w:ascii="Verdana" w:hAnsi="Verdana"/>
          <w:lang w:val="es-ES"/>
        </w:rPr>
      </w:pPr>
      <w:r w:rsidRPr="003E0B17">
        <w:rPr>
          <w:rFonts w:ascii="Verdana" w:hAnsi="Verdana"/>
          <w:lang w:val="es-ES"/>
        </w:rPr>
        <w:t xml:space="preserve">Por último, le invitamos a seguirnos en las redes sociales en las cuales se difunde información institucional: </w:t>
      </w:r>
    </w:p>
    <w:p w14:paraId="1A89EBB0" w14:textId="77777777" w:rsidR="00B75843" w:rsidRPr="003E0B17" w:rsidRDefault="00B75843" w:rsidP="00B3180C">
      <w:pPr>
        <w:snapToGrid w:val="0"/>
        <w:spacing w:after="0" w:line="276" w:lineRule="auto"/>
        <w:contextualSpacing/>
        <w:jc w:val="both"/>
        <w:rPr>
          <w:rFonts w:ascii="Verdana" w:hAnsi="Verdana"/>
          <w:lang w:val="es-ES"/>
        </w:rPr>
      </w:pPr>
      <w:r w:rsidRPr="003E0B17">
        <w:rPr>
          <w:rFonts w:ascii="Verdana" w:hAnsi="Verdana"/>
          <w:lang w:val="es-ES"/>
        </w:rPr>
        <w:t xml:space="preserve">Twitter: </w:t>
      </w:r>
      <w:r w:rsidRPr="003E0B17">
        <w:rPr>
          <w:rStyle w:val="Hyperlink"/>
          <w:rFonts w:ascii="Verdana" w:hAnsi="Verdana" w:cs="Arial"/>
          <w:shd w:val="clear" w:color="auto" w:fill="FFFFFF"/>
          <w:lang w:val="es-ES"/>
        </w:rPr>
        <w:t>@colombiacompra</w:t>
      </w:r>
      <w:r w:rsidRPr="003E0B17">
        <w:rPr>
          <w:rFonts w:ascii="Verdana" w:hAnsi="Verdana"/>
          <w:color w:val="4472C4" w:themeColor="accent1"/>
          <w:lang w:val="es-ES"/>
        </w:rPr>
        <w:t xml:space="preserve"> </w:t>
      </w:r>
    </w:p>
    <w:p w14:paraId="38238ED0" w14:textId="77777777" w:rsidR="00B75843" w:rsidRPr="003E0B17" w:rsidRDefault="00B75843" w:rsidP="00B3180C">
      <w:pPr>
        <w:snapToGrid w:val="0"/>
        <w:spacing w:after="0" w:line="276" w:lineRule="auto"/>
        <w:contextualSpacing/>
        <w:jc w:val="both"/>
        <w:rPr>
          <w:rFonts w:ascii="Verdana" w:hAnsi="Verdana"/>
          <w:lang w:val="es-ES"/>
        </w:rPr>
      </w:pPr>
      <w:r w:rsidRPr="003E0B17">
        <w:rPr>
          <w:rFonts w:ascii="Verdana" w:hAnsi="Verdana"/>
          <w:lang w:val="es-ES"/>
        </w:rPr>
        <w:t xml:space="preserve">Facebook: </w:t>
      </w:r>
      <w:proofErr w:type="spellStart"/>
      <w:r w:rsidRPr="003E0B17">
        <w:rPr>
          <w:rStyle w:val="Hyperlink"/>
          <w:rFonts w:ascii="Verdana" w:hAnsi="Verdana" w:cs="Arial"/>
          <w:shd w:val="clear" w:color="auto" w:fill="FFFFFF"/>
          <w:lang w:val="es-ES"/>
        </w:rPr>
        <w:t>ColombiaCompraEficiente</w:t>
      </w:r>
      <w:proofErr w:type="spellEnd"/>
    </w:p>
    <w:p w14:paraId="472A8D2A" w14:textId="77777777" w:rsidR="00B75843" w:rsidRPr="003E0B17" w:rsidRDefault="00B75843" w:rsidP="00B3180C">
      <w:pPr>
        <w:snapToGrid w:val="0"/>
        <w:spacing w:after="0" w:line="276" w:lineRule="auto"/>
        <w:contextualSpacing/>
        <w:jc w:val="both"/>
        <w:rPr>
          <w:rFonts w:ascii="Verdana" w:hAnsi="Verdana"/>
          <w:lang w:val="es-ES"/>
        </w:rPr>
      </w:pPr>
      <w:r w:rsidRPr="003E0B17">
        <w:rPr>
          <w:rFonts w:ascii="Verdana" w:hAnsi="Verdana"/>
          <w:lang w:val="es-ES"/>
        </w:rPr>
        <w:t xml:space="preserve">LinkedIn: </w:t>
      </w:r>
      <w:r w:rsidRPr="003E0B17">
        <w:rPr>
          <w:rStyle w:val="Hyperlink"/>
          <w:rFonts w:ascii="Verdana" w:hAnsi="Verdana" w:cs="Arial"/>
          <w:shd w:val="clear" w:color="auto" w:fill="FFFFFF"/>
          <w:lang w:val="es-ES"/>
        </w:rPr>
        <w:t xml:space="preserve">Agencia Nacional de Contratación Pública - Colombia Compra Eficiente </w:t>
      </w:r>
      <w:r w:rsidRPr="003E0B17">
        <w:rPr>
          <w:rFonts w:ascii="Verdana" w:hAnsi="Verdana"/>
          <w:lang w:val="es-ES"/>
        </w:rPr>
        <w:t xml:space="preserve">Instagram: </w:t>
      </w:r>
      <w:r w:rsidRPr="003E0B17">
        <w:rPr>
          <w:rStyle w:val="Hyperlink"/>
          <w:rFonts w:ascii="Verdana" w:hAnsi="Verdana" w:cs="Arial"/>
          <w:shd w:val="clear" w:color="auto" w:fill="FFFFFF"/>
          <w:lang w:val="es-ES"/>
        </w:rPr>
        <w:t>@colombiacompraeficiente_cce</w:t>
      </w:r>
    </w:p>
    <w:p w14:paraId="479A0485" w14:textId="77777777" w:rsidR="00B75843" w:rsidRPr="003E0B17" w:rsidRDefault="00B75843" w:rsidP="00B3180C">
      <w:pPr>
        <w:widowControl w:val="0"/>
        <w:autoSpaceDE w:val="0"/>
        <w:autoSpaceDN w:val="0"/>
        <w:snapToGrid w:val="0"/>
        <w:spacing w:before="120" w:after="120" w:line="276" w:lineRule="auto"/>
        <w:jc w:val="both"/>
        <w:rPr>
          <w:rFonts w:ascii="Verdana" w:hAnsi="Verdana" w:cs="Arial"/>
          <w:lang w:val="es-ES"/>
        </w:rPr>
      </w:pPr>
      <w:r w:rsidRPr="003E0B17">
        <w:rPr>
          <w:rFonts w:ascii="Verdana" w:hAnsi="Verdana" w:cs="Arial"/>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7AAC3615" w14:textId="1AC5FE81" w:rsidR="00B75843" w:rsidRPr="003E0B17" w:rsidRDefault="007040A8" w:rsidP="00B3180C">
      <w:pPr>
        <w:widowControl w:val="0"/>
        <w:autoSpaceDE w:val="0"/>
        <w:autoSpaceDN w:val="0"/>
        <w:snapToGrid w:val="0"/>
        <w:spacing w:before="120" w:after="120" w:line="276" w:lineRule="auto"/>
        <w:jc w:val="both"/>
        <w:rPr>
          <w:rFonts w:ascii="Verdana" w:hAnsi="Verdana" w:cs="Arial"/>
          <w:lang w:val="es-ES"/>
        </w:rPr>
      </w:pPr>
      <w:r w:rsidRPr="000E2097">
        <w:rPr>
          <w:rFonts w:ascii="Century Gothic" w:hAnsi="Century Gothic"/>
          <w:noProof/>
          <w:lang w:val="es-ES"/>
        </w:rPr>
        <w:drawing>
          <wp:anchor distT="0" distB="0" distL="114300" distR="114300" simplePos="0" relativeHeight="251661312" behindDoc="0" locked="0" layoutInCell="1" allowOverlap="1" wp14:anchorId="2AD830ED" wp14:editId="391B0F11">
            <wp:simplePos x="0" y="0"/>
            <wp:positionH relativeFrom="column">
              <wp:posOffset>1192896</wp:posOffset>
            </wp:positionH>
            <wp:positionV relativeFrom="paragraph">
              <wp:posOffset>262890</wp:posOffset>
            </wp:positionV>
            <wp:extent cx="3771900" cy="1402080"/>
            <wp:effectExtent l="0" t="0" r="0" b="0"/>
            <wp:wrapSquare wrapText="bothSides"/>
            <wp:docPr id="246173048"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exto&#10;&#10;Descripción generada automáticament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71900" cy="1402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A3C6AE" w14:textId="31BF8109" w:rsidR="00B75843" w:rsidRPr="003E0B17" w:rsidRDefault="00B75843" w:rsidP="00B3180C">
      <w:pPr>
        <w:snapToGrid w:val="0"/>
        <w:spacing w:before="120" w:after="120" w:line="276" w:lineRule="auto"/>
        <w:rPr>
          <w:rFonts w:ascii="Verdana" w:hAnsi="Verdana" w:cs="Arial"/>
          <w:color w:val="000000" w:themeColor="text1"/>
          <w:lang w:val="es-ES" w:eastAsia="es-CO"/>
        </w:rPr>
      </w:pPr>
      <w:r w:rsidRPr="003E0B17">
        <w:rPr>
          <w:rFonts w:ascii="Verdana" w:eastAsia="Times New Roman" w:hAnsi="Verdana" w:cs="Arial"/>
          <w:color w:val="000000" w:themeColor="text1"/>
          <w:lang w:val="es-ES" w:eastAsia="es-CO"/>
        </w:rPr>
        <w:t>Atentamente,</w:t>
      </w:r>
      <w:r w:rsidRPr="003E0B17">
        <w:rPr>
          <w:rFonts w:ascii="Verdana" w:hAnsi="Verdana" w:cs="Arial"/>
          <w:color w:val="000000" w:themeColor="text1"/>
          <w:lang w:val="es-ES" w:eastAsia="es-CO"/>
        </w:rPr>
        <w:t xml:space="preserve"> </w:t>
      </w:r>
    </w:p>
    <w:p w14:paraId="1509CF37" w14:textId="09EE13CF" w:rsidR="00B75843" w:rsidRPr="003E0B17" w:rsidRDefault="00B75843" w:rsidP="00B75843">
      <w:pPr>
        <w:spacing w:after="0" w:line="276" w:lineRule="auto"/>
        <w:rPr>
          <w:rFonts w:ascii="Verdana" w:hAnsi="Verdana" w:cs="Arial"/>
          <w:color w:val="000000" w:themeColor="text1"/>
          <w:lang w:val="es-ES" w:eastAsia="es-CO"/>
        </w:rPr>
      </w:pPr>
    </w:p>
    <w:p w14:paraId="345F27D4" w14:textId="2A37741D" w:rsidR="00B75843" w:rsidRPr="003E0B17" w:rsidRDefault="00B75843" w:rsidP="00B75843">
      <w:pPr>
        <w:spacing w:line="276" w:lineRule="auto"/>
        <w:jc w:val="center"/>
        <w:rPr>
          <w:rFonts w:ascii="Verdana" w:hAnsi="Verdana" w:cs="Arial"/>
          <w:color w:val="000000" w:themeColor="text1"/>
          <w:lang w:val="es-ES" w:eastAsia="es-CO"/>
        </w:rPr>
      </w:pPr>
    </w:p>
    <w:tbl>
      <w:tblPr>
        <w:tblStyle w:val="TableGrid"/>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B75843" w:rsidRPr="003E0B17" w14:paraId="151200D3" w14:textId="77777777" w:rsidTr="00213751">
        <w:trPr>
          <w:trHeight w:val="315"/>
        </w:trPr>
        <w:tc>
          <w:tcPr>
            <w:tcW w:w="893" w:type="dxa"/>
            <w:vAlign w:val="center"/>
            <w:hideMark/>
          </w:tcPr>
          <w:p w14:paraId="4187C85B" w14:textId="77777777" w:rsidR="00B75843" w:rsidRPr="003E0B17" w:rsidRDefault="00B75843" w:rsidP="00213751">
            <w:pPr>
              <w:contextualSpacing/>
              <w:rPr>
                <w:rFonts w:ascii="Verdana" w:hAnsi="Verdana" w:cs="Arial"/>
                <w:sz w:val="16"/>
                <w:szCs w:val="16"/>
                <w:lang w:val="es-ES" w:eastAsia="es-ES"/>
              </w:rPr>
            </w:pPr>
            <w:r w:rsidRPr="003E0B17">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111E2AD2" w14:textId="77777777" w:rsidR="00B75843" w:rsidRPr="003E0B17" w:rsidRDefault="00B75843" w:rsidP="00213751">
            <w:pPr>
              <w:contextualSpacing/>
              <w:rPr>
                <w:rFonts w:ascii="Verdana" w:eastAsia="Arial" w:hAnsi="Verdana" w:cs="Arial"/>
                <w:color w:val="000000" w:themeColor="text1"/>
                <w:sz w:val="16"/>
                <w:szCs w:val="16"/>
                <w:lang w:val="es-ES"/>
              </w:rPr>
            </w:pPr>
            <w:r w:rsidRPr="003E0B17">
              <w:rPr>
                <w:rFonts w:ascii="Verdana" w:eastAsia="Arial" w:hAnsi="Verdana" w:cs="Arial"/>
                <w:color w:val="000000" w:themeColor="text1"/>
                <w:sz w:val="16"/>
                <w:szCs w:val="16"/>
                <w:lang w:val="es-ES"/>
              </w:rPr>
              <w:t>Anamaría Bonilla Prieto</w:t>
            </w:r>
          </w:p>
          <w:p w14:paraId="4D5D7302" w14:textId="77777777" w:rsidR="00B75843" w:rsidRPr="003E0B17" w:rsidRDefault="00B75843" w:rsidP="00213751">
            <w:pPr>
              <w:contextualSpacing/>
              <w:rPr>
                <w:rFonts w:ascii="Verdana" w:eastAsia="Arial" w:hAnsi="Verdana" w:cs="Arial"/>
                <w:sz w:val="16"/>
                <w:szCs w:val="16"/>
                <w:lang w:val="es-ES"/>
              </w:rPr>
            </w:pPr>
            <w:r w:rsidRPr="003E0B17">
              <w:rPr>
                <w:rStyle w:val="normaltextrun"/>
                <w:rFonts w:ascii="Verdana" w:eastAsia="Arial" w:hAnsi="Verdana" w:cs="Arial"/>
                <w:color w:val="000000" w:themeColor="text1"/>
                <w:sz w:val="16"/>
                <w:szCs w:val="16"/>
                <w:lang w:val="es-ES"/>
              </w:rPr>
              <w:t xml:space="preserve">Contratista de la Subdirección </w:t>
            </w:r>
            <w:r w:rsidRPr="003E0B17">
              <w:rPr>
                <w:rStyle w:val="normaltextrun"/>
                <w:rFonts w:ascii="Verdana" w:eastAsia="Arial" w:hAnsi="Verdana" w:cs="Arial"/>
                <w:sz w:val="16"/>
                <w:szCs w:val="16"/>
                <w:lang w:val="es-ES"/>
              </w:rPr>
              <w:t>de Gestión Contractual</w:t>
            </w:r>
          </w:p>
        </w:tc>
      </w:tr>
      <w:tr w:rsidR="00B75843" w:rsidRPr="003E0B17" w14:paraId="44AA8EA6" w14:textId="77777777" w:rsidTr="00213751">
        <w:trPr>
          <w:trHeight w:val="330"/>
        </w:trPr>
        <w:tc>
          <w:tcPr>
            <w:tcW w:w="893" w:type="dxa"/>
            <w:vAlign w:val="center"/>
            <w:hideMark/>
          </w:tcPr>
          <w:p w14:paraId="6EB6641C" w14:textId="77777777" w:rsidR="00B75843" w:rsidRPr="003E0B17" w:rsidRDefault="00B75843" w:rsidP="00213751">
            <w:pPr>
              <w:contextualSpacing/>
              <w:rPr>
                <w:rFonts w:ascii="Verdana" w:hAnsi="Verdana" w:cs="Arial"/>
                <w:sz w:val="16"/>
                <w:szCs w:val="16"/>
                <w:lang w:val="es-ES" w:eastAsia="es-ES"/>
              </w:rPr>
            </w:pPr>
            <w:r w:rsidRPr="003E0B17">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662B6E9F" w14:textId="77777777" w:rsidR="00B75843" w:rsidRPr="003E0B17" w:rsidRDefault="00B75843" w:rsidP="00213751">
            <w:pPr>
              <w:spacing w:line="276" w:lineRule="auto"/>
              <w:contextualSpacing/>
              <w:textAlignment w:val="baseline"/>
              <w:rPr>
                <w:rStyle w:val="normaltextrun"/>
                <w:rFonts w:ascii="Verdana" w:eastAsia="Arial" w:hAnsi="Verdana"/>
                <w:color w:val="000000" w:themeColor="text1"/>
                <w:sz w:val="16"/>
                <w:szCs w:val="16"/>
                <w:lang w:val="es-ES"/>
              </w:rPr>
            </w:pPr>
            <w:r w:rsidRPr="003E0B17">
              <w:rPr>
                <w:rStyle w:val="normaltextrun"/>
                <w:rFonts w:ascii="Verdana" w:eastAsia="Arial" w:hAnsi="Verdana"/>
                <w:color w:val="000000" w:themeColor="text1"/>
                <w:sz w:val="16"/>
                <w:szCs w:val="16"/>
                <w:lang w:val="es-ES"/>
              </w:rPr>
              <w:t>Alejandro Sarmiento Cantillo</w:t>
            </w:r>
          </w:p>
          <w:p w14:paraId="2B3FABB2" w14:textId="77777777" w:rsidR="00B75843" w:rsidRPr="003E0B17" w:rsidRDefault="00B75843" w:rsidP="00213751">
            <w:pPr>
              <w:pStyle w:val="paragraph"/>
              <w:spacing w:before="0" w:beforeAutospacing="0" w:after="0" w:afterAutospacing="0"/>
              <w:contextualSpacing/>
              <w:textAlignment w:val="baseline"/>
              <w:rPr>
                <w:rFonts w:ascii="Verdana" w:hAnsi="Verdana" w:cs="Segoe UI"/>
                <w:sz w:val="16"/>
                <w:szCs w:val="16"/>
                <w:lang w:val="es-ES"/>
              </w:rPr>
            </w:pPr>
            <w:r w:rsidRPr="003E0B17">
              <w:rPr>
                <w:rStyle w:val="normaltextrun"/>
                <w:rFonts w:ascii="Verdana" w:eastAsia="Arial" w:hAnsi="Verdana"/>
                <w:color w:val="000000" w:themeColor="text1"/>
                <w:sz w:val="16"/>
                <w:szCs w:val="16"/>
                <w:lang w:val="es-ES" w:eastAsia="en-US"/>
              </w:rPr>
              <w:t xml:space="preserve">Gestor T1 – 15 </w:t>
            </w:r>
            <w:r w:rsidRPr="003E0B17">
              <w:rPr>
                <w:rStyle w:val="normaltextrun"/>
                <w:rFonts w:ascii="Verdana" w:eastAsia="Arial" w:hAnsi="Verdana" w:cs="Arial"/>
                <w:color w:val="000000" w:themeColor="text1"/>
                <w:sz w:val="16"/>
                <w:szCs w:val="16"/>
                <w:lang w:val="es-ES" w:eastAsia="en-US"/>
              </w:rPr>
              <w:t>de la Subdirección de Gestión Contractual</w:t>
            </w:r>
            <w:r w:rsidRPr="003E0B17">
              <w:rPr>
                <w:rStyle w:val="eop"/>
                <w:rFonts w:ascii="Verdana" w:hAnsi="Verdana" w:cs="Arial"/>
                <w:sz w:val="16"/>
                <w:szCs w:val="16"/>
                <w:lang w:val="es-ES"/>
              </w:rPr>
              <w:t> </w:t>
            </w:r>
          </w:p>
        </w:tc>
      </w:tr>
      <w:tr w:rsidR="00B75843" w:rsidRPr="003E0B17" w14:paraId="7B3BBC78" w14:textId="77777777" w:rsidTr="00213751">
        <w:trPr>
          <w:trHeight w:val="300"/>
        </w:trPr>
        <w:tc>
          <w:tcPr>
            <w:tcW w:w="893" w:type="dxa"/>
            <w:vAlign w:val="center"/>
          </w:tcPr>
          <w:p w14:paraId="5E2F5EFA" w14:textId="77777777" w:rsidR="00B75843" w:rsidRPr="003E0B17" w:rsidRDefault="00B75843" w:rsidP="00213751">
            <w:pPr>
              <w:contextualSpacing/>
              <w:rPr>
                <w:rFonts w:ascii="Verdana" w:hAnsi="Verdana" w:cs="Arial"/>
                <w:sz w:val="16"/>
                <w:szCs w:val="16"/>
                <w:lang w:val="es-ES" w:eastAsia="es-ES"/>
              </w:rPr>
            </w:pPr>
            <w:r w:rsidRPr="003E0B17">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5A5B9381" w14:textId="77777777" w:rsidR="00B75843" w:rsidRPr="003E0B17" w:rsidRDefault="00B75843" w:rsidP="00213751">
            <w:pPr>
              <w:contextualSpacing/>
              <w:rPr>
                <w:rFonts w:ascii="Verdana" w:eastAsia="Calibri" w:hAnsi="Verdana" w:cs="Arial"/>
                <w:sz w:val="16"/>
                <w:szCs w:val="16"/>
                <w:lang w:val="es-ES" w:eastAsia="es-ES"/>
              </w:rPr>
            </w:pPr>
            <w:r w:rsidRPr="003E0B17">
              <w:rPr>
                <w:rFonts w:ascii="Verdana" w:eastAsia="Calibri" w:hAnsi="Verdana" w:cs="Arial"/>
                <w:sz w:val="16"/>
                <w:szCs w:val="16"/>
                <w:lang w:val="es-ES" w:eastAsia="es-ES"/>
              </w:rPr>
              <w:t>Carolina Quintero Gacharná</w:t>
            </w:r>
          </w:p>
          <w:p w14:paraId="0636B148" w14:textId="77777777" w:rsidR="00B75843" w:rsidRPr="003E0B17" w:rsidRDefault="00B75843" w:rsidP="00213751">
            <w:pPr>
              <w:contextualSpacing/>
              <w:rPr>
                <w:rFonts w:ascii="Verdana" w:eastAsia="Calibri" w:hAnsi="Verdana" w:cs="Arial"/>
                <w:sz w:val="16"/>
                <w:szCs w:val="16"/>
                <w:lang w:val="es-ES" w:eastAsia="es-ES"/>
              </w:rPr>
            </w:pPr>
            <w:r w:rsidRPr="003E0B17">
              <w:rPr>
                <w:rFonts w:ascii="Verdana" w:eastAsia="Calibri" w:hAnsi="Verdana" w:cs="Arial"/>
                <w:sz w:val="16"/>
                <w:szCs w:val="16"/>
                <w:lang w:val="es-ES" w:eastAsia="es-ES"/>
              </w:rPr>
              <w:t>Subdirectora de Gestión Contractual ANCP – CCE</w:t>
            </w:r>
          </w:p>
        </w:tc>
      </w:tr>
    </w:tbl>
    <w:p w14:paraId="3DBA32F7" w14:textId="70846ECC" w:rsidR="00B75843" w:rsidRPr="003E0B17" w:rsidRDefault="00B75843" w:rsidP="00B75843">
      <w:pPr>
        <w:spacing w:after="0" w:line="276" w:lineRule="auto"/>
        <w:jc w:val="center"/>
        <w:rPr>
          <w:lang w:val="es-ES"/>
        </w:rPr>
      </w:pPr>
    </w:p>
    <w:p w14:paraId="0F293BF4" w14:textId="777D9FAC" w:rsidR="00127233" w:rsidRPr="00B75843" w:rsidRDefault="00127233" w:rsidP="00B75843"/>
    <w:sectPr w:rsidR="00127233" w:rsidRPr="00B75843" w:rsidSect="007C0C0F">
      <w:headerReference w:type="default" r:id="rId20"/>
      <w:footerReference w:type="default" r:id="rId21"/>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5EB450" w14:textId="77777777" w:rsidR="00902F7C" w:rsidRDefault="00902F7C" w:rsidP="004A1847">
      <w:pPr>
        <w:spacing w:after="0" w:line="240" w:lineRule="auto"/>
      </w:pPr>
      <w:r>
        <w:separator/>
      </w:r>
    </w:p>
  </w:endnote>
  <w:endnote w:type="continuationSeparator" w:id="0">
    <w:p w14:paraId="41A91F14" w14:textId="77777777" w:rsidR="00902F7C" w:rsidRDefault="00902F7C" w:rsidP="004A1847">
      <w:pPr>
        <w:spacing w:after="0" w:line="240" w:lineRule="auto"/>
      </w:pPr>
      <w:r>
        <w:continuationSeparator/>
      </w:r>
    </w:p>
  </w:endnote>
  <w:endnote w:type="continuationNotice" w:id="1">
    <w:p w14:paraId="51BE2B9F" w14:textId="77777777" w:rsidR="00902F7C" w:rsidRDefault="00902F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Geomanist Light">
    <w:altName w:val="Calibri"/>
    <w:panose1 w:val="020B0604020202020204"/>
    <w:charset w:val="00"/>
    <w:family w:val="modern"/>
    <w:notTrueType/>
    <w:pitch w:val="variable"/>
    <w:sig w:usb0="A000002F" w:usb1="1000004A" w:usb2="00000000" w:usb3="00000000" w:csb0="00000193" w:csb1="00000000"/>
  </w:font>
  <w:font w:name="Geomanist">
    <w:altName w:val="Corbel"/>
    <w:panose1 w:val="020B0604020202020204"/>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MT">
    <w:altName w:val="Arial"/>
    <w:panose1 w:val="020B0604020202020204"/>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Geomanist Bold">
    <w:altName w:val="Calibri"/>
    <w:panose1 w:val="020B0604020202020204"/>
    <w:charset w:val="00"/>
    <w:family w:val="modern"/>
    <w:notTrueType/>
    <w:pitch w:val="variable"/>
    <w:sig w:usb0="A000002F" w:usb1="1000004A" w:usb2="00000000" w:usb3="00000000" w:csb0="00000193" w:csb1="00000000"/>
  </w:font>
  <w:font w:name="Geo">
    <w:altName w:val="Calibri"/>
    <w:panose1 w:val="020B0604020202020204"/>
    <w:charset w:val="00"/>
    <w:family w:val="auto"/>
    <w:pitch w:val="variable"/>
    <w:sig w:usb0="8000002F" w:usb1="40000048"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911A32" w14:textId="6CE791A4" w:rsidR="004A1847" w:rsidRDefault="004A1847">
    <w:pPr>
      <w:pStyle w:val="Footer"/>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546AD1" w14:textId="77777777" w:rsidR="00902F7C" w:rsidRDefault="00902F7C" w:rsidP="004A1847">
      <w:pPr>
        <w:spacing w:after="0" w:line="240" w:lineRule="auto"/>
      </w:pPr>
      <w:r>
        <w:separator/>
      </w:r>
    </w:p>
  </w:footnote>
  <w:footnote w:type="continuationSeparator" w:id="0">
    <w:p w14:paraId="606558BB" w14:textId="77777777" w:rsidR="00902F7C" w:rsidRDefault="00902F7C" w:rsidP="004A1847">
      <w:pPr>
        <w:spacing w:after="0" w:line="240" w:lineRule="auto"/>
      </w:pPr>
      <w:r>
        <w:continuationSeparator/>
      </w:r>
    </w:p>
  </w:footnote>
  <w:footnote w:type="continuationNotice" w:id="1">
    <w:p w14:paraId="34A48D39" w14:textId="77777777" w:rsidR="00902F7C" w:rsidRDefault="00902F7C">
      <w:pPr>
        <w:spacing w:after="0" w:line="240" w:lineRule="auto"/>
      </w:pPr>
    </w:p>
  </w:footnote>
  <w:footnote w:id="2">
    <w:p w14:paraId="793DD65D" w14:textId="77777777" w:rsidR="00B75843" w:rsidRPr="00732800" w:rsidRDefault="00B75843" w:rsidP="00B75843">
      <w:pPr>
        <w:pStyle w:val="FootnoteText"/>
        <w:ind w:firstLine="709"/>
        <w:jc w:val="both"/>
        <w:rPr>
          <w:rFonts w:ascii="Verdana" w:hAnsi="Verdana" w:cs="Arial"/>
          <w:sz w:val="16"/>
          <w:szCs w:val="16"/>
          <w:lang w:val="pt-BR"/>
        </w:rPr>
      </w:pPr>
      <w:r w:rsidRPr="00732800">
        <w:rPr>
          <w:rStyle w:val="FootnoteReference"/>
          <w:rFonts w:ascii="Verdana" w:hAnsi="Verdana" w:cs="Arial"/>
          <w:sz w:val="16"/>
          <w:szCs w:val="16"/>
        </w:rPr>
        <w:footnoteRef/>
      </w:r>
      <w:r w:rsidRPr="00732800">
        <w:rPr>
          <w:rFonts w:ascii="Verdana" w:hAnsi="Verdana" w:cs="Arial"/>
          <w:sz w:val="16"/>
          <w:szCs w:val="16"/>
          <w:lang w:val="pt-BR"/>
        </w:rPr>
        <w:t xml:space="preserve"> CORTE CONSTITUCIONAL. Sentencia C-595 de 2014. M.P. Jorge Ignacio Pretelt Chaljub. </w:t>
      </w:r>
    </w:p>
  </w:footnote>
  <w:footnote w:id="3">
    <w:p w14:paraId="5455B135" w14:textId="77777777" w:rsidR="00B75843" w:rsidRPr="00732800" w:rsidRDefault="00B75843" w:rsidP="00B75843">
      <w:pPr>
        <w:pStyle w:val="FootnoteText"/>
        <w:ind w:firstLine="709"/>
        <w:jc w:val="both"/>
        <w:rPr>
          <w:rFonts w:ascii="Verdana" w:hAnsi="Verdana" w:cs="Arial"/>
          <w:sz w:val="16"/>
          <w:szCs w:val="16"/>
          <w:lang w:val="es-ES_tradnl"/>
        </w:rPr>
      </w:pPr>
      <w:r w:rsidRPr="00732800">
        <w:rPr>
          <w:rStyle w:val="FootnoteReference"/>
          <w:rFonts w:ascii="Verdana" w:hAnsi="Verdana" w:cs="Arial"/>
          <w:sz w:val="16"/>
          <w:szCs w:val="16"/>
          <w:lang w:val="es-ES_tradnl"/>
        </w:rPr>
        <w:footnoteRef/>
      </w:r>
      <w:r w:rsidRPr="00732800">
        <w:rPr>
          <w:rFonts w:ascii="Verdana" w:hAnsi="Verdana" w:cs="Arial"/>
          <w:sz w:val="16"/>
          <w:szCs w:val="16"/>
          <w:lang w:val="es-ES_tradnl"/>
        </w:rPr>
        <w:t xml:space="preserve"> La doctrina ha señalado que “[…] durante la década de los ochenta y de los noventa, las más variadas instituciones anglosajonas empiezan a proponer toda una serie de definiciones de la citada colaboración público privada (o en términos anglosajones </w:t>
      </w:r>
      <w:r w:rsidRPr="00732800">
        <w:rPr>
          <w:rFonts w:ascii="Verdana" w:hAnsi="Verdana" w:cs="Arial"/>
          <w:i/>
          <w:iCs/>
          <w:sz w:val="16"/>
          <w:szCs w:val="16"/>
          <w:lang w:val="es-ES_tradnl"/>
        </w:rPr>
        <w:t>public private partnerships –</w:t>
      </w:r>
      <w:r w:rsidRPr="00732800">
        <w:rPr>
          <w:rFonts w:ascii="Verdana" w:hAnsi="Verdana" w:cs="Arial"/>
          <w:sz w:val="16"/>
          <w:szCs w:val="16"/>
          <w:lang w:val="es-ES_tradnl"/>
        </w:rPr>
        <w:t>PPP–, en adelante), para hacer referencia a una amplia gama de operaciones, técnicas y metodologías aglutinadas bajo un enfoque o idea común: incentivar el interés particular en la ejecución de cometidos públicos asumiendo los riesgos inherentes a dicha ejecución, de modo que cada sector aporta sus recursos y conocimientos con el fin de acometer la construcción de una infraestructura o la gestión de un servicio público de la manera más eficiente posible” (HERNANDO RYDINGS, María. La colaboración público privada. Fórmulas contractuales. Madrid: Civitas. pp. 37-38).</w:t>
      </w:r>
    </w:p>
  </w:footnote>
  <w:footnote w:id="4">
    <w:p w14:paraId="767C2F2B" w14:textId="77777777" w:rsidR="00B75843" w:rsidRPr="00732800" w:rsidRDefault="00B75843" w:rsidP="00B75843">
      <w:pPr>
        <w:pStyle w:val="FootnoteText"/>
        <w:ind w:firstLine="709"/>
        <w:jc w:val="both"/>
        <w:rPr>
          <w:rFonts w:ascii="Verdana" w:hAnsi="Verdana" w:cs="Arial"/>
          <w:sz w:val="16"/>
          <w:szCs w:val="16"/>
          <w:lang w:val="es-ES"/>
        </w:rPr>
      </w:pPr>
      <w:r w:rsidRPr="00732800">
        <w:rPr>
          <w:rStyle w:val="FootnoteReference"/>
          <w:rFonts w:ascii="Verdana" w:hAnsi="Verdana" w:cs="Arial"/>
          <w:sz w:val="16"/>
          <w:szCs w:val="16"/>
        </w:rPr>
        <w:footnoteRef/>
      </w:r>
      <w:r w:rsidRPr="00732800">
        <w:rPr>
          <w:rFonts w:ascii="Verdana" w:hAnsi="Verdana" w:cs="Arial"/>
          <w:sz w:val="16"/>
          <w:szCs w:val="16"/>
        </w:rPr>
        <w:t xml:space="preserve"> </w:t>
      </w:r>
      <w:r w:rsidRPr="00732800">
        <w:rPr>
          <w:rFonts w:ascii="Verdana" w:hAnsi="Verdana" w:cs="Arial"/>
          <w:sz w:val="16"/>
          <w:szCs w:val="16"/>
          <w:lang w:val="es-ES"/>
        </w:rPr>
        <w:t xml:space="preserve">BENAVIDES, José Luis. Presentación. En: BENAVIDES, José Luis (compilador). Estudio sobre el régimen jurídico de las asociaciones público-privadas. Bogotá: Universidad Externado de Colombia, 2014, p. 13. Es por ello que, refiriéndose a la Ley 1508 de 2012, la Sala de Consulta y Servicio Civil del Consejo de Estado ha afirmado: “Según los antecedentes legislativos, la citada normatividad tiene por objeto promover nuevos esquemas de participación privada y optimizar los mecanismos existentes para la provisión de servicios de infraestructura productiva y social en diferentes sectores, tales como (i) infraestructura, mantenimiento de equipos y desarrollo de capacidades estratégicas en el sector de defensa; (ii) distritos de riego y adecuación de tierras; (iii) infraestructura social en educación, salud y atención integral a la primera infancia; (iv) infraestructura física de entidades públicas; (v) rehabilitación y mantenimiento vial y (vi) desarrollo de infraestructura logística, entre otros” (Cfr. </w:t>
      </w:r>
      <w:r w:rsidRPr="00732800">
        <w:rPr>
          <w:rFonts w:ascii="Verdana" w:hAnsi="Verdana" w:cs="Arial"/>
          <w:sz w:val="16"/>
          <w:szCs w:val="16"/>
        </w:rPr>
        <w:t>CONSEJO DE ESTADO. Sala de Consulta y Servicio Civil. Concepto del 8 de mayo de 2018. Número único: 11001-03-06-000-2018-00095-00. Radicación interna: 2382).</w:t>
      </w:r>
    </w:p>
  </w:footnote>
  <w:footnote w:id="5">
    <w:p w14:paraId="152A7A90" w14:textId="77777777" w:rsidR="00B75843" w:rsidRPr="00732800" w:rsidRDefault="00B75843" w:rsidP="00B75843">
      <w:pPr>
        <w:pStyle w:val="FootnoteText"/>
        <w:ind w:firstLine="709"/>
        <w:jc w:val="both"/>
        <w:rPr>
          <w:rFonts w:ascii="Verdana" w:hAnsi="Verdana" w:cs="Arial"/>
          <w:sz w:val="16"/>
          <w:szCs w:val="16"/>
          <w:lang w:val="es-ES"/>
        </w:rPr>
      </w:pPr>
      <w:r w:rsidRPr="00732800">
        <w:rPr>
          <w:rStyle w:val="FootnoteReference"/>
          <w:rFonts w:ascii="Verdana" w:hAnsi="Verdana" w:cs="Arial"/>
          <w:sz w:val="16"/>
          <w:szCs w:val="16"/>
        </w:rPr>
        <w:footnoteRef/>
      </w:r>
      <w:r w:rsidRPr="00732800">
        <w:rPr>
          <w:rFonts w:ascii="Verdana" w:hAnsi="Verdana" w:cs="Arial"/>
          <w:sz w:val="16"/>
          <w:szCs w:val="16"/>
        </w:rPr>
        <w:t xml:space="preserve"> </w:t>
      </w:r>
      <w:r w:rsidRPr="00732800">
        <w:rPr>
          <w:rFonts w:ascii="Verdana" w:hAnsi="Verdana" w:cs="Arial"/>
          <w:sz w:val="16"/>
          <w:szCs w:val="16"/>
          <w:lang w:val="es-ES"/>
        </w:rPr>
        <w:t>Este artículo regula la estructuración de proyectos por particulares de la siguiente manera: “Los particulares podrán estructurar proyectos de infraestructura pública o para la prestación de sus servicios asociados, por su propia cuenta y riesgo, asumiendo la totalidad de los costos de la estructuración, y presentarlos de forma confidencial y bajo reserva a consideración de las entidades estatales competentes.</w:t>
      </w:r>
    </w:p>
    <w:p w14:paraId="19AC9632" w14:textId="77777777" w:rsidR="00B75843" w:rsidRPr="00732800" w:rsidRDefault="00B75843" w:rsidP="00B75843">
      <w:pPr>
        <w:pStyle w:val="FootnoteText"/>
        <w:ind w:firstLine="709"/>
        <w:jc w:val="both"/>
        <w:rPr>
          <w:rFonts w:ascii="Verdana" w:hAnsi="Verdana" w:cs="Arial"/>
          <w:sz w:val="16"/>
          <w:szCs w:val="16"/>
          <w:lang w:val="es-ES"/>
        </w:rPr>
      </w:pPr>
      <w:r w:rsidRPr="00732800">
        <w:rPr>
          <w:rFonts w:ascii="Verdana" w:hAnsi="Verdana" w:cs="Arial"/>
          <w:sz w:val="16"/>
          <w:szCs w:val="16"/>
          <w:lang w:val="es-ES"/>
        </w:rPr>
        <w:t>El proceso de estructuración del proyecto por agentes privados estará dividido en dos (2) etapas, una de prefactibilidad y otra de factibilidad.</w:t>
      </w:r>
    </w:p>
    <w:p w14:paraId="0D0AB244" w14:textId="77777777" w:rsidR="00B75843" w:rsidRPr="00732800" w:rsidRDefault="00B75843" w:rsidP="00B75843">
      <w:pPr>
        <w:pStyle w:val="FootnoteText"/>
        <w:ind w:firstLine="709"/>
        <w:jc w:val="both"/>
        <w:rPr>
          <w:rFonts w:ascii="Verdana" w:hAnsi="Verdana" w:cs="Arial"/>
          <w:sz w:val="16"/>
          <w:szCs w:val="16"/>
          <w:lang w:val="es-ES"/>
        </w:rPr>
      </w:pPr>
      <w:r w:rsidRPr="00732800">
        <w:rPr>
          <w:rFonts w:ascii="Verdana" w:hAnsi="Verdana" w:cs="Arial"/>
          <w:sz w:val="16"/>
          <w:szCs w:val="16"/>
          <w:lang w:val="es-ES"/>
        </w:rPr>
        <w:t>En la etapa de prefactibilidad el originador de la propuesta deberá señalar claramente la descripción completa del proyecto incluyendo el diseño mínimo en etapa de prefactibilidad, construcción, operación, mantenimiento, organización y explotación del mismo, alcance del proyecto, estudios de demanda en etapa de prefactibilidad, especificaciones del proyecto, su costo estimado y la fuente de financiación.</w:t>
      </w:r>
    </w:p>
    <w:p w14:paraId="6E6593B9" w14:textId="77777777" w:rsidR="00B75843" w:rsidRPr="00732800" w:rsidRDefault="00B75843" w:rsidP="00B75843">
      <w:pPr>
        <w:pStyle w:val="FootnoteText"/>
        <w:ind w:firstLine="709"/>
        <w:jc w:val="both"/>
        <w:rPr>
          <w:rFonts w:ascii="Verdana" w:hAnsi="Verdana" w:cs="Arial"/>
          <w:sz w:val="16"/>
          <w:szCs w:val="16"/>
          <w:lang w:val="es-ES"/>
        </w:rPr>
      </w:pPr>
      <w:r w:rsidRPr="00732800">
        <w:rPr>
          <w:rFonts w:ascii="Verdana" w:hAnsi="Verdana" w:cs="Arial"/>
          <w:sz w:val="16"/>
          <w:szCs w:val="16"/>
          <w:lang w:val="es-ES"/>
        </w:rPr>
        <w:t>Para la etapa de factibilidad, la iniciativa para la realización del proyecto deberá comprender: el modelo financiero detallado y formulado que fundamente el valor del proyecto, descripción detallada de las fases y duración del proyecto, justificación del plazo del contrato, análisis de riesgos asociados al proyecto, estudios de impacto ambiental, económico y social, y estudios de factibilidad técnica, económica, ambiental, predial, financiera y jurídica del proyecto.</w:t>
      </w:r>
    </w:p>
    <w:p w14:paraId="49E102D0" w14:textId="77777777" w:rsidR="00B75843" w:rsidRPr="00732800" w:rsidRDefault="00B75843" w:rsidP="00B75843">
      <w:pPr>
        <w:pStyle w:val="FootnoteText"/>
        <w:ind w:firstLine="709"/>
        <w:jc w:val="both"/>
        <w:rPr>
          <w:rFonts w:ascii="Verdana" w:hAnsi="Verdana" w:cs="Arial"/>
          <w:sz w:val="16"/>
          <w:szCs w:val="16"/>
          <w:lang w:val="es-ES"/>
        </w:rPr>
      </w:pPr>
      <w:r w:rsidRPr="00732800">
        <w:rPr>
          <w:rFonts w:ascii="Verdana" w:hAnsi="Verdana" w:cs="Arial"/>
          <w:sz w:val="16"/>
          <w:szCs w:val="16"/>
          <w:lang w:val="es-ES"/>
        </w:rPr>
        <w:t>En la etapa de factibilidad el originador del proyecto deberá anexar los documentos que acrediten su capacidad jurídica, financiera o de potencial financiación, de experiencia en inversión o de estructuración de proyectos o para desarrollar el proyecto, el valor de la estructuración del proyecto y una minuta del contrato a celebrar que incluya entre otros, la propuesta de distribución de riesgos.</w:t>
      </w:r>
    </w:p>
    <w:p w14:paraId="5835C0E6" w14:textId="77777777" w:rsidR="00B75843" w:rsidRPr="00732800" w:rsidRDefault="00B75843" w:rsidP="00B75843">
      <w:pPr>
        <w:pStyle w:val="FootnoteText"/>
        <w:ind w:firstLine="709"/>
        <w:jc w:val="both"/>
        <w:rPr>
          <w:rFonts w:ascii="Verdana" w:hAnsi="Verdana" w:cs="Arial"/>
          <w:sz w:val="16"/>
          <w:szCs w:val="16"/>
          <w:lang w:val="es-ES"/>
        </w:rPr>
      </w:pPr>
      <w:r w:rsidRPr="00732800">
        <w:rPr>
          <w:rFonts w:ascii="Verdana" w:hAnsi="Verdana" w:cs="Arial"/>
          <w:sz w:val="16"/>
          <w:szCs w:val="16"/>
          <w:lang w:val="es-ES"/>
        </w:rPr>
        <w:t>En esta etapa se deberá certificar que la información que entrega es veraz y es toda de la que dispone sobre el proyecto. Esta certificación deberá presentarse mediante una declaración juramentada.</w:t>
      </w:r>
    </w:p>
    <w:p w14:paraId="21362181" w14:textId="77777777" w:rsidR="00B75843" w:rsidRPr="00732800" w:rsidRDefault="00B75843" w:rsidP="00B75843">
      <w:pPr>
        <w:pStyle w:val="FootnoteText"/>
        <w:ind w:firstLine="709"/>
        <w:jc w:val="both"/>
        <w:rPr>
          <w:rFonts w:ascii="Verdana" w:hAnsi="Verdana" w:cs="Arial"/>
          <w:sz w:val="16"/>
          <w:szCs w:val="16"/>
          <w:lang w:val="es-ES"/>
        </w:rPr>
      </w:pPr>
      <w:r w:rsidRPr="00732800">
        <w:rPr>
          <w:rFonts w:ascii="Verdana" w:hAnsi="Verdana" w:cs="Arial"/>
          <w:sz w:val="16"/>
          <w:szCs w:val="16"/>
          <w:lang w:val="es-ES"/>
        </w:rPr>
        <w:t>No podrán presentarse iniciativas en los casos en que correspondan a un proyecto que, al momento de su presentación modifiquen contratos o concesiones existentes o para los cuales se haya adelantado su estructuración por parte de cualquier entidad estatal. Tampoco se aceptarán aquellas iniciativas que demanden garantías del Estado o desembolsos de recursos del Presupuesto General de la Nación, las entidades territoriales o de otros fondos públicos, superiores a los establecidos en la presente ley.</w:t>
      </w:r>
    </w:p>
    <w:p w14:paraId="34B0258F" w14:textId="77777777" w:rsidR="00B75843" w:rsidRPr="00732800" w:rsidRDefault="00B75843" w:rsidP="00B75843">
      <w:pPr>
        <w:pStyle w:val="FootnoteText"/>
        <w:ind w:firstLine="709"/>
        <w:jc w:val="both"/>
        <w:rPr>
          <w:rFonts w:ascii="Verdana" w:hAnsi="Verdana" w:cs="Arial"/>
          <w:sz w:val="16"/>
          <w:szCs w:val="16"/>
          <w:lang w:val="es-ES"/>
        </w:rPr>
      </w:pPr>
      <w:r w:rsidRPr="00732800">
        <w:rPr>
          <w:rFonts w:ascii="Verdana" w:hAnsi="Verdana" w:cs="Arial"/>
          <w:sz w:val="16"/>
          <w:szCs w:val="16"/>
          <w:lang w:val="es-ES"/>
        </w:rPr>
        <w:t>Cuando existan varios originadores para un mismo proyecto tendrá prioridad para su estudio el primero que radique una oferta ante la entidad estatal competente y que posteriormente sea declarada por esta como viable”.</w:t>
      </w:r>
    </w:p>
  </w:footnote>
  <w:footnote w:id="6">
    <w:p w14:paraId="649DB4AA" w14:textId="77777777" w:rsidR="00B75843" w:rsidRPr="00732800" w:rsidRDefault="00B75843" w:rsidP="00B75843">
      <w:pPr>
        <w:pStyle w:val="FootnoteText"/>
        <w:ind w:firstLine="709"/>
        <w:jc w:val="both"/>
        <w:rPr>
          <w:rFonts w:ascii="Verdana" w:hAnsi="Verdana" w:cs="Arial"/>
          <w:sz w:val="16"/>
          <w:szCs w:val="16"/>
        </w:rPr>
      </w:pPr>
      <w:r w:rsidRPr="00732800">
        <w:rPr>
          <w:rStyle w:val="FootnoteReference"/>
          <w:rFonts w:ascii="Verdana" w:hAnsi="Verdana" w:cs="Arial"/>
          <w:sz w:val="16"/>
          <w:szCs w:val="16"/>
        </w:rPr>
        <w:footnoteRef/>
      </w:r>
      <w:r w:rsidRPr="00732800">
        <w:rPr>
          <w:rFonts w:ascii="Verdana" w:hAnsi="Verdana" w:cs="Arial"/>
          <w:sz w:val="16"/>
          <w:szCs w:val="16"/>
        </w:rPr>
        <w:t xml:space="preserve"> Es una oferta, porque cumple con los requisitos del artículo 845 del Código de Comercio, dado que es un “proyecto de negocio jurídico que una persona formule a otra”.</w:t>
      </w:r>
    </w:p>
  </w:footnote>
  <w:footnote w:id="7">
    <w:p w14:paraId="1128D62C" w14:textId="77777777" w:rsidR="00B75843" w:rsidRPr="00732800" w:rsidRDefault="00B75843" w:rsidP="00B75843">
      <w:pPr>
        <w:pStyle w:val="FootnoteText"/>
        <w:ind w:firstLine="709"/>
        <w:jc w:val="both"/>
        <w:rPr>
          <w:rFonts w:ascii="Verdana" w:hAnsi="Verdana" w:cs="Arial"/>
          <w:sz w:val="16"/>
          <w:szCs w:val="16"/>
          <w:lang w:val="es-ES"/>
        </w:rPr>
      </w:pPr>
      <w:r w:rsidRPr="00732800">
        <w:rPr>
          <w:rStyle w:val="FootnoteReference"/>
          <w:rFonts w:ascii="Verdana" w:hAnsi="Verdana" w:cs="Arial"/>
          <w:sz w:val="16"/>
          <w:szCs w:val="16"/>
        </w:rPr>
        <w:footnoteRef/>
      </w:r>
      <w:r w:rsidRPr="00732800">
        <w:rPr>
          <w:rFonts w:ascii="Verdana" w:hAnsi="Verdana" w:cs="Arial"/>
          <w:sz w:val="16"/>
          <w:szCs w:val="16"/>
        </w:rPr>
        <w:t xml:space="preserve"> </w:t>
      </w:r>
      <w:r w:rsidRPr="00732800">
        <w:rPr>
          <w:rFonts w:ascii="Verdana" w:hAnsi="Verdana" w:cs="Arial"/>
          <w:sz w:val="16"/>
          <w:szCs w:val="16"/>
          <w:lang w:val="es-ES"/>
        </w:rPr>
        <w:t>El artículo 16 expresa lo siguiente: “Presentada la iniciativa del proyecto en etapa de factibilidad, la entidad estatal competente dispondrá de un plazo máximo de seis (6) meses a partir de la fecha de su radicación, para la evaluación de la propuesta y las consultas a terceros y a autoridades competentes, este estudio lo podrá hacer directamente o a través de terceros. Se podrá prorrogar los términos del estudio hasta por un plazo igual a la mitad del plazo inicial, para profundizar en sus investigaciones o pedir al originador del proyecto que elabore estudios adicionales o complementarios, ajustes o precisiones al proyecto.</w:t>
      </w:r>
    </w:p>
    <w:p w14:paraId="66AD057D" w14:textId="77777777" w:rsidR="00B75843" w:rsidRPr="00732800" w:rsidRDefault="00B75843" w:rsidP="00B75843">
      <w:pPr>
        <w:pStyle w:val="FootnoteText"/>
        <w:ind w:firstLine="709"/>
        <w:jc w:val="both"/>
        <w:rPr>
          <w:rFonts w:ascii="Verdana" w:hAnsi="Verdana" w:cs="Arial"/>
          <w:sz w:val="16"/>
          <w:szCs w:val="16"/>
          <w:lang w:val="es-ES"/>
        </w:rPr>
      </w:pPr>
      <w:r w:rsidRPr="00732800">
        <w:rPr>
          <w:rFonts w:ascii="Verdana" w:hAnsi="Verdana" w:cs="Arial"/>
          <w:sz w:val="16"/>
          <w:szCs w:val="16"/>
          <w:lang w:val="es-ES"/>
        </w:rPr>
        <w:t>Si realizados los estudios pertinentes la entidad pública competente considera la iniciativa viable y acorde con los intereses y políticas públicas, así lo comunicará al originador informándole las condiciones para la aceptación de su iniciativa incluyendo el monto que acepta como valor de los estudios realizados, con fundamento en costos demostrados en tarifas de mercado para la estructuración del proyecto y las condiciones del contrato. De lo contrario rechazará la iniciativa mediante acto administrativo debidamente motivado. En todo caso la presentación de la iniciativa no genera ningún derecho para el particular, ni obligación para el Estado.</w:t>
      </w:r>
    </w:p>
    <w:p w14:paraId="16B86C65" w14:textId="77777777" w:rsidR="00B75843" w:rsidRPr="00732800" w:rsidRDefault="00B75843" w:rsidP="00B75843">
      <w:pPr>
        <w:pStyle w:val="FootnoteText"/>
        <w:ind w:firstLine="709"/>
        <w:jc w:val="both"/>
        <w:rPr>
          <w:rFonts w:ascii="Verdana" w:hAnsi="Verdana" w:cs="Arial"/>
          <w:sz w:val="16"/>
          <w:szCs w:val="16"/>
          <w:lang w:val="es-ES"/>
        </w:rPr>
      </w:pPr>
      <w:r w:rsidRPr="00732800">
        <w:rPr>
          <w:rFonts w:ascii="Verdana" w:hAnsi="Verdana" w:cs="Arial"/>
          <w:sz w:val="16"/>
          <w:szCs w:val="16"/>
          <w:lang w:val="es-ES"/>
        </w:rPr>
        <w:t>Si la iniciativa es rechazada, la propiedad sobre los estudios será del originador, pero la entidad pública tendrá la opción de adquirir aquellos insumos o estudios que le interesen o sean útiles para los propósitos de la función pública.</w:t>
      </w:r>
    </w:p>
    <w:p w14:paraId="3C232C51" w14:textId="77777777" w:rsidR="00B75843" w:rsidRPr="00732800" w:rsidRDefault="00B75843" w:rsidP="00B75843">
      <w:pPr>
        <w:pStyle w:val="FootnoteText"/>
        <w:ind w:firstLine="709"/>
        <w:jc w:val="both"/>
        <w:rPr>
          <w:rFonts w:ascii="Verdana" w:hAnsi="Verdana" w:cs="Arial"/>
          <w:sz w:val="16"/>
          <w:szCs w:val="16"/>
          <w:lang w:val="es-ES"/>
        </w:rPr>
      </w:pPr>
      <w:r w:rsidRPr="00732800">
        <w:rPr>
          <w:rFonts w:ascii="Verdana" w:hAnsi="Verdana" w:cs="Arial"/>
          <w:sz w:val="16"/>
          <w:szCs w:val="16"/>
          <w:lang w:val="es-ES"/>
        </w:rPr>
        <w:t>Comunicada la viabilidad de la iniciativa, el originador del proyecto podrá aceptar las condiciones de la entidad estatal competente o proponer alternativas. En cualquier caso, en un plazo no superior a dos (2) meses contados desde la comunicación de la viabilidad, si no se llega a un acuerdo, se entenderá que el proyecto ha sido negado por la entidad pública”.</w:t>
      </w:r>
    </w:p>
  </w:footnote>
  <w:footnote w:id="8">
    <w:p w14:paraId="2C680029" w14:textId="77777777" w:rsidR="00B75843" w:rsidRPr="00732800" w:rsidRDefault="00B75843" w:rsidP="00B75843">
      <w:pPr>
        <w:pStyle w:val="FootnoteText"/>
        <w:ind w:firstLine="708"/>
        <w:jc w:val="both"/>
        <w:rPr>
          <w:rFonts w:ascii="Verdana" w:hAnsi="Verdana" w:cs="Arial"/>
          <w:iCs/>
          <w:color w:val="1A1A1A" w:themeColor="background1" w:themeShade="1A"/>
          <w:sz w:val="16"/>
          <w:szCs w:val="16"/>
        </w:rPr>
      </w:pPr>
      <w:r w:rsidRPr="00732800">
        <w:rPr>
          <w:rStyle w:val="FootnoteReference"/>
          <w:rFonts w:ascii="Verdana" w:hAnsi="Verdana" w:cs="Arial"/>
          <w:color w:val="1A1A1A" w:themeColor="background1" w:themeShade="1A"/>
          <w:sz w:val="16"/>
          <w:szCs w:val="16"/>
        </w:rPr>
        <w:footnoteRef/>
      </w:r>
      <w:r w:rsidRPr="00732800">
        <w:rPr>
          <w:rFonts w:ascii="Verdana" w:hAnsi="Verdana" w:cs="Arial"/>
          <w:color w:val="1A1A1A" w:themeColor="background1" w:themeShade="1A"/>
          <w:sz w:val="16"/>
          <w:szCs w:val="16"/>
        </w:rPr>
        <w:t xml:space="preserve"> </w:t>
      </w:r>
      <w:r w:rsidRPr="00732800">
        <w:rPr>
          <w:rFonts w:ascii="Verdana" w:hAnsi="Verdana" w:cs="Arial"/>
          <w:iCs/>
          <w:color w:val="1A1A1A" w:themeColor="background1" w:themeShade="1A"/>
          <w:sz w:val="16"/>
          <w:szCs w:val="16"/>
        </w:rPr>
        <w:t>Artículo 3 de la Ley 80 de 1993.</w:t>
      </w:r>
    </w:p>
  </w:footnote>
  <w:footnote w:id="9">
    <w:p w14:paraId="2CDAEB7A" w14:textId="77777777" w:rsidR="00B75843" w:rsidRPr="00732800" w:rsidRDefault="00B75843" w:rsidP="00B75843">
      <w:pPr>
        <w:pStyle w:val="FootnoteText"/>
        <w:ind w:firstLine="708"/>
        <w:jc w:val="both"/>
        <w:rPr>
          <w:rFonts w:ascii="Verdana" w:hAnsi="Verdana" w:cs="Arial"/>
          <w:iCs/>
          <w:color w:val="1A1A1A" w:themeColor="background1" w:themeShade="1A"/>
          <w:sz w:val="16"/>
          <w:szCs w:val="16"/>
        </w:rPr>
      </w:pPr>
      <w:r w:rsidRPr="00732800">
        <w:rPr>
          <w:rStyle w:val="FootnoteReference"/>
          <w:rFonts w:ascii="Verdana" w:hAnsi="Verdana" w:cs="Arial"/>
          <w:color w:val="1A1A1A" w:themeColor="background1" w:themeShade="1A"/>
          <w:sz w:val="16"/>
          <w:szCs w:val="16"/>
        </w:rPr>
        <w:footnoteRef/>
      </w:r>
      <w:r w:rsidRPr="00732800">
        <w:rPr>
          <w:rFonts w:ascii="Verdana" w:hAnsi="Verdana" w:cs="Arial"/>
          <w:color w:val="1A1A1A" w:themeColor="background1" w:themeShade="1A"/>
          <w:sz w:val="16"/>
          <w:szCs w:val="16"/>
        </w:rPr>
        <w:t xml:space="preserve"> </w:t>
      </w:r>
      <w:r w:rsidRPr="00732800">
        <w:rPr>
          <w:rFonts w:ascii="Verdana" w:hAnsi="Verdana" w:cs="Arial"/>
          <w:iCs/>
          <w:color w:val="1A1A1A" w:themeColor="background1" w:themeShade="1A"/>
          <w:sz w:val="16"/>
          <w:szCs w:val="16"/>
        </w:rPr>
        <w:t>Artículo 17 de la Ley 1150 de 2007.</w:t>
      </w:r>
    </w:p>
  </w:footnote>
  <w:footnote w:id="10">
    <w:p w14:paraId="65888534" w14:textId="77777777" w:rsidR="00B75843" w:rsidRPr="00732800" w:rsidRDefault="00B75843" w:rsidP="00B75843">
      <w:pPr>
        <w:pStyle w:val="FootnoteText"/>
        <w:ind w:firstLine="708"/>
        <w:jc w:val="both"/>
        <w:rPr>
          <w:rFonts w:ascii="Verdana" w:hAnsi="Verdana" w:cs="Arial"/>
          <w:iCs/>
          <w:color w:val="1A1A1A" w:themeColor="background1" w:themeShade="1A"/>
          <w:sz w:val="16"/>
          <w:szCs w:val="16"/>
        </w:rPr>
      </w:pPr>
      <w:r w:rsidRPr="00732800">
        <w:rPr>
          <w:rStyle w:val="FootnoteReference"/>
          <w:rFonts w:ascii="Verdana" w:hAnsi="Verdana" w:cs="Arial"/>
          <w:color w:val="1A1A1A" w:themeColor="background1" w:themeShade="1A"/>
          <w:sz w:val="16"/>
          <w:szCs w:val="16"/>
        </w:rPr>
        <w:footnoteRef/>
      </w:r>
      <w:r w:rsidRPr="00732800">
        <w:rPr>
          <w:rFonts w:ascii="Verdana" w:hAnsi="Verdana" w:cs="Arial"/>
          <w:color w:val="1A1A1A" w:themeColor="background1" w:themeShade="1A"/>
          <w:sz w:val="16"/>
          <w:szCs w:val="16"/>
        </w:rPr>
        <w:t xml:space="preserve"> </w:t>
      </w:r>
      <w:r w:rsidRPr="00732800">
        <w:rPr>
          <w:rFonts w:ascii="Verdana" w:hAnsi="Verdana" w:cs="Arial"/>
          <w:iCs/>
          <w:color w:val="1A1A1A" w:themeColor="background1" w:themeShade="1A"/>
          <w:sz w:val="16"/>
          <w:szCs w:val="16"/>
        </w:rPr>
        <w:t>Artículo 21 de la Ley 1150 de 2007.</w:t>
      </w:r>
    </w:p>
  </w:footnote>
  <w:footnote w:id="11">
    <w:p w14:paraId="416B0C95" w14:textId="77777777" w:rsidR="00B75843" w:rsidRPr="00732800" w:rsidRDefault="00B75843" w:rsidP="00B75843">
      <w:pPr>
        <w:pStyle w:val="FootnoteText"/>
        <w:ind w:firstLine="708"/>
        <w:jc w:val="both"/>
        <w:rPr>
          <w:rFonts w:ascii="Verdana" w:hAnsi="Verdana" w:cs="Arial"/>
          <w:iCs/>
          <w:color w:val="1A1A1A" w:themeColor="background1" w:themeShade="1A"/>
          <w:sz w:val="16"/>
          <w:szCs w:val="16"/>
        </w:rPr>
      </w:pPr>
      <w:r w:rsidRPr="00732800">
        <w:rPr>
          <w:rStyle w:val="FootnoteReference"/>
          <w:rFonts w:ascii="Verdana" w:hAnsi="Verdana" w:cs="Arial"/>
          <w:color w:val="1A1A1A" w:themeColor="background1" w:themeShade="1A"/>
          <w:sz w:val="16"/>
          <w:szCs w:val="16"/>
        </w:rPr>
        <w:footnoteRef/>
      </w:r>
      <w:r w:rsidRPr="00732800">
        <w:rPr>
          <w:rFonts w:ascii="Verdana" w:hAnsi="Verdana" w:cs="Arial"/>
          <w:color w:val="1A1A1A" w:themeColor="background1" w:themeShade="1A"/>
          <w:sz w:val="16"/>
          <w:szCs w:val="16"/>
        </w:rPr>
        <w:t xml:space="preserve"> </w:t>
      </w:r>
      <w:r w:rsidRPr="00732800">
        <w:rPr>
          <w:rFonts w:ascii="Verdana" w:hAnsi="Verdana" w:cs="Arial"/>
          <w:iCs/>
          <w:color w:val="1A1A1A" w:themeColor="background1" w:themeShade="1A"/>
          <w:sz w:val="16"/>
          <w:szCs w:val="16"/>
        </w:rPr>
        <w:t>Artículos 83 a 86 de la Ley 1474 de 2011.</w:t>
      </w:r>
    </w:p>
  </w:footnote>
  <w:footnote w:id="12">
    <w:p w14:paraId="42CE9129" w14:textId="77777777" w:rsidR="00B75843" w:rsidRPr="00732800" w:rsidRDefault="00B75843" w:rsidP="00B75843">
      <w:pPr>
        <w:pStyle w:val="FootnoteText"/>
        <w:ind w:firstLine="708"/>
        <w:jc w:val="both"/>
        <w:rPr>
          <w:rFonts w:ascii="Verdana" w:hAnsi="Verdana" w:cs="Arial"/>
          <w:iCs/>
          <w:color w:val="1A1A1A" w:themeColor="background1" w:themeShade="1A"/>
          <w:sz w:val="16"/>
          <w:szCs w:val="16"/>
        </w:rPr>
      </w:pPr>
      <w:r w:rsidRPr="00732800">
        <w:rPr>
          <w:rStyle w:val="FootnoteReference"/>
          <w:rFonts w:ascii="Verdana" w:hAnsi="Verdana" w:cs="Arial"/>
          <w:color w:val="1A1A1A" w:themeColor="background1" w:themeShade="1A"/>
          <w:sz w:val="16"/>
          <w:szCs w:val="16"/>
        </w:rPr>
        <w:footnoteRef/>
      </w:r>
      <w:r w:rsidRPr="00732800">
        <w:rPr>
          <w:rFonts w:ascii="Verdana" w:hAnsi="Verdana" w:cs="Arial"/>
          <w:color w:val="1A1A1A" w:themeColor="background1" w:themeShade="1A"/>
          <w:sz w:val="16"/>
          <w:szCs w:val="16"/>
        </w:rPr>
        <w:t xml:space="preserve"> </w:t>
      </w:r>
      <w:r w:rsidRPr="00732800">
        <w:rPr>
          <w:rFonts w:ascii="Verdana" w:hAnsi="Verdana" w:cs="Arial"/>
          <w:iCs/>
          <w:color w:val="1A1A1A" w:themeColor="background1" w:themeShade="1A"/>
          <w:sz w:val="16"/>
          <w:szCs w:val="16"/>
        </w:rPr>
        <w:t xml:space="preserve">CONSEJO DE ESTADO. Sección 3ª. Sentencia del 27 de noviembre de 2017. Exp. 51.802. M.P. Jaime Orlando Santofimio. </w:t>
      </w:r>
    </w:p>
  </w:footnote>
  <w:footnote w:id="13">
    <w:p w14:paraId="09A3B45B" w14:textId="77777777" w:rsidR="00B75843" w:rsidRPr="00732800" w:rsidRDefault="00B75843" w:rsidP="00B75843">
      <w:pPr>
        <w:pStyle w:val="FootnoteText"/>
        <w:ind w:firstLine="708"/>
        <w:jc w:val="both"/>
        <w:rPr>
          <w:rFonts w:ascii="Verdana" w:hAnsi="Verdana" w:cs="Arial"/>
          <w:color w:val="1A1A1A" w:themeColor="background1" w:themeShade="1A"/>
          <w:sz w:val="16"/>
          <w:szCs w:val="16"/>
        </w:rPr>
      </w:pPr>
      <w:r w:rsidRPr="00732800">
        <w:rPr>
          <w:rStyle w:val="FootnoteReference"/>
          <w:rFonts w:ascii="Verdana" w:hAnsi="Verdana" w:cs="Arial"/>
          <w:color w:val="1A1A1A" w:themeColor="background1" w:themeShade="1A"/>
          <w:sz w:val="16"/>
          <w:szCs w:val="16"/>
        </w:rPr>
        <w:footnoteRef/>
      </w:r>
      <w:r w:rsidRPr="00732800">
        <w:rPr>
          <w:rFonts w:ascii="Verdana" w:hAnsi="Verdana" w:cs="Arial"/>
          <w:color w:val="1A1A1A" w:themeColor="background1" w:themeShade="1A"/>
          <w:sz w:val="16"/>
          <w:szCs w:val="16"/>
        </w:rPr>
        <w:t xml:space="preserve"> “Son también contratos de consultoría los que tienen por objeto la interventoría […]”</w:t>
      </w:r>
    </w:p>
  </w:footnote>
  <w:footnote w:id="14">
    <w:p w14:paraId="684AAE18" w14:textId="77777777" w:rsidR="00B75843" w:rsidRPr="00732800" w:rsidRDefault="00B75843" w:rsidP="00B75843">
      <w:pPr>
        <w:pStyle w:val="FootnoteText"/>
        <w:ind w:firstLine="708"/>
        <w:jc w:val="both"/>
        <w:rPr>
          <w:rFonts w:ascii="Verdana" w:hAnsi="Verdana"/>
          <w:sz w:val="16"/>
          <w:szCs w:val="16"/>
          <w:lang w:val="es-CO"/>
        </w:rPr>
      </w:pPr>
      <w:r w:rsidRPr="00732800">
        <w:rPr>
          <w:rStyle w:val="FootnoteReference"/>
          <w:rFonts w:ascii="Verdana" w:hAnsi="Verdana"/>
          <w:sz w:val="16"/>
          <w:szCs w:val="16"/>
        </w:rPr>
        <w:footnoteRef/>
      </w:r>
      <w:r w:rsidRPr="00732800">
        <w:rPr>
          <w:rFonts w:ascii="Verdana" w:hAnsi="Verdana"/>
          <w:sz w:val="16"/>
          <w:szCs w:val="16"/>
        </w:rPr>
        <w:t xml:space="preserve"> Manual de la Modalidad de Selección de Mínima Cuantía. Consultado el 23 de octubre de 2025 en la página web </w:t>
      </w:r>
      <w:hyperlink r:id="rId1" w:history="1">
        <w:r w:rsidRPr="00732800">
          <w:rPr>
            <w:rStyle w:val="Hyperlink"/>
            <w:rFonts w:ascii="Verdana" w:hAnsi="Verdana"/>
            <w:sz w:val="16"/>
            <w:szCs w:val="16"/>
          </w:rPr>
          <w:t>https://www.colombiacompra.gov.co/wp-content/uploads/2024/08/manual_de_la_modalidad_de_seleccion_de_minima_cuantia.pdf</w:t>
        </w:r>
      </w:hyperlink>
      <w:r w:rsidRPr="00732800">
        <w:rPr>
          <w:rFonts w:ascii="Verdana" w:hAnsi="Verdana"/>
          <w:sz w:val="16"/>
          <w:szCs w:val="16"/>
        </w:rPr>
        <w:t xml:space="preserve">. </w:t>
      </w:r>
    </w:p>
  </w:footnote>
  <w:footnote w:id="15">
    <w:p w14:paraId="1405C0EA" w14:textId="77777777" w:rsidR="00B75843" w:rsidRPr="00732800" w:rsidRDefault="00B75843" w:rsidP="00B75843">
      <w:pPr>
        <w:pStyle w:val="FootnoteText"/>
        <w:ind w:firstLine="708"/>
        <w:jc w:val="both"/>
        <w:rPr>
          <w:rFonts w:ascii="Verdana" w:hAnsi="Verdana" w:cs="Arial"/>
          <w:sz w:val="16"/>
          <w:szCs w:val="16"/>
        </w:rPr>
      </w:pPr>
      <w:r w:rsidRPr="00732800">
        <w:rPr>
          <w:rStyle w:val="FootnoteReference"/>
          <w:rFonts w:ascii="Verdana" w:hAnsi="Verdana" w:cs="Arial"/>
          <w:sz w:val="16"/>
          <w:szCs w:val="16"/>
        </w:rPr>
        <w:footnoteRef/>
      </w:r>
      <w:r w:rsidRPr="00732800">
        <w:rPr>
          <w:rFonts w:ascii="Verdana" w:hAnsi="Verdana" w:cs="Arial"/>
          <w:sz w:val="16"/>
          <w:szCs w:val="16"/>
        </w:rPr>
        <w:t xml:space="preserve"> El numeral 2 del artículo 2 de la Ley 1150 de 2007 prescribe: “[…] Serán causales de selección abreviada las siguientes:</w:t>
      </w:r>
    </w:p>
    <w:p w14:paraId="3BC67D97" w14:textId="77777777" w:rsidR="00B75843" w:rsidRPr="00732800" w:rsidRDefault="00B75843" w:rsidP="00B75843">
      <w:pPr>
        <w:pStyle w:val="FootnoteText"/>
        <w:ind w:firstLine="708"/>
        <w:jc w:val="both"/>
        <w:rPr>
          <w:rFonts w:ascii="Verdana" w:hAnsi="Verdana" w:cs="Arial"/>
          <w:sz w:val="16"/>
          <w:szCs w:val="16"/>
        </w:rPr>
      </w:pPr>
      <w:r w:rsidRPr="00732800">
        <w:rPr>
          <w:rFonts w:ascii="Verdana" w:hAnsi="Verdana" w:cs="Arial"/>
          <w:sz w:val="16"/>
          <w:szCs w:val="16"/>
        </w:rPr>
        <w:t>a) La adquisición o suministro de bienes y servicios de características técnicas uniformes y de común utilización por parte de las entidades, que corresponden a aquellos que poseen las mismas especificaciones técnicas, con independencia de su diseño o de sus características descriptivas, y comparten patrones de desempeño y calidad objetivamente definidos.</w:t>
      </w:r>
    </w:p>
    <w:p w14:paraId="48CCE69E" w14:textId="77777777" w:rsidR="00B75843" w:rsidRPr="00732800" w:rsidRDefault="00B75843" w:rsidP="00B75843">
      <w:pPr>
        <w:pStyle w:val="FootnoteText"/>
        <w:ind w:firstLine="708"/>
        <w:jc w:val="both"/>
        <w:rPr>
          <w:rFonts w:ascii="Verdana" w:hAnsi="Verdana" w:cs="Arial"/>
          <w:sz w:val="16"/>
          <w:szCs w:val="16"/>
        </w:rPr>
      </w:pPr>
      <w:r w:rsidRPr="00732800">
        <w:rPr>
          <w:rFonts w:ascii="Verdana" w:hAnsi="Verdana" w:cs="Arial"/>
          <w:sz w:val="16"/>
          <w:szCs w:val="16"/>
        </w:rPr>
        <w:t xml:space="preserve">Para la adquisición de estos bienes y servicios las entidades deberán, siempre que el reglamento así lo señale, hacer uso de procedimientos de subasta inversa o de instrumentos de compra por catálogo derivados de la celebración de acuerdos marco de precios o de procedimientos de adquisición en bolsas de productos; </w:t>
      </w:r>
    </w:p>
    <w:p w14:paraId="77B8104A" w14:textId="77777777" w:rsidR="00B75843" w:rsidRPr="00732800" w:rsidRDefault="00B75843" w:rsidP="00B75843">
      <w:pPr>
        <w:pStyle w:val="FootnoteText"/>
        <w:ind w:firstLine="708"/>
        <w:jc w:val="both"/>
        <w:rPr>
          <w:rFonts w:ascii="Verdana" w:hAnsi="Verdana" w:cs="Arial"/>
          <w:sz w:val="16"/>
          <w:szCs w:val="16"/>
        </w:rPr>
      </w:pPr>
      <w:r w:rsidRPr="00732800">
        <w:rPr>
          <w:rFonts w:ascii="Verdana" w:hAnsi="Verdana" w:cs="Arial"/>
          <w:sz w:val="16"/>
          <w:szCs w:val="16"/>
        </w:rPr>
        <w:t>b) La contratación de menor cuantía. Se entenderá por menor cuantía los valores que a continuación se relacionan, determinados en función de los presupuestos anuales de las entidades públicas expresados en salarios mínimos legales mensuales.</w:t>
      </w:r>
    </w:p>
    <w:p w14:paraId="6B55DF5D" w14:textId="77777777" w:rsidR="00B75843" w:rsidRPr="00732800" w:rsidRDefault="00B75843" w:rsidP="00B75843">
      <w:pPr>
        <w:pStyle w:val="FootnoteText"/>
        <w:ind w:firstLine="708"/>
        <w:jc w:val="both"/>
        <w:rPr>
          <w:rFonts w:ascii="Verdana" w:hAnsi="Verdana" w:cs="Arial"/>
          <w:sz w:val="16"/>
          <w:szCs w:val="16"/>
        </w:rPr>
      </w:pPr>
      <w:r w:rsidRPr="00732800">
        <w:rPr>
          <w:rFonts w:ascii="Verdana" w:hAnsi="Verdana" w:cs="Arial"/>
          <w:sz w:val="16"/>
          <w:szCs w:val="16"/>
        </w:rPr>
        <w:t>[…];</w:t>
      </w:r>
    </w:p>
    <w:p w14:paraId="5866F5FC" w14:textId="77777777" w:rsidR="00B75843" w:rsidRPr="00732800" w:rsidRDefault="00B75843" w:rsidP="00B75843">
      <w:pPr>
        <w:pStyle w:val="FootnoteText"/>
        <w:ind w:firstLine="708"/>
        <w:jc w:val="both"/>
        <w:rPr>
          <w:rFonts w:ascii="Verdana" w:hAnsi="Verdana" w:cs="Arial"/>
          <w:sz w:val="16"/>
          <w:szCs w:val="16"/>
        </w:rPr>
      </w:pPr>
      <w:r w:rsidRPr="00732800">
        <w:rPr>
          <w:rFonts w:ascii="Verdana" w:hAnsi="Verdana" w:cs="Arial"/>
          <w:sz w:val="16"/>
          <w:szCs w:val="16"/>
        </w:rPr>
        <w:t>c) Sin perjuicio de lo dispuesto en la Ley 100 de 1993 y en la Ley 1122 de 2007, la celebración de contratos para la prestación de servicios de salud. El reglamento interno correspondiente fijará las garantías a cargo de los contratistas. Los pagos correspondientes se podrán hacer mediante encargos fiduciarios;</w:t>
      </w:r>
    </w:p>
    <w:p w14:paraId="00F7A07D" w14:textId="77777777" w:rsidR="00B75843" w:rsidRPr="00732800" w:rsidRDefault="00B75843" w:rsidP="00B75843">
      <w:pPr>
        <w:pStyle w:val="FootnoteText"/>
        <w:ind w:firstLine="708"/>
        <w:jc w:val="both"/>
        <w:rPr>
          <w:rFonts w:ascii="Verdana" w:hAnsi="Verdana" w:cs="Arial"/>
          <w:sz w:val="16"/>
          <w:szCs w:val="16"/>
        </w:rPr>
      </w:pPr>
      <w:r w:rsidRPr="00732800">
        <w:rPr>
          <w:rFonts w:ascii="Verdana" w:hAnsi="Verdana" w:cs="Arial"/>
          <w:sz w:val="16"/>
          <w:szCs w:val="16"/>
        </w:rPr>
        <w:t>d) La contratación cuyo proceso de licitación pública haya sido declarado desierto; en cuyo caso la entidad deberá iniciar la selección abreviada dentro de los cuatro meses siguientes a la declaración de desierta del proceso inicial;</w:t>
      </w:r>
    </w:p>
    <w:p w14:paraId="36D48A04" w14:textId="77777777" w:rsidR="00B75843" w:rsidRPr="00732800" w:rsidRDefault="00B75843" w:rsidP="00B75843">
      <w:pPr>
        <w:pStyle w:val="FootnoteText"/>
        <w:ind w:firstLine="708"/>
        <w:jc w:val="both"/>
        <w:rPr>
          <w:rFonts w:ascii="Verdana" w:hAnsi="Verdana" w:cs="Arial"/>
          <w:sz w:val="16"/>
          <w:szCs w:val="16"/>
        </w:rPr>
      </w:pPr>
      <w:r w:rsidRPr="00732800">
        <w:rPr>
          <w:rFonts w:ascii="Verdana" w:hAnsi="Verdana" w:cs="Arial"/>
          <w:sz w:val="16"/>
          <w:szCs w:val="16"/>
        </w:rPr>
        <w:t>e) La enajenación de bienes del Estado, con excepción de aquellos a que se refiere la Ley 226 de 1995.</w:t>
      </w:r>
    </w:p>
    <w:p w14:paraId="12BF948C" w14:textId="77777777" w:rsidR="00B75843" w:rsidRPr="00732800" w:rsidRDefault="00B75843" w:rsidP="00B75843">
      <w:pPr>
        <w:pStyle w:val="FootnoteText"/>
        <w:ind w:firstLine="708"/>
        <w:jc w:val="both"/>
        <w:rPr>
          <w:rFonts w:ascii="Verdana" w:hAnsi="Verdana" w:cs="Arial"/>
          <w:sz w:val="16"/>
          <w:szCs w:val="16"/>
        </w:rPr>
      </w:pPr>
      <w:r w:rsidRPr="00732800">
        <w:rPr>
          <w:rFonts w:ascii="Verdana" w:hAnsi="Verdana" w:cs="Arial"/>
          <w:sz w:val="16"/>
          <w:szCs w:val="16"/>
        </w:rPr>
        <w:t xml:space="preserve">[…]; </w:t>
      </w:r>
    </w:p>
    <w:p w14:paraId="5AB27CAD" w14:textId="77777777" w:rsidR="00B75843" w:rsidRPr="00732800" w:rsidRDefault="00B75843" w:rsidP="00B75843">
      <w:pPr>
        <w:pStyle w:val="FootnoteText"/>
        <w:ind w:firstLine="708"/>
        <w:jc w:val="both"/>
        <w:rPr>
          <w:rFonts w:ascii="Verdana" w:hAnsi="Verdana" w:cs="Arial"/>
          <w:sz w:val="16"/>
          <w:szCs w:val="16"/>
        </w:rPr>
      </w:pPr>
      <w:r w:rsidRPr="00732800">
        <w:rPr>
          <w:rFonts w:ascii="Verdana" w:hAnsi="Verdana" w:cs="Arial"/>
          <w:sz w:val="16"/>
          <w:szCs w:val="16"/>
        </w:rPr>
        <w:t xml:space="preserve">f) Productos de origen o destinación agropecuarios que se ofrezcan en las bolsas de productos legalmente constituidas; </w:t>
      </w:r>
    </w:p>
    <w:p w14:paraId="0C65CD12" w14:textId="77777777" w:rsidR="00B75843" w:rsidRPr="00732800" w:rsidRDefault="00B75843" w:rsidP="00B75843">
      <w:pPr>
        <w:pStyle w:val="FootnoteText"/>
        <w:ind w:firstLine="708"/>
        <w:jc w:val="both"/>
        <w:rPr>
          <w:rFonts w:ascii="Verdana" w:hAnsi="Verdana" w:cs="Arial"/>
          <w:sz w:val="16"/>
          <w:szCs w:val="16"/>
        </w:rPr>
      </w:pPr>
      <w:r w:rsidRPr="00732800">
        <w:rPr>
          <w:rFonts w:ascii="Verdana" w:hAnsi="Verdana" w:cs="Arial"/>
          <w:sz w:val="16"/>
          <w:szCs w:val="16"/>
        </w:rPr>
        <w:t xml:space="preserve">g) Los actos y contratos que tengan por objeto directo las actividades comerciales e industriales propias de las Empresas Industriales y Comerciales Estatales y de las Sociedades de Economía Mixta, con excepción de los contratos que a título enunciativo identifica el artículo 32 de la Ley 80 de 1993; </w:t>
      </w:r>
    </w:p>
    <w:p w14:paraId="3878E54F" w14:textId="77777777" w:rsidR="00B75843" w:rsidRPr="00732800" w:rsidRDefault="00B75843" w:rsidP="00B75843">
      <w:pPr>
        <w:pStyle w:val="FootnoteText"/>
        <w:ind w:firstLine="708"/>
        <w:jc w:val="both"/>
        <w:rPr>
          <w:rFonts w:ascii="Verdana" w:hAnsi="Verdana" w:cs="Arial"/>
          <w:sz w:val="16"/>
          <w:szCs w:val="16"/>
        </w:rPr>
      </w:pPr>
      <w:r w:rsidRPr="00732800">
        <w:rPr>
          <w:rFonts w:ascii="Verdana" w:hAnsi="Verdana" w:cs="Arial"/>
          <w:sz w:val="16"/>
          <w:szCs w:val="16"/>
        </w:rPr>
        <w:t>h) Los contratos de las entidades, a cuyo cargo se encuentre la ejecución de los programas de protección de personas amenazadas, programas de desmovilización y reincorporación a la vida civil de personas y grupos al margen de la ley, incluida la atención de los respectivos grupos familiares, programas de atención a población desplazada por la violencia, programas de protección de derechos humanos de grupos de personas habitantes de la calle, niños y niñas o jóvenes involucrados en grupos juveniles que hayan incurrido en conductas contra el patrimonio económico y sostengan enfrentamientos violentos de diferente tipo, y población en alto grado de vulnerabilidad con reconocido estado de exclusión que requieran capacitación, resocialización y preparación para el trabajo, incluidos los contratos fiduciarios que demanden;</w:t>
      </w:r>
    </w:p>
    <w:p w14:paraId="1101E344" w14:textId="77777777" w:rsidR="00B75843" w:rsidRPr="00732800" w:rsidRDefault="00B75843" w:rsidP="00B75843">
      <w:pPr>
        <w:pStyle w:val="FootnoteText"/>
        <w:ind w:firstLine="708"/>
        <w:jc w:val="both"/>
        <w:rPr>
          <w:rFonts w:ascii="Verdana" w:hAnsi="Verdana" w:cs="Arial"/>
          <w:sz w:val="16"/>
          <w:szCs w:val="16"/>
        </w:rPr>
      </w:pPr>
      <w:r w:rsidRPr="00732800">
        <w:rPr>
          <w:rFonts w:ascii="Verdana" w:hAnsi="Verdana" w:cs="Arial"/>
          <w:sz w:val="16"/>
          <w:szCs w:val="16"/>
        </w:rPr>
        <w:t>i) La contratación de bienes y servicios que se requieran para la defensa y seguridad nacional.</w:t>
      </w:r>
    </w:p>
    <w:p w14:paraId="107859D5" w14:textId="77777777" w:rsidR="00B75843" w:rsidRPr="00732800" w:rsidRDefault="00B75843" w:rsidP="00B75843">
      <w:pPr>
        <w:pStyle w:val="FootnoteText"/>
        <w:ind w:firstLine="708"/>
        <w:jc w:val="both"/>
        <w:rPr>
          <w:rFonts w:ascii="Verdana" w:hAnsi="Verdana" w:cs="Arial"/>
          <w:sz w:val="16"/>
          <w:szCs w:val="16"/>
        </w:rPr>
      </w:pPr>
      <w:r w:rsidRPr="00732800">
        <w:rPr>
          <w:rFonts w:ascii="Verdana" w:hAnsi="Verdana" w:cs="Arial"/>
          <w:sz w:val="16"/>
          <w:szCs w:val="16"/>
        </w:rPr>
        <w:t>j) Los bienes y servicios no uniformes de común utilización por parte de las entidades públicas, para lo cual la Agencia Nacional de Contratación Pública Colombia Compra Eficiente-podrá celebrar acuerdos marco de precios y demás instrumentos de agregación de demanda. Estos acuerdos marco de precios también serán de obligatorio uso de las entidades del Estado a las que se refiere el parágrafo 5° del artículo 2° de la presente ley, modificado por el artículo 41 de la ley 1955 de 2019”.</w:t>
      </w:r>
    </w:p>
  </w:footnote>
  <w:footnote w:id="16">
    <w:p w14:paraId="741B07B5" w14:textId="77777777" w:rsidR="00B75843" w:rsidRPr="00732800" w:rsidRDefault="00B75843" w:rsidP="00B75843">
      <w:pPr>
        <w:pStyle w:val="FootnoteText"/>
        <w:ind w:firstLine="708"/>
        <w:jc w:val="both"/>
        <w:rPr>
          <w:rFonts w:ascii="Verdana" w:hAnsi="Verdana" w:cs="Arial"/>
          <w:sz w:val="16"/>
          <w:szCs w:val="16"/>
        </w:rPr>
      </w:pPr>
      <w:r w:rsidRPr="00732800">
        <w:rPr>
          <w:rStyle w:val="FootnoteReference"/>
          <w:rFonts w:ascii="Verdana" w:hAnsi="Verdana" w:cs="Arial"/>
          <w:sz w:val="16"/>
          <w:szCs w:val="16"/>
        </w:rPr>
        <w:footnoteRef/>
      </w:r>
      <w:r w:rsidRPr="00732800">
        <w:rPr>
          <w:rFonts w:ascii="Verdana" w:hAnsi="Verdana" w:cs="Arial"/>
          <w:sz w:val="16"/>
          <w:szCs w:val="16"/>
        </w:rPr>
        <w:t xml:space="preserve"> CONSEJO DE ESTADO. Sección Tercera. Subsección A. Sentencia del 23 de julio de 2015. Exp. 36.805. C. P. Hernán Andrade Rincón. </w:t>
      </w:r>
    </w:p>
  </w:footnote>
  <w:footnote w:id="17">
    <w:p w14:paraId="4C03A7F5" w14:textId="77777777" w:rsidR="00B75843" w:rsidRPr="00732800" w:rsidRDefault="00B75843" w:rsidP="00B75843">
      <w:pPr>
        <w:pStyle w:val="FootnoteText"/>
        <w:ind w:firstLine="709"/>
        <w:jc w:val="both"/>
        <w:rPr>
          <w:rFonts w:ascii="Verdana" w:hAnsi="Verdana" w:cs="Arial"/>
          <w:sz w:val="16"/>
          <w:szCs w:val="16"/>
          <w:lang w:val="es-ES"/>
        </w:rPr>
      </w:pPr>
      <w:r w:rsidRPr="00732800">
        <w:rPr>
          <w:rStyle w:val="FootnoteReference"/>
          <w:rFonts w:ascii="Verdana" w:hAnsi="Verdana" w:cs="Arial"/>
          <w:sz w:val="16"/>
          <w:szCs w:val="16"/>
        </w:rPr>
        <w:footnoteRef/>
      </w:r>
      <w:r w:rsidRPr="00732800">
        <w:rPr>
          <w:rFonts w:ascii="Verdana" w:hAnsi="Verdana" w:cs="Arial"/>
          <w:sz w:val="16"/>
          <w:szCs w:val="16"/>
        </w:rPr>
        <w:t xml:space="preserve"> </w:t>
      </w:r>
      <w:r w:rsidRPr="00732800">
        <w:rPr>
          <w:rFonts w:ascii="Verdana" w:hAnsi="Verdana" w:cs="Arial"/>
          <w:sz w:val="16"/>
          <w:szCs w:val="16"/>
          <w:lang w:val="es-ES"/>
        </w:rPr>
        <w:t>En efecto, según el artículo 1 de la Ley 80 de 1993, el Estatuto General de Contratación de la Administración Pública «tiene por objeto disponer las reglas y principios que rigen los contratos de las entidades estatales». El artículo 2 de la Ley 1150 de 2007 hace parte de dicho Estatuto y consagra las modalidades contractuales que deben seguir las entidades enunciadas en el artículo 2 de la Ley 80 de 1993.</w:t>
      </w:r>
    </w:p>
    <w:p w14:paraId="434F4FED" w14:textId="77777777" w:rsidR="00B75843" w:rsidRPr="00732800" w:rsidRDefault="00B75843" w:rsidP="00B75843">
      <w:pPr>
        <w:pStyle w:val="FootnoteText"/>
        <w:ind w:firstLine="709"/>
        <w:jc w:val="both"/>
        <w:rPr>
          <w:rFonts w:ascii="Verdana" w:hAnsi="Verdana" w:cs="Arial"/>
          <w:sz w:val="16"/>
          <w:szCs w:val="16"/>
          <w:lang w:val="es-ES"/>
        </w:rPr>
      </w:pPr>
    </w:p>
  </w:footnote>
  <w:footnote w:id="18">
    <w:p w14:paraId="54B9FC7B" w14:textId="77777777" w:rsidR="00B75843" w:rsidRPr="00732800" w:rsidRDefault="00B75843" w:rsidP="00B75843">
      <w:pPr>
        <w:pStyle w:val="FootnoteText"/>
        <w:ind w:firstLine="709"/>
        <w:jc w:val="both"/>
        <w:rPr>
          <w:rFonts w:ascii="Verdana" w:hAnsi="Verdana" w:cs="Arial"/>
          <w:sz w:val="16"/>
          <w:szCs w:val="16"/>
        </w:rPr>
      </w:pPr>
      <w:r w:rsidRPr="00732800">
        <w:rPr>
          <w:rStyle w:val="FootnoteReference"/>
          <w:rFonts w:ascii="Verdana" w:hAnsi="Verdana" w:cs="Arial"/>
          <w:sz w:val="16"/>
          <w:szCs w:val="16"/>
        </w:rPr>
        <w:footnoteRef/>
      </w:r>
      <w:r w:rsidRPr="00732800">
        <w:rPr>
          <w:rFonts w:ascii="Verdana" w:hAnsi="Verdana" w:cs="Arial"/>
          <w:sz w:val="16"/>
          <w:szCs w:val="16"/>
        </w:rPr>
        <w:t xml:space="preserve"> Sentencia C-054 de 2016, M.P. Luis Ernesto Vargas Silva.</w:t>
      </w:r>
    </w:p>
  </w:footnote>
  <w:footnote w:id="19">
    <w:p w14:paraId="7E17DC29" w14:textId="77777777" w:rsidR="00B75843" w:rsidRPr="00732800" w:rsidRDefault="00B75843" w:rsidP="00B75843">
      <w:pPr>
        <w:pStyle w:val="FootnoteText"/>
        <w:ind w:firstLine="708"/>
        <w:jc w:val="both"/>
        <w:rPr>
          <w:rFonts w:ascii="Verdana" w:hAnsi="Verdana"/>
          <w:sz w:val="16"/>
          <w:szCs w:val="16"/>
          <w:lang w:val="es-ES"/>
        </w:rPr>
      </w:pPr>
      <w:r w:rsidRPr="00732800">
        <w:rPr>
          <w:rStyle w:val="FootnoteReference"/>
          <w:rFonts w:ascii="Verdana" w:hAnsi="Verdana"/>
          <w:sz w:val="16"/>
          <w:szCs w:val="16"/>
        </w:rPr>
        <w:footnoteRef/>
      </w:r>
      <w:r w:rsidRPr="00732800">
        <w:rPr>
          <w:rFonts w:ascii="Verdana" w:hAnsi="Verdana"/>
          <w:sz w:val="16"/>
          <w:szCs w:val="16"/>
        </w:rPr>
        <w:t xml:space="preserve"> </w:t>
      </w:r>
      <w:r w:rsidRPr="00732800">
        <w:rPr>
          <w:rFonts w:ascii="Verdana" w:hAnsi="Verdana"/>
          <w:sz w:val="16"/>
          <w:szCs w:val="16"/>
          <w:lang w:val="es-CO"/>
        </w:rPr>
        <w:t>Corte Constitucional, Sentencia C</w:t>
      </w:r>
      <w:r w:rsidRPr="00732800">
        <w:rPr>
          <w:rFonts w:ascii="Verdana" w:hAnsi="Verdana"/>
          <w:sz w:val="16"/>
          <w:szCs w:val="16"/>
          <w:lang w:val="es-CO"/>
        </w:rPr>
        <w:noBreakHyphen/>
        <w:t>250 de 1996, M.P. Dr. Hernando Herrera Vergara.</w:t>
      </w:r>
    </w:p>
  </w:footnote>
  <w:footnote w:id="20">
    <w:p w14:paraId="74661D28" w14:textId="77777777" w:rsidR="00B75843" w:rsidRPr="00732800" w:rsidRDefault="00B75843" w:rsidP="00B75843">
      <w:pPr>
        <w:pStyle w:val="FootnoteText"/>
        <w:ind w:firstLine="708"/>
        <w:jc w:val="both"/>
        <w:rPr>
          <w:rFonts w:ascii="Verdana" w:hAnsi="Verdana"/>
          <w:sz w:val="16"/>
          <w:szCs w:val="16"/>
          <w:lang w:val="es-ES"/>
        </w:rPr>
      </w:pPr>
      <w:r w:rsidRPr="00732800">
        <w:rPr>
          <w:rStyle w:val="FootnoteReference"/>
          <w:rFonts w:ascii="Verdana" w:hAnsi="Verdana"/>
          <w:sz w:val="16"/>
          <w:szCs w:val="16"/>
        </w:rPr>
        <w:footnoteRef/>
      </w:r>
      <w:r w:rsidRPr="00732800">
        <w:rPr>
          <w:rFonts w:ascii="Verdana" w:hAnsi="Verdana"/>
          <w:sz w:val="16"/>
          <w:szCs w:val="16"/>
        </w:rPr>
        <w:t xml:space="preserve"> </w:t>
      </w:r>
      <w:r w:rsidRPr="00BD2B91">
        <w:rPr>
          <w:rFonts w:ascii="Verdana" w:hAnsi="Verdana"/>
          <w:sz w:val="16"/>
          <w:szCs w:val="16"/>
          <w:lang w:val="es-CO"/>
        </w:rPr>
        <w:t>Consejo de Estado, Sala de lo Contencioso Administrativo, Sección Tercera, sentencia del 16 de junio de 1994, exp. 5729, C.P. Daniel Suárez Hernánde</w:t>
      </w:r>
      <w:r>
        <w:rPr>
          <w:rFonts w:ascii="Verdana" w:hAnsi="Verdana"/>
          <w:sz w:val="16"/>
          <w:szCs w:val="16"/>
          <w:lang w:val="es-CO"/>
        </w:rPr>
        <w:t>z.</w:t>
      </w:r>
    </w:p>
  </w:footnote>
  <w:footnote w:id="21">
    <w:p w14:paraId="0C7988F0" w14:textId="77777777" w:rsidR="00B75843" w:rsidRPr="00732800" w:rsidRDefault="00B75843" w:rsidP="00B75843">
      <w:pPr>
        <w:pStyle w:val="FootnoteText"/>
        <w:ind w:firstLine="708"/>
        <w:jc w:val="both"/>
        <w:rPr>
          <w:rFonts w:ascii="Verdana" w:hAnsi="Verdana"/>
          <w:sz w:val="16"/>
          <w:szCs w:val="16"/>
          <w:lang w:val="es-ES"/>
        </w:rPr>
      </w:pPr>
      <w:r w:rsidRPr="00732800">
        <w:rPr>
          <w:rStyle w:val="FootnoteReference"/>
          <w:rFonts w:ascii="Verdana" w:hAnsi="Verdana"/>
          <w:sz w:val="16"/>
          <w:szCs w:val="16"/>
        </w:rPr>
        <w:footnoteRef/>
      </w:r>
      <w:r w:rsidRPr="00732800">
        <w:rPr>
          <w:rFonts w:ascii="Verdana" w:hAnsi="Verdana"/>
          <w:sz w:val="16"/>
          <w:szCs w:val="16"/>
        </w:rPr>
        <w:t xml:space="preserve"> </w:t>
      </w:r>
      <w:r w:rsidRPr="00BD2B91">
        <w:rPr>
          <w:rFonts w:ascii="Verdana" w:hAnsi="Verdana"/>
          <w:sz w:val="16"/>
          <w:szCs w:val="16"/>
          <w:lang w:val="es-CO"/>
        </w:rPr>
        <w:t>Consejo de Estado, Sala de lo Contencioso Administrativo, Sección Tercera, sentencia del 27 de marzo de 2014, radicación número 25000</w:t>
      </w:r>
      <w:r w:rsidRPr="00BD2B91">
        <w:rPr>
          <w:rFonts w:ascii="Verdana" w:hAnsi="Verdana"/>
          <w:sz w:val="16"/>
          <w:szCs w:val="16"/>
          <w:lang w:val="es-CO"/>
        </w:rPr>
        <w:noBreakHyphen/>
        <w:t>23</w:t>
      </w:r>
      <w:r w:rsidRPr="00BD2B91">
        <w:rPr>
          <w:rFonts w:ascii="Verdana" w:hAnsi="Verdana"/>
          <w:sz w:val="16"/>
          <w:szCs w:val="16"/>
          <w:lang w:val="es-CO"/>
        </w:rPr>
        <w:noBreakHyphen/>
        <w:t>26</w:t>
      </w:r>
      <w:r w:rsidRPr="00BD2B91">
        <w:rPr>
          <w:rFonts w:ascii="Verdana" w:hAnsi="Verdana"/>
          <w:sz w:val="16"/>
          <w:szCs w:val="16"/>
          <w:lang w:val="es-CO"/>
        </w:rPr>
        <w:noBreakHyphen/>
        <w:t>000</w:t>
      </w:r>
      <w:r w:rsidRPr="00BD2B91">
        <w:rPr>
          <w:rFonts w:ascii="Verdana" w:hAnsi="Verdana"/>
          <w:sz w:val="16"/>
          <w:szCs w:val="16"/>
          <w:lang w:val="es-CO"/>
        </w:rPr>
        <w:noBreakHyphen/>
        <w:t>1998</w:t>
      </w:r>
      <w:r w:rsidRPr="00BD2B91">
        <w:rPr>
          <w:rFonts w:ascii="Verdana" w:hAnsi="Verdana"/>
          <w:sz w:val="16"/>
          <w:szCs w:val="16"/>
          <w:lang w:val="es-CO"/>
        </w:rPr>
        <w:noBreakHyphen/>
        <w:t>02814</w:t>
      </w:r>
      <w:r w:rsidRPr="00BD2B91">
        <w:rPr>
          <w:rFonts w:ascii="Verdana" w:hAnsi="Verdana"/>
          <w:sz w:val="16"/>
          <w:szCs w:val="16"/>
          <w:lang w:val="es-CO"/>
        </w:rPr>
        <w:noBreakHyphen/>
        <w:t>01(26939).</w:t>
      </w:r>
    </w:p>
  </w:footnote>
  <w:footnote w:id="22">
    <w:p w14:paraId="2D8706FA" w14:textId="77777777" w:rsidR="00B75843" w:rsidRPr="00732800" w:rsidRDefault="00B75843" w:rsidP="00B75843">
      <w:pPr>
        <w:pStyle w:val="FootnoteText"/>
        <w:ind w:firstLine="708"/>
        <w:jc w:val="both"/>
        <w:rPr>
          <w:rFonts w:ascii="Verdana" w:hAnsi="Verdana"/>
          <w:sz w:val="16"/>
          <w:szCs w:val="16"/>
          <w:lang w:val="es-ES"/>
        </w:rPr>
      </w:pPr>
      <w:r w:rsidRPr="00732800">
        <w:rPr>
          <w:rStyle w:val="FootnoteReference"/>
          <w:rFonts w:ascii="Verdana" w:hAnsi="Verdana"/>
          <w:sz w:val="16"/>
          <w:szCs w:val="16"/>
        </w:rPr>
        <w:footnoteRef/>
      </w:r>
      <w:r w:rsidRPr="00732800">
        <w:rPr>
          <w:rFonts w:ascii="Verdana" w:hAnsi="Verdana"/>
          <w:sz w:val="16"/>
          <w:szCs w:val="16"/>
        </w:rPr>
        <w:t xml:space="preserve"> </w:t>
      </w:r>
      <w:r w:rsidRPr="00657C42">
        <w:rPr>
          <w:rFonts w:ascii="Verdana" w:hAnsi="Verdana"/>
          <w:sz w:val="16"/>
          <w:szCs w:val="16"/>
          <w:lang w:val="es-CO"/>
        </w:rPr>
        <w:t>Consejo de Estado, Sección Tercera, sentencia del 4 de mayo de 2022, exp. 51992, C.P. Martín Bermúdez Muñoz.</w:t>
      </w:r>
    </w:p>
  </w:footnote>
  <w:footnote w:id="23">
    <w:p w14:paraId="3023699B" w14:textId="77777777" w:rsidR="00B75843" w:rsidRPr="00732800" w:rsidRDefault="00B75843" w:rsidP="00B75843">
      <w:pPr>
        <w:pStyle w:val="FootnoteText"/>
        <w:jc w:val="both"/>
        <w:rPr>
          <w:rFonts w:ascii="Verdana" w:hAnsi="Verdana"/>
          <w:sz w:val="16"/>
          <w:szCs w:val="16"/>
          <w:lang w:val="es-ES"/>
        </w:rPr>
      </w:pPr>
      <w:r w:rsidRPr="00732800">
        <w:rPr>
          <w:rStyle w:val="FootnoteReference"/>
          <w:rFonts w:ascii="Verdana" w:hAnsi="Verdana"/>
          <w:sz w:val="16"/>
          <w:szCs w:val="16"/>
        </w:rPr>
        <w:footnoteRef/>
      </w:r>
      <w:r w:rsidRPr="00732800">
        <w:rPr>
          <w:rFonts w:ascii="Verdana" w:hAnsi="Verdana"/>
          <w:sz w:val="16"/>
          <w:szCs w:val="16"/>
        </w:rPr>
        <w:t xml:space="preserve"> </w:t>
      </w:r>
      <w:r w:rsidRPr="00732800">
        <w:rPr>
          <w:rFonts w:ascii="Verdana" w:hAnsi="Verdana"/>
          <w:sz w:val="16"/>
          <w:szCs w:val="16"/>
          <w:lang w:val="es-ES"/>
        </w:rPr>
        <w:t>Disponible en: https://www.ani.gov.co/documents/20117/0/gcsp-m-001_manual_de_reversiones_v4.pdf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5F4D03" w14:textId="0903BF04" w:rsidR="00756841" w:rsidRDefault="009D3058" w:rsidP="00844AE9">
    <w:pPr>
      <w:pStyle w:val="Header"/>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Header"/>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8" type="#_x0000_t75" style="width:12.2pt;height:12.2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39675BC"/>
    <w:multiLevelType w:val="hybridMultilevel"/>
    <w:tmpl w:val="B5DC7236"/>
    <w:lvl w:ilvl="0" w:tplc="240A000F">
      <w:start w:val="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DE5CCA"/>
    <w:multiLevelType w:val="hybridMultilevel"/>
    <w:tmpl w:val="6F56A0F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53B6861"/>
    <w:multiLevelType w:val="hybridMultilevel"/>
    <w:tmpl w:val="4A2AA644"/>
    <w:lvl w:ilvl="0" w:tplc="3FECA28C">
      <w:start w:val="1"/>
      <w:numFmt w:val="decimal"/>
      <w:lvlText w:val="%1."/>
      <w:lvlJc w:val="left"/>
      <w:pPr>
        <w:ind w:left="1211" w:hanging="360"/>
      </w:pPr>
      <w:rPr>
        <w:rFonts w:hint="default"/>
        <w:b/>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18679D0"/>
    <w:multiLevelType w:val="hybridMultilevel"/>
    <w:tmpl w:val="002007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3"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7"/>
  </w:num>
  <w:num w:numId="2" w16cid:durableId="19822139">
    <w:abstractNumId w:val="1"/>
  </w:num>
  <w:num w:numId="3" w16cid:durableId="876742304">
    <w:abstractNumId w:val="5"/>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5"/>
  </w:num>
  <w:num w:numId="7" w16cid:durableId="1946422806">
    <w:abstractNumId w:val="6"/>
  </w:num>
  <w:num w:numId="8" w16cid:durableId="152644682">
    <w:abstractNumId w:val="14"/>
  </w:num>
  <w:num w:numId="9" w16cid:durableId="1317221377">
    <w:abstractNumId w:val="9"/>
  </w:num>
  <w:num w:numId="10" w16cid:durableId="1471245386">
    <w:abstractNumId w:val="13"/>
  </w:num>
  <w:num w:numId="11" w16cid:durableId="289172385">
    <w:abstractNumId w:val="10"/>
  </w:num>
  <w:num w:numId="12" w16cid:durableId="1470781324">
    <w:abstractNumId w:val="0"/>
  </w:num>
  <w:num w:numId="13" w16cid:durableId="1512908409">
    <w:abstractNumId w:val="3"/>
  </w:num>
  <w:num w:numId="14" w16cid:durableId="895897244">
    <w:abstractNumId w:val="16"/>
  </w:num>
  <w:num w:numId="15" w16cid:durableId="390349800">
    <w:abstractNumId w:val="12"/>
  </w:num>
  <w:num w:numId="16" w16cid:durableId="153255849">
    <w:abstractNumId w:val="11"/>
  </w:num>
  <w:num w:numId="17" w16cid:durableId="410347328">
    <w:abstractNumId w:val="2"/>
  </w:num>
  <w:num w:numId="18" w16cid:durableId="1657416961">
    <w:abstractNumId w:val="4"/>
  </w:num>
  <w:num w:numId="19" w16cid:durableId="2223013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D0334"/>
    <w:rsid w:val="000D0A6B"/>
    <w:rsid w:val="000D5DA7"/>
    <w:rsid w:val="000F6486"/>
    <w:rsid w:val="00116940"/>
    <w:rsid w:val="00125105"/>
    <w:rsid w:val="00127233"/>
    <w:rsid w:val="0015699B"/>
    <w:rsid w:val="001A33BF"/>
    <w:rsid w:val="001E4177"/>
    <w:rsid w:val="001F0B24"/>
    <w:rsid w:val="001F7DC6"/>
    <w:rsid w:val="0022400B"/>
    <w:rsid w:val="002421BB"/>
    <w:rsid w:val="0025796E"/>
    <w:rsid w:val="002707A2"/>
    <w:rsid w:val="002951A0"/>
    <w:rsid w:val="002962BC"/>
    <w:rsid w:val="002A093D"/>
    <w:rsid w:val="002A0DD0"/>
    <w:rsid w:val="002A49AC"/>
    <w:rsid w:val="002A64FD"/>
    <w:rsid w:val="002C7A84"/>
    <w:rsid w:val="002E2BF8"/>
    <w:rsid w:val="002E4FD9"/>
    <w:rsid w:val="003039EF"/>
    <w:rsid w:val="0030657A"/>
    <w:rsid w:val="00322A85"/>
    <w:rsid w:val="00324168"/>
    <w:rsid w:val="00330834"/>
    <w:rsid w:val="003448F4"/>
    <w:rsid w:val="00374F5E"/>
    <w:rsid w:val="00377E3E"/>
    <w:rsid w:val="003A779E"/>
    <w:rsid w:val="003D0F4D"/>
    <w:rsid w:val="003D5B0D"/>
    <w:rsid w:val="003E0499"/>
    <w:rsid w:val="003E4F80"/>
    <w:rsid w:val="003E6439"/>
    <w:rsid w:val="003F3941"/>
    <w:rsid w:val="00406575"/>
    <w:rsid w:val="00414C74"/>
    <w:rsid w:val="0042722E"/>
    <w:rsid w:val="0044528D"/>
    <w:rsid w:val="00466E39"/>
    <w:rsid w:val="004A1847"/>
    <w:rsid w:val="004A305D"/>
    <w:rsid w:val="004F21C4"/>
    <w:rsid w:val="004F685F"/>
    <w:rsid w:val="005566E8"/>
    <w:rsid w:val="00574867"/>
    <w:rsid w:val="00591460"/>
    <w:rsid w:val="005A65E0"/>
    <w:rsid w:val="005C3777"/>
    <w:rsid w:val="005C5CDC"/>
    <w:rsid w:val="005D476C"/>
    <w:rsid w:val="005F2D9E"/>
    <w:rsid w:val="006200BF"/>
    <w:rsid w:val="006219F8"/>
    <w:rsid w:val="006302F7"/>
    <w:rsid w:val="00646B9F"/>
    <w:rsid w:val="00665D70"/>
    <w:rsid w:val="006900D9"/>
    <w:rsid w:val="006B2C62"/>
    <w:rsid w:val="007040A8"/>
    <w:rsid w:val="00706C16"/>
    <w:rsid w:val="007239DF"/>
    <w:rsid w:val="007340C3"/>
    <w:rsid w:val="0075235A"/>
    <w:rsid w:val="00756841"/>
    <w:rsid w:val="007649AB"/>
    <w:rsid w:val="00771D0C"/>
    <w:rsid w:val="007833AC"/>
    <w:rsid w:val="007B268C"/>
    <w:rsid w:val="007B7171"/>
    <w:rsid w:val="007C0C0F"/>
    <w:rsid w:val="007C3DC2"/>
    <w:rsid w:val="007E5497"/>
    <w:rsid w:val="00806F5F"/>
    <w:rsid w:val="00820278"/>
    <w:rsid w:val="008258C9"/>
    <w:rsid w:val="00844AE9"/>
    <w:rsid w:val="00867F95"/>
    <w:rsid w:val="008843B6"/>
    <w:rsid w:val="00891928"/>
    <w:rsid w:val="008A181E"/>
    <w:rsid w:val="008A446D"/>
    <w:rsid w:val="008B25F1"/>
    <w:rsid w:val="008D180B"/>
    <w:rsid w:val="008F0EA7"/>
    <w:rsid w:val="00902F7C"/>
    <w:rsid w:val="00923EEF"/>
    <w:rsid w:val="009419F9"/>
    <w:rsid w:val="0095685E"/>
    <w:rsid w:val="00961B09"/>
    <w:rsid w:val="00965334"/>
    <w:rsid w:val="0097093E"/>
    <w:rsid w:val="00975BDF"/>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70575"/>
    <w:rsid w:val="00AA3A70"/>
    <w:rsid w:val="00AB0ADB"/>
    <w:rsid w:val="00B00C0E"/>
    <w:rsid w:val="00B01B1A"/>
    <w:rsid w:val="00B0381D"/>
    <w:rsid w:val="00B3180C"/>
    <w:rsid w:val="00B44A47"/>
    <w:rsid w:val="00B72CD3"/>
    <w:rsid w:val="00B72FFF"/>
    <w:rsid w:val="00B75843"/>
    <w:rsid w:val="00BC3D36"/>
    <w:rsid w:val="00BD54A6"/>
    <w:rsid w:val="00BD7F72"/>
    <w:rsid w:val="00BF7425"/>
    <w:rsid w:val="00C04FB3"/>
    <w:rsid w:val="00C11D8B"/>
    <w:rsid w:val="00C15139"/>
    <w:rsid w:val="00C330EB"/>
    <w:rsid w:val="00C50D69"/>
    <w:rsid w:val="00C5365C"/>
    <w:rsid w:val="00C754BE"/>
    <w:rsid w:val="00C76B1C"/>
    <w:rsid w:val="00C925AC"/>
    <w:rsid w:val="00CB3B40"/>
    <w:rsid w:val="00CB6357"/>
    <w:rsid w:val="00CC1B26"/>
    <w:rsid w:val="00CE0318"/>
    <w:rsid w:val="00D361FD"/>
    <w:rsid w:val="00D423A2"/>
    <w:rsid w:val="00D44E26"/>
    <w:rsid w:val="00D520D8"/>
    <w:rsid w:val="00D63AC2"/>
    <w:rsid w:val="00D7383B"/>
    <w:rsid w:val="00D7788A"/>
    <w:rsid w:val="00DA231B"/>
    <w:rsid w:val="00DC39FC"/>
    <w:rsid w:val="00DF5254"/>
    <w:rsid w:val="00E02524"/>
    <w:rsid w:val="00E16408"/>
    <w:rsid w:val="00E20894"/>
    <w:rsid w:val="00E245AB"/>
    <w:rsid w:val="00E2764C"/>
    <w:rsid w:val="00E27F2E"/>
    <w:rsid w:val="00E50AFE"/>
    <w:rsid w:val="00E75C92"/>
    <w:rsid w:val="00E771DC"/>
    <w:rsid w:val="00E8772A"/>
    <w:rsid w:val="00E90F6B"/>
    <w:rsid w:val="00E92C27"/>
    <w:rsid w:val="00EA0E3D"/>
    <w:rsid w:val="00EC123A"/>
    <w:rsid w:val="00EC36D7"/>
    <w:rsid w:val="00EC38A7"/>
    <w:rsid w:val="00EE1AA8"/>
    <w:rsid w:val="00F23FEA"/>
    <w:rsid w:val="00F31EDC"/>
    <w:rsid w:val="00F462B3"/>
    <w:rsid w:val="00F5664F"/>
    <w:rsid w:val="00F666C4"/>
    <w:rsid w:val="00F73602"/>
    <w:rsid w:val="00F76AFC"/>
    <w:rsid w:val="00FA47C0"/>
    <w:rsid w:val="00FB5DD1"/>
    <w:rsid w:val="00FC2B5D"/>
    <w:rsid w:val="00FF10B0"/>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1847"/>
    <w:pPr>
      <w:tabs>
        <w:tab w:val="center" w:pos="4419"/>
        <w:tab w:val="right" w:pos="8838"/>
      </w:tabs>
      <w:spacing w:after="0" w:line="240" w:lineRule="auto"/>
    </w:pPr>
  </w:style>
  <w:style w:type="character" w:customStyle="1" w:styleId="HeaderChar">
    <w:name w:val="Header Char"/>
    <w:basedOn w:val="DefaultParagraphFont"/>
    <w:link w:val="Header"/>
    <w:uiPriority w:val="99"/>
    <w:rsid w:val="004A1847"/>
  </w:style>
  <w:style w:type="paragraph" w:styleId="Footer">
    <w:name w:val="footer"/>
    <w:basedOn w:val="Normal"/>
    <w:link w:val="FooterChar"/>
    <w:uiPriority w:val="99"/>
    <w:unhideWhenUsed/>
    <w:rsid w:val="004A1847"/>
    <w:pPr>
      <w:tabs>
        <w:tab w:val="center" w:pos="4419"/>
        <w:tab w:val="right" w:pos="8838"/>
      </w:tabs>
      <w:spacing w:after="0" w:line="240" w:lineRule="auto"/>
    </w:pPr>
  </w:style>
  <w:style w:type="character" w:customStyle="1" w:styleId="FooterChar">
    <w:name w:val="Footer Char"/>
    <w:basedOn w:val="DefaultParagraphFont"/>
    <w:link w:val="Footer"/>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FootnoteTextChar">
    <w:name w:val="Footnote Text Char"/>
    <w:aliases w:val="Ref. de nota al pie1 Char,Texto de nota al pie Char,referencia nota al pie Char,Appel note de bas de page Char,Footnotes refss Char,Footnote number Char,BVI fnr Char,Footnote Text Char Char Char Char Char Char,Footnote reference Char"/>
    <w:basedOn w:val="DefaultParagraphFont"/>
    <w:link w:val="FootnoteText"/>
    <w:uiPriority w:val="99"/>
    <w:qFormat/>
    <w:locked/>
    <w:rsid w:val="006219F8"/>
    <w:rPr>
      <w:sz w:val="20"/>
      <w:szCs w:val="20"/>
      <w:lang w:val="es-MX"/>
    </w:rPr>
  </w:style>
  <w:style w:type="paragraph" w:styleId="FootnoteText">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FootnoteTextChar"/>
    <w:uiPriority w:val="99"/>
    <w:unhideWhenUsed/>
    <w:qFormat/>
    <w:rsid w:val="006219F8"/>
    <w:pPr>
      <w:spacing w:after="0" w:line="240" w:lineRule="auto"/>
    </w:pPr>
    <w:rPr>
      <w:sz w:val="20"/>
      <w:szCs w:val="20"/>
      <w:lang w:val="es-MX"/>
    </w:rPr>
  </w:style>
  <w:style w:type="character" w:customStyle="1" w:styleId="TextonotapieCar1">
    <w:name w:val="Texto nota pie Car1"/>
    <w:basedOn w:val="DefaultParagraphFont"/>
    <w:uiPriority w:val="99"/>
    <w:semiHidden/>
    <w:rsid w:val="006219F8"/>
    <w:rPr>
      <w:sz w:val="20"/>
      <w:szCs w:val="20"/>
    </w:rPr>
  </w:style>
  <w:style w:type="character" w:styleId="FootnoteReference">
    <w:name w:val="footnote reference"/>
    <w:aliases w:val="Ref. de nota al pie 2,Ref,de nota al pie,FC,Appel note de bas de p,f,4_G,16 Point,Superscript 6 Point,Texto nota al pie,Pie de Página,Texto de nota al pi,Nota de pie,Texto de nota al p,Footnote Reference Char3,Texto nota pie Car2,F,R"/>
    <w:basedOn w:val="DefaultParagraphFont"/>
    <w:link w:val="Appelnotedebasde"/>
    <w:uiPriority w:val="99"/>
    <w:unhideWhenUsed/>
    <w:qFormat/>
    <w:rsid w:val="006219F8"/>
    <w:rPr>
      <w:vertAlign w:val="superscript"/>
    </w:rPr>
  </w:style>
  <w:style w:type="character" w:customStyle="1" w:styleId="normaltextrun">
    <w:name w:val="normaltextrun"/>
    <w:basedOn w:val="DefaultParagraphFont"/>
    <w:rsid w:val="006219F8"/>
  </w:style>
  <w:style w:type="table" w:styleId="TableGrid">
    <w:name w:val="Table Grid"/>
    <w:basedOn w:val="Table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otografía,Párrafo de lista1,Bullet List,FooterText,numbered,Paragraphe de liste1,lp1,Scitum normal,HOJA,Bolita,Párrafo de lista4,BOLADEF,Párrafo de lista3,Párrafo de lista21,BOLA,Nivel 1 OS,Colorful List Accent 1,Foot"/>
    <w:basedOn w:val="Normal"/>
    <w:link w:val="ListParagraphChar"/>
    <w:uiPriority w:val="1"/>
    <w:qFormat/>
    <w:rsid w:val="005566E8"/>
    <w:pPr>
      <w:ind w:left="720"/>
      <w:contextualSpacing/>
    </w:pPr>
    <w:rPr>
      <w:rFonts w:ascii="Geomanist Light" w:hAnsi="Geomanist Light"/>
      <w:lang w:val="es-ES"/>
    </w:rPr>
  </w:style>
  <w:style w:type="paragraph" w:styleId="Title">
    <w:name w:val="Title"/>
    <w:basedOn w:val="Normal"/>
    <w:next w:val="Normal"/>
    <w:link w:val="TitleCh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itleChar">
    <w:name w:val="Title Char"/>
    <w:basedOn w:val="DefaultParagraphFont"/>
    <w:link w:val="Title"/>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DefaultParagraphFont"/>
    <w:rsid w:val="00DA231B"/>
  </w:style>
  <w:style w:type="character" w:styleId="Hyperlink">
    <w:name w:val="Hyperlink"/>
    <w:basedOn w:val="DefaultParagraphFont"/>
    <w:uiPriority w:val="99"/>
    <w:unhideWhenUsed/>
    <w:rsid w:val="00125105"/>
    <w:rPr>
      <w:color w:val="0000FF"/>
      <w:u w:val="single"/>
    </w:rPr>
  </w:style>
  <w:style w:type="character" w:styleId="FollowedHyperlink">
    <w:name w:val="FollowedHyperlink"/>
    <w:basedOn w:val="DefaultParagraphFont"/>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DefaultParagraphFont"/>
    <w:rsid w:val="00322A85"/>
  </w:style>
  <w:style w:type="character" w:customStyle="1" w:styleId="eop">
    <w:name w:val="eop"/>
    <w:basedOn w:val="DefaultParagraphFont"/>
    <w:rsid w:val="00322A85"/>
  </w:style>
  <w:style w:type="character" w:styleId="UnresolvedMention">
    <w:name w:val="Unresolved Mention"/>
    <w:basedOn w:val="DefaultParagraphFont"/>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on">
    <w:name w:val="Revision"/>
    <w:hidden/>
    <w:uiPriority w:val="99"/>
    <w:semiHidden/>
    <w:rsid w:val="009F3A13"/>
    <w:pPr>
      <w:spacing w:after="0" w:line="240" w:lineRule="auto"/>
    </w:pPr>
  </w:style>
  <w:style w:type="paragraph" w:customStyle="1" w:styleId="Appelnotedebasde">
    <w:name w:val="Appel note de bas de..."/>
    <w:basedOn w:val="Normal"/>
    <w:link w:val="FootnoteReference"/>
    <w:uiPriority w:val="99"/>
    <w:rsid w:val="00B75843"/>
    <w:pPr>
      <w:spacing w:after="0" w:line="240" w:lineRule="exact"/>
    </w:pPr>
    <w:rPr>
      <w:vertAlign w:val="superscript"/>
    </w:rPr>
  </w:style>
  <w:style w:type="character" w:customStyle="1" w:styleId="ListParagraphChar">
    <w:name w:val="List Paragraph Char"/>
    <w:aliases w:val="Fotografía Char,Párrafo de lista1 Char,Bullet List Char,FooterText Char,numbered Char,Paragraphe de liste1 Char,lp1 Char,Scitum normal Char,HOJA Char,Bolita Char,Párrafo de lista4 Char,BOLADEF Char,Párrafo de lista3 Char,BOLA Char"/>
    <w:link w:val="ListParagraph"/>
    <w:uiPriority w:val="1"/>
    <w:qFormat/>
    <w:locked/>
    <w:rsid w:val="00B75843"/>
    <w:rPr>
      <w:rFonts w:ascii="Geomanist Light" w:hAnsi="Geomanist Light"/>
      <w:lang w:val="es-ES"/>
    </w:rPr>
  </w:style>
  <w:style w:type="paragraph" w:styleId="NoSpacing">
    <w:name w:val="No Spacing"/>
    <w:aliases w:val="No Indent"/>
    <w:link w:val="NoSpacingChar"/>
    <w:uiPriority w:val="3"/>
    <w:qFormat/>
    <w:rsid w:val="00B75843"/>
    <w:pPr>
      <w:spacing w:after="0" w:line="240" w:lineRule="auto"/>
    </w:pPr>
    <w:rPr>
      <w:sz w:val="24"/>
      <w:lang w:val="es-MX"/>
    </w:rPr>
  </w:style>
  <w:style w:type="character" w:customStyle="1" w:styleId="NoSpacingChar">
    <w:name w:val="No Spacing Char"/>
    <w:aliases w:val="No Indent Char"/>
    <w:link w:val="NoSpacing"/>
    <w:uiPriority w:val="3"/>
    <w:rsid w:val="00B75843"/>
    <w:rPr>
      <w:sz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funcionpublica.gov.co/eva/gestornormativo/norma.php?i=45329" TargetMode="External"/><Relationship Id="rId18" Type="http://schemas.openxmlformats.org/officeDocument/2006/relationships/hyperlink" Target="https://nam02.safelinks.protection.outlook.com/?url=https%3A%2F%2Fwww.colombiacompra.gov.co%2Farchivos%2Fboletin%2Fboletin-edicion-n-3-de-2026-radar-de-la-compra-publica&amp;data=05%7C02%7Cana.bonilla%40colombiacompra.gov.co%7C7128555136e04fa6887d08dee99e1b50%7C7b09041e245149d08cb179d5e3d8c1be%7C0%7C0%7C639205062446582480%7CUnknown%7CTWFpbGZsb3d8eyJFbXB0eU1hcGkiOnRydWUsIlYiOiIwLjAuMDAwMCIsIlAiOiJXaW4zMiIsIkFOIjoiTWFpbCIsIldUIjoyfQ%3D%3D%7C0%7C%7C%7C&amp;sdata=3E87%2BXiPgcuKzNjb08X5RRG2n9%2BDsc2%2F5ZN9FROB4Eo%3D&amp;reserved=0"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funcionpublica.gov.co/eva/gestornormativo/norma.php?i=45329" TargetMode="External"/><Relationship Id="rId17" Type="http://schemas.openxmlformats.org/officeDocument/2006/relationships/hyperlink" Target="https://nam02.safelinks.protection.outlook.com/?url=https%3A%2F%2Fwww.colombiacompra.gov.co%2Farchivos%2Fcircular%2Fcircular-externa-002-de-2026&amp;data=05%7C02%7Cana.bonilla%40colombiacompra.gov.co%7C7128555136e04fa6887d08dee99e1b50%7C7b09041e245149d08cb179d5e3d8c1be%7C0%7C0%7C639205062446570577%7CUnknown%7CTWFpbGZsb3d8eyJFbXB0eU1hcGkiOnRydWUsIlYiOiIwLjAuMDAwMCIsIlAiOiJXaW4zMiIsIkFOIjoiTWFpbCIsIldUIjoyfQ%3D%3D%7C0%7C%7C%7C&amp;sdata=6oYBTCkdsvDccXezxO3daP3zceLkDc7blme%2Fm%2BpFFVc%3D&amp;reserved=0"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3-de-2026&amp;data=05%7C02%7Cana.bonilla%40colombiacompra.gov.co%7C7128555136e04fa6887d08dee99e1b50%7C7b09041e245149d08cb179d5e3d8c1be%7C0%7C0%7C639205062446555980%7CUnknown%7CTWFpbGZsb3d8eyJFbXB0eU1hcGkiOnRydWUsIlYiOiIwLjAuMDAwMCIsIlAiOiJXaW4zMiIsIkFOIjoiTWFpbCIsIldUIjoyfQ%3D%3D%7C0%7C%7C%7C&amp;sdata=z9tH46pz12Y%2F%2FZUje8KdKmYbKJBPtpJQlVjKii38yCI%3D&amp;reserved=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moscoso25@hotmail.com"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manual%2Fguia-de-garantias-en-procesos-de-contratacion&amp;data=05%7C02%7Cana.bonilla%40colombiacompra.gov.co%7C7128555136e04fa6887d08dee99e1b50%7C7b09041e245149d08cb179d5e3d8c1be%7C0%7C0%7C639205062446530248%7CUnknown%7CTWFpbGZsb3d8eyJFbXB0eU1hcGkiOnRydWUsIlYiOiIwLjAuMDAwMCIsIlAiOiJXaW4zMiIsIkFOIjoiTWFpbCIsIldUIjoyfQ%3D%3D%7C0%7C%7C%7C&amp;sdata=oQgit%2FAMaGzdnE2GcsPlQcBfwpAYw24fEB6r%2BBBZutg%3D&amp;reserved=0"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elatoria.colombiacompra.gov.co/busqueda/conceptos"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colombiacompra.gov.co/wp-content/uploads/2024/08/manual_de_la_modalidad_de_seleccion_de_minima_cuantia.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E0F32964D9B84EA054B84E5D4157A0" ma:contentTypeVersion="20" ma:contentTypeDescription="Create a new document." ma:contentTypeScope="" ma:versionID="2d11913c19decc3d479cc6872ae6112c">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be2487d1a4901a13ef6d3082403ba44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BE9E341-78C7-4833-A67A-D3220206F2BD}"/>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27</Pages>
  <Words>9007</Words>
  <Characters>51342</Characters>
  <Application>Microsoft Office Word</Application>
  <DocSecurity>0</DocSecurity>
  <Lines>427</Lines>
  <Paragraphs>120</Paragraphs>
  <ScaleCrop>false</ScaleCrop>
  <Company/>
  <LinksUpToDate>false</LinksUpToDate>
  <CharactersWithSpaces>60229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Agencia Nacional de Contratación Pública - CCE</cp:lastModifiedBy>
  <cp:revision>6</cp:revision>
  <cp:lastPrinted>2023-01-10T21:18:00Z</cp:lastPrinted>
  <dcterms:created xsi:type="dcterms:W3CDTF">2026-09-01T15:55:00Z</dcterms:created>
  <dcterms:modified xsi:type="dcterms:W3CDTF">2026-09-01T16:08:00Z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