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A274" w14:textId="77777777" w:rsidR="00D40DFB" w:rsidRPr="00D40DFB" w:rsidRDefault="00D40DFB" w:rsidP="00D40DFB">
      <w:pPr>
        <w:spacing w:after="0"/>
        <w:rPr>
          <w:rFonts w:ascii="Verdana" w:eastAsia="Aptos" w:hAnsi="Verdana" w:cs="Times New Roman"/>
        </w:rPr>
      </w:pPr>
      <w:bookmarkStart w:id="0" w:name="_Hlk143780582"/>
      <w:r w:rsidRPr="00D40DFB">
        <w:rPr>
          <w:rFonts w:ascii="Verdana" w:eastAsia="Aptos" w:hAnsi="Verdana" w:cs="Times New Roman"/>
          <w:b/>
          <w:bCs/>
          <w:color w:val="000000"/>
        </w:rPr>
        <w:t xml:space="preserve">DOCUMENTOS TIPO – Fundamento normativo – Obligatoriedad </w:t>
      </w:r>
    </w:p>
    <w:p w14:paraId="2AEE0426" w14:textId="77777777" w:rsidR="00D40DFB" w:rsidRPr="00D40DFB" w:rsidRDefault="00D40DFB" w:rsidP="00D40DFB">
      <w:pPr>
        <w:spacing w:after="0" w:line="276" w:lineRule="auto"/>
        <w:jc w:val="both"/>
        <w:rPr>
          <w:rFonts w:ascii="Verdana" w:eastAsia="Calibri" w:hAnsi="Verdana" w:cs="Arial"/>
          <w:b/>
          <w:bCs/>
          <w:sz w:val="20"/>
          <w:szCs w:val="20"/>
          <w:lang w:val="es-ES_tradnl"/>
        </w:rPr>
      </w:pPr>
    </w:p>
    <w:p w14:paraId="0821EEA4" w14:textId="77777777" w:rsidR="00D40DFB" w:rsidRPr="00D40DFB" w:rsidRDefault="00D40DFB" w:rsidP="00D40DFB">
      <w:pPr>
        <w:snapToGrid w:val="0"/>
        <w:spacing w:after="0" w:line="240" w:lineRule="auto"/>
        <w:jc w:val="both"/>
        <w:rPr>
          <w:rFonts w:ascii="Verdana" w:eastAsia="Times New Roman" w:hAnsi="Verdana" w:cs="Arial"/>
          <w:sz w:val="20"/>
          <w:szCs w:val="20"/>
          <w:shd w:val="clear" w:color="auto" w:fill="FFFFFF"/>
          <w:lang w:val="es-ES_tradnl" w:eastAsia="es-ES_tradnl"/>
        </w:rPr>
      </w:pPr>
      <w:r w:rsidRPr="00D40DFB">
        <w:rPr>
          <w:rFonts w:ascii="Verdana" w:eastAsia="Times New Roman" w:hAnsi="Verdana" w:cs="Arial"/>
          <w:sz w:val="20"/>
          <w:szCs w:val="20"/>
          <w:shd w:val="clear" w:color="auto" w:fill="FFFFFF"/>
          <w:lang w:val="es-ES_tradnl" w:eastAsia="es-ES_tradnl"/>
        </w:rPr>
        <w:t xml:space="preserve">Los documentos tipo expedidos por la Agencia Nacional de Contratación Pública </w:t>
      </w:r>
      <w:r w:rsidRPr="00D40DFB">
        <w:rPr>
          <w:rFonts w:ascii="Symbol" w:eastAsia="Symbol" w:hAnsi="Symbol" w:cs="Symbol"/>
          <w:sz w:val="20"/>
          <w:szCs w:val="20"/>
          <w:shd w:val="clear" w:color="auto" w:fill="FFFFFF"/>
          <w:lang w:val="es-ES_tradnl" w:eastAsia="es-ES_tradnl"/>
        </w:rPr>
        <w:t>-</w:t>
      </w:r>
      <w:r w:rsidRPr="00D40DFB">
        <w:rPr>
          <w:rFonts w:ascii="Verdana" w:eastAsia="Times New Roman" w:hAnsi="Verdana" w:cs="Arial"/>
          <w:sz w:val="20"/>
          <w:szCs w:val="20"/>
          <w:shd w:val="clear" w:color="auto" w:fill="FFFFFF"/>
          <w:lang w:val="es-ES_tradnl" w:eastAsia="es-ES_tradnl"/>
        </w:rPr>
        <w:t xml:space="preserve"> Colombia Compra Eficiente en ejercicio de la potestad otorgada por la Ley 2022 de 2020 son de obligatoria observancia por parte de las Entidades Estatales sometidas al Estatuto General de Contratación de la Administración Pública –EGCAP–. Debido a esto, tales entidades deben aplicar de manera forzosa los documentos tipo para desarrollar los Procesos de Contratación en los objetos y modalidades cobijadas por los Documentos Tipo. </w:t>
      </w:r>
    </w:p>
    <w:p w14:paraId="18CCABF9" w14:textId="77777777" w:rsidR="00D40DFB" w:rsidRPr="00D40DFB" w:rsidRDefault="00D40DFB" w:rsidP="00D40DFB">
      <w:pPr>
        <w:spacing w:after="0" w:line="240" w:lineRule="auto"/>
        <w:jc w:val="both"/>
        <w:rPr>
          <w:rFonts w:ascii="Verdana" w:eastAsia="Geomanist Light" w:hAnsi="Verdana" w:cs="Arial"/>
          <w:sz w:val="20"/>
          <w:szCs w:val="20"/>
          <w:highlight w:val="yellow"/>
          <w:lang w:val="es-ES_tradnl"/>
        </w:rPr>
      </w:pPr>
    </w:p>
    <w:p w14:paraId="7EEE313E" w14:textId="77777777" w:rsidR="00D40DFB" w:rsidRPr="00D40DFB" w:rsidRDefault="00D40DFB" w:rsidP="00D40DFB">
      <w:pPr>
        <w:widowControl w:val="0"/>
        <w:autoSpaceDE w:val="0"/>
        <w:autoSpaceDN w:val="0"/>
        <w:spacing w:after="0" w:line="240" w:lineRule="auto"/>
        <w:jc w:val="both"/>
        <w:rPr>
          <w:rFonts w:ascii="Verdana" w:eastAsia="Calibri" w:hAnsi="Verdana" w:cs="Arial"/>
          <w:b/>
          <w:bCs/>
          <w:kern w:val="2"/>
          <w14:ligatures w14:val="standardContextual"/>
        </w:rPr>
      </w:pPr>
      <w:r w:rsidRPr="00D40DFB">
        <w:rPr>
          <w:rFonts w:ascii="Verdana" w:eastAsia="Calibri" w:hAnsi="Verdana" w:cs="Arial"/>
          <w:b/>
          <w:bCs/>
          <w:kern w:val="2"/>
          <w14:ligatures w14:val="standardContextual"/>
        </w:rPr>
        <w:t>INALTERABILIDAD – Documentos tipo – Infraestructura de transporte</w:t>
      </w:r>
    </w:p>
    <w:p w14:paraId="12E403CC" w14:textId="77777777" w:rsidR="00D40DFB" w:rsidRPr="00D40DFB" w:rsidRDefault="00D40DFB" w:rsidP="00D40DFB">
      <w:pPr>
        <w:widowControl w:val="0"/>
        <w:autoSpaceDE w:val="0"/>
        <w:autoSpaceDN w:val="0"/>
        <w:spacing w:after="0" w:line="240" w:lineRule="auto"/>
        <w:jc w:val="both"/>
        <w:rPr>
          <w:rFonts w:ascii="Verdana" w:eastAsia="Calibri" w:hAnsi="Verdana" w:cs="Arial"/>
          <w:kern w:val="2"/>
          <w:sz w:val="20"/>
          <w:szCs w:val="20"/>
          <w14:ligatures w14:val="standardContextual"/>
        </w:rPr>
      </w:pPr>
    </w:p>
    <w:p w14:paraId="50726EB8" w14:textId="77777777" w:rsidR="00D40DFB" w:rsidRPr="00D40DFB" w:rsidRDefault="00D40DFB" w:rsidP="00D40DFB">
      <w:pPr>
        <w:widowControl w:val="0"/>
        <w:autoSpaceDE w:val="0"/>
        <w:autoSpaceDN w:val="0"/>
        <w:spacing w:after="0" w:line="240" w:lineRule="auto"/>
        <w:jc w:val="both"/>
        <w:rPr>
          <w:rFonts w:ascii="Verdana" w:eastAsia="Calibri" w:hAnsi="Verdana" w:cs="Arial"/>
          <w:kern w:val="2"/>
          <w:sz w:val="20"/>
          <w:szCs w:val="20"/>
          <w14:ligatures w14:val="standardContextual"/>
        </w:rPr>
      </w:pPr>
      <w:r w:rsidRPr="00D40DFB">
        <w:rPr>
          <w:rFonts w:ascii="Verdana" w:eastAsia="Calibri" w:hAnsi="Verdana" w:cs="Arial"/>
          <w:kern w:val="2"/>
          <w:sz w:val="20"/>
          <w:szCs w:val="20"/>
          <w14:ligatures w14:val="standardContextual"/>
        </w:rPr>
        <w:t xml:space="preserve">En consecuencia, los obligados a su aplicación, al adelantar sus procedimientos de selección, solo podrán modificarlos en los aspectos que los Documentos Tipo lo permitan. </w:t>
      </w:r>
      <w:r w:rsidRPr="00D40DFB">
        <w:rPr>
          <w:rFonts w:ascii="Verdana" w:eastAsia="Calibri" w:hAnsi="Verdana" w:cs="Times New Roman"/>
          <w:kern w:val="2"/>
          <w:sz w:val="20"/>
          <w:szCs w:val="20"/>
          <w:lang w:val="es-ES"/>
          <w14:ligatures w14:val="standardContextual"/>
        </w:rPr>
        <w:t xml:space="preserve">Esto corresponde a aquellos aspectos que se encuentran entre corchetes y resaltados en gris </w:t>
      </w:r>
      <w:r w:rsidRPr="00D40DFB">
        <w:rPr>
          <w:rFonts w:ascii="Verdana" w:eastAsia="Calibri" w:hAnsi="Verdana" w:cs="Times New Roman"/>
          <w:kern w:val="2"/>
          <w:sz w:val="20"/>
          <w:szCs w:val="20"/>
          <w:shd w:val="clear" w:color="auto" w:fill="E8E8E8"/>
          <w:lang w:val="es-ES"/>
          <w14:ligatures w14:val="standardContextual"/>
        </w:rPr>
        <w:t>–[texto]–,</w:t>
      </w:r>
      <w:r w:rsidRPr="00D40DFB">
        <w:rPr>
          <w:rFonts w:ascii="Verdana" w:eastAsia="Calibri" w:hAnsi="Verdana" w:cs="Times New Roman"/>
          <w:kern w:val="2"/>
          <w:sz w:val="20"/>
          <w:szCs w:val="20"/>
          <w:lang w:val="es-ES"/>
          <w14:ligatures w14:val="standardContextual"/>
        </w:rPr>
        <w:t xml:space="preserve"> para lo cual deberán observarse las instrucciones contenidas en los mismos para su diligenciamiento.</w:t>
      </w:r>
    </w:p>
    <w:p w14:paraId="510E58DE" w14:textId="77777777" w:rsidR="00D40DFB" w:rsidRPr="00D40DFB" w:rsidRDefault="00D40DFB" w:rsidP="00D40DFB">
      <w:pPr>
        <w:widowControl w:val="0"/>
        <w:autoSpaceDE w:val="0"/>
        <w:autoSpaceDN w:val="0"/>
        <w:spacing w:after="0" w:line="240" w:lineRule="auto"/>
        <w:jc w:val="both"/>
        <w:rPr>
          <w:rFonts w:ascii="Verdana" w:eastAsia="Calibri" w:hAnsi="Verdana" w:cs="Times New Roman"/>
          <w:sz w:val="20"/>
          <w:szCs w:val="20"/>
          <w:lang w:val="es-ES"/>
        </w:rPr>
      </w:pPr>
    </w:p>
    <w:p w14:paraId="2E741630" w14:textId="77777777" w:rsidR="00D40DFB" w:rsidRPr="00D40DFB" w:rsidRDefault="00D40DFB" w:rsidP="00D40DFB">
      <w:pPr>
        <w:widowControl w:val="0"/>
        <w:autoSpaceDE w:val="0"/>
        <w:autoSpaceDN w:val="0"/>
        <w:spacing w:after="0" w:line="240" w:lineRule="auto"/>
        <w:jc w:val="both"/>
        <w:rPr>
          <w:rFonts w:ascii="Verdana" w:eastAsia="Calibri" w:hAnsi="Verdana" w:cs="Times New Roman"/>
          <w:sz w:val="20"/>
          <w:szCs w:val="20"/>
          <w:lang w:val="es-ES"/>
        </w:rPr>
      </w:pPr>
      <w:r w:rsidRPr="00D40DFB">
        <w:rPr>
          <w:rFonts w:ascii="Verdana" w:eastAsia="Calibri" w:hAnsi="Verdana" w:cs="Times New Roman"/>
          <w:sz w:val="20"/>
          <w:szCs w:val="20"/>
          <w:lang w:val="es-ES"/>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alteración. </w:t>
      </w:r>
    </w:p>
    <w:p w14:paraId="36840B9A" w14:textId="77777777" w:rsidR="00D40DFB" w:rsidRPr="00D40DFB" w:rsidRDefault="00D40DFB" w:rsidP="00D40DFB">
      <w:pPr>
        <w:widowControl w:val="0"/>
        <w:autoSpaceDE w:val="0"/>
        <w:autoSpaceDN w:val="0"/>
        <w:spacing w:after="0" w:line="240" w:lineRule="auto"/>
        <w:jc w:val="both"/>
        <w:rPr>
          <w:rFonts w:ascii="Verdana" w:eastAsia="Calibri" w:hAnsi="Verdana" w:cs="Times New Roman"/>
          <w:sz w:val="20"/>
          <w:szCs w:val="20"/>
          <w:lang w:val="es-ES"/>
        </w:rPr>
      </w:pPr>
    </w:p>
    <w:p w14:paraId="02BDD676" w14:textId="77777777" w:rsidR="00D40DFB" w:rsidRPr="00D40DFB" w:rsidRDefault="00D40DFB" w:rsidP="00D40DFB">
      <w:pPr>
        <w:widowControl w:val="0"/>
        <w:autoSpaceDE w:val="0"/>
        <w:autoSpaceDN w:val="0"/>
        <w:spacing w:after="0" w:line="240" w:lineRule="auto"/>
        <w:jc w:val="both"/>
        <w:rPr>
          <w:rFonts w:ascii="Verdana" w:eastAsia="Calibri" w:hAnsi="Verdana" w:cs="Arial"/>
          <w:b/>
          <w:bCs/>
          <w:kern w:val="2"/>
          <w14:ligatures w14:val="standardContextual"/>
        </w:rPr>
      </w:pPr>
      <w:r w:rsidRPr="00D40DFB">
        <w:rPr>
          <w:rFonts w:ascii="Verdana" w:eastAsia="Calibri" w:hAnsi="Verdana" w:cs="Times New Roman"/>
          <w:b/>
          <w:bCs/>
          <w:lang w:val="es-ES"/>
        </w:rPr>
        <w:t xml:space="preserve">APLICACIÓN – Documentos tipo – </w:t>
      </w:r>
      <w:r w:rsidRPr="00D40DFB">
        <w:rPr>
          <w:rFonts w:ascii="Verdana" w:eastAsia="Calibri" w:hAnsi="Verdana" w:cs="Arial"/>
          <w:b/>
          <w:bCs/>
          <w:kern w:val="2"/>
          <w14:ligatures w14:val="standardContextual"/>
        </w:rPr>
        <w:t>Infraestructura de transporte – Mínima cuantía</w:t>
      </w:r>
    </w:p>
    <w:p w14:paraId="47D9133B" w14:textId="77777777" w:rsidR="00D40DFB" w:rsidRPr="00D40DFB" w:rsidRDefault="00D40DFB" w:rsidP="00D40DFB">
      <w:pPr>
        <w:widowControl w:val="0"/>
        <w:autoSpaceDE w:val="0"/>
        <w:autoSpaceDN w:val="0"/>
        <w:spacing w:after="0" w:line="240" w:lineRule="auto"/>
        <w:jc w:val="both"/>
        <w:rPr>
          <w:rFonts w:ascii="Verdana" w:eastAsia="Calibri" w:hAnsi="Verdana" w:cs="Times New Roman"/>
          <w:sz w:val="20"/>
          <w:szCs w:val="20"/>
        </w:rPr>
      </w:pPr>
    </w:p>
    <w:p w14:paraId="6DC39846" w14:textId="77777777" w:rsidR="00D40DFB" w:rsidRPr="00D40DFB" w:rsidRDefault="00D40DFB" w:rsidP="00D40DFB">
      <w:pPr>
        <w:widowControl w:val="0"/>
        <w:autoSpaceDE w:val="0"/>
        <w:autoSpaceDN w:val="0"/>
        <w:spacing w:after="0" w:line="240" w:lineRule="auto"/>
        <w:jc w:val="both"/>
        <w:rPr>
          <w:rFonts w:ascii="Verdana" w:eastAsia="Calibri" w:hAnsi="Verdana" w:cs="Times New Roman"/>
          <w:sz w:val="20"/>
          <w:szCs w:val="20"/>
          <w:lang w:val="es-ES"/>
        </w:rPr>
      </w:pPr>
      <w:r w:rsidRPr="00D40DFB">
        <w:rPr>
          <w:rFonts w:ascii="Verdana" w:eastAsia="Calibri" w:hAnsi="Verdana" w:cs="Times New Roman"/>
          <w:sz w:val="20"/>
          <w:szCs w:val="20"/>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03B59E1C" w14:textId="77777777" w:rsidR="00D40DFB" w:rsidRPr="00D40DFB" w:rsidRDefault="00D40DFB" w:rsidP="00D40DFB">
      <w:pPr>
        <w:widowControl w:val="0"/>
        <w:autoSpaceDE w:val="0"/>
        <w:autoSpaceDN w:val="0"/>
        <w:spacing w:after="0" w:line="240" w:lineRule="auto"/>
        <w:jc w:val="both"/>
        <w:rPr>
          <w:rFonts w:ascii="Verdana" w:eastAsia="Calibri" w:hAnsi="Verdana" w:cs="Times New Roman"/>
          <w:sz w:val="20"/>
          <w:szCs w:val="20"/>
          <w:lang w:val="es-ES"/>
        </w:rPr>
      </w:pPr>
    </w:p>
    <w:p w14:paraId="697F4234" w14:textId="77777777" w:rsidR="00D40DFB" w:rsidRPr="00D40DFB" w:rsidRDefault="00D40DFB" w:rsidP="00D40DFB">
      <w:pPr>
        <w:widowControl w:val="0"/>
        <w:autoSpaceDE w:val="0"/>
        <w:autoSpaceDN w:val="0"/>
        <w:spacing w:after="0" w:line="240" w:lineRule="auto"/>
        <w:jc w:val="both"/>
        <w:rPr>
          <w:rFonts w:ascii="Verdana" w:eastAsia="Calibri" w:hAnsi="Verdana" w:cs="Times New Roman"/>
          <w:sz w:val="20"/>
          <w:szCs w:val="20"/>
          <w:lang w:val="es-ES"/>
        </w:rPr>
      </w:pPr>
      <w:r w:rsidRPr="00D40DFB">
        <w:rPr>
          <w:rFonts w:ascii="Verdana" w:eastAsia="Calibri" w:hAnsi="Verdana" w:cs="Times New Roman"/>
          <w:sz w:val="20"/>
          <w:szCs w:val="20"/>
          <w:lang w:val="es-ES"/>
        </w:rPr>
        <w:t>(…)</w:t>
      </w:r>
    </w:p>
    <w:p w14:paraId="521BC145" w14:textId="77777777" w:rsidR="00D40DFB" w:rsidRPr="00D40DFB" w:rsidRDefault="00D40DFB" w:rsidP="00D40DFB">
      <w:pPr>
        <w:widowControl w:val="0"/>
        <w:autoSpaceDE w:val="0"/>
        <w:autoSpaceDN w:val="0"/>
        <w:spacing w:after="0" w:line="240" w:lineRule="auto"/>
        <w:jc w:val="both"/>
        <w:rPr>
          <w:rFonts w:ascii="Verdana" w:eastAsia="Calibri" w:hAnsi="Verdana" w:cs="Times New Roman"/>
          <w:sz w:val="20"/>
          <w:szCs w:val="20"/>
          <w:lang w:val="es-ES"/>
        </w:rPr>
      </w:pPr>
    </w:p>
    <w:p w14:paraId="0DD261FD" w14:textId="77777777" w:rsidR="00D40DFB" w:rsidRPr="00D40DFB" w:rsidRDefault="00D40DFB" w:rsidP="00D40DFB">
      <w:pPr>
        <w:widowControl w:val="0"/>
        <w:autoSpaceDE w:val="0"/>
        <w:autoSpaceDN w:val="0"/>
        <w:spacing w:after="0" w:line="240" w:lineRule="auto"/>
        <w:jc w:val="both"/>
        <w:rPr>
          <w:rFonts w:ascii="Verdana" w:eastAsia="Calibri" w:hAnsi="Verdana" w:cs="Times New Roman"/>
          <w:sz w:val="20"/>
          <w:szCs w:val="20"/>
          <w:lang w:val="es-ES"/>
        </w:rPr>
      </w:pPr>
      <w:r w:rsidRPr="00D40DFB">
        <w:rPr>
          <w:rFonts w:ascii="Verdana" w:eastAsia="Calibri" w:hAnsi="Verdana" w:cs="Times New Roman"/>
          <w:sz w:val="20"/>
          <w:szCs w:val="20"/>
          <w:lang w:val="es-ES"/>
        </w:rPr>
        <w:t xml:space="preserve">De esta manera, para saber a qué actividades deben aplicarse los Documentos Tipo de mínima cuantía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w:t>
      </w:r>
      <w:r w:rsidRPr="00D40DFB">
        <w:rPr>
          <w:rFonts w:ascii="Verdana" w:eastAsia="Calibri" w:hAnsi="Verdana" w:cs="Times New Roman"/>
          <w:sz w:val="20"/>
          <w:szCs w:val="20"/>
          <w:lang w:val="es-ES"/>
        </w:rPr>
        <w:lastRenderedPageBreak/>
        <w:t>será forzosa su aplicación.</w:t>
      </w:r>
    </w:p>
    <w:p w14:paraId="5B05EC4B" w14:textId="77777777" w:rsidR="00D40DFB" w:rsidRPr="00D40DFB" w:rsidRDefault="00D40DFB" w:rsidP="00D40DFB">
      <w:pPr>
        <w:widowControl w:val="0"/>
        <w:autoSpaceDE w:val="0"/>
        <w:autoSpaceDN w:val="0"/>
        <w:spacing w:after="0" w:line="240" w:lineRule="auto"/>
        <w:jc w:val="both"/>
        <w:rPr>
          <w:rFonts w:ascii="Verdana" w:eastAsia="Calibri" w:hAnsi="Verdana" w:cs="Times New Roman"/>
          <w:sz w:val="20"/>
          <w:szCs w:val="20"/>
          <w:lang w:val="es-ES"/>
        </w:rPr>
      </w:pPr>
    </w:p>
    <w:p w14:paraId="0D46DABB" w14:textId="77777777" w:rsidR="00D40DFB" w:rsidRPr="00D40DFB" w:rsidRDefault="00D40DFB" w:rsidP="00D40DFB">
      <w:pPr>
        <w:snapToGrid w:val="0"/>
        <w:spacing w:after="0" w:line="240" w:lineRule="auto"/>
        <w:jc w:val="both"/>
        <w:rPr>
          <w:rFonts w:ascii="Verdana" w:eastAsia="Calibri" w:hAnsi="Verdana" w:cs="Times New Roman"/>
          <w:sz w:val="20"/>
          <w:szCs w:val="20"/>
          <w:lang w:val="es-ES"/>
        </w:rPr>
      </w:pPr>
      <w:r w:rsidRPr="00D40DFB">
        <w:rPr>
          <w:rFonts w:ascii="Verdana" w:eastAsia="Calibri" w:hAnsi="Verdana" w:cs="Times New Roman"/>
          <w:sz w:val="20"/>
          <w:szCs w:val="20"/>
          <w:lang w:val="es-ES"/>
        </w:rPr>
        <w:t>La parte introductoria de la invitación de los documentos tipo adoptados por medio de la Resolución 464 del 10 de septiembre de 2024, dispone que estos aplican a</w:t>
      </w:r>
      <w:r w:rsidRPr="00D40DFB">
        <w:rPr>
          <w:rFonts w:ascii="Verdana" w:eastAsia="Cambria Math" w:hAnsi="Verdana" w:cs="Arial"/>
          <w:color w:val="000000"/>
          <w:kern w:val="2"/>
          <w:sz w:val="20"/>
          <w:szCs w:val="20"/>
          <w14:ligatures w14:val="standardContextual"/>
        </w:rPr>
        <w:t xml:space="preserve"> los procesos de mínima cuantía de obra pública de infraestructura de transporte que correspondan a las actividades definidas en la Matriz 1 – Experiencia</w:t>
      </w:r>
      <w:r w:rsidRPr="00D40DFB">
        <w:rPr>
          <w:rFonts w:ascii="Verdana" w:eastAsia="Calibri" w:hAnsi="Verdana" w:cs="Times New Roman"/>
          <w:sz w:val="20"/>
          <w:szCs w:val="20"/>
          <w:lang w:val="es-ES"/>
        </w:rPr>
        <w:t>. En consecuencia, las actividades de infraestructura de transporte no contempladas en la Matriz 1 – Experiencia no tienen que aplicar los documentos tipo; sin perjuicio de lo previsto en el artículo 3 de la Resolución 464 de 2024, en donde se indica la posibilidad de exigir experiencia adicional en determinados supuestos.</w:t>
      </w:r>
    </w:p>
    <w:p w14:paraId="7241F778" w14:textId="77777777" w:rsidR="00D40DFB" w:rsidRPr="00D40DFB" w:rsidRDefault="00D40DFB" w:rsidP="00D40DFB">
      <w:pPr>
        <w:snapToGrid w:val="0"/>
        <w:spacing w:after="0" w:line="240" w:lineRule="auto"/>
        <w:jc w:val="both"/>
        <w:rPr>
          <w:rFonts w:ascii="Verdana" w:eastAsia="Calibri" w:hAnsi="Verdana" w:cs="Times New Roman"/>
          <w:sz w:val="20"/>
          <w:szCs w:val="20"/>
          <w:lang w:val="es-ES"/>
        </w:rPr>
      </w:pPr>
    </w:p>
    <w:p w14:paraId="67BFB7FE" w14:textId="77777777" w:rsidR="00D40DFB" w:rsidRPr="00D40DFB" w:rsidRDefault="00D40DFB" w:rsidP="00D40DFB">
      <w:pPr>
        <w:snapToGrid w:val="0"/>
        <w:spacing w:after="0" w:line="240" w:lineRule="auto"/>
        <w:jc w:val="both"/>
        <w:rPr>
          <w:rFonts w:ascii="Verdana" w:eastAsia="Aptos" w:hAnsi="Verdana" w:cs="Arial"/>
          <w:b/>
          <w:bCs/>
          <w:color w:val="000000"/>
          <w:kern w:val="2"/>
          <w14:ligatures w14:val="standardContextual"/>
        </w:rPr>
      </w:pPr>
      <w:r w:rsidRPr="00D40DFB">
        <w:rPr>
          <w:rFonts w:ascii="Verdana" w:eastAsia="Aptos" w:hAnsi="Verdana" w:cs="Arial"/>
          <w:b/>
          <w:bCs/>
          <w:color w:val="000000"/>
          <w:kern w:val="2"/>
          <w14:ligatures w14:val="standardContextual"/>
        </w:rPr>
        <w:t>DOCUMENTOS TIPO – Mínima cuantía – Matriz 1 – Experiencia – Actividades – Alumbrado público</w:t>
      </w:r>
    </w:p>
    <w:p w14:paraId="41027FCA" w14:textId="77777777" w:rsidR="00D40DFB" w:rsidRPr="00D40DFB" w:rsidRDefault="00D40DFB" w:rsidP="00D40DFB">
      <w:pPr>
        <w:snapToGrid w:val="0"/>
        <w:spacing w:after="0" w:line="240" w:lineRule="auto"/>
        <w:jc w:val="both"/>
        <w:rPr>
          <w:rFonts w:ascii="Verdana" w:eastAsia="Aptos" w:hAnsi="Verdana" w:cs="Arial"/>
          <w:color w:val="000000"/>
          <w:kern w:val="2"/>
          <w:sz w:val="20"/>
          <w:szCs w:val="20"/>
          <w14:ligatures w14:val="standardContextual"/>
        </w:rPr>
      </w:pPr>
    </w:p>
    <w:p w14:paraId="17ED2D2B" w14:textId="77777777" w:rsidR="00D40DFB" w:rsidRPr="00D40DFB" w:rsidRDefault="00D40DFB" w:rsidP="00D40DFB">
      <w:pPr>
        <w:snapToGrid w:val="0"/>
        <w:spacing w:after="0" w:line="240" w:lineRule="auto"/>
        <w:jc w:val="both"/>
        <w:rPr>
          <w:rFonts w:ascii="Verdana" w:eastAsia="Aptos" w:hAnsi="Verdana" w:cs="Times New Roman"/>
          <w:kern w:val="2"/>
          <w:sz w:val="20"/>
          <w:szCs w:val="20"/>
          <w14:ligatures w14:val="standardContextual"/>
        </w:rPr>
      </w:pPr>
      <w:r w:rsidRPr="00D40DFB">
        <w:rPr>
          <w:rFonts w:ascii="Verdana" w:eastAsia="Aptos" w:hAnsi="Verdana" w:cs="Times New Roman"/>
          <w:kern w:val="2"/>
          <w:sz w:val="20"/>
          <w:szCs w:val="20"/>
          <w14:ligatures w14:val="standardContextual"/>
        </w:rPr>
        <w:t xml:space="preserve">La Agencia Nacional de Contratación Pública – Colombia Compra Eficiente, en el concepto C-740 del 21 de julio de 2026, indicó que </w:t>
      </w:r>
      <w:r w:rsidRPr="00D40DFB">
        <w:rPr>
          <w:rFonts w:ascii="Verdana" w:eastAsia="Aptos" w:hAnsi="Verdana" w:cs="Times New Roman"/>
          <w:i/>
          <w:iCs/>
          <w:kern w:val="2"/>
          <w:sz w:val="20"/>
          <w:szCs w:val="20"/>
          <w14:ligatures w14:val="standardContextual"/>
        </w:rPr>
        <w:t>“(…) no existe un documento tipo que de manera particular incluya las actividades de alumbrado público”.</w:t>
      </w:r>
      <w:r w:rsidRPr="00D40DFB">
        <w:rPr>
          <w:rFonts w:ascii="Verdana" w:eastAsia="Aptos" w:hAnsi="Verdana" w:cs="Times New Roman"/>
          <w:kern w:val="2"/>
          <w:sz w:val="20"/>
          <w:szCs w:val="20"/>
          <w14:ligatures w14:val="standardContextual"/>
        </w:rPr>
        <w:t xml:space="preserve"> Sin perjuicio de lo anterior, le indicamos que, revisada la Matriz 1 – Experiencia de los documentos tipo adoptados mediante la Resolución No. 464 de 2024, se incluyen las siguientes actividades en las que eventualmente puede enmarcarse la actividad de instalación de luminarias de alumbrado público:</w:t>
      </w:r>
    </w:p>
    <w:p w14:paraId="00EA9AB9" w14:textId="77777777" w:rsidR="00D40DFB" w:rsidRPr="00D40DFB" w:rsidRDefault="00D40DFB" w:rsidP="00D40DFB">
      <w:pPr>
        <w:spacing w:after="0" w:line="240" w:lineRule="auto"/>
        <w:jc w:val="both"/>
        <w:rPr>
          <w:rFonts w:ascii="Verdana" w:eastAsia="Calibri" w:hAnsi="Verdana" w:cs="Arial"/>
          <w:color w:val="0D0D0D"/>
          <w:sz w:val="20"/>
          <w:szCs w:val="20"/>
          <w:lang w:val="es-MX"/>
        </w:rPr>
      </w:pPr>
    </w:p>
    <w:p w14:paraId="433E655A" w14:textId="77777777" w:rsidR="00D40DFB" w:rsidRPr="00D40DFB" w:rsidRDefault="00D40DFB" w:rsidP="00D40DFB">
      <w:pPr>
        <w:spacing w:after="0" w:line="240" w:lineRule="auto"/>
        <w:jc w:val="both"/>
        <w:rPr>
          <w:rFonts w:ascii="Verdana" w:eastAsia="Calibri" w:hAnsi="Verdana" w:cs="Arial"/>
          <w:color w:val="0D0D0D"/>
          <w:sz w:val="20"/>
          <w:szCs w:val="20"/>
          <w:lang w:val="es-MX"/>
        </w:rPr>
      </w:pPr>
      <w:r w:rsidRPr="00D40DFB">
        <w:rPr>
          <w:rFonts w:ascii="Verdana" w:eastAsia="Calibri" w:hAnsi="Verdana" w:cs="Arial"/>
          <w:color w:val="0D0D0D"/>
          <w:sz w:val="20"/>
          <w:szCs w:val="20"/>
          <w:lang w:val="es-MX"/>
        </w:rPr>
        <w:t>(…)</w:t>
      </w:r>
      <w:r w:rsidRPr="00D40DFB">
        <w:rPr>
          <w:rFonts w:ascii="Verdana" w:eastAsia="Calibri" w:hAnsi="Verdana" w:cs="Arial"/>
          <w:color w:val="0D0D0D"/>
          <w:sz w:val="20"/>
          <w:szCs w:val="20"/>
          <w:lang w:val="es-MX"/>
        </w:rPr>
        <w:tab/>
      </w:r>
    </w:p>
    <w:p w14:paraId="4BC305BD" w14:textId="77777777" w:rsidR="00D40DFB" w:rsidRPr="00D40DFB" w:rsidRDefault="00D40DFB" w:rsidP="00D40DFB">
      <w:pPr>
        <w:spacing w:after="0" w:line="240" w:lineRule="auto"/>
        <w:jc w:val="both"/>
        <w:rPr>
          <w:rFonts w:ascii="Verdana" w:eastAsia="Calibri" w:hAnsi="Verdana" w:cs="Arial"/>
          <w:color w:val="0D0D0D"/>
          <w:sz w:val="20"/>
          <w:szCs w:val="20"/>
          <w:lang w:val="es-MX"/>
        </w:rPr>
      </w:pPr>
    </w:p>
    <w:p w14:paraId="13BFF303" w14:textId="77777777" w:rsidR="00D40DFB" w:rsidRPr="00D40DFB" w:rsidRDefault="00D40DFB" w:rsidP="00D40DFB">
      <w:pPr>
        <w:spacing w:after="0" w:line="240" w:lineRule="auto"/>
        <w:jc w:val="both"/>
        <w:rPr>
          <w:rFonts w:ascii="Verdana" w:eastAsia="Calibri" w:hAnsi="Verdana" w:cs="Times New Roman"/>
          <w:kern w:val="2"/>
          <w:sz w:val="20"/>
          <w:szCs w:val="20"/>
          <w14:ligatures w14:val="standardContextual"/>
        </w:rPr>
      </w:pPr>
      <w:r w:rsidRPr="00D40DFB">
        <w:rPr>
          <w:rFonts w:ascii="Verdana" w:eastAsia="Calibri" w:hAnsi="Verdana" w:cs="Arial"/>
          <w:color w:val="0D0D0D"/>
          <w:sz w:val="20"/>
          <w:szCs w:val="20"/>
          <w:lang w:val="es-MX"/>
        </w:rPr>
        <w:t xml:space="preserve">Como se aprecia, las actividades –1.9 y 2.6– contenidas en la Matriz 1 – Experiencia de los documentos tipo de mínima cuantía de obra pública de infraestructura de transporte recaen sobre </w:t>
      </w:r>
      <w:r w:rsidRPr="00D40DFB">
        <w:rPr>
          <w:rFonts w:ascii="Verdana" w:eastAsia="Calibri" w:hAnsi="Verdana" w:cs="Times New Roman"/>
          <w:kern w:val="2"/>
          <w:sz w:val="20"/>
          <w:szCs w:val="20"/>
          <w14:ligatures w14:val="standardContextual"/>
        </w:rPr>
        <w:t xml:space="preserve">proyectos de instalación o mantenimiento correctivo o mantenimiento preventivo  o  ampliación, en infraestructura eléctrica asociada a infraestructura de transporte –respectivamente– en vías primarias o secundarias o terciarias. </w:t>
      </w:r>
    </w:p>
    <w:p w14:paraId="45DA7B47" w14:textId="77777777" w:rsidR="00D40DFB" w:rsidRPr="00D40DFB" w:rsidRDefault="00D40DFB" w:rsidP="00D40DFB">
      <w:pPr>
        <w:spacing w:after="0" w:line="240" w:lineRule="auto"/>
        <w:jc w:val="both"/>
        <w:rPr>
          <w:rFonts w:ascii="Verdana" w:eastAsia="Calibri" w:hAnsi="Verdana" w:cs="Calibri"/>
          <w:kern w:val="2"/>
          <w:sz w:val="20"/>
          <w:szCs w:val="20"/>
          <w14:ligatures w14:val="standardContextual"/>
        </w:rPr>
      </w:pPr>
    </w:p>
    <w:p w14:paraId="69B82DAE" w14:textId="77777777" w:rsidR="00D40DFB" w:rsidRPr="00D40DFB" w:rsidRDefault="00D40DFB" w:rsidP="00D40DFB">
      <w:pPr>
        <w:spacing w:after="0" w:line="240" w:lineRule="auto"/>
        <w:jc w:val="both"/>
        <w:rPr>
          <w:rFonts w:ascii="Verdana" w:eastAsia="Calibri" w:hAnsi="Verdana" w:cs="Calibri"/>
          <w:kern w:val="2"/>
          <w:sz w:val="20"/>
          <w:szCs w:val="20"/>
          <w14:ligatures w14:val="standardContextual"/>
        </w:rPr>
      </w:pPr>
      <w:r w:rsidRPr="00D40DFB">
        <w:rPr>
          <w:rFonts w:ascii="Verdana" w:eastAsia="Calibri" w:hAnsi="Verdana" w:cs="Calibri"/>
          <w:kern w:val="2"/>
          <w:sz w:val="20"/>
          <w:szCs w:val="20"/>
          <w14:ligatures w14:val="standardContextual"/>
        </w:rPr>
        <w:t>(…)</w:t>
      </w:r>
    </w:p>
    <w:p w14:paraId="59BD52B6" w14:textId="77777777" w:rsidR="00D40DFB" w:rsidRPr="00D40DFB" w:rsidRDefault="00D40DFB" w:rsidP="00D40DFB">
      <w:pPr>
        <w:spacing w:after="0" w:line="240" w:lineRule="auto"/>
        <w:jc w:val="both"/>
        <w:rPr>
          <w:rFonts w:ascii="Verdana" w:eastAsia="Calibri" w:hAnsi="Verdana" w:cs="Calibri"/>
          <w:kern w:val="2"/>
          <w:sz w:val="20"/>
          <w:szCs w:val="20"/>
          <w14:ligatures w14:val="standardContextual"/>
        </w:rPr>
      </w:pPr>
    </w:p>
    <w:p w14:paraId="4F1AFC8A" w14:textId="77777777" w:rsidR="00D40DFB" w:rsidRPr="00D40DFB" w:rsidRDefault="00D40DFB" w:rsidP="00D40DFB">
      <w:pPr>
        <w:spacing w:after="0" w:line="240" w:lineRule="auto"/>
        <w:jc w:val="both"/>
        <w:rPr>
          <w:rFonts w:ascii="Verdana" w:eastAsia="Aptos" w:hAnsi="Verdana" w:cs="Times New Roman"/>
          <w:kern w:val="2"/>
          <w:sz w:val="20"/>
          <w:szCs w:val="20"/>
          <w14:ligatures w14:val="standardContextual"/>
        </w:rPr>
      </w:pPr>
      <w:r w:rsidRPr="00D40DFB">
        <w:rPr>
          <w:rFonts w:ascii="Verdana" w:eastAsia="Aptos" w:hAnsi="Verdana" w:cs="Times New Roman"/>
          <w:kern w:val="2"/>
          <w:sz w:val="20"/>
          <w:szCs w:val="20"/>
          <w14:ligatures w14:val="standardContextual"/>
        </w:rPr>
        <w:t>De acuerdo con lo dispuesto en los párrafos precedentes, se observa que el sistema de alumbrado público está compuesto, entre otros elementos, por luminarias, redes eléctricas, transformadores y postes de uso exclusivo, esto es, por elementos propios de la infraestructura eléctrica, en concordancia con lo señalado en el RETIE. En esa medida, las actividades de instalación de luminarias, redes eléctricas y demás equipos asociados al alumbrado público pueden enmarcarse, en principio, dentro de las actividades relacionadas con infraestructura eléctrica que contempla la Matriz 1 – Experiencia de los documentos tipo adoptados mediante la Resolución No. 464 de 2024.</w:t>
      </w:r>
    </w:p>
    <w:p w14:paraId="59570D9A" w14:textId="77777777" w:rsidR="00D40DFB" w:rsidRPr="00D40DFB" w:rsidRDefault="00D40DFB" w:rsidP="00D40DFB">
      <w:pPr>
        <w:spacing w:after="0" w:line="240" w:lineRule="auto"/>
        <w:jc w:val="both"/>
        <w:rPr>
          <w:rFonts w:ascii="Verdana" w:eastAsia="Calibri" w:hAnsi="Verdana" w:cs="Times New Roman"/>
          <w:kern w:val="2"/>
          <w:sz w:val="20"/>
          <w:szCs w:val="20"/>
          <w14:ligatures w14:val="standardContextual"/>
        </w:rPr>
      </w:pPr>
    </w:p>
    <w:p w14:paraId="7BB1B41E" w14:textId="77777777" w:rsidR="00D40DFB" w:rsidRPr="00D40DFB" w:rsidRDefault="00D40DFB" w:rsidP="00D40DFB">
      <w:pPr>
        <w:spacing w:after="0" w:line="240" w:lineRule="auto"/>
        <w:jc w:val="both"/>
        <w:rPr>
          <w:rFonts w:ascii="Verdana" w:eastAsia="Calibri" w:hAnsi="Verdana" w:cs="Times New Roman"/>
          <w:kern w:val="2"/>
          <w:sz w:val="20"/>
          <w:szCs w:val="20"/>
          <w14:ligatures w14:val="standardContextual"/>
        </w:rPr>
      </w:pPr>
      <w:r w:rsidRPr="00D40DFB">
        <w:rPr>
          <w:rFonts w:ascii="Verdana" w:eastAsia="Calibri" w:hAnsi="Verdana" w:cs="Times New Roman"/>
          <w:kern w:val="2"/>
          <w:sz w:val="20"/>
          <w:szCs w:val="20"/>
          <w14:ligatures w14:val="standardContextual"/>
        </w:rPr>
        <w:t>(…)</w:t>
      </w:r>
    </w:p>
    <w:p w14:paraId="6B57E7AB" w14:textId="77777777" w:rsidR="00D40DFB" w:rsidRPr="00D40DFB" w:rsidRDefault="00D40DFB" w:rsidP="00D40DFB">
      <w:pPr>
        <w:spacing w:after="0" w:line="240" w:lineRule="auto"/>
        <w:jc w:val="both"/>
        <w:rPr>
          <w:rFonts w:ascii="Verdana" w:eastAsia="Calibri" w:hAnsi="Verdana" w:cs="Times New Roman"/>
          <w:kern w:val="2"/>
          <w:sz w:val="20"/>
          <w:szCs w:val="20"/>
          <w14:ligatures w14:val="standardContextual"/>
        </w:rPr>
      </w:pPr>
    </w:p>
    <w:p w14:paraId="265F863B" w14:textId="77777777" w:rsidR="00D40DFB" w:rsidRPr="00D40DFB" w:rsidRDefault="00D40DFB" w:rsidP="00D40DFB">
      <w:pPr>
        <w:spacing w:after="0" w:line="240" w:lineRule="auto"/>
        <w:jc w:val="both"/>
        <w:rPr>
          <w:rFonts w:ascii="Verdana" w:eastAsia="Aptos" w:hAnsi="Verdana" w:cs="Times New Roman"/>
          <w:kern w:val="2"/>
          <w:sz w:val="20"/>
          <w:szCs w:val="20"/>
          <w14:ligatures w14:val="standardContextual"/>
        </w:rPr>
      </w:pPr>
      <w:r w:rsidRPr="00D40DFB">
        <w:rPr>
          <w:rFonts w:ascii="Verdana" w:eastAsia="Aptos" w:hAnsi="Verdana" w:cs="Times New Roman"/>
          <w:kern w:val="2"/>
          <w:sz w:val="20"/>
          <w:szCs w:val="20"/>
          <w14:ligatures w14:val="standardContextual"/>
        </w:rPr>
        <w:t xml:space="preserve">De lo anterior se observa que los elementos mencionados en la Nota 2 –postes de luz, luminarias, cableado y transformadores– coinciden, en buena medida, con los elementos que integran el sistema de alumbrado público conforme a la definición prevista en el </w:t>
      </w:r>
      <w:r w:rsidRPr="00D40DFB">
        <w:rPr>
          <w:rFonts w:ascii="Verdana" w:eastAsia="Aptos" w:hAnsi="Verdana" w:cs="Times New Roman"/>
          <w:kern w:val="2"/>
          <w:sz w:val="20"/>
          <w:szCs w:val="20"/>
          <w14:ligatures w14:val="standardContextual"/>
        </w:rPr>
        <w:lastRenderedPageBreak/>
        <w:t xml:space="preserve">artículo 2.2.3.1.2 del Decreto 1073 de 2015. Esto refuerza la conclusión según la cual las actividades de instalación de luminarias y demás equipos asociados al alumbrado público pueden enmarcarse, en principio, dentro de las actividades 1.9 y 2.6 de la Matriz 1 – Experiencia. </w:t>
      </w:r>
    </w:p>
    <w:p w14:paraId="39AD49B2" w14:textId="77777777" w:rsidR="00D40DFB" w:rsidRPr="00D40DFB" w:rsidRDefault="00D40DFB" w:rsidP="00D40DFB">
      <w:pPr>
        <w:snapToGrid w:val="0"/>
        <w:spacing w:after="0" w:line="240" w:lineRule="auto"/>
        <w:jc w:val="both"/>
        <w:rPr>
          <w:rFonts w:ascii="Verdana" w:eastAsia="Times New Roman" w:hAnsi="Verdana" w:cs="Arial"/>
          <w:kern w:val="2"/>
          <w:shd w:val="clear" w:color="auto" w:fill="FFFFFF"/>
          <w:lang w:val="es-ES" w:eastAsia="es-ES"/>
          <w14:ligatures w14:val="standardContextual"/>
        </w:rPr>
      </w:pPr>
    </w:p>
    <w:p w14:paraId="47F0F759" w14:textId="77777777" w:rsidR="00D40DFB" w:rsidRPr="00D40DFB" w:rsidRDefault="00D40DFB" w:rsidP="00D40DFB">
      <w:pPr>
        <w:spacing w:after="0" w:line="240" w:lineRule="auto"/>
        <w:jc w:val="both"/>
        <w:rPr>
          <w:rFonts w:ascii="Verdana" w:eastAsia="Calibri" w:hAnsi="Verdana" w:cs="Arial"/>
          <w:b/>
          <w:bCs/>
          <w:color w:val="000000"/>
          <w:kern w:val="2"/>
          <w:lang w:val="es-ES_tradnl"/>
          <w14:ligatures w14:val="standardContextual"/>
        </w:rPr>
      </w:pPr>
      <w:r w:rsidRPr="00D40DFB">
        <w:rPr>
          <w:rFonts w:ascii="Verdana" w:eastAsia="Calibri" w:hAnsi="Verdana" w:cs="Arial"/>
          <w:b/>
          <w:bCs/>
          <w:color w:val="000000"/>
          <w:kern w:val="2"/>
          <w:lang w:val="es-ES_tradnl"/>
          <w14:ligatures w14:val="standardContextual"/>
        </w:rPr>
        <w:t>INSTALACIÓN – Obra – Contrato mixto – Prestación principal</w:t>
      </w:r>
    </w:p>
    <w:p w14:paraId="024DE854" w14:textId="77777777" w:rsidR="00D40DFB" w:rsidRPr="00D40DFB" w:rsidRDefault="00D40DFB" w:rsidP="00D40DFB">
      <w:pPr>
        <w:spacing w:after="0" w:line="240" w:lineRule="auto"/>
        <w:jc w:val="both"/>
        <w:rPr>
          <w:rFonts w:ascii="Verdana" w:eastAsia="Calibri" w:hAnsi="Verdana" w:cs="Arial"/>
          <w:b/>
          <w:bCs/>
          <w:color w:val="000000"/>
          <w:kern w:val="2"/>
          <w:sz w:val="20"/>
          <w:szCs w:val="20"/>
          <w:lang w:val="es-ES_tradnl"/>
          <w14:ligatures w14:val="standardContextual"/>
        </w:rPr>
      </w:pPr>
      <w:r w:rsidRPr="00D40DFB">
        <w:rPr>
          <w:rFonts w:ascii="Verdana" w:eastAsia="Calibri" w:hAnsi="Verdana" w:cs="Arial"/>
          <w:b/>
          <w:bCs/>
          <w:color w:val="000000"/>
          <w:kern w:val="2"/>
          <w:sz w:val="20"/>
          <w:szCs w:val="20"/>
          <w:lang w:val="es-ES_tradnl"/>
          <w14:ligatures w14:val="standardContextual"/>
        </w:rPr>
        <w:t xml:space="preserve"> </w:t>
      </w:r>
    </w:p>
    <w:p w14:paraId="01D68D93" w14:textId="77777777" w:rsidR="00D40DFB" w:rsidRPr="00D40DFB" w:rsidRDefault="00D40DFB" w:rsidP="00D40DFB">
      <w:pPr>
        <w:spacing w:after="0" w:line="240" w:lineRule="auto"/>
        <w:jc w:val="both"/>
        <w:rPr>
          <w:rFonts w:ascii="Verdana" w:eastAsia="Calibri" w:hAnsi="Verdana" w:cs="Arial"/>
          <w:color w:val="000000"/>
          <w:kern w:val="2"/>
          <w:sz w:val="20"/>
          <w:szCs w:val="20"/>
          <w:lang w:val="es-ES"/>
          <w14:ligatures w14:val="standardContextual"/>
        </w:rPr>
      </w:pPr>
      <w:r w:rsidRPr="00D40DFB">
        <w:rPr>
          <w:rFonts w:ascii="Verdana" w:eastAsia="Calibri" w:hAnsi="Verdana" w:cs="Arial"/>
          <w:color w:val="000000"/>
          <w:kern w:val="2"/>
          <w:sz w:val="20"/>
          <w:szCs w:val="20"/>
          <w:lang w:val="es-ES"/>
          <w14:ligatures w14:val="standardContextual"/>
        </w:rPr>
        <w:t xml:space="preserve">La obligación de instalar un bien mueble en un inmueble –convirtiendo a aquel en un inmueble por adhesión o por destinación– </w:t>
      </w:r>
      <w:r w:rsidRPr="00D40DFB">
        <w:rPr>
          <w:rFonts w:ascii="Verdana" w:eastAsia="Calibri" w:hAnsi="Verdana" w:cs="Arial"/>
          <w:i/>
          <w:color w:val="000000"/>
          <w:kern w:val="2"/>
          <w:sz w:val="20"/>
          <w:szCs w:val="20"/>
          <w:lang w:val="es-ES"/>
          <w14:ligatures w14:val="standardContextual"/>
        </w:rPr>
        <w:t>no</w:t>
      </w:r>
      <w:r w:rsidRPr="00D40DFB">
        <w:rPr>
          <w:rFonts w:ascii="Verdana" w:eastAsia="Calibri" w:hAnsi="Verdana" w:cs="Arial"/>
          <w:color w:val="000000"/>
          <w:kern w:val="2"/>
          <w:sz w:val="20"/>
          <w:szCs w:val="20"/>
          <w:lang w:val="es-ES"/>
          <w14:ligatures w14:val="standardContextual"/>
        </w:rPr>
        <w:t xml:space="preserve"> es privativa del contrato de obra pública, pues puede estar presente también en un contrato de suministro, de compraventa o en un contrato mixto (atípico). Lo que determinará cuál es la tipología contractual o la existencia del contrato mixto será la valoración de los siguientes elementos: i) la definición de cuál es la prestación principal del contrato –para lo cual un criterio puede ser cuál es la prestación que tiene el mayor valor–, </w:t>
      </w:r>
      <w:proofErr w:type="spellStart"/>
      <w:r w:rsidRPr="00D40DFB">
        <w:rPr>
          <w:rFonts w:ascii="Verdana" w:eastAsia="Calibri" w:hAnsi="Verdana" w:cs="Arial"/>
          <w:color w:val="000000"/>
          <w:kern w:val="2"/>
          <w:sz w:val="20"/>
          <w:szCs w:val="20"/>
          <w:lang w:val="es-ES"/>
          <w14:ligatures w14:val="standardContextual"/>
        </w:rPr>
        <w:t>ii</w:t>
      </w:r>
      <w:proofErr w:type="spellEnd"/>
      <w:r w:rsidRPr="00D40DFB">
        <w:rPr>
          <w:rFonts w:ascii="Verdana" w:eastAsia="Calibri" w:hAnsi="Verdana" w:cs="Arial"/>
          <w:color w:val="000000"/>
          <w:kern w:val="2"/>
          <w:sz w:val="20"/>
          <w:szCs w:val="20"/>
          <w:lang w:val="es-ES"/>
          <w14:ligatures w14:val="standardContextual"/>
        </w:rPr>
        <w:t xml:space="preserve">) la finalidad de las partes y </w:t>
      </w:r>
      <w:proofErr w:type="spellStart"/>
      <w:r w:rsidRPr="00D40DFB">
        <w:rPr>
          <w:rFonts w:ascii="Verdana" w:eastAsia="Calibri" w:hAnsi="Verdana" w:cs="Arial"/>
          <w:color w:val="000000"/>
          <w:kern w:val="2"/>
          <w:sz w:val="20"/>
          <w:szCs w:val="20"/>
          <w:lang w:val="es-ES"/>
          <w14:ligatures w14:val="standardContextual"/>
        </w:rPr>
        <w:t>iii</w:t>
      </w:r>
      <w:proofErr w:type="spellEnd"/>
      <w:r w:rsidRPr="00D40DFB">
        <w:rPr>
          <w:rFonts w:ascii="Verdana" w:eastAsia="Calibri" w:hAnsi="Verdana" w:cs="Arial"/>
          <w:color w:val="000000"/>
          <w:kern w:val="2"/>
          <w:sz w:val="20"/>
          <w:szCs w:val="20"/>
          <w:lang w:val="es-ES"/>
          <w14:ligatures w14:val="standardContextual"/>
        </w:rPr>
        <w:t>) si se trata de prestaciones mixtas, “que las prestaciones correspondientes que pretendan fusionarse se encuentren directamente vinculadas entre sí, de tal manera que mantengan relaciones de complemento y que permitan predicar su tratamiento solo como una unidad funcional dirigida a la satisfacción de la necesidad de la entidad”. Este es un análisis que, por tanto, debe realizarse en cada caso, considerando los datos técnicos y económicos del objeto contractual.</w:t>
      </w:r>
    </w:p>
    <w:p w14:paraId="1F01F695" w14:textId="77777777" w:rsidR="00D40DFB" w:rsidRPr="00D40DFB" w:rsidRDefault="00D40DFB" w:rsidP="00D40DFB">
      <w:pPr>
        <w:spacing w:after="0" w:line="240" w:lineRule="auto"/>
        <w:jc w:val="both"/>
        <w:rPr>
          <w:rFonts w:ascii="Verdana" w:eastAsia="Calibri" w:hAnsi="Verdana" w:cs="Arial"/>
          <w:color w:val="000000"/>
          <w:kern w:val="2"/>
          <w:sz w:val="20"/>
          <w:szCs w:val="20"/>
          <w:lang w:val="es-ES_tradnl"/>
          <w14:ligatures w14:val="standardContextual"/>
        </w:rPr>
      </w:pPr>
    </w:p>
    <w:p w14:paraId="295D62C1" w14:textId="77777777" w:rsidR="00D40DFB" w:rsidRPr="00D40DFB" w:rsidRDefault="00D40DFB" w:rsidP="00D40DFB">
      <w:pPr>
        <w:spacing w:after="0" w:line="240" w:lineRule="auto"/>
        <w:jc w:val="both"/>
        <w:rPr>
          <w:rFonts w:ascii="Verdana" w:eastAsia="Calibri" w:hAnsi="Verdana" w:cs="Arial"/>
          <w:b/>
          <w:bCs/>
          <w:color w:val="000000"/>
          <w:kern w:val="2"/>
          <w:lang w:val="es-ES_tradnl"/>
          <w14:ligatures w14:val="standardContextual"/>
        </w:rPr>
      </w:pPr>
      <w:r w:rsidRPr="00D40DFB">
        <w:rPr>
          <w:rFonts w:ascii="Verdana" w:eastAsia="Calibri" w:hAnsi="Verdana" w:cs="Arial"/>
          <w:b/>
          <w:bCs/>
          <w:color w:val="000000"/>
          <w:kern w:val="2"/>
          <w:lang w:val="es-ES_tradnl"/>
          <w14:ligatures w14:val="standardContextual"/>
        </w:rPr>
        <w:t>INSTALACIÓN – Obra – Aplicación – Documentos tipo – Sector Transporte</w:t>
      </w:r>
    </w:p>
    <w:p w14:paraId="7EA253E3" w14:textId="77777777" w:rsidR="00D40DFB" w:rsidRPr="00D40DFB" w:rsidRDefault="00D40DFB" w:rsidP="00D40DFB">
      <w:pPr>
        <w:spacing w:after="0" w:line="240" w:lineRule="auto"/>
        <w:jc w:val="both"/>
        <w:rPr>
          <w:rFonts w:ascii="Verdana" w:eastAsia="Calibri" w:hAnsi="Verdana" w:cs="Arial"/>
          <w:color w:val="000000"/>
          <w:kern w:val="2"/>
          <w:sz w:val="20"/>
          <w:szCs w:val="20"/>
          <w:lang w:val="es-ES_tradnl"/>
          <w14:ligatures w14:val="standardContextual"/>
        </w:rPr>
      </w:pPr>
    </w:p>
    <w:p w14:paraId="34791A23" w14:textId="77777777" w:rsidR="00D40DFB" w:rsidRPr="00D40DFB" w:rsidRDefault="00D40DFB" w:rsidP="00D40DFB">
      <w:pPr>
        <w:spacing w:after="120" w:line="276" w:lineRule="auto"/>
        <w:jc w:val="both"/>
        <w:rPr>
          <w:rFonts w:ascii="Verdana" w:eastAsia="Times New Roman" w:hAnsi="Verdana" w:cs="Times New Roman"/>
          <w:color w:val="000000"/>
          <w:kern w:val="2"/>
          <w:sz w:val="20"/>
          <w:szCs w:val="20"/>
          <w:lang w:eastAsia="es-CO"/>
          <w14:ligatures w14:val="standardContextual"/>
        </w:rPr>
      </w:pPr>
      <w:r w:rsidRPr="00D40DFB">
        <w:rPr>
          <w:rFonts w:ascii="Verdana" w:eastAsia="Calibri" w:hAnsi="Verdana" w:cs="Arial"/>
          <w:kern w:val="2"/>
          <w:sz w:val="20"/>
          <w:szCs w:val="20"/>
          <w:lang w:val="es-ES" w:eastAsia="es-ES_tradnl"/>
          <w14:ligatures w14:val="standardContextual"/>
        </w:rPr>
        <w:t xml:space="preserve">En este contexto, </w:t>
      </w:r>
      <w:r w:rsidRPr="00D40DFB">
        <w:rPr>
          <w:rFonts w:ascii="Verdana" w:eastAsia="Aptos" w:hAnsi="Verdana" w:cs="Arial"/>
          <w:kern w:val="2"/>
          <w:sz w:val="20"/>
          <w:szCs w:val="20"/>
          <w:lang w:eastAsia="es-ES_tradnl"/>
          <w14:ligatures w14:val="standardContextual"/>
        </w:rPr>
        <w:t xml:space="preserve">no es posible afirmar de manera categórica que el suministro e instalación de </w:t>
      </w:r>
      <w:r w:rsidRPr="00D40DFB">
        <w:rPr>
          <w:rFonts w:ascii="Verdana" w:eastAsia="Times New Roman" w:hAnsi="Verdana" w:cs="Times New Roman"/>
          <w:color w:val="000000"/>
          <w:kern w:val="2"/>
          <w:sz w:val="20"/>
          <w:szCs w:val="20"/>
          <w:lang w:eastAsia="es-CO"/>
          <w14:ligatures w14:val="standardContextual"/>
        </w:rPr>
        <w:t xml:space="preserve">sistemas de aires acondicionadas o sistemas de ventilación o similar sobre </w:t>
      </w:r>
      <w:r w:rsidRPr="00D40DFB">
        <w:rPr>
          <w:rFonts w:ascii="Verdana" w:eastAsia="Aptos" w:hAnsi="Verdana" w:cs="Arial"/>
          <w:kern w:val="2"/>
          <w:sz w:val="20"/>
          <w:szCs w:val="20"/>
          <w:lang w:eastAsia="es-ES_tradnl"/>
          <w14:ligatures w14:val="standardContextual"/>
        </w:rPr>
        <w:t xml:space="preserve">un inmueble que tiene la categoría de infraestructura educativa deba clasificarse, en todos los casos, como un contrato de obra pública para efecto de la utilización de los Documentos Tipo </w:t>
      </w:r>
      <w:r w:rsidRPr="00D40DFB">
        <w:rPr>
          <w:rFonts w:ascii="Verdana" w:eastAsia="Times New Roman" w:hAnsi="Verdana" w:cs="Times New Roman"/>
          <w:color w:val="000000"/>
          <w:kern w:val="2"/>
          <w:sz w:val="20"/>
          <w:szCs w:val="20"/>
          <w:lang w:eastAsia="es-CO"/>
          <w14:ligatures w14:val="standardContextual"/>
        </w:rPr>
        <w:t>del Sector Institucional</w:t>
      </w:r>
      <w:r w:rsidRPr="00D40DFB">
        <w:rPr>
          <w:rFonts w:ascii="Verdana" w:eastAsia="Aptos" w:hAnsi="Verdana" w:cs="Arial"/>
          <w:kern w:val="2"/>
          <w:sz w:val="20"/>
          <w:szCs w:val="20"/>
          <w:lang w:eastAsia="es-ES_tradnl"/>
          <w14:ligatures w14:val="standardContextual"/>
        </w:rPr>
        <w:t xml:space="preserve">. Para establecer la naturaleza jurídica de este tipo de contratos, la entidad estatal debe analizar las circunstancias particulares de cada caso y considerar los criterios que permitan identificar la prestación principal, la finalidad de las partes y la relación de conexidad de las prestaciones.  </w:t>
      </w:r>
    </w:p>
    <w:p w14:paraId="24EC6F22" w14:textId="77777777" w:rsidR="00D40DFB" w:rsidRPr="00D40DFB" w:rsidRDefault="00D40DFB" w:rsidP="00D40DFB">
      <w:pPr>
        <w:spacing w:after="0" w:line="240" w:lineRule="auto"/>
        <w:jc w:val="both"/>
        <w:rPr>
          <w:rFonts w:ascii="Verdana" w:eastAsia="Calibri" w:hAnsi="Verdana" w:cs="Arial"/>
          <w:kern w:val="2"/>
          <w:sz w:val="20"/>
          <w:szCs w:val="20"/>
          <w:lang w:eastAsia="es-ES_tradnl"/>
          <w14:ligatures w14:val="standardContextual"/>
        </w:rPr>
      </w:pPr>
    </w:p>
    <w:p w14:paraId="1D702A98" w14:textId="77777777" w:rsidR="00D40DFB" w:rsidRPr="00D40DFB" w:rsidRDefault="00D40DFB" w:rsidP="00D40DFB">
      <w:pPr>
        <w:spacing w:after="0" w:line="240" w:lineRule="auto"/>
        <w:jc w:val="both"/>
        <w:rPr>
          <w:rFonts w:ascii="Verdana" w:eastAsia="Calibri" w:hAnsi="Verdana" w:cs="Arial"/>
          <w:kern w:val="2"/>
          <w:sz w:val="20"/>
          <w:szCs w:val="20"/>
          <w:lang w:eastAsia="es-ES_tradnl"/>
          <w14:ligatures w14:val="standardContextual"/>
        </w:rPr>
      </w:pPr>
      <w:r w:rsidRPr="00D40DFB">
        <w:rPr>
          <w:rFonts w:ascii="Verdana" w:eastAsia="Calibri" w:hAnsi="Verdana" w:cs="Arial"/>
          <w:kern w:val="2"/>
          <w:sz w:val="20"/>
          <w:szCs w:val="20"/>
          <w:lang w:eastAsia="es-ES_tradnl"/>
          <w14:ligatures w14:val="standardContextual"/>
        </w:rPr>
        <w:t>(…)</w:t>
      </w:r>
    </w:p>
    <w:p w14:paraId="731EC861" w14:textId="77777777" w:rsidR="00D40DFB" w:rsidRPr="00D40DFB" w:rsidRDefault="00D40DFB" w:rsidP="00D40DFB">
      <w:pPr>
        <w:spacing w:after="0" w:line="240" w:lineRule="auto"/>
        <w:jc w:val="both"/>
        <w:rPr>
          <w:rFonts w:ascii="Verdana" w:eastAsia="Calibri" w:hAnsi="Verdana" w:cs="Arial"/>
          <w:kern w:val="2"/>
          <w:sz w:val="20"/>
          <w:szCs w:val="20"/>
          <w:lang w:eastAsia="es-ES_tradnl"/>
          <w14:ligatures w14:val="standardContextual"/>
        </w:rPr>
      </w:pPr>
    </w:p>
    <w:p w14:paraId="7EFA3628" w14:textId="77777777" w:rsidR="00D40DFB" w:rsidRPr="00D40DFB" w:rsidRDefault="00D40DFB" w:rsidP="00D40DFB">
      <w:pPr>
        <w:spacing w:after="0" w:line="240" w:lineRule="auto"/>
        <w:jc w:val="both"/>
        <w:rPr>
          <w:rFonts w:ascii="Verdana" w:eastAsia="Calibri" w:hAnsi="Verdana" w:cs="Arial"/>
          <w:kern w:val="2"/>
          <w:sz w:val="20"/>
          <w:szCs w:val="20"/>
          <w:lang w:eastAsia="es-ES_tradnl"/>
          <w14:ligatures w14:val="standardContextual"/>
        </w:rPr>
      </w:pPr>
      <w:r w:rsidRPr="00D40DFB">
        <w:rPr>
          <w:rFonts w:ascii="Verdana" w:eastAsia="Calibri" w:hAnsi="Verdana" w:cs="Arial"/>
          <w:kern w:val="2"/>
          <w:sz w:val="20"/>
          <w:szCs w:val="20"/>
          <w:lang w:eastAsia="es-ES_tradnl"/>
          <w14:ligatures w14:val="standardContextual"/>
        </w:rPr>
        <w:t>A modo de ilustración, si la instalación de equipos exige intervenciones intramurales que afecten paredes, redes eléctricas, sistemas hidráulicos o elementos estructurales del inmueble, podría sostenerse que la naturaleza del contrato es la de obra, ya que la actividad principal consiste en transformar y adecuar el inmueble para permitir el funcionamiento adecuado de los bienes instalados. En estos casos, el criterio determinante no es únicamente el componente presupuestal, sino la finalidad del contrato y el grado de intervención en el inmueble.</w:t>
      </w:r>
    </w:p>
    <w:p w14:paraId="5FFCA593" w14:textId="77777777" w:rsidR="00D40DFB" w:rsidRDefault="00D40DFB" w:rsidP="00D40DFB">
      <w:pPr>
        <w:spacing w:after="0" w:line="240" w:lineRule="auto"/>
        <w:jc w:val="both"/>
        <w:rPr>
          <w:rFonts w:ascii="Verdana" w:eastAsia="Calibri" w:hAnsi="Verdana" w:cs="Calibri"/>
          <w:kern w:val="2"/>
          <w:sz w:val="20"/>
          <w:szCs w:val="20"/>
          <w14:ligatures w14:val="standardContextual"/>
        </w:rPr>
      </w:pPr>
    </w:p>
    <w:p w14:paraId="074669A2" w14:textId="77777777" w:rsidR="00F5145B" w:rsidRPr="00D40DFB" w:rsidRDefault="00F5145B" w:rsidP="00D40DFB">
      <w:pPr>
        <w:spacing w:after="0" w:line="240" w:lineRule="auto"/>
        <w:jc w:val="both"/>
        <w:rPr>
          <w:rFonts w:ascii="Verdana" w:eastAsia="Calibri" w:hAnsi="Verdana" w:cs="Calibri"/>
          <w:kern w:val="2"/>
          <w:sz w:val="20"/>
          <w:szCs w:val="20"/>
          <w14:ligatures w14:val="standardContextual"/>
        </w:rPr>
      </w:pPr>
    </w:p>
    <w:p w14:paraId="7A68DAC8" w14:textId="163F414F" w:rsidR="00D40DFB" w:rsidRDefault="00D40DFB" w:rsidP="00D40DFB">
      <w:pPr>
        <w:spacing w:after="0" w:line="240" w:lineRule="auto"/>
        <w:rPr>
          <w:rFonts w:ascii="Verdana" w:eastAsia="Verdana" w:hAnsi="Verdana" w:cs="Verdana"/>
          <w:kern w:val="2"/>
          <w14:ligatures w14:val="standardContextual"/>
        </w:rPr>
      </w:pPr>
      <w:bookmarkStart w:id="1" w:name="_Hlk117695077"/>
      <w:r w:rsidRPr="00D40DFB">
        <w:rPr>
          <w:rFonts w:ascii="Verdana" w:eastAsia="Verdana" w:hAnsi="Verdana" w:cs="Verdana"/>
          <w:kern w:val="2"/>
          <w14:ligatures w14:val="standardContextual"/>
        </w:rPr>
        <w:lastRenderedPageBreak/>
        <w:t xml:space="preserve">Bogotá D.C., </w:t>
      </w:r>
      <w:r w:rsidR="00F5145B">
        <w:rPr>
          <w:rFonts w:ascii="Verdana" w:eastAsia="Verdana" w:hAnsi="Verdana" w:cs="Verdana"/>
          <w:kern w:val="2"/>
          <w14:ligatures w14:val="standardContextual"/>
        </w:rPr>
        <w:t>2 de septiembre de 2026</w:t>
      </w:r>
    </w:p>
    <w:p w14:paraId="52E5000D" w14:textId="094F2C08" w:rsidR="00F5145B" w:rsidRDefault="00F5145B" w:rsidP="00D40DFB">
      <w:pPr>
        <w:spacing w:after="0" w:line="240" w:lineRule="auto"/>
        <w:rPr>
          <w:rFonts w:ascii="Verdana" w:eastAsia="Verdana" w:hAnsi="Verdana" w:cs="Verdana"/>
          <w:kern w:val="2"/>
          <w14:ligatures w14:val="standardContextual"/>
        </w:rPr>
      </w:pPr>
    </w:p>
    <w:p w14:paraId="02F68D18" w14:textId="13B93424" w:rsidR="00D40DFB" w:rsidRPr="00D40DFB" w:rsidRDefault="002B5260" w:rsidP="00D40DFB">
      <w:pPr>
        <w:spacing w:after="0" w:line="276" w:lineRule="auto"/>
        <w:jc w:val="both"/>
        <w:rPr>
          <w:rFonts w:ascii="Verdana" w:eastAsia="Calibri" w:hAnsi="Verdana" w:cs="Arial"/>
          <w:lang w:eastAsia="es-ES"/>
        </w:rPr>
      </w:pPr>
      <w:r w:rsidRPr="00F5145B">
        <w:rPr>
          <w:rFonts w:ascii="Verdana" w:eastAsia="Verdana" w:hAnsi="Verdana" w:cs="Verdana"/>
          <w:noProof/>
          <w:kern w:val="2"/>
          <w14:ligatures w14:val="standardContextual"/>
        </w:rPr>
        <w:drawing>
          <wp:anchor distT="0" distB="0" distL="114300" distR="114300" simplePos="0" relativeHeight="251658240" behindDoc="0" locked="0" layoutInCell="1" allowOverlap="1" wp14:anchorId="60FD7473" wp14:editId="431204A5">
            <wp:simplePos x="0" y="0"/>
            <wp:positionH relativeFrom="margin">
              <wp:align>right</wp:align>
            </wp:positionH>
            <wp:positionV relativeFrom="paragraph">
              <wp:posOffset>11623</wp:posOffset>
            </wp:positionV>
            <wp:extent cx="2376896" cy="863516"/>
            <wp:effectExtent l="0" t="0" r="4445" b="0"/>
            <wp:wrapSquare wrapText="bothSides"/>
            <wp:docPr id="10368661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866140" name=""/>
                    <pic:cNvPicPr/>
                  </pic:nvPicPr>
                  <pic:blipFill>
                    <a:blip r:embed="rId10">
                      <a:extLst>
                        <a:ext uri="{28A0092B-C50C-407E-A947-70E740481C1C}">
                          <a14:useLocalDpi xmlns:a14="http://schemas.microsoft.com/office/drawing/2010/main" val="0"/>
                        </a:ext>
                      </a:extLst>
                    </a:blip>
                    <a:stretch>
                      <a:fillRect/>
                    </a:stretch>
                  </pic:blipFill>
                  <pic:spPr>
                    <a:xfrm>
                      <a:off x="0" y="0"/>
                      <a:ext cx="2376896" cy="863516"/>
                    </a:xfrm>
                    <a:prstGeom prst="rect">
                      <a:avLst/>
                    </a:prstGeom>
                  </pic:spPr>
                </pic:pic>
              </a:graphicData>
            </a:graphic>
            <wp14:sizeRelH relativeFrom="page">
              <wp14:pctWidth>0</wp14:pctWidth>
            </wp14:sizeRelH>
            <wp14:sizeRelV relativeFrom="page">
              <wp14:pctHeight>0</wp14:pctHeight>
            </wp14:sizeRelV>
          </wp:anchor>
        </w:drawing>
      </w:r>
      <w:r w:rsidR="00D40DFB" w:rsidRPr="00D40DFB">
        <w:rPr>
          <w:rFonts w:ascii="Verdana" w:eastAsia="Calibri" w:hAnsi="Verdana" w:cs="Arial"/>
          <w:lang w:val="es-ES_tradnl" w:eastAsia="es-ES"/>
        </w:rPr>
        <w:t>Señor</w:t>
      </w:r>
    </w:p>
    <w:p w14:paraId="478F7DED" w14:textId="77777777" w:rsidR="00D40DFB" w:rsidRPr="00D40DFB" w:rsidRDefault="00D40DFB" w:rsidP="00D40DFB">
      <w:pPr>
        <w:spacing w:after="0" w:line="276" w:lineRule="auto"/>
        <w:jc w:val="both"/>
        <w:rPr>
          <w:rFonts w:ascii="Verdana" w:eastAsia="Aptos" w:hAnsi="Verdana" w:cs="Times New Roman"/>
          <w:b/>
          <w:bCs/>
          <w:kern w:val="2"/>
          <w14:ligatures w14:val="standardContextual"/>
        </w:rPr>
      </w:pPr>
      <w:r w:rsidRPr="00D40DFB">
        <w:rPr>
          <w:rFonts w:ascii="Verdana" w:eastAsia="Aptos" w:hAnsi="Verdana" w:cs="Times New Roman"/>
          <w:b/>
          <w:bCs/>
          <w:kern w:val="2"/>
          <w14:ligatures w14:val="standardContextual"/>
        </w:rPr>
        <w:t>Diego Rojas</w:t>
      </w:r>
    </w:p>
    <w:p w14:paraId="66DECD61" w14:textId="77777777" w:rsidR="00D40DFB" w:rsidRPr="00D40DFB" w:rsidRDefault="00D40DFB" w:rsidP="00D40DFB">
      <w:pPr>
        <w:spacing w:after="0" w:line="276" w:lineRule="auto"/>
        <w:jc w:val="both"/>
        <w:rPr>
          <w:rFonts w:ascii="Verdana" w:eastAsia="Aptos" w:hAnsi="Verdana" w:cs="Times New Roman"/>
          <w:kern w:val="2"/>
          <w14:ligatures w14:val="standardContextual"/>
        </w:rPr>
      </w:pPr>
      <w:r w:rsidRPr="00D40DFB">
        <w:rPr>
          <w:rFonts w:ascii="Verdana" w:eastAsia="Aptos" w:hAnsi="Verdana" w:cs="Times New Roman"/>
          <w:kern w:val="2"/>
          <w14:ligatures w14:val="standardContextual"/>
        </w:rPr>
        <w:t>Alcaldía de Rosas – Cauca</w:t>
      </w:r>
    </w:p>
    <w:p w14:paraId="0C7A02BE" w14:textId="77777777" w:rsidR="00D40DFB" w:rsidRPr="00D40DFB" w:rsidRDefault="00D40DFB" w:rsidP="00D40DFB">
      <w:pPr>
        <w:spacing w:after="0" w:line="276" w:lineRule="auto"/>
        <w:jc w:val="both"/>
        <w:rPr>
          <w:rFonts w:ascii="Verdana" w:eastAsia="Aptos" w:hAnsi="Verdana" w:cs="Times New Roman"/>
          <w:kern w:val="2"/>
          <w14:ligatures w14:val="standardContextual"/>
        </w:rPr>
      </w:pPr>
      <w:r w:rsidRPr="00D40DFB">
        <w:rPr>
          <w:rFonts w:ascii="Verdana" w:eastAsia="Aptos" w:hAnsi="Verdana" w:cs="Times New Roman"/>
          <w:kern w:val="2"/>
          <w14:ligatures w14:val="standardContextual"/>
        </w:rPr>
        <w:t>o-contratacion@rosas-cauca.gov.co</w:t>
      </w:r>
    </w:p>
    <w:p w14:paraId="3FC7FA35" w14:textId="77777777" w:rsidR="00D40DFB" w:rsidRPr="00D40DFB" w:rsidRDefault="00D40DFB" w:rsidP="00D40DFB">
      <w:pPr>
        <w:spacing w:after="0" w:line="276" w:lineRule="auto"/>
        <w:jc w:val="both"/>
        <w:rPr>
          <w:rFonts w:ascii="Verdana" w:eastAsia="Calibri" w:hAnsi="Verdana" w:cs="Arial"/>
        </w:rPr>
      </w:pPr>
      <w:r w:rsidRPr="00D40DFB">
        <w:rPr>
          <w:rFonts w:ascii="Verdana" w:eastAsia="Calibri" w:hAnsi="Verdana" w:cs="Arial"/>
        </w:rPr>
        <w:t>Rosas, Cauca</w:t>
      </w:r>
    </w:p>
    <w:p w14:paraId="3DA5EE11" w14:textId="77777777" w:rsidR="006F7584" w:rsidRPr="00D40DFB" w:rsidRDefault="006F7584" w:rsidP="00D40DFB">
      <w:pPr>
        <w:spacing w:after="0" w:line="240" w:lineRule="auto"/>
        <w:jc w:val="both"/>
        <w:rPr>
          <w:rFonts w:ascii="Verdana" w:eastAsia="Calibri" w:hAnsi="Verdana" w:cs="Arial"/>
          <w:b/>
          <w:bCs/>
          <w:lang w:eastAsia="es-ES"/>
        </w:rPr>
      </w:pPr>
    </w:p>
    <w:tbl>
      <w:tblPr>
        <w:tblStyle w:val="Tablaconcuadrcula"/>
        <w:tblW w:w="8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5"/>
        <w:gridCol w:w="6183"/>
      </w:tblGrid>
      <w:tr w:rsidR="00D40DFB" w:rsidRPr="00D40DFB" w14:paraId="42C115E6" w14:textId="77777777" w:rsidTr="005672E7">
        <w:trPr>
          <w:trHeight w:val="910"/>
        </w:trPr>
        <w:tc>
          <w:tcPr>
            <w:tcW w:w="2725" w:type="dxa"/>
          </w:tcPr>
          <w:p w14:paraId="42CBD09E" w14:textId="77777777" w:rsidR="00D40DFB" w:rsidRPr="00D40DFB" w:rsidRDefault="00D40DFB" w:rsidP="00D40DFB">
            <w:pPr>
              <w:jc w:val="both"/>
              <w:rPr>
                <w:rFonts w:ascii="Verdana" w:eastAsia="Calibri" w:hAnsi="Verdana" w:cs="Arial"/>
                <w:b/>
                <w:bCs/>
                <w:color w:val="7030A0"/>
                <w:lang w:eastAsia="es-ES_tradnl"/>
              </w:rPr>
            </w:pPr>
          </w:p>
        </w:tc>
        <w:tc>
          <w:tcPr>
            <w:tcW w:w="6183" w:type="dxa"/>
          </w:tcPr>
          <w:p w14:paraId="200F216E" w14:textId="77777777" w:rsidR="00D40DFB" w:rsidRPr="00D40DFB" w:rsidRDefault="00D40DFB" w:rsidP="00D40DFB">
            <w:pPr>
              <w:snapToGrid w:val="0"/>
              <w:jc w:val="both"/>
              <w:rPr>
                <w:rFonts w:ascii="Verdana" w:eastAsia="Calibri" w:hAnsi="Verdana" w:cs="Arial"/>
                <w:b/>
                <w:bCs/>
                <w:lang w:eastAsia="es-ES"/>
              </w:rPr>
            </w:pPr>
            <w:r w:rsidRPr="00D40DFB">
              <w:rPr>
                <w:rFonts w:ascii="Verdana" w:eastAsia="Calibri" w:hAnsi="Verdana" w:cs="Arial"/>
                <w:b/>
                <w:bCs/>
                <w:lang w:eastAsia="es-ES"/>
              </w:rPr>
              <w:t>Concepto C-1159 de 2026</w:t>
            </w:r>
          </w:p>
          <w:p w14:paraId="7F823F3D" w14:textId="77777777" w:rsidR="00D40DFB" w:rsidRPr="00D40DFB" w:rsidRDefault="00D40DFB" w:rsidP="00D40DFB">
            <w:pPr>
              <w:snapToGrid w:val="0"/>
              <w:jc w:val="both"/>
              <w:rPr>
                <w:rFonts w:ascii="Verdana" w:eastAsia="Calibri" w:hAnsi="Verdana" w:cs="Arial"/>
                <w:b/>
                <w:bCs/>
                <w:lang w:eastAsia="es-ES"/>
              </w:rPr>
            </w:pPr>
          </w:p>
        </w:tc>
      </w:tr>
      <w:tr w:rsidR="00D40DFB" w:rsidRPr="00D40DFB" w14:paraId="2531426A" w14:textId="77777777" w:rsidTr="005672E7">
        <w:trPr>
          <w:trHeight w:val="910"/>
        </w:trPr>
        <w:tc>
          <w:tcPr>
            <w:tcW w:w="2725" w:type="dxa"/>
          </w:tcPr>
          <w:p w14:paraId="0471F372" w14:textId="77777777" w:rsidR="00D40DFB" w:rsidRPr="00D40DFB" w:rsidRDefault="00D40DFB" w:rsidP="00D40DFB">
            <w:pPr>
              <w:jc w:val="both"/>
              <w:rPr>
                <w:rFonts w:ascii="Verdana" w:eastAsia="Calibri" w:hAnsi="Verdana" w:cs="Arial"/>
                <w:color w:val="000000"/>
                <w:lang w:eastAsia="es-ES_tradnl"/>
              </w:rPr>
            </w:pPr>
            <w:r w:rsidRPr="00D40DFB">
              <w:rPr>
                <w:rFonts w:ascii="Verdana" w:eastAsia="Calibri" w:hAnsi="Verdana" w:cs="Arial"/>
                <w:b/>
                <w:color w:val="000000"/>
                <w:lang w:eastAsia="es-ES_tradnl"/>
              </w:rPr>
              <w:t>Temas:</w:t>
            </w:r>
            <w:r w:rsidRPr="00D40DFB">
              <w:rPr>
                <w:rFonts w:ascii="Verdana" w:eastAsia="Calibri" w:hAnsi="Verdana" w:cs="Arial"/>
                <w:color w:val="000000"/>
                <w:lang w:eastAsia="es-ES_tradnl"/>
              </w:rPr>
              <w:t xml:space="preserve">                   </w:t>
            </w:r>
          </w:p>
        </w:tc>
        <w:tc>
          <w:tcPr>
            <w:tcW w:w="6183" w:type="dxa"/>
          </w:tcPr>
          <w:p w14:paraId="22951C8E" w14:textId="77777777" w:rsidR="00D40DFB" w:rsidRPr="00D40DFB" w:rsidRDefault="00D40DFB" w:rsidP="00D40DFB">
            <w:pPr>
              <w:jc w:val="both"/>
              <w:rPr>
                <w:rFonts w:ascii="Verdana" w:eastAsia="Calibri" w:hAnsi="Verdana" w:cs="Arial"/>
                <w:color w:val="000000"/>
                <w:kern w:val="2"/>
                <w:lang w:val="es-ES_tradnl"/>
                <w14:ligatures w14:val="standardContextual"/>
              </w:rPr>
            </w:pPr>
            <w:r w:rsidRPr="00D40DFB">
              <w:rPr>
                <w:rFonts w:ascii="Verdana" w:eastAsia="Aptos" w:hAnsi="Verdana" w:cs="Times New Roman"/>
                <w:color w:val="000000"/>
              </w:rPr>
              <w:t xml:space="preserve">DOCUMENTOS TIPO – Fundamento normativo – Obligatoriedad </w:t>
            </w:r>
            <w:r w:rsidRPr="00D40DFB">
              <w:rPr>
                <w:rFonts w:ascii="Verdana" w:eastAsia="Aptos" w:hAnsi="Verdana" w:cs="Times New Roman"/>
              </w:rPr>
              <w:t xml:space="preserve">/ </w:t>
            </w:r>
            <w:r w:rsidRPr="00D40DFB">
              <w:rPr>
                <w:rFonts w:ascii="Verdana" w:eastAsia="Calibri" w:hAnsi="Verdana" w:cs="Arial"/>
              </w:rPr>
              <w:t xml:space="preserve">INALTERABILIDAD – Documentos tipo – Infraestructura de transporte / </w:t>
            </w:r>
            <w:r w:rsidRPr="00D40DFB">
              <w:rPr>
                <w:rFonts w:ascii="Verdana" w:eastAsia="Calibri" w:hAnsi="Verdana" w:cs="Times New Roman"/>
                <w:lang w:val="es-ES"/>
              </w:rPr>
              <w:t xml:space="preserve">APLICACIÓN – Documentos tipo – </w:t>
            </w:r>
            <w:r w:rsidRPr="00D40DFB">
              <w:rPr>
                <w:rFonts w:ascii="Verdana" w:eastAsia="Calibri" w:hAnsi="Verdana" w:cs="Arial"/>
              </w:rPr>
              <w:t xml:space="preserve">Infraestructura de transporte – Mínima cuantía / </w:t>
            </w:r>
            <w:r w:rsidRPr="00D40DFB">
              <w:rPr>
                <w:rFonts w:ascii="Verdana" w:eastAsia="Aptos" w:hAnsi="Verdana" w:cs="Arial"/>
                <w:color w:val="000000"/>
              </w:rPr>
              <w:t xml:space="preserve">DOCUMENTOS TIPO – Mínima cuantía – Matriz 1 – Experiencia – Actividades – Alumbrado público / </w:t>
            </w:r>
            <w:r w:rsidRPr="00D40DFB">
              <w:rPr>
                <w:rFonts w:ascii="Verdana" w:eastAsia="Calibri" w:hAnsi="Verdana" w:cs="Arial"/>
                <w:color w:val="000000"/>
                <w:kern w:val="2"/>
                <w:lang w:val="es-ES_tradnl"/>
                <w14:ligatures w14:val="standardContextual"/>
              </w:rPr>
              <w:t>INSTALACIÓN – Obra – Contrato mixto – Prestación principal</w:t>
            </w:r>
            <w:r w:rsidRPr="00D40DFB">
              <w:rPr>
                <w:rFonts w:ascii="Verdana" w:eastAsia="Calibri" w:hAnsi="Verdana" w:cs="Arial"/>
                <w:color w:val="000000"/>
                <w:lang w:val="es-ES_tradnl"/>
              </w:rPr>
              <w:t xml:space="preserve"> / </w:t>
            </w:r>
            <w:r w:rsidRPr="00D40DFB">
              <w:rPr>
                <w:rFonts w:ascii="Verdana" w:eastAsia="Calibri" w:hAnsi="Verdana" w:cs="Arial"/>
                <w:color w:val="000000"/>
                <w:kern w:val="2"/>
                <w:lang w:val="es-ES_tradnl"/>
                <w14:ligatures w14:val="standardContextual"/>
              </w:rPr>
              <w:t xml:space="preserve">INSTALACIÓN – Obra – Aplicación – Documentos tipo – Sector </w:t>
            </w:r>
            <w:r w:rsidRPr="00D40DFB">
              <w:rPr>
                <w:rFonts w:ascii="Verdana" w:eastAsia="Calibri" w:hAnsi="Verdana" w:cs="Arial"/>
                <w:color w:val="000000"/>
                <w:lang w:val="es-ES_tradnl"/>
              </w:rPr>
              <w:t>Transporte</w:t>
            </w:r>
          </w:p>
          <w:p w14:paraId="4D7539A5" w14:textId="77777777" w:rsidR="00D40DFB" w:rsidRPr="00D40DFB" w:rsidRDefault="00D40DFB" w:rsidP="00D40DFB">
            <w:pPr>
              <w:snapToGrid w:val="0"/>
              <w:jc w:val="both"/>
              <w:rPr>
                <w:rFonts w:ascii="Verdana" w:eastAsia="Calibri" w:hAnsi="Verdana" w:cs="Arial"/>
                <w:lang w:eastAsia="es-ES"/>
              </w:rPr>
            </w:pPr>
          </w:p>
        </w:tc>
      </w:tr>
      <w:tr w:rsidR="00D40DFB" w:rsidRPr="00D40DFB" w14:paraId="55814645" w14:textId="77777777" w:rsidTr="005672E7">
        <w:trPr>
          <w:trHeight w:val="556"/>
        </w:trPr>
        <w:tc>
          <w:tcPr>
            <w:tcW w:w="2725" w:type="dxa"/>
          </w:tcPr>
          <w:p w14:paraId="6DCD9D51" w14:textId="77777777" w:rsidR="00D40DFB" w:rsidRPr="00D40DFB" w:rsidRDefault="00D40DFB" w:rsidP="00D40DFB">
            <w:pPr>
              <w:jc w:val="both"/>
              <w:rPr>
                <w:rFonts w:ascii="Verdana" w:eastAsia="Calibri" w:hAnsi="Verdana" w:cs="Arial"/>
                <w:b/>
                <w:bCs/>
                <w:lang w:eastAsia="es-ES_tradnl"/>
              </w:rPr>
            </w:pPr>
            <w:r w:rsidRPr="00D40DFB">
              <w:rPr>
                <w:rFonts w:ascii="Verdana" w:eastAsia="Calibri" w:hAnsi="Verdana" w:cs="Arial"/>
                <w:b/>
                <w:bCs/>
                <w:lang w:eastAsia="es-ES_tradnl"/>
              </w:rPr>
              <w:t xml:space="preserve">Radicación:               </w:t>
            </w:r>
          </w:p>
        </w:tc>
        <w:tc>
          <w:tcPr>
            <w:tcW w:w="6183" w:type="dxa"/>
          </w:tcPr>
          <w:p w14:paraId="04193134" w14:textId="77777777" w:rsidR="00D40DFB" w:rsidRPr="00D40DFB" w:rsidRDefault="00D40DFB" w:rsidP="00D40DFB">
            <w:pPr>
              <w:snapToGrid w:val="0"/>
              <w:jc w:val="both"/>
              <w:rPr>
                <w:rFonts w:ascii="Verdana" w:eastAsia="Calibri" w:hAnsi="Verdana" w:cs="Arial"/>
                <w:lang w:eastAsia="es-ES_tradnl"/>
              </w:rPr>
            </w:pPr>
            <w:r w:rsidRPr="00D40DFB">
              <w:rPr>
                <w:rFonts w:ascii="Verdana" w:eastAsia="Calibri" w:hAnsi="Verdana" w:cs="Arial"/>
                <w:lang w:eastAsia="es-ES_tradnl"/>
              </w:rPr>
              <w:t xml:space="preserve">Respuesta a consulta con radicado No. </w:t>
            </w:r>
            <w:r w:rsidRPr="00D40DFB">
              <w:rPr>
                <w:rFonts w:ascii="Verdana" w:eastAsia="Calibri" w:hAnsi="Verdana" w:cs="Vrinda"/>
                <w:color w:val="000000"/>
                <w:lang w:val="es-ES_tradnl" w:eastAsia="es-ES_tradnl"/>
              </w:rPr>
              <w:t>1_2026_07_21_009563</w:t>
            </w:r>
          </w:p>
        </w:tc>
      </w:tr>
    </w:tbl>
    <w:p w14:paraId="5B71AF9D" w14:textId="77777777" w:rsidR="00D40DFB" w:rsidRPr="00D40DFB" w:rsidRDefault="00D40DFB" w:rsidP="00D40DFB">
      <w:pPr>
        <w:spacing w:after="0" w:line="240" w:lineRule="auto"/>
        <w:jc w:val="both"/>
        <w:rPr>
          <w:rFonts w:ascii="Verdana" w:eastAsia="Calibri" w:hAnsi="Verdana" w:cs="Arial"/>
          <w:b/>
          <w:bCs/>
          <w:lang w:eastAsia="es-ES"/>
        </w:rPr>
      </w:pPr>
      <w:r w:rsidRPr="00D40DFB">
        <w:rPr>
          <w:rFonts w:ascii="Verdana" w:eastAsia="Calibri" w:hAnsi="Verdana" w:cs="Arial"/>
          <w:b/>
          <w:bCs/>
          <w:lang w:eastAsia="es-ES"/>
        </w:rPr>
        <w:tab/>
      </w:r>
    </w:p>
    <w:p w14:paraId="336AFF1D" w14:textId="77777777" w:rsidR="00D40DFB" w:rsidRPr="00D40DFB" w:rsidRDefault="00D40DFB" w:rsidP="00D40DFB">
      <w:pPr>
        <w:spacing w:after="0" w:line="240" w:lineRule="auto"/>
        <w:jc w:val="both"/>
        <w:rPr>
          <w:rFonts w:ascii="Verdana" w:eastAsia="Aptos" w:hAnsi="Verdana" w:cs="Times New Roman"/>
          <w:b/>
          <w:bCs/>
          <w:kern w:val="2"/>
          <w14:ligatures w14:val="standardContextual"/>
        </w:rPr>
      </w:pPr>
      <w:r w:rsidRPr="00D40DFB">
        <w:rPr>
          <w:rFonts w:ascii="Verdana" w:eastAsia="Calibri" w:hAnsi="Verdana" w:cs="Vrinda"/>
          <w:lang w:val="es-ES" w:eastAsia="es-ES"/>
        </w:rPr>
        <w:t xml:space="preserve">Estimado señor </w:t>
      </w:r>
      <w:r w:rsidRPr="00D40DFB">
        <w:rPr>
          <w:rFonts w:ascii="Verdana" w:eastAsia="Aptos" w:hAnsi="Verdana" w:cs="Times New Roman"/>
          <w:kern w:val="2"/>
          <w14:ligatures w14:val="standardContextual"/>
        </w:rPr>
        <w:t>Rojas:</w:t>
      </w:r>
    </w:p>
    <w:p w14:paraId="2AC9D6A6" w14:textId="77777777" w:rsidR="00D40DFB" w:rsidRPr="00D40DFB" w:rsidRDefault="00D40DFB" w:rsidP="00D40DFB">
      <w:pPr>
        <w:spacing w:after="0" w:line="240" w:lineRule="auto"/>
        <w:jc w:val="both"/>
        <w:rPr>
          <w:rFonts w:ascii="Verdana" w:eastAsia="Aptos" w:hAnsi="Verdana" w:cs="Times New Roman"/>
          <w:b/>
          <w:bCs/>
          <w:kern w:val="2"/>
          <w14:ligatures w14:val="standardContextual"/>
        </w:rPr>
      </w:pPr>
    </w:p>
    <w:p w14:paraId="1C3C735A" w14:textId="77777777" w:rsidR="00D40DFB" w:rsidRPr="00D40DFB" w:rsidRDefault="00D40DFB" w:rsidP="00D40DFB">
      <w:pPr>
        <w:spacing w:after="0" w:line="276" w:lineRule="auto"/>
        <w:jc w:val="both"/>
        <w:rPr>
          <w:rFonts w:ascii="Verdana" w:eastAsia="Calibri" w:hAnsi="Verdana" w:cs="Arial"/>
          <w:lang w:val="es-ES" w:eastAsia="es-ES"/>
        </w:rPr>
      </w:pPr>
      <w:r w:rsidRPr="00D40DFB">
        <w:rPr>
          <w:rFonts w:ascii="Verdana" w:eastAsia="Calibri" w:hAnsi="Verdana" w:cs="Arial"/>
          <w:lang w:val="es-ES" w:eastAsia="es-ES"/>
        </w:rPr>
        <w:t>En ejercicio de la competencia otorgada por los artículos 3, numeral 5º, y 11, numeral 8º, del Decreto Ley 4170 de 2011,</w:t>
      </w:r>
      <w:r w:rsidRPr="00D40DFB">
        <w:rPr>
          <w:rFonts w:ascii="Verdana" w:eastAsia="Arial MT" w:hAnsi="Verdana" w:cs="Arial MT"/>
          <w:lang w:val="es-ES" w:eastAsia="es-ES"/>
        </w:rPr>
        <w:t xml:space="preserve"> </w:t>
      </w:r>
      <w:r w:rsidRPr="00D40DFB">
        <w:rPr>
          <w:rFonts w:ascii="Verdana" w:eastAsia="Calibri" w:hAnsi="Verdana" w:cs="Arial"/>
          <w:lang w:eastAsia="es-MX"/>
        </w:rPr>
        <w:t xml:space="preserve">así como lo establecido por la </w:t>
      </w:r>
      <w:r w:rsidRPr="00D40DFB">
        <w:rPr>
          <w:rFonts w:ascii="Verdana" w:eastAsia="Aptos" w:hAnsi="Verdana" w:cs="Arial"/>
          <w:bCs/>
          <w:lang w:eastAsia="es-ES" w:bidi="es-ES"/>
        </w:rPr>
        <w:t>Resolución 469 de 2025 expedida por esta Entidad</w:t>
      </w:r>
      <w:r w:rsidRPr="00D40DFB">
        <w:rPr>
          <w:rFonts w:ascii="Verdana" w:eastAsia="Calibri" w:hAnsi="Verdana" w:cs="Arial"/>
          <w:lang w:eastAsia="es-MX"/>
        </w:rPr>
        <w:t xml:space="preserve">, </w:t>
      </w:r>
      <w:r w:rsidRPr="00D40DFB">
        <w:rPr>
          <w:rFonts w:ascii="Verdana" w:eastAsia="Calibri" w:hAnsi="Verdana" w:cs="Arial"/>
          <w:lang w:val="es-ES" w:eastAsia="es-ES"/>
        </w:rPr>
        <w:t xml:space="preserve">la Agencia Nacional de Contratación Pública – Colombia Compra Eficiente– responde su solicitud de consulta del 18 de julio de 2026, en la cual manifiesta lo siguiente: </w:t>
      </w:r>
    </w:p>
    <w:p w14:paraId="5621FD64" w14:textId="77777777" w:rsidR="00D40DFB" w:rsidRPr="00D40DFB" w:rsidRDefault="00D40DFB" w:rsidP="00D40DFB">
      <w:pPr>
        <w:spacing w:after="0" w:line="276" w:lineRule="auto"/>
        <w:jc w:val="both"/>
        <w:rPr>
          <w:rFonts w:ascii="Verdana" w:eastAsia="Calibri" w:hAnsi="Verdana" w:cs="Vrinda"/>
          <w:lang w:val="es-ES" w:eastAsia="es-ES"/>
        </w:rPr>
      </w:pPr>
    </w:p>
    <w:p w14:paraId="7102B9EB" w14:textId="77777777" w:rsidR="00D40DFB" w:rsidRPr="00D40DFB" w:rsidRDefault="00D40DFB" w:rsidP="00D40DF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line="240" w:lineRule="auto"/>
        <w:ind w:left="709" w:right="709"/>
        <w:jc w:val="both"/>
        <w:rPr>
          <w:rFonts w:ascii="Verdana" w:eastAsia="Aptos" w:hAnsi="Verdana" w:cs="Arial"/>
          <w:color w:val="000000"/>
          <w:sz w:val="20"/>
          <w:szCs w:val="20"/>
          <w:lang w:val="es-MX"/>
          <w14:ligatures w14:val="standardContextual"/>
        </w:rPr>
      </w:pPr>
      <w:r w:rsidRPr="00D40DFB">
        <w:rPr>
          <w:rFonts w:ascii="Verdana" w:eastAsia="Aptos" w:hAnsi="Verdana" w:cs="Arial"/>
          <w:color w:val="000000"/>
          <w:sz w:val="20"/>
          <w:szCs w:val="20"/>
          <w:lang w:val="es-MX"/>
          <w14:ligatures w14:val="standardContextual"/>
        </w:rPr>
        <w:t>“</w:t>
      </w:r>
      <w:r w:rsidRPr="00D40DFB">
        <w:rPr>
          <w:rFonts w:ascii="Verdana" w:eastAsia="Aptos" w:hAnsi="Verdana" w:cs="Times New Roman"/>
          <w:kern w:val="2"/>
          <w:sz w:val="20"/>
          <w:szCs w:val="20"/>
          <w14:ligatures w14:val="standardContextual"/>
        </w:rPr>
        <w:t xml:space="preserve">Atención de solicitudes por novedades en los procesos de Contratación Descripción: Asunto: Solicitud de concepto sobre la obligatoriedad de aplicar Documentos Tipo de Obra Pública frente a proyectos de modernización tecnológica e instalación de luminarias LED de Alumbrado Público en infraestructura existente. Peticionario: FUNDACIÓN MAS DEMOCRACIA (NIT 900759473-3), actuando a través de su Representante Legal, JULIANA ANDREA MONTILLA SAMBONI.I. ANTECEDENTES Y CONTEXTO1.Una Entidad Estatal del orden municipal requiere adelantar </w:t>
      </w:r>
      <w:r w:rsidRPr="00D40DFB">
        <w:rPr>
          <w:rFonts w:ascii="Verdana" w:eastAsia="Aptos" w:hAnsi="Verdana" w:cs="Times New Roman"/>
          <w:kern w:val="2"/>
          <w:sz w:val="20"/>
          <w:szCs w:val="20"/>
          <w14:ligatures w14:val="standardContextual"/>
        </w:rPr>
        <w:lastRenderedPageBreak/>
        <w:t xml:space="preserve">un proceso de contratación cuyo objeto es la modernización tecnológica, cambio y puesta en funcionamiento de lámparas y luminarias de Alumbrado Público en el casco urbano.2.El alcance técnico de las actividades se limita exclusivamente al desmonte de luminarias obsoletas (sodio) y al acople/conexión de nuevas luminarias de tecnología LED sobre los brazos metálicos y postes existentes. El proyecto no contempla la expansión de redes eléctricas, canalizaciones subterráneas, </w:t>
      </w:r>
      <w:proofErr w:type="spellStart"/>
      <w:r w:rsidRPr="00D40DFB">
        <w:rPr>
          <w:rFonts w:ascii="Verdana" w:eastAsia="Aptos" w:hAnsi="Verdana" w:cs="Times New Roman"/>
          <w:kern w:val="2"/>
          <w:sz w:val="20"/>
          <w:szCs w:val="20"/>
          <w14:ligatures w14:val="standardContextual"/>
        </w:rPr>
        <w:t>postería</w:t>
      </w:r>
      <w:proofErr w:type="spellEnd"/>
      <w:r w:rsidRPr="00D40DFB">
        <w:rPr>
          <w:rFonts w:ascii="Verdana" w:eastAsia="Aptos" w:hAnsi="Verdana" w:cs="Times New Roman"/>
          <w:kern w:val="2"/>
          <w:sz w:val="20"/>
          <w:szCs w:val="20"/>
          <w14:ligatures w14:val="standardContextual"/>
        </w:rPr>
        <w:t xml:space="preserve"> nueva ni obras civiles de excavación en las vías públicas.3.El análisis financiero del presupuesto oficial arroja que el criterio de preponderancia económica reside en la adquisición de los bienes muebles (las luminarias LED de alumbrado público codificadas bajo el clasificador UNSPSC en el segmento 39), representando más del 75% del valor total del contrato, mientras que la mano de obra para el simple montaje físico sobre la </w:t>
      </w:r>
      <w:proofErr w:type="spellStart"/>
      <w:r w:rsidRPr="00D40DFB">
        <w:rPr>
          <w:rFonts w:ascii="Verdana" w:eastAsia="Aptos" w:hAnsi="Verdana" w:cs="Times New Roman"/>
          <w:kern w:val="2"/>
          <w:sz w:val="20"/>
          <w:szCs w:val="20"/>
          <w14:ligatures w14:val="standardContextual"/>
        </w:rPr>
        <w:t>postería</w:t>
      </w:r>
      <w:proofErr w:type="spellEnd"/>
      <w:r w:rsidRPr="00D40DFB">
        <w:rPr>
          <w:rFonts w:ascii="Verdana" w:eastAsia="Aptos" w:hAnsi="Verdana" w:cs="Times New Roman"/>
          <w:kern w:val="2"/>
          <w:sz w:val="20"/>
          <w:szCs w:val="20"/>
          <w14:ligatures w14:val="standardContextual"/>
        </w:rPr>
        <w:t xml:space="preserve"> existente representa el porcentaje restante.4.El asesor jurídico del proceso sostiene que el proyecto debe encauzarse obligatoriamente bajo los Documentos Tipo de Mínima Cuantía de Obra Pública (bajo el argumento de que intervenir redes eléctricas constituye un trabajo material sobre un bien de uso público). Por el contrario, los proponentes manifestamos que el negocio jurídico se tipifica bajo un Contrato de Suministro con Obligación Accesoria de Instalación, lo que eximiría al proceso de la aplicación de los rígidos Pliegos Tipo de infraestructura civil. II. PROBLEMA JURÍDICO (DUDAS A RESOLVER)Con fundamento en los antecedentes expuestos, solicitamos respetuosamente a la Agencia emitir pronunciamiento vinculante respecto a los siguientes interrogantes:1.¿Está obligada una Entidad Estatal a aplicar los Documentos Tipo de Obra Pública cuando el objeto contractual se limita estrictamente al suministro e instalación de luminarias de alumbrado público LED sobre postes y redes preexistentes dentro del casco urbano, sin que existan obras de expansión o excavación civil?2.De conformidad con el criterio de preponderancia económica fijado por Colombia Compra Eficiente, si el valor comercial de las luminarias de alumbrado público representa el mayor porcentaje del presupuesto frente al costo de la mano de obra de su montaje, ¿el contrato debe tipificarse legalmente como Suministro con Instalación o como Obra Pública?3.En caso de que la entidad estatal decida tramitar el proceso bajo la modalidad de Obra Pública (usando los documentos tipo de infraestructura), ¿es legalmente válido que los proponentes acrediten la experiencia específica en redes o sistemas de iluminación en el espacio público mediante contratos anteriores que hayan sido ejecutados, liquidados y denominados bajo la tipología de Contratos de Suministro con Instalación?</w:t>
      </w:r>
      <w:r w:rsidRPr="00D40DFB">
        <w:rPr>
          <w:rFonts w:ascii="Verdana" w:eastAsia="Aptos" w:hAnsi="Verdana" w:cs="Arial"/>
          <w:color w:val="000000"/>
          <w:sz w:val="20"/>
          <w:szCs w:val="20"/>
          <w:lang w:val="es-MX"/>
          <w14:ligatures w14:val="standardContextual"/>
        </w:rPr>
        <w:t xml:space="preserve">”. </w:t>
      </w:r>
    </w:p>
    <w:p w14:paraId="10A36F59" w14:textId="77777777" w:rsidR="00D40DFB" w:rsidRPr="00D40DFB" w:rsidRDefault="00D40DFB" w:rsidP="00D40DFB">
      <w:pPr>
        <w:spacing w:after="0" w:line="240" w:lineRule="auto"/>
        <w:jc w:val="both"/>
        <w:rPr>
          <w:rFonts w:ascii="Verdana" w:eastAsia="Calibri" w:hAnsi="Verdana" w:cs="Arial"/>
          <w:color w:val="000000"/>
          <w:sz w:val="21"/>
          <w:szCs w:val="21"/>
          <w:lang w:eastAsia="es-ES"/>
        </w:rPr>
      </w:pPr>
    </w:p>
    <w:p w14:paraId="68F37049" w14:textId="77777777" w:rsidR="00D40DFB" w:rsidRPr="00D40DFB" w:rsidRDefault="00D40DFB" w:rsidP="00D40DFB">
      <w:pPr>
        <w:spacing w:after="120" w:line="276" w:lineRule="auto"/>
        <w:ind w:firstLine="709"/>
        <w:jc w:val="both"/>
        <w:rPr>
          <w:rFonts w:ascii="Verdana" w:eastAsia="Calibri" w:hAnsi="Verdana" w:cs="Arial"/>
          <w:color w:val="000000"/>
          <w:lang w:eastAsia="es-ES"/>
        </w:rPr>
      </w:pPr>
      <w:r w:rsidRPr="00D40DFB">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w:t>
      </w:r>
      <w:r w:rsidRPr="00D40DFB">
        <w:rPr>
          <w:rFonts w:ascii="Verdana" w:eastAsia="Calibri" w:hAnsi="Verdana" w:cs="Arial"/>
          <w:color w:val="000000"/>
          <w:lang w:eastAsia="es-ES"/>
        </w:rPr>
        <w:lastRenderedPageBreak/>
        <w:t xml:space="preserve">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40DFB">
        <w:rPr>
          <w:rFonts w:ascii="Verdana" w:eastAsia="Calibri" w:hAnsi="Verdana" w:cs="Arial"/>
          <w:color w:val="000000"/>
          <w:lang w:eastAsia="es-ES"/>
        </w:rPr>
        <w:tab/>
      </w:r>
    </w:p>
    <w:p w14:paraId="5E27A13F" w14:textId="77777777" w:rsidR="00D40DFB" w:rsidRPr="00D40DFB" w:rsidRDefault="00D40DFB" w:rsidP="00D40DFB">
      <w:pPr>
        <w:spacing w:after="0" w:line="276" w:lineRule="auto"/>
        <w:ind w:firstLine="709"/>
        <w:jc w:val="both"/>
        <w:rPr>
          <w:rFonts w:ascii="Verdana" w:eastAsia="Calibri" w:hAnsi="Verdana" w:cs="Arial"/>
          <w:color w:val="000000"/>
          <w:lang w:eastAsia="es-ES"/>
        </w:rPr>
      </w:pPr>
      <w:r w:rsidRPr="00D40DFB">
        <w:rPr>
          <w:rFonts w:ascii="Verdana" w:eastAsia="Calibri" w:hAnsi="Verdana" w:cs="Arial"/>
          <w:color w:val="000000"/>
          <w:lang w:eastAsia="es-ES"/>
        </w:rPr>
        <w:t>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p>
    <w:p w14:paraId="3161C9FA" w14:textId="77777777" w:rsidR="00D40DFB" w:rsidRPr="00D40DFB" w:rsidRDefault="00D40DFB" w:rsidP="00D40DFB">
      <w:pPr>
        <w:spacing w:after="0" w:line="276" w:lineRule="auto"/>
        <w:jc w:val="both"/>
        <w:rPr>
          <w:rFonts w:ascii="Verdana" w:eastAsia="Calibri" w:hAnsi="Verdana" w:cs="Arial"/>
          <w:color w:val="000000"/>
          <w:lang w:eastAsia="es-ES"/>
        </w:rPr>
      </w:pPr>
    </w:p>
    <w:p w14:paraId="0F8E385E" w14:textId="77777777" w:rsidR="00D40DFB" w:rsidRPr="00D40DFB" w:rsidRDefault="00D40DFB" w:rsidP="00D40DFB">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D40DFB">
        <w:rPr>
          <w:rFonts w:ascii="Verdana" w:eastAsia="Century Gothic" w:hAnsi="Verdana" w:cs="Century Gothic"/>
          <w:b/>
          <w:bCs/>
        </w:rPr>
        <w:t>Problema planteado:</w:t>
      </w:r>
    </w:p>
    <w:p w14:paraId="5E1518A2" w14:textId="77777777" w:rsidR="00D40DFB" w:rsidRPr="00D40DFB" w:rsidRDefault="00D40DFB" w:rsidP="00D40DFB">
      <w:pPr>
        <w:tabs>
          <w:tab w:val="left" w:pos="142"/>
          <w:tab w:val="left" w:pos="284"/>
        </w:tabs>
        <w:spacing w:after="0" w:line="276" w:lineRule="auto"/>
        <w:jc w:val="both"/>
        <w:rPr>
          <w:rFonts w:ascii="Verdana" w:eastAsia="Century Gothic" w:hAnsi="Verdana" w:cs="Century Gothic"/>
          <w:b/>
          <w:bCs/>
        </w:rPr>
      </w:pPr>
    </w:p>
    <w:p w14:paraId="6A5ED850" w14:textId="77777777" w:rsidR="00D40DFB" w:rsidRPr="00D40DFB" w:rsidRDefault="00D40DFB" w:rsidP="00D40DFB">
      <w:pPr>
        <w:spacing w:after="0" w:line="276" w:lineRule="auto"/>
        <w:jc w:val="both"/>
        <w:rPr>
          <w:rFonts w:ascii="Verdana" w:eastAsia="Calibri" w:hAnsi="Verdana" w:cs="Arial"/>
          <w:bCs/>
          <w:kern w:val="2"/>
          <w:lang w:val="es-ES_tradnl" w:eastAsia="es-ES_tradnl"/>
          <w14:ligatures w14:val="standardContextual"/>
        </w:rPr>
      </w:pPr>
      <w:r w:rsidRPr="00D40DFB">
        <w:rPr>
          <w:rFonts w:ascii="Verdana" w:eastAsia="Century Gothic" w:hAnsi="Verdana" w:cs="Century Gothic"/>
        </w:rPr>
        <w:t xml:space="preserve">De acuerdo con el contenido de su solicitud, en relación con los </w:t>
      </w:r>
      <w:r w:rsidRPr="00D40DFB">
        <w:rPr>
          <w:rFonts w:ascii="Verdana" w:eastAsia="Aptos" w:hAnsi="Verdana" w:cs="Times New Roman"/>
        </w:rPr>
        <w:t xml:space="preserve">documentos tipo de mínima cuantía de obra pública de infraestructura de transporte, </w:t>
      </w:r>
      <w:r w:rsidRPr="00D40DFB">
        <w:rPr>
          <w:rFonts w:ascii="Verdana" w:eastAsia="Century Gothic" w:hAnsi="Verdana" w:cs="Century Gothic"/>
        </w:rPr>
        <w:t xml:space="preserve">esta Agencia resolverá los siguientes problemas jurídicos: i) ¿Aplican los documentos tipo referidos para realizar actividades sobre alumbrado público? y </w:t>
      </w:r>
      <w:proofErr w:type="spellStart"/>
      <w:r w:rsidRPr="00D40DFB">
        <w:rPr>
          <w:rFonts w:ascii="Verdana" w:eastAsia="Century Gothic" w:hAnsi="Verdana" w:cs="Century Gothic"/>
        </w:rPr>
        <w:t>ii</w:t>
      </w:r>
      <w:proofErr w:type="spellEnd"/>
      <w:r w:rsidRPr="00D40DFB">
        <w:rPr>
          <w:rFonts w:ascii="Verdana" w:eastAsia="Century Gothic" w:hAnsi="Verdana" w:cs="Century Gothic"/>
        </w:rPr>
        <w:t xml:space="preserve">) </w:t>
      </w:r>
      <w:r w:rsidRPr="00D40DFB">
        <w:rPr>
          <w:rFonts w:ascii="Verdana" w:eastAsia="Times New Roman" w:hAnsi="Verdana" w:cs="Times New Roman"/>
          <w:color w:val="000000"/>
          <w:kern w:val="2"/>
          <w:lang w:eastAsia="es-CO"/>
          <w14:ligatures w14:val="standardContextual"/>
        </w:rPr>
        <w:t>¿Toda instalación de luminarias sobre alumbrado público es constitutiva de un contrato de obra pública para efectos de la aplicación de los documentos tipo referidos?</w:t>
      </w:r>
    </w:p>
    <w:p w14:paraId="539D709E" w14:textId="77777777" w:rsidR="00D40DFB" w:rsidRPr="00D40DFB" w:rsidRDefault="00D40DFB" w:rsidP="00D40DFB">
      <w:pPr>
        <w:spacing w:after="0" w:line="276" w:lineRule="auto"/>
        <w:jc w:val="both"/>
        <w:rPr>
          <w:rFonts w:ascii="Verdana" w:eastAsia="Calibri" w:hAnsi="Verdana" w:cs="Arial"/>
          <w:color w:val="7030A0"/>
          <w:lang w:val="es-ES_tradnl"/>
        </w:rPr>
      </w:pPr>
    </w:p>
    <w:p w14:paraId="59F64B64" w14:textId="77777777" w:rsidR="00D40DFB" w:rsidRPr="00D40DFB" w:rsidRDefault="00D40DFB" w:rsidP="00D40DFB">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D40DFB">
        <w:rPr>
          <w:rFonts w:ascii="Verdana" w:eastAsia="Century Gothic" w:hAnsi="Verdana" w:cs="Century Gothic"/>
          <w:b/>
          <w:bCs/>
        </w:rPr>
        <w:t>Respuesta:</w:t>
      </w:r>
    </w:p>
    <w:p w14:paraId="58B72E0B" w14:textId="77777777" w:rsidR="00D40DFB" w:rsidRPr="00D40DFB" w:rsidRDefault="00D40DFB" w:rsidP="00D40DFB">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40DFB" w:rsidRPr="00D40DFB" w14:paraId="56C0B876" w14:textId="77777777" w:rsidTr="005672E7">
        <w:tc>
          <w:tcPr>
            <w:tcW w:w="8828" w:type="dxa"/>
          </w:tcPr>
          <w:p w14:paraId="066E395C" w14:textId="77777777" w:rsidR="00D40DFB" w:rsidRPr="00D40DFB" w:rsidRDefault="00D40DFB" w:rsidP="00D40DFB">
            <w:pPr>
              <w:snapToGrid w:val="0"/>
              <w:spacing w:after="120" w:line="276" w:lineRule="auto"/>
              <w:jc w:val="both"/>
              <w:rPr>
                <w:rFonts w:ascii="Verdana" w:eastAsia="Calibri" w:hAnsi="Verdana" w:cs="Times New Roman"/>
                <w:lang w:val="es-ES"/>
              </w:rPr>
            </w:pPr>
            <w:r w:rsidRPr="00D40DFB">
              <w:rPr>
                <w:rFonts w:ascii="Verdana" w:eastAsia="Times New Roman" w:hAnsi="Verdana" w:cs="Arial"/>
                <w:shd w:val="clear" w:color="auto" w:fill="FFFFFF"/>
                <w:lang w:val="es-ES" w:eastAsia="es-ES"/>
              </w:rPr>
              <w:t xml:space="preserve">i. </w:t>
            </w:r>
            <w:r w:rsidRPr="00D40DFB">
              <w:rPr>
                <w:rFonts w:ascii="Verdana" w:eastAsia="Calibri" w:hAnsi="Verdana" w:cs="Times New Roman"/>
                <w:lang w:val="es-ES"/>
              </w:rPr>
              <w:t>La parte introductoria de la invitación de los documentos tipo adoptados por medio de la Resolución 464 del 10 de septiembre de 2024, dispone que estos aplican a</w:t>
            </w:r>
            <w:r w:rsidRPr="00D40DFB">
              <w:rPr>
                <w:rFonts w:ascii="Verdana" w:eastAsia="Cambria Math" w:hAnsi="Verdana" w:cs="Arial"/>
                <w:color w:val="000000"/>
              </w:rPr>
              <w:t xml:space="preserve"> los procesos de mínima cuantía de obra pública de infraestructura de transporte que correspondan a las actividades definidas en la Matriz 1 – Experiencia</w:t>
            </w:r>
            <w:r w:rsidRPr="00D40DFB">
              <w:rPr>
                <w:rFonts w:ascii="Verdana" w:eastAsia="Calibri" w:hAnsi="Verdana" w:cs="Times New Roman"/>
                <w:lang w:val="es-ES"/>
              </w:rPr>
              <w:t>. En consecuencia, las actividades de infraestructura de transporte no contempladas en la Matriz 1 – Experiencia no tienen que aplicar los documentos tipo; sin perjuicio de lo previsto en el artículo 3 de la Resolución 464 de 2024, en donde se indica la posibilidad de exigir experiencia adicional en determinados supuestos.</w:t>
            </w:r>
          </w:p>
          <w:p w14:paraId="4D9B3E56" w14:textId="77777777" w:rsidR="00D40DFB" w:rsidRPr="00D40DFB" w:rsidRDefault="00D40DFB" w:rsidP="00D40DFB">
            <w:pPr>
              <w:snapToGrid w:val="0"/>
              <w:spacing w:after="120" w:line="276" w:lineRule="auto"/>
              <w:ind w:firstLine="644"/>
              <w:jc w:val="both"/>
              <w:rPr>
                <w:rFonts w:ascii="Verdana" w:eastAsia="Aptos" w:hAnsi="Verdana" w:cs="Arial"/>
                <w:color w:val="000000"/>
              </w:rPr>
            </w:pPr>
            <w:r w:rsidRPr="00D40DFB">
              <w:rPr>
                <w:rFonts w:ascii="Verdana" w:eastAsia="Aptos" w:hAnsi="Verdana" w:cs="Arial"/>
                <w:color w:val="000000"/>
              </w:rPr>
              <w:lastRenderedPageBreak/>
              <w:t xml:space="preserve"> </w:t>
            </w:r>
            <w:r w:rsidRPr="00D40DFB">
              <w:rPr>
                <w:rFonts w:ascii="Verdana" w:eastAsia="Aptos" w:hAnsi="Verdana" w:cs="Times New Roman"/>
              </w:rPr>
              <w:t>Teniendo en cuenta su consulta, previo a resolver los problemas jurídicos que plantea, le corresponde a esta Agencia determinar si los documentos tipo de mínima cuantía de obra pública de infraestructura de transporte resultan aplicables para realizar actividades sobre alumbrado público, particularmente la actividad de instalación de luminarias de Alumbrado Público.</w:t>
            </w:r>
            <w:r w:rsidRPr="00D40DFB">
              <w:rPr>
                <w:rFonts w:ascii="Verdana" w:eastAsia="Aptos" w:hAnsi="Verdana" w:cs="Arial"/>
                <w:color w:val="000000"/>
              </w:rPr>
              <w:t xml:space="preserve"> </w:t>
            </w:r>
            <w:r w:rsidRPr="00D40DFB">
              <w:rPr>
                <w:rFonts w:ascii="Verdana" w:eastAsia="Times New Roman" w:hAnsi="Verdana" w:cs="Times New Roman"/>
                <w:lang w:eastAsia="es-CO"/>
              </w:rPr>
              <w:t xml:space="preserve">En esta medida, corresponde verificar si el objeto a contratar es subsumible en alguna de las actividades contempladas en la Matriz 1 – Experiencia, para el respectivo tipo de obra. </w:t>
            </w:r>
          </w:p>
          <w:p w14:paraId="57B340C2" w14:textId="77777777" w:rsidR="00D40DFB" w:rsidRPr="00D40DFB" w:rsidRDefault="00D40DFB" w:rsidP="00D40DFB">
            <w:pPr>
              <w:snapToGrid w:val="0"/>
              <w:spacing w:line="276" w:lineRule="auto"/>
              <w:ind w:firstLine="644"/>
              <w:jc w:val="both"/>
              <w:rPr>
                <w:rFonts w:ascii="Verdana" w:eastAsia="Aptos" w:hAnsi="Verdana" w:cs="Times New Roman"/>
              </w:rPr>
            </w:pPr>
            <w:r w:rsidRPr="00D40DFB">
              <w:rPr>
                <w:rFonts w:ascii="Verdana" w:eastAsia="Aptos" w:hAnsi="Verdana" w:cs="Times New Roman"/>
              </w:rPr>
              <w:t xml:space="preserve">La Agencia Nacional de Contratación Pública – Colombia Compra Eficiente, en el concepto C-740 del 21 de julio de 2026, indicó que </w:t>
            </w:r>
            <w:r w:rsidRPr="00D40DFB">
              <w:rPr>
                <w:rFonts w:ascii="Verdana" w:eastAsia="Aptos" w:hAnsi="Verdana" w:cs="Times New Roman"/>
                <w:i/>
                <w:iCs/>
              </w:rPr>
              <w:t>“(…) no existe un documento tipo que de manera particular incluya las actividades de alumbrado público”.</w:t>
            </w:r>
            <w:r w:rsidRPr="00D40DFB">
              <w:rPr>
                <w:rFonts w:ascii="Verdana" w:eastAsia="Aptos" w:hAnsi="Verdana" w:cs="Times New Roman"/>
              </w:rPr>
              <w:t xml:space="preserve"> Sin perjuicio de lo anterior, le indicamos que, revisada la Matriz 1 – Experiencia de los documentos tipo adoptados mediante la Resolución No. 464 de 2024, se incluyen las siguientes actividades en las que eventualmente puede enmarcarse la actividad de instalación de luminarias de alumbrado público:</w:t>
            </w:r>
          </w:p>
          <w:p w14:paraId="12C83250" w14:textId="77777777" w:rsidR="00D40DFB" w:rsidRPr="00D40DFB" w:rsidRDefault="00D40DFB" w:rsidP="00D40DFB">
            <w:pPr>
              <w:snapToGrid w:val="0"/>
              <w:spacing w:line="276" w:lineRule="auto"/>
              <w:ind w:firstLine="644"/>
              <w:jc w:val="both"/>
              <w:rPr>
                <w:rFonts w:ascii="Verdana" w:eastAsia="Calibri" w:hAnsi="Verdana" w:cs="Arial"/>
                <w:color w:val="0D0D0D"/>
                <w:lang w:val="es-MX"/>
              </w:rPr>
            </w:pPr>
          </w:p>
          <w:p w14:paraId="253EE6C1" w14:textId="72CD6E07" w:rsidR="00D40DFB" w:rsidRPr="00D40DFB" w:rsidRDefault="00D40DFB" w:rsidP="00D40DFB">
            <w:pPr>
              <w:ind w:left="709" w:right="709"/>
              <w:jc w:val="both"/>
              <w:rPr>
                <w:rFonts w:ascii="Verdana" w:eastAsia="Calibri" w:hAnsi="Verdana" w:cs="Times New Roman"/>
                <w:kern w:val="2"/>
                <w:sz w:val="21"/>
                <w:szCs w:val="21"/>
                <w14:ligatures w14:val="standardContextual"/>
              </w:rPr>
            </w:pPr>
            <w:r w:rsidRPr="00D40DFB">
              <w:rPr>
                <w:rFonts w:ascii="Verdana" w:eastAsia="Calibri" w:hAnsi="Verdana" w:cs="Arial"/>
                <w:color w:val="0D0D0D"/>
                <w:sz w:val="21"/>
                <w:szCs w:val="21"/>
                <w:lang w:val="es-MX"/>
              </w:rPr>
              <w:t>“</w:t>
            </w:r>
            <w:r w:rsidRPr="00D40DFB">
              <w:rPr>
                <w:rFonts w:ascii="Verdana" w:eastAsia="Calibri" w:hAnsi="Verdana" w:cs="Times New Roman"/>
                <w:kern w:val="2"/>
                <w:sz w:val="21"/>
                <w:szCs w:val="21"/>
                <w14:ligatures w14:val="standardContextual"/>
              </w:rPr>
              <w:t>1.9. PROYECTOS DE INSTALACION O MANTENIMIENTO CORRECTIVO O MANTENIMIENTO PREVENTIVO O AMPLIACIÓN DE INFRAESTRUCTURA ELECTRICA ASOCIADA A LA INFRAESTRUCTURA DE TRANSPORTE EN VIAS PRIMARIAS O SECUNDARIAS.”</w:t>
            </w:r>
          </w:p>
          <w:p w14:paraId="79273CB9" w14:textId="77777777" w:rsidR="00D40DFB" w:rsidRPr="00D40DFB" w:rsidRDefault="00D40DFB" w:rsidP="00D40DFB">
            <w:pPr>
              <w:ind w:left="709" w:right="709"/>
              <w:jc w:val="both"/>
              <w:rPr>
                <w:rFonts w:ascii="Verdana" w:eastAsia="Calibri" w:hAnsi="Verdana" w:cs="Times New Roman"/>
                <w:kern w:val="2"/>
                <w:sz w:val="21"/>
                <w:szCs w:val="21"/>
                <w14:ligatures w14:val="standardContextual"/>
              </w:rPr>
            </w:pPr>
          </w:p>
          <w:p w14:paraId="71517167" w14:textId="4F3A4114" w:rsidR="00D40DFB" w:rsidRPr="00D40DFB" w:rsidRDefault="00D40DFB" w:rsidP="00D40DFB">
            <w:pPr>
              <w:ind w:left="709" w:right="709"/>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“2.6 PROYECTOS DE INSTALACION O MANTENIMIENTO CORRECTIVO O MANTENIMIENTO PREVENTIVO O AMPLIACIÓN DE INFRAESTRUCTURA ELECTRICA ASOCIADA A LA INFRAESTRUCTURA DE TRANSPORTE EN VIAS PRIMARIAS O SECUNDARIAS</w:t>
            </w:r>
            <w:r w:rsidRPr="00D40DFB">
              <w:rPr>
                <w:rFonts w:ascii="Verdana" w:eastAsia="Calibri" w:hAnsi="Verdana" w:cs="Arial"/>
                <w:color w:val="0D0D0D"/>
                <w:sz w:val="21"/>
                <w:szCs w:val="21"/>
              </w:rPr>
              <w:t xml:space="preserve">”. </w:t>
            </w:r>
          </w:p>
          <w:p w14:paraId="5C786158" w14:textId="77777777" w:rsidR="00D40DFB" w:rsidRPr="00D40DFB" w:rsidRDefault="00D40DFB" w:rsidP="00D40DFB">
            <w:pPr>
              <w:spacing w:line="276" w:lineRule="auto"/>
              <w:jc w:val="both"/>
              <w:rPr>
                <w:rFonts w:ascii="Verdana" w:eastAsia="Calibri" w:hAnsi="Verdana" w:cs="Arial"/>
                <w:color w:val="0D0D0D"/>
                <w:lang w:val="es-MX"/>
              </w:rPr>
            </w:pPr>
            <w:r w:rsidRPr="00D40DFB">
              <w:rPr>
                <w:rFonts w:ascii="Verdana" w:eastAsia="Calibri" w:hAnsi="Verdana" w:cs="Arial"/>
                <w:color w:val="0D0D0D"/>
                <w:lang w:val="es-MX"/>
              </w:rPr>
              <w:tab/>
            </w:r>
          </w:p>
          <w:p w14:paraId="113B6096" w14:textId="320B18B3" w:rsidR="00D40DFB" w:rsidRPr="00D40DFB" w:rsidRDefault="00D40DFB" w:rsidP="00D40DFB">
            <w:pPr>
              <w:spacing w:after="120" w:line="276" w:lineRule="auto"/>
              <w:jc w:val="both"/>
              <w:rPr>
                <w:rFonts w:ascii="Verdana" w:eastAsia="Calibri" w:hAnsi="Verdana" w:cs="Times New Roman"/>
                <w:kern w:val="2"/>
                <w14:ligatures w14:val="standardContextual"/>
              </w:rPr>
            </w:pPr>
            <w:r w:rsidRPr="00D40DFB">
              <w:rPr>
                <w:rFonts w:ascii="Verdana" w:eastAsia="Calibri" w:hAnsi="Verdana" w:cs="Arial"/>
                <w:color w:val="0D0D0D"/>
                <w:lang w:val="es-MX"/>
              </w:rPr>
              <w:tab/>
              <w:t xml:space="preserve">Como se aprecia, las actividades –1.9 y 2.6– contenidas en la Matriz 1 – Experiencia de los documentos tipo de mínima cuantía de obra pública de infraestructura de transporte recaen sobre </w:t>
            </w:r>
            <w:r w:rsidRPr="00D40DFB">
              <w:rPr>
                <w:rFonts w:ascii="Verdana" w:eastAsia="Calibri" w:hAnsi="Verdana" w:cs="Times New Roman"/>
              </w:rPr>
              <w:t xml:space="preserve">proyectos de instalación o mantenimiento correctivo o mantenimiento preventivo o ampliación, en infraestructura eléctrica asociada a infraestructura de transporte –respectivamente– en vías primarias o secundarias o terciarias. </w:t>
            </w:r>
          </w:p>
          <w:p w14:paraId="2DF51862" w14:textId="77777777" w:rsidR="00D40DFB" w:rsidRPr="00D40DFB" w:rsidRDefault="00D40DFB" w:rsidP="00D40DFB">
            <w:pPr>
              <w:spacing w:after="120" w:line="276" w:lineRule="auto"/>
              <w:ind w:firstLine="709"/>
              <w:jc w:val="both"/>
              <w:rPr>
                <w:rFonts w:ascii="Verdana" w:eastAsia="Aptos" w:hAnsi="Verdana" w:cs="Times New Roman"/>
              </w:rPr>
            </w:pPr>
            <w:r w:rsidRPr="00D40DFB">
              <w:rPr>
                <w:rFonts w:ascii="Verdana" w:eastAsia="Calibri" w:hAnsi="Verdana" w:cs="Calibri"/>
              </w:rPr>
              <w:t xml:space="preserve">Considerando que las actividades –1.9 y 2.6– de la Matriz 1 – Experiencia recaen sobre “Infraestructura eléctrica”, para comprender el alcance de ese término es necesario tener en cuenta que, el numeral 1.10 del documento base dispone que “Para los fines de este pliego de condiciones, a </w:t>
            </w:r>
            <w:r w:rsidRPr="00D40DFB">
              <w:rPr>
                <w:rFonts w:ascii="Verdana" w:eastAsia="Calibri" w:hAnsi="Verdana" w:cs="Calibri"/>
              </w:rPr>
              <w:lastRenderedPageBreak/>
              <w:t>menos que expresamente se estipule de otra manera, los términos deben entenderse de acuerdo con la definición contenida en el artículo 2.2.1.1.1.3.1 del Decreto 1082 de 2015, la Ley 1682 de 2013 o la norma que la modifique, complemente o sustituya, y el Anexo 3 - Glosario. Los términos no definidos deben comprenderse de conformidad con su significado natural y en el contexto del presente proceso de selección y el proyecto de infraestructura que se pretende adelantar”.</w:t>
            </w:r>
          </w:p>
          <w:p w14:paraId="2EB542CA" w14:textId="77777777" w:rsidR="00D40DFB" w:rsidRPr="00D40DFB" w:rsidRDefault="00D40DFB" w:rsidP="00D40DFB">
            <w:pPr>
              <w:spacing w:after="120" w:line="276" w:lineRule="auto"/>
              <w:ind w:firstLine="708"/>
              <w:jc w:val="both"/>
              <w:rPr>
                <w:rFonts w:ascii="Verdana" w:eastAsia="Times New Roman" w:hAnsi="Verdana" w:cs="Times New Roman"/>
                <w:lang w:eastAsia="es-MX"/>
              </w:rPr>
            </w:pPr>
            <w:r w:rsidRPr="00D40DFB">
              <w:rPr>
                <w:rFonts w:ascii="Verdana" w:eastAsia="Times New Roman" w:hAnsi="Verdana" w:cs="Times New Roman"/>
                <w:lang w:eastAsia="es-MX"/>
              </w:rPr>
              <w:t xml:space="preserve">La infraestructura eléctrica se refiere al conjunto de instalaciones, equipos y sistemas encargados de generar, transmitir, distribuir y controlar la energía eléctrica. Así, el alumbrado público hace parte de la infraestructura eléctrica, lo cual encuentra respaldo en el Reglamento Técnico de Instalaciones Eléctricas – RETIE, expedido por el Ministerio de Minas y Energía, que define las instalaciones eléctricas como los circuitos eléctricos con sus componentes que conforman un sistema eléctrico utilizado para la generación, transmisión, transformación, distribución o uso final de la energía eléctrica. </w:t>
            </w:r>
          </w:p>
          <w:p w14:paraId="7AD01B64" w14:textId="77777777" w:rsidR="00D40DFB" w:rsidRPr="00D40DFB" w:rsidRDefault="00D40DFB" w:rsidP="00D40DFB">
            <w:pPr>
              <w:spacing w:line="276" w:lineRule="auto"/>
              <w:ind w:firstLine="708"/>
              <w:jc w:val="both"/>
              <w:rPr>
                <w:rFonts w:ascii="Verdana" w:eastAsia="Times New Roman" w:hAnsi="Verdana" w:cs="Times New Roman"/>
                <w:lang w:eastAsia="es-MX"/>
              </w:rPr>
            </w:pPr>
            <w:r w:rsidRPr="00D40DFB">
              <w:rPr>
                <w:rFonts w:ascii="Verdana" w:eastAsia="Times New Roman" w:hAnsi="Verdana" w:cs="Times New Roman"/>
                <w:lang w:eastAsia="es-MX"/>
              </w:rPr>
              <w:t>En ese sentido, el RETIE contempla, dentro del Título 14 de su Libro 3, los requisitos generales aplicables a las redes eléctricas de los sistemas de iluminación, dentro de los cuales se enmarca el alumbrado público, lo que confirma su pertenencia a la infraestructura eléctrica regulada por el ordenamiento jurídico colombiano. Por su parte, el artículo 2.2.3.1.2 del Decreto 1073 de 2015 –modificado por el artículo 1 del Decreto 943 de 2018–, define el sistema de alumbrado público en los siguientes términos:</w:t>
            </w:r>
          </w:p>
          <w:p w14:paraId="1CB7CDA2" w14:textId="77777777" w:rsidR="00D40DFB" w:rsidRPr="00D40DFB" w:rsidRDefault="00D40DFB" w:rsidP="00D40DFB">
            <w:pPr>
              <w:spacing w:line="276" w:lineRule="auto"/>
              <w:ind w:left="708"/>
              <w:jc w:val="both"/>
              <w:rPr>
                <w:rFonts w:ascii="Verdana" w:eastAsia="Calibri" w:hAnsi="Verdana" w:cs="Times New Roman"/>
                <w:kern w:val="2"/>
                <w14:ligatures w14:val="standardContextual"/>
              </w:rPr>
            </w:pPr>
          </w:p>
          <w:p w14:paraId="52586E88" w14:textId="77777777" w:rsidR="00D40DFB" w:rsidRPr="00D40DFB" w:rsidRDefault="00D40DFB" w:rsidP="00D40DFB">
            <w:pPr>
              <w:ind w:left="709" w:right="709"/>
              <w:jc w:val="both"/>
              <w:rPr>
                <w:rFonts w:ascii="Verdana" w:eastAsia="Calibri" w:hAnsi="Verdana" w:cs="Times New Roman"/>
                <w:kern w:val="2"/>
                <w:sz w:val="21"/>
                <w:szCs w:val="21"/>
                <w14:ligatures w14:val="standardContextual"/>
              </w:rPr>
            </w:pPr>
            <w:r w:rsidRPr="00D40DFB">
              <w:rPr>
                <w:rFonts w:ascii="Verdana" w:eastAsia="Calibri" w:hAnsi="Verdana" w:cs="Times New Roman"/>
                <w:sz w:val="21"/>
                <w:szCs w:val="21"/>
              </w:rPr>
              <w:t>“</w:t>
            </w:r>
            <w:r w:rsidRPr="00D40DFB">
              <w:rPr>
                <w:rFonts w:ascii="Verdana" w:eastAsia="Calibri" w:hAnsi="Verdana" w:cs="Times New Roman"/>
                <w:b/>
                <w:bCs/>
                <w:kern w:val="2"/>
                <w:sz w:val="21"/>
                <w:szCs w:val="21"/>
                <w14:ligatures w14:val="standardContextual"/>
              </w:rPr>
              <w:t>Sistema de Alumbrado Público: </w:t>
            </w:r>
            <w:r w:rsidRPr="00D40DFB">
              <w:rPr>
                <w:rFonts w:ascii="Verdana" w:eastAsia="Calibri" w:hAnsi="Verdana" w:cs="Times New Roman"/>
                <w:kern w:val="2"/>
                <w:sz w:val="21"/>
                <w:szCs w:val="21"/>
                <w14:ligatures w14:val="standardContextual"/>
              </w:rPr>
              <w:t xml:space="preserve">Comprende el </w:t>
            </w:r>
            <w:r w:rsidRPr="00D40DFB">
              <w:rPr>
                <w:rFonts w:ascii="Verdana" w:eastAsia="Calibri" w:hAnsi="Verdana" w:cs="Times New Roman"/>
                <w:i/>
                <w:iCs/>
                <w:kern w:val="2"/>
                <w:sz w:val="21"/>
                <w:szCs w:val="21"/>
                <w:u w:val="single"/>
                <w14:ligatures w14:val="standardContextual"/>
              </w:rPr>
              <w:t>conjunto de luminarias, redes eléctricas,</w:t>
            </w:r>
            <w:r w:rsidRPr="00D40DFB">
              <w:rPr>
                <w:rFonts w:ascii="Verdana" w:eastAsia="Calibri" w:hAnsi="Verdana" w:cs="Times New Roman"/>
                <w:kern w:val="2"/>
                <w:sz w:val="21"/>
                <w:szCs w:val="21"/>
                <w14:ligatures w14:val="standardContextual"/>
              </w:rPr>
              <w:t xml:space="preserve"> transformadores y postes de uso exclusivo, los desarrollos tecnológicos asociados al servicio de alumbrado público, y en general todos los equipos necesarios para la prestación del servicio de alumbrado público que no forman parte del sistema de distribución de energía eléctrica</w:t>
            </w:r>
            <w:r w:rsidRPr="00D40DFB">
              <w:rPr>
                <w:rFonts w:ascii="Verdana" w:eastAsia="Calibri" w:hAnsi="Verdana" w:cs="Times New Roman"/>
                <w:sz w:val="21"/>
                <w:szCs w:val="21"/>
              </w:rPr>
              <w:t xml:space="preserve">” (énfasis fuera del texto original). </w:t>
            </w:r>
          </w:p>
          <w:p w14:paraId="25953777" w14:textId="77777777" w:rsidR="00D40DFB" w:rsidRPr="00D40DFB" w:rsidRDefault="00D40DFB" w:rsidP="00D40DFB">
            <w:pPr>
              <w:spacing w:line="276" w:lineRule="auto"/>
              <w:jc w:val="both"/>
              <w:rPr>
                <w:rFonts w:ascii="Verdana" w:eastAsia="Calibri" w:hAnsi="Verdana" w:cs="Times New Roman"/>
              </w:rPr>
            </w:pPr>
          </w:p>
          <w:p w14:paraId="687DA4D3" w14:textId="77777777" w:rsidR="00D40DFB" w:rsidRPr="00D40DFB" w:rsidRDefault="00D40DFB" w:rsidP="00D40DFB">
            <w:pPr>
              <w:spacing w:after="120" w:line="276" w:lineRule="auto"/>
              <w:ind w:firstLine="709"/>
              <w:jc w:val="both"/>
              <w:rPr>
                <w:rFonts w:ascii="Verdana" w:eastAsia="Aptos" w:hAnsi="Verdana" w:cs="Times New Roman"/>
              </w:rPr>
            </w:pPr>
            <w:r w:rsidRPr="00D40DFB">
              <w:rPr>
                <w:rFonts w:ascii="Verdana" w:eastAsia="Aptos" w:hAnsi="Verdana" w:cs="Times New Roman"/>
              </w:rPr>
              <w:t xml:space="preserve">De acuerdo con lo dispuesto en los párrafos precedentes, se observa que el sistema de alumbrado público está compuesto, entre otros elementos, por luminarias, redes eléctricas, transformadores y postes de uso exclusivo, esto es, por elementos propios de la infraestructura eléctrica, en concordancia con lo señalado en el RETIE. En esa medida, las actividades de instalación de luminarias, redes eléctricas y demás equipos asociados al alumbrado público </w:t>
            </w:r>
            <w:r w:rsidRPr="00D40DFB">
              <w:rPr>
                <w:rFonts w:ascii="Verdana" w:eastAsia="Aptos" w:hAnsi="Verdana" w:cs="Times New Roman"/>
              </w:rPr>
              <w:lastRenderedPageBreak/>
              <w:t>pueden enmarcarse, en principio, dentro de las actividades relacionadas con infraestructura eléctrica que contempla la Matriz 1 – Experiencia de los documentos tipo adoptados mediante la Resolución No. 464 de 2024.</w:t>
            </w:r>
          </w:p>
          <w:p w14:paraId="37290F44" w14:textId="77777777" w:rsidR="00D40DFB" w:rsidRPr="00D40DFB" w:rsidRDefault="00D40DFB" w:rsidP="00D40DFB">
            <w:pPr>
              <w:spacing w:after="120" w:line="276" w:lineRule="auto"/>
              <w:ind w:firstLine="709"/>
              <w:jc w:val="both"/>
              <w:rPr>
                <w:rFonts w:ascii="Verdana" w:eastAsia="Calibri" w:hAnsi="Verdana" w:cs="Times New Roman"/>
                <w:kern w:val="2"/>
                <w14:ligatures w14:val="standardContextual"/>
              </w:rPr>
            </w:pPr>
            <w:r w:rsidRPr="00D40DFB">
              <w:rPr>
                <w:rFonts w:ascii="Verdana" w:eastAsia="Calibri" w:hAnsi="Verdana" w:cs="Times New Roman"/>
              </w:rPr>
              <w:t xml:space="preserve">Ahora bien, para las actividades señaladas, particularmente para la –1.9– la Matriz 1 – Experiencia solicita la siguiente </w:t>
            </w:r>
            <w:r w:rsidRPr="00D40DFB">
              <w:rPr>
                <w:rFonts w:ascii="Verdana" w:eastAsia="Calibri" w:hAnsi="Verdana" w:cs="Times New Roman"/>
                <w:kern w:val="2"/>
                <w14:ligatures w14:val="standardContextual"/>
              </w:rPr>
              <w:t>experiencia general y específica:</w:t>
            </w:r>
          </w:p>
          <w:p w14:paraId="3D3B6AA9" w14:textId="77777777" w:rsidR="00D40DFB" w:rsidRPr="00D40DFB" w:rsidRDefault="00D40DFB" w:rsidP="00D40DFB">
            <w:pPr>
              <w:spacing w:line="276" w:lineRule="auto"/>
              <w:rPr>
                <w:rFonts w:ascii="Verdana" w:eastAsia="Calibri" w:hAnsi="Verdana" w:cs="Times New Roman"/>
                <w:kern w:val="2"/>
                <w14:ligatures w14:val="standardContextual"/>
              </w:rPr>
            </w:pPr>
          </w:p>
          <w:p w14:paraId="2B77AFC2" w14:textId="77777777" w:rsidR="00D40DFB" w:rsidRPr="00D40DFB" w:rsidRDefault="00D40DFB" w:rsidP="00D40DFB">
            <w:pPr>
              <w:ind w:left="709" w:right="709"/>
              <w:contextualSpacing/>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 xml:space="preserve">Para la </w:t>
            </w:r>
            <w:r w:rsidRPr="00D40DFB">
              <w:rPr>
                <w:rFonts w:ascii="Verdana" w:eastAsia="Calibri" w:hAnsi="Verdana" w:cs="Times New Roman"/>
                <w:kern w:val="2"/>
                <w:sz w:val="21"/>
                <w:szCs w:val="21"/>
                <w:u w:val="single"/>
                <w14:ligatures w14:val="standardContextual"/>
              </w:rPr>
              <w:t>Experiencia General:</w:t>
            </w:r>
          </w:p>
          <w:p w14:paraId="299E8191" w14:textId="77777777" w:rsidR="00D40DFB" w:rsidRPr="00D40DFB" w:rsidRDefault="00D40DFB" w:rsidP="00D40DFB">
            <w:pPr>
              <w:ind w:left="709" w:right="709"/>
              <w:contextualSpacing/>
              <w:rPr>
                <w:rFonts w:ascii="Verdana" w:eastAsia="Calibri" w:hAnsi="Verdana" w:cs="Times New Roman"/>
                <w:kern w:val="2"/>
                <w:sz w:val="21"/>
                <w:szCs w:val="21"/>
                <w14:ligatures w14:val="standardContextual"/>
              </w:rPr>
            </w:pPr>
          </w:p>
          <w:p w14:paraId="40DD5438" w14:textId="2165847D" w:rsidR="00D40DFB" w:rsidRPr="00D40DFB" w:rsidRDefault="00D40DFB" w:rsidP="00D40DFB">
            <w:pPr>
              <w:ind w:left="709" w:right="709"/>
              <w:contextualSpacing/>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 xml:space="preserve">“INSTALACION O MANTENIMIENTO CORRECTIVO O MANTENIMIENTO PREVENTIVO O AMPLIACIÓN DE </w:t>
            </w:r>
            <w:r w:rsidRPr="00D40DFB">
              <w:rPr>
                <w:rFonts w:ascii="Verdana" w:eastAsia="Calibri" w:hAnsi="Verdana" w:cs="Times New Roman"/>
                <w:b/>
                <w:bCs/>
                <w:kern w:val="2"/>
                <w:sz w:val="21"/>
                <w:szCs w:val="21"/>
                <w:u w:val="single"/>
                <w14:ligatures w14:val="standardContextual"/>
              </w:rPr>
              <w:t>INFRAESTRUCTURA ELECTRICA</w:t>
            </w:r>
            <w:r w:rsidRPr="00D40DFB">
              <w:rPr>
                <w:rFonts w:ascii="Verdana" w:eastAsia="Calibri" w:hAnsi="Verdana" w:cs="Times New Roman"/>
                <w:kern w:val="2"/>
                <w:sz w:val="21"/>
                <w:szCs w:val="21"/>
                <w14:ligatures w14:val="standardContextual"/>
              </w:rPr>
              <w:t xml:space="preserve"> ASOCIADA A LA INFRAESTRUCTURA DE TRANSPORTE.”</w:t>
            </w:r>
          </w:p>
          <w:p w14:paraId="05F4B932" w14:textId="77777777" w:rsidR="00D40DFB" w:rsidRPr="00D40DFB" w:rsidRDefault="00D40DFB" w:rsidP="00D40DFB">
            <w:pPr>
              <w:ind w:left="709" w:right="709"/>
              <w:contextualSpacing/>
              <w:jc w:val="both"/>
              <w:rPr>
                <w:rFonts w:ascii="Verdana" w:eastAsia="Calibri" w:hAnsi="Verdana" w:cs="Times New Roman"/>
                <w:kern w:val="2"/>
                <w:sz w:val="21"/>
                <w:szCs w:val="21"/>
                <w14:ligatures w14:val="standardContextual"/>
              </w:rPr>
            </w:pPr>
          </w:p>
          <w:p w14:paraId="18716645" w14:textId="77777777" w:rsidR="00D40DFB" w:rsidRPr="00D40DFB" w:rsidRDefault="00D40DFB" w:rsidP="00D40DFB">
            <w:pPr>
              <w:ind w:left="709" w:right="709"/>
              <w:contextualSpacing/>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 xml:space="preserve">Para la </w:t>
            </w:r>
            <w:r w:rsidRPr="00D40DFB">
              <w:rPr>
                <w:rFonts w:ascii="Verdana" w:eastAsia="Calibri" w:hAnsi="Verdana" w:cs="Times New Roman"/>
                <w:kern w:val="2"/>
                <w:sz w:val="21"/>
                <w:szCs w:val="21"/>
                <w:u w:val="single"/>
                <w14:ligatures w14:val="standardContextual"/>
              </w:rPr>
              <w:t>Experiencia Específica:</w:t>
            </w:r>
          </w:p>
          <w:p w14:paraId="516D13E5" w14:textId="77777777" w:rsidR="00D40DFB" w:rsidRPr="00D40DFB" w:rsidRDefault="00D40DFB" w:rsidP="00D40DFB">
            <w:pPr>
              <w:ind w:left="709" w:right="709"/>
              <w:jc w:val="both"/>
              <w:rPr>
                <w:rFonts w:ascii="Verdana" w:eastAsia="Calibri" w:hAnsi="Verdana" w:cs="Times New Roman"/>
                <w:kern w:val="2"/>
                <w:sz w:val="21"/>
                <w:szCs w:val="21"/>
                <w14:ligatures w14:val="standardContextual"/>
              </w:rPr>
            </w:pPr>
          </w:p>
          <w:p w14:paraId="60A1262F" w14:textId="77777777" w:rsidR="00D40DFB" w:rsidRPr="00D40DFB" w:rsidRDefault="00D40DFB" w:rsidP="00D40DFB">
            <w:pPr>
              <w:ind w:left="709" w:right="709"/>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“Por lo menos uno (1) de los contratos válidos aportados como experiencia general sea de un valor correspondiente a por lo menos el 50% del valor de PRESUPUESTO OFICIAL (PO) del presente proceso de contratación.”</w:t>
            </w:r>
          </w:p>
          <w:p w14:paraId="2142CBCB" w14:textId="77777777" w:rsidR="00D40DFB" w:rsidRPr="00D40DFB" w:rsidRDefault="00D40DFB" w:rsidP="00D40DFB">
            <w:pPr>
              <w:spacing w:line="276" w:lineRule="auto"/>
              <w:ind w:left="708"/>
              <w:jc w:val="both"/>
              <w:rPr>
                <w:rFonts w:ascii="Verdana" w:eastAsia="Calibri" w:hAnsi="Verdana" w:cs="Times New Roman"/>
                <w:kern w:val="2"/>
                <w:sz w:val="21"/>
                <w:szCs w:val="21"/>
                <w14:ligatures w14:val="standardContextual"/>
              </w:rPr>
            </w:pPr>
          </w:p>
          <w:p w14:paraId="1A90E1BF" w14:textId="77777777" w:rsidR="00D40DFB" w:rsidRPr="00D40DFB" w:rsidRDefault="00D40DFB" w:rsidP="00D40DFB">
            <w:pPr>
              <w:spacing w:line="276" w:lineRule="auto"/>
              <w:ind w:firstLine="709"/>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Y de manera adicional, se incluyen las siguientes notas:</w:t>
            </w:r>
          </w:p>
          <w:p w14:paraId="43311C4D" w14:textId="77777777" w:rsidR="00D40DFB" w:rsidRPr="00D40DFB" w:rsidRDefault="00D40DFB" w:rsidP="00D40DFB">
            <w:pPr>
              <w:spacing w:line="276" w:lineRule="auto"/>
              <w:ind w:left="708"/>
              <w:jc w:val="both"/>
              <w:rPr>
                <w:rFonts w:ascii="Verdana" w:eastAsia="Calibri" w:hAnsi="Verdana" w:cs="Times New Roman"/>
                <w:kern w:val="2"/>
                <w:sz w:val="21"/>
                <w:szCs w:val="21"/>
                <w14:ligatures w14:val="standardContextual"/>
              </w:rPr>
            </w:pPr>
          </w:p>
          <w:p w14:paraId="4E178D7D" w14:textId="77777777" w:rsidR="00D40DFB" w:rsidRPr="00D40DFB" w:rsidRDefault="00D40DFB" w:rsidP="00D40DFB">
            <w:pPr>
              <w:ind w:left="709" w:right="709"/>
              <w:contextualSpacing/>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“Nota 1: La Entidad Para la Experiencia Especifica, de acuerdo con el alcance del proyecto objeto de selección, indicará si se requiere experiencia en manejo de redes de Alta, Media o Baja Tensión.”</w:t>
            </w:r>
          </w:p>
          <w:p w14:paraId="789BD43E" w14:textId="77777777" w:rsidR="00D40DFB" w:rsidRPr="00D40DFB" w:rsidRDefault="00D40DFB" w:rsidP="00D40DFB">
            <w:pPr>
              <w:ind w:left="709" w:right="709"/>
              <w:jc w:val="both"/>
              <w:rPr>
                <w:rFonts w:ascii="Verdana" w:eastAsia="Calibri" w:hAnsi="Verdana" w:cs="Times New Roman"/>
                <w:kern w:val="2"/>
                <w:sz w:val="21"/>
                <w:szCs w:val="21"/>
                <w14:ligatures w14:val="standardContextual"/>
              </w:rPr>
            </w:pPr>
          </w:p>
          <w:p w14:paraId="0D2A3494" w14:textId="77777777" w:rsidR="00D40DFB" w:rsidRPr="00D40DFB" w:rsidRDefault="00D40DFB" w:rsidP="00D40DFB">
            <w:pPr>
              <w:ind w:left="709" w:right="709"/>
              <w:contextualSpacing/>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“Nota 2: Las redes eléctricas en vías generalmente incluyen postes de luz, luminarias, cableado subterráneo o aéreo, transformadores y otros componentes necesarios para la distribución de la energía eléctrica de manera segura y eficiente.”</w:t>
            </w:r>
          </w:p>
          <w:p w14:paraId="272FD461" w14:textId="77777777" w:rsidR="00D40DFB" w:rsidRPr="00D40DFB" w:rsidRDefault="00D40DFB" w:rsidP="00D40DFB">
            <w:pPr>
              <w:spacing w:line="276" w:lineRule="auto"/>
              <w:ind w:firstLine="709"/>
              <w:jc w:val="both"/>
              <w:rPr>
                <w:rFonts w:ascii="Verdana" w:eastAsia="Aptos" w:hAnsi="Verdana" w:cs="Times New Roman"/>
              </w:rPr>
            </w:pPr>
          </w:p>
          <w:p w14:paraId="70F35312" w14:textId="77777777" w:rsidR="00D40DFB" w:rsidRPr="00D40DFB" w:rsidRDefault="00D40DFB" w:rsidP="00D40DFB">
            <w:pPr>
              <w:spacing w:after="120" w:line="276" w:lineRule="auto"/>
              <w:ind w:firstLine="709"/>
              <w:jc w:val="both"/>
              <w:rPr>
                <w:rFonts w:ascii="Verdana" w:eastAsia="Aptos" w:hAnsi="Verdana" w:cs="Times New Roman"/>
              </w:rPr>
            </w:pPr>
            <w:r w:rsidRPr="00D40DFB">
              <w:rPr>
                <w:rFonts w:ascii="Verdana" w:eastAsia="Aptos" w:hAnsi="Verdana" w:cs="Times New Roman"/>
              </w:rPr>
              <w:t>La experiencia general prevista en la Matriz 1 para la actividad 1.9 corresponde a “instalación o mantenimiento correctivo o mantenimiento preventivo o ampliación de infraestructura eléctrica asociada a la infraestructura de transporte”. Por su parte, para la experiencia específica se exige que, por lo menos uno (1) de los contratos válidos aportados como experiencia general, tenga un valor correspondiente a por lo menos el 50% del valor del presupuesto oficial (PO) del proceso de contratación.</w:t>
            </w:r>
          </w:p>
          <w:p w14:paraId="41C6BE78" w14:textId="77777777" w:rsidR="00D40DFB" w:rsidRPr="00D40DFB" w:rsidRDefault="00D40DFB" w:rsidP="00D40DFB">
            <w:pPr>
              <w:spacing w:after="120" w:line="276" w:lineRule="auto"/>
              <w:ind w:firstLine="709"/>
              <w:jc w:val="both"/>
              <w:rPr>
                <w:rFonts w:ascii="Verdana" w:eastAsia="Aptos" w:hAnsi="Verdana" w:cs="Times New Roman"/>
              </w:rPr>
            </w:pPr>
            <w:r w:rsidRPr="00D40DFB">
              <w:rPr>
                <w:rFonts w:ascii="Verdana" w:eastAsia="Aptos" w:hAnsi="Verdana" w:cs="Times New Roman"/>
              </w:rPr>
              <w:lastRenderedPageBreak/>
              <w:t>Adicionalmente, la Matriz 1 incluye dos notas relevantes para efectos de precisar el alcance de esta experiencia. La Nota 1 dispone que la entidad, para la experiencia específica, debe indicar –de acuerdo con el alcance del proyecto objeto de selección– si se requiere experiencia en el manejo de redes de alta, media o baja tensión. Por su parte, la Nota 2 señala que las redes eléctricas en vías generalmente incluyen postes de luz, luminarias, cableado subterráneo o aéreo, transformadores y otros componentes necesarios para la distribución de la energía eléctrica de manera segura y eficiente.</w:t>
            </w:r>
          </w:p>
          <w:p w14:paraId="0085CED9" w14:textId="77777777" w:rsidR="00D40DFB" w:rsidRPr="00D40DFB" w:rsidRDefault="00D40DFB" w:rsidP="00D40DFB">
            <w:pPr>
              <w:spacing w:line="276" w:lineRule="auto"/>
              <w:ind w:firstLine="709"/>
              <w:jc w:val="both"/>
              <w:rPr>
                <w:rFonts w:ascii="Verdana" w:eastAsia="Aptos" w:hAnsi="Verdana" w:cs="Times New Roman"/>
              </w:rPr>
            </w:pPr>
            <w:r w:rsidRPr="00D40DFB">
              <w:rPr>
                <w:rFonts w:ascii="Verdana" w:eastAsia="Aptos" w:hAnsi="Verdana" w:cs="Times New Roman"/>
              </w:rPr>
              <w:t xml:space="preserve">De lo anterior se observa que los elementos mencionados en la Nota 2 –postes de luz, luminarias, cableado y transformadores– coinciden, en buena medida, con los elementos que integran el sistema de alumbrado público conforme a la definición prevista en el artículo 2.2.3.1.2 del Decreto 1073 de 2015. Esto refuerza la conclusión según la cual las actividades de instalación de luminarias y demás equipos asociados al alumbrado público pueden enmarcarse, en principio, dentro de las actividades 1.9 y 2.6 de la Matriz 1 – Experiencia. </w:t>
            </w:r>
          </w:p>
          <w:p w14:paraId="285D18B9" w14:textId="77777777" w:rsidR="00D40DFB" w:rsidRPr="00D40DFB" w:rsidRDefault="00D40DFB" w:rsidP="00D40DFB">
            <w:pPr>
              <w:spacing w:line="276" w:lineRule="auto"/>
              <w:jc w:val="both"/>
              <w:rPr>
                <w:rFonts w:ascii="Verdana" w:eastAsia="Aptos" w:hAnsi="Verdana" w:cs="Times New Roman"/>
              </w:rPr>
            </w:pPr>
          </w:p>
          <w:p w14:paraId="168A4C66" w14:textId="77777777" w:rsidR="00D40DFB" w:rsidRPr="00D40DFB" w:rsidRDefault="00D40DFB" w:rsidP="00D40DFB">
            <w:pPr>
              <w:spacing w:after="120" w:line="276" w:lineRule="auto"/>
              <w:jc w:val="both"/>
              <w:rPr>
                <w:rFonts w:ascii="Verdana" w:eastAsia="Calibri" w:hAnsi="Verdana" w:cs="Arial"/>
                <w:color w:val="000000"/>
                <w:lang w:val="es-ES_tradnl"/>
              </w:rPr>
            </w:pPr>
            <w:proofErr w:type="spellStart"/>
            <w:r w:rsidRPr="00D40DFB">
              <w:rPr>
                <w:rFonts w:ascii="Verdana" w:eastAsia="Aptos" w:hAnsi="Verdana" w:cs="Times New Roman"/>
              </w:rPr>
              <w:t>ii</w:t>
            </w:r>
            <w:proofErr w:type="spellEnd"/>
            <w:r w:rsidRPr="00D40DFB">
              <w:rPr>
                <w:rFonts w:ascii="Verdana" w:eastAsia="Aptos" w:hAnsi="Verdana" w:cs="Times New Roman"/>
              </w:rPr>
              <w:t xml:space="preserve">. Tal como se señaló, los documentos tipo adoptados por la Agencia Nacional de Contratación Pública – Colombia Compra Eficiente mediante la </w:t>
            </w:r>
            <w:r w:rsidRPr="00D40DFB">
              <w:rPr>
                <w:rFonts w:ascii="Verdana" w:eastAsia="Calibri" w:hAnsi="Verdana" w:cs="Arial"/>
                <w:bCs/>
              </w:rPr>
              <w:t xml:space="preserve">Resolución 464 del 10 de septiembre de 2024, recaen sobre “(…) los procesos </w:t>
            </w:r>
            <w:r w:rsidRPr="00D40DFB">
              <w:rPr>
                <w:rFonts w:ascii="Verdana" w:eastAsia="Calibri" w:hAnsi="Verdana" w:cs="Arial"/>
                <w:bCs/>
                <w:i/>
                <w:iCs/>
              </w:rPr>
              <w:t>de obra pública</w:t>
            </w:r>
            <w:r w:rsidRPr="00D40DFB">
              <w:rPr>
                <w:rFonts w:ascii="Verdana" w:eastAsia="Calibri" w:hAnsi="Verdana" w:cs="Arial"/>
                <w:bCs/>
              </w:rPr>
              <w:t xml:space="preserve"> de infraestructura de transporte adelantados bajo la modalidad de mínima cuantía”. Es decir, los documentos tipo señalados aplican para los contratos </w:t>
            </w:r>
            <w:r w:rsidRPr="00D40DFB">
              <w:rPr>
                <w:rFonts w:ascii="Verdana" w:eastAsia="Calibri" w:hAnsi="Verdana" w:cs="Arial"/>
                <w:color w:val="000000"/>
                <w:lang w:val="es-ES_tradnl"/>
              </w:rPr>
              <w:t>“(…) que celebren las entidades estatales para la construcción, mantenimiento, instalación y, en general, para la realización de cualquier otro trabajo material sobre bienes inmuebles, cualquiera que sea la modalidad de ejecución y pago”.</w:t>
            </w:r>
          </w:p>
          <w:p w14:paraId="52A1A634" w14:textId="02BBB34F" w:rsidR="00D40DFB" w:rsidRPr="00D40DFB" w:rsidRDefault="00D40DFB" w:rsidP="00D40DFB">
            <w:pPr>
              <w:spacing w:after="120" w:line="276" w:lineRule="auto"/>
              <w:ind w:firstLine="708"/>
              <w:jc w:val="both"/>
              <w:rPr>
                <w:rFonts w:ascii="Verdana" w:eastAsia="Calibri" w:hAnsi="Verdana" w:cs="Arial"/>
                <w:bCs/>
                <w:kern w:val="2"/>
                <w:sz w:val="19"/>
                <w:szCs w:val="19"/>
                <w14:ligatures w14:val="standardContextual"/>
              </w:rPr>
            </w:pPr>
            <w:r w:rsidRPr="11676135">
              <w:rPr>
                <w:rFonts w:ascii="Verdana" w:eastAsia="Calibri" w:hAnsi="Verdana" w:cs="Arial"/>
                <w:color w:val="000000" w:themeColor="text1"/>
                <w:lang w:val="es-ES"/>
              </w:rPr>
              <w:t xml:space="preserve">De acuerdo con lo anterior, </w:t>
            </w:r>
            <w:r w:rsidRPr="00D40DFB">
              <w:rPr>
                <w:rFonts w:ascii="Verdana" w:eastAsia="Calibri" w:hAnsi="Verdana" w:cs="Arial"/>
                <w:lang w:val="es-ES"/>
              </w:rPr>
              <w:t xml:space="preserve">considerando que las actividades –1.9 y </w:t>
            </w:r>
            <w:r w:rsidRPr="11676135">
              <w:rPr>
                <w:rFonts w:ascii="Verdana" w:eastAsia="Calibri" w:hAnsi="Verdana" w:cs="Arial"/>
                <w:lang w:val="es-ES"/>
              </w:rPr>
              <w:t>2</w:t>
            </w:r>
            <w:r w:rsidR="0FFF7F23" w:rsidRPr="11676135">
              <w:rPr>
                <w:rFonts w:ascii="Verdana" w:eastAsia="Calibri" w:hAnsi="Verdana" w:cs="Arial"/>
                <w:lang w:val="es-ES"/>
              </w:rPr>
              <w:t>.</w:t>
            </w:r>
            <w:r w:rsidRPr="11676135">
              <w:rPr>
                <w:rFonts w:ascii="Verdana" w:eastAsia="Calibri" w:hAnsi="Verdana" w:cs="Arial"/>
                <w:lang w:val="es-ES"/>
              </w:rPr>
              <w:t>6</w:t>
            </w:r>
            <w:r w:rsidRPr="00D40DFB">
              <w:rPr>
                <w:rFonts w:ascii="Verdana" w:eastAsia="Calibri" w:hAnsi="Verdana" w:cs="Arial"/>
                <w:lang w:val="es-ES"/>
              </w:rPr>
              <w:t xml:space="preserve">– de la Matriz 1 – Experiencia de los documentos tipo adoptados por medio de la Resolución 454 de 2024, incluyen la instalación, la cual, como se indicó, es constitutiva del objeto de contrato de obra pública, es importante hacer algunas precisiones en torno al alcance de este concepto. Como lo ha indicado la Sala de Consulta y Servicio Civil del Consejo de Estado, dentro del contrato de obra pública se considera incluido “(…), todo trabajo que tiene por objeto, crear, construir, conservar o modificar bienes inmuebles incorporándose a dicho concepto trabajos como la construcción, </w:t>
            </w:r>
            <w:r w:rsidRPr="00D40DFB">
              <w:rPr>
                <w:rFonts w:ascii="Verdana" w:eastAsia="Calibri" w:hAnsi="Verdana" w:cs="Arial"/>
                <w:i/>
                <w:lang w:val="es-ES"/>
              </w:rPr>
              <w:t>instalación</w:t>
            </w:r>
            <w:r w:rsidRPr="00D40DFB">
              <w:rPr>
                <w:rFonts w:ascii="Verdana" w:eastAsia="Calibri" w:hAnsi="Verdana" w:cs="Arial"/>
                <w:lang w:val="es-ES"/>
              </w:rPr>
              <w:t xml:space="preserve">, conservación, </w:t>
            </w:r>
            <w:r w:rsidRPr="00D40DFB">
              <w:rPr>
                <w:rFonts w:ascii="Verdana" w:eastAsia="Calibri" w:hAnsi="Verdana" w:cs="Arial"/>
                <w:lang w:val="es-ES"/>
              </w:rPr>
              <w:lastRenderedPageBreak/>
              <w:t xml:space="preserve">mantenimiento, reparación y demolición de los bienes inmuebles, así como la construcción, </w:t>
            </w:r>
            <w:r w:rsidRPr="00D40DFB">
              <w:rPr>
                <w:rFonts w:ascii="Verdana" w:eastAsia="Calibri" w:hAnsi="Verdana" w:cs="Arial"/>
                <w:i/>
                <w:lang w:val="es-ES"/>
              </w:rPr>
              <w:t>instalación</w:t>
            </w:r>
            <w:r w:rsidRPr="00D40DFB">
              <w:rPr>
                <w:rFonts w:ascii="Verdana" w:eastAsia="Calibri" w:hAnsi="Verdana" w:cs="Arial"/>
                <w:lang w:val="es-ES"/>
              </w:rPr>
              <w:t>, conservación, mantenimiento, reparación y demolición de aquellos bienes destinados a un servicio público o al uso común” (énfasis fuera de texto).</w:t>
            </w:r>
          </w:p>
          <w:p w14:paraId="1E72037A" w14:textId="77777777" w:rsidR="00D40DFB" w:rsidRPr="00D40DFB" w:rsidRDefault="00D40DFB" w:rsidP="00D40DFB">
            <w:pPr>
              <w:spacing w:after="120" w:line="276" w:lineRule="auto"/>
              <w:ind w:firstLine="709"/>
              <w:jc w:val="both"/>
              <w:rPr>
                <w:rFonts w:ascii="Verdana" w:eastAsia="Calibri" w:hAnsi="Verdana" w:cs="Arial"/>
                <w:lang w:val="es-ES_tradnl"/>
              </w:rPr>
            </w:pPr>
            <w:r w:rsidRPr="00D40DFB">
              <w:rPr>
                <w:rFonts w:ascii="Verdana" w:eastAsia="Calibri" w:hAnsi="Verdana" w:cs="Arial"/>
                <w:lang w:val="es-ES_tradnl"/>
              </w:rPr>
              <w:t>Según el Diccionario de la Lengua Española, “instalar” es “Poner o colocar en el lugar debido a alguien o algo”, así como “Colocar en un lugar o edificio los enseres y servicios que en él se hayan de utilizar; como en una fábrica, los conductos de agua, aparatos para la luz, etc.”. Por tanto, la instalación de cosas –como redes, equipos u otros elementos– en los bienes inmuebles es, en principio, una actividad que ingresa dentro de los contratos de obra celebrados por las entidades estatales, pues comporta la realización de un trabajo material.</w:t>
            </w:r>
          </w:p>
          <w:p w14:paraId="16FC34BE" w14:textId="77777777" w:rsidR="00D40DFB" w:rsidRPr="00D40DFB" w:rsidRDefault="00D40DFB" w:rsidP="00D40DFB">
            <w:pPr>
              <w:spacing w:after="120" w:line="276" w:lineRule="auto"/>
              <w:ind w:firstLine="709"/>
              <w:jc w:val="both"/>
              <w:rPr>
                <w:rFonts w:ascii="Verdana" w:eastAsia="Calibri" w:hAnsi="Verdana" w:cs="Arial"/>
                <w:lang w:val="es-ES_tradnl"/>
              </w:rPr>
            </w:pPr>
            <w:r w:rsidRPr="00D40DFB">
              <w:rPr>
                <w:rFonts w:ascii="Verdana" w:eastAsia="Calibri" w:hAnsi="Verdana" w:cs="Arial"/>
                <w:lang w:val="es-ES_tradnl"/>
              </w:rPr>
              <w:t xml:space="preserve">Sin embargo, esto no quiere decir que </w:t>
            </w:r>
            <w:r w:rsidRPr="00D40DFB">
              <w:rPr>
                <w:rFonts w:ascii="Verdana" w:eastAsia="Calibri" w:hAnsi="Verdana" w:cs="Arial"/>
                <w:i/>
                <w:iCs/>
                <w:lang w:val="es-ES_tradnl"/>
              </w:rPr>
              <w:t>toda</w:t>
            </w:r>
            <w:r w:rsidRPr="00D40DFB">
              <w:rPr>
                <w:rFonts w:ascii="Verdana" w:eastAsia="Calibri" w:hAnsi="Verdana" w:cs="Arial"/>
                <w:lang w:val="es-ES_tradnl"/>
              </w:rPr>
              <w:t xml:space="preserve"> instalación que se pacte, como obligación a cargo del contratista, permita clasificar el negocio jurídico como un contrato de obra pública. Así lo reconoció también la Sala de Consulta y Servicio Civil, indicando que “En la práctica se encuentran contratos para el suministro de equipos que involucran prestaciones adicionales relacionadas con su instalación, servicios de mantenimiento, y de capacitación tendientes a la entrega para la puesta en funcionamiento por parte de la entidad estatal”, agregando que “En el caso citado, no existe un contrato de compraventa o suministro de bienes muebles, un contrato de obra y un contrato de prestación de servicios. Se trata de un solo contrato con una prestación principal y unas accesorias relacionadas directamente con el primero”.</w:t>
            </w:r>
          </w:p>
          <w:p w14:paraId="64801332" w14:textId="77777777" w:rsidR="00D40DFB" w:rsidRPr="00D40DFB" w:rsidRDefault="00D40DFB" w:rsidP="00D40DFB">
            <w:pPr>
              <w:spacing w:after="120" w:line="276" w:lineRule="auto"/>
              <w:ind w:firstLine="709"/>
              <w:jc w:val="both"/>
              <w:rPr>
                <w:rFonts w:ascii="Verdana" w:eastAsia="Calibri" w:hAnsi="Verdana" w:cs="Arial"/>
                <w:lang w:val="es-ES_tradnl"/>
              </w:rPr>
            </w:pPr>
            <w:r w:rsidRPr="00D40DFB">
              <w:rPr>
                <w:rFonts w:ascii="Verdana" w:eastAsia="Calibri" w:hAnsi="Verdana" w:cs="Arial"/>
                <w:lang w:val="es-ES_tradnl"/>
              </w:rPr>
              <w:t xml:space="preserve">En otras palabras, para la Sala, es posible que las entidades públicas, en ejercicio de su autonomía de la voluntad, celebren contratos estatales que involucren prestaciones mixtas, también denominados “contratos mixtos” –modalidad de contratos atípicos–, siempre que “las prestaciones correspondientes que pretendan fusionarse se encuentren directamente vinculadas entre sí, de tal manera que mantengan relaciones de complemento y que permitan predicar su tratamiento solo como una unidad funcional dirigida a la satisfacción de la necesidad de la entidad”. </w:t>
            </w:r>
          </w:p>
          <w:p w14:paraId="206D4B85" w14:textId="77777777" w:rsidR="00D40DFB" w:rsidRPr="00D40DFB" w:rsidRDefault="00D40DFB" w:rsidP="00D40DFB">
            <w:pPr>
              <w:spacing w:after="120" w:line="276" w:lineRule="auto"/>
              <w:ind w:firstLine="708"/>
              <w:jc w:val="both"/>
              <w:rPr>
                <w:rFonts w:ascii="Verdana" w:eastAsia="Calibri" w:hAnsi="Verdana" w:cs="Arial"/>
                <w:color w:val="000000"/>
                <w:lang w:val="es-ES_tradnl"/>
              </w:rPr>
            </w:pPr>
            <w:r w:rsidRPr="00D40DFB">
              <w:rPr>
                <w:rFonts w:ascii="Verdana" w:eastAsia="Calibri" w:hAnsi="Verdana" w:cs="Arial"/>
                <w:color w:val="000000"/>
                <w:lang w:val="es-ES_tradnl"/>
              </w:rPr>
              <w:t xml:space="preserve">En similar sentido, de acuerdo con la jurisprudencia de la Sala de Casación Civil de la Corte Suprema de Justicia, el régimen contractual de los </w:t>
            </w:r>
            <w:r w:rsidRPr="00D40DFB">
              <w:rPr>
                <w:rFonts w:ascii="Verdana" w:eastAsia="Calibri" w:hAnsi="Verdana" w:cs="Arial"/>
                <w:i/>
                <w:iCs/>
                <w:color w:val="000000"/>
                <w:lang w:val="es-ES_tradnl"/>
              </w:rPr>
              <w:t>contratos mixtos</w:t>
            </w:r>
            <w:r w:rsidRPr="00D40DFB">
              <w:rPr>
                <w:rFonts w:ascii="Verdana" w:eastAsia="Calibri" w:hAnsi="Verdana" w:cs="Arial"/>
                <w:color w:val="000000"/>
                <w:lang w:val="es-ES_tradnl"/>
              </w:rPr>
              <w:t xml:space="preserve"> se ha determinado por el método de absorción. Conforme a este criterio, debe identificarse el objeto principal de la prestación para aplicar </w:t>
            </w:r>
            <w:r w:rsidRPr="00D40DFB">
              <w:rPr>
                <w:rFonts w:ascii="Verdana" w:eastAsia="Calibri" w:hAnsi="Verdana" w:cs="Arial"/>
                <w:color w:val="000000"/>
                <w:lang w:val="es-ES_tradnl"/>
              </w:rPr>
              <w:lastRenderedPageBreak/>
              <w:t xml:space="preserve">el régimen del contrato típico al que pertenece, es decir, las reglas que disciplinan el acuerdo en su conjunto se someten al contrato nominado del objeto principal. Por ello, “en el contrato mixto habría siempre un elemento prevalente que absorbe los elementos secundarios; esta circunstancia permitiría regular el contrato entero con las normas del contrato nominado correspondiente, el que estaría dotado de una fuerza de expansión respecto de las figuras contractuales que estén provistas de una función económica análoga”. </w:t>
            </w:r>
          </w:p>
          <w:p w14:paraId="1BF6E571" w14:textId="77777777" w:rsidR="00D40DFB" w:rsidRPr="00D40DFB" w:rsidRDefault="00D40DFB" w:rsidP="00D40DFB">
            <w:pPr>
              <w:spacing w:after="120" w:line="276" w:lineRule="auto"/>
              <w:ind w:firstLine="709"/>
              <w:jc w:val="both"/>
              <w:rPr>
                <w:rFonts w:ascii="Verdana" w:eastAsia="Calibri" w:hAnsi="Verdana" w:cs="Arial"/>
                <w:lang w:val="es-ES"/>
              </w:rPr>
            </w:pPr>
            <w:r w:rsidRPr="00D40DFB">
              <w:rPr>
                <w:rFonts w:ascii="Verdana" w:eastAsia="Calibri" w:hAnsi="Verdana" w:cs="Arial"/>
                <w:lang w:val="es-ES"/>
              </w:rPr>
              <w:t xml:space="preserve">Con fundamento en lo anterior, puede decirse que la obligación de instalar un bien mueble en un inmueble –convirtiendo a aquel en un inmueble por adhesión o por destinación– </w:t>
            </w:r>
            <w:r w:rsidRPr="00D40DFB">
              <w:rPr>
                <w:rFonts w:ascii="Verdana" w:eastAsia="Calibri" w:hAnsi="Verdana" w:cs="Arial"/>
                <w:i/>
                <w:lang w:val="es-ES"/>
              </w:rPr>
              <w:t>no</w:t>
            </w:r>
            <w:r w:rsidRPr="00D40DFB">
              <w:rPr>
                <w:rFonts w:ascii="Verdana" w:eastAsia="Calibri" w:hAnsi="Verdana" w:cs="Arial"/>
                <w:lang w:val="es-ES"/>
              </w:rPr>
              <w:t xml:space="preserve"> es privativa del contrato de obra pública, pues puede estar presente también en un contrato de suministro, de compraventa o en un contrato mixto (atípico). Lo que determinará cuál es la tipología contractual o la existencia del contrato mixto será la valoración de los siguientes elementos: i) la definición de cuál es la prestación principal del contrato, </w:t>
            </w:r>
            <w:proofErr w:type="spellStart"/>
            <w:r w:rsidRPr="00D40DFB">
              <w:rPr>
                <w:rFonts w:ascii="Verdana" w:eastAsia="Calibri" w:hAnsi="Verdana" w:cs="Arial"/>
                <w:lang w:val="es-ES"/>
              </w:rPr>
              <w:t>ii</w:t>
            </w:r>
            <w:proofErr w:type="spellEnd"/>
            <w:r w:rsidRPr="00D40DFB">
              <w:rPr>
                <w:rFonts w:ascii="Verdana" w:eastAsia="Calibri" w:hAnsi="Verdana" w:cs="Arial"/>
                <w:lang w:val="es-ES"/>
              </w:rPr>
              <w:t xml:space="preserve">) la finalidad de las partes y </w:t>
            </w:r>
            <w:proofErr w:type="spellStart"/>
            <w:r w:rsidRPr="00D40DFB">
              <w:rPr>
                <w:rFonts w:ascii="Verdana" w:eastAsia="Calibri" w:hAnsi="Verdana" w:cs="Arial"/>
                <w:lang w:val="es-ES"/>
              </w:rPr>
              <w:t>iii</w:t>
            </w:r>
            <w:proofErr w:type="spellEnd"/>
            <w:r w:rsidRPr="00D40DFB">
              <w:rPr>
                <w:rFonts w:ascii="Verdana" w:eastAsia="Calibri" w:hAnsi="Verdana" w:cs="Arial"/>
                <w:lang w:val="es-ES"/>
              </w:rPr>
              <w:t>) si se trata de prestaciones mixtas, “que las prestaciones correspondientes que pretendan fusionarse se encuentren directamente vinculadas entre sí, de tal manera que mantengan relaciones de complemento y que permitan predicar su tratamiento solo como una unidad funcional dirigida a la satisfacción de la necesidad de la entidad”. Este es un análisis que, por tanto, debe realizarse en cada caso concreto, considerando los datos técnicos y económicos del objeto contractual.</w:t>
            </w:r>
          </w:p>
          <w:p w14:paraId="69CCD566" w14:textId="77777777" w:rsidR="00D40DFB" w:rsidRPr="00D40DFB" w:rsidRDefault="00D40DFB" w:rsidP="00D40DFB">
            <w:pPr>
              <w:spacing w:after="120" w:line="276" w:lineRule="auto"/>
              <w:ind w:firstLine="708"/>
              <w:jc w:val="both"/>
              <w:rPr>
                <w:rFonts w:ascii="Verdana" w:eastAsia="Times New Roman" w:hAnsi="Verdana" w:cs="Times New Roman"/>
                <w:color w:val="000000"/>
                <w:lang w:eastAsia="es-CO"/>
              </w:rPr>
            </w:pPr>
            <w:r w:rsidRPr="00D40DFB">
              <w:rPr>
                <w:rFonts w:ascii="Verdana" w:eastAsia="Calibri" w:hAnsi="Verdana" w:cs="Arial"/>
                <w:lang w:val="es-ES" w:eastAsia="es-ES_tradnl"/>
              </w:rPr>
              <w:t xml:space="preserve">En este contexto, </w:t>
            </w:r>
            <w:r w:rsidRPr="00D40DFB">
              <w:rPr>
                <w:rFonts w:ascii="Verdana" w:eastAsia="Aptos" w:hAnsi="Verdana" w:cs="Arial"/>
                <w:lang w:eastAsia="es-ES_tradnl"/>
              </w:rPr>
              <w:t xml:space="preserve">no es posible afirmar de manera categórica que el suministro e instalación de </w:t>
            </w:r>
            <w:r w:rsidRPr="00D40DFB">
              <w:rPr>
                <w:rFonts w:ascii="Verdana" w:eastAsia="Times New Roman" w:hAnsi="Verdana" w:cs="Times New Roman"/>
                <w:color w:val="000000"/>
                <w:lang w:eastAsia="es-CO"/>
              </w:rPr>
              <w:t xml:space="preserve">luminarias de alumbrado público </w:t>
            </w:r>
            <w:r w:rsidRPr="00D40DFB">
              <w:rPr>
                <w:rFonts w:ascii="Verdana" w:eastAsia="Aptos" w:hAnsi="Verdana" w:cs="Arial"/>
                <w:lang w:eastAsia="es-ES_tradnl"/>
              </w:rPr>
              <w:t xml:space="preserve">deba clasificarse, en todos los casos, como un contrato de obra pública para efecto de la utilización de los Documentos Tipo </w:t>
            </w:r>
            <w:r w:rsidRPr="00D40DFB">
              <w:rPr>
                <w:rFonts w:ascii="Verdana" w:eastAsia="Times New Roman" w:hAnsi="Verdana" w:cs="Times New Roman"/>
                <w:color w:val="000000"/>
                <w:lang w:eastAsia="es-CO"/>
              </w:rPr>
              <w:t>del Sector Transporte</w:t>
            </w:r>
            <w:r w:rsidRPr="00D40DFB">
              <w:rPr>
                <w:rFonts w:ascii="Verdana" w:eastAsia="Aptos" w:hAnsi="Verdana" w:cs="Arial"/>
                <w:lang w:eastAsia="es-ES_tradnl"/>
              </w:rPr>
              <w:t xml:space="preserve">. Para establecer la naturaleza jurídica de este tipo de contratos, la entidad estatal debe analizar las circunstancias particulares de cada caso y considerar los criterios que permitan identificar la prestación principal, la finalidad de las partes y la relación de conexidad de las prestaciones.  </w:t>
            </w:r>
          </w:p>
          <w:p w14:paraId="7223907B" w14:textId="77777777" w:rsidR="00D40DFB" w:rsidRPr="00D40DFB" w:rsidRDefault="00D40DFB" w:rsidP="00D40DFB">
            <w:pPr>
              <w:spacing w:after="120" w:line="276" w:lineRule="auto"/>
              <w:ind w:firstLine="709"/>
              <w:jc w:val="both"/>
              <w:rPr>
                <w:rFonts w:ascii="Verdana" w:eastAsia="Calibri" w:hAnsi="Verdana" w:cs="Arial"/>
                <w:lang w:val="es-ES_tradnl"/>
              </w:rPr>
            </w:pPr>
            <w:r w:rsidRPr="00D40DFB">
              <w:rPr>
                <w:rFonts w:ascii="Verdana" w:eastAsia="Calibri" w:hAnsi="Verdana" w:cs="Arial"/>
                <w:lang w:eastAsia="es-ES_tradnl"/>
              </w:rPr>
              <w:t>Atendiendo a lo señalado por l</w:t>
            </w:r>
            <w:r w:rsidRPr="00D40DFB">
              <w:rPr>
                <w:rFonts w:ascii="Verdana" w:eastAsia="Calibri" w:hAnsi="Verdana" w:cs="Arial"/>
                <w:lang w:val="es-ES_tradnl"/>
              </w:rPr>
              <w:t>a Sala de Consulta y Servicio Civil del Consejo de Estado,</w:t>
            </w:r>
            <w:r w:rsidRPr="00D40DFB">
              <w:rPr>
                <w:rFonts w:ascii="Verdana" w:eastAsia="Calibri" w:hAnsi="Verdana" w:cs="Times New Roman"/>
                <w:color w:val="000000"/>
              </w:rPr>
              <w:t xml:space="preserve"> adhiriéndose al método de absorción para efectos de integrar el régimen jurídico aplicable,</w:t>
            </w:r>
            <w:r w:rsidRPr="00D40DFB">
              <w:rPr>
                <w:rFonts w:ascii="Verdana" w:eastAsia="Calibri" w:hAnsi="Verdana" w:cs="Arial"/>
                <w:lang w:val="es-ES_tradnl"/>
              </w:rPr>
              <w:t xml:space="preserve"> se considera que en el caso referido es fundamental determinar la prestación principal para establecer dicho </w:t>
            </w:r>
            <w:r w:rsidRPr="00D40DFB">
              <w:rPr>
                <w:rFonts w:ascii="Verdana" w:eastAsia="Calibri" w:hAnsi="Verdana" w:cs="Arial"/>
                <w:lang w:eastAsia="es-ES_tradnl"/>
              </w:rPr>
              <w:t>régimen</w:t>
            </w:r>
            <w:r w:rsidRPr="00D40DFB">
              <w:rPr>
                <w:rFonts w:ascii="Verdana" w:eastAsia="Calibri" w:hAnsi="Verdana" w:cs="Arial"/>
                <w:lang w:val="es-ES_tradnl"/>
              </w:rPr>
              <w:t xml:space="preserve">, </w:t>
            </w:r>
            <w:r w:rsidRPr="00D40DFB">
              <w:rPr>
                <w:rFonts w:ascii="Verdana" w:eastAsia="Calibri" w:hAnsi="Verdana" w:cs="Arial"/>
                <w:lang w:eastAsia="es-ES_tradnl"/>
              </w:rPr>
              <w:t xml:space="preserve">teniendo en cuenta que la tipología contractual </w:t>
            </w:r>
            <w:r w:rsidRPr="00D40DFB">
              <w:rPr>
                <w:rFonts w:ascii="Verdana" w:eastAsia="Calibri" w:hAnsi="Verdana" w:cs="Arial"/>
                <w:lang w:val="es-ES" w:eastAsia="es-ES_tradnl"/>
              </w:rPr>
              <w:t xml:space="preserve">es importante para definir </w:t>
            </w:r>
            <w:r w:rsidRPr="00D40DFB">
              <w:rPr>
                <w:rFonts w:ascii="Verdana" w:eastAsia="Calibri" w:hAnsi="Verdana" w:cs="Arial"/>
                <w:lang w:val="es-ES" w:eastAsia="es-ES_tradnl"/>
              </w:rPr>
              <w:lastRenderedPageBreak/>
              <w:t xml:space="preserve">aspectos como la modalidad de selección que debe utilizar la entidad y los requisitos habilitantes o ponderables que deben incorporar en el pliego de condiciones para la selección objetiva de la mejor oferta. </w:t>
            </w:r>
          </w:p>
          <w:p w14:paraId="596AA423" w14:textId="7DEADD7D" w:rsidR="00D40DFB" w:rsidRPr="00D40DFB" w:rsidRDefault="00D40DFB" w:rsidP="00D40DFB">
            <w:pPr>
              <w:spacing w:after="120" w:line="276" w:lineRule="auto"/>
              <w:ind w:firstLine="709"/>
              <w:jc w:val="both"/>
              <w:rPr>
                <w:rFonts w:ascii="Verdana" w:eastAsia="Calibri" w:hAnsi="Verdana" w:cs="Arial"/>
                <w:lang w:eastAsia="es-ES"/>
              </w:rPr>
            </w:pPr>
            <w:r w:rsidRPr="11676135">
              <w:rPr>
                <w:rFonts w:ascii="Verdana" w:eastAsia="Calibri" w:hAnsi="Verdana" w:cs="Arial"/>
                <w:lang w:eastAsia="es-ES"/>
              </w:rPr>
              <w:t xml:space="preserve">Para tales efectos, la entidad estatal podría determinar </w:t>
            </w:r>
            <w:r w:rsidRPr="11676135">
              <w:rPr>
                <w:rFonts w:ascii="Verdana" w:eastAsia="Calibri" w:hAnsi="Verdana" w:cs="Arial"/>
                <w:color w:val="000000" w:themeColor="text1"/>
                <w:lang w:val="es-ES"/>
              </w:rPr>
              <w:t>el régimen del contrato típico al que pertenece</w:t>
            </w:r>
            <w:r w:rsidRPr="11676135">
              <w:rPr>
                <w:rFonts w:ascii="Verdana" w:eastAsia="Calibri" w:hAnsi="Verdana" w:cs="Arial"/>
                <w:lang w:eastAsia="es-ES"/>
              </w:rPr>
              <w:t xml:space="preserve"> atendiendo a cuál de las obligaciones –suministro o instalación–, absorbe a la otra, bien sea por su relevancia funcional o por su peso económico. Así, para establecer si un contrato debe ser considerado de obra, la entidad debe verificar si la obligación predominante consiste en la ejecución de actividades materiales que intervengan el bien inmueble al que se incorporara la instalación. </w:t>
            </w:r>
          </w:p>
          <w:p w14:paraId="6B27AA4E" w14:textId="0A9AB882" w:rsidR="00D40DFB" w:rsidRPr="00D40DFB" w:rsidRDefault="00D40DFB" w:rsidP="00D40DFB">
            <w:pPr>
              <w:spacing w:after="120" w:line="276" w:lineRule="auto"/>
              <w:ind w:firstLine="709"/>
              <w:jc w:val="both"/>
              <w:rPr>
                <w:rFonts w:ascii="Verdana" w:eastAsia="Calibri" w:hAnsi="Verdana" w:cs="Arial"/>
                <w:lang w:eastAsia="es-ES"/>
              </w:rPr>
            </w:pPr>
            <w:r w:rsidRPr="11676135">
              <w:rPr>
                <w:rFonts w:ascii="Verdana" w:eastAsia="Calibri" w:hAnsi="Verdana" w:cs="Arial"/>
                <w:lang w:eastAsia="es-ES"/>
              </w:rPr>
              <w:t>En esta línea, uno de los criterios que podrían ser utilizados consiste en identificar el porcentaje del presupuesto destinado a las actividades de instalación e intervención del inmueble respecto del valor total del contrato. Otro criterio también está relacionado con la complejidad técnica y física de las labores de instalación. De esta manera, si</w:t>
            </w:r>
            <w:r w:rsidR="3243138F" w:rsidRPr="11676135">
              <w:rPr>
                <w:rFonts w:ascii="Verdana" w:eastAsia="Calibri" w:hAnsi="Verdana" w:cs="Arial"/>
                <w:lang w:eastAsia="es-ES"/>
              </w:rPr>
              <w:t>,</w:t>
            </w:r>
            <w:r w:rsidRPr="11676135">
              <w:rPr>
                <w:rFonts w:ascii="Verdana" w:eastAsia="Calibri" w:hAnsi="Verdana" w:cs="Arial"/>
                <w:lang w:eastAsia="es-ES"/>
              </w:rPr>
              <w:t xml:space="preserve"> por ejemplo, el valor de las actividades de instalación supera significativamente, más del 50 % del presupuesto, o si dichas actividades constituyen la esencia del negocio jurídico, o confluyen ambos criterios, podría concluirse que se trata de un contrato de obra y no de un simple contrato de suministro o instalación. </w:t>
            </w:r>
          </w:p>
          <w:p w14:paraId="6BBD5923" w14:textId="77777777" w:rsidR="00D40DFB" w:rsidRPr="00D40DFB" w:rsidRDefault="00D40DFB" w:rsidP="00D40DFB">
            <w:pPr>
              <w:spacing w:after="120" w:line="276" w:lineRule="auto"/>
              <w:ind w:firstLine="709"/>
              <w:jc w:val="both"/>
              <w:rPr>
                <w:rFonts w:ascii="Verdana" w:eastAsia="Calibri" w:hAnsi="Verdana" w:cs="Arial"/>
                <w:lang w:eastAsia="es-ES_tradnl"/>
              </w:rPr>
            </w:pPr>
            <w:r w:rsidRPr="00D40DFB">
              <w:rPr>
                <w:rFonts w:ascii="Verdana" w:eastAsia="Calibri" w:hAnsi="Verdana" w:cs="Arial"/>
                <w:lang w:eastAsia="es-ES_tradnl"/>
              </w:rPr>
              <w:t>En contraste, si las labores de instalación son secundarias o accesorias, en su valor económico o en su complejidad técnica, y el elemento central del negocio jurídico es la entrega de los bienes muebles, la naturaleza del contrato correspondería a la de suministro. Esto podría suceder cuando la instalación se limita a ajustes menores, sin afectar la estructura o funcionamiento del inmueble.</w:t>
            </w:r>
          </w:p>
          <w:p w14:paraId="5A1175A5" w14:textId="77777777" w:rsidR="00D40DFB" w:rsidRPr="00D40DFB" w:rsidRDefault="00D40DFB" w:rsidP="00D40DFB">
            <w:pPr>
              <w:spacing w:after="120" w:line="276" w:lineRule="auto"/>
              <w:ind w:firstLine="709"/>
              <w:jc w:val="both"/>
              <w:rPr>
                <w:rFonts w:ascii="Verdana" w:eastAsia="Calibri" w:hAnsi="Verdana" w:cs="Arial"/>
                <w:lang w:eastAsia="es-ES_tradnl"/>
              </w:rPr>
            </w:pPr>
            <w:r w:rsidRPr="00D40DFB">
              <w:rPr>
                <w:rFonts w:ascii="Verdana" w:eastAsia="Calibri" w:hAnsi="Verdana" w:cs="Arial"/>
                <w:lang w:eastAsia="es-ES_tradnl"/>
              </w:rPr>
              <w:t xml:space="preserve">En este análisis, es de especial relevancia que la entidad estatal analice escenarios en los cuales, aunque el valor de los bienes objeto de suministro supere el de las actividades de instalación, el alcance de las obras necesarias para adecuar o intervenir el inmueble es tan significativo que la esencia del contrato deja de ser la provisión de los bienes y pasa a ser la ejecución de la obra misma. A modo de ilustración, si la instalación de equipos exige intervenciones intramurales que afecten paredes, redes eléctricas, sistemas hidráulicos o elementos estructurales del inmueble, podría sostenerse que la naturaleza del contrato es la de obra, ya que la actividad principal consiste en transformar y adecuar el inmueble para permitir el funcionamiento adecuado </w:t>
            </w:r>
            <w:r w:rsidRPr="00D40DFB">
              <w:rPr>
                <w:rFonts w:ascii="Verdana" w:eastAsia="Calibri" w:hAnsi="Verdana" w:cs="Arial"/>
                <w:lang w:eastAsia="es-ES_tradnl"/>
              </w:rPr>
              <w:lastRenderedPageBreak/>
              <w:t>de los bienes instalados. En estos casos, el criterio determinante no es únicamente el componente presupuestal, sino la finalidad del contrato y el grado de intervención en el inmueble.</w:t>
            </w:r>
          </w:p>
          <w:p w14:paraId="6ADB245D" w14:textId="77777777" w:rsidR="00D40DFB" w:rsidRPr="00D40DFB" w:rsidRDefault="00D40DFB" w:rsidP="00D40DFB">
            <w:pPr>
              <w:spacing w:line="276" w:lineRule="auto"/>
              <w:ind w:firstLine="709"/>
              <w:jc w:val="both"/>
              <w:rPr>
                <w:rFonts w:ascii="Verdana" w:eastAsia="Calibri" w:hAnsi="Verdana" w:cs="Arial"/>
                <w:lang w:eastAsia="es-ES_tradnl"/>
              </w:rPr>
            </w:pPr>
            <w:r w:rsidRPr="00D40DFB">
              <w:rPr>
                <w:rFonts w:ascii="Verdana" w:eastAsia="Calibri" w:hAnsi="Verdana" w:cs="Arial"/>
                <w:lang w:eastAsia="es-ES_tradnl"/>
              </w:rPr>
              <w:t xml:space="preserve">En este contexto, a juicio de esta Agencia, es importante que la entidad realice una valoración integral de las actividades y obligaciones del contrato teniendo en cuenta los distintos criterios expuestos para para determinar el régimen contractual aplicable al contrato y por ende si deben aplicarse o no los Documentos Tipo del Sector Transporte expedidos por esta Agencia. </w:t>
            </w:r>
          </w:p>
          <w:p w14:paraId="740EF36D" w14:textId="77777777" w:rsidR="00D40DFB" w:rsidRPr="00D40DFB" w:rsidRDefault="00D40DFB" w:rsidP="00D40DFB">
            <w:pPr>
              <w:spacing w:line="276" w:lineRule="auto"/>
              <w:ind w:firstLine="709"/>
              <w:jc w:val="both"/>
              <w:rPr>
                <w:rFonts w:ascii="Verdana" w:eastAsia="Calibri" w:hAnsi="Verdana" w:cs="Arial"/>
                <w:lang w:eastAsia="es-ES_tradnl"/>
              </w:rPr>
            </w:pPr>
          </w:p>
          <w:p w14:paraId="7C9D8F29" w14:textId="77777777" w:rsidR="00D40DFB" w:rsidRPr="00D40DFB" w:rsidRDefault="00D40DFB" w:rsidP="00D40DFB">
            <w:pPr>
              <w:snapToGrid w:val="0"/>
              <w:spacing w:after="120" w:line="276" w:lineRule="auto"/>
              <w:jc w:val="both"/>
              <w:rPr>
                <w:rFonts w:ascii="Verdana" w:eastAsia="Times New Roman" w:hAnsi="Verdana" w:cs="Arial"/>
                <w:shd w:val="clear" w:color="auto" w:fill="FFFFFF"/>
                <w:lang w:val="es-ES_tradnl" w:eastAsia="es-ES_tradnl"/>
              </w:rPr>
            </w:pPr>
            <w:r w:rsidRPr="00D40DFB">
              <w:rPr>
                <w:rFonts w:ascii="Verdana" w:eastAsia="Aptos" w:hAnsi="Verdana" w:cs="Aptos"/>
              </w:rPr>
              <w:t>Sin perjuicio de las aclaraciones anteriores, debe advertirse que es la entidad contratante, al momento de adelantar sus actividades de planeación de cada proceso contractual, quien debe determinar si de acuerdo con las particularidades del contrato a ejecutar, este encaja o no dentro de alguna de las actividades de la matriz 1 de cada documento tipo, y si en consecuencia deben aplicarse o no determinados documentos tipo, conforme a los parámetros indicados en este concepto. Lo anterior sin que pueda apartarse de su aplicación cuando materialmente el objeto a contratar corresponde con alguna actividad de contemplada en dicha matriz.</w:t>
            </w:r>
            <w:r w:rsidRPr="00D40DFB">
              <w:rPr>
                <w:rFonts w:ascii="Verdana" w:eastAsia="Times New Roman" w:hAnsi="Verdana" w:cs="Arial"/>
                <w:shd w:val="clear" w:color="auto" w:fill="FFFFFF"/>
                <w:lang w:val="es-ES_tradnl" w:eastAsia="es-ES_tradnl"/>
              </w:rPr>
              <w:t xml:space="preserve"> </w:t>
            </w:r>
          </w:p>
          <w:p w14:paraId="438A0DC2" w14:textId="77777777" w:rsidR="00D40DFB" w:rsidRPr="00D40DFB" w:rsidRDefault="00D40DFB" w:rsidP="00D40DFB">
            <w:pPr>
              <w:spacing w:after="120" w:line="276" w:lineRule="auto"/>
              <w:ind w:firstLine="708"/>
              <w:jc w:val="both"/>
              <w:rPr>
                <w:rFonts w:ascii="Verdana" w:eastAsia="Aptos" w:hAnsi="Verdana" w:cs="Times New Roman"/>
              </w:rPr>
            </w:pPr>
            <w:r w:rsidRPr="00D40DFB">
              <w:rPr>
                <w:rFonts w:ascii="Verdana" w:eastAsia="Calibri" w:hAnsi="Verdana" w:cs="Arial"/>
                <w:bCs/>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223E9AAE" w14:textId="77777777" w:rsidR="00D40DFB" w:rsidRPr="00D40DFB" w:rsidRDefault="00D40DFB" w:rsidP="00D40DFB">
            <w:pPr>
              <w:spacing w:line="276" w:lineRule="auto"/>
              <w:ind w:firstLine="708"/>
              <w:jc w:val="both"/>
              <w:rPr>
                <w:rFonts w:ascii="Verdana" w:eastAsia="Calibri" w:hAnsi="Verdana" w:cs="Arial"/>
                <w:bCs/>
                <w:color w:val="000000"/>
              </w:rPr>
            </w:pPr>
            <w:r w:rsidRPr="00D40DFB">
              <w:rPr>
                <w:rFonts w:ascii="Verdana" w:eastAsia="Calibri" w:hAnsi="Verdana" w:cs="Arial"/>
                <w:bCs/>
                <w:color w:val="000000"/>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w:t>
            </w:r>
            <w:r w:rsidRPr="00D40DFB">
              <w:rPr>
                <w:rFonts w:ascii="Verdana" w:eastAsia="Calibri" w:hAnsi="Verdana" w:cs="Arial"/>
                <w:bCs/>
                <w:color w:val="000000"/>
              </w:rPr>
              <w:lastRenderedPageBreak/>
              <w:t xml:space="preserve">definirá la forma de adelantar su gestión contractual, sin que sea atribución de Colombia Compra Eficiente validar sus actuaciones. </w:t>
            </w:r>
          </w:p>
        </w:tc>
      </w:tr>
    </w:tbl>
    <w:p w14:paraId="3A7169FF" w14:textId="77777777" w:rsidR="00D40DFB" w:rsidRPr="00D40DFB" w:rsidRDefault="00D40DFB" w:rsidP="00D40DFB">
      <w:pPr>
        <w:tabs>
          <w:tab w:val="left" w:pos="142"/>
          <w:tab w:val="left" w:pos="284"/>
        </w:tabs>
        <w:spacing w:after="0" w:line="276" w:lineRule="auto"/>
        <w:jc w:val="both"/>
        <w:rPr>
          <w:rFonts w:ascii="Verdana" w:eastAsia="Century Gothic" w:hAnsi="Verdana" w:cs="Century Gothic"/>
          <w:b/>
          <w:bCs/>
        </w:rPr>
      </w:pPr>
    </w:p>
    <w:p w14:paraId="2BFC4164" w14:textId="77777777" w:rsidR="00D40DFB" w:rsidRPr="00D40DFB" w:rsidRDefault="00D40DFB" w:rsidP="00D40DFB">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D40DFB">
        <w:rPr>
          <w:rFonts w:ascii="Verdana" w:eastAsia="Century Gothic" w:hAnsi="Verdana" w:cs="Century Gothic"/>
          <w:b/>
          <w:bCs/>
        </w:rPr>
        <w:t>Razones de la respuesta:</w:t>
      </w:r>
    </w:p>
    <w:p w14:paraId="0765666F" w14:textId="77777777" w:rsidR="00D40DFB" w:rsidRPr="00D40DFB" w:rsidRDefault="00D40DFB" w:rsidP="00D40DFB">
      <w:pPr>
        <w:spacing w:after="0" w:line="276" w:lineRule="auto"/>
        <w:jc w:val="both"/>
        <w:rPr>
          <w:rFonts w:ascii="Verdana" w:eastAsia="Calibri" w:hAnsi="Verdana" w:cs="Arial"/>
          <w:lang w:val="es-ES"/>
        </w:rPr>
      </w:pPr>
    </w:p>
    <w:p w14:paraId="58176047" w14:textId="77777777" w:rsidR="00D40DFB" w:rsidRPr="00D40DFB" w:rsidRDefault="00D40DFB" w:rsidP="00D40DFB">
      <w:pPr>
        <w:spacing w:after="0" w:line="276" w:lineRule="auto"/>
        <w:jc w:val="both"/>
        <w:rPr>
          <w:rFonts w:ascii="Verdana" w:eastAsia="Calibri" w:hAnsi="Verdana" w:cs="Arial"/>
          <w:lang w:val="es-ES"/>
        </w:rPr>
      </w:pPr>
      <w:r w:rsidRPr="00D40DFB">
        <w:rPr>
          <w:rFonts w:ascii="Verdana" w:eastAsia="Calibri" w:hAnsi="Verdana" w:cs="Arial"/>
          <w:lang w:val="es-ES"/>
        </w:rPr>
        <w:t xml:space="preserve">Lo anterior se sustenta en las siguientes consideraciones: </w:t>
      </w:r>
    </w:p>
    <w:p w14:paraId="13D5673A" w14:textId="77777777" w:rsidR="00D40DFB" w:rsidRPr="00D40DFB" w:rsidRDefault="00D40DFB" w:rsidP="00D40DFB">
      <w:pPr>
        <w:spacing w:after="0" w:line="276" w:lineRule="auto"/>
        <w:jc w:val="both"/>
        <w:rPr>
          <w:rFonts w:ascii="Verdana" w:eastAsia="Calibri" w:hAnsi="Verdana" w:cs="Arial"/>
          <w:lang w:val="es-ES"/>
        </w:rPr>
      </w:pPr>
    </w:p>
    <w:p w14:paraId="7CE5D0F7" w14:textId="77777777" w:rsidR="00D40DFB" w:rsidRPr="00D40DFB" w:rsidRDefault="00D40DFB" w:rsidP="00D40DFB">
      <w:pPr>
        <w:spacing w:after="120" w:line="276" w:lineRule="auto"/>
        <w:jc w:val="both"/>
        <w:rPr>
          <w:rFonts w:ascii="Verdana" w:eastAsia="Aptos" w:hAnsi="Verdana" w:cs="Arial"/>
        </w:rPr>
      </w:pPr>
      <w:r w:rsidRPr="00D40DFB">
        <w:rPr>
          <w:rFonts w:ascii="Verdana" w:eastAsia="Aptos" w:hAnsi="Verdana" w:cs="Arial"/>
        </w:rPr>
        <w:t>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178E9D14" w14:textId="77777777" w:rsidR="00D40DFB" w:rsidRPr="00D40DFB" w:rsidRDefault="00D40DFB" w:rsidP="00D40DFB">
      <w:pPr>
        <w:spacing w:after="120" w:line="276" w:lineRule="auto"/>
        <w:ind w:firstLine="708"/>
        <w:jc w:val="both"/>
        <w:rPr>
          <w:rFonts w:ascii="Verdana" w:eastAsia="Aptos" w:hAnsi="Verdana" w:cs="Arial"/>
          <w:lang w:val="es-ES"/>
        </w:rPr>
      </w:pPr>
      <w:r w:rsidRPr="00D40DFB">
        <w:rPr>
          <w:rFonts w:ascii="Verdana" w:eastAsia="Aptos" w:hAnsi="Verdana" w:cs="Arial"/>
          <w:lang w:val="es-ES"/>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p>
    <w:p w14:paraId="552CB9CB" w14:textId="77777777" w:rsidR="00D40DFB" w:rsidRPr="00D40DFB" w:rsidRDefault="00D40DFB" w:rsidP="00D40DFB">
      <w:pPr>
        <w:spacing w:after="120" w:line="276" w:lineRule="auto"/>
        <w:ind w:firstLine="708"/>
        <w:jc w:val="both"/>
        <w:rPr>
          <w:rFonts w:ascii="Verdana" w:eastAsia="Aptos" w:hAnsi="Verdana" w:cs="ArialMT"/>
          <w:kern w:val="2"/>
          <w14:ligatures w14:val="standardContextual"/>
        </w:rPr>
      </w:pPr>
      <w:r w:rsidRPr="00D40DFB">
        <w:rPr>
          <w:rFonts w:ascii="Verdana" w:eastAsia="Aptos" w:hAnsi="Verdana" w:cs="ArialMT"/>
          <w:kern w:val="2"/>
          <w14:ligatures w14:val="standardContextual"/>
        </w:rPr>
        <w:t>En el sector de infraestructura de transporte, la Agencia Nacional de Contratación Pública – Colombia Compra Eficiente expidió documentos tipo para contratar obras públicas de infraestructura de transporte bajo las modalidades de selección de licitación pública, selección abreviada de menor cuantía y mínima cuantía. Así mismo, esta Agencia expidió documentos tipo de concurso de méritos para contratar la interventoría y la consultoría de estudios de ingeniería de infraestructura de transporte</w:t>
      </w:r>
      <w:r w:rsidRPr="00D40DFB">
        <w:rPr>
          <w:rFonts w:ascii="Verdana" w:eastAsia="Calibri" w:hAnsi="Verdana" w:cs="Times New Roman"/>
          <w:kern w:val="2"/>
          <w:vertAlign w:val="superscript"/>
          <w14:ligatures w14:val="standardContextual"/>
        </w:rPr>
        <w:footnoteReference w:id="2"/>
      </w:r>
      <w:r w:rsidRPr="00D40DFB">
        <w:rPr>
          <w:rFonts w:ascii="Verdana" w:eastAsia="Aptos" w:hAnsi="Verdana" w:cs="ArialMT"/>
          <w:kern w:val="2"/>
          <w14:ligatures w14:val="standardContextual"/>
        </w:rPr>
        <w:t xml:space="preserve">. </w:t>
      </w:r>
    </w:p>
    <w:p w14:paraId="2FE07D0F" w14:textId="77777777" w:rsidR="00D40DFB" w:rsidRPr="00D40DFB" w:rsidRDefault="00D40DFB" w:rsidP="00D40DFB">
      <w:pPr>
        <w:spacing w:after="120" w:line="276" w:lineRule="auto"/>
        <w:ind w:firstLine="708"/>
        <w:jc w:val="both"/>
        <w:rPr>
          <w:rFonts w:ascii="Verdana" w:eastAsia="Aptos" w:hAnsi="Verdana" w:cs="Arial"/>
          <w:kern w:val="2"/>
          <w14:ligatures w14:val="standardContextual"/>
        </w:rPr>
      </w:pPr>
      <w:r w:rsidRPr="00D40DFB">
        <w:rPr>
          <w:rFonts w:ascii="Verdana" w:eastAsia="Aptos" w:hAnsi="Verdana" w:cs="Arial"/>
          <w:kern w:val="2"/>
          <w14:ligatures w14:val="standardContextual"/>
        </w:rPr>
        <w:lastRenderedPageBreak/>
        <w:t xml:space="preserve">Concretamente, teniendo en cuenta que en su solicitud se mencionan los documentos tipo de obra pública de infraestructura de transporte para procesos adelantados bajo la modalidad de mínima cuantía. Sobre el particular le indicamos que, estos documentos se actualizaron por esta Agencia mediante la Resolución 464 del 10 de septiembre de 2024, y aplican para los procesos de selección cuya </w:t>
      </w:r>
      <w:r w:rsidRPr="00D40DFB">
        <w:rPr>
          <w:rFonts w:ascii="Verdana" w:eastAsia="Aptos" w:hAnsi="Verdana" w:cs="Times New Roman"/>
          <w:kern w:val="2"/>
          <w14:ligatures w14:val="standardContextual"/>
        </w:rPr>
        <w:t>invitación se publique partir del 3 de febrero de 2025.</w:t>
      </w:r>
    </w:p>
    <w:p w14:paraId="522A79E5" w14:textId="77777777" w:rsidR="00D40DFB" w:rsidRPr="00D40DFB" w:rsidRDefault="00D40DFB" w:rsidP="00D40DFB">
      <w:pPr>
        <w:spacing w:before="120" w:after="120" w:line="276" w:lineRule="auto"/>
        <w:ind w:firstLine="709"/>
        <w:jc w:val="both"/>
        <w:rPr>
          <w:rFonts w:ascii="Verdana" w:eastAsia="Calibri" w:hAnsi="Verdana" w:cs="Arial"/>
          <w:kern w:val="2"/>
          <w14:ligatures w14:val="standardContextual"/>
        </w:rPr>
      </w:pPr>
      <w:r w:rsidRPr="00D40DFB">
        <w:rPr>
          <w:rFonts w:ascii="Verdana" w:eastAsia="Calibri" w:hAnsi="Verdana" w:cs="Arial"/>
          <w:kern w:val="2"/>
          <w14:ligatures w14:val="standardContextual"/>
        </w:rPr>
        <w:t>Estos documentos tipo son de carácter obligatorio en la actividad contractual de las Entidades Estatales sometidas al Estatuto General de Contratación de la Administración Pública. Asimismo, su aplicación es exigible a los patrimonios autónomos y a las personas naturales o jurídicas de derecho público que, por mandato legal, estén obligadas a su implementación.</w:t>
      </w:r>
    </w:p>
    <w:p w14:paraId="4293310A" w14:textId="77777777" w:rsidR="00D40DFB" w:rsidRPr="00D40DFB" w:rsidRDefault="00D40DFB" w:rsidP="00D40DFB">
      <w:pPr>
        <w:widowControl w:val="0"/>
        <w:autoSpaceDE w:val="0"/>
        <w:autoSpaceDN w:val="0"/>
        <w:spacing w:after="120" w:line="276" w:lineRule="auto"/>
        <w:ind w:firstLine="708"/>
        <w:jc w:val="both"/>
        <w:rPr>
          <w:rFonts w:ascii="Verdana" w:eastAsia="Calibri" w:hAnsi="Verdana" w:cs="Arial"/>
          <w:kern w:val="2"/>
          <w14:ligatures w14:val="standardContextual"/>
        </w:rPr>
      </w:pPr>
      <w:r w:rsidRPr="00D40DFB">
        <w:rPr>
          <w:rFonts w:ascii="Verdana" w:eastAsia="Calibri" w:hAnsi="Verdana" w:cs="Arial"/>
          <w:kern w:val="2"/>
          <w14:ligatures w14:val="standardContextual"/>
        </w:rPr>
        <w:t xml:space="preserve">En consecuencia, los obligados a su aplicación, al adelantar sus procedimientos de selección, solo podrán modificarlos en los aspectos que los Documentos Tipo lo permitan. </w:t>
      </w:r>
      <w:r w:rsidRPr="00D40DFB">
        <w:rPr>
          <w:rFonts w:ascii="Verdana" w:eastAsia="Calibri" w:hAnsi="Verdana" w:cs="Times New Roman"/>
          <w:kern w:val="2"/>
          <w:lang w:val="es-ES"/>
          <w14:ligatures w14:val="standardContextual"/>
        </w:rPr>
        <w:t xml:space="preserve">Esto corresponde a aquellos aspectos que se encuentran entre corchetes y resaltados en gris </w:t>
      </w:r>
      <w:r w:rsidRPr="00D40DFB">
        <w:rPr>
          <w:rFonts w:ascii="Verdana" w:eastAsia="Calibri" w:hAnsi="Verdana" w:cs="Times New Roman"/>
          <w:kern w:val="2"/>
          <w:shd w:val="clear" w:color="auto" w:fill="E8E8E8"/>
          <w:lang w:val="es-ES"/>
          <w14:ligatures w14:val="standardContextual"/>
        </w:rPr>
        <w:t>–[texto]–,</w:t>
      </w:r>
      <w:r w:rsidRPr="00D40DFB">
        <w:rPr>
          <w:rFonts w:ascii="Verdana" w:eastAsia="Calibri" w:hAnsi="Verdana" w:cs="Times New Roman"/>
          <w:kern w:val="2"/>
          <w:lang w:val="es-ES"/>
          <w14:ligatures w14:val="standardContextual"/>
        </w:rPr>
        <w:t xml:space="preserve"> para lo cual deberán observarse las instrucciones contenidas en los mismos para su diligenciamiento.</w:t>
      </w:r>
    </w:p>
    <w:p w14:paraId="23CD2739" w14:textId="77777777" w:rsidR="00D40DFB" w:rsidRPr="00D40DFB" w:rsidRDefault="00D40DFB" w:rsidP="00D40DFB">
      <w:pPr>
        <w:widowControl w:val="0"/>
        <w:autoSpaceDE w:val="0"/>
        <w:autoSpaceDN w:val="0"/>
        <w:spacing w:after="120" w:line="276" w:lineRule="auto"/>
        <w:ind w:firstLine="708"/>
        <w:jc w:val="both"/>
        <w:rPr>
          <w:rFonts w:ascii="Verdana" w:eastAsia="Calibri" w:hAnsi="Verdana" w:cs="Times New Roman"/>
          <w:lang w:val="es-ES"/>
        </w:rPr>
      </w:pPr>
      <w:r w:rsidRPr="00D40DFB">
        <w:rPr>
          <w:rFonts w:ascii="Verdana" w:eastAsia="Calibri" w:hAnsi="Verdana" w:cs="Times New Roman"/>
          <w:lang w:val="es-ES"/>
        </w:rPr>
        <w:t xml:space="preserve">Por lo tanto, la entidad solo podrá modificar aspectos de los Documentos </w:t>
      </w:r>
      <w:r w:rsidRPr="00D40DFB">
        <w:rPr>
          <w:rFonts w:ascii="Verdana" w:eastAsia="Calibri" w:hAnsi="Verdana" w:cs="Times New Roman"/>
          <w:lang w:val="es-ES"/>
        </w:rPr>
        <w:lastRenderedPageBreak/>
        <w:t xml:space="preserve">Tipo cuando así esté permitido, en los términos expuestos. Lo anterior implica que, en los apartes en que los Documentos Tipo no lo permitan, la entidad deberá integrar el contenido de estos a su proceso de contratación sin ningún tipo de alteración. </w:t>
      </w:r>
    </w:p>
    <w:p w14:paraId="10668057" w14:textId="77777777" w:rsidR="00D40DFB" w:rsidRPr="00D40DFB" w:rsidRDefault="00D40DFB" w:rsidP="00D40DFB">
      <w:pPr>
        <w:widowControl w:val="0"/>
        <w:autoSpaceDE w:val="0"/>
        <w:autoSpaceDN w:val="0"/>
        <w:spacing w:after="120" w:line="276" w:lineRule="auto"/>
        <w:ind w:firstLine="708"/>
        <w:jc w:val="both"/>
        <w:rPr>
          <w:rFonts w:ascii="Verdana" w:eastAsia="Calibri" w:hAnsi="Verdana" w:cs="Times New Roman"/>
          <w:lang w:val="es-ES"/>
        </w:rPr>
      </w:pPr>
      <w:r w:rsidRPr="00D40DFB">
        <w:rPr>
          <w:rFonts w:ascii="Verdana" w:eastAsia="Calibri" w:hAnsi="Verdana" w:cs="Times New Roman"/>
          <w:lang w:val="es-ES"/>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475639C9" w14:textId="77777777" w:rsidR="00D40DFB" w:rsidRPr="00D40DFB" w:rsidRDefault="00D40DFB" w:rsidP="00D40DFB">
      <w:pPr>
        <w:widowControl w:val="0"/>
        <w:autoSpaceDE w:val="0"/>
        <w:autoSpaceDN w:val="0"/>
        <w:spacing w:after="120" w:line="276" w:lineRule="auto"/>
        <w:ind w:firstLine="708"/>
        <w:jc w:val="both"/>
        <w:rPr>
          <w:rFonts w:ascii="Verdana" w:eastAsia="Calibri" w:hAnsi="Verdana" w:cs="Times New Roman"/>
          <w:lang w:val="es-ES"/>
        </w:rPr>
      </w:pPr>
      <w:r w:rsidRPr="00D40DFB">
        <w:rPr>
          <w:rFonts w:ascii="Verdana" w:eastAsia="Calibri" w:hAnsi="Verdana" w:cs="Times New Roman"/>
          <w:lang w:val="es-ES"/>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51F3A5FE" w14:textId="77777777" w:rsidR="00D40DFB" w:rsidRPr="00D40DFB" w:rsidRDefault="00D40DFB" w:rsidP="00D40DFB">
      <w:pPr>
        <w:widowControl w:val="0"/>
        <w:autoSpaceDE w:val="0"/>
        <w:autoSpaceDN w:val="0"/>
        <w:spacing w:after="120" w:line="276" w:lineRule="auto"/>
        <w:ind w:firstLine="708"/>
        <w:jc w:val="both"/>
        <w:rPr>
          <w:rFonts w:ascii="Verdana" w:eastAsia="Calibri" w:hAnsi="Verdana" w:cs="Times New Roman"/>
          <w:lang w:val="es-ES"/>
        </w:rPr>
      </w:pPr>
      <w:r w:rsidRPr="00D40DFB">
        <w:rPr>
          <w:rFonts w:ascii="Verdana" w:eastAsia="Calibri" w:hAnsi="Verdana" w:cs="Times New Roman"/>
          <w:lang w:val="es-ES"/>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0B33D02D" w14:textId="77777777" w:rsidR="00D40DFB" w:rsidRPr="00D40DFB" w:rsidRDefault="00D40DFB" w:rsidP="00D40DFB">
      <w:pPr>
        <w:widowControl w:val="0"/>
        <w:autoSpaceDE w:val="0"/>
        <w:autoSpaceDN w:val="0"/>
        <w:spacing w:after="0" w:line="276" w:lineRule="auto"/>
        <w:ind w:firstLine="708"/>
        <w:jc w:val="both"/>
        <w:rPr>
          <w:rFonts w:ascii="Verdana" w:eastAsia="Calibri" w:hAnsi="Verdana" w:cs="Times New Roman"/>
          <w:lang w:val="es-ES"/>
        </w:rPr>
      </w:pPr>
      <w:r w:rsidRPr="00D40DFB">
        <w:rPr>
          <w:rFonts w:ascii="Verdana" w:eastAsia="Calibri" w:hAnsi="Verdana" w:cs="Times New Roman"/>
          <w:lang w:val="es-ES"/>
        </w:rPr>
        <w:t xml:space="preserve">De esta manera, para saber a qué actividades deben aplicarse los Documentos Tipo de mínima cuantía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w:t>
      </w:r>
      <w:r w:rsidRPr="00D40DFB">
        <w:rPr>
          <w:rFonts w:ascii="Verdana" w:eastAsia="Calibri" w:hAnsi="Verdana" w:cs="Times New Roman"/>
          <w:lang w:val="es-ES"/>
        </w:rPr>
        <w:lastRenderedPageBreak/>
        <w:t>no será forzosa su aplicación.</w:t>
      </w:r>
    </w:p>
    <w:p w14:paraId="5DC60C16" w14:textId="77777777" w:rsidR="00D40DFB" w:rsidRPr="00D40DFB" w:rsidRDefault="00D40DFB" w:rsidP="00D40DFB">
      <w:pPr>
        <w:widowControl w:val="0"/>
        <w:autoSpaceDE w:val="0"/>
        <w:autoSpaceDN w:val="0"/>
        <w:spacing w:after="0" w:line="276" w:lineRule="auto"/>
        <w:jc w:val="both"/>
        <w:rPr>
          <w:rFonts w:ascii="Verdana" w:eastAsia="Calibri" w:hAnsi="Verdana" w:cs="Times New Roman"/>
          <w:lang w:val="es-ES"/>
        </w:rPr>
      </w:pPr>
    </w:p>
    <w:p w14:paraId="11CA9B9C" w14:textId="77777777" w:rsidR="00D40DFB" w:rsidRPr="00D40DFB" w:rsidRDefault="00D40DFB" w:rsidP="00D40DFB">
      <w:pPr>
        <w:snapToGrid w:val="0"/>
        <w:spacing w:after="120" w:line="276" w:lineRule="auto"/>
        <w:jc w:val="both"/>
        <w:rPr>
          <w:rFonts w:ascii="Verdana" w:eastAsia="Calibri" w:hAnsi="Verdana" w:cs="Times New Roman"/>
          <w:lang w:val="es-ES"/>
        </w:rPr>
      </w:pPr>
      <w:proofErr w:type="spellStart"/>
      <w:r w:rsidRPr="00D40DFB">
        <w:rPr>
          <w:rFonts w:ascii="Verdana" w:eastAsia="Calibri" w:hAnsi="Verdana" w:cs="Times New Roman"/>
          <w:lang w:val="es-ES"/>
        </w:rPr>
        <w:t>ii</w:t>
      </w:r>
      <w:proofErr w:type="spellEnd"/>
      <w:r w:rsidRPr="00D40DFB">
        <w:rPr>
          <w:rFonts w:ascii="Verdana" w:eastAsia="Calibri" w:hAnsi="Verdana" w:cs="Times New Roman"/>
          <w:lang w:val="es-ES"/>
        </w:rPr>
        <w:t>. La parte introductoria de la invitación de los documentos tipo adoptados por medio de la Resolución 464 del 10 de septiembre de 2024, dispone que estos aplican a</w:t>
      </w:r>
      <w:r w:rsidRPr="00D40DFB">
        <w:rPr>
          <w:rFonts w:ascii="Verdana" w:eastAsia="Cambria Math" w:hAnsi="Verdana" w:cs="Arial"/>
          <w:color w:val="000000"/>
          <w:kern w:val="2"/>
          <w14:ligatures w14:val="standardContextual"/>
        </w:rPr>
        <w:t xml:space="preserve"> los procesos de mínima cuantía de obra pública de infraestructura de transporte que correspondan a las actividades definidas en la Matriz 1 – Experiencia</w:t>
      </w:r>
      <w:r w:rsidRPr="00D40DFB">
        <w:rPr>
          <w:rFonts w:ascii="Verdana" w:eastAsia="Calibri" w:hAnsi="Verdana" w:cs="Times New Roman"/>
          <w:lang w:val="es-ES"/>
        </w:rPr>
        <w:t>. En consecuencia, las actividades de infraestructura de transporte no contempladas en la Matriz 1 – Experiencia no tienen que aplicar los documentos tipo; sin perjuicio de lo previsto en el artículo 3 de la Resolución 464 de 2024, en donde se indica la posibilidad de exigir experiencia adicional en determinados supuestos.</w:t>
      </w:r>
    </w:p>
    <w:p w14:paraId="24C06D91" w14:textId="77777777" w:rsidR="00D40DFB" w:rsidRPr="00D40DFB" w:rsidRDefault="00D40DFB" w:rsidP="00D40DFB">
      <w:pPr>
        <w:snapToGrid w:val="0"/>
        <w:spacing w:after="120" w:line="276" w:lineRule="auto"/>
        <w:ind w:firstLine="644"/>
        <w:jc w:val="both"/>
        <w:rPr>
          <w:rFonts w:ascii="Verdana" w:eastAsia="Times New Roman" w:hAnsi="Verdana" w:cs="Arial"/>
          <w:kern w:val="2"/>
          <w:shd w:val="clear" w:color="auto" w:fill="FFFFFF"/>
          <w:lang w:val="es-ES" w:eastAsia="es-ES"/>
          <w14:ligatures w14:val="standardContextual"/>
        </w:rPr>
      </w:pPr>
      <w:r w:rsidRPr="00D40DFB">
        <w:rPr>
          <w:rFonts w:ascii="Verdana" w:eastAsia="Calibri" w:hAnsi="Verdana" w:cs="Times New Roman"/>
          <w:lang w:val="es-ES"/>
        </w:rPr>
        <w:tab/>
      </w:r>
      <w:r w:rsidRPr="00D40DFB">
        <w:rPr>
          <w:rFonts w:ascii="Verdana" w:eastAsia="Aptos" w:hAnsi="Verdana" w:cs="Arial"/>
          <w:color w:val="000000"/>
          <w:kern w:val="2"/>
          <w14:ligatures w14:val="standardContextual"/>
        </w:rPr>
        <w:t xml:space="preserve">La Matriz 1 – Experiencia de los documentos tipo señalados, está constituida por nueve (9) tipos de obras de infraestructura de transporte, identificadas con un número y su descripción, estas son: 1) obras en vías primarias o secundarias, 2) obras en vías terciarias, 3) obras marítimas y fluviales, 4) obras en vías primarias o secundarias o terciarias o urbanas para atención, prevención o mitigación de emergencias diferentes a contratación directa, 5) obras férreas, 6) obras de infraestructura vial urbana, 7) obras en puentes, 8) obras aeroportuarias y 9) Obras en túneles. Estas determinan el marco para la aplicación de los documentos tipo de infraestructura de transporte, dado que comprenden todas aquellas actividades que constituyen obra pública de infraestructura de transporte y que han sido objeto de estandarización mediante la Resolución </w:t>
      </w:r>
      <w:r w:rsidRPr="00D40DFB">
        <w:rPr>
          <w:rFonts w:ascii="Verdana" w:eastAsia="Calibri" w:hAnsi="Verdana" w:cs="Times New Roman"/>
          <w:lang w:val="es-ES"/>
        </w:rPr>
        <w:t>464 del 10 de septiembre de 2024.</w:t>
      </w:r>
    </w:p>
    <w:p w14:paraId="05380881" w14:textId="77777777" w:rsidR="00D40DFB" w:rsidRPr="00D40DFB" w:rsidRDefault="00D40DFB" w:rsidP="00D40DFB">
      <w:pPr>
        <w:snapToGrid w:val="0"/>
        <w:spacing w:after="120" w:line="276" w:lineRule="auto"/>
        <w:ind w:firstLine="644"/>
        <w:jc w:val="both"/>
        <w:rPr>
          <w:rFonts w:ascii="Verdana" w:eastAsia="Aptos" w:hAnsi="Verdana" w:cs="Arial"/>
          <w:color w:val="000000"/>
          <w:kern w:val="2"/>
          <w14:ligatures w14:val="standardContextual"/>
        </w:rPr>
      </w:pPr>
      <w:r w:rsidRPr="00D40DFB">
        <w:rPr>
          <w:rFonts w:ascii="Verdana" w:eastAsia="Aptos" w:hAnsi="Verdana" w:cs="Arial"/>
          <w:color w:val="000000"/>
          <w:kern w:val="2"/>
          <w14:ligatures w14:val="standardContextual"/>
        </w:rPr>
        <w:t xml:space="preserve">Con respecto a la actividad a contratar, la Matriz 1 establece cuáles son las que corresponden a cada uno de los tipos de infraestructura mencionados, con el fin de que la entidad identifique aquellas en las cuales puede encuadrarse, de mejor forma, el objeto que pretende ejecutar y determinar los requisitos de experiencia exigibles. </w:t>
      </w:r>
    </w:p>
    <w:p w14:paraId="51AAF283" w14:textId="77777777" w:rsidR="00D40DFB" w:rsidRPr="00D40DFB" w:rsidRDefault="00D40DFB" w:rsidP="00D40DFB">
      <w:pPr>
        <w:snapToGrid w:val="0"/>
        <w:spacing w:before="120" w:after="120" w:line="276" w:lineRule="auto"/>
        <w:ind w:firstLine="644"/>
        <w:jc w:val="both"/>
        <w:rPr>
          <w:rFonts w:ascii="Verdana" w:eastAsia="Times New Roman" w:hAnsi="Verdana" w:cs="Times New Roman"/>
          <w:lang w:eastAsia="es-CO"/>
        </w:rPr>
      </w:pPr>
      <w:r w:rsidRPr="00D40DFB">
        <w:rPr>
          <w:rFonts w:ascii="Verdana" w:eastAsia="Aptos" w:hAnsi="Verdana" w:cs="Times New Roman"/>
          <w:kern w:val="2"/>
          <w14:ligatures w14:val="standardContextual"/>
        </w:rPr>
        <w:t>Teniendo en cuenta su consulta, previo a resolver los problemas jurídicos que plantea, le corresponde a esta Agencia determinar si los documentos tipo de mínima cuantía de obra pública de infraestructura de transporte resultan aplicables para realizar actividades sobre alumbrado público, particularmente la actividad de instalación de “cambio y puesta en funcionamiento de lámparas y luminarias de Alumbrado Público”.</w:t>
      </w:r>
      <w:r w:rsidRPr="00D40DFB">
        <w:rPr>
          <w:rFonts w:ascii="Verdana" w:eastAsia="Aptos" w:hAnsi="Verdana" w:cs="Arial"/>
          <w:color w:val="000000"/>
          <w:kern w:val="2"/>
          <w14:ligatures w14:val="standardContextual"/>
        </w:rPr>
        <w:t xml:space="preserve"> </w:t>
      </w:r>
      <w:r w:rsidRPr="00D40DFB">
        <w:rPr>
          <w:rFonts w:ascii="Verdana" w:eastAsia="Times New Roman" w:hAnsi="Verdana" w:cs="Times New Roman"/>
          <w:lang w:eastAsia="es-CO"/>
        </w:rPr>
        <w:t xml:space="preserve">En esta medida, corresponde verificar si el </w:t>
      </w:r>
      <w:r w:rsidRPr="00D40DFB">
        <w:rPr>
          <w:rFonts w:ascii="Verdana" w:eastAsia="Times New Roman" w:hAnsi="Verdana" w:cs="Times New Roman"/>
          <w:lang w:eastAsia="es-CO"/>
        </w:rPr>
        <w:lastRenderedPageBreak/>
        <w:t xml:space="preserve">objeto a contratar es subsumible en alguna de las actividades contempladas en la Matriz 1 – Experiencia, para el respectivo tipo de obra. </w:t>
      </w:r>
    </w:p>
    <w:p w14:paraId="26266787" w14:textId="77777777" w:rsidR="00D40DFB" w:rsidRPr="00D40DFB" w:rsidRDefault="00D40DFB" w:rsidP="00D40DFB">
      <w:pPr>
        <w:snapToGrid w:val="0"/>
        <w:spacing w:after="0" w:line="276" w:lineRule="auto"/>
        <w:ind w:firstLine="644"/>
        <w:jc w:val="both"/>
        <w:rPr>
          <w:rFonts w:ascii="Verdana" w:eastAsia="Aptos" w:hAnsi="Verdana" w:cs="Times New Roman"/>
          <w:kern w:val="2"/>
          <w14:ligatures w14:val="standardContextual"/>
        </w:rPr>
      </w:pPr>
      <w:r w:rsidRPr="00D40DFB">
        <w:rPr>
          <w:rFonts w:ascii="Verdana" w:eastAsia="Aptos" w:hAnsi="Verdana" w:cs="Times New Roman"/>
          <w:kern w:val="2"/>
          <w14:ligatures w14:val="standardContextual"/>
        </w:rPr>
        <w:t xml:space="preserve">La Agencia Nacional de Contratación Pública – Colombia Compra Eficiente, en el concepto C-740 del 21 de julio de 2026, indicó que </w:t>
      </w:r>
      <w:r w:rsidRPr="00D40DFB">
        <w:rPr>
          <w:rFonts w:ascii="Verdana" w:eastAsia="Aptos" w:hAnsi="Verdana" w:cs="Times New Roman"/>
          <w:i/>
          <w:iCs/>
          <w:kern w:val="2"/>
          <w14:ligatures w14:val="standardContextual"/>
        </w:rPr>
        <w:t>“(…) no existe un documento tipo que de manera particular incluya las actividades de alumbrado público”.</w:t>
      </w:r>
      <w:r w:rsidRPr="00D40DFB">
        <w:rPr>
          <w:rFonts w:ascii="Verdana" w:eastAsia="Aptos" w:hAnsi="Verdana" w:cs="Times New Roman"/>
          <w:kern w:val="2"/>
          <w14:ligatures w14:val="standardContextual"/>
        </w:rPr>
        <w:t xml:space="preserve"> Sin perjuicio de lo anterior, le indicamos que, revisada la Matriz 1 – Experiencia de los documentos tipo adoptados mediante la Resolución No. 464 de 2024, se incluyen las siguientes actividades en las que eventualmente puede enmarcarse la actividad de instalación de luminarias de alumbrado público:</w:t>
      </w:r>
    </w:p>
    <w:p w14:paraId="2A5E7B03" w14:textId="77777777" w:rsidR="00D40DFB" w:rsidRPr="00D40DFB" w:rsidRDefault="00D40DFB" w:rsidP="00D40DFB">
      <w:pPr>
        <w:snapToGrid w:val="0"/>
        <w:spacing w:after="0" w:line="276" w:lineRule="auto"/>
        <w:ind w:firstLine="644"/>
        <w:jc w:val="both"/>
        <w:rPr>
          <w:rFonts w:ascii="Verdana" w:eastAsia="Calibri" w:hAnsi="Verdana" w:cs="Arial"/>
          <w:color w:val="0D0D0D"/>
          <w:lang w:val="es-MX"/>
        </w:rPr>
      </w:pPr>
    </w:p>
    <w:p w14:paraId="05A1FB2F" w14:textId="77777777" w:rsidR="00D40DFB" w:rsidRPr="00D40DFB" w:rsidRDefault="00D40DFB" w:rsidP="00D40DFB">
      <w:pPr>
        <w:spacing w:after="0" w:line="240" w:lineRule="auto"/>
        <w:ind w:left="709" w:right="709"/>
        <w:jc w:val="both"/>
        <w:rPr>
          <w:rFonts w:ascii="Verdana" w:eastAsia="Calibri" w:hAnsi="Verdana" w:cs="Times New Roman"/>
          <w:kern w:val="2"/>
          <w:sz w:val="21"/>
          <w:szCs w:val="21"/>
          <w14:ligatures w14:val="standardContextual"/>
        </w:rPr>
      </w:pPr>
      <w:r w:rsidRPr="00D40DFB">
        <w:rPr>
          <w:rFonts w:ascii="Verdana" w:eastAsia="Calibri" w:hAnsi="Verdana" w:cs="Arial"/>
          <w:color w:val="0D0D0D"/>
          <w:sz w:val="21"/>
          <w:szCs w:val="21"/>
          <w:lang w:val="es-MX"/>
        </w:rPr>
        <w:t>“</w:t>
      </w:r>
      <w:r w:rsidRPr="00D40DFB">
        <w:rPr>
          <w:rFonts w:ascii="Verdana" w:eastAsia="Calibri" w:hAnsi="Verdana" w:cs="Times New Roman"/>
          <w:kern w:val="2"/>
          <w:sz w:val="21"/>
          <w:szCs w:val="21"/>
          <w14:ligatures w14:val="standardContextual"/>
        </w:rPr>
        <w:t>1.9. PROYECTOS DE INSTALACION O MANTENIMIENTO CORRECTIVO O MANTENIMIENTO PREVENTIVO  O  AMPLIACIÓN  DE INFRAESTRUCTURA ELECTRICA ASOCIADA A LA INFRAESTRUCTURA DE TRANSPORTE EN VIAS PRIMARIAS O SECUNDARIAS.”</w:t>
      </w:r>
    </w:p>
    <w:p w14:paraId="322DEC6D" w14:textId="77777777" w:rsidR="00D40DFB" w:rsidRPr="00D40DFB" w:rsidRDefault="00D40DFB" w:rsidP="00D40DFB">
      <w:pPr>
        <w:spacing w:after="0" w:line="240" w:lineRule="auto"/>
        <w:ind w:left="709" w:right="709"/>
        <w:jc w:val="both"/>
        <w:rPr>
          <w:rFonts w:ascii="Verdana" w:eastAsia="Calibri" w:hAnsi="Verdana" w:cs="Times New Roman"/>
          <w:kern w:val="2"/>
          <w:sz w:val="21"/>
          <w:szCs w:val="21"/>
          <w14:ligatures w14:val="standardContextual"/>
        </w:rPr>
      </w:pPr>
    </w:p>
    <w:p w14:paraId="26D3EDD6" w14:textId="77777777" w:rsidR="00D40DFB" w:rsidRPr="00D40DFB" w:rsidRDefault="00D40DFB" w:rsidP="00D40DFB">
      <w:pPr>
        <w:spacing w:after="0" w:line="240" w:lineRule="auto"/>
        <w:ind w:left="709" w:right="709"/>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“2.6 PROYECTOS DE INSTALACION O MANTENIMIENTO CORRECTIVO O MANTENIMIENTO PREVENTIVO  O  AMPLIACIÓN  DE INFRAESTRUCTURA ELECTRICA ASOCIADA A LA INFRAESTRUCTURA DE TRANSPORTE EN VIAS PRIMARIAS O SECUNDARIAS</w:t>
      </w:r>
      <w:r w:rsidRPr="00D40DFB">
        <w:rPr>
          <w:rFonts w:ascii="Verdana" w:eastAsia="Calibri" w:hAnsi="Verdana" w:cs="Arial"/>
          <w:color w:val="0D0D0D"/>
          <w:sz w:val="21"/>
          <w:szCs w:val="21"/>
        </w:rPr>
        <w:t xml:space="preserve">”. </w:t>
      </w:r>
    </w:p>
    <w:p w14:paraId="2B57F539" w14:textId="77777777" w:rsidR="00D40DFB" w:rsidRPr="00D40DFB" w:rsidRDefault="00D40DFB" w:rsidP="00D40DFB">
      <w:pPr>
        <w:spacing w:after="0" w:line="276" w:lineRule="auto"/>
        <w:jc w:val="both"/>
        <w:rPr>
          <w:rFonts w:ascii="Verdana" w:eastAsia="Calibri" w:hAnsi="Verdana" w:cs="Arial"/>
          <w:color w:val="0D0D0D"/>
          <w:lang w:val="es-MX"/>
        </w:rPr>
      </w:pPr>
      <w:r w:rsidRPr="00D40DFB">
        <w:rPr>
          <w:rFonts w:ascii="Verdana" w:eastAsia="Calibri" w:hAnsi="Verdana" w:cs="Arial"/>
          <w:color w:val="0D0D0D"/>
          <w:lang w:val="es-MX"/>
        </w:rPr>
        <w:tab/>
      </w:r>
    </w:p>
    <w:p w14:paraId="6867544F" w14:textId="77777777" w:rsidR="00D40DFB" w:rsidRPr="00D40DFB" w:rsidRDefault="00D40DFB" w:rsidP="00D40DFB">
      <w:pPr>
        <w:spacing w:after="120" w:line="276" w:lineRule="auto"/>
        <w:jc w:val="both"/>
        <w:rPr>
          <w:rFonts w:ascii="Verdana" w:eastAsia="Calibri" w:hAnsi="Verdana" w:cs="Times New Roman"/>
          <w:kern w:val="2"/>
          <w14:ligatures w14:val="standardContextual"/>
        </w:rPr>
      </w:pPr>
      <w:r w:rsidRPr="00D40DFB">
        <w:rPr>
          <w:rFonts w:ascii="Verdana" w:eastAsia="Calibri" w:hAnsi="Verdana" w:cs="Arial"/>
          <w:color w:val="0D0D0D"/>
          <w:lang w:val="es-MX"/>
        </w:rPr>
        <w:tab/>
        <w:t xml:space="preserve">Como se aprecia, las actividades –1.9 y 2.6– contenidas en la Matriz 1 – Experiencia de los documentos tipo de mínima cuantía de obra pública de infraestructura de transporte recaen sobre </w:t>
      </w:r>
      <w:r w:rsidRPr="00D40DFB">
        <w:rPr>
          <w:rFonts w:ascii="Verdana" w:eastAsia="Calibri" w:hAnsi="Verdana" w:cs="Times New Roman"/>
          <w:kern w:val="2"/>
          <w14:ligatures w14:val="standardContextual"/>
        </w:rPr>
        <w:t xml:space="preserve">proyectos de instalación o mantenimiento correctivo o mantenimiento preventivo  o  ampliación, en infraestructura eléctrica asociada a infraestructura de transporte –respectivamente– en vías primarias o secundarias o terciarias. </w:t>
      </w:r>
    </w:p>
    <w:p w14:paraId="5F1A5B46" w14:textId="77777777" w:rsidR="00D40DFB" w:rsidRPr="00D40DFB" w:rsidRDefault="00D40DFB" w:rsidP="00D40DFB">
      <w:pPr>
        <w:spacing w:after="120" w:line="276" w:lineRule="auto"/>
        <w:ind w:firstLine="709"/>
        <w:jc w:val="both"/>
        <w:rPr>
          <w:rFonts w:ascii="Verdana" w:eastAsia="Aptos" w:hAnsi="Verdana" w:cs="Times New Roman"/>
          <w:kern w:val="2"/>
          <w14:ligatures w14:val="standardContextual"/>
        </w:rPr>
      </w:pPr>
      <w:r w:rsidRPr="00D40DFB">
        <w:rPr>
          <w:rFonts w:ascii="Verdana" w:eastAsia="Calibri" w:hAnsi="Verdana" w:cs="Calibri"/>
          <w:kern w:val="2"/>
          <w14:ligatures w14:val="standardContextual"/>
        </w:rPr>
        <w:t>Considerando que las actividades –1.9 y 2.6– de la Matriz 1 – Experiencia recaen sobre “Infraestructura eléctrica”, para comprender el alcance de ese término es necesario tener en cuenta que, el numeral 1.10 del documento base dispone que “Para los fines de este pliego de condiciones, a menos que expresamente se estipule de otra manera, los términos deben entenderse de acuerdo con la definición contenida en el artículo 2.2.1.1.1.3.1 del Decreto 1082 de 2015, la Ley 1682 de 2013 o la norma que la modifique, complemente o sustituya, y el Anexo 3 - Glosario. Los términos no definidos deben comprenderse de conformidad con su significado natural y en el contexto del presente proceso de selección y el proyecto de infraestructura que se pretende adelantar”.</w:t>
      </w:r>
    </w:p>
    <w:p w14:paraId="112C80F2" w14:textId="77777777" w:rsidR="00D40DFB" w:rsidRPr="00D40DFB" w:rsidRDefault="00D40DFB" w:rsidP="00D40DFB">
      <w:pPr>
        <w:spacing w:after="120" w:line="276" w:lineRule="auto"/>
        <w:ind w:firstLine="708"/>
        <w:jc w:val="both"/>
        <w:rPr>
          <w:rFonts w:ascii="Verdana" w:eastAsia="Times New Roman" w:hAnsi="Verdana" w:cs="Times New Roman"/>
          <w:lang w:eastAsia="es-MX"/>
        </w:rPr>
      </w:pPr>
      <w:r w:rsidRPr="00D40DFB">
        <w:rPr>
          <w:rFonts w:ascii="Verdana" w:eastAsia="Times New Roman" w:hAnsi="Verdana" w:cs="Times New Roman"/>
          <w:lang w:eastAsia="es-MX"/>
        </w:rPr>
        <w:lastRenderedPageBreak/>
        <w:t xml:space="preserve">La infraestructura eléctrica se refiere al conjunto de instalaciones, equipos y sistemas encargados de generar, transmitir, distribuir y controlar la energía eléctrica. Así, el alumbrado público hace parte de la infraestructura eléctrica, lo cual encuentra respaldo en el Reglamento Técnico de Instalaciones Eléctricas – RETIE, expedido por el Ministerio de Minas y Energía, que define las instalaciones eléctricas como los circuitos eléctricos con sus componentes que conforman un sistema eléctrico utilizado para la generación, transmisión, transformación, distribución o uso final de la energía eléctrica. </w:t>
      </w:r>
    </w:p>
    <w:p w14:paraId="735B88B2" w14:textId="77777777" w:rsidR="00D40DFB" w:rsidRPr="00D40DFB" w:rsidRDefault="00D40DFB" w:rsidP="00D40DFB">
      <w:pPr>
        <w:spacing w:after="120" w:line="276" w:lineRule="auto"/>
        <w:ind w:firstLine="708"/>
        <w:jc w:val="both"/>
        <w:rPr>
          <w:rFonts w:ascii="Verdana" w:eastAsia="Times New Roman" w:hAnsi="Verdana" w:cs="Times New Roman"/>
          <w:lang w:eastAsia="es-MX"/>
        </w:rPr>
      </w:pPr>
      <w:r w:rsidRPr="00D40DFB">
        <w:rPr>
          <w:rFonts w:ascii="Verdana" w:eastAsia="Times New Roman" w:hAnsi="Verdana" w:cs="Times New Roman"/>
          <w:lang w:eastAsia="es-MX"/>
        </w:rPr>
        <w:t>En ese sentido, el RETIE contempla, dentro del Título 14 de su Libro 3, los requisitos generales aplicables a las redes eléctricas de los sistemas de iluminación, dentro de los cuales se enmarca el alumbrado público, lo que confirma su pertenencia a la infraestructura eléctrica regulada por el ordenamiento jurídico colombiano. Por su parte, el artículo 2.2.3.1.2 del Decreto 1073 de 2015 –modificado por el artículo 1 del Decreto 943 de 2018–, define el sistema de alumbrado público en los siguientes términos:</w:t>
      </w:r>
    </w:p>
    <w:p w14:paraId="19980B21" w14:textId="77777777" w:rsidR="00D40DFB" w:rsidRPr="00D40DFB" w:rsidRDefault="00D40DFB" w:rsidP="00D40DFB">
      <w:pPr>
        <w:spacing w:after="0" w:line="276" w:lineRule="auto"/>
        <w:ind w:left="708"/>
        <w:jc w:val="both"/>
        <w:rPr>
          <w:rFonts w:ascii="Verdana" w:eastAsia="Calibri" w:hAnsi="Verdana" w:cs="Times New Roman"/>
          <w:kern w:val="2"/>
          <w:sz w:val="24"/>
          <w:szCs w:val="24"/>
          <w14:ligatures w14:val="standardContextual"/>
        </w:rPr>
      </w:pPr>
    </w:p>
    <w:p w14:paraId="78EFAB34" w14:textId="77777777" w:rsidR="00D40DFB" w:rsidRPr="00D40DFB" w:rsidRDefault="00D40DFB" w:rsidP="00D40DFB">
      <w:pPr>
        <w:spacing w:after="0" w:line="240" w:lineRule="auto"/>
        <w:ind w:left="709" w:right="709"/>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w:t>
      </w:r>
      <w:r w:rsidRPr="00D40DFB">
        <w:rPr>
          <w:rFonts w:ascii="Verdana" w:eastAsia="Calibri" w:hAnsi="Verdana" w:cs="Times New Roman"/>
          <w:b/>
          <w:bCs/>
          <w:kern w:val="2"/>
          <w:sz w:val="21"/>
          <w:szCs w:val="21"/>
          <w14:ligatures w14:val="standardContextual"/>
        </w:rPr>
        <w:t>Sistema de Alumbrado Público: </w:t>
      </w:r>
      <w:r w:rsidRPr="00D40DFB">
        <w:rPr>
          <w:rFonts w:ascii="Verdana" w:eastAsia="Calibri" w:hAnsi="Verdana" w:cs="Times New Roman"/>
          <w:kern w:val="2"/>
          <w:sz w:val="21"/>
          <w:szCs w:val="21"/>
          <w14:ligatures w14:val="standardContextual"/>
        </w:rPr>
        <w:t xml:space="preserve">Comprende el </w:t>
      </w:r>
      <w:r w:rsidRPr="00D40DFB">
        <w:rPr>
          <w:rFonts w:ascii="Verdana" w:eastAsia="Calibri" w:hAnsi="Verdana" w:cs="Times New Roman"/>
          <w:i/>
          <w:iCs/>
          <w:kern w:val="2"/>
          <w:sz w:val="21"/>
          <w:szCs w:val="21"/>
          <w:u w:val="single"/>
          <w14:ligatures w14:val="standardContextual"/>
        </w:rPr>
        <w:t>conjunto de luminarias, redes eléctricas,</w:t>
      </w:r>
      <w:r w:rsidRPr="00D40DFB">
        <w:rPr>
          <w:rFonts w:ascii="Verdana" w:eastAsia="Calibri" w:hAnsi="Verdana" w:cs="Times New Roman"/>
          <w:kern w:val="2"/>
          <w:sz w:val="21"/>
          <w:szCs w:val="21"/>
          <w14:ligatures w14:val="standardContextual"/>
        </w:rPr>
        <w:t xml:space="preserve"> transformadores y postes de uso exclusivo, los desarrollos tecnológicos asociados al servicio de alumbrado público, y en general todos los equipos necesarios para la prestación del servicio de alumbrado público que no forman parte del sistema de distribución de energía eléctrica” (énfasis fuera del texto original). </w:t>
      </w:r>
    </w:p>
    <w:p w14:paraId="1D87EF44" w14:textId="77777777" w:rsidR="00D40DFB" w:rsidRPr="00D40DFB" w:rsidRDefault="00D40DFB" w:rsidP="00D40DFB">
      <w:pPr>
        <w:spacing w:after="0" w:line="276" w:lineRule="auto"/>
        <w:jc w:val="both"/>
        <w:rPr>
          <w:rFonts w:ascii="Verdana" w:eastAsia="Calibri" w:hAnsi="Verdana" w:cs="Times New Roman"/>
          <w:kern w:val="2"/>
          <w:sz w:val="24"/>
          <w:szCs w:val="24"/>
          <w14:ligatures w14:val="standardContextual"/>
        </w:rPr>
      </w:pPr>
    </w:p>
    <w:p w14:paraId="02F2C379" w14:textId="77777777" w:rsidR="00D40DFB" w:rsidRPr="00D40DFB" w:rsidRDefault="00D40DFB" w:rsidP="00D40DFB">
      <w:pPr>
        <w:spacing w:after="120" w:line="276" w:lineRule="auto"/>
        <w:ind w:firstLine="709"/>
        <w:jc w:val="both"/>
        <w:rPr>
          <w:rFonts w:ascii="Verdana" w:eastAsia="Aptos" w:hAnsi="Verdana" w:cs="Times New Roman"/>
          <w:kern w:val="2"/>
          <w14:ligatures w14:val="standardContextual"/>
        </w:rPr>
      </w:pPr>
      <w:r w:rsidRPr="00D40DFB">
        <w:rPr>
          <w:rFonts w:ascii="Verdana" w:eastAsia="Aptos" w:hAnsi="Verdana" w:cs="Times New Roman"/>
          <w:kern w:val="2"/>
          <w14:ligatures w14:val="standardContextual"/>
        </w:rPr>
        <w:t>De acuerdo con lo dispuesto en los párrafos precedentes, se observa que el sistema de alumbrado público está compuesto, entre otros elementos, por luminarias, redes eléctricas, transformadores y postes de uso exclusivo, esto es, por elementos propios de la infraestructura eléctrica, en concordancia con lo señalado en el RETIE. En esa medida, las actividades de instalación de luminarias, redes eléctricas y demás equipos asociados al alumbrado público pueden enmarcarse, en principio, dentro de las actividades relacionadas con infraestructura eléctrica que contempla la Matriz 1 – Experiencia de los documentos tipo adoptados mediante la Resolución No. 464 de 2024.</w:t>
      </w:r>
    </w:p>
    <w:p w14:paraId="36419C2D" w14:textId="77777777" w:rsidR="00D40DFB" w:rsidRPr="00D40DFB" w:rsidRDefault="00D40DFB" w:rsidP="00D40DFB">
      <w:pPr>
        <w:spacing w:after="120" w:line="276" w:lineRule="auto"/>
        <w:ind w:firstLine="709"/>
        <w:jc w:val="both"/>
        <w:rPr>
          <w:rFonts w:ascii="Verdana" w:eastAsia="Calibri" w:hAnsi="Verdana" w:cs="Times New Roman"/>
          <w:kern w:val="2"/>
          <w14:ligatures w14:val="standardContextual"/>
        </w:rPr>
      </w:pPr>
      <w:r w:rsidRPr="00D40DFB">
        <w:rPr>
          <w:rFonts w:ascii="Verdana" w:eastAsia="Calibri" w:hAnsi="Verdana" w:cs="Times New Roman"/>
          <w:kern w:val="2"/>
          <w14:ligatures w14:val="standardContextual"/>
        </w:rPr>
        <w:t>Ahora bien, para las actividades señaladas, particularmente para la –1.9– la Matriz 1 – Experiencia solicita la siguiente experiencia general y específica:</w:t>
      </w:r>
    </w:p>
    <w:p w14:paraId="0E112C11" w14:textId="77777777" w:rsidR="00D40DFB" w:rsidRPr="00D40DFB" w:rsidRDefault="00D40DFB" w:rsidP="00D40DFB">
      <w:pPr>
        <w:spacing w:after="0" w:line="276" w:lineRule="auto"/>
        <w:rPr>
          <w:rFonts w:ascii="Verdana" w:eastAsia="Calibri" w:hAnsi="Verdana" w:cs="Times New Roman"/>
          <w:kern w:val="2"/>
          <w:sz w:val="24"/>
          <w:szCs w:val="24"/>
          <w14:ligatures w14:val="standardContextual"/>
        </w:rPr>
      </w:pPr>
    </w:p>
    <w:p w14:paraId="43D437C1" w14:textId="77777777" w:rsidR="00D40DFB" w:rsidRPr="00D40DFB" w:rsidRDefault="00D40DFB" w:rsidP="00D40DFB">
      <w:pPr>
        <w:spacing w:after="0" w:line="240" w:lineRule="auto"/>
        <w:ind w:left="709" w:right="709"/>
        <w:contextualSpacing/>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lastRenderedPageBreak/>
        <w:t xml:space="preserve">Para la </w:t>
      </w:r>
      <w:r w:rsidRPr="00D40DFB">
        <w:rPr>
          <w:rFonts w:ascii="Verdana" w:eastAsia="Calibri" w:hAnsi="Verdana" w:cs="Times New Roman"/>
          <w:kern w:val="2"/>
          <w:sz w:val="21"/>
          <w:szCs w:val="21"/>
          <w:u w:val="single"/>
          <w14:ligatures w14:val="standardContextual"/>
        </w:rPr>
        <w:t>Experiencia General:</w:t>
      </w:r>
    </w:p>
    <w:p w14:paraId="3F6BCE11" w14:textId="77777777" w:rsidR="00D40DFB" w:rsidRPr="00D40DFB" w:rsidRDefault="00D40DFB" w:rsidP="00D40DFB">
      <w:pPr>
        <w:spacing w:after="0" w:line="240" w:lineRule="auto"/>
        <w:ind w:left="709" w:right="709"/>
        <w:contextualSpacing/>
        <w:rPr>
          <w:rFonts w:ascii="Verdana" w:eastAsia="Calibri" w:hAnsi="Verdana" w:cs="Times New Roman"/>
          <w:kern w:val="2"/>
          <w:sz w:val="21"/>
          <w:szCs w:val="21"/>
          <w14:ligatures w14:val="standardContextual"/>
        </w:rPr>
      </w:pPr>
    </w:p>
    <w:p w14:paraId="25CD2BAF" w14:textId="77777777" w:rsidR="00D40DFB" w:rsidRPr="00D40DFB" w:rsidRDefault="00D40DFB" w:rsidP="00D40DFB">
      <w:pPr>
        <w:spacing w:after="0" w:line="240" w:lineRule="auto"/>
        <w:ind w:left="709" w:right="709"/>
        <w:contextualSpacing/>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 xml:space="preserve">“INSTALACION  O MANTENIMIENTO CORRECTIVO O MANTENIMIENTO PREVENTIVO  O  AMPLIACIÓN  DE </w:t>
      </w:r>
      <w:r w:rsidRPr="00D40DFB">
        <w:rPr>
          <w:rFonts w:ascii="Verdana" w:eastAsia="Calibri" w:hAnsi="Verdana" w:cs="Times New Roman"/>
          <w:b/>
          <w:bCs/>
          <w:kern w:val="2"/>
          <w:sz w:val="21"/>
          <w:szCs w:val="21"/>
          <w:u w:val="single"/>
          <w14:ligatures w14:val="standardContextual"/>
        </w:rPr>
        <w:t>INFRAESTRUCTURA ELECTRICA</w:t>
      </w:r>
      <w:r w:rsidRPr="00D40DFB">
        <w:rPr>
          <w:rFonts w:ascii="Verdana" w:eastAsia="Calibri" w:hAnsi="Verdana" w:cs="Times New Roman"/>
          <w:kern w:val="2"/>
          <w:sz w:val="21"/>
          <w:szCs w:val="21"/>
          <w14:ligatures w14:val="standardContextual"/>
        </w:rPr>
        <w:t xml:space="preserve"> ASOCIADA A LA INFRAESTRUCTURA DE TRANSPORTE.”</w:t>
      </w:r>
    </w:p>
    <w:p w14:paraId="4B119351" w14:textId="77777777" w:rsidR="00D40DFB" w:rsidRPr="00D40DFB" w:rsidRDefault="00D40DFB" w:rsidP="00D40DFB">
      <w:pPr>
        <w:spacing w:after="0" w:line="240" w:lineRule="auto"/>
        <w:ind w:left="709" w:right="709"/>
        <w:contextualSpacing/>
        <w:jc w:val="both"/>
        <w:rPr>
          <w:rFonts w:ascii="Verdana" w:eastAsia="Calibri" w:hAnsi="Verdana" w:cs="Times New Roman"/>
          <w:kern w:val="2"/>
          <w:sz w:val="21"/>
          <w:szCs w:val="21"/>
          <w14:ligatures w14:val="standardContextual"/>
        </w:rPr>
      </w:pPr>
    </w:p>
    <w:p w14:paraId="7C4D73D9" w14:textId="77777777" w:rsidR="00D40DFB" w:rsidRPr="00D40DFB" w:rsidRDefault="00D40DFB" w:rsidP="00D40DFB">
      <w:pPr>
        <w:spacing w:after="0" w:line="240" w:lineRule="auto"/>
        <w:ind w:left="709" w:right="709"/>
        <w:contextualSpacing/>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 xml:space="preserve">Para la </w:t>
      </w:r>
      <w:r w:rsidRPr="00D40DFB">
        <w:rPr>
          <w:rFonts w:ascii="Verdana" w:eastAsia="Calibri" w:hAnsi="Verdana" w:cs="Times New Roman"/>
          <w:kern w:val="2"/>
          <w:sz w:val="21"/>
          <w:szCs w:val="21"/>
          <w:u w:val="single"/>
          <w14:ligatures w14:val="standardContextual"/>
        </w:rPr>
        <w:t>Experiencia Específica:</w:t>
      </w:r>
    </w:p>
    <w:p w14:paraId="42623B7A" w14:textId="77777777" w:rsidR="00D40DFB" w:rsidRPr="00D40DFB" w:rsidRDefault="00D40DFB" w:rsidP="00D40DFB">
      <w:pPr>
        <w:spacing w:after="0" w:line="240" w:lineRule="auto"/>
        <w:ind w:left="709" w:right="709"/>
        <w:jc w:val="both"/>
        <w:rPr>
          <w:rFonts w:ascii="Verdana" w:eastAsia="Calibri" w:hAnsi="Verdana" w:cs="Times New Roman"/>
          <w:kern w:val="2"/>
          <w:sz w:val="21"/>
          <w:szCs w:val="21"/>
          <w14:ligatures w14:val="standardContextual"/>
        </w:rPr>
      </w:pPr>
    </w:p>
    <w:p w14:paraId="4D908386" w14:textId="77777777" w:rsidR="00D40DFB" w:rsidRPr="00D40DFB" w:rsidRDefault="00D40DFB" w:rsidP="00D40DFB">
      <w:pPr>
        <w:spacing w:after="0" w:line="240" w:lineRule="auto"/>
        <w:ind w:left="709" w:right="709"/>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“Por lo menos uno (1) de los contratos válidos aportados como experiencia general sea de un valor correspondiente a por lo menos el 50% del valor de PRESUPUESTO OFICIAL (PO) del presente proceso de contratación.”</w:t>
      </w:r>
    </w:p>
    <w:p w14:paraId="3C127B1B" w14:textId="77777777" w:rsidR="00D40DFB" w:rsidRPr="00D40DFB" w:rsidRDefault="00D40DFB" w:rsidP="00D40DFB">
      <w:pPr>
        <w:spacing w:after="0" w:line="276" w:lineRule="auto"/>
        <w:ind w:left="708"/>
        <w:jc w:val="both"/>
        <w:rPr>
          <w:rFonts w:ascii="Verdana" w:eastAsia="Calibri" w:hAnsi="Verdana" w:cs="Times New Roman"/>
          <w:kern w:val="2"/>
          <w:sz w:val="21"/>
          <w:szCs w:val="21"/>
          <w14:ligatures w14:val="standardContextual"/>
        </w:rPr>
      </w:pPr>
    </w:p>
    <w:p w14:paraId="2C0982F7" w14:textId="77777777" w:rsidR="00D40DFB" w:rsidRPr="00D40DFB" w:rsidRDefault="00D40DFB" w:rsidP="00D40DFB">
      <w:pPr>
        <w:spacing w:after="0" w:line="276" w:lineRule="auto"/>
        <w:ind w:firstLine="709"/>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Y de manera adicional, se incluyen las siguientes notas:</w:t>
      </w:r>
    </w:p>
    <w:p w14:paraId="03F21480" w14:textId="77777777" w:rsidR="00D40DFB" w:rsidRPr="00D40DFB" w:rsidRDefault="00D40DFB" w:rsidP="00D40DFB">
      <w:pPr>
        <w:spacing w:after="0" w:line="276" w:lineRule="auto"/>
        <w:ind w:left="708"/>
        <w:jc w:val="both"/>
        <w:rPr>
          <w:rFonts w:ascii="Verdana" w:eastAsia="Calibri" w:hAnsi="Verdana" w:cs="Times New Roman"/>
          <w:kern w:val="2"/>
          <w:sz w:val="21"/>
          <w:szCs w:val="21"/>
          <w14:ligatures w14:val="standardContextual"/>
        </w:rPr>
      </w:pPr>
    </w:p>
    <w:p w14:paraId="79093303" w14:textId="77777777" w:rsidR="00D40DFB" w:rsidRPr="00D40DFB" w:rsidRDefault="00D40DFB" w:rsidP="00D40DFB">
      <w:pPr>
        <w:spacing w:after="0" w:line="240" w:lineRule="auto"/>
        <w:ind w:left="709" w:right="709"/>
        <w:contextualSpacing/>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“Nota 1: La Entidad Para la Experiencia Especifica, de acuerdo con el alcance del proyecto objeto de selección, indicará si se requiere experiencia en manejo de redes de Alta, Media o Baja Tensión.”</w:t>
      </w:r>
    </w:p>
    <w:p w14:paraId="70F6E2FD" w14:textId="77777777" w:rsidR="00D40DFB" w:rsidRPr="00D40DFB" w:rsidRDefault="00D40DFB" w:rsidP="00D40DFB">
      <w:pPr>
        <w:spacing w:after="0" w:line="240" w:lineRule="auto"/>
        <w:ind w:left="709" w:right="709"/>
        <w:jc w:val="both"/>
        <w:rPr>
          <w:rFonts w:ascii="Verdana" w:eastAsia="Calibri" w:hAnsi="Verdana" w:cs="Times New Roman"/>
          <w:kern w:val="2"/>
          <w:sz w:val="21"/>
          <w:szCs w:val="21"/>
          <w14:ligatures w14:val="standardContextual"/>
        </w:rPr>
      </w:pPr>
    </w:p>
    <w:p w14:paraId="4A6EE923" w14:textId="77777777" w:rsidR="00D40DFB" w:rsidRPr="00D40DFB" w:rsidRDefault="00D40DFB" w:rsidP="00D40DFB">
      <w:pPr>
        <w:spacing w:after="0" w:line="240" w:lineRule="auto"/>
        <w:ind w:left="709" w:right="709"/>
        <w:contextualSpacing/>
        <w:jc w:val="both"/>
        <w:rPr>
          <w:rFonts w:ascii="Verdana" w:eastAsia="Calibri" w:hAnsi="Verdana" w:cs="Times New Roman"/>
          <w:kern w:val="2"/>
          <w:sz w:val="21"/>
          <w:szCs w:val="21"/>
          <w14:ligatures w14:val="standardContextual"/>
        </w:rPr>
      </w:pPr>
      <w:r w:rsidRPr="00D40DFB">
        <w:rPr>
          <w:rFonts w:ascii="Verdana" w:eastAsia="Calibri" w:hAnsi="Verdana" w:cs="Times New Roman"/>
          <w:kern w:val="2"/>
          <w:sz w:val="21"/>
          <w:szCs w:val="21"/>
          <w14:ligatures w14:val="standardContextual"/>
        </w:rPr>
        <w:t>“Nota 2: Las redes eléctricas en vías generalmente incluyen postes de luz, luminarias, cableado subterráneo o aéreo, transformadores y otros componentes necesarios para la distribución de la energía eléctrica de manera segura y eficiente.”</w:t>
      </w:r>
    </w:p>
    <w:p w14:paraId="1BF2CCD7" w14:textId="77777777" w:rsidR="00D40DFB" w:rsidRPr="00D40DFB" w:rsidRDefault="00D40DFB" w:rsidP="00D40DFB">
      <w:pPr>
        <w:spacing w:after="0" w:line="276" w:lineRule="auto"/>
        <w:ind w:firstLine="709"/>
        <w:jc w:val="both"/>
        <w:rPr>
          <w:rFonts w:ascii="Verdana" w:eastAsia="Aptos" w:hAnsi="Verdana" w:cs="Times New Roman"/>
          <w:kern w:val="2"/>
          <w14:ligatures w14:val="standardContextual"/>
        </w:rPr>
      </w:pPr>
    </w:p>
    <w:p w14:paraId="4CA927E0" w14:textId="77777777" w:rsidR="00D40DFB" w:rsidRPr="00D40DFB" w:rsidRDefault="00D40DFB" w:rsidP="00D40DFB">
      <w:pPr>
        <w:spacing w:after="120" w:line="276" w:lineRule="auto"/>
        <w:ind w:firstLine="709"/>
        <w:jc w:val="both"/>
        <w:rPr>
          <w:rFonts w:ascii="Verdana" w:eastAsia="Aptos" w:hAnsi="Verdana" w:cs="Times New Roman"/>
          <w:kern w:val="2"/>
          <w14:ligatures w14:val="standardContextual"/>
        </w:rPr>
      </w:pPr>
      <w:r w:rsidRPr="00D40DFB">
        <w:rPr>
          <w:rFonts w:ascii="Verdana" w:eastAsia="Aptos" w:hAnsi="Verdana" w:cs="Times New Roman"/>
          <w:kern w:val="2"/>
          <w14:ligatures w14:val="standardContextual"/>
        </w:rPr>
        <w:t>La experiencia general prevista en la Matriz 1 para la actividad 1.9 corresponde a “instalación o mantenimiento correctivo o mantenimiento preventivo o ampliación de infraestructura eléctrica asociada a la infraestructura de transporte”. Por su parte, para la experiencia específica se exige que, por lo menos uno (1) de los contratos válidos aportados como experiencia general, tenga un valor correspondiente a por lo menos el 50% del valor del presupuesto oficial (PO) del proceso de contratación.</w:t>
      </w:r>
    </w:p>
    <w:p w14:paraId="106B9911" w14:textId="77777777" w:rsidR="00D40DFB" w:rsidRPr="00D40DFB" w:rsidRDefault="00D40DFB" w:rsidP="00D40DFB">
      <w:pPr>
        <w:spacing w:after="120" w:line="276" w:lineRule="auto"/>
        <w:ind w:firstLine="709"/>
        <w:jc w:val="both"/>
        <w:rPr>
          <w:rFonts w:ascii="Verdana" w:eastAsia="Aptos" w:hAnsi="Verdana" w:cs="Times New Roman"/>
          <w:kern w:val="2"/>
          <w14:ligatures w14:val="standardContextual"/>
        </w:rPr>
      </w:pPr>
      <w:r w:rsidRPr="00D40DFB">
        <w:rPr>
          <w:rFonts w:ascii="Verdana" w:eastAsia="Aptos" w:hAnsi="Verdana" w:cs="Times New Roman"/>
          <w:kern w:val="2"/>
          <w14:ligatures w14:val="standardContextual"/>
        </w:rPr>
        <w:t>Adicionalmente, la Matriz 1 incluye dos notas relevantes para efectos de precisar el alcance de esta experiencia. La Nota 1 dispone que la entidad, para la experiencia específica, debe indicar –de acuerdo con el alcance del proyecto objeto de selección– si se requiere experiencia en el manejo de redes de alta, media o baja tensión. Por su parte, la Nota 2 señala que las redes eléctricas en vías generalmente incluyen postes de luz, luminarias, cableado subterráneo o aéreo, transformadores y otros componentes necesarios para la distribución de la energía eléctrica de manera segura y eficiente.</w:t>
      </w:r>
    </w:p>
    <w:p w14:paraId="0ADBC8BE" w14:textId="77777777" w:rsidR="00D40DFB" w:rsidRPr="00D40DFB" w:rsidRDefault="00D40DFB" w:rsidP="00D40DFB">
      <w:pPr>
        <w:spacing w:after="0" w:line="276" w:lineRule="auto"/>
        <w:ind w:firstLine="709"/>
        <w:jc w:val="both"/>
        <w:rPr>
          <w:rFonts w:ascii="Verdana" w:eastAsia="Aptos" w:hAnsi="Verdana" w:cs="Times New Roman"/>
          <w:kern w:val="2"/>
          <w14:ligatures w14:val="standardContextual"/>
        </w:rPr>
      </w:pPr>
      <w:r w:rsidRPr="00D40DFB">
        <w:rPr>
          <w:rFonts w:ascii="Verdana" w:eastAsia="Aptos" w:hAnsi="Verdana" w:cs="Times New Roman"/>
          <w:kern w:val="2"/>
          <w14:ligatures w14:val="standardContextual"/>
        </w:rPr>
        <w:lastRenderedPageBreak/>
        <w:t xml:space="preserve">De lo anterior se observa que los elementos mencionados en la Nota 2 –postes de luz, luminarias, cableado y transformadores– coinciden, en buena medida, con los elementos que integran el sistema de alumbrado público conforme a la definición prevista en el artículo 2.2.3.1.2 del Decreto 1073 de 2015. Esto refuerza la conclusión según la cual las actividades de instalación de luminarias y demás equipos asociados al alumbrado público pueden enmarcarse, en principio, dentro de las actividades 1.9 y 2.6 de la Matriz 1 – Experiencia. </w:t>
      </w:r>
    </w:p>
    <w:p w14:paraId="2CB0D0E7" w14:textId="77777777" w:rsidR="00D40DFB" w:rsidRPr="00D40DFB" w:rsidRDefault="00D40DFB" w:rsidP="00D40DFB">
      <w:pPr>
        <w:spacing w:after="0" w:line="276" w:lineRule="auto"/>
        <w:ind w:firstLine="709"/>
        <w:jc w:val="both"/>
        <w:rPr>
          <w:rFonts w:ascii="Verdana" w:eastAsia="Aptos" w:hAnsi="Verdana" w:cs="Times New Roman"/>
          <w:kern w:val="2"/>
          <w14:ligatures w14:val="standardContextual"/>
        </w:rPr>
      </w:pPr>
    </w:p>
    <w:p w14:paraId="164B0A62" w14:textId="77777777" w:rsidR="00D40DFB" w:rsidRPr="00D40DFB" w:rsidRDefault="00D40DFB" w:rsidP="00D40DFB">
      <w:pPr>
        <w:spacing w:after="120" w:line="276" w:lineRule="auto"/>
        <w:jc w:val="both"/>
        <w:rPr>
          <w:rFonts w:ascii="Verdana" w:eastAsia="Calibri" w:hAnsi="Verdana" w:cs="Arial"/>
          <w:color w:val="000000"/>
          <w:kern w:val="2"/>
          <w:lang w:val="es-ES_tradnl"/>
          <w14:ligatures w14:val="standardContextual"/>
        </w:rPr>
      </w:pPr>
      <w:proofErr w:type="spellStart"/>
      <w:r w:rsidRPr="00D40DFB">
        <w:rPr>
          <w:rFonts w:ascii="Verdana" w:eastAsia="Aptos" w:hAnsi="Verdana" w:cs="Times New Roman"/>
          <w:kern w:val="2"/>
          <w14:ligatures w14:val="standardContextual"/>
        </w:rPr>
        <w:t>iii</w:t>
      </w:r>
      <w:proofErr w:type="spellEnd"/>
      <w:r w:rsidRPr="00D40DFB">
        <w:rPr>
          <w:rFonts w:ascii="Verdana" w:eastAsia="Aptos" w:hAnsi="Verdana" w:cs="Times New Roman"/>
          <w:kern w:val="2"/>
          <w14:ligatures w14:val="standardContextual"/>
        </w:rPr>
        <w:t xml:space="preserve">. Tal como se señaló, los documentos tipo adoptados por la Agencia Nacional de Contratación Pública – Colombia Compra Eficiente mediante la </w:t>
      </w:r>
      <w:r w:rsidRPr="00D40DFB">
        <w:rPr>
          <w:rFonts w:ascii="Verdana" w:eastAsia="Calibri" w:hAnsi="Verdana" w:cs="Arial"/>
          <w:bCs/>
          <w:kern w:val="2"/>
          <w14:ligatures w14:val="standardContextual"/>
        </w:rPr>
        <w:t xml:space="preserve">Resolución 464 del 10 de septiembre de 2024, recaen sobre “(…) los procesos </w:t>
      </w:r>
      <w:r w:rsidRPr="00D40DFB">
        <w:rPr>
          <w:rFonts w:ascii="Verdana" w:eastAsia="Calibri" w:hAnsi="Verdana" w:cs="Arial"/>
          <w:bCs/>
          <w:i/>
          <w:iCs/>
          <w:kern w:val="2"/>
          <w14:ligatures w14:val="standardContextual"/>
        </w:rPr>
        <w:t>de obra pública</w:t>
      </w:r>
      <w:r w:rsidRPr="00D40DFB">
        <w:rPr>
          <w:rFonts w:ascii="Verdana" w:eastAsia="Calibri" w:hAnsi="Verdana" w:cs="Arial"/>
          <w:bCs/>
          <w:kern w:val="2"/>
          <w14:ligatures w14:val="standardContextual"/>
        </w:rPr>
        <w:t xml:space="preserve"> de infraestructura de transporte adelantados bajo la modalidad de mínima cuantía”. Es decir, los documentos tipo señalados aplican para los contratos </w:t>
      </w:r>
      <w:r w:rsidRPr="00D40DFB">
        <w:rPr>
          <w:rFonts w:ascii="Verdana" w:eastAsia="Calibri" w:hAnsi="Verdana" w:cs="Arial"/>
          <w:color w:val="000000"/>
          <w:kern w:val="2"/>
          <w:lang w:val="es-ES_tradnl"/>
          <w14:ligatures w14:val="standardContextual"/>
        </w:rPr>
        <w:t>“(…) que celebren las entidades estatales para la construcción, mantenimiento, instalación y, en general, para la realización de cualquier otro trabajo material sobre bienes inmuebles, cualquiera que sea la modalidad de ejecución y pago”</w:t>
      </w:r>
      <w:r w:rsidRPr="00D40DFB">
        <w:rPr>
          <w:rFonts w:ascii="Verdana" w:eastAsia="Calibri" w:hAnsi="Verdana" w:cs="Arial"/>
          <w:color w:val="000000"/>
          <w:kern w:val="2"/>
          <w:vertAlign w:val="superscript"/>
          <w:lang w:val="es-ES_tradnl"/>
          <w14:ligatures w14:val="standardContextual"/>
        </w:rPr>
        <w:footnoteReference w:id="3"/>
      </w:r>
      <w:r w:rsidRPr="00D40DFB">
        <w:rPr>
          <w:rFonts w:ascii="Verdana" w:eastAsia="Calibri" w:hAnsi="Verdana" w:cs="Arial"/>
          <w:color w:val="000000"/>
          <w:kern w:val="2"/>
          <w:lang w:val="es-ES_tradnl"/>
          <w14:ligatures w14:val="standardContextual"/>
        </w:rPr>
        <w:t>.</w:t>
      </w:r>
    </w:p>
    <w:p w14:paraId="57DA0A9F" w14:textId="77777777" w:rsidR="00D40DFB" w:rsidRPr="00D40DFB" w:rsidRDefault="00D40DFB" w:rsidP="00D40DFB">
      <w:pPr>
        <w:spacing w:after="120" w:line="276" w:lineRule="auto"/>
        <w:ind w:firstLine="708"/>
        <w:jc w:val="both"/>
        <w:rPr>
          <w:rFonts w:ascii="Verdana" w:eastAsia="Calibri" w:hAnsi="Verdana" w:cs="Arial"/>
          <w:bCs/>
          <w:kern w:val="2"/>
          <w:sz w:val="19"/>
          <w:szCs w:val="19"/>
          <w14:ligatures w14:val="standardContextual"/>
        </w:rPr>
      </w:pPr>
      <w:r w:rsidRPr="00D40DFB">
        <w:rPr>
          <w:rFonts w:ascii="Verdana" w:eastAsia="Calibri" w:hAnsi="Verdana" w:cs="Arial"/>
          <w:color w:val="000000"/>
          <w:kern w:val="2"/>
          <w:lang w:val="es-ES_tradnl"/>
          <w14:ligatures w14:val="standardContextual"/>
        </w:rPr>
        <w:t xml:space="preserve">De acuerdo con lo anterior, </w:t>
      </w:r>
      <w:r w:rsidRPr="00D40DFB">
        <w:rPr>
          <w:rFonts w:ascii="Verdana" w:eastAsia="Calibri" w:hAnsi="Verdana" w:cs="Arial"/>
          <w:lang w:val="es-ES"/>
        </w:rPr>
        <w:t xml:space="preserve">considerando que las actividades –1.9 y 26– de la Matriz 1 – Experiencia de los documentos tipo adoptados por medio de la Resolución 454 de 2024, incluyen la instalación, la cual, como se indicó, es constitutiva del objeto de contrato de obra pública, es importante hacer algunas precisiones en torno al alcance de este concepto. Como lo ha indicado la Sala de Consulta y Servicio Civil del Consejo de Estado, dentro del contrato de obra pública se considera incluido “(…), todo trabajo que tiene por objeto, crear, construir, conservar o modificar bienes inmuebles incorporándose a dicho concepto trabajos como la construcción, </w:t>
      </w:r>
      <w:r w:rsidRPr="00D40DFB">
        <w:rPr>
          <w:rFonts w:ascii="Verdana" w:eastAsia="Calibri" w:hAnsi="Verdana" w:cs="Arial"/>
          <w:i/>
          <w:lang w:val="es-ES"/>
        </w:rPr>
        <w:t>instalación</w:t>
      </w:r>
      <w:r w:rsidRPr="00D40DFB">
        <w:rPr>
          <w:rFonts w:ascii="Verdana" w:eastAsia="Calibri" w:hAnsi="Verdana" w:cs="Arial"/>
          <w:lang w:val="es-ES"/>
        </w:rPr>
        <w:t xml:space="preserve">, conservación, mantenimiento, reparación y demolición de los bienes inmuebles, así como la construcción, </w:t>
      </w:r>
      <w:r w:rsidRPr="00D40DFB">
        <w:rPr>
          <w:rFonts w:ascii="Verdana" w:eastAsia="Calibri" w:hAnsi="Verdana" w:cs="Arial"/>
          <w:i/>
          <w:lang w:val="es-ES"/>
        </w:rPr>
        <w:t>instalación</w:t>
      </w:r>
      <w:r w:rsidRPr="00D40DFB">
        <w:rPr>
          <w:rFonts w:ascii="Verdana" w:eastAsia="Calibri" w:hAnsi="Verdana" w:cs="Arial"/>
          <w:lang w:val="es-ES"/>
        </w:rPr>
        <w:t>, conservación, mantenimiento, reparación y demolición de aquellos bienes destinados a un servicio público o al uso común”</w:t>
      </w:r>
      <w:r w:rsidRPr="00D40DFB">
        <w:rPr>
          <w:rFonts w:ascii="Verdana" w:eastAsia="Calibri" w:hAnsi="Verdana" w:cs="Times New Roman"/>
          <w:vertAlign w:val="superscript"/>
        </w:rPr>
        <w:footnoteReference w:id="4"/>
      </w:r>
      <w:r w:rsidRPr="00D40DFB">
        <w:rPr>
          <w:rFonts w:ascii="Verdana" w:eastAsia="Calibri" w:hAnsi="Verdana" w:cs="Arial"/>
          <w:lang w:val="es-ES"/>
        </w:rPr>
        <w:t xml:space="preserve"> (énfasis fuera de texto).</w:t>
      </w:r>
    </w:p>
    <w:p w14:paraId="62D6585E" w14:textId="77777777" w:rsidR="00D40DFB" w:rsidRPr="00D40DFB" w:rsidRDefault="00D40DFB" w:rsidP="00D40DFB">
      <w:pPr>
        <w:spacing w:after="120" w:line="276" w:lineRule="auto"/>
        <w:ind w:firstLine="709"/>
        <w:jc w:val="both"/>
        <w:rPr>
          <w:rFonts w:ascii="Verdana" w:eastAsia="Calibri" w:hAnsi="Verdana" w:cs="Arial"/>
          <w:lang w:val="es-ES_tradnl"/>
        </w:rPr>
      </w:pPr>
      <w:r w:rsidRPr="00D40DFB">
        <w:rPr>
          <w:rFonts w:ascii="Verdana" w:eastAsia="Calibri" w:hAnsi="Verdana" w:cs="Arial"/>
          <w:lang w:val="es-ES_tradnl"/>
        </w:rPr>
        <w:t xml:space="preserve">Según el Diccionario de la Lengua Española, “instalar” es “Poner o colocar en el lugar debido a alguien o algo”, así como “Colocar en un lugar o edificio los </w:t>
      </w:r>
      <w:r w:rsidRPr="00D40DFB">
        <w:rPr>
          <w:rFonts w:ascii="Verdana" w:eastAsia="Calibri" w:hAnsi="Verdana" w:cs="Arial"/>
          <w:lang w:val="es-ES_tradnl"/>
        </w:rPr>
        <w:lastRenderedPageBreak/>
        <w:t>enseres y servicios que en él se hayan de utilizar; como en una fábrica, los conductos de agua, aparatos para la luz, etc.”</w:t>
      </w:r>
      <w:r w:rsidRPr="00D40DFB">
        <w:rPr>
          <w:rFonts w:ascii="Calibri" w:eastAsia="Calibri" w:hAnsi="Calibri" w:cs="Times New Roman"/>
          <w:vertAlign w:val="superscript"/>
        </w:rPr>
        <w:footnoteReference w:id="5"/>
      </w:r>
      <w:r w:rsidRPr="00D40DFB">
        <w:rPr>
          <w:rFonts w:ascii="Verdana" w:eastAsia="Calibri" w:hAnsi="Verdana" w:cs="Arial"/>
          <w:lang w:val="es-ES_tradnl"/>
        </w:rPr>
        <w:t>. Por tanto, la instalación de cosas –como redes, equipos u otros elementos– en los bienes inmuebles es, en principio, una actividad que ingresa dentro de los contratos de obra celebrados por las entidades estatales, pues comporta la realización de un trabajo material.</w:t>
      </w:r>
    </w:p>
    <w:p w14:paraId="5408E97C" w14:textId="77777777" w:rsidR="00D40DFB" w:rsidRPr="00D40DFB" w:rsidRDefault="00D40DFB" w:rsidP="00D40DFB">
      <w:pPr>
        <w:spacing w:after="120" w:line="276" w:lineRule="auto"/>
        <w:ind w:firstLine="709"/>
        <w:jc w:val="both"/>
        <w:rPr>
          <w:rFonts w:ascii="Verdana" w:eastAsia="Calibri" w:hAnsi="Verdana" w:cs="Arial"/>
          <w:lang w:val="es-ES_tradnl"/>
        </w:rPr>
      </w:pPr>
      <w:r w:rsidRPr="00D40DFB">
        <w:rPr>
          <w:rFonts w:ascii="Verdana" w:eastAsia="Calibri" w:hAnsi="Verdana" w:cs="Arial"/>
          <w:lang w:val="es-ES_tradnl"/>
        </w:rPr>
        <w:t xml:space="preserve">Sin embargo, esto no quiere decir que </w:t>
      </w:r>
      <w:r w:rsidRPr="00D40DFB">
        <w:rPr>
          <w:rFonts w:ascii="Verdana" w:eastAsia="Calibri" w:hAnsi="Verdana" w:cs="Arial"/>
          <w:i/>
          <w:iCs/>
          <w:lang w:val="es-ES_tradnl"/>
        </w:rPr>
        <w:t>toda</w:t>
      </w:r>
      <w:r w:rsidRPr="00D40DFB">
        <w:rPr>
          <w:rFonts w:ascii="Verdana" w:eastAsia="Calibri" w:hAnsi="Verdana" w:cs="Arial"/>
          <w:lang w:val="es-ES_tradnl"/>
        </w:rPr>
        <w:t xml:space="preserve"> instalación que se pacte, como obligación a cargo del contratista, permita clasificar el negocio jurídico como un contrato de obra pública. Así lo reconoció también la Sala de Consulta y Servicio Civil, indicando que “En la práctica se encuentran contratos para el suministro de equipos que involucran prestaciones adicionales relacionadas con su instalación, servicios de mantenimiento, y de capacitación tendientes a la entrega para la puesta en funcionamiento por parte de la entidad estatal”</w:t>
      </w:r>
      <w:r w:rsidRPr="00D40DFB">
        <w:rPr>
          <w:rFonts w:ascii="Verdana" w:eastAsia="Calibri" w:hAnsi="Verdana" w:cs="Times New Roman"/>
          <w:vertAlign w:val="superscript"/>
        </w:rPr>
        <w:footnoteReference w:id="6"/>
      </w:r>
      <w:r w:rsidRPr="00D40DFB">
        <w:rPr>
          <w:rFonts w:ascii="Verdana" w:eastAsia="Calibri" w:hAnsi="Verdana" w:cs="Arial"/>
          <w:lang w:val="es-ES_tradnl"/>
        </w:rPr>
        <w:t>, agregando que “En el caso citado, no existe un contrato de compraventa o suministro de bienes muebles, un contrato de obra y un contrato de prestación de servicios. Se trata de un solo contrato con una prestación principal y unas accesorias relacionadas directamente con el primero”</w:t>
      </w:r>
      <w:r w:rsidRPr="00D40DFB">
        <w:rPr>
          <w:rFonts w:ascii="Verdana" w:eastAsia="Calibri" w:hAnsi="Verdana" w:cs="Times New Roman"/>
          <w:vertAlign w:val="superscript"/>
        </w:rPr>
        <w:footnoteReference w:id="7"/>
      </w:r>
      <w:r w:rsidRPr="00D40DFB">
        <w:rPr>
          <w:rFonts w:ascii="Verdana" w:eastAsia="Calibri" w:hAnsi="Verdana" w:cs="Arial"/>
          <w:lang w:val="es-ES_tradnl"/>
        </w:rPr>
        <w:t>.</w:t>
      </w:r>
    </w:p>
    <w:p w14:paraId="74F223FE" w14:textId="77777777" w:rsidR="00D40DFB" w:rsidRPr="00D40DFB" w:rsidRDefault="00D40DFB" w:rsidP="00D40DFB">
      <w:pPr>
        <w:spacing w:after="120" w:line="276" w:lineRule="auto"/>
        <w:ind w:firstLine="709"/>
        <w:jc w:val="both"/>
        <w:rPr>
          <w:rFonts w:ascii="Verdana" w:eastAsia="Calibri" w:hAnsi="Verdana" w:cs="Arial"/>
          <w:lang w:val="es-ES_tradnl"/>
        </w:rPr>
      </w:pPr>
      <w:r w:rsidRPr="00D40DFB">
        <w:rPr>
          <w:rFonts w:ascii="Verdana" w:eastAsia="Calibri" w:hAnsi="Verdana" w:cs="Arial"/>
          <w:lang w:val="es-ES_tradnl"/>
        </w:rPr>
        <w:t>En otras palabras, para la Sala, es posible que las entidades públicas, en ejercicio de su autonomía de la voluntad, celebren contratos estatales que involucren prestaciones mixtas, también denominados “contratos mixtos” –modalidad de contratos atípicos–, siempre que “las prestaciones correspondientes que pretendan fusionarse se encuentren directamente vinculadas entre sí, de tal manera que mantengan relaciones de complemento y que permitan predicar su tratamiento solo como una unidad funcional dirigida a la satisfacción de la necesidad de la entidad”</w:t>
      </w:r>
      <w:r w:rsidRPr="00D40DFB">
        <w:rPr>
          <w:rFonts w:ascii="Verdana" w:eastAsia="Calibri" w:hAnsi="Verdana" w:cs="Times New Roman"/>
          <w:vertAlign w:val="superscript"/>
        </w:rPr>
        <w:footnoteReference w:id="8"/>
      </w:r>
      <w:r w:rsidRPr="00D40DFB">
        <w:rPr>
          <w:rFonts w:ascii="Verdana" w:eastAsia="Calibri" w:hAnsi="Verdana" w:cs="Arial"/>
          <w:lang w:val="es-ES_tradnl"/>
        </w:rPr>
        <w:t xml:space="preserve">. </w:t>
      </w:r>
    </w:p>
    <w:p w14:paraId="085BC156" w14:textId="77777777" w:rsidR="00D40DFB" w:rsidRPr="00D40DFB" w:rsidRDefault="00D40DFB" w:rsidP="00D40DFB">
      <w:pPr>
        <w:spacing w:after="120" w:line="276" w:lineRule="auto"/>
        <w:ind w:firstLine="709"/>
        <w:jc w:val="both"/>
        <w:rPr>
          <w:rFonts w:ascii="Verdana" w:eastAsia="Calibri" w:hAnsi="Verdana" w:cs="Arial"/>
          <w:lang w:val="es-ES_tradnl"/>
        </w:rPr>
      </w:pPr>
      <w:r w:rsidRPr="00D40DFB">
        <w:rPr>
          <w:rFonts w:ascii="Verdana" w:eastAsia="Calibri" w:hAnsi="Verdana" w:cs="Arial"/>
          <w:lang w:val="es-ES_tradnl"/>
        </w:rPr>
        <w:t xml:space="preserve">La Agencia Nacional de Contratación Pública – Colombia Compra Eficiente comparte la tesis de la Sala de Consulta y Servicio Civil, pues considera que aquella se sustenta en dos argumentos: primero, en que el artículo 32 de la Ley 80 de 1993 no establece un listado taxativo de contratos estatales, sino que afirma que también lo son los “derivados del ejercicio de la autonomía de la </w:t>
      </w:r>
      <w:r w:rsidRPr="00D40DFB">
        <w:rPr>
          <w:rFonts w:ascii="Verdana" w:eastAsia="Calibri" w:hAnsi="Verdana" w:cs="Arial"/>
          <w:lang w:val="es-ES_tradnl"/>
        </w:rPr>
        <w:lastRenderedPageBreak/>
        <w:t xml:space="preserve">voluntad”; y segundo, en que el artículo 40 ratifica lo anterior, al señalar que “Las entidades podrán celebrar los contratos y acuerdos que permitan la autonomía de la voluntad y requieran el cumplimiento de los fines estatales”. En consecuencia, las entidades estatales pueden celebrar contratos atípicos mixtos, respetando los límites del principio de legalidad, una de cuyas expresiones es la tipificación de los contratos estatales. </w:t>
      </w:r>
    </w:p>
    <w:p w14:paraId="4314AFAC" w14:textId="77777777" w:rsidR="00D40DFB" w:rsidRPr="00D40DFB" w:rsidRDefault="00D40DFB" w:rsidP="00D40DFB">
      <w:pPr>
        <w:spacing w:after="120" w:line="276" w:lineRule="auto"/>
        <w:ind w:firstLine="709"/>
        <w:jc w:val="both"/>
        <w:rPr>
          <w:rFonts w:ascii="Verdana" w:eastAsia="Calibri" w:hAnsi="Verdana" w:cs="Arial"/>
        </w:rPr>
      </w:pPr>
      <w:r w:rsidRPr="00D40DFB">
        <w:rPr>
          <w:rFonts w:ascii="Verdana" w:eastAsia="Calibri" w:hAnsi="Verdana" w:cs="Arial"/>
          <w:lang w:val="es-ES_tradnl"/>
        </w:rPr>
        <w:t>Expresado de otro modo, cuando el legislador haya establecido el contenido de un contrato, para tipificarlo y predicar, a partir de esta calificación, consecuencias jurídicas como la modalidad de selección aplicable, requisitos habilitantes o gravámenes tributarios, prevalece la caracterización establecida en la ley, en lugar de la definición convencional estipulada entre las partes. Sin embargo, esto no se opone, como se ha dicho, a que las entidades estatales y los particulares celebren contratos que mezclen elementos de distintas tipologías contractuales, como, por ejemplo, el suministro o la compraventa con la instalación, o el diseño con la construcción. En estos casos se perfeccionan contratos mixtos, denominados por la Sala de Consulta y Servicio Civil, “contratos atípicos con tipicidad social”, porque en ellos se “conjugan los elementos de diversos contratos típicos en un solo contrato el cual tomará la denominación de contrato mixto”</w:t>
      </w:r>
      <w:r w:rsidRPr="00D40DFB">
        <w:rPr>
          <w:rFonts w:ascii="Calibri" w:eastAsia="Calibri" w:hAnsi="Calibri" w:cs="Times New Roman"/>
          <w:vertAlign w:val="superscript"/>
        </w:rPr>
        <w:footnoteReference w:id="9"/>
      </w:r>
      <w:r w:rsidRPr="00D40DFB">
        <w:rPr>
          <w:rFonts w:ascii="Verdana" w:eastAsia="Calibri" w:hAnsi="Verdana" w:cs="Arial"/>
          <w:lang w:val="es-ES_tradnl"/>
        </w:rPr>
        <w:t>.</w:t>
      </w:r>
    </w:p>
    <w:p w14:paraId="0BA43281" w14:textId="77777777" w:rsidR="00D40DFB" w:rsidRPr="00D40DFB" w:rsidRDefault="00D40DFB" w:rsidP="00D40DFB">
      <w:pPr>
        <w:spacing w:after="120" w:line="276" w:lineRule="auto"/>
        <w:ind w:firstLine="709"/>
        <w:jc w:val="both"/>
        <w:rPr>
          <w:rFonts w:ascii="Verdana" w:eastAsia="Calibri" w:hAnsi="Verdana" w:cs="Arial"/>
          <w:lang w:val="es-ES_tradnl"/>
        </w:rPr>
      </w:pPr>
      <w:r w:rsidRPr="00D40DFB">
        <w:rPr>
          <w:rFonts w:ascii="Verdana" w:eastAsia="Calibri" w:hAnsi="Verdana" w:cs="Arial"/>
          <w:lang w:val="es-ES_tradnl"/>
        </w:rPr>
        <w:t xml:space="preserve">Esta idea, de cualquier manera, no deja de generar interrogantes en el caso concreto. ¿Cómo se puede determinar en un caso concreto si el contrato es típico o mixto? Por ejemplo, para el supuesto de la instalación de luminarias de alumbrado público, ¿cómo se sabe si el contrato es o no uno de obra pública, teniendo en cuenta que el artículo 32, numeral 1, de la Ley 80 de 1993, dispone que la “instalación” de elementos sobre bienes inmuebles es constitutivo de esta tipología contractual? La Sala de Consulta y Servicio Civil del Consejo de Estado sugiere el siguiente criterio hermenéutico: “Ante la ausencia y vacío legislativo, para la Sala un criterio de interpretación que ayude a dilucidar esta situación </w:t>
      </w:r>
      <w:r w:rsidRPr="00D40DFB">
        <w:rPr>
          <w:rFonts w:ascii="Verdana" w:eastAsia="Calibri" w:hAnsi="Verdana" w:cs="Arial"/>
          <w:lang w:val="es-ES_tradnl"/>
        </w:rPr>
        <w:lastRenderedPageBreak/>
        <w:t>será el de atender al carácter de la prestación principal. El objeto principal, a su vez, podría determinarse en función de cuál es la prestación que tenga el mayor de los valores estimados”</w:t>
      </w:r>
      <w:r w:rsidRPr="00D40DFB">
        <w:rPr>
          <w:rFonts w:ascii="Calibri" w:eastAsia="Calibri" w:hAnsi="Calibri" w:cs="Times New Roman"/>
          <w:vertAlign w:val="superscript"/>
        </w:rPr>
        <w:footnoteReference w:id="10"/>
      </w:r>
      <w:r w:rsidRPr="00D40DFB">
        <w:rPr>
          <w:rFonts w:ascii="Verdana" w:eastAsia="Calibri" w:hAnsi="Verdana" w:cs="Arial"/>
          <w:lang w:val="es-ES_tradnl"/>
        </w:rPr>
        <w:t xml:space="preserve">. </w:t>
      </w:r>
    </w:p>
    <w:p w14:paraId="35322A3F" w14:textId="77777777" w:rsidR="00D40DFB" w:rsidRPr="00D40DFB" w:rsidRDefault="00D40DFB" w:rsidP="00D40DFB">
      <w:pPr>
        <w:spacing w:after="120" w:line="276" w:lineRule="auto"/>
        <w:ind w:firstLine="708"/>
        <w:jc w:val="both"/>
        <w:rPr>
          <w:rFonts w:ascii="Verdana" w:eastAsia="Calibri" w:hAnsi="Verdana" w:cs="Arial"/>
          <w:color w:val="000000"/>
          <w:lang w:val="es-ES_tradnl"/>
        </w:rPr>
      </w:pPr>
      <w:r w:rsidRPr="00D40DFB">
        <w:rPr>
          <w:rFonts w:ascii="Verdana" w:eastAsia="Calibri" w:hAnsi="Verdana" w:cs="Arial"/>
          <w:color w:val="000000"/>
          <w:lang w:val="es-ES_tradnl"/>
        </w:rPr>
        <w:t xml:space="preserve">En similar sentido, de acuerdo con la jurisprudencia de la Sala de Casación Civil de la Corte Suprema de Justicia, el régimen contractual de los </w:t>
      </w:r>
      <w:r w:rsidRPr="00D40DFB">
        <w:rPr>
          <w:rFonts w:ascii="Verdana" w:eastAsia="Calibri" w:hAnsi="Verdana" w:cs="Arial"/>
          <w:i/>
          <w:iCs/>
          <w:color w:val="000000"/>
          <w:lang w:val="es-ES_tradnl"/>
        </w:rPr>
        <w:t>contratos mixtos</w:t>
      </w:r>
      <w:r w:rsidRPr="00D40DFB">
        <w:rPr>
          <w:rFonts w:ascii="Verdana" w:eastAsia="Calibri" w:hAnsi="Verdana" w:cs="Arial"/>
          <w:color w:val="000000"/>
          <w:lang w:val="es-ES_tradnl"/>
        </w:rPr>
        <w:t xml:space="preserve"> se ha determinado por el método de absorción. Conforme a este criterio, debe identificarse el objeto principal de la prestación para aplicar el régimen del contrato típico al que pertenece, es decir, las reglas que disciplinan el acuerdo en su conjunto se someten al contrato nominado del objeto principal. Por ello, “en el contrato mixto habría siempre un elemento prevalente que absorbe los elementos secundarios; esta circunstancia permitiría regular el contrato entero con las normas del contrato nominado correspondiente, el que estaría dotado de una fuerza de expansión respecto de las figuras contractuales que estén provistas de una función económica análoga”</w:t>
      </w:r>
      <w:r w:rsidRPr="00D40DFB">
        <w:rPr>
          <w:rFonts w:ascii="Calibri" w:eastAsia="Calibri" w:hAnsi="Calibri" w:cs="Times New Roman"/>
          <w:vertAlign w:val="superscript"/>
        </w:rPr>
        <w:footnoteReference w:id="11"/>
      </w:r>
      <w:r w:rsidRPr="00D40DFB">
        <w:rPr>
          <w:rFonts w:ascii="Verdana" w:eastAsia="Calibri" w:hAnsi="Verdana" w:cs="Arial"/>
          <w:color w:val="000000"/>
          <w:lang w:val="es-ES_tradnl"/>
        </w:rPr>
        <w:t xml:space="preserve">. </w:t>
      </w:r>
    </w:p>
    <w:p w14:paraId="608B933E" w14:textId="77777777" w:rsidR="00D40DFB" w:rsidRPr="00D40DFB" w:rsidRDefault="00D40DFB" w:rsidP="00D40DFB">
      <w:pPr>
        <w:spacing w:after="0" w:line="276" w:lineRule="auto"/>
        <w:ind w:firstLine="708"/>
        <w:jc w:val="both"/>
        <w:rPr>
          <w:rFonts w:ascii="Verdana" w:eastAsia="Calibri" w:hAnsi="Verdana" w:cs="Arial"/>
          <w:color w:val="000000"/>
          <w:lang w:val="es-ES_tradnl"/>
        </w:rPr>
      </w:pPr>
      <w:r w:rsidRPr="00D40DFB">
        <w:rPr>
          <w:rFonts w:ascii="Verdana" w:eastAsia="Calibri" w:hAnsi="Verdana" w:cs="Arial"/>
          <w:color w:val="000000"/>
          <w:lang w:val="es-ES_tradnl"/>
        </w:rPr>
        <w:t>La jurisprudencia citada también explica los métodos de analogía y combinación. El primero alude a que el contrato atípico se rige por las normas que disciplinan la figura contractual típica más parecida. El segundo, por su parte, considera que, si un contrato comprende prestaciones de diferentes tipologías, deben aplicarse las normas correspondientes a cada figura. Para la Corte Suprema de Justicia, los criterios de absorción y combinación se reducen a la analogía</w:t>
      </w:r>
      <w:r w:rsidRPr="00D40DFB">
        <w:rPr>
          <w:rFonts w:ascii="Calibri" w:eastAsia="Calibri" w:hAnsi="Calibri" w:cs="Times New Roman"/>
          <w:vertAlign w:val="superscript"/>
        </w:rPr>
        <w:footnoteReference w:id="12"/>
      </w:r>
      <w:r w:rsidRPr="00D40DFB">
        <w:rPr>
          <w:rFonts w:ascii="Verdana" w:eastAsia="Calibri" w:hAnsi="Verdana" w:cs="Arial"/>
          <w:color w:val="000000"/>
          <w:lang w:val="es-ES_tradnl"/>
        </w:rPr>
        <w:t>. En todo caso, la doctrina advierte que:</w:t>
      </w:r>
    </w:p>
    <w:p w14:paraId="659CA1FD" w14:textId="77777777" w:rsidR="00D40DFB" w:rsidRPr="00D40DFB" w:rsidRDefault="00D40DFB" w:rsidP="00D40DFB">
      <w:pPr>
        <w:tabs>
          <w:tab w:val="left" w:pos="2208"/>
        </w:tabs>
        <w:spacing w:after="0" w:line="276" w:lineRule="auto"/>
        <w:ind w:firstLine="709"/>
        <w:jc w:val="both"/>
        <w:rPr>
          <w:rFonts w:ascii="Verdana" w:eastAsia="Calibri" w:hAnsi="Verdana" w:cs="Arial"/>
          <w:color w:val="000000"/>
          <w:lang w:val="es-ES_tradnl"/>
        </w:rPr>
      </w:pPr>
      <w:r w:rsidRPr="00D40DFB">
        <w:rPr>
          <w:rFonts w:ascii="Verdana" w:eastAsia="Calibri" w:hAnsi="Verdana" w:cs="Arial"/>
          <w:color w:val="000000"/>
          <w:lang w:val="es-ES_tradnl"/>
        </w:rPr>
        <w:lastRenderedPageBreak/>
        <w:tab/>
      </w:r>
    </w:p>
    <w:p w14:paraId="44FF5967" w14:textId="77777777" w:rsidR="00D40DFB" w:rsidRPr="00D40DFB" w:rsidRDefault="00D40DFB" w:rsidP="00D40DFB">
      <w:pPr>
        <w:spacing w:after="0" w:line="240" w:lineRule="auto"/>
        <w:ind w:left="709" w:right="709"/>
        <w:jc w:val="both"/>
        <w:rPr>
          <w:rFonts w:ascii="Verdana" w:eastAsia="Calibri" w:hAnsi="Verdana" w:cs="Arial"/>
          <w:color w:val="000000"/>
          <w:sz w:val="20"/>
          <w:szCs w:val="20"/>
        </w:rPr>
      </w:pPr>
      <w:r w:rsidRPr="00D40DFB">
        <w:rPr>
          <w:rFonts w:ascii="Verdana" w:eastAsia="Calibri" w:hAnsi="Verdana" w:cs="Arial"/>
          <w:color w:val="000000"/>
          <w:sz w:val="20"/>
          <w:szCs w:val="20"/>
        </w:rPr>
        <w:t>[...] “la afinidad con otros tipos no excluye una relevancia original y autónoma del contrato”. Por tanto, se hace necesario auscultar también el interés y la intención de las partes en el contrato atípico.</w:t>
      </w:r>
      <w:r w:rsidRPr="00D40DFB">
        <w:rPr>
          <w:rFonts w:ascii="Verdana" w:eastAsia="Calibri" w:hAnsi="Verdana" w:cs="Arial"/>
          <w:sz w:val="20"/>
          <w:szCs w:val="20"/>
        </w:rPr>
        <w:t xml:space="preserve"> </w:t>
      </w:r>
      <w:r w:rsidRPr="00D40DFB">
        <w:rPr>
          <w:rFonts w:ascii="Verdana" w:eastAsia="Calibri" w:hAnsi="Verdana" w:cs="Arial"/>
          <w:color w:val="000000"/>
          <w:sz w:val="20"/>
          <w:szCs w:val="20"/>
        </w:rPr>
        <w:t>En últimas es la autonomía negocial la que da origen a los contratos innominados. La creación de un nuevo tipo contractual no es sino una adecuación progresiva del fenómeno de la autonomía negocial a los intereses específicos de los sujetos. La creación de un nuevo tipo contractual no es sino la adecuación progresiva del fenómeno de la autonomía negocial a los intereses específicos de los sujetos</w:t>
      </w:r>
      <w:r w:rsidRPr="00D40DFB">
        <w:rPr>
          <w:rFonts w:ascii="Calibri" w:eastAsia="Calibri" w:hAnsi="Calibri" w:cs="Times New Roman"/>
          <w:vertAlign w:val="superscript"/>
        </w:rPr>
        <w:footnoteReference w:id="13"/>
      </w:r>
      <w:r w:rsidRPr="00D40DFB">
        <w:rPr>
          <w:rFonts w:ascii="Verdana" w:eastAsia="Calibri" w:hAnsi="Verdana" w:cs="Arial"/>
          <w:color w:val="000000"/>
          <w:sz w:val="20"/>
          <w:szCs w:val="20"/>
        </w:rPr>
        <w:t>.</w:t>
      </w:r>
    </w:p>
    <w:p w14:paraId="13158CE0" w14:textId="77777777" w:rsidR="00D40DFB" w:rsidRPr="00D40DFB" w:rsidRDefault="00D40DFB" w:rsidP="00D40DFB">
      <w:pPr>
        <w:spacing w:after="0" w:line="240" w:lineRule="auto"/>
        <w:ind w:left="709" w:right="709"/>
        <w:jc w:val="both"/>
        <w:rPr>
          <w:rFonts w:ascii="Verdana" w:eastAsia="Calibri" w:hAnsi="Verdana" w:cs="Arial"/>
          <w:color w:val="000000"/>
          <w:sz w:val="20"/>
          <w:szCs w:val="20"/>
        </w:rPr>
      </w:pPr>
    </w:p>
    <w:p w14:paraId="3CCA39A7" w14:textId="77777777" w:rsidR="00D40DFB" w:rsidRPr="00D40DFB" w:rsidRDefault="00D40DFB" w:rsidP="00D40DFB">
      <w:pPr>
        <w:spacing w:after="120" w:line="276" w:lineRule="auto"/>
        <w:ind w:firstLine="709"/>
        <w:jc w:val="both"/>
        <w:rPr>
          <w:rFonts w:ascii="Verdana" w:eastAsia="Calibri" w:hAnsi="Verdana" w:cs="Arial"/>
          <w:lang w:val="es-ES"/>
        </w:rPr>
      </w:pPr>
      <w:r w:rsidRPr="00D40DFB">
        <w:rPr>
          <w:rFonts w:ascii="Verdana" w:eastAsia="Calibri" w:hAnsi="Verdana" w:cs="Arial"/>
          <w:lang w:val="es-ES"/>
        </w:rPr>
        <w:t xml:space="preserve">Con fundamento en lo anterior, puede decirse que la obligación de instalar un bien mueble en un inmueble –convirtiendo a aquel en un inmueble por adhesión o por destinación– </w:t>
      </w:r>
      <w:r w:rsidRPr="00D40DFB">
        <w:rPr>
          <w:rFonts w:ascii="Verdana" w:eastAsia="Calibri" w:hAnsi="Verdana" w:cs="Arial"/>
          <w:i/>
          <w:lang w:val="es-ES"/>
        </w:rPr>
        <w:t>no</w:t>
      </w:r>
      <w:r w:rsidRPr="00D40DFB">
        <w:rPr>
          <w:rFonts w:ascii="Verdana" w:eastAsia="Calibri" w:hAnsi="Verdana" w:cs="Arial"/>
          <w:lang w:val="es-ES"/>
        </w:rPr>
        <w:t xml:space="preserve"> es privativa del contrato de obra pública, pues puede estar presente también en un contrato de suministro, de compraventa o en un contrato mixto (atípico). Lo que determinará cuál es la tipología contractual o la existencia del contrato mixto será la valoración de los siguientes elementos: i) la definición de cuál es la prestación principal del contrato, </w:t>
      </w:r>
      <w:proofErr w:type="spellStart"/>
      <w:r w:rsidRPr="00D40DFB">
        <w:rPr>
          <w:rFonts w:ascii="Verdana" w:eastAsia="Calibri" w:hAnsi="Verdana" w:cs="Arial"/>
          <w:lang w:val="es-ES"/>
        </w:rPr>
        <w:t>ii</w:t>
      </w:r>
      <w:proofErr w:type="spellEnd"/>
      <w:r w:rsidRPr="00D40DFB">
        <w:rPr>
          <w:rFonts w:ascii="Verdana" w:eastAsia="Calibri" w:hAnsi="Verdana" w:cs="Arial"/>
          <w:lang w:val="es-ES"/>
        </w:rPr>
        <w:t xml:space="preserve">) la finalidad de las partes y </w:t>
      </w:r>
      <w:proofErr w:type="spellStart"/>
      <w:r w:rsidRPr="00D40DFB">
        <w:rPr>
          <w:rFonts w:ascii="Verdana" w:eastAsia="Calibri" w:hAnsi="Verdana" w:cs="Arial"/>
          <w:lang w:val="es-ES"/>
        </w:rPr>
        <w:t>iii</w:t>
      </w:r>
      <w:proofErr w:type="spellEnd"/>
      <w:r w:rsidRPr="00D40DFB">
        <w:rPr>
          <w:rFonts w:ascii="Verdana" w:eastAsia="Calibri" w:hAnsi="Verdana" w:cs="Arial"/>
          <w:lang w:val="es-ES"/>
        </w:rPr>
        <w:t>) si se trata de prestaciones mixtas, “que las prestaciones correspondientes que pretendan fusionarse se encuentren directamente vinculadas entre sí, de tal manera que mantengan relaciones de complemento y que permitan predicar su tratamiento solo como una unidad funcional dirigida a la satisfacción de la necesidad de la entidad”</w:t>
      </w:r>
      <w:r w:rsidRPr="00D40DFB">
        <w:rPr>
          <w:rFonts w:ascii="Calibri" w:eastAsia="Calibri" w:hAnsi="Calibri" w:cs="Times New Roman"/>
          <w:vertAlign w:val="superscript"/>
        </w:rPr>
        <w:footnoteReference w:id="14"/>
      </w:r>
      <w:r w:rsidRPr="00D40DFB">
        <w:rPr>
          <w:rFonts w:ascii="Verdana" w:eastAsia="Calibri" w:hAnsi="Verdana" w:cs="Arial"/>
          <w:lang w:val="es-ES"/>
        </w:rPr>
        <w:t>. Este es un análisis que, por tanto, debe realizarse en cada caso concreto, considerando los datos técnicos y económicos del objeto contractual.</w:t>
      </w:r>
    </w:p>
    <w:p w14:paraId="35129210" w14:textId="77777777" w:rsidR="00D40DFB" w:rsidRPr="00D40DFB" w:rsidRDefault="00D40DFB" w:rsidP="00D40DFB">
      <w:pPr>
        <w:spacing w:after="120" w:line="276" w:lineRule="auto"/>
        <w:ind w:firstLine="708"/>
        <w:jc w:val="both"/>
        <w:rPr>
          <w:rFonts w:ascii="Verdana" w:eastAsia="Times New Roman" w:hAnsi="Verdana" w:cs="Times New Roman"/>
          <w:color w:val="000000"/>
          <w:lang w:eastAsia="es-CO"/>
        </w:rPr>
      </w:pPr>
      <w:r w:rsidRPr="00D40DFB">
        <w:rPr>
          <w:rFonts w:ascii="Verdana" w:eastAsia="Calibri" w:hAnsi="Verdana" w:cs="Arial"/>
          <w:lang w:val="es-ES" w:eastAsia="es-ES_tradnl"/>
        </w:rPr>
        <w:t xml:space="preserve">En este contexto, </w:t>
      </w:r>
      <w:r w:rsidRPr="00D40DFB">
        <w:rPr>
          <w:rFonts w:ascii="Verdana" w:eastAsia="Aptos" w:hAnsi="Verdana" w:cs="Arial"/>
          <w:kern w:val="2"/>
          <w:lang w:eastAsia="es-ES_tradnl"/>
          <w14:ligatures w14:val="standardContextual"/>
        </w:rPr>
        <w:t xml:space="preserve">no es posible afirmar de manera categórica que el suministro e instalación de </w:t>
      </w:r>
      <w:r w:rsidRPr="00D40DFB">
        <w:rPr>
          <w:rFonts w:ascii="Verdana" w:eastAsia="Times New Roman" w:hAnsi="Verdana" w:cs="Times New Roman"/>
          <w:color w:val="000000"/>
          <w:lang w:eastAsia="es-CO"/>
        </w:rPr>
        <w:t xml:space="preserve">luminarias de alumbrado público </w:t>
      </w:r>
      <w:r w:rsidRPr="00D40DFB">
        <w:rPr>
          <w:rFonts w:ascii="Verdana" w:eastAsia="Aptos" w:hAnsi="Verdana" w:cs="Arial"/>
          <w:kern w:val="2"/>
          <w:lang w:eastAsia="es-ES_tradnl"/>
          <w14:ligatures w14:val="standardContextual"/>
        </w:rPr>
        <w:t xml:space="preserve">deba clasificarse, en todos los casos, como un contrato de obra pública para efecto de la utilización de los Documentos Tipo </w:t>
      </w:r>
      <w:r w:rsidRPr="00D40DFB">
        <w:rPr>
          <w:rFonts w:ascii="Verdana" w:eastAsia="Times New Roman" w:hAnsi="Verdana" w:cs="Times New Roman"/>
          <w:color w:val="000000"/>
          <w:lang w:eastAsia="es-CO"/>
        </w:rPr>
        <w:t>del Sector Transporte</w:t>
      </w:r>
      <w:r w:rsidRPr="00D40DFB">
        <w:rPr>
          <w:rFonts w:ascii="Verdana" w:eastAsia="Aptos" w:hAnsi="Verdana" w:cs="Arial"/>
          <w:kern w:val="2"/>
          <w:lang w:eastAsia="es-ES_tradnl"/>
          <w14:ligatures w14:val="standardContextual"/>
        </w:rPr>
        <w:t xml:space="preserve">. Para establecer la naturaleza jurídica de este tipo de contratos, la entidad estatal debe analizar las </w:t>
      </w:r>
      <w:r w:rsidRPr="00D40DFB">
        <w:rPr>
          <w:rFonts w:ascii="Verdana" w:eastAsia="Aptos" w:hAnsi="Verdana" w:cs="Arial"/>
          <w:kern w:val="2"/>
          <w:lang w:eastAsia="es-ES_tradnl"/>
          <w14:ligatures w14:val="standardContextual"/>
        </w:rPr>
        <w:lastRenderedPageBreak/>
        <w:t xml:space="preserve">circunstancias particulares de cada caso y considerar los criterios que permitan identificar la prestación principal, la finalidad de las partes y la relación de conexidad de las prestaciones.  </w:t>
      </w:r>
    </w:p>
    <w:p w14:paraId="247A33D9" w14:textId="77777777" w:rsidR="00D40DFB" w:rsidRPr="00D40DFB" w:rsidRDefault="00D40DFB" w:rsidP="00D40DFB">
      <w:pPr>
        <w:spacing w:after="120" w:line="276" w:lineRule="auto"/>
        <w:ind w:firstLine="709"/>
        <w:jc w:val="both"/>
        <w:rPr>
          <w:rFonts w:ascii="Verdana" w:eastAsia="Calibri" w:hAnsi="Verdana" w:cs="Arial"/>
          <w:lang w:val="es-ES_tradnl"/>
        </w:rPr>
      </w:pPr>
      <w:r w:rsidRPr="00D40DFB">
        <w:rPr>
          <w:rFonts w:ascii="Verdana" w:eastAsia="Calibri" w:hAnsi="Verdana" w:cs="Arial"/>
          <w:lang w:eastAsia="es-ES_tradnl"/>
        </w:rPr>
        <w:t>Atendiendo a lo señalado por l</w:t>
      </w:r>
      <w:r w:rsidRPr="00D40DFB">
        <w:rPr>
          <w:rFonts w:ascii="Verdana" w:eastAsia="Calibri" w:hAnsi="Verdana" w:cs="Arial"/>
          <w:lang w:val="es-ES_tradnl"/>
        </w:rPr>
        <w:t>a Sala de Consulta y Servicio Civil del Consejo de Estado,</w:t>
      </w:r>
      <w:r w:rsidRPr="00D40DFB">
        <w:rPr>
          <w:rFonts w:ascii="Verdana" w:eastAsia="Calibri" w:hAnsi="Verdana" w:cs="Times New Roman"/>
          <w:color w:val="000000"/>
        </w:rPr>
        <w:t xml:space="preserve"> adhiriéndose al método de absorción para efectos de integrar el régimen jurídico aplicable,</w:t>
      </w:r>
      <w:r w:rsidRPr="00D40DFB">
        <w:rPr>
          <w:rFonts w:ascii="Verdana" w:eastAsia="Calibri" w:hAnsi="Verdana" w:cs="Arial"/>
          <w:lang w:val="es-ES_tradnl"/>
        </w:rPr>
        <w:t xml:space="preserve"> se considera que en el caso referido es fundamental determinar la prestación principal para establecer dicho </w:t>
      </w:r>
      <w:r w:rsidRPr="00D40DFB">
        <w:rPr>
          <w:rFonts w:ascii="Verdana" w:eastAsia="Calibri" w:hAnsi="Verdana" w:cs="Arial"/>
          <w:lang w:eastAsia="es-ES_tradnl"/>
        </w:rPr>
        <w:t>régimen</w:t>
      </w:r>
      <w:r w:rsidRPr="00D40DFB">
        <w:rPr>
          <w:rFonts w:ascii="Verdana" w:eastAsia="Calibri" w:hAnsi="Verdana" w:cs="Arial"/>
          <w:lang w:val="es-ES_tradnl"/>
        </w:rPr>
        <w:t xml:space="preserve">, </w:t>
      </w:r>
      <w:r w:rsidRPr="00D40DFB">
        <w:rPr>
          <w:rFonts w:ascii="Verdana" w:eastAsia="Calibri" w:hAnsi="Verdana" w:cs="Arial"/>
          <w:lang w:eastAsia="es-ES_tradnl"/>
        </w:rPr>
        <w:t xml:space="preserve">teniendo en cuenta que la tipología contractual </w:t>
      </w:r>
      <w:r w:rsidRPr="00D40DFB">
        <w:rPr>
          <w:rFonts w:ascii="Verdana" w:eastAsia="Calibri" w:hAnsi="Verdana" w:cs="Arial"/>
          <w:lang w:val="es-ES" w:eastAsia="es-ES_tradnl"/>
        </w:rPr>
        <w:t xml:space="preserve">es importante para definir aspectos como la modalidad de selección que debe utilizar la entidad y los requisitos habilitantes o ponderables que deben incorporar en el pliego de condiciones para la selección objetiva de la mejor oferta. </w:t>
      </w:r>
    </w:p>
    <w:p w14:paraId="7F23E2F8" w14:textId="77777777" w:rsidR="00D40DFB" w:rsidRPr="00D40DFB" w:rsidRDefault="00D40DFB" w:rsidP="00D40DFB">
      <w:pPr>
        <w:spacing w:after="120" w:line="276" w:lineRule="auto"/>
        <w:ind w:firstLine="709"/>
        <w:jc w:val="both"/>
        <w:rPr>
          <w:rFonts w:ascii="Verdana" w:eastAsia="Calibri" w:hAnsi="Verdana" w:cs="Arial"/>
          <w:lang w:eastAsia="es-ES_tradnl"/>
        </w:rPr>
      </w:pPr>
      <w:r w:rsidRPr="00D40DFB">
        <w:rPr>
          <w:rFonts w:ascii="Verdana" w:eastAsia="Calibri" w:hAnsi="Verdana" w:cs="Arial"/>
          <w:lang w:eastAsia="es-ES_tradnl"/>
        </w:rPr>
        <w:t xml:space="preserve">Para tales efectos, la entidad estatal podría determinar </w:t>
      </w:r>
      <w:r w:rsidRPr="00D40DFB">
        <w:rPr>
          <w:rFonts w:ascii="Verdana" w:eastAsia="Calibri" w:hAnsi="Verdana" w:cs="Arial"/>
          <w:color w:val="000000"/>
          <w:lang w:val="es-ES_tradnl"/>
        </w:rPr>
        <w:t>el régimen del contrato típico al que pertenece</w:t>
      </w:r>
      <w:r w:rsidRPr="00D40DFB">
        <w:rPr>
          <w:rFonts w:ascii="Verdana" w:eastAsia="Calibri" w:hAnsi="Verdana" w:cs="Arial"/>
          <w:lang w:eastAsia="es-ES_tradnl"/>
        </w:rPr>
        <w:t xml:space="preserve"> atendiendo a cuál de las obligaciones  –suministro o instalación–, absorbe a la otra, bien sea por su relevancia funcional o por su peso económico. Así, para establecer si un contrato debe ser considerado de obra, la entidad debe verificar si la obligación predominante consiste en la ejecución de actividades materiales que intervengan el bien inmueble al que se incorporara la instalación. </w:t>
      </w:r>
    </w:p>
    <w:p w14:paraId="1EC74DD0" w14:textId="77777777" w:rsidR="00D40DFB" w:rsidRPr="00D40DFB" w:rsidRDefault="00D40DFB" w:rsidP="00D40DFB">
      <w:pPr>
        <w:spacing w:after="120" w:line="276" w:lineRule="auto"/>
        <w:ind w:firstLine="709"/>
        <w:jc w:val="both"/>
        <w:rPr>
          <w:rFonts w:ascii="Verdana" w:eastAsia="Calibri" w:hAnsi="Verdana" w:cs="Arial"/>
          <w:lang w:eastAsia="es-ES_tradnl"/>
        </w:rPr>
      </w:pPr>
      <w:r w:rsidRPr="00D40DFB">
        <w:rPr>
          <w:rFonts w:ascii="Verdana" w:eastAsia="Calibri" w:hAnsi="Verdana" w:cs="Arial"/>
          <w:lang w:eastAsia="es-ES_tradnl"/>
        </w:rPr>
        <w:t xml:space="preserve">En esta línea, uno de los criterios que podrían ser utilizados consiste en identificar el porcentaje del presupuesto destinado a las actividades de instalación e intervención del inmueble respecto del valor total del contrato. Otro criterio también está relacionado con la complejidad técnica y física de las labores de instalación. De esta manera, si por ejemplo, el valor de las actividades de instalación supera significativamente, más del 50 % del presupuesto, o si dichas actividades constituyen la esencia del negocio jurídico, o confluyen ambos criterios, podría concluirse que se trata de un contrato de obra y no de un simple contrato de suministro o instalación. </w:t>
      </w:r>
    </w:p>
    <w:p w14:paraId="5F00F8DB" w14:textId="77777777" w:rsidR="00D40DFB" w:rsidRPr="00D40DFB" w:rsidRDefault="00D40DFB" w:rsidP="00D40DFB">
      <w:pPr>
        <w:spacing w:after="120" w:line="276" w:lineRule="auto"/>
        <w:ind w:firstLine="709"/>
        <w:jc w:val="both"/>
        <w:rPr>
          <w:rFonts w:ascii="Verdana" w:eastAsia="Calibri" w:hAnsi="Verdana" w:cs="Arial"/>
          <w:lang w:eastAsia="es-ES_tradnl"/>
        </w:rPr>
      </w:pPr>
      <w:r w:rsidRPr="00D40DFB">
        <w:rPr>
          <w:rFonts w:ascii="Verdana" w:eastAsia="Calibri" w:hAnsi="Verdana" w:cs="Arial"/>
          <w:lang w:eastAsia="es-ES_tradnl"/>
        </w:rPr>
        <w:t>En contraste, si las labores de instalación son secundarias o accesorias, en su valor económico o en su complejidad técnica, y el elemento central del negocio jurídico es la entrega de los bienes muebles, la naturaleza del contrato correspondería a la de suministro. Esto podría suceder cuando la instalación se limita a ajustes menores, sin afectar la estructura o funcionamiento del inmueble.</w:t>
      </w:r>
    </w:p>
    <w:p w14:paraId="4357D0A9" w14:textId="77777777" w:rsidR="00D40DFB" w:rsidRPr="00D40DFB" w:rsidRDefault="00D40DFB" w:rsidP="00D40DFB">
      <w:pPr>
        <w:spacing w:after="120" w:line="276" w:lineRule="auto"/>
        <w:ind w:firstLine="709"/>
        <w:jc w:val="both"/>
        <w:rPr>
          <w:rFonts w:ascii="Verdana" w:eastAsia="Calibri" w:hAnsi="Verdana" w:cs="Arial"/>
          <w:lang w:eastAsia="es-ES_tradnl"/>
        </w:rPr>
      </w:pPr>
      <w:r w:rsidRPr="00D40DFB">
        <w:rPr>
          <w:rFonts w:ascii="Verdana" w:eastAsia="Calibri" w:hAnsi="Verdana" w:cs="Arial"/>
          <w:lang w:eastAsia="es-ES_tradnl"/>
        </w:rPr>
        <w:lastRenderedPageBreak/>
        <w:t>En este análisis, es de especial relevancia que la entidad estatal analice escenarios en los cuales, aunque el valor de los bienes objeto de suministro supere el de las actividades de instalación, el alcance de las obras necesarias para adecuar o intervenir el inmueble es tan significativo que la esencia del contrato deja de ser la provisión de los bienes y pasa a ser la ejecución de la obra misma. A modo de ilustración, si la instalación de equipos exige intervenciones intramurales que afecten paredes, redes eléctricas, sistemas hidráulicos o elementos estructurales del inmueble, podría sostenerse que la naturaleza del contrato es la de obra, ya que la actividad principal consiste en transformar y adecuar el inmueble para permitir el funcionamiento adecuado de los bienes instalados. En estos casos, el criterio determinante no es únicamente el componente presupuestal, sino la finalidad del contrato y el grado de intervención en el inmueble.</w:t>
      </w:r>
    </w:p>
    <w:p w14:paraId="1AECBAD7" w14:textId="77777777" w:rsidR="00D40DFB" w:rsidRPr="00D40DFB" w:rsidRDefault="00D40DFB" w:rsidP="00D40DFB">
      <w:pPr>
        <w:spacing w:after="0" w:line="276" w:lineRule="auto"/>
        <w:ind w:firstLine="709"/>
        <w:jc w:val="both"/>
        <w:rPr>
          <w:rFonts w:ascii="Verdana" w:eastAsia="Calibri" w:hAnsi="Verdana" w:cs="Arial"/>
          <w:lang w:eastAsia="es-ES_tradnl"/>
        </w:rPr>
      </w:pPr>
      <w:r w:rsidRPr="00D40DFB">
        <w:rPr>
          <w:rFonts w:ascii="Verdana" w:eastAsia="Calibri" w:hAnsi="Verdana" w:cs="Arial"/>
          <w:lang w:eastAsia="es-ES_tradnl"/>
        </w:rPr>
        <w:t xml:space="preserve">En este contexto, a juicio de esta Agencia, es importante que la entidad realice una valoración integral de las actividades y obligaciones del contrato teniendo en cuenta los distintos criterios expuestos para para determinar el régimen contractual aplicable al contrato y por ende si deben aplicarse o no los Documentos Tipo del Sector Transporte expedidos por esta Agencia. </w:t>
      </w:r>
    </w:p>
    <w:p w14:paraId="06C87C9C" w14:textId="77777777" w:rsidR="00D40DFB" w:rsidRPr="00D40DFB" w:rsidRDefault="00D40DFB" w:rsidP="00D40DFB">
      <w:pPr>
        <w:spacing w:after="0" w:line="276" w:lineRule="auto"/>
        <w:ind w:firstLine="709"/>
        <w:jc w:val="both"/>
        <w:rPr>
          <w:rFonts w:ascii="Verdana" w:eastAsia="Calibri" w:hAnsi="Verdana" w:cs="Arial"/>
          <w:lang w:eastAsia="es-ES_tradnl"/>
        </w:rPr>
      </w:pPr>
    </w:p>
    <w:p w14:paraId="5461307B" w14:textId="77777777" w:rsidR="00D40DFB" w:rsidRPr="00D40DFB" w:rsidRDefault="00D40DFB" w:rsidP="00D40DFB">
      <w:pPr>
        <w:snapToGrid w:val="0"/>
        <w:spacing w:after="120" w:line="276" w:lineRule="auto"/>
        <w:jc w:val="both"/>
        <w:rPr>
          <w:rFonts w:ascii="Verdana" w:eastAsia="Times New Roman" w:hAnsi="Verdana" w:cs="Arial"/>
          <w:kern w:val="2"/>
          <w:sz w:val="24"/>
          <w:szCs w:val="24"/>
          <w:shd w:val="clear" w:color="auto" w:fill="FFFFFF"/>
          <w:lang w:val="es-ES_tradnl" w:eastAsia="es-ES_tradnl"/>
          <w14:ligatures w14:val="standardContextual"/>
        </w:rPr>
      </w:pPr>
      <w:proofErr w:type="spellStart"/>
      <w:r w:rsidRPr="00D40DFB">
        <w:rPr>
          <w:rFonts w:ascii="Verdana" w:eastAsia="Calibri" w:hAnsi="Verdana" w:cs="Arial"/>
          <w:lang w:eastAsia="es-ES_tradnl"/>
        </w:rPr>
        <w:t>iv</w:t>
      </w:r>
      <w:proofErr w:type="spellEnd"/>
      <w:r w:rsidRPr="00D40DFB">
        <w:rPr>
          <w:rFonts w:ascii="Verdana" w:eastAsia="Calibri" w:hAnsi="Verdana" w:cs="Arial"/>
          <w:lang w:eastAsia="es-ES_tradnl"/>
        </w:rPr>
        <w:t xml:space="preserve">. </w:t>
      </w:r>
      <w:r w:rsidRPr="00D40DFB">
        <w:rPr>
          <w:rFonts w:ascii="Verdana" w:eastAsia="Aptos" w:hAnsi="Verdana" w:cs="Aptos"/>
          <w:kern w:val="2"/>
          <w14:ligatures w14:val="standardContextual"/>
        </w:rPr>
        <w:t>Sin perjuicio de las aclaraciones anteriores, debe advertirse que es la entidad contratante, al momento de adelantar sus actividades de planeación de cada proceso contractual, quien debe determinar si de acuerdo con las particularidades del contrato a ejecutar, este encaja o no dentro de alguna de las actividades de la matriz 1 de cada documento tipo, y si en consecuencia deben aplicarse o no determinados documentos tipo, conforme a los parámetros indicados en este concepto. Lo anterior sin que pueda apartarse de su aplicación cuando materialmente el objeto a contratar corresponde con alguna actividad de contemplada en dicha matriz.</w:t>
      </w:r>
      <w:r w:rsidRPr="00D40DFB">
        <w:rPr>
          <w:rFonts w:ascii="Verdana" w:eastAsia="Times New Roman" w:hAnsi="Verdana" w:cs="Arial"/>
          <w:kern w:val="2"/>
          <w:sz w:val="24"/>
          <w:szCs w:val="24"/>
          <w:shd w:val="clear" w:color="auto" w:fill="FFFFFF"/>
          <w:lang w:val="es-ES_tradnl" w:eastAsia="es-ES_tradnl"/>
          <w14:ligatures w14:val="standardContextual"/>
        </w:rPr>
        <w:t xml:space="preserve"> </w:t>
      </w:r>
    </w:p>
    <w:p w14:paraId="2F8DC749" w14:textId="77777777" w:rsidR="00D40DFB" w:rsidRPr="00D40DFB" w:rsidRDefault="00D40DFB" w:rsidP="00D40DFB">
      <w:pPr>
        <w:spacing w:after="120" w:line="276" w:lineRule="auto"/>
        <w:ind w:firstLine="708"/>
        <w:jc w:val="both"/>
        <w:rPr>
          <w:rFonts w:ascii="Verdana" w:eastAsia="Aptos" w:hAnsi="Verdana" w:cs="Times New Roman"/>
          <w:kern w:val="2"/>
          <w14:ligatures w14:val="standardContextual"/>
        </w:rPr>
      </w:pPr>
      <w:r w:rsidRPr="00D40DFB">
        <w:rPr>
          <w:rFonts w:ascii="Verdana" w:eastAsia="Calibri" w:hAnsi="Verdana" w:cs="Arial"/>
          <w:bCs/>
          <w:color w:val="000000"/>
          <w:kern w:val="2"/>
          <w14:ligatures w14:val="standardContextual"/>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w:t>
      </w:r>
      <w:r w:rsidRPr="00D40DFB">
        <w:rPr>
          <w:rFonts w:ascii="Verdana" w:eastAsia="Calibri" w:hAnsi="Verdana" w:cs="Arial"/>
          <w:bCs/>
          <w:color w:val="000000"/>
          <w:kern w:val="2"/>
          <w14:ligatures w14:val="standardContextual"/>
        </w:rPr>
        <w:lastRenderedPageBreak/>
        <w:t>correspondiente y, en caso de conflicto, a las autoridades judiciales, fiscales y disciplinarias.</w:t>
      </w:r>
    </w:p>
    <w:p w14:paraId="6D2304DF" w14:textId="77777777" w:rsidR="00D40DFB" w:rsidRPr="00D40DFB" w:rsidRDefault="00D40DFB" w:rsidP="00D40DFB">
      <w:pPr>
        <w:spacing w:after="0" w:line="276" w:lineRule="auto"/>
        <w:ind w:firstLine="708"/>
        <w:jc w:val="both"/>
        <w:rPr>
          <w:rFonts w:ascii="Verdana" w:eastAsia="Calibri" w:hAnsi="Verdana" w:cs="Arial"/>
          <w:bCs/>
          <w:color w:val="000000"/>
          <w:kern w:val="2"/>
          <w14:ligatures w14:val="standardContextual"/>
        </w:rPr>
      </w:pPr>
      <w:r w:rsidRPr="00D40DFB">
        <w:rPr>
          <w:rFonts w:ascii="Verdana" w:eastAsia="Calibri" w:hAnsi="Verdana" w:cs="Arial"/>
          <w:bCs/>
          <w:color w:val="000000"/>
          <w:kern w:val="2"/>
          <w14:ligatures w14:val="standardContextual"/>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p>
    <w:p w14:paraId="737ED88B" w14:textId="77777777" w:rsidR="00D40DFB" w:rsidRPr="00D40DFB" w:rsidRDefault="00D40DFB" w:rsidP="00D40DFB">
      <w:pPr>
        <w:spacing w:after="0"/>
        <w:jc w:val="both"/>
        <w:rPr>
          <w:rFonts w:ascii="Verdana" w:eastAsia="Aptos" w:hAnsi="Verdana" w:cs="Arial"/>
          <w:color w:val="000000"/>
          <w:lang w:val="es-ES"/>
        </w:rPr>
      </w:pPr>
    </w:p>
    <w:p w14:paraId="64463E29" w14:textId="77777777" w:rsidR="00D40DFB" w:rsidRPr="00D40DFB" w:rsidRDefault="00D40DFB" w:rsidP="00D40DFB">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D40DFB">
        <w:rPr>
          <w:rFonts w:ascii="Verdana" w:eastAsia="Century Gothic" w:hAnsi="Verdana" w:cs="Century Gothic"/>
          <w:b/>
          <w:bCs/>
        </w:rPr>
        <w:t>Referencias normativas, jurisprudenciales y otras fuentes:</w:t>
      </w:r>
    </w:p>
    <w:p w14:paraId="75CB99DC" w14:textId="77777777" w:rsidR="00D40DFB" w:rsidRPr="00D40DFB" w:rsidRDefault="00D40DFB" w:rsidP="00D40DFB">
      <w:pPr>
        <w:spacing w:after="0"/>
        <w:ind w:left="-15840"/>
        <w:jc w:val="both"/>
        <w:rPr>
          <w:rFonts w:ascii="Verdana" w:eastAsia="Calibri" w:hAnsi="Verdana" w:cs="Arial"/>
          <w:b/>
          <w:bCs/>
        </w:rPr>
      </w:pPr>
      <w:r w:rsidRPr="00D40DFB">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D40DFB" w:rsidRPr="00D40DFB" w14:paraId="10908E3E" w14:textId="77777777" w:rsidTr="005672E7">
        <w:trPr>
          <w:trHeight w:val="870"/>
        </w:trPr>
        <w:tc>
          <w:tcPr>
            <w:tcW w:w="8647" w:type="dxa"/>
            <w:tcBorders>
              <w:top w:val="dotted" w:sz="4" w:space="0" w:color="auto"/>
              <w:left w:val="dotted" w:sz="4" w:space="0" w:color="auto"/>
              <w:bottom w:val="dotted" w:sz="4" w:space="0" w:color="auto"/>
              <w:right w:val="dotted" w:sz="4" w:space="0" w:color="auto"/>
            </w:tcBorders>
          </w:tcPr>
          <w:p w14:paraId="1EDA8D80" w14:textId="77777777" w:rsidR="00D40DFB" w:rsidRPr="00D40DFB" w:rsidRDefault="00D40DFB" w:rsidP="00D40DFB">
            <w:pPr>
              <w:widowControl w:val="0"/>
              <w:numPr>
                <w:ilvl w:val="0"/>
                <w:numId w:val="17"/>
              </w:numPr>
              <w:autoSpaceDE w:val="0"/>
              <w:autoSpaceDN w:val="0"/>
              <w:spacing w:line="276" w:lineRule="auto"/>
              <w:ind w:left="714" w:hanging="357"/>
              <w:jc w:val="both"/>
              <w:rPr>
                <w:rFonts w:ascii="Verdana" w:eastAsia="Calibri" w:hAnsi="Verdana" w:cs="Arial"/>
                <w:lang w:val="es-ES_tradnl"/>
              </w:rPr>
            </w:pPr>
            <w:r w:rsidRPr="00D40DFB">
              <w:rPr>
                <w:rFonts w:ascii="Verdana" w:eastAsia="Calibri" w:hAnsi="Verdana" w:cs="Arial"/>
                <w:lang w:val="es-ES_tradnl"/>
              </w:rPr>
              <w:t xml:space="preserve">Ley 2022 de 2020, artículo 1. </w:t>
            </w:r>
          </w:p>
          <w:p w14:paraId="417335A7" w14:textId="77777777" w:rsidR="00D40DFB" w:rsidRPr="00D40DFB" w:rsidRDefault="00D40DFB" w:rsidP="00D40DFB">
            <w:pPr>
              <w:widowControl w:val="0"/>
              <w:numPr>
                <w:ilvl w:val="0"/>
                <w:numId w:val="17"/>
              </w:numPr>
              <w:autoSpaceDE w:val="0"/>
              <w:autoSpaceDN w:val="0"/>
              <w:spacing w:line="276" w:lineRule="auto"/>
              <w:jc w:val="both"/>
              <w:rPr>
                <w:rFonts w:ascii="Verdana" w:eastAsia="Calibri" w:hAnsi="Verdana" w:cs="Arial"/>
              </w:rPr>
            </w:pPr>
            <w:r w:rsidRPr="00D40DFB">
              <w:rPr>
                <w:rFonts w:ascii="Verdana" w:eastAsia="Calibri" w:hAnsi="Verdana" w:cs="Arial"/>
              </w:rPr>
              <w:t>Ley 1150 de 2007, artículo 2.</w:t>
            </w:r>
          </w:p>
          <w:p w14:paraId="7BDE0C73" w14:textId="77777777" w:rsidR="00D40DFB" w:rsidRPr="00D40DFB" w:rsidRDefault="00D40DFB" w:rsidP="00D40DFB">
            <w:pPr>
              <w:widowControl w:val="0"/>
              <w:numPr>
                <w:ilvl w:val="0"/>
                <w:numId w:val="17"/>
              </w:numPr>
              <w:autoSpaceDE w:val="0"/>
              <w:autoSpaceDN w:val="0"/>
              <w:spacing w:line="276" w:lineRule="auto"/>
              <w:contextualSpacing/>
              <w:jc w:val="both"/>
              <w:rPr>
                <w:rFonts w:ascii="Verdana" w:eastAsia="Calibri" w:hAnsi="Verdana" w:cs="Arial"/>
                <w:lang w:val="es-ES"/>
              </w:rPr>
            </w:pPr>
            <w:r w:rsidRPr="00D40DFB">
              <w:rPr>
                <w:rFonts w:ascii="Verdana" w:eastAsia="Calibri" w:hAnsi="Verdana" w:cs="Arial"/>
                <w:lang w:val="es-ES_tradnl"/>
              </w:rPr>
              <w:t xml:space="preserve">Documentos Tipo. Disponibles en: </w:t>
            </w:r>
            <w:hyperlink r:id="rId11" w:history="1">
              <w:r w:rsidRPr="00D40DFB">
                <w:rPr>
                  <w:rFonts w:ascii="Verdana" w:eastAsia="Calibri" w:hAnsi="Verdana" w:cs="Arial"/>
                  <w:color w:val="0000FF"/>
                  <w:u w:val="single"/>
                  <w:lang w:val="es-ES_tradnl"/>
                </w:rPr>
                <w:t>https://www.colombiacompra.gov.co/documentos-tipo/documentos-tipo</w:t>
              </w:r>
            </w:hyperlink>
            <w:r w:rsidRPr="00D40DFB">
              <w:rPr>
                <w:rFonts w:ascii="Verdana" w:eastAsia="Calibri" w:hAnsi="Verdana" w:cs="Arial"/>
                <w:lang w:val="es-ES_tradnl"/>
              </w:rPr>
              <w:t>.</w:t>
            </w:r>
          </w:p>
        </w:tc>
      </w:tr>
    </w:tbl>
    <w:p w14:paraId="14AD9ABF" w14:textId="77777777" w:rsidR="00D40DFB" w:rsidRPr="00D40DFB" w:rsidRDefault="00D40DFB" w:rsidP="00D40DFB">
      <w:pPr>
        <w:tabs>
          <w:tab w:val="left" w:pos="142"/>
          <w:tab w:val="left" w:pos="284"/>
        </w:tabs>
        <w:spacing w:after="0" w:line="276" w:lineRule="auto"/>
        <w:jc w:val="both"/>
        <w:rPr>
          <w:rFonts w:ascii="Verdana" w:eastAsia="Calibri" w:hAnsi="Verdana" w:cs="Arial"/>
        </w:rPr>
      </w:pPr>
    </w:p>
    <w:p w14:paraId="63164A08" w14:textId="77777777" w:rsidR="00D40DFB" w:rsidRPr="00D40DFB" w:rsidRDefault="00D40DFB" w:rsidP="00D40DFB">
      <w:pPr>
        <w:numPr>
          <w:ilvl w:val="0"/>
          <w:numId w:val="16"/>
        </w:numPr>
        <w:tabs>
          <w:tab w:val="left" w:pos="142"/>
          <w:tab w:val="left" w:pos="284"/>
        </w:tabs>
        <w:spacing w:after="0" w:line="276" w:lineRule="auto"/>
        <w:ind w:left="360"/>
        <w:jc w:val="both"/>
        <w:rPr>
          <w:rFonts w:ascii="Verdana" w:eastAsia="Century Gothic" w:hAnsi="Verdana" w:cs="Century Gothic"/>
          <w:b/>
          <w:bCs/>
        </w:rPr>
      </w:pPr>
      <w:r w:rsidRPr="00D40DFB">
        <w:rPr>
          <w:rFonts w:ascii="Verdana" w:eastAsia="Century Gothic" w:hAnsi="Verdana" w:cs="Century Gothic"/>
          <w:b/>
          <w:bCs/>
        </w:rPr>
        <w:t>Doctrina de la Agencia Nacional de Contratación Pública:</w:t>
      </w:r>
    </w:p>
    <w:p w14:paraId="6922FB08" w14:textId="77777777" w:rsidR="00D40DFB" w:rsidRPr="00D40DFB" w:rsidRDefault="00D40DFB" w:rsidP="00D40DFB">
      <w:pPr>
        <w:widowControl w:val="0"/>
        <w:autoSpaceDE w:val="0"/>
        <w:autoSpaceDN w:val="0"/>
        <w:spacing w:after="0" w:line="276" w:lineRule="auto"/>
        <w:jc w:val="both"/>
        <w:rPr>
          <w:rFonts w:ascii="Verdana" w:eastAsia="Calibri" w:hAnsi="Verdana" w:cs="Arial"/>
        </w:rPr>
      </w:pPr>
    </w:p>
    <w:p w14:paraId="7E0551D8" w14:textId="77777777" w:rsidR="00D40DFB" w:rsidRPr="00D40DFB" w:rsidRDefault="00D40DFB" w:rsidP="00D40DFB">
      <w:pPr>
        <w:widowControl w:val="0"/>
        <w:autoSpaceDE w:val="0"/>
        <w:autoSpaceDN w:val="0"/>
        <w:spacing w:after="120" w:line="276" w:lineRule="auto"/>
        <w:jc w:val="both"/>
        <w:rPr>
          <w:rFonts w:ascii="Verdana" w:eastAsia="Times New Roman" w:hAnsi="Verdana" w:cs="Arial"/>
          <w:shd w:val="clear" w:color="auto" w:fill="FFFFFF"/>
          <w:lang w:val="es-ES"/>
        </w:rPr>
      </w:pPr>
      <w:r w:rsidRPr="00D40DFB">
        <w:rPr>
          <w:rFonts w:ascii="Verdana" w:eastAsia="Calibri" w:hAnsi="Verdana" w:cs="Arial"/>
          <w:shd w:val="clear" w:color="auto" w:fill="FFFFFF"/>
        </w:rPr>
        <w:t>L</w:t>
      </w:r>
      <w:r w:rsidRPr="00D40DFB">
        <w:rPr>
          <w:rFonts w:ascii="Verdana" w:eastAsia="Calibri" w:hAnsi="Verdana" w:cs="Arial"/>
          <w:shd w:val="clear" w:color="auto" w:fill="FFFFFF"/>
          <w:lang w:val="es-ES"/>
        </w:rPr>
        <w:t xml:space="preserve">a Agencia Nacional de Contratación Pública – Colombia Compra Eficiente, se ha pronunciado sobre el fundamento normativo de los documentos tipo en los conceptos: </w:t>
      </w:r>
      <w:r w:rsidRPr="00D40DFB">
        <w:rPr>
          <w:rFonts w:ascii="Verdana" w:eastAsia="Times New Roman" w:hAnsi="Verdana" w:cs="Arial"/>
          <w:shd w:val="clear" w:color="auto" w:fill="FFFFFF"/>
          <w:lang w:val="es-ES"/>
        </w:rPr>
        <w:t xml:space="preserve">C-653 del 9 de noviembre de 2020, C-665 del 11 de noviembre de 2020, C-698 del 19 de noviembre de 2020, C-716 del 30 de noviembre de 2020, C-775 de 2020 del 11 de diciembre de 2020, C-798 del 25 de enero de 2021, C-027 del 1 de marzo de 2021 y C-204 del 6 de mayo de 2021, C-215 del 12 de mayo de 2021, C-224 del 20 de mayo, C-264 del 2 de junio del 2021, C-268 del 3 de junio de 2021, C-312 del 29 de junio de 2021, C-344 del 13 de julio de 2021, C-384 del 30 de julio de 2021, C-412 del 17 de agosto de 2021, C-433 del 20 de agosto de 2021, C-471 del 30 de agosto de 2021, C-450 del 31 de agosto de 2021, C-473 del 7 de septiembre de 2021, C-591 del 31 de agosto de 2021, C-493 del 13 de septiembre de 2021, C-569 del 12 de octubre de 2021, C-599 del 26 de octubre de 2021, C-643 del 17 de noviembre de 2021 y C-356 del 6 de julio de 2022, C-654 del 7 de octubre de 2022, C-874 del 22 de </w:t>
      </w:r>
      <w:r w:rsidRPr="00D40DFB">
        <w:rPr>
          <w:rFonts w:ascii="Verdana" w:eastAsia="Times New Roman" w:hAnsi="Verdana" w:cs="Arial"/>
          <w:shd w:val="clear" w:color="auto" w:fill="FFFFFF"/>
          <w:lang w:val="es-ES"/>
        </w:rPr>
        <w:lastRenderedPageBreak/>
        <w:t xml:space="preserve">diciembre de 2022, C-909 del 5 de enero de 2023, C-945 del 17 de febrero de 2023, C-042 del 29 de marzo de 2023, C-051 del 28 de abril de 2023, C-299 del 24 de julio de 2023, C- 272 del 22 de agosto de 2024, C- 516 del 07 de octubre de 2024, C- 481 del 09 de noviembre de 2024, C- 692 del 19 de noviembre de 2024, C-753 del 4 de enero de 2024 y C-133 del 10 de marzo de 2025. </w:t>
      </w:r>
    </w:p>
    <w:p w14:paraId="2D21D9E9" w14:textId="77777777" w:rsidR="00D40DFB" w:rsidRPr="00D40DFB" w:rsidRDefault="00D40DFB" w:rsidP="00D40DFB">
      <w:pPr>
        <w:spacing w:after="120" w:line="278" w:lineRule="auto"/>
        <w:jc w:val="both"/>
        <w:rPr>
          <w:rFonts w:ascii="Verdana" w:eastAsia="Times New Roman" w:hAnsi="Verdana" w:cs="Arial"/>
          <w:shd w:val="clear" w:color="auto" w:fill="FFFFFF"/>
          <w:lang w:val="es-ES"/>
        </w:rPr>
      </w:pPr>
      <w:r w:rsidRPr="00D40DFB">
        <w:rPr>
          <w:rFonts w:ascii="Verdana" w:eastAsia="Times New Roman" w:hAnsi="Verdana" w:cs="Arial"/>
          <w:shd w:val="clear" w:color="auto" w:fill="FFFFFF"/>
          <w:lang w:val="es-ES"/>
        </w:rPr>
        <w:t xml:space="preserve">Así mismo, en los conceptos C-085 del 10 de abril de 2023, C-375 del 2 de noviembre de 2023, C-063 del 17 de mayo de 2024, C-120 del 11 de junio de 2024, C-092 del 14 de junio de 2024, C-127 del 28 de junio de 2024, C-276 del 5 de julio de 2024, C-153 del 12 de julio de 2024, C-147 del 17 de julio de 2024, C-229 del 09 de agosto de 2024, C-549 del 15 de octubre de 2024, C-400 del 18 de octubre de 2024, C-587 del 23 de octubre de 2024, C-753 del 4 de diciembre de 2024, C-753 del 4 de diciembre de 2024, C-213 del 6 de marzo de 2025, C-283 del 14 de abril de 2025, C-168 del 12 de septiembre de 2025 , C-581 del 24 de junio de 2025, C-1093 del 15 de septiembre del 2025, C-1286 del 15 de septiembre de 2025, C-1360 del 9 de octubre de 2025, C-1532 del 2 de diciembre de 2025, C-325 del 8 de abril de 2026 y C- C-1040 del 12 de agosto de 2026, esta Agencia se pronunció sobre la Matriz 1 – Experiencia de los documentos tipo de infraestructura de transporte. </w:t>
      </w:r>
    </w:p>
    <w:p w14:paraId="06B17EAA" w14:textId="77777777" w:rsidR="00D40DFB" w:rsidRPr="00D40DFB" w:rsidRDefault="00D40DFB" w:rsidP="00D40DFB">
      <w:pPr>
        <w:spacing w:after="120" w:line="278" w:lineRule="auto"/>
        <w:jc w:val="both"/>
        <w:rPr>
          <w:rFonts w:ascii="Verdana" w:eastAsia="Times New Roman" w:hAnsi="Verdana" w:cs="Arial"/>
          <w:shd w:val="clear" w:color="auto" w:fill="FFFFFF"/>
          <w:lang w:val="es-ES"/>
        </w:rPr>
      </w:pPr>
      <w:r w:rsidRPr="00D40DFB">
        <w:rPr>
          <w:rFonts w:ascii="Verdana" w:eastAsia="Times New Roman" w:hAnsi="Verdana" w:cs="Arial"/>
          <w:shd w:val="clear" w:color="auto" w:fill="FFFFFF"/>
          <w:lang w:val="es-ES"/>
        </w:rPr>
        <w:t xml:space="preserve">Por otra parte, esta Agencia en el Concepto C-740 del 21 de julio de 2025 se pronunció sobre la aplicación de los documentos tipo para contratar actividades sobre alumbrado público. </w:t>
      </w:r>
    </w:p>
    <w:p w14:paraId="6254EA04" w14:textId="77777777" w:rsidR="00D40DFB" w:rsidRPr="00D40DFB" w:rsidRDefault="00D40DFB" w:rsidP="00D40DFB">
      <w:pPr>
        <w:spacing w:after="0" w:line="276" w:lineRule="auto"/>
        <w:jc w:val="both"/>
        <w:rPr>
          <w:rFonts w:ascii="Verdana" w:eastAsia="Calibri" w:hAnsi="Verdana" w:cs="Arial"/>
          <w:kern w:val="2"/>
          <w:shd w:val="clear" w:color="auto" w:fill="FFFFFF"/>
          <w:lang w:val="es-ES"/>
          <w14:ligatures w14:val="standardContextual"/>
        </w:rPr>
      </w:pPr>
      <w:r w:rsidRPr="00D40DFB">
        <w:rPr>
          <w:rFonts w:ascii="Verdana" w:eastAsia="Calibri" w:hAnsi="Verdana" w:cs="Arial"/>
          <w:kern w:val="2"/>
          <w:shd w:val="clear" w:color="auto" w:fill="FFFFFF"/>
          <w:lang w:val="es-ES"/>
          <w14:ligatures w14:val="standardContextual"/>
        </w:rPr>
        <w:t xml:space="preserve">Ahora bien, esta Subdirección se ha pronunciado sobre el objeto y las características del contrato de obra pública en los Conceptos 4201913000008014 del 24 de diciembre del año 2019, C-530 del 13 de agosto de 2020, C-038 del 5 de abril de 2021, C-110 del 7 de marzo de 2025 y C-915 del 15 de julio de 2025, entre otros. Igualmente, la Subdirección se ha referido a los contratos Mixtos y objetos sociales con prestaciones mixtas en los conceptos con radicados 2201913000009572 y 2201913000009588 del 24 de diciembre de 2019, C-694 del 29 de diciembre de 2021, C-440 del 2 de septiembre de 2021, C–933 de 2022, C–484 del 09 de octubre de 2024, C-864 del 11 de agosto de 2025, C-1580 del 24 de diciembre de 2025, C-365 del 8 de abril de 2026, C-386 del 23 de abril de 2026 y C-452 del 4 de mayo de 2026.  </w:t>
      </w:r>
    </w:p>
    <w:p w14:paraId="6EA28660" w14:textId="77777777" w:rsidR="00D40DFB" w:rsidRPr="00D40DFB" w:rsidRDefault="00D40DFB" w:rsidP="00D40DFB">
      <w:pPr>
        <w:spacing w:after="120" w:line="278" w:lineRule="auto"/>
        <w:jc w:val="both"/>
        <w:rPr>
          <w:rFonts w:ascii="Verdana" w:eastAsia="Times New Roman" w:hAnsi="Verdana" w:cs="Arial"/>
          <w:shd w:val="clear" w:color="auto" w:fill="FFFFFF"/>
          <w:lang w:val="es-ES"/>
        </w:rPr>
      </w:pPr>
    </w:p>
    <w:p w14:paraId="6C09F26E" w14:textId="77777777" w:rsidR="00D40DFB" w:rsidRPr="00D40DFB" w:rsidRDefault="00D40DFB" w:rsidP="00D40DFB">
      <w:pPr>
        <w:spacing w:after="120" w:line="278" w:lineRule="auto"/>
        <w:jc w:val="both"/>
        <w:rPr>
          <w:rFonts w:ascii="Verdana" w:eastAsia="Times New Roman" w:hAnsi="Verdana" w:cs="Arial"/>
          <w:shd w:val="clear" w:color="auto" w:fill="FFFFFF"/>
          <w:lang w:val="es-ES"/>
        </w:rPr>
      </w:pPr>
    </w:p>
    <w:p w14:paraId="54A652D5" w14:textId="77777777" w:rsidR="00D40DFB" w:rsidRPr="00D40DFB" w:rsidRDefault="00D40DFB" w:rsidP="00D40DFB">
      <w:pPr>
        <w:widowControl w:val="0"/>
        <w:autoSpaceDE w:val="0"/>
        <w:autoSpaceDN w:val="0"/>
        <w:spacing w:after="120" w:line="276" w:lineRule="auto"/>
        <w:jc w:val="both"/>
        <w:rPr>
          <w:rFonts w:ascii="Verdana" w:eastAsia="Calibri" w:hAnsi="Verdana" w:cs="Arial"/>
          <w:color w:val="0000FF"/>
          <w:kern w:val="2"/>
          <w:u w:val="single"/>
          <w:shd w:val="clear" w:color="auto" w:fill="FFFFFF"/>
          <w14:ligatures w14:val="standardContextual"/>
        </w:rPr>
      </w:pPr>
      <w:r w:rsidRPr="00D40DFB">
        <w:rPr>
          <w:rFonts w:ascii="Verdana" w:eastAsia="Times New Roman" w:hAnsi="Verdana" w:cs="Arial"/>
          <w:shd w:val="clear" w:color="auto" w:fill="FFFFFF"/>
          <w:lang w:val="es-ES"/>
        </w:rPr>
        <w:lastRenderedPageBreak/>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2" w:tgtFrame="_blank" w:tooltip="Dirección URL original: https://relatoria.colombiacompra.gov.co/. Haga clic o pulse si confía en este vínculo." w:history="1">
        <w:r w:rsidRPr="00D40DFB">
          <w:rPr>
            <w:rFonts w:ascii="Verdana" w:eastAsia="Calibri" w:hAnsi="Verdana" w:cs="Arial"/>
            <w:color w:val="0000FF"/>
            <w:kern w:val="2"/>
            <w:u w:val="single"/>
            <w:shd w:val="clear" w:color="auto" w:fill="FFFFFF"/>
            <w14:ligatures w14:val="standardContextual"/>
          </w:rPr>
          <w:t>https://relatoria.colombiacompra.gov.co/</w:t>
        </w:r>
      </w:hyperlink>
      <w:r w:rsidRPr="00D40DFB">
        <w:rPr>
          <w:rFonts w:ascii="Verdana" w:eastAsia="Calibri" w:hAnsi="Verdana" w:cs="Arial"/>
          <w:color w:val="0000FF"/>
          <w:kern w:val="2"/>
          <w:u w:val="single"/>
          <w:shd w:val="clear" w:color="auto" w:fill="FFFFFF"/>
          <w14:ligatures w14:val="standardContextual"/>
        </w:rPr>
        <w:t> .</w:t>
      </w:r>
    </w:p>
    <w:bookmarkEnd w:id="1"/>
    <w:p w14:paraId="0BC48C60" w14:textId="77777777" w:rsidR="00D40DFB" w:rsidRPr="00D40DFB" w:rsidRDefault="00D40DFB" w:rsidP="00D40DFB">
      <w:pPr>
        <w:spacing w:after="120" w:line="276" w:lineRule="auto"/>
        <w:jc w:val="both"/>
        <w:rPr>
          <w:rFonts w:ascii="Verdana" w:eastAsia="Aptos" w:hAnsi="Verdana" w:cs="Times New Roman"/>
          <w:kern w:val="2"/>
          <w:sz w:val="24"/>
          <w:szCs w:val="24"/>
          <w14:ligatures w14:val="standardContextual"/>
        </w:rPr>
      </w:pPr>
      <w:r w:rsidRPr="00D40DFB">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D40DFB">
        <w:rPr>
          <w:rFonts w:ascii="Verdana" w:eastAsia="Aptos" w:hAnsi="Verdana" w:cs="Times New Roman"/>
          <w:b/>
          <w:bCs/>
          <w:color w:val="000000"/>
          <w:kern w:val="2"/>
          <w14:ligatures w14:val="standardContextual"/>
        </w:rPr>
        <w:t>Guía para la Exigencia y Constitución de Garantías en los Procesos de Contratación</w:t>
      </w:r>
      <w:r w:rsidRPr="00D40DFB">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ooltip="https://nam02.safelinks.protection.outlook.com/?url=https%3A%2F%2Fwww.colombiacompra.gov.co%2Farchivos%2Fmanual%2Fguia-de-garantias-en-procesos-de-contratacion&amp;data=05%7C02%7Ccarlos.castrillon%40colombiacompra.gov.co%7C7128555136e04fa6887d08dee99e1b50%7C7b0904" w:history="1">
        <w:r w:rsidRPr="00D40DFB">
          <w:rPr>
            <w:rFonts w:ascii="Verdana" w:eastAsia="Aptos" w:hAnsi="Verdana" w:cs="Times New Roman"/>
            <w:color w:val="0078D7"/>
            <w:kern w:val="2"/>
            <w:u w:val="single"/>
            <w14:ligatures w14:val="standardContextual"/>
          </w:rPr>
          <w:t>https://www.colombiacompra.gov.co/archivos/manual/guia-de-garantias-en-procesos-de-contratacion</w:t>
        </w:r>
      </w:hyperlink>
    </w:p>
    <w:p w14:paraId="0E49EDEF" w14:textId="77777777" w:rsidR="00D40DFB" w:rsidRPr="00D40DFB" w:rsidRDefault="00D40DFB" w:rsidP="00D40DFB">
      <w:pPr>
        <w:spacing w:after="120" w:line="276" w:lineRule="auto"/>
        <w:jc w:val="both"/>
        <w:rPr>
          <w:rFonts w:ascii="Verdana" w:eastAsia="Aptos" w:hAnsi="Verdana" w:cs="Times New Roman"/>
          <w:color w:val="000000"/>
          <w:kern w:val="2"/>
          <w14:ligatures w14:val="standardContextual"/>
        </w:rPr>
      </w:pPr>
      <w:r w:rsidRPr="00D40DFB">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D40DFB">
        <w:rPr>
          <w:rFonts w:ascii="Verdana" w:eastAsia="Aptos" w:hAnsi="Verdana" w:cs="Times New Roman"/>
          <w:b/>
          <w:bCs/>
          <w:color w:val="000000"/>
          <w:kern w:val="2"/>
          <w14:ligatures w14:val="standardContextual"/>
        </w:rPr>
        <w:t>Sistema Integral de Preferencias en favor de las personas con discapacidad</w:t>
      </w:r>
      <w:r w:rsidRPr="00D40DFB">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D40DFB">
        <w:rPr>
          <w:rFonts w:ascii="Verdana" w:eastAsia="Aptos" w:hAnsi="Verdana" w:cs="Times New Roman"/>
          <w:b/>
          <w:bCs/>
          <w:color w:val="000000"/>
          <w:kern w:val="2"/>
          <w14:ligatures w14:val="standardContextual"/>
        </w:rPr>
        <w:t>Circular Externa 003 del 12 de mayo de 2026, </w:t>
      </w:r>
      <w:r w:rsidRPr="00D40DFB">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4" w:tooltip="https://nam02.safelinks.protection.outlook.com/?url=https%3A%2F%2Fwww.colombiacompra.gov.co%2Farchivos%2Fcircular%2Fcircular-externa-003-de-2026&amp;data=05%7C02%7Ccarlos.castrillon%40colombiacompra.gov.co%7C7128555136e04fa6887d08dee99e1b50%7C7b09041e245149d08cb17" w:history="1">
        <w:r w:rsidRPr="00D40DFB">
          <w:rPr>
            <w:rFonts w:ascii="Verdana" w:eastAsia="Aptos" w:hAnsi="Verdana" w:cs="Times New Roman"/>
            <w:color w:val="0078D7"/>
            <w:kern w:val="2"/>
            <w:u w:val="single"/>
            <w14:ligatures w14:val="standardContextual"/>
          </w:rPr>
          <w:t>https://www.colombiacompra.gov.co/archivos/circular/circular-externa-003-de-2026</w:t>
        </w:r>
      </w:hyperlink>
    </w:p>
    <w:p w14:paraId="45399FFF" w14:textId="77777777" w:rsidR="00D40DFB" w:rsidRPr="00D40DFB" w:rsidRDefault="00D40DFB" w:rsidP="00D40DFB">
      <w:pPr>
        <w:spacing w:after="120" w:line="276" w:lineRule="auto"/>
        <w:jc w:val="both"/>
        <w:rPr>
          <w:rFonts w:ascii="Verdana" w:eastAsia="Aptos" w:hAnsi="Verdana" w:cs="Times New Roman"/>
          <w:color w:val="000000"/>
          <w:kern w:val="2"/>
          <w14:ligatures w14:val="standardContextual"/>
        </w:rPr>
      </w:pPr>
      <w:r w:rsidRPr="00D40DFB">
        <w:rPr>
          <w:rFonts w:ascii="Verdana" w:eastAsia="Aptos" w:hAnsi="Verdana" w:cs="Times New Roman"/>
          <w:color w:val="000000"/>
          <w:kern w:val="2"/>
          <w14:ligatures w14:val="standardContextual"/>
        </w:rPr>
        <w:t>Recuerda también que la</w:t>
      </w:r>
      <w:r w:rsidRPr="00D40DFB">
        <w:rPr>
          <w:rFonts w:ascii="Verdana" w:eastAsia="Aptos" w:hAnsi="Verdana" w:cs="Times New Roman"/>
          <w:b/>
          <w:bCs/>
          <w:color w:val="000000"/>
          <w:kern w:val="2"/>
          <w14:ligatures w14:val="standardContextual"/>
        </w:rPr>
        <w:t> información sobre sanciones e inhabilidades </w:t>
      </w:r>
      <w:r w:rsidRPr="00D40DFB">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D40DFB">
        <w:rPr>
          <w:rFonts w:ascii="Verdana" w:eastAsia="Aptos" w:hAnsi="Verdana" w:cs="Times New Roman"/>
          <w:b/>
          <w:bCs/>
          <w:color w:val="000000"/>
          <w:kern w:val="2"/>
          <w14:ligatures w14:val="standardContextual"/>
        </w:rPr>
        <w:t>Circular Externa 002 del 5 de mayo de 2026,</w:t>
      </w:r>
      <w:r w:rsidRPr="00D40DFB">
        <w:rPr>
          <w:rFonts w:ascii="Verdana" w:eastAsia="Aptos" w:hAnsi="Verdana" w:cs="Times New Roman"/>
          <w:color w:val="000000"/>
          <w:kern w:val="2"/>
          <w14:ligatures w14:val="standardContextual"/>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w:t>
      </w:r>
      <w:r w:rsidRPr="00D40DFB">
        <w:rPr>
          <w:rFonts w:ascii="Verdana" w:eastAsia="Aptos" w:hAnsi="Verdana" w:cs="Times New Roman"/>
          <w:color w:val="000000"/>
          <w:kern w:val="2"/>
          <w14:ligatures w14:val="standardContextual"/>
        </w:rPr>
        <w:lastRenderedPageBreak/>
        <w:t>disciplinarias de omitir este deber. Consúltala aquí: </w:t>
      </w:r>
      <w:hyperlink r:id="rId15" w:tooltip="https://nam02.safelinks.protection.outlook.com/?url=https%3A%2F%2Fwww.colombiacompra.gov.co%2Farchivos%2Fcircular%2Fcircular-externa-002-de-2026&amp;data=05%7C02%7Ccarlos.castrillon%40colombiacompra.gov.co%7C7128555136e04fa6887d08dee99e1b50%7C7b09041e245149d08cb17" w:history="1">
        <w:r w:rsidRPr="00D40DFB">
          <w:rPr>
            <w:rFonts w:ascii="Verdana" w:eastAsia="Aptos" w:hAnsi="Verdana" w:cs="Times New Roman"/>
            <w:color w:val="0078D7"/>
            <w:kern w:val="2"/>
            <w:u w:val="single"/>
            <w14:ligatures w14:val="standardContextual"/>
          </w:rPr>
          <w:t>https://www.colombiacompra.gov.co/archivos/circular/circular-externa-002-de-2026</w:t>
        </w:r>
      </w:hyperlink>
    </w:p>
    <w:p w14:paraId="4EBBDFFD" w14:textId="77777777" w:rsidR="00D40DFB" w:rsidRPr="00D40DFB" w:rsidRDefault="00D40DFB" w:rsidP="00D40DFB">
      <w:pPr>
        <w:spacing w:after="120" w:line="276" w:lineRule="auto"/>
        <w:jc w:val="both"/>
        <w:rPr>
          <w:rFonts w:ascii="Verdana" w:eastAsia="Aptos" w:hAnsi="Verdana" w:cs="Times New Roman"/>
          <w:color w:val="000000"/>
          <w:kern w:val="2"/>
          <w14:ligatures w14:val="standardContextual"/>
        </w:rPr>
      </w:pPr>
      <w:r w:rsidRPr="00D40DFB">
        <w:rPr>
          <w:rFonts w:ascii="Verdana" w:eastAsia="Aptos" w:hAnsi="Verdana" w:cs="Times New Roman"/>
          <w:color w:val="000000"/>
          <w:kern w:val="2"/>
          <w14:ligatures w14:val="standardContextual"/>
        </w:rPr>
        <w:t>Finalmente, si quieres seguir de cerca la actividad de la Agencia, la tercera edición de 2026 del</w:t>
      </w:r>
      <w:r w:rsidRPr="00D40DFB">
        <w:rPr>
          <w:rFonts w:ascii="Verdana" w:eastAsia="Aptos" w:hAnsi="Verdana" w:cs="Times New Roman"/>
          <w:b/>
          <w:bCs/>
          <w:color w:val="000000"/>
          <w:kern w:val="2"/>
          <w14:ligatures w14:val="standardContextual"/>
        </w:rPr>
        <w:t> Radar de la Compra Pública</w:t>
      </w:r>
      <w:r w:rsidRPr="00D40DFB">
        <w:rPr>
          <w:rFonts w:ascii="Verdana" w:eastAsia="Aptos" w:hAnsi="Verdana" w:cs="Times New Roman"/>
          <w:color w:val="000000"/>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ooltip="https://nam02.safelinks.protection.outlook.com/?url=https%3A%2F%2Fwww.colombiacompra.gov.co%2Farchivos%2Fboletin%2Fboletin-edicion-n-3-de-2026-radar-de-la-compra-publica&amp;data=05%7C02%7Ccarlos.castrillon%40colombiacompra.gov.co%7C7128555136e04fa6887d08dee99e1b5" w:history="1">
        <w:r w:rsidRPr="00D40DFB">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D40DFB">
        <w:rPr>
          <w:rFonts w:ascii="Verdana" w:eastAsia="Aptos" w:hAnsi="Verdana" w:cs="Times New Roman"/>
          <w:color w:val="000000"/>
          <w:kern w:val="2"/>
          <w14:ligatures w14:val="standardContextual"/>
        </w:rPr>
        <w:t>"</w:t>
      </w:r>
    </w:p>
    <w:p w14:paraId="188CCB66" w14:textId="77777777" w:rsidR="00D40DFB" w:rsidRPr="00D40DFB" w:rsidRDefault="00D40DFB" w:rsidP="00D40DFB">
      <w:pPr>
        <w:spacing w:after="120" w:line="240" w:lineRule="auto"/>
        <w:jc w:val="both"/>
        <w:rPr>
          <w:rFonts w:ascii="Verdana" w:eastAsia="Calibri" w:hAnsi="Verdana" w:cs="Times New Roman"/>
          <w:lang w:eastAsia="es-MX"/>
        </w:rPr>
      </w:pPr>
      <w:r w:rsidRPr="00D40DFB">
        <w:rPr>
          <w:rFonts w:ascii="Verdana" w:eastAsia="Aptos" w:hAnsi="Verdana" w:cs="Times New Roman"/>
          <w:lang w:eastAsia="es-MX"/>
        </w:rPr>
        <w:t xml:space="preserve">Por último, lo invitamos a seguirnos en las redes sociales en las cuales se difunde información institucional: </w:t>
      </w:r>
    </w:p>
    <w:p w14:paraId="6C63BD67" w14:textId="77777777" w:rsidR="00D40DFB" w:rsidRPr="00D40DFB" w:rsidRDefault="00D40DFB" w:rsidP="00D40DFB">
      <w:pPr>
        <w:spacing w:after="120" w:line="240" w:lineRule="auto"/>
        <w:jc w:val="both"/>
        <w:rPr>
          <w:rFonts w:ascii="Verdana" w:eastAsia="Aptos" w:hAnsi="Verdana" w:cs="Times New Roman"/>
          <w:lang w:eastAsia="es-MX"/>
        </w:rPr>
      </w:pPr>
      <w:r w:rsidRPr="00D40DFB">
        <w:rPr>
          <w:rFonts w:ascii="Verdana" w:eastAsia="Aptos" w:hAnsi="Verdana" w:cs="Times New Roman"/>
          <w:lang w:eastAsia="es-MX"/>
        </w:rPr>
        <w:t xml:space="preserve">Twitter: </w:t>
      </w:r>
      <w:r w:rsidRPr="00D40DFB">
        <w:rPr>
          <w:rFonts w:ascii="Verdana" w:eastAsia="Calibri" w:hAnsi="Verdana" w:cs="Times New Roman"/>
          <w:color w:val="156082"/>
          <w:u w:val="single"/>
          <w:lang w:eastAsia="es-MX"/>
        </w:rPr>
        <w:t>@colombiacompra</w:t>
      </w:r>
      <w:r w:rsidRPr="00D40DFB">
        <w:rPr>
          <w:rFonts w:ascii="Verdana" w:eastAsia="Calibri" w:hAnsi="Verdana" w:cs="Times New Roman"/>
          <w:color w:val="156082"/>
          <w:lang w:eastAsia="es-MX"/>
        </w:rPr>
        <w:t xml:space="preserve"> </w:t>
      </w:r>
    </w:p>
    <w:p w14:paraId="4965FED8" w14:textId="77777777" w:rsidR="00D40DFB" w:rsidRPr="00D40DFB" w:rsidRDefault="00D40DFB" w:rsidP="00D40DFB">
      <w:pPr>
        <w:spacing w:after="120" w:line="240" w:lineRule="auto"/>
        <w:jc w:val="both"/>
        <w:rPr>
          <w:rFonts w:ascii="Verdana" w:eastAsia="Aptos" w:hAnsi="Verdana" w:cs="Times New Roman"/>
          <w:lang w:eastAsia="es-MX"/>
        </w:rPr>
      </w:pPr>
      <w:r w:rsidRPr="00D40DFB">
        <w:rPr>
          <w:rFonts w:ascii="Verdana" w:eastAsia="Aptos" w:hAnsi="Verdana" w:cs="Times New Roman"/>
          <w:lang w:eastAsia="es-MX"/>
        </w:rPr>
        <w:t xml:space="preserve">Facebook: </w:t>
      </w:r>
      <w:proofErr w:type="spellStart"/>
      <w:r w:rsidRPr="00D40DFB">
        <w:rPr>
          <w:rFonts w:ascii="Verdana" w:eastAsia="Calibri" w:hAnsi="Verdana" w:cs="Times New Roman"/>
          <w:color w:val="156082"/>
          <w:u w:val="single"/>
          <w:lang w:eastAsia="es-MX"/>
        </w:rPr>
        <w:t>ColombiaCompraEficiente</w:t>
      </w:r>
      <w:proofErr w:type="spellEnd"/>
    </w:p>
    <w:p w14:paraId="68EE89FF" w14:textId="77777777" w:rsidR="00D40DFB" w:rsidRPr="00D40DFB" w:rsidRDefault="00D40DFB" w:rsidP="00D40DFB">
      <w:pPr>
        <w:spacing w:after="120" w:line="240" w:lineRule="auto"/>
        <w:jc w:val="both"/>
        <w:rPr>
          <w:rFonts w:ascii="Verdana" w:eastAsia="Aptos" w:hAnsi="Verdana" w:cs="Times New Roman"/>
          <w:lang w:eastAsia="es-MX"/>
        </w:rPr>
      </w:pPr>
      <w:r w:rsidRPr="00D40DFB">
        <w:rPr>
          <w:rFonts w:ascii="Verdana" w:eastAsia="Aptos" w:hAnsi="Verdana" w:cs="Times New Roman"/>
          <w:lang w:eastAsia="es-MX"/>
        </w:rPr>
        <w:t xml:space="preserve">LinkedIn: </w:t>
      </w:r>
      <w:r w:rsidRPr="00D40DFB">
        <w:rPr>
          <w:rFonts w:ascii="Verdana" w:eastAsia="Calibri" w:hAnsi="Verdana" w:cs="Times New Roman"/>
          <w:color w:val="156082"/>
          <w:u w:val="single"/>
          <w:lang w:eastAsia="es-MX"/>
        </w:rPr>
        <w:t>Agencia Nacional de Contratación Pública - Colombia Compra Eficiente</w:t>
      </w:r>
      <w:r w:rsidRPr="00D40DFB">
        <w:rPr>
          <w:rFonts w:ascii="Verdana" w:eastAsia="Calibri" w:hAnsi="Verdana" w:cs="Times New Roman"/>
          <w:color w:val="156082"/>
          <w:lang w:eastAsia="es-MX"/>
        </w:rPr>
        <w:t xml:space="preserve"> </w:t>
      </w:r>
      <w:r w:rsidRPr="00D40DFB">
        <w:rPr>
          <w:rFonts w:ascii="Verdana" w:eastAsia="Aptos" w:hAnsi="Verdana" w:cs="Times New Roman"/>
          <w:lang w:eastAsia="es-MX"/>
        </w:rPr>
        <w:t xml:space="preserve">Instagram: </w:t>
      </w:r>
      <w:r w:rsidRPr="00D40DFB">
        <w:rPr>
          <w:rFonts w:ascii="Verdana" w:eastAsia="Calibri" w:hAnsi="Verdana" w:cs="Times New Roman"/>
          <w:color w:val="156082"/>
          <w:u w:val="single"/>
          <w:lang w:eastAsia="es-MX"/>
        </w:rPr>
        <w:t>@colombiacompraeficiente_cce</w:t>
      </w:r>
    </w:p>
    <w:p w14:paraId="2230DA33" w14:textId="77777777" w:rsidR="00D40DFB" w:rsidRPr="00D40DFB" w:rsidRDefault="00D40DFB" w:rsidP="00D40DFB">
      <w:pPr>
        <w:spacing w:after="0" w:line="276" w:lineRule="auto"/>
        <w:jc w:val="both"/>
        <w:rPr>
          <w:rFonts w:ascii="Verdana" w:eastAsia="Aptos" w:hAnsi="Verdana" w:cs="Times New Roman"/>
          <w:lang w:eastAsia="es-MX"/>
        </w:rPr>
      </w:pPr>
    </w:p>
    <w:p w14:paraId="472F92D8" w14:textId="77777777" w:rsidR="00D40DFB" w:rsidRPr="00D40DFB" w:rsidRDefault="00D40DFB" w:rsidP="00D40DFB">
      <w:pPr>
        <w:spacing w:after="0" w:line="276" w:lineRule="auto"/>
        <w:jc w:val="both"/>
        <w:rPr>
          <w:rFonts w:ascii="Verdana" w:eastAsia="Calibri" w:hAnsi="Verdana" w:cs="Times New Roman"/>
          <w:bCs/>
          <w:lang w:val="es-ES_tradnl" w:eastAsia="es-MX"/>
        </w:rPr>
      </w:pPr>
      <w:r w:rsidRPr="00D40DFB">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7214AC7" w14:textId="77777777" w:rsidR="00D40DFB" w:rsidRPr="00D40DFB" w:rsidRDefault="00D40DFB" w:rsidP="00D40DFB">
      <w:pPr>
        <w:spacing w:after="0" w:line="276" w:lineRule="auto"/>
        <w:jc w:val="both"/>
        <w:rPr>
          <w:rFonts w:ascii="Verdana" w:eastAsia="Calibri" w:hAnsi="Verdana" w:cs="Times New Roman"/>
          <w:lang w:eastAsia="es-MX"/>
        </w:rPr>
      </w:pPr>
    </w:p>
    <w:p w14:paraId="2DEBAD8C" w14:textId="04564788" w:rsidR="00D40DFB" w:rsidRPr="00D56922" w:rsidRDefault="00D40DFB" w:rsidP="00D56922">
      <w:pPr>
        <w:spacing w:after="0" w:line="276" w:lineRule="auto"/>
        <w:jc w:val="both"/>
        <w:rPr>
          <w:rFonts w:ascii="Verdana" w:eastAsia="Calibri" w:hAnsi="Verdana" w:cs="Times New Roman"/>
          <w:lang w:eastAsia="es-MX"/>
        </w:rPr>
      </w:pPr>
      <w:r w:rsidRPr="00D40DFB">
        <w:rPr>
          <w:rFonts w:ascii="Verdana" w:eastAsia="Calibri" w:hAnsi="Verdana" w:cs="Times New Roman"/>
          <w:lang w:eastAsia="es-MX"/>
        </w:rPr>
        <w:t>Atentamente,</w:t>
      </w:r>
    </w:p>
    <w:p w14:paraId="1A884AE5" w14:textId="1D629E22" w:rsidR="00D40DFB" w:rsidRPr="00D40DFB" w:rsidRDefault="006F7584" w:rsidP="00D56922">
      <w:pPr>
        <w:tabs>
          <w:tab w:val="left" w:pos="1320"/>
        </w:tabs>
        <w:spacing w:after="0"/>
        <w:jc w:val="center"/>
        <w:rPr>
          <w:rFonts w:ascii="Century Gothic" w:eastAsia="Calibri" w:hAnsi="Century Gothic" w:cs="Times New Roman"/>
          <w:lang w:eastAsia="es-MX"/>
        </w:rPr>
      </w:pPr>
      <w:r w:rsidRPr="004D5C25">
        <w:rPr>
          <w:rFonts w:ascii="Century Gothic" w:hAnsi="Century Gothic"/>
          <w:noProof/>
        </w:rPr>
        <w:drawing>
          <wp:inline distT="0" distB="0" distL="0" distR="0" wp14:anchorId="6E3A8A1C" wp14:editId="74BDC1CE">
            <wp:extent cx="2197099" cy="943227"/>
            <wp:effectExtent l="0" t="0" r="635" b="0"/>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stretch>
                      <a:fillRect/>
                    </a:stretch>
                  </pic:blipFill>
                  <pic:spPr>
                    <a:xfrm>
                      <a:off x="0" y="0"/>
                      <a:ext cx="2282924" cy="980072"/>
                    </a:xfrm>
                    <a:prstGeom prst="rect">
                      <a:avLst/>
                    </a:prstGeom>
                  </pic:spPr>
                </pic:pic>
              </a:graphicData>
            </a:graphic>
          </wp:inline>
        </w:drawing>
      </w:r>
    </w:p>
    <w:tbl>
      <w:tblPr>
        <w:tblStyle w:val="Tablaconcuadrcula"/>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D40DFB" w:rsidRPr="00D40DFB" w14:paraId="6864DEF8" w14:textId="77777777" w:rsidTr="005672E7">
        <w:trPr>
          <w:trHeight w:val="323"/>
        </w:trPr>
        <w:tc>
          <w:tcPr>
            <w:tcW w:w="1041" w:type="dxa"/>
            <w:vAlign w:val="center"/>
            <w:hideMark/>
          </w:tcPr>
          <w:p w14:paraId="79ADE491" w14:textId="77777777" w:rsidR="00D40DFB" w:rsidRPr="00D40DFB" w:rsidRDefault="00D40DFB" w:rsidP="00D40DFB">
            <w:pPr>
              <w:rPr>
                <w:rFonts w:ascii="Verdana" w:eastAsia="Calibri" w:hAnsi="Verdana" w:cs="Arial"/>
                <w:sz w:val="16"/>
                <w:szCs w:val="16"/>
                <w:lang w:val="es-ES_tradnl" w:eastAsia="es-ES"/>
              </w:rPr>
            </w:pPr>
            <w:r w:rsidRPr="00D40DFB">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1F26836B" w14:textId="77777777" w:rsidR="00D40DFB" w:rsidRPr="00D40DFB" w:rsidRDefault="00D40DFB" w:rsidP="00D40DFB">
            <w:pPr>
              <w:rPr>
                <w:rFonts w:ascii="Verdana" w:eastAsia="Arial" w:hAnsi="Verdana" w:cs="Arial"/>
                <w:sz w:val="16"/>
                <w:szCs w:val="16"/>
                <w:lang w:val="es-ES" w:eastAsia="es-MX"/>
              </w:rPr>
            </w:pPr>
            <w:r w:rsidRPr="00D40DFB">
              <w:rPr>
                <w:rFonts w:ascii="Verdana" w:eastAsia="Arial" w:hAnsi="Verdana" w:cs="Arial"/>
                <w:sz w:val="16"/>
                <w:szCs w:val="16"/>
                <w:lang w:val="es-ES" w:eastAsia="es-MX"/>
              </w:rPr>
              <w:t xml:space="preserve">Carlos Mario Castrillón Endo </w:t>
            </w:r>
          </w:p>
          <w:p w14:paraId="238C5333" w14:textId="77777777" w:rsidR="00D40DFB" w:rsidRPr="00D40DFB" w:rsidRDefault="00D40DFB" w:rsidP="00D40DFB">
            <w:pPr>
              <w:rPr>
                <w:rFonts w:ascii="Verdana" w:eastAsia="Arial" w:hAnsi="Verdana" w:cs="Arial"/>
                <w:sz w:val="16"/>
                <w:szCs w:val="16"/>
                <w:lang w:val="es-ES_tradnl" w:eastAsia="es-MX"/>
              </w:rPr>
            </w:pPr>
            <w:r w:rsidRPr="00D40DFB">
              <w:rPr>
                <w:rFonts w:ascii="Verdana" w:eastAsia="Arial" w:hAnsi="Verdana" w:cs="Arial"/>
                <w:sz w:val="16"/>
                <w:szCs w:val="16"/>
                <w:lang w:val="es-ES_tradnl" w:eastAsia="es-MX"/>
              </w:rPr>
              <w:t>Contratista de la Subdirección de Gestión Contractual</w:t>
            </w:r>
          </w:p>
          <w:p w14:paraId="59608F43" w14:textId="77777777" w:rsidR="00D40DFB" w:rsidRPr="00D40DFB" w:rsidRDefault="00D40DFB" w:rsidP="00D40DFB">
            <w:pPr>
              <w:rPr>
                <w:rFonts w:ascii="Verdana" w:eastAsia="Arial" w:hAnsi="Verdana" w:cs="Arial"/>
                <w:sz w:val="16"/>
                <w:szCs w:val="16"/>
                <w:lang w:val="es-ES_tradnl" w:eastAsia="es-MX"/>
              </w:rPr>
            </w:pPr>
          </w:p>
        </w:tc>
      </w:tr>
      <w:tr w:rsidR="00D40DFB" w:rsidRPr="00D40DFB" w14:paraId="7B531DE8" w14:textId="77777777" w:rsidTr="005672E7">
        <w:trPr>
          <w:trHeight w:val="338"/>
        </w:trPr>
        <w:tc>
          <w:tcPr>
            <w:tcW w:w="1041" w:type="dxa"/>
            <w:vAlign w:val="center"/>
            <w:hideMark/>
          </w:tcPr>
          <w:p w14:paraId="00CAC3F0" w14:textId="77777777" w:rsidR="00D40DFB" w:rsidRPr="00D40DFB" w:rsidRDefault="00D40DFB" w:rsidP="00D40DFB">
            <w:pPr>
              <w:rPr>
                <w:rFonts w:ascii="Verdana" w:eastAsia="Calibri" w:hAnsi="Verdana" w:cs="Arial"/>
                <w:sz w:val="16"/>
                <w:szCs w:val="16"/>
                <w:lang w:val="es-ES_tradnl" w:eastAsia="es-ES"/>
              </w:rPr>
            </w:pPr>
            <w:r w:rsidRPr="00D40DFB">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7DCB7A9E" w14:textId="77777777" w:rsidR="00D40DFB" w:rsidRPr="00D40DFB" w:rsidRDefault="00D40DFB" w:rsidP="00D40DFB">
            <w:pPr>
              <w:rPr>
                <w:rFonts w:ascii="Verdana" w:eastAsia="Arial" w:hAnsi="Verdana" w:cs="Arial"/>
                <w:sz w:val="16"/>
                <w:szCs w:val="16"/>
                <w:lang w:val="es-ES" w:eastAsia="es-MX"/>
              </w:rPr>
            </w:pPr>
            <w:r w:rsidRPr="00D40DFB">
              <w:rPr>
                <w:rFonts w:ascii="Verdana" w:eastAsia="Arial" w:hAnsi="Verdana" w:cs="Arial"/>
                <w:sz w:val="16"/>
                <w:szCs w:val="16"/>
                <w:lang w:val="es-ES" w:eastAsia="es-MX"/>
              </w:rPr>
              <w:t>Alexandra Rodríguez</w:t>
            </w:r>
          </w:p>
          <w:p w14:paraId="022BF497" w14:textId="77777777" w:rsidR="00D40DFB" w:rsidRPr="00D40DFB" w:rsidRDefault="00D40DFB" w:rsidP="00D40DFB">
            <w:pPr>
              <w:rPr>
                <w:rFonts w:ascii="Verdana" w:eastAsia="Arial" w:hAnsi="Verdana" w:cs="Arial"/>
                <w:sz w:val="16"/>
                <w:szCs w:val="16"/>
                <w:lang w:val="es-ES_tradnl" w:eastAsia="es-MX"/>
              </w:rPr>
            </w:pPr>
            <w:r w:rsidRPr="00D40DFB">
              <w:rPr>
                <w:rFonts w:ascii="Verdana" w:eastAsia="Arial" w:hAnsi="Verdana" w:cs="Arial"/>
                <w:sz w:val="16"/>
                <w:szCs w:val="16"/>
                <w:lang w:val="es-ES_tradnl" w:eastAsia="es-MX"/>
              </w:rPr>
              <w:t>Contratista de la Subdirección de Gestión Contractual</w:t>
            </w:r>
          </w:p>
          <w:p w14:paraId="6B53072A" w14:textId="77777777" w:rsidR="00D40DFB" w:rsidRPr="00D40DFB" w:rsidRDefault="00D40DFB" w:rsidP="00D40DFB">
            <w:pPr>
              <w:rPr>
                <w:rFonts w:ascii="Verdana" w:eastAsia="Arial" w:hAnsi="Verdana" w:cs="Arial"/>
                <w:sz w:val="16"/>
                <w:szCs w:val="16"/>
                <w:lang w:val="es-ES_tradnl" w:eastAsia="es-MX"/>
              </w:rPr>
            </w:pPr>
            <w:r w:rsidRPr="00D40DFB">
              <w:rPr>
                <w:rFonts w:ascii="Verdana" w:eastAsia="Arial" w:hAnsi="Verdana" w:cs="Arial"/>
                <w:sz w:val="16"/>
                <w:szCs w:val="16"/>
                <w:lang w:val="es-ES_tradnl" w:eastAsia="es-MX"/>
              </w:rPr>
              <w:t>Martha Alicia Romero Vargas</w:t>
            </w:r>
          </w:p>
          <w:p w14:paraId="6B46CCF2" w14:textId="77777777" w:rsidR="00D40DFB" w:rsidRPr="00D40DFB" w:rsidRDefault="00D40DFB" w:rsidP="00D40DFB">
            <w:pPr>
              <w:rPr>
                <w:rFonts w:ascii="Verdana" w:eastAsia="Arial" w:hAnsi="Verdana" w:cs="Arial"/>
                <w:sz w:val="16"/>
                <w:szCs w:val="16"/>
                <w:lang w:val="es-ES_tradnl" w:eastAsia="es-MX"/>
              </w:rPr>
            </w:pPr>
            <w:r w:rsidRPr="00D40DFB">
              <w:rPr>
                <w:rFonts w:ascii="Verdana" w:eastAsia="Arial" w:hAnsi="Verdana" w:cs="Arial"/>
                <w:sz w:val="16"/>
                <w:szCs w:val="16"/>
                <w:lang w:val="es-ES_tradnl" w:eastAsia="es-MX"/>
              </w:rPr>
              <w:t>Gestor T1-15 de la Subdirección de Gestión Contractual</w:t>
            </w:r>
          </w:p>
          <w:p w14:paraId="163145E5" w14:textId="77777777" w:rsidR="00D40DFB" w:rsidRPr="00D40DFB" w:rsidRDefault="00D40DFB" w:rsidP="00D40DFB">
            <w:pPr>
              <w:rPr>
                <w:rFonts w:ascii="Verdana" w:eastAsia="Arial" w:hAnsi="Verdana" w:cs="Arial"/>
                <w:sz w:val="16"/>
                <w:szCs w:val="16"/>
                <w:lang w:val="es-ES_tradnl" w:eastAsia="es-MX"/>
              </w:rPr>
            </w:pPr>
          </w:p>
        </w:tc>
      </w:tr>
      <w:tr w:rsidR="00D40DFB" w:rsidRPr="00D40DFB" w14:paraId="28DD56E5" w14:textId="77777777" w:rsidTr="005672E7">
        <w:trPr>
          <w:trHeight w:val="308"/>
        </w:trPr>
        <w:tc>
          <w:tcPr>
            <w:tcW w:w="1041" w:type="dxa"/>
            <w:vAlign w:val="center"/>
          </w:tcPr>
          <w:p w14:paraId="3EAF4491" w14:textId="77777777" w:rsidR="00D40DFB" w:rsidRPr="00D40DFB" w:rsidRDefault="00D40DFB" w:rsidP="00D40DFB">
            <w:pPr>
              <w:rPr>
                <w:rFonts w:ascii="Verdana" w:eastAsia="Calibri" w:hAnsi="Verdana" w:cs="Arial"/>
                <w:sz w:val="16"/>
                <w:szCs w:val="16"/>
                <w:lang w:val="es-ES_tradnl" w:eastAsia="es-ES"/>
              </w:rPr>
            </w:pPr>
            <w:r w:rsidRPr="00D40DFB">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64E64F1B" w14:textId="77777777" w:rsidR="00D40DFB" w:rsidRPr="00D40DFB" w:rsidRDefault="00D40DFB" w:rsidP="00D40DFB">
            <w:pPr>
              <w:rPr>
                <w:rFonts w:ascii="Verdana" w:eastAsia="Calibri" w:hAnsi="Verdana" w:cs="Arial"/>
                <w:sz w:val="16"/>
                <w:szCs w:val="16"/>
                <w:lang w:val="es-ES" w:eastAsia="es-ES"/>
              </w:rPr>
            </w:pPr>
            <w:r w:rsidRPr="00D40DFB">
              <w:rPr>
                <w:rFonts w:ascii="Verdana" w:eastAsia="Calibri" w:hAnsi="Verdana" w:cs="Arial"/>
                <w:sz w:val="16"/>
                <w:szCs w:val="16"/>
                <w:lang w:val="es-ES" w:eastAsia="es-ES"/>
              </w:rPr>
              <w:t>Carolina Quintero Gacharná</w:t>
            </w:r>
          </w:p>
          <w:p w14:paraId="7275B63E" w14:textId="77777777" w:rsidR="00D40DFB" w:rsidRPr="00D40DFB" w:rsidRDefault="00D40DFB" w:rsidP="00D40DFB">
            <w:pPr>
              <w:rPr>
                <w:rFonts w:ascii="Verdana" w:eastAsia="Calibri" w:hAnsi="Verdana" w:cs="Arial"/>
                <w:sz w:val="16"/>
                <w:szCs w:val="16"/>
                <w:lang w:val="es-ES_tradnl" w:eastAsia="es-ES"/>
              </w:rPr>
            </w:pPr>
            <w:r w:rsidRPr="00D40DFB">
              <w:rPr>
                <w:rFonts w:ascii="Verdana" w:eastAsia="Calibri" w:hAnsi="Verdana" w:cs="Arial"/>
                <w:sz w:val="16"/>
                <w:szCs w:val="16"/>
                <w:lang w:val="es-ES_tradnl" w:eastAsia="es-ES"/>
              </w:rPr>
              <w:t>Subdirectora de Gestión Contractual ANCP – CCE</w:t>
            </w:r>
          </w:p>
        </w:tc>
      </w:tr>
      <w:bookmarkEnd w:id="0"/>
    </w:tbl>
    <w:p w14:paraId="69BC4D14" w14:textId="1D25F704" w:rsidR="00C15139" w:rsidRPr="000E2B93" w:rsidRDefault="00C15139" w:rsidP="30821638">
      <w:pPr>
        <w:spacing w:after="0" w:line="240" w:lineRule="auto"/>
        <w:textAlignment w:val="baseline"/>
        <w:rPr>
          <w:rFonts w:ascii="Verdana" w:eastAsia="Verdana" w:hAnsi="Verdana" w:cs="Verdana"/>
          <w:lang w:eastAsia="es-CO"/>
        </w:rPr>
      </w:pPr>
    </w:p>
    <w:sectPr w:rsidR="00C15139" w:rsidRPr="000E2B93"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E170C" w14:textId="77777777" w:rsidR="002D4EEC" w:rsidRDefault="002D4EEC" w:rsidP="004A1847">
      <w:pPr>
        <w:spacing w:after="0" w:line="240" w:lineRule="auto"/>
      </w:pPr>
      <w:r>
        <w:separator/>
      </w:r>
    </w:p>
  </w:endnote>
  <w:endnote w:type="continuationSeparator" w:id="0">
    <w:p w14:paraId="77F0A4B7" w14:textId="77777777" w:rsidR="002D4EEC" w:rsidRDefault="002D4EEC" w:rsidP="004A1847">
      <w:pPr>
        <w:spacing w:after="0" w:line="240" w:lineRule="auto"/>
      </w:pPr>
      <w:r>
        <w:continuationSeparator/>
      </w:r>
    </w:p>
  </w:endnote>
  <w:endnote w:type="continuationNotice" w:id="1">
    <w:p w14:paraId="27032C6E" w14:textId="77777777" w:rsidR="002D4EEC" w:rsidRDefault="002D4E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MT">
    <w:altName w:val="Heiti TC Light"/>
    <w:panose1 w:val="00000000000000000000"/>
    <w:charset w:val="00"/>
    <w:family w:val="roman"/>
    <w:notTrueType/>
    <w:pitch w:val="default"/>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D40DFB">
      <w:rPr>
        <w:rFonts w:ascii="Verdana" w:eastAsia="Verdana" w:hAnsi="Verdana" w:cs="Verdana"/>
        <w:b/>
        <w:bCs/>
        <w:color w:val="000000"/>
        <w:sz w:val="18"/>
        <w:szCs w:val="18"/>
        <w:lang w:eastAsia="es-CO"/>
      </w:rPr>
      <w:t xml:space="preserve">Código: </w:t>
    </w:r>
    <w:r w:rsidRPr="00D40DFB">
      <w:rPr>
        <w:rFonts w:ascii="Verdana" w:eastAsia="Verdana" w:hAnsi="Verdana" w:cs="Verdana"/>
        <w:color w:val="000000"/>
        <w:sz w:val="18"/>
        <w:szCs w:val="18"/>
        <w:lang w:eastAsia="es-CO"/>
      </w:rPr>
      <w:t xml:space="preserve">CCE-REC-FM-17 </w:t>
    </w:r>
    <w:r w:rsidRPr="00D40DFB">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B0AAC" w14:textId="77777777" w:rsidR="002D4EEC" w:rsidRDefault="002D4EEC" w:rsidP="004A1847">
      <w:pPr>
        <w:spacing w:after="0" w:line="240" w:lineRule="auto"/>
      </w:pPr>
      <w:r>
        <w:separator/>
      </w:r>
    </w:p>
  </w:footnote>
  <w:footnote w:type="continuationSeparator" w:id="0">
    <w:p w14:paraId="5B62084D" w14:textId="77777777" w:rsidR="002D4EEC" w:rsidRDefault="002D4EEC" w:rsidP="004A1847">
      <w:pPr>
        <w:spacing w:after="0" w:line="240" w:lineRule="auto"/>
      </w:pPr>
      <w:r>
        <w:continuationSeparator/>
      </w:r>
    </w:p>
  </w:footnote>
  <w:footnote w:type="continuationNotice" w:id="1">
    <w:p w14:paraId="28BCE632" w14:textId="77777777" w:rsidR="002D4EEC" w:rsidRDefault="002D4EEC">
      <w:pPr>
        <w:spacing w:after="0" w:line="240" w:lineRule="auto"/>
      </w:pPr>
    </w:p>
  </w:footnote>
  <w:footnote w:id="2">
    <w:p w14:paraId="169970A0" w14:textId="77777777" w:rsidR="00D40DFB" w:rsidRPr="004A5399" w:rsidRDefault="00D40DFB" w:rsidP="00D40DFB">
      <w:pPr>
        <w:spacing w:after="0" w:line="276" w:lineRule="auto"/>
        <w:jc w:val="both"/>
        <w:rPr>
          <w:rFonts w:ascii="Verdana" w:hAnsi="Verdana"/>
          <w:sz w:val="19"/>
          <w:szCs w:val="19"/>
        </w:rPr>
      </w:pPr>
    </w:p>
    <w:p w14:paraId="17827761" w14:textId="77777777" w:rsidR="00D40DFB" w:rsidRPr="004A5399" w:rsidRDefault="00D40DFB" w:rsidP="00D40DFB">
      <w:pPr>
        <w:spacing w:after="0" w:line="276" w:lineRule="auto"/>
        <w:ind w:firstLine="708"/>
        <w:jc w:val="both"/>
        <w:rPr>
          <w:rFonts w:ascii="Verdana" w:eastAsia="Calibri" w:hAnsi="Verdana" w:cs="Arial"/>
          <w:bCs/>
          <w:sz w:val="19"/>
          <w:szCs w:val="19"/>
        </w:rPr>
      </w:pPr>
      <w:r w:rsidRPr="004A5399">
        <w:rPr>
          <w:rStyle w:val="Refdenotaalpie"/>
          <w:rFonts w:ascii="Verdana" w:hAnsi="Verdana"/>
          <w:sz w:val="19"/>
          <w:szCs w:val="19"/>
        </w:rPr>
        <w:footnoteRef/>
      </w:r>
      <w:r w:rsidRPr="004A5399">
        <w:rPr>
          <w:rFonts w:ascii="Verdana" w:hAnsi="Verdana"/>
          <w:sz w:val="19"/>
          <w:szCs w:val="19"/>
        </w:rPr>
        <w:t xml:space="preserve"> </w:t>
      </w:r>
      <w:r w:rsidRPr="004A5399">
        <w:rPr>
          <w:rFonts w:ascii="Verdana" w:eastAsia="Calibri" w:hAnsi="Verdana" w:cs="Arial"/>
          <w:bCs/>
          <w:sz w:val="19"/>
          <w:szCs w:val="19"/>
        </w:rPr>
        <w:t>Resolución 726 del 19 de diciembre de 2024: “Por la cual se adopta la versión 2 de los documentos tipo para los procesos de selección de concurso de méritos para contratar la consultoría de ingeniería de infraestructura de transporte y se deroga la Resolución 193 de 2021”.</w:t>
      </w:r>
    </w:p>
    <w:p w14:paraId="032A8222" w14:textId="77777777" w:rsidR="00D40DFB" w:rsidRPr="004A5399" w:rsidRDefault="00D40DFB" w:rsidP="00D40DFB">
      <w:pPr>
        <w:spacing w:after="0" w:line="276" w:lineRule="auto"/>
        <w:ind w:firstLine="708"/>
        <w:jc w:val="both"/>
        <w:rPr>
          <w:rFonts w:ascii="Verdana" w:eastAsia="Calibri" w:hAnsi="Verdana" w:cs="Arial"/>
          <w:bCs/>
          <w:sz w:val="19"/>
          <w:szCs w:val="19"/>
        </w:rPr>
      </w:pPr>
    </w:p>
    <w:p w14:paraId="10CF072E" w14:textId="77777777" w:rsidR="00D40DFB" w:rsidRPr="004A5399" w:rsidRDefault="00D40DFB" w:rsidP="00D40DFB">
      <w:pPr>
        <w:spacing w:after="0" w:line="276" w:lineRule="auto"/>
        <w:ind w:firstLine="708"/>
        <w:jc w:val="both"/>
        <w:rPr>
          <w:rFonts w:ascii="Verdana" w:eastAsia="Calibri" w:hAnsi="Verdana" w:cs="Arial"/>
          <w:bCs/>
          <w:sz w:val="19"/>
          <w:szCs w:val="19"/>
        </w:rPr>
      </w:pPr>
      <w:r w:rsidRPr="004A5399">
        <w:rPr>
          <w:rFonts w:ascii="Verdana" w:eastAsia="Calibri" w:hAnsi="Verdana" w:cs="Arial"/>
          <w:bCs/>
          <w:sz w:val="19"/>
          <w:szCs w:val="19"/>
        </w:rPr>
        <w:t>Resolución 725 del 19 de diciembre de 2024: “Por la cual se adopta la versión 3 de los documentos tipo para los procesos de selección de concurso de méritos para contratar la interventoría de obras públicas de infraestructura de transporte y se deroga la Resolución 326 de 2022”.</w:t>
      </w:r>
    </w:p>
    <w:p w14:paraId="7153255C" w14:textId="77777777" w:rsidR="00D40DFB" w:rsidRPr="004A5399" w:rsidRDefault="00D40DFB" w:rsidP="00D40DFB">
      <w:pPr>
        <w:spacing w:after="0" w:line="276" w:lineRule="auto"/>
        <w:jc w:val="both"/>
        <w:rPr>
          <w:rFonts w:ascii="Verdana" w:eastAsia="Calibri" w:hAnsi="Verdana" w:cs="Arial"/>
          <w:bCs/>
          <w:sz w:val="19"/>
          <w:szCs w:val="19"/>
        </w:rPr>
      </w:pPr>
    </w:p>
    <w:p w14:paraId="1DCD2D5D" w14:textId="77777777" w:rsidR="00D40DFB" w:rsidRPr="004A5399" w:rsidRDefault="00D40DFB" w:rsidP="00D40DFB">
      <w:pPr>
        <w:spacing w:after="0" w:line="276" w:lineRule="auto"/>
        <w:ind w:firstLine="708"/>
        <w:jc w:val="both"/>
        <w:rPr>
          <w:rFonts w:ascii="Verdana" w:eastAsia="Calibri" w:hAnsi="Verdana" w:cs="Arial"/>
          <w:bCs/>
          <w:sz w:val="19"/>
          <w:szCs w:val="19"/>
        </w:rPr>
      </w:pPr>
      <w:r w:rsidRPr="004A5399">
        <w:rPr>
          <w:rFonts w:ascii="Verdana" w:eastAsia="Calibri" w:hAnsi="Verdana" w:cs="Arial"/>
          <w:bCs/>
          <w:sz w:val="19"/>
          <w:szCs w:val="19"/>
        </w:rPr>
        <w:t xml:space="preserve">Resolución 464 del 10 de septiembre de 2024: “Por la cual se actualizan los documentos tipo para los procesos de obra pública de infraestructura de transporte adelantados bajo la modalidad de mínima cuantía”. </w:t>
      </w:r>
    </w:p>
    <w:p w14:paraId="635214B0" w14:textId="77777777" w:rsidR="00D40DFB" w:rsidRPr="004A5399" w:rsidRDefault="00D40DFB" w:rsidP="00D40DFB">
      <w:pPr>
        <w:spacing w:after="0" w:line="276" w:lineRule="auto"/>
        <w:jc w:val="both"/>
        <w:rPr>
          <w:rFonts w:ascii="Verdana" w:eastAsia="Calibri" w:hAnsi="Verdana" w:cs="Arial"/>
          <w:bCs/>
          <w:sz w:val="19"/>
          <w:szCs w:val="19"/>
        </w:rPr>
      </w:pPr>
    </w:p>
    <w:p w14:paraId="5EF07DDA" w14:textId="77777777" w:rsidR="00D40DFB" w:rsidRPr="004A5399" w:rsidRDefault="00D40DFB" w:rsidP="00D40DFB">
      <w:pPr>
        <w:spacing w:after="0" w:line="276" w:lineRule="auto"/>
        <w:ind w:firstLine="708"/>
        <w:jc w:val="both"/>
        <w:rPr>
          <w:rFonts w:ascii="Verdana" w:eastAsia="Calibri" w:hAnsi="Verdana" w:cs="Arial"/>
          <w:bCs/>
          <w:sz w:val="19"/>
          <w:szCs w:val="19"/>
        </w:rPr>
      </w:pPr>
      <w:r w:rsidRPr="004A5399">
        <w:rPr>
          <w:rFonts w:ascii="Verdana" w:eastAsia="Calibri" w:hAnsi="Verdana" w:cs="Arial"/>
          <w:bCs/>
          <w:sz w:val="19"/>
          <w:szCs w:val="19"/>
        </w:rPr>
        <w:t>Resolución 463 del 10 de septiembre de 2024: “Por la cual se adopta la versión 3 de los documentos tipo para los procesos de selección abreviada de menor cuantía de obra pública de infraestructura de transporte y se deroga la Resolución 241 de 2020”.</w:t>
      </w:r>
    </w:p>
    <w:p w14:paraId="4B18ECD6" w14:textId="77777777" w:rsidR="00D40DFB" w:rsidRPr="004A5399" w:rsidRDefault="00D40DFB" w:rsidP="00D40DFB">
      <w:pPr>
        <w:spacing w:after="0" w:line="276" w:lineRule="auto"/>
        <w:ind w:firstLine="708"/>
        <w:jc w:val="both"/>
        <w:rPr>
          <w:rFonts w:ascii="Verdana" w:eastAsia="Calibri" w:hAnsi="Verdana" w:cs="Arial"/>
          <w:bCs/>
          <w:sz w:val="19"/>
          <w:szCs w:val="19"/>
        </w:rPr>
      </w:pPr>
    </w:p>
    <w:p w14:paraId="1642A303" w14:textId="77777777" w:rsidR="00D40DFB" w:rsidRPr="004A5399" w:rsidRDefault="00D40DFB" w:rsidP="00D40DFB">
      <w:pPr>
        <w:spacing w:after="0" w:line="276" w:lineRule="auto"/>
        <w:ind w:firstLine="708"/>
        <w:jc w:val="both"/>
        <w:rPr>
          <w:rFonts w:ascii="Verdana" w:eastAsia="Calibri" w:hAnsi="Verdana" w:cs="Arial"/>
          <w:bCs/>
          <w:sz w:val="19"/>
          <w:szCs w:val="19"/>
        </w:rPr>
      </w:pPr>
      <w:r w:rsidRPr="004A5399">
        <w:rPr>
          <w:rFonts w:ascii="Verdana" w:eastAsia="Calibri" w:hAnsi="Verdana" w:cs="Arial"/>
          <w:bCs/>
          <w:sz w:val="19"/>
          <w:szCs w:val="19"/>
        </w:rPr>
        <w:t>Resolución 456 del 10 de septiembre de 2024: “Por la cual se adopta la versión 4 de los documentos tipo para los procesos de selección de licitación de obra pública de infraestructura de transporte y se deroga la Resolución 240 de 2020”.</w:t>
      </w:r>
    </w:p>
    <w:p w14:paraId="157478B1" w14:textId="77777777" w:rsidR="00D40DFB" w:rsidRPr="004A5399" w:rsidRDefault="00D40DFB" w:rsidP="00D40DFB">
      <w:pPr>
        <w:pStyle w:val="Textonotapie"/>
        <w:rPr>
          <w:rFonts w:ascii="Verdana" w:hAnsi="Verdana"/>
          <w:sz w:val="19"/>
          <w:szCs w:val="19"/>
          <w:lang w:val="es-CO"/>
        </w:rPr>
      </w:pPr>
    </w:p>
  </w:footnote>
  <w:footnote w:id="3">
    <w:p w14:paraId="3046E688" w14:textId="77777777" w:rsidR="00D40DFB" w:rsidRPr="00F46224" w:rsidRDefault="00D40DFB" w:rsidP="00D40DFB">
      <w:pPr>
        <w:pStyle w:val="Textonotapie"/>
        <w:ind w:firstLine="708"/>
        <w:rPr>
          <w:rFonts w:ascii="Verdana" w:eastAsia="Calibri" w:hAnsi="Verdana" w:cs="Arial"/>
          <w:color w:val="000000"/>
          <w:sz w:val="18"/>
          <w:szCs w:val="18"/>
          <w:lang w:val="es-ES_tradnl"/>
        </w:rPr>
      </w:pPr>
      <w:r w:rsidRPr="00D615FB">
        <w:rPr>
          <w:rStyle w:val="Refdenotaalpie"/>
          <w:rFonts w:ascii="Verdana" w:hAnsi="Verdana"/>
          <w:sz w:val="18"/>
          <w:szCs w:val="18"/>
        </w:rPr>
        <w:footnoteRef/>
      </w:r>
      <w:r w:rsidRPr="00D615FB">
        <w:rPr>
          <w:rFonts w:ascii="Verdana" w:hAnsi="Verdana"/>
          <w:sz w:val="18"/>
          <w:szCs w:val="18"/>
        </w:rPr>
        <w:t xml:space="preserve"> </w:t>
      </w:r>
      <w:r w:rsidRPr="00F46224">
        <w:rPr>
          <w:rFonts w:ascii="Verdana" w:eastAsia="Calibri" w:hAnsi="Verdana" w:cs="Arial"/>
          <w:color w:val="000000"/>
          <w:sz w:val="18"/>
          <w:szCs w:val="18"/>
          <w:lang w:val="es-ES_tradnl"/>
        </w:rPr>
        <w:t>Numeral 1 del artículo 32 de la Ley 80 de 1993.</w:t>
      </w:r>
    </w:p>
    <w:p w14:paraId="2B06CD25" w14:textId="77777777" w:rsidR="00D40DFB" w:rsidRPr="00D615FB" w:rsidRDefault="00D40DFB" w:rsidP="00D40DFB">
      <w:pPr>
        <w:pStyle w:val="Textonotapie"/>
        <w:ind w:firstLine="708"/>
        <w:rPr>
          <w:rFonts w:ascii="Verdana" w:hAnsi="Verdana"/>
          <w:sz w:val="18"/>
          <w:szCs w:val="18"/>
        </w:rPr>
      </w:pPr>
    </w:p>
  </w:footnote>
  <w:footnote w:id="4">
    <w:p w14:paraId="3EF8C0D6" w14:textId="77777777" w:rsidR="00D40DFB" w:rsidRPr="00D615FB" w:rsidRDefault="00D40DFB" w:rsidP="00D40DFB">
      <w:pPr>
        <w:pStyle w:val="Textonotapie"/>
        <w:ind w:firstLine="709"/>
        <w:jc w:val="both"/>
        <w:rPr>
          <w:rFonts w:ascii="Verdana" w:hAnsi="Verdana" w:cs="Arial"/>
          <w:sz w:val="18"/>
          <w:szCs w:val="18"/>
        </w:rPr>
      </w:pPr>
      <w:r w:rsidRPr="00D615FB">
        <w:rPr>
          <w:rStyle w:val="Refdenotaalpie"/>
          <w:rFonts w:ascii="Verdana" w:hAnsi="Verdana" w:cs="Arial"/>
          <w:sz w:val="18"/>
          <w:szCs w:val="18"/>
        </w:rPr>
        <w:footnoteRef/>
      </w:r>
      <w:r w:rsidRPr="00D615FB">
        <w:rPr>
          <w:rFonts w:ascii="Verdana" w:hAnsi="Verdana" w:cs="Arial"/>
          <w:sz w:val="18"/>
          <w:szCs w:val="18"/>
        </w:rPr>
        <w:t xml:space="preserve"> Consejo de Estado. Sala de Consulta y Servicio Civil. Concepto del 5 de septiembre de 2018. Consejero Ponente: Edgar González López. Radicación interna: 2386.</w:t>
      </w:r>
    </w:p>
    <w:p w14:paraId="680A94A7" w14:textId="77777777" w:rsidR="00D40DFB" w:rsidRPr="00D615FB" w:rsidRDefault="00D40DFB" w:rsidP="00D40DFB">
      <w:pPr>
        <w:pStyle w:val="Textonotapie"/>
        <w:ind w:firstLine="709"/>
        <w:jc w:val="both"/>
        <w:rPr>
          <w:rFonts w:ascii="Verdana" w:hAnsi="Verdana" w:cs="Arial"/>
          <w:sz w:val="18"/>
          <w:szCs w:val="18"/>
        </w:rPr>
      </w:pPr>
    </w:p>
  </w:footnote>
  <w:footnote w:id="5">
    <w:p w14:paraId="78F5AC5F" w14:textId="77777777" w:rsidR="00D40DFB" w:rsidRPr="00D615FB" w:rsidRDefault="00D40DFB" w:rsidP="00D40DFB">
      <w:pPr>
        <w:pStyle w:val="Textonotapie"/>
        <w:ind w:firstLine="709"/>
        <w:jc w:val="both"/>
        <w:rPr>
          <w:rFonts w:ascii="Verdana" w:hAnsi="Verdana" w:cs="Arial"/>
          <w:sz w:val="18"/>
          <w:szCs w:val="18"/>
          <w:lang w:val="es-ES"/>
        </w:rPr>
      </w:pPr>
      <w:r w:rsidRPr="00D615FB">
        <w:rPr>
          <w:rStyle w:val="Refdenotaalpie"/>
          <w:rFonts w:ascii="Verdana" w:hAnsi="Verdana" w:cs="Arial"/>
          <w:sz w:val="18"/>
          <w:szCs w:val="18"/>
        </w:rPr>
        <w:footnoteRef/>
      </w:r>
      <w:r w:rsidRPr="00D615FB">
        <w:rPr>
          <w:rFonts w:ascii="Verdana" w:hAnsi="Verdana" w:cs="Arial"/>
          <w:sz w:val="18"/>
          <w:szCs w:val="18"/>
        </w:rPr>
        <w:t xml:space="preserve"> </w:t>
      </w:r>
      <w:r w:rsidRPr="00D615FB">
        <w:rPr>
          <w:rFonts w:ascii="Verdana" w:hAnsi="Verdana" w:cs="Arial"/>
          <w:sz w:val="18"/>
          <w:szCs w:val="18"/>
          <w:lang w:val="es-ES"/>
        </w:rPr>
        <w:t xml:space="preserve">En: </w:t>
      </w:r>
      <w:hyperlink r:id="rId1" w:history="1">
        <w:r w:rsidRPr="00D615FB">
          <w:rPr>
            <w:rStyle w:val="Hipervnculo"/>
            <w:rFonts w:ascii="Verdana" w:hAnsi="Verdana" w:cs="Arial"/>
            <w:sz w:val="18"/>
            <w:szCs w:val="18"/>
            <w:lang w:val="es-ES"/>
          </w:rPr>
          <w:t>https://dle.rae.es/instalar?m=form</w:t>
        </w:r>
      </w:hyperlink>
    </w:p>
    <w:p w14:paraId="03E2B353" w14:textId="77777777" w:rsidR="00D40DFB" w:rsidRPr="00D615FB" w:rsidRDefault="00D40DFB" w:rsidP="00D40DFB">
      <w:pPr>
        <w:pStyle w:val="Textonotapie"/>
        <w:ind w:firstLine="709"/>
        <w:jc w:val="both"/>
        <w:rPr>
          <w:rFonts w:ascii="Verdana" w:hAnsi="Verdana" w:cs="Arial"/>
          <w:sz w:val="18"/>
          <w:szCs w:val="18"/>
          <w:lang w:val="es-ES"/>
        </w:rPr>
      </w:pPr>
    </w:p>
  </w:footnote>
  <w:footnote w:id="6">
    <w:p w14:paraId="2B061F8A" w14:textId="77777777" w:rsidR="00D40DFB" w:rsidRPr="00D615FB" w:rsidRDefault="00D40DFB" w:rsidP="00D40DFB">
      <w:pPr>
        <w:pStyle w:val="Textonotapie"/>
        <w:ind w:firstLine="709"/>
        <w:jc w:val="both"/>
        <w:rPr>
          <w:rFonts w:ascii="Verdana" w:hAnsi="Verdana" w:cs="Arial"/>
          <w:sz w:val="18"/>
          <w:szCs w:val="18"/>
          <w:lang w:val="es-ES"/>
        </w:rPr>
      </w:pPr>
      <w:r w:rsidRPr="00D615FB">
        <w:rPr>
          <w:rStyle w:val="Refdenotaalpie"/>
          <w:rFonts w:ascii="Verdana" w:hAnsi="Verdana" w:cs="Arial"/>
          <w:sz w:val="18"/>
          <w:szCs w:val="18"/>
        </w:rPr>
        <w:footnoteRef/>
      </w:r>
      <w:r w:rsidRPr="00D615FB">
        <w:rPr>
          <w:rFonts w:ascii="Verdana" w:hAnsi="Verdana" w:cs="Arial"/>
          <w:sz w:val="18"/>
          <w:szCs w:val="18"/>
        </w:rPr>
        <w:t xml:space="preserve"> </w:t>
      </w:r>
      <w:r w:rsidRPr="00D615FB">
        <w:rPr>
          <w:rFonts w:ascii="Verdana" w:hAnsi="Verdana" w:cs="Arial"/>
          <w:sz w:val="18"/>
          <w:szCs w:val="18"/>
          <w:lang w:val="es-ES"/>
        </w:rPr>
        <w:t xml:space="preserve">Ibíd. </w:t>
      </w:r>
    </w:p>
    <w:p w14:paraId="24F4C74D" w14:textId="77777777" w:rsidR="00D40DFB" w:rsidRPr="00D615FB" w:rsidRDefault="00D40DFB" w:rsidP="00D40DFB">
      <w:pPr>
        <w:pStyle w:val="Textonotapie"/>
        <w:ind w:firstLine="709"/>
        <w:jc w:val="both"/>
        <w:rPr>
          <w:rFonts w:ascii="Verdana" w:hAnsi="Verdana" w:cs="Arial"/>
          <w:sz w:val="18"/>
          <w:szCs w:val="18"/>
          <w:lang w:val="es-ES"/>
        </w:rPr>
      </w:pPr>
    </w:p>
  </w:footnote>
  <w:footnote w:id="7">
    <w:p w14:paraId="5D8EAA77" w14:textId="77777777" w:rsidR="00D40DFB" w:rsidRDefault="00D40DFB" w:rsidP="00D40DFB">
      <w:pPr>
        <w:pStyle w:val="Textonotapie"/>
        <w:ind w:firstLine="709"/>
        <w:jc w:val="both"/>
        <w:rPr>
          <w:rFonts w:ascii="Verdana" w:hAnsi="Verdana" w:cs="Arial"/>
          <w:sz w:val="18"/>
          <w:szCs w:val="18"/>
          <w:lang w:val="es-ES"/>
        </w:rPr>
      </w:pPr>
      <w:r w:rsidRPr="00D615FB">
        <w:rPr>
          <w:rStyle w:val="Refdenotaalpie"/>
          <w:rFonts w:ascii="Verdana" w:hAnsi="Verdana" w:cs="Arial"/>
          <w:sz w:val="18"/>
          <w:szCs w:val="18"/>
        </w:rPr>
        <w:footnoteRef/>
      </w:r>
      <w:r w:rsidRPr="00D615FB">
        <w:rPr>
          <w:rFonts w:ascii="Verdana" w:hAnsi="Verdana" w:cs="Arial"/>
          <w:sz w:val="18"/>
          <w:szCs w:val="18"/>
        </w:rPr>
        <w:t xml:space="preserve"> </w:t>
      </w:r>
      <w:r w:rsidRPr="00D615FB">
        <w:rPr>
          <w:rFonts w:ascii="Verdana" w:hAnsi="Verdana" w:cs="Arial"/>
          <w:sz w:val="18"/>
          <w:szCs w:val="18"/>
          <w:lang w:val="es-ES"/>
        </w:rPr>
        <w:t>Ibíd.</w:t>
      </w:r>
    </w:p>
    <w:p w14:paraId="452E7ABC" w14:textId="77777777" w:rsidR="00D40DFB" w:rsidRPr="00D615FB" w:rsidRDefault="00D40DFB" w:rsidP="00D40DFB">
      <w:pPr>
        <w:pStyle w:val="Textonotapie"/>
        <w:ind w:firstLine="709"/>
        <w:jc w:val="both"/>
        <w:rPr>
          <w:rFonts w:ascii="Verdana" w:hAnsi="Verdana" w:cs="Arial"/>
          <w:sz w:val="18"/>
          <w:szCs w:val="18"/>
          <w:lang w:val="es-ES"/>
        </w:rPr>
      </w:pPr>
    </w:p>
  </w:footnote>
  <w:footnote w:id="8">
    <w:p w14:paraId="23276088" w14:textId="77777777" w:rsidR="00D40DFB" w:rsidRPr="00D615FB" w:rsidRDefault="00D40DFB" w:rsidP="00D40DFB">
      <w:pPr>
        <w:pStyle w:val="Textonotapie"/>
        <w:ind w:firstLine="709"/>
        <w:jc w:val="both"/>
        <w:rPr>
          <w:rFonts w:ascii="Verdana" w:hAnsi="Verdana" w:cs="Arial"/>
          <w:sz w:val="18"/>
          <w:szCs w:val="18"/>
          <w:lang w:val="es-ES"/>
        </w:rPr>
      </w:pPr>
      <w:r w:rsidRPr="00D615FB">
        <w:rPr>
          <w:rStyle w:val="Refdenotaalpie"/>
          <w:rFonts w:ascii="Verdana" w:hAnsi="Verdana" w:cs="Arial"/>
          <w:sz w:val="18"/>
          <w:szCs w:val="18"/>
        </w:rPr>
        <w:footnoteRef/>
      </w:r>
      <w:r w:rsidRPr="00D615FB">
        <w:rPr>
          <w:rFonts w:ascii="Verdana" w:hAnsi="Verdana" w:cs="Arial"/>
          <w:sz w:val="18"/>
          <w:szCs w:val="18"/>
          <w:lang w:val="es-ES"/>
        </w:rPr>
        <w:t>Ibíd.</w:t>
      </w:r>
    </w:p>
  </w:footnote>
  <w:footnote w:id="9">
    <w:p w14:paraId="38AEF9E7" w14:textId="77777777" w:rsidR="00D40DFB" w:rsidRPr="00D615FB" w:rsidRDefault="00D40DFB" w:rsidP="00D40DFB">
      <w:pPr>
        <w:pStyle w:val="Textonotapie"/>
        <w:ind w:firstLine="709"/>
        <w:jc w:val="both"/>
        <w:rPr>
          <w:rFonts w:ascii="Verdana" w:hAnsi="Verdana" w:cs="Arial"/>
          <w:sz w:val="18"/>
          <w:szCs w:val="18"/>
        </w:rPr>
      </w:pPr>
      <w:r w:rsidRPr="00D615FB">
        <w:rPr>
          <w:rStyle w:val="Refdenotaalpie"/>
          <w:rFonts w:ascii="Verdana" w:hAnsi="Verdana" w:cs="Arial"/>
          <w:sz w:val="18"/>
          <w:szCs w:val="18"/>
        </w:rPr>
        <w:footnoteRef/>
      </w:r>
      <w:r w:rsidRPr="00D615FB">
        <w:rPr>
          <w:rFonts w:ascii="Verdana" w:hAnsi="Verdana" w:cs="Arial"/>
          <w:sz w:val="18"/>
          <w:szCs w:val="18"/>
        </w:rPr>
        <w:t xml:space="preserve"> </w:t>
      </w:r>
      <w:r w:rsidRPr="00D615FB">
        <w:rPr>
          <w:rFonts w:ascii="Verdana" w:hAnsi="Verdana" w:cs="Arial"/>
          <w:sz w:val="18"/>
          <w:szCs w:val="18"/>
          <w:lang w:val="es-ES"/>
        </w:rPr>
        <w:t xml:space="preserve">Ibíd. En similar sentido, </w:t>
      </w:r>
      <w:r w:rsidRPr="00D615FB">
        <w:rPr>
          <w:rFonts w:ascii="Verdana" w:hAnsi="Verdana" w:cs="Arial"/>
          <w:sz w:val="18"/>
          <w:szCs w:val="18"/>
        </w:rPr>
        <w:t>SUÁREZ BELTRÁN, Gonzalo. Estudios de derecho público contractual: Bogotá: Legis, 2014. p. 238. Al respecto, también se considera que «Esta clase de contratos está constituida por aquellas figuras cuyos elementos son conocidos (elementos legales); dispuestos, sin embargo, en combinaciones diferentes a las que se pueden apreciar en los contratos típicos y que, además, han sido tomadas de más de un tipo de contrato. Estos elementos pueden encontrarse en una relación de coordinación o de subordinación» (Cfr. ARRUBLA PAUCAR, Jaime Alberto. Contratos mercantiles: contratos atípicos. Octava edición. Bogotá: Legis, 2015. p. 36).</w:t>
      </w:r>
    </w:p>
    <w:p w14:paraId="2BB5EB1C" w14:textId="77777777" w:rsidR="00D40DFB" w:rsidRPr="00D615FB" w:rsidRDefault="00D40DFB" w:rsidP="00D40DFB">
      <w:pPr>
        <w:pStyle w:val="Textonotapie"/>
        <w:ind w:firstLine="709"/>
        <w:jc w:val="both"/>
        <w:rPr>
          <w:rFonts w:ascii="Verdana" w:hAnsi="Verdana" w:cs="Arial"/>
          <w:sz w:val="18"/>
          <w:szCs w:val="18"/>
          <w:lang w:val="es-ES"/>
        </w:rPr>
      </w:pPr>
    </w:p>
  </w:footnote>
  <w:footnote w:id="10">
    <w:p w14:paraId="7D0962FD" w14:textId="77777777" w:rsidR="00D40DFB" w:rsidRPr="00D615FB" w:rsidRDefault="00D40DFB" w:rsidP="00D40DFB">
      <w:pPr>
        <w:pStyle w:val="Textonotapie"/>
        <w:ind w:firstLine="709"/>
        <w:jc w:val="both"/>
        <w:rPr>
          <w:rFonts w:ascii="Verdana" w:hAnsi="Verdana" w:cs="Arial"/>
          <w:sz w:val="18"/>
          <w:szCs w:val="18"/>
        </w:rPr>
      </w:pPr>
      <w:r w:rsidRPr="00D615FB">
        <w:rPr>
          <w:rStyle w:val="Refdenotaalpie"/>
          <w:rFonts w:ascii="Verdana" w:hAnsi="Verdana" w:cs="Arial"/>
          <w:sz w:val="18"/>
          <w:szCs w:val="18"/>
        </w:rPr>
        <w:footnoteRef/>
      </w:r>
      <w:r w:rsidRPr="00D615FB">
        <w:rPr>
          <w:rFonts w:ascii="Verdana" w:hAnsi="Verdana" w:cs="Arial"/>
          <w:sz w:val="18"/>
          <w:szCs w:val="18"/>
        </w:rPr>
        <w:t xml:space="preserve"> Consejo de Estado. Sala de Consulta y Servicio Civil. Concepto del 5 de septiembre de 2018. Consejero Ponente: Edgar González López. Radicación interna: 2386.</w:t>
      </w:r>
    </w:p>
    <w:p w14:paraId="6C279199" w14:textId="77777777" w:rsidR="00D40DFB" w:rsidRPr="00D615FB" w:rsidRDefault="00D40DFB" w:rsidP="00D40DFB">
      <w:pPr>
        <w:pStyle w:val="Textonotapie"/>
        <w:ind w:firstLine="709"/>
        <w:jc w:val="both"/>
        <w:rPr>
          <w:rFonts w:ascii="Verdana" w:hAnsi="Verdana" w:cs="Arial"/>
          <w:sz w:val="18"/>
          <w:szCs w:val="18"/>
          <w:lang w:val="es-ES"/>
        </w:rPr>
      </w:pPr>
    </w:p>
  </w:footnote>
  <w:footnote w:id="11">
    <w:p w14:paraId="45098701" w14:textId="77777777" w:rsidR="00D40DFB" w:rsidRPr="00D615FB" w:rsidRDefault="00D40DFB" w:rsidP="00D40DFB">
      <w:pPr>
        <w:pStyle w:val="Textonotapie"/>
        <w:ind w:firstLine="709"/>
        <w:jc w:val="both"/>
        <w:rPr>
          <w:rFonts w:ascii="Verdana" w:hAnsi="Verdana" w:cs="Arial"/>
          <w:sz w:val="18"/>
          <w:szCs w:val="18"/>
        </w:rPr>
      </w:pPr>
      <w:r w:rsidRPr="00D615FB">
        <w:rPr>
          <w:rStyle w:val="Refdenotaalpie"/>
          <w:rFonts w:ascii="Verdana" w:hAnsi="Verdana" w:cs="Arial"/>
          <w:sz w:val="18"/>
          <w:szCs w:val="18"/>
        </w:rPr>
        <w:footnoteRef/>
      </w:r>
      <w:r w:rsidRPr="00D615FB">
        <w:rPr>
          <w:rFonts w:ascii="Verdana" w:hAnsi="Verdana" w:cs="Arial"/>
          <w:sz w:val="18"/>
          <w:szCs w:val="18"/>
        </w:rPr>
        <w:t xml:space="preserve"> CORTE SUPREMA DE JUSTICIA. Sala de Casación Civil. Sentencia del 5 de diciembre de 1956. M.P. Pablo Emilio Manotas. Decisión publicada en el Gaceta Judicial LXXXIV, No. 2177-2180. p. 317. Este criterio se adoptó explícitamente en el derogado artículo 3.3.1.1 del Decreto 734 de 2012. Concretamente, el inciso cuarto disponía que </w:t>
      </w:r>
      <w:r>
        <w:rPr>
          <w:rFonts w:ascii="Verdana" w:hAnsi="Verdana" w:cs="Arial"/>
          <w:sz w:val="18"/>
          <w:szCs w:val="18"/>
        </w:rPr>
        <w:t>“</w:t>
      </w:r>
      <w:r w:rsidRPr="00D615FB">
        <w:rPr>
          <w:rFonts w:ascii="Verdana" w:hAnsi="Verdana" w:cs="Arial"/>
          <w:sz w:val="18"/>
          <w:szCs w:val="18"/>
        </w:rPr>
        <w:t>En el caso de que el objeto contractual incluya los servicios de consultoría y otras obligaciones principales, como por ejemplo en el caso de ejecución de proyectos que incluyen diseño y construcción de la obra, la escogencia del contratista deberá adelantarse mediante licitación pública y selección abreviada, según corresponda de conformidad con lo señalado en la ley y en el presente decreto, sin perjuicio de lo previsto para la mínima cuantía. En todo caso, el equipo de profesionales y expertos propuestos deberá ser aprobado por la entidad</w:t>
      </w:r>
      <w:r>
        <w:rPr>
          <w:rFonts w:ascii="Verdana" w:hAnsi="Verdana" w:cs="Arial"/>
          <w:sz w:val="18"/>
          <w:szCs w:val="18"/>
        </w:rPr>
        <w:t>”</w:t>
      </w:r>
      <w:r w:rsidRPr="00D615FB">
        <w:rPr>
          <w:rFonts w:ascii="Verdana" w:hAnsi="Verdana" w:cs="Arial"/>
          <w:sz w:val="18"/>
          <w:szCs w:val="18"/>
        </w:rPr>
        <w:t>.</w:t>
      </w:r>
    </w:p>
    <w:p w14:paraId="198D04E9" w14:textId="77777777" w:rsidR="00D40DFB" w:rsidRPr="00D615FB" w:rsidRDefault="00D40DFB" w:rsidP="00D40DFB">
      <w:pPr>
        <w:pStyle w:val="Textonotapie"/>
        <w:ind w:firstLine="709"/>
        <w:jc w:val="both"/>
        <w:rPr>
          <w:rFonts w:ascii="Verdana" w:hAnsi="Verdana" w:cs="Arial"/>
          <w:sz w:val="18"/>
          <w:szCs w:val="18"/>
        </w:rPr>
      </w:pPr>
    </w:p>
  </w:footnote>
  <w:footnote w:id="12">
    <w:p w14:paraId="5202266D" w14:textId="77777777" w:rsidR="00D40DFB" w:rsidRPr="00D615FB" w:rsidRDefault="00D40DFB" w:rsidP="00D40DFB">
      <w:pPr>
        <w:pStyle w:val="Textonotapie"/>
        <w:ind w:firstLine="709"/>
        <w:jc w:val="both"/>
        <w:rPr>
          <w:rFonts w:ascii="Verdana" w:hAnsi="Verdana" w:cs="Arial"/>
          <w:sz w:val="18"/>
          <w:szCs w:val="18"/>
        </w:rPr>
      </w:pPr>
      <w:r w:rsidRPr="00D615FB">
        <w:rPr>
          <w:rStyle w:val="Refdenotaalpie"/>
          <w:rFonts w:ascii="Verdana" w:hAnsi="Verdana" w:cs="Arial"/>
          <w:sz w:val="18"/>
          <w:szCs w:val="18"/>
        </w:rPr>
        <w:footnoteRef/>
      </w:r>
      <w:r w:rsidRPr="00D615FB">
        <w:rPr>
          <w:rFonts w:ascii="Verdana" w:hAnsi="Verdana" w:cs="Arial"/>
          <w:sz w:val="18"/>
          <w:szCs w:val="18"/>
        </w:rPr>
        <w:t xml:space="preserve"> Por ello, explica que </w:t>
      </w:r>
      <w:r>
        <w:rPr>
          <w:rFonts w:ascii="Verdana" w:hAnsi="Verdana" w:cs="Arial"/>
          <w:sz w:val="18"/>
          <w:szCs w:val="18"/>
        </w:rPr>
        <w:t>“</w:t>
      </w:r>
      <w:r w:rsidRPr="00D615FB">
        <w:rPr>
          <w:rFonts w:ascii="Verdana" w:hAnsi="Verdana" w:cs="Arial"/>
          <w:sz w:val="18"/>
          <w:szCs w:val="18"/>
        </w:rPr>
        <w:t>[…] todos estos criterios de interpretación no son, en último análisis más que especificaciones del principio de la analogía, inspiradas en las peculiaridades de cada materia. De aquí, también, que el criterio de interpretación más serio, respecto del contrato innominado mixto, es, además de la aplicación directa de las reglas generales sobre los contratos, el de la aplicación analógica de las singulares relativas al contrato nominado dado, que se manifiesten como las más adecuadas al contrato mixto que se debe interpretar, y si éstas no existen, entonces recurrir a las de la analogía iuris</w:t>
      </w:r>
      <w:r>
        <w:rPr>
          <w:rFonts w:ascii="Verdana" w:hAnsi="Verdana" w:cs="Arial"/>
          <w:sz w:val="18"/>
          <w:szCs w:val="18"/>
        </w:rPr>
        <w:t>”</w:t>
      </w:r>
      <w:r w:rsidRPr="00D615FB">
        <w:rPr>
          <w:rFonts w:ascii="Verdana" w:hAnsi="Verdana" w:cs="Arial"/>
          <w:sz w:val="18"/>
          <w:szCs w:val="18"/>
        </w:rPr>
        <w:t xml:space="preserve"> (</w:t>
      </w:r>
      <w:r w:rsidRPr="00D615FB">
        <w:rPr>
          <w:rFonts w:ascii="Verdana" w:hAnsi="Verdana" w:cs="Arial"/>
          <w:i/>
          <w:iCs/>
          <w:sz w:val="18"/>
          <w:szCs w:val="18"/>
        </w:rPr>
        <w:t>ibidem</w:t>
      </w:r>
      <w:r w:rsidRPr="00D615FB">
        <w:rPr>
          <w:rFonts w:ascii="Verdana" w:hAnsi="Verdana" w:cs="Arial"/>
          <w:sz w:val="18"/>
          <w:szCs w:val="18"/>
        </w:rPr>
        <w:t>).</w:t>
      </w:r>
    </w:p>
    <w:p w14:paraId="3788FDE3" w14:textId="77777777" w:rsidR="00D40DFB" w:rsidRPr="00D615FB" w:rsidRDefault="00D40DFB" w:rsidP="00D40DFB">
      <w:pPr>
        <w:pStyle w:val="Textonotapie"/>
        <w:ind w:firstLine="709"/>
        <w:jc w:val="both"/>
        <w:rPr>
          <w:rFonts w:ascii="Verdana" w:hAnsi="Verdana" w:cs="Arial"/>
          <w:sz w:val="18"/>
          <w:szCs w:val="18"/>
        </w:rPr>
      </w:pPr>
    </w:p>
  </w:footnote>
  <w:footnote w:id="13">
    <w:p w14:paraId="1D80C296" w14:textId="77777777" w:rsidR="00D40DFB" w:rsidRPr="00D615FB" w:rsidRDefault="00D40DFB" w:rsidP="00D40DFB">
      <w:pPr>
        <w:pStyle w:val="Textonotapie"/>
        <w:ind w:firstLine="709"/>
        <w:jc w:val="both"/>
        <w:rPr>
          <w:rFonts w:ascii="Verdana" w:hAnsi="Verdana" w:cs="Arial"/>
          <w:sz w:val="18"/>
          <w:szCs w:val="18"/>
        </w:rPr>
      </w:pPr>
      <w:r w:rsidRPr="00D615FB">
        <w:rPr>
          <w:rStyle w:val="Refdenotaalpie"/>
          <w:rFonts w:ascii="Verdana" w:hAnsi="Verdana" w:cs="Arial"/>
          <w:sz w:val="18"/>
          <w:szCs w:val="18"/>
        </w:rPr>
        <w:footnoteRef/>
      </w:r>
      <w:r w:rsidRPr="00D615FB">
        <w:rPr>
          <w:rFonts w:ascii="Verdana" w:hAnsi="Verdana" w:cs="Arial"/>
          <w:sz w:val="18"/>
          <w:szCs w:val="18"/>
        </w:rPr>
        <w:t xml:space="preserve"> RENGIFO GARCÍA, Ernesto. Interpretación del contrato atípico a la luz de la jurisprudencia colombiana. En: Los contratos en el derecho privado. Bogotá: Legis – Universidad del Rosario, 2009. p. 48. </w:t>
      </w:r>
    </w:p>
    <w:p w14:paraId="6FB5B527" w14:textId="77777777" w:rsidR="00D40DFB" w:rsidRPr="00D615FB" w:rsidRDefault="00D40DFB" w:rsidP="00D40DFB">
      <w:pPr>
        <w:pStyle w:val="Textonotapie"/>
        <w:ind w:firstLine="709"/>
        <w:jc w:val="both"/>
        <w:rPr>
          <w:rFonts w:ascii="Verdana" w:hAnsi="Verdana" w:cs="Arial"/>
          <w:sz w:val="18"/>
          <w:szCs w:val="18"/>
        </w:rPr>
      </w:pPr>
    </w:p>
  </w:footnote>
  <w:footnote w:id="14">
    <w:p w14:paraId="28F39002" w14:textId="77777777" w:rsidR="00D40DFB" w:rsidRPr="00D615FB" w:rsidRDefault="00D40DFB" w:rsidP="00D40DFB">
      <w:pPr>
        <w:pStyle w:val="Textonotapie"/>
        <w:ind w:firstLine="709"/>
        <w:jc w:val="both"/>
        <w:rPr>
          <w:rFonts w:ascii="Verdana" w:hAnsi="Verdana" w:cs="Arial"/>
          <w:sz w:val="18"/>
          <w:szCs w:val="18"/>
          <w:lang w:val="es-ES"/>
        </w:rPr>
      </w:pPr>
      <w:r w:rsidRPr="00D615FB">
        <w:rPr>
          <w:rStyle w:val="Refdenotaalpie"/>
          <w:rFonts w:ascii="Verdana" w:hAnsi="Verdana" w:cs="Arial"/>
          <w:sz w:val="18"/>
          <w:szCs w:val="18"/>
        </w:rPr>
        <w:footnoteRef/>
      </w:r>
      <w:r w:rsidRPr="00D615FB">
        <w:rPr>
          <w:rFonts w:ascii="Verdana" w:hAnsi="Verdana" w:cs="Arial"/>
          <w:sz w:val="18"/>
          <w:szCs w:val="18"/>
        </w:rPr>
        <w:t xml:space="preserve"> Consejo de Estado. Sala de Consulta y Servicio Civil. Concepto del 5 de septiembre de 2018. Consejero Ponente: Edgar González López. Radicación interna: 2386.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928" w:hanging="360"/>
      </w:pPr>
      <w:rPr>
        <w:b/>
        <w:color w:val="000000" w:themeColor="text1"/>
      </w:rPr>
    </w:lvl>
    <w:lvl w:ilvl="1">
      <w:start w:val="2"/>
      <w:numFmt w:val="decimal"/>
      <w:isLgl/>
      <w:lvlText w:val="%1.%2"/>
      <w:lvlJc w:val="left"/>
      <w:pPr>
        <w:ind w:left="56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341274352">
    <w:abstractNumId w:val="0"/>
  </w:num>
  <w:num w:numId="17" w16cid:durableId="8279856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B5260"/>
    <w:rsid w:val="002C7A84"/>
    <w:rsid w:val="002D4EEC"/>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7395D"/>
    <w:rsid w:val="004A1847"/>
    <w:rsid w:val="004A305D"/>
    <w:rsid w:val="004F21C4"/>
    <w:rsid w:val="004F685F"/>
    <w:rsid w:val="00526AFB"/>
    <w:rsid w:val="005566E8"/>
    <w:rsid w:val="00574867"/>
    <w:rsid w:val="00591460"/>
    <w:rsid w:val="005A65E0"/>
    <w:rsid w:val="005C3777"/>
    <w:rsid w:val="005C5CDC"/>
    <w:rsid w:val="005D476C"/>
    <w:rsid w:val="006200BF"/>
    <w:rsid w:val="006219F8"/>
    <w:rsid w:val="006302F7"/>
    <w:rsid w:val="00646B9F"/>
    <w:rsid w:val="00665D70"/>
    <w:rsid w:val="006900D9"/>
    <w:rsid w:val="006F7584"/>
    <w:rsid w:val="00706C16"/>
    <w:rsid w:val="00716B85"/>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8F6E22"/>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47C8"/>
    <w:rsid w:val="00CB6357"/>
    <w:rsid w:val="00CC1B26"/>
    <w:rsid w:val="00D361FD"/>
    <w:rsid w:val="00D40DFB"/>
    <w:rsid w:val="00D423A2"/>
    <w:rsid w:val="00D44E26"/>
    <w:rsid w:val="00D520D8"/>
    <w:rsid w:val="00D56922"/>
    <w:rsid w:val="00D63AC2"/>
    <w:rsid w:val="00D7383B"/>
    <w:rsid w:val="00D74724"/>
    <w:rsid w:val="00D7788A"/>
    <w:rsid w:val="00D93A5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EE33B4"/>
    <w:rsid w:val="00F23FEA"/>
    <w:rsid w:val="00F31EDC"/>
    <w:rsid w:val="00F35016"/>
    <w:rsid w:val="00F462B3"/>
    <w:rsid w:val="00F5145B"/>
    <w:rsid w:val="00F5664F"/>
    <w:rsid w:val="00F666C4"/>
    <w:rsid w:val="00F76AFC"/>
    <w:rsid w:val="00FA47C0"/>
    <w:rsid w:val="00FB5DD1"/>
    <w:rsid w:val="00FC2B5D"/>
    <w:rsid w:val="00FF1449"/>
    <w:rsid w:val="00FF7963"/>
    <w:rsid w:val="071B8F93"/>
    <w:rsid w:val="07C73DD1"/>
    <w:rsid w:val="09908A09"/>
    <w:rsid w:val="0D1E4E53"/>
    <w:rsid w:val="0E0AF0F4"/>
    <w:rsid w:val="0EFE6349"/>
    <w:rsid w:val="0F2EF31F"/>
    <w:rsid w:val="0FF4CCA8"/>
    <w:rsid w:val="0FFF7F23"/>
    <w:rsid w:val="11676135"/>
    <w:rsid w:val="13CFC91B"/>
    <w:rsid w:val="17F5858A"/>
    <w:rsid w:val="19A2EC2C"/>
    <w:rsid w:val="21779BE6"/>
    <w:rsid w:val="2503AFD4"/>
    <w:rsid w:val="28337962"/>
    <w:rsid w:val="2859CA1B"/>
    <w:rsid w:val="2A140852"/>
    <w:rsid w:val="2C4D2425"/>
    <w:rsid w:val="2EE1E026"/>
    <w:rsid w:val="2F44F38F"/>
    <w:rsid w:val="30353916"/>
    <w:rsid w:val="30821638"/>
    <w:rsid w:val="323EFF1B"/>
    <w:rsid w:val="3243138F"/>
    <w:rsid w:val="32A4F9CF"/>
    <w:rsid w:val="33A1FF93"/>
    <w:rsid w:val="356CEDFD"/>
    <w:rsid w:val="3C591AFD"/>
    <w:rsid w:val="42183F0A"/>
    <w:rsid w:val="4BB74529"/>
    <w:rsid w:val="4E325F9E"/>
    <w:rsid w:val="545B112A"/>
    <w:rsid w:val="5BEB1497"/>
    <w:rsid w:val="5F3F28CC"/>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D40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D40DFB"/>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documentos-tipo/documentos-tipo"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le.rae.es/instalar?m=for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63934419-08DD-4A01-8EF5-EFDCC39EE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10</TotalTime>
  <Pages>32</Pages>
  <Words>11710</Words>
  <Characters>64406</Characters>
  <Application>Microsoft Office Word</Application>
  <DocSecurity>0</DocSecurity>
  <Lines>536</Lines>
  <Paragraphs>151</Paragraphs>
  <ScaleCrop>false</ScaleCrop>
  <Company/>
  <LinksUpToDate>false</LinksUpToDate>
  <CharactersWithSpaces>75965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6</cp:revision>
  <cp:lastPrinted>2023-01-10T21:18:00Z</cp:lastPrinted>
  <dcterms:created xsi:type="dcterms:W3CDTF">2026-09-01T20:56:00Z</dcterms:created>
  <dcterms:modified xsi:type="dcterms:W3CDTF">2026-09-03T15:09:00Z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