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2578" w14:textId="77777777" w:rsidR="00A93FB7" w:rsidRPr="00620849" w:rsidRDefault="00A93FB7" w:rsidP="00817137">
      <w:pPr>
        <w:spacing w:after="0" w:line="240" w:lineRule="auto"/>
        <w:jc w:val="both"/>
        <w:rPr>
          <w:rFonts w:ascii="Verdana" w:eastAsia="Verdana" w:hAnsi="Verdana" w:cs="Verdana"/>
          <w:b/>
          <w:bCs/>
          <w:lang w:val="es-ES"/>
        </w:rPr>
      </w:pPr>
      <w:bookmarkStart w:id="0" w:name="_Hlk143780582"/>
      <w:r w:rsidRPr="00620849">
        <w:rPr>
          <w:rFonts w:ascii="Verdana" w:eastAsia="Verdana" w:hAnsi="Verdana" w:cs="Verdana"/>
          <w:b/>
          <w:bCs/>
          <w:lang w:val="es-ES"/>
        </w:rPr>
        <w:t>SUSPENSIÓN – Concepto – Circunstancias – Plazo contractual</w:t>
      </w:r>
    </w:p>
    <w:p w14:paraId="7441249A" w14:textId="77777777" w:rsidR="00620849" w:rsidRDefault="00620849" w:rsidP="00817137">
      <w:pPr>
        <w:spacing w:after="0" w:line="240" w:lineRule="auto"/>
        <w:jc w:val="both"/>
        <w:rPr>
          <w:rFonts w:ascii="Verdana" w:eastAsia="Verdana" w:hAnsi="Verdana" w:cs="Verdana"/>
          <w:b/>
          <w:bCs/>
          <w:lang w:val="es-ES"/>
        </w:rPr>
      </w:pPr>
    </w:p>
    <w:p w14:paraId="2CF0BC15" w14:textId="1F3EE667" w:rsidR="007C5B60" w:rsidRPr="007C5B60" w:rsidRDefault="007C5B60" w:rsidP="00817137">
      <w:pPr>
        <w:spacing w:after="0" w:line="240" w:lineRule="auto"/>
        <w:jc w:val="both"/>
        <w:rPr>
          <w:rFonts w:ascii="Verdana" w:eastAsia="Verdana" w:hAnsi="Verdana" w:cs="Verdana"/>
          <w:sz w:val="20"/>
          <w:szCs w:val="20"/>
          <w:lang w:val="es-ES_tradnl"/>
        </w:rPr>
      </w:pPr>
      <w:r w:rsidRPr="007C5B60">
        <w:rPr>
          <w:rFonts w:ascii="Verdana" w:eastAsia="Verdana" w:hAnsi="Verdana" w:cs="Verdana"/>
          <w:sz w:val="20"/>
          <w:szCs w:val="20"/>
          <w:lang w:val="es-ES_tradnl"/>
        </w:rPr>
        <w:t xml:space="preserve">La </w:t>
      </w:r>
      <w:r w:rsidRPr="007C5B60">
        <w:rPr>
          <w:rFonts w:ascii="Verdana" w:eastAsia="Verdana" w:hAnsi="Verdana" w:cs="Verdana"/>
          <w:i/>
          <w:iCs/>
          <w:sz w:val="20"/>
          <w:szCs w:val="20"/>
          <w:lang w:val="es-ES_tradnl"/>
        </w:rPr>
        <w:t>suspensión</w:t>
      </w:r>
      <w:r w:rsidRPr="007C5B60">
        <w:rPr>
          <w:rFonts w:ascii="Verdana" w:eastAsia="Verdana" w:hAnsi="Verdana" w:cs="Verdana"/>
          <w:sz w:val="20"/>
          <w:szCs w:val="20"/>
          <w:lang w:val="es-ES_tradnl"/>
        </w:rPr>
        <w:t xml:space="preserve"> es la medida por la cual se acuerda el cese provisional de la ejecución del contrato, por la ocurrencia de circunstancias que lo impiden o lo dificultan. Las razones de aquella pueden ser de orden técnico, jurídico o económico. En la medida de lo posible, las entidades estatales, durante la fase de planeación debe precaver los riesgos que pueden afectar la ejecución normal del contrato, pero esto no elimina la probabilidad de que ocurran sucesos posteriores y extraordinarios que lleven a las partes a acordar la suspensión o que paralicen el contrato </w:t>
      </w:r>
      <w:r w:rsidRPr="007C5B60">
        <w:rPr>
          <w:rFonts w:ascii="Verdana" w:eastAsia="Verdana" w:hAnsi="Verdana" w:cs="Verdana"/>
          <w:i/>
          <w:iCs/>
          <w:sz w:val="20"/>
          <w:szCs w:val="20"/>
          <w:lang w:val="es-ES_tradnl"/>
        </w:rPr>
        <w:t>de facto</w:t>
      </w:r>
      <w:r w:rsidRPr="007C5B60">
        <w:rPr>
          <w:rFonts w:ascii="Verdana" w:eastAsia="Verdana" w:hAnsi="Verdana" w:cs="Verdana"/>
          <w:sz w:val="20"/>
          <w:szCs w:val="20"/>
          <w:lang w:val="es-ES_tradnl"/>
        </w:rPr>
        <w:t>, mientras se resuelven las situaciones que están incidiendo negativamente en el desarrollo del negocio o que lo están tornando imposible. Esto quiere decir que la suspensión puede ser acordada por las partes –como usualmente sucede y es lo más recomendable, siempre que existan motivos fundados para ello– o darse por la fuerza de los hechos, es decir, por la configuración de eventos externos e irresistibles que hagan imposible la ejecución del contrato durante un tiempo; es decir, por factores que constituyan razones de fuerza mayor o caso fortuito.</w:t>
      </w:r>
    </w:p>
    <w:p w14:paraId="3803D3C8" w14:textId="77777777" w:rsidR="00620849" w:rsidRPr="00A677AC" w:rsidRDefault="00620849" w:rsidP="00817137">
      <w:pPr>
        <w:spacing w:after="0" w:line="240" w:lineRule="auto"/>
        <w:jc w:val="both"/>
        <w:rPr>
          <w:rFonts w:ascii="Verdana" w:eastAsia="Verdana" w:hAnsi="Verdana" w:cs="Verdana"/>
          <w:b/>
          <w:bCs/>
          <w:lang w:val="es-ES_tradnl"/>
        </w:rPr>
      </w:pPr>
    </w:p>
    <w:p w14:paraId="1B6FA3E6" w14:textId="4C2163F0" w:rsidR="00A93FB7" w:rsidRPr="00620849" w:rsidRDefault="00A93FB7" w:rsidP="00817137">
      <w:pPr>
        <w:spacing w:after="0" w:line="240" w:lineRule="auto"/>
        <w:jc w:val="both"/>
        <w:rPr>
          <w:rFonts w:ascii="Verdana" w:eastAsia="Verdana" w:hAnsi="Verdana" w:cs="Verdana"/>
          <w:b/>
          <w:bCs/>
          <w:lang w:val="es-ES"/>
        </w:rPr>
      </w:pPr>
      <w:r w:rsidRPr="00620849">
        <w:rPr>
          <w:rFonts w:ascii="Verdana" w:eastAsia="Verdana" w:hAnsi="Verdana" w:cs="Verdana"/>
          <w:b/>
          <w:bCs/>
          <w:lang w:val="es-ES"/>
        </w:rPr>
        <w:t xml:space="preserve">SUSPENSIÓN – Metodología – Condición – Término – Reinicio automático </w:t>
      </w:r>
    </w:p>
    <w:p w14:paraId="12C68E15" w14:textId="77777777" w:rsidR="00A93FB7" w:rsidRPr="00D2231E" w:rsidRDefault="00A93FB7" w:rsidP="00817137">
      <w:pPr>
        <w:spacing w:after="0" w:line="240" w:lineRule="auto"/>
        <w:jc w:val="both"/>
        <w:rPr>
          <w:rFonts w:ascii="Verdana" w:eastAsia="Verdana" w:hAnsi="Verdana" w:cs="Verdana"/>
          <w:sz w:val="20"/>
          <w:szCs w:val="20"/>
          <w:lang w:val="es-ES"/>
        </w:rPr>
      </w:pPr>
    </w:p>
    <w:p w14:paraId="14D1E1CC" w14:textId="6A00D21B" w:rsidR="00A93FB7" w:rsidRPr="00D2231E" w:rsidRDefault="00D2231E" w:rsidP="00817137">
      <w:pPr>
        <w:spacing w:after="0" w:line="240" w:lineRule="auto"/>
        <w:jc w:val="both"/>
        <w:rPr>
          <w:rFonts w:ascii="Verdana" w:eastAsia="Verdana" w:hAnsi="Verdana" w:cs="Verdana"/>
          <w:sz w:val="20"/>
          <w:szCs w:val="20"/>
          <w:lang w:val="es-ES_tradnl"/>
        </w:rPr>
      </w:pPr>
      <w:r w:rsidRPr="00D2231E">
        <w:rPr>
          <w:rFonts w:ascii="Verdana" w:eastAsia="Verdana" w:hAnsi="Verdana" w:cs="Verdana"/>
          <w:sz w:val="20"/>
          <w:szCs w:val="20"/>
          <w:lang w:val="es-ES_tradnl"/>
        </w:rPr>
        <w:t>Ahora bien, cuando se suscribe un acta de suspensión puede establecerse, en ejercicio de la autonomía de la voluntad, que el plazo del contrato se reactivará una vez se firme el acta de reinicio correspondiente. Sin embargo, en ejercicio de la misma autonomía de la voluntad y en consideración a las razones que han motivado el cese provisional de la ejecución del contrato, otra metodología que pueden emplear las partes para elaborar el acta de suspensión es indicar en ella que la ejecución se reactivará cuando se cumpla un determinado plazo o condición, de manera automática, sin necesidad de suscribir un acta de reinicio.</w:t>
      </w:r>
    </w:p>
    <w:p w14:paraId="03170863" w14:textId="77777777" w:rsidR="00D2231E" w:rsidRPr="00620849" w:rsidRDefault="00D2231E" w:rsidP="00817137">
      <w:pPr>
        <w:spacing w:after="0" w:line="240" w:lineRule="auto"/>
        <w:jc w:val="both"/>
        <w:rPr>
          <w:rFonts w:ascii="Verdana" w:eastAsia="Verdana" w:hAnsi="Verdana" w:cs="Verdana"/>
          <w:b/>
          <w:bCs/>
          <w:lang w:val="es-ES"/>
        </w:rPr>
      </w:pPr>
    </w:p>
    <w:p w14:paraId="602AC9A4" w14:textId="77777777" w:rsidR="00A93FB7" w:rsidRPr="00620849" w:rsidRDefault="00A93FB7" w:rsidP="00817137">
      <w:pPr>
        <w:spacing w:after="0" w:line="240" w:lineRule="auto"/>
        <w:jc w:val="both"/>
        <w:rPr>
          <w:rFonts w:ascii="Verdana" w:eastAsia="Verdana" w:hAnsi="Verdana" w:cs="Verdana"/>
          <w:b/>
          <w:bCs/>
          <w:lang w:val="es-ES"/>
        </w:rPr>
      </w:pPr>
      <w:r w:rsidRPr="00620849">
        <w:rPr>
          <w:rFonts w:ascii="Verdana" w:eastAsia="Verdana" w:hAnsi="Verdana" w:cs="Verdana"/>
          <w:b/>
          <w:bCs/>
          <w:lang w:val="es-ES"/>
        </w:rPr>
        <w:t xml:space="preserve">SUSPENSIÓN – Reinicio – Autonomía de la voluntad </w:t>
      </w:r>
    </w:p>
    <w:p w14:paraId="15D784E3" w14:textId="77777777" w:rsidR="00A93FB7" w:rsidRPr="00620849" w:rsidRDefault="00A93FB7" w:rsidP="00817137">
      <w:pPr>
        <w:spacing w:after="0" w:line="240" w:lineRule="auto"/>
        <w:jc w:val="both"/>
        <w:rPr>
          <w:rFonts w:ascii="Verdana" w:eastAsia="Verdana" w:hAnsi="Verdana" w:cs="Verdana"/>
          <w:b/>
          <w:bCs/>
          <w:lang w:val="es-ES"/>
        </w:rPr>
      </w:pPr>
    </w:p>
    <w:p w14:paraId="0EF3B0E6" w14:textId="77777777" w:rsidR="005E474B" w:rsidRPr="005E474B" w:rsidRDefault="005E474B" w:rsidP="00817137">
      <w:pPr>
        <w:spacing w:after="0" w:line="240" w:lineRule="auto"/>
        <w:jc w:val="both"/>
        <w:rPr>
          <w:rFonts w:ascii="Verdana" w:eastAsia="Verdana" w:hAnsi="Verdana" w:cs="Verdana"/>
          <w:sz w:val="20"/>
          <w:szCs w:val="20"/>
          <w:lang w:val="es-ES_tradnl"/>
        </w:rPr>
      </w:pPr>
      <w:r w:rsidRPr="005E474B">
        <w:rPr>
          <w:rFonts w:ascii="Verdana" w:eastAsia="Verdana" w:hAnsi="Verdana" w:cs="Verdana"/>
          <w:sz w:val="20"/>
          <w:szCs w:val="20"/>
          <w:lang w:val="es-ES_tradnl"/>
        </w:rPr>
        <w:t xml:space="preserve">Así las cosas, atendiendo a los términos en los que se haya pactado la suspensión es posible que no sea necesario suscribir luego un acta de reinicio para que se reactive la ejecución del contrato, sino que tal reactivación opere </w:t>
      </w:r>
      <w:r w:rsidRPr="005E474B">
        <w:rPr>
          <w:rFonts w:ascii="Verdana" w:eastAsia="Verdana" w:hAnsi="Verdana" w:cs="Verdana"/>
          <w:i/>
          <w:iCs/>
          <w:sz w:val="20"/>
          <w:szCs w:val="20"/>
          <w:lang w:val="es-ES_tradnl"/>
        </w:rPr>
        <w:t>automáticamente</w:t>
      </w:r>
      <w:r w:rsidRPr="005E474B">
        <w:rPr>
          <w:rFonts w:ascii="Verdana" w:eastAsia="Verdana" w:hAnsi="Verdana" w:cs="Verdana"/>
          <w:sz w:val="20"/>
          <w:szCs w:val="20"/>
          <w:lang w:val="es-ES_tradnl"/>
        </w:rPr>
        <w:t>, cuando se cumpla la condición o fecha cierta que las partes hayan pactado. En tal sentido</w:t>
      </w:r>
      <w:r w:rsidRPr="005E474B">
        <w:rPr>
          <w:rFonts w:ascii="Verdana" w:eastAsia="Verdana" w:hAnsi="Verdana" w:cs="Verdana"/>
          <w:sz w:val="20"/>
          <w:szCs w:val="20"/>
          <w:lang w:val="es-ES"/>
        </w:rPr>
        <w:t xml:space="preserve">, es posible reiniciar la ejecución de un contrato con pasivos exigibles siempre que las partes, en ejercicio del principio de autonomía de la voluntad, así lo acuerden. Este principio reconoce la libertad contractual, permitiendo que la entidad estatal, así como el particular definan las condiciones, alcances y modificaciones de sus obligaciones. En este contexto, aun cuando existan pasivos exigibles, las partes pueden pactar mecanismos de arreglo directo de solución de conflictos, los cuales otorguen un nuevo marco de cumplimiento, adaptado a sus necesidades y circunstancias actuales, siempre que no se vulneren reglas y fines propios del sistema de compras y contratación pública. </w:t>
      </w:r>
    </w:p>
    <w:p w14:paraId="2C1A4A67" w14:textId="77777777" w:rsidR="00A93FB7" w:rsidRPr="005E474B" w:rsidRDefault="00A93FB7" w:rsidP="00817137">
      <w:pPr>
        <w:spacing w:after="0" w:line="240" w:lineRule="auto"/>
        <w:jc w:val="both"/>
        <w:rPr>
          <w:rFonts w:ascii="Verdana" w:eastAsia="Verdana" w:hAnsi="Verdana" w:cs="Verdana"/>
          <w:b/>
          <w:bCs/>
          <w:lang w:val="es-ES_tradnl"/>
        </w:rPr>
      </w:pPr>
    </w:p>
    <w:p w14:paraId="5EE98D90" w14:textId="77777777" w:rsidR="00A93FB7" w:rsidRDefault="00A93FB7" w:rsidP="00817137">
      <w:pPr>
        <w:spacing w:after="0" w:line="240" w:lineRule="auto"/>
        <w:jc w:val="both"/>
        <w:rPr>
          <w:rFonts w:ascii="Verdana" w:eastAsia="Verdana" w:hAnsi="Verdana" w:cs="Verdana"/>
          <w:b/>
          <w:bCs/>
          <w:lang w:val="es-ES"/>
        </w:rPr>
      </w:pPr>
      <w:r w:rsidRPr="00620849">
        <w:rPr>
          <w:rFonts w:ascii="Verdana" w:eastAsia="Verdana" w:hAnsi="Verdana" w:cs="Verdana"/>
          <w:b/>
          <w:bCs/>
          <w:lang w:val="es-ES"/>
        </w:rPr>
        <w:t>MODIFICACIÓN DEL CONTRATO – Adición – Prórroga</w:t>
      </w:r>
    </w:p>
    <w:p w14:paraId="6C7F2A34" w14:textId="77777777" w:rsidR="00817137" w:rsidRDefault="00817137" w:rsidP="00817137">
      <w:pPr>
        <w:spacing w:after="0" w:line="240" w:lineRule="auto"/>
        <w:jc w:val="both"/>
        <w:rPr>
          <w:rFonts w:ascii="Verdana" w:eastAsia="Verdana" w:hAnsi="Verdana" w:cs="Verdana"/>
          <w:b/>
          <w:bCs/>
          <w:lang w:val="es-ES"/>
        </w:rPr>
      </w:pPr>
    </w:p>
    <w:p w14:paraId="6D277FA8" w14:textId="3E121ECC" w:rsidR="00817137" w:rsidRPr="00817137" w:rsidRDefault="00817137" w:rsidP="00817137">
      <w:pPr>
        <w:spacing w:after="0" w:line="240" w:lineRule="auto"/>
        <w:jc w:val="both"/>
        <w:rPr>
          <w:rFonts w:ascii="Verdana" w:eastAsia="Verdana" w:hAnsi="Verdana" w:cs="Verdana"/>
          <w:sz w:val="20"/>
          <w:szCs w:val="20"/>
          <w:lang w:val="es-ES"/>
        </w:rPr>
      </w:pPr>
      <w:r w:rsidRPr="00817137">
        <w:rPr>
          <w:rFonts w:ascii="Verdana" w:eastAsia="Verdana" w:hAnsi="Verdana" w:cs="Verdana"/>
          <w:sz w:val="20"/>
          <w:szCs w:val="20"/>
        </w:rPr>
        <w:t>Esta regla se explica porque el contrato estatal, como acto jurídico bilateral, es ley para los contratantes y por regla general no puede modificarse sino por el consentimiento mutuo</w:t>
      </w:r>
      <w:r w:rsidRPr="00817137">
        <w:rPr>
          <w:rFonts w:ascii="Verdana" w:eastAsia="Verdana" w:hAnsi="Verdana" w:cs="Verdana"/>
          <w:sz w:val="20"/>
          <w:szCs w:val="20"/>
          <w:vertAlign w:val="superscript"/>
        </w:rPr>
        <w:footnoteReference w:id="1"/>
      </w:r>
      <w:r w:rsidRPr="00817137">
        <w:rPr>
          <w:rFonts w:ascii="Verdana" w:eastAsia="Verdana" w:hAnsi="Verdana" w:cs="Verdana"/>
          <w:sz w:val="20"/>
          <w:szCs w:val="20"/>
        </w:rPr>
        <w:t>, en esta línea, cualquier modificación contractual implica un nuevo acuerdo de voluntades, o lo que es lo mismo un contrato, por ello este nuevo contrato requiere garantía para ser ejecutado. Respecto a las formalidades requeridas para las modificaciones de los contratos, y refiriéndose al alcance del artículo 39 y 41 de la Ley 80 de 1993[…]</w:t>
      </w:r>
    </w:p>
    <w:p w14:paraId="3ABFE263" w14:textId="6EB6339D" w:rsidR="00A93FB7" w:rsidRPr="00620849" w:rsidRDefault="00A93FB7" w:rsidP="00817137">
      <w:pPr>
        <w:spacing w:after="0" w:line="240" w:lineRule="auto"/>
        <w:jc w:val="both"/>
        <w:rPr>
          <w:rFonts w:ascii="Verdana" w:eastAsia="Verdana" w:hAnsi="Verdana" w:cs="Verdana"/>
          <w:b/>
          <w:bCs/>
          <w:lang w:val="es-ES"/>
        </w:rPr>
      </w:pPr>
    </w:p>
    <w:p w14:paraId="500CDE3D" w14:textId="77777777" w:rsidR="00A93FB7" w:rsidRPr="00620849" w:rsidRDefault="00A93FB7" w:rsidP="00817137">
      <w:pPr>
        <w:spacing w:after="0" w:line="240" w:lineRule="auto"/>
        <w:jc w:val="both"/>
        <w:rPr>
          <w:rFonts w:ascii="Verdana" w:eastAsia="Verdana" w:hAnsi="Verdana" w:cs="Verdana"/>
          <w:b/>
          <w:bCs/>
          <w:lang w:val="es-ES"/>
        </w:rPr>
      </w:pPr>
      <w:r w:rsidRPr="00620849">
        <w:rPr>
          <w:rFonts w:ascii="Verdana" w:eastAsia="Verdana" w:hAnsi="Verdana" w:cs="Verdana"/>
          <w:b/>
          <w:bCs/>
          <w:lang w:val="es-ES"/>
        </w:rPr>
        <w:t xml:space="preserve">DECRETO 1082 DE 2015 – Artículo 2.2.1.2.3.1.18 </w:t>
      </w:r>
    </w:p>
    <w:p w14:paraId="33ACCF6E" w14:textId="77777777" w:rsidR="00A93FB7" w:rsidRPr="006967DB" w:rsidRDefault="00A93FB7" w:rsidP="00817137">
      <w:pPr>
        <w:spacing w:after="0" w:line="240" w:lineRule="auto"/>
        <w:jc w:val="both"/>
        <w:rPr>
          <w:rFonts w:ascii="Verdana" w:eastAsia="Verdana" w:hAnsi="Verdana" w:cs="Verdana"/>
          <w:sz w:val="20"/>
          <w:szCs w:val="20"/>
          <w:lang w:val="es-ES"/>
        </w:rPr>
      </w:pPr>
    </w:p>
    <w:p w14:paraId="4A26C754" w14:textId="77777777" w:rsidR="006967DB" w:rsidRPr="006967DB" w:rsidRDefault="006967DB" w:rsidP="00817137">
      <w:pPr>
        <w:spacing w:after="0" w:line="240" w:lineRule="auto"/>
        <w:jc w:val="both"/>
        <w:rPr>
          <w:rFonts w:ascii="Verdana" w:eastAsia="Verdana" w:hAnsi="Verdana" w:cs="Verdana"/>
          <w:sz w:val="20"/>
          <w:szCs w:val="20"/>
        </w:rPr>
      </w:pPr>
      <w:r w:rsidRPr="006967DB">
        <w:rPr>
          <w:rFonts w:ascii="Verdana" w:eastAsia="Verdana" w:hAnsi="Verdana" w:cs="Verdana"/>
          <w:sz w:val="20"/>
          <w:szCs w:val="20"/>
        </w:rPr>
        <w:t xml:space="preserve">En definitiva, es necesario que el contratista amplíe la garantía cuando el contrato se prorroga o se adiciona, ampliación que requiere aprobación por parte de la Entidad Estatal contratante, tal como fue aprobada la garantía del contrato inicial. En cumplimiento del artículo 2.2.1.2.3.1.18. del Decreto 1082 de 2015, solo se le exige al contratista que: i) amplié el valor de la garantía cuando hay una adición, y </w:t>
      </w:r>
      <w:proofErr w:type="spellStart"/>
      <w:r w:rsidRPr="006967DB">
        <w:rPr>
          <w:rFonts w:ascii="Verdana" w:eastAsia="Verdana" w:hAnsi="Verdana" w:cs="Verdana"/>
          <w:sz w:val="20"/>
          <w:szCs w:val="20"/>
        </w:rPr>
        <w:t>ii</w:t>
      </w:r>
      <w:proofErr w:type="spellEnd"/>
      <w:r w:rsidRPr="006967DB">
        <w:rPr>
          <w:rFonts w:ascii="Verdana" w:eastAsia="Verdana" w:hAnsi="Verdana" w:cs="Verdana"/>
          <w:sz w:val="20"/>
          <w:szCs w:val="20"/>
        </w:rPr>
        <w:t xml:space="preserve">) que la garantía debe ampliar su vigencia cuando se modifica el plazo del contrato; y en ninguna de estas hipótesis resulta necesario alterar otras condiciones de la póliza. En consecuencia, si el contratista ha presentado una garantía y el contrato únicamente se amplía o adiciona, no corresponde modificar los riesgos asegurados ni las exclusiones del seguro, sino únicamente extender la vigencia o ajustar el valor de la póliza. En este sentido, la suspensión, como institución que altera el plazo contractual, implica necesariamente la ampliación de la garantía. </w:t>
      </w:r>
    </w:p>
    <w:p w14:paraId="65245279" w14:textId="77777777" w:rsidR="00A93FB7" w:rsidRPr="006967DB" w:rsidRDefault="00A93FB7" w:rsidP="00817137">
      <w:pPr>
        <w:spacing w:after="0" w:line="240" w:lineRule="auto"/>
        <w:jc w:val="both"/>
        <w:rPr>
          <w:rFonts w:ascii="Verdana" w:eastAsia="Verdana" w:hAnsi="Verdana" w:cs="Verdana"/>
          <w:b/>
          <w:bCs/>
        </w:rPr>
      </w:pPr>
    </w:p>
    <w:p w14:paraId="4E613A60" w14:textId="079E7612" w:rsidR="00A93FB7" w:rsidRPr="00620849" w:rsidRDefault="00A93FB7" w:rsidP="00817137">
      <w:pPr>
        <w:spacing w:after="0" w:line="240" w:lineRule="auto"/>
        <w:jc w:val="both"/>
        <w:rPr>
          <w:rFonts w:ascii="Verdana" w:eastAsia="Verdana" w:hAnsi="Verdana" w:cs="Verdana"/>
          <w:b/>
          <w:bCs/>
          <w:lang w:val="es-ES"/>
        </w:rPr>
      </w:pPr>
      <w:r w:rsidRPr="00620849">
        <w:rPr>
          <w:rFonts w:ascii="Verdana" w:eastAsia="Verdana" w:hAnsi="Verdana" w:cs="Verdana"/>
          <w:b/>
          <w:bCs/>
          <w:lang w:val="es-ES"/>
        </w:rPr>
        <w:t xml:space="preserve">MODIFICACIÓN DEL CONTRATO – Suspensión </w:t>
      </w:r>
    </w:p>
    <w:p w14:paraId="173D32BC" w14:textId="77777777" w:rsidR="00A93FB7" w:rsidRPr="00620849" w:rsidRDefault="00A93FB7" w:rsidP="00817137">
      <w:pPr>
        <w:spacing w:after="0" w:line="240" w:lineRule="auto"/>
        <w:jc w:val="both"/>
        <w:rPr>
          <w:rFonts w:ascii="Verdana" w:eastAsia="Verdana" w:hAnsi="Verdana" w:cs="Verdana"/>
          <w:b/>
          <w:bCs/>
          <w:lang w:val="es-ES"/>
        </w:rPr>
      </w:pPr>
    </w:p>
    <w:p w14:paraId="43F74668" w14:textId="73877EC4" w:rsidR="00A93FB7" w:rsidRDefault="001B6F1A" w:rsidP="00817137">
      <w:pPr>
        <w:spacing w:after="0" w:line="240" w:lineRule="auto"/>
        <w:jc w:val="both"/>
        <w:rPr>
          <w:rFonts w:ascii="Verdana" w:eastAsia="Verdana" w:hAnsi="Verdana" w:cs="Verdana"/>
          <w:sz w:val="20"/>
          <w:szCs w:val="20"/>
          <w:lang w:val="es-ES_tradnl"/>
        </w:rPr>
      </w:pPr>
      <w:r w:rsidRPr="001B6F1A">
        <w:rPr>
          <w:rFonts w:ascii="Verdana" w:eastAsia="Verdana" w:hAnsi="Verdana" w:cs="Verdana"/>
          <w:sz w:val="20"/>
          <w:szCs w:val="20"/>
          <w:lang w:val="es-ES_tradnl"/>
        </w:rPr>
        <w:t xml:space="preserve">Como se observa, en los negocios jurídicos –siendo el acta de suspensión uno de ellos, porque se trata de un acuerdo de voluntades para crear obligaciones– las entidades pueden incorporar las </w:t>
      </w:r>
      <w:r w:rsidRPr="001B6F1A">
        <w:rPr>
          <w:rFonts w:ascii="Verdana" w:eastAsia="Verdana" w:hAnsi="Verdana" w:cs="Verdana"/>
          <w:i/>
          <w:iCs/>
          <w:sz w:val="20"/>
          <w:szCs w:val="20"/>
          <w:lang w:val="es-ES_tradnl"/>
        </w:rPr>
        <w:t>condiciones</w:t>
      </w:r>
      <w:r w:rsidRPr="001B6F1A">
        <w:rPr>
          <w:rFonts w:ascii="Verdana" w:eastAsia="Verdana" w:hAnsi="Verdana" w:cs="Verdana"/>
          <w:sz w:val="20"/>
          <w:szCs w:val="20"/>
          <w:lang w:val="es-ES_tradnl"/>
        </w:rPr>
        <w:t xml:space="preserve"> y </w:t>
      </w:r>
      <w:r w:rsidRPr="001B6F1A">
        <w:rPr>
          <w:rFonts w:ascii="Verdana" w:eastAsia="Verdana" w:hAnsi="Verdana" w:cs="Verdana"/>
          <w:i/>
          <w:iCs/>
          <w:sz w:val="20"/>
          <w:szCs w:val="20"/>
          <w:lang w:val="es-ES_tradnl"/>
        </w:rPr>
        <w:t xml:space="preserve">cláusulas </w:t>
      </w:r>
      <w:r w:rsidRPr="001B6F1A">
        <w:rPr>
          <w:rFonts w:ascii="Verdana" w:eastAsia="Verdana" w:hAnsi="Verdana" w:cs="Verdana"/>
          <w:sz w:val="20"/>
          <w:szCs w:val="20"/>
          <w:lang w:val="es-ES_tradnl"/>
        </w:rPr>
        <w:t>que sean necesarias y convenientes. Pues bien, de conformidad con los artículos 1530 y siguientes del Código Civil –que establecen las condiciones o términos a los que pueden sujetarse las obligaciones, y que se aplican por la remisión que hacen los artículos 13, 32 y 40 de la Ley 80 de 1993 a las normas comerciales y civiles–, en el acta de suspensión puede estipularse que el plazo de ejecución del contrato se reactivará cuando se cumpla una condición o sobrevenga una fecha específica. En ambos supuestos de suspensión implican una modificación del plazo contractual.</w:t>
      </w:r>
    </w:p>
    <w:p w14:paraId="50C55CA8" w14:textId="77777777" w:rsidR="00CF53AD" w:rsidRPr="001B6F1A" w:rsidRDefault="00CF53AD" w:rsidP="00817137">
      <w:pPr>
        <w:spacing w:after="0" w:line="240" w:lineRule="auto"/>
        <w:jc w:val="both"/>
        <w:rPr>
          <w:rFonts w:ascii="Verdana" w:eastAsia="Verdana" w:hAnsi="Verdana" w:cs="Verdana"/>
          <w:sz w:val="20"/>
          <w:szCs w:val="20"/>
          <w:lang w:val="es-ES"/>
        </w:rPr>
      </w:pPr>
    </w:p>
    <w:p w14:paraId="2C0FD042" w14:textId="77777777" w:rsidR="00A93FB7" w:rsidRPr="00620849" w:rsidRDefault="00A93FB7" w:rsidP="00817137">
      <w:pPr>
        <w:spacing w:after="0" w:line="240" w:lineRule="auto"/>
        <w:jc w:val="both"/>
        <w:rPr>
          <w:rFonts w:ascii="Verdana" w:eastAsia="Verdana" w:hAnsi="Verdana" w:cs="Verdana"/>
          <w:b/>
          <w:bCs/>
        </w:rPr>
      </w:pPr>
      <w:r w:rsidRPr="00620849">
        <w:rPr>
          <w:rFonts w:ascii="Verdana" w:eastAsia="Verdana" w:hAnsi="Verdana" w:cs="Verdana"/>
          <w:b/>
          <w:bCs/>
        </w:rPr>
        <w:t xml:space="preserve">TERMINACIÓN UNILATERAL – Artículo 17 de la Ley 80 de 1993 – Causal 1 – Exigencias del servicio público – Procedencia – Cláusulas excepcionales – Artículo 14 de la Ley 80 de 1993 </w:t>
      </w:r>
    </w:p>
    <w:p w14:paraId="42A03456" w14:textId="77777777" w:rsidR="00A93FB7" w:rsidRPr="00E620CC" w:rsidRDefault="00A93FB7" w:rsidP="00817137">
      <w:pPr>
        <w:spacing w:after="0" w:line="240" w:lineRule="auto"/>
        <w:jc w:val="both"/>
        <w:rPr>
          <w:rFonts w:ascii="Verdana" w:eastAsia="Verdana" w:hAnsi="Verdana" w:cs="Verdana"/>
          <w:sz w:val="20"/>
          <w:szCs w:val="20"/>
        </w:rPr>
      </w:pPr>
    </w:p>
    <w:p w14:paraId="677C9F12" w14:textId="77777777" w:rsidR="00E620CC" w:rsidRDefault="00E620CC" w:rsidP="00817137">
      <w:pPr>
        <w:spacing w:after="0" w:line="240" w:lineRule="auto"/>
        <w:jc w:val="both"/>
        <w:rPr>
          <w:rFonts w:ascii="Verdana" w:eastAsia="Verdana" w:hAnsi="Verdana" w:cs="Verdana"/>
          <w:iCs/>
          <w:sz w:val="20"/>
          <w:szCs w:val="20"/>
        </w:rPr>
      </w:pPr>
      <w:r w:rsidRPr="00E620CC">
        <w:rPr>
          <w:rFonts w:ascii="Verdana" w:eastAsia="Verdana" w:hAnsi="Verdana" w:cs="Verdana"/>
          <w:iCs/>
          <w:sz w:val="20"/>
          <w:szCs w:val="20"/>
        </w:rPr>
        <w:lastRenderedPageBreak/>
        <w:t>La primera modalidad corresponde a la terminación unilateral propiamente dicha, regulada por el artículo 17 de la Ley 80 de 1993. Se trata de una potestad excepcional conferida a la Administración para poner fin anticipadamente al contrato cuando las exigencias del servicio público lo requieran o la situación de orden público lo imponga. A diferencia de las demás modalidades, esta facultad no presupone un incumplimiento del contratista, ni la existencia de un vicio que afecte la validez del contrato desde su celebración. Su fundamento radica en la necesidad de garantizar la continuidad, eficiencia y adecuada prestación del servicio público, permitiendo a la Administración adoptar decisiones orientadas a proteger el interés general cuando sobrevienen circunstancias que hacen incompatible la permanencia del vínculo contractual con los fines que justificaron su celebración. Precisamente por ello, la terminación prevista en el artículo 17 constituye una potestad de naturaleza preventiva y no sancionatoria, cuya finalidad consiste en preservar la correcta satisfacción del interés público y no en reprochar una conducta atribuible al contratista.</w:t>
      </w:r>
    </w:p>
    <w:p w14:paraId="514D643F" w14:textId="77777777" w:rsidR="00E620CC" w:rsidRPr="00E620CC" w:rsidRDefault="00E620CC" w:rsidP="00817137">
      <w:pPr>
        <w:spacing w:after="0" w:line="240" w:lineRule="auto"/>
        <w:jc w:val="both"/>
        <w:rPr>
          <w:rFonts w:ascii="Verdana" w:eastAsia="Verdana" w:hAnsi="Verdana" w:cs="Verdana"/>
          <w:iCs/>
          <w:sz w:val="20"/>
          <w:szCs w:val="20"/>
        </w:rPr>
      </w:pPr>
    </w:p>
    <w:p w14:paraId="32EF5C91" w14:textId="77777777" w:rsidR="00E620CC" w:rsidRPr="00E620CC" w:rsidRDefault="00E620CC" w:rsidP="00817137">
      <w:pPr>
        <w:spacing w:after="0" w:line="240" w:lineRule="auto"/>
        <w:jc w:val="both"/>
        <w:rPr>
          <w:rFonts w:ascii="Verdana" w:eastAsia="Verdana" w:hAnsi="Verdana" w:cs="Verdana"/>
          <w:iCs/>
          <w:sz w:val="20"/>
          <w:szCs w:val="20"/>
        </w:rPr>
      </w:pPr>
      <w:r w:rsidRPr="00E620CC">
        <w:rPr>
          <w:rFonts w:ascii="Verdana" w:eastAsia="Verdana" w:hAnsi="Verdana" w:cs="Verdana"/>
          <w:iCs/>
          <w:sz w:val="20"/>
          <w:szCs w:val="20"/>
        </w:rPr>
        <w:t xml:space="preserve">La caracterización de la terminación unilateral del artículo 17 como potestad excepcional impone considerar el régimen del artículo 14 de la Ley 80 de 1993, que condiciona su procedencia en un doble sentido. En primer término, conforme al numeral 2 del artículo 14, las cláusulas excepcionales de terminación, interpretación y modificación unilaterales se pactan obligatoriamente en los contratos que tengan por objeto el ejercicio de una actividad que constituya monopolio estatal, la prestación de servicios públicos o la explotación y concesión de bienes del Estado, así como en los contratos de obra, así como los contratos relacionados con el programa de alimentación escolar; son de pacto facultativo en los contratos de suministro y de prestación de servicios; y se encuentran excluidas en las demás tipologías contractuales señaladas por la norma. De ello se sigue que para el ejercicio de la terminación unilateral esta debe estar contemplada en el contrato respectivo, o se entienda pactada por ministerio de la ley.  </w:t>
      </w:r>
    </w:p>
    <w:p w14:paraId="63E893A4" w14:textId="77777777" w:rsidR="00E620CC" w:rsidRDefault="00E620CC" w:rsidP="00817137">
      <w:pPr>
        <w:spacing w:after="0" w:line="240" w:lineRule="auto"/>
        <w:jc w:val="both"/>
        <w:rPr>
          <w:rFonts w:ascii="Verdana" w:eastAsia="Verdana" w:hAnsi="Verdana" w:cs="Verdana"/>
          <w:b/>
          <w:bCs/>
          <w:iCs/>
        </w:rPr>
      </w:pPr>
    </w:p>
    <w:p w14:paraId="179DB1DB" w14:textId="05E60208" w:rsidR="008605E2" w:rsidRPr="00620849" w:rsidRDefault="00A93FB7" w:rsidP="00817137">
      <w:pPr>
        <w:spacing w:after="0" w:line="240" w:lineRule="auto"/>
        <w:jc w:val="both"/>
        <w:rPr>
          <w:rFonts w:ascii="Verdana" w:eastAsia="Verdana" w:hAnsi="Verdana" w:cs="Verdana"/>
          <w:b/>
          <w:bCs/>
        </w:rPr>
      </w:pPr>
      <w:r w:rsidRPr="00620849">
        <w:rPr>
          <w:rFonts w:ascii="Verdana" w:eastAsia="Verdana" w:hAnsi="Verdana" w:cs="Verdana"/>
          <w:b/>
          <w:bCs/>
        </w:rPr>
        <w:t>CADUCIDAD – Artículo 18 de la Ley 80 de 1993 – Improcedencia automática – Incumplimiento grave</w:t>
      </w:r>
    </w:p>
    <w:p w14:paraId="4578AAE9" w14:textId="77777777" w:rsidR="008605E2" w:rsidRPr="00620849" w:rsidRDefault="008605E2" w:rsidP="00817137">
      <w:pPr>
        <w:spacing w:after="0" w:line="240" w:lineRule="auto"/>
        <w:jc w:val="both"/>
        <w:rPr>
          <w:rFonts w:ascii="Verdana" w:eastAsia="Verdana" w:hAnsi="Verdana" w:cs="Verdana"/>
          <w:b/>
          <w:bCs/>
        </w:rPr>
      </w:pPr>
    </w:p>
    <w:p w14:paraId="0A412FAE" w14:textId="1793FCEF" w:rsidR="008605E2" w:rsidRPr="008A314C" w:rsidRDefault="008A314C" w:rsidP="00817137">
      <w:pPr>
        <w:spacing w:after="0" w:line="240" w:lineRule="auto"/>
        <w:jc w:val="both"/>
        <w:rPr>
          <w:rFonts w:ascii="Verdana" w:eastAsia="Verdana" w:hAnsi="Verdana" w:cs="Verdana"/>
          <w:iCs/>
          <w:sz w:val="20"/>
          <w:szCs w:val="20"/>
        </w:rPr>
      </w:pPr>
      <w:r w:rsidRPr="008A314C">
        <w:rPr>
          <w:rFonts w:ascii="Verdana" w:eastAsia="Verdana" w:hAnsi="Verdana" w:cs="Verdana"/>
          <w:iCs/>
          <w:sz w:val="20"/>
          <w:szCs w:val="20"/>
        </w:rPr>
        <w:t xml:space="preserve">Por otro lado, una modalidad distinta es la caducidad, regulada en el artículo 18 de la Ley 80 de 1993. Esta institución tiene un marcado carácter sancionatorio y procede cuando se presenta un incumplimiento grave de las obligaciones contractuales por parte del contratista que afecte de manera directa la ejecución del contrato y evidencie que puede conducir a su paralización. La declaratoria de caducidad presupone, por tanto, la existencia de un comportamiento imputable al contratista que compromete el cumplimiento del objeto contractual y faculta a la entidad para poner fin al contrato, hacer efectivas las garantías e imponer las consecuencias previstas por la ley, incluida la inhabilidad para contratar con el Estado durante el término legal correspondiente. Se trata, entonces, de una medida de reacción frente al incumplimiento contractual y no de un mecanismo destinado a resolver circunstancias sobrevinientes que afectan la posibilidad jurídica de continuar la ejecución del contrato. En cuanto a la oportunidad para ejercer esta potestad, el Consejo de Estado ha precisado que su finalidad de terminar anticipadamente el contrato y evitar la paralización del servicio delimita </w:t>
      </w:r>
      <w:r w:rsidRPr="008A314C">
        <w:rPr>
          <w:rFonts w:ascii="Verdana" w:eastAsia="Verdana" w:hAnsi="Verdana" w:cs="Verdana"/>
          <w:iCs/>
          <w:sz w:val="20"/>
          <w:szCs w:val="20"/>
        </w:rPr>
        <w:lastRenderedPageBreak/>
        <w:t>temporalmente la competencia de la entidad, de manera que la caducidad debe declararse antes del vencimiento del plazo de ejecución […]</w:t>
      </w:r>
    </w:p>
    <w:p w14:paraId="7947D7BA" w14:textId="77777777" w:rsidR="008A314C" w:rsidRPr="00620849" w:rsidRDefault="008A314C" w:rsidP="00817137">
      <w:pPr>
        <w:spacing w:after="0" w:line="240" w:lineRule="auto"/>
        <w:jc w:val="both"/>
        <w:rPr>
          <w:rFonts w:ascii="Verdana" w:eastAsia="Verdana" w:hAnsi="Verdana" w:cs="Verdana"/>
          <w:b/>
          <w:bCs/>
        </w:rPr>
      </w:pPr>
    </w:p>
    <w:p w14:paraId="68FC08C3" w14:textId="77777777" w:rsidR="008605E2" w:rsidRPr="00620849" w:rsidRDefault="00A93FB7" w:rsidP="00817137">
      <w:pPr>
        <w:spacing w:after="0" w:line="240" w:lineRule="auto"/>
        <w:jc w:val="both"/>
        <w:rPr>
          <w:rFonts w:ascii="Verdana" w:eastAsia="Verdana" w:hAnsi="Verdana" w:cs="Verdana"/>
          <w:b/>
          <w:bCs/>
        </w:rPr>
      </w:pPr>
      <w:r w:rsidRPr="00620849">
        <w:rPr>
          <w:rFonts w:ascii="Verdana" w:eastAsia="Verdana" w:hAnsi="Verdana" w:cs="Verdana"/>
          <w:b/>
          <w:bCs/>
        </w:rPr>
        <w:t xml:space="preserve"> TERMINACIÓN UNILATERAL – Artículo 45 – Improcedente </w:t>
      </w:r>
    </w:p>
    <w:p w14:paraId="3310526A" w14:textId="77777777" w:rsidR="008605E2" w:rsidRPr="001B4FBC" w:rsidRDefault="008605E2" w:rsidP="00817137">
      <w:pPr>
        <w:spacing w:after="0" w:line="240" w:lineRule="auto"/>
        <w:jc w:val="both"/>
        <w:rPr>
          <w:rFonts w:ascii="Verdana" w:eastAsia="Verdana" w:hAnsi="Verdana" w:cs="Verdana"/>
          <w:sz w:val="20"/>
          <w:szCs w:val="20"/>
        </w:rPr>
      </w:pPr>
    </w:p>
    <w:p w14:paraId="506472D8" w14:textId="77777777" w:rsidR="001B4FBC" w:rsidRPr="001B4FBC" w:rsidRDefault="001B4FBC" w:rsidP="00817137">
      <w:pPr>
        <w:spacing w:after="0" w:line="240" w:lineRule="auto"/>
        <w:jc w:val="both"/>
        <w:rPr>
          <w:rFonts w:ascii="Verdana" w:eastAsia="Verdana" w:hAnsi="Verdana" w:cs="Verdana"/>
          <w:iCs/>
          <w:sz w:val="20"/>
          <w:szCs w:val="20"/>
        </w:rPr>
      </w:pPr>
      <w:r w:rsidRPr="001B4FBC">
        <w:rPr>
          <w:rFonts w:ascii="Verdana" w:eastAsia="Verdana" w:hAnsi="Verdana" w:cs="Verdana"/>
          <w:iCs/>
          <w:sz w:val="20"/>
          <w:szCs w:val="20"/>
        </w:rPr>
        <w:t xml:space="preserve">Por último, la tercera modalidad corresponde a la terminación unilateral por configuración de una causal de nulidad absoluta, prevista en el inciso segundo del artículo 45 de la Ley 80 de 1993. En este evento, la Administración se encuentra facultada para dar por terminado el contrato cuando se configure alguna de las causales de nulidad absoluta previstas en el artículo 44 del mismo estatuto. Esta figura parte de un supuesto completamente distinto al que aquí se analiza, pues supone que el vicio existía desde el momento mismo de la celebración del contrato, afectando su validez desde el origen. En consecuencia, no resulta jurídicamente procedente extender esta modalidad al evento señalado. </w:t>
      </w:r>
    </w:p>
    <w:p w14:paraId="090C6A2F" w14:textId="77777777" w:rsidR="008605E2" w:rsidRPr="00620849" w:rsidRDefault="008605E2" w:rsidP="00817137">
      <w:pPr>
        <w:spacing w:after="0" w:line="240" w:lineRule="auto"/>
        <w:jc w:val="both"/>
        <w:rPr>
          <w:rFonts w:ascii="Verdana" w:eastAsia="Verdana" w:hAnsi="Verdana" w:cs="Verdana"/>
          <w:b/>
          <w:bCs/>
        </w:rPr>
      </w:pPr>
    </w:p>
    <w:p w14:paraId="51A4CE3B" w14:textId="14367AA9" w:rsidR="008605E2" w:rsidRPr="00620849" w:rsidRDefault="00A93FB7" w:rsidP="00817137">
      <w:pPr>
        <w:spacing w:after="0" w:line="240" w:lineRule="auto"/>
        <w:jc w:val="both"/>
        <w:rPr>
          <w:rFonts w:ascii="Verdana" w:eastAsia="Verdana" w:hAnsi="Verdana" w:cs="Verdana"/>
          <w:b/>
          <w:bCs/>
          <w:lang w:val="es-ES"/>
        </w:rPr>
      </w:pPr>
      <w:r w:rsidRPr="00620849">
        <w:rPr>
          <w:rFonts w:ascii="Verdana" w:eastAsia="Verdana" w:hAnsi="Verdana" w:cs="Verdana"/>
          <w:b/>
          <w:bCs/>
          <w:lang w:val="es-ES"/>
        </w:rPr>
        <w:t xml:space="preserve">DECLARATORIA DE INCUMPLIMIENTO – Procedimiento Administrativo Sancionatorio – Artículo 86 - Etapas </w:t>
      </w:r>
    </w:p>
    <w:p w14:paraId="22EE17C7" w14:textId="77777777" w:rsidR="008605E2" w:rsidRPr="00620849" w:rsidRDefault="008605E2" w:rsidP="00817137">
      <w:pPr>
        <w:spacing w:after="0" w:line="240" w:lineRule="auto"/>
        <w:jc w:val="both"/>
        <w:rPr>
          <w:rFonts w:ascii="Verdana" w:eastAsia="Verdana" w:hAnsi="Verdana" w:cs="Verdana"/>
          <w:b/>
          <w:bCs/>
          <w:lang w:val="es-ES"/>
        </w:rPr>
      </w:pPr>
    </w:p>
    <w:p w14:paraId="2E6253C3" w14:textId="77777777" w:rsidR="005C311A" w:rsidRPr="005C311A" w:rsidRDefault="005C311A" w:rsidP="00817137">
      <w:pPr>
        <w:spacing w:after="0" w:line="240" w:lineRule="auto"/>
        <w:jc w:val="both"/>
        <w:rPr>
          <w:rFonts w:ascii="Verdana" w:eastAsia="Verdana" w:hAnsi="Verdana" w:cs="Verdana"/>
          <w:sz w:val="20"/>
          <w:szCs w:val="20"/>
          <w:lang w:val="es-ES"/>
        </w:rPr>
      </w:pPr>
      <w:r w:rsidRPr="005C311A">
        <w:rPr>
          <w:rFonts w:ascii="Verdana" w:eastAsia="Verdana" w:hAnsi="Verdana" w:cs="Verdana"/>
          <w:iCs/>
          <w:sz w:val="20"/>
          <w:szCs w:val="20"/>
          <w:lang w:val="es-ES_tradnl"/>
        </w:rPr>
        <w:t xml:space="preserve">De conformidad con lo anterior, el artículo 86 de la Ley 1474 de 2011 establece las etapas del procedimiento que se deben seguir, las cuales se sintetizan, de forma esquemática, así: </w:t>
      </w:r>
      <w:r w:rsidRPr="005C311A">
        <w:rPr>
          <w:rFonts w:ascii="Verdana" w:eastAsia="Verdana" w:hAnsi="Verdana" w:cs="Verdana"/>
          <w:sz w:val="20"/>
          <w:szCs w:val="20"/>
          <w:lang w:val="es-ES"/>
        </w:rPr>
        <w:t xml:space="preserve">a) </w:t>
      </w:r>
      <w:r w:rsidRPr="005C311A">
        <w:rPr>
          <w:rFonts w:ascii="Verdana" w:eastAsia="Verdana" w:hAnsi="Verdana" w:cs="Verdana"/>
          <w:i/>
          <w:sz w:val="20"/>
          <w:szCs w:val="20"/>
          <w:lang w:val="es-ES"/>
        </w:rPr>
        <w:t>Citación a audiencia</w:t>
      </w:r>
      <w:r w:rsidRPr="005C311A">
        <w:rPr>
          <w:rFonts w:ascii="Verdana" w:eastAsia="Verdana" w:hAnsi="Verdana" w:cs="Verdana"/>
          <w:sz w:val="20"/>
          <w:szCs w:val="20"/>
          <w:lang w:val="es-ES"/>
        </w:rPr>
        <w:t xml:space="preserve">. Es necesario mencionar expresa y detalladamente los hechos que la soportan, así como, también, adjuntar el informe de interventoría o de supervisión en el que se sustente la actuación, enunciar las normas o cláusulas posiblemente violadas y referir las consecuencias que podrían recaer sobre el contratista en el desarrollo de la actuación, citando a la aseguradora cuando la garantía de cumplimiento consista en una póliza. b) </w:t>
      </w:r>
      <w:r w:rsidRPr="005C311A">
        <w:rPr>
          <w:rFonts w:ascii="Verdana" w:eastAsia="Verdana" w:hAnsi="Verdana" w:cs="Verdana"/>
          <w:i/>
          <w:sz w:val="20"/>
          <w:szCs w:val="20"/>
          <w:lang w:val="es-ES"/>
        </w:rPr>
        <w:t>Audiencia</w:t>
      </w:r>
      <w:r w:rsidRPr="005C311A">
        <w:rPr>
          <w:rFonts w:ascii="Verdana" w:eastAsia="Verdana" w:hAnsi="Verdana" w:cs="Verdana"/>
          <w:sz w:val="20"/>
          <w:szCs w:val="20"/>
          <w:lang w:val="es-ES"/>
        </w:rPr>
        <w:t xml:space="preserve">. En la diligencia intervendrá el jefe de la entidad o su delegado y, posteriormente, se le concederá el uso de la palabra al representante legal del contratista o a quien lo represente y al garante, en caso de ser necesario, para que estos presenten sus descargos, aporten y controviertan pruebas y rindan las explicaciones del caso; y c) </w:t>
      </w:r>
      <w:r w:rsidRPr="005C311A">
        <w:rPr>
          <w:rFonts w:ascii="Verdana" w:eastAsia="Verdana" w:hAnsi="Verdana" w:cs="Verdana"/>
          <w:i/>
          <w:sz w:val="20"/>
          <w:szCs w:val="20"/>
          <w:lang w:val="es-ES"/>
        </w:rPr>
        <w:t>Decisión</w:t>
      </w:r>
      <w:r w:rsidRPr="005C311A">
        <w:rPr>
          <w:rFonts w:ascii="Verdana" w:eastAsia="Verdana" w:hAnsi="Verdana" w:cs="Verdana"/>
          <w:sz w:val="20"/>
          <w:szCs w:val="20"/>
          <w:lang w:val="es-ES"/>
        </w:rPr>
        <w:t>. Debe estar contenida en resolución motivada donde se consigne, por un lado, lo ocurrido en el desarrollo de la diligencia y, por el otro, lo relativo a la imposición o no de multas y sanciones o la declaratoria de incumplimiento del contrato estatal. Contra la decisión únicamente procede el recurso de reposición que se interpondrá, sustentará y decidirá en la misma diligencia. Ambas decisiones se entenderán notificadas en audiencia. Lo anterior, por supuesto, sin perjuicio del control judicial que podría llegar a efectuarse.</w:t>
      </w:r>
    </w:p>
    <w:p w14:paraId="2696339E" w14:textId="77777777" w:rsidR="008605E2" w:rsidRPr="00620849" w:rsidRDefault="008605E2" w:rsidP="00817137">
      <w:pPr>
        <w:spacing w:after="0" w:line="240" w:lineRule="auto"/>
        <w:jc w:val="both"/>
        <w:rPr>
          <w:rFonts w:ascii="Verdana" w:eastAsia="Verdana" w:hAnsi="Verdana" w:cs="Verdana"/>
          <w:b/>
          <w:bCs/>
          <w:lang w:val="es-ES"/>
        </w:rPr>
      </w:pPr>
    </w:p>
    <w:p w14:paraId="69ACEBFE" w14:textId="77777777" w:rsidR="008605E2" w:rsidRPr="00620849" w:rsidRDefault="00A93FB7" w:rsidP="00817137">
      <w:pPr>
        <w:spacing w:after="0" w:line="240" w:lineRule="auto"/>
        <w:jc w:val="both"/>
        <w:rPr>
          <w:rFonts w:ascii="Verdana" w:eastAsia="Verdana" w:hAnsi="Verdana" w:cs="Verdana"/>
          <w:b/>
          <w:bCs/>
          <w:lang w:val="es-ES_tradnl"/>
        </w:rPr>
      </w:pPr>
      <w:r w:rsidRPr="00620849">
        <w:rPr>
          <w:rFonts w:ascii="Verdana" w:eastAsia="Verdana" w:hAnsi="Verdana" w:cs="Verdana"/>
          <w:b/>
          <w:bCs/>
          <w:lang w:val="es-ES_tradnl"/>
        </w:rPr>
        <w:t xml:space="preserve">SUSPENSIÓN DEL CONTRATO – Procedimiento administrativo sancionatorio – Procedencia </w:t>
      </w:r>
    </w:p>
    <w:p w14:paraId="05D149B5" w14:textId="77777777" w:rsidR="008605E2" w:rsidRPr="00620849" w:rsidRDefault="008605E2" w:rsidP="00817137">
      <w:pPr>
        <w:spacing w:after="0" w:line="240" w:lineRule="auto"/>
        <w:jc w:val="both"/>
        <w:rPr>
          <w:rFonts w:ascii="Verdana" w:eastAsia="Verdana" w:hAnsi="Verdana" w:cs="Verdana"/>
          <w:b/>
          <w:bCs/>
          <w:lang w:val="es-ES_tradnl"/>
        </w:rPr>
      </w:pPr>
    </w:p>
    <w:p w14:paraId="37928D35" w14:textId="4C19CDEC" w:rsidR="004760B1" w:rsidRDefault="004760B1" w:rsidP="00817137">
      <w:pPr>
        <w:spacing w:after="0" w:line="240" w:lineRule="auto"/>
        <w:jc w:val="both"/>
        <w:rPr>
          <w:rFonts w:ascii="Verdana" w:eastAsia="Verdana" w:hAnsi="Verdana" w:cs="Verdana"/>
          <w:sz w:val="20"/>
          <w:szCs w:val="20"/>
          <w:lang w:val="es-ES_tradnl"/>
        </w:rPr>
      </w:pPr>
      <w:r w:rsidRPr="00DE6687">
        <w:rPr>
          <w:rFonts w:ascii="Verdana" w:eastAsia="Verdana" w:hAnsi="Verdana" w:cs="Verdana"/>
          <w:sz w:val="20"/>
          <w:szCs w:val="20"/>
          <w:lang w:val="es-ES_tradnl"/>
        </w:rPr>
        <w:t xml:space="preserve">Pero, al margen de las consideraciones anteriores, hay que decir con claridad que una cosa es la suspensión del contrato estatal y otra el procedimiento administrativo sancionatorio. Si la entidad pública contratante evidencia razones óptimas para iniciar el procedimiento administrativo sancionatorio, porque encuentra que el contratista podría </w:t>
      </w:r>
      <w:r w:rsidRPr="00DE6687">
        <w:rPr>
          <w:rFonts w:ascii="Verdana" w:eastAsia="Verdana" w:hAnsi="Verdana" w:cs="Verdana"/>
          <w:sz w:val="20"/>
          <w:szCs w:val="20"/>
          <w:lang w:val="es-ES_tradnl"/>
        </w:rPr>
        <w:lastRenderedPageBreak/>
        <w:t xml:space="preserve">haber incurrido en incumplimiento por dejar vencer las garantías del contrato, debe citarlo, brindándole las reglas formales establecidas en el artículo 86 de la Ley 1474 de 2011, independiente de que el contrato se encuentre o no suspendido. </w:t>
      </w:r>
    </w:p>
    <w:p w14:paraId="54C6A06E" w14:textId="77777777" w:rsidR="00DE6687" w:rsidRPr="00DE6687" w:rsidRDefault="00DE6687" w:rsidP="00817137">
      <w:pPr>
        <w:spacing w:after="0" w:line="240" w:lineRule="auto"/>
        <w:jc w:val="both"/>
        <w:rPr>
          <w:rFonts w:ascii="Verdana" w:eastAsia="Verdana" w:hAnsi="Verdana" w:cs="Verdana"/>
          <w:sz w:val="20"/>
          <w:szCs w:val="20"/>
          <w:lang w:val="es-ES_tradnl"/>
        </w:rPr>
      </w:pPr>
    </w:p>
    <w:p w14:paraId="0C40037F" w14:textId="77777777" w:rsidR="004760B1" w:rsidRDefault="004760B1" w:rsidP="00817137">
      <w:pPr>
        <w:spacing w:after="0" w:line="240" w:lineRule="auto"/>
        <w:jc w:val="both"/>
        <w:rPr>
          <w:rFonts w:ascii="Verdana" w:eastAsia="Verdana" w:hAnsi="Verdana" w:cs="Verdana"/>
          <w:sz w:val="20"/>
          <w:szCs w:val="20"/>
          <w:lang w:val="es-ES_tradnl"/>
        </w:rPr>
      </w:pPr>
      <w:r w:rsidRPr="00DE6687">
        <w:rPr>
          <w:rFonts w:ascii="Verdana" w:eastAsia="Verdana" w:hAnsi="Verdana" w:cs="Verdana"/>
          <w:sz w:val="20"/>
          <w:szCs w:val="20"/>
          <w:lang w:val="es-ES_tradnl"/>
        </w:rPr>
        <w:t>De esta manera, el cese temporal de la ejecución del contrato no impide que la entidad surta el procedimiento administrativo sancionatorio, pues lo uno no va vinculado a lo otro. Circunstancia distinta es que la razón que pretende aducir la entidad estatal para iniciar dicho procedimiento sea el supuesto “incumplimiento” de las obligaciones, que se da durante la suspensión, sin que exista responsabilidad del contratista, pues tales obligaciones no podían cumplirse en este período. En este caso el procedimiento administrativo sancionatorio no es procedente, pero si aun así la entidad estatal lo adelanta, el contratista puede esgrimir en sus descargos los motivos que le han hecho imposible el cumplimiento de las obligaciones y estas deben ser valoradas por la entidad contratante para no imponer la sanción. Sin embargo, puede también suceder que el procedimiento administrativo sancionatorio se inicie mientras el contrato está suspendido, pero para determinar, y si es del caso, decretar el incumplimiento, así como la sanción correspondiente, derivado de obligaciones no observadas por el contratista antes de la suspensión. Claramente, en este caso la citación a la audiencia es válida, pues las razones de la suspensión son ajenas a los hechos que motivan la actuación sancionatoria, ya que el contratista sí estaba en capacidad de cumplir y no lo hizo; entonces no puede excusarse en la suspensión.</w:t>
      </w:r>
    </w:p>
    <w:p w14:paraId="65DE6CE1" w14:textId="77777777" w:rsidR="00DE6687" w:rsidRPr="00DE6687" w:rsidRDefault="00DE6687" w:rsidP="00817137">
      <w:pPr>
        <w:spacing w:after="0" w:line="240" w:lineRule="auto"/>
        <w:jc w:val="both"/>
        <w:rPr>
          <w:rFonts w:ascii="Verdana" w:eastAsia="Verdana" w:hAnsi="Verdana" w:cs="Verdana"/>
          <w:sz w:val="20"/>
          <w:szCs w:val="20"/>
          <w:lang w:val="es-ES_tradnl"/>
        </w:rPr>
      </w:pPr>
    </w:p>
    <w:p w14:paraId="0ED2DF6E" w14:textId="77777777" w:rsidR="004760B1" w:rsidRPr="00DE6687" w:rsidRDefault="004760B1" w:rsidP="00817137">
      <w:pPr>
        <w:spacing w:after="0" w:line="240" w:lineRule="auto"/>
        <w:jc w:val="both"/>
        <w:rPr>
          <w:rFonts w:ascii="Verdana" w:eastAsia="Verdana" w:hAnsi="Verdana" w:cs="Verdana"/>
          <w:sz w:val="20"/>
          <w:szCs w:val="20"/>
        </w:rPr>
      </w:pPr>
      <w:r w:rsidRPr="00DE6687">
        <w:rPr>
          <w:rFonts w:ascii="Verdana" w:eastAsia="Verdana" w:hAnsi="Verdana" w:cs="Verdana"/>
          <w:sz w:val="20"/>
          <w:szCs w:val="20"/>
          <w:lang w:val="es-ES_tradnl"/>
        </w:rPr>
        <w:t xml:space="preserve">En el escenario expuesto en la consulta, podría iniciarse el procedimiento administrativo sancionatorio por el incumplimiento del deber de modificar las garantías por alteración del plazo del contrato derivado de la suspensión. </w:t>
      </w:r>
      <w:r w:rsidRPr="00DE6687">
        <w:rPr>
          <w:rFonts w:ascii="Verdana" w:eastAsia="Verdana" w:hAnsi="Verdana" w:cs="Verdana"/>
          <w:sz w:val="20"/>
          <w:szCs w:val="20"/>
        </w:rPr>
        <w:t>En todo caso, los elementos sustanciales que deben concurrir para que proceda la declaratoria de incumplimiento y la imposición de sanciones contractuales constituyen presupuestos que deben ser probados y verificados en cada caso por las entidades estatales. Solo la acreditación de tales circunstancias permite la viabilidad del procedimiento administrativo sancionatorio, garantizando el respeto al debido proceso y la seguridad jurídica en la contratación pública.</w:t>
      </w:r>
    </w:p>
    <w:p w14:paraId="6C252BF7" w14:textId="77777777" w:rsidR="008605E2" w:rsidRPr="004760B1" w:rsidRDefault="008605E2" w:rsidP="00817137">
      <w:pPr>
        <w:spacing w:after="0" w:line="240" w:lineRule="auto"/>
        <w:jc w:val="both"/>
        <w:rPr>
          <w:rFonts w:ascii="Verdana" w:eastAsia="Verdana" w:hAnsi="Verdana" w:cs="Verdana"/>
          <w:b/>
          <w:bCs/>
        </w:rPr>
      </w:pPr>
    </w:p>
    <w:p w14:paraId="223D1658" w14:textId="77777777" w:rsidR="00407C78" w:rsidRDefault="00A93FB7" w:rsidP="00817137">
      <w:pPr>
        <w:spacing w:after="0" w:line="240" w:lineRule="auto"/>
        <w:jc w:val="both"/>
        <w:rPr>
          <w:rFonts w:ascii="Verdana" w:eastAsia="Verdana" w:hAnsi="Verdana" w:cs="Verdana"/>
          <w:b/>
          <w:bCs/>
          <w:lang w:val="es-ES_tradnl"/>
        </w:rPr>
      </w:pPr>
      <w:r w:rsidRPr="00620849">
        <w:rPr>
          <w:rFonts w:ascii="Verdana" w:eastAsia="Verdana" w:hAnsi="Verdana" w:cs="Verdana"/>
          <w:b/>
          <w:bCs/>
          <w:lang w:val="es-ES_tradnl"/>
        </w:rPr>
        <w:t>LIQUIDACIÓN – Noción – Alcance</w:t>
      </w:r>
    </w:p>
    <w:p w14:paraId="3595E899" w14:textId="77777777" w:rsidR="00407C78" w:rsidRPr="00314A15" w:rsidRDefault="00407C78" w:rsidP="00817137">
      <w:pPr>
        <w:spacing w:after="0" w:line="240" w:lineRule="auto"/>
        <w:jc w:val="both"/>
        <w:rPr>
          <w:rFonts w:ascii="Verdana" w:eastAsia="Verdana" w:hAnsi="Verdana" w:cs="Verdana"/>
          <w:sz w:val="20"/>
          <w:szCs w:val="20"/>
          <w:lang w:val="es-ES_tradnl"/>
        </w:rPr>
      </w:pPr>
    </w:p>
    <w:p w14:paraId="4BEB5916" w14:textId="709FB93B" w:rsidR="00314A15" w:rsidRPr="00314A15" w:rsidRDefault="00314A15" w:rsidP="00817137">
      <w:pPr>
        <w:spacing w:after="0" w:line="240" w:lineRule="auto"/>
        <w:jc w:val="both"/>
        <w:rPr>
          <w:rFonts w:ascii="Verdana" w:eastAsia="Verdana" w:hAnsi="Verdana" w:cs="Verdana"/>
          <w:sz w:val="20"/>
          <w:szCs w:val="20"/>
          <w:lang w:val="es-ES_tradnl"/>
        </w:rPr>
      </w:pPr>
      <w:r w:rsidRPr="00314A15">
        <w:rPr>
          <w:rFonts w:ascii="Verdana" w:eastAsia="Verdana" w:hAnsi="Verdana" w:cs="Verdana"/>
          <w:sz w:val="20"/>
          <w:szCs w:val="20"/>
          <w:lang w:val="es-ES_tradnl"/>
        </w:rPr>
        <w:t xml:space="preserve">Según la jurisprudencia,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314A15">
        <w:rPr>
          <w:rFonts w:ascii="Verdana" w:eastAsia="Verdana" w:hAnsi="Verdana" w:cs="Verdana"/>
          <w:i/>
          <w:iCs/>
          <w:sz w:val="20"/>
          <w:szCs w:val="20"/>
          <w:lang w:val="es-ES_tradnl"/>
        </w:rPr>
        <w:t>liquidar</w:t>
      </w:r>
      <w:r w:rsidRPr="00314A15">
        <w:rPr>
          <w:rFonts w:ascii="Verdana" w:eastAsia="Verdana" w:hAnsi="Verdana" w:cs="Verdana"/>
          <w:sz w:val="20"/>
          <w:szCs w:val="20"/>
          <w:lang w:val="es-ES_tradnl"/>
        </w:rPr>
        <w:t xml:space="preserve"> supone un ajuste en relación con las cuentas y el estado de cumplimiento del contrato estatal y, por el otro, que la </w:t>
      </w:r>
      <w:r w:rsidRPr="00314A15">
        <w:rPr>
          <w:rFonts w:ascii="Verdana" w:eastAsia="Verdana" w:hAnsi="Verdana" w:cs="Verdana"/>
          <w:i/>
          <w:iCs/>
          <w:sz w:val="20"/>
          <w:szCs w:val="20"/>
          <w:lang w:val="es-ES_tradnl"/>
        </w:rPr>
        <w:t>liquidación</w:t>
      </w:r>
      <w:r w:rsidRPr="00314A15">
        <w:rPr>
          <w:rFonts w:ascii="Verdana" w:eastAsia="Verdana" w:hAnsi="Verdana" w:cs="Verdana"/>
          <w:sz w:val="20"/>
          <w:szCs w:val="20"/>
          <w:lang w:val="es-ES_tradnl"/>
        </w:rPr>
        <w:t xml:space="preserve"> debe incluir el análisis de las condiciones de calidad y oportunidad en la entrega de los bienes, obras o servicios, así como el balance económico y el comportamiento financiero del negocio</w:t>
      </w:r>
      <w:r>
        <w:rPr>
          <w:rFonts w:ascii="Verdana" w:eastAsia="Verdana" w:hAnsi="Verdana" w:cs="Verdana"/>
          <w:sz w:val="20"/>
          <w:szCs w:val="20"/>
          <w:lang w:val="es-ES_tradnl"/>
        </w:rPr>
        <w:t>.</w:t>
      </w:r>
    </w:p>
    <w:p w14:paraId="006E9C83" w14:textId="77777777" w:rsidR="00407C78" w:rsidRDefault="00407C78" w:rsidP="00817137">
      <w:pPr>
        <w:spacing w:after="0" w:line="240" w:lineRule="auto"/>
        <w:jc w:val="both"/>
        <w:rPr>
          <w:rFonts w:ascii="Verdana" w:eastAsia="Verdana" w:hAnsi="Verdana" w:cs="Verdana"/>
          <w:b/>
          <w:bCs/>
          <w:lang w:val="es-ES_tradnl"/>
        </w:rPr>
      </w:pPr>
    </w:p>
    <w:p w14:paraId="03EC6D61" w14:textId="6DF23881" w:rsidR="008605E2" w:rsidRPr="00620849" w:rsidRDefault="00A93FB7" w:rsidP="00817137">
      <w:pPr>
        <w:spacing w:after="0" w:line="240" w:lineRule="auto"/>
        <w:jc w:val="both"/>
        <w:rPr>
          <w:rFonts w:ascii="Verdana" w:eastAsia="Verdana" w:hAnsi="Verdana" w:cs="Verdana"/>
          <w:b/>
          <w:bCs/>
          <w:lang w:val="es-ES_tradnl"/>
        </w:rPr>
      </w:pPr>
      <w:r w:rsidRPr="00620849">
        <w:rPr>
          <w:rFonts w:ascii="Verdana" w:eastAsia="Verdana" w:hAnsi="Verdana" w:cs="Verdana"/>
          <w:b/>
          <w:bCs/>
          <w:lang w:val="es-ES_tradnl"/>
        </w:rPr>
        <w:t xml:space="preserve">LIQUIDACIÓN – Bilateral – Unilateral – Judicial </w:t>
      </w:r>
    </w:p>
    <w:p w14:paraId="7396B912" w14:textId="77777777" w:rsidR="008605E2" w:rsidRPr="00620849" w:rsidRDefault="008605E2" w:rsidP="00817137">
      <w:pPr>
        <w:spacing w:after="0" w:line="240" w:lineRule="auto"/>
        <w:jc w:val="both"/>
        <w:rPr>
          <w:rFonts w:ascii="Verdana" w:eastAsia="Verdana" w:hAnsi="Verdana" w:cs="Verdana"/>
          <w:b/>
          <w:bCs/>
          <w:lang w:val="es-ES_tradnl"/>
        </w:rPr>
      </w:pPr>
    </w:p>
    <w:p w14:paraId="2BE57B0E" w14:textId="0AC1AC42" w:rsidR="00815710" w:rsidRDefault="00815710" w:rsidP="00817137">
      <w:pPr>
        <w:spacing w:after="0" w:line="240" w:lineRule="auto"/>
        <w:jc w:val="both"/>
        <w:rPr>
          <w:rFonts w:ascii="Verdana" w:eastAsia="Verdana" w:hAnsi="Verdana" w:cs="Verdana"/>
          <w:sz w:val="20"/>
          <w:szCs w:val="20"/>
          <w:lang w:val="es-ES"/>
        </w:rPr>
      </w:pPr>
      <w:r w:rsidRPr="00815710">
        <w:rPr>
          <w:rFonts w:ascii="Verdana" w:eastAsia="Verdana" w:hAnsi="Verdana" w:cs="Verdana"/>
          <w:sz w:val="20"/>
          <w:szCs w:val="20"/>
          <w:lang w:val="es-ES"/>
        </w:rPr>
        <w:lastRenderedPageBreak/>
        <w:t xml:space="preserve">Si no se logra la liquidación bilateral del contrato, la entidad estatal tiene la facultad de liquidarlo unilateralmente dentro del término de 2 meses contados a partir del vencimiento del plazo que acuerden las partes para liquidar bilateralmente o, ante el silencio de estas, del vencimiento de los 4 meses supletivo establecido por la ley. En este sentido, la liquidación unilateral </w:t>
      </w:r>
      <w:r w:rsidRPr="00815710">
        <w:rPr>
          <w:rFonts w:ascii="Verdana" w:eastAsia="Verdana" w:hAnsi="Verdana" w:cs="Verdana"/>
          <w:sz w:val="20"/>
          <w:szCs w:val="20"/>
          <w:lang w:val="es-ES_tradnl"/>
        </w:rPr>
        <w:t>es una habilitación legal que no requiere una estipulación contractual para ejercerla en los contratos estatales sometidos al EGCAP en que sea procedente</w:t>
      </w:r>
      <w:r w:rsidRPr="00815710">
        <w:rPr>
          <w:rFonts w:ascii="Verdana" w:eastAsia="Verdana" w:hAnsi="Verdana" w:cs="Verdana"/>
          <w:sz w:val="20"/>
          <w:szCs w:val="20"/>
          <w:lang w:val="es-ES"/>
        </w:rPr>
        <w:t xml:space="preserve">, es decir, en </w:t>
      </w:r>
      <w:r w:rsidRPr="00815710">
        <w:rPr>
          <w:rFonts w:ascii="Verdana" w:eastAsia="Verdana" w:hAnsi="Verdana" w:cs="Verdana"/>
          <w:sz w:val="20"/>
          <w:szCs w:val="20"/>
          <w:lang w:val="es-ES_tradnl"/>
        </w:rPr>
        <w:t>los contratos de tracto sucesivo, aquellos cuyo cumplimiento o ejecución se prolongue en el tiempo y los demás que lo requieran, conforme al artículo 60 de la Ley 80 de 1993.</w:t>
      </w:r>
      <w:r w:rsidRPr="00815710">
        <w:rPr>
          <w:rFonts w:ascii="Verdana" w:eastAsia="Verdana" w:hAnsi="Verdana" w:cs="Verdana"/>
          <w:sz w:val="20"/>
          <w:szCs w:val="20"/>
          <w:lang w:val="es-ES"/>
        </w:rPr>
        <w:t xml:space="preserve"> De esta manera, liquidación unilateral es subsidiaria del intento de la liquidación bilateral, como manifestación de la garantía del debido proceso, puesto que la primera solo procede si el contratista particular no se presenta, previo requerimiento de la entidad, o si las partes no tienen un acuerdo sobre el contenido</w:t>
      </w:r>
      <w:r w:rsidRPr="00815710">
        <w:rPr>
          <w:rFonts w:ascii="Verdana" w:eastAsia="Verdana" w:hAnsi="Verdana" w:cs="Verdana"/>
          <w:sz w:val="20"/>
          <w:szCs w:val="20"/>
          <w:vertAlign w:val="superscript"/>
          <w:lang w:val="es-ES"/>
        </w:rPr>
        <w:footnoteReference w:id="2"/>
      </w:r>
      <w:r w:rsidRPr="00815710">
        <w:rPr>
          <w:rFonts w:ascii="Verdana" w:eastAsia="Verdana" w:hAnsi="Verdana" w:cs="Verdana"/>
          <w:sz w:val="20"/>
          <w:szCs w:val="20"/>
          <w:lang w:val="es-ES"/>
        </w:rPr>
        <w:t xml:space="preserve">. En efecto, la entidad expedirá un acto administrativo previamente motivado, que contenga la liquidación del contrato. </w:t>
      </w:r>
    </w:p>
    <w:p w14:paraId="1DAE9BDC" w14:textId="502DFF67" w:rsidR="00815710" w:rsidRPr="00815710" w:rsidRDefault="00934EDC" w:rsidP="00817137">
      <w:pPr>
        <w:spacing w:after="0" w:line="240" w:lineRule="auto"/>
        <w:jc w:val="both"/>
        <w:rPr>
          <w:rFonts w:ascii="Verdana" w:eastAsia="Verdana" w:hAnsi="Verdana" w:cs="Verdana"/>
          <w:sz w:val="20"/>
          <w:szCs w:val="20"/>
          <w:lang w:val="es-ES"/>
        </w:rPr>
      </w:pPr>
      <w:r>
        <w:rPr>
          <w:rFonts w:ascii="Verdana" w:eastAsia="Verdana" w:hAnsi="Verdana" w:cs="Verdana"/>
          <w:sz w:val="20"/>
          <w:szCs w:val="20"/>
          <w:lang w:val="es-ES"/>
        </w:rPr>
        <w:t>[…]</w:t>
      </w:r>
    </w:p>
    <w:p w14:paraId="52DC19B4" w14:textId="27AF71CA" w:rsidR="008605E2" w:rsidRPr="00815710" w:rsidRDefault="00815710" w:rsidP="00817137">
      <w:pPr>
        <w:spacing w:after="0" w:line="240" w:lineRule="auto"/>
        <w:jc w:val="both"/>
        <w:rPr>
          <w:rFonts w:ascii="Verdana" w:eastAsia="Verdana" w:hAnsi="Verdana" w:cs="Verdana"/>
          <w:sz w:val="20"/>
          <w:szCs w:val="20"/>
          <w:lang w:val="es-ES"/>
        </w:rPr>
      </w:pPr>
      <w:r w:rsidRPr="00815710">
        <w:rPr>
          <w:rFonts w:ascii="Verdana" w:eastAsia="Verdana" w:hAnsi="Verdana" w:cs="Verdana"/>
          <w:sz w:val="20"/>
          <w:szCs w:val="20"/>
          <w:lang w:val="es-ES"/>
        </w:rPr>
        <w:t>Finalmente, transcurridos estos meses, la liquidación podrá realizarse en cualquier tiempo dentro de los dos años siguientes al vencimiento del término referido, de mutuo acuerdo o unilateralmente, salvo que el contratista haya presentado la demanda con la cual pretenda la liquidación judicial del contrato. De esta manera, durante estos dos años la liquidación podrá hacerse de mutuo acuerdo, unilateralmente por la entidad, o podrá ser solicitada judicialmente por el interesado.</w:t>
      </w:r>
    </w:p>
    <w:p w14:paraId="22B5FBBC" w14:textId="77777777" w:rsidR="00815710" w:rsidRPr="00620849" w:rsidRDefault="00815710" w:rsidP="00817137">
      <w:pPr>
        <w:spacing w:after="0" w:line="240" w:lineRule="auto"/>
        <w:jc w:val="both"/>
        <w:rPr>
          <w:rFonts w:ascii="Verdana" w:eastAsia="Verdana" w:hAnsi="Verdana" w:cs="Verdana"/>
          <w:b/>
          <w:bCs/>
          <w:lang w:val="es-ES_tradnl"/>
        </w:rPr>
      </w:pPr>
    </w:p>
    <w:p w14:paraId="49BE1CFB" w14:textId="7846E56A" w:rsidR="00A93FB7" w:rsidRPr="00620849" w:rsidRDefault="00A93FB7" w:rsidP="00817137">
      <w:pPr>
        <w:spacing w:after="0" w:line="240" w:lineRule="auto"/>
        <w:jc w:val="both"/>
        <w:rPr>
          <w:rFonts w:ascii="Verdana" w:eastAsia="Verdana" w:hAnsi="Verdana" w:cs="Verdana"/>
          <w:b/>
          <w:bCs/>
          <w:lang w:val="es-ES"/>
        </w:rPr>
      </w:pPr>
      <w:r w:rsidRPr="00620849">
        <w:rPr>
          <w:rFonts w:ascii="Verdana" w:eastAsia="Verdana" w:hAnsi="Verdana" w:cs="Verdana"/>
          <w:b/>
          <w:bCs/>
          <w:lang w:val="es-ES_tradnl"/>
        </w:rPr>
        <w:t xml:space="preserve">LIQUIDACIÓN – Deber – Extensión de las garantías – Artículo 60 de la Ley 80 de 1993. </w:t>
      </w:r>
    </w:p>
    <w:p w14:paraId="70E189C8" w14:textId="77777777" w:rsidR="00A93FB7" w:rsidRPr="00A93FB7" w:rsidRDefault="00A93FB7" w:rsidP="00817137">
      <w:pPr>
        <w:spacing w:after="0" w:line="240" w:lineRule="auto"/>
        <w:rPr>
          <w:rFonts w:ascii="Verdana" w:eastAsia="Verdana" w:hAnsi="Verdana" w:cs="Verdana"/>
          <w:lang w:val="es-ES"/>
        </w:rPr>
      </w:pPr>
    </w:p>
    <w:p w14:paraId="7DC7DB8D" w14:textId="77777777" w:rsidR="00A25601" w:rsidRPr="00A25601" w:rsidRDefault="00A25601" w:rsidP="00817137">
      <w:pPr>
        <w:spacing w:after="0" w:line="240" w:lineRule="auto"/>
        <w:jc w:val="both"/>
        <w:rPr>
          <w:rFonts w:ascii="Verdana" w:eastAsia="Verdana" w:hAnsi="Verdana" w:cs="Verdana"/>
          <w:sz w:val="20"/>
          <w:szCs w:val="20"/>
        </w:rPr>
      </w:pPr>
      <w:r w:rsidRPr="00A25601">
        <w:rPr>
          <w:rFonts w:ascii="Verdana" w:eastAsia="Verdana" w:hAnsi="Verdana" w:cs="Verdana"/>
          <w:sz w:val="20"/>
          <w:szCs w:val="20"/>
        </w:rPr>
        <w:t xml:space="preserve">En el escenario de la negativa expresa de la aseguradora a renovar, rehabilitar o expedir una nueva póliza no exonera al contratista de su deber de mantener vigente la garantía. La obligación de constituir y mantener las garantías recae directamente sobre el contratista, quien debe gestionar la expedición de una nueva póliza o la sustitución de la garantía. Para ello, el ordenamiento ofrece mecanismos alternativos: además del contrato de seguro, el artículo 7 de la Ley 1150 de 2007 admite la garantía bancaria y el patrimonio autónomo constituido mediante fiducia mercantil, de modo que la negativa de una compañía aseguradora, por sí sola, no acredita la imposibilidad de obtener la cobertura exigida. En consecuencia, ante la negativa de una aseguradora, el contratista puede acudir a otra o a cualquiera de los referidos mecanismos, y la entidad debe requerírselo formalmente. Ahora bien, si pese al requerimiento el contratista no sustituye la garantía, la entidad no queda impedida de manera indefinida para liquidar. El deber de liquidar y la protección del interés público exigen que la entidad, agotada la exigencia, adelante la liquidación —de mutuo acuerdo o, en su defecto, unilateralmente— dejando constancia expresa de la ausencia de garantía y de las gestiones adelantadas, haciendo efectivo el amparo que resulte exigible por el siniestro configurado durante su vigencia y activando las acciones sancionatorias, coercitivas y judiciales pertinentes. De este modo se evita que la conducta de un tercero —la </w:t>
      </w:r>
      <w:r w:rsidRPr="00A25601">
        <w:rPr>
          <w:rFonts w:ascii="Verdana" w:eastAsia="Verdana" w:hAnsi="Verdana" w:cs="Verdana"/>
          <w:sz w:val="20"/>
          <w:szCs w:val="20"/>
        </w:rPr>
        <w:lastRenderedPageBreak/>
        <w:t>aseguradora— o el incumplimiento del contratista frustren indefinidamente la liquidación, con el consiguiente riesgo de preclusión de la competencia para liquidar unilateralmente y de caducidad del medio de control.</w:t>
      </w:r>
    </w:p>
    <w:p w14:paraId="30D140EA" w14:textId="77777777" w:rsidR="00A93FB7" w:rsidRDefault="00A93FB7" w:rsidP="00817137">
      <w:pPr>
        <w:spacing w:after="0" w:line="240" w:lineRule="auto"/>
        <w:rPr>
          <w:rFonts w:ascii="Verdana" w:eastAsia="Verdana" w:hAnsi="Verdana" w:cs="Verdana"/>
        </w:rPr>
      </w:pPr>
    </w:p>
    <w:p w14:paraId="2724CC4B" w14:textId="77777777" w:rsidR="00A93FB7" w:rsidRDefault="00A93FB7" w:rsidP="00817137">
      <w:pPr>
        <w:spacing w:after="0" w:line="240" w:lineRule="auto"/>
        <w:rPr>
          <w:rFonts w:ascii="Verdana" w:eastAsia="Verdana" w:hAnsi="Verdana" w:cs="Verdana"/>
        </w:rPr>
      </w:pPr>
    </w:p>
    <w:p w14:paraId="1404436E" w14:textId="77777777" w:rsidR="00817137" w:rsidRDefault="00817137" w:rsidP="00817137">
      <w:pPr>
        <w:spacing w:after="0" w:line="240" w:lineRule="auto"/>
        <w:rPr>
          <w:rFonts w:ascii="Verdana" w:eastAsia="Verdana" w:hAnsi="Verdana" w:cs="Verdana"/>
        </w:rPr>
      </w:pPr>
    </w:p>
    <w:p w14:paraId="00119570" w14:textId="77777777" w:rsidR="00817137" w:rsidRDefault="00817137" w:rsidP="00817137">
      <w:pPr>
        <w:spacing w:after="0" w:line="240" w:lineRule="auto"/>
        <w:rPr>
          <w:rFonts w:ascii="Verdana" w:eastAsia="Verdana" w:hAnsi="Verdana" w:cs="Verdana"/>
        </w:rPr>
      </w:pPr>
    </w:p>
    <w:p w14:paraId="061D672C" w14:textId="77777777" w:rsidR="00817137" w:rsidRDefault="00817137" w:rsidP="00817137">
      <w:pPr>
        <w:spacing w:after="0" w:line="240" w:lineRule="auto"/>
        <w:rPr>
          <w:rFonts w:ascii="Verdana" w:eastAsia="Verdana" w:hAnsi="Verdana" w:cs="Verdana"/>
        </w:rPr>
      </w:pPr>
    </w:p>
    <w:p w14:paraId="291BC1C6" w14:textId="77777777" w:rsidR="00817137" w:rsidRDefault="00817137" w:rsidP="00817137">
      <w:pPr>
        <w:spacing w:after="0" w:line="240" w:lineRule="auto"/>
        <w:rPr>
          <w:rFonts w:ascii="Verdana" w:eastAsia="Verdana" w:hAnsi="Verdana" w:cs="Verdana"/>
        </w:rPr>
      </w:pPr>
    </w:p>
    <w:p w14:paraId="0AC226D7" w14:textId="77777777" w:rsidR="00817137" w:rsidRDefault="00817137" w:rsidP="00817137">
      <w:pPr>
        <w:spacing w:after="0" w:line="240" w:lineRule="auto"/>
        <w:rPr>
          <w:rFonts w:ascii="Verdana" w:eastAsia="Verdana" w:hAnsi="Verdana" w:cs="Verdana"/>
        </w:rPr>
      </w:pPr>
    </w:p>
    <w:p w14:paraId="4769FF96" w14:textId="77777777" w:rsidR="00817137" w:rsidRDefault="00817137" w:rsidP="00817137">
      <w:pPr>
        <w:spacing w:after="0" w:line="240" w:lineRule="auto"/>
        <w:rPr>
          <w:rFonts w:ascii="Verdana" w:eastAsia="Verdana" w:hAnsi="Verdana" w:cs="Verdana"/>
        </w:rPr>
      </w:pPr>
    </w:p>
    <w:p w14:paraId="49ACAC02" w14:textId="77777777" w:rsidR="00817137" w:rsidRDefault="00817137" w:rsidP="00817137">
      <w:pPr>
        <w:spacing w:after="0" w:line="240" w:lineRule="auto"/>
        <w:rPr>
          <w:rFonts w:ascii="Verdana" w:eastAsia="Verdana" w:hAnsi="Verdana" w:cs="Verdana"/>
        </w:rPr>
      </w:pPr>
    </w:p>
    <w:p w14:paraId="0A478469" w14:textId="77777777" w:rsidR="00817137" w:rsidRDefault="00817137" w:rsidP="00817137">
      <w:pPr>
        <w:spacing w:after="0" w:line="240" w:lineRule="auto"/>
        <w:rPr>
          <w:rFonts w:ascii="Verdana" w:eastAsia="Verdana" w:hAnsi="Verdana" w:cs="Verdana"/>
        </w:rPr>
      </w:pPr>
    </w:p>
    <w:p w14:paraId="09B871DB" w14:textId="77777777" w:rsidR="00817137" w:rsidRDefault="00817137" w:rsidP="00817137">
      <w:pPr>
        <w:spacing w:after="0" w:line="240" w:lineRule="auto"/>
        <w:rPr>
          <w:rFonts w:ascii="Verdana" w:eastAsia="Verdana" w:hAnsi="Verdana" w:cs="Verdana"/>
        </w:rPr>
      </w:pPr>
    </w:p>
    <w:p w14:paraId="570C4687" w14:textId="77777777" w:rsidR="00817137" w:rsidRDefault="00817137" w:rsidP="00817137">
      <w:pPr>
        <w:spacing w:after="0" w:line="240" w:lineRule="auto"/>
        <w:rPr>
          <w:rFonts w:ascii="Verdana" w:eastAsia="Verdana" w:hAnsi="Verdana" w:cs="Verdana"/>
        </w:rPr>
      </w:pPr>
    </w:p>
    <w:p w14:paraId="04EB8234" w14:textId="77777777" w:rsidR="00817137" w:rsidRDefault="00817137" w:rsidP="00817137">
      <w:pPr>
        <w:spacing w:after="0" w:line="240" w:lineRule="auto"/>
        <w:rPr>
          <w:rFonts w:ascii="Verdana" w:eastAsia="Verdana" w:hAnsi="Verdana" w:cs="Verdana"/>
        </w:rPr>
      </w:pPr>
    </w:p>
    <w:p w14:paraId="36D03810" w14:textId="77777777" w:rsidR="00817137" w:rsidRDefault="00817137" w:rsidP="00817137">
      <w:pPr>
        <w:spacing w:after="0" w:line="240" w:lineRule="auto"/>
        <w:rPr>
          <w:rFonts w:ascii="Verdana" w:eastAsia="Verdana" w:hAnsi="Verdana" w:cs="Verdana"/>
        </w:rPr>
      </w:pPr>
    </w:p>
    <w:p w14:paraId="3B3D119A" w14:textId="77777777" w:rsidR="00817137" w:rsidRDefault="00817137" w:rsidP="00817137">
      <w:pPr>
        <w:spacing w:after="0" w:line="240" w:lineRule="auto"/>
        <w:rPr>
          <w:rFonts w:ascii="Verdana" w:eastAsia="Verdana" w:hAnsi="Verdana" w:cs="Verdana"/>
        </w:rPr>
      </w:pPr>
    </w:p>
    <w:p w14:paraId="149D5A6B" w14:textId="77777777" w:rsidR="00817137" w:rsidRDefault="00817137" w:rsidP="00817137">
      <w:pPr>
        <w:spacing w:after="0" w:line="240" w:lineRule="auto"/>
        <w:rPr>
          <w:rFonts w:ascii="Verdana" w:eastAsia="Verdana" w:hAnsi="Verdana" w:cs="Verdana"/>
        </w:rPr>
      </w:pPr>
    </w:p>
    <w:p w14:paraId="3A16D681" w14:textId="77777777" w:rsidR="00817137" w:rsidRDefault="00817137" w:rsidP="00817137">
      <w:pPr>
        <w:spacing w:after="0" w:line="240" w:lineRule="auto"/>
        <w:rPr>
          <w:rFonts w:ascii="Verdana" w:eastAsia="Verdana" w:hAnsi="Verdana" w:cs="Verdana"/>
        </w:rPr>
      </w:pPr>
    </w:p>
    <w:p w14:paraId="5D341719" w14:textId="77777777" w:rsidR="00817137" w:rsidRDefault="00817137" w:rsidP="00817137">
      <w:pPr>
        <w:spacing w:after="0" w:line="240" w:lineRule="auto"/>
        <w:rPr>
          <w:rFonts w:ascii="Verdana" w:eastAsia="Verdana" w:hAnsi="Verdana" w:cs="Verdana"/>
        </w:rPr>
      </w:pPr>
    </w:p>
    <w:p w14:paraId="346EA1F9" w14:textId="77777777" w:rsidR="00817137" w:rsidRDefault="00817137" w:rsidP="00817137">
      <w:pPr>
        <w:spacing w:after="0" w:line="240" w:lineRule="auto"/>
        <w:rPr>
          <w:rFonts w:ascii="Verdana" w:eastAsia="Verdana" w:hAnsi="Verdana" w:cs="Verdana"/>
        </w:rPr>
      </w:pPr>
    </w:p>
    <w:p w14:paraId="655DDF3F" w14:textId="77777777" w:rsidR="00817137" w:rsidRDefault="00817137" w:rsidP="00817137">
      <w:pPr>
        <w:spacing w:after="0" w:line="240" w:lineRule="auto"/>
        <w:rPr>
          <w:rFonts w:ascii="Verdana" w:eastAsia="Verdana" w:hAnsi="Verdana" w:cs="Verdana"/>
        </w:rPr>
      </w:pPr>
    </w:p>
    <w:p w14:paraId="075261B6" w14:textId="77777777" w:rsidR="00817137" w:rsidRDefault="00817137" w:rsidP="00817137">
      <w:pPr>
        <w:spacing w:after="0" w:line="240" w:lineRule="auto"/>
        <w:rPr>
          <w:rFonts w:ascii="Verdana" w:eastAsia="Verdana" w:hAnsi="Verdana" w:cs="Verdana"/>
        </w:rPr>
      </w:pPr>
    </w:p>
    <w:p w14:paraId="5754BD9D" w14:textId="77777777" w:rsidR="00817137" w:rsidRDefault="00817137" w:rsidP="00817137">
      <w:pPr>
        <w:spacing w:after="0" w:line="240" w:lineRule="auto"/>
        <w:rPr>
          <w:rFonts w:ascii="Verdana" w:eastAsia="Verdana" w:hAnsi="Verdana" w:cs="Verdana"/>
        </w:rPr>
      </w:pPr>
    </w:p>
    <w:p w14:paraId="050981C5" w14:textId="77777777" w:rsidR="00817137" w:rsidRDefault="00817137" w:rsidP="00817137">
      <w:pPr>
        <w:spacing w:after="0" w:line="240" w:lineRule="auto"/>
        <w:rPr>
          <w:rFonts w:ascii="Verdana" w:eastAsia="Verdana" w:hAnsi="Verdana" w:cs="Verdana"/>
        </w:rPr>
      </w:pPr>
    </w:p>
    <w:p w14:paraId="76A828FE" w14:textId="77777777" w:rsidR="00817137" w:rsidRDefault="00817137" w:rsidP="00817137">
      <w:pPr>
        <w:spacing w:after="0" w:line="240" w:lineRule="auto"/>
        <w:rPr>
          <w:rFonts w:ascii="Verdana" w:eastAsia="Verdana" w:hAnsi="Verdana" w:cs="Verdana"/>
        </w:rPr>
      </w:pPr>
    </w:p>
    <w:p w14:paraId="3581F5C3" w14:textId="77777777" w:rsidR="00817137" w:rsidRDefault="00817137" w:rsidP="00817137">
      <w:pPr>
        <w:spacing w:after="0" w:line="240" w:lineRule="auto"/>
        <w:rPr>
          <w:rFonts w:ascii="Verdana" w:eastAsia="Verdana" w:hAnsi="Verdana" w:cs="Verdana"/>
        </w:rPr>
      </w:pPr>
    </w:p>
    <w:p w14:paraId="76FA77E8" w14:textId="77777777" w:rsidR="00817137" w:rsidRDefault="00817137" w:rsidP="00817137">
      <w:pPr>
        <w:spacing w:after="0" w:line="240" w:lineRule="auto"/>
        <w:rPr>
          <w:rFonts w:ascii="Verdana" w:eastAsia="Verdana" w:hAnsi="Verdana" w:cs="Verdana"/>
        </w:rPr>
      </w:pPr>
    </w:p>
    <w:p w14:paraId="2FF46B25" w14:textId="77777777" w:rsidR="00817137" w:rsidRDefault="00817137" w:rsidP="00817137">
      <w:pPr>
        <w:spacing w:after="0" w:line="240" w:lineRule="auto"/>
        <w:rPr>
          <w:rFonts w:ascii="Verdana" w:eastAsia="Verdana" w:hAnsi="Verdana" w:cs="Verdana"/>
        </w:rPr>
      </w:pPr>
    </w:p>
    <w:p w14:paraId="15E5BDCC" w14:textId="77777777" w:rsidR="00817137" w:rsidRDefault="00817137" w:rsidP="00817137">
      <w:pPr>
        <w:spacing w:after="0" w:line="240" w:lineRule="auto"/>
        <w:rPr>
          <w:rFonts w:ascii="Verdana" w:eastAsia="Verdana" w:hAnsi="Verdana" w:cs="Verdana"/>
        </w:rPr>
      </w:pPr>
    </w:p>
    <w:p w14:paraId="3959A744" w14:textId="77777777" w:rsidR="00817137" w:rsidRDefault="00817137" w:rsidP="00817137">
      <w:pPr>
        <w:spacing w:after="0" w:line="240" w:lineRule="auto"/>
        <w:rPr>
          <w:rFonts w:ascii="Verdana" w:eastAsia="Verdana" w:hAnsi="Verdana" w:cs="Verdana"/>
        </w:rPr>
      </w:pPr>
    </w:p>
    <w:p w14:paraId="2CA03EB5" w14:textId="77777777" w:rsidR="00817137" w:rsidRDefault="00817137" w:rsidP="00817137">
      <w:pPr>
        <w:spacing w:after="0" w:line="240" w:lineRule="auto"/>
        <w:rPr>
          <w:rFonts w:ascii="Verdana" w:eastAsia="Verdana" w:hAnsi="Verdana" w:cs="Verdana"/>
        </w:rPr>
      </w:pPr>
    </w:p>
    <w:p w14:paraId="7E8F5A68" w14:textId="77777777" w:rsidR="00817137" w:rsidRDefault="00817137" w:rsidP="00817137">
      <w:pPr>
        <w:spacing w:after="0" w:line="240" w:lineRule="auto"/>
        <w:rPr>
          <w:rFonts w:ascii="Verdana" w:eastAsia="Verdana" w:hAnsi="Verdana" w:cs="Verdana"/>
        </w:rPr>
      </w:pPr>
    </w:p>
    <w:p w14:paraId="0EA689CB" w14:textId="77777777" w:rsidR="00817137" w:rsidRDefault="00817137" w:rsidP="00817137">
      <w:pPr>
        <w:spacing w:after="0" w:line="240" w:lineRule="auto"/>
        <w:rPr>
          <w:rFonts w:ascii="Verdana" w:eastAsia="Verdana" w:hAnsi="Verdana" w:cs="Verdana"/>
        </w:rPr>
      </w:pPr>
    </w:p>
    <w:p w14:paraId="0E0070B3" w14:textId="77777777" w:rsidR="00817137" w:rsidRDefault="00817137" w:rsidP="00817137">
      <w:pPr>
        <w:spacing w:after="0" w:line="240" w:lineRule="auto"/>
        <w:rPr>
          <w:rFonts w:ascii="Verdana" w:eastAsia="Verdana" w:hAnsi="Verdana" w:cs="Verdana"/>
        </w:rPr>
      </w:pPr>
    </w:p>
    <w:p w14:paraId="3581FA64" w14:textId="77777777" w:rsidR="00817137" w:rsidRDefault="00817137" w:rsidP="00817137">
      <w:pPr>
        <w:spacing w:after="0" w:line="240" w:lineRule="auto"/>
        <w:rPr>
          <w:rFonts w:ascii="Verdana" w:eastAsia="Verdana" w:hAnsi="Verdana" w:cs="Verdana"/>
        </w:rPr>
      </w:pPr>
    </w:p>
    <w:p w14:paraId="156521DB" w14:textId="77777777" w:rsidR="00817137" w:rsidRDefault="00817137" w:rsidP="00817137">
      <w:pPr>
        <w:spacing w:after="0" w:line="240" w:lineRule="auto"/>
        <w:rPr>
          <w:rFonts w:ascii="Verdana" w:eastAsia="Verdana" w:hAnsi="Verdana" w:cs="Verdana"/>
        </w:rPr>
      </w:pPr>
    </w:p>
    <w:p w14:paraId="112CD2A8" w14:textId="77777777" w:rsidR="00936C09" w:rsidRDefault="00936C09" w:rsidP="00817137">
      <w:pPr>
        <w:spacing w:after="0" w:line="240" w:lineRule="auto"/>
        <w:rPr>
          <w:rFonts w:ascii="Verdana" w:eastAsia="Verdana" w:hAnsi="Verdana" w:cs="Verdana"/>
        </w:rPr>
      </w:pPr>
    </w:p>
    <w:p w14:paraId="592C8596" w14:textId="77777777" w:rsidR="00936C09" w:rsidRDefault="00936C09" w:rsidP="00817137">
      <w:pPr>
        <w:spacing w:after="0" w:line="240" w:lineRule="auto"/>
        <w:rPr>
          <w:rFonts w:ascii="Verdana" w:eastAsia="Verdana" w:hAnsi="Verdana" w:cs="Verdana"/>
        </w:rPr>
      </w:pPr>
    </w:p>
    <w:p w14:paraId="7ECFF49B" w14:textId="7F9A2FE6" w:rsidR="0027006C" w:rsidRDefault="0027006C" w:rsidP="00817137">
      <w:pPr>
        <w:spacing w:after="0" w:line="240" w:lineRule="auto"/>
      </w:pPr>
      <w:r w:rsidRPr="30821638">
        <w:rPr>
          <w:rFonts w:ascii="Verdana" w:eastAsia="Verdana" w:hAnsi="Verdana" w:cs="Verdana"/>
        </w:rPr>
        <w:lastRenderedPageBreak/>
        <w:t xml:space="preserve">Bogotá D.C., </w:t>
      </w:r>
      <w:r w:rsidR="00BD0D67">
        <w:rPr>
          <w:rFonts w:ascii="Verdana" w:eastAsia="Verdana" w:hAnsi="Verdana" w:cs="Verdana"/>
        </w:rPr>
        <w:t xml:space="preserve">3 de septiembre de 2026 </w:t>
      </w:r>
      <w:r>
        <w:tab/>
      </w:r>
      <w:r>
        <w:br/>
      </w:r>
      <w:r>
        <w:tab/>
      </w:r>
    </w:p>
    <w:p w14:paraId="0AE7E8C8" w14:textId="24562113" w:rsidR="0027006C" w:rsidRPr="009037F6" w:rsidRDefault="0027006C" w:rsidP="00817137">
      <w:pPr>
        <w:spacing w:after="0" w:line="240" w:lineRule="auto"/>
        <w:rPr>
          <w:rFonts w:ascii="Verdana" w:hAnsi="Verdana"/>
        </w:rPr>
      </w:pPr>
    </w:p>
    <w:p w14:paraId="7DD9E78A" w14:textId="2BC3138A" w:rsidR="0027006C" w:rsidRPr="009037F6" w:rsidRDefault="00936C09" w:rsidP="00817137">
      <w:pPr>
        <w:spacing w:after="0" w:line="240" w:lineRule="auto"/>
        <w:rPr>
          <w:rFonts w:ascii="Verdana" w:eastAsia="Calibri" w:hAnsi="Verdana" w:cs="Times New Roman"/>
          <w:lang w:val="es-MX"/>
        </w:rPr>
      </w:pPr>
      <w:r w:rsidRPr="00C24B5C">
        <w:rPr>
          <w:noProof/>
        </w:rPr>
        <w:drawing>
          <wp:anchor distT="0" distB="0" distL="114300" distR="114300" simplePos="0" relativeHeight="251658240" behindDoc="0" locked="0" layoutInCell="1" allowOverlap="1" wp14:anchorId="7761248A" wp14:editId="75D16F91">
            <wp:simplePos x="0" y="0"/>
            <wp:positionH relativeFrom="margin">
              <wp:align>right</wp:align>
            </wp:positionH>
            <wp:positionV relativeFrom="paragraph">
              <wp:posOffset>8365</wp:posOffset>
            </wp:positionV>
            <wp:extent cx="2743200" cy="759460"/>
            <wp:effectExtent l="0" t="0" r="0" b="2540"/>
            <wp:wrapSquare wrapText="bothSides"/>
            <wp:docPr id="1437476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759460"/>
                    </a:xfrm>
                    <a:prstGeom prst="rect">
                      <a:avLst/>
                    </a:prstGeom>
                    <a:noFill/>
                    <a:ln>
                      <a:noFill/>
                    </a:ln>
                  </pic:spPr>
                </pic:pic>
              </a:graphicData>
            </a:graphic>
          </wp:anchor>
        </w:drawing>
      </w:r>
      <w:r w:rsidR="0027006C" w:rsidRPr="009037F6">
        <w:rPr>
          <w:rFonts w:ascii="Verdana" w:eastAsia="Calibri" w:hAnsi="Verdana" w:cs="Times New Roman"/>
          <w:lang w:val="es-MX"/>
        </w:rPr>
        <w:t>Señor</w:t>
      </w:r>
    </w:p>
    <w:p w14:paraId="2B94A3C0" w14:textId="77777777" w:rsidR="0027006C" w:rsidRPr="00523B8C" w:rsidRDefault="0027006C" w:rsidP="00817137">
      <w:pPr>
        <w:spacing w:after="0" w:line="240" w:lineRule="auto"/>
        <w:rPr>
          <w:rFonts w:ascii="Verdana" w:eastAsia="Calibri" w:hAnsi="Verdana" w:cs="Times New Roman"/>
          <w:b/>
          <w:bCs/>
        </w:rPr>
      </w:pPr>
      <w:r w:rsidRPr="00523B8C">
        <w:rPr>
          <w:rFonts w:ascii="Verdana" w:eastAsia="Calibri" w:hAnsi="Verdana" w:cs="Times New Roman"/>
          <w:b/>
          <w:bCs/>
        </w:rPr>
        <w:t>Ciudadano</w:t>
      </w:r>
    </w:p>
    <w:p w14:paraId="005AD818" w14:textId="4720B47D" w:rsidR="0027006C" w:rsidRDefault="00936C09" w:rsidP="00817137">
      <w:pPr>
        <w:spacing w:after="0" w:line="240" w:lineRule="auto"/>
        <w:rPr>
          <w:rFonts w:ascii="Verdana" w:eastAsia="Calibri" w:hAnsi="Verdana" w:cs="Times New Roman"/>
        </w:rPr>
      </w:pPr>
      <w:r>
        <w:rPr>
          <w:rFonts w:ascii="Verdana" w:eastAsia="Calibri" w:hAnsi="Verdana" w:cs="Times New Roman"/>
        </w:rPr>
        <w:t>Ciudad</w:t>
      </w:r>
    </w:p>
    <w:p w14:paraId="3820ADF1" w14:textId="77777777" w:rsidR="0027006C" w:rsidRDefault="0027006C" w:rsidP="00817137">
      <w:pPr>
        <w:spacing w:after="0" w:line="240" w:lineRule="auto"/>
        <w:rPr>
          <w:rFonts w:ascii="Verdana" w:eastAsia="Calibri" w:hAnsi="Verdana" w:cs="Times New Roman"/>
        </w:rPr>
      </w:pPr>
    </w:p>
    <w:p w14:paraId="58BDCA3F" w14:textId="77777777" w:rsidR="0027006C" w:rsidRPr="009037F6" w:rsidRDefault="0027006C" w:rsidP="00817137">
      <w:pPr>
        <w:spacing w:after="0" w:line="240" w:lineRule="auto"/>
        <w:rPr>
          <w:rFonts w:ascii="Verdana" w:eastAsia="Calibri" w:hAnsi="Verdana" w:cs="Times New Roman"/>
        </w:rPr>
      </w:pPr>
    </w:p>
    <w:p w14:paraId="0404B6FF" w14:textId="00043908" w:rsidR="0027006C" w:rsidRPr="009037F6" w:rsidRDefault="0027006C" w:rsidP="00817137">
      <w:pPr>
        <w:spacing w:after="0" w:line="240" w:lineRule="auto"/>
        <w:rPr>
          <w:rFonts w:ascii="Verdana" w:eastAsia="Calibri" w:hAnsi="Verdana" w:cs="Times New Roman"/>
          <w:b/>
          <w:bCs/>
          <w:lang w:val="es-ES"/>
        </w:rPr>
      </w:pPr>
      <w:r w:rsidRPr="009037F6">
        <w:rPr>
          <w:rFonts w:ascii="Verdana" w:eastAsia="Calibri" w:hAnsi="Verdana" w:cs="Times New Roman"/>
          <w:b/>
          <w:bCs/>
          <w:lang w:val="es-ES"/>
        </w:rPr>
        <w:t xml:space="preserve">                                    Concepto C</w:t>
      </w:r>
      <w:r w:rsidR="00936C09">
        <w:rPr>
          <w:rFonts w:ascii="Verdana" w:eastAsia="Calibri" w:hAnsi="Verdana" w:cs="Times New Roman"/>
          <w:b/>
          <w:bCs/>
          <w:lang w:val="es-ES"/>
        </w:rPr>
        <w:t>-</w:t>
      </w:r>
      <w:r>
        <w:rPr>
          <w:rFonts w:ascii="Verdana" w:eastAsia="Calibri" w:hAnsi="Verdana" w:cs="Times New Roman"/>
          <w:b/>
          <w:bCs/>
          <w:lang w:val="es-ES"/>
        </w:rPr>
        <w:t xml:space="preserve">1165 de 2026 </w:t>
      </w:r>
    </w:p>
    <w:p w14:paraId="43ECFB86" w14:textId="77777777" w:rsidR="0027006C" w:rsidRPr="009037F6" w:rsidRDefault="0027006C" w:rsidP="00817137">
      <w:pPr>
        <w:spacing w:after="0" w:line="240"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27006C" w:rsidRPr="009037F6" w14:paraId="754F9954" w14:textId="77777777" w:rsidTr="00B60609">
        <w:trPr>
          <w:trHeight w:val="645"/>
        </w:trPr>
        <w:tc>
          <w:tcPr>
            <w:tcW w:w="2685" w:type="dxa"/>
            <w:hideMark/>
          </w:tcPr>
          <w:p w14:paraId="757A27EE" w14:textId="77777777" w:rsidR="0027006C" w:rsidRPr="009037F6" w:rsidRDefault="0027006C" w:rsidP="00817137">
            <w:pPr>
              <w:rPr>
                <w:rFonts w:ascii="Verdana" w:hAnsi="Verdana"/>
                <w:b/>
                <w:bCs/>
                <w:lang w:val="es-ES_tradnl"/>
              </w:rPr>
            </w:pPr>
            <w:r w:rsidRPr="009037F6">
              <w:rPr>
                <w:rFonts w:ascii="Verdana" w:hAnsi="Verdana"/>
                <w:b/>
                <w:bCs/>
                <w:lang w:val="es-ES_tradnl"/>
              </w:rPr>
              <w:t xml:space="preserve">Temas:                  </w:t>
            </w:r>
          </w:p>
        </w:tc>
        <w:tc>
          <w:tcPr>
            <w:tcW w:w="6241" w:type="dxa"/>
            <w:hideMark/>
          </w:tcPr>
          <w:p w14:paraId="6A5AD702" w14:textId="5407EE7B" w:rsidR="0027006C" w:rsidRPr="00F44D3B" w:rsidRDefault="0027006C" w:rsidP="00817137">
            <w:pPr>
              <w:snapToGrid w:val="0"/>
              <w:contextualSpacing/>
              <w:jc w:val="both"/>
              <w:rPr>
                <w:rFonts w:ascii="Verdana" w:hAnsi="Verdana" w:cs="Arial"/>
                <w:bCs/>
                <w:lang w:val="es-ES" w:eastAsia="es-ES"/>
              </w:rPr>
            </w:pPr>
            <w:r w:rsidRPr="0045562D">
              <w:rPr>
                <w:rFonts w:ascii="Verdana" w:hAnsi="Verdana" w:cs="Arial"/>
                <w:lang w:val="es-ES" w:eastAsia="es-ES"/>
              </w:rPr>
              <w:t>SUSPENSIÓN – Concepto – Circunstancias – Plazo contractual / SUSPENSIÓN – Metodología – Condición – Término – Reinicio automático</w:t>
            </w:r>
            <w:r w:rsidRPr="0045562D">
              <w:rPr>
                <w:rFonts w:ascii="Verdana" w:hAnsi="Verdana" w:cs="Arial"/>
                <w:bCs/>
                <w:lang w:val="es-ES" w:eastAsia="es-ES"/>
              </w:rPr>
              <w:t xml:space="preserve"> / SUSPENSIÓN – Reinicio – Autonomía de la voluntad / </w:t>
            </w:r>
            <w:r w:rsidRPr="00ED61C5">
              <w:rPr>
                <w:rFonts w:ascii="Verdana" w:hAnsi="Verdana" w:cs="Arial"/>
                <w:bCs/>
                <w:lang w:val="es-ES" w:eastAsia="es-ES"/>
              </w:rPr>
              <w:t xml:space="preserve">MODIFICACIÓN DEL CONTRATO – Adición – Prórroga </w:t>
            </w:r>
            <w:r>
              <w:rPr>
                <w:rFonts w:ascii="Verdana" w:hAnsi="Verdana" w:cs="Arial"/>
                <w:bCs/>
                <w:lang w:val="es-ES" w:eastAsia="es-ES"/>
              </w:rPr>
              <w:t xml:space="preserve">/ </w:t>
            </w:r>
            <w:r w:rsidRPr="00ED61C5">
              <w:rPr>
                <w:rFonts w:ascii="Verdana" w:hAnsi="Verdana" w:cs="Arial"/>
                <w:bCs/>
                <w:lang w:val="es-ES" w:eastAsia="es-ES"/>
              </w:rPr>
              <w:t xml:space="preserve">DECRETO 1082 DE 2015 – Artículo 2.2.1.2.3.1.18 </w:t>
            </w:r>
            <w:r>
              <w:rPr>
                <w:rFonts w:ascii="Verdana" w:hAnsi="Verdana" w:cs="Arial"/>
                <w:bCs/>
                <w:lang w:val="es-ES" w:eastAsia="es-ES"/>
              </w:rPr>
              <w:t xml:space="preserve">/ </w:t>
            </w:r>
            <w:r w:rsidRPr="0089244B">
              <w:rPr>
                <w:rFonts w:ascii="Verdana" w:hAnsi="Verdana" w:cs="Arial"/>
                <w:bCs/>
                <w:lang w:val="es-ES" w:eastAsia="es-ES"/>
              </w:rPr>
              <w:t>MODIFICACIÓN DEL CONTRATO – Suspensión</w:t>
            </w:r>
            <w:r>
              <w:rPr>
                <w:rFonts w:ascii="Verdana" w:hAnsi="Verdana" w:cs="Arial"/>
                <w:bCs/>
                <w:lang w:val="es-ES" w:eastAsia="es-ES"/>
              </w:rPr>
              <w:t xml:space="preserve"> / </w:t>
            </w:r>
            <w:r w:rsidRPr="008D2056">
              <w:rPr>
                <w:rFonts w:ascii="Verdana" w:hAnsi="Verdana" w:cs="Arial"/>
                <w:bCs/>
                <w:lang w:eastAsia="es-ES"/>
              </w:rPr>
              <w:t xml:space="preserve">TERMINACIÓN UNILATERAL – Artículo 17 de la Ley 80 de 1993 – Causal 1 – Exigencias del servicio público – Procedencia – Cláusulas excepcionales – Artículo 14 de la Ley 80 de 1993 </w:t>
            </w:r>
            <w:r>
              <w:rPr>
                <w:rFonts w:ascii="Verdana" w:hAnsi="Verdana" w:cs="Arial"/>
                <w:bCs/>
                <w:lang w:eastAsia="es-ES"/>
              </w:rPr>
              <w:t xml:space="preserve">/ </w:t>
            </w:r>
            <w:r w:rsidRPr="008D2056">
              <w:rPr>
                <w:rFonts w:ascii="Verdana" w:hAnsi="Verdana" w:cs="Arial"/>
                <w:bCs/>
                <w:lang w:eastAsia="es-ES"/>
              </w:rPr>
              <w:t>CADUCIDAD – Artículo 18 de la Ley 80 de 1993 – Improcedencia automática – Incumplimiento grave</w:t>
            </w:r>
            <w:r>
              <w:rPr>
                <w:rFonts w:ascii="Verdana" w:hAnsi="Verdana" w:cs="Arial"/>
                <w:bCs/>
                <w:lang w:eastAsia="es-ES"/>
              </w:rPr>
              <w:t xml:space="preserve"> / TERMINACIÓN UNILATERAL – Artículo 45 – Improcedente </w:t>
            </w:r>
            <w:r w:rsidRPr="0045562D">
              <w:rPr>
                <w:rFonts w:ascii="Verdana" w:hAnsi="Verdana" w:cs="Arial"/>
                <w:bCs/>
                <w:lang w:val="es-ES" w:eastAsia="es-ES"/>
              </w:rPr>
              <w:t xml:space="preserve">/ DECLARATORIA DE INCUMPLIMIENTO – Procedimiento Administrativo Sancionatorio – Artículo 86 - Etapas / </w:t>
            </w:r>
            <w:r w:rsidRPr="0045562D">
              <w:rPr>
                <w:rFonts w:ascii="Verdana" w:hAnsi="Verdana" w:cs="Arial"/>
                <w:bCs/>
                <w:lang w:val="es-ES_tradnl" w:eastAsia="es-ES"/>
              </w:rPr>
              <w:t>SUSPENSIÓN DEL CONTRATO – Procedimiento administrativo sancionatorio – Procedencia</w:t>
            </w:r>
            <w:r>
              <w:rPr>
                <w:rFonts w:ascii="Verdana" w:hAnsi="Verdana" w:cs="Arial"/>
                <w:bCs/>
                <w:lang w:val="es-ES_tradnl" w:eastAsia="es-ES"/>
              </w:rPr>
              <w:t xml:space="preserve"> / LIQUIDACIÓN – Noción – Alcance / LIQUIDACIÓN – Bilateral – Unilateral – Judicial / LIQUIDACIÓN – Deber – Extensión de las garantías – Artículo 60 de la Ley 80 de 1993</w:t>
            </w:r>
          </w:p>
          <w:p w14:paraId="39F76A2D" w14:textId="77777777" w:rsidR="0027006C" w:rsidRDefault="0027006C" w:rsidP="00817137">
            <w:pPr>
              <w:snapToGrid w:val="0"/>
              <w:contextualSpacing/>
              <w:jc w:val="both"/>
              <w:rPr>
                <w:rFonts w:ascii="Verdana" w:hAnsi="Verdana" w:cs="Arial"/>
                <w:bCs/>
                <w:lang w:val="es-ES_tradnl" w:eastAsia="es-ES"/>
              </w:rPr>
            </w:pPr>
          </w:p>
          <w:p w14:paraId="63B12340" w14:textId="77777777" w:rsidR="0027006C" w:rsidRPr="009037F6" w:rsidRDefault="0027006C" w:rsidP="00817137">
            <w:pPr>
              <w:snapToGrid w:val="0"/>
              <w:contextualSpacing/>
              <w:jc w:val="both"/>
              <w:rPr>
                <w:rFonts w:ascii="Verdana" w:hAnsi="Verdana" w:cs="Arial"/>
                <w:bCs/>
                <w:lang w:val="es-ES_tradnl" w:eastAsia="es-ES"/>
              </w:rPr>
            </w:pPr>
          </w:p>
        </w:tc>
        <w:tc>
          <w:tcPr>
            <w:tcW w:w="6237" w:type="dxa"/>
          </w:tcPr>
          <w:p w14:paraId="1DA24577" w14:textId="77777777" w:rsidR="0027006C" w:rsidRPr="009037F6" w:rsidRDefault="0027006C" w:rsidP="00817137">
            <w:pPr>
              <w:rPr>
                <w:rFonts w:ascii="Verdana" w:hAnsi="Verdana"/>
                <w:lang w:val="es-ES"/>
              </w:rPr>
            </w:pPr>
          </w:p>
        </w:tc>
      </w:tr>
      <w:tr w:rsidR="0027006C" w:rsidRPr="009037F6" w14:paraId="03C11165" w14:textId="77777777" w:rsidTr="00B60609">
        <w:tc>
          <w:tcPr>
            <w:tcW w:w="2685" w:type="dxa"/>
          </w:tcPr>
          <w:p w14:paraId="09BA2713" w14:textId="77777777" w:rsidR="0027006C" w:rsidRPr="009037F6" w:rsidRDefault="0027006C" w:rsidP="00817137">
            <w:pPr>
              <w:rPr>
                <w:rFonts w:ascii="Verdana" w:hAnsi="Verdana"/>
                <w:b/>
                <w:bCs/>
                <w:lang w:val="es-ES_tradnl"/>
              </w:rPr>
            </w:pPr>
            <w:r w:rsidRPr="009037F6">
              <w:rPr>
                <w:rFonts w:ascii="Verdana" w:hAnsi="Verdana"/>
                <w:b/>
                <w:bCs/>
                <w:lang w:val="es-ES_tradnl"/>
              </w:rPr>
              <w:t xml:space="preserve">Radicación:               </w:t>
            </w:r>
          </w:p>
        </w:tc>
        <w:tc>
          <w:tcPr>
            <w:tcW w:w="6241" w:type="dxa"/>
          </w:tcPr>
          <w:p w14:paraId="4579CB9C" w14:textId="77777777" w:rsidR="0027006C" w:rsidRPr="009037F6" w:rsidRDefault="0027006C" w:rsidP="00817137">
            <w:pPr>
              <w:jc w:val="both"/>
              <w:rPr>
                <w:rFonts w:ascii="Verdana" w:hAnsi="Verdana"/>
                <w:lang w:val="es-ES_tradnl"/>
              </w:rPr>
            </w:pPr>
            <w:r w:rsidRPr="009037F6">
              <w:rPr>
                <w:rFonts w:ascii="Verdana" w:hAnsi="Verdana"/>
                <w:lang w:val="es-ES_tradnl"/>
              </w:rPr>
              <w:t xml:space="preserve">Respuesta a consulta con radicados No </w:t>
            </w:r>
            <w:r w:rsidRPr="00523B8C">
              <w:rPr>
                <w:rFonts w:ascii="Verdana" w:hAnsi="Verdana"/>
              </w:rPr>
              <w:t>1_2026_07_22_009646</w:t>
            </w:r>
          </w:p>
          <w:p w14:paraId="6C84F2FD" w14:textId="77777777" w:rsidR="0027006C" w:rsidRPr="009037F6" w:rsidRDefault="0027006C" w:rsidP="00817137">
            <w:pPr>
              <w:jc w:val="both"/>
              <w:rPr>
                <w:rFonts w:ascii="Verdana" w:hAnsi="Verdana"/>
              </w:rPr>
            </w:pPr>
          </w:p>
          <w:p w14:paraId="436AD383" w14:textId="77777777" w:rsidR="0027006C" w:rsidRPr="009037F6" w:rsidRDefault="0027006C" w:rsidP="00817137">
            <w:pPr>
              <w:jc w:val="both"/>
              <w:rPr>
                <w:rFonts w:ascii="Verdana" w:hAnsi="Verdana"/>
              </w:rPr>
            </w:pPr>
          </w:p>
        </w:tc>
        <w:tc>
          <w:tcPr>
            <w:tcW w:w="6237" w:type="dxa"/>
          </w:tcPr>
          <w:p w14:paraId="74412F50" w14:textId="77777777" w:rsidR="0027006C" w:rsidRPr="009037F6" w:rsidRDefault="0027006C" w:rsidP="00817137">
            <w:pPr>
              <w:rPr>
                <w:rFonts w:ascii="Verdana" w:hAnsi="Verdana"/>
              </w:rPr>
            </w:pPr>
          </w:p>
        </w:tc>
      </w:tr>
    </w:tbl>
    <w:p w14:paraId="20C4F096" w14:textId="77777777" w:rsidR="0027006C" w:rsidRPr="009037F6" w:rsidRDefault="0027006C" w:rsidP="00817137">
      <w:pPr>
        <w:spacing w:after="0" w:line="240" w:lineRule="auto"/>
        <w:rPr>
          <w:rFonts w:ascii="Verdana" w:eastAsia="Calibri" w:hAnsi="Verdana" w:cs="Times New Roman"/>
          <w:lang w:val="es-ES"/>
        </w:rPr>
      </w:pPr>
      <w:r w:rsidRPr="009037F6">
        <w:rPr>
          <w:rFonts w:ascii="Verdana" w:eastAsia="Calibri" w:hAnsi="Verdana" w:cs="Times New Roman"/>
          <w:lang w:val="es-ES"/>
        </w:rPr>
        <w:t>Estimado</w:t>
      </w:r>
      <w:r>
        <w:rPr>
          <w:rFonts w:ascii="Verdana" w:eastAsia="Calibri" w:hAnsi="Verdana" w:cs="Times New Roman"/>
          <w:lang w:val="es-ES"/>
        </w:rPr>
        <w:t xml:space="preserve"> Ciudadano</w:t>
      </w:r>
      <w:r w:rsidRPr="009037F6">
        <w:rPr>
          <w:rFonts w:ascii="Verdana" w:eastAsia="Calibri" w:hAnsi="Verdana" w:cs="Times New Roman"/>
          <w:lang w:val="es-ES"/>
        </w:rPr>
        <w:t xml:space="preserve">: </w:t>
      </w:r>
    </w:p>
    <w:p w14:paraId="3E4E7A5E" w14:textId="77777777" w:rsidR="0027006C" w:rsidRPr="009037F6" w:rsidRDefault="0027006C" w:rsidP="00817137">
      <w:pPr>
        <w:spacing w:after="0" w:line="240" w:lineRule="auto"/>
        <w:rPr>
          <w:rFonts w:ascii="Verdana" w:eastAsia="Calibri" w:hAnsi="Verdana" w:cs="Times New Roman"/>
          <w:lang w:val="es-ES"/>
        </w:rPr>
      </w:pPr>
    </w:p>
    <w:p w14:paraId="63B933C0" w14:textId="77777777" w:rsidR="0027006C" w:rsidRPr="009037F6" w:rsidRDefault="0027006C" w:rsidP="00817137">
      <w:pPr>
        <w:spacing w:after="0" w:line="240"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w:t>
      </w:r>
      <w:r w:rsidRPr="009037F6">
        <w:rPr>
          <w:rFonts w:ascii="Verdana" w:eastAsia="Calibri" w:hAnsi="Verdana" w:cs="Times New Roman"/>
          <w:bCs/>
          <w:lang w:bidi="es-ES"/>
        </w:rPr>
        <w:lastRenderedPageBreak/>
        <w:t xml:space="preserve">contempladas en la Ley 1755 de 2015, así como lo establecido en la Resolución </w:t>
      </w:r>
      <w:proofErr w:type="spellStart"/>
      <w:r w:rsidRPr="009037F6">
        <w:rPr>
          <w:rFonts w:ascii="Verdana" w:eastAsia="Calibri" w:hAnsi="Verdana" w:cs="Times New Roman"/>
          <w:bCs/>
          <w:lang w:bidi="es-ES"/>
        </w:rPr>
        <w:t>N°</w:t>
      </w:r>
      <w:proofErr w:type="spellEnd"/>
      <w:r w:rsidRPr="009037F6">
        <w:rPr>
          <w:rFonts w:ascii="Verdana" w:eastAsia="Calibri" w:hAnsi="Verdana" w:cs="Times New Roman"/>
          <w:bCs/>
          <w:lang w:bidi="es-ES"/>
        </w:rPr>
        <w:t xml:space="preserve"> 469 del 2025 expedida por esta Agencia, </w:t>
      </w:r>
      <w:r w:rsidRPr="009037F6">
        <w:rPr>
          <w:rFonts w:ascii="Verdana" w:eastAsia="Calibri" w:hAnsi="Verdana" w:cs="Times New Roman"/>
          <w:bCs/>
          <w:lang w:val="es-ES" w:bidi="es-ES"/>
        </w:rPr>
        <w:t>responde la solicitud de consulta del</w:t>
      </w:r>
      <w:r>
        <w:rPr>
          <w:rFonts w:ascii="Verdana" w:eastAsia="Calibri" w:hAnsi="Verdana" w:cs="Times New Roman"/>
          <w:bCs/>
          <w:lang w:val="es-ES" w:bidi="es-ES"/>
        </w:rPr>
        <w:t xml:space="preserve"> 22 de julio de 2026</w:t>
      </w:r>
      <w:r w:rsidRPr="009037F6">
        <w:rPr>
          <w:rFonts w:ascii="Verdana" w:eastAsia="Calibri" w:hAnsi="Verdana" w:cs="Times New Roman"/>
          <w:bCs/>
          <w:lang w:val="es-ES" w:bidi="es-ES"/>
        </w:rPr>
        <w:t xml:space="preserve">, en la cual manifiesta: </w:t>
      </w:r>
    </w:p>
    <w:p w14:paraId="53033127" w14:textId="77777777" w:rsidR="0027006C" w:rsidRPr="009037F6" w:rsidRDefault="0027006C" w:rsidP="00817137">
      <w:pPr>
        <w:spacing w:after="0" w:line="240" w:lineRule="auto"/>
        <w:ind w:right="709"/>
        <w:jc w:val="both"/>
        <w:rPr>
          <w:rFonts w:ascii="Verdana" w:eastAsia="Calibri" w:hAnsi="Verdana" w:cs="Times New Roman"/>
          <w:bCs/>
          <w:sz w:val="20"/>
          <w:szCs w:val="20"/>
          <w:lang w:bidi="es-ES"/>
        </w:rPr>
      </w:pPr>
    </w:p>
    <w:p w14:paraId="3C818E4B" w14:textId="77777777" w:rsidR="0027006C" w:rsidRPr="00523B8C" w:rsidRDefault="0027006C" w:rsidP="00817137">
      <w:pPr>
        <w:spacing w:after="0" w:line="240" w:lineRule="auto"/>
        <w:ind w:left="709" w:right="709"/>
        <w:jc w:val="both"/>
        <w:rPr>
          <w:rFonts w:ascii="Verdana" w:eastAsia="Calibri" w:hAnsi="Verdana" w:cs="Times New Roman"/>
          <w:bCs/>
          <w:sz w:val="20"/>
          <w:szCs w:val="20"/>
          <w:lang w:bidi="es-ES"/>
        </w:rPr>
      </w:pPr>
      <w:r w:rsidRPr="00523B8C">
        <w:rPr>
          <w:rFonts w:ascii="Verdana" w:eastAsia="Calibri" w:hAnsi="Verdana" w:cs="Times New Roman"/>
          <w:b/>
          <w:bCs/>
          <w:sz w:val="20"/>
          <w:szCs w:val="20"/>
          <w:lang w:bidi="es-ES"/>
        </w:rPr>
        <w:t xml:space="preserve">1. </w:t>
      </w:r>
      <w:r w:rsidRPr="00523B8C">
        <w:rPr>
          <w:rFonts w:ascii="Verdana" w:eastAsia="Calibri" w:hAnsi="Verdana" w:cs="Times New Roman"/>
          <w:bCs/>
          <w:sz w:val="20"/>
          <w:szCs w:val="20"/>
          <w:lang w:bidi="es-ES"/>
        </w:rPr>
        <w:t>¿Cuál es el régimen jurídico aplicable cuando la garantía de cumplimiento de un</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contrato estatal ha vencido como consecuencia de una suspensión indefinida de la</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ejecución que no fue oportunamente comunicada a la compañía aseguradora?</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¿Subsiste la obligación de cobertura del amparo a pesar de su vencimiento formal,</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o debe entenderse extinguida la garantía?</w:t>
      </w:r>
    </w:p>
    <w:p w14:paraId="513CA704" w14:textId="77777777" w:rsidR="0027006C" w:rsidRPr="00523B8C" w:rsidRDefault="0027006C" w:rsidP="00817137">
      <w:pPr>
        <w:spacing w:after="0" w:line="240" w:lineRule="auto"/>
        <w:ind w:left="709" w:right="709"/>
        <w:jc w:val="both"/>
        <w:rPr>
          <w:rFonts w:ascii="Verdana" w:eastAsia="Calibri" w:hAnsi="Verdana" w:cs="Times New Roman"/>
          <w:bCs/>
          <w:sz w:val="20"/>
          <w:szCs w:val="20"/>
          <w:lang w:bidi="es-ES"/>
        </w:rPr>
      </w:pPr>
      <w:r w:rsidRPr="00523B8C">
        <w:rPr>
          <w:rFonts w:ascii="Verdana" w:eastAsia="Calibri" w:hAnsi="Verdana" w:cs="Times New Roman"/>
          <w:b/>
          <w:bCs/>
          <w:sz w:val="20"/>
          <w:szCs w:val="20"/>
          <w:lang w:bidi="es-ES"/>
        </w:rPr>
        <w:t xml:space="preserve">2. </w:t>
      </w:r>
      <w:r w:rsidRPr="00523B8C">
        <w:rPr>
          <w:rFonts w:ascii="Verdana" w:eastAsia="Calibri" w:hAnsi="Verdana" w:cs="Times New Roman"/>
          <w:bCs/>
          <w:sz w:val="20"/>
          <w:szCs w:val="20"/>
          <w:lang w:bidi="es-ES"/>
        </w:rPr>
        <w:t>¿La suspensión indefinida de un contrato estatal configura una modificación o</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agravación del riesgo asegurado en los términos del artículo 1060 del Código de</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Comercio, que deba ser comunicada al asegurador? Y, de ser así, ¿cuáles son las</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consecuencias jurídicas de la omisión de dicha comunicación frente a la eficacia y</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exigibilidad de la garantía de cumplimiento?</w:t>
      </w:r>
    </w:p>
    <w:p w14:paraId="1EE02124" w14:textId="77777777" w:rsidR="0027006C" w:rsidRPr="00523B8C" w:rsidRDefault="0027006C" w:rsidP="00817137">
      <w:pPr>
        <w:spacing w:after="0" w:line="240" w:lineRule="auto"/>
        <w:ind w:left="709" w:right="709"/>
        <w:jc w:val="both"/>
        <w:rPr>
          <w:rFonts w:ascii="Verdana" w:eastAsia="Calibri" w:hAnsi="Verdana" w:cs="Times New Roman"/>
          <w:bCs/>
          <w:sz w:val="20"/>
          <w:szCs w:val="20"/>
          <w:lang w:bidi="es-ES"/>
        </w:rPr>
      </w:pPr>
      <w:r w:rsidRPr="00523B8C">
        <w:rPr>
          <w:rFonts w:ascii="Verdana" w:eastAsia="Calibri" w:hAnsi="Verdana" w:cs="Times New Roman"/>
          <w:b/>
          <w:bCs/>
          <w:sz w:val="20"/>
          <w:szCs w:val="20"/>
          <w:lang w:bidi="es-ES"/>
        </w:rPr>
        <w:t xml:space="preserve">3. </w:t>
      </w:r>
      <w:r w:rsidRPr="00523B8C">
        <w:rPr>
          <w:rFonts w:ascii="Verdana" w:eastAsia="Calibri" w:hAnsi="Verdana" w:cs="Times New Roman"/>
          <w:bCs/>
          <w:sz w:val="20"/>
          <w:szCs w:val="20"/>
          <w:lang w:bidi="es-ES"/>
        </w:rPr>
        <w:t>¿Puede la entidad estatal adelantar válidamente el proceso de terminación</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anticipada de un contrato, con fundamento en la causal de imposibilidad de</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ejecución o en el acuerdo de voluntades, sin que el amparo de cumplimiento se</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encuentre vigente al momento de dicha actuación? ¿Afecta tal circunstancia la</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legalidad del acto administrativo que declare la terminación?</w:t>
      </w:r>
    </w:p>
    <w:p w14:paraId="17643002" w14:textId="77777777" w:rsidR="0027006C" w:rsidRPr="00523B8C" w:rsidRDefault="0027006C" w:rsidP="00817137">
      <w:pPr>
        <w:spacing w:after="0" w:line="240" w:lineRule="auto"/>
        <w:ind w:left="709" w:right="709"/>
        <w:jc w:val="both"/>
        <w:rPr>
          <w:rFonts w:ascii="Verdana" w:eastAsia="Calibri" w:hAnsi="Verdana" w:cs="Times New Roman"/>
          <w:bCs/>
          <w:sz w:val="20"/>
          <w:szCs w:val="20"/>
          <w:lang w:bidi="es-ES"/>
        </w:rPr>
      </w:pPr>
      <w:r w:rsidRPr="00523B8C">
        <w:rPr>
          <w:rFonts w:ascii="Verdana" w:eastAsia="Calibri" w:hAnsi="Verdana" w:cs="Times New Roman"/>
          <w:b/>
          <w:bCs/>
          <w:sz w:val="20"/>
          <w:szCs w:val="20"/>
          <w:lang w:bidi="es-ES"/>
        </w:rPr>
        <w:t xml:space="preserve">4. </w:t>
      </w:r>
      <w:r w:rsidRPr="00523B8C">
        <w:rPr>
          <w:rFonts w:ascii="Verdana" w:eastAsia="Calibri" w:hAnsi="Verdana" w:cs="Times New Roman"/>
          <w:bCs/>
          <w:sz w:val="20"/>
          <w:szCs w:val="20"/>
          <w:lang w:bidi="es-ES"/>
        </w:rPr>
        <w:t>¿Es jurídicamente posible adelantar la liquidación bilateral o unilateral de un</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contrato estatal sin que la garantía de cumplimiento esté vigente, cuando la</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compañía aseguradora se niega expresamente a renovar, rehabilitar o expedir una</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 xml:space="preserve">nueva póliza? </w:t>
      </w:r>
      <w:proofErr w:type="gramStart"/>
      <w:r w:rsidRPr="00523B8C">
        <w:rPr>
          <w:rFonts w:ascii="Verdana" w:eastAsia="Calibri" w:hAnsi="Verdana" w:cs="Times New Roman"/>
          <w:bCs/>
          <w:sz w:val="20"/>
          <w:szCs w:val="20"/>
          <w:lang w:bidi="es-ES"/>
        </w:rPr>
        <w:t>¿Existen mecanismos alternativos en el ordenamiento jurídico que</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permitan a la entidad suplir este requisito o proceder en cualquier caso a la</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liquidación, sin incurrir en infracción de los artículos 60 de la Ley 80 de 1993 y</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2.</w:t>
      </w:r>
      <w:proofErr w:type="gramEnd"/>
      <w:r w:rsidRPr="00523B8C">
        <w:rPr>
          <w:rFonts w:ascii="Verdana" w:eastAsia="Calibri" w:hAnsi="Verdana" w:cs="Times New Roman"/>
          <w:bCs/>
          <w:sz w:val="20"/>
          <w:szCs w:val="20"/>
          <w:lang w:bidi="es-ES"/>
        </w:rPr>
        <w:t>2.1.2.3.1.3 del Decreto 1082 de 2015?</w:t>
      </w:r>
    </w:p>
    <w:p w14:paraId="79926C9A" w14:textId="77777777" w:rsidR="0027006C" w:rsidRPr="00523B8C" w:rsidRDefault="0027006C" w:rsidP="00817137">
      <w:pPr>
        <w:spacing w:after="0" w:line="240" w:lineRule="auto"/>
        <w:ind w:left="709" w:right="709"/>
        <w:jc w:val="both"/>
        <w:rPr>
          <w:rFonts w:ascii="Verdana" w:eastAsia="Calibri" w:hAnsi="Verdana" w:cs="Times New Roman"/>
          <w:bCs/>
          <w:sz w:val="20"/>
          <w:szCs w:val="20"/>
          <w:lang w:bidi="es-ES"/>
        </w:rPr>
      </w:pPr>
      <w:r w:rsidRPr="00523B8C">
        <w:rPr>
          <w:rFonts w:ascii="Verdana" w:eastAsia="Calibri" w:hAnsi="Verdana" w:cs="Times New Roman"/>
          <w:b/>
          <w:bCs/>
          <w:sz w:val="20"/>
          <w:szCs w:val="20"/>
          <w:lang w:bidi="es-ES"/>
        </w:rPr>
        <w:t xml:space="preserve">5. </w:t>
      </w:r>
      <w:r w:rsidRPr="00523B8C">
        <w:rPr>
          <w:rFonts w:ascii="Verdana" w:eastAsia="Calibri" w:hAnsi="Verdana" w:cs="Times New Roman"/>
          <w:bCs/>
          <w:sz w:val="20"/>
          <w:szCs w:val="20"/>
          <w:lang w:bidi="es-ES"/>
        </w:rPr>
        <w:t>¿Qué acciones administrativas y contractuales debe adelantar la entidad estatal</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frente al contratista que omitió la prórroga de la garantía de cumplimiento durante el</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período de suspensión, con miras a exigir el cumplimiento de dicha obligación o a</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imponerle las consecuencias del incumplimiento, de conformidad con el artículo 86</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de la Ley 1474 de 2011 y el artículo 18 de la Ley 80 de 1993?</w:t>
      </w:r>
    </w:p>
    <w:p w14:paraId="015D52C6" w14:textId="77777777" w:rsidR="0027006C" w:rsidRDefault="0027006C" w:rsidP="00817137">
      <w:pPr>
        <w:spacing w:after="0" w:line="240" w:lineRule="auto"/>
        <w:ind w:left="709" w:right="709"/>
        <w:jc w:val="both"/>
        <w:rPr>
          <w:rFonts w:ascii="Verdana" w:eastAsia="Calibri" w:hAnsi="Verdana" w:cs="Times New Roman"/>
          <w:bCs/>
          <w:sz w:val="20"/>
          <w:szCs w:val="20"/>
          <w:lang w:bidi="es-ES"/>
        </w:rPr>
      </w:pPr>
      <w:r w:rsidRPr="00523B8C">
        <w:rPr>
          <w:rFonts w:ascii="Verdana" w:eastAsia="Calibri" w:hAnsi="Verdana" w:cs="Times New Roman"/>
          <w:b/>
          <w:bCs/>
          <w:sz w:val="20"/>
          <w:szCs w:val="20"/>
          <w:lang w:bidi="es-ES"/>
        </w:rPr>
        <w:t xml:space="preserve">6. </w:t>
      </w:r>
      <w:r w:rsidRPr="00523B8C">
        <w:rPr>
          <w:rFonts w:ascii="Verdana" w:eastAsia="Calibri" w:hAnsi="Verdana" w:cs="Times New Roman"/>
          <w:bCs/>
          <w:sz w:val="20"/>
          <w:szCs w:val="20"/>
          <w:lang w:bidi="es-ES"/>
        </w:rPr>
        <w:t>¿Existen conceptos, circulares o lineamientos emitidos por la Agencia Nacional</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de Contratación Pública — Colombia Compra Eficiente — que orienten el manejo</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de situaciones en las que concurren el vencimiento de garantías de cumplimiento y</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la necesidad de terminar anticipadamente y liquidar contratos estatales? De existir,</w:t>
      </w:r>
      <w:r>
        <w:rPr>
          <w:rFonts w:ascii="Verdana" w:eastAsia="Calibri" w:hAnsi="Verdana" w:cs="Times New Roman"/>
          <w:bCs/>
          <w:sz w:val="20"/>
          <w:szCs w:val="20"/>
          <w:lang w:bidi="es-ES"/>
        </w:rPr>
        <w:t xml:space="preserve"> </w:t>
      </w:r>
      <w:r w:rsidRPr="00523B8C">
        <w:rPr>
          <w:rFonts w:ascii="Verdana" w:eastAsia="Calibri" w:hAnsi="Verdana" w:cs="Times New Roman"/>
          <w:bCs/>
          <w:sz w:val="20"/>
          <w:szCs w:val="20"/>
          <w:lang w:bidi="es-ES"/>
        </w:rPr>
        <w:t xml:space="preserve">sírvanse indicar el número y fecha de </w:t>
      </w:r>
      <w:proofErr w:type="gramStart"/>
      <w:r w:rsidRPr="00523B8C">
        <w:rPr>
          <w:rFonts w:ascii="Verdana" w:eastAsia="Calibri" w:hAnsi="Verdana" w:cs="Times New Roman"/>
          <w:bCs/>
          <w:sz w:val="20"/>
          <w:szCs w:val="20"/>
          <w:lang w:bidi="es-ES"/>
        </w:rPr>
        <w:t>los mismos</w:t>
      </w:r>
      <w:proofErr w:type="gramEnd"/>
      <w:r w:rsidRPr="00523B8C">
        <w:rPr>
          <w:rFonts w:ascii="Verdana" w:eastAsia="Calibri" w:hAnsi="Verdana" w:cs="Times New Roman"/>
          <w:bCs/>
          <w:sz w:val="20"/>
          <w:szCs w:val="20"/>
          <w:lang w:bidi="es-ES"/>
        </w:rPr>
        <w:t>.</w:t>
      </w:r>
    </w:p>
    <w:p w14:paraId="743D2F19" w14:textId="77777777" w:rsidR="0027006C" w:rsidRPr="00523B8C" w:rsidRDefault="0027006C" w:rsidP="00817137">
      <w:pPr>
        <w:spacing w:after="0" w:line="240" w:lineRule="auto"/>
        <w:ind w:right="709"/>
        <w:jc w:val="both"/>
        <w:rPr>
          <w:rFonts w:ascii="Verdana" w:eastAsia="Calibri" w:hAnsi="Verdana" w:cs="Times New Roman"/>
          <w:bCs/>
          <w:sz w:val="20"/>
          <w:szCs w:val="20"/>
          <w:lang w:bidi="es-ES"/>
        </w:rPr>
      </w:pPr>
    </w:p>
    <w:p w14:paraId="6A44C2A0" w14:textId="77777777" w:rsidR="0027006C" w:rsidRPr="009037F6" w:rsidRDefault="0027006C" w:rsidP="00817137">
      <w:pPr>
        <w:spacing w:after="120" w:line="240" w:lineRule="auto"/>
        <w:ind w:firstLine="709"/>
        <w:jc w:val="both"/>
        <w:rPr>
          <w:rFonts w:ascii="Verdana" w:eastAsia="Calibri" w:hAnsi="Verdana" w:cs="Times New Roman"/>
          <w:lang w:val="es-ES"/>
        </w:rPr>
      </w:pPr>
      <w:r w:rsidRPr="009037F6">
        <w:rPr>
          <w:rFonts w:ascii="Verdana" w:eastAsia="Calibri" w:hAnsi="Verdana" w:cs="Times New Roman"/>
          <w:lang w:val="es-ES"/>
        </w:rPr>
        <w:t xml:space="preserve">De manera preliminar, resulta necesario acotar que esta entidad solo tiene competencia para responder consultas sobre la aplicación de normas de carácter </w:t>
      </w:r>
      <w:r w:rsidRPr="009037F6">
        <w:rPr>
          <w:rFonts w:ascii="Verdana" w:eastAsia="Calibri" w:hAnsi="Verdana" w:cs="Times New Roman"/>
          <w:lang w:val="es-ES"/>
        </w:rPr>
        <w:lastRenderedPageBreak/>
        <w:t>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6AEB52C2" w14:textId="77777777" w:rsidR="0027006C" w:rsidRPr="009037F6" w:rsidRDefault="0027006C" w:rsidP="00817137">
      <w:pPr>
        <w:spacing w:after="120" w:line="240" w:lineRule="auto"/>
        <w:ind w:firstLine="708"/>
        <w:jc w:val="both"/>
        <w:rPr>
          <w:rFonts w:ascii="Verdana" w:eastAsia="Calibri" w:hAnsi="Verdana" w:cs="Times New Roman"/>
          <w:lang w:val="es-ES"/>
        </w:rPr>
      </w:pPr>
      <w:r w:rsidRPr="009037F6">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60D2C620" w14:textId="77777777" w:rsidR="0027006C" w:rsidRPr="009037F6" w:rsidRDefault="0027006C" w:rsidP="00817137">
      <w:pPr>
        <w:spacing w:after="0" w:line="240" w:lineRule="auto"/>
        <w:rPr>
          <w:rFonts w:ascii="Verdana" w:eastAsia="Calibri" w:hAnsi="Verdana" w:cs="Times New Roman"/>
          <w:lang w:val="es-ES"/>
        </w:rPr>
      </w:pPr>
    </w:p>
    <w:p w14:paraId="110797F7" w14:textId="77777777" w:rsidR="0027006C" w:rsidRPr="009037F6" w:rsidRDefault="0027006C" w:rsidP="00817137">
      <w:pPr>
        <w:numPr>
          <w:ilvl w:val="0"/>
          <w:numId w:val="16"/>
        </w:numPr>
        <w:spacing w:after="0" w:line="240" w:lineRule="auto"/>
        <w:contextualSpacing/>
        <w:rPr>
          <w:rFonts w:ascii="Verdana" w:eastAsia="Calibri" w:hAnsi="Verdana" w:cs="Times New Roman"/>
          <w:b/>
          <w:bCs/>
          <w:lang w:val="es-ES"/>
        </w:rPr>
      </w:pPr>
      <w:r w:rsidRPr="009037F6">
        <w:rPr>
          <w:rFonts w:ascii="Verdana" w:eastAsia="Calibri" w:hAnsi="Verdana" w:cs="Times New Roman"/>
          <w:b/>
          <w:bCs/>
          <w:lang w:val="es-ES"/>
        </w:rPr>
        <w:t>Problema planteado:</w:t>
      </w:r>
    </w:p>
    <w:p w14:paraId="6B5D8624" w14:textId="77777777" w:rsidR="0027006C" w:rsidRPr="009037F6" w:rsidRDefault="0027006C" w:rsidP="00817137">
      <w:pPr>
        <w:spacing w:after="0" w:line="240" w:lineRule="auto"/>
        <w:rPr>
          <w:rFonts w:ascii="Verdana" w:eastAsia="Calibri" w:hAnsi="Verdana" w:cs="Times New Roman"/>
        </w:rPr>
      </w:pPr>
    </w:p>
    <w:p w14:paraId="7DF001BE" w14:textId="77777777" w:rsidR="0027006C" w:rsidRPr="00681069" w:rsidRDefault="0027006C" w:rsidP="00817137">
      <w:pPr>
        <w:spacing w:after="0" w:line="240" w:lineRule="auto"/>
        <w:jc w:val="both"/>
        <w:rPr>
          <w:rFonts w:ascii="Verdana" w:eastAsia="Calibri" w:hAnsi="Verdana" w:cs="Times New Roman"/>
          <w:iCs/>
        </w:rPr>
      </w:pPr>
      <w:r w:rsidRPr="00681069">
        <w:rPr>
          <w:rFonts w:ascii="Verdana" w:eastAsia="Calibri" w:hAnsi="Verdana" w:cs="Times New Roman"/>
        </w:rPr>
        <w:t>De acuerdo con el contenido de sus solicitudes, esta Agencia procede a resolver los siguientes problemas jurídicos</w:t>
      </w:r>
      <w:r w:rsidRPr="00681069">
        <w:rPr>
          <w:rFonts w:ascii="Verdana" w:eastAsia="Calibri" w:hAnsi="Verdana" w:cs="Times New Roman"/>
          <w:iCs/>
          <w:lang w:val="es-ES"/>
        </w:rPr>
        <w:t xml:space="preserve">: i) </w:t>
      </w:r>
      <w:r w:rsidRPr="00A1596D">
        <w:rPr>
          <w:rFonts w:ascii="Verdana" w:eastAsia="Calibri" w:hAnsi="Verdana" w:cs="Times New Roman"/>
          <w:iCs/>
        </w:rPr>
        <w:t>¿Cuál es el procedimiento aplicable a la garantía de cumplimiento en los contratos estatales cuando, como consecuencia de una suspensión indefinida de la ejecución no comunicada oportunamente al asegurador, dicha garantía ha vencido formalmente, y qué acciones administrativas y contractuales debe adelantar la entidad estatal?</w:t>
      </w:r>
      <w:r>
        <w:rPr>
          <w:rFonts w:ascii="Verdana" w:eastAsia="Calibri" w:hAnsi="Verdana" w:cs="Times New Roman"/>
          <w:iCs/>
        </w:rPr>
        <w:t>;</w:t>
      </w:r>
      <w:r w:rsidRPr="00681069">
        <w:rPr>
          <w:rFonts w:ascii="Verdana" w:eastAsia="Calibri" w:hAnsi="Verdana" w:cs="Times New Roman"/>
          <w:iCs/>
          <w:lang w:val="es-ES"/>
        </w:rPr>
        <w:t xml:space="preserve"> </w:t>
      </w:r>
      <w:proofErr w:type="spellStart"/>
      <w:r w:rsidRPr="00681069">
        <w:rPr>
          <w:rFonts w:ascii="Verdana" w:eastAsia="Calibri" w:hAnsi="Verdana" w:cs="Times New Roman"/>
          <w:iCs/>
          <w:lang w:val="es-ES"/>
        </w:rPr>
        <w:t>ii</w:t>
      </w:r>
      <w:proofErr w:type="spellEnd"/>
      <w:r w:rsidRPr="00681069">
        <w:rPr>
          <w:rFonts w:ascii="Verdana" w:eastAsia="Calibri" w:hAnsi="Verdana" w:cs="Times New Roman"/>
          <w:iCs/>
          <w:lang w:val="es-ES"/>
        </w:rPr>
        <w:t xml:space="preserve">) </w:t>
      </w:r>
      <w:r w:rsidRPr="00681069">
        <w:rPr>
          <w:rFonts w:ascii="Verdana" w:eastAsia="Calibri" w:hAnsi="Verdana" w:cs="Times New Roman"/>
          <w:bCs/>
          <w:lang w:bidi="es-ES"/>
        </w:rPr>
        <w:t>¿La suspensión indefinida de un contrato estatal configura una modificación o agravación del riesgo asegurado en los términos del artículo 1060 del Código de Comercio, que deba ser comunicada al asegurador?; i</w:t>
      </w:r>
      <w:proofErr w:type="spellStart"/>
      <w:r w:rsidRPr="00681069">
        <w:rPr>
          <w:rFonts w:ascii="Verdana" w:eastAsia="Calibri" w:hAnsi="Verdana" w:cs="Times New Roman"/>
          <w:iCs/>
          <w:lang w:val="es-ES"/>
        </w:rPr>
        <w:t>ii</w:t>
      </w:r>
      <w:proofErr w:type="spellEnd"/>
      <w:r w:rsidRPr="00681069">
        <w:rPr>
          <w:rFonts w:ascii="Verdana" w:eastAsia="Calibri" w:hAnsi="Verdana" w:cs="Times New Roman"/>
          <w:iCs/>
          <w:lang w:val="es-ES"/>
        </w:rPr>
        <w:t xml:space="preserve">) </w:t>
      </w:r>
      <w:r w:rsidRPr="00681069">
        <w:rPr>
          <w:rFonts w:ascii="Verdana" w:eastAsia="Calibri" w:hAnsi="Verdana"/>
          <w:iCs/>
        </w:rPr>
        <w:t xml:space="preserve">¿Puede la entidad estatal adelantar válidamente el proceso de terminación unilateral de un contrato, con fundamento en la causal de imposibilidad de ejecución o en el acuerdo de voluntades, aun cuando la garantía de cumplimiento no se encuentre vigente al momento de dicha actuación?; </w:t>
      </w:r>
      <w:proofErr w:type="spellStart"/>
      <w:r w:rsidRPr="00681069">
        <w:rPr>
          <w:rFonts w:ascii="Verdana" w:eastAsia="Calibri" w:hAnsi="Verdana"/>
          <w:iCs/>
        </w:rPr>
        <w:t>iv</w:t>
      </w:r>
      <w:proofErr w:type="spellEnd"/>
      <w:r w:rsidRPr="00681069">
        <w:rPr>
          <w:rFonts w:ascii="Verdana" w:eastAsia="Calibri" w:hAnsi="Verdana"/>
          <w:iCs/>
        </w:rPr>
        <w:t xml:space="preserve">) </w:t>
      </w:r>
      <w:r w:rsidRPr="00681069">
        <w:rPr>
          <w:rFonts w:ascii="Verdana" w:eastAsia="Calibri" w:hAnsi="Verdana" w:cs="Times New Roman"/>
          <w:iCs/>
        </w:rPr>
        <w:t>¿Resulta procedente adelantar la liquidación bilateral o unilateral de un contrato estatal sin que la garantía de cumplimiento esté vigente, en el evento de que la compañía aseguradora se niegue expresamente a renovar, rehabilitar o expedir una nueva póliza?</w:t>
      </w:r>
      <w:r>
        <w:rPr>
          <w:rFonts w:ascii="Verdana" w:eastAsia="Calibri" w:hAnsi="Verdana" w:cs="Times New Roman"/>
          <w:iCs/>
        </w:rPr>
        <w:t>.</w:t>
      </w:r>
    </w:p>
    <w:p w14:paraId="7B7FE129" w14:textId="77777777" w:rsidR="0027006C" w:rsidRPr="009037F6" w:rsidRDefault="0027006C" w:rsidP="00817137">
      <w:pPr>
        <w:spacing w:after="0" w:line="240" w:lineRule="auto"/>
        <w:jc w:val="both"/>
        <w:rPr>
          <w:rFonts w:ascii="Verdana" w:eastAsia="Calibri" w:hAnsi="Verdana" w:cs="Times New Roman"/>
          <w:i/>
          <w:iCs/>
          <w:lang w:val="es-ES"/>
        </w:rPr>
      </w:pPr>
    </w:p>
    <w:p w14:paraId="73EDEDEF" w14:textId="77777777" w:rsidR="0027006C" w:rsidRPr="009037F6" w:rsidRDefault="0027006C" w:rsidP="00817137">
      <w:pPr>
        <w:numPr>
          <w:ilvl w:val="0"/>
          <w:numId w:val="16"/>
        </w:numPr>
        <w:spacing w:after="0" w:line="240" w:lineRule="auto"/>
        <w:contextualSpacing/>
        <w:rPr>
          <w:rFonts w:ascii="Verdana" w:eastAsia="Calibri" w:hAnsi="Verdana" w:cs="Times New Roman"/>
          <w:b/>
          <w:bCs/>
          <w:lang w:val="es-ES"/>
        </w:rPr>
      </w:pPr>
      <w:r w:rsidRPr="009037F6">
        <w:rPr>
          <w:rFonts w:ascii="Verdana" w:eastAsia="Calibri" w:hAnsi="Verdana" w:cs="Times New Roman"/>
          <w:b/>
          <w:bCs/>
          <w:lang w:val="es-ES"/>
        </w:rPr>
        <w:t>Respuesta:</w:t>
      </w:r>
    </w:p>
    <w:p w14:paraId="09CDD666" w14:textId="77777777" w:rsidR="0027006C" w:rsidRPr="009037F6" w:rsidRDefault="0027006C" w:rsidP="00817137">
      <w:pPr>
        <w:spacing w:after="0" w:line="240" w:lineRule="auto"/>
        <w:rPr>
          <w:rFonts w:ascii="Verdana" w:eastAsia="Calibri" w:hAnsi="Verdana" w:cs="Times New Roman"/>
          <w:b/>
          <w:bCs/>
          <w:lang w:val="es-ES"/>
        </w:rPr>
      </w:pPr>
    </w:p>
    <w:tbl>
      <w:tblPr>
        <w:tblStyle w:val="Tablaconcuadrcula11"/>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27006C" w:rsidRPr="009037F6" w14:paraId="297C8AF7" w14:textId="77777777" w:rsidTr="00B60609">
        <w:trPr>
          <w:trHeight w:val="345"/>
          <w:jc w:val="center"/>
        </w:trPr>
        <w:tc>
          <w:tcPr>
            <w:tcW w:w="8784" w:type="dxa"/>
            <w:tcBorders>
              <w:bottom w:val="single" w:sz="4" w:space="0" w:color="auto"/>
            </w:tcBorders>
          </w:tcPr>
          <w:p w14:paraId="38A6C22D" w14:textId="77777777" w:rsidR="0027006C" w:rsidRPr="009037F6" w:rsidRDefault="0027006C" w:rsidP="00817137">
            <w:pPr>
              <w:widowControl w:val="0"/>
              <w:autoSpaceDE w:val="0"/>
              <w:autoSpaceDN w:val="0"/>
              <w:spacing w:before="120" w:after="120"/>
              <w:jc w:val="both"/>
              <w:rPr>
                <w:rFonts w:ascii="Verdana" w:hAnsi="Verdana"/>
              </w:rPr>
            </w:pPr>
            <w:r w:rsidRPr="009037F6">
              <w:rPr>
                <w:rFonts w:ascii="Verdana" w:hAnsi="Verdana"/>
              </w:rPr>
              <w:lastRenderedPageBreak/>
              <w:t xml:space="preserve">En cuanto a los problemas jurídicos, objeto de consulta, se expresa lo siguiente: </w:t>
            </w:r>
          </w:p>
          <w:p w14:paraId="7073F7E2" w14:textId="77777777" w:rsidR="0027006C" w:rsidRDefault="0027006C" w:rsidP="00817137">
            <w:pPr>
              <w:spacing w:before="120" w:after="120"/>
              <w:jc w:val="both"/>
              <w:rPr>
                <w:rFonts w:ascii="Verdana" w:hAnsi="Verdana" w:cs="Arial"/>
                <w:color w:val="000000" w:themeColor="text1"/>
              </w:rPr>
            </w:pPr>
            <w:r w:rsidRPr="009037F6">
              <w:rPr>
                <w:rFonts w:ascii="Verdana" w:hAnsi="Verdana" w:cs="Arial"/>
                <w:color w:val="000000" w:themeColor="text1"/>
                <w:lang w:val="es-ES"/>
              </w:rPr>
              <w:t xml:space="preserve">i. </w:t>
            </w:r>
            <w:r w:rsidRPr="00B0001E">
              <w:rPr>
                <w:rFonts w:ascii="Verdana" w:hAnsi="Verdana" w:cs="Arial"/>
                <w:color w:val="000000" w:themeColor="text1"/>
              </w:rPr>
              <w:t>E</w:t>
            </w:r>
            <w:r>
              <w:rPr>
                <w:rFonts w:ascii="Verdana" w:hAnsi="Verdana" w:cs="Arial"/>
                <w:color w:val="000000" w:themeColor="text1"/>
              </w:rPr>
              <w:t>n referencia al primer problema jurídico, se precisa que el</w:t>
            </w:r>
            <w:r w:rsidRPr="00B0001E">
              <w:rPr>
                <w:rFonts w:ascii="Verdana" w:hAnsi="Verdana" w:cs="Arial"/>
                <w:color w:val="000000" w:themeColor="text1"/>
              </w:rPr>
              <w:t xml:space="preserve"> régimen jurídico aplicable a la garantía de cumplimiento en los contratos estatales, cuando esta ha vencido formalmente como consecuencia de una suspensión indefinida no comunicada oportunamente al asegurador, se encuentra regulado por las disposiciones del Código de Comercio y la Ley 80 de 1993. </w:t>
            </w:r>
            <w:r>
              <w:rPr>
                <w:rFonts w:ascii="Verdana" w:hAnsi="Verdana" w:cs="Arial"/>
                <w:color w:val="000000" w:themeColor="text1"/>
              </w:rPr>
              <w:t xml:space="preserve">Para ello, es importante señalar que </w:t>
            </w:r>
            <w:r w:rsidRPr="00B0001E">
              <w:rPr>
                <w:rFonts w:ascii="Verdana" w:hAnsi="Verdana" w:cs="Arial"/>
                <w:color w:val="000000" w:themeColor="text1"/>
              </w:rPr>
              <w:t>el artículo 1048 del Código de Comercio establece que las adiciones, modificaciones o renovaciones de las pólizas deben consignarse en anexos, lo que implica que la Entidad Estatal no requiere una nueva póliza, sino que puede exigir al contratista la presentación de un anexo que contenga la ampliación de la garantía. De esta manera, se asegura que el contrato no quede desamparado y que la modificación contractual pueda ejecutarse.</w:t>
            </w:r>
          </w:p>
          <w:p w14:paraId="2BF99A81" w14:textId="77777777" w:rsidR="0027006C" w:rsidRDefault="0027006C" w:rsidP="00817137">
            <w:pPr>
              <w:spacing w:before="120" w:after="120"/>
              <w:ind w:firstLine="709"/>
              <w:jc w:val="both"/>
              <w:rPr>
                <w:rFonts w:ascii="Verdana" w:hAnsi="Verdana" w:cs="Arial"/>
                <w:color w:val="000000" w:themeColor="text1"/>
              </w:rPr>
            </w:pPr>
            <w:r>
              <w:rPr>
                <w:rFonts w:ascii="Verdana" w:hAnsi="Verdana" w:cs="Arial"/>
                <w:color w:val="000000" w:themeColor="text1"/>
                <w:lang w:val="es-ES"/>
              </w:rPr>
              <w:t>Ahora bien, para atender directamente la inquietud sobre la subsistencia o extinción de la cobertura, debe distinguirse entre el vencimiento del término de la garantía y las causas de expiración que el ordenamiento estatal neutraliza. La garantía de cumplimiento tiene una vigencia determinada, atada al plazo del contrato y su liquidación –artículo 2.2.1.2.3.1.13 del Decreto 1082 de 2015–. Cuando ese término se agota, la cobertura de los siniestros que ocurran con posterioridad se extingue hacia el futuro, sin que ese simple vencimiento le sean aplicables las reglas del artículo 7 de la Ley 1150 de 2007, que impiden que la póliza expire por falta de pago de la prima o por revocatoria unilateral, mas no perpetúan un amparo cuyo plazo simplemente feneció. No obstante, los siniestros configurados mientras la garantía se encontraba vigente permanecen amparados y pueden reclamarse aun después de su vencimiento, dentro del término de prescripción del artículo 1081 del Código de Comercio, mediante la notificación del acto administrativo que declare el siniestro. Por ello, el vencimiento formal del amparo por efecto de una suspensión que prolongó la ejecución no sanea por sí solo el período descubierto, y el ordenamiento impone a la entidad exigir, y al contratista tramitar, la ampliación de la vigencia en los términos del artículo 2.2.1.2.3.1.18 del Decreto 1082 de 2015</w:t>
            </w:r>
            <w:r>
              <w:rPr>
                <w:rFonts w:ascii="Verdana" w:hAnsi="Verdana" w:cs="Arial"/>
                <w:color w:val="000000" w:themeColor="text1"/>
              </w:rPr>
              <w:t>.</w:t>
            </w:r>
          </w:p>
          <w:p w14:paraId="21A91504" w14:textId="77777777" w:rsidR="0027006C" w:rsidRPr="00B0001E" w:rsidRDefault="0027006C" w:rsidP="00817137">
            <w:pPr>
              <w:spacing w:before="120" w:after="120"/>
              <w:ind w:firstLine="709"/>
              <w:jc w:val="both"/>
              <w:rPr>
                <w:rFonts w:ascii="Verdana" w:hAnsi="Verdana" w:cs="Arial"/>
                <w:color w:val="000000" w:themeColor="text1"/>
              </w:rPr>
            </w:pPr>
            <w:r w:rsidRPr="00B0001E">
              <w:rPr>
                <w:rFonts w:ascii="Verdana" w:hAnsi="Verdana" w:cs="Arial"/>
                <w:color w:val="000000" w:themeColor="text1"/>
              </w:rPr>
              <w:t xml:space="preserve">En este escenario, la Entidad Estatal debe actuar de buena fe y no puede negarse arbitrariamente a aprobar la ampliación de la póliza cuando el contratista presenta un anexo que cumple con las condiciones previstas en el Decreto 1082 de 2015. Sin embargo, mientras no se apruebe la ampliación, la entidad está obligada a abstenerse de reiniciar la ejecución del contrato, pues hacerlo sin cobertura constituiría una infracción a las normas de contratación estatal y comprometería su responsabilidad patrimonial. La </w:t>
            </w:r>
            <w:r w:rsidRPr="00B0001E">
              <w:rPr>
                <w:rFonts w:ascii="Verdana" w:hAnsi="Verdana" w:cs="Arial"/>
                <w:color w:val="000000" w:themeColor="text1"/>
              </w:rPr>
              <w:lastRenderedPageBreak/>
              <w:t>exigencia de mantener vigente la garantía es, por tanto, una condición ineludible para la ejecución contractual y para la protección del interés público.</w:t>
            </w:r>
          </w:p>
          <w:p w14:paraId="6E97FF3C" w14:textId="77777777" w:rsidR="0027006C" w:rsidRDefault="0027006C" w:rsidP="00817137">
            <w:pPr>
              <w:spacing w:before="120" w:after="120"/>
              <w:ind w:firstLine="709"/>
              <w:jc w:val="both"/>
              <w:rPr>
                <w:rFonts w:ascii="Verdana" w:hAnsi="Verdana" w:cs="Arial"/>
                <w:color w:val="000000" w:themeColor="text1"/>
              </w:rPr>
            </w:pPr>
            <w:r w:rsidRPr="00B0001E">
              <w:rPr>
                <w:rFonts w:ascii="Verdana" w:hAnsi="Verdana" w:cs="Arial"/>
                <w:color w:val="000000" w:themeColor="text1"/>
              </w:rPr>
              <w:t xml:space="preserve">Ahora bien, si el contratista incumple su obligación de mantener vigente la garantía única de cumplimiento, la Entidad Estatal debe adelantar las actuaciones administrativas correspondientes, en aplicación de lo previsto en el artículo 86 de la Ley 1474 de 2011. Dichas actuaciones pueden incluir </w:t>
            </w:r>
            <w:r>
              <w:rPr>
                <w:rFonts w:ascii="Verdana" w:hAnsi="Verdana" w:cs="Arial"/>
                <w:color w:val="000000" w:themeColor="text1"/>
              </w:rPr>
              <w:t xml:space="preserve">la imposición de la cláusula penal si se pactó, </w:t>
            </w:r>
            <w:r w:rsidRPr="00B0001E">
              <w:rPr>
                <w:rFonts w:ascii="Verdana" w:hAnsi="Verdana" w:cs="Arial"/>
                <w:color w:val="000000" w:themeColor="text1"/>
              </w:rPr>
              <w:t xml:space="preserve">la declaratoria de incumplimiento, la caducidad del contrato o incluso la terminación unilateral prevista en el artículo 17 de la Ley 80 de 1993, según la gravedad de la omisión y el impacto sobre la ejecución contractual. De esta forma, el </w:t>
            </w:r>
            <w:r>
              <w:rPr>
                <w:rFonts w:ascii="Verdana" w:hAnsi="Verdana" w:cs="Arial"/>
                <w:color w:val="000000" w:themeColor="text1"/>
              </w:rPr>
              <w:t xml:space="preserve">sistema de compras públicas </w:t>
            </w:r>
            <w:r w:rsidRPr="00B0001E">
              <w:rPr>
                <w:rFonts w:ascii="Verdana" w:hAnsi="Verdana" w:cs="Arial"/>
                <w:color w:val="000000" w:themeColor="text1"/>
              </w:rPr>
              <w:t>garantiza que la falta de cobertura no se traduzca en una desprotección del patrimonio público, sino en la activación de mecanismos sancionatorios y de control que preservan la legalidad.</w:t>
            </w:r>
          </w:p>
          <w:p w14:paraId="58279742" w14:textId="77777777" w:rsidR="0027006C" w:rsidRPr="00EE4F2B" w:rsidRDefault="0027006C" w:rsidP="00817137">
            <w:pPr>
              <w:spacing w:before="120" w:after="120"/>
              <w:ind w:firstLine="709"/>
              <w:jc w:val="both"/>
              <w:rPr>
                <w:rFonts w:ascii="Verdana" w:eastAsia="Times New Roman" w:hAnsi="Verdana" w:cs="Arial"/>
                <w:color w:val="000000"/>
                <w:lang w:eastAsia="es-ES_tradnl"/>
              </w:rPr>
            </w:pPr>
            <w:r>
              <w:rPr>
                <w:rFonts w:ascii="Verdana" w:eastAsia="Times New Roman" w:hAnsi="Verdana" w:cs="Arial"/>
                <w:color w:val="000000"/>
                <w:lang w:val="es-ES_tradnl" w:eastAsia="es-ES_tradnl"/>
              </w:rPr>
              <w:t>En todo caso</w:t>
            </w:r>
            <w:r w:rsidRPr="00A03DA4">
              <w:rPr>
                <w:rFonts w:ascii="Verdana" w:eastAsia="Times New Roman" w:hAnsi="Verdana" w:cs="Arial"/>
                <w:color w:val="000000"/>
                <w:lang w:val="es-ES_tradnl" w:eastAsia="es-ES_tradnl"/>
              </w:rPr>
              <w:t>, los elementos sustanciales que deben reunirse para que pueda declararse el incumplimiento e imponerse las sanciones respectivas, son aspectos que deben probarse y verificarse en cada caso por las entidades estatales como presupuesto para la viabilidad del procedimiento administrativo sancionatorio. Si estos elementos confluyen, así el contrato estatal esté suspendido, puede realizarse la audiencia regulada en el artículo 86 de la Ley 1474 de 2011.</w:t>
            </w:r>
            <w:r>
              <w:rPr>
                <w:rFonts w:ascii="Verdana" w:eastAsia="Times New Roman" w:hAnsi="Verdana" w:cs="Arial"/>
                <w:color w:val="000000"/>
                <w:lang w:val="es-ES_tradnl" w:eastAsia="es-ES_tradnl"/>
              </w:rPr>
              <w:t xml:space="preserve"> </w:t>
            </w:r>
            <w:r w:rsidRPr="007A6EF3">
              <w:rPr>
                <w:rFonts w:ascii="Verdana" w:eastAsia="Times New Roman" w:hAnsi="Verdana" w:cs="Arial"/>
                <w:color w:val="000000"/>
                <w:lang w:eastAsia="es-ES_tradnl"/>
              </w:rPr>
              <w:t>Esto se entiende sin perjuicio de la responsabilidad que pueda recaer sobre los supervisores, interventores, el representante legal o su delegado, así como sobre los demás partícipes del proceso de contratación. La omisión en el cumplimiento de sus deberes de vigilancia y control puede generar consecuencias disciplinarias, fiscales o incluso penales, reforzando la necesidad de que cada actor cumpla cabalmente con sus obligaciones en aras de proteger el patrimonio público</w:t>
            </w:r>
            <w:r>
              <w:rPr>
                <w:rFonts w:ascii="Verdana" w:eastAsia="Times New Roman" w:hAnsi="Verdana" w:cs="Arial"/>
                <w:color w:val="000000"/>
                <w:lang w:eastAsia="es-ES_tradnl"/>
              </w:rPr>
              <w:t xml:space="preserve"> (Preguntas 1 y 5). </w:t>
            </w:r>
          </w:p>
          <w:p w14:paraId="01E29F90" w14:textId="77777777" w:rsidR="0027006C" w:rsidRDefault="0027006C" w:rsidP="00817137">
            <w:pPr>
              <w:spacing w:after="120"/>
              <w:jc w:val="both"/>
              <w:rPr>
                <w:rFonts w:ascii="Verdana" w:hAnsi="Verdana"/>
              </w:rPr>
            </w:pPr>
            <w:proofErr w:type="spellStart"/>
            <w:r w:rsidRPr="009037F6">
              <w:rPr>
                <w:rFonts w:ascii="Verdana" w:hAnsi="Verdana"/>
              </w:rPr>
              <w:t>ii</w:t>
            </w:r>
            <w:proofErr w:type="spellEnd"/>
            <w:r w:rsidRPr="009037F6">
              <w:rPr>
                <w:rFonts w:ascii="Verdana" w:hAnsi="Verdana"/>
              </w:rPr>
              <w:t xml:space="preserve">. </w:t>
            </w:r>
            <w:r>
              <w:rPr>
                <w:rFonts w:ascii="Verdana" w:hAnsi="Verdana"/>
              </w:rPr>
              <w:t>En relación con el segundo problema jurídico de su consulta se expresa que</w:t>
            </w:r>
            <w:r w:rsidRPr="00177662">
              <w:rPr>
                <w:rFonts w:ascii="Verdana" w:hAnsi="Verdana"/>
              </w:rPr>
              <w:t xml:space="preserve">, como se indicó en consideraciones </w:t>
            </w:r>
            <w:r>
              <w:rPr>
                <w:rFonts w:ascii="Verdana" w:hAnsi="Verdana"/>
              </w:rPr>
              <w:t>de este concepto</w:t>
            </w:r>
            <w:r w:rsidRPr="00177662">
              <w:rPr>
                <w:rFonts w:ascii="Verdana" w:hAnsi="Verdana"/>
              </w:rPr>
              <w:t>, la suspensión del contrato puede estar sometida a condición o a un plazo cierto, lo cual incide directamente en la configuración del riesgo asegurado. En este escenario, cuando la suspensión se encuentra sujeta a condición, el contratista, en calidad de tomador, debe informar oportunamente a la compañía aseguradora con el fin de mantener vigente la póliza de cumplimiento, ya que la alteración del plazo contractual constituye una modificación relevante de las circunstancias inicialmente pactadas. Esta comunicación garantiza que la cobertura continúe durante el período de suspensión y evita que la garantía se torne ineficaz frente a eventuales incumplimientos, preservando así la validez de la póliza y la protección del interés público.</w:t>
            </w:r>
          </w:p>
          <w:p w14:paraId="6E100FF5" w14:textId="77777777" w:rsidR="0027006C" w:rsidRPr="00177662" w:rsidRDefault="0027006C" w:rsidP="00817137">
            <w:pPr>
              <w:spacing w:after="120"/>
              <w:ind w:firstLine="709"/>
              <w:jc w:val="both"/>
              <w:rPr>
                <w:rFonts w:ascii="Verdana" w:hAnsi="Verdana"/>
              </w:rPr>
            </w:pPr>
            <w:r w:rsidRPr="00177662">
              <w:rPr>
                <w:rFonts w:ascii="Verdana" w:hAnsi="Verdana"/>
              </w:rPr>
              <w:lastRenderedPageBreak/>
              <w:t>De conformidad con lo previsto en el artículo 1060 del Código de Comercio, corresponde al tomador o asegurado informar por escrito al asegurador sobre cualquier novedad que implique una variación del estado del riesgo asumido en el contrato de seguro. Este deber de comunicación se extiende a situaciones futuras originadas por el propio asegurado que puedan modificar las condiciones que motivaron la asunción del riesgo, como ocurre frente a una eventual suspensión indefinida del contrato estatal. La notificación debe</w:t>
            </w:r>
            <w:r>
              <w:rPr>
                <w:rFonts w:ascii="Verdana" w:hAnsi="Verdana"/>
              </w:rPr>
              <w:t xml:space="preserve"> fundarse </w:t>
            </w:r>
            <w:r w:rsidRPr="00177662">
              <w:rPr>
                <w:rFonts w:ascii="Verdana" w:hAnsi="Verdana"/>
              </w:rPr>
              <w:t>en el principio de buena fe, razón por la cual la norma establece un plazo mínimo de diez días hábiles para efectuarla. Durante dicho término, las condiciones iniciales del contrato se mantienen y la póliza conserva plena validez, permitiendo al asegurador analizar y pronunciarse también por escrito acerca de la modificación planteada, en garantía de la igualdad contractual.</w:t>
            </w:r>
          </w:p>
          <w:p w14:paraId="79411021" w14:textId="77777777" w:rsidR="0027006C" w:rsidRPr="00177662" w:rsidRDefault="0027006C" w:rsidP="00817137">
            <w:pPr>
              <w:spacing w:after="120"/>
              <w:ind w:firstLine="709"/>
              <w:jc w:val="both"/>
              <w:rPr>
                <w:rFonts w:ascii="Verdana" w:hAnsi="Verdana"/>
              </w:rPr>
            </w:pPr>
            <w:r>
              <w:rPr>
                <w:rFonts w:ascii="Verdana" w:hAnsi="Verdana"/>
              </w:rPr>
              <w:t>En este contexto, el asegurador puede optar por mantener inalterada la póliza o proponer ajustes cuando estime que las nuevas circunstancias son superables. Ahora bien, en el régimen de las garantías estatales los efectos que el Código de Comercio anuda a la conducta del tomador se encuentran modulados. De una parte, el artículo 1060 no consagra una revocatoria unilateral, sino el deber de informar la agravación del riesgo, el derecho del asegurador a revocar o reajustar la prima una vez notificado y la terminación del contrato por falta de notificación oportuna; la revocatoria unilateral del contrato de seguro está prevista en el artículo 1071 del mismo código. De otra parte, ninguno de esos efectos le es oponible a la entidad estatal beneficiaria: el artículo 7 de la Ley 1150 de 2007 dispone que las garantías constituidas a su favor no expiran por falta de pago de la prima ni por revocatoria unilateral del asegurador, y el artículo 2.2.1.1.3.2.6 del Decreto 1082 de 2015 prohíbe a la compañía de seguros oponer o defenderse de las reclamaciones de la entidad alegando la conducta del tomador, en especial las inexactitudes o reticencias en que este hubiere incurrido. En consecuencia, la omisión del contratista de comunicar la suspensión al asegurador no extingue ni hace inexigible la garantía frente a la entidad estatal, ni faculta a la aseguradora para negar la cobertura invocando esa omisión, sin perjuicio de la responsabilidad que le sea imputable al contratista, tanto frente al asegurador como frente a la entidad, por el incumplimiento de sus deberes (Pregunta 2).</w:t>
            </w:r>
          </w:p>
          <w:p w14:paraId="5014C8EF" w14:textId="77777777" w:rsidR="0027006C" w:rsidRPr="00715392" w:rsidRDefault="0027006C" w:rsidP="00817137">
            <w:pPr>
              <w:spacing w:after="120"/>
              <w:jc w:val="both"/>
              <w:rPr>
                <w:rFonts w:ascii="Verdana" w:hAnsi="Verdana" w:cs="Arial"/>
                <w:lang w:eastAsia="es-ES"/>
              </w:rPr>
            </w:pPr>
            <w:proofErr w:type="spellStart"/>
            <w:r w:rsidRPr="009E3DF0">
              <w:rPr>
                <w:rFonts w:ascii="Verdana" w:hAnsi="Verdana" w:cs="Arial"/>
                <w:lang w:eastAsia="es-ES"/>
              </w:rPr>
              <w:t>iii</w:t>
            </w:r>
            <w:proofErr w:type="spellEnd"/>
            <w:r w:rsidRPr="009E3DF0">
              <w:rPr>
                <w:rFonts w:ascii="Verdana" w:hAnsi="Verdana" w:cs="Arial"/>
                <w:lang w:eastAsia="es-ES"/>
              </w:rPr>
              <w:t xml:space="preserve">. En referencia al </w:t>
            </w:r>
            <w:r>
              <w:rPr>
                <w:rFonts w:ascii="Verdana" w:hAnsi="Verdana" w:cs="Arial"/>
                <w:lang w:eastAsia="es-ES"/>
              </w:rPr>
              <w:t>tercer</w:t>
            </w:r>
            <w:r w:rsidRPr="009E3DF0">
              <w:rPr>
                <w:rFonts w:ascii="Verdana" w:hAnsi="Verdana" w:cs="Arial"/>
                <w:lang w:eastAsia="es-ES"/>
              </w:rPr>
              <w:t xml:space="preserve"> problema jurídico de su consulta, se señala que, cuando la garantía de cumplimiento vence como consecuencia de una suspensión indefinida no comunicada oportunamente al asegurador, la entidad estatal dispone de varias alternativas jurídicas para atender la situación. En primer lugar, debe analizar si el contrato se encuentra dentro de aquellos en los que las cláusulas excepcionales de terminación unilateral se </w:t>
            </w:r>
            <w:r w:rsidRPr="009E3DF0">
              <w:rPr>
                <w:rFonts w:ascii="Verdana" w:hAnsi="Verdana" w:cs="Arial"/>
                <w:lang w:eastAsia="es-ES"/>
              </w:rPr>
              <w:lastRenderedPageBreak/>
              <w:t>entienden incorporadas por ministerio de la ley, conforme al artículo 14 de la Ley 80 de 1993. En tal caso, la entidad podría acudir a la terminación unilateral prevista en el artículo 17 del mismo estatuto bajo la casual primera:</w:t>
            </w:r>
            <w:r w:rsidRPr="009E3DF0">
              <w:rPr>
                <w:rFonts w:ascii="Verdana" w:eastAsia="Times New Roman" w:hAnsi="Verdana" w:cs="Open Sans"/>
                <w:color w:val="4B4949"/>
                <w:lang w:eastAsia="es-CO"/>
              </w:rPr>
              <w:t xml:space="preserve"> “[…]</w:t>
            </w:r>
            <w:r w:rsidRPr="009E3DF0">
              <w:rPr>
                <w:rFonts w:ascii="Verdana" w:hAnsi="Verdana" w:cs="Arial"/>
                <w:lang w:eastAsia="es-ES"/>
              </w:rPr>
              <w:t>La entidad en acto administrativo debidamente motivado dispondrá la terminación anticipada del contrato en los siguientes eventos: 1o. Cuando las exigencias del servicio público lo requieran o la situación de orden público lo imponga”.</w:t>
            </w:r>
            <w:r>
              <w:rPr>
                <w:rFonts w:ascii="Verdana" w:hAnsi="Verdana" w:cs="Arial"/>
                <w:lang w:eastAsia="es-ES"/>
              </w:rPr>
              <w:t xml:space="preserve"> En tal sentido, l</w:t>
            </w:r>
            <w:r w:rsidRPr="001C5910">
              <w:rPr>
                <w:rFonts w:ascii="Verdana" w:eastAsia="Times New Roman" w:hAnsi="Verdana" w:cs="Arial"/>
                <w:iCs/>
                <w:lang w:eastAsia="es-ES_tradnl"/>
              </w:rPr>
              <w:t>a motivación deberá explicar cómo esta circunstancia impide la ejecución del objeto contractual en las condiciones exigidas por el ordenamiento jurídico y por qué, en el caso concreto, las exigencias del servicio público requieren poner fin al vínculo contractual, en los términos del numeral 1 del artículo 17 de la Ley 80 de 1993.</w:t>
            </w:r>
            <w:r>
              <w:rPr>
                <w:rFonts w:ascii="Verdana" w:eastAsia="Times New Roman" w:hAnsi="Verdana" w:cs="Arial"/>
                <w:iCs/>
                <w:lang w:eastAsia="es-ES_tradnl"/>
              </w:rPr>
              <w:t xml:space="preserve"> Dicha potestad excepcional no le aplica el procedimiento administrativo sancionatorio, sino el general dispuesto en los artículos 34 y siguientes de la Ley 1437 de 2011. </w:t>
            </w:r>
          </w:p>
          <w:p w14:paraId="486D57E8" w14:textId="77777777" w:rsidR="0027006C" w:rsidRDefault="0027006C" w:rsidP="00817137">
            <w:pPr>
              <w:spacing w:after="120"/>
              <w:ind w:firstLine="709"/>
              <w:jc w:val="both"/>
              <w:rPr>
                <w:rFonts w:ascii="Verdana" w:hAnsi="Verdana" w:cs="Arial"/>
                <w:lang w:eastAsia="es-ES"/>
              </w:rPr>
            </w:pPr>
            <w:r>
              <w:rPr>
                <w:rFonts w:ascii="Verdana" w:hAnsi="Verdana" w:cs="Arial"/>
                <w:lang w:eastAsia="es-ES"/>
              </w:rPr>
              <w:t>Debe precisarse que la elección de la vía depende de la imputabilidad del vencimiento. Cuando la ausencia de cobertura no restablecida sea imputable al contratista, la vía natural es la sancionatoria —la declaratoria de incumplimiento o, según la gravedad y el riesgo de paralización, la caducidad—; la terminación del artículo 17, de naturaleza preventiva y no sancionatoria, opera cuando la imposibilidad de continuar la ejecución sin las garantías obligatorias compromete la prestación del servicio, con independencia de la imputación. En todo caso, la vigencia de la garantía no constituye un requisito de validez del acto de terminación: su legalidad depende de la competencia, la motivación y el procedimiento aplicable, de modo que la entidad puede declarar válidamente la terminación aun cuando el amparo no se encuentre vigente al momento de la actuación, sin que tal circunstancia vicie el acto; antes bien, el vencimiento no restablecido puede constituir el fundamento fáctico de la decisión.</w:t>
            </w:r>
          </w:p>
          <w:p w14:paraId="25D24C61" w14:textId="77777777" w:rsidR="0027006C" w:rsidRPr="001C5910" w:rsidRDefault="0027006C" w:rsidP="00817137">
            <w:pPr>
              <w:spacing w:after="120"/>
              <w:ind w:firstLine="709"/>
              <w:jc w:val="both"/>
              <w:rPr>
                <w:rFonts w:ascii="Verdana" w:eastAsia="Times New Roman" w:hAnsi="Verdana" w:cs="Arial"/>
                <w:iCs/>
                <w:lang w:eastAsia="es-ES_tradnl"/>
              </w:rPr>
            </w:pPr>
            <w:r>
              <w:rPr>
                <w:rFonts w:ascii="Verdana" w:eastAsia="Times New Roman" w:hAnsi="Verdana" w:cs="Arial"/>
                <w:iCs/>
                <w:lang w:eastAsia="es-ES_tradnl"/>
              </w:rPr>
              <w:t>En segundo lugar</w:t>
            </w:r>
            <w:r w:rsidRPr="001C5910">
              <w:rPr>
                <w:rFonts w:ascii="Verdana" w:eastAsia="Times New Roman" w:hAnsi="Verdana" w:cs="Arial"/>
                <w:iCs/>
                <w:lang w:eastAsia="es-ES_tradnl"/>
              </w:rPr>
              <w:t xml:space="preserve">, una </w:t>
            </w:r>
            <w:r>
              <w:rPr>
                <w:rFonts w:ascii="Verdana" w:eastAsia="Times New Roman" w:hAnsi="Verdana" w:cs="Arial"/>
                <w:iCs/>
                <w:lang w:eastAsia="es-ES_tradnl"/>
              </w:rPr>
              <w:t xml:space="preserve">forma </w:t>
            </w:r>
            <w:r w:rsidRPr="001C5910">
              <w:rPr>
                <w:rFonts w:ascii="Verdana" w:eastAsia="Times New Roman" w:hAnsi="Verdana" w:cs="Arial"/>
                <w:iCs/>
                <w:lang w:eastAsia="es-ES_tradnl"/>
              </w:rPr>
              <w:t xml:space="preserve">distinta es la caducidad, regulada en el artículo 18 de la Ley 80 de 1993. Esta institución tiene un carácter sancionatorio y procede cuando se presenta un incumplimiento grave de las obligaciones contractuales por parte del contratista que afecte de manera directa la ejecución del contrato y evidencie que puede conducir a su paralización. La declaratoria de caducidad presupone, por tanto, la existencia de un comportamiento imputable al contratista que compromete el cumplimiento del objeto contractual y faculta a la entidad para poner fin al contrato, hacer efectivas las garantías e imponer las consecuencias previstas por la ley, incluida la inhabilidad para contratar con el Estado durante el término legal correspondiente. Se trata, entonces, de una medida de reacción frente al incumplimiento contractual y no de un mecanismo destinado a resolver circunstancias sobrevinientes que afectan la posibilidad jurídica de </w:t>
            </w:r>
            <w:r w:rsidRPr="001C5910">
              <w:rPr>
                <w:rFonts w:ascii="Verdana" w:eastAsia="Times New Roman" w:hAnsi="Verdana" w:cs="Arial"/>
                <w:iCs/>
                <w:lang w:eastAsia="es-ES_tradnl"/>
              </w:rPr>
              <w:lastRenderedPageBreak/>
              <w:t>continuar la ejecución del contrato. En cuanto a la oportunidad para ejercer esta potestad, el Consejo de Estado ha precisado</w:t>
            </w:r>
            <w:r>
              <w:rPr>
                <w:rFonts w:ascii="Verdana" w:eastAsia="Times New Roman" w:hAnsi="Verdana" w:cs="Arial"/>
                <w:iCs/>
                <w:lang w:eastAsia="es-ES_tradnl"/>
              </w:rPr>
              <w:t xml:space="preserve"> en Sentencia del 4 de abril de 2025 con Expediente 58.434 expresa</w:t>
            </w:r>
            <w:r w:rsidRPr="001C5910">
              <w:rPr>
                <w:rFonts w:ascii="Verdana" w:eastAsia="Times New Roman" w:hAnsi="Verdana" w:cs="Arial"/>
                <w:iCs/>
                <w:lang w:eastAsia="es-ES_tradnl"/>
              </w:rPr>
              <w:t xml:space="preserve"> que su finalidad de terminar anticipadamente el contrato y evitar la paralización del servicio delimita temporalmente la competencia de la entidad, de manera que la caducidad debe declararse antes del vencimiento del plazo de ejecución</w:t>
            </w:r>
            <w:r>
              <w:rPr>
                <w:rFonts w:ascii="Verdana" w:eastAsia="Times New Roman" w:hAnsi="Verdana" w:cs="Arial"/>
                <w:iCs/>
                <w:lang w:eastAsia="es-ES_tradnl"/>
              </w:rPr>
              <w:t xml:space="preserve">. </w:t>
            </w:r>
            <w:r w:rsidRPr="001C5910">
              <w:rPr>
                <w:rFonts w:ascii="Verdana" w:eastAsia="Times New Roman" w:hAnsi="Verdana" w:cs="Arial"/>
                <w:iCs/>
                <w:lang w:eastAsia="es-ES_tradnl"/>
              </w:rPr>
              <w:t xml:space="preserve"> </w:t>
            </w:r>
          </w:p>
          <w:p w14:paraId="0FC8EAB3" w14:textId="77777777" w:rsidR="0027006C" w:rsidRPr="001C5910" w:rsidRDefault="0027006C" w:rsidP="00817137">
            <w:pPr>
              <w:spacing w:after="120"/>
              <w:ind w:firstLine="709"/>
              <w:jc w:val="both"/>
              <w:rPr>
                <w:rFonts w:ascii="Verdana" w:eastAsia="Times New Roman" w:hAnsi="Verdana" w:cs="Arial"/>
                <w:iCs/>
                <w:lang w:eastAsia="es-ES_tradnl"/>
              </w:rPr>
            </w:pPr>
            <w:r>
              <w:rPr>
                <w:rFonts w:ascii="Verdana" w:eastAsia="Times New Roman" w:hAnsi="Verdana" w:cs="Arial"/>
                <w:iCs/>
                <w:lang w:eastAsia="es-ES_tradnl"/>
              </w:rPr>
              <w:t>En referencia al supuesto expuesto en la consulta</w:t>
            </w:r>
            <w:r w:rsidRPr="001C5910">
              <w:rPr>
                <w:rFonts w:ascii="Verdana" w:eastAsia="Times New Roman" w:hAnsi="Verdana" w:cs="Arial"/>
                <w:iCs/>
                <w:lang w:eastAsia="es-ES_tradnl"/>
              </w:rPr>
              <w:t>, corresponde a la entidad analizar si la conducta del contratista, considerada en su conjunto, configura el incumplimiento grave e imputable que la jurisprudencia y el Estatuto General de Contratación exigen para la procedencia de la caducidad, valorando si dicho incumplimiento afecta de manera directa la ejecución del contrato y evidencia el riesgo de su paralización, en los términos del artículo 18 de la Ley 80 de 1993. Para dicho análisis, la entidad deberá tener presente que esta</w:t>
            </w:r>
            <w:r>
              <w:rPr>
                <w:rFonts w:ascii="Verdana" w:eastAsia="Times New Roman" w:hAnsi="Verdana" w:cs="Arial"/>
                <w:iCs/>
                <w:lang w:eastAsia="es-ES_tradnl"/>
              </w:rPr>
              <w:t xml:space="preserve"> institución</w:t>
            </w:r>
            <w:r w:rsidRPr="001C5910">
              <w:rPr>
                <w:rFonts w:ascii="Verdana" w:eastAsia="Times New Roman" w:hAnsi="Verdana" w:cs="Arial"/>
                <w:iCs/>
                <w:lang w:eastAsia="es-ES_tradnl"/>
              </w:rPr>
              <w:t xml:space="preserve"> constituye una medida de reacción frente a un incumplimiento contractual imputable al contratista, y no un mecanismo previsto para resolver circunstancias sobrevinientes ajenas a su voluntad, de manera que la valoración de la conducta contractual del contratista resulta determinante para establecer si, en el caso concreto, se satisfacen los presupuestos que habilitan el ejercicio de esta potestad excepcional.  </w:t>
            </w:r>
          </w:p>
          <w:p w14:paraId="29E0971E" w14:textId="77777777" w:rsidR="0027006C" w:rsidRPr="00EC4F2B" w:rsidRDefault="0027006C" w:rsidP="00817137">
            <w:pPr>
              <w:spacing w:after="120"/>
              <w:ind w:firstLine="709"/>
              <w:jc w:val="both"/>
              <w:rPr>
                <w:rFonts w:ascii="Verdana" w:eastAsia="Times New Roman" w:hAnsi="Verdana" w:cs="Arial"/>
                <w:iCs/>
                <w:lang w:eastAsia="es-ES_tradnl"/>
              </w:rPr>
            </w:pPr>
            <w:r>
              <w:rPr>
                <w:rFonts w:ascii="Verdana" w:eastAsia="Times New Roman" w:hAnsi="Verdana" w:cs="Arial"/>
                <w:iCs/>
                <w:lang w:eastAsia="es-ES_tradnl"/>
              </w:rPr>
              <w:t xml:space="preserve">Ahora bien, </w:t>
            </w:r>
            <w:r>
              <w:rPr>
                <w:rFonts w:ascii="Verdana" w:hAnsi="Verdana" w:cs="Arial"/>
                <w:iCs/>
                <w:lang w:eastAsia="es-ES_tradnl"/>
              </w:rPr>
              <w:t>e</w:t>
            </w:r>
            <w:r w:rsidRPr="005A7271">
              <w:rPr>
                <w:rFonts w:ascii="Verdana" w:hAnsi="Verdana" w:cs="Arial"/>
                <w:iCs/>
                <w:lang w:eastAsia="es-ES_tradnl"/>
              </w:rPr>
              <w:t xml:space="preserve">n el supuesto de que el contrato estatal no </w:t>
            </w:r>
            <w:r>
              <w:rPr>
                <w:rFonts w:ascii="Verdana" w:hAnsi="Verdana" w:cs="Arial"/>
                <w:iCs/>
                <w:lang w:eastAsia="es-ES_tradnl"/>
              </w:rPr>
              <w:t xml:space="preserve">está </w:t>
            </w:r>
            <w:r w:rsidRPr="005A7271">
              <w:rPr>
                <w:rFonts w:ascii="Verdana" w:hAnsi="Verdana" w:cs="Arial"/>
                <w:iCs/>
                <w:lang w:eastAsia="es-ES_tradnl"/>
              </w:rPr>
              <w:t xml:space="preserve">dentro de los enlistados que, por ministerio de la ley, deben incorporar cláusulas excepcionales conforme al artículo 14 de la Ley 80 de 1993, o que no sea </w:t>
            </w:r>
            <w:r>
              <w:rPr>
                <w:rFonts w:ascii="Verdana" w:hAnsi="Verdana" w:cs="Arial"/>
                <w:iCs/>
                <w:lang w:eastAsia="es-ES_tradnl"/>
              </w:rPr>
              <w:t xml:space="preserve">procedente </w:t>
            </w:r>
            <w:r w:rsidRPr="005A7271">
              <w:rPr>
                <w:rFonts w:ascii="Verdana" w:hAnsi="Verdana" w:cs="Arial"/>
                <w:iCs/>
                <w:lang w:eastAsia="es-ES_tradnl"/>
              </w:rPr>
              <w:t>su pacto</w:t>
            </w:r>
            <w:r>
              <w:rPr>
                <w:rFonts w:ascii="Verdana" w:hAnsi="Verdana" w:cs="Arial"/>
                <w:iCs/>
                <w:lang w:eastAsia="es-ES_tradnl"/>
              </w:rPr>
              <w:t xml:space="preserve"> como elemento accidental</w:t>
            </w:r>
            <w:r w:rsidRPr="005A7271">
              <w:rPr>
                <w:rFonts w:ascii="Verdana" w:hAnsi="Verdana" w:cs="Arial"/>
                <w:iCs/>
                <w:lang w:eastAsia="es-ES_tradnl"/>
              </w:rPr>
              <w:t>, la entidad contratante no queda desprovista de herramientas para atender la situación. En tales casos, debe acudir a la terminación por mutuo acuerdo, que permite a las partes ajustar sus intereses y cerrar el vínculo contractual de manera consensuada, garantizando la seguridad jurídica y la protección del patrimonio público.</w:t>
            </w:r>
            <w:r>
              <w:rPr>
                <w:rFonts w:ascii="Verdana" w:hAnsi="Verdana" w:cs="Arial"/>
                <w:iCs/>
                <w:lang w:eastAsia="es-ES_tradnl"/>
              </w:rPr>
              <w:t xml:space="preserve"> </w:t>
            </w:r>
            <w:r w:rsidRPr="005A7271">
              <w:rPr>
                <w:rFonts w:ascii="Verdana" w:eastAsia="Times New Roman" w:hAnsi="Verdana" w:cs="Arial"/>
                <w:iCs/>
                <w:lang w:eastAsia="es-ES_tradnl"/>
              </w:rPr>
              <w:t xml:space="preserve">De no ser posible la terminación bilateral, la entidad conserva la facultad de acudir al juez del contrato, quien en ejercicio de la jurisdicción contencioso-administrativa puede declarar la terminación del vínculo y definir las consecuencias jurídicas correspondientes </w:t>
            </w:r>
            <w:r>
              <w:rPr>
                <w:rFonts w:ascii="Verdana" w:eastAsia="Times New Roman" w:hAnsi="Verdana" w:cs="Arial"/>
                <w:iCs/>
                <w:lang w:eastAsia="es-ES_tradnl"/>
              </w:rPr>
              <w:t xml:space="preserve">(Pregunta 3). </w:t>
            </w:r>
          </w:p>
          <w:p w14:paraId="28121552" w14:textId="77777777" w:rsidR="0027006C" w:rsidRDefault="0027006C" w:rsidP="00817137">
            <w:pPr>
              <w:tabs>
                <w:tab w:val="left" w:pos="709"/>
              </w:tabs>
              <w:spacing w:after="120"/>
              <w:jc w:val="both"/>
              <w:rPr>
                <w:rFonts w:ascii="Verdana" w:hAnsi="Verdana"/>
              </w:rPr>
            </w:pPr>
            <w:proofErr w:type="spellStart"/>
            <w:r>
              <w:rPr>
                <w:rFonts w:ascii="Verdana" w:hAnsi="Verdana" w:cs="Arial"/>
                <w:lang w:eastAsia="es-ES"/>
              </w:rPr>
              <w:t>iv</w:t>
            </w:r>
            <w:proofErr w:type="spellEnd"/>
            <w:r>
              <w:rPr>
                <w:rFonts w:ascii="Verdana" w:hAnsi="Verdana" w:cs="Arial"/>
                <w:lang w:eastAsia="es-ES"/>
              </w:rPr>
              <w:t>.</w:t>
            </w:r>
            <w:r>
              <w:rPr>
                <w:rFonts w:ascii="Verdana" w:eastAsia="Times New Roman" w:hAnsi="Verdana" w:cs="Times New Roman"/>
              </w:rPr>
              <w:t xml:space="preserve"> </w:t>
            </w:r>
            <w:r w:rsidRPr="0062169F">
              <w:rPr>
                <w:rFonts w:ascii="Verdana" w:eastAsia="Times New Roman" w:hAnsi="Verdana" w:cs="Times New Roman"/>
              </w:rPr>
              <w:t xml:space="preserve">En relación con el </w:t>
            </w:r>
            <w:r>
              <w:rPr>
                <w:rFonts w:ascii="Verdana" w:eastAsia="Times New Roman" w:hAnsi="Verdana" w:cs="Times New Roman"/>
              </w:rPr>
              <w:t xml:space="preserve">cuarto </w:t>
            </w:r>
            <w:r w:rsidRPr="0062169F">
              <w:rPr>
                <w:rFonts w:ascii="Verdana" w:eastAsia="Times New Roman" w:hAnsi="Verdana" w:cs="Times New Roman"/>
              </w:rPr>
              <w:t xml:space="preserve">problema jurídico planteado, debe destacarse que la vigencia de las garantías constituye un requisito indispensable para adelantar la liquidación de los contratos estatales, pues su </w:t>
            </w:r>
            <w:r>
              <w:rPr>
                <w:rFonts w:ascii="Verdana" w:eastAsia="Times New Roman" w:hAnsi="Verdana" w:cs="Times New Roman"/>
              </w:rPr>
              <w:t>propósito</w:t>
            </w:r>
            <w:r w:rsidRPr="0062169F">
              <w:rPr>
                <w:rFonts w:ascii="Verdana" w:eastAsia="Times New Roman" w:hAnsi="Verdana" w:cs="Times New Roman"/>
              </w:rPr>
              <w:t xml:space="preserve"> es asegurar el cumplimiento de las obligaciones que subsisten más allá de la extinción del vínculo contractual. En este sentido, el amparo de cumplimiento debe encontrarse vigente al momento de la liquidación, dado que en dicha etapa se realiza el ajuste de cuentas desde el punto de vista técnico, administrativo y financiero, lo cual exige que la entidad estatal cuente con </w:t>
            </w:r>
            <w:r w:rsidRPr="0062169F">
              <w:rPr>
                <w:rFonts w:ascii="Verdana" w:eastAsia="Times New Roman" w:hAnsi="Verdana" w:cs="Times New Roman"/>
              </w:rPr>
              <w:lastRenderedPageBreak/>
              <w:t>respaldo jurídico y económico frente a eventuales incumplimientos posteriores.</w:t>
            </w:r>
          </w:p>
          <w:p w14:paraId="58C89FD6" w14:textId="77777777" w:rsidR="0027006C" w:rsidRPr="00A079FC" w:rsidRDefault="0027006C" w:rsidP="00817137">
            <w:pPr>
              <w:tabs>
                <w:tab w:val="left" w:pos="709"/>
              </w:tabs>
              <w:spacing w:after="120"/>
              <w:jc w:val="both"/>
              <w:rPr>
                <w:rFonts w:ascii="Verdana" w:hAnsi="Verdana"/>
              </w:rPr>
            </w:pPr>
            <w:r>
              <w:rPr>
                <w:rFonts w:ascii="Verdana" w:hAnsi="Verdana"/>
              </w:rPr>
              <w:tab/>
              <w:t>Así mismo, e</w:t>
            </w:r>
            <w:r w:rsidRPr="00C95668">
              <w:rPr>
                <w:rFonts w:ascii="Verdana" w:hAnsi="Verdana"/>
              </w:rPr>
              <w:t>l inciso cuarto del artículo 60 de la Ley 80 de 1993 establece expresamente que, para la liquidación, el contratista debe extender o ampliar la garantía</w:t>
            </w:r>
            <w:r>
              <w:rPr>
                <w:rFonts w:ascii="Verdana" w:hAnsi="Verdana"/>
              </w:rPr>
              <w:t xml:space="preserve"> si es del caso a amparos</w:t>
            </w:r>
            <w:r w:rsidRPr="00C95668">
              <w:rPr>
                <w:rFonts w:ascii="Verdana" w:hAnsi="Verdana"/>
              </w:rPr>
              <w:t xml:space="preserve"> como la estabilidad de la obra, la calidad del bien o servicio, la provisión de repuestos, el pago de salarios y prestaciones, así como la responsabilidad civil </w:t>
            </w:r>
            <w:r>
              <w:rPr>
                <w:rFonts w:ascii="Verdana" w:hAnsi="Verdana"/>
              </w:rPr>
              <w:t>extracontractual</w:t>
            </w:r>
            <w:r w:rsidRPr="00C95668">
              <w:rPr>
                <w:rFonts w:ascii="Verdana" w:hAnsi="Verdana"/>
              </w:rPr>
              <w:t>. De esta manera, la garantía se erige como un instrumento de protección del interés público y de la indemnidad patrimonial de la entidad estatal.</w:t>
            </w:r>
            <w:r>
              <w:rPr>
                <w:rFonts w:ascii="Verdana" w:hAnsi="Verdana"/>
              </w:rPr>
              <w:t xml:space="preserve"> </w:t>
            </w:r>
            <w:r>
              <w:rPr>
                <w:rFonts w:ascii="Verdana" w:eastAsia="Times New Roman" w:hAnsi="Verdana" w:cs="Times New Roman"/>
              </w:rPr>
              <w:t>Por tanto</w:t>
            </w:r>
            <w:r w:rsidRPr="00C95668">
              <w:rPr>
                <w:rFonts w:ascii="Verdana" w:eastAsia="Times New Roman" w:hAnsi="Verdana" w:cs="Times New Roman"/>
              </w:rPr>
              <w:t xml:space="preserve">, la liquidación no puede adelantarse sin que las garantías se encuentren vigentes, pues implicaría desconocer un mandato legal expreso y dejar desprotegido el patrimonio público frente a eventuales incumplimientos posteriores. </w:t>
            </w:r>
          </w:p>
          <w:p w14:paraId="23A8C5A9" w14:textId="77777777" w:rsidR="0027006C" w:rsidRDefault="0027006C" w:rsidP="00817137">
            <w:pPr>
              <w:tabs>
                <w:tab w:val="left" w:pos="709"/>
              </w:tabs>
              <w:spacing w:after="120"/>
              <w:ind w:firstLine="709"/>
              <w:jc w:val="both"/>
              <w:rPr>
                <w:rFonts w:ascii="Verdana" w:eastAsia="Times New Roman" w:hAnsi="Verdana" w:cs="Times New Roman"/>
              </w:rPr>
            </w:pPr>
            <w:r>
              <w:rPr>
                <w:rFonts w:ascii="Verdana" w:eastAsia="Times New Roman" w:hAnsi="Verdana" w:cs="Times New Roman"/>
              </w:rPr>
              <w:t>La negativa expresa de la aseguradora a renovar, rehabilitar o expedir una nueva póliza no exonera al contratista de su deber de mantener vigente la garantía. La obligación de constituir y mantener las garantías recae directamente sobre el contratista, quien debe gestionar la expedición de una nueva póliza o la sustitución de la garantía. Para ello, el ordenamiento ofrece mecanismos alternativos: además del contrato de seguro, el artículo 7 de la Ley 1150 de 2007 admite la garantía bancaria y el patrimonio autónomo constituido mediante fiducia mercantil, de modo que la negativa de una compañía aseguradora, por sí sola, no acredita la imposibilidad de obtener la cobertura exigida. En consecuencia, ante la negativa de una aseguradora, el contratista puede acudir a otra o a cualquiera de los referidos mecanismos, y la entidad debe requerírselo formalmente. Ahora bien, si pese al requerimiento el contratista no sustituye la garantía, la entidad no queda impedida de manera indefinida para liquidar. El deber de liquidar y la protección del interés público exigen que la entidad, agotada la exigencia, adelante la liquidación —de mutuo acuerdo o, en su defecto, unilateralmente— dejando constancia expresa de la ausencia de garantía y de las gestiones adelantadas, haciendo efectivo el amparo que resulte exigible por el siniestro configurado durante su vigencia y activando las acciones sancionatorias, coercitivas y judiciales pertinentes. De este modo se evita que la conducta de un tercero —la aseguradora— o el incumplimiento del contratista frustren indefinidamente la liquidación, con el consiguiente riesgo de preclusión de la competencia para liquidar unilateralmente y de caducidad del medio de control (Pregunta 4).</w:t>
            </w:r>
          </w:p>
          <w:p w14:paraId="1CB3B3F9" w14:textId="77777777" w:rsidR="0027006C" w:rsidRDefault="0027006C" w:rsidP="00817137">
            <w:pPr>
              <w:tabs>
                <w:tab w:val="left" w:pos="709"/>
              </w:tabs>
              <w:spacing w:after="120"/>
              <w:ind w:firstLine="709"/>
              <w:jc w:val="both"/>
              <w:rPr>
                <w:rFonts w:ascii="Verdana" w:eastAsia="Times New Roman" w:hAnsi="Verdana" w:cs="Times New Roman"/>
              </w:rPr>
            </w:pPr>
            <w:hyperlink r:id="rId12" w:tgtFrame="_blank" w:tooltip="https://www.colombiacompra.gov.co/archivos/manual/guia-de-garantias-en-procesos-de-contratacion" w:history="1"/>
            <w:r>
              <w:rPr>
                <w:rFonts w:ascii="Verdana" w:eastAsia="Times New Roman" w:hAnsi="Verdana" w:cs="Times New Roman"/>
              </w:rPr>
              <w:t xml:space="preserve">Por último, en cuanto a los conceptos, circulares y lineamientos pertinentes (pregunta 6), esta Agencia se ha pronunciado sobre el régimen de garantías y sobre el procedimiento administrativo sancionatorio en los </w:t>
            </w:r>
            <w:r>
              <w:rPr>
                <w:rFonts w:ascii="Verdana" w:eastAsia="Times New Roman" w:hAnsi="Verdana" w:cs="Times New Roman"/>
              </w:rPr>
              <w:lastRenderedPageBreak/>
              <w:t xml:space="preserve">conceptos relacionados en el acápite de doctrina de este documento, entre los cuales resultan especialmente pertinentes al escenario consultado —concurrencia de suspensión, vencimiento de garantías y terminación o liquidación del contrato— el Concepto C-1834 de 2025, sobre suspensión y procedimiento administrativo sancionatorio, y los conceptos sobre modificación de garantías allí citados. Del mismo modo, se recomienda consultar la nueva versión de la Guía para la Exigencia y Constitución de Garantías en los Procesos de Contratación, dirigida a las entidades sometidas al EGCAP y a las de regímenes exceptuados, así como a proveedores y órganos de control, que orienta sobre las clases de garantías admisibles, la correspondencia entre riesgos asignados y amparos exigidos, su suficiencia y vigencia, y el procedimiento para hacerlas efectivas. Consúltela aquí: </w:t>
            </w:r>
            <w:hyperlink r:id="rId13" w:history="1">
              <w:r w:rsidRPr="00FC2EA1">
                <w:rPr>
                  <w:rStyle w:val="Hipervnculo"/>
                  <w:rFonts w:ascii="Verdana" w:eastAsia="Times New Roman" w:hAnsi="Verdana" w:cs="Times New Roman"/>
                </w:rPr>
                <w:t>https://www.colombiacompra.gov.co/archivos/manual/guia-de-garantias-en-procesos-de-contratacion</w:t>
              </w:r>
            </w:hyperlink>
            <w:r>
              <w:rPr>
                <w:rFonts w:ascii="Verdana" w:eastAsia="Times New Roman" w:hAnsi="Verdana" w:cs="Times New Roman"/>
              </w:rPr>
              <w:t xml:space="preserve">  (Pregunta 6).</w:t>
            </w:r>
          </w:p>
          <w:p w14:paraId="350C0730" w14:textId="77777777" w:rsidR="0027006C" w:rsidRPr="00077977" w:rsidRDefault="0027006C" w:rsidP="00817137">
            <w:pPr>
              <w:ind w:firstLine="709"/>
              <w:jc w:val="both"/>
              <w:rPr>
                <w:rFonts w:ascii="Verdana" w:hAnsi="Verdana" w:cs="Arial"/>
                <w:lang w:val="es-ES" w:eastAsia="es-ES"/>
              </w:rPr>
            </w:pPr>
            <w:r w:rsidRPr="009037F6">
              <w:rPr>
                <w:rFonts w:ascii="Verdana"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29EBE6FF" w14:textId="77777777" w:rsidR="0027006C" w:rsidRPr="009037F6" w:rsidRDefault="0027006C" w:rsidP="00817137">
      <w:pPr>
        <w:spacing w:after="0" w:line="240" w:lineRule="auto"/>
        <w:jc w:val="both"/>
        <w:rPr>
          <w:rFonts w:ascii="Verdana" w:eastAsia="Calibri" w:hAnsi="Verdana" w:cs="Arial"/>
          <w:bCs/>
          <w:color w:val="000000" w:themeColor="text1"/>
        </w:rPr>
      </w:pPr>
    </w:p>
    <w:p w14:paraId="5A098021" w14:textId="77777777" w:rsidR="0027006C" w:rsidRPr="009037F6" w:rsidRDefault="0027006C" w:rsidP="00817137">
      <w:pPr>
        <w:numPr>
          <w:ilvl w:val="0"/>
          <w:numId w:val="16"/>
        </w:numPr>
        <w:tabs>
          <w:tab w:val="left" w:pos="2268"/>
        </w:tabs>
        <w:spacing w:after="0" w:line="240" w:lineRule="auto"/>
        <w:rPr>
          <w:rFonts w:ascii="Verdana" w:eastAsia="Calibri" w:hAnsi="Verdana" w:cs="Times New Roman"/>
          <w:b/>
          <w:bCs/>
          <w:lang w:val="es-ES"/>
        </w:rPr>
      </w:pPr>
      <w:r w:rsidRPr="009037F6">
        <w:rPr>
          <w:rFonts w:ascii="Verdana" w:eastAsia="Calibri" w:hAnsi="Verdana" w:cs="Times New Roman"/>
          <w:b/>
          <w:bCs/>
          <w:lang w:val="es-ES"/>
        </w:rPr>
        <w:t>Razones de la respuesta:</w:t>
      </w:r>
    </w:p>
    <w:p w14:paraId="3985545F" w14:textId="77777777" w:rsidR="0027006C" w:rsidRPr="009037F6" w:rsidRDefault="0027006C" w:rsidP="00817137">
      <w:pPr>
        <w:spacing w:after="0" w:line="240" w:lineRule="auto"/>
        <w:rPr>
          <w:rFonts w:ascii="Verdana" w:eastAsia="Calibri" w:hAnsi="Verdana" w:cs="Times New Roman"/>
          <w:b/>
          <w:bCs/>
          <w:lang w:val="es-ES"/>
        </w:rPr>
      </w:pPr>
    </w:p>
    <w:p w14:paraId="4B0286F2" w14:textId="77777777" w:rsidR="0027006C" w:rsidRPr="009037F6" w:rsidRDefault="0027006C" w:rsidP="00817137">
      <w:pPr>
        <w:spacing w:after="0" w:line="240" w:lineRule="auto"/>
        <w:jc w:val="both"/>
        <w:rPr>
          <w:rFonts w:ascii="Verdana" w:eastAsia="Calibri" w:hAnsi="Verdana" w:cs="Arial"/>
          <w:lang w:val="es-ES"/>
        </w:rPr>
      </w:pPr>
      <w:r w:rsidRPr="009037F6">
        <w:rPr>
          <w:rFonts w:ascii="Verdana" w:eastAsia="Calibri" w:hAnsi="Verdana" w:cs="Arial"/>
          <w:lang w:val="es-ES"/>
        </w:rPr>
        <w:t>Lo anterior se sustenta en las siguientes consideraciones:</w:t>
      </w:r>
    </w:p>
    <w:p w14:paraId="3AFFC1DD" w14:textId="77777777" w:rsidR="0027006C" w:rsidRDefault="0027006C" w:rsidP="00817137">
      <w:pPr>
        <w:spacing w:after="0" w:line="240" w:lineRule="auto"/>
        <w:jc w:val="both"/>
        <w:rPr>
          <w:rFonts w:ascii="Verdana" w:eastAsia="Times New Roman" w:hAnsi="Verdana" w:cs="Arial"/>
          <w:lang w:val="es-ES"/>
        </w:rPr>
      </w:pPr>
      <w:bookmarkStart w:id="1" w:name="_Hlk35876968"/>
      <w:bookmarkStart w:id="2" w:name="_Hlk78820161"/>
    </w:p>
    <w:p w14:paraId="00BD0DDC" w14:textId="77777777" w:rsidR="0027006C" w:rsidRPr="00AB5C5E" w:rsidRDefault="0027006C" w:rsidP="00817137">
      <w:pPr>
        <w:spacing w:after="120" w:line="240" w:lineRule="auto"/>
        <w:jc w:val="both"/>
        <w:rPr>
          <w:rFonts w:ascii="Verdana" w:eastAsia="Times New Roman" w:hAnsi="Verdana" w:cs="Arial"/>
          <w:color w:val="000000"/>
          <w:lang w:val="es-ES_tradnl" w:eastAsia="es-ES_tradnl"/>
        </w:rPr>
      </w:pPr>
      <w:r w:rsidRPr="00AB5C5E">
        <w:rPr>
          <w:rFonts w:ascii="Verdana" w:hAnsi="Verdana" w:cs="Arial"/>
          <w:bCs/>
          <w:lang w:val="es-ES" w:eastAsia="es-ES" w:bidi="es-ES"/>
        </w:rPr>
        <w:t xml:space="preserve">i. </w:t>
      </w:r>
      <w:r w:rsidRPr="00AB5C5E">
        <w:rPr>
          <w:rFonts w:ascii="Verdana" w:eastAsia="Times New Roman" w:hAnsi="Verdana" w:cs="Arial"/>
          <w:color w:val="000000"/>
          <w:lang w:val="es-ES_tradnl" w:eastAsia="es-ES_tradnl"/>
        </w:rPr>
        <w:t xml:space="preserve">La </w:t>
      </w:r>
      <w:r w:rsidRPr="00AB5C5E">
        <w:rPr>
          <w:rFonts w:ascii="Verdana" w:eastAsia="Times New Roman" w:hAnsi="Verdana" w:cs="Arial"/>
          <w:i/>
          <w:iCs/>
          <w:color w:val="000000"/>
          <w:lang w:val="es-ES_tradnl" w:eastAsia="es-ES_tradnl"/>
        </w:rPr>
        <w:t>suspensión</w:t>
      </w:r>
      <w:r w:rsidRPr="00AB5C5E">
        <w:rPr>
          <w:rFonts w:ascii="Verdana" w:eastAsia="Times New Roman" w:hAnsi="Verdana" w:cs="Arial"/>
          <w:color w:val="000000"/>
          <w:lang w:val="es-ES_tradnl" w:eastAsia="es-ES_tradnl"/>
        </w:rPr>
        <w:t xml:space="preserve"> es la medida por la cual se acuerda el cese provisional de la ejecución del contrato, por la ocurrencia de circunstancias que lo impiden o lo dificultan</w:t>
      </w:r>
      <w:r w:rsidRPr="00AB5C5E">
        <w:rPr>
          <w:rStyle w:val="Refdenotaalpie"/>
          <w:rFonts w:ascii="Verdana" w:hAnsi="Verdana" w:cs="Arial"/>
        </w:rPr>
        <w:footnoteReference w:id="3"/>
      </w:r>
      <w:r w:rsidRPr="00AB5C5E">
        <w:rPr>
          <w:rFonts w:ascii="Verdana" w:eastAsia="Times New Roman" w:hAnsi="Verdana" w:cs="Arial"/>
          <w:color w:val="000000"/>
          <w:lang w:val="es-ES_tradnl" w:eastAsia="es-ES_tradnl"/>
        </w:rPr>
        <w:t xml:space="preserve">. Las razones de aquella pueden ser de orden técnico, jurídico o económico. En la medida de lo posible, las entidades estatales, durante la fase de planeación debe precaver los riesgos que pueden afectar la ejecución normal del contrato, pero esto no elimina la probabilidad de que ocurran sucesos posteriores y extraordinarios que lleven a las partes a acordar la suspensión o que paralicen el contrato </w:t>
      </w:r>
      <w:r w:rsidRPr="00AB5C5E">
        <w:rPr>
          <w:rFonts w:ascii="Verdana" w:eastAsia="Times New Roman" w:hAnsi="Verdana" w:cs="Arial"/>
          <w:i/>
          <w:iCs/>
          <w:color w:val="000000"/>
          <w:lang w:val="es-ES_tradnl" w:eastAsia="es-ES_tradnl"/>
        </w:rPr>
        <w:t>de facto</w:t>
      </w:r>
      <w:r w:rsidRPr="00AB5C5E">
        <w:rPr>
          <w:rFonts w:ascii="Verdana" w:eastAsia="Times New Roman" w:hAnsi="Verdana" w:cs="Arial"/>
          <w:color w:val="000000"/>
          <w:lang w:val="es-ES_tradnl" w:eastAsia="es-ES_tradnl"/>
        </w:rPr>
        <w:t xml:space="preserve">, mientras se resuelven las situaciones que están incidiendo negativamente en el desarrollo del negocio o que lo están tornando imposible. Esto quiere decir que la suspensión puede ser acordada por </w:t>
      </w:r>
      <w:r w:rsidRPr="00AB5C5E">
        <w:rPr>
          <w:rFonts w:ascii="Verdana" w:eastAsia="Times New Roman" w:hAnsi="Verdana" w:cs="Arial"/>
          <w:color w:val="000000"/>
          <w:lang w:val="es-ES_tradnl" w:eastAsia="es-ES_tradnl"/>
        </w:rPr>
        <w:lastRenderedPageBreak/>
        <w:t>las partes –como usualmente sucede y es lo más recomendable, siempre que existan motivos fundados para ello– o darse por la fuerza de los hechos, es decir, por la configuración de eventos externos e irresistibles que hagan imposible la ejecución del contrato durante un tiempo</w:t>
      </w:r>
      <w:r w:rsidRPr="00AB5C5E">
        <w:rPr>
          <w:rStyle w:val="Refdenotaalpie"/>
          <w:rFonts w:ascii="Verdana" w:hAnsi="Verdana" w:cs="Arial"/>
        </w:rPr>
        <w:footnoteReference w:id="4"/>
      </w:r>
      <w:r w:rsidRPr="00AB5C5E">
        <w:rPr>
          <w:rFonts w:ascii="Verdana" w:eastAsia="Times New Roman" w:hAnsi="Verdana" w:cs="Arial"/>
          <w:color w:val="000000"/>
          <w:lang w:val="es-ES_tradnl" w:eastAsia="es-ES_tradnl"/>
        </w:rPr>
        <w:t>; es decir, por factores que constituyan razones de fuerza mayor o caso fortuito</w:t>
      </w:r>
      <w:r w:rsidRPr="00AB5C5E">
        <w:rPr>
          <w:rStyle w:val="Refdenotaalpie"/>
          <w:rFonts w:ascii="Verdana" w:hAnsi="Verdana" w:cs="Arial"/>
        </w:rPr>
        <w:footnoteReference w:id="5"/>
      </w:r>
      <w:r w:rsidRPr="00AB5C5E">
        <w:rPr>
          <w:rFonts w:ascii="Verdana" w:eastAsia="Times New Roman" w:hAnsi="Verdana" w:cs="Arial"/>
          <w:color w:val="000000"/>
          <w:lang w:val="es-ES_tradnl" w:eastAsia="es-ES_tradnl"/>
        </w:rPr>
        <w:t>.</w:t>
      </w:r>
    </w:p>
    <w:p w14:paraId="6FC96AD7" w14:textId="77777777" w:rsidR="0027006C" w:rsidRPr="00AB5C5E" w:rsidRDefault="0027006C" w:rsidP="00817137">
      <w:pPr>
        <w:spacing w:before="120" w:after="120" w:line="240" w:lineRule="auto"/>
        <w:ind w:firstLine="709"/>
        <w:jc w:val="both"/>
        <w:rPr>
          <w:rFonts w:ascii="Verdana" w:eastAsia="Times New Roman" w:hAnsi="Verdana" w:cs="Arial"/>
          <w:color w:val="000000"/>
          <w:lang w:val="es-ES_tradnl" w:eastAsia="es-ES_tradnl"/>
        </w:rPr>
      </w:pPr>
      <w:r w:rsidRPr="00AB5C5E">
        <w:rPr>
          <w:rFonts w:ascii="Verdana" w:eastAsia="Times New Roman" w:hAnsi="Verdana" w:cs="Arial"/>
          <w:color w:val="000000"/>
          <w:lang w:val="es-ES_tradnl" w:eastAsia="es-ES_tradnl"/>
        </w:rPr>
        <w:t>Por lo tanto, aun cuando un contrato se suspenda, conserva vigencia, pues su plazo no ha vencido, precisamente uno de los efectos de la suspensión es que se detiene provisionalmente el cómputo del plazo y, además las obligaciones de las partes están pendientes de cumplimiento a cabalidad. Solo cuando los motivos que han dado lugar a la suspensión sean permanentes e irresistibles, lo que inicialmente fue solo dicha suspensión puede dar paso a la terminación, y en este evento el deudor no será responsable, salvo que las razones de la suspensión y futura terminación le sean imputables</w:t>
      </w:r>
      <w:r w:rsidRPr="00AB5C5E">
        <w:rPr>
          <w:rStyle w:val="Refdenotaalpie"/>
          <w:rFonts w:ascii="Verdana" w:hAnsi="Verdana" w:cs="Arial"/>
        </w:rPr>
        <w:footnoteReference w:id="6"/>
      </w:r>
      <w:r w:rsidRPr="00AB5C5E">
        <w:rPr>
          <w:rFonts w:ascii="Verdana" w:eastAsia="Times New Roman" w:hAnsi="Verdana" w:cs="Arial"/>
          <w:color w:val="000000"/>
          <w:lang w:val="es-ES_tradnl" w:eastAsia="es-ES_tradnl"/>
        </w:rPr>
        <w:t>. Piénsese, por ejemplo, en el caso de un contrato de suministro respecto del cual el contratista le solicite a la entidad estatal la suspensión por la tardanza de uno de sus proveedores, y que luego se compruebe que la demora es atribuible a la falta de pago del contratista a dichos comerciantes, quienes por eso se niegan en adelante a seguirle vendiendo. Conductas como esta podrían hacer que la suspensión sea permanente y que la entidad estatal se vea en la obligación de terminar el contrato para no afectar la prestación del servicio a su cargo, ni, en consecuencia, los fines del Estado</w:t>
      </w:r>
      <w:r w:rsidRPr="00AB5C5E">
        <w:rPr>
          <w:rStyle w:val="Refdenotaalpie"/>
          <w:rFonts w:ascii="Verdana" w:hAnsi="Verdana" w:cs="Arial"/>
        </w:rPr>
        <w:footnoteReference w:id="7"/>
      </w:r>
      <w:r w:rsidRPr="00AB5C5E">
        <w:rPr>
          <w:rFonts w:ascii="Verdana" w:eastAsia="Times New Roman" w:hAnsi="Verdana" w:cs="Arial"/>
          <w:color w:val="000000"/>
          <w:lang w:val="es-ES_tradnl" w:eastAsia="es-ES_tradnl"/>
        </w:rPr>
        <w:t>.</w:t>
      </w:r>
    </w:p>
    <w:p w14:paraId="1D14A39C" w14:textId="77777777" w:rsidR="0027006C" w:rsidRPr="00AB5C5E" w:rsidRDefault="0027006C" w:rsidP="00817137">
      <w:pPr>
        <w:spacing w:before="120" w:after="0" w:line="240" w:lineRule="auto"/>
        <w:ind w:firstLine="709"/>
        <w:jc w:val="both"/>
        <w:rPr>
          <w:rFonts w:ascii="Verdana" w:eastAsia="Times New Roman" w:hAnsi="Verdana" w:cs="Arial"/>
          <w:color w:val="000000"/>
          <w:lang w:val="es-ES_tradnl" w:eastAsia="es-ES_tradnl"/>
        </w:rPr>
      </w:pPr>
      <w:r w:rsidRPr="00AB5C5E">
        <w:rPr>
          <w:rFonts w:ascii="Verdana" w:eastAsia="Times New Roman" w:hAnsi="Verdana" w:cs="Arial"/>
          <w:color w:val="000000"/>
          <w:lang w:val="es-ES_tradnl" w:eastAsia="es-ES_tradnl"/>
        </w:rPr>
        <w:t>Ahora bien, cuando se su</w:t>
      </w:r>
      <w:r>
        <w:rPr>
          <w:rFonts w:ascii="Verdana" w:eastAsia="Times New Roman" w:hAnsi="Verdana" w:cs="Arial"/>
          <w:color w:val="000000"/>
          <w:lang w:val="es-ES_tradnl" w:eastAsia="es-ES_tradnl"/>
        </w:rPr>
        <w:t xml:space="preserve">scribe un acta de suspensión puede </w:t>
      </w:r>
      <w:r w:rsidRPr="00AB5C5E">
        <w:rPr>
          <w:rFonts w:ascii="Verdana" w:eastAsia="Times New Roman" w:hAnsi="Verdana" w:cs="Arial"/>
          <w:color w:val="000000"/>
          <w:lang w:val="es-ES_tradnl" w:eastAsia="es-ES_tradnl"/>
        </w:rPr>
        <w:t>establecer</w:t>
      </w:r>
      <w:r>
        <w:rPr>
          <w:rFonts w:ascii="Verdana" w:eastAsia="Times New Roman" w:hAnsi="Verdana" w:cs="Arial"/>
          <w:color w:val="000000"/>
          <w:lang w:val="es-ES_tradnl" w:eastAsia="es-ES_tradnl"/>
        </w:rPr>
        <w:t>se</w:t>
      </w:r>
      <w:r w:rsidRPr="00AB5C5E">
        <w:rPr>
          <w:rFonts w:ascii="Verdana" w:eastAsia="Times New Roman" w:hAnsi="Verdana" w:cs="Arial"/>
          <w:color w:val="000000"/>
          <w:lang w:val="es-ES_tradnl" w:eastAsia="es-ES_tradnl"/>
        </w:rPr>
        <w:t xml:space="preserve">, en ejercicio de la autonomía de la voluntad, que el plazo del contrato se reactivará una vez se firme el acta de reinicio correspondiente. Sin embargo, en ejercicio de la misma autonomía de la voluntad y en consideración a las razones </w:t>
      </w:r>
      <w:r w:rsidRPr="00AB5C5E">
        <w:rPr>
          <w:rFonts w:ascii="Verdana" w:eastAsia="Times New Roman" w:hAnsi="Verdana" w:cs="Arial"/>
          <w:color w:val="000000"/>
          <w:lang w:val="es-ES_tradnl" w:eastAsia="es-ES_tradnl"/>
        </w:rPr>
        <w:lastRenderedPageBreak/>
        <w:t xml:space="preserve">que han motivado el cese provisional de la ejecución del contrato, otra metodología que pueden emplear las partes para elaborar el acta de suspensión es indicar en ella que la ejecución se reactivará cuando se cumpla un determinado plazo o condición, de manera automática, sin necesidad de suscribir un acta de reinicio. Esto es posible, porque el segundo y tercer inciso del artículo 40 de la Ley 80 de 1993 establecen: </w:t>
      </w:r>
    </w:p>
    <w:p w14:paraId="3BD54D19" w14:textId="77777777" w:rsidR="0027006C" w:rsidRPr="00AB5C5E" w:rsidRDefault="0027006C" w:rsidP="00817137">
      <w:pPr>
        <w:spacing w:after="0" w:line="240" w:lineRule="auto"/>
        <w:ind w:left="709" w:right="709"/>
        <w:jc w:val="both"/>
        <w:rPr>
          <w:rFonts w:ascii="Verdana" w:eastAsia="Times New Roman" w:hAnsi="Verdana" w:cs="Arial"/>
          <w:color w:val="000000"/>
          <w:lang w:val="es-ES_tradnl" w:eastAsia="es-ES_tradnl"/>
        </w:rPr>
      </w:pPr>
    </w:p>
    <w:p w14:paraId="00FB7F1E" w14:textId="77777777" w:rsidR="0027006C" w:rsidRPr="000A4387" w:rsidRDefault="0027006C" w:rsidP="00817137">
      <w:pPr>
        <w:spacing w:after="0" w:line="240" w:lineRule="auto"/>
        <w:ind w:left="709" w:right="709"/>
        <w:jc w:val="both"/>
        <w:rPr>
          <w:rFonts w:ascii="Verdana" w:eastAsia="Times New Roman" w:hAnsi="Verdana" w:cs="Arial"/>
          <w:color w:val="000000"/>
          <w:sz w:val="20"/>
          <w:lang w:val="es-ES_tradnl" w:eastAsia="es-ES_tradnl"/>
        </w:rPr>
      </w:pPr>
      <w:r w:rsidRPr="000A4387">
        <w:rPr>
          <w:rFonts w:ascii="Verdana" w:eastAsia="Calibri" w:hAnsi="Verdana" w:cs="Arial"/>
          <w:color w:val="000000"/>
          <w:sz w:val="20"/>
          <w:lang w:val="es-ES" w:eastAsia="es-ES_tradnl"/>
        </w:rPr>
        <w:t>[…]L</w:t>
      </w:r>
      <w:r w:rsidRPr="000A4387">
        <w:rPr>
          <w:rFonts w:ascii="Verdana" w:eastAsia="Times New Roman" w:hAnsi="Verdana" w:cs="Arial"/>
          <w:color w:val="000000"/>
          <w:sz w:val="20"/>
          <w:lang w:val="es-ES_tradnl" w:eastAsia="es-ES_tradnl"/>
        </w:rPr>
        <w:t>as entidades podrán celebrar los contratos y acuerdos que permitan la autonomía de la voluntad y requieran el cumplimiento de los fines estatales.</w:t>
      </w:r>
    </w:p>
    <w:p w14:paraId="4B485CDE" w14:textId="77777777" w:rsidR="0027006C" w:rsidRPr="000A4387" w:rsidRDefault="0027006C" w:rsidP="00817137">
      <w:pPr>
        <w:spacing w:after="0" w:line="240" w:lineRule="auto"/>
        <w:ind w:left="709" w:right="709"/>
        <w:jc w:val="both"/>
        <w:rPr>
          <w:rFonts w:ascii="Verdana" w:eastAsia="Times New Roman" w:hAnsi="Verdana" w:cs="Arial"/>
          <w:color w:val="000000"/>
          <w:sz w:val="20"/>
          <w:lang w:val="es-ES_tradnl" w:eastAsia="es-ES_tradnl"/>
        </w:rPr>
      </w:pPr>
    </w:p>
    <w:p w14:paraId="321F889E" w14:textId="77777777" w:rsidR="0027006C" w:rsidRPr="000A4387" w:rsidRDefault="0027006C" w:rsidP="00817137">
      <w:pPr>
        <w:spacing w:after="0" w:line="240" w:lineRule="auto"/>
        <w:ind w:left="709" w:right="709"/>
        <w:jc w:val="both"/>
        <w:rPr>
          <w:rFonts w:ascii="Verdana" w:eastAsia="Times New Roman" w:hAnsi="Verdana" w:cs="Arial"/>
          <w:color w:val="000000"/>
          <w:sz w:val="20"/>
          <w:lang w:val="es-ES_tradnl" w:eastAsia="es-ES_tradnl"/>
        </w:rPr>
      </w:pPr>
      <w:r w:rsidRPr="000A4387">
        <w:rPr>
          <w:rFonts w:ascii="Verdana" w:eastAsia="Times New Roman" w:hAnsi="Verdana" w:cs="Arial"/>
          <w:i/>
          <w:iCs/>
          <w:color w:val="000000"/>
          <w:sz w:val="20"/>
          <w:lang w:val="es-ES_tradnl" w:eastAsia="es-ES_tradnl"/>
        </w:rPr>
        <w:t>En los contratos que celebren las entidades estatales podrán incluirse las</w:t>
      </w:r>
      <w:r w:rsidRPr="000A4387">
        <w:rPr>
          <w:rFonts w:ascii="Verdana" w:eastAsia="Times New Roman" w:hAnsi="Verdana" w:cs="Arial"/>
          <w:color w:val="000000"/>
          <w:sz w:val="20"/>
          <w:lang w:val="es-ES_tradnl" w:eastAsia="es-ES_tradnl"/>
        </w:rPr>
        <w:t xml:space="preserve"> modalidades, </w:t>
      </w:r>
      <w:r w:rsidRPr="000A4387">
        <w:rPr>
          <w:rFonts w:ascii="Verdana" w:eastAsia="Times New Roman" w:hAnsi="Verdana" w:cs="Arial"/>
          <w:i/>
          <w:iCs/>
          <w:color w:val="000000"/>
          <w:sz w:val="20"/>
          <w:lang w:val="es-ES_tradnl" w:eastAsia="es-ES_tradnl"/>
        </w:rPr>
        <w:t>condiciones</w:t>
      </w:r>
      <w:r w:rsidRPr="000A4387">
        <w:rPr>
          <w:rFonts w:ascii="Verdana" w:eastAsia="Times New Roman" w:hAnsi="Verdana" w:cs="Arial"/>
          <w:color w:val="000000"/>
          <w:sz w:val="20"/>
          <w:lang w:val="es-ES_tradnl" w:eastAsia="es-ES_tradnl"/>
        </w:rPr>
        <w:t xml:space="preserve"> y, en general, las </w:t>
      </w:r>
      <w:r w:rsidRPr="000A4387">
        <w:rPr>
          <w:rFonts w:ascii="Verdana" w:eastAsia="Times New Roman" w:hAnsi="Verdana" w:cs="Arial"/>
          <w:i/>
          <w:iCs/>
          <w:color w:val="000000"/>
          <w:sz w:val="20"/>
          <w:lang w:val="es-ES_tradnl" w:eastAsia="es-ES_tradnl"/>
        </w:rPr>
        <w:t>cláusulas o estipulaciones</w:t>
      </w:r>
      <w:r w:rsidRPr="000A4387">
        <w:rPr>
          <w:rFonts w:ascii="Verdana" w:eastAsia="Times New Roman" w:hAnsi="Verdana" w:cs="Arial"/>
          <w:color w:val="000000"/>
          <w:sz w:val="20"/>
          <w:lang w:val="es-ES_tradnl" w:eastAsia="es-ES_tradnl"/>
        </w:rPr>
        <w:t xml:space="preserve"> que las partes consideren necesarias y convenientes, siempre que no sean contrarias a la Constitución, la ley, el orden público y a los principios y finalidades de esta ley y </w:t>
      </w:r>
      <w:r>
        <w:rPr>
          <w:rFonts w:ascii="Verdana" w:eastAsia="Times New Roman" w:hAnsi="Verdana" w:cs="Arial"/>
          <w:color w:val="000000"/>
          <w:sz w:val="20"/>
          <w:lang w:val="es-ES_tradnl" w:eastAsia="es-ES_tradnl"/>
        </w:rPr>
        <w:t>a los de la buena administración</w:t>
      </w:r>
      <w:r w:rsidRPr="000A4387">
        <w:rPr>
          <w:rFonts w:ascii="Verdana" w:eastAsia="Times New Roman" w:hAnsi="Verdana" w:cs="Arial"/>
          <w:color w:val="000000"/>
          <w:sz w:val="20"/>
          <w:lang w:val="es-ES_tradnl" w:eastAsia="es-ES_tradnl"/>
        </w:rPr>
        <w:t xml:space="preserve"> [énfasis fuera de texto].</w:t>
      </w:r>
    </w:p>
    <w:p w14:paraId="7EC8DDC7" w14:textId="77777777" w:rsidR="0027006C" w:rsidRPr="00AB5C5E" w:rsidRDefault="0027006C" w:rsidP="00817137">
      <w:pPr>
        <w:spacing w:after="0" w:line="240" w:lineRule="auto"/>
        <w:ind w:firstLine="709"/>
        <w:jc w:val="both"/>
        <w:rPr>
          <w:rFonts w:ascii="Verdana" w:eastAsia="Times New Roman" w:hAnsi="Verdana" w:cs="Arial"/>
          <w:color w:val="000000"/>
          <w:lang w:val="es-ES_tradnl" w:eastAsia="es-ES_tradnl"/>
        </w:rPr>
      </w:pPr>
    </w:p>
    <w:p w14:paraId="7AF106F6" w14:textId="77777777" w:rsidR="0027006C" w:rsidRPr="00AB5C5E" w:rsidRDefault="0027006C" w:rsidP="00817137">
      <w:pPr>
        <w:spacing w:after="0" w:line="240" w:lineRule="auto"/>
        <w:ind w:firstLine="708"/>
        <w:jc w:val="both"/>
        <w:rPr>
          <w:rFonts w:ascii="Verdana" w:eastAsia="Times New Roman" w:hAnsi="Verdana" w:cs="Arial"/>
          <w:color w:val="000000"/>
          <w:lang w:val="es-ES_tradnl" w:eastAsia="es-ES_tradnl"/>
        </w:rPr>
      </w:pPr>
      <w:r w:rsidRPr="00AB5C5E">
        <w:rPr>
          <w:rFonts w:ascii="Verdana" w:eastAsia="Times New Roman" w:hAnsi="Verdana" w:cs="Arial"/>
          <w:color w:val="000000"/>
          <w:lang w:val="es-ES_tradnl" w:eastAsia="es-ES_tradnl"/>
        </w:rPr>
        <w:t xml:space="preserve">Como se observa, en los negocios jurídicos –siendo el acta de suspensión uno de ellos, porque se trata de un acuerdo de voluntades para crear obligaciones– las entidades pueden incorporar las </w:t>
      </w:r>
      <w:r w:rsidRPr="00AB5C5E">
        <w:rPr>
          <w:rFonts w:ascii="Verdana" w:eastAsia="Times New Roman" w:hAnsi="Verdana" w:cs="Arial"/>
          <w:i/>
          <w:iCs/>
          <w:color w:val="000000"/>
          <w:lang w:val="es-ES_tradnl" w:eastAsia="es-ES_tradnl"/>
        </w:rPr>
        <w:t>condiciones</w:t>
      </w:r>
      <w:r w:rsidRPr="00AB5C5E">
        <w:rPr>
          <w:rFonts w:ascii="Verdana" w:eastAsia="Times New Roman" w:hAnsi="Verdana" w:cs="Arial"/>
          <w:color w:val="000000"/>
          <w:lang w:val="es-ES_tradnl" w:eastAsia="es-ES_tradnl"/>
        </w:rPr>
        <w:t xml:space="preserve"> y </w:t>
      </w:r>
      <w:r w:rsidRPr="00AB5C5E">
        <w:rPr>
          <w:rFonts w:ascii="Verdana" w:eastAsia="Times New Roman" w:hAnsi="Verdana" w:cs="Arial"/>
          <w:i/>
          <w:iCs/>
          <w:color w:val="000000"/>
          <w:lang w:val="es-ES_tradnl" w:eastAsia="es-ES_tradnl"/>
        </w:rPr>
        <w:t xml:space="preserve">cláusulas </w:t>
      </w:r>
      <w:r w:rsidRPr="00AB5C5E">
        <w:rPr>
          <w:rFonts w:ascii="Verdana" w:eastAsia="Times New Roman" w:hAnsi="Verdana" w:cs="Arial"/>
          <w:color w:val="000000"/>
          <w:lang w:val="es-ES_tradnl" w:eastAsia="es-ES_tradnl"/>
        </w:rPr>
        <w:t>que sean necesarias y convenientes. Pues bien, de conformidad con los artículos 1530 y siguientes del Código Civil –que establecen las condiciones o términos a los que pueden sujetarse las obligaciones, y que se aplican por la remisión que hacen los artículos 13, 32 y 40 de la Ley 80 de 1993 a las normas comerciales y civiles–, en el acta de suspensión puede estipularse que el plazo de ejecución del contrato se reactivará cuando se cumpla una condición o sobrevenga una fecha específica.</w:t>
      </w:r>
      <w:r>
        <w:rPr>
          <w:rFonts w:ascii="Verdana" w:eastAsia="Times New Roman" w:hAnsi="Verdana" w:cs="Arial"/>
          <w:color w:val="000000"/>
          <w:lang w:val="es-ES_tradnl" w:eastAsia="es-ES_tradnl"/>
        </w:rPr>
        <w:t xml:space="preserve"> En ambos supuestos de suspensión implican una modificación del plazo contractual.</w:t>
      </w:r>
      <w:r w:rsidRPr="00AB5C5E">
        <w:rPr>
          <w:rFonts w:ascii="Verdana" w:eastAsia="Times New Roman" w:hAnsi="Verdana" w:cs="Arial"/>
          <w:color w:val="000000"/>
          <w:lang w:val="es-ES_tradnl" w:eastAsia="es-ES_tradnl"/>
        </w:rPr>
        <w:t xml:space="preserve"> Así lo ha reconocido el Consejo de Estado</w:t>
      </w:r>
      <w:r w:rsidRPr="00AB5C5E">
        <w:rPr>
          <w:rStyle w:val="Refdenotaalpie"/>
          <w:rFonts w:ascii="Verdana" w:hAnsi="Verdana" w:cs="Arial"/>
        </w:rPr>
        <w:footnoteReference w:id="8"/>
      </w:r>
      <w:r w:rsidRPr="00AB5C5E">
        <w:rPr>
          <w:rFonts w:ascii="Verdana" w:eastAsia="Times New Roman" w:hAnsi="Verdana" w:cs="Arial"/>
          <w:color w:val="000000"/>
          <w:lang w:val="es-ES_tradnl" w:eastAsia="es-ES_tradnl"/>
        </w:rPr>
        <w:t xml:space="preserve"> en auto del 10 de mayo de 2019, donde indicó: </w:t>
      </w:r>
    </w:p>
    <w:p w14:paraId="0BA50C53" w14:textId="77777777" w:rsidR="0027006C" w:rsidRPr="00AB5C5E" w:rsidRDefault="0027006C" w:rsidP="00817137">
      <w:pPr>
        <w:spacing w:after="0" w:line="240" w:lineRule="auto"/>
        <w:jc w:val="both"/>
        <w:rPr>
          <w:rFonts w:ascii="Verdana" w:eastAsia="Times New Roman" w:hAnsi="Verdana" w:cs="Arial"/>
          <w:color w:val="000000"/>
          <w:lang w:val="es-ES_tradnl" w:eastAsia="es-ES_tradnl"/>
        </w:rPr>
      </w:pPr>
    </w:p>
    <w:p w14:paraId="55D6707E" w14:textId="77777777" w:rsidR="0027006C" w:rsidRPr="00DB6029" w:rsidRDefault="0027006C" w:rsidP="00817137">
      <w:pPr>
        <w:spacing w:after="0" w:line="240" w:lineRule="auto"/>
        <w:ind w:left="709" w:right="709"/>
        <w:jc w:val="both"/>
        <w:rPr>
          <w:rFonts w:ascii="Verdana" w:eastAsia="Times New Roman" w:hAnsi="Verdana" w:cs="Arial"/>
          <w:color w:val="000000"/>
          <w:sz w:val="20"/>
          <w:szCs w:val="20"/>
          <w:lang w:val="es-ES_tradnl" w:eastAsia="es-ES_tradnl"/>
        </w:rPr>
      </w:pPr>
      <w:r w:rsidRPr="00DB6029">
        <w:rPr>
          <w:rFonts w:ascii="Verdana" w:hAnsi="Verdana" w:cs="Arial"/>
          <w:sz w:val="20"/>
          <w:szCs w:val="20"/>
        </w:rPr>
        <w:t>[…] De modo que, los contratos estatales pueden suspenderse de común acuerdo por la ocurrencia de circunstancias que lo justifiquen. Así, aunque subsiste el vínculo contractual no corre el plazo inicialmente pactado y no se ejecutan las obligaciones. El contrato se reinicia cuando se cumpla la condición o el término dispuesto en el acuerdo de suspensión o anticipadamente por convenio de las partes.</w:t>
      </w:r>
    </w:p>
    <w:p w14:paraId="1EA66F49" w14:textId="77777777" w:rsidR="0027006C" w:rsidRPr="00AB5C5E" w:rsidRDefault="0027006C" w:rsidP="00817137">
      <w:pPr>
        <w:spacing w:after="0" w:line="240" w:lineRule="auto"/>
        <w:jc w:val="both"/>
        <w:rPr>
          <w:rFonts w:ascii="Verdana" w:eastAsia="Times New Roman" w:hAnsi="Verdana" w:cs="Arial"/>
          <w:color w:val="000000"/>
          <w:lang w:val="es-ES_tradnl" w:eastAsia="es-ES_tradnl"/>
        </w:rPr>
      </w:pPr>
    </w:p>
    <w:p w14:paraId="7208115E" w14:textId="77777777" w:rsidR="0027006C" w:rsidRPr="003760E0" w:rsidRDefault="0027006C" w:rsidP="00817137">
      <w:pPr>
        <w:spacing w:after="120" w:line="240" w:lineRule="auto"/>
        <w:ind w:firstLine="708"/>
        <w:jc w:val="both"/>
        <w:rPr>
          <w:rFonts w:ascii="Verdana" w:eastAsia="Times New Roman" w:hAnsi="Verdana" w:cs="Arial"/>
          <w:color w:val="000000"/>
          <w:lang w:val="es-ES_tradnl" w:eastAsia="es-ES_tradnl"/>
        </w:rPr>
      </w:pPr>
      <w:r w:rsidRPr="00AB5C5E">
        <w:rPr>
          <w:rFonts w:ascii="Verdana" w:eastAsia="Times New Roman" w:hAnsi="Verdana" w:cs="Arial"/>
          <w:color w:val="000000"/>
          <w:lang w:val="es-ES_tradnl" w:eastAsia="es-ES_tradnl"/>
        </w:rPr>
        <w:lastRenderedPageBreak/>
        <w:t xml:space="preserve">Así las cosas, atendiendo a los términos en los que se haya pactado la suspensión es posible que no sea necesario suscribir luego un acta de reinicio para que se reactive la ejecución del contrato, sino que tal reactivación opere </w:t>
      </w:r>
      <w:r w:rsidRPr="00AB5C5E">
        <w:rPr>
          <w:rFonts w:ascii="Verdana" w:eastAsia="Times New Roman" w:hAnsi="Verdana" w:cs="Arial"/>
          <w:i/>
          <w:iCs/>
          <w:color w:val="000000"/>
          <w:lang w:val="es-ES_tradnl" w:eastAsia="es-ES_tradnl"/>
        </w:rPr>
        <w:t>automáticamente</w:t>
      </w:r>
      <w:r w:rsidRPr="00AB5C5E">
        <w:rPr>
          <w:rFonts w:ascii="Verdana" w:eastAsia="Times New Roman" w:hAnsi="Verdana" w:cs="Arial"/>
          <w:color w:val="000000"/>
          <w:lang w:val="es-ES_tradnl" w:eastAsia="es-ES_tradnl"/>
        </w:rPr>
        <w:t>, cuando se cumpla la condición o fecha cierta que las partes hayan pactado.</w:t>
      </w:r>
      <w:r>
        <w:rPr>
          <w:rFonts w:ascii="Verdana" w:eastAsia="Times New Roman" w:hAnsi="Verdana" w:cs="Arial"/>
          <w:color w:val="000000"/>
          <w:lang w:val="es-ES_tradnl" w:eastAsia="es-ES_tradnl"/>
        </w:rPr>
        <w:t xml:space="preserve"> En tal sentido</w:t>
      </w:r>
      <w:r w:rsidRPr="17C96F25">
        <w:rPr>
          <w:rFonts w:ascii="Verdana" w:eastAsia="Times New Roman" w:hAnsi="Verdana" w:cs="Arial"/>
          <w:color w:val="000000" w:themeColor="text1"/>
          <w:lang w:val="es-ES" w:eastAsia="es-ES"/>
        </w:rPr>
        <w:t>, es posible reiniciar la ejecución de un contrato con pasivos exigibles siempre que las partes, en ejercicio del principio de autonomía de la voluntad, así lo acuerden. Este principio reconoce la libertad contractual, permitiendo que la entidad estatal, así como el particular definan las condiciones, alcances y modificaciones de sus obligaciones.</w:t>
      </w:r>
      <w:r>
        <w:rPr>
          <w:rFonts w:ascii="Verdana" w:eastAsia="Times New Roman" w:hAnsi="Verdana" w:cs="Arial"/>
          <w:color w:val="000000" w:themeColor="text1"/>
          <w:lang w:val="es-ES" w:eastAsia="es-ES"/>
        </w:rPr>
        <w:t xml:space="preserve"> En este contexto</w:t>
      </w:r>
      <w:r w:rsidRPr="17C96F25">
        <w:rPr>
          <w:rFonts w:ascii="Verdana" w:eastAsia="Times New Roman" w:hAnsi="Verdana" w:cs="Arial"/>
          <w:color w:val="000000" w:themeColor="text1"/>
          <w:lang w:val="es-ES" w:eastAsia="es-ES"/>
        </w:rPr>
        <w:t xml:space="preserve">, aun cuando existan pasivos exigibles, las partes pueden pactar mecanismos de arreglo directo de solución de conflictos, los cuales otorguen un nuevo marco de cumplimiento, adaptado a sus necesidades y circunstancias actuales, siempre que no se vulneren reglas y fines propios del sistema de compras y contratación pública. </w:t>
      </w:r>
    </w:p>
    <w:p w14:paraId="3A8F38C9" w14:textId="77777777" w:rsidR="0027006C" w:rsidRDefault="0027006C" w:rsidP="00817137">
      <w:pPr>
        <w:spacing w:after="120" w:line="240" w:lineRule="auto"/>
        <w:ind w:firstLine="709"/>
        <w:jc w:val="both"/>
        <w:rPr>
          <w:rFonts w:ascii="Verdana" w:eastAsia="Calibri" w:hAnsi="Verdana" w:cs="Arial"/>
          <w:lang w:val="es-ES"/>
        </w:rPr>
      </w:pPr>
      <w:r>
        <w:rPr>
          <w:rFonts w:ascii="Verdana" w:eastAsia="Times New Roman" w:hAnsi="Verdana" w:cs="Arial"/>
          <w:color w:val="000000"/>
          <w:lang w:val="es-ES_tradnl" w:eastAsia="es-ES_tradnl"/>
        </w:rPr>
        <w:t>L</w:t>
      </w:r>
      <w:r w:rsidRPr="00B9593A">
        <w:rPr>
          <w:rFonts w:ascii="Verdana" w:eastAsia="Times New Roman" w:hAnsi="Verdana" w:cs="Arial"/>
          <w:color w:val="000000"/>
          <w:lang w:val="es-ES_tradnl" w:eastAsia="es-ES_tradnl"/>
        </w:rPr>
        <w:t>a autonomí</w:t>
      </w:r>
      <w:r>
        <w:rPr>
          <w:rFonts w:ascii="Verdana" w:eastAsia="Times New Roman" w:hAnsi="Verdana" w:cs="Arial"/>
          <w:color w:val="000000"/>
          <w:lang w:val="es-ES_tradnl" w:eastAsia="es-ES_tradnl"/>
        </w:rPr>
        <w:t>a de la voluntad otorga a los partes del contrato estatal</w:t>
      </w:r>
      <w:r w:rsidRPr="00B9593A">
        <w:rPr>
          <w:rFonts w:ascii="Verdana" w:eastAsia="Times New Roman" w:hAnsi="Verdana" w:cs="Arial"/>
          <w:color w:val="000000"/>
          <w:lang w:val="es-ES_tradnl" w:eastAsia="es-ES_tradnl"/>
        </w:rPr>
        <w:t xml:space="preserve"> la facultad de </w:t>
      </w:r>
      <w:r>
        <w:rPr>
          <w:rFonts w:ascii="Verdana" w:eastAsia="Times New Roman" w:hAnsi="Verdana" w:cs="Arial"/>
          <w:color w:val="000000"/>
          <w:lang w:val="es-ES_tradnl" w:eastAsia="es-ES_tradnl"/>
        </w:rPr>
        <w:t>suspender y de reiniciar la ejecución</w:t>
      </w:r>
      <w:r w:rsidRPr="00B9593A">
        <w:rPr>
          <w:rFonts w:ascii="Verdana" w:eastAsia="Times New Roman" w:hAnsi="Verdana" w:cs="Arial"/>
          <w:color w:val="000000"/>
          <w:lang w:val="es-ES_tradnl" w:eastAsia="es-ES_tradnl"/>
        </w:rPr>
        <w:t>, mediante acuerdos que restablezcan la confianza y viabilidad del vínculo jurídico. Así, la renegociación puede implicar</w:t>
      </w:r>
      <w:r>
        <w:rPr>
          <w:rFonts w:ascii="Verdana" w:eastAsia="Times New Roman" w:hAnsi="Verdana" w:cs="Arial"/>
          <w:color w:val="000000"/>
          <w:lang w:val="es-ES_tradnl" w:eastAsia="es-ES_tradnl"/>
        </w:rPr>
        <w:t xml:space="preserve"> plazos adicionales</w:t>
      </w:r>
      <w:r w:rsidRPr="00B9593A">
        <w:rPr>
          <w:rFonts w:ascii="Verdana" w:eastAsia="Times New Roman" w:hAnsi="Verdana" w:cs="Arial"/>
          <w:color w:val="000000"/>
          <w:lang w:val="es-ES_tradnl" w:eastAsia="es-ES_tradnl"/>
        </w:rPr>
        <w:t>, o cualquier otra fórmula que refleje el consenso de las partes.</w:t>
      </w:r>
      <w:r>
        <w:rPr>
          <w:rFonts w:ascii="Verdana" w:eastAsia="Times New Roman" w:hAnsi="Verdana" w:cs="Arial"/>
          <w:color w:val="000000"/>
          <w:lang w:val="es-ES_tradnl" w:eastAsia="es-ES_tradnl"/>
        </w:rPr>
        <w:t xml:space="preserve"> En este aspecto</w:t>
      </w:r>
      <w:r>
        <w:rPr>
          <w:rFonts w:ascii="Verdana" w:eastAsia="Calibri" w:hAnsi="Verdana" w:cs="Arial"/>
        </w:rPr>
        <w:t xml:space="preserve">, cobra relevancia el deber legal de </w:t>
      </w:r>
      <w:r w:rsidRPr="00B90BEF">
        <w:rPr>
          <w:rFonts w:ascii="Verdana" w:eastAsia="Calibri" w:hAnsi="Verdana" w:cs="Arial"/>
          <w:lang w:val="es-ES"/>
        </w:rPr>
        <w:t xml:space="preserve">seguimiento de la ejecución del contrato, </w:t>
      </w:r>
      <w:r>
        <w:rPr>
          <w:rFonts w:ascii="Verdana" w:eastAsia="Calibri" w:hAnsi="Verdana" w:cs="Arial"/>
          <w:lang w:val="es-ES"/>
        </w:rPr>
        <w:t xml:space="preserve">que implica </w:t>
      </w:r>
      <w:r w:rsidRPr="00B90BEF">
        <w:rPr>
          <w:rFonts w:ascii="Verdana" w:eastAsia="Calibri" w:hAnsi="Verdana" w:cs="Arial"/>
          <w:lang w:val="es-ES"/>
        </w:rPr>
        <w:t xml:space="preserve">la dirección, control y vigilancia de su correcto cumplimiento, </w:t>
      </w:r>
      <w:r>
        <w:rPr>
          <w:rFonts w:ascii="Verdana" w:eastAsia="Calibri" w:hAnsi="Verdana" w:cs="Arial"/>
          <w:lang w:val="es-ES"/>
        </w:rPr>
        <w:t>la cual permita</w:t>
      </w:r>
      <w:r w:rsidRPr="00B90BEF">
        <w:rPr>
          <w:rFonts w:ascii="Verdana" w:eastAsia="Calibri" w:hAnsi="Verdana" w:cs="Arial"/>
          <w:lang w:val="es-ES"/>
        </w:rPr>
        <w:t xml:space="preserve"> a las entidades estatales tomar medidas orientadas a la satisfacción de los fines de la contratación. Por esto, el EGCAP alude a la obligación mencionada, que guarda relación con el principio de responsabilidad que rige la celebración y ejecución de los contratos estatales. Así, por ejemplo, los artículos 4, 5, 12, 14 y 26 de la Ley 80 de 1993 consagran normas relacionadas con el control y vigilancia de la ejecución de los contratos estatales</w:t>
      </w:r>
      <w:r>
        <w:rPr>
          <w:rStyle w:val="Refdenotaalpie"/>
          <w:rFonts w:ascii="Verdana" w:eastAsia="Calibri" w:hAnsi="Verdana" w:cs="Arial"/>
          <w:lang w:val="es-ES"/>
        </w:rPr>
        <w:footnoteReference w:id="9"/>
      </w:r>
      <w:r w:rsidRPr="00B90BEF">
        <w:rPr>
          <w:rFonts w:ascii="Verdana" w:eastAsia="Calibri" w:hAnsi="Verdana" w:cs="Arial"/>
          <w:lang w:val="es-ES"/>
        </w:rPr>
        <w:t>. Esta obligación se predica, en principio, del jefe o representante legal de la entidad, por tener la responsabilidad de la dirección y manejo de la actividad contractual, pero también de los servidores públicos que intervienen en ella</w:t>
      </w:r>
      <w:r>
        <w:rPr>
          <w:rFonts w:ascii="Verdana" w:eastAsia="Calibri" w:hAnsi="Verdana" w:cs="Arial"/>
          <w:lang w:val="es-ES"/>
        </w:rPr>
        <w:t xml:space="preserve">, como es el caso de los supervisores. </w:t>
      </w:r>
    </w:p>
    <w:p w14:paraId="238257C1" w14:textId="77777777" w:rsidR="0027006C" w:rsidRDefault="0027006C" w:rsidP="00817137">
      <w:pPr>
        <w:spacing w:after="0" w:line="240" w:lineRule="auto"/>
        <w:ind w:firstLine="709"/>
        <w:jc w:val="both"/>
        <w:rPr>
          <w:rFonts w:ascii="Verdana" w:eastAsia="Calibri" w:hAnsi="Verdana" w:cs="Arial"/>
          <w:lang w:val="es-ES"/>
        </w:rPr>
      </w:pPr>
      <w:r>
        <w:rPr>
          <w:rFonts w:ascii="Verdana" w:eastAsia="Calibri" w:hAnsi="Verdana" w:cs="Arial"/>
        </w:rPr>
        <w:t xml:space="preserve">Teniendo en cuenta lo expuesto, la suspensión del contrato estatal, si bien no modifica el plazo inicialmente pactado —que se detiene y no corre durante la paralización—, sí desplaza en el tiempo el período de ejecución y, por esa vía, </w:t>
      </w:r>
      <w:r>
        <w:rPr>
          <w:rFonts w:ascii="Verdana" w:eastAsia="Calibri" w:hAnsi="Verdana" w:cs="Arial"/>
        </w:rPr>
        <w:lastRenderedPageBreak/>
        <w:t>proyecta efectos directos sobre la vigencia de las obligaciones principales y accesorias, entre ellas la garantía de cumplimiento, cuya vigencia se fija por fechas ciertas atadas al plazo del contrato y su liquidación. Precisamente porque el amparo debe cubrir el nuevo horizonte temporal en que el contrato se reactivará y ejecutará, la entidad está obligada a exigir, y el contratista a tramitar, la ampliación de su vigencia, de conformidad con los artículos 2.2.1.2.3.1.13 y 2.2.1.2.3.1.18 del Decreto 1082 de 2015. Para ello, se analizan a continuación el régimen de garantías y la posibilidad de ampliarlas.</w:t>
      </w:r>
    </w:p>
    <w:p w14:paraId="5A6D4DB2" w14:textId="77777777" w:rsidR="0027006C" w:rsidRPr="00B9593A" w:rsidRDefault="0027006C" w:rsidP="00817137">
      <w:pPr>
        <w:spacing w:after="0" w:line="240" w:lineRule="auto"/>
        <w:jc w:val="both"/>
        <w:rPr>
          <w:rFonts w:ascii="Verdana" w:eastAsia="Times New Roman" w:hAnsi="Verdana" w:cs="Arial"/>
          <w:color w:val="000000"/>
          <w:lang w:val="es-ES_tradnl" w:eastAsia="es-ES_tradnl"/>
        </w:rPr>
      </w:pPr>
    </w:p>
    <w:p w14:paraId="2E4A838D" w14:textId="77777777" w:rsidR="0027006C" w:rsidRPr="009037F6" w:rsidRDefault="0027006C" w:rsidP="00817137">
      <w:pPr>
        <w:spacing w:after="120" w:line="240" w:lineRule="auto"/>
        <w:jc w:val="both"/>
        <w:rPr>
          <w:rFonts w:ascii="Verdana" w:eastAsia="Calibri" w:hAnsi="Verdana" w:cs="Arial"/>
          <w:lang w:val="es-ES_tradnl"/>
        </w:rPr>
      </w:pPr>
      <w:proofErr w:type="spellStart"/>
      <w:r>
        <w:rPr>
          <w:rFonts w:ascii="Verdana" w:eastAsia="Times New Roman" w:hAnsi="Verdana" w:cs="Arial"/>
          <w:color w:val="000000"/>
          <w:lang w:val="es-ES" w:eastAsia="es-ES_tradnl"/>
        </w:rPr>
        <w:t>ii</w:t>
      </w:r>
      <w:proofErr w:type="spellEnd"/>
      <w:r>
        <w:rPr>
          <w:rFonts w:ascii="Verdana" w:eastAsia="Times New Roman" w:hAnsi="Verdana" w:cs="Arial"/>
          <w:color w:val="000000"/>
          <w:lang w:val="es-ES" w:eastAsia="es-ES_tradnl"/>
        </w:rPr>
        <w:t xml:space="preserve">. </w:t>
      </w:r>
      <w:r w:rsidRPr="009037F6">
        <w:rPr>
          <w:rFonts w:ascii="Verdana" w:eastAsia="Calibri" w:hAnsi="Verdana" w:cs="Arial"/>
          <w:lang w:val="es-ES_tradnl"/>
        </w:rPr>
        <w:t xml:space="preserve">El Estatuto General de Contratación de la Administración Pública exige, por regla general, en los procesos de contratación pública </w:t>
      </w:r>
      <w:r w:rsidRPr="009037F6">
        <w:rPr>
          <w:rFonts w:ascii="Verdana" w:eastAsia="Calibri" w:hAnsi="Verdana" w:cs="Arial"/>
          <w:lang w:val="es-ES"/>
        </w:rPr>
        <w:t xml:space="preserve">la constitución de garantías ya sea en la etapa precontractual, contractual o </w:t>
      </w:r>
      <w:proofErr w:type="spellStart"/>
      <w:r w:rsidRPr="009037F6">
        <w:rPr>
          <w:rFonts w:ascii="Verdana" w:eastAsia="Calibri" w:hAnsi="Verdana" w:cs="Arial"/>
          <w:lang w:val="es-ES"/>
        </w:rPr>
        <w:t>postcontractual</w:t>
      </w:r>
      <w:proofErr w:type="spellEnd"/>
      <w:r w:rsidRPr="009037F6">
        <w:rPr>
          <w:rFonts w:ascii="Verdana" w:eastAsia="Calibri" w:hAnsi="Verdana" w:cs="Arial"/>
          <w:lang w:val="es-ES"/>
        </w:rPr>
        <w:t>, con el fin de evitar o mitigar posibles riesgos</w:t>
      </w:r>
      <w:r w:rsidRPr="009037F6">
        <w:rPr>
          <w:rFonts w:ascii="Verdana" w:eastAsia="Calibri" w:hAnsi="Verdana" w:cs="Arial"/>
          <w:lang w:val="es-ES_tradnl"/>
        </w:rPr>
        <w:t>. En esa orientación, el artículo 7 de la Ley 1150 de 2007 dispone que los contratistas tienen la obligación de constituir garantías para el cumplimiento de las obligaciones surgidas del contrato, y los proponentes por el ofrecimiento realizado, pudiendo consistir en pólizas expedidas por compañías aseguradoras, garantías bancarias u otros mecanismos permitidos por la ley y el reglamento. La precitada norma dispone:</w:t>
      </w:r>
    </w:p>
    <w:p w14:paraId="7BA5828C" w14:textId="77777777" w:rsidR="0027006C" w:rsidRPr="009037F6" w:rsidRDefault="0027006C" w:rsidP="00817137">
      <w:pPr>
        <w:spacing w:after="0" w:line="240" w:lineRule="auto"/>
        <w:ind w:left="709" w:right="709"/>
        <w:jc w:val="both"/>
        <w:rPr>
          <w:rFonts w:ascii="Verdana" w:eastAsia="Calibri" w:hAnsi="Verdana" w:cs="Arial"/>
          <w:sz w:val="20"/>
          <w:szCs w:val="20"/>
          <w:lang w:val="es-ES_tradnl"/>
        </w:rPr>
      </w:pPr>
    </w:p>
    <w:p w14:paraId="178E3C42" w14:textId="77777777" w:rsidR="0027006C" w:rsidRPr="009037F6" w:rsidRDefault="0027006C" w:rsidP="00817137">
      <w:pPr>
        <w:spacing w:after="0" w:line="240" w:lineRule="auto"/>
        <w:ind w:left="709" w:right="709"/>
        <w:jc w:val="both"/>
        <w:rPr>
          <w:rFonts w:ascii="Verdana" w:eastAsia="Calibri" w:hAnsi="Verdana" w:cs="Arial"/>
          <w:sz w:val="20"/>
          <w:szCs w:val="20"/>
          <w:lang w:val="es-ES_tradnl"/>
        </w:rPr>
      </w:pPr>
      <w:r w:rsidRPr="009037F6">
        <w:rPr>
          <w:rFonts w:ascii="Verdana" w:eastAsia="Calibri" w:hAnsi="Verdana" w:cs="Arial"/>
          <w:sz w:val="20"/>
          <w:szCs w:val="20"/>
          <w:lang w:val="es-ES_tradnl"/>
        </w:rPr>
        <w:t xml:space="preserve">Los contratistas prestarán garantía única para el cumplimiento de las obligaciones surgidas del contrato. Los proponentes prestarán garantía de seriedad de los ofrecimientos hechos. </w:t>
      </w:r>
    </w:p>
    <w:p w14:paraId="46AA6C25" w14:textId="77777777" w:rsidR="0027006C" w:rsidRPr="009037F6" w:rsidRDefault="0027006C" w:rsidP="00817137">
      <w:pPr>
        <w:spacing w:after="0" w:line="240" w:lineRule="auto"/>
        <w:ind w:left="709" w:right="709"/>
        <w:jc w:val="both"/>
        <w:rPr>
          <w:rFonts w:ascii="Verdana" w:eastAsia="Calibri" w:hAnsi="Verdana" w:cs="Arial"/>
          <w:sz w:val="20"/>
          <w:szCs w:val="20"/>
          <w:lang w:val="es-ES_tradnl"/>
        </w:rPr>
      </w:pPr>
    </w:p>
    <w:p w14:paraId="13039BD0" w14:textId="77777777" w:rsidR="0027006C" w:rsidRPr="009037F6" w:rsidRDefault="0027006C" w:rsidP="00817137">
      <w:pPr>
        <w:spacing w:after="0" w:line="240" w:lineRule="auto"/>
        <w:ind w:left="709" w:right="709"/>
        <w:jc w:val="both"/>
        <w:rPr>
          <w:rFonts w:ascii="Verdana" w:eastAsia="Calibri" w:hAnsi="Verdana" w:cs="Arial"/>
          <w:sz w:val="20"/>
          <w:szCs w:val="20"/>
          <w:lang w:val="es-ES_tradnl"/>
        </w:rPr>
      </w:pPr>
      <w:r w:rsidRPr="009037F6">
        <w:rPr>
          <w:rFonts w:ascii="Verdana" w:eastAsia="Calibri" w:hAnsi="Verdana" w:cs="Arial"/>
          <w:sz w:val="20"/>
          <w:szCs w:val="20"/>
          <w:lang w:val="es-ES_tradnl"/>
        </w:rPr>
        <w:t xml:space="preserve">Las garantías consistirán en pólizas expedidas por compañías de seguros legalmente autorizadas para funcionar en Colombia, en garantías bancarias y en general, en los demás mecanismos de cobertura del riesgo autorizados por el reglamento para el efecto. Tratándose de pólizas, las mismas no expirarán por falta de pago de la prima o por revocatoria unilateral. El Gobierno Nacional señalará las condiciones generales que deberán ser incluidas en las pólizas de cumplimiento de los contratos estatales. </w:t>
      </w:r>
    </w:p>
    <w:p w14:paraId="0C7D4246" w14:textId="77777777" w:rsidR="0027006C" w:rsidRPr="009037F6" w:rsidRDefault="0027006C" w:rsidP="00817137">
      <w:pPr>
        <w:spacing w:after="0" w:line="240" w:lineRule="auto"/>
        <w:ind w:left="709" w:right="709"/>
        <w:jc w:val="both"/>
        <w:rPr>
          <w:rFonts w:ascii="Verdana" w:eastAsia="Calibri" w:hAnsi="Verdana" w:cs="Arial"/>
          <w:sz w:val="20"/>
          <w:szCs w:val="20"/>
          <w:lang w:val="es-ES_tradnl"/>
        </w:rPr>
      </w:pPr>
    </w:p>
    <w:p w14:paraId="3C642463" w14:textId="77777777" w:rsidR="0027006C" w:rsidRPr="009037F6" w:rsidRDefault="0027006C" w:rsidP="00817137">
      <w:pPr>
        <w:spacing w:after="0" w:line="240" w:lineRule="auto"/>
        <w:ind w:left="709" w:right="709"/>
        <w:jc w:val="both"/>
        <w:rPr>
          <w:rFonts w:ascii="Verdana" w:eastAsia="Calibri" w:hAnsi="Verdana" w:cs="Arial"/>
          <w:sz w:val="20"/>
          <w:szCs w:val="20"/>
          <w:lang w:val="es-ES"/>
        </w:rPr>
      </w:pPr>
      <w:r w:rsidRPr="009037F6">
        <w:rPr>
          <w:rFonts w:ascii="Verdana" w:eastAsia="Calibri" w:hAnsi="Verdana" w:cs="Arial"/>
          <w:sz w:val="20"/>
          <w:szCs w:val="20"/>
          <w:lang w:val="es-ES"/>
        </w:rPr>
        <w:t xml:space="preserve">El Gobierno Nacional señalará los criterios que seguirán las entidades para la exigencia de garantías, las clases y niveles de amparo de los riesgos de los contratos, así como los casos en </w:t>
      </w:r>
      <w:proofErr w:type="gramStart"/>
      <w:r w:rsidRPr="009037F6">
        <w:rPr>
          <w:rFonts w:ascii="Verdana" w:eastAsia="Calibri" w:hAnsi="Verdana" w:cs="Arial"/>
          <w:sz w:val="20"/>
          <w:szCs w:val="20"/>
          <w:lang w:val="es-ES"/>
        </w:rPr>
        <w:t>que</w:t>
      </w:r>
      <w:proofErr w:type="gramEnd"/>
      <w:r w:rsidRPr="009037F6">
        <w:rPr>
          <w:rFonts w:ascii="Verdana" w:eastAsia="Calibri" w:hAnsi="Verdana" w:cs="Arial"/>
          <w:sz w:val="20"/>
          <w:szCs w:val="20"/>
          <w:lang w:val="es-ES"/>
        </w:rPr>
        <w:t xml:space="preserve"> por las características y complejidad del contrato a celebrar, la garantía pueda ser dividida teniendo en cuenta las etapas o riesgos relativos a la ejecución del respectivo contrato. </w:t>
      </w:r>
    </w:p>
    <w:p w14:paraId="68D4C334" w14:textId="77777777" w:rsidR="0027006C" w:rsidRPr="009037F6" w:rsidRDefault="0027006C" w:rsidP="00817137">
      <w:pPr>
        <w:spacing w:after="0" w:line="240" w:lineRule="auto"/>
        <w:ind w:left="709" w:right="709"/>
        <w:jc w:val="both"/>
        <w:rPr>
          <w:rFonts w:ascii="Verdana" w:eastAsia="Calibri" w:hAnsi="Verdana" w:cs="Arial"/>
          <w:sz w:val="20"/>
          <w:szCs w:val="20"/>
          <w:lang w:val="es-ES_tradnl"/>
        </w:rPr>
      </w:pPr>
    </w:p>
    <w:p w14:paraId="4551888B" w14:textId="77777777" w:rsidR="0027006C" w:rsidRPr="009037F6" w:rsidRDefault="0027006C" w:rsidP="00817137">
      <w:pPr>
        <w:spacing w:after="0" w:line="240" w:lineRule="auto"/>
        <w:ind w:left="709" w:right="709"/>
        <w:jc w:val="both"/>
        <w:rPr>
          <w:rFonts w:ascii="Verdana" w:eastAsia="Calibri" w:hAnsi="Verdana" w:cs="Arial"/>
          <w:sz w:val="20"/>
          <w:szCs w:val="20"/>
          <w:lang w:val="es-ES_tradnl"/>
        </w:rPr>
      </w:pPr>
      <w:r w:rsidRPr="009037F6">
        <w:rPr>
          <w:rFonts w:ascii="Verdana" w:eastAsia="Calibri" w:hAnsi="Verdana" w:cs="Arial"/>
          <w:sz w:val="20"/>
          <w:szCs w:val="20"/>
          <w:lang w:val="es-ES_tradnl"/>
        </w:rPr>
        <w:t>El acaecimiento del siniestro que amparan las garantías será comunicado por la entidad pública al respectivo asegurador mediante la notificación del acto administrativo que así lo declare.</w:t>
      </w:r>
    </w:p>
    <w:p w14:paraId="63F0107D" w14:textId="77777777" w:rsidR="0027006C" w:rsidRPr="009037F6" w:rsidRDefault="0027006C" w:rsidP="00817137">
      <w:pPr>
        <w:spacing w:after="0" w:line="240" w:lineRule="auto"/>
        <w:ind w:left="709" w:right="709"/>
        <w:jc w:val="both"/>
        <w:rPr>
          <w:rFonts w:ascii="Verdana" w:eastAsia="Calibri" w:hAnsi="Verdana" w:cs="Arial"/>
          <w:sz w:val="20"/>
          <w:szCs w:val="20"/>
          <w:lang w:val="es-ES_tradnl"/>
        </w:rPr>
      </w:pPr>
      <w:r w:rsidRPr="009037F6">
        <w:rPr>
          <w:rFonts w:ascii="Verdana" w:eastAsia="Calibri" w:hAnsi="Verdana" w:cs="Arial"/>
          <w:sz w:val="20"/>
          <w:szCs w:val="20"/>
          <w:lang w:val="es-ES_tradnl"/>
        </w:rPr>
        <w:t xml:space="preserve"> </w:t>
      </w:r>
    </w:p>
    <w:p w14:paraId="0BB57D01" w14:textId="77777777" w:rsidR="0027006C" w:rsidRPr="009037F6" w:rsidRDefault="0027006C" w:rsidP="00817137">
      <w:pPr>
        <w:spacing w:after="0" w:line="240" w:lineRule="auto"/>
        <w:ind w:left="709" w:right="709"/>
        <w:jc w:val="both"/>
        <w:rPr>
          <w:rFonts w:ascii="Verdana" w:eastAsia="Calibri" w:hAnsi="Verdana" w:cs="Arial"/>
          <w:sz w:val="20"/>
          <w:szCs w:val="20"/>
          <w:lang w:val="es-ES"/>
        </w:rPr>
      </w:pPr>
      <w:r w:rsidRPr="00C186A0">
        <w:rPr>
          <w:rFonts w:ascii="Verdana" w:eastAsia="Calibri" w:hAnsi="Verdana" w:cs="Arial"/>
          <w:sz w:val="20"/>
          <w:szCs w:val="20"/>
          <w:lang w:val="es-ES"/>
        </w:rPr>
        <w:lastRenderedPageBreak/>
        <w:t>Las garantías no serán obligatorias en los contratos de empréstito, en los interadministrativos, en los de seguro y en los contratos cuyo valor sea inferior al 10% de la menor cuantía a que se refiere esta ley, caso en el cual corresponderá a la entidad determinar la necesidad de exigirla, atendiendo a la naturaleza del objeto del contrato y a la forma de pago, así como en los demás que señale el reglamento.</w:t>
      </w:r>
      <w:bookmarkEnd w:id="1"/>
    </w:p>
    <w:p w14:paraId="4C8950ED" w14:textId="77777777" w:rsidR="0027006C" w:rsidRPr="009037F6" w:rsidRDefault="0027006C" w:rsidP="00817137">
      <w:pPr>
        <w:spacing w:after="0" w:line="240" w:lineRule="auto"/>
        <w:ind w:left="709" w:right="709"/>
        <w:jc w:val="both"/>
        <w:rPr>
          <w:rFonts w:ascii="Verdana" w:eastAsia="Calibri" w:hAnsi="Verdana" w:cs="Arial"/>
          <w:sz w:val="20"/>
          <w:szCs w:val="20"/>
          <w:lang w:val="es-ES_tradnl"/>
        </w:rPr>
      </w:pPr>
    </w:p>
    <w:p w14:paraId="4AF26B77" w14:textId="77777777" w:rsidR="0027006C" w:rsidRPr="009037F6" w:rsidRDefault="0027006C" w:rsidP="00817137">
      <w:pPr>
        <w:spacing w:after="120" w:line="240" w:lineRule="auto"/>
        <w:ind w:firstLine="709"/>
        <w:jc w:val="both"/>
        <w:rPr>
          <w:rFonts w:ascii="Verdana" w:eastAsia="Calibri" w:hAnsi="Verdana" w:cs="Arial"/>
          <w:color w:val="000000" w:themeColor="text1"/>
          <w:lang w:val="es-ES_tradnl"/>
        </w:rPr>
      </w:pPr>
      <w:r w:rsidRPr="009037F6">
        <w:rPr>
          <w:rFonts w:ascii="Verdana" w:eastAsia="Calibri" w:hAnsi="Verdana" w:cs="Arial"/>
          <w:color w:val="000000" w:themeColor="text1"/>
          <w:lang w:val="es-ES_tradnl"/>
        </w:rPr>
        <w:t xml:space="preserve">Las condiciones para el cumplimiento de estas obligaciones fueron reglamentadas por el Decreto 1082 de 2015, el cual prescribe en los artículos 2.2.1.2.3.1.1. a 2.2.1.2.3.1.19 las clases de garantías permitidas; la indivisibilidad, por regla general, de las mismas; los riesgos objeto de cobertura; la vigencia y valores mínimos, entre otros aspectos que deben cumplir las garantías constituidas, ya sea mediante pólizas de seguro, garantías bancarias o patrimonios autónomos. Este último tipo de garantía fue establecida por el reglamento, previa autorización del artículo 7° de la Ley 1150 de 2007. </w:t>
      </w:r>
    </w:p>
    <w:p w14:paraId="51118620" w14:textId="77777777" w:rsidR="0027006C" w:rsidRPr="009037F6" w:rsidRDefault="0027006C" w:rsidP="00817137">
      <w:pPr>
        <w:spacing w:after="120" w:line="240" w:lineRule="auto"/>
        <w:ind w:firstLine="709"/>
        <w:jc w:val="both"/>
        <w:rPr>
          <w:rFonts w:ascii="Verdana" w:hAnsi="Verdana" w:cs="Arial"/>
          <w:color w:val="000000" w:themeColor="text1"/>
        </w:rPr>
      </w:pPr>
      <w:r w:rsidRPr="009037F6">
        <w:rPr>
          <w:rFonts w:ascii="Verdana" w:eastAsia="Calibri" w:hAnsi="Verdana" w:cs="Arial"/>
          <w:color w:val="000000" w:themeColor="text1"/>
          <w:lang w:val="es-ES_tradnl"/>
        </w:rPr>
        <w:t>De acuerdo a lo expresado anteriormente, l</w:t>
      </w:r>
      <w:r w:rsidRPr="009037F6">
        <w:rPr>
          <w:rFonts w:ascii="Verdana" w:hAnsi="Verdana" w:cs="Arial"/>
          <w:color w:val="000000" w:themeColor="text1"/>
        </w:rPr>
        <w:t xml:space="preserve">os proponentes o contratistas, para garantizar el cumplimiento de sus obligaciones frente a entidades estatales en materia contractual, pueden otorgar, a su elección, las garantías mediante los siguientes mecanismos de cobertura de los riesgos: i) contratos de seguro, que por su esencia, es el medio más usado </w:t>
      </w:r>
      <w:r w:rsidRPr="009037F6">
        <w:rPr>
          <w:rFonts w:ascii="Verdana" w:eastAsia="Calibri" w:hAnsi="Verdana" w:cs="Arial"/>
          <w:color w:val="000000" w:themeColor="text1"/>
        </w:rPr>
        <w:t xml:space="preserve">para amparar los riesgos contractuales; </w:t>
      </w:r>
      <w:proofErr w:type="spellStart"/>
      <w:r w:rsidRPr="009037F6">
        <w:rPr>
          <w:rFonts w:ascii="Verdana" w:hAnsi="Verdana" w:cs="Arial"/>
          <w:color w:val="000000" w:themeColor="text1"/>
        </w:rPr>
        <w:t>ii</w:t>
      </w:r>
      <w:proofErr w:type="spellEnd"/>
      <w:r w:rsidRPr="009037F6">
        <w:rPr>
          <w:rFonts w:ascii="Verdana" w:hAnsi="Verdana" w:cs="Arial"/>
          <w:color w:val="000000" w:themeColor="text1"/>
        </w:rPr>
        <w:t xml:space="preserve">) fiducia mercantil de garantía, que es un contrato que suscribe el oferente, contratista o un tercero como fideicomitente con una sociedad fiduciaria para transferir la propiedad de uno o más bienes o derechos con los cuales se integra un patrimonio autónomo, con el fin de salvaguardar con ellos o con su producido las obligaciones del oferente o contratista con la entidad estatal beneficiaria;  </w:t>
      </w:r>
      <w:proofErr w:type="spellStart"/>
      <w:r w:rsidRPr="009037F6">
        <w:rPr>
          <w:rFonts w:ascii="Verdana" w:hAnsi="Verdana" w:cs="Arial"/>
          <w:color w:val="000000" w:themeColor="text1"/>
        </w:rPr>
        <w:t>iii</w:t>
      </w:r>
      <w:proofErr w:type="spellEnd"/>
      <w:r w:rsidRPr="009037F6">
        <w:rPr>
          <w:rFonts w:ascii="Verdana" w:hAnsi="Verdana" w:cs="Arial"/>
          <w:color w:val="000000" w:themeColor="text1"/>
        </w:rPr>
        <w:t xml:space="preserve">) garantías bancarias o cartas de crédito </w:t>
      </w:r>
      <w:r w:rsidRPr="009037F6">
        <w:rPr>
          <w:rFonts w:ascii="Verdana" w:hAnsi="Verdana" w:cs="Arial"/>
          <w:i/>
          <w:iCs/>
          <w:color w:val="000000" w:themeColor="text1"/>
        </w:rPr>
        <w:t>stand</w:t>
      </w:r>
      <w:r w:rsidRPr="009037F6">
        <w:rPr>
          <w:rFonts w:ascii="Verdana" w:hAnsi="Verdana" w:cs="Arial"/>
          <w:color w:val="000000" w:themeColor="text1"/>
        </w:rPr>
        <w:t xml:space="preserve"> </w:t>
      </w:r>
      <w:proofErr w:type="spellStart"/>
      <w:r w:rsidRPr="009037F6">
        <w:rPr>
          <w:rFonts w:ascii="Verdana" w:hAnsi="Verdana" w:cs="Arial"/>
          <w:i/>
          <w:iCs/>
          <w:color w:val="000000" w:themeColor="text1"/>
        </w:rPr>
        <w:t>by</w:t>
      </w:r>
      <w:proofErr w:type="spellEnd"/>
      <w:r w:rsidRPr="009037F6">
        <w:rPr>
          <w:rFonts w:ascii="Verdana" w:hAnsi="Verdana" w:cs="Arial"/>
          <w:color w:val="000000" w:themeColor="text1"/>
        </w:rPr>
        <w:t xml:space="preserve">, que consisten en compromisos irrevocables o incondicionales asumidos por una entidad financiera de pagar una suma determinada de dinero. La suficiencia y la vigencia de las garantías deben ser las reguladas en los artículos 2.2.1.2.3.1.9 a 2.2.1.2.3.1.16 del Decreto 1082 de 2015. </w:t>
      </w:r>
    </w:p>
    <w:p w14:paraId="285367EC" w14:textId="77777777" w:rsidR="0027006C" w:rsidRPr="009037F6" w:rsidRDefault="0027006C" w:rsidP="00817137">
      <w:pPr>
        <w:spacing w:after="120" w:line="240" w:lineRule="auto"/>
        <w:ind w:firstLine="709"/>
        <w:jc w:val="both"/>
        <w:rPr>
          <w:rFonts w:ascii="Verdana" w:hAnsi="Verdana" w:cs="Arial"/>
          <w:color w:val="000000" w:themeColor="text1"/>
        </w:rPr>
      </w:pPr>
      <w:r w:rsidRPr="009037F6">
        <w:rPr>
          <w:rFonts w:ascii="Verdana" w:hAnsi="Verdana" w:cs="Arial"/>
          <w:color w:val="000000" w:themeColor="text1"/>
        </w:rPr>
        <w:t>Ahora bien, las garantías cubren ciertos riesgos identificados por las entidades estatales. Por ejemplo, en las modalidades de selección de contratación directa y mínima cuantía, así como en la contratación de seguros, la entidad estatal debe justificar la necesidad de exigir la constitución de garantías. Con respecto a las demás modalidades de selección, en principio, son obligatorias las garantías de seriedad de la oferta y de cumplimiento, y la garantía de responsabilidad civil extracontractual es obligatoria en los contratos de obra y en aquellos en que por su objeto o naturaleza la entidad estatal lo considere necesario.</w:t>
      </w:r>
    </w:p>
    <w:p w14:paraId="22C68A99" w14:textId="77777777" w:rsidR="0027006C" w:rsidRPr="009037F6" w:rsidRDefault="0027006C" w:rsidP="00817137">
      <w:pPr>
        <w:spacing w:after="120" w:line="240" w:lineRule="auto"/>
        <w:ind w:firstLine="708"/>
        <w:jc w:val="both"/>
        <w:rPr>
          <w:rFonts w:ascii="Verdana" w:eastAsia="Times New Roman" w:hAnsi="Verdana" w:cs="Arial"/>
          <w:color w:val="000000" w:themeColor="text1"/>
          <w:lang w:val="es-ES"/>
        </w:rPr>
      </w:pPr>
      <w:r w:rsidRPr="009037F6">
        <w:rPr>
          <w:rFonts w:ascii="Verdana" w:eastAsia="Times New Roman" w:hAnsi="Verdana" w:cs="Arial"/>
          <w:color w:val="000000" w:themeColor="text1"/>
          <w:lang w:val="es-ES"/>
        </w:rPr>
        <w:lastRenderedPageBreak/>
        <w:t xml:space="preserve">En particular, mediante </w:t>
      </w:r>
      <w:r w:rsidRPr="009037F6">
        <w:rPr>
          <w:rFonts w:ascii="Verdana" w:eastAsia="Calibri" w:hAnsi="Verdana" w:cs="Arial"/>
          <w:color w:val="000000" w:themeColor="text1"/>
          <w:lang w:val="es-ES"/>
        </w:rPr>
        <w:t xml:space="preserve">la </w:t>
      </w:r>
      <w:r w:rsidRPr="009037F6">
        <w:rPr>
          <w:rFonts w:ascii="Verdana" w:eastAsia="Calibri" w:hAnsi="Verdana" w:cs="Arial"/>
          <w:i/>
          <w:iCs/>
          <w:color w:val="000000" w:themeColor="text1"/>
          <w:lang w:val="es-ES"/>
        </w:rPr>
        <w:t>garantía única de cumplimiento</w:t>
      </w:r>
      <w:r w:rsidRPr="009037F6">
        <w:rPr>
          <w:rFonts w:ascii="Verdana" w:eastAsia="Calibri" w:hAnsi="Verdana" w:cs="Arial"/>
          <w:color w:val="000000" w:themeColor="text1"/>
          <w:lang w:val="es-ES"/>
        </w:rPr>
        <w:t>, el contratista debe amparar los perjuicios que le pueda generar a la entidad el incumplimiento de las obligaciones derivadas del contrato por conductas que le sean atribuibles</w:t>
      </w:r>
      <w:r w:rsidRPr="009037F6">
        <w:rPr>
          <w:rFonts w:ascii="Verdana" w:eastAsia="Calibri" w:hAnsi="Verdana" w:cs="Arial"/>
          <w:color w:val="000000" w:themeColor="text1"/>
          <w:vertAlign w:val="superscript"/>
          <w:lang w:val="es-ES"/>
        </w:rPr>
        <w:footnoteReference w:id="10"/>
      </w:r>
      <w:r w:rsidRPr="009037F6">
        <w:rPr>
          <w:rFonts w:ascii="Verdana" w:eastAsia="Calibri" w:hAnsi="Verdana" w:cs="Arial"/>
          <w:color w:val="000000" w:themeColor="text1"/>
          <w:lang w:val="es-ES"/>
        </w:rPr>
        <w:t xml:space="preserve">. </w:t>
      </w:r>
      <w:r w:rsidRPr="009037F6">
        <w:rPr>
          <w:rFonts w:ascii="Verdana" w:eastAsia="Times New Roman" w:hAnsi="Verdana" w:cs="Arial"/>
          <w:color w:val="000000" w:themeColor="text1"/>
          <w:lang w:val="es-ES"/>
        </w:rPr>
        <w:t>Para estos efectos es única, ya que “[…] La prioridad […] es que no haya garantías separadas para los diferentes riesgos, aunque existan varias garantías para diferentes proporciones del interés asegurado […]”</w:t>
      </w:r>
      <w:r w:rsidRPr="009037F6">
        <w:rPr>
          <w:rFonts w:ascii="Verdana" w:eastAsia="Times New Roman" w:hAnsi="Verdana" w:cs="Arial"/>
          <w:color w:val="000000" w:themeColor="text1"/>
          <w:vertAlign w:val="superscript"/>
          <w:lang w:val="es-ES"/>
        </w:rPr>
        <w:footnoteReference w:id="11"/>
      </w:r>
      <w:r w:rsidRPr="009037F6">
        <w:rPr>
          <w:rFonts w:ascii="Verdana" w:eastAsia="Times New Roman" w:hAnsi="Verdana" w:cs="Arial"/>
          <w:color w:val="000000" w:themeColor="text1"/>
          <w:lang w:val="es-ES"/>
        </w:rPr>
        <w:t xml:space="preserve">.    </w:t>
      </w:r>
    </w:p>
    <w:p w14:paraId="35BFDC76" w14:textId="77777777" w:rsidR="0027006C" w:rsidRDefault="0027006C" w:rsidP="00817137">
      <w:pPr>
        <w:spacing w:after="120" w:line="240" w:lineRule="auto"/>
        <w:ind w:firstLine="708"/>
        <w:jc w:val="both"/>
        <w:rPr>
          <w:rFonts w:ascii="Verdana" w:eastAsia="Times New Roman" w:hAnsi="Verdana" w:cs="Arial"/>
          <w:color w:val="000000" w:themeColor="text1"/>
          <w:lang w:val="es-ES" w:eastAsia="es-CO"/>
        </w:rPr>
      </w:pPr>
      <w:r w:rsidRPr="009037F6">
        <w:rPr>
          <w:rFonts w:ascii="Verdana" w:eastAsia="Times New Roman" w:hAnsi="Verdana" w:cs="Arial"/>
          <w:color w:val="000000" w:themeColor="text1"/>
          <w:lang w:val="es-ES"/>
        </w:rPr>
        <w:t xml:space="preserve">El artículo 2.2.1.3.1.7 del Decreto 1082 de 2015 señala que </w:t>
      </w:r>
      <w:r w:rsidRPr="009037F6">
        <w:rPr>
          <w:rFonts w:ascii="Verdana" w:eastAsia="Times New Roman" w:hAnsi="Verdana" w:cs="Arial"/>
          <w:i/>
          <w:iCs/>
          <w:color w:val="000000" w:themeColor="text1"/>
          <w:lang w:val="es-ES"/>
        </w:rPr>
        <w:t>la garantía de cumplimiento</w:t>
      </w:r>
      <w:r w:rsidRPr="009037F6">
        <w:rPr>
          <w:rFonts w:ascii="Verdana" w:eastAsia="Times New Roman" w:hAnsi="Verdana" w:cs="Arial"/>
          <w:color w:val="000000" w:themeColor="text1"/>
          <w:lang w:val="es-ES"/>
        </w:rPr>
        <w:t xml:space="preserve"> </w:t>
      </w:r>
      <w:r w:rsidRPr="009037F6">
        <w:rPr>
          <w:rFonts w:ascii="Verdana" w:eastAsia="Calibri" w:hAnsi="Verdana" w:cs="Arial"/>
          <w:bCs/>
          <w:color w:val="000000" w:themeColor="text1"/>
          <w:lang w:val="es-ES"/>
        </w:rPr>
        <w:t xml:space="preserve">cuenta con varios </w:t>
      </w:r>
      <w:r w:rsidRPr="009037F6">
        <w:rPr>
          <w:rFonts w:ascii="Verdana" w:eastAsia="Calibri" w:hAnsi="Verdana" w:cs="Arial"/>
          <w:bCs/>
          <w:i/>
          <w:iCs/>
          <w:color w:val="000000" w:themeColor="text1"/>
          <w:lang w:val="es-ES"/>
        </w:rPr>
        <w:t>amparos</w:t>
      </w:r>
      <w:r w:rsidRPr="009037F6">
        <w:rPr>
          <w:rFonts w:ascii="Verdana" w:eastAsia="Calibri" w:hAnsi="Verdana" w:cs="Arial"/>
          <w:bCs/>
          <w:color w:val="000000" w:themeColor="text1"/>
          <w:lang w:val="es-ES"/>
        </w:rPr>
        <w:t xml:space="preserve"> que cubren: el buen manejo y correcta inversión del anticipo; la devolución del pago anticipado; el amparo de cumplimiento del contrato; la garantía de pago de salarios, prestaciones sociales legales e indemnizaciones laborales; la estabilidad y calidad de la obra, y </w:t>
      </w:r>
      <w:r w:rsidRPr="009037F6">
        <w:rPr>
          <w:rFonts w:ascii="Verdana" w:eastAsia="Times New Roman" w:hAnsi="Verdana" w:cs="Arial"/>
          <w:color w:val="000000" w:themeColor="text1"/>
          <w:lang w:val="es-ES" w:eastAsia="es-CO"/>
        </w:rPr>
        <w:t>los demás incumplimientos de las obligaciones que la Entidad Estatal considere deben ser amparados. Esto, además de la póliza de responsabilidad civil extracontractual que es procedente en los contratos de obra, así como en aquellos en que por su objeto o naturaleza se considere necesario con ocasión de los riesgos previstos en el negocio, de acuerdo con el artículo 2.2.1.2.3.1.8</w:t>
      </w:r>
      <w:r w:rsidRPr="009037F6">
        <w:rPr>
          <w:rFonts w:ascii="Verdana" w:eastAsia="Times New Roman" w:hAnsi="Verdana" w:cs="Arial"/>
          <w:i/>
          <w:iCs/>
          <w:color w:val="000000" w:themeColor="text1"/>
          <w:lang w:val="es-ES" w:eastAsia="es-CO"/>
        </w:rPr>
        <w:t xml:space="preserve"> </w:t>
      </w:r>
      <w:r w:rsidRPr="009037F6">
        <w:rPr>
          <w:rFonts w:ascii="Verdana" w:eastAsia="Times New Roman" w:hAnsi="Verdana" w:cs="Arial"/>
          <w:color w:val="000000" w:themeColor="text1"/>
          <w:lang w:val="es-ES" w:eastAsia="es-CO"/>
        </w:rPr>
        <w:t>del Decreto 1082 de 2015.</w:t>
      </w:r>
    </w:p>
    <w:p w14:paraId="1C795C48" w14:textId="77777777" w:rsidR="0027006C" w:rsidRPr="00AA15C4" w:rsidRDefault="0027006C" w:rsidP="00817137">
      <w:pPr>
        <w:spacing w:after="120" w:line="240" w:lineRule="auto"/>
        <w:ind w:firstLine="708"/>
        <w:jc w:val="both"/>
        <w:rPr>
          <w:rFonts w:ascii="Verdana" w:eastAsia="Times New Roman" w:hAnsi="Verdana" w:cs="Arial"/>
          <w:color w:val="000000" w:themeColor="text1"/>
          <w:lang w:val="es-ES"/>
        </w:rPr>
      </w:pPr>
      <w:r>
        <w:rPr>
          <w:rFonts w:ascii="Verdana" w:eastAsia="Times New Roman" w:hAnsi="Verdana" w:cs="Arial"/>
          <w:color w:val="000000" w:themeColor="text1"/>
          <w:lang w:val="es-ES" w:eastAsia="es-CO"/>
        </w:rPr>
        <w:t xml:space="preserve">En este aspecto, debe tenerse presente que la exigencia de garantías para cubrir los riesgos del contrato son un requisito de ejecución del contrato, según lo </w:t>
      </w:r>
      <w:bookmarkStart w:id="3" w:name="_Hlk37703813"/>
      <w:r>
        <w:rPr>
          <w:rFonts w:ascii="Verdana" w:eastAsia="Times New Roman" w:hAnsi="Verdana" w:cs="Arial"/>
          <w:color w:val="000000" w:themeColor="text1"/>
          <w:lang w:val="es-ES"/>
        </w:rPr>
        <w:t xml:space="preserve">prescrito en el </w:t>
      </w:r>
      <w:r w:rsidRPr="002A594D">
        <w:rPr>
          <w:rFonts w:ascii="Verdana" w:eastAsia="Calibri" w:hAnsi="Verdana" w:cs="Arial"/>
        </w:rPr>
        <w:t>artículo 41 de la Ley 80 de 1993</w:t>
      </w:r>
      <w:r w:rsidRPr="00FC4A16">
        <w:rPr>
          <w:rStyle w:val="Refdenotaalpie"/>
          <w:rFonts w:ascii="Verdana" w:eastAsia="Calibri" w:hAnsi="Verdana" w:cs="Arial"/>
        </w:rPr>
        <w:footnoteReference w:id="12"/>
      </w:r>
      <w:r w:rsidRPr="002A594D">
        <w:rPr>
          <w:rFonts w:ascii="Verdana" w:eastAsia="Calibri" w:hAnsi="Verdana" w:cs="Arial"/>
        </w:rPr>
        <w:t>, según el cual para iniciar la ejecución del contrato se requiere que la entidad apruebe la garantía, en resumen, se requiere que el contratista presente para aprobación la garantía, de lo contrario no se podrá iniciar la ejecución del contrato.</w:t>
      </w:r>
      <w:r>
        <w:rPr>
          <w:rFonts w:ascii="Verdana" w:eastAsia="Calibri" w:hAnsi="Verdana" w:cs="Arial"/>
        </w:rPr>
        <w:t xml:space="preserve"> Para ello, debe tenerse presente </w:t>
      </w:r>
      <w:r>
        <w:rPr>
          <w:rFonts w:ascii="Verdana" w:eastAsia="Times New Roman" w:hAnsi="Verdana" w:cs="Arial"/>
          <w:color w:val="000000" w:themeColor="text1"/>
        </w:rPr>
        <w:t xml:space="preserve">las </w:t>
      </w:r>
      <w:r w:rsidRPr="002A594D">
        <w:rPr>
          <w:rFonts w:ascii="Verdana" w:eastAsia="Calibri" w:hAnsi="Verdana" w:cs="Arial"/>
        </w:rPr>
        <w:t xml:space="preserve">condiciones en las que debe cumplirse esta obligación </w:t>
      </w:r>
      <w:r>
        <w:rPr>
          <w:rFonts w:ascii="Verdana" w:eastAsia="Calibri" w:hAnsi="Verdana" w:cs="Arial"/>
        </w:rPr>
        <w:t xml:space="preserve">que se han mencionado previamente en este concepto, las cuales </w:t>
      </w:r>
      <w:r w:rsidRPr="002A594D">
        <w:rPr>
          <w:rFonts w:ascii="Verdana" w:eastAsia="Calibri" w:hAnsi="Verdana" w:cs="Arial"/>
        </w:rPr>
        <w:t xml:space="preserve">están reglamentadas por el Decreto 1082 de 2015, el cual entre sus artículos 2.2.1.2.3.1.1. y 2.2.1.2.3.1.19, se refiere a asuntos como las clases de garantías permitidas, la indivisibilidad de estas, los diferentes riesgos que deben ser objeto </w:t>
      </w:r>
      <w:r w:rsidRPr="002A594D">
        <w:rPr>
          <w:rFonts w:ascii="Verdana" w:eastAsia="Calibri" w:hAnsi="Verdana" w:cs="Arial"/>
        </w:rPr>
        <w:lastRenderedPageBreak/>
        <w:t>de cobertura, la vigencia y valores mínimos que deben cubrir los amparos, entre otros aspectos</w:t>
      </w:r>
      <w:r>
        <w:rPr>
          <w:rFonts w:ascii="Verdana" w:eastAsia="Calibri" w:hAnsi="Verdana" w:cs="Arial"/>
        </w:rPr>
        <w:t xml:space="preserve">. </w:t>
      </w:r>
      <w:r w:rsidRPr="002A594D">
        <w:rPr>
          <w:rFonts w:ascii="Verdana" w:eastAsia="Calibri" w:hAnsi="Verdana" w:cs="Arial"/>
        </w:rPr>
        <w:t>Dentro de estas disposiciones se indican los amparos y suficiencias que deben cubrir las garantías, y además se establece de manera expresa que las modificaciones contractuales suponen la ampliación de las garantías. Así lo regula el artículo 2.2.1.2.3.1.18. del Decreto 1082 de 2015:</w:t>
      </w:r>
    </w:p>
    <w:p w14:paraId="76D5FF95" w14:textId="77777777" w:rsidR="0027006C" w:rsidRPr="00EA0611" w:rsidRDefault="0027006C" w:rsidP="00817137">
      <w:pPr>
        <w:pStyle w:val="Prrafodelista"/>
        <w:spacing w:after="0" w:line="240" w:lineRule="auto"/>
        <w:jc w:val="both"/>
        <w:rPr>
          <w:rFonts w:ascii="Verdana" w:eastAsia="Calibri" w:hAnsi="Verdana" w:cs="Arial"/>
        </w:rPr>
      </w:pPr>
    </w:p>
    <w:p w14:paraId="0ABAF7A2" w14:textId="77777777" w:rsidR="0027006C" w:rsidRDefault="0027006C" w:rsidP="00817137">
      <w:pPr>
        <w:pStyle w:val="Prrafodelista"/>
        <w:spacing w:line="240" w:lineRule="auto"/>
        <w:ind w:right="709"/>
        <w:jc w:val="both"/>
        <w:rPr>
          <w:rFonts w:ascii="Verdana" w:eastAsia="Calibri" w:hAnsi="Verdana" w:cs="Arial"/>
          <w:sz w:val="20"/>
          <w:szCs w:val="20"/>
          <w:lang w:val="es-CO"/>
        </w:rPr>
      </w:pPr>
      <w:r w:rsidRPr="00FC4A16">
        <w:rPr>
          <w:rFonts w:ascii="Verdana" w:eastAsia="Calibri" w:hAnsi="Verdana" w:cs="Arial"/>
          <w:sz w:val="20"/>
          <w:szCs w:val="20"/>
        </w:rPr>
        <w:t xml:space="preserve">“Artículo 2.2.1.2.3.1.18. Restablecimiento o ampliación de la garantía. </w:t>
      </w:r>
      <w:r w:rsidRPr="00DC723E">
        <w:rPr>
          <w:rFonts w:ascii="Verdana" w:eastAsia="Calibri" w:hAnsi="Verdana" w:cs="Arial"/>
          <w:sz w:val="20"/>
          <w:szCs w:val="20"/>
          <w:lang w:val="es-CO"/>
        </w:rPr>
        <w:t>Cuando con ocasión de las reclamaciones efectuadas por la Entidad Estatal, el valor de la garantía se reduce, la Entidad Estatal debe solicitar al contratista restablecer el valor inicial de la garantía. </w:t>
      </w:r>
      <w:r w:rsidRPr="00DC723E" w:rsidDel="00DC723E">
        <w:rPr>
          <w:rFonts w:ascii="Verdana" w:eastAsia="Calibri" w:hAnsi="Verdana" w:cs="Arial"/>
          <w:sz w:val="20"/>
          <w:szCs w:val="20"/>
          <w:lang w:val="es-CO"/>
        </w:rPr>
        <w:t xml:space="preserve"> </w:t>
      </w:r>
    </w:p>
    <w:p w14:paraId="41BAC91C" w14:textId="77777777" w:rsidR="0027006C" w:rsidRDefault="0027006C" w:rsidP="00817137">
      <w:pPr>
        <w:pStyle w:val="Prrafodelista"/>
        <w:spacing w:line="240" w:lineRule="auto"/>
        <w:ind w:right="709"/>
        <w:jc w:val="both"/>
        <w:rPr>
          <w:rFonts w:ascii="Verdana" w:eastAsia="Calibri" w:hAnsi="Verdana" w:cs="Arial"/>
          <w:sz w:val="20"/>
          <w:szCs w:val="20"/>
        </w:rPr>
      </w:pPr>
    </w:p>
    <w:p w14:paraId="35C2070C" w14:textId="77777777" w:rsidR="0027006C" w:rsidRPr="00100432" w:rsidRDefault="0027006C" w:rsidP="00817137">
      <w:pPr>
        <w:pStyle w:val="Prrafodelista"/>
        <w:spacing w:line="240" w:lineRule="auto"/>
        <w:ind w:right="709"/>
        <w:jc w:val="both"/>
        <w:rPr>
          <w:rFonts w:ascii="Verdana" w:eastAsia="Calibri" w:hAnsi="Verdana" w:cs="Arial"/>
          <w:i/>
          <w:iCs/>
          <w:sz w:val="20"/>
          <w:szCs w:val="20"/>
          <w:lang w:val="es-CO"/>
        </w:rPr>
      </w:pPr>
      <w:r w:rsidRPr="00100432">
        <w:rPr>
          <w:rFonts w:ascii="Verdana" w:eastAsia="Calibri" w:hAnsi="Verdana" w:cs="Arial"/>
          <w:i/>
          <w:iCs/>
          <w:sz w:val="20"/>
          <w:szCs w:val="20"/>
          <w:lang w:val="es-CO"/>
        </w:rPr>
        <w:t>Cuando el contrato es modificado para incrementar su valor o prorrogar su plazo, la Entidad Estatal debe exigir al contratista ampliar el valor de la garantía otorgada o ampliar su vigencia, según el caso. </w:t>
      </w:r>
    </w:p>
    <w:p w14:paraId="6F9522F6" w14:textId="77777777" w:rsidR="0027006C" w:rsidRPr="00877ED4" w:rsidRDefault="0027006C" w:rsidP="00817137">
      <w:pPr>
        <w:pStyle w:val="Prrafodelista"/>
        <w:spacing w:line="240" w:lineRule="auto"/>
        <w:ind w:right="709"/>
        <w:rPr>
          <w:rFonts w:ascii="Verdana" w:eastAsia="Calibri" w:hAnsi="Verdana" w:cs="Arial"/>
          <w:sz w:val="20"/>
          <w:szCs w:val="20"/>
          <w:lang w:val="es-CO"/>
        </w:rPr>
      </w:pPr>
      <w:r w:rsidRPr="00877ED4">
        <w:rPr>
          <w:rFonts w:ascii="Verdana" w:eastAsia="Calibri" w:hAnsi="Verdana" w:cs="Arial"/>
          <w:sz w:val="20"/>
          <w:szCs w:val="20"/>
          <w:lang w:val="es-CO"/>
        </w:rPr>
        <w:t>  </w:t>
      </w:r>
    </w:p>
    <w:p w14:paraId="476B1BC5" w14:textId="77777777" w:rsidR="0027006C" w:rsidRPr="009826A8" w:rsidRDefault="0027006C" w:rsidP="00817137">
      <w:pPr>
        <w:pStyle w:val="Prrafodelista"/>
        <w:spacing w:after="0" w:line="240" w:lineRule="auto"/>
        <w:ind w:right="709"/>
        <w:jc w:val="both"/>
        <w:rPr>
          <w:rFonts w:ascii="Verdana" w:eastAsia="Calibri" w:hAnsi="Verdana" w:cs="Arial"/>
          <w:sz w:val="20"/>
          <w:szCs w:val="20"/>
        </w:rPr>
      </w:pPr>
      <w:r w:rsidRPr="00100432">
        <w:rPr>
          <w:rFonts w:ascii="Verdana" w:eastAsia="Calibri" w:hAnsi="Verdana" w:cs="Arial"/>
          <w:i/>
          <w:sz w:val="20"/>
          <w:szCs w:val="20"/>
        </w:rPr>
        <w:t>La Entidad Estatal debe prever en los pliegos de condiciones para la Contratación, el mecanismo que proceda para restablecer la garantía, cuando el contratista incumpla su obligación de obtenerla, ampliarla o adicionarla</w:t>
      </w:r>
      <w:r w:rsidRPr="00100432">
        <w:rPr>
          <w:rFonts w:ascii="Verdana" w:eastAsia="Calibri" w:hAnsi="Verdana" w:cs="Arial"/>
          <w:i/>
          <w:iCs/>
          <w:sz w:val="20"/>
          <w:szCs w:val="20"/>
        </w:rPr>
        <w:t xml:space="preserve">”. </w:t>
      </w:r>
      <w:r>
        <w:rPr>
          <w:rFonts w:ascii="Verdana" w:eastAsia="Calibri" w:hAnsi="Verdana" w:cs="Arial"/>
          <w:sz w:val="20"/>
          <w:szCs w:val="20"/>
        </w:rPr>
        <w:t>(Énfasis fuera de texto)</w:t>
      </w:r>
    </w:p>
    <w:p w14:paraId="73153DB0" w14:textId="77777777" w:rsidR="0027006C" w:rsidRPr="00FC4A16" w:rsidRDefault="0027006C" w:rsidP="00817137">
      <w:pPr>
        <w:pStyle w:val="Prrafodelista"/>
        <w:spacing w:after="0" w:line="240" w:lineRule="auto"/>
        <w:ind w:right="709"/>
        <w:jc w:val="both"/>
        <w:rPr>
          <w:rFonts w:ascii="Verdana" w:eastAsia="Calibri" w:hAnsi="Verdana" w:cs="Arial"/>
          <w:sz w:val="20"/>
          <w:szCs w:val="20"/>
        </w:rPr>
      </w:pPr>
    </w:p>
    <w:p w14:paraId="10EC8313" w14:textId="77777777" w:rsidR="0027006C" w:rsidRPr="00100432" w:rsidRDefault="0027006C" w:rsidP="00817137">
      <w:pPr>
        <w:spacing w:after="0" w:line="240" w:lineRule="auto"/>
        <w:ind w:firstLine="708"/>
        <w:jc w:val="both"/>
        <w:rPr>
          <w:rFonts w:ascii="Verdana" w:eastAsia="Calibri" w:hAnsi="Verdana" w:cs="Arial"/>
        </w:rPr>
      </w:pPr>
      <w:r w:rsidRPr="00100432">
        <w:rPr>
          <w:rFonts w:ascii="Verdana" w:eastAsia="Calibri" w:hAnsi="Verdana" w:cs="Arial"/>
        </w:rPr>
        <w:t xml:space="preserve">Esta regla se explica porque el contrato estatal, como acto jurídico bilateral, es ley para los contratantes y por regla general no puede </w:t>
      </w:r>
      <w:r>
        <w:rPr>
          <w:rFonts w:ascii="Verdana" w:eastAsia="Calibri" w:hAnsi="Verdana" w:cs="Arial"/>
        </w:rPr>
        <w:t xml:space="preserve">modificarse </w:t>
      </w:r>
      <w:r w:rsidRPr="00100432">
        <w:rPr>
          <w:rFonts w:ascii="Verdana" w:eastAsia="Calibri" w:hAnsi="Verdana" w:cs="Arial"/>
        </w:rPr>
        <w:t>sino por el consentimiento mutuo</w:t>
      </w:r>
      <w:r w:rsidRPr="00FC4A16">
        <w:rPr>
          <w:rStyle w:val="Refdenotaalpie"/>
          <w:rFonts w:ascii="Verdana" w:eastAsia="Calibri" w:hAnsi="Verdana" w:cs="Arial"/>
        </w:rPr>
        <w:footnoteReference w:id="13"/>
      </w:r>
      <w:r w:rsidRPr="00100432">
        <w:rPr>
          <w:rFonts w:ascii="Verdana" w:eastAsia="Calibri" w:hAnsi="Verdana" w:cs="Arial"/>
        </w:rPr>
        <w:t>, en es</w:t>
      </w:r>
      <w:r>
        <w:rPr>
          <w:rFonts w:ascii="Verdana" w:eastAsia="Calibri" w:hAnsi="Verdana" w:cs="Arial"/>
        </w:rPr>
        <w:t>ta línea</w:t>
      </w:r>
      <w:r w:rsidRPr="00100432">
        <w:rPr>
          <w:rFonts w:ascii="Verdana" w:eastAsia="Calibri" w:hAnsi="Verdana" w:cs="Arial"/>
        </w:rPr>
        <w:t>, cualquier modificación contractual implica un nuevo acuerdo de voluntades, o lo que es lo mismo un contrato, por ello este nuevo contrato requiere garantía para ser ejecutado. Respecto a las formalidades requeridas para las modificaciones de los contratos, y refiriéndose al alcance del artículo 39 y 41 de la Ley 80 de 1993, el Consejo de Estado, Sección Tercera, en la sentencia del 18 de febrero de 2010</w:t>
      </w:r>
      <w:r>
        <w:rPr>
          <w:rFonts w:ascii="Verdana" w:eastAsia="Calibri" w:hAnsi="Verdana" w:cs="Arial"/>
        </w:rPr>
        <w:t xml:space="preserve">, con expediente </w:t>
      </w:r>
      <w:r w:rsidRPr="00100432">
        <w:rPr>
          <w:rFonts w:ascii="Verdana" w:eastAsia="Calibri" w:hAnsi="Verdana" w:cs="Arial"/>
        </w:rPr>
        <w:t xml:space="preserve">15.596, con ponencia del </w:t>
      </w:r>
      <w:proofErr w:type="gramStart"/>
      <w:r>
        <w:rPr>
          <w:rFonts w:ascii="Verdana" w:eastAsia="Calibri" w:hAnsi="Verdana" w:cs="Arial"/>
        </w:rPr>
        <w:t>C</w:t>
      </w:r>
      <w:r w:rsidRPr="00100432">
        <w:rPr>
          <w:rFonts w:ascii="Verdana" w:eastAsia="Calibri" w:hAnsi="Verdana" w:cs="Arial"/>
        </w:rPr>
        <w:t>onsejero</w:t>
      </w:r>
      <w:proofErr w:type="gramEnd"/>
      <w:r w:rsidRPr="00100432">
        <w:rPr>
          <w:rFonts w:ascii="Verdana" w:eastAsia="Calibri" w:hAnsi="Verdana" w:cs="Arial"/>
        </w:rPr>
        <w:t xml:space="preserve"> Mauricio Fajardo Gómez, señaló:</w:t>
      </w:r>
    </w:p>
    <w:p w14:paraId="5C6D2660" w14:textId="77777777" w:rsidR="0027006C" w:rsidRPr="00FC4A16" w:rsidRDefault="0027006C" w:rsidP="00817137">
      <w:pPr>
        <w:pStyle w:val="Prrafodelista"/>
        <w:spacing w:after="0" w:line="240" w:lineRule="auto"/>
        <w:jc w:val="both"/>
        <w:rPr>
          <w:rFonts w:ascii="Verdana" w:eastAsia="Calibri" w:hAnsi="Verdana" w:cs="Arial"/>
        </w:rPr>
      </w:pPr>
    </w:p>
    <w:p w14:paraId="62660CBC" w14:textId="77777777" w:rsidR="0027006C" w:rsidRPr="00FC4A16" w:rsidRDefault="0027006C" w:rsidP="00817137">
      <w:pPr>
        <w:pStyle w:val="Prrafodelista"/>
        <w:spacing w:after="0" w:line="240" w:lineRule="auto"/>
        <w:ind w:right="709"/>
        <w:jc w:val="both"/>
        <w:rPr>
          <w:rFonts w:ascii="Verdana" w:eastAsia="Calibri" w:hAnsi="Verdana" w:cs="Arial"/>
          <w:sz w:val="20"/>
          <w:szCs w:val="20"/>
        </w:rPr>
      </w:pPr>
      <w:r w:rsidRPr="00FC4A16">
        <w:rPr>
          <w:rFonts w:ascii="Verdana" w:eastAsia="Calibri" w:hAnsi="Verdana" w:cs="Arial"/>
          <w:sz w:val="20"/>
          <w:szCs w:val="20"/>
        </w:rPr>
        <w:t xml:space="preserve">“De conformidad con las normas transcritas, respecto de los contratos estatales no es posible afirmar que con el simple consentimiento de las partes puedan ser perfeccionados, de lo cual se colige, de manera directa, que la modificación de </w:t>
      </w:r>
      <w:proofErr w:type="gramStart"/>
      <w:r w:rsidRPr="00FC4A16">
        <w:rPr>
          <w:rFonts w:ascii="Verdana" w:eastAsia="Calibri" w:hAnsi="Verdana" w:cs="Arial"/>
          <w:sz w:val="20"/>
          <w:szCs w:val="20"/>
        </w:rPr>
        <w:t>los mismos</w:t>
      </w:r>
      <w:proofErr w:type="gramEnd"/>
      <w:r w:rsidRPr="00FC4A16">
        <w:rPr>
          <w:rFonts w:ascii="Verdana" w:eastAsia="Calibri" w:hAnsi="Verdana" w:cs="Arial"/>
          <w:sz w:val="20"/>
          <w:szCs w:val="20"/>
        </w:rPr>
        <w:t xml:space="preserve">, consistente en adición de obras, valor y período para la ejecución, también debe constar por escrito para que puedan alcanzar eficacia, existencia y validez. Esto último, en cuanto que la modificación respecto de un acuerdo que consta por escrito debe surtir el mismo proceso que se dio para su constitución, dado que el acuerdo modificatorio está tomando el lugar del acuerdo originario y la solemnidad </w:t>
      </w:r>
      <w:r w:rsidRPr="00FC4A16">
        <w:rPr>
          <w:rFonts w:ascii="Verdana" w:eastAsia="Calibri" w:hAnsi="Verdana" w:cs="Arial"/>
          <w:sz w:val="20"/>
          <w:szCs w:val="20"/>
        </w:rPr>
        <w:lastRenderedPageBreak/>
        <w:t>que se predica legalmente del segundo ha de ser exigida para el reconocimiento de eficacia, existencia y validez del primero”.</w:t>
      </w:r>
    </w:p>
    <w:p w14:paraId="00037CAA" w14:textId="77777777" w:rsidR="0027006C" w:rsidRPr="00FC4A16" w:rsidRDefault="0027006C" w:rsidP="00817137">
      <w:pPr>
        <w:pStyle w:val="Prrafodelista"/>
        <w:spacing w:after="0" w:line="240" w:lineRule="auto"/>
        <w:jc w:val="both"/>
        <w:rPr>
          <w:rFonts w:ascii="Verdana" w:hAnsi="Verdana"/>
          <w:lang w:val="es-CO"/>
        </w:rPr>
      </w:pPr>
    </w:p>
    <w:p w14:paraId="20D23C9C" w14:textId="77777777" w:rsidR="0027006C" w:rsidRPr="00100432" w:rsidRDefault="0027006C" w:rsidP="00817137">
      <w:pPr>
        <w:spacing w:after="120" w:line="240" w:lineRule="auto"/>
        <w:ind w:firstLine="709"/>
        <w:jc w:val="both"/>
        <w:rPr>
          <w:rFonts w:ascii="Verdana" w:hAnsi="Verdana"/>
        </w:rPr>
      </w:pPr>
      <w:r w:rsidRPr="00100432">
        <w:rPr>
          <w:rFonts w:ascii="Verdana" w:hAnsi="Verdana"/>
        </w:rPr>
        <w:t>En el mismo sentido, la Sala de Consulta y Servicio del Consejo de Estado, en el concepto con radicado No</w:t>
      </w:r>
      <w:r>
        <w:rPr>
          <w:rFonts w:ascii="Verdana" w:hAnsi="Verdana"/>
        </w:rPr>
        <w:t xml:space="preserve"> </w:t>
      </w:r>
      <w:r w:rsidRPr="00100432">
        <w:rPr>
          <w:rFonts w:ascii="Verdana" w:hAnsi="Verdana"/>
        </w:rPr>
        <w:t xml:space="preserve">2.263, del 17 de marzo de 2016 con ponencia del </w:t>
      </w:r>
      <w:proofErr w:type="gramStart"/>
      <w:r>
        <w:rPr>
          <w:rFonts w:ascii="Verdana" w:hAnsi="Verdana"/>
        </w:rPr>
        <w:t>C</w:t>
      </w:r>
      <w:r w:rsidRPr="00100432">
        <w:rPr>
          <w:rFonts w:ascii="Verdana" w:hAnsi="Verdana"/>
        </w:rPr>
        <w:t>onsejero</w:t>
      </w:r>
      <w:proofErr w:type="gramEnd"/>
      <w:r w:rsidRPr="00100432">
        <w:rPr>
          <w:rFonts w:ascii="Verdana" w:hAnsi="Verdana"/>
        </w:rPr>
        <w:t xml:space="preserve"> Edgar González López, señaló respecto de las modificaciones de los contratos: </w:t>
      </w:r>
      <w:r w:rsidRPr="00100432">
        <w:rPr>
          <w:rFonts w:ascii="Verdana" w:hAnsi="Verdana"/>
          <w:i/>
          <w:iCs/>
        </w:rPr>
        <w:t xml:space="preserve">“[…] puede afirmarse que la regla general es la no modificación del contrato, y la vía excepcional su modificación, sometida a límites legales. Por lo tanto, una modificación necesaria del contrato, surgida por iniciativa del contratista, del interventor o del supervisor, debe ser aprobada por la entidad que ejerce su dirección general, y cumplir, en forma previa, las mismas formalidades de solemnidad del contrato principal”. </w:t>
      </w:r>
      <w:r w:rsidRPr="00100432">
        <w:rPr>
          <w:rFonts w:ascii="Verdana" w:hAnsi="Verdana"/>
        </w:rPr>
        <w:t>(Énfasis fuera de texto)</w:t>
      </w:r>
    </w:p>
    <w:p w14:paraId="3C6BDEA7" w14:textId="77777777" w:rsidR="0027006C" w:rsidRPr="00100432" w:rsidRDefault="0027006C" w:rsidP="00817137">
      <w:pPr>
        <w:spacing w:after="120" w:line="240" w:lineRule="auto"/>
        <w:ind w:firstLine="709"/>
        <w:jc w:val="both"/>
        <w:rPr>
          <w:rFonts w:ascii="Verdana" w:hAnsi="Verdana"/>
        </w:rPr>
      </w:pPr>
      <w:r w:rsidRPr="00100432">
        <w:rPr>
          <w:rFonts w:ascii="Verdana" w:hAnsi="Verdana"/>
        </w:rPr>
        <w:t xml:space="preserve">En definitiva, es necesario que el contratista amplíe la garantía cuando el contrato se </w:t>
      </w:r>
      <w:r>
        <w:rPr>
          <w:rFonts w:ascii="Verdana" w:hAnsi="Verdana"/>
        </w:rPr>
        <w:t>prorroga o se adiciona</w:t>
      </w:r>
      <w:r w:rsidRPr="00100432">
        <w:rPr>
          <w:rFonts w:ascii="Verdana" w:hAnsi="Verdana"/>
        </w:rPr>
        <w:t xml:space="preserve">, </w:t>
      </w:r>
      <w:r>
        <w:rPr>
          <w:rFonts w:ascii="Verdana" w:hAnsi="Verdana"/>
        </w:rPr>
        <w:t>a</w:t>
      </w:r>
      <w:r w:rsidRPr="00100432">
        <w:rPr>
          <w:rFonts w:ascii="Verdana" w:hAnsi="Verdana"/>
        </w:rPr>
        <w:t xml:space="preserve">mpliación </w:t>
      </w:r>
      <w:r>
        <w:rPr>
          <w:rFonts w:ascii="Verdana" w:hAnsi="Verdana"/>
        </w:rPr>
        <w:t xml:space="preserve">que </w:t>
      </w:r>
      <w:r w:rsidRPr="00100432">
        <w:rPr>
          <w:rFonts w:ascii="Verdana" w:hAnsi="Verdana"/>
        </w:rPr>
        <w:t>requiere aprobación</w:t>
      </w:r>
      <w:r>
        <w:rPr>
          <w:rFonts w:ascii="Verdana" w:hAnsi="Verdana"/>
        </w:rPr>
        <w:t xml:space="preserve"> por parte de la Entidad Estatal contratante</w:t>
      </w:r>
      <w:r w:rsidRPr="00100432">
        <w:rPr>
          <w:rFonts w:ascii="Verdana" w:hAnsi="Verdana"/>
        </w:rPr>
        <w:t xml:space="preserve">, tal como fue aprobada la garantía del contrato inicial. En cumplimiento del artículo 2.2.1.2.3.1.18. del Decreto 1082 de 2015, solo se le exige al contratista que: i) amplié el valor de la garantía cuando hay una adición, y </w:t>
      </w:r>
      <w:proofErr w:type="spellStart"/>
      <w:r w:rsidRPr="00100432">
        <w:rPr>
          <w:rFonts w:ascii="Verdana" w:hAnsi="Verdana"/>
        </w:rPr>
        <w:t>ii</w:t>
      </w:r>
      <w:proofErr w:type="spellEnd"/>
      <w:r w:rsidRPr="00100432">
        <w:rPr>
          <w:rFonts w:ascii="Verdana" w:hAnsi="Verdana"/>
        </w:rPr>
        <w:t>)</w:t>
      </w:r>
      <w:r w:rsidRPr="00100432">
        <w:rPr>
          <w:rFonts w:ascii="Verdana" w:hAnsi="Verdana"/>
          <w:b/>
          <w:bCs/>
        </w:rPr>
        <w:t xml:space="preserve"> </w:t>
      </w:r>
      <w:r w:rsidRPr="006212B0">
        <w:rPr>
          <w:rFonts w:ascii="Verdana" w:hAnsi="Verdana"/>
        </w:rPr>
        <w:t>que la garantía debe ampliar su vigencia cuando se modifica el plazo del contrato; y en ninguna de estas hipótesis resulta necesario alterar otras condiciones de la póliza. En consecuencia, si el contratista ha presentado una garantía y el contrato únicamente se amplía o adiciona, no corresponde modificar los riesgos asegurados ni las exclusiones del seguro, sino únicamente extender la vigencia o ajustar el valor de la póliza. En este sentido, la suspensión, como institución que altera el plazo contractual, implica necesariamente la ampliación de la garantía.</w:t>
      </w:r>
      <w:r>
        <w:rPr>
          <w:rFonts w:ascii="Verdana" w:hAnsi="Verdana"/>
        </w:rPr>
        <w:t xml:space="preserve"> </w:t>
      </w:r>
    </w:p>
    <w:p w14:paraId="114973E4" w14:textId="77777777" w:rsidR="0027006C" w:rsidRDefault="0027006C" w:rsidP="00817137">
      <w:pPr>
        <w:spacing w:after="120" w:line="240" w:lineRule="auto"/>
        <w:ind w:firstLine="709"/>
        <w:jc w:val="both"/>
        <w:rPr>
          <w:rFonts w:ascii="Verdana" w:hAnsi="Verdana"/>
        </w:rPr>
      </w:pPr>
      <w:r w:rsidRPr="00100432">
        <w:rPr>
          <w:rFonts w:ascii="Verdana" w:hAnsi="Verdana"/>
        </w:rPr>
        <w:t>Vale la pena recordar que según el artículo 1048 del Código de Comercio</w:t>
      </w:r>
      <w:r w:rsidRPr="00FC4A16">
        <w:rPr>
          <w:rStyle w:val="Refdenotaalpie"/>
          <w:rFonts w:ascii="Verdana" w:hAnsi="Verdana"/>
        </w:rPr>
        <w:footnoteReference w:id="14"/>
      </w:r>
      <w:r w:rsidRPr="00100432">
        <w:rPr>
          <w:rFonts w:ascii="Verdana" w:hAnsi="Verdana"/>
        </w:rPr>
        <w:t xml:space="preserve"> las adiciones, modificaciones o renovaciones de las pólizas se consignan en “anexos”, en este sentido, la </w:t>
      </w:r>
      <w:r w:rsidRPr="000525BB">
        <w:rPr>
          <w:rFonts w:ascii="Verdana" w:hAnsi="Verdana"/>
        </w:rPr>
        <w:t xml:space="preserve">Entidad Estatal </w:t>
      </w:r>
      <w:r w:rsidRPr="00100432">
        <w:rPr>
          <w:rFonts w:ascii="Verdana" w:hAnsi="Verdana"/>
        </w:rPr>
        <w:t xml:space="preserve">no requiere una nueva póliza, sino que puede solicitar del contratista un </w:t>
      </w:r>
      <w:r w:rsidRPr="00100432">
        <w:rPr>
          <w:rFonts w:ascii="Verdana" w:hAnsi="Verdana"/>
          <w:i/>
          <w:iCs/>
        </w:rPr>
        <w:t>“anexo”</w:t>
      </w:r>
      <w:r w:rsidRPr="00100432">
        <w:rPr>
          <w:rFonts w:ascii="Verdana" w:hAnsi="Verdana"/>
        </w:rPr>
        <w:t xml:space="preserve"> donde conste la ampliación de la garantía, y con ello cumplir las condiciones antes enunciadas para comenzar a ejecutar la modificación contractual. La </w:t>
      </w:r>
      <w:r w:rsidRPr="000525BB">
        <w:rPr>
          <w:rFonts w:ascii="Verdana" w:hAnsi="Verdana"/>
        </w:rPr>
        <w:t xml:space="preserve">Entidad Estatal </w:t>
      </w:r>
      <w:r w:rsidRPr="00100432">
        <w:rPr>
          <w:rFonts w:ascii="Verdana" w:hAnsi="Verdana"/>
        </w:rPr>
        <w:t>debe actuar de buena fe</w:t>
      </w:r>
      <w:r w:rsidRPr="00FC4A16">
        <w:rPr>
          <w:rStyle w:val="Refdenotaalpie"/>
          <w:rFonts w:ascii="Verdana" w:hAnsi="Verdana"/>
        </w:rPr>
        <w:footnoteReference w:id="15"/>
      </w:r>
      <w:r w:rsidRPr="00100432">
        <w:rPr>
          <w:rFonts w:ascii="Verdana" w:hAnsi="Verdana"/>
        </w:rPr>
        <w:t xml:space="preserve"> y en concordancia con lo expuesto, no debe negarse a aprobar la ampliación </w:t>
      </w:r>
      <w:r w:rsidRPr="00100432">
        <w:rPr>
          <w:rFonts w:ascii="Verdana" w:hAnsi="Verdana"/>
        </w:rPr>
        <w:lastRenderedPageBreak/>
        <w:t xml:space="preserve">de la póliza cuando el contratista presenta un anexo que cumpla con las condiciones del Decreto 1082 de 2015. </w:t>
      </w:r>
      <w:r>
        <w:rPr>
          <w:rFonts w:ascii="Verdana" w:hAnsi="Verdana"/>
        </w:rPr>
        <w:t xml:space="preserve">Es necesario tener </w:t>
      </w:r>
      <w:r w:rsidRPr="00100432">
        <w:rPr>
          <w:rFonts w:ascii="Verdana" w:hAnsi="Verdana"/>
        </w:rPr>
        <w:t xml:space="preserve">en cuenta que el contrato no puede quedar desamparado en ningún momento, pues de no aprobarse la garantía no podrá </w:t>
      </w:r>
      <w:r>
        <w:rPr>
          <w:rFonts w:ascii="Verdana" w:hAnsi="Verdana"/>
        </w:rPr>
        <w:t>reanudarse el contrato derivada de la suspensión, teniendo en cuenta que es una condición ineludible para su ejecución.</w:t>
      </w:r>
    </w:p>
    <w:p w14:paraId="49EFAB13" w14:textId="77777777" w:rsidR="0027006C" w:rsidRDefault="0027006C" w:rsidP="00817137">
      <w:pPr>
        <w:spacing w:after="120" w:line="240" w:lineRule="auto"/>
        <w:ind w:firstLine="709"/>
        <w:jc w:val="both"/>
        <w:rPr>
          <w:rFonts w:ascii="Verdana" w:hAnsi="Verdana"/>
        </w:rPr>
      </w:pPr>
      <w:r w:rsidRPr="00200996">
        <w:rPr>
          <w:rFonts w:ascii="Verdana" w:hAnsi="Verdana"/>
        </w:rPr>
        <w:t xml:space="preserve">Ahora bien, es importante señalar que, como se expresó en las consideraciones </w:t>
      </w:r>
      <w:r>
        <w:rPr>
          <w:rFonts w:ascii="Verdana" w:hAnsi="Verdana"/>
        </w:rPr>
        <w:t xml:space="preserve">en un numeral anterior, </w:t>
      </w:r>
      <w:r w:rsidRPr="00200996">
        <w:rPr>
          <w:rFonts w:ascii="Verdana" w:hAnsi="Verdana"/>
        </w:rPr>
        <w:t xml:space="preserve">la suspensión del contrato puede estar sometida a condición o a un plazo cierto, lo cual incide directamente en la configuración del riesgo asegurado. En este escenario, cuando la suspensión se encuentra sujeta a condición, </w:t>
      </w:r>
      <w:r>
        <w:rPr>
          <w:rFonts w:ascii="Verdana" w:hAnsi="Verdana"/>
        </w:rPr>
        <w:t xml:space="preserve">el contratista como tomador </w:t>
      </w:r>
      <w:r w:rsidRPr="00200996">
        <w:rPr>
          <w:rFonts w:ascii="Verdana" w:hAnsi="Verdana"/>
        </w:rPr>
        <w:t>debe informar oportunamente a la compañía aseguradora con el fin de mantener vigente la póliza de cumplimiento, pues la alteración del plazo contractual supone una modificación relevante de las circunstancias inicialmente pactadas. La comunicación al asegurador garantiza que la cobertura continúe durante el período de suspensión y evita que la garantía se torne ineficaz frente a eventuales incumplimientos. De esta manera, la obligación de informar no solo preserva la validez de la póliza, sino que también asegura la protección del interés público y la indemnidad patrimonial de la entidad estatal</w:t>
      </w:r>
      <w:r>
        <w:rPr>
          <w:rFonts w:ascii="Verdana" w:hAnsi="Verdana"/>
        </w:rPr>
        <w:t xml:space="preserve"> como beneficiaria. </w:t>
      </w:r>
    </w:p>
    <w:p w14:paraId="0A82C90E" w14:textId="77777777" w:rsidR="0027006C" w:rsidRPr="000660C3" w:rsidRDefault="0027006C" w:rsidP="00817137">
      <w:pPr>
        <w:spacing w:after="120" w:line="240" w:lineRule="auto"/>
        <w:ind w:firstLine="709"/>
        <w:jc w:val="both"/>
        <w:rPr>
          <w:rFonts w:ascii="Verdana" w:hAnsi="Verdana"/>
        </w:rPr>
      </w:pPr>
      <w:r w:rsidRPr="000660C3">
        <w:rPr>
          <w:rFonts w:ascii="Verdana" w:hAnsi="Verdana"/>
        </w:rPr>
        <w:t>De conformidad con lo previsto en el artículo 1060 del Código de Comercio</w:t>
      </w:r>
      <w:r>
        <w:rPr>
          <w:rStyle w:val="Refdenotaalpie"/>
          <w:rFonts w:ascii="Verdana" w:hAnsi="Verdana"/>
        </w:rPr>
        <w:footnoteReference w:id="16"/>
      </w:r>
      <w:r w:rsidRPr="000660C3">
        <w:rPr>
          <w:rFonts w:ascii="Verdana" w:hAnsi="Verdana"/>
        </w:rPr>
        <w:t xml:space="preserve">, corresponde al tomador o asegurado informar por escrito al asegurador sobre cualquier novedad que implique una variación del estado del riesgo asumido en el contrato de seguro. Tal deber de comunicación se extiende a situaciones futuras originadas por el propio asegurado que puedan modificar las condiciones que motivaron la asunción del riesgo, como ocurre frente a una </w:t>
      </w:r>
      <w:r w:rsidRPr="000660C3">
        <w:rPr>
          <w:rFonts w:ascii="Verdana" w:hAnsi="Verdana"/>
        </w:rPr>
        <w:lastRenderedPageBreak/>
        <w:t xml:space="preserve">eventual suspensión indefinida del contrato estatal. Esta notificación </w:t>
      </w:r>
      <w:r>
        <w:rPr>
          <w:rFonts w:ascii="Verdana" w:hAnsi="Verdana"/>
        </w:rPr>
        <w:t xml:space="preserve">debe fundarse </w:t>
      </w:r>
      <w:r w:rsidRPr="000660C3">
        <w:rPr>
          <w:rFonts w:ascii="Verdana" w:hAnsi="Verdana"/>
        </w:rPr>
        <w:t>en el principio de buena fe, razón por la cual la norma establece un plazo mínimo de diez días hábiles para efectuarla. Durante dicho término, las condiciones iniciales del contrato se mantienen y la póliza conserva plena validez, permitiendo al asegurador analizar y pronunciarse también por escrito acerca de la modificación planteada, en garantía de la igualdad contractual.</w:t>
      </w:r>
    </w:p>
    <w:p w14:paraId="5667C6B2" w14:textId="77777777" w:rsidR="0027006C" w:rsidRDefault="0027006C" w:rsidP="00817137">
      <w:pPr>
        <w:spacing w:after="120" w:line="240" w:lineRule="auto"/>
        <w:ind w:firstLine="709"/>
        <w:jc w:val="both"/>
        <w:rPr>
          <w:rFonts w:ascii="Verdana" w:hAnsi="Verdana"/>
        </w:rPr>
      </w:pPr>
      <w:r w:rsidRPr="00A16E13">
        <w:rPr>
          <w:rFonts w:ascii="Verdana" w:hAnsi="Verdana"/>
        </w:rPr>
        <w:t>En este contexto, el asegurador puede optar por mantener inalterada la póliza o proponer ajustes cuando estime que las nuevas circunstancias son superables. Ahora bien, en el régimen de las garantías estatales los efectos que el Código de Comercio anuda a la conducta del tomador se encuentran modulados. De una parte, el artículo 1060 no consagra una revocatoria unilateral, sino el deber de informar la agravación del riesgo, el derecho del asegurador a revocar o reajustar la prima una vez notificado y la terminación del contrato por falta de notificación oportuna; la revocatoria unilateral del contrato de seguro está prevista en el artículo 1071 del mismo código. De otra parte, ninguno de esos efectos le es oponible a la entidad estatal beneficiaria: el artículo 7 de la Ley 1150 de 2007 dispone que las garantías constituidas a su favor no expiran por falta de pago de la prima ni por revocatoria unilateral del asegurador, y el artículo 2.2.1.1.3.2.6 del Decreto 1082 de 2015 prohíbe a la compañía de seguros oponer o defenderse de las reclamaciones de la entidad alegando la conducta del tomador, en especial las inexactitudes o reticencias en que este hubiere incurrido. En consecuencia, la omisión del contratista de comunicar la suspensión al asegurador no extingue ni hace inexigible la garantía frente a la entidad estatal, ni faculta a la aseguradora para negar la cobertura invocando esa omisión, sin perjuicio de la responsabilidad que le sea imputable al contratista, tanto frente al asegurador como frente a la entidad, por el incumplimiento de sus deberes.</w:t>
      </w:r>
    </w:p>
    <w:p w14:paraId="663E85BC" w14:textId="77777777" w:rsidR="0027006C" w:rsidRPr="00E7518B" w:rsidRDefault="0027006C" w:rsidP="00817137">
      <w:pPr>
        <w:spacing w:after="120" w:line="240" w:lineRule="auto"/>
        <w:ind w:firstLine="709"/>
        <w:jc w:val="both"/>
        <w:rPr>
          <w:rFonts w:ascii="Verdana" w:hAnsi="Verdana"/>
        </w:rPr>
      </w:pPr>
      <w:r>
        <w:rPr>
          <w:rFonts w:ascii="Verdana" w:hAnsi="Verdana"/>
        </w:rPr>
        <w:t>En este sentido, debe recordarse l</w:t>
      </w:r>
      <w:r w:rsidRPr="00E7518B">
        <w:rPr>
          <w:rFonts w:ascii="Verdana" w:hAnsi="Verdana"/>
        </w:rPr>
        <w:t xml:space="preserve">a regulación en </w:t>
      </w:r>
      <w:r>
        <w:rPr>
          <w:rFonts w:ascii="Verdana" w:hAnsi="Verdana"/>
        </w:rPr>
        <w:t xml:space="preserve">el Sistema de Compras Públicas </w:t>
      </w:r>
      <w:r w:rsidRPr="00E7518B">
        <w:rPr>
          <w:rFonts w:ascii="Verdana" w:hAnsi="Verdana"/>
        </w:rPr>
        <w:t>excepciona lo dispuesto en el artículo 1068 del Código de Comercio</w:t>
      </w:r>
      <w:r w:rsidRPr="00E7518B">
        <w:rPr>
          <w:rFonts w:ascii="Verdana" w:hAnsi="Verdana"/>
          <w:vertAlign w:val="superscript"/>
        </w:rPr>
        <w:footnoteReference w:id="17"/>
      </w:r>
      <w:r w:rsidRPr="00E7518B">
        <w:rPr>
          <w:rFonts w:ascii="Verdana" w:hAnsi="Verdana"/>
        </w:rPr>
        <w:t xml:space="preserve">, según el cual la mora en el pago de la prima es una causal de terminación automática del contrato. El asegurador, entonces, puede exigir el pago de la prima devengada y los gastos derivados de la suscripción del contrato. Asimismo, la regulación contractual estatal excepciona lo dispuesto por el </w:t>
      </w:r>
      <w:r w:rsidRPr="00E7518B">
        <w:rPr>
          <w:rFonts w:ascii="Verdana" w:hAnsi="Verdana"/>
        </w:rPr>
        <w:lastRenderedPageBreak/>
        <w:t>artículo 1071 del Código de Comercio</w:t>
      </w:r>
      <w:r w:rsidRPr="00E7518B">
        <w:rPr>
          <w:rFonts w:ascii="Verdana" w:hAnsi="Verdana"/>
          <w:vertAlign w:val="superscript"/>
        </w:rPr>
        <w:footnoteReference w:id="18"/>
      </w:r>
      <w:r w:rsidRPr="00E7518B">
        <w:rPr>
          <w:rFonts w:ascii="Verdana" w:hAnsi="Verdana"/>
        </w:rPr>
        <w:t xml:space="preserve">, que habilitan a las partes del contrato de seguro a revocarlo unilateralmente, ya sea que se trate del asegurado o de la aseguradora. </w:t>
      </w:r>
    </w:p>
    <w:p w14:paraId="079D6CCB" w14:textId="77777777" w:rsidR="0027006C" w:rsidRPr="00431F9C" w:rsidRDefault="0027006C" w:rsidP="00817137">
      <w:pPr>
        <w:spacing w:after="120" w:line="240" w:lineRule="auto"/>
        <w:ind w:firstLine="709"/>
        <w:jc w:val="both"/>
        <w:rPr>
          <w:rFonts w:ascii="Verdana" w:hAnsi="Verdana"/>
          <w:bCs/>
        </w:rPr>
      </w:pPr>
      <w:r w:rsidRPr="00E7518B">
        <w:rPr>
          <w:rFonts w:ascii="Verdana" w:hAnsi="Verdana"/>
        </w:rPr>
        <w:t xml:space="preserve">Estas prescripciones dotan de una mayor seguridad y estabilidad a estas garantías en los contratos estatales, con lo que se busca proteger el interés público. Para Escobar Gil, incluso, con fundamento en la tesis de que la </w:t>
      </w:r>
      <w:proofErr w:type="spellStart"/>
      <w:r w:rsidRPr="00E7518B">
        <w:rPr>
          <w:rFonts w:ascii="Verdana" w:hAnsi="Verdana"/>
          <w:i/>
        </w:rPr>
        <w:t>exceptio</w:t>
      </w:r>
      <w:proofErr w:type="spellEnd"/>
      <w:r w:rsidRPr="00E7518B">
        <w:rPr>
          <w:rFonts w:ascii="Verdana" w:hAnsi="Verdana"/>
          <w:i/>
        </w:rPr>
        <w:t xml:space="preserve"> non </w:t>
      </w:r>
      <w:proofErr w:type="spellStart"/>
      <w:r w:rsidRPr="00E7518B">
        <w:rPr>
          <w:rFonts w:ascii="Verdana" w:hAnsi="Verdana"/>
          <w:i/>
        </w:rPr>
        <w:t>adipleti</w:t>
      </w:r>
      <w:proofErr w:type="spellEnd"/>
      <w:r w:rsidRPr="00E7518B">
        <w:rPr>
          <w:rFonts w:ascii="Verdana" w:hAnsi="Verdana"/>
          <w:i/>
        </w:rPr>
        <w:t xml:space="preserve"> contractus</w:t>
      </w:r>
      <w:r w:rsidRPr="00E7518B">
        <w:rPr>
          <w:rFonts w:ascii="Verdana" w:hAnsi="Verdana"/>
        </w:rPr>
        <w:t xml:space="preserve"> no es aplicable a los negocios jurídicos estatales afirma que, </w:t>
      </w:r>
      <w:r>
        <w:rPr>
          <w:rFonts w:ascii="Verdana" w:hAnsi="Verdana"/>
        </w:rPr>
        <w:t>“</w:t>
      </w:r>
      <w:r w:rsidRPr="00E7518B">
        <w:rPr>
          <w:rFonts w:ascii="Verdana" w:hAnsi="Verdana"/>
        </w:rPr>
        <w:t>la compañía de seguros no podrá oponer a las entidades estatales las excepciones que hubiere podido alegar contra el contratista, a diferencia del régimen ordinario, que sí permite al asegurador plantear frente al beneficiario las excepciones que eventualmente tenga contra el tomador o asegurado</w:t>
      </w:r>
      <w:r>
        <w:rPr>
          <w:rFonts w:ascii="Verdana" w:hAnsi="Verdana"/>
        </w:rPr>
        <w:t>”</w:t>
      </w:r>
      <w:r w:rsidRPr="00E7518B">
        <w:rPr>
          <w:rFonts w:ascii="Verdana" w:hAnsi="Verdana"/>
          <w:vertAlign w:val="superscript"/>
        </w:rPr>
        <w:footnoteReference w:id="19"/>
      </w:r>
      <w:r w:rsidRPr="00E7518B">
        <w:rPr>
          <w:rFonts w:ascii="Verdana" w:hAnsi="Verdana"/>
        </w:rPr>
        <w:t xml:space="preserve">.Esta tesis, valga resaltar, se encuentra regulada, expresamente, en el artículo </w:t>
      </w:r>
      <w:r w:rsidRPr="00E7518B">
        <w:rPr>
          <w:rFonts w:ascii="Verdana" w:hAnsi="Verdana"/>
          <w:bCs/>
        </w:rPr>
        <w:t>2.2.1.1.3.2.6.</w:t>
      </w:r>
      <w:r>
        <w:rPr>
          <w:rFonts w:ascii="Verdana" w:hAnsi="Verdana"/>
          <w:bCs/>
        </w:rPr>
        <w:t xml:space="preserve"> </w:t>
      </w:r>
      <w:r w:rsidRPr="00E7518B">
        <w:rPr>
          <w:rFonts w:ascii="Verdana" w:hAnsi="Verdana"/>
        </w:rPr>
        <w:t>del Decreto 1082 de 2015</w:t>
      </w:r>
      <w:r w:rsidRPr="00E7518B">
        <w:rPr>
          <w:rFonts w:ascii="Verdana" w:hAnsi="Verdana"/>
          <w:bCs/>
        </w:rPr>
        <w:t>,</w:t>
      </w:r>
      <w:r>
        <w:rPr>
          <w:rFonts w:ascii="Verdana" w:hAnsi="Verdana"/>
          <w:bCs/>
        </w:rPr>
        <w:t xml:space="preserve"> que prescribe:</w:t>
      </w:r>
      <w:r w:rsidRPr="00E7518B">
        <w:rPr>
          <w:rFonts w:ascii="Verdana" w:hAnsi="Verdana"/>
          <w:bCs/>
        </w:rPr>
        <w:t xml:space="preserve"> </w:t>
      </w:r>
      <w:r>
        <w:rPr>
          <w:rFonts w:ascii="Verdana" w:hAnsi="Verdana"/>
          <w:bCs/>
        </w:rPr>
        <w:t>“</w:t>
      </w:r>
      <w:r w:rsidRPr="002C21BC">
        <w:rPr>
          <w:rFonts w:ascii="Verdana" w:hAnsi="Verdana"/>
          <w:bCs/>
        </w:rPr>
        <w:t>La compañía de seguros no puede oponerse o defenderse de las reclamaciones que presente la Entidad Estatal alegando la conducta del tomador del seguro, en especial las inexactitudes o reticencias en que este hubiere incurrido con ocasión de la contratación del seguro o cualquier otra excepción que tenga el asegurador en contra del contratista</w:t>
      </w:r>
      <w:r>
        <w:rPr>
          <w:rFonts w:ascii="Verdana" w:hAnsi="Verdana"/>
          <w:bCs/>
        </w:rPr>
        <w:t>”. Esta regulación excepciona</w:t>
      </w:r>
      <w:r w:rsidRPr="00E7518B">
        <w:rPr>
          <w:rFonts w:ascii="Verdana" w:hAnsi="Verdana"/>
          <w:bCs/>
        </w:rPr>
        <w:t xml:space="preserve"> lo regulado en el artículo 1044 del Código de Comercio</w:t>
      </w:r>
      <w:r w:rsidRPr="00E7518B">
        <w:rPr>
          <w:rFonts w:ascii="Verdana" w:hAnsi="Verdana"/>
          <w:bCs/>
          <w:vertAlign w:val="superscript"/>
        </w:rPr>
        <w:footnoteReference w:id="20"/>
      </w:r>
      <w:r w:rsidRPr="00E7518B">
        <w:rPr>
          <w:rFonts w:ascii="Verdana" w:hAnsi="Verdana"/>
          <w:bCs/>
        </w:rPr>
        <w:t>.</w:t>
      </w:r>
    </w:p>
    <w:p w14:paraId="3D636603" w14:textId="77777777" w:rsidR="0027006C" w:rsidRPr="00AF2E57" w:rsidRDefault="0027006C" w:rsidP="00817137">
      <w:pPr>
        <w:spacing w:after="120" w:line="240" w:lineRule="auto"/>
        <w:ind w:firstLine="709"/>
        <w:jc w:val="both"/>
        <w:rPr>
          <w:rFonts w:ascii="Verdana" w:hAnsi="Verdana"/>
        </w:rPr>
      </w:pPr>
      <w:r>
        <w:rPr>
          <w:rFonts w:ascii="Verdana" w:hAnsi="Verdana"/>
        </w:rPr>
        <w:t xml:space="preserve">De cualquier modo, es importante precisar que la aprobación de la garantía única de cumplimiento, en los términos regulados en el artículo 41 de la Ley 80 de 1993 es un requisito para el inicio de la ejecución del contrato, más no para su perfeccionamiento. En ese sentido, así como sucede con el contrato inicial, la modificación del plazo del contrato derivada de una suspensión del contrato se perfeccionará con la elevación a escrito del acuerdo de voluntades en virtud del cual se extiende el plazo de ejecución y la suscripción de ambas partes. Perfeccionado la suspensión en este caso, el contratista deberá tramitar </w:t>
      </w:r>
      <w:r>
        <w:rPr>
          <w:rFonts w:ascii="Verdana" w:hAnsi="Verdana"/>
        </w:rPr>
        <w:lastRenderedPageBreak/>
        <w:t xml:space="preserve">la ampliación de la garantía única de acuerdo con el artículo </w:t>
      </w:r>
      <w:r w:rsidRPr="007E2DF6">
        <w:rPr>
          <w:rFonts w:ascii="Verdana" w:hAnsi="Verdana"/>
        </w:rPr>
        <w:t>2.2.1.2.3.1.18. del Decreto 1082 de 2015</w:t>
      </w:r>
      <w:r>
        <w:rPr>
          <w:rFonts w:ascii="Verdana" w:hAnsi="Verdana"/>
        </w:rPr>
        <w:t xml:space="preserve"> y presentar la respectiva ampliación a la Entidad Estatal.   </w:t>
      </w:r>
    </w:p>
    <w:p w14:paraId="294D58C2" w14:textId="77777777" w:rsidR="0027006C" w:rsidRDefault="0027006C" w:rsidP="00817137">
      <w:pPr>
        <w:spacing w:after="120" w:line="240" w:lineRule="auto"/>
        <w:ind w:firstLine="709"/>
        <w:jc w:val="both"/>
        <w:rPr>
          <w:rFonts w:ascii="Verdana" w:eastAsia="Arial" w:hAnsi="Verdana" w:cs="Arial"/>
          <w:szCs w:val="24"/>
        </w:rPr>
      </w:pPr>
      <w:r>
        <w:rPr>
          <w:rFonts w:ascii="Verdana" w:eastAsia="Arial" w:hAnsi="Verdana" w:cs="Arial"/>
          <w:szCs w:val="24"/>
        </w:rPr>
        <w:t xml:space="preserve">Una vez presentada la ampliación de la garantía por parte del contratista, la Entidad Estatal deberá proceder a su aprobación, previa verificación de las condiciones del correspondiente anexo, en aras de establecer que la ampliación de las garantías en atención a las nuevas condiciones de tiempo y valor del contrato cumpla con las suficiencias exigidas por lo regulado entre los artículos </w:t>
      </w:r>
      <w:r w:rsidRPr="00100432">
        <w:rPr>
          <w:rFonts w:ascii="Verdana" w:eastAsia="Arial" w:hAnsi="Verdana" w:cs="Arial"/>
          <w:szCs w:val="24"/>
        </w:rPr>
        <w:t>2.2.1.2.3.1.10</w:t>
      </w:r>
      <w:r>
        <w:rPr>
          <w:rFonts w:ascii="Verdana" w:eastAsia="Arial" w:hAnsi="Verdana" w:cs="Arial"/>
          <w:szCs w:val="24"/>
        </w:rPr>
        <w:t xml:space="preserve"> y </w:t>
      </w:r>
      <w:r w:rsidRPr="00564034">
        <w:rPr>
          <w:rFonts w:ascii="Verdana" w:eastAsia="Arial" w:hAnsi="Verdana" w:cs="Arial"/>
          <w:szCs w:val="24"/>
        </w:rPr>
        <w:t>2.2.1.2.3.1.17</w:t>
      </w:r>
      <w:r>
        <w:rPr>
          <w:rFonts w:ascii="Verdana" w:eastAsia="Arial" w:hAnsi="Verdana" w:cs="Arial"/>
          <w:szCs w:val="24"/>
        </w:rPr>
        <w:t xml:space="preserve"> del Decreto 1082 de 2015. En esta línea, en aras de evitar la interrupción de la ejecución del contrato, las Entidades Estatales deberán procurar aprobar la ampliación de las garantías antes que venza el plazo inicial del contrato objeto de modificación del plazo, ya sea por una prórroga o por una suspensión contractual. Para garantizar esto, el contratista debe presentar la ampliación dentro de un plazo razonable, </w:t>
      </w:r>
      <w:r>
        <w:rPr>
          <w:rFonts w:ascii="Verdana" w:hAnsi="Verdana"/>
        </w:rPr>
        <w:t xml:space="preserve">de conformidad a lo pactado en la respectiva modificación y </w:t>
      </w:r>
      <w:r>
        <w:rPr>
          <w:rFonts w:ascii="Verdana" w:eastAsia="Arial" w:hAnsi="Verdana" w:cs="Arial"/>
          <w:szCs w:val="24"/>
        </w:rPr>
        <w:t xml:space="preserve">a efectos de evitar que opere el mecanismo de restablecimiento que se haya previsto en el pliego de condiciones con arreglo a lo dispuesto en el último inciso del artículo </w:t>
      </w:r>
      <w:r w:rsidRPr="007E2DF6">
        <w:rPr>
          <w:rFonts w:ascii="Verdana" w:hAnsi="Verdana"/>
        </w:rPr>
        <w:t>2.2.1.2.3.1.18</w:t>
      </w:r>
      <w:r>
        <w:rPr>
          <w:rFonts w:ascii="Verdana" w:hAnsi="Verdana"/>
        </w:rPr>
        <w:t xml:space="preserve"> del Decreto 1082 de 2015.</w:t>
      </w:r>
    </w:p>
    <w:p w14:paraId="1752D1E3" w14:textId="77777777" w:rsidR="0027006C" w:rsidRPr="009627CD" w:rsidRDefault="0027006C" w:rsidP="00817137">
      <w:pPr>
        <w:spacing w:after="120" w:line="240" w:lineRule="auto"/>
        <w:ind w:firstLine="709"/>
        <w:jc w:val="both"/>
        <w:rPr>
          <w:rFonts w:ascii="Verdana" w:eastAsia="Arial" w:hAnsi="Verdana" w:cs="Arial"/>
          <w:szCs w:val="24"/>
        </w:rPr>
      </w:pPr>
      <w:r w:rsidRPr="009627CD">
        <w:rPr>
          <w:rFonts w:ascii="Verdana" w:eastAsia="Arial" w:hAnsi="Verdana" w:cs="Arial"/>
          <w:szCs w:val="24"/>
        </w:rPr>
        <w:t>En este escenario, la entidad debe abstenerse de reiniciar la ejecución del contrato hasta tanto no se apruebe la ampliación de la póliza, pues hacerlo sin cobertura constituiría una infracción a las normas de contratación estatal y comprometería la responsabilidad patrimonial de la administración. En todo caso, la entidad no puede negarse arbitrariamente a aprobar la prórroga de la garantía, pero sí está facultada para exigir al contratista su presentación dentro de un plazo razonable y, de no cumplirse, activar los mecanismos sancionatorios y de protección del interés público previstos en la ley.</w:t>
      </w:r>
    </w:p>
    <w:bookmarkEnd w:id="2"/>
    <w:bookmarkEnd w:id="3"/>
    <w:p w14:paraId="5F4AA8E9" w14:textId="77777777" w:rsidR="0027006C" w:rsidRDefault="0027006C" w:rsidP="00817137">
      <w:pPr>
        <w:spacing w:after="120" w:line="240" w:lineRule="auto"/>
        <w:jc w:val="both"/>
        <w:rPr>
          <w:rFonts w:ascii="Verdana" w:hAnsi="Verdana" w:cs="Arial"/>
          <w:lang w:eastAsia="es-ES"/>
        </w:rPr>
      </w:pPr>
      <w:r>
        <w:rPr>
          <w:rFonts w:ascii="Verdana" w:hAnsi="Verdana" w:cs="Arial"/>
          <w:lang w:val="es-ES" w:eastAsia="es-ES"/>
        </w:rPr>
        <w:tab/>
      </w:r>
      <w:r w:rsidRPr="00354506">
        <w:rPr>
          <w:rFonts w:ascii="Verdana" w:hAnsi="Verdana" w:cs="Arial"/>
          <w:lang w:eastAsia="es-ES"/>
        </w:rPr>
        <w:t>En este asunto, debe destacarse que la Entidad Estatal está obligada a adelantar las actuaciones administrativas correspondientes frente al contratista, en aplicación de lo previsto en el artículo 86 de la Ley 1474 de 2011, imponiendo las consecuencias derivadas del incumplimiento de la obligación de mantener vigente la garantía única de cumplimiento. Dichas actuaciones pueden comprender la imposición de multas, la declaratoria de incumplimiento, la caducidad del contrato o incluso la terminación unilateral prevista en el artículo 17 de la Ley 80 de 1993, según la gravedad de la omisión y el impacto que esta tenga sobre la ejecución contractual</w:t>
      </w:r>
      <w:r>
        <w:rPr>
          <w:rFonts w:ascii="Verdana" w:hAnsi="Verdana" w:cs="Arial"/>
          <w:lang w:eastAsia="es-ES"/>
        </w:rPr>
        <w:t>, sin dejar de lado si el contrato puede ejercerse potestades exorbitantes</w:t>
      </w:r>
      <w:r w:rsidRPr="00354506">
        <w:rPr>
          <w:rFonts w:ascii="Verdana" w:hAnsi="Verdana" w:cs="Arial"/>
          <w:lang w:eastAsia="es-ES"/>
        </w:rPr>
        <w:t>.</w:t>
      </w:r>
    </w:p>
    <w:p w14:paraId="4E3EDC5E" w14:textId="77777777" w:rsidR="0027006C" w:rsidRPr="00741DD4" w:rsidRDefault="0027006C" w:rsidP="00817137">
      <w:pPr>
        <w:spacing w:after="120" w:line="240" w:lineRule="auto"/>
        <w:ind w:firstLine="709"/>
        <w:jc w:val="both"/>
        <w:rPr>
          <w:rFonts w:ascii="Verdana" w:eastAsia="Arial" w:hAnsi="Verdana" w:cs="Arial"/>
          <w:szCs w:val="24"/>
        </w:rPr>
      </w:pPr>
      <w:r>
        <w:rPr>
          <w:rFonts w:ascii="Verdana" w:eastAsia="Arial" w:hAnsi="Verdana" w:cs="Arial"/>
          <w:szCs w:val="24"/>
          <w:lang w:val="es-ES"/>
        </w:rPr>
        <w:t>En todo caso</w:t>
      </w:r>
      <w:r w:rsidRPr="00741DD4">
        <w:rPr>
          <w:rFonts w:ascii="Verdana" w:eastAsia="Arial" w:hAnsi="Verdana" w:cs="Arial"/>
          <w:szCs w:val="24"/>
          <w:lang w:val="es-ES"/>
        </w:rPr>
        <w:t xml:space="preserve">, para atender directamente la inquietud sobre la subsistencia o extinción de la cobertura, debe distinguirse entre el vencimiento del término de la garantía y las causas de expiración que el ordenamiento estatal neutraliza. La garantía de cumplimiento tiene una vigencia determinada, atada al plazo del </w:t>
      </w:r>
      <w:r w:rsidRPr="00741DD4">
        <w:rPr>
          <w:rFonts w:ascii="Verdana" w:eastAsia="Arial" w:hAnsi="Verdana" w:cs="Arial"/>
          <w:szCs w:val="24"/>
          <w:lang w:val="es-ES"/>
        </w:rPr>
        <w:lastRenderedPageBreak/>
        <w:t>contrato y su liquidación –artículo 2.2.1.2.3.1.13 del Decreto 1082 de 2015–. Cuando ese término se agota, la cobertura de los siniestros que ocurran con posterioridad se extingue hacia el futuro, sin que ese simple vencimiento le sean aplicables las reglas del artículo 7 de la Ley 1150 de 2007, que impiden que la póliza expire por falta de pago de la prima o por revocatoria unilateral, mas no perpetúan un amparo cuyo plazo simplemente feneció. No obstante, los siniestros configurados mientras la garantía se encontraba vigente permanecen amparados y pueden reclamarse aun después de su vencimiento, dentro del término de prescripción del artículo 1081 del Código de Comercio, mediante la notificación del acto administrativo que declare el siniestro. Por ello, el vencimiento formal del amparo por efecto de una suspensión que prolongó la ejecución no sanea por sí solo el período descubierto, y el ordenamiento impone a la entidad exigir, y al contratista tramitar, la ampliación de la vigencia en los términos del artículo 2.2.1.2.3.1.18 del Decreto 1082 de 2015</w:t>
      </w:r>
      <w:r w:rsidRPr="00741DD4">
        <w:rPr>
          <w:rFonts w:ascii="Verdana" w:eastAsia="Arial" w:hAnsi="Verdana" w:cs="Arial"/>
          <w:szCs w:val="24"/>
        </w:rPr>
        <w:t>.</w:t>
      </w:r>
    </w:p>
    <w:p w14:paraId="5C98E74D" w14:textId="77777777" w:rsidR="0027006C" w:rsidRDefault="0027006C" w:rsidP="00817137">
      <w:pPr>
        <w:spacing w:after="0" w:line="240" w:lineRule="auto"/>
        <w:jc w:val="both"/>
        <w:rPr>
          <w:rFonts w:ascii="Verdana" w:hAnsi="Verdana" w:cs="Arial"/>
          <w:lang w:val="es-ES" w:eastAsia="es-ES"/>
        </w:rPr>
      </w:pPr>
    </w:p>
    <w:p w14:paraId="70EE570D" w14:textId="77777777" w:rsidR="0027006C" w:rsidRPr="001C5910" w:rsidRDefault="0027006C" w:rsidP="00817137">
      <w:pPr>
        <w:spacing w:after="120" w:line="240" w:lineRule="auto"/>
        <w:jc w:val="both"/>
        <w:rPr>
          <w:rFonts w:ascii="Verdana" w:eastAsia="Times New Roman" w:hAnsi="Verdana" w:cs="Arial"/>
          <w:iCs/>
          <w:lang w:val="es-ES" w:eastAsia="es-ES_tradnl"/>
        </w:rPr>
      </w:pPr>
      <w:proofErr w:type="spellStart"/>
      <w:r>
        <w:rPr>
          <w:rFonts w:ascii="Verdana" w:eastAsia="Times New Roman" w:hAnsi="Verdana" w:cs="Arial"/>
          <w:iCs/>
          <w:lang w:val="es-ES" w:eastAsia="es-ES_tradnl"/>
        </w:rPr>
        <w:t>iii</w:t>
      </w:r>
      <w:proofErr w:type="spellEnd"/>
      <w:r>
        <w:rPr>
          <w:rFonts w:ascii="Verdana" w:eastAsia="Times New Roman" w:hAnsi="Verdana" w:cs="Arial"/>
          <w:iCs/>
          <w:lang w:val="es-ES" w:eastAsia="es-ES_tradnl"/>
        </w:rPr>
        <w:t xml:space="preserve">. </w:t>
      </w:r>
      <w:r w:rsidRPr="001C5910">
        <w:rPr>
          <w:rFonts w:ascii="Verdana" w:eastAsia="Times New Roman" w:hAnsi="Verdana" w:cs="Arial"/>
          <w:iCs/>
          <w:lang w:eastAsia="es-ES_tradnl"/>
        </w:rPr>
        <w:t>El Consejo de Estado ha señalado que algunos contratos estatale</w:t>
      </w:r>
      <w:r>
        <w:rPr>
          <w:rFonts w:ascii="Verdana" w:eastAsia="Times New Roman" w:hAnsi="Verdana" w:cs="Arial"/>
          <w:iCs/>
          <w:lang w:eastAsia="es-ES_tradnl"/>
        </w:rPr>
        <w:t xml:space="preserve">s </w:t>
      </w:r>
      <w:r w:rsidRPr="001C5910">
        <w:rPr>
          <w:rFonts w:ascii="Verdana" w:eastAsia="Times New Roman" w:hAnsi="Verdana" w:cs="Arial"/>
          <w:iCs/>
          <w:lang w:eastAsia="es-ES_tradnl"/>
        </w:rPr>
        <w:t>incorporan cláusulas excepcionales que los diferencian sustancialmente de los contratos de derecho privado. Estas facultades, reguladas en el artículo 14 de la Ley 80 de 1993, permiten a las entidades estatales, en los casos previstos en su numeral 2, interpretar los documentos contractuales y las estipulaciones convenidas, introducir modificaciones a lo contratado y terminar unilateralmente el contrato, cuando concurran los presupuestos legales correspondientes. Su ejercicio tiene como propósito exclusivo evitar la paralización o la afectación grave de los servicios públicos a su cargo y asegurar su prestación inmediata, continua y adecuada</w:t>
      </w:r>
      <w:r w:rsidRPr="001C5910">
        <w:rPr>
          <w:rFonts w:ascii="Verdana" w:eastAsia="Times New Roman" w:hAnsi="Verdana" w:cs="Arial"/>
          <w:iCs/>
          <w:vertAlign w:val="superscript"/>
          <w:lang w:eastAsia="es-ES_tradnl"/>
        </w:rPr>
        <w:footnoteReference w:id="21"/>
      </w:r>
      <w:r w:rsidRPr="001C5910">
        <w:rPr>
          <w:rFonts w:ascii="Verdana" w:eastAsia="Times New Roman" w:hAnsi="Verdana" w:cs="Arial"/>
          <w:iCs/>
          <w:lang w:eastAsia="es-ES_tradnl"/>
        </w:rPr>
        <w:t>. En este sentido, dichas prerrogativas se enmarcan en las atribuciones de dirección general del contrato y en la responsabilidad de ejercer el control y la vigilancia de su ejecución. Junto con las facultades sancionatorias otorgadas por el legislador, constituyen instrumentos para el cumplimiento de los fines de la contratación estatal. Sin embargo, su ejercicio debe armonizarse con el deber de mantener las condiciones técnicas, financieras y económicas pactadas en favor del contratista, de conformidad con los artículos 4 y 14 a 19 de la Ley 80 de 1993.</w:t>
      </w:r>
    </w:p>
    <w:p w14:paraId="028E8503" w14:textId="77777777" w:rsidR="0027006C" w:rsidRPr="001C5910" w:rsidRDefault="0027006C" w:rsidP="00817137">
      <w:pPr>
        <w:spacing w:after="120" w:line="240" w:lineRule="auto"/>
        <w:ind w:firstLine="709"/>
        <w:jc w:val="both"/>
        <w:rPr>
          <w:rFonts w:ascii="Verdana" w:eastAsia="Times New Roman" w:hAnsi="Verdana" w:cs="Arial"/>
          <w:iCs/>
          <w:lang w:eastAsia="es-ES_tradnl"/>
        </w:rPr>
      </w:pPr>
      <w:r w:rsidRPr="001C5910">
        <w:rPr>
          <w:rFonts w:ascii="Verdana" w:eastAsia="Times New Roman" w:hAnsi="Verdana" w:cs="Arial"/>
          <w:iCs/>
          <w:lang w:eastAsia="es-ES_tradnl"/>
        </w:rPr>
        <w:t xml:space="preserve">Por esta razón, el artículo 14 dispone que, en los actos mediante los cuales se ejerzan las potestades excepcionales allí señaladas, debe procederse al reconocimiento y a la orden de pago de las compensaciones e indemnizaciones a que tengan derecho las personas afectadas por las medidas. Asimismo, deben aplicarse los mecanismos de ajuste de las condiciones y términos contractuales </w:t>
      </w:r>
      <w:r w:rsidRPr="001C5910">
        <w:rPr>
          <w:rFonts w:ascii="Verdana" w:eastAsia="Times New Roman" w:hAnsi="Verdana" w:cs="Arial"/>
          <w:iCs/>
          <w:lang w:eastAsia="es-ES_tradnl"/>
        </w:rPr>
        <w:lastRenderedPageBreak/>
        <w:t>que resulten procedentes, con el fin de mantener la ecuación o el equilibrio económico inicial del contrato.</w:t>
      </w:r>
    </w:p>
    <w:p w14:paraId="30917E29" w14:textId="77777777" w:rsidR="0027006C" w:rsidRPr="001C5910" w:rsidRDefault="0027006C" w:rsidP="00817137">
      <w:pPr>
        <w:spacing w:after="120" w:line="240" w:lineRule="auto"/>
        <w:ind w:firstLine="709"/>
        <w:jc w:val="both"/>
        <w:rPr>
          <w:rFonts w:ascii="Verdana" w:eastAsia="Times New Roman" w:hAnsi="Verdana" w:cs="Arial"/>
          <w:iCs/>
          <w:lang w:eastAsia="es-ES_tradnl"/>
        </w:rPr>
      </w:pPr>
      <w:r w:rsidRPr="001C5910">
        <w:rPr>
          <w:rFonts w:ascii="Verdana" w:eastAsia="Times New Roman" w:hAnsi="Verdana" w:cs="Arial"/>
          <w:iCs/>
          <w:lang w:eastAsia="es-ES_tradnl"/>
        </w:rPr>
        <w:t>Ahora bien, los actos administrativos expedidos durante la actividad contractual o con ocasión de ella están sujetos a condiciones que delimitan la competencia para su expedición. Entre estas se encuentran la motivación detallada y precisa, en los términos del numeral 7 del artículo 24 de la Ley 80 de 1993, y el ejercicio de las respectivas prerrogativas dentro de las etapas en las que el ordenamiento autoriza su utilización. A estas decisiones también les son aplicables las normas que rigen los procedimientos y las actuaciones de la función administrativa.</w:t>
      </w:r>
    </w:p>
    <w:p w14:paraId="58A1BBF8" w14:textId="77777777" w:rsidR="0027006C" w:rsidRPr="001C5910" w:rsidRDefault="0027006C" w:rsidP="00817137">
      <w:pPr>
        <w:spacing w:after="120" w:line="240" w:lineRule="auto"/>
        <w:ind w:firstLine="709"/>
        <w:jc w:val="both"/>
        <w:rPr>
          <w:rFonts w:ascii="Verdana" w:eastAsia="Times New Roman" w:hAnsi="Verdana" w:cs="Arial"/>
          <w:iCs/>
          <w:lang w:eastAsia="es-ES_tradnl"/>
        </w:rPr>
      </w:pPr>
      <w:r w:rsidRPr="001C5910">
        <w:rPr>
          <w:rFonts w:ascii="Verdana" w:eastAsia="Times New Roman" w:hAnsi="Verdana" w:cs="Arial"/>
          <w:iCs/>
          <w:lang w:eastAsia="es-ES_tradnl"/>
        </w:rPr>
        <w:t>Conforme a lo anterior, la Sección Tercera del Consejo de Estado</w:t>
      </w:r>
      <w:r w:rsidRPr="001C5910">
        <w:rPr>
          <w:rFonts w:ascii="Verdana" w:eastAsia="Times New Roman" w:hAnsi="Verdana" w:cs="Arial"/>
          <w:iCs/>
          <w:vertAlign w:val="superscript"/>
          <w:lang w:eastAsia="es-ES_tradnl"/>
        </w:rPr>
        <w:footnoteReference w:id="22"/>
      </w:r>
      <w:r w:rsidRPr="001C5910">
        <w:rPr>
          <w:rFonts w:ascii="Verdana" w:eastAsia="Times New Roman" w:hAnsi="Verdana" w:cs="Arial"/>
          <w:iCs/>
          <w:lang w:eastAsia="es-ES_tradnl"/>
        </w:rPr>
        <w:t xml:space="preserve"> ha explicado que la terminación unilateral del contrato estatal no constituye una institución única, sino un género dentro del cual se distinguen diversas modalidades con presupuestos, finalidades y consecuencias jurídicas diferentes. En ese sentido, precisó que dentro de la terminación unilateral por decisión de la entidad estatal contratante pueden identificarse: i) la terminación unilateral propiamente dicha, regulada por el artículo 17 de la Ley 80 de 1993; </w:t>
      </w:r>
      <w:proofErr w:type="spellStart"/>
      <w:r w:rsidRPr="001C5910">
        <w:rPr>
          <w:rFonts w:ascii="Verdana" w:eastAsia="Times New Roman" w:hAnsi="Verdana" w:cs="Arial"/>
          <w:iCs/>
          <w:lang w:eastAsia="es-ES_tradnl"/>
        </w:rPr>
        <w:t>ii</w:t>
      </w:r>
      <w:proofErr w:type="spellEnd"/>
      <w:r w:rsidRPr="001C5910">
        <w:rPr>
          <w:rFonts w:ascii="Verdana" w:eastAsia="Times New Roman" w:hAnsi="Verdana" w:cs="Arial"/>
          <w:iCs/>
          <w:lang w:eastAsia="es-ES_tradnl"/>
        </w:rPr>
        <w:t xml:space="preserve">) la declaratoria de caducidad administrativa del contrato; y </w:t>
      </w:r>
      <w:proofErr w:type="spellStart"/>
      <w:r w:rsidRPr="001C5910">
        <w:rPr>
          <w:rFonts w:ascii="Verdana" w:eastAsia="Times New Roman" w:hAnsi="Verdana" w:cs="Arial"/>
          <w:iCs/>
          <w:lang w:eastAsia="es-ES_tradnl"/>
        </w:rPr>
        <w:t>iii</w:t>
      </w:r>
      <w:proofErr w:type="spellEnd"/>
      <w:r w:rsidRPr="001C5910">
        <w:rPr>
          <w:rFonts w:ascii="Verdana" w:eastAsia="Times New Roman" w:hAnsi="Verdana" w:cs="Arial"/>
          <w:iCs/>
          <w:lang w:eastAsia="es-ES_tradnl"/>
        </w:rPr>
        <w:t xml:space="preserve">) la terminación unilateral derivada de la configuración de una causal de nulidad absoluta, prevista en el inciso segundo del artículo 45 de la Ley 80 de 1993. Esta clasificación pone de presente que, aunque las tres instituciones producen la terminación anticipada del vínculo contractual, obedecen a supuestos normativos claramente diferenciados y no pueden confundirse entre sí.  </w:t>
      </w:r>
    </w:p>
    <w:p w14:paraId="4FB4F81A" w14:textId="77777777" w:rsidR="0027006C" w:rsidRPr="001C5910" w:rsidRDefault="0027006C" w:rsidP="00817137">
      <w:pPr>
        <w:spacing w:after="120" w:line="240" w:lineRule="auto"/>
        <w:ind w:firstLine="709"/>
        <w:jc w:val="both"/>
        <w:rPr>
          <w:rFonts w:ascii="Verdana" w:eastAsia="Times New Roman" w:hAnsi="Verdana" w:cs="Arial"/>
          <w:iCs/>
          <w:lang w:eastAsia="es-ES_tradnl"/>
        </w:rPr>
      </w:pPr>
      <w:r w:rsidRPr="001C5910">
        <w:rPr>
          <w:rFonts w:ascii="Verdana" w:eastAsia="Times New Roman" w:hAnsi="Verdana" w:cs="Arial"/>
          <w:iCs/>
          <w:lang w:eastAsia="es-ES_tradnl"/>
        </w:rPr>
        <w:t xml:space="preserve">La primera modalidad corresponde a la terminación unilateral propiamente dicha, regulada por el artículo 17 de la Ley 80 de 1993. Se trata de una potestad excepcional conferida a la Administración para poner fin anticipadamente al contrato cuando las exigencias del servicio público lo requieran o la situación de orden público lo imponga. A diferencia de las demás modalidades, esta facultad no presupone un incumplimiento del contratista, ni la existencia de un vicio que afecte la validez del contrato desde su celebración. Su fundamento radica en la necesidad de garantizar la continuidad, eficiencia y adecuada prestación del servicio público, permitiendo a la Administración adoptar decisiones orientadas a proteger el interés general cuando sobrevienen circunstancias que hacen incompatible la permanencia del vínculo contractual con los fines que justificaron su celebración. Precisamente por ello, la terminación prevista en el artículo 17 constituye una potestad de naturaleza </w:t>
      </w:r>
      <w:r w:rsidRPr="001C5910">
        <w:rPr>
          <w:rFonts w:ascii="Verdana" w:eastAsia="Times New Roman" w:hAnsi="Verdana" w:cs="Arial"/>
          <w:iCs/>
          <w:lang w:eastAsia="es-ES_tradnl"/>
        </w:rPr>
        <w:lastRenderedPageBreak/>
        <w:t>preventiva y no sancionatoria, cuya finalidad consiste en preservar la correcta satisfacción del interés público y no en reprochar una conducta atribuible al contratista.</w:t>
      </w:r>
    </w:p>
    <w:p w14:paraId="6C9EE392" w14:textId="77777777" w:rsidR="0027006C" w:rsidRPr="001C5910" w:rsidRDefault="0027006C" w:rsidP="00817137">
      <w:pPr>
        <w:spacing w:after="120" w:line="240" w:lineRule="auto"/>
        <w:ind w:firstLine="709"/>
        <w:jc w:val="both"/>
        <w:rPr>
          <w:rFonts w:ascii="Verdana" w:eastAsia="Times New Roman" w:hAnsi="Verdana" w:cs="Arial"/>
          <w:iCs/>
          <w:lang w:eastAsia="es-ES_tradnl"/>
        </w:rPr>
      </w:pPr>
      <w:r w:rsidRPr="001C5910">
        <w:rPr>
          <w:rFonts w:ascii="Verdana" w:eastAsia="Times New Roman" w:hAnsi="Verdana" w:cs="Arial"/>
          <w:iCs/>
          <w:lang w:eastAsia="es-ES_tradnl"/>
        </w:rPr>
        <w:t>La caracterización de la terminación unilateral del artículo 17 como potestad excepcional impone considerar el régimen del artículo 14 de la Ley 80 de 1993, que condiciona su procedencia en un doble sentido. En primer término, conforme al numeral 2 del artículo 14, las cláusulas excepcionales de terminación, interpretación y modificación unilaterales se pactan obligatoriamente en los contratos que tengan por objeto el ejercicio de una actividad que constituya monopolio estatal, la prestación de servicios públicos o la explotación y concesión de bienes del Estado, así como en los contratos de obra</w:t>
      </w:r>
      <w:r>
        <w:rPr>
          <w:rFonts w:ascii="Verdana" w:eastAsia="Times New Roman" w:hAnsi="Verdana" w:cs="Arial"/>
          <w:iCs/>
          <w:lang w:eastAsia="es-ES_tradnl"/>
        </w:rPr>
        <w:t xml:space="preserve">, así como </w:t>
      </w:r>
      <w:r w:rsidRPr="00C373EE">
        <w:rPr>
          <w:rFonts w:ascii="Verdana" w:eastAsia="Times New Roman" w:hAnsi="Verdana" w:cs="Arial"/>
          <w:iCs/>
          <w:lang w:eastAsia="es-ES_tradnl"/>
        </w:rPr>
        <w:t>los contratos relacionados con el programa de alimentación escolar</w:t>
      </w:r>
      <w:r w:rsidRPr="001C5910">
        <w:rPr>
          <w:rFonts w:ascii="Verdana" w:eastAsia="Times New Roman" w:hAnsi="Verdana" w:cs="Arial"/>
          <w:iCs/>
          <w:lang w:eastAsia="es-ES_tradnl"/>
        </w:rPr>
        <w:t xml:space="preserve">; son de pacto facultativo en los contratos de suministro y de prestación de servicios; y se encuentran excluidas en las demás tipologías contractuales señaladas por la norma. De ello se sigue que para el ejercicio de la terminación unilateral esta debe estar contemplada en el contrato respectivo, o se entienda pactada por ministerio de la ley.  </w:t>
      </w:r>
    </w:p>
    <w:p w14:paraId="268D47FC" w14:textId="77777777" w:rsidR="0027006C" w:rsidRPr="001C5910" w:rsidRDefault="0027006C" w:rsidP="00817137">
      <w:pPr>
        <w:spacing w:after="120" w:line="240" w:lineRule="auto"/>
        <w:ind w:firstLine="709"/>
        <w:jc w:val="both"/>
        <w:rPr>
          <w:rFonts w:ascii="Verdana" w:eastAsia="Times New Roman" w:hAnsi="Verdana" w:cs="Arial"/>
          <w:iCs/>
          <w:lang w:eastAsia="es-ES_tradnl"/>
        </w:rPr>
      </w:pPr>
      <w:r>
        <w:rPr>
          <w:rFonts w:ascii="Verdana" w:eastAsia="Times New Roman" w:hAnsi="Verdana" w:cs="Arial"/>
          <w:iCs/>
          <w:lang w:eastAsia="es-ES_tradnl"/>
        </w:rPr>
        <w:t xml:space="preserve">Respecto </w:t>
      </w:r>
      <w:r w:rsidRPr="001C5910">
        <w:rPr>
          <w:rFonts w:ascii="Verdana" w:eastAsia="Times New Roman" w:hAnsi="Verdana" w:cs="Arial"/>
          <w:iCs/>
          <w:lang w:eastAsia="es-ES_tradnl"/>
        </w:rPr>
        <w:t>de los contratos en los que las cláusulas excepcionales se entienden incorporadas por ministerio de la ley, la entidad que pretenda acudir a la terminación unilateral bajo este supuesto deberá argumentar que no es jurídicamente viable reanudar o continuar la ejecución sin las garantías legalmente exigibles y que, pese a las gestiones adelantadas para obtener su ampliación o sustitución, no ha sido posible restablecer la cobertura. La motivación deberá explicar cómo esta circunstancia impide la ejecución del objeto contractual en las condiciones exigidas por el ordenamiento jurídico y por qué, en el caso concreto, las exigencias del servicio público requieren poner fin al vínculo contractual, en los términos del numeral 1 del artículo 17 de la Ley 80 de 1993.</w:t>
      </w:r>
    </w:p>
    <w:p w14:paraId="150F5069" w14:textId="77777777" w:rsidR="0027006C" w:rsidRPr="00AE3363" w:rsidRDefault="0027006C" w:rsidP="00817137">
      <w:pPr>
        <w:spacing w:after="120" w:line="240" w:lineRule="auto"/>
        <w:ind w:firstLine="709"/>
        <w:jc w:val="both"/>
        <w:rPr>
          <w:rFonts w:ascii="Verdana" w:eastAsia="Times New Roman" w:hAnsi="Verdana" w:cs="Arial"/>
          <w:iCs/>
          <w:lang w:val="es-MX" w:eastAsia="es-ES_tradnl"/>
        </w:rPr>
      </w:pPr>
      <w:r w:rsidRPr="001C5910">
        <w:rPr>
          <w:rFonts w:ascii="Verdana" w:eastAsia="Times New Roman" w:hAnsi="Verdana" w:cs="Arial"/>
          <w:iCs/>
          <w:lang w:eastAsia="es-ES_tradnl"/>
        </w:rPr>
        <w:t>De esta manera, el fundamento sería la imposibilidad de continuar la ejecución sin las garantías obligatorias y su incidencia concreta en la satisfacción de la necesidad pública que dio origen al contrato. Para ello, deberán documentarse los requerimientos efectuados al contratista, las respuestas de las aseguradoras y la evaluación de los mecanismos alternativos de garantía legalmente admisibles, pues la negativa de una aseguradora, por sí sola, no demuestra que resulte imposible obtener la cobertura requerida.</w:t>
      </w:r>
      <w:r w:rsidRPr="00AE3363">
        <w:rPr>
          <w:rFonts w:ascii="Arial" w:eastAsia="Calibri" w:hAnsi="Arial" w:cs="Arial"/>
          <w:sz w:val="20"/>
          <w:szCs w:val="20"/>
          <w:lang w:val="es-MX"/>
        </w:rPr>
        <w:t xml:space="preserve"> </w:t>
      </w:r>
      <w:r w:rsidRPr="00AE3363">
        <w:rPr>
          <w:rFonts w:ascii="Verdana" w:eastAsia="Times New Roman" w:hAnsi="Verdana" w:cs="Arial"/>
          <w:iCs/>
          <w:lang w:val="es-MX" w:eastAsia="es-ES_tradnl"/>
        </w:rPr>
        <w:t xml:space="preserve">En tal sentido, sin perjuicio de las precisiones anteriores, para la expedición de estos actos unilaterales </w:t>
      </w:r>
      <w:r w:rsidRPr="00AE3363">
        <w:rPr>
          <w:rFonts w:ascii="Verdana" w:eastAsia="Times New Roman" w:hAnsi="Verdana" w:cs="Arial"/>
          <w:bCs/>
          <w:iCs/>
          <w:lang w:eastAsia="es-ES_tradnl"/>
        </w:rPr>
        <w:t xml:space="preserve">se aplicarán las disposiciones del Código de Procedimiento Administrativo y de lo Contencioso Administrativo, con fundamento en lo establecido en el artículo 77 de la Ley 80 de 1993 y en los artículos 2 y 34 del CPACA, sin perjuicio que, como se ha indicado, se observen prevalentemente las </w:t>
      </w:r>
      <w:r w:rsidRPr="00AE3363">
        <w:rPr>
          <w:rFonts w:ascii="Verdana" w:eastAsia="Times New Roman" w:hAnsi="Verdana" w:cs="Arial"/>
          <w:bCs/>
          <w:iCs/>
          <w:lang w:eastAsia="es-ES_tradnl"/>
        </w:rPr>
        <w:lastRenderedPageBreak/>
        <w:t>disposiciones establecidas en el EGCAP</w:t>
      </w:r>
      <w:r w:rsidRPr="00AE3363">
        <w:rPr>
          <w:rFonts w:ascii="Verdana" w:eastAsia="Times New Roman" w:hAnsi="Verdana" w:cs="Arial"/>
          <w:iCs/>
          <w:lang w:val="es-MX" w:eastAsia="es-ES_tradnl"/>
        </w:rPr>
        <w:t xml:space="preserve">. En este sentido, se aplicarán particularmente las disposiciones establecidas respecto al procedimiento administrativo general regulado en los artículos 34 y siguientes de la Ley 1437 de 2011. </w:t>
      </w:r>
    </w:p>
    <w:p w14:paraId="078C9906" w14:textId="77777777" w:rsidR="0027006C" w:rsidRDefault="0027006C" w:rsidP="00817137">
      <w:pPr>
        <w:spacing w:after="0" w:line="240" w:lineRule="auto"/>
        <w:ind w:firstLine="709"/>
        <w:jc w:val="both"/>
        <w:rPr>
          <w:rFonts w:ascii="Verdana" w:eastAsia="Times New Roman" w:hAnsi="Verdana" w:cs="Arial"/>
          <w:iCs/>
          <w:lang w:eastAsia="es-ES_tradnl"/>
        </w:rPr>
      </w:pPr>
      <w:r w:rsidRPr="001C5910">
        <w:rPr>
          <w:rFonts w:ascii="Verdana" w:eastAsia="Times New Roman" w:hAnsi="Verdana" w:cs="Arial"/>
          <w:iCs/>
          <w:lang w:eastAsia="es-ES_tradnl"/>
        </w:rPr>
        <w:t>Por otro lado, una modalidad distinta es la caducidad, regulada en el artículo 18 de la Ley 80 de 1993. Esta institución tiene un marcado carácter sancionatorio y procede cuando se presenta un incumplimiento grave de las obligaciones contractuales por parte del contratista que afecte de manera directa la ejecución del contrato y evidencie que puede conducir a su paralización. La declaratoria de caducidad presupone, por tanto, la existencia de un comportamiento imputable al contratista que compromete el cumplimiento del objeto contractual y faculta a la entidad para poner fin al contrato, hacer efectivas las garantías e imponer las consecuencias previstas por la ley, incluida la inhabilidad para contratar con el Estado durante el término legal correspondiente. Se trata, entonces, de una medida de reacción frente al incumplimiento contractual y no de un mecanismo destinado a resolver circunstancias sobrevinientes que afectan la posibilidad jurídica de continuar la ejecución del contrato. En cuanto a la oportunidad para ejercer esta potestad, el Consejo de Estado ha precisado que su finalidad de terminar anticipadamente el contrato y evitar la paralización del servicio delimita temporalmente la competencia de la entidad, de manera que la caducidad debe declararse antes del vencimiento del plazo de ejecución:</w:t>
      </w:r>
    </w:p>
    <w:p w14:paraId="37D73C98" w14:textId="77777777" w:rsidR="0027006C" w:rsidRPr="001C5910" w:rsidRDefault="0027006C" w:rsidP="00817137">
      <w:pPr>
        <w:spacing w:after="0" w:line="240" w:lineRule="auto"/>
        <w:ind w:firstLine="709"/>
        <w:jc w:val="both"/>
        <w:rPr>
          <w:rFonts w:ascii="Verdana" w:eastAsia="Times New Roman" w:hAnsi="Verdana" w:cs="Arial"/>
          <w:iCs/>
          <w:lang w:eastAsia="es-ES_tradnl"/>
        </w:rPr>
      </w:pPr>
      <w:r w:rsidRPr="001C5910">
        <w:rPr>
          <w:rFonts w:ascii="Verdana" w:eastAsia="Times New Roman" w:hAnsi="Verdana" w:cs="Arial"/>
          <w:iCs/>
          <w:lang w:eastAsia="es-ES_tradnl"/>
        </w:rPr>
        <w:t xml:space="preserve"> </w:t>
      </w:r>
    </w:p>
    <w:p w14:paraId="573C5CA6" w14:textId="77777777" w:rsidR="0027006C" w:rsidRDefault="0027006C" w:rsidP="00817137">
      <w:pPr>
        <w:spacing w:after="0" w:line="240" w:lineRule="auto"/>
        <w:ind w:left="709" w:right="709"/>
        <w:jc w:val="both"/>
        <w:rPr>
          <w:rFonts w:ascii="Verdana" w:eastAsia="Times New Roman" w:hAnsi="Verdana" w:cs="Arial"/>
          <w:iCs/>
          <w:sz w:val="20"/>
          <w:szCs w:val="20"/>
          <w:lang w:eastAsia="es-ES_tradnl"/>
        </w:rPr>
      </w:pPr>
      <w:r w:rsidRPr="00F600A4">
        <w:rPr>
          <w:rFonts w:ascii="Verdana" w:eastAsia="Times New Roman" w:hAnsi="Verdana" w:cs="Arial"/>
          <w:iCs/>
          <w:sz w:val="20"/>
          <w:szCs w:val="20"/>
          <w:lang w:eastAsia="es-ES_tradnl"/>
        </w:rPr>
        <w:t>Al examinarse con detenimiento las finalidades expresamente establecidas en el artículo 18 de la Ley 80 de 1993, sólo puede establecerse que, al encaminarse la caducidad del contrato, entre otras cosas, a darlo por terminado de manera anticipada y evitar la paralización del servicio objeto de este, tal potestad debe ejercerse antes del vencimiento del plazo de ejecución del negocio jurídico. En ese sentido, es la propia Ley 80 de 1993 la que, en su artículo 18, contiene elementos que delimitan la competencia pro tempore de la entidad estatal, para hacer recaer sobre el contrato la medida excepcional anulada en el sub judice por el sentenciador de primer grado.</w:t>
      </w:r>
      <w:r w:rsidRPr="00F600A4">
        <w:rPr>
          <w:rFonts w:ascii="Verdana" w:eastAsia="Times New Roman" w:hAnsi="Verdana" w:cs="Arial"/>
          <w:iCs/>
          <w:sz w:val="20"/>
          <w:szCs w:val="20"/>
          <w:vertAlign w:val="superscript"/>
          <w:lang w:eastAsia="es-ES_tradnl"/>
        </w:rPr>
        <w:footnoteReference w:id="23"/>
      </w:r>
    </w:p>
    <w:p w14:paraId="41BB2672" w14:textId="77777777" w:rsidR="0027006C" w:rsidRPr="00F600A4" w:rsidRDefault="0027006C" w:rsidP="00817137">
      <w:pPr>
        <w:spacing w:after="0" w:line="240" w:lineRule="auto"/>
        <w:ind w:left="709" w:right="709"/>
        <w:jc w:val="both"/>
        <w:rPr>
          <w:rFonts w:ascii="Verdana" w:eastAsia="Times New Roman" w:hAnsi="Verdana" w:cs="Arial"/>
          <w:iCs/>
          <w:sz w:val="20"/>
          <w:szCs w:val="20"/>
          <w:lang w:eastAsia="es-ES_tradnl"/>
        </w:rPr>
      </w:pPr>
    </w:p>
    <w:p w14:paraId="43BEAA99" w14:textId="77777777" w:rsidR="0027006C" w:rsidRPr="001C5910" w:rsidRDefault="0027006C" w:rsidP="00817137">
      <w:pPr>
        <w:spacing w:after="120" w:line="240" w:lineRule="auto"/>
        <w:ind w:firstLine="709"/>
        <w:jc w:val="both"/>
        <w:rPr>
          <w:rFonts w:ascii="Verdana" w:eastAsia="Times New Roman" w:hAnsi="Verdana" w:cs="Arial"/>
          <w:iCs/>
          <w:lang w:eastAsia="es-ES_tradnl"/>
        </w:rPr>
      </w:pPr>
      <w:r w:rsidRPr="001C5910">
        <w:rPr>
          <w:rFonts w:ascii="Verdana" w:eastAsia="Times New Roman" w:hAnsi="Verdana" w:cs="Arial"/>
          <w:iCs/>
          <w:lang w:eastAsia="es-ES_tradnl"/>
        </w:rPr>
        <w:t xml:space="preserve">Frente al caso concreto, corresponderá a la entidad analizar si la conducta del contratista, considerada en su conjunto, configura el incumplimiento grave e imputable que la jurisprudencia y el Estatuto General de Contratación exigen para la procedencia de la caducidad, valorando si dicho incumplimiento afecta de manera directa la ejecución del contrato y evidencia el riesgo de su </w:t>
      </w:r>
      <w:r w:rsidRPr="001C5910">
        <w:rPr>
          <w:rFonts w:ascii="Verdana" w:eastAsia="Times New Roman" w:hAnsi="Verdana" w:cs="Arial"/>
          <w:iCs/>
          <w:lang w:eastAsia="es-ES_tradnl"/>
        </w:rPr>
        <w:lastRenderedPageBreak/>
        <w:t xml:space="preserve">paralización, en los términos del artículo 18 de la Ley 80 de 1993. Para dicho análisis, la entidad deberá tener presente que esta figura constituye una medida de reacción frente a un incumplimiento contractual imputable al contratista, y no un mecanismo previsto para resolver circunstancias sobrevinientes ajenas a su voluntad, de manera que la valoración de la conducta contractual del contratista resulta determinante para establecer si, en el caso concreto, se satisfacen los presupuestos que habilitan el ejercicio de esta potestad excepcional.  </w:t>
      </w:r>
    </w:p>
    <w:p w14:paraId="04A3787E" w14:textId="77777777" w:rsidR="0027006C" w:rsidRPr="001C5910" w:rsidRDefault="0027006C" w:rsidP="00817137">
      <w:pPr>
        <w:spacing w:after="120" w:line="240" w:lineRule="auto"/>
        <w:ind w:firstLine="709"/>
        <w:jc w:val="both"/>
        <w:rPr>
          <w:rFonts w:ascii="Verdana" w:eastAsia="Times New Roman" w:hAnsi="Verdana" w:cs="Arial"/>
          <w:iCs/>
          <w:lang w:eastAsia="es-ES_tradnl"/>
        </w:rPr>
      </w:pPr>
      <w:r w:rsidRPr="001C5910">
        <w:rPr>
          <w:rFonts w:ascii="Verdana" w:eastAsia="Times New Roman" w:hAnsi="Verdana" w:cs="Arial"/>
          <w:iCs/>
          <w:lang w:eastAsia="es-ES_tradnl"/>
        </w:rPr>
        <w:t xml:space="preserve">En ese análisis, la entidad deberá tener presente que el ordenamiento le impone al contratista dos obligaciones distintas y concurrentes en relación con las garantías del contrato, cuyo incumplimiento resulta relevante para la valoración de la conducta contractual. De una parte, el contratista, en su calidad de tomador de la póliza, tiene la carga de notificar por escrito a la compañía aseguradora los hechos o circunstancias sobrevinientes y no previsibles que impliquen agravación del riesgo asegurado, entre ellas, la prórroga indefinida de una suspensión, conforme al artículo 1060 del Código de Comercio. De otra parte, y de manera autónoma, el contratista tiene frente a la entidad la obligación de mantener vigente el amparo de cumplimiento durante toda la ejecución del contrato y hasta la liquidación. </w:t>
      </w:r>
    </w:p>
    <w:p w14:paraId="0E522323" w14:textId="77777777" w:rsidR="0027006C" w:rsidRPr="001C5910" w:rsidRDefault="0027006C" w:rsidP="00817137">
      <w:pPr>
        <w:spacing w:after="120" w:line="240" w:lineRule="auto"/>
        <w:ind w:firstLine="709"/>
        <w:jc w:val="both"/>
        <w:rPr>
          <w:rFonts w:ascii="Verdana" w:eastAsia="Times New Roman" w:hAnsi="Verdana" w:cs="Arial"/>
          <w:iCs/>
          <w:lang w:eastAsia="es-ES_tradnl"/>
        </w:rPr>
      </w:pPr>
      <w:r w:rsidRPr="001C5910">
        <w:rPr>
          <w:rFonts w:ascii="Verdana" w:eastAsia="Times New Roman" w:hAnsi="Verdana" w:cs="Arial"/>
          <w:iCs/>
          <w:lang w:eastAsia="es-ES_tradnl"/>
        </w:rPr>
        <w:t>Bajo estas consideraciones, corresponderá, entonces, a la entidad determinar, a la luz de las particularidades del caso, si la omisión de estas cargas resulta imputable al contratista y, de ser así, si dicha circunstancia debe tenerse en cuenta para efectos de la calificación del incumplimiento, la exigencia de su restablecimiento, la aplicación de las consecuencias previstas en el artículo 86 de la Ley 1474 de 2011, o la definición de la causal y los efectos de la terminación del contrato, sin que ello suponga, por sí solo, la automática procedencia de la caducidad como mecanismo de reacción.</w:t>
      </w:r>
    </w:p>
    <w:p w14:paraId="001AB363" w14:textId="77777777" w:rsidR="0027006C" w:rsidRDefault="0027006C" w:rsidP="00817137">
      <w:pPr>
        <w:spacing w:after="120" w:line="240" w:lineRule="auto"/>
        <w:ind w:firstLine="709"/>
        <w:jc w:val="both"/>
        <w:rPr>
          <w:rFonts w:ascii="Verdana" w:eastAsia="Times New Roman" w:hAnsi="Verdana" w:cs="Arial"/>
          <w:iCs/>
          <w:lang w:eastAsia="es-ES_tradnl"/>
        </w:rPr>
      </w:pPr>
      <w:r>
        <w:rPr>
          <w:rFonts w:ascii="Verdana" w:eastAsia="Times New Roman" w:hAnsi="Verdana" w:cs="Arial"/>
          <w:iCs/>
          <w:lang w:eastAsia="es-ES_tradnl"/>
        </w:rPr>
        <w:t>Por último</w:t>
      </w:r>
      <w:r w:rsidRPr="001C5910">
        <w:rPr>
          <w:rFonts w:ascii="Verdana" w:eastAsia="Times New Roman" w:hAnsi="Verdana" w:cs="Arial"/>
          <w:iCs/>
          <w:lang w:eastAsia="es-ES_tradnl"/>
        </w:rPr>
        <w:t xml:space="preserve">, la tercera modalidad corresponde a la terminación unilateral por configuración de una causal de nulidad absoluta, prevista en el inciso segundo del artículo 45 de la Ley 80 de 1993. En este evento, la Administración se encuentra facultada para dar por terminado el contrato cuando se configure alguna de las causales de nulidad absoluta previstas en el artículo 44 del mismo estatuto. Esta figura parte de un supuesto completamente distinto al que aquí se analiza, pues supone que el vicio existía desde el momento mismo de la celebración del contrato, afectando su validez desde el origen. En consecuencia, no resulta jurídicamente procedente extender esta modalidad al evento señalado. </w:t>
      </w:r>
    </w:p>
    <w:p w14:paraId="1B607CE3" w14:textId="77777777" w:rsidR="0027006C" w:rsidRDefault="0027006C" w:rsidP="00817137">
      <w:pPr>
        <w:spacing w:after="0" w:line="240" w:lineRule="auto"/>
        <w:ind w:firstLine="709"/>
        <w:jc w:val="both"/>
        <w:rPr>
          <w:rFonts w:ascii="Verdana" w:eastAsia="Times New Roman" w:hAnsi="Verdana" w:cs="Arial"/>
          <w:iCs/>
          <w:lang w:eastAsia="es-ES_tradnl"/>
        </w:rPr>
      </w:pPr>
      <w:r>
        <w:rPr>
          <w:rFonts w:ascii="Verdana" w:eastAsia="Times New Roman" w:hAnsi="Verdana" w:cs="Arial"/>
          <w:iCs/>
          <w:lang w:eastAsia="es-ES_tradnl"/>
        </w:rPr>
        <w:t xml:space="preserve">Ahora bien, </w:t>
      </w:r>
      <w:r>
        <w:rPr>
          <w:rFonts w:ascii="Verdana" w:hAnsi="Verdana" w:cs="Arial"/>
          <w:iCs/>
          <w:lang w:eastAsia="es-ES_tradnl"/>
        </w:rPr>
        <w:t>e</w:t>
      </w:r>
      <w:r w:rsidRPr="005A7271">
        <w:rPr>
          <w:rFonts w:ascii="Verdana" w:hAnsi="Verdana" w:cs="Arial"/>
          <w:iCs/>
          <w:lang w:eastAsia="es-ES_tradnl"/>
        </w:rPr>
        <w:t xml:space="preserve">n el supuesto de que el contrato estatal no se encuentre dentro de los enlistados que, por ministerio de la ley, deben incorporar cláusulas </w:t>
      </w:r>
      <w:r w:rsidRPr="005A7271">
        <w:rPr>
          <w:rFonts w:ascii="Verdana" w:hAnsi="Verdana" w:cs="Arial"/>
          <w:iCs/>
          <w:lang w:eastAsia="es-ES_tradnl"/>
        </w:rPr>
        <w:lastRenderedPageBreak/>
        <w:t>excepcionales conforme al artículo 14 de la Ley 80 de 1993, o que no sea jurídicamente viable su pacto, la entidad contratante no queda desprovista de herramientas para atender la situación. En tales casos, debe acudir a la terminación por mutuo acuerdo, que permite a las partes ajustar sus intereses y cerrar el vínculo contractual de manera consensuada, garantizando la seguridad jurídica y la protección del patrimonio público.</w:t>
      </w:r>
      <w:r>
        <w:rPr>
          <w:rFonts w:ascii="Verdana" w:hAnsi="Verdana" w:cs="Arial"/>
          <w:iCs/>
          <w:lang w:eastAsia="es-ES_tradnl"/>
        </w:rPr>
        <w:t xml:space="preserve"> </w:t>
      </w:r>
      <w:r w:rsidRPr="005A7271">
        <w:rPr>
          <w:rFonts w:ascii="Verdana" w:eastAsia="Times New Roman" w:hAnsi="Verdana" w:cs="Arial"/>
          <w:iCs/>
          <w:lang w:eastAsia="es-ES_tradnl"/>
        </w:rPr>
        <w:t xml:space="preserve">De no ser posible la terminación bilateral, la entidad conserva la facultad de acudir al juez del contrato, quien en ejercicio de la jurisdicción contencioso-administrativa puede declarar la terminación del vínculo y definir las consecuencias jurídicas correspondientes. </w:t>
      </w:r>
    </w:p>
    <w:p w14:paraId="5FA3D27A" w14:textId="77777777" w:rsidR="0027006C" w:rsidRDefault="0027006C" w:rsidP="00817137">
      <w:pPr>
        <w:spacing w:after="0" w:line="240" w:lineRule="auto"/>
        <w:jc w:val="both"/>
        <w:rPr>
          <w:rFonts w:ascii="Verdana" w:eastAsia="Times New Roman" w:hAnsi="Verdana" w:cs="Arial"/>
          <w:iCs/>
          <w:lang w:val="es-ES" w:eastAsia="es-ES_tradnl"/>
        </w:rPr>
      </w:pPr>
    </w:p>
    <w:p w14:paraId="2ACE7B85" w14:textId="77777777" w:rsidR="0027006C" w:rsidRPr="009037F6" w:rsidRDefault="0027006C" w:rsidP="00817137">
      <w:pPr>
        <w:spacing w:after="120" w:line="240" w:lineRule="auto"/>
        <w:jc w:val="both"/>
        <w:rPr>
          <w:rFonts w:ascii="Verdana" w:eastAsia="Times New Roman" w:hAnsi="Verdana" w:cs="Arial"/>
          <w:bCs/>
          <w:iCs/>
          <w:color w:val="000000" w:themeColor="text1"/>
          <w:lang w:val="es-ES"/>
        </w:rPr>
      </w:pPr>
      <w:proofErr w:type="spellStart"/>
      <w:r>
        <w:rPr>
          <w:rFonts w:ascii="Verdana" w:eastAsia="Times New Roman" w:hAnsi="Verdana" w:cs="Arial"/>
          <w:iCs/>
          <w:lang w:val="es-ES" w:eastAsia="es-ES_tradnl"/>
        </w:rPr>
        <w:t>iv</w:t>
      </w:r>
      <w:proofErr w:type="spellEnd"/>
      <w:r>
        <w:rPr>
          <w:rFonts w:ascii="Verdana" w:eastAsia="Times New Roman" w:hAnsi="Verdana" w:cs="Arial"/>
          <w:iCs/>
          <w:lang w:val="es-ES" w:eastAsia="es-ES_tradnl"/>
        </w:rPr>
        <w:t>. E</w:t>
      </w:r>
      <w:r w:rsidRPr="009037F6">
        <w:rPr>
          <w:rFonts w:ascii="Verdana" w:eastAsia="Times New Roman" w:hAnsi="Verdana" w:cs="Arial"/>
          <w:iCs/>
          <w:color w:val="000000" w:themeColor="text1"/>
          <w:lang w:val="es-ES"/>
        </w:rPr>
        <w:t>l artículo 86 de la Ley 1474 de 2011 establece las reglas del procedimiento mediante las cuales se materializan los derechos y garantías derivadas del debido proceso, para su aplicación concreta en materia sancionatoria contractual. De conformidad con esta disposición, las entidades sometidas al EGCAP observarán este procedimiento para la declaratoria unilateral del siniestro, del incumplimiento, para hacer efectiva la cláusula penal o las multas pactadas y la declaratoria de caducidad como potestad exorbitante</w:t>
      </w:r>
      <w:r w:rsidRPr="009037F6">
        <w:rPr>
          <w:rFonts w:ascii="Verdana" w:eastAsia="Calibri" w:hAnsi="Verdana" w:cs="Arial"/>
          <w:iCs/>
          <w:lang w:val="es-MX"/>
        </w:rPr>
        <w:t xml:space="preserve"> que se funda en </w:t>
      </w:r>
      <w:r w:rsidRPr="009037F6">
        <w:rPr>
          <w:rFonts w:ascii="Verdana" w:eastAsia="Times New Roman" w:hAnsi="Verdana" w:cs="Arial"/>
          <w:iCs/>
          <w:color w:val="000000" w:themeColor="text1"/>
          <w:lang w:val="es-MX"/>
        </w:rPr>
        <w:t>el incumplimiento de las obligaciones del contratista, que afecte de manera grave y directa la ejecución del contrato y evidencie que puede conducir a su paralización. En efecto, la caducidad consiste en sancionar al contratista y, a su vez, permitirle a la entidad continuar con la ejecución por otros medios, regulados en el artículo 18 de la Ley 80 de 1993</w:t>
      </w:r>
      <w:r w:rsidRPr="009037F6">
        <w:rPr>
          <w:rFonts w:ascii="Verdana" w:eastAsia="Times New Roman" w:hAnsi="Verdana" w:cs="Arial"/>
          <w:iCs/>
          <w:color w:val="000000" w:themeColor="text1"/>
          <w:vertAlign w:val="superscript"/>
          <w:lang w:val="es-MX"/>
        </w:rPr>
        <w:footnoteReference w:id="24"/>
      </w:r>
      <w:r w:rsidRPr="009037F6">
        <w:rPr>
          <w:rFonts w:ascii="Verdana" w:eastAsia="Times New Roman" w:hAnsi="Verdana" w:cs="Arial"/>
          <w:iCs/>
          <w:color w:val="000000" w:themeColor="text1"/>
          <w:lang w:val="es-MX"/>
        </w:rPr>
        <w:t xml:space="preserve">. </w:t>
      </w:r>
    </w:p>
    <w:p w14:paraId="4E65780E" w14:textId="77777777" w:rsidR="0027006C" w:rsidRPr="009037F6" w:rsidRDefault="0027006C" w:rsidP="00817137">
      <w:pPr>
        <w:spacing w:after="0" w:line="240" w:lineRule="auto"/>
        <w:ind w:firstLine="709"/>
        <w:jc w:val="both"/>
        <w:rPr>
          <w:rFonts w:ascii="Verdana" w:eastAsia="Calibri" w:hAnsi="Verdana" w:cs="Arial"/>
          <w:color w:val="000000" w:themeColor="text1"/>
          <w:lang w:val="es-ES"/>
        </w:rPr>
      </w:pPr>
      <w:r w:rsidRPr="009037F6">
        <w:rPr>
          <w:rFonts w:ascii="Verdana" w:eastAsia="Times New Roman" w:hAnsi="Verdana" w:cs="Arial"/>
          <w:iCs/>
          <w:color w:val="000000" w:themeColor="text1"/>
          <w:lang w:val="es-ES"/>
        </w:rPr>
        <w:t>Como precisión previa, vale la pena aclarar que e</w:t>
      </w:r>
      <w:r w:rsidRPr="009037F6">
        <w:rPr>
          <w:rFonts w:ascii="Verdana" w:eastAsia="Calibri" w:hAnsi="Verdana" w:cs="Arial"/>
          <w:color w:val="000000" w:themeColor="text1"/>
          <w:lang w:val="es-ES"/>
        </w:rPr>
        <w:t>l artículo 86 de la Ley 1474 de 2011 regula un procedimiento administrativo sancionatorio dirigido a sujetos específicos: las entidades sometidas al Estatuto General de Contratación de la Administración Pública</w:t>
      </w:r>
      <w:r w:rsidRPr="009037F6">
        <w:rPr>
          <w:rFonts w:ascii="Verdana" w:eastAsia="Calibri" w:hAnsi="Verdana" w:cs="Arial"/>
          <w:color w:val="000000" w:themeColor="text1"/>
          <w:vertAlign w:val="superscript"/>
          <w:lang w:val="es-ES"/>
        </w:rPr>
        <w:footnoteReference w:id="25"/>
      </w:r>
      <w:r w:rsidRPr="009037F6">
        <w:rPr>
          <w:rFonts w:ascii="Verdana" w:eastAsia="Calibri" w:hAnsi="Verdana" w:cs="Arial"/>
          <w:color w:val="000000" w:themeColor="text1"/>
          <w:lang w:val="es-ES"/>
        </w:rPr>
        <w:t xml:space="preserve">. De ahí que las entidades de </w:t>
      </w:r>
      <w:r w:rsidRPr="009037F6">
        <w:rPr>
          <w:rFonts w:ascii="Verdana" w:eastAsia="Calibri" w:hAnsi="Verdana" w:cs="Arial"/>
          <w:i/>
          <w:iCs/>
          <w:color w:val="000000" w:themeColor="text1"/>
          <w:lang w:val="es-ES"/>
        </w:rPr>
        <w:t>régimen especial</w:t>
      </w:r>
      <w:r w:rsidRPr="009037F6">
        <w:rPr>
          <w:rFonts w:ascii="Verdana" w:eastAsia="Calibri" w:hAnsi="Verdana" w:cs="Arial"/>
          <w:i/>
          <w:iCs/>
          <w:color w:val="000000" w:themeColor="text1"/>
          <w:vertAlign w:val="superscript"/>
          <w:lang w:val="es-ES"/>
        </w:rPr>
        <w:footnoteReference w:id="26"/>
      </w:r>
      <w:r w:rsidRPr="009037F6">
        <w:rPr>
          <w:rFonts w:ascii="Verdana" w:eastAsia="Calibri" w:hAnsi="Verdana" w:cs="Arial"/>
          <w:color w:val="000000" w:themeColor="text1"/>
          <w:lang w:val="es-ES"/>
        </w:rPr>
        <w:t xml:space="preserve"> </w:t>
      </w:r>
      <w:r w:rsidRPr="009037F6">
        <w:rPr>
          <w:rFonts w:ascii="Verdana" w:eastAsia="Calibri" w:hAnsi="Verdana" w:cs="Arial"/>
          <w:color w:val="000000" w:themeColor="text1"/>
          <w:lang w:val="es-ES"/>
        </w:rPr>
        <w:lastRenderedPageBreak/>
        <w:t>en materia contractual no pueden aplicar el procedimiento administrativo sancionatorio regulado en el artículo 86 de la Ley 1474 de 2011, al no ser entidades sometidas al Estatuto General de Contratación de la Administración Pública, sino, por el contrario, entidades exceptuadas de este, salvo remisiones expresas establecidas por la Ley. La norma indicada desarrolla el procedimiento de la siguiente manera:</w:t>
      </w:r>
    </w:p>
    <w:p w14:paraId="25BB89A7" w14:textId="77777777" w:rsidR="0027006C" w:rsidRPr="009037F6" w:rsidRDefault="0027006C" w:rsidP="00817137">
      <w:pPr>
        <w:spacing w:after="0" w:line="240" w:lineRule="auto"/>
        <w:ind w:firstLine="709"/>
        <w:jc w:val="both"/>
        <w:rPr>
          <w:rFonts w:ascii="Verdana" w:eastAsia="Calibri" w:hAnsi="Verdana" w:cs="Arial"/>
          <w:color w:val="000000" w:themeColor="text1"/>
          <w:lang w:val="es-ES"/>
        </w:rPr>
      </w:pPr>
    </w:p>
    <w:p w14:paraId="269C99F8" w14:textId="77777777" w:rsidR="0027006C" w:rsidRPr="009037F6" w:rsidRDefault="0027006C" w:rsidP="00817137">
      <w:pPr>
        <w:spacing w:line="240" w:lineRule="auto"/>
        <w:ind w:left="709" w:right="709"/>
        <w:contextualSpacing/>
        <w:jc w:val="both"/>
        <w:rPr>
          <w:rFonts w:ascii="Verdana" w:hAnsi="Verdana" w:cs="Arial"/>
          <w:iCs/>
          <w:color w:val="000000" w:themeColor="text1"/>
          <w:sz w:val="20"/>
          <w:szCs w:val="20"/>
          <w:lang w:val="es-ES"/>
        </w:rPr>
      </w:pPr>
      <w:bookmarkStart w:id="5" w:name="86"/>
      <w:r w:rsidRPr="009037F6">
        <w:rPr>
          <w:rFonts w:ascii="Verdana" w:hAnsi="Verdana" w:cs="Arial"/>
          <w:iCs/>
          <w:color w:val="000000" w:themeColor="text1"/>
          <w:sz w:val="20"/>
          <w:szCs w:val="20"/>
          <w:lang w:val="es-ES"/>
        </w:rPr>
        <w:t>“Artículo 86. Imposición de multas, sanciones y declaratorias de incumplimiento.</w:t>
      </w:r>
      <w:bookmarkEnd w:id="5"/>
      <w:r w:rsidRPr="009037F6">
        <w:rPr>
          <w:rFonts w:ascii="Verdana" w:hAnsi="Verdana" w:cs="Arial"/>
          <w:iCs/>
          <w:color w:val="000000" w:themeColor="text1"/>
          <w:sz w:val="20"/>
          <w:szCs w:val="20"/>
          <w:lang w:val="es-ES"/>
        </w:rPr>
        <w:t xml:space="preserve"> Las entidades sometidas al Estatuto General de Contratación de la Administración Pública podrán declarar el incumplimiento, cuantificando los perjuicios </w:t>
      </w:r>
      <w:proofErr w:type="gramStart"/>
      <w:r w:rsidRPr="009037F6">
        <w:rPr>
          <w:rFonts w:ascii="Verdana" w:hAnsi="Verdana" w:cs="Arial"/>
          <w:iCs/>
          <w:color w:val="000000" w:themeColor="text1"/>
          <w:sz w:val="20"/>
          <w:szCs w:val="20"/>
          <w:lang w:val="es-ES"/>
        </w:rPr>
        <w:t>del mismo</w:t>
      </w:r>
      <w:proofErr w:type="gramEnd"/>
      <w:r w:rsidRPr="009037F6">
        <w:rPr>
          <w:rFonts w:ascii="Verdana" w:hAnsi="Verdana" w:cs="Arial"/>
          <w:iCs/>
          <w:color w:val="000000" w:themeColor="text1"/>
          <w:sz w:val="20"/>
          <w:szCs w:val="20"/>
          <w:lang w:val="es-ES"/>
        </w:rPr>
        <w:t>, imponer las multas y sanciones pactadas en el contrato, y hacer efectiva la cláusula penal. Para tal efecto observarán el siguiente procedimiento:</w:t>
      </w:r>
    </w:p>
    <w:p w14:paraId="60CB91D0" w14:textId="77777777" w:rsidR="0027006C" w:rsidRPr="009037F6" w:rsidRDefault="0027006C" w:rsidP="00817137">
      <w:pPr>
        <w:spacing w:line="240" w:lineRule="auto"/>
        <w:ind w:left="709" w:right="709"/>
        <w:contextualSpacing/>
        <w:jc w:val="both"/>
        <w:rPr>
          <w:rFonts w:ascii="Verdana" w:hAnsi="Verdana" w:cs="Arial"/>
          <w:iCs/>
          <w:color w:val="000000" w:themeColor="text1"/>
          <w:sz w:val="20"/>
          <w:szCs w:val="20"/>
          <w:lang w:val="es-ES"/>
        </w:rPr>
      </w:pPr>
    </w:p>
    <w:p w14:paraId="7CA5C6C7" w14:textId="77777777" w:rsidR="0027006C" w:rsidRPr="009037F6" w:rsidRDefault="0027006C" w:rsidP="00817137">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a) Evidenciado un posible incumplimiento de las obligaciones a cargo del contratista, la entidad pública lo citará a audiencia para debatir lo ocurrido. En la citación, hará mención expresa y detallada de los hechos que la soportan, acompañando el informe de interventoría o de supervisión en el que se sustente la actuación y enunciará las normas o cláusulas posiblemente violadas y las consecuencias que podrían derivarse para el contratista en desarrollo de la actuación. En la misma se establecerá el lugar, fecha y hora para la realización de la audiencia, la que podrá tener lugar a la mayor brevedad posible, atendida la naturaleza del contrato y la periodicidad establecida para el cumplimiento de las obligaciones contractuales. En el evento en que la garantía de cumplimiento consista en póliza de seguros, el garante será citado de la misma manera;</w:t>
      </w:r>
    </w:p>
    <w:p w14:paraId="7EC7C7E9" w14:textId="77777777" w:rsidR="0027006C" w:rsidRPr="009037F6" w:rsidRDefault="0027006C" w:rsidP="00817137">
      <w:pPr>
        <w:spacing w:line="240" w:lineRule="auto"/>
        <w:ind w:left="709" w:right="709"/>
        <w:contextualSpacing/>
        <w:jc w:val="both"/>
        <w:rPr>
          <w:rFonts w:ascii="Verdana" w:hAnsi="Verdana"/>
          <w:sz w:val="20"/>
          <w:szCs w:val="20"/>
          <w:lang w:val="es-ES"/>
        </w:rPr>
      </w:pPr>
    </w:p>
    <w:p w14:paraId="514D2D28" w14:textId="77777777" w:rsidR="0027006C" w:rsidRPr="009037F6" w:rsidRDefault="0027006C" w:rsidP="00817137">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 xml:space="preserve">b) En desarrollo de la audiencia, el jefe de la entidad o su </w:t>
      </w:r>
      <w:proofErr w:type="gramStart"/>
      <w:r w:rsidRPr="009037F6">
        <w:rPr>
          <w:rFonts w:ascii="Verdana" w:hAnsi="Verdana" w:cs="Arial"/>
          <w:iCs/>
          <w:color w:val="000000" w:themeColor="text1"/>
          <w:sz w:val="20"/>
          <w:szCs w:val="20"/>
          <w:lang w:val="es-ES"/>
        </w:rPr>
        <w:t>delegado,</w:t>
      </w:r>
      <w:proofErr w:type="gramEnd"/>
      <w:r w:rsidRPr="009037F6">
        <w:rPr>
          <w:rFonts w:ascii="Verdana" w:hAnsi="Verdana" w:cs="Arial"/>
          <w:iCs/>
          <w:color w:val="000000" w:themeColor="text1"/>
          <w:sz w:val="20"/>
          <w:szCs w:val="20"/>
          <w:lang w:val="es-ES"/>
        </w:rPr>
        <w:t xml:space="preserve"> presentará las circunstancias de hecho que motivan la actuación, enunciará las posibles normas o cláusulas posiblemente violadas y las consecuencias que podrían derivarse para el contratista en desarrollo de la actuación. Acto seguido se concederá el uso de la palabra al representante legal del contratista o a quien lo represente, y al garante, para que presenten sus descargos, en desarrollo de lo cual podrá rendir las explicaciones del caso, aportar pruebas y controvertir las presentadas por la entidad;</w:t>
      </w:r>
    </w:p>
    <w:p w14:paraId="18CA2695" w14:textId="77777777" w:rsidR="0027006C" w:rsidRPr="009037F6" w:rsidRDefault="0027006C" w:rsidP="00817137">
      <w:pPr>
        <w:spacing w:line="240" w:lineRule="auto"/>
        <w:ind w:left="709" w:right="709"/>
        <w:contextualSpacing/>
        <w:jc w:val="both"/>
        <w:rPr>
          <w:rFonts w:ascii="Verdana" w:hAnsi="Verdana" w:cs="Arial"/>
          <w:iCs/>
          <w:color w:val="000000" w:themeColor="text1"/>
          <w:sz w:val="20"/>
          <w:szCs w:val="20"/>
          <w:lang w:val="es-ES"/>
        </w:rPr>
      </w:pPr>
    </w:p>
    <w:p w14:paraId="1E36EDCF" w14:textId="77777777" w:rsidR="0027006C" w:rsidRPr="009037F6" w:rsidRDefault="0027006C" w:rsidP="00817137">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c) Hecho lo precedente, mediante resolución motivada en la que se consigne lo ocurrido en desarrollo de la audiencia y la cual se entenderá notificada en dicho acto público, la entidad procederá a decidir sobre la imposición o no de la multa, sanción o declaratoria de incumplimiento. Contra la decisión así proferida sólo procede el recurso de reposición que se interpondrá, sustentará y decidirá en la misma audiencia. La decisión sobre el recurso se entenderá notificada en la misma audiencia;</w:t>
      </w:r>
    </w:p>
    <w:p w14:paraId="3C4DE335" w14:textId="77777777" w:rsidR="0027006C" w:rsidRPr="009037F6" w:rsidRDefault="0027006C" w:rsidP="00817137">
      <w:pPr>
        <w:spacing w:line="240" w:lineRule="auto"/>
        <w:ind w:left="709" w:right="709"/>
        <w:contextualSpacing/>
        <w:jc w:val="both"/>
        <w:rPr>
          <w:rFonts w:ascii="Verdana" w:hAnsi="Verdana" w:cs="Arial"/>
          <w:iCs/>
          <w:color w:val="000000" w:themeColor="text1"/>
          <w:sz w:val="20"/>
          <w:szCs w:val="20"/>
          <w:lang w:val="es-ES"/>
        </w:rPr>
      </w:pPr>
    </w:p>
    <w:p w14:paraId="13124D43" w14:textId="77777777" w:rsidR="0027006C" w:rsidRPr="009037F6" w:rsidRDefault="0027006C" w:rsidP="00817137">
      <w:pPr>
        <w:spacing w:after="0"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d) En cualquier momento del desarrollo de la audiencia, el jefe de la entidad o su delegado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administrativa. En todo caso, al adoptar la decisión, se señalará fecha y hora para reanudar la audiencia. La entidad podrá dar por terminado el procedimiento en cualquier momento, si por algún medio tiene conocimiento de la cesación de situación de incumplimiento.”</w:t>
      </w:r>
    </w:p>
    <w:p w14:paraId="402AB11F" w14:textId="77777777" w:rsidR="0027006C" w:rsidRPr="009037F6" w:rsidRDefault="0027006C" w:rsidP="00817137">
      <w:pPr>
        <w:spacing w:after="0" w:line="240" w:lineRule="auto"/>
        <w:ind w:left="709" w:right="709"/>
        <w:contextualSpacing/>
        <w:jc w:val="both"/>
        <w:rPr>
          <w:rFonts w:ascii="Verdana" w:hAnsi="Verdana" w:cs="Arial"/>
          <w:iCs/>
          <w:color w:val="000000" w:themeColor="text1"/>
          <w:sz w:val="20"/>
          <w:szCs w:val="20"/>
          <w:lang w:val="es-ES"/>
        </w:rPr>
      </w:pPr>
    </w:p>
    <w:p w14:paraId="40D9CB6D" w14:textId="77777777" w:rsidR="0027006C" w:rsidRPr="004F246A" w:rsidRDefault="0027006C" w:rsidP="00817137">
      <w:pPr>
        <w:spacing w:after="120" w:line="240" w:lineRule="auto"/>
        <w:ind w:firstLine="709"/>
        <w:jc w:val="both"/>
        <w:rPr>
          <w:rFonts w:ascii="Verdana" w:eastAsia="Times New Roman" w:hAnsi="Verdana" w:cs="Arial"/>
          <w:iCs/>
          <w:color w:val="000000"/>
          <w:szCs w:val="24"/>
          <w:lang w:val="es-ES_tradnl" w:eastAsia="es-ES_tradnl"/>
        </w:rPr>
      </w:pPr>
      <w:r w:rsidRPr="004F246A">
        <w:rPr>
          <w:rFonts w:ascii="Verdana" w:eastAsia="Times New Roman" w:hAnsi="Verdana" w:cs="Arial"/>
          <w:iCs/>
          <w:color w:val="000000"/>
          <w:szCs w:val="24"/>
          <w:lang w:val="es-ES_tradnl" w:eastAsia="es-ES_tradnl"/>
        </w:rPr>
        <w:t>Cabe destacar que esta norma no cualifica o se circunscribe a ciertos tipos de incumplimiento. En consecuencia, la declaratoria de cualquier incumplimiento, sea total o parcial, o independiente de su gravedad, debe realizarse con plena observancia de las reglas procedimentales del artículo 86 de la Ley 1474 de 2011. Est</w:t>
      </w:r>
      <w:r>
        <w:rPr>
          <w:rFonts w:ascii="Verdana" w:eastAsia="Times New Roman" w:hAnsi="Verdana" w:cs="Arial"/>
          <w:iCs/>
          <w:color w:val="000000"/>
          <w:szCs w:val="24"/>
          <w:lang w:val="es-ES_tradnl" w:eastAsia="es-ES_tradnl"/>
        </w:rPr>
        <w:t>o es así como consecuencia del “</w:t>
      </w:r>
      <w:r w:rsidRPr="004F246A">
        <w:rPr>
          <w:rFonts w:ascii="Verdana" w:eastAsia="Times New Roman" w:hAnsi="Verdana" w:cs="Arial"/>
          <w:iCs/>
          <w:color w:val="000000"/>
          <w:szCs w:val="24"/>
          <w:lang w:val="es-ES_tradnl" w:eastAsia="es-ES_tradnl"/>
        </w:rPr>
        <w:t>principio general de interpretación jurídica según el cual donde la norma no distingue, no le corresponde dist</w:t>
      </w:r>
      <w:r>
        <w:rPr>
          <w:rFonts w:ascii="Verdana" w:eastAsia="Times New Roman" w:hAnsi="Verdana" w:cs="Arial"/>
          <w:iCs/>
          <w:color w:val="000000"/>
          <w:szCs w:val="24"/>
          <w:lang w:val="es-ES_tradnl" w:eastAsia="es-ES_tradnl"/>
        </w:rPr>
        <w:t>inguir al intérprete”</w:t>
      </w:r>
      <w:r w:rsidRPr="004F246A">
        <w:rPr>
          <w:rFonts w:ascii="Verdana" w:eastAsia="Times New Roman" w:hAnsi="Verdana" w:cs="Arial"/>
          <w:color w:val="000000"/>
          <w:sz w:val="24"/>
          <w:szCs w:val="24"/>
          <w:vertAlign w:val="superscript"/>
          <w:lang w:eastAsia="es-ES_tradnl"/>
        </w:rPr>
        <w:footnoteReference w:id="27"/>
      </w:r>
      <w:r w:rsidRPr="004F246A">
        <w:rPr>
          <w:rFonts w:ascii="Verdana" w:eastAsia="Times New Roman" w:hAnsi="Verdana" w:cs="Arial"/>
          <w:iCs/>
          <w:color w:val="000000"/>
          <w:szCs w:val="24"/>
          <w:lang w:val="es-ES_tradnl" w:eastAsia="es-ES_tradnl"/>
        </w:rPr>
        <w:t>. A la misma conclusión se llega si se tiene en consideración la necesidad de</w:t>
      </w:r>
      <w:r>
        <w:rPr>
          <w:rFonts w:ascii="Verdana" w:eastAsia="Times New Roman" w:hAnsi="Verdana" w:cs="Arial"/>
          <w:iCs/>
          <w:color w:val="000000"/>
          <w:szCs w:val="24"/>
          <w:lang w:val="es-ES_tradnl" w:eastAsia="es-ES_tradnl"/>
        </w:rPr>
        <w:t xml:space="preserve"> respetar el debido proceso en “</w:t>
      </w:r>
      <w:r w:rsidRPr="004F246A">
        <w:rPr>
          <w:rFonts w:ascii="Verdana" w:eastAsia="Times New Roman" w:hAnsi="Verdana" w:cs="Arial"/>
          <w:iCs/>
          <w:color w:val="000000"/>
          <w:szCs w:val="24"/>
          <w:lang w:val="es-ES_tradnl" w:eastAsia="es-ES_tradnl"/>
        </w:rPr>
        <w:t xml:space="preserve">todas </w:t>
      </w:r>
      <w:r>
        <w:rPr>
          <w:rFonts w:ascii="Verdana" w:eastAsia="Times New Roman" w:hAnsi="Verdana" w:cs="Arial"/>
          <w:iCs/>
          <w:color w:val="000000"/>
          <w:szCs w:val="24"/>
          <w:lang w:val="es-ES_tradnl" w:eastAsia="es-ES_tradnl"/>
        </w:rPr>
        <w:t>las actuaciones administrativas”</w:t>
      </w:r>
      <w:r w:rsidRPr="004F246A">
        <w:rPr>
          <w:rFonts w:ascii="Verdana" w:eastAsia="Times New Roman" w:hAnsi="Verdana" w:cs="Arial"/>
          <w:iCs/>
          <w:color w:val="000000"/>
          <w:szCs w:val="24"/>
          <w:lang w:val="es-ES_tradnl" w:eastAsia="es-ES_tradnl"/>
        </w:rPr>
        <w:t xml:space="preserve"> como lo </w:t>
      </w:r>
      <w:r>
        <w:rPr>
          <w:rFonts w:ascii="Verdana" w:eastAsia="Times New Roman" w:hAnsi="Verdana" w:cs="Arial"/>
          <w:iCs/>
          <w:color w:val="000000"/>
          <w:szCs w:val="24"/>
          <w:lang w:val="es-ES_tradnl" w:eastAsia="es-ES_tradnl"/>
        </w:rPr>
        <w:t>dispone el artículo 29 de la Constitución Política.</w:t>
      </w:r>
    </w:p>
    <w:p w14:paraId="7E5DF447" w14:textId="77777777" w:rsidR="0027006C" w:rsidRDefault="0027006C" w:rsidP="00817137">
      <w:pPr>
        <w:spacing w:after="120" w:line="240" w:lineRule="auto"/>
        <w:ind w:firstLine="708"/>
        <w:jc w:val="both"/>
        <w:rPr>
          <w:rFonts w:ascii="Verdana" w:hAnsi="Verdana" w:cs="Arial"/>
          <w:color w:val="000000" w:themeColor="text1"/>
          <w:lang w:val="es-ES"/>
        </w:rPr>
      </w:pPr>
      <w:r w:rsidRPr="004F246A">
        <w:rPr>
          <w:rFonts w:ascii="Verdana" w:eastAsia="Times New Roman" w:hAnsi="Verdana" w:cs="Arial"/>
          <w:iCs/>
          <w:color w:val="000000"/>
          <w:szCs w:val="24"/>
          <w:lang w:val="es-ES_tradnl" w:eastAsia="es-ES_tradnl"/>
        </w:rPr>
        <w:t xml:space="preserve">De conformidad con lo anterior, el artículo 86 de la Ley 1474 de 2011 establece las etapas del procedimiento que se deben seguir, las cuales se sintetizan, de forma esquemática, así: </w:t>
      </w:r>
      <w:r w:rsidRPr="14DBD07D">
        <w:rPr>
          <w:rFonts w:ascii="Verdana" w:hAnsi="Verdana" w:cs="Arial"/>
          <w:color w:val="000000" w:themeColor="text1"/>
          <w:lang w:val="es-ES"/>
        </w:rPr>
        <w:t xml:space="preserve">a) </w:t>
      </w:r>
      <w:r w:rsidRPr="14DBD07D">
        <w:rPr>
          <w:rFonts w:ascii="Verdana" w:hAnsi="Verdana" w:cs="Arial"/>
          <w:i/>
          <w:color w:val="000000" w:themeColor="text1"/>
          <w:lang w:val="es-ES"/>
        </w:rPr>
        <w:t>Citación a audiencia</w:t>
      </w:r>
      <w:r w:rsidRPr="14DBD07D">
        <w:rPr>
          <w:rFonts w:ascii="Verdana" w:hAnsi="Verdana" w:cs="Arial"/>
          <w:color w:val="000000" w:themeColor="text1"/>
          <w:lang w:val="es-ES"/>
        </w:rPr>
        <w:t xml:space="preserve">. Es necesario mencionar expresa y detalladamente los hechos que la soportan, así como, también, adjuntar el informe de interventoría o de supervisión en el que se sustente la actuación, enunciar las normas o cláusulas posiblemente violadas y referir las consecuencias que podrían recaer sobre el contratista en el desarrollo de la actuación, citando a la aseguradora cuando la garantía de cumplimiento consista en una póliza. b) </w:t>
      </w:r>
      <w:r w:rsidRPr="14DBD07D">
        <w:rPr>
          <w:rFonts w:ascii="Verdana" w:hAnsi="Verdana" w:cs="Arial"/>
          <w:i/>
          <w:color w:val="000000" w:themeColor="text1"/>
          <w:lang w:val="es-ES"/>
        </w:rPr>
        <w:t>Audiencia</w:t>
      </w:r>
      <w:r w:rsidRPr="14DBD07D">
        <w:rPr>
          <w:rFonts w:ascii="Verdana" w:hAnsi="Verdana" w:cs="Arial"/>
          <w:color w:val="000000" w:themeColor="text1"/>
          <w:lang w:val="es-ES"/>
        </w:rPr>
        <w:t>. En la diligencia intervendrá el jefe de la entidad o su delegado y, posteriormente, se le concederá el uso de la palabra al representante legal del contratista o a quien lo represente y al garante, en caso de ser necesario, para que estos presenten sus descargos, aporten y controviertan pruebas y rind</w:t>
      </w:r>
      <w:r>
        <w:rPr>
          <w:rFonts w:ascii="Verdana" w:hAnsi="Verdana" w:cs="Arial"/>
          <w:color w:val="000000" w:themeColor="text1"/>
          <w:lang w:val="es-ES"/>
        </w:rPr>
        <w:t>an las explicaciones del caso; y</w:t>
      </w:r>
      <w:r w:rsidRPr="14DBD07D">
        <w:rPr>
          <w:rFonts w:ascii="Verdana" w:hAnsi="Verdana" w:cs="Arial"/>
          <w:color w:val="000000" w:themeColor="text1"/>
          <w:lang w:val="es-ES"/>
        </w:rPr>
        <w:t xml:space="preserve"> c) </w:t>
      </w:r>
      <w:r w:rsidRPr="14DBD07D">
        <w:rPr>
          <w:rFonts w:ascii="Verdana" w:hAnsi="Verdana" w:cs="Arial"/>
          <w:i/>
          <w:color w:val="000000" w:themeColor="text1"/>
          <w:lang w:val="es-ES"/>
        </w:rPr>
        <w:t>Decisión</w:t>
      </w:r>
      <w:r w:rsidRPr="14DBD07D">
        <w:rPr>
          <w:rFonts w:ascii="Verdana" w:hAnsi="Verdana" w:cs="Arial"/>
          <w:color w:val="000000" w:themeColor="text1"/>
          <w:lang w:val="es-ES"/>
        </w:rPr>
        <w:t xml:space="preserve">. Debe estar contenida en resolución motivada donde se consigne, por un lado, lo ocurrido en el desarrollo de la diligencia y, por el otro, lo relativo a la imposición o no de multas y sanciones o la declaratoria de incumplimiento del contrato estatal. Contra la decisión únicamente procede el recurso de reposición que se interpondrá, sustentará y decidirá en la misma diligencia. Ambas decisiones se </w:t>
      </w:r>
      <w:r w:rsidRPr="14DBD07D">
        <w:rPr>
          <w:rFonts w:ascii="Verdana" w:hAnsi="Verdana" w:cs="Arial"/>
          <w:color w:val="000000" w:themeColor="text1"/>
          <w:lang w:val="es-ES"/>
        </w:rPr>
        <w:lastRenderedPageBreak/>
        <w:t>entenderán notificadas en audiencia. Lo anterior, por supuesto, sin perjuicio del control judicial que podría llegar a efectuarse.</w:t>
      </w:r>
    </w:p>
    <w:p w14:paraId="75714645" w14:textId="77777777" w:rsidR="0027006C" w:rsidRPr="009037F6" w:rsidRDefault="0027006C" w:rsidP="00817137">
      <w:pPr>
        <w:spacing w:after="120" w:line="240" w:lineRule="auto"/>
        <w:ind w:firstLine="709"/>
        <w:jc w:val="both"/>
        <w:rPr>
          <w:rFonts w:ascii="Verdana" w:eastAsia="Calibri" w:hAnsi="Verdana" w:cs="Arial"/>
          <w:color w:val="000000" w:themeColor="text1"/>
          <w:lang w:val="es-ES"/>
        </w:rPr>
      </w:pPr>
      <w:r w:rsidRPr="009037F6">
        <w:rPr>
          <w:rFonts w:ascii="Verdana" w:eastAsia="Calibri" w:hAnsi="Verdana" w:cs="Arial"/>
          <w:color w:val="000000" w:themeColor="text1"/>
          <w:lang w:val="es-ES"/>
        </w:rPr>
        <w:t xml:space="preserve">El artículo 86 de la Ley 1474 de 2011 estableció de manera expresa que las entidades sometidas al EGCAP pueden adelantar ese procedimiento en los siguientes supuestos: 1) para declarar el incumplimiento, cuantificando los perjuicios </w:t>
      </w:r>
      <w:proofErr w:type="gramStart"/>
      <w:r w:rsidRPr="009037F6">
        <w:rPr>
          <w:rFonts w:ascii="Verdana" w:eastAsia="Calibri" w:hAnsi="Verdana" w:cs="Arial"/>
          <w:color w:val="000000" w:themeColor="text1"/>
          <w:lang w:val="es-ES"/>
        </w:rPr>
        <w:t>del mismo</w:t>
      </w:r>
      <w:proofErr w:type="gramEnd"/>
      <w:r w:rsidRPr="009037F6">
        <w:rPr>
          <w:rFonts w:ascii="Verdana" w:eastAsia="Calibri" w:hAnsi="Verdana" w:cs="Arial"/>
          <w:color w:val="000000" w:themeColor="text1"/>
          <w:lang w:val="es-ES"/>
        </w:rPr>
        <w:t xml:space="preserve">. En cuanto a la declaración del incumplimiento es importante tener en cuenta la caducidad como potestad exorbitante que se aplica por un incumplimiento grave y tardío de ciertos tipos contractuales; 2) imponer las multas y sanciones pactadas en el contrato, y 3) hacer efectiva la cláusula penal cuando haya sido pactada. En consecuencia, la Ley 1474 de 2011 atribuyó expresamente la competencia a las entidades para adelantar el procedimiento del artículo 86 en los tres supuestos antedichos, independientemente considerados. </w:t>
      </w:r>
    </w:p>
    <w:p w14:paraId="15A1B649" w14:textId="77777777" w:rsidR="0027006C" w:rsidRPr="009037F6" w:rsidRDefault="0027006C" w:rsidP="00817137">
      <w:pPr>
        <w:spacing w:after="120" w:line="240" w:lineRule="auto"/>
        <w:ind w:firstLine="709"/>
        <w:jc w:val="both"/>
        <w:rPr>
          <w:rFonts w:ascii="Verdana" w:eastAsia="Calibri" w:hAnsi="Verdana" w:cs="Arial"/>
          <w:color w:val="000000" w:themeColor="text1"/>
          <w:lang w:val="es-ES"/>
        </w:rPr>
      </w:pPr>
      <w:r w:rsidRPr="009037F6">
        <w:rPr>
          <w:rFonts w:ascii="Verdana" w:eastAsia="Calibri" w:hAnsi="Verdana" w:cs="Arial"/>
          <w:color w:val="000000" w:themeColor="text1"/>
          <w:lang w:val="es-ES"/>
        </w:rPr>
        <w:t xml:space="preserve">Esto es congruente con la redacción de otros apartes del artículo, como es el caso del literal c) del artículo 86, según el cual mediante resolución motivada la entidad decidirá sobre “la imposición o no de la multa, sanción </w:t>
      </w:r>
      <w:r w:rsidRPr="009037F6">
        <w:rPr>
          <w:rFonts w:ascii="Verdana" w:eastAsia="Calibri" w:hAnsi="Verdana" w:cs="Arial"/>
          <w:color w:val="000000" w:themeColor="text1"/>
          <w:u w:val="single"/>
          <w:lang w:val="es-ES"/>
        </w:rPr>
        <w:t>o declaratoria de incumplimiento</w:t>
      </w:r>
      <w:r w:rsidRPr="009037F6">
        <w:rPr>
          <w:rFonts w:ascii="Verdana" w:eastAsia="Calibri" w:hAnsi="Verdana" w:cs="Arial"/>
          <w:color w:val="000000" w:themeColor="text1"/>
          <w:lang w:val="es-ES"/>
        </w:rPr>
        <w:t xml:space="preserve">” [Énfasis propio]. Así como con lo dispuesto en el artículo 99 de la Ley 1437 de 2011 –Código de Procedimiento Administrativo y de lo Contencioso Administrativo–, el cual estableció́ como documentos que prestan mérito ejecutivo en favor del Estado “[l]os contratos o los documentos en que constan sus garantías, junto con el acto administrativo que declara el incumplimiento </w:t>
      </w:r>
      <w:r w:rsidRPr="009037F6">
        <w:rPr>
          <w:rFonts w:ascii="Verdana" w:eastAsia="Calibri" w:hAnsi="Verdana" w:cs="Arial"/>
          <w:color w:val="000000" w:themeColor="text1"/>
          <w:u w:val="single"/>
          <w:lang w:val="es-ES"/>
        </w:rPr>
        <w:t>o</w:t>
      </w:r>
      <w:r w:rsidRPr="009037F6">
        <w:rPr>
          <w:rFonts w:ascii="Verdana" w:eastAsia="Calibri" w:hAnsi="Verdana" w:cs="Arial"/>
          <w:color w:val="000000" w:themeColor="text1"/>
          <w:lang w:val="es-ES"/>
        </w:rPr>
        <w:t xml:space="preserve"> la caducidad”.</w:t>
      </w:r>
      <w:r w:rsidRPr="009037F6">
        <w:rPr>
          <w:rFonts w:ascii="EhrhardtMTStd" w:eastAsia="Times New Roman" w:hAnsi="EhrhardtMTStd" w:cs="Times New Roman"/>
          <w:highlight w:val="yellow"/>
          <w:lang w:val="es-ES"/>
        </w:rPr>
        <w:t xml:space="preserve"> </w:t>
      </w:r>
    </w:p>
    <w:p w14:paraId="77DAD3AD" w14:textId="77777777" w:rsidR="0027006C" w:rsidRDefault="0027006C" w:rsidP="00817137">
      <w:pPr>
        <w:spacing w:before="120" w:after="120" w:line="240" w:lineRule="auto"/>
        <w:ind w:firstLine="708"/>
        <w:jc w:val="both"/>
        <w:rPr>
          <w:rFonts w:ascii="Verdana" w:eastAsia="Calibri" w:hAnsi="Verdana" w:cs="Arial"/>
          <w:color w:val="000000" w:themeColor="text1"/>
          <w:lang w:val="es-ES"/>
        </w:rPr>
      </w:pPr>
      <w:r w:rsidRPr="009037F6">
        <w:rPr>
          <w:rFonts w:ascii="Verdana" w:eastAsia="Calibri" w:hAnsi="Verdana" w:cs="Arial"/>
          <w:color w:val="000000" w:themeColor="text1"/>
          <w:lang w:val="es-ES"/>
        </w:rPr>
        <w:t xml:space="preserve">En concordancia con lo explicado previamente, las entidades adelantarán el procedimiento establecido en el referido artículo 86 con el fin ejercer unilateralmente la potestad de imponer las multas y hacer efectiva la cláusula penal, cuando hayan sido incluidas en el contrato en virtud de la autonomía de la voluntad. Sin embargo, la facultad de aplicar el procedimiento no se encuentra limitada a estos supuestos, pues el artículo 86 señala que las entidades sometidas al EGCAP podrán, además de lo anterior, emplearlo para declarar el incumplimiento del contrato, cuantificando los perjuicios. </w:t>
      </w:r>
    </w:p>
    <w:p w14:paraId="20F786CA" w14:textId="77777777" w:rsidR="0027006C" w:rsidRPr="001F63C3" w:rsidRDefault="0027006C" w:rsidP="00817137">
      <w:pPr>
        <w:spacing w:after="120" w:line="240" w:lineRule="auto"/>
        <w:ind w:firstLine="709"/>
        <w:jc w:val="both"/>
        <w:rPr>
          <w:rFonts w:ascii="Verdana" w:hAnsi="Verdana" w:cs="Arial"/>
          <w:iCs/>
          <w:lang w:eastAsia="es-ES_tradnl"/>
        </w:rPr>
      </w:pPr>
      <w:r w:rsidRPr="00BE4AA0">
        <w:rPr>
          <w:rFonts w:ascii="Verdana" w:hAnsi="Verdana" w:cs="Arial"/>
          <w:iCs/>
          <w:lang w:eastAsia="es-ES_tradnl"/>
        </w:rPr>
        <w:t xml:space="preserve">En </w:t>
      </w:r>
      <w:r>
        <w:rPr>
          <w:rFonts w:ascii="Verdana" w:hAnsi="Verdana" w:cs="Arial"/>
          <w:iCs/>
          <w:lang w:eastAsia="es-ES_tradnl"/>
        </w:rPr>
        <w:t xml:space="preserve">este aspecto, vale tener presente </w:t>
      </w:r>
      <w:r w:rsidRPr="00BE4AA0">
        <w:rPr>
          <w:rFonts w:ascii="Verdana" w:hAnsi="Verdana" w:cs="Arial"/>
          <w:iCs/>
          <w:lang w:eastAsia="es-ES_tradnl"/>
        </w:rPr>
        <w:t xml:space="preserve">la competencia temporal para la imposición de sanciones por incumplimientos contractuales, esta no se determina por la denominación de la medida, sino por su naturaleza jurídica y por la función que cumple dentro de la relación contractual. </w:t>
      </w:r>
      <w:r w:rsidRPr="00BE4AA0">
        <w:rPr>
          <w:rFonts w:ascii="Verdana" w:eastAsia="Times New Roman" w:hAnsi="Verdana" w:cs="Arial"/>
          <w:iCs/>
          <w:lang w:eastAsia="es-ES_tradnl"/>
        </w:rPr>
        <w:t>En este sentido, la multa debe imponerse durante la ejecución del con</w:t>
      </w:r>
      <w:r>
        <w:rPr>
          <w:rFonts w:ascii="Verdana" w:eastAsia="Times New Roman" w:hAnsi="Verdana" w:cs="Arial"/>
          <w:iCs/>
          <w:lang w:eastAsia="es-ES_tradnl"/>
        </w:rPr>
        <w:t>trato</w:t>
      </w:r>
      <w:r w:rsidRPr="00BE4AA0">
        <w:rPr>
          <w:rFonts w:ascii="Verdana" w:eastAsia="Times New Roman" w:hAnsi="Verdana" w:cs="Arial"/>
          <w:iCs/>
          <w:lang w:eastAsia="es-ES_tradnl"/>
        </w:rPr>
        <w:t>, en tanto constituye un mecanismo de coerción orientado a conminar al cooperante al cumplimiento oportuno de sus obligaciones. Su finalidad es esencialmente preventiva y correctiva, por lo que solo resulta procedente mientras el c</w:t>
      </w:r>
      <w:r>
        <w:rPr>
          <w:rFonts w:ascii="Verdana" w:eastAsia="Times New Roman" w:hAnsi="Verdana" w:cs="Arial"/>
          <w:iCs/>
          <w:lang w:eastAsia="es-ES_tradnl"/>
        </w:rPr>
        <w:t>ontrato</w:t>
      </w:r>
      <w:r w:rsidRPr="00BE4AA0">
        <w:rPr>
          <w:rFonts w:ascii="Verdana" w:eastAsia="Times New Roman" w:hAnsi="Verdana" w:cs="Arial"/>
          <w:iCs/>
          <w:lang w:eastAsia="es-ES_tradnl"/>
        </w:rPr>
        <w:t xml:space="preserve"> se encuentra vigente y en curso de ejecución.</w:t>
      </w:r>
      <w:r w:rsidRPr="00BE4AA0">
        <w:rPr>
          <w:rFonts w:ascii="Verdana" w:hAnsi="Verdana" w:cs="Arial"/>
          <w:iCs/>
          <w:lang w:eastAsia="es-ES_tradnl"/>
        </w:rPr>
        <w:t xml:space="preserve"> </w:t>
      </w:r>
      <w:r w:rsidRPr="00BE4AA0">
        <w:rPr>
          <w:rFonts w:ascii="Verdana" w:eastAsia="Times New Roman" w:hAnsi="Verdana" w:cs="Arial"/>
          <w:iCs/>
          <w:lang w:eastAsia="es-ES_tradnl"/>
        </w:rPr>
        <w:t xml:space="preserve">Por su parte, la cláusula penal pecuniaria, dada </w:t>
      </w:r>
      <w:r w:rsidRPr="00BE4AA0">
        <w:rPr>
          <w:rFonts w:ascii="Verdana" w:eastAsia="Times New Roman" w:hAnsi="Verdana" w:cs="Arial"/>
          <w:iCs/>
          <w:lang w:eastAsia="es-ES_tradnl"/>
        </w:rPr>
        <w:lastRenderedPageBreak/>
        <w:t>su naturaleza sancionatoria y/o indemnizatoria, puede hacerse efectiva incluso una vez finalizada la relación contractual. Esta facultad se extiende hasta el plazo previsto para la liquidación del</w:t>
      </w:r>
      <w:r>
        <w:rPr>
          <w:rFonts w:ascii="Verdana" w:eastAsia="Times New Roman" w:hAnsi="Verdana" w:cs="Arial"/>
          <w:iCs/>
          <w:lang w:eastAsia="es-ES_tradnl"/>
        </w:rPr>
        <w:t xml:space="preserve"> contrato</w:t>
      </w:r>
      <w:r w:rsidRPr="00BE4AA0">
        <w:rPr>
          <w:rFonts w:ascii="Verdana" w:eastAsia="Times New Roman" w:hAnsi="Verdana" w:cs="Arial"/>
          <w:iCs/>
          <w:lang w:eastAsia="es-ES_tradnl"/>
        </w:rPr>
        <w:t xml:space="preserve">, etapa en la cual la entidad puede determinar y cuantificar los perjuicios derivados del incumplimiento, siempre que así se haya estipulado en el instrumento contractual. </w:t>
      </w:r>
      <w:r>
        <w:rPr>
          <w:rFonts w:ascii="Verdana" w:eastAsia="Times New Roman" w:hAnsi="Verdana" w:cs="Arial"/>
          <w:iCs/>
          <w:lang w:eastAsia="es-ES_tradnl"/>
        </w:rPr>
        <w:t>En tal sentido, se retoma lo expuesto en el Concepto C-939 del 24 de julio de 2026, que</w:t>
      </w:r>
      <w:r w:rsidRPr="00BE4AA0">
        <w:rPr>
          <w:rFonts w:ascii="Verdana" w:eastAsia="Times New Roman" w:hAnsi="Verdana" w:cs="Arial"/>
          <w:iCs/>
          <w:lang w:eastAsia="es-ES_tradnl"/>
        </w:rPr>
        <w:t xml:space="preserve"> </w:t>
      </w:r>
      <w:r>
        <w:rPr>
          <w:rFonts w:ascii="Verdana" w:eastAsia="Times New Roman" w:hAnsi="Verdana" w:cs="Arial"/>
          <w:iCs/>
          <w:lang w:eastAsia="es-ES_tradnl"/>
        </w:rPr>
        <w:t xml:space="preserve">adoptó </w:t>
      </w:r>
      <w:r w:rsidRPr="00BE4AA0">
        <w:rPr>
          <w:rFonts w:ascii="Verdana" w:eastAsia="Times New Roman" w:hAnsi="Verdana" w:cs="Arial"/>
          <w:iCs/>
          <w:lang w:eastAsia="es-ES_tradnl"/>
        </w:rPr>
        <w:t>el criterio según el cual el límite temporal se determina por la naturaleza de la medida y por el término de que dispone la administración para liquidar el negocio jurídico</w:t>
      </w:r>
      <w:r w:rsidRPr="00BE4AA0">
        <w:rPr>
          <w:rFonts w:ascii="Verdana" w:eastAsia="Times New Roman" w:hAnsi="Verdana" w:cs="Arial"/>
          <w:iCs/>
          <w:lang w:val="es-ES" w:eastAsia="es-ES_tradnl"/>
        </w:rPr>
        <w:t>.</w:t>
      </w:r>
      <w:r>
        <w:rPr>
          <w:rFonts w:ascii="Verdana" w:hAnsi="Verdana" w:cs="Arial"/>
          <w:iCs/>
          <w:lang w:eastAsia="es-ES_tradnl"/>
        </w:rPr>
        <w:t xml:space="preserve"> </w:t>
      </w:r>
      <w:r w:rsidRPr="00BE4AA0">
        <w:rPr>
          <w:rFonts w:ascii="Verdana" w:eastAsia="Times New Roman" w:hAnsi="Verdana" w:cs="Arial"/>
          <w:iCs/>
          <w:lang w:eastAsia="es-ES_tradnl"/>
        </w:rPr>
        <w:t>Como lo ha expresado el Consejo de Estado con respecto a estas cláusulas, resulta pertinente precisar que la potestad sancionatoria debe ejercerse de acuerdo con el tipo de medida a imponer, a la culminación de la relación negocial o la fecha prevista para la liquidación del negocio jurídico</w:t>
      </w:r>
      <w:r w:rsidRPr="00BE4AA0">
        <w:rPr>
          <w:rFonts w:ascii="Verdana" w:eastAsia="Times New Roman" w:hAnsi="Verdana" w:cs="Arial"/>
          <w:iCs/>
          <w:vertAlign w:val="superscript"/>
          <w:lang w:eastAsia="es-ES_tradnl"/>
        </w:rPr>
        <w:footnoteReference w:id="28"/>
      </w:r>
      <w:r w:rsidRPr="00BE4AA0">
        <w:rPr>
          <w:rFonts w:ascii="Verdana" w:eastAsia="Times New Roman" w:hAnsi="Verdana" w:cs="Arial"/>
          <w:iCs/>
          <w:lang w:eastAsia="es-ES_tradnl"/>
        </w:rPr>
        <w:t xml:space="preserve">. </w:t>
      </w:r>
    </w:p>
    <w:p w14:paraId="52FABF6F" w14:textId="77777777" w:rsidR="0027006C" w:rsidRDefault="0027006C" w:rsidP="00817137">
      <w:pPr>
        <w:spacing w:before="120" w:after="120" w:line="240" w:lineRule="auto"/>
        <w:ind w:firstLine="708"/>
        <w:jc w:val="both"/>
        <w:rPr>
          <w:rFonts w:ascii="Verdana" w:eastAsia="Calibri" w:hAnsi="Verdana" w:cs="Arial"/>
          <w:iCs/>
          <w:color w:val="000000" w:themeColor="text1"/>
          <w:lang w:val="es-MX"/>
        </w:rPr>
      </w:pPr>
      <w:r w:rsidRPr="009037F6">
        <w:rPr>
          <w:rFonts w:ascii="Verdana" w:eastAsia="Calibri" w:hAnsi="Verdana" w:cs="Arial"/>
          <w:color w:val="000000" w:themeColor="text1"/>
          <w:lang w:val="es-ES"/>
        </w:rPr>
        <w:t xml:space="preserve">Así mismo, dentro del marco de la declaratoria de incumplimiento puede encontrarse la caducidad como </w:t>
      </w:r>
      <w:r w:rsidRPr="009037F6">
        <w:rPr>
          <w:rFonts w:ascii="Verdana" w:eastAsia="Calibri" w:hAnsi="Verdana" w:cs="Arial"/>
          <w:iCs/>
          <w:color w:val="000000" w:themeColor="text1"/>
          <w:lang w:val="es-MX"/>
        </w:rPr>
        <w:t xml:space="preserve">la sanción más severa que existe en la contratación estatal. Particularmente, se impone al contratista cuando incurre en un incumplimiento de sus obligaciones, que afecte de manera grave y directa la ejecución del contrato y evidencie que puede conducir a su paralización. Su propósito consiste en sancionar al contratista y, a su vez, permitirle a la entidad continuar con la ejecución por otros medios, regulados en el artículo 18 de la Ley 80 de 1993. </w:t>
      </w:r>
    </w:p>
    <w:p w14:paraId="788EED2C" w14:textId="77777777" w:rsidR="0027006C" w:rsidRPr="009037F6" w:rsidRDefault="0027006C" w:rsidP="00817137">
      <w:pPr>
        <w:spacing w:after="0" w:line="240" w:lineRule="auto"/>
        <w:ind w:firstLine="708"/>
        <w:jc w:val="both"/>
        <w:rPr>
          <w:rFonts w:ascii="Verdana" w:hAnsi="Verdana" w:cs="Arial"/>
          <w:bCs/>
          <w:color w:val="000000" w:themeColor="text1"/>
        </w:rPr>
      </w:pPr>
      <w:r w:rsidRPr="009037F6">
        <w:rPr>
          <w:rFonts w:ascii="Verdana" w:eastAsia="Calibri" w:hAnsi="Verdana" w:cs="Arial"/>
          <w:color w:val="000000" w:themeColor="text1"/>
          <w:lang w:val="es-ES"/>
        </w:rPr>
        <w:t>En este aspecto, es necesario entender el</w:t>
      </w:r>
      <w:r w:rsidRPr="009037F6">
        <w:rPr>
          <w:rFonts w:ascii="Verdana" w:hAnsi="Verdana" w:cs="Arial"/>
          <w:bCs/>
          <w:color w:val="000000" w:themeColor="text1"/>
        </w:rPr>
        <w:t xml:space="preserve"> incumplimiento del contrato. Para ello, se acude al Diccionario al Español Jurídico que la define así: “1. </w:t>
      </w:r>
      <w:r w:rsidRPr="009037F6">
        <w:rPr>
          <w:rFonts w:ascii="Verdana" w:hAnsi="Verdana" w:cs="Arial"/>
          <w:bCs/>
          <w:i/>
          <w:iCs/>
          <w:color w:val="000000" w:themeColor="text1"/>
        </w:rPr>
        <w:t>Gral.</w:t>
      </w:r>
      <w:r w:rsidRPr="009037F6">
        <w:rPr>
          <w:rFonts w:ascii="Verdana" w:hAnsi="Verdana" w:cs="Arial"/>
          <w:bCs/>
          <w:color w:val="000000" w:themeColor="text1"/>
        </w:rPr>
        <w:t> Vulneración de lo estipulado en un contrato por una o ambas partes. En derecho civil, el incumplimiento por una de las partes da lugar a la facultad de resolver el contrato por la otra sin perjuicio de las indemnizaciones a que pueda dar lugar”</w:t>
      </w:r>
      <w:r w:rsidRPr="009037F6">
        <w:rPr>
          <w:rFonts w:ascii="Verdana" w:hAnsi="Verdana" w:cs="Arial"/>
          <w:bCs/>
          <w:color w:val="000000" w:themeColor="text1"/>
          <w:vertAlign w:val="superscript"/>
        </w:rPr>
        <w:footnoteReference w:id="29"/>
      </w:r>
      <w:r w:rsidRPr="009037F6">
        <w:rPr>
          <w:rFonts w:ascii="Verdana" w:hAnsi="Verdana" w:cs="Arial"/>
          <w:bCs/>
          <w:color w:val="000000" w:themeColor="text1"/>
        </w:rPr>
        <w:t xml:space="preserve">. El supuesto más evidente del incumplimiento contractual es la ausencia de la prestación. Al respecto, la doctrina expresa: “[…] cuando un contratista se obliga a prestar un servicio, dar un bien o construir una obra y, al momento de la exigibilidad de estas, no existe ejecución material de aquello que satisface las necesidades de la entidad. En este punto es necesario verificar que el incumplimiento no sea producto de una fuerza mayor o un caso fortuito, pues las obligaciones se extinguen por la imposibilidad de la prestación debida bajo </w:t>
      </w:r>
      <w:r w:rsidRPr="009037F6">
        <w:rPr>
          <w:rFonts w:ascii="Verdana" w:hAnsi="Verdana" w:cs="Arial"/>
          <w:bCs/>
          <w:color w:val="000000" w:themeColor="text1"/>
        </w:rPr>
        <w:lastRenderedPageBreak/>
        <w:t>este supuesto”</w:t>
      </w:r>
      <w:r w:rsidRPr="009037F6">
        <w:rPr>
          <w:rFonts w:ascii="Verdana" w:hAnsi="Verdana" w:cs="Arial"/>
          <w:bCs/>
          <w:color w:val="000000" w:themeColor="text1"/>
          <w:vertAlign w:val="superscript"/>
        </w:rPr>
        <w:footnoteReference w:id="30"/>
      </w:r>
      <w:r w:rsidRPr="009037F6">
        <w:rPr>
          <w:rFonts w:ascii="Verdana" w:hAnsi="Verdana" w:cs="Arial"/>
          <w:bCs/>
          <w:color w:val="000000" w:themeColor="text1"/>
        </w:rPr>
        <w:t>. En este escenario, se está ante un incumplimiento absoluto, que es el resultado de la actuación culposa del deudor, sin una causa justificada, no está cumpliendo con los compromisos. De igual manera, la doctrina señala otro tipo de incumplimientos:</w:t>
      </w:r>
    </w:p>
    <w:p w14:paraId="1E2DA7C0" w14:textId="77777777" w:rsidR="0027006C" w:rsidRPr="009037F6" w:rsidRDefault="0027006C" w:rsidP="00817137">
      <w:pPr>
        <w:spacing w:after="0" w:line="240" w:lineRule="auto"/>
        <w:jc w:val="both"/>
        <w:rPr>
          <w:rFonts w:ascii="Verdana" w:hAnsi="Verdana" w:cs="Arial"/>
          <w:bCs/>
          <w:color w:val="000000" w:themeColor="text1"/>
        </w:rPr>
      </w:pPr>
      <w:r w:rsidRPr="009037F6">
        <w:rPr>
          <w:rFonts w:ascii="Verdana" w:hAnsi="Verdana" w:cs="Arial"/>
          <w:bCs/>
          <w:color w:val="000000" w:themeColor="text1"/>
        </w:rPr>
        <w:t xml:space="preserve"> </w:t>
      </w:r>
    </w:p>
    <w:p w14:paraId="5889207A" w14:textId="77777777" w:rsidR="0027006C" w:rsidRPr="00A40964" w:rsidRDefault="0027006C" w:rsidP="00817137">
      <w:pPr>
        <w:spacing w:after="0" w:line="240" w:lineRule="auto"/>
        <w:ind w:left="709" w:right="709"/>
        <w:jc w:val="both"/>
        <w:rPr>
          <w:rFonts w:ascii="Verdana" w:hAnsi="Verdana" w:cs="Arial"/>
          <w:bCs/>
          <w:color w:val="000000" w:themeColor="text1"/>
          <w:sz w:val="20"/>
          <w:szCs w:val="20"/>
        </w:rPr>
      </w:pPr>
      <w:r w:rsidRPr="00A40964">
        <w:rPr>
          <w:rFonts w:ascii="Verdana" w:hAnsi="Verdana" w:cs="Arial"/>
          <w:bCs/>
          <w:color w:val="000000" w:themeColor="text1"/>
          <w:sz w:val="20"/>
          <w:szCs w:val="20"/>
        </w:rPr>
        <w:t xml:space="preserve">[…] también existen formas de incumplimiento impropio o relativo. En estos eventos no hay ausencia total de la prestación debida, ya sea porque se ejecutó imperfecta o tardíamente. La primera modalidad de incumplimiento impropio se presenta por incumplimientos cualitativos o cuantitativos. Por ejemplo, la primera surge cuando se contrata la ejecución de una obra y el deudor realiza la entrega con algunos defectos constructivos que impiden el goce satisfactorio; en contraste, la segunda se presenta cuando se requiere el suministro de determinados elementos y el contratista entrega un número menos a los inicialmente solicitados. En ambos casos se trata de incumplimientos parciales, lo cual está en contravía de los dispuesto en el inciso </w:t>
      </w:r>
      <w:proofErr w:type="gramStart"/>
      <w:r w:rsidRPr="00A40964">
        <w:rPr>
          <w:rFonts w:ascii="Verdana" w:hAnsi="Verdana" w:cs="Arial"/>
          <w:bCs/>
          <w:color w:val="000000" w:themeColor="text1"/>
          <w:sz w:val="20"/>
          <w:szCs w:val="20"/>
        </w:rPr>
        <w:t>1.°</w:t>
      </w:r>
      <w:proofErr w:type="gramEnd"/>
      <w:r w:rsidRPr="00A40964">
        <w:rPr>
          <w:rFonts w:ascii="Verdana" w:hAnsi="Verdana" w:cs="Arial"/>
          <w:bCs/>
          <w:color w:val="000000" w:themeColor="text1"/>
          <w:sz w:val="20"/>
          <w:szCs w:val="20"/>
        </w:rPr>
        <w:t xml:space="preserve"> del artículo 1649 del Código Civil, ya que ‘El deudor no puede obligar al acreedor a que reciba por partes lo que se le deba, salvo el caso de convención contraria; y sin perjuicio de lo que dispongan las leyes en casos especiales’. Por otro lado, la segunda modalidad de incumplimiento impropio surge de la tardanza del deudor en ejecutar sus prestaciones. Si bien no existe renuencia y es posible que satisfaga la prestación debida tanto en términos de calidad como de cantidad, el riesgo es que con el paso del tiempo el acreedor pierda interés en el contrato. En estos eventos, también resulta violentada regla del antecitado inciso </w:t>
      </w:r>
      <w:proofErr w:type="gramStart"/>
      <w:r w:rsidRPr="00A40964">
        <w:rPr>
          <w:rFonts w:ascii="Verdana" w:hAnsi="Verdana" w:cs="Arial"/>
          <w:bCs/>
          <w:color w:val="000000" w:themeColor="text1"/>
          <w:sz w:val="20"/>
          <w:szCs w:val="20"/>
        </w:rPr>
        <w:t>1.°</w:t>
      </w:r>
      <w:proofErr w:type="gramEnd"/>
      <w:r w:rsidRPr="00A40964">
        <w:rPr>
          <w:rFonts w:ascii="Verdana" w:hAnsi="Verdana" w:cs="Arial"/>
          <w:bCs/>
          <w:color w:val="000000" w:themeColor="text1"/>
          <w:sz w:val="20"/>
          <w:szCs w:val="20"/>
        </w:rPr>
        <w:t xml:space="preserve"> del artículo 1627 del Código Civil, el cual no se solo se refiere al objeto de la obligación en si sino también a las modalidades que influyan en la existencia o la exigibilidad de las prestaciones</w:t>
      </w:r>
      <w:r w:rsidRPr="00A40964">
        <w:rPr>
          <w:rFonts w:ascii="Verdana" w:hAnsi="Verdana" w:cs="Arial"/>
          <w:bCs/>
          <w:color w:val="000000" w:themeColor="text1"/>
          <w:sz w:val="20"/>
          <w:szCs w:val="20"/>
          <w:vertAlign w:val="superscript"/>
        </w:rPr>
        <w:footnoteReference w:id="31"/>
      </w:r>
      <w:r w:rsidRPr="00A40964">
        <w:rPr>
          <w:rFonts w:ascii="Verdana" w:hAnsi="Verdana" w:cs="Arial"/>
          <w:bCs/>
          <w:color w:val="000000" w:themeColor="text1"/>
          <w:sz w:val="20"/>
          <w:szCs w:val="20"/>
        </w:rPr>
        <w:t xml:space="preserve">. </w:t>
      </w:r>
    </w:p>
    <w:p w14:paraId="1FAFDD36" w14:textId="77777777" w:rsidR="0027006C" w:rsidRPr="009037F6" w:rsidRDefault="0027006C" w:rsidP="00817137">
      <w:pPr>
        <w:spacing w:after="0" w:line="240" w:lineRule="auto"/>
        <w:jc w:val="both"/>
        <w:rPr>
          <w:rFonts w:ascii="Verdana" w:hAnsi="Verdana" w:cs="Arial"/>
          <w:bCs/>
          <w:color w:val="000000" w:themeColor="text1"/>
        </w:rPr>
      </w:pPr>
    </w:p>
    <w:p w14:paraId="38C621E1" w14:textId="77777777" w:rsidR="0027006C" w:rsidRDefault="0027006C" w:rsidP="00817137">
      <w:pPr>
        <w:spacing w:before="120" w:after="120" w:line="240" w:lineRule="auto"/>
        <w:ind w:firstLine="708"/>
        <w:jc w:val="both"/>
        <w:rPr>
          <w:rFonts w:ascii="Verdana" w:hAnsi="Verdana" w:cs="Arial"/>
          <w:bCs/>
          <w:color w:val="000000" w:themeColor="text1"/>
        </w:rPr>
      </w:pPr>
      <w:r w:rsidRPr="009037F6">
        <w:rPr>
          <w:rFonts w:ascii="Verdana" w:hAnsi="Verdana" w:cs="Arial"/>
          <w:bCs/>
          <w:color w:val="000000" w:themeColor="text1"/>
        </w:rPr>
        <w:t xml:space="preserve">A partir de lo expuesto, el incumplimiento contractual en un sentido práctico es la no sujeción total o parcial de las obligaciones pactadas en el contrato. En efecto, puede evidenciarse un incumplimiento total, así como incumplimientos imparciales, derivado de ejecuciones imperfectas, ya sea cuantitativas o cualitativas, o el incumplimiento tardío, esto es, la tardanza en ejecutar sus prestaciones. </w:t>
      </w:r>
    </w:p>
    <w:p w14:paraId="240E9699" w14:textId="77777777" w:rsidR="0027006C" w:rsidRPr="00A03DA4" w:rsidRDefault="0027006C" w:rsidP="00817137">
      <w:pPr>
        <w:spacing w:before="120" w:after="120" w:line="240" w:lineRule="auto"/>
        <w:ind w:firstLine="708"/>
        <w:jc w:val="both"/>
        <w:rPr>
          <w:rFonts w:ascii="Verdana" w:eastAsia="Times New Roman" w:hAnsi="Verdana" w:cs="Arial"/>
          <w:color w:val="000000"/>
          <w:lang w:val="es-ES_tradnl" w:eastAsia="es-ES_tradnl"/>
        </w:rPr>
      </w:pPr>
      <w:r w:rsidRPr="0032313B">
        <w:rPr>
          <w:rFonts w:ascii="Verdana" w:eastAsia="Times New Roman" w:hAnsi="Verdana" w:cs="Arial"/>
          <w:color w:val="000000"/>
          <w:lang w:val="es-ES_tradnl" w:eastAsia="es-ES_tradnl"/>
        </w:rPr>
        <w:t xml:space="preserve">Con fundamento en las consideraciones expuestas, resulta necesario precisar los efectos que se derivan respecto del cumplimiento de las obligaciones contractuales y las consecuencias que pueden generarse por su inobservancia cuando el contrato se encuentra suspendido, así como determinar si ello </w:t>
      </w:r>
      <w:r w:rsidRPr="0032313B">
        <w:rPr>
          <w:rFonts w:ascii="Verdana" w:eastAsia="Times New Roman" w:hAnsi="Verdana" w:cs="Arial"/>
          <w:color w:val="000000"/>
          <w:lang w:val="es-ES_tradnl" w:eastAsia="es-ES_tradnl"/>
        </w:rPr>
        <w:lastRenderedPageBreak/>
        <w:t>constituye impedimento para adelantar el procedimiento administrativo sancionatorio previsto en el artí</w:t>
      </w:r>
      <w:r>
        <w:rPr>
          <w:rFonts w:ascii="Verdana" w:eastAsia="Times New Roman" w:hAnsi="Verdana" w:cs="Arial"/>
          <w:color w:val="000000"/>
          <w:lang w:val="es-ES_tradnl" w:eastAsia="es-ES_tradnl"/>
        </w:rPr>
        <w:t>culo 86 de la Ley 1474 de 2011. En esta línea</w:t>
      </w:r>
      <w:r w:rsidRPr="0032313B">
        <w:rPr>
          <w:rFonts w:ascii="Verdana" w:eastAsia="Times New Roman" w:hAnsi="Verdana" w:cs="Arial"/>
          <w:color w:val="000000"/>
          <w:lang w:val="es-ES_tradnl" w:eastAsia="es-ES_tradnl"/>
        </w:rPr>
        <w:t>, debe señalarse que la suspensión del contrato no implica su terminación, toda vez que dicho supuesto no se encuentra previsto dentro de las causales de extinción de las obligaciones contempladas en el artículo 1625 del Código Civil</w:t>
      </w:r>
      <w:r>
        <w:rPr>
          <w:rStyle w:val="Refdenotaalpie"/>
          <w:rFonts w:ascii="Verdana" w:eastAsia="Times New Roman" w:hAnsi="Verdana" w:cs="Arial"/>
          <w:color w:val="000000"/>
          <w:lang w:val="es-ES_tradnl" w:eastAsia="es-ES_tradnl"/>
        </w:rPr>
        <w:footnoteReference w:id="32"/>
      </w:r>
      <w:r w:rsidRPr="0032313B">
        <w:rPr>
          <w:rFonts w:ascii="Verdana" w:eastAsia="Times New Roman" w:hAnsi="Verdana" w:cs="Arial"/>
          <w:color w:val="000000"/>
          <w:lang w:val="es-ES_tradnl" w:eastAsia="es-ES_tradnl"/>
        </w:rPr>
        <w:t xml:space="preserve">. Por consiguiente, la suspensión constituye únicamente una </w:t>
      </w:r>
      <w:r>
        <w:rPr>
          <w:rFonts w:ascii="Verdana" w:eastAsia="Times New Roman" w:hAnsi="Verdana" w:cs="Arial"/>
          <w:color w:val="000000"/>
          <w:lang w:val="es-ES_tradnl" w:eastAsia="es-ES_tradnl"/>
        </w:rPr>
        <w:t xml:space="preserve">pausa </w:t>
      </w:r>
      <w:r w:rsidRPr="0032313B">
        <w:rPr>
          <w:rFonts w:ascii="Verdana" w:eastAsia="Times New Roman" w:hAnsi="Verdana" w:cs="Arial"/>
          <w:color w:val="000000"/>
          <w:lang w:val="es-ES_tradnl" w:eastAsia="es-ES_tradnl"/>
        </w:rPr>
        <w:t>temporal en la ejecución del contrato, sin que ello extinga las obligaciones asumidas por las partes ni elimine la posibilidad de exigir su cumplimiento o de adelantar las actuaciones administrativas correspondientes.</w:t>
      </w:r>
      <w:r>
        <w:rPr>
          <w:rFonts w:ascii="Verdana" w:eastAsia="Times New Roman" w:hAnsi="Verdana" w:cs="Arial"/>
          <w:color w:val="000000"/>
          <w:lang w:val="es-ES_tradnl" w:eastAsia="es-ES_tradnl"/>
        </w:rPr>
        <w:t xml:space="preserve"> </w:t>
      </w:r>
    </w:p>
    <w:p w14:paraId="5EB42799" w14:textId="77777777" w:rsidR="0027006C" w:rsidRPr="00A03DA4" w:rsidRDefault="0027006C" w:rsidP="00817137">
      <w:pPr>
        <w:spacing w:before="120" w:after="120" w:line="240" w:lineRule="auto"/>
        <w:ind w:firstLine="709"/>
        <w:jc w:val="both"/>
        <w:rPr>
          <w:rFonts w:ascii="Verdana" w:eastAsia="Times New Roman" w:hAnsi="Verdana" w:cs="Arial"/>
          <w:color w:val="000000"/>
          <w:lang w:val="es-ES_tradnl" w:eastAsia="es-ES_tradnl"/>
        </w:rPr>
      </w:pPr>
      <w:r w:rsidRPr="00A03DA4">
        <w:rPr>
          <w:rFonts w:ascii="Verdana" w:eastAsia="Times New Roman" w:hAnsi="Verdana" w:cs="Arial"/>
          <w:color w:val="000000"/>
          <w:lang w:val="es-ES_tradnl" w:eastAsia="es-ES_tradnl"/>
        </w:rPr>
        <w:t>Pero, al margen de las consideraciones anteriores, hay que decir con claridad que una cosa es la suspensión del contrato estatal y otra el procedimiento administrativo sancionatorio. Si la entidad pública contratante evidencia razones óptimas para iniciar el procedimiento administrativo sancionatorio, porque encuentra que el contratista podría haber incurrido en incumplimiento</w:t>
      </w:r>
      <w:r>
        <w:rPr>
          <w:rFonts w:ascii="Verdana" w:eastAsia="Times New Roman" w:hAnsi="Verdana" w:cs="Arial"/>
          <w:color w:val="000000"/>
          <w:lang w:val="es-ES_tradnl" w:eastAsia="es-ES_tradnl"/>
        </w:rPr>
        <w:t xml:space="preserve"> por dejar vencer las garantías del contrato</w:t>
      </w:r>
      <w:r w:rsidRPr="00A03DA4">
        <w:rPr>
          <w:rFonts w:ascii="Verdana" w:eastAsia="Times New Roman" w:hAnsi="Verdana" w:cs="Arial"/>
          <w:color w:val="000000"/>
          <w:lang w:val="es-ES_tradnl" w:eastAsia="es-ES_tradnl"/>
        </w:rPr>
        <w:t>, debe citarlo</w:t>
      </w:r>
      <w:r w:rsidRPr="00A03DA4">
        <w:rPr>
          <w:rFonts w:ascii="Verdana" w:eastAsia="Times New Roman" w:hAnsi="Verdana" w:cs="Arial"/>
          <w:color w:val="000000"/>
          <w:vertAlign w:val="superscript"/>
          <w:lang w:val="es-ES_tradnl" w:eastAsia="es-ES_tradnl"/>
        </w:rPr>
        <w:footnoteReference w:id="33"/>
      </w:r>
      <w:r w:rsidRPr="00A03DA4">
        <w:rPr>
          <w:rFonts w:ascii="Verdana" w:eastAsia="Times New Roman" w:hAnsi="Verdana" w:cs="Arial"/>
          <w:color w:val="000000"/>
          <w:lang w:val="es-ES_tradnl" w:eastAsia="es-ES_tradnl"/>
        </w:rPr>
        <w:t>, brindándole las</w:t>
      </w:r>
      <w:r>
        <w:rPr>
          <w:rFonts w:ascii="Verdana" w:eastAsia="Times New Roman" w:hAnsi="Verdana" w:cs="Arial"/>
          <w:color w:val="000000"/>
          <w:lang w:val="es-ES_tradnl" w:eastAsia="es-ES_tradnl"/>
        </w:rPr>
        <w:t xml:space="preserve"> reglas</w:t>
      </w:r>
      <w:r w:rsidRPr="00A03DA4">
        <w:rPr>
          <w:rFonts w:ascii="Verdana" w:eastAsia="Times New Roman" w:hAnsi="Verdana" w:cs="Arial"/>
          <w:color w:val="000000"/>
          <w:lang w:val="es-ES_tradnl" w:eastAsia="es-ES_tradnl"/>
        </w:rPr>
        <w:t xml:space="preserve"> formales establecidas en el artículo 86 de la Ley 1474 de 2011</w:t>
      </w:r>
      <w:r>
        <w:rPr>
          <w:rFonts w:ascii="Verdana" w:eastAsia="Times New Roman" w:hAnsi="Verdana" w:cs="Arial"/>
          <w:color w:val="000000"/>
          <w:lang w:val="es-ES_tradnl" w:eastAsia="es-ES_tradnl"/>
        </w:rPr>
        <w:t>, independiente</w:t>
      </w:r>
      <w:r w:rsidRPr="00A03DA4">
        <w:rPr>
          <w:rFonts w:ascii="Verdana" w:eastAsia="Times New Roman" w:hAnsi="Verdana" w:cs="Arial"/>
          <w:color w:val="000000"/>
          <w:lang w:val="es-ES_tradnl" w:eastAsia="es-ES_tradnl"/>
        </w:rPr>
        <w:t xml:space="preserve"> de que el contrato se encuentre o no suspendido. </w:t>
      </w:r>
    </w:p>
    <w:p w14:paraId="40600561" w14:textId="77777777" w:rsidR="0027006C" w:rsidRDefault="0027006C" w:rsidP="00817137">
      <w:pPr>
        <w:spacing w:before="120" w:after="120" w:line="240" w:lineRule="auto"/>
        <w:ind w:firstLine="709"/>
        <w:jc w:val="both"/>
        <w:rPr>
          <w:rFonts w:ascii="Verdana" w:eastAsia="Times New Roman" w:hAnsi="Verdana" w:cs="Arial"/>
          <w:color w:val="000000"/>
          <w:lang w:val="es-ES_tradnl" w:eastAsia="es-ES_tradnl"/>
        </w:rPr>
      </w:pPr>
      <w:r w:rsidRPr="00A03DA4">
        <w:rPr>
          <w:rFonts w:ascii="Verdana" w:eastAsia="Times New Roman" w:hAnsi="Verdana" w:cs="Arial"/>
          <w:color w:val="000000"/>
          <w:lang w:val="es-ES_tradnl" w:eastAsia="es-ES_tradnl"/>
        </w:rPr>
        <w:t xml:space="preserve">De esta manera, el cese temporal de la ejecución del contrato no impide que la entidad surta el procedimiento administrativo sancionatorio, pues lo uno no va </w:t>
      </w:r>
      <w:r>
        <w:rPr>
          <w:rFonts w:ascii="Verdana" w:eastAsia="Times New Roman" w:hAnsi="Verdana" w:cs="Arial"/>
          <w:color w:val="000000"/>
          <w:lang w:val="es-ES_tradnl" w:eastAsia="es-ES_tradnl"/>
        </w:rPr>
        <w:t xml:space="preserve">vinculado </w:t>
      </w:r>
      <w:r w:rsidRPr="00A03DA4">
        <w:rPr>
          <w:rFonts w:ascii="Verdana" w:eastAsia="Times New Roman" w:hAnsi="Verdana" w:cs="Arial"/>
          <w:color w:val="000000"/>
          <w:lang w:val="es-ES_tradnl" w:eastAsia="es-ES_tradnl"/>
        </w:rPr>
        <w:t xml:space="preserve">a lo otro. Circunstancia distinta es que la razón que pretende aducir la entidad estatal para iniciar dicho procedimiento sea el supuesto </w:t>
      </w:r>
      <w:r>
        <w:rPr>
          <w:rFonts w:ascii="Verdana" w:eastAsia="Times New Roman" w:hAnsi="Verdana" w:cs="Arial"/>
          <w:color w:val="000000"/>
          <w:lang w:val="es-ES_tradnl" w:eastAsia="es-ES_tradnl"/>
        </w:rPr>
        <w:t>“</w:t>
      </w:r>
      <w:r w:rsidRPr="00A03DA4">
        <w:rPr>
          <w:rFonts w:ascii="Verdana" w:eastAsia="Times New Roman" w:hAnsi="Verdana" w:cs="Arial"/>
          <w:color w:val="000000"/>
          <w:lang w:val="es-ES_tradnl" w:eastAsia="es-ES_tradnl"/>
        </w:rPr>
        <w:t>incumplimiento</w:t>
      </w:r>
      <w:r>
        <w:rPr>
          <w:rFonts w:ascii="Verdana" w:eastAsia="Times New Roman" w:hAnsi="Verdana" w:cs="Arial"/>
          <w:color w:val="000000"/>
          <w:lang w:val="es-ES_tradnl" w:eastAsia="es-ES_tradnl"/>
        </w:rPr>
        <w:t>”</w:t>
      </w:r>
      <w:r w:rsidRPr="00A03DA4">
        <w:rPr>
          <w:rFonts w:ascii="Verdana" w:eastAsia="Times New Roman" w:hAnsi="Verdana" w:cs="Arial"/>
          <w:color w:val="000000"/>
          <w:lang w:val="es-ES_tradnl" w:eastAsia="es-ES_tradnl"/>
        </w:rPr>
        <w:t xml:space="preserve"> de las obligaciones, que se da durante la suspensión, sin que exista responsabilidad del contratista, pues tales obligaciones no podían cumplirse en este período. En este caso el procedimiento administrativo sancionatorio no es procedente, pero si aun así la entidad estatal lo adelanta, el </w:t>
      </w:r>
      <w:r w:rsidRPr="00A03DA4">
        <w:rPr>
          <w:rFonts w:ascii="Verdana" w:eastAsia="Times New Roman" w:hAnsi="Verdana" w:cs="Arial"/>
          <w:color w:val="000000"/>
          <w:lang w:val="es-ES_tradnl" w:eastAsia="es-ES_tradnl"/>
        </w:rPr>
        <w:lastRenderedPageBreak/>
        <w:t>contratista puede esgrimir en sus descargos los motivos que le han hecho imposible el cumplimiento de las obligaciones y estas deben ser valoradas por la entidad contratante para no imponer la sanción. Sin embargo, puede también suceder que el procedimiento administrativo sancionatorio se inicie mientras el contrato está suspendido, pero para determinar, y si es del caso, decretar el incumplimiento, así como la sanción correspondiente, derivado de obligaciones no observadas por el contratista antes de la suspensión. Claramente, en este caso la citación a la audiencia es válida, pues las razones de la suspensión son ajenas a los hechos que motivan la actuación sancionatoria, ya que el contratista sí estaba en capacidad de cumplir y no lo hizo; entonces no puede excusarse en la suspensión.</w:t>
      </w:r>
    </w:p>
    <w:p w14:paraId="3EBB2A30" w14:textId="77777777" w:rsidR="0027006C" w:rsidRPr="007A6EF3" w:rsidRDefault="0027006C" w:rsidP="00817137">
      <w:pPr>
        <w:spacing w:before="120" w:after="120" w:line="240" w:lineRule="auto"/>
        <w:ind w:firstLine="709"/>
        <w:jc w:val="both"/>
        <w:rPr>
          <w:rFonts w:ascii="Verdana" w:hAnsi="Verdana" w:cs="Arial"/>
          <w:color w:val="000000"/>
          <w:lang w:eastAsia="es-ES_tradnl"/>
        </w:rPr>
      </w:pPr>
      <w:r>
        <w:rPr>
          <w:rFonts w:ascii="Verdana" w:eastAsia="Times New Roman" w:hAnsi="Verdana" w:cs="Arial"/>
          <w:color w:val="000000"/>
          <w:lang w:val="es-ES_tradnl" w:eastAsia="es-ES_tradnl"/>
        </w:rPr>
        <w:t xml:space="preserve">En el escenario expuesto en la consulta, podría iniciarse el procedimiento administrativo sancionatorio por el incumplimiento del deber de modificar las garantías por alteración del plazo del contrato derivado de la suspensión. </w:t>
      </w:r>
      <w:r w:rsidRPr="007A6EF3">
        <w:rPr>
          <w:rFonts w:ascii="Verdana" w:hAnsi="Verdana" w:cs="Arial"/>
          <w:color w:val="000000"/>
          <w:lang w:eastAsia="es-ES_tradnl"/>
        </w:rPr>
        <w:t>En todo caso, los elementos sustanciales que deben concurrir para que proceda la declaratoria de incumplimiento y la imposición de sanciones contractuales constituyen presupuestos que deben ser probados y verificados en cada caso por las entidades estatales. Solo la acreditación de tales circunstancias permite la viabilidad del procedimiento administrativo sancionatorio, garantizando el respeto al debido proceso y la seguridad jurídica en la contratación pública.</w:t>
      </w:r>
    </w:p>
    <w:p w14:paraId="2D4E4603" w14:textId="77777777" w:rsidR="0027006C" w:rsidRPr="007A6EF3" w:rsidRDefault="0027006C" w:rsidP="00817137">
      <w:pPr>
        <w:spacing w:before="120" w:after="120" w:line="240" w:lineRule="auto"/>
        <w:ind w:firstLine="709"/>
        <w:jc w:val="both"/>
        <w:rPr>
          <w:rFonts w:ascii="Verdana" w:eastAsia="Times New Roman" w:hAnsi="Verdana" w:cs="Arial"/>
          <w:color w:val="000000"/>
          <w:lang w:eastAsia="es-ES_tradnl"/>
        </w:rPr>
      </w:pPr>
      <w:r w:rsidRPr="007A6EF3">
        <w:rPr>
          <w:rFonts w:ascii="Verdana" w:eastAsia="Times New Roman" w:hAnsi="Verdana" w:cs="Arial"/>
          <w:color w:val="000000"/>
          <w:lang w:eastAsia="es-ES_tradnl"/>
        </w:rPr>
        <w:t>Si dichos elementos confluyen, aun cuando el contrato estatal se encuentre suspendido, resulta procedente adelantar la audiencia regulada en el artículo 86 de la Ley 1474 de 2011. La suspensión no elimina la posibilidad de activar las potestades sancionatorias de la administración, siempre que se demuestre la existencia de incumplimientos que afecten las obligaciones contractuales o las condiciones de la garantía única de cumplimiento.</w:t>
      </w:r>
    </w:p>
    <w:p w14:paraId="2EE09B03" w14:textId="77777777" w:rsidR="0027006C" w:rsidRPr="007A6EF3" w:rsidRDefault="0027006C" w:rsidP="00817137">
      <w:pPr>
        <w:spacing w:before="120" w:after="120" w:line="240" w:lineRule="auto"/>
        <w:ind w:firstLine="709"/>
        <w:jc w:val="both"/>
        <w:rPr>
          <w:rFonts w:ascii="Verdana" w:eastAsia="Times New Roman" w:hAnsi="Verdana" w:cs="Arial"/>
          <w:color w:val="000000"/>
          <w:lang w:eastAsia="es-ES_tradnl"/>
        </w:rPr>
      </w:pPr>
      <w:r w:rsidRPr="007A6EF3">
        <w:rPr>
          <w:rFonts w:ascii="Verdana" w:eastAsia="Times New Roman" w:hAnsi="Verdana" w:cs="Arial"/>
          <w:color w:val="000000"/>
          <w:lang w:eastAsia="es-ES_tradnl"/>
        </w:rPr>
        <w:t>Esto se entiende sin perjuicio de la responsabilidad que pueda recaer sobre los supervisores, interventores, el representante legal o su delegado, así como sobre los demás partícipes del proceso de contratación. La omisión en el cumplimiento de sus deberes de vigilancia y control puede generar consecuencias disciplinarias, fiscales o incluso penales, reforzando la necesidad de que cada actor cumpla cabalmente con sus obligaciones en aras de proteger el patrimonio público y la eficacia de la gestión contractual.</w:t>
      </w:r>
    </w:p>
    <w:p w14:paraId="79A78539" w14:textId="77777777" w:rsidR="0027006C" w:rsidRDefault="0027006C" w:rsidP="00817137">
      <w:pPr>
        <w:spacing w:before="120" w:after="0" w:line="240" w:lineRule="auto"/>
        <w:ind w:firstLine="709"/>
        <w:jc w:val="both"/>
        <w:rPr>
          <w:rFonts w:ascii="Verdana" w:eastAsia="Times New Roman" w:hAnsi="Verdana" w:cs="Arial"/>
          <w:color w:val="000000"/>
          <w:lang w:val="es-ES_tradnl" w:eastAsia="es-ES_tradnl"/>
        </w:rPr>
      </w:pPr>
      <w:r>
        <w:rPr>
          <w:rFonts w:ascii="Verdana" w:eastAsia="Times New Roman" w:hAnsi="Verdana" w:cs="Arial"/>
          <w:color w:val="000000"/>
          <w:lang w:val="es-ES_tradnl" w:eastAsia="es-ES_tradnl"/>
        </w:rPr>
        <w:t>En todo caso</w:t>
      </w:r>
      <w:r w:rsidRPr="00A03DA4">
        <w:rPr>
          <w:rFonts w:ascii="Verdana" w:eastAsia="Times New Roman" w:hAnsi="Verdana" w:cs="Arial"/>
          <w:color w:val="000000"/>
          <w:lang w:val="es-ES_tradnl" w:eastAsia="es-ES_tradnl"/>
        </w:rPr>
        <w:t xml:space="preserve">, los elementos sustanciales que deben reunirse para que pueda declararse el incumplimiento e imponerse las sanciones respectivas, son aspectos que deben probarse y verificarse en cada caso por las entidades estatales como presupuesto para la viabilidad del procedimiento administrativo sancionatorio. Si estos elementos confluyen, así el contrato estatal esté suspendido, puede realizarse la audiencia regulada en el artículo 86 de la Ley </w:t>
      </w:r>
      <w:r w:rsidRPr="00A03DA4">
        <w:rPr>
          <w:rFonts w:ascii="Verdana" w:eastAsia="Times New Roman" w:hAnsi="Verdana" w:cs="Arial"/>
          <w:color w:val="000000"/>
          <w:lang w:val="es-ES_tradnl" w:eastAsia="es-ES_tradnl"/>
        </w:rPr>
        <w:lastRenderedPageBreak/>
        <w:t>1474 de 2011.</w:t>
      </w:r>
      <w:r>
        <w:rPr>
          <w:rFonts w:ascii="Verdana" w:eastAsia="Times New Roman" w:hAnsi="Verdana" w:cs="Arial"/>
          <w:color w:val="000000"/>
          <w:lang w:val="es-ES_tradnl" w:eastAsia="es-ES_tradnl"/>
        </w:rPr>
        <w:t xml:space="preserve"> Esto, sin perjuicio de la responsabilidad que puede tener los supervisores, interventores, el representante legal o su delegado, así como los demás participes del proceso de contratación. </w:t>
      </w:r>
    </w:p>
    <w:p w14:paraId="2AAED252" w14:textId="77777777" w:rsidR="0027006C" w:rsidRDefault="0027006C" w:rsidP="00817137">
      <w:pPr>
        <w:spacing w:after="0" w:line="240" w:lineRule="auto"/>
        <w:jc w:val="both"/>
        <w:rPr>
          <w:rFonts w:ascii="Verdana" w:eastAsia="Times New Roman" w:hAnsi="Verdana" w:cs="Arial"/>
          <w:color w:val="000000"/>
          <w:lang w:val="es-ES_tradnl" w:eastAsia="es-ES_tradnl"/>
        </w:rPr>
      </w:pPr>
    </w:p>
    <w:p w14:paraId="0FC75BF3" w14:textId="77777777" w:rsidR="0027006C" w:rsidRPr="00BE4AA0" w:rsidRDefault="0027006C" w:rsidP="00817137">
      <w:pPr>
        <w:spacing w:after="0" w:line="240" w:lineRule="auto"/>
        <w:jc w:val="both"/>
        <w:rPr>
          <w:rFonts w:ascii="Verdana" w:eastAsia="Times New Roman" w:hAnsi="Verdana" w:cs="Arial"/>
          <w:color w:val="000000"/>
          <w:lang w:val="es-ES"/>
        </w:rPr>
      </w:pPr>
      <w:r>
        <w:rPr>
          <w:rFonts w:ascii="Verdana" w:eastAsia="Times New Roman" w:hAnsi="Verdana" w:cs="Arial"/>
          <w:color w:val="000000"/>
          <w:lang w:val="es-ES_tradnl" w:eastAsia="es-ES_tradnl"/>
        </w:rPr>
        <w:t>v</w:t>
      </w:r>
      <w:r w:rsidRPr="00BE4AA0">
        <w:rPr>
          <w:rFonts w:ascii="Verdana" w:eastAsia="Times New Roman" w:hAnsi="Verdana" w:cs="Arial"/>
          <w:color w:val="000000"/>
          <w:lang w:val="es-ES"/>
        </w:rPr>
        <w:t>. La liquidación es el momento en el cual,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w:t>
      </w:r>
      <w:r w:rsidRPr="00BE4AA0">
        <w:rPr>
          <w:rFonts w:ascii="Verdana" w:eastAsia="Times New Roman" w:hAnsi="Verdana" w:cs="Arial"/>
          <w:color w:val="000000"/>
          <w:vertAlign w:val="superscript"/>
          <w:lang w:val="es-ES"/>
        </w:rPr>
        <w:footnoteReference w:id="34"/>
      </w:r>
      <w:r w:rsidRPr="00BE4AA0">
        <w:rPr>
          <w:rFonts w:ascii="Verdana" w:eastAsia="Times New Roman" w:hAnsi="Verdana" w:cs="Arial"/>
          <w:color w:val="000000"/>
          <w:lang w:val="es-ES"/>
        </w:rPr>
        <w:t>. En armonía con lo anterior, la doctrina ha definido la liquidación de la siguiente manera:</w:t>
      </w:r>
    </w:p>
    <w:p w14:paraId="6E1F29AE" w14:textId="77777777" w:rsidR="0027006C" w:rsidRPr="00BE4AA0" w:rsidRDefault="0027006C" w:rsidP="00817137">
      <w:pPr>
        <w:spacing w:after="0" w:line="240" w:lineRule="auto"/>
        <w:jc w:val="both"/>
        <w:rPr>
          <w:rFonts w:ascii="Verdana" w:eastAsia="Times New Roman" w:hAnsi="Verdana" w:cs="Arial"/>
          <w:color w:val="000000"/>
          <w:lang w:val="es-ES_tradnl"/>
        </w:rPr>
      </w:pPr>
    </w:p>
    <w:p w14:paraId="3C8EDF17" w14:textId="77777777" w:rsidR="0027006C" w:rsidRPr="00BE4AA0" w:rsidRDefault="0027006C" w:rsidP="00817137">
      <w:pPr>
        <w:spacing w:after="0" w:line="240" w:lineRule="auto"/>
        <w:ind w:left="709" w:right="758"/>
        <w:jc w:val="both"/>
        <w:rPr>
          <w:rFonts w:ascii="Verdana" w:eastAsia="Times New Roman" w:hAnsi="Verdana" w:cs="Arial"/>
          <w:sz w:val="20"/>
          <w:szCs w:val="20"/>
          <w:lang w:val="es-MX"/>
        </w:rPr>
      </w:pPr>
      <w:r w:rsidRPr="00BE4AA0">
        <w:rPr>
          <w:rFonts w:ascii="Verdana" w:eastAsia="Times New Roman" w:hAnsi="Verdana" w:cs="Arial"/>
          <w:i/>
          <w:iCs/>
          <w:color w:val="000000"/>
          <w:sz w:val="20"/>
          <w:szCs w:val="20"/>
          <w:lang w:val="es-ES_tradnl"/>
        </w:rPr>
        <w:t>“</w:t>
      </w:r>
      <w:r w:rsidRPr="00BE4AA0">
        <w:rPr>
          <w:rFonts w:ascii="Verdana" w:eastAsia="Times New Roman" w:hAnsi="Verdana" w:cs="Arial"/>
          <w:sz w:val="20"/>
          <w:szCs w:val="20"/>
          <w:lang w:val="es-MX"/>
        </w:rPr>
        <w:t xml:space="preserve">[…] la liquidación del contrato estatal corresponde al arreglo o ajuste económico, técnico y jurídico al que se llega de forma bilateral (por las partes del negocio), unilateralmente (por la administración), por el juez o por el árbitro, según el caso, para determinar el estado final de la relación contractual, no solo en cuento al cumplimiento del objeto acordado y al 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w:t>
      </w:r>
      <w:proofErr w:type="spellStart"/>
      <w:r w:rsidRPr="00BE4AA0">
        <w:rPr>
          <w:rFonts w:ascii="Verdana" w:eastAsia="Times New Roman" w:hAnsi="Verdana" w:cs="Arial"/>
          <w:sz w:val="20"/>
          <w:szCs w:val="20"/>
          <w:lang w:val="es-MX"/>
        </w:rPr>
        <w:t>ii</w:t>
      </w:r>
      <w:proofErr w:type="spellEnd"/>
      <w:r w:rsidRPr="00BE4AA0">
        <w:rPr>
          <w:rFonts w:ascii="Verdana" w:eastAsia="Times New Roman" w:hAnsi="Verdana" w:cs="Arial"/>
          <w:sz w:val="20"/>
          <w:szCs w:val="20"/>
          <w:lang w:val="es-MX"/>
        </w:rPr>
        <w:t>) definir la situación jurídica de las partes, estableciendo si pueden constituirse o no a paz y salvo; lo que exige, en la práctica, que los negociantes dialoguen e intenten ponerse de acuerdo (aspecto subjetivo)”</w:t>
      </w:r>
      <w:r w:rsidRPr="00BE4AA0">
        <w:rPr>
          <w:rFonts w:ascii="Verdana" w:eastAsia="Times New Roman" w:hAnsi="Verdana" w:cs="Arial"/>
          <w:sz w:val="20"/>
          <w:szCs w:val="20"/>
          <w:vertAlign w:val="superscript"/>
          <w:lang w:val="es-MX"/>
        </w:rPr>
        <w:footnoteReference w:id="35"/>
      </w:r>
      <w:r w:rsidRPr="00BE4AA0">
        <w:rPr>
          <w:rFonts w:ascii="Verdana" w:eastAsia="Times New Roman" w:hAnsi="Verdana" w:cs="Arial"/>
          <w:sz w:val="20"/>
          <w:szCs w:val="20"/>
          <w:lang w:val="es-MX"/>
        </w:rPr>
        <w:t>.</w:t>
      </w:r>
    </w:p>
    <w:p w14:paraId="501137F7" w14:textId="77777777" w:rsidR="0027006C" w:rsidRPr="00BE4AA0" w:rsidRDefault="0027006C" w:rsidP="00817137">
      <w:pPr>
        <w:spacing w:after="0" w:line="240" w:lineRule="auto"/>
        <w:jc w:val="both"/>
        <w:rPr>
          <w:rFonts w:ascii="Verdana" w:eastAsia="Times New Roman" w:hAnsi="Verdana" w:cs="Arial"/>
          <w:color w:val="000000"/>
          <w:sz w:val="20"/>
          <w:szCs w:val="20"/>
          <w:lang w:val="es-ES_tradnl"/>
        </w:rPr>
      </w:pPr>
    </w:p>
    <w:p w14:paraId="3F9CEAED" w14:textId="77777777" w:rsidR="0027006C" w:rsidRPr="00BE4AA0" w:rsidRDefault="0027006C" w:rsidP="00817137">
      <w:pPr>
        <w:spacing w:after="120" w:line="240" w:lineRule="auto"/>
        <w:ind w:firstLine="709"/>
        <w:jc w:val="both"/>
        <w:rPr>
          <w:rFonts w:ascii="Verdana" w:eastAsia="Times New Roman" w:hAnsi="Verdana" w:cs="Arial"/>
          <w:color w:val="000000"/>
          <w:sz w:val="21"/>
          <w:szCs w:val="21"/>
          <w:lang w:val="es-ES_tradnl" w:eastAsia="es-ES_tradnl"/>
        </w:rPr>
      </w:pPr>
      <w:r w:rsidRPr="00BE4AA0">
        <w:rPr>
          <w:rFonts w:ascii="Verdana" w:eastAsia="Times New Roman" w:hAnsi="Verdana" w:cs="Arial"/>
          <w:color w:val="000000"/>
          <w:szCs w:val="24"/>
          <w:lang w:val="es-ES_tradnl" w:eastAsia="es-ES_tradnl"/>
        </w:rPr>
        <w:lastRenderedPageBreak/>
        <w:t xml:space="preserve">Según la jurisprudencia,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BE4AA0">
        <w:rPr>
          <w:rFonts w:ascii="Verdana" w:eastAsia="Times New Roman" w:hAnsi="Verdana" w:cs="Arial"/>
          <w:i/>
          <w:iCs/>
          <w:color w:val="000000"/>
          <w:szCs w:val="24"/>
          <w:lang w:val="es-ES_tradnl" w:eastAsia="es-ES_tradnl"/>
        </w:rPr>
        <w:t>liquidar</w:t>
      </w:r>
      <w:r w:rsidRPr="00BE4AA0">
        <w:rPr>
          <w:rFonts w:ascii="Verdana" w:eastAsia="Times New Roman" w:hAnsi="Verdana" w:cs="Arial"/>
          <w:color w:val="000000"/>
          <w:szCs w:val="24"/>
          <w:lang w:val="es-ES_tradnl" w:eastAsia="es-ES_tradnl"/>
        </w:rPr>
        <w:t xml:space="preserve"> supone un ajuste en relación con las cuentas y el estado de cumplimiento del contrato estatal y, por el otro, que la </w:t>
      </w:r>
      <w:r w:rsidRPr="00BE4AA0">
        <w:rPr>
          <w:rFonts w:ascii="Verdana" w:eastAsia="Times New Roman" w:hAnsi="Verdana" w:cs="Arial"/>
          <w:i/>
          <w:iCs/>
          <w:color w:val="000000"/>
          <w:szCs w:val="24"/>
          <w:lang w:val="es-ES_tradnl" w:eastAsia="es-ES_tradnl"/>
        </w:rPr>
        <w:t>liquidación</w:t>
      </w:r>
      <w:r w:rsidRPr="00BE4AA0">
        <w:rPr>
          <w:rFonts w:ascii="Verdana" w:eastAsia="Times New Roman" w:hAnsi="Verdana" w:cs="Arial"/>
          <w:color w:val="000000"/>
          <w:szCs w:val="24"/>
          <w:lang w:val="es-ES_tradnl" w:eastAsia="es-ES_tradnl"/>
        </w:rPr>
        <w:t xml:space="preserve"> debe incluir el análisis de las condiciones de calidad y oportunidad en la entrega de los bienes, obras o servicios, así como el balance económico y el comportamiento financiero del negocio</w:t>
      </w:r>
      <w:r w:rsidRPr="00BE4AA0">
        <w:rPr>
          <w:rFonts w:ascii="Verdana" w:eastAsia="Times New Roman" w:hAnsi="Verdana" w:cs="Arial"/>
          <w:color w:val="000000"/>
          <w:szCs w:val="24"/>
          <w:vertAlign w:val="superscript"/>
          <w:lang w:val="es-ES_tradnl" w:eastAsia="es-ES_tradnl"/>
        </w:rPr>
        <w:footnoteReference w:id="36"/>
      </w:r>
      <w:r w:rsidRPr="00BE4AA0">
        <w:rPr>
          <w:rFonts w:ascii="Verdana" w:eastAsia="Times New Roman" w:hAnsi="Verdana" w:cs="Arial"/>
          <w:color w:val="000000"/>
          <w:szCs w:val="24"/>
          <w:lang w:val="es-ES_tradnl" w:eastAsia="es-ES_tradnl"/>
        </w:rPr>
        <w:t xml:space="preserve">. </w:t>
      </w:r>
    </w:p>
    <w:p w14:paraId="01ED6B08" w14:textId="77777777" w:rsidR="0027006C" w:rsidRPr="00BE4AA0" w:rsidRDefault="0027006C" w:rsidP="00817137">
      <w:pPr>
        <w:spacing w:after="0" w:line="240" w:lineRule="auto"/>
        <w:ind w:firstLine="709"/>
        <w:jc w:val="both"/>
        <w:rPr>
          <w:rFonts w:ascii="Verdana" w:eastAsia="Times New Roman" w:hAnsi="Verdana" w:cs="Arial"/>
          <w:color w:val="000000"/>
          <w:lang w:val="es-ES_tradnl"/>
        </w:rPr>
      </w:pPr>
      <w:r w:rsidRPr="00BE4AA0">
        <w:rPr>
          <w:rFonts w:ascii="Verdana" w:eastAsia="Times New Roman" w:hAnsi="Verdana" w:cs="Arial"/>
          <w:color w:val="000000"/>
          <w:lang w:val="es-ES_tradnl"/>
        </w:rPr>
        <w:t>Las disposiciones legales que regulan la etapa de liquidación de los contratos estatales son el artículo 60 de la Ley 80 de 1993, modificado por el artículo 217 del Decreto 019 de 2012, y el artículo 11 de la Ley 1150 de 2007. El primero de estos artículos se refiere al alcance sustantivo de la liquidación y los contratos en que procede, mientras que el segundo contiene reglas procedimentales para su realización. En relación con el artículo 60 referido, la doctrina ha indicado que:</w:t>
      </w:r>
    </w:p>
    <w:p w14:paraId="0C2FB8B9" w14:textId="77777777" w:rsidR="0027006C" w:rsidRPr="00BE4AA0" w:rsidRDefault="0027006C" w:rsidP="00817137">
      <w:pPr>
        <w:spacing w:after="0" w:line="240" w:lineRule="auto"/>
        <w:ind w:firstLine="708"/>
        <w:jc w:val="both"/>
        <w:rPr>
          <w:rFonts w:ascii="Verdana" w:eastAsia="Times New Roman" w:hAnsi="Verdana" w:cs="Arial"/>
          <w:lang w:val="es-ES"/>
        </w:rPr>
      </w:pPr>
    </w:p>
    <w:p w14:paraId="1DCE4822" w14:textId="77777777" w:rsidR="0027006C" w:rsidRPr="00BE4AA0" w:rsidRDefault="0027006C" w:rsidP="00817137">
      <w:pPr>
        <w:spacing w:after="0" w:line="240" w:lineRule="auto"/>
        <w:ind w:left="709" w:right="758"/>
        <w:jc w:val="both"/>
        <w:rPr>
          <w:rFonts w:ascii="Verdana" w:eastAsia="Times New Roman" w:hAnsi="Verdana" w:cs="Arial"/>
          <w:sz w:val="20"/>
          <w:szCs w:val="20"/>
          <w:lang w:val="es-MX"/>
        </w:rPr>
      </w:pPr>
      <w:r w:rsidRPr="00BE4AA0">
        <w:rPr>
          <w:rFonts w:ascii="Verdana" w:eastAsia="Times New Roman" w:hAnsi="Verdana" w:cs="Arial"/>
          <w:sz w:val="20"/>
          <w:szCs w:val="20"/>
          <w:lang w:val="es-ES"/>
        </w:rPr>
        <w:t>“</w:t>
      </w:r>
      <w:r w:rsidRPr="00BE4AA0">
        <w:rPr>
          <w:rFonts w:ascii="Verdana" w:eastAsia="Times New Roman" w:hAnsi="Verdana" w:cs="Arial"/>
          <w:sz w:val="20"/>
          <w:szCs w:val="20"/>
          <w:lang w:val="es-MX"/>
        </w:rPr>
        <w:t>La ley 80 de 1993 […] dispuso en el artículo 60 que serían objeto de liquidación todos los contratos de tracto sucesivo, entendiendo por estos los de ejecución y cumplimiento prolongados en el tiempo, así como los demás que lo requieran –que son generalmente aquellos de ejecución instantánea en los que la misma se ha extendido temporalmente–, etapa en la cual las partes debían acordar los ajustes, revisiones y reconocimientos a que hubiera lugar, y que el contenido de la misma debía reflejar ‘los acuerdos, conciliaciones y transacciones a que llegaren las partes para poner fin a las divergencias presentadas y poder declararse a paz y salvo’”</w:t>
      </w:r>
      <w:r w:rsidRPr="00BE4AA0">
        <w:rPr>
          <w:rFonts w:ascii="Verdana" w:eastAsia="Times New Roman" w:hAnsi="Verdana" w:cs="Arial"/>
          <w:sz w:val="20"/>
          <w:szCs w:val="20"/>
          <w:vertAlign w:val="superscript"/>
          <w:lang w:val="es-MX"/>
        </w:rPr>
        <w:footnoteReference w:id="37"/>
      </w:r>
      <w:r w:rsidRPr="00BE4AA0">
        <w:rPr>
          <w:rFonts w:ascii="Verdana" w:eastAsia="Times New Roman" w:hAnsi="Verdana" w:cs="Arial"/>
          <w:sz w:val="20"/>
          <w:szCs w:val="20"/>
          <w:lang w:val="es-MX"/>
        </w:rPr>
        <w:t>.</w:t>
      </w:r>
    </w:p>
    <w:p w14:paraId="0DB2104B" w14:textId="77777777" w:rsidR="0027006C" w:rsidRPr="00BE4AA0" w:rsidRDefault="0027006C" w:rsidP="00817137">
      <w:pPr>
        <w:spacing w:after="0" w:line="240" w:lineRule="auto"/>
        <w:ind w:left="709" w:right="758"/>
        <w:jc w:val="both"/>
        <w:rPr>
          <w:rFonts w:ascii="Verdana" w:eastAsia="Times New Roman" w:hAnsi="Verdana" w:cs="Arial"/>
          <w:sz w:val="20"/>
          <w:szCs w:val="20"/>
          <w:lang w:val="es-MX"/>
        </w:rPr>
      </w:pPr>
    </w:p>
    <w:p w14:paraId="0327D093" w14:textId="77777777" w:rsidR="0027006C" w:rsidRDefault="0027006C" w:rsidP="00817137">
      <w:pPr>
        <w:spacing w:after="120" w:line="240" w:lineRule="auto"/>
        <w:ind w:firstLine="709"/>
        <w:jc w:val="both"/>
        <w:rPr>
          <w:rFonts w:ascii="Verdana" w:eastAsia="Times New Roman" w:hAnsi="Verdana" w:cs="Arial"/>
          <w:color w:val="000000"/>
          <w:lang w:val="es-ES_tradnl"/>
        </w:rPr>
      </w:pPr>
      <w:r w:rsidRPr="00BE4AA0">
        <w:rPr>
          <w:rFonts w:ascii="Verdana" w:eastAsia="Times New Roman" w:hAnsi="Verdana" w:cs="Arial"/>
          <w:color w:val="000000"/>
          <w:lang w:val="es-MX"/>
        </w:rPr>
        <w:t xml:space="preserve">De </w:t>
      </w:r>
      <w:r w:rsidRPr="00BE4AA0">
        <w:rPr>
          <w:rFonts w:ascii="Verdana" w:eastAsia="Times New Roman" w:hAnsi="Verdana" w:cs="Arial"/>
          <w:color w:val="000000"/>
          <w:lang w:val="es-ES_tradnl"/>
        </w:rPr>
        <w:t xml:space="preserve">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Adicionalmente, en los contratos las entidades estatales deben definir la oportunidad y forma de recibir el objeto </w:t>
      </w:r>
      <w:r w:rsidRPr="00BE4AA0">
        <w:rPr>
          <w:rFonts w:ascii="Verdana" w:eastAsia="Times New Roman" w:hAnsi="Verdana" w:cs="Arial"/>
          <w:color w:val="000000"/>
          <w:lang w:val="es-ES_tradnl"/>
        </w:rPr>
        <w:lastRenderedPageBreak/>
        <w:t>contratado y, en cada caso, si un contrato requiere o no de liquidación, con arreglo a criterios tales como la naturaleza, objeto y plazo del contrato</w:t>
      </w:r>
      <w:r w:rsidRPr="00BE4AA0">
        <w:rPr>
          <w:rFonts w:ascii="Verdana" w:eastAsia="Times New Roman" w:hAnsi="Verdana" w:cs="Arial"/>
          <w:color w:val="000000"/>
          <w:vertAlign w:val="superscript"/>
          <w:lang w:val="es-ES_tradnl"/>
        </w:rPr>
        <w:footnoteReference w:id="38"/>
      </w:r>
      <w:r w:rsidRPr="00BE4AA0">
        <w:rPr>
          <w:rFonts w:ascii="Verdana" w:eastAsia="Times New Roman" w:hAnsi="Verdana" w:cs="Arial"/>
          <w:color w:val="000000"/>
          <w:lang w:val="es-ES_tradnl"/>
        </w:rPr>
        <w:t xml:space="preserve">, así como la probabilidad de que puedan surgir diferencias durante la ejecución del contrato; sin perjuicio de que, como se indicó, todos los contratos estatales de </w:t>
      </w:r>
      <w:r w:rsidRPr="00BE4AA0">
        <w:rPr>
          <w:rFonts w:ascii="Verdana" w:eastAsia="Times New Roman" w:hAnsi="Verdana" w:cs="Arial"/>
          <w:i/>
          <w:iCs/>
          <w:color w:val="000000"/>
          <w:lang w:val="es-ES_tradnl"/>
        </w:rPr>
        <w:t>tracto sucesivo</w:t>
      </w:r>
      <w:r w:rsidRPr="00BE4AA0">
        <w:rPr>
          <w:rFonts w:ascii="Verdana" w:eastAsia="Times New Roman" w:hAnsi="Verdana" w:cs="Arial"/>
          <w:color w:val="000000"/>
          <w:lang w:val="es-ES_tradnl"/>
        </w:rPr>
        <w:t xml:space="preserve"> o aquellos cuya ejecución se prolongue en el tiempo siempre deban liquidarse, convirtiéndose en estos contratos en una cláusula de la naturaleza, conforme a la clasificación prevista en el Código Civil.</w:t>
      </w:r>
    </w:p>
    <w:p w14:paraId="29793F87" w14:textId="77777777" w:rsidR="0027006C" w:rsidRPr="00754149" w:rsidRDefault="0027006C" w:rsidP="00817137">
      <w:pPr>
        <w:spacing w:after="120" w:line="240" w:lineRule="auto"/>
        <w:ind w:firstLine="709"/>
        <w:jc w:val="both"/>
        <w:rPr>
          <w:rFonts w:ascii="Verdana" w:eastAsia="Times New Roman" w:hAnsi="Verdana" w:cs="Arial"/>
          <w:color w:val="000000"/>
          <w:lang w:val="es-ES_tradnl"/>
        </w:rPr>
      </w:pPr>
      <w:r>
        <w:rPr>
          <w:rFonts w:ascii="Verdana" w:eastAsia="Times New Roman" w:hAnsi="Verdana" w:cs="Arial"/>
          <w:color w:val="000000"/>
          <w:lang w:val="es-ES_tradnl"/>
        </w:rPr>
        <w:t>Ahora bien, el</w:t>
      </w:r>
      <w:r w:rsidRPr="00BE4AA0">
        <w:rPr>
          <w:rFonts w:ascii="Verdana" w:eastAsia="Times New Roman" w:hAnsi="Verdana" w:cs="Arial"/>
          <w:color w:val="000000"/>
          <w:lang w:val="es-ES"/>
        </w:rPr>
        <w:t xml:space="preserve"> artículo 11 de la Ley 1150 de 2007 contiene las reglas de tipo procedimental para liquidar los contratos estatales, las cuales se pasan a explicar</w:t>
      </w:r>
      <w:r w:rsidRPr="00BE4AA0">
        <w:rPr>
          <w:rFonts w:ascii="Verdana" w:eastAsia="Times New Roman" w:hAnsi="Verdana" w:cs="Arial"/>
          <w:color w:val="000000"/>
          <w:vertAlign w:val="superscript"/>
          <w:lang w:val="es-ES"/>
        </w:rPr>
        <w:footnoteReference w:id="39"/>
      </w:r>
      <w:r w:rsidRPr="00BE4AA0">
        <w:rPr>
          <w:rFonts w:ascii="Verdana" w:eastAsia="Times New Roman" w:hAnsi="Verdana" w:cs="Arial"/>
          <w:color w:val="000000"/>
          <w:lang w:val="es-ES"/>
        </w:rPr>
        <w:t xml:space="preserve">. En primer lugar, en ejercicio de la autonomía de la voluntad y de conformidad con los criterios de la naturaleza, objeto y plazo del contrato, la entidad puede definir en el pliego de condiciones o en el contrato el plazo para efectuar la liquidación de mutuo acuerdo. En ausencia de pacto contractual, el artículo 11 de la Ley 1150 de 2007 prevé un término supletivo de 4 meses contados desde: i) el vencimiento del plazo previsto para la ejecución del contrato; </w:t>
      </w:r>
      <w:proofErr w:type="spellStart"/>
      <w:r w:rsidRPr="00BE4AA0">
        <w:rPr>
          <w:rFonts w:ascii="Verdana" w:eastAsia="Times New Roman" w:hAnsi="Verdana" w:cs="Arial"/>
          <w:color w:val="000000"/>
          <w:lang w:val="es-ES"/>
        </w:rPr>
        <w:t>ii</w:t>
      </w:r>
      <w:proofErr w:type="spellEnd"/>
      <w:r w:rsidRPr="00BE4AA0">
        <w:rPr>
          <w:rFonts w:ascii="Verdana" w:eastAsia="Times New Roman" w:hAnsi="Verdana" w:cs="Arial"/>
          <w:color w:val="000000"/>
          <w:lang w:val="es-ES"/>
        </w:rPr>
        <w:t xml:space="preserve">) la expedición del acto administrativo que ordene la terminación del contrato; o, </w:t>
      </w:r>
      <w:proofErr w:type="spellStart"/>
      <w:r w:rsidRPr="00BE4AA0">
        <w:rPr>
          <w:rFonts w:ascii="Verdana" w:eastAsia="Times New Roman" w:hAnsi="Verdana" w:cs="Arial"/>
          <w:color w:val="000000"/>
          <w:lang w:val="es-ES"/>
        </w:rPr>
        <w:t>iii</w:t>
      </w:r>
      <w:proofErr w:type="spellEnd"/>
      <w:r w:rsidRPr="00BE4AA0">
        <w:rPr>
          <w:rFonts w:ascii="Verdana" w:eastAsia="Times New Roman" w:hAnsi="Verdana" w:cs="Arial"/>
          <w:color w:val="000000"/>
          <w:lang w:val="es-ES"/>
        </w:rPr>
        <w:t>) la fecha del acuerdo que disponga la terminación del contrato.</w:t>
      </w:r>
    </w:p>
    <w:p w14:paraId="2B86EF02" w14:textId="77777777" w:rsidR="0027006C" w:rsidRPr="00BE4AA0" w:rsidRDefault="0027006C" w:rsidP="00817137">
      <w:pPr>
        <w:spacing w:after="120" w:line="240" w:lineRule="auto"/>
        <w:ind w:firstLine="709"/>
        <w:jc w:val="both"/>
        <w:rPr>
          <w:rFonts w:ascii="Verdana" w:eastAsia="Times New Roman" w:hAnsi="Verdana" w:cs="Arial"/>
          <w:lang w:val="es-ES_tradnl" w:eastAsia="es-ES_tradnl"/>
        </w:rPr>
      </w:pPr>
      <w:r w:rsidRPr="00BE4AA0">
        <w:rPr>
          <w:rFonts w:ascii="Verdana" w:eastAsia="Times New Roman" w:hAnsi="Verdana" w:cs="Arial"/>
          <w:szCs w:val="24"/>
          <w:lang w:val="es-ES_tradnl" w:eastAsia="es-ES_tradnl"/>
        </w:rPr>
        <w:t>El artículo 11 de la Ley 1150 de 2007 prescribe que la liquidación de mutuo acuerdo deberá realizar dentro del plazo previsto en “</w:t>
      </w:r>
      <w:r w:rsidRPr="00BE4AA0">
        <w:rPr>
          <w:rFonts w:ascii="Verdana" w:eastAsia="Times New Roman" w:hAnsi="Verdana" w:cs="Arial"/>
          <w:lang w:val="es-ES_tradnl" w:eastAsia="es-ES_tradnl"/>
        </w:rPr>
        <w:t>los pliegos de condiciones o sus equivalentes, o dentro del que acuerden las partes para el efecto”. Para dilucidar a qué se refiere la norma con “equivalentes” resulta necesario tener presente que el pliego de condiciones es un documento contentivo de las reglas aplicables a un determinado proceso de selección, que “</w:t>
      </w:r>
      <w:r w:rsidRPr="00BE4AA0">
        <w:rPr>
          <w:rFonts w:ascii="Verdana" w:eastAsia="Times New Roman" w:hAnsi="Verdana" w:cs="Arial"/>
          <w:szCs w:val="24"/>
          <w:lang w:val="es-ES_tradnl" w:eastAsia="es-ES_tradnl"/>
        </w:rPr>
        <w:t xml:space="preserve">materializa los principios de planeación contractual y de trasparencia, comoquiera que su adecuada formulación permite o garantiza la selección objetiva del contratista de acuerdo </w:t>
      </w:r>
      <w:r w:rsidRPr="00BE4AA0">
        <w:rPr>
          <w:rFonts w:ascii="Verdana" w:eastAsia="Times New Roman" w:hAnsi="Verdana" w:cs="Arial"/>
          <w:szCs w:val="24"/>
          <w:lang w:val="es-ES_tradnl" w:eastAsia="es-ES_tradnl"/>
        </w:rPr>
        <w:lastRenderedPageBreak/>
        <w:t>con los parámetros de calificación correspondientes para cada tipo de procedimiento [y que</w:t>
      </w:r>
      <w:r w:rsidRPr="00BE4AA0">
        <w:rPr>
          <w:rFonts w:ascii="Verdana" w:eastAsia="Times New Roman" w:hAnsi="Verdana" w:cs="Arial"/>
          <w:lang w:val="es-ES_tradnl" w:eastAsia="es-ES_tradnl"/>
        </w:rPr>
        <w:t>] constituye la ley tanto del procedimiento administrativo de selección del contratista, como del contrato a</w:t>
      </w:r>
      <w:r w:rsidRPr="00BE4AA0">
        <w:rPr>
          <w:rFonts w:ascii="Verdana" w:eastAsia="Times New Roman" w:hAnsi="Verdana" w:cs="Arial"/>
          <w:spacing w:val="-7"/>
          <w:lang w:val="es-ES_tradnl" w:eastAsia="es-ES_tradnl"/>
        </w:rPr>
        <w:t xml:space="preserve"> </w:t>
      </w:r>
      <w:r w:rsidRPr="00BE4AA0">
        <w:rPr>
          <w:rFonts w:ascii="Verdana" w:eastAsia="Times New Roman" w:hAnsi="Verdana" w:cs="Arial"/>
          <w:lang w:val="es-ES_tradnl" w:eastAsia="es-ES_tradnl"/>
        </w:rPr>
        <w:t>celebrar”</w:t>
      </w:r>
      <w:r w:rsidRPr="00BE4AA0">
        <w:rPr>
          <w:rFonts w:ascii="Verdana" w:eastAsia="Times New Roman" w:hAnsi="Verdana" w:cs="Arial"/>
          <w:vertAlign w:val="superscript"/>
          <w:lang w:val="es-ES_tradnl" w:eastAsia="es-ES_tradnl"/>
        </w:rPr>
        <w:footnoteReference w:id="40"/>
      </w:r>
      <w:r w:rsidRPr="00BE4AA0">
        <w:rPr>
          <w:rFonts w:ascii="Verdana" w:eastAsia="Times New Roman" w:hAnsi="Verdana" w:cs="Arial"/>
          <w:lang w:val="es-ES_tradnl" w:eastAsia="es-ES_tradnl"/>
        </w:rPr>
        <w:t>. A partir de tales características debe determinarse la equivalencia de un documento con un pliego de condiciones, la cual puede ejemplificarse con la invitación a participar en los procesos de mínima cuantía</w:t>
      </w:r>
      <w:r w:rsidRPr="00BE4AA0">
        <w:rPr>
          <w:rFonts w:ascii="Verdana" w:eastAsia="Times New Roman" w:hAnsi="Verdana" w:cs="Arial"/>
          <w:vertAlign w:val="superscript"/>
          <w:lang w:val="es-ES_tradnl" w:eastAsia="es-ES_tradnl"/>
        </w:rPr>
        <w:footnoteReference w:id="41"/>
      </w:r>
      <w:r w:rsidRPr="00BE4AA0">
        <w:rPr>
          <w:rFonts w:ascii="Verdana" w:eastAsia="Times New Roman" w:hAnsi="Verdana" w:cs="Arial"/>
          <w:lang w:val="es-ES_tradnl" w:eastAsia="es-ES_tradnl"/>
        </w:rPr>
        <w:t xml:space="preserve">, documento dentro del cual la entidad contratante debe fijar las reglas aplicables al procedimiento de selección, cumpliendo con la función del pliego de condiciones. En tal sentido, es un documento “equivalente” del mismo en los términos del artículo 11 </w:t>
      </w:r>
      <w:r w:rsidRPr="00BE4AA0">
        <w:rPr>
          <w:rFonts w:ascii="Verdana" w:eastAsia="Times New Roman" w:hAnsi="Verdana" w:cs="Arial"/>
          <w:i/>
          <w:iCs/>
          <w:lang w:val="es-ES_tradnl" w:eastAsia="es-ES_tradnl"/>
        </w:rPr>
        <w:t>ibidem</w:t>
      </w:r>
      <w:r w:rsidRPr="00BE4AA0">
        <w:rPr>
          <w:rFonts w:ascii="Verdana" w:eastAsia="Times New Roman" w:hAnsi="Verdana" w:cs="Arial"/>
          <w:lang w:val="es-ES_tradnl" w:eastAsia="es-ES_tradnl"/>
        </w:rPr>
        <w:t xml:space="preserve">, dentro del cual es viable establecer el plazo para la liquidación de mutuo acuerdo. </w:t>
      </w:r>
    </w:p>
    <w:p w14:paraId="728BE119" w14:textId="77777777" w:rsidR="0027006C" w:rsidRPr="00BE4AA0" w:rsidRDefault="0027006C" w:rsidP="00817137">
      <w:pPr>
        <w:spacing w:after="120" w:line="240" w:lineRule="auto"/>
        <w:ind w:firstLine="709"/>
        <w:jc w:val="both"/>
        <w:rPr>
          <w:rFonts w:ascii="Verdana" w:eastAsia="Times New Roman" w:hAnsi="Verdana" w:cs="Arial"/>
          <w:lang w:val="es-ES" w:eastAsia="es-ES"/>
        </w:rPr>
      </w:pPr>
      <w:r w:rsidRPr="00BE4AA0">
        <w:rPr>
          <w:rFonts w:ascii="Verdana" w:eastAsia="Times New Roman" w:hAnsi="Verdana" w:cs="Arial"/>
          <w:lang w:val="es-ES" w:eastAsia="es-ES"/>
        </w:rPr>
        <w:t>De otra parte, cuando el artículo 11 de la Ley 1150 de 2007 se refiere al término que “acuerden las partes” para efectos de la liquidación de mutuo acuerdo, claramente, está habilitando a las partes para que, en ejercicio de la autonomía de la voluntad que les asiste, prevean, de común acuerdo, un plazo para la liquidación bilateral, el cual, en principio, debe estar recogido en el contrato, al ser este el acto jurídico bilateral en el que se consigna originalmente la voluntad de las partes. Sin embargo, cabe la posibilidad de que en el contrato inicialmente suscrito no se haya previsto un acuerdo para la liquidación bilateral. Este hecho no impide que, en el marco de la ejecución del contrato, las partes acuerden fijar el referido plazo; acuerdo que, en tanto significa una alteración de las reglas que orientan la relación contractual, implica una modificación del contrato. Por tal razón, su celebración debe cumplir con los requisitos del negocio jurídico, ameritando la concurrencia de capacidad jurídica de los agentes, un consentimiento libre de vicios, un objeto y causa lícita, así como la formalidad escrita requerida en materia de contratación estatal</w:t>
      </w:r>
      <w:r w:rsidRPr="00BE4AA0">
        <w:rPr>
          <w:rFonts w:ascii="Verdana" w:eastAsia="Times New Roman" w:hAnsi="Verdana" w:cs="Arial"/>
          <w:vertAlign w:val="superscript"/>
          <w:lang w:val="es-ES" w:eastAsia="es-ES"/>
        </w:rPr>
        <w:footnoteReference w:id="42"/>
      </w:r>
      <w:r w:rsidRPr="00BE4AA0">
        <w:rPr>
          <w:rFonts w:ascii="Verdana" w:eastAsia="Times New Roman" w:hAnsi="Verdana" w:cs="Arial"/>
          <w:lang w:val="es-ES" w:eastAsia="es-ES"/>
        </w:rPr>
        <w:t xml:space="preserve">. </w:t>
      </w:r>
    </w:p>
    <w:p w14:paraId="7B477B92" w14:textId="77777777" w:rsidR="0027006C" w:rsidRPr="00BE4AA0" w:rsidRDefault="0027006C" w:rsidP="00817137">
      <w:pPr>
        <w:spacing w:after="120" w:line="240" w:lineRule="auto"/>
        <w:ind w:firstLine="709"/>
        <w:jc w:val="both"/>
        <w:rPr>
          <w:rFonts w:ascii="Verdana" w:eastAsia="Times New Roman" w:hAnsi="Verdana" w:cs="Arial"/>
          <w:lang w:val="es-ES"/>
        </w:rPr>
      </w:pPr>
      <w:r w:rsidRPr="00BE4AA0">
        <w:rPr>
          <w:rFonts w:ascii="Verdana" w:eastAsia="Times New Roman" w:hAnsi="Verdana" w:cs="Arial"/>
          <w:lang w:val="es-ES"/>
        </w:rPr>
        <w:lastRenderedPageBreak/>
        <w:t>Ahora bien, el término de 4 meses previsto en el artículo 11 de la Ley 1150 de 2007, dado su carácter supletivo, solo resulta aplicable ante la ausencia de regulación de este en el pliego de condiciones –documento equivalente– o acuerdo entre las partes en torno al plazo de liquidación bilateral. Por lo tanto, las partes, en desarrollo de la autonomía de la voluntad que les asiste, están habilitadas para pactar un término diferente, el cual puede ser inferior o incluso superior al plazo supletivo, ante la ausencia de una prohibición normativa al respecto, y ante la existencia, en cambio, de habilitación legal. Sobre este punto, no debe perderse de vista que las actuaciones contractuales regidas por el Estatuto General de Contratación de la Administración pública están sometidas a los principios de la función administrativa</w:t>
      </w:r>
      <w:r w:rsidRPr="00BE4AA0">
        <w:rPr>
          <w:rFonts w:ascii="Verdana" w:eastAsia="Times New Roman" w:hAnsi="Verdana" w:cs="Arial"/>
          <w:vertAlign w:val="superscript"/>
          <w:lang w:val="es-ES"/>
        </w:rPr>
        <w:footnoteReference w:id="43"/>
      </w:r>
      <w:r w:rsidRPr="00BE4AA0">
        <w:rPr>
          <w:rFonts w:ascii="Verdana" w:eastAsia="Times New Roman" w:hAnsi="Verdana" w:cs="Arial"/>
          <w:lang w:val="es-ES"/>
        </w:rPr>
        <w:t>, lo cual implica que las mismas se desarrollen en procura de la economía y la celeridad</w:t>
      </w:r>
      <w:r w:rsidRPr="00BE4AA0">
        <w:rPr>
          <w:rFonts w:ascii="Verdana" w:eastAsia="Times New Roman" w:hAnsi="Verdana" w:cs="Arial"/>
          <w:vertAlign w:val="superscript"/>
          <w:lang w:val="es-ES"/>
        </w:rPr>
        <w:footnoteReference w:id="44"/>
      </w:r>
      <w:r w:rsidRPr="00BE4AA0">
        <w:rPr>
          <w:rFonts w:ascii="Verdana" w:eastAsia="Times New Roman" w:hAnsi="Verdana" w:cs="Arial"/>
          <w:lang w:val="es-ES"/>
        </w:rPr>
        <w:t>. Esto significa que, en ejercicio de la facultad que les asiste para fijar el plazo para la liquidación bilateral, las partes deben actuar en garantía de estos principios, por lo que el término que se acuerde debe fijarse de manera razonable.</w:t>
      </w:r>
    </w:p>
    <w:p w14:paraId="005C7F76" w14:textId="77777777" w:rsidR="0027006C" w:rsidRPr="00BE4AA0" w:rsidRDefault="0027006C" w:rsidP="00817137">
      <w:pPr>
        <w:spacing w:after="0" w:line="240" w:lineRule="auto"/>
        <w:ind w:firstLine="709"/>
        <w:jc w:val="both"/>
        <w:rPr>
          <w:rFonts w:ascii="Verdana" w:eastAsia="Times New Roman" w:hAnsi="Verdana" w:cs="Arial"/>
          <w:color w:val="000000"/>
          <w:lang w:val="es-ES_tradnl"/>
        </w:rPr>
      </w:pPr>
      <w:r w:rsidRPr="00BE4AA0">
        <w:rPr>
          <w:rFonts w:ascii="Verdana" w:eastAsia="Times New Roman" w:hAnsi="Verdana" w:cs="Arial"/>
          <w:color w:val="000000"/>
          <w:lang w:val="es-ES_tradnl"/>
        </w:rPr>
        <w:t>Durante este término, el contratista puede solicitar que se adelante el trámite de liquidación. Sin embargo, es responsabilidad de la entidad estatal convocarlo para adelantar la liquidación de común acuerdo o notificarlo para que se presente a realizarla</w:t>
      </w:r>
      <w:r w:rsidRPr="00BE4AA0">
        <w:rPr>
          <w:rFonts w:ascii="Verdana" w:eastAsia="Times New Roman" w:hAnsi="Verdana" w:cs="Arial"/>
          <w:color w:val="000000"/>
          <w:vertAlign w:val="superscript"/>
          <w:lang w:val="es-ES_tradnl"/>
        </w:rPr>
        <w:footnoteReference w:id="45"/>
      </w:r>
      <w:r w:rsidRPr="00BE4AA0">
        <w:rPr>
          <w:rFonts w:ascii="Verdana" w:eastAsia="Times New Roman" w:hAnsi="Verdana" w:cs="Arial"/>
          <w:color w:val="000000"/>
          <w:lang w:val="es-ES_tradnl"/>
        </w:rPr>
        <w:t>, de manera que el contrato pueda liquidarse bilateralmente, bien sea en el plazo previsto en el pliego de condiciones, el acordado por las partes, o el supletivo de cuatro meses dispuesto en la ley, según corresponda. Esta liquidación bilateral puede ser total o parcial</w:t>
      </w:r>
      <w:r w:rsidRPr="00BE4AA0">
        <w:rPr>
          <w:rFonts w:ascii="Verdana" w:eastAsia="Times New Roman" w:hAnsi="Verdana" w:cs="Arial"/>
          <w:iCs/>
          <w:color w:val="000000"/>
          <w:vertAlign w:val="superscript"/>
          <w:lang w:val="es-ES_tradnl"/>
        </w:rPr>
        <w:footnoteReference w:id="46"/>
      </w:r>
      <w:r w:rsidRPr="00BE4AA0">
        <w:rPr>
          <w:rFonts w:ascii="Verdana" w:eastAsia="Times New Roman" w:hAnsi="Verdana" w:cs="Arial"/>
          <w:color w:val="000000"/>
          <w:lang w:val="es-ES_tradnl"/>
        </w:rPr>
        <w:t xml:space="preserve">, y </w:t>
      </w:r>
      <w:r w:rsidRPr="00BE4AA0">
        <w:rPr>
          <w:rFonts w:ascii="Verdana" w:eastAsia="Times New Roman" w:hAnsi="Verdana" w:cs="Arial"/>
          <w:iCs/>
          <w:color w:val="000000"/>
          <w:lang w:val="es-ES_tradnl"/>
        </w:rPr>
        <w:t xml:space="preserve">el documento que la contiene presta mérito ejecutivo, siempre que se satisfagan </w:t>
      </w:r>
      <w:r w:rsidRPr="00BE4AA0">
        <w:rPr>
          <w:rFonts w:ascii="Verdana" w:eastAsia="Times New Roman" w:hAnsi="Verdana" w:cs="Arial"/>
          <w:iCs/>
          <w:color w:val="000000"/>
          <w:lang w:val="es-ES_tradnl"/>
        </w:rPr>
        <w:lastRenderedPageBreak/>
        <w:t>los elementos para considerarlo como tal</w:t>
      </w:r>
      <w:r w:rsidRPr="00BE4AA0">
        <w:rPr>
          <w:rFonts w:ascii="Verdana" w:eastAsia="Times New Roman" w:hAnsi="Verdana" w:cs="Arial"/>
          <w:color w:val="000000"/>
          <w:lang w:val="es-ES_tradnl"/>
        </w:rPr>
        <w:t xml:space="preserve">. </w:t>
      </w:r>
      <w:r w:rsidRPr="00BE4AA0">
        <w:rPr>
          <w:rFonts w:ascii="Verdana" w:eastAsia="Times New Roman" w:hAnsi="Verdana" w:cs="Arial"/>
          <w:color w:val="000000"/>
          <w:bdr w:val="none" w:sz="0" w:space="0" w:color="auto" w:frame="1"/>
          <w:shd w:val="clear" w:color="auto" w:fill="FFFFFF"/>
          <w:lang w:val="es-ES" w:eastAsia="es-ES_tradnl"/>
        </w:rPr>
        <w:t xml:space="preserve">Si no es posible efectuar la liquidación de manera bilateral, el ordenamiento jurídico prevé una facultad, de carácter subsidiario, para que la Entidad Estatal realice la liquidación unilateralmente. En relación con este aspecto, la </w:t>
      </w:r>
      <w:r w:rsidRPr="00BE4AA0">
        <w:rPr>
          <w:rFonts w:ascii="Verdana" w:eastAsia="Times New Roman" w:hAnsi="Verdana" w:cs="Arial"/>
          <w:color w:val="000000"/>
          <w:bdr w:val="none" w:sz="0" w:space="0" w:color="auto" w:frame="1"/>
          <w:shd w:val="clear" w:color="auto" w:fill="FFFFFF"/>
          <w:lang w:val="es-MX" w:eastAsia="es-ES_tradnl"/>
        </w:rPr>
        <w:t xml:space="preserve">Sala de Consulta y Servicio Civil del </w:t>
      </w:r>
      <w:r w:rsidRPr="00BE4AA0">
        <w:rPr>
          <w:rFonts w:ascii="Verdana" w:eastAsia="Times New Roman" w:hAnsi="Verdana" w:cs="Arial"/>
          <w:color w:val="000000"/>
          <w:bdr w:val="none" w:sz="0" w:space="0" w:color="auto" w:frame="1"/>
          <w:shd w:val="clear" w:color="auto" w:fill="FFFFFF"/>
          <w:lang w:val="es-ES" w:eastAsia="es-ES_tradnl"/>
        </w:rPr>
        <w:t>Consejo de Estado</w:t>
      </w:r>
      <w:r w:rsidRPr="00BE4AA0">
        <w:rPr>
          <w:rFonts w:ascii="Verdana" w:eastAsia="Times New Roman" w:hAnsi="Verdana" w:cs="Arial"/>
          <w:color w:val="000000"/>
          <w:bdr w:val="none" w:sz="0" w:space="0" w:color="auto" w:frame="1"/>
          <w:shd w:val="clear" w:color="auto" w:fill="FFFFFF"/>
          <w:lang w:val="es-MX" w:eastAsia="es-ES_tradnl"/>
        </w:rPr>
        <w:t>, en Concepto del 28 de junio de 2016, manifestó que:  </w:t>
      </w:r>
    </w:p>
    <w:p w14:paraId="7792893C" w14:textId="77777777" w:rsidR="0027006C" w:rsidRPr="00BE4AA0" w:rsidRDefault="0027006C" w:rsidP="00817137">
      <w:pPr>
        <w:spacing w:after="0" w:line="240" w:lineRule="auto"/>
        <w:ind w:left="705" w:right="750"/>
        <w:jc w:val="both"/>
        <w:rPr>
          <w:rFonts w:ascii="Verdana" w:eastAsia="Times New Roman" w:hAnsi="Verdana" w:cs="Arial"/>
          <w:color w:val="000000"/>
          <w:sz w:val="20"/>
          <w:szCs w:val="20"/>
          <w:lang w:eastAsia="es-ES_tradnl"/>
        </w:rPr>
      </w:pPr>
    </w:p>
    <w:p w14:paraId="4BA7CBEB" w14:textId="77777777" w:rsidR="0027006C" w:rsidRPr="00BE4AA0" w:rsidRDefault="0027006C" w:rsidP="00817137">
      <w:pPr>
        <w:spacing w:after="0" w:line="240" w:lineRule="auto"/>
        <w:ind w:left="705" w:right="750"/>
        <w:jc w:val="both"/>
        <w:rPr>
          <w:rFonts w:ascii="Verdana" w:eastAsia="Times New Roman" w:hAnsi="Verdana" w:cs="Arial"/>
          <w:color w:val="000000"/>
          <w:sz w:val="20"/>
          <w:szCs w:val="20"/>
          <w:lang w:eastAsia="es-ES_tradnl"/>
        </w:rPr>
      </w:pPr>
      <w:r w:rsidRPr="00BE4AA0">
        <w:rPr>
          <w:rFonts w:ascii="Verdana" w:eastAsia="Times New Roman" w:hAnsi="Verdana" w:cs="Arial"/>
          <w:i/>
          <w:iCs/>
          <w:sz w:val="20"/>
          <w:szCs w:val="20"/>
          <w:lang w:val="es-ES_tradnl" w:eastAsia="es-ES_tradnl"/>
        </w:rPr>
        <w:t>“</w:t>
      </w:r>
      <w:r w:rsidRPr="00BE4AA0">
        <w:rPr>
          <w:rFonts w:ascii="Verdana" w:eastAsia="Times New Roman" w:hAnsi="Verdana" w:cs="Arial"/>
          <w:color w:val="000000"/>
          <w:sz w:val="20"/>
          <w:szCs w:val="20"/>
          <w:lang w:val="es-ES" w:eastAsia="es-ES_tradnl"/>
        </w:rPr>
        <w:t>[</w:t>
      </w:r>
      <w:r w:rsidRPr="00BE4AA0">
        <w:rPr>
          <w:rFonts w:ascii="Verdana" w:eastAsia="Times New Roman" w:hAnsi="Verdana" w:cs="Arial"/>
          <w:color w:val="000000"/>
          <w:sz w:val="20"/>
          <w:szCs w:val="20"/>
          <w:bdr w:val="none" w:sz="0" w:space="0" w:color="auto" w:frame="1"/>
          <w:shd w:val="clear" w:color="auto" w:fill="FFFFFF"/>
          <w:lang w:eastAsia="es-ES_tradnl"/>
        </w:rPr>
        <w:t>…]</w:t>
      </w:r>
      <w:r w:rsidRPr="00BE4AA0">
        <w:rPr>
          <w:rFonts w:ascii="Verdana" w:eastAsia="Times New Roman" w:hAnsi="Verdana" w:cs="Arial"/>
          <w:color w:val="000000"/>
          <w:sz w:val="20"/>
          <w:szCs w:val="20"/>
          <w:bdr w:val="none" w:sz="0" w:space="0" w:color="auto" w:frame="1"/>
          <w:shd w:val="clear" w:color="auto" w:fill="FFFFFF"/>
          <w:lang w:val="es-ES" w:eastAsia="es-ES_tradnl"/>
        </w:rPr>
        <w:t>se debe tener en cuenta que la liquidación unilateral es subsidiaria o supletoria frente a la bilateral, dado que el contratista tiene derecho a acordar la liquidación, debidamente reconocido por el ordenamiento jurídico. Para tal efecto, el contratista debe ser convocado o citado por la entidad contratante con el fin de intentar la liquidación bilateral, puesto que en el supuesto caso de que no sea así, la (.liquidación unilateral posterior que llegase a practicar la administración resultaría inválida, dado que no tendría competencia material para hacerla y por cuanto su adopción con tal omisión vulneraría el derecho del contratista al debido proceso y sus corolarios de defensa y contradicción y, además, configuraría un abuso de poder”</w:t>
      </w:r>
      <w:r w:rsidRPr="00BE4AA0">
        <w:rPr>
          <w:rFonts w:ascii="Verdana" w:eastAsia="Times New Roman" w:hAnsi="Verdana" w:cs="Arial"/>
          <w:color w:val="000000"/>
          <w:sz w:val="20"/>
          <w:szCs w:val="20"/>
          <w:bdr w:val="none" w:sz="0" w:space="0" w:color="auto" w:frame="1"/>
          <w:shd w:val="clear" w:color="auto" w:fill="FFFFFF"/>
          <w:vertAlign w:val="superscript"/>
          <w:lang w:val="es-MX" w:eastAsia="es-ES_tradnl"/>
        </w:rPr>
        <w:footnoteReference w:id="47"/>
      </w:r>
      <w:r w:rsidRPr="00BE4AA0">
        <w:rPr>
          <w:rFonts w:ascii="Verdana" w:eastAsia="Times New Roman" w:hAnsi="Verdana" w:cs="Arial"/>
          <w:color w:val="000000"/>
          <w:sz w:val="20"/>
          <w:szCs w:val="20"/>
          <w:bdr w:val="none" w:sz="0" w:space="0" w:color="auto" w:frame="1"/>
          <w:shd w:val="clear" w:color="auto" w:fill="FFFFFF"/>
          <w:lang w:val="es-ES" w:eastAsia="es-ES_tradnl"/>
        </w:rPr>
        <w:t>. </w:t>
      </w:r>
      <w:r w:rsidRPr="00BE4AA0">
        <w:rPr>
          <w:rFonts w:ascii="Verdana" w:eastAsia="Times New Roman" w:hAnsi="Verdana" w:cs="Arial"/>
          <w:color w:val="000000"/>
          <w:sz w:val="20"/>
          <w:szCs w:val="20"/>
          <w:bdr w:val="none" w:sz="0" w:space="0" w:color="auto" w:frame="1"/>
          <w:shd w:val="clear" w:color="auto" w:fill="FFFFFF"/>
          <w:lang w:eastAsia="es-ES_tradnl"/>
        </w:rPr>
        <w:t>  </w:t>
      </w:r>
    </w:p>
    <w:p w14:paraId="7F46C7AA" w14:textId="77777777" w:rsidR="0027006C" w:rsidRPr="00BE4AA0" w:rsidRDefault="0027006C" w:rsidP="00817137">
      <w:pPr>
        <w:spacing w:after="0" w:line="240" w:lineRule="auto"/>
        <w:ind w:left="703" w:right="748"/>
        <w:jc w:val="both"/>
        <w:rPr>
          <w:rFonts w:ascii="Verdana" w:eastAsia="Times New Roman" w:hAnsi="Verdana" w:cs="Arial"/>
          <w:color w:val="000000"/>
          <w:lang w:eastAsia="es-ES_tradnl"/>
        </w:rPr>
      </w:pPr>
    </w:p>
    <w:p w14:paraId="5966C808" w14:textId="77777777" w:rsidR="0027006C" w:rsidRPr="00BE4AA0" w:rsidRDefault="0027006C" w:rsidP="00817137">
      <w:pPr>
        <w:spacing w:after="0" w:line="240" w:lineRule="auto"/>
        <w:ind w:firstLine="703"/>
        <w:jc w:val="both"/>
        <w:rPr>
          <w:rFonts w:ascii="Verdana" w:eastAsia="Times New Roman" w:hAnsi="Verdana" w:cs="Arial"/>
          <w:color w:val="000000"/>
          <w:bdr w:val="none" w:sz="0" w:space="0" w:color="auto" w:frame="1"/>
          <w:shd w:val="clear" w:color="auto" w:fill="FFFFFF"/>
          <w:lang w:val="es-ES_tradnl" w:eastAsia="es-ES_tradnl"/>
        </w:rPr>
      </w:pPr>
      <w:bookmarkStart w:id="14" w:name="_Hlk141851266"/>
      <w:r w:rsidRPr="00BE4AA0">
        <w:rPr>
          <w:rFonts w:ascii="Verdana" w:eastAsia="Times New Roman" w:hAnsi="Verdana" w:cs="Arial"/>
          <w:color w:val="000000"/>
          <w:bdr w:val="none" w:sz="0" w:space="0" w:color="auto" w:frame="1"/>
          <w:shd w:val="clear" w:color="auto" w:fill="FFFFFF"/>
          <w:lang w:val="es-ES" w:eastAsia="es-ES_tradnl"/>
        </w:rPr>
        <w:t xml:space="preserve">Si no se logra la liquidación bilateral del contrato, la entidad estatal tiene la facultad de liquidarlo unilateralmente dentro del término de 2 meses contados a partir del vencimiento del plazo que acuerden las partes para liquidar bilateralmente o, ante el silencio de estas, del vencimiento de los 4 meses supletivo establecido por la ley. En este sentido, la liquidación unilateral </w:t>
      </w:r>
      <w:r w:rsidRPr="00BE4AA0">
        <w:rPr>
          <w:rFonts w:ascii="Verdana" w:eastAsia="Times New Roman" w:hAnsi="Verdana" w:cs="Arial"/>
          <w:color w:val="000000"/>
          <w:bdr w:val="none" w:sz="0" w:space="0" w:color="auto" w:frame="1"/>
          <w:shd w:val="clear" w:color="auto" w:fill="FFFFFF"/>
          <w:lang w:val="es-ES_tradnl" w:eastAsia="es-ES_tradnl"/>
        </w:rPr>
        <w:t>es una habilitación legal que no requiere una estipulación contractual para ejercerla en los contratos estatales sometidos al EGCAP en que sea procedente</w:t>
      </w:r>
      <w:r w:rsidRPr="00BE4AA0">
        <w:rPr>
          <w:rFonts w:ascii="Verdana" w:eastAsia="Times New Roman" w:hAnsi="Verdana" w:cs="Arial"/>
          <w:color w:val="000000"/>
          <w:bdr w:val="none" w:sz="0" w:space="0" w:color="auto" w:frame="1"/>
          <w:shd w:val="clear" w:color="auto" w:fill="FFFFFF"/>
          <w:lang w:val="es-ES" w:eastAsia="es-ES_tradnl"/>
        </w:rPr>
        <w:t xml:space="preserve">, es decir, en </w:t>
      </w:r>
      <w:r w:rsidRPr="00BE4AA0">
        <w:rPr>
          <w:rFonts w:ascii="Verdana" w:eastAsia="Times New Roman" w:hAnsi="Verdana" w:cs="Arial"/>
          <w:color w:val="000000"/>
          <w:bdr w:val="none" w:sz="0" w:space="0" w:color="auto" w:frame="1"/>
          <w:shd w:val="clear" w:color="auto" w:fill="FFFFFF"/>
          <w:lang w:val="es-ES_tradnl" w:eastAsia="es-ES_tradnl"/>
        </w:rPr>
        <w:t>los contratos de tracto sucesivo, aquellos cuyo cumplimiento o ejecución se prolongue en el tiempo y los demás que lo requieran, conforme al artículo 60 de la Ley 80 de 1993.</w:t>
      </w:r>
      <w:r w:rsidRPr="00BE4AA0">
        <w:rPr>
          <w:rFonts w:ascii="Verdana" w:eastAsia="Times New Roman" w:hAnsi="Verdana" w:cs="Arial"/>
          <w:color w:val="000000"/>
          <w:bdr w:val="none" w:sz="0" w:space="0" w:color="auto" w:frame="1"/>
          <w:shd w:val="clear" w:color="auto" w:fill="FFFFFF"/>
          <w:lang w:val="es-ES" w:eastAsia="es-ES_tradnl"/>
        </w:rPr>
        <w:t xml:space="preserve"> De esta manera, liquidación unilateral es subsidiaria del intento de la liquidación bilateral, como manifestación de la garantía del debido proceso, puesto que la primera solo procede si el contratista particular no se presenta, previo requerimiento de la entidad, o si las partes no tienen un acuerdo sobre el contenido</w:t>
      </w:r>
      <w:r w:rsidRPr="00BE4AA0">
        <w:rPr>
          <w:rFonts w:ascii="Verdana" w:eastAsia="Times New Roman" w:hAnsi="Verdana" w:cs="Arial"/>
          <w:color w:val="000000"/>
          <w:bdr w:val="none" w:sz="0" w:space="0" w:color="auto" w:frame="1"/>
          <w:shd w:val="clear" w:color="auto" w:fill="FFFFFF"/>
          <w:vertAlign w:val="superscript"/>
          <w:lang w:val="es-ES" w:eastAsia="es-ES_tradnl"/>
        </w:rPr>
        <w:footnoteReference w:id="48"/>
      </w:r>
      <w:r w:rsidRPr="00BE4AA0">
        <w:rPr>
          <w:rFonts w:ascii="Verdana" w:eastAsia="Times New Roman" w:hAnsi="Verdana" w:cs="Arial"/>
          <w:color w:val="000000"/>
          <w:bdr w:val="none" w:sz="0" w:space="0" w:color="auto" w:frame="1"/>
          <w:shd w:val="clear" w:color="auto" w:fill="FFFFFF"/>
          <w:lang w:val="es-ES" w:eastAsia="es-ES_tradnl"/>
        </w:rPr>
        <w:t xml:space="preserve">. En efecto, la entidad expedirá un acto administrativo previamente motivado, que contenga la liquidación del contrato. Por otro lado, la doctrina señala que la liquidación unilateral también procede en otros supuestos: </w:t>
      </w:r>
    </w:p>
    <w:p w14:paraId="5714BDBC" w14:textId="77777777" w:rsidR="0027006C" w:rsidRPr="00BE4AA0" w:rsidRDefault="0027006C" w:rsidP="00817137">
      <w:pPr>
        <w:spacing w:after="0" w:line="240" w:lineRule="auto"/>
        <w:ind w:firstLine="703"/>
        <w:jc w:val="both"/>
        <w:rPr>
          <w:rFonts w:ascii="Verdana" w:eastAsia="Times New Roman" w:hAnsi="Verdana" w:cs="Arial"/>
          <w:color w:val="000000"/>
          <w:sz w:val="20"/>
          <w:szCs w:val="20"/>
          <w:bdr w:val="none" w:sz="0" w:space="0" w:color="auto" w:frame="1"/>
          <w:shd w:val="clear" w:color="auto" w:fill="FFFFFF"/>
          <w:lang w:val="es-ES" w:eastAsia="es-ES_tradnl"/>
        </w:rPr>
      </w:pPr>
    </w:p>
    <w:p w14:paraId="51BFC58A" w14:textId="77777777" w:rsidR="0027006C" w:rsidRPr="00BE4AA0" w:rsidRDefault="0027006C" w:rsidP="00817137">
      <w:pPr>
        <w:spacing w:after="0" w:line="240" w:lineRule="auto"/>
        <w:ind w:left="709" w:right="709"/>
        <w:jc w:val="both"/>
        <w:rPr>
          <w:rFonts w:ascii="Verdana" w:eastAsia="Times New Roman" w:hAnsi="Verdana" w:cs="Arial"/>
          <w:color w:val="000000"/>
          <w:sz w:val="20"/>
          <w:szCs w:val="20"/>
          <w:bdr w:val="none" w:sz="0" w:space="0" w:color="auto" w:frame="1"/>
          <w:shd w:val="clear" w:color="auto" w:fill="FFFFFF"/>
          <w:lang w:val="es-ES" w:eastAsia="es-ES_tradnl"/>
        </w:rPr>
      </w:pPr>
      <w:r w:rsidRPr="00BE4AA0">
        <w:rPr>
          <w:rFonts w:ascii="Verdana" w:eastAsia="Times New Roman" w:hAnsi="Verdana" w:cs="Arial"/>
          <w:color w:val="000000"/>
          <w:sz w:val="20"/>
          <w:szCs w:val="20"/>
          <w:bdr w:val="none" w:sz="0" w:space="0" w:color="auto" w:frame="1"/>
          <w:shd w:val="clear" w:color="auto" w:fill="FFFFFF"/>
          <w:lang w:val="es-ES" w:eastAsia="es-ES_tradnl"/>
        </w:rPr>
        <w:t xml:space="preserve">Incluso, la liquidación unilateral es subsidiaria de la bilateral cuando se procede la terminación anormal del contrato, por incumplimiento grave del contratista, que conduzca a la declaratoria de caducidad. Dentro de tal </w:t>
      </w:r>
      <w:r w:rsidRPr="00BE4AA0">
        <w:rPr>
          <w:rFonts w:ascii="Verdana" w:eastAsia="Times New Roman" w:hAnsi="Verdana" w:cs="Arial"/>
          <w:color w:val="000000"/>
          <w:sz w:val="20"/>
          <w:szCs w:val="20"/>
          <w:bdr w:val="none" w:sz="0" w:space="0" w:color="auto" w:frame="1"/>
          <w:shd w:val="clear" w:color="auto" w:fill="FFFFFF"/>
          <w:lang w:val="es-ES" w:eastAsia="es-ES_tradnl"/>
        </w:rPr>
        <w:lastRenderedPageBreak/>
        <w:t>supuesto, la liquidación del contrato estatal también puede sobrevenir como una consecuencia anticipada del incumplimiento del contratista […]</w:t>
      </w:r>
    </w:p>
    <w:p w14:paraId="450A1CB8" w14:textId="77777777" w:rsidR="0027006C" w:rsidRPr="00BE4AA0" w:rsidRDefault="0027006C" w:rsidP="00817137">
      <w:pPr>
        <w:spacing w:after="0" w:line="240" w:lineRule="auto"/>
        <w:ind w:left="709" w:right="709"/>
        <w:jc w:val="both"/>
        <w:rPr>
          <w:rFonts w:ascii="Verdana" w:eastAsia="Times New Roman" w:hAnsi="Verdana" w:cs="Arial"/>
          <w:color w:val="000000"/>
          <w:sz w:val="20"/>
          <w:szCs w:val="20"/>
          <w:bdr w:val="none" w:sz="0" w:space="0" w:color="auto" w:frame="1"/>
          <w:shd w:val="clear" w:color="auto" w:fill="FFFFFF"/>
          <w:lang w:val="es-ES" w:eastAsia="es-ES_tradnl"/>
        </w:rPr>
      </w:pPr>
    </w:p>
    <w:p w14:paraId="2FFC93AA" w14:textId="77777777" w:rsidR="0027006C" w:rsidRPr="00BE4AA0" w:rsidRDefault="0027006C" w:rsidP="00817137">
      <w:pPr>
        <w:spacing w:after="0" w:line="240" w:lineRule="auto"/>
        <w:ind w:left="709" w:right="709"/>
        <w:jc w:val="both"/>
        <w:rPr>
          <w:rFonts w:ascii="Verdana" w:eastAsia="Times New Roman" w:hAnsi="Verdana" w:cs="Arial"/>
          <w:color w:val="000000"/>
          <w:sz w:val="20"/>
          <w:szCs w:val="20"/>
          <w:bdr w:val="none" w:sz="0" w:space="0" w:color="auto" w:frame="1"/>
          <w:shd w:val="clear" w:color="auto" w:fill="FFFFFF"/>
          <w:lang w:val="es-ES" w:eastAsia="es-ES_tradnl"/>
        </w:rPr>
      </w:pPr>
      <w:r w:rsidRPr="00BE4AA0">
        <w:rPr>
          <w:rFonts w:ascii="Verdana" w:eastAsia="Times New Roman" w:hAnsi="Verdana" w:cs="Arial"/>
          <w:color w:val="000000"/>
          <w:sz w:val="20"/>
          <w:szCs w:val="20"/>
          <w:bdr w:val="none" w:sz="0" w:space="0" w:color="auto" w:frame="1"/>
          <w:shd w:val="clear" w:color="auto" w:fill="FFFFFF"/>
          <w:lang w:val="es-ES" w:eastAsia="es-ES_tradnl"/>
        </w:rPr>
        <w:t>En efecto, varias disposiciones de la Ley 80 de 1993 permiten la liquidación por terminación anticipada del contrato: así, en caso de renuncia a la ejecución del contrato, por parte del contratista, por alteración de su valor en un 20% como consecuencia de la modificación unilateral efectuada por la entidad contratante, el artículo 16 de la Ley 80 de 1993 establece que ´se ordenará la liquidación del contrato´. Nada obsta para que la entidad también esté obligada a intentar acordar con el contratista el contenido de dicha liquidación, de tal manera que esta sea bilateral, pues de la expresión ’se ordenará la liquidación del contrato´ no se desprende que tenga que ser, automáticamente, unilateral</w:t>
      </w:r>
      <w:r w:rsidRPr="00BE4AA0">
        <w:rPr>
          <w:rFonts w:ascii="Verdana" w:eastAsia="Times New Roman" w:hAnsi="Verdana" w:cs="Arial"/>
          <w:color w:val="000000"/>
          <w:sz w:val="20"/>
          <w:szCs w:val="20"/>
          <w:bdr w:val="none" w:sz="0" w:space="0" w:color="auto" w:frame="1"/>
          <w:shd w:val="clear" w:color="auto" w:fill="FFFFFF"/>
          <w:vertAlign w:val="superscript"/>
          <w:lang w:val="es-ES" w:eastAsia="es-ES_tradnl"/>
        </w:rPr>
        <w:footnoteReference w:id="49"/>
      </w:r>
      <w:r w:rsidRPr="00BE4AA0">
        <w:rPr>
          <w:rFonts w:ascii="Verdana" w:eastAsia="Times New Roman" w:hAnsi="Verdana" w:cs="Arial"/>
          <w:color w:val="000000"/>
          <w:sz w:val="20"/>
          <w:szCs w:val="20"/>
          <w:bdr w:val="none" w:sz="0" w:space="0" w:color="auto" w:frame="1"/>
          <w:shd w:val="clear" w:color="auto" w:fill="FFFFFF"/>
          <w:lang w:val="es-ES" w:eastAsia="es-ES_tradnl"/>
        </w:rPr>
        <w:t xml:space="preserve">. </w:t>
      </w:r>
    </w:p>
    <w:p w14:paraId="07B9ABEA" w14:textId="77777777" w:rsidR="0027006C" w:rsidRPr="00BE4AA0" w:rsidRDefault="0027006C" w:rsidP="00817137">
      <w:pPr>
        <w:spacing w:after="0" w:line="240" w:lineRule="auto"/>
        <w:ind w:left="709" w:right="709"/>
        <w:jc w:val="both"/>
        <w:rPr>
          <w:rFonts w:ascii="Verdana" w:eastAsia="Times New Roman" w:hAnsi="Verdana" w:cs="Arial"/>
          <w:color w:val="000000"/>
          <w:bdr w:val="none" w:sz="0" w:space="0" w:color="auto" w:frame="1"/>
          <w:shd w:val="clear" w:color="auto" w:fill="FFFFFF"/>
          <w:lang w:val="es-ES" w:eastAsia="es-ES_tradnl"/>
        </w:rPr>
      </w:pPr>
    </w:p>
    <w:p w14:paraId="7904EA99" w14:textId="77777777" w:rsidR="0027006C" w:rsidRPr="00BE4AA0" w:rsidRDefault="0027006C" w:rsidP="00817137">
      <w:pPr>
        <w:spacing w:after="120" w:line="240" w:lineRule="auto"/>
        <w:ind w:firstLine="703"/>
        <w:jc w:val="both"/>
        <w:rPr>
          <w:rFonts w:ascii="Verdana" w:eastAsia="Times New Roman" w:hAnsi="Verdana" w:cs="Arial"/>
          <w:color w:val="000000"/>
          <w:bdr w:val="none" w:sz="0" w:space="0" w:color="auto" w:frame="1"/>
          <w:shd w:val="clear" w:color="auto" w:fill="FFFFFF"/>
          <w:lang w:val="es-ES" w:eastAsia="es-ES_tradnl"/>
        </w:rPr>
      </w:pPr>
      <w:r w:rsidRPr="00BE4AA0">
        <w:rPr>
          <w:rFonts w:ascii="Verdana" w:eastAsia="Times New Roman" w:hAnsi="Verdana" w:cs="Arial"/>
          <w:color w:val="000000"/>
          <w:bdr w:val="none" w:sz="0" w:space="0" w:color="auto" w:frame="1"/>
          <w:shd w:val="clear" w:color="auto" w:fill="FFFFFF"/>
          <w:lang w:val="es-ES" w:eastAsia="es-ES_tradnl"/>
        </w:rPr>
        <w:t xml:space="preserve">De esta manera, puede inferirse que la liquidación unilateral procede en aquellos casos de terminación anormal del contrato como es la declaratoria de caducidad, así como en aquellos supuestos de terminación del contrato, como en caso de renuncia por parte del contratista a la ejecución del contrato, así como por causa de la modificación unilateral. En todo caso, la entidad debe revisar de acuerdo con los supuestos que se exponen y a las normas de las compras públicas la procedencia de la liquidación unilateral. </w:t>
      </w:r>
    </w:p>
    <w:p w14:paraId="4CA8F16F" w14:textId="77777777" w:rsidR="0027006C" w:rsidRPr="00BE4AA0" w:rsidRDefault="0027006C" w:rsidP="00817137">
      <w:pPr>
        <w:spacing w:after="0" w:line="240" w:lineRule="auto"/>
        <w:ind w:firstLine="703"/>
        <w:jc w:val="both"/>
        <w:rPr>
          <w:rFonts w:ascii="Verdana" w:eastAsia="Times New Roman" w:hAnsi="Verdana" w:cs="Arial"/>
          <w:color w:val="000000"/>
          <w:bdr w:val="none" w:sz="0" w:space="0" w:color="auto" w:frame="1"/>
          <w:shd w:val="clear" w:color="auto" w:fill="FFFFFF"/>
          <w:lang w:val="es-ES" w:eastAsia="es-ES_tradnl"/>
        </w:rPr>
      </w:pPr>
      <w:r w:rsidRPr="00BE4AA0">
        <w:rPr>
          <w:rFonts w:ascii="Verdana" w:eastAsia="Times New Roman" w:hAnsi="Verdana" w:cs="Arial"/>
          <w:color w:val="000000"/>
          <w:bdr w:val="none" w:sz="0" w:space="0" w:color="auto" w:frame="1"/>
          <w:shd w:val="clear" w:color="auto" w:fill="FFFFFF"/>
          <w:lang w:val="es-ES" w:eastAsia="es-ES_tradnl"/>
        </w:rPr>
        <w:t xml:space="preserve">Finalmente, transcurridos estos meses, la liquidación podrá realizarse en cualquier tiempo dentro de los dos años siguientes al vencimiento del término referido, de mutuo acuerdo o unilateralmente, salvo que el contratista haya presentado la demanda con la cual pretenda la liquidación judicial del contrato. De esta manera, durante estos dos años la liquidación podrá hacerse de mutuo acuerdo, unilateralmente por la entidad, o podrá ser solicitada judicialmente por el interesado. </w:t>
      </w:r>
      <w:bookmarkEnd w:id="14"/>
      <w:r w:rsidRPr="00BE4AA0">
        <w:rPr>
          <w:rFonts w:ascii="Verdana" w:eastAsia="Times New Roman" w:hAnsi="Verdana" w:cs="Arial"/>
          <w:color w:val="000000"/>
          <w:bdr w:val="none" w:sz="0" w:space="0" w:color="auto" w:frame="1"/>
          <w:shd w:val="clear" w:color="auto" w:fill="FFFFFF"/>
          <w:lang w:val="es-ES" w:eastAsia="es-ES_tradnl"/>
        </w:rPr>
        <w:t xml:space="preserve">En este sentido, en decisión de unificación de la </w:t>
      </w:r>
      <w:r w:rsidRPr="00BE4AA0">
        <w:rPr>
          <w:rFonts w:ascii="Verdana" w:eastAsia="Times New Roman" w:hAnsi="Verdana" w:cs="Arial"/>
          <w:color w:val="000000"/>
          <w:bdr w:val="none" w:sz="0" w:space="0" w:color="auto" w:frame="1"/>
          <w:shd w:val="clear" w:color="auto" w:fill="FFFFFF"/>
          <w:lang w:val="es-MX" w:eastAsia="es-ES_tradnl"/>
        </w:rPr>
        <w:t>Sección Tercera</w:t>
      </w:r>
      <w:r w:rsidRPr="00BE4AA0">
        <w:rPr>
          <w:rFonts w:ascii="Verdana" w:eastAsia="Times New Roman" w:hAnsi="Verdana" w:cs="Arial"/>
          <w:color w:val="000000"/>
          <w:bdr w:val="none" w:sz="0" w:space="0" w:color="auto" w:frame="1"/>
          <w:shd w:val="clear" w:color="auto" w:fill="FFFFFF"/>
          <w:lang w:val="es-ES" w:eastAsia="es-ES_tradnl"/>
        </w:rPr>
        <w:t xml:space="preserve"> del Consejo de Estado del</w:t>
      </w:r>
      <w:r w:rsidRPr="00BE4AA0">
        <w:rPr>
          <w:rFonts w:ascii="Verdana" w:eastAsia="Times New Roman" w:hAnsi="Verdana" w:cs="Arial"/>
          <w:color w:val="000000"/>
          <w:bdr w:val="none" w:sz="0" w:space="0" w:color="auto" w:frame="1"/>
          <w:shd w:val="clear" w:color="auto" w:fill="FFFFFF"/>
          <w:lang w:val="es-MX" w:eastAsia="es-ES_tradnl"/>
        </w:rPr>
        <w:t> </w:t>
      </w:r>
      <w:r w:rsidRPr="00BE4AA0">
        <w:rPr>
          <w:rFonts w:ascii="Verdana" w:eastAsia="Times New Roman" w:hAnsi="Verdana" w:cs="Arial"/>
          <w:color w:val="000000"/>
          <w:bdr w:val="none" w:sz="0" w:space="0" w:color="auto" w:frame="1"/>
          <w:shd w:val="clear" w:color="auto" w:fill="FFFFFF"/>
          <w:lang w:eastAsia="es-ES_tradnl"/>
        </w:rPr>
        <w:t>1 de agosto de 2019, se expresó: </w:t>
      </w:r>
    </w:p>
    <w:p w14:paraId="084300ED" w14:textId="77777777" w:rsidR="0027006C" w:rsidRPr="00BE4AA0" w:rsidRDefault="0027006C" w:rsidP="00817137">
      <w:pPr>
        <w:spacing w:after="0" w:line="240" w:lineRule="auto"/>
        <w:ind w:firstLine="705"/>
        <w:jc w:val="both"/>
        <w:rPr>
          <w:rFonts w:ascii="Verdana" w:eastAsia="Times New Roman" w:hAnsi="Verdana" w:cs="Arial"/>
          <w:color w:val="000000"/>
          <w:sz w:val="20"/>
          <w:szCs w:val="20"/>
          <w:lang w:eastAsia="es-ES_tradnl"/>
        </w:rPr>
      </w:pPr>
    </w:p>
    <w:p w14:paraId="0D873029" w14:textId="77777777" w:rsidR="0027006C" w:rsidRPr="00BE4AA0" w:rsidRDefault="0027006C" w:rsidP="00817137">
      <w:pPr>
        <w:spacing w:after="0" w:line="240" w:lineRule="auto"/>
        <w:ind w:left="705" w:right="750"/>
        <w:jc w:val="both"/>
        <w:rPr>
          <w:rFonts w:ascii="Verdana" w:eastAsia="Times New Roman" w:hAnsi="Verdana" w:cs="Arial"/>
          <w:color w:val="000000"/>
          <w:sz w:val="20"/>
          <w:szCs w:val="20"/>
          <w:lang w:eastAsia="es-ES_tradnl"/>
        </w:rPr>
      </w:pPr>
      <w:r w:rsidRPr="00BE4AA0">
        <w:rPr>
          <w:rFonts w:ascii="Verdana" w:eastAsia="Times New Roman" w:hAnsi="Verdana" w:cs="Arial"/>
          <w:sz w:val="20"/>
          <w:szCs w:val="20"/>
          <w:lang w:val="es-ES_tradnl" w:eastAsia="es-ES_tradnl"/>
        </w:rPr>
        <w:t>“</w:t>
      </w:r>
      <w:r w:rsidRPr="00BE4AA0">
        <w:rPr>
          <w:rFonts w:ascii="Verdana" w:eastAsia="Times New Roman" w:hAnsi="Verdana" w:cs="Arial"/>
          <w:color w:val="000000"/>
          <w:sz w:val="20"/>
          <w:szCs w:val="20"/>
          <w:bdr w:val="none" w:sz="0" w:space="0" w:color="auto" w:frame="1"/>
          <w:shd w:val="clear" w:color="auto" w:fill="FFFFFF"/>
          <w:lang w:val="es-ES" w:eastAsia="es-ES_tradnl"/>
        </w:rPr>
        <w:t>Como pudo apreciarse, este precepto legal permite que la liquidación bilateral se acuerde después del vencimiento del término pactado en el contrato o previsto en los documentos antepuestos, o, del término supletorio que para la concertación de la liquidación establece la ley, e  incluso, después de haber pasado los dos meses subsiguientes a dicho vencimiento sin que la administración lo hubiera liquidado unilateralmente, bajo condición de que el acuerdo </w:t>
      </w:r>
      <w:proofErr w:type="spellStart"/>
      <w:r w:rsidRPr="00BE4AA0">
        <w:rPr>
          <w:rFonts w:ascii="Verdana" w:eastAsia="Times New Roman" w:hAnsi="Verdana" w:cs="Arial"/>
          <w:color w:val="000000"/>
          <w:sz w:val="20"/>
          <w:szCs w:val="20"/>
          <w:bdr w:val="none" w:sz="0" w:space="0" w:color="auto" w:frame="1"/>
          <w:shd w:val="clear" w:color="auto" w:fill="FFFFFF"/>
          <w:lang w:val="es-ES" w:eastAsia="es-ES_tradnl"/>
        </w:rPr>
        <w:t>liquidatorio</w:t>
      </w:r>
      <w:proofErr w:type="spellEnd"/>
      <w:r w:rsidRPr="00BE4AA0">
        <w:rPr>
          <w:rFonts w:ascii="Verdana" w:eastAsia="Times New Roman" w:hAnsi="Verdana" w:cs="Arial"/>
          <w:color w:val="000000"/>
          <w:sz w:val="20"/>
          <w:szCs w:val="20"/>
          <w:bdr w:val="none" w:sz="0" w:space="0" w:color="auto" w:frame="1"/>
          <w:shd w:val="clear" w:color="auto" w:fill="FFFFFF"/>
          <w:lang w:val="es-ES" w:eastAsia="es-ES_tradnl"/>
        </w:rPr>
        <w:t xml:space="preserve"> se logre dentro del lapso de dos años contados a partir del vencimiento del término </w:t>
      </w:r>
      <w:r w:rsidRPr="00BE4AA0">
        <w:rPr>
          <w:rFonts w:ascii="Verdana" w:eastAsia="Times New Roman" w:hAnsi="Verdana" w:cs="Arial"/>
          <w:color w:val="000000"/>
          <w:sz w:val="20"/>
          <w:szCs w:val="20"/>
          <w:bdr w:val="none" w:sz="0" w:space="0" w:color="auto" w:frame="1"/>
          <w:shd w:val="clear" w:color="auto" w:fill="FFFFFF"/>
          <w:lang w:val="es-ES" w:eastAsia="es-ES_tradnl"/>
        </w:rPr>
        <w:lastRenderedPageBreak/>
        <w:t>legalmente conocido para la liquidación unilateral, pues ese es el lapso que el ordenamiento ha fijado para el ejercicio oportuno de la acción</w:t>
      </w:r>
      <w:r w:rsidRPr="00BE4AA0">
        <w:rPr>
          <w:rFonts w:ascii="Verdana" w:eastAsia="Times New Roman" w:hAnsi="Verdana" w:cs="Arial"/>
          <w:sz w:val="20"/>
          <w:szCs w:val="20"/>
          <w:lang w:val="es-ES_tradnl" w:eastAsia="es-ES_tradnl"/>
        </w:rPr>
        <w:t>”</w:t>
      </w:r>
      <w:r w:rsidRPr="00BE4AA0">
        <w:rPr>
          <w:rFonts w:ascii="Verdana" w:eastAsia="Times New Roman" w:hAnsi="Verdana" w:cs="Arial"/>
          <w:color w:val="000000"/>
          <w:sz w:val="20"/>
          <w:szCs w:val="20"/>
          <w:bdr w:val="none" w:sz="0" w:space="0" w:color="auto" w:frame="1"/>
          <w:shd w:val="clear" w:color="auto" w:fill="FFFFFF"/>
          <w:vertAlign w:val="superscript"/>
          <w:lang w:eastAsia="es-ES_tradnl"/>
        </w:rPr>
        <w:t xml:space="preserve"> </w:t>
      </w:r>
      <w:r w:rsidRPr="00BE4AA0">
        <w:rPr>
          <w:rFonts w:ascii="Verdana" w:eastAsia="Times New Roman" w:hAnsi="Verdana" w:cs="Arial"/>
          <w:color w:val="000000"/>
          <w:sz w:val="20"/>
          <w:szCs w:val="20"/>
          <w:bdr w:val="none" w:sz="0" w:space="0" w:color="auto" w:frame="1"/>
          <w:shd w:val="clear" w:color="auto" w:fill="FFFFFF"/>
          <w:vertAlign w:val="superscript"/>
          <w:lang w:eastAsia="es-ES_tradnl"/>
        </w:rPr>
        <w:footnoteReference w:id="50"/>
      </w:r>
      <w:r w:rsidRPr="00BE4AA0">
        <w:rPr>
          <w:rFonts w:ascii="Verdana" w:eastAsia="Times New Roman" w:hAnsi="Verdana" w:cs="Arial"/>
          <w:sz w:val="20"/>
          <w:szCs w:val="20"/>
          <w:lang w:val="es-ES_tradnl" w:eastAsia="es-ES_tradnl"/>
        </w:rPr>
        <w:t>.</w:t>
      </w:r>
      <w:r w:rsidRPr="00BE4AA0">
        <w:rPr>
          <w:rFonts w:ascii="Verdana" w:eastAsia="Times New Roman" w:hAnsi="Verdana" w:cs="Arial"/>
          <w:color w:val="000000"/>
          <w:sz w:val="20"/>
          <w:szCs w:val="20"/>
          <w:bdr w:val="none" w:sz="0" w:space="0" w:color="auto" w:frame="1"/>
          <w:shd w:val="clear" w:color="auto" w:fill="FFFFFF"/>
          <w:lang w:val="es-ES" w:eastAsia="es-ES_tradnl"/>
        </w:rPr>
        <w:t> </w:t>
      </w:r>
    </w:p>
    <w:p w14:paraId="164F40E1" w14:textId="77777777" w:rsidR="0027006C" w:rsidRPr="00BE4AA0" w:rsidRDefault="0027006C" w:rsidP="00817137">
      <w:pPr>
        <w:spacing w:after="0" w:line="240" w:lineRule="auto"/>
        <w:ind w:firstLine="708"/>
        <w:jc w:val="both"/>
        <w:rPr>
          <w:rFonts w:ascii="Verdana" w:eastAsia="Times New Roman" w:hAnsi="Verdana" w:cs="Arial"/>
          <w:color w:val="000000"/>
          <w:lang w:eastAsia="es-ES_tradnl"/>
        </w:rPr>
      </w:pPr>
    </w:p>
    <w:p w14:paraId="7978C31D" w14:textId="77777777" w:rsidR="0027006C" w:rsidRPr="00BE4AA0" w:rsidRDefault="0027006C" w:rsidP="00817137">
      <w:pPr>
        <w:tabs>
          <w:tab w:val="left" w:pos="709"/>
        </w:tabs>
        <w:spacing w:after="120" w:line="240" w:lineRule="auto"/>
        <w:jc w:val="both"/>
        <w:rPr>
          <w:rFonts w:ascii="Verdana" w:eastAsia="Times New Roman" w:hAnsi="Verdana" w:cs="Arial"/>
          <w:color w:val="000000"/>
          <w:bdr w:val="none" w:sz="0" w:space="0" w:color="auto" w:frame="1"/>
          <w:shd w:val="clear" w:color="auto" w:fill="FFFFFF"/>
          <w:lang w:eastAsia="es-ES_tradnl"/>
        </w:rPr>
      </w:pPr>
      <w:r w:rsidRPr="00BE4AA0">
        <w:rPr>
          <w:rFonts w:ascii="Verdana" w:eastAsia="Times New Roman" w:hAnsi="Verdana" w:cs="Arial"/>
          <w:color w:val="000000"/>
          <w:bdr w:val="none" w:sz="0" w:space="0" w:color="auto" w:frame="1"/>
          <w:shd w:val="clear" w:color="auto" w:fill="FFFFFF"/>
          <w:lang w:eastAsia="es-ES_tradnl"/>
        </w:rPr>
        <w:tab/>
        <w:t xml:space="preserve">A su turno, la liquidación judicial hace parte de una de las pretensiones que admite el medio de control de controversias contractuales. Al respecto, el artículo 141 de la Ley 1437 de 2011 dispone que “[…] el interesado podrá </w:t>
      </w:r>
      <w:bookmarkStart w:id="15" w:name="_Hlk172560769"/>
      <w:r w:rsidRPr="00BE4AA0">
        <w:rPr>
          <w:rFonts w:ascii="Verdana" w:eastAsia="Times New Roman" w:hAnsi="Verdana" w:cs="Arial"/>
          <w:color w:val="000000"/>
          <w:bdr w:val="none" w:sz="0" w:space="0" w:color="auto" w:frame="1"/>
          <w:shd w:val="clear" w:color="auto" w:fill="FFFFFF"/>
          <w:lang w:eastAsia="es-ES_tradnl"/>
        </w:rPr>
        <w:t>solicitar la liquidación judicial</w:t>
      </w:r>
      <w:bookmarkEnd w:id="15"/>
      <w:r w:rsidRPr="00BE4AA0">
        <w:rPr>
          <w:rFonts w:ascii="Verdana" w:eastAsia="Times New Roman" w:hAnsi="Verdana" w:cs="Arial"/>
          <w:color w:val="000000"/>
          <w:bdr w:val="none" w:sz="0" w:space="0" w:color="auto" w:frame="1"/>
          <w:shd w:val="clear" w:color="auto" w:fill="FFFFFF"/>
          <w:lang w:eastAsia="es-ES_tradnl"/>
        </w:rPr>
        <w:t xml:space="preserve"> del contrato cuando esta no se haya logrado de mutuo acuerdo y la entidad estatal no lo haya liquidado unilateralmente dentro de los dos (2) meses siguientes al vencimiento del plazo convenido para liquidar de mutuo acuerdo o, en su defecto, del término establecido por la ley”. Bajo esta perspectiva, para la entidad cesa la facultad de liquidar bilateral o unilateralmente, ya que el tema pasa de la administración a la jurisdicción.</w:t>
      </w:r>
    </w:p>
    <w:p w14:paraId="28E22566" w14:textId="77777777" w:rsidR="0027006C" w:rsidRDefault="0027006C" w:rsidP="00817137">
      <w:pPr>
        <w:tabs>
          <w:tab w:val="left" w:pos="709"/>
        </w:tabs>
        <w:spacing w:after="120" w:line="240" w:lineRule="auto"/>
        <w:jc w:val="both"/>
        <w:rPr>
          <w:rFonts w:ascii="Verdana" w:eastAsia="Times New Roman" w:hAnsi="Verdana" w:cs="Arial"/>
          <w:color w:val="000000"/>
          <w:bdr w:val="none" w:sz="0" w:space="0" w:color="auto" w:frame="1"/>
          <w:shd w:val="clear" w:color="auto" w:fill="FFFFFF"/>
          <w:lang w:eastAsia="es-ES_tradnl"/>
        </w:rPr>
      </w:pPr>
      <w:r w:rsidRPr="00BE4AA0">
        <w:rPr>
          <w:rFonts w:ascii="Verdana" w:eastAsia="Times New Roman" w:hAnsi="Verdana" w:cs="Arial"/>
          <w:color w:val="000000"/>
          <w:bdr w:val="none" w:sz="0" w:space="0" w:color="auto" w:frame="1"/>
          <w:shd w:val="clear" w:color="auto" w:fill="FFFFFF"/>
          <w:lang w:eastAsia="es-ES_tradnl"/>
        </w:rPr>
        <w:tab/>
        <w:t xml:space="preserve">En </w:t>
      </w:r>
      <w:r>
        <w:rPr>
          <w:rFonts w:ascii="Verdana" w:eastAsia="Times New Roman" w:hAnsi="Verdana" w:cs="Arial"/>
          <w:color w:val="000000"/>
          <w:bdr w:val="none" w:sz="0" w:space="0" w:color="auto" w:frame="1"/>
          <w:shd w:val="clear" w:color="auto" w:fill="FFFFFF"/>
          <w:lang w:eastAsia="es-ES_tradnl"/>
        </w:rPr>
        <w:t>este sentido</w:t>
      </w:r>
      <w:r w:rsidRPr="00BE4AA0">
        <w:rPr>
          <w:rFonts w:ascii="Verdana" w:eastAsia="Times New Roman" w:hAnsi="Verdana" w:cs="Arial"/>
          <w:color w:val="000000"/>
          <w:bdr w:val="none" w:sz="0" w:space="0" w:color="auto" w:frame="1"/>
          <w:shd w:val="clear" w:color="auto" w:fill="FFFFFF"/>
          <w:lang w:eastAsia="es-ES_tradnl"/>
        </w:rPr>
        <w:t>, la liquidación de un contrato público debe llevarse a cabo de manera bilateral siempre que sea posible, respetando los derechos del contratista al debido proceso. Si no se llega a un acuerdo bilateral, la entidad estatal tiene la facultad de proceder a una liquidación unilateral dentro de un plazo específico, aunque esta solo puede realizarse si el contratista no ha solicitado la liquidación judicial del contrato dentro de los dos años posteriores al vencimiento de los plazos acordados. Si transcurrido este plazo el contratista no ha solicitado la liquidación judicial, la entidad puede liquidar unilateralmente, y si no lo hace, la acción pasa a la jurisdicción para que sea resuelta judicialmente por solicitud del interesado. Esto subraya el principio de que la liquidación del contrato debe ser realizada en un marco de acuerdo o de intervención judicial, priorizando la transparencia y el respeto de los derechos de las partes involucradas.</w:t>
      </w:r>
    </w:p>
    <w:p w14:paraId="06C18942" w14:textId="77777777" w:rsidR="0027006C" w:rsidRDefault="0027006C" w:rsidP="00817137">
      <w:pPr>
        <w:tabs>
          <w:tab w:val="left" w:pos="709"/>
        </w:tabs>
        <w:spacing w:after="120" w:line="240" w:lineRule="auto"/>
        <w:jc w:val="both"/>
        <w:rPr>
          <w:rFonts w:ascii="Verdana" w:hAnsi="Verdana"/>
        </w:rPr>
      </w:pPr>
      <w:r>
        <w:rPr>
          <w:rFonts w:ascii="Verdana" w:eastAsia="Times New Roman" w:hAnsi="Verdana" w:cs="Times New Roman"/>
        </w:rPr>
        <w:tab/>
        <w:t xml:space="preserve">Es importante señalar </w:t>
      </w:r>
      <w:r>
        <w:rPr>
          <w:rFonts w:ascii="Verdana" w:hAnsi="Verdana"/>
        </w:rPr>
        <w:t>que l</w:t>
      </w:r>
      <w:r w:rsidRPr="00C95668">
        <w:rPr>
          <w:rFonts w:ascii="Verdana" w:hAnsi="Verdana"/>
        </w:rPr>
        <w:t>a vigencia de las garantías constituye un requisito indispensable para adelantar la liquidación de los contratos estatales, pues su finalidad es asegurar el cumplimiento de las obligaciones que subsisten más allá de la extinción del vínculo contractual.</w:t>
      </w:r>
      <w:r>
        <w:rPr>
          <w:rFonts w:ascii="Verdana" w:hAnsi="Verdana"/>
        </w:rPr>
        <w:t xml:space="preserve"> En este sentido, el amparo de cumplimiento debe estar vigente en el momento de la liquidación del contrato, pues se está acordando el ajuste de cuentas desde el punto de vista técnico, administrativo y financiero. </w:t>
      </w:r>
    </w:p>
    <w:p w14:paraId="49BB5C3A" w14:textId="77777777" w:rsidR="0027006C" w:rsidRPr="00A079FC" w:rsidRDefault="0027006C" w:rsidP="00817137">
      <w:pPr>
        <w:tabs>
          <w:tab w:val="left" w:pos="709"/>
        </w:tabs>
        <w:spacing w:after="120" w:line="240" w:lineRule="auto"/>
        <w:jc w:val="both"/>
        <w:rPr>
          <w:rFonts w:ascii="Verdana" w:hAnsi="Verdana"/>
        </w:rPr>
      </w:pPr>
      <w:r>
        <w:rPr>
          <w:rFonts w:ascii="Verdana" w:hAnsi="Verdana"/>
        </w:rPr>
        <w:tab/>
        <w:t>Así mismo, e</w:t>
      </w:r>
      <w:r w:rsidRPr="00C95668">
        <w:rPr>
          <w:rFonts w:ascii="Verdana" w:hAnsi="Verdana"/>
        </w:rPr>
        <w:t>l inciso cuarto del artículo 60 de la Ley 80 de 1993 establece expresamente que, para la liquidación, el contratista debe extender o ampliar</w:t>
      </w:r>
      <w:r>
        <w:rPr>
          <w:rFonts w:ascii="Verdana" w:hAnsi="Verdana"/>
        </w:rPr>
        <w:t xml:space="preserve"> si es del caso los amparos,</w:t>
      </w:r>
      <w:r w:rsidRPr="00C95668">
        <w:rPr>
          <w:rFonts w:ascii="Verdana" w:hAnsi="Verdana"/>
        </w:rPr>
        <w:t xml:space="preserve"> como la estabilidad de la obra, la calidad del bien o servicio, la provisión de repuestos, el pago de salarios y prestaciones, así como la responsabilidad civil derivada. De esta manera, la garantía se erige como un </w:t>
      </w:r>
      <w:r w:rsidRPr="00C95668">
        <w:rPr>
          <w:rFonts w:ascii="Verdana" w:hAnsi="Verdana"/>
        </w:rPr>
        <w:lastRenderedPageBreak/>
        <w:t>instrumento de protección del interés público y de la indemnidad patrimonial de la entidad estatal.</w:t>
      </w:r>
      <w:r>
        <w:rPr>
          <w:rFonts w:ascii="Verdana" w:hAnsi="Verdana"/>
        </w:rPr>
        <w:t xml:space="preserve"> </w:t>
      </w:r>
      <w:r w:rsidRPr="00C95668">
        <w:rPr>
          <w:rFonts w:ascii="Verdana" w:eastAsia="Times New Roman" w:hAnsi="Verdana" w:cs="Times New Roman"/>
        </w:rPr>
        <w:t xml:space="preserve">En consecuencia, la liquidación no puede adelantarse sin que las garantías se encuentren vigentes, pues ello implicaría desconocer un mandato legal expreso y dejar desprotegido el patrimonio público frente a eventuales incumplimientos posteriores. </w:t>
      </w:r>
    </w:p>
    <w:p w14:paraId="33CE0034" w14:textId="77777777" w:rsidR="0027006C" w:rsidRPr="00674BDB" w:rsidRDefault="0027006C" w:rsidP="00817137">
      <w:pPr>
        <w:tabs>
          <w:tab w:val="left" w:pos="709"/>
        </w:tabs>
        <w:spacing w:after="0" w:line="240" w:lineRule="auto"/>
        <w:jc w:val="both"/>
        <w:rPr>
          <w:rFonts w:ascii="Verdana" w:eastAsia="Times New Roman" w:hAnsi="Verdana" w:cs="Times New Roman"/>
        </w:rPr>
      </w:pPr>
      <w:r>
        <w:rPr>
          <w:rFonts w:ascii="Verdana" w:eastAsia="Times New Roman" w:hAnsi="Verdana" w:cs="Times New Roman"/>
        </w:rPr>
        <w:tab/>
        <w:t>En el escenario de l</w:t>
      </w:r>
      <w:r w:rsidRPr="008737B9">
        <w:rPr>
          <w:rFonts w:ascii="Verdana" w:eastAsia="Times New Roman" w:hAnsi="Verdana" w:cs="Times New Roman"/>
        </w:rPr>
        <w:t>a negativa expresa de la aseguradora a renovar, rehabilitar o expedir una nueva póliza no exonera al contratista de su deber de mantener vigente la garantía. La obligación de constituir y mantener las garantías recae directamente sobre el contratista, quien debe gestionar la expedición de una nueva póliza o la sustitución de la garantía. Para ello, el ordenamiento ofrece mecanismos alternativos: además del contrato de seguro, el artículo 7 de la Ley 1150 de 2007 admite la garantía bancaria y el patrimonio autónomo constituido mediante fiducia mercantil, de modo que la negativa de una compañía aseguradora, por sí sola, no acredita la imposibilidad de obtener la cobertura exigida. En consecuencia, ante la negativa de una aseguradora, el contratista puede acudir a otra o a cualquiera de los referidos mecanismos, y la entidad debe requerírselo formalmente. Ahora bien, si pese al requerimiento el contratista no sustituye la garantía, la entidad no queda impedida de manera indefinida para liquidar. El deber de liquidar y la protección del interés público exigen que la entidad, agotada la exigencia, adelante la liquidación —de mutuo acuerdo o, en su defecto, unilateralmente— dejando constancia expresa de la ausencia de garantía y de las gestiones adelantadas, haciendo efectivo el amparo que resulte exigible por el siniestro configurado durante su vigencia y activando las acciones sancionatorias, coercitivas y judiciales pertinentes. De este modo se evita que la conducta de un tercero —la aseguradora— o el incumplimiento del contratista frustren indefinidamente la liquidación, con el consiguiente riesgo de preclusión de la competencia para liquidar unilateralmente y de caducidad del medio de control</w:t>
      </w:r>
      <w:r>
        <w:rPr>
          <w:rFonts w:ascii="Verdana" w:eastAsia="Times New Roman" w:hAnsi="Verdana" w:cs="Times New Roman"/>
        </w:rPr>
        <w:t>.</w:t>
      </w:r>
    </w:p>
    <w:p w14:paraId="00EA8A49" w14:textId="77777777" w:rsidR="0027006C" w:rsidRDefault="0027006C" w:rsidP="00817137">
      <w:pPr>
        <w:spacing w:after="0" w:line="240" w:lineRule="auto"/>
        <w:jc w:val="both"/>
        <w:rPr>
          <w:rFonts w:ascii="Verdana" w:eastAsia="Calibri" w:hAnsi="Verdana" w:cs="Arial"/>
          <w:lang w:val="es-ES_tradnl" w:eastAsia="es-MX"/>
        </w:rPr>
      </w:pPr>
    </w:p>
    <w:p w14:paraId="40C7B942" w14:textId="77777777" w:rsidR="0027006C" w:rsidRPr="009037F6" w:rsidRDefault="0027006C" w:rsidP="00817137">
      <w:pPr>
        <w:spacing w:after="120" w:line="240" w:lineRule="auto"/>
        <w:jc w:val="both"/>
        <w:rPr>
          <w:rFonts w:ascii="Verdana" w:eastAsia="Calibri" w:hAnsi="Verdana" w:cs="Arial"/>
          <w:color w:val="000000" w:themeColor="text1"/>
          <w:lang w:val="es-ES"/>
        </w:rPr>
      </w:pPr>
      <w:r>
        <w:rPr>
          <w:rFonts w:ascii="Verdana" w:eastAsia="Calibri" w:hAnsi="Verdana" w:cs="Arial"/>
          <w:color w:val="000000" w:themeColor="text1"/>
          <w:lang w:val="es-ES"/>
        </w:rPr>
        <w:t>vi</w:t>
      </w:r>
      <w:r w:rsidRPr="009037F6">
        <w:rPr>
          <w:rFonts w:ascii="Verdana" w:eastAsia="Calibri" w:hAnsi="Verdana" w:cs="Arial"/>
          <w:color w:val="000000" w:themeColor="text1"/>
          <w:lang w:val="es-ES"/>
        </w:rPr>
        <w:t xml:space="preserve">. Al </w:t>
      </w:r>
      <w:r w:rsidRPr="009037F6">
        <w:rPr>
          <w:rFonts w:ascii="Verdana" w:hAnsi="Verdana" w:cs="Arial"/>
          <w:lang w:val="es-ES_tradnl" w:eastAsia="es-ES"/>
        </w:rPr>
        <w:t>margen de la explicación precedente debe advertirse que el análisis requerido para resolver problemas específicos en torno a los amparos propios de la garantía única de cumplimiento y a sus procedimientos debe realizarse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91AEF4B" w14:textId="77777777" w:rsidR="0027006C" w:rsidRPr="009037F6" w:rsidRDefault="0027006C" w:rsidP="00817137">
      <w:pPr>
        <w:spacing w:after="0" w:line="240" w:lineRule="auto"/>
        <w:ind w:firstLine="709"/>
        <w:jc w:val="both"/>
        <w:rPr>
          <w:rFonts w:ascii="Verdana" w:hAnsi="Verdana" w:cs="Arial"/>
          <w:lang w:val="es-ES" w:eastAsia="es-ES"/>
        </w:rPr>
      </w:pPr>
      <w:r w:rsidRPr="009037F6">
        <w:rPr>
          <w:rFonts w:ascii="Verdana" w:hAnsi="Verdana" w:cs="Arial"/>
          <w:lang w:val="es-ES" w:eastAsia="es-ES"/>
        </w:rPr>
        <w:lastRenderedPageBreak/>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95AFF24" w14:textId="77777777" w:rsidR="0027006C" w:rsidRPr="001B0854" w:rsidRDefault="0027006C" w:rsidP="00817137">
      <w:pPr>
        <w:spacing w:after="0" w:line="240" w:lineRule="auto"/>
        <w:jc w:val="both"/>
        <w:rPr>
          <w:rFonts w:ascii="Verdana" w:eastAsia="Calibri" w:hAnsi="Verdana" w:cs="Arial"/>
          <w:lang w:val="es-ES" w:eastAsia="es-MX"/>
        </w:rPr>
      </w:pPr>
    </w:p>
    <w:p w14:paraId="22FADB53" w14:textId="77777777" w:rsidR="0027006C" w:rsidRPr="009037F6" w:rsidRDefault="0027006C" w:rsidP="00817137">
      <w:pPr>
        <w:numPr>
          <w:ilvl w:val="0"/>
          <w:numId w:val="16"/>
        </w:numPr>
        <w:tabs>
          <w:tab w:val="left" w:pos="142"/>
          <w:tab w:val="left" w:pos="284"/>
        </w:tabs>
        <w:spacing w:after="0" w:line="240"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Referencias normativas</w:t>
      </w:r>
    </w:p>
    <w:p w14:paraId="0CBCD16D" w14:textId="77777777" w:rsidR="0027006C" w:rsidRPr="009037F6" w:rsidRDefault="0027006C" w:rsidP="00817137">
      <w:pPr>
        <w:widowControl w:val="0"/>
        <w:autoSpaceDE w:val="0"/>
        <w:autoSpaceDN w:val="0"/>
        <w:spacing w:after="0" w:line="240"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7006C" w:rsidRPr="009037F6" w14:paraId="37E5B14A" w14:textId="77777777" w:rsidTr="00B60609">
        <w:trPr>
          <w:trHeight w:val="487"/>
          <w:jc w:val="center"/>
        </w:trPr>
        <w:tc>
          <w:tcPr>
            <w:tcW w:w="8647" w:type="dxa"/>
          </w:tcPr>
          <w:p w14:paraId="42BB0702" w14:textId="77777777" w:rsidR="0027006C" w:rsidRPr="009037F6" w:rsidRDefault="0027006C" w:rsidP="00817137">
            <w:pPr>
              <w:widowControl w:val="0"/>
              <w:numPr>
                <w:ilvl w:val="0"/>
                <w:numId w:val="17"/>
              </w:numPr>
              <w:autoSpaceDE w:val="0"/>
              <w:autoSpaceDN w:val="0"/>
              <w:spacing w:before="120" w:after="120"/>
              <w:jc w:val="both"/>
              <w:rPr>
                <w:rFonts w:ascii="Verdana" w:eastAsia="Arial MT" w:hAnsi="Verdana" w:cs="Arial"/>
                <w:lang w:val="es-ES" w:eastAsia="es-ES" w:bidi="es-ES"/>
              </w:rPr>
            </w:pPr>
            <w:r w:rsidRPr="009037F6">
              <w:rPr>
                <w:rFonts w:ascii="Verdana" w:eastAsia="Arial MT" w:hAnsi="Verdana" w:cs="Arial"/>
                <w:lang w:val="es-ES" w:eastAsia="es-ES" w:bidi="es-ES"/>
              </w:rPr>
              <w:t>Constitución Política de 1991, artículo 29.</w:t>
            </w:r>
          </w:p>
          <w:p w14:paraId="1C08AB59" w14:textId="77777777" w:rsidR="0027006C" w:rsidRPr="009037F6" w:rsidRDefault="0027006C" w:rsidP="00817137">
            <w:pPr>
              <w:widowControl w:val="0"/>
              <w:numPr>
                <w:ilvl w:val="0"/>
                <w:numId w:val="17"/>
              </w:numPr>
              <w:autoSpaceDE w:val="0"/>
              <w:autoSpaceDN w:val="0"/>
              <w:spacing w:before="120" w:after="120"/>
              <w:jc w:val="both"/>
              <w:rPr>
                <w:rFonts w:ascii="Verdana" w:eastAsia="Arial MT" w:hAnsi="Verdana" w:cs="Arial"/>
                <w:lang w:val="es-ES" w:eastAsia="es-ES" w:bidi="es-ES"/>
              </w:rPr>
            </w:pPr>
            <w:r w:rsidRPr="009037F6">
              <w:rPr>
                <w:rFonts w:ascii="Verdana" w:eastAsia="Arial MT" w:hAnsi="Verdana" w:cs="Arial"/>
                <w:lang w:val="es-ES" w:eastAsia="es-ES" w:bidi="es-ES"/>
              </w:rPr>
              <w:t>Ley 80 de 1993, artículos, 2,</w:t>
            </w:r>
            <w:r>
              <w:rPr>
                <w:rFonts w:ascii="Verdana" w:eastAsia="Arial MT" w:hAnsi="Verdana" w:cs="Arial"/>
                <w:lang w:val="es-ES" w:eastAsia="es-ES" w:bidi="es-ES"/>
              </w:rPr>
              <w:t xml:space="preserve"> 4,</w:t>
            </w:r>
            <w:r w:rsidRPr="009037F6">
              <w:rPr>
                <w:rFonts w:ascii="Verdana" w:eastAsia="Arial MT" w:hAnsi="Verdana" w:cs="Arial"/>
                <w:lang w:val="es-ES" w:eastAsia="es-ES" w:bidi="es-ES"/>
              </w:rPr>
              <w:t xml:space="preserve"> 13, 14</w:t>
            </w:r>
            <w:r>
              <w:rPr>
                <w:rFonts w:ascii="Verdana" w:eastAsia="Arial MT" w:hAnsi="Verdana" w:cs="Arial"/>
                <w:lang w:val="es-ES" w:eastAsia="es-ES" w:bidi="es-ES"/>
              </w:rPr>
              <w:t>, 17, 18</w:t>
            </w:r>
            <w:r w:rsidRPr="009037F6">
              <w:rPr>
                <w:rFonts w:ascii="Verdana" w:eastAsia="Arial MT" w:hAnsi="Verdana" w:cs="Arial"/>
                <w:lang w:val="es-ES" w:eastAsia="es-ES" w:bidi="es-ES"/>
              </w:rPr>
              <w:t xml:space="preserve">, </w:t>
            </w:r>
            <w:r>
              <w:rPr>
                <w:rFonts w:ascii="Verdana" w:eastAsia="Arial MT" w:hAnsi="Verdana" w:cs="Arial"/>
                <w:lang w:val="es-ES" w:eastAsia="es-ES" w:bidi="es-ES"/>
              </w:rPr>
              <w:t xml:space="preserve">26, </w:t>
            </w:r>
            <w:r w:rsidRPr="009037F6">
              <w:rPr>
                <w:rFonts w:ascii="Verdana" w:eastAsia="Arial MT" w:hAnsi="Verdana" w:cs="Arial"/>
                <w:lang w:val="es-ES" w:eastAsia="es-ES" w:bidi="es-ES"/>
              </w:rPr>
              <w:t>32, 40</w:t>
            </w:r>
            <w:r>
              <w:rPr>
                <w:rFonts w:ascii="Verdana" w:eastAsia="Arial MT" w:hAnsi="Verdana" w:cs="Arial"/>
                <w:lang w:val="es-ES" w:eastAsia="es-ES" w:bidi="es-ES"/>
              </w:rPr>
              <w:t>, 41, 45, 60 y 77.</w:t>
            </w:r>
          </w:p>
          <w:p w14:paraId="13A24416" w14:textId="77777777" w:rsidR="0027006C" w:rsidRDefault="0027006C" w:rsidP="00817137">
            <w:pPr>
              <w:widowControl w:val="0"/>
              <w:numPr>
                <w:ilvl w:val="0"/>
                <w:numId w:val="17"/>
              </w:numPr>
              <w:autoSpaceDE w:val="0"/>
              <w:autoSpaceDN w:val="0"/>
              <w:spacing w:before="120" w:after="120"/>
              <w:jc w:val="both"/>
              <w:rPr>
                <w:rFonts w:ascii="Verdana" w:eastAsia="Arial MT" w:hAnsi="Verdana" w:cs="Arial"/>
                <w:lang w:val="es-ES" w:eastAsia="es-ES" w:bidi="es-ES"/>
              </w:rPr>
            </w:pPr>
            <w:r w:rsidRPr="009037F6">
              <w:rPr>
                <w:rFonts w:ascii="Verdana" w:eastAsia="Arial MT" w:hAnsi="Verdana" w:cs="Arial"/>
                <w:lang w:val="es-ES" w:eastAsia="es-ES" w:bidi="es-ES"/>
              </w:rPr>
              <w:t>Ley 1150 de 2007, artículos 7</w:t>
            </w:r>
            <w:r>
              <w:rPr>
                <w:rFonts w:ascii="Verdana" w:eastAsia="Arial MT" w:hAnsi="Verdana" w:cs="Arial"/>
                <w:lang w:val="es-ES" w:eastAsia="es-ES" w:bidi="es-ES"/>
              </w:rPr>
              <w:t>, 11</w:t>
            </w:r>
            <w:r w:rsidRPr="009037F6">
              <w:rPr>
                <w:rFonts w:ascii="Verdana" w:eastAsia="Arial MT" w:hAnsi="Verdana" w:cs="Arial"/>
                <w:lang w:val="es-ES" w:eastAsia="es-ES" w:bidi="es-ES"/>
              </w:rPr>
              <w:t xml:space="preserve"> y 17. </w:t>
            </w:r>
          </w:p>
          <w:p w14:paraId="531AAFCC" w14:textId="77777777" w:rsidR="0027006C" w:rsidRPr="009037F6" w:rsidRDefault="0027006C" w:rsidP="00817137">
            <w:pPr>
              <w:widowControl w:val="0"/>
              <w:numPr>
                <w:ilvl w:val="0"/>
                <w:numId w:val="17"/>
              </w:numPr>
              <w:autoSpaceDE w:val="0"/>
              <w:autoSpaceDN w:val="0"/>
              <w:spacing w:before="120" w:after="120"/>
              <w:jc w:val="both"/>
              <w:rPr>
                <w:rFonts w:ascii="Verdana" w:eastAsia="Arial MT" w:hAnsi="Verdana" w:cs="Arial"/>
                <w:lang w:val="es-ES" w:eastAsia="es-ES" w:bidi="es-ES"/>
              </w:rPr>
            </w:pPr>
            <w:r>
              <w:rPr>
                <w:rFonts w:ascii="Verdana" w:eastAsia="Arial MT" w:hAnsi="Verdana" w:cs="Arial"/>
                <w:lang w:val="es-ES" w:eastAsia="es-ES" w:bidi="es-ES"/>
              </w:rPr>
              <w:t>Ley 1437 de 2011, artículos 2, 34 y ss., 99 y 141.</w:t>
            </w:r>
          </w:p>
          <w:p w14:paraId="41D6FA9A" w14:textId="77777777" w:rsidR="0027006C" w:rsidRDefault="0027006C" w:rsidP="00817137">
            <w:pPr>
              <w:widowControl w:val="0"/>
              <w:numPr>
                <w:ilvl w:val="0"/>
                <w:numId w:val="17"/>
              </w:numPr>
              <w:autoSpaceDE w:val="0"/>
              <w:autoSpaceDN w:val="0"/>
              <w:spacing w:before="120" w:after="120"/>
              <w:jc w:val="both"/>
              <w:rPr>
                <w:rFonts w:ascii="Verdana" w:eastAsia="Arial MT" w:hAnsi="Verdana" w:cs="Arial"/>
                <w:lang w:val="es-ES" w:eastAsia="es-ES" w:bidi="es-ES"/>
              </w:rPr>
            </w:pPr>
            <w:r w:rsidRPr="009037F6">
              <w:rPr>
                <w:rFonts w:ascii="Verdana" w:eastAsia="Arial MT" w:hAnsi="Verdana" w:cs="Arial"/>
                <w:lang w:val="es-ES" w:eastAsia="es-ES" w:bidi="es-ES"/>
              </w:rPr>
              <w:t>Ley 1474 de 2011, artículo 86.</w:t>
            </w:r>
          </w:p>
          <w:p w14:paraId="6F58C973" w14:textId="77777777" w:rsidR="0027006C" w:rsidRPr="00373BA5" w:rsidRDefault="0027006C" w:rsidP="00817137">
            <w:pPr>
              <w:widowControl w:val="0"/>
              <w:numPr>
                <w:ilvl w:val="0"/>
                <w:numId w:val="17"/>
              </w:numPr>
              <w:autoSpaceDE w:val="0"/>
              <w:autoSpaceDN w:val="0"/>
              <w:spacing w:before="120" w:after="120"/>
              <w:jc w:val="both"/>
              <w:rPr>
                <w:rFonts w:ascii="Verdana" w:eastAsia="Arial MT" w:hAnsi="Verdana" w:cs="Arial"/>
                <w:lang w:val="es-ES" w:eastAsia="es-ES" w:bidi="es-ES"/>
              </w:rPr>
            </w:pPr>
            <w:r w:rsidRPr="00373BA5">
              <w:rPr>
                <w:rFonts w:ascii="Verdana" w:eastAsia="Arial MT" w:hAnsi="Verdana" w:cs="Arial"/>
                <w:lang w:val="es-ES" w:eastAsia="es-ES" w:bidi="es-ES"/>
              </w:rPr>
              <w:t>Decreto Ley 019 de 2012, artículo 217.</w:t>
            </w:r>
          </w:p>
          <w:p w14:paraId="3C352302" w14:textId="77777777" w:rsidR="0027006C" w:rsidRPr="00373BA5" w:rsidRDefault="0027006C" w:rsidP="00817137">
            <w:pPr>
              <w:widowControl w:val="0"/>
              <w:numPr>
                <w:ilvl w:val="0"/>
                <w:numId w:val="17"/>
              </w:numPr>
              <w:autoSpaceDE w:val="0"/>
              <w:autoSpaceDN w:val="0"/>
              <w:spacing w:before="120" w:after="120"/>
              <w:jc w:val="both"/>
              <w:rPr>
                <w:rFonts w:ascii="Verdana" w:eastAsia="Arial MT" w:hAnsi="Verdana" w:cs="Arial"/>
                <w:lang w:val="es-ES" w:eastAsia="es-ES" w:bidi="es-ES"/>
              </w:rPr>
            </w:pPr>
            <w:r w:rsidRPr="00373BA5">
              <w:rPr>
                <w:rFonts w:ascii="Verdana" w:eastAsia="Arial MT" w:hAnsi="Verdana" w:cs="Arial"/>
                <w:lang w:val="es-ES" w:eastAsia="es-ES" w:bidi="es-ES"/>
              </w:rPr>
              <w:t>Código Civil, artículos 64, 1501, 1530 y ss., 1600, 1625, 1627 y 1649.</w:t>
            </w:r>
          </w:p>
          <w:p w14:paraId="5D8CE2A9" w14:textId="77777777" w:rsidR="0027006C" w:rsidRPr="00373BA5" w:rsidRDefault="0027006C" w:rsidP="00817137">
            <w:pPr>
              <w:widowControl w:val="0"/>
              <w:numPr>
                <w:ilvl w:val="0"/>
                <w:numId w:val="17"/>
              </w:numPr>
              <w:autoSpaceDE w:val="0"/>
              <w:autoSpaceDN w:val="0"/>
              <w:spacing w:before="120" w:after="120"/>
              <w:jc w:val="both"/>
              <w:rPr>
                <w:rFonts w:ascii="Verdana" w:eastAsia="Arial MT" w:hAnsi="Verdana" w:cs="Arial"/>
                <w:lang w:val="es-ES" w:eastAsia="es-ES" w:bidi="es-ES"/>
              </w:rPr>
            </w:pPr>
            <w:r w:rsidRPr="00A16E13">
              <w:rPr>
                <w:rFonts w:ascii="Verdana" w:hAnsi="Verdana"/>
              </w:rPr>
              <w:t>Código de Comercio, artículos 1044, 1048, 1060, 1068 y 1071.</w:t>
            </w:r>
          </w:p>
          <w:p w14:paraId="00E04C8F" w14:textId="77777777" w:rsidR="0027006C" w:rsidRPr="004F3BC3" w:rsidRDefault="0027006C" w:rsidP="00817137">
            <w:pPr>
              <w:widowControl w:val="0"/>
              <w:numPr>
                <w:ilvl w:val="0"/>
                <w:numId w:val="17"/>
              </w:numPr>
              <w:autoSpaceDE w:val="0"/>
              <w:autoSpaceDN w:val="0"/>
              <w:spacing w:before="120" w:after="120"/>
              <w:jc w:val="both"/>
              <w:rPr>
                <w:rFonts w:ascii="Verdana" w:eastAsia="Arial MT" w:hAnsi="Verdana" w:cs="Arial"/>
                <w:lang w:val="es-ES" w:eastAsia="es-ES" w:bidi="es-ES"/>
              </w:rPr>
            </w:pPr>
            <w:r w:rsidRPr="00373BA5">
              <w:rPr>
                <w:rFonts w:ascii="Verdana" w:eastAsia="Arial MT" w:hAnsi="Verdana" w:cs="Arial"/>
                <w:lang w:val="es-ES" w:eastAsia="es-ES" w:bidi="es-ES"/>
              </w:rPr>
              <w:t>Decreto 1082 de 2015, artículos 2.2.1.1.1.6.1, 2.2.1.1.2.1.1 y 2.2.1.1.2.1.3 y 2.2.1.2.3.1.1 a 2.2.1.2.3.1.19.</w:t>
            </w:r>
            <w:r w:rsidRPr="009037F6">
              <w:rPr>
                <w:rFonts w:ascii="Verdana" w:eastAsia="Arial MT" w:hAnsi="Verdana" w:cs="Arial"/>
                <w:lang w:val="es-ES" w:eastAsia="es-ES" w:bidi="es-ES"/>
              </w:rPr>
              <w:t xml:space="preserve">  </w:t>
            </w:r>
            <w:r w:rsidRPr="004F3BC3">
              <w:rPr>
                <w:rFonts w:ascii="Verdana" w:eastAsia="Arial MT" w:hAnsi="Verdana" w:cs="Arial"/>
                <w:lang w:val="es-ES" w:eastAsia="es-ES" w:bidi="es-ES"/>
              </w:rPr>
              <w:t xml:space="preserve"> </w:t>
            </w:r>
          </w:p>
        </w:tc>
      </w:tr>
    </w:tbl>
    <w:p w14:paraId="01CF253A" w14:textId="77777777" w:rsidR="0027006C" w:rsidRPr="009037F6" w:rsidRDefault="0027006C" w:rsidP="00817137">
      <w:pPr>
        <w:widowControl w:val="0"/>
        <w:autoSpaceDE w:val="0"/>
        <w:autoSpaceDN w:val="0"/>
        <w:spacing w:after="0" w:line="240" w:lineRule="auto"/>
        <w:jc w:val="both"/>
        <w:rPr>
          <w:rFonts w:ascii="Verdana" w:hAnsi="Verdana" w:cs="Arial"/>
        </w:rPr>
      </w:pPr>
    </w:p>
    <w:p w14:paraId="02D3C9A3" w14:textId="77777777" w:rsidR="0027006C" w:rsidRPr="009037F6" w:rsidRDefault="0027006C" w:rsidP="00817137">
      <w:pPr>
        <w:numPr>
          <w:ilvl w:val="0"/>
          <w:numId w:val="16"/>
        </w:numPr>
        <w:tabs>
          <w:tab w:val="left" w:pos="142"/>
          <w:tab w:val="left" w:pos="284"/>
        </w:tabs>
        <w:spacing w:after="0" w:line="240"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11EB2219" w14:textId="77777777" w:rsidR="0027006C" w:rsidRPr="009037F6" w:rsidRDefault="0027006C" w:rsidP="00817137">
      <w:pPr>
        <w:widowControl w:val="0"/>
        <w:autoSpaceDE w:val="0"/>
        <w:autoSpaceDN w:val="0"/>
        <w:spacing w:after="0" w:line="240" w:lineRule="auto"/>
        <w:jc w:val="both"/>
        <w:rPr>
          <w:rFonts w:ascii="Verdana" w:hAnsi="Verdana" w:cs="Arial"/>
        </w:rPr>
      </w:pPr>
    </w:p>
    <w:p w14:paraId="0487E62F" w14:textId="77777777" w:rsidR="0027006C" w:rsidRPr="009037F6" w:rsidRDefault="0027006C" w:rsidP="00817137">
      <w:pPr>
        <w:widowControl w:val="0"/>
        <w:autoSpaceDE w:val="0"/>
        <w:autoSpaceDN w:val="0"/>
        <w:spacing w:after="0" w:line="240" w:lineRule="auto"/>
        <w:jc w:val="both"/>
        <w:rPr>
          <w:rFonts w:ascii="Verdana" w:hAnsi="Verdana" w:cs="Arial"/>
          <w:shd w:val="clear" w:color="auto" w:fill="FFFFFF"/>
        </w:rPr>
      </w:pPr>
      <w:r w:rsidRPr="009037F6">
        <w:rPr>
          <w:rFonts w:ascii="Verdana" w:eastAsia="Calibri" w:hAnsi="Verdana" w:cs="Arial"/>
          <w:lang w:val="es-ES"/>
        </w:rPr>
        <w:t xml:space="preserve">La Agencia Nacional de Contratación Pública – Colombia Compra Eficiente se ha pronunciado </w:t>
      </w:r>
      <w:r w:rsidRPr="009037F6">
        <w:rPr>
          <w:rFonts w:ascii="Verdana" w:eastAsia="Calibri" w:hAnsi="Verdana" w:cs="Arial"/>
          <w:shd w:val="clear" w:color="auto" w:fill="FFFFFF"/>
        </w:rPr>
        <w:t>sobre el régimen de garantías en los Conceptos 2201913000009075 del 9 de diciembre de 2019, C-080 del 8 de abril de 2021, C-525 del 27 de septiembre de 2021, C-567 del 08 de octubre del 2021, C-036 del 28 de febrero del 2022, C-126 de 25 de marzo de 2022, C-583 del 19 de octubre de 2022, C-584 del 26 de septiembre de 2022, C-712 del 13 de octubre de 2022 y C-845 del 7 de diciembre de 2022, C-036 del 31 de marzo de 2023, C-386 del 31 de enero de 2024, C-306 del 12 de agosto de 2024, C-055 del 30 de enero de 2025, C-099 del 21 de febrero de 2025, C-1282 del 26 de septiembre de 2025</w:t>
      </w:r>
      <w:r>
        <w:rPr>
          <w:rFonts w:ascii="Verdana" w:eastAsia="Calibri" w:hAnsi="Verdana" w:cs="Arial"/>
          <w:shd w:val="clear" w:color="auto" w:fill="FFFFFF"/>
        </w:rPr>
        <w:t>, C-1470 del 20 de noviembre de 2025, entre otros</w:t>
      </w:r>
      <w:r w:rsidRPr="009037F6">
        <w:rPr>
          <w:rFonts w:ascii="Verdana" w:hAnsi="Verdana" w:cs="Arial"/>
          <w:shd w:val="clear" w:color="auto" w:fill="FFFFFF"/>
        </w:rPr>
        <w:t>.</w:t>
      </w:r>
      <w:r w:rsidRPr="009037F6">
        <w:rPr>
          <w:rFonts w:ascii="Verdana" w:hAnsi="Verdana" w:cs="Arial"/>
          <w:bCs/>
          <w:shd w:val="clear" w:color="auto" w:fill="FFFFFF"/>
          <w:lang w:val="es-ES"/>
        </w:rPr>
        <w:t xml:space="preserve"> </w:t>
      </w:r>
      <w:r w:rsidRPr="002C2C13">
        <w:rPr>
          <w:rFonts w:ascii="Verdana" w:hAnsi="Verdana" w:cs="Arial"/>
          <w:bCs/>
          <w:shd w:val="clear" w:color="auto" w:fill="FFFFFF"/>
          <w:lang w:val="es-ES"/>
        </w:rPr>
        <w:t xml:space="preserve">La </w:t>
      </w:r>
      <w:r w:rsidRPr="002C2C13">
        <w:rPr>
          <w:rFonts w:ascii="Verdana" w:hAnsi="Verdana" w:cs="Arial"/>
          <w:bCs/>
          <w:shd w:val="clear" w:color="auto" w:fill="FFFFFF"/>
          <w:lang w:val="es-ES"/>
        </w:rPr>
        <w:lastRenderedPageBreak/>
        <w:t xml:space="preserve">Agencia Nacional de Contratación Pública – Colombia Compra Eficiente se ha pronunciado </w:t>
      </w:r>
      <w:r w:rsidRPr="002C2C13">
        <w:rPr>
          <w:rFonts w:ascii="Verdana" w:hAnsi="Verdana" w:cs="Arial"/>
          <w:bCs/>
          <w:shd w:val="clear" w:color="auto" w:fill="FFFFFF"/>
        </w:rPr>
        <w:t xml:space="preserve">sobre el procedimiento administrativo sancionatorio en los conceptos C-147 del 17 de marzo de 2020, C-219 del 29 de abril de 2020, C-434 del 29 de julio de 2020, C-569 del 31 de agosto de 2020, C-641 del 4 de noviembre de 2020, C-060 del 8 de marzo de 2021, C-528 del 5 de abril de 2021, C-420 del 25 de agosto de 2022, C- 720 del 25 de enero de 2022, C-085 del 29 de abril  de 2022 C-125 del 23 de marzo de 2022, C-195 del 12 de abril de 2022, C-208 del 26 de abril de 2022, C-238 del 27 de abril de 2022, C-866 del 20 de diciembre de 2022, C-034 de 09 de marzo de 2023, C-140 del 13 de junio de 2023, C-227 del 07 de julio del 2023 y C-047 del 25 de abril de 2024, C-1208 del 7 de octubre de 2025, C-1497 del 30 de octubre de 2025, </w:t>
      </w:r>
      <w:r>
        <w:rPr>
          <w:rFonts w:ascii="Verdana" w:hAnsi="Verdana" w:cs="Arial"/>
          <w:bCs/>
          <w:shd w:val="clear" w:color="auto" w:fill="FFFFFF"/>
        </w:rPr>
        <w:t xml:space="preserve">C-1834 del 29 de diciembre de 2025, </w:t>
      </w:r>
      <w:r w:rsidRPr="002C2C13">
        <w:rPr>
          <w:rFonts w:ascii="Verdana" w:hAnsi="Verdana" w:cs="Arial"/>
          <w:bCs/>
          <w:shd w:val="clear" w:color="auto" w:fill="FFFFFF"/>
        </w:rPr>
        <w:t xml:space="preserve">C-1503 del 26 de noviembre de 2025, C-1127 del 29 de julio de 2026, entre </w:t>
      </w:r>
      <w:r>
        <w:rPr>
          <w:rFonts w:ascii="Verdana" w:hAnsi="Verdana" w:cs="Arial"/>
          <w:bCs/>
          <w:shd w:val="clear" w:color="auto" w:fill="FFFFFF"/>
        </w:rPr>
        <w:t xml:space="preserve">otros. En relación con la modificación de garantías, la Subdirección ha expedido los siguientes Conceptos C-209 del 5 de agosto de 2024, C-598 del 24 de octubre de 2024, C-614 del 27 de septiembre de 2025, entre otros. En torno a la suspensión y los procedimientos administrativos sancionatorios, se destaca el Concepto C-1834 de 2025. </w:t>
      </w:r>
      <w:r w:rsidRPr="009037F6">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6C964167" w14:textId="77777777" w:rsidR="0027006C" w:rsidRPr="009037F6" w:rsidRDefault="0027006C" w:rsidP="00817137">
      <w:pPr>
        <w:spacing w:after="0" w:line="240" w:lineRule="auto"/>
        <w:jc w:val="both"/>
        <w:rPr>
          <w:rFonts w:ascii="Verdana" w:eastAsia="Calibri" w:hAnsi="Verdana" w:cs="Times New Roman"/>
        </w:rPr>
      </w:pPr>
      <w:hyperlink r:id="rId14" w:history="1">
        <w:r w:rsidRPr="009037F6">
          <w:rPr>
            <w:rFonts w:ascii="Verdana" w:eastAsia="Calibri" w:hAnsi="Verdana" w:cs="Times New Roman"/>
            <w:color w:val="0000FF"/>
            <w:u w:val="single"/>
            <w:lang w:val="es-ES"/>
          </w:rPr>
          <w:t>https://relatoria.colombiacompra.gov.co/busqueda/conceptos</w:t>
        </w:r>
      </w:hyperlink>
      <w:r w:rsidRPr="009037F6">
        <w:rPr>
          <w:rFonts w:ascii="Verdana" w:eastAsia="Calibri" w:hAnsi="Verdana" w:cs="Times New Roman"/>
        </w:rPr>
        <w:t xml:space="preserve">. </w:t>
      </w:r>
    </w:p>
    <w:p w14:paraId="5B57FA21" w14:textId="77777777" w:rsidR="0027006C" w:rsidRDefault="0027006C" w:rsidP="00817137">
      <w:pPr>
        <w:widowControl w:val="0"/>
        <w:autoSpaceDE w:val="0"/>
        <w:autoSpaceDN w:val="0"/>
        <w:spacing w:after="0" w:line="240" w:lineRule="auto"/>
        <w:jc w:val="both"/>
        <w:rPr>
          <w:rFonts w:ascii="Verdana" w:eastAsia="Calibri" w:hAnsi="Verdana" w:cs="Times New Roman"/>
        </w:rPr>
      </w:pPr>
    </w:p>
    <w:p w14:paraId="5923B966" w14:textId="77777777" w:rsidR="0027006C" w:rsidRPr="003D5C91" w:rsidRDefault="0027006C" w:rsidP="00817137">
      <w:pPr>
        <w:spacing w:after="0" w:line="240"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D5C91">
        <w:rPr>
          <w:rFonts w:ascii="Verdana" w:eastAsia="Calibri" w:hAnsi="Verdana" w:cs="Arial"/>
          <w:b/>
          <w:bCs/>
          <w:color w:val="000000"/>
          <w:lang w:eastAsia="es-ES_tradnl"/>
        </w:rPr>
        <w:t>Guía para la Exigencia y Constitución de Garantías en los Procesos de Contratación</w:t>
      </w:r>
      <w:r w:rsidRPr="003D5C91">
        <w:rPr>
          <w:rFonts w:ascii="Verdana" w:eastAsia="Calibri" w:hAnsi="Verdana" w:cs="Arial"/>
          <w:color w:val="000000"/>
          <w:lang w:eastAsia="es-ES_tradn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4A8C7018" w14:textId="77777777" w:rsidR="0027006C" w:rsidRDefault="0027006C" w:rsidP="00817137">
      <w:pPr>
        <w:spacing w:after="0" w:line="240" w:lineRule="auto"/>
        <w:jc w:val="both"/>
        <w:rPr>
          <w:rFonts w:ascii="Verdana" w:eastAsia="Calibri" w:hAnsi="Verdana" w:cs="Arial"/>
          <w:color w:val="000000"/>
          <w:lang w:eastAsia="es-ES_tradnl"/>
        </w:rPr>
      </w:pPr>
    </w:p>
    <w:p w14:paraId="08B53418" w14:textId="77777777" w:rsidR="0027006C" w:rsidRPr="003D5C91" w:rsidRDefault="0027006C" w:rsidP="00817137">
      <w:pPr>
        <w:spacing w:after="0" w:line="240"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De otro lado, te contamos que el Decreto 287 del 19 de marzo de 2026 sustituyó los artículos 2.2.1.2.4.2.6., 2.2.1.2.4.2.7. y 2.2.1.2.4.2.8. del Decreto 1082 de 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 xml:space="preserve">en la que precisa quiénes </w:t>
      </w:r>
      <w:r w:rsidRPr="003D5C91">
        <w:rPr>
          <w:rFonts w:ascii="Verdana" w:eastAsia="Calibri" w:hAnsi="Verdana" w:cs="Arial"/>
          <w:color w:val="000000"/>
          <w:lang w:eastAsia="es-ES_tradnl"/>
        </w:rPr>
        <w:lastRenderedPageBreak/>
        <w:t>son los beneficiarios, las cinco medidas que integran el sistema y su obligatoriedad según la modalidad de selección, y el régimen de transición aplicable a los procesos en curso. Consúltala aquí: </w:t>
      </w:r>
      <w:hyperlink r:id="rId16"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2A9C3B5C" w14:textId="77777777" w:rsidR="0027006C" w:rsidRDefault="0027006C" w:rsidP="00817137">
      <w:pPr>
        <w:spacing w:after="0" w:line="240" w:lineRule="auto"/>
        <w:jc w:val="both"/>
        <w:rPr>
          <w:rFonts w:ascii="Verdana" w:eastAsia="Calibri" w:hAnsi="Verdana" w:cs="Arial"/>
          <w:color w:val="000000"/>
          <w:lang w:eastAsia="es-ES_tradnl"/>
        </w:rPr>
      </w:pPr>
    </w:p>
    <w:p w14:paraId="469E0C91" w14:textId="77777777" w:rsidR="0027006C" w:rsidRDefault="0027006C" w:rsidP="00817137">
      <w:pPr>
        <w:spacing w:after="0" w:line="240" w:lineRule="auto"/>
        <w:jc w:val="both"/>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3854EFD7" w14:textId="77777777" w:rsidR="0027006C" w:rsidRPr="003D5C91" w:rsidRDefault="0027006C" w:rsidP="00817137">
      <w:pPr>
        <w:spacing w:after="0" w:line="240" w:lineRule="auto"/>
        <w:jc w:val="both"/>
        <w:rPr>
          <w:rFonts w:ascii="Verdana" w:eastAsia="Calibri" w:hAnsi="Verdana" w:cs="Arial"/>
          <w:color w:val="000000"/>
          <w:lang w:eastAsia="es-ES_tradnl"/>
        </w:rPr>
      </w:pPr>
    </w:p>
    <w:p w14:paraId="2D81EACA" w14:textId="77777777" w:rsidR="0027006C" w:rsidRPr="003D5C91" w:rsidRDefault="0027006C" w:rsidP="00817137">
      <w:pPr>
        <w:spacing w:after="0" w:line="240"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8"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6C191F7F" w14:textId="77777777" w:rsidR="0027006C" w:rsidRDefault="0027006C" w:rsidP="00817137">
      <w:pPr>
        <w:spacing w:after="0" w:line="240" w:lineRule="auto"/>
        <w:jc w:val="both"/>
        <w:rPr>
          <w:rFonts w:ascii="Verdana" w:hAnsi="Verdana"/>
        </w:rPr>
      </w:pPr>
    </w:p>
    <w:p w14:paraId="1ADA3C5B" w14:textId="77777777" w:rsidR="0027006C" w:rsidRPr="00116940" w:rsidRDefault="0027006C" w:rsidP="00817137">
      <w:pPr>
        <w:spacing w:after="0" w:line="240" w:lineRule="auto"/>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414A3438" w14:textId="77777777" w:rsidR="0027006C" w:rsidRPr="00116940" w:rsidRDefault="0027006C" w:rsidP="00817137">
      <w:pPr>
        <w:spacing w:after="0" w:line="240" w:lineRule="auto"/>
        <w:jc w:val="both"/>
        <w:rPr>
          <w:rFonts w:ascii="Verdana" w:hAnsi="Verdana"/>
        </w:rPr>
      </w:pPr>
    </w:p>
    <w:p w14:paraId="56C214EB" w14:textId="77777777" w:rsidR="0027006C" w:rsidRPr="00116940" w:rsidRDefault="0027006C" w:rsidP="00817137">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6EA96DA2" w14:textId="77777777" w:rsidR="0027006C" w:rsidRPr="00116940" w:rsidRDefault="0027006C" w:rsidP="00817137">
      <w:pPr>
        <w:pStyle w:val="Prrafodelista"/>
        <w:numPr>
          <w:ilvl w:val="0"/>
          <w:numId w:val="15"/>
        </w:numPr>
        <w:spacing w:after="0" w:line="240" w:lineRule="auto"/>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74DFE020" w14:textId="77777777" w:rsidR="0027006C" w:rsidRPr="00116940" w:rsidRDefault="0027006C" w:rsidP="00817137">
      <w:pPr>
        <w:pStyle w:val="Prrafodelista"/>
        <w:numPr>
          <w:ilvl w:val="0"/>
          <w:numId w:val="15"/>
        </w:numPr>
        <w:spacing w:after="0" w:line="240" w:lineRule="auto"/>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9">
        <w:r w:rsidRPr="00116940">
          <w:rPr>
            <w:rStyle w:val="Hipervnculo"/>
            <w:rFonts w:ascii="Verdana" w:eastAsia="Verdana" w:hAnsi="Verdana" w:cs="Verdana"/>
            <w:lang w:val="es-MX"/>
          </w:rPr>
          <w:t>ventanilladeradicacion@colombiacompra.gov.co</w:t>
        </w:r>
      </w:hyperlink>
    </w:p>
    <w:p w14:paraId="4BA62AA1" w14:textId="77777777" w:rsidR="0027006C" w:rsidRPr="00116940" w:rsidRDefault="0027006C" w:rsidP="00817137">
      <w:pPr>
        <w:pStyle w:val="Prrafodelista"/>
        <w:numPr>
          <w:ilvl w:val="0"/>
          <w:numId w:val="15"/>
        </w:numPr>
        <w:spacing w:after="0" w:line="240" w:lineRule="auto"/>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20">
        <w:r w:rsidRPr="00116940">
          <w:rPr>
            <w:rStyle w:val="Hipervnculo"/>
            <w:rFonts w:ascii="Verdana" w:eastAsia="Verdana" w:hAnsi="Verdana" w:cs="Verdana"/>
            <w:lang w:val="es-MX"/>
          </w:rPr>
          <w:t>https://www.colombiacompra.gov.co/pqrsd/informacion-importante-antes-de-formular-una-pqrsd</w:t>
        </w:r>
      </w:hyperlink>
    </w:p>
    <w:p w14:paraId="40BE37D5" w14:textId="77777777" w:rsidR="0027006C" w:rsidRPr="00116940" w:rsidRDefault="0027006C" w:rsidP="00817137">
      <w:pPr>
        <w:spacing w:after="0" w:line="240" w:lineRule="auto"/>
        <w:ind w:left="720"/>
        <w:jc w:val="both"/>
        <w:rPr>
          <w:rFonts w:ascii="Verdana" w:hAnsi="Verdana"/>
        </w:rPr>
      </w:pPr>
    </w:p>
    <w:p w14:paraId="5C70BBF2" w14:textId="77777777" w:rsidR="0027006C" w:rsidRPr="00116940" w:rsidRDefault="0027006C" w:rsidP="00817137">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21"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6BE71D63" w14:textId="77777777" w:rsidR="0027006C" w:rsidRPr="00116940" w:rsidRDefault="0027006C" w:rsidP="00817137">
      <w:pPr>
        <w:spacing w:after="0" w:line="240" w:lineRule="auto"/>
        <w:rPr>
          <w:rFonts w:ascii="Verdana" w:hAnsi="Verdana"/>
        </w:rPr>
      </w:pPr>
    </w:p>
    <w:p w14:paraId="1C5F3D14" w14:textId="77777777" w:rsidR="0027006C" w:rsidRPr="00116940" w:rsidRDefault="0027006C" w:rsidP="00817137">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0CB6E124" w14:textId="77777777" w:rsidR="0027006C" w:rsidRPr="00116940" w:rsidRDefault="0027006C" w:rsidP="00817137">
      <w:pPr>
        <w:spacing w:after="0" w:line="240" w:lineRule="auto"/>
        <w:jc w:val="both"/>
        <w:rPr>
          <w:rFonts w:ascii="Verdana" w:hAnsi="Verdana"/>
        </w:rPr>
      </w:pPr>
    </w:p>
    <w:p w14:paraId="5EE7D062" w14:textId="77777777" w:rsidR="0027006C" w:rsidRPr="00116940" w:rsidRDefault="0027006C" w:rsidP="00817137">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7E32232E" w14:textId="77777777" w:rsidR="0027006C" w:rsidRPr="00116940" w:rsidRDefault="0027006C" w:rsidP="00817137">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647C84E9" w14:textId="77777777" w:rsidR="0027006C" w:rsidRPr="00116940" w:rsidRDefault="0027006C" w:rsidP="00817137">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1803B963" w14:textId="77777777" w:rsidR="0027006C" w:rsidRPr="00116940" w:rsidRDefault="0027006C" w:rsidP="00817137">
      <w:pPr>
        <w:spacing w:after="0" w:line="240" w:lineRule="auto"/>
        <w:jc w:val="both"/>
        <w:rPr>
          <w:rFonts w:ascii="Verdana" w:hAnsi="Verdana"/>
        </w:rPr>
      </w:pPr>
    </w:p>
    <w:p w14:paraId="61EBBD2A" w14:textId="77777777" w:rsidR="0027006C" w:rsidRPr="009037F6" w:rsidRDefault="0027006C" w:rsidP="00817137">
      <w:pPr>
        <w:spacing w:after="0" w:line="240"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BC4E8EC" w14:textId="77777777" w:rsidR="0027006C" w:rsidRPr="00492C4A" w:rsidRDefault="0027006C" w:rsidP="00817137">
      <w:pPr>
        <w:spacing w:after="0" w:line="240" w:lineRule="auto"/>
        <w:jc w:val="both"/>
        <w:rPr>
          <w:rFonts w:ascii="Verdana" w:eastAsia="Calibri" w:hAnsi="Verdana" w:cs="Times New Roman"/>
          <w:lang w:val="es-ES_tradnl"/>
        </w:rPr>
      </w:pPr>
    </w:p>
    <w:p w14:paraId="3C287875" w14:textId="77777777" w:rsidR="0027006C" w:rsidRPr="005B7C68" w:rsidRDefault="0027006C" w:rsidP="00817137">
      <w:pPr>
        <w:spacing w:after="0" w:line="240" w:lineRule="auto"/>
        <w:jc w:val="both"/>
        <w:rPr>
          <w:rFonts w:ascii="Verdana" w:eastAsia="Calibri" w:hAnsi="Verdana" w:cs="Times New Roman"/>
        </w:rPr>
      </w:pPr>
      <w:r w:rsidRPr="009037F6">
        <w:rPr>
          <w:rFonts w:ascii="Verdana" w:eastAsia="Calibri" w:hAnsi="Verdana" w:cs="Times New Roman"/>
        </w:rPr>
        <w:t>Atentamente,</w:t>
      </w:r>
    </w:p>
    <w:p w14:paraId="77A1E85B" w14:textId="065891E2" w:rsidR="0027006C" w:rsidRDefault="0027006C" w:rsidP="00817137">
      <w:pPr>
        <w:spacing w:after="0" w:line="240" w:lineRule="auto"/>
        <w:jc w:val="center"/>
        <w:rPr>
          <w:rFonts w:ascii="Century Gothic" w:hAnsi="Century Gothic"/>
          <w:noProof/>
          <w:sz w:val="16"/>
          <w:szCs w:val="16"/>
          <w:lang w:val="en-US"/>
        </w:rPr>
      </w:pPr>
    </w:p>
    <w:p w14:paraId="195BF2AE" w14:textId="2A60AFE4" w:rsidR="0027006C" w:rsidRPr="002961A6" w:rsidRDefault="0033214A" w:rsidP="00817137">
      <w:pPr>
        <w:spacing w:after="0" w:line="240" w:lineRule="auto"/>
        <w:jc w:val="center"/>
        <w:rPr>
          <w:rFonts w:ascii="Century Gothic" w:hAnsi="Century Gothic"/>
          <w:noProof/>
          <w:sz w:val="16"/>
          <w:szCs w:val="16"/>
          <w:lang w:val="en-US"/>
        </w:rPr>
      </w:pPr>
      <w:r w:rsidRPr="002C3AD6">
        <w:rPr>
          <w:rFonts w:ascii="Century Gothic" w:hAnsi="Century Gothic"/>
          <w:noProof/>
          <w:lang w:val="en-US"/>
        </w:rPr>
        <w:drawing>
          <wp:inline distT="0" distB="0" distL="0" distR="0" wp14:anchorId="5A488383" wp14:editId="2AEA0F95">
            <wp:extent cx="3279697" cy="1217463"/>
            <wp:effectExtent l="0" t="0" r="0" b="190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2"/>
                    <a:stretch>
                      <a:fillRect/>
                    </a:stretch>
                  </pic:blipFill>
                  <pic:spPr>
                    <a:xfrm>
                      <a:off x="0" y="0"/>
                      <a:ext cx="3312722" cy="1229722"/>
                    </a:xfrm>
                    <a:prstGeom prst="rect">
                      <a:avLst/>
                    </a:prstGeom>
                  </pic:spPr>
                </pic:pic>
              </a:graphicData>
            </a:graphic>
          </wp:inline>
        </w:drawing>
      </w: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27006C" w:rsidRPr="00D56F8A" w14:paraId="38B8FF13" w14:textId="77777777" w:rsidTr="00B60609">
        <w:trPr>
          <w:trHeight w:val="409"/>
        </w:trPr>
        <w:tc>
          <w:tcPr>
            <w:tcW w:w="817" w:type="dxa"/>
            <w:tcBorders>
              <w:top w:val="nil"/>
              <w:left w:val="nil"/>
              <w:bottom w:val="nil"/>
              <w:right w:val="nil"/>
            </w:tcBorders>
            <w:vAlign w:val="center"/>
            <w:hideMark/>
          </w:tcPr>
          <w:p w14:paraId="7779CE5B" w14:textId="77777777" w:rsidR="0027006C" w:rsidRPr="00D56F8A" w:rsidRDefault="0027006C" w:rsidP="00817137">
            <w:pPr>
              <w:spacing w:after="0" w:line="240" w:lineRule="auto"/>
              <w:rPr>
                <w:rFonts w:ascii="Verdana" w:eastAsia="Calibri" w:hAnsi="Verdana" w:cs="Times New Roman"/>
                <w:sz w:val="16"/>
                <w:szCs w:val="16"/>
              </w:rPr>
            </w:pPr>
            <w:r w:rsidRPr="00D56F8A">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16EE6E66" w14:textId="77777777" w:rsidR="0027006C" w:rsidRPr="00D56F8A" w:rsidRDefault="0027006C" w:rsidP="00817137">
            <w:pPr>
              <w:spacing w:after="0" w:line="240" w:lineRule="auto"/>
              <w:rPr>
                <w:rFonts w:ascii="Verdana" w:eastAsia="Calibri" w:hAnsi="Verdana" w:cs="Times New Roman"/>
                <w:sz w:val="16"/>
                <w:szCs w:val="16"/>
              </w:rPr>
            </w:pPr>
            <w:r w:rsidRPr="00D56F8A">
              <w:rPr>
                <w:rFonts w:ascii="Verdana" w:eastAsia="Calibri" w:hAnsi="Verdana" w:cs="Times New Roman"/>
                <w:sz w:val="16"/>
                <w:szCs w:val="16"/>
              </w:rPr>
              <w:t>José Luis Sánchez Cardona</w:t>
            </w:r>
          </w:p>
          <w:p w14:paraId="540E03EA" w14:textId="77777777" w:rsidR="0027006C" w:rsidRPr="00D56F8A" w:rsidRDefault="0027006C" w:rsidP="00817137">
            <w:pPr>
              <w:spacing w:after="0" w:line="240" w:lineRule="auto"/>
              <w:rPr>
                <w:rFonts w:ascii="Verdana" w:eastAsia="Calibri" w:hAnsi="Verdana" w:cs="Times New Roman"/>
                <w:sz w:val="16"/>
                <w:szCs w:val="16"/>
              </w:rPr>
            </w:pPr>
            <w:r w:rsidRPr="00D56F8A">
              <w:rPr>
                <w:rFonts w:ascii="Verdana" w:eastAsia="Calibri" w:hAnsi="Verdana" w:cs="Times New Roman"/>
                <w:sz w:val="16"/>
                <w:szCs w:val="16"/>
              </w:rPr>
              <w:t>Contratista de la Subdirección de Gestión Contractual</w:t>
            </w:r>
          </w:p>
        </w:tc>
      </w:tr>
      <w:tr w:rsidR="0027006C" w:rsidRPr="00D56F8A" w14:paraId="697DFF34" w14:textId="77777777" w:rsidTr="00B60609">
        <w:trPr>
          <w:trHeight w:val="409"/>
        </w:trPr>
        <w:tc>
          <w:tcPr>
            <w:tcW w:w="817" w:type="dxa"/>
            <w:tcBorders>
              <w:top w:val="nil"/>
              <w:left w:val="nil"/>
              <w:bottom w:val="nil"/>
              <w:right w:val="nil"/>
            </w:tcBorders>
            <w:vAlign w:val="center"/>
            <w:hideMark/>
          </w:tcPr>
          <w:p w14:paraId="2C1E584A" w14:textId="77777777" w:rsidR="0027006C" w:rsidRPr="00D56F8A" w:rsidRDefault="0027006C" w:rsidP="00817137">
            <w:pPr>
              <w:spacing w:after="0" w:line="240" w:lineRule="auto"/>
              <w:rPr>
                <w:rFonts w:ascii="Verdana" w:eastAsia="Calibri" w:hAnsi="Verdana" w:cs="Times New Roman"/>
                <w:sz w:val="16"/>
                <w:szCs w:val="16"/>
              </w:rPr>
            </w:pPr>
            <w:r w:rsidRPr="00D56F8A">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232DE74D" w14:textId="77777777" w:rsidR="0027006C" w:rsidRPr="00D56F8A" w:rsidRDefault="0027006C" w:rsidP="00817137">
            <w:pPr>
              <w:spacing w:after="0" w:line="240" w:lineRule="auto"/>
              <w:rPr>
                <w:rFonts w:ascii="Verdana" w:eastAsia="Calibri" w:hAnsi="Verdana" w:cs="Times New Roman"/>
                <w:sz w:val="16"/>
                <w:szCs w:val="16"/>
              </w:rPr>
            </w:pPr>
            <w:r w:rsidRPr="00D56F8A">
              <w:rPr>
                <w:rFonts w:ascii="Verdana" w:eastAsia="Calibri" w:hAnsi="Verdana" w:cs="Times New Roman"/>
                <w:sz w:val="16"/>
                <w:szCs w:val="16"/>
              </w:rPr>
              <w:t>Alejandro R. Sarmiento Cantillo</w:t>
            </w:r>
          </w:p>
          <w:p w14:paraId="330F3556" w14:textId="77777777" w:rsidR="0027006C" w:rsidRPr="00D56F8A" w:rsidRDefault="0027006C" w:rsidP="00817137">
            <w:pPr>
              <w:spacing w:after="0" w:line="240" w:lineRule="auto"/>
              <w:rPr>
                <w:rFonts w:ascii="Verdana" w:eastAsia="Calibri" w:hAnsi="Verdana" w:cs="Times New Roman"/>
                <w:sz w:val="16"/>
                <w:szCs w:val="16"/>
              </w:rPr>
            </w:pPr>
            <w:r w:rsidRPr="00D56F8A">
              <w:rPr>
                <w:rFonts w:ascii="Verdana" w:eastAsia="Calibri" w:hAnsi="Verdana" w:cs="Times New Roman"/>
                <w:sz w:val="16"/>
                <w:szCs w:val="16"/>
              </w:rPr>
              <w:t>Gestor T1-15 de la Subdirección de Gestión Contractual </w:t>
            </w:r>
          </w:p>
        </w:tc>
      </w:tr>
      <w:tr w:rsidR="0027006C" w:rsidRPr="00D56F8A" w14:paraId="19F7CF61" w14:textId="77777777" w:rsidTr="00B60609">
        <w:trPr>
          <w:trHeight w:val="389"/>
        </w:trPr>
        <w:tc>
          <w:tcPr>
            <w:tcW w:w="817" w:type="dxa"/>
            <w:tcBorders>
              <w:top w:val="nil"/>
              <w:left w:val="nil"/>
              <w:bottom w:val="nil"/>
              <w:right w:val="nil"/>
            </w:tcBorders>
            <w:vAlign w:val="center"/>
            <w:hideMark/>
          </w:tcPr>
          <w:p w14:paraId="21B45B5D" w14:textId="77777777" w:rsidR="0027006C" w:rsidRPr="00D56F8A" w:rsidRDefault="0027006C" w:rsidP="00817137">
            <w:pPr>
              <w:spacing w:after="0" w:line="240" w:lineRule="auto"/>
              <w:rPr>
                <w:rFonts w:ascii="Verdana" w:eastAsia="Calibri" w:hAnsi="Verdana" w:cs="Times New Roman"/>
                <w:sz w:val="16"/>
                <w:szCs w:val="16"/>
              </w:rPr>
            </w:pPr>
            <w:r w:rsidRPr="00D56F8A">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1F21C0B9" w14:textId="77777777" w:rsidR="0027006C" w:rsidRPr="00D56F8A" w:rsidRDefault="0027006C" w:rsidP="00817137">
            <w:pPr>
              <w:spacing w:after="0" w:line="240" w:lineRule="auto"/>
              <w:rPr>
                <w:rFonts w:ascii="Verdana" w:eastAsia="Calibri" w:hAnsi="Verdana" w:cs="Times New Roman"/>
                <w:sz w:val="16"/>
                <w:szCs w:val="16"/>
              </w:rPr>
            </w:pPr>
            <w:r w:rsidRPr="00D56F8A">
              <w:rPr>
                <w:rFonts w:ascii="Verdana" w:eastAsia="Calibri" w:hAnsi="Verdana" w:cs="Times New Roman"/>
                <w:sz w:val="16"/>
                <w:szCs w:val="16"/>
              </w:rPr>
              <w:t>Carolina Quintero Gacharná</w:t>
            </w:r>
          </w:p>
          <w:p w14:paraId="6CEB4D0D" w14:textId="77777777" w:rsidR="0027006C" w:rsidRPr="00D56F8A" w:rsidRDefault="0027006C" w:rsidP="00817137">
            <w:pPr>
              <w:spacing w:after="0" w:line="240" w:lineRule="auto"/>
              <w:rPr>
                <w:rFonts w:ascii="Verdana" w:eastAsia="Calibri" w:hAnsi="Verdana" w:cs="Times New Roman"/>
                <w:sz w:val="16"/>
                <w:szCs w:val="16"/>
              </w:rPr>
            </w:pPr>
            <w:r w:rsidRPr="00D56F8A">
              <w:rPr>
                <w:rFonts w:ascii="Verdana" w:eastAsia="Calibri" w:hAnsi="Verdana" w:cs="Times New Roman"/>
                <w:sz w:val="16"/>
                <w:szCs w:val="16"/>
              </w:rPr>
              <w:t>Subdirectora de Gestión Contractual ANCP – CCE</w:t>
            </w:r>
          </w:p>
        </w:tc>
      </w:tr>
      <w:bookmarkEnd w:id="0"/>
    </w:tbl>
    <w:p w14:paraId="0CA675C3" w14:textId="604CED42" w:rsidR="0027006C" w:rsidRPr="000E2B93" w:rsidRDefault="0027006C" w:rsidP="00817137">
      <w:pPr>
        <w:spacing w:after="0" w:line="240" w:lineRule="auto"/>
        <w:textAlignment w:val="baseline"/>
        <w:rPr>
          <w:rFonts w:ascii="Verdana" w:eastAsia="Verdana" w:hAnsi="Verdana" w:cs="Verdana"/>
          <w:lang w:eastAsia="es-CO"/>
        </w:rPr>
      </w:pPr>
    </w:p>
    <w:p w14:paraId="73C61EC8" w14:textId="25F12F46" w:rsidR="00EB224C" w:rsidRPr="0027006C" w:rsidRDefault="00EB224C" w:rsidP="00817137">
      <w:pPr>
        <w:spacing w:line="240" w:lineRule="auto"/>
      </w:pPr>
    </w:p>
    <w:sectPr w:rsidR="00EB224C" w:rsidRPr="0027006C" w:rsidSect="007C0C0F">
      <w:headerReference w:type="default" r:id="rId23"/>
      <w:footerReference w:type="default" r:id="rId2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B7C7D" w14:textId="77777777" w:rsidR="006D5D17" w:rsidRDefault="006D5D17" w:rsidP="004A1847">
      <w:pPr>
        <w:spacing w:after="0" w:line="240" w:lineRule="auto"/>
      </w:pPr>
      <w:r>
        <w:separator/>
      </w:r>
    </w:p>
  </w:endnote>
  <w:endnote w:type="continuationSeparator" w:id="0">
    <w:p w14:paraId="7AB88DC1" w14:textId="77777777" w:rsidR="006D5D17" w:rsidRDefault="006D5D1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orbel"/>
    <w:panose1 w:val="00000000000000000000"/>
    <w:charset w:val="00"/>
    <w:family w:val="modern"/>
    <w:notTrueType/>
    <w:pitch w:val="variable"/>
    <w:sig w:usb0="A000002F" w:usb1="1000004A" w:usb2="00000000" w:usb3="00000000" w:csb0="00000193" w:csb1="00000000"/>
  </w:font>
  <w:font w:name="Geomanist">
    <w:altName w:val="Corbel"/>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Arial MT">
    <w:altName w:val="Arial"/>
    <w:charset w:val="01"/>
    <w:family w:val="swiss"/>
    <w:pitch w:val="variable"/>
  </w:font>
  <w:font w:name="EhrhardtMTStd">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4290AB2A"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FD1DDC" w:rsidRPr="00FD1DDC">
      <w:rPr>
        <w:rFonts w:ascii="Verdana" w:eastAsiaTheme="minorEastAsia" w:hAnsi="Verdana"/>
        <w:b/>
        <w:bCs/>
        <w:noProof/>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EE343" w14:textId="77777777" w:rsidR="006D5D17" w:rsidRDefault="006D5D17" w:rsidP="004A1847">
      <w:pPr>
        <w:spacing w:after="0" w:line="240" w:lineRule="auto"/>
      </w:pPr>
      <w:r>
        <w:separator/>
      </w:r>
    </w:p>
  </w:footnote>
  <w:footnote w:type="continuationSeparator" w:id="0">
    <w:p w14:paraId="543E718A" w14:textId="77777777" w:rsidR="006D5D17" w:rsidRDefault="006D5D17" w:rsidP="004A1847">
      <w:pPr>
        <w:spacing w:after="0" w:line="240" w:lineRule="auto"/>
      </w:pPr>
      <w:r>
        <w:continuationSeparator/>
      </w:r>
    </w:p>
  </w:footnote>
  <w:footnote w:id="1">
    <w:p w14:paraId="3E095AC2" w14:textId="77777777" w:rsidR="00817137" w:rsidRPr="00BB7987" w:rsidRDefault="00817137" w:rsidP="00817137">
      <w:pPr>
        <w:pStyle w:val="Textonotapie"/>
        <w:ind w:firstLine="708"/>
        <w:jc w:val="both"/>
        <w:rPr>
          <w:rFonts w:ascii="Verdana" w:hAnsi="Verdana"/>
          <w:sz w:val="16"/>
          <w:szCs w:val="16"/>
          <w:lang w:val="es-CO"/>
        </w:rPr>
      </w:pPr>
      <w:r w:rsidRPr="00BB7987">
        <w:rPr>
          <w:rStyle w:val="Refdenotaalpie"/>
          <w:rFonts w:ascii="Verdana" w:hAnsi="Verdana"/>
          <w:sz w:val="16"/>
          <w:szCs w:val="16"/>
        </w:rPr>
        <w:footnoteRef/>
      </w:r>
      <w:r w:rsidRPr="00BB7987">
        <w:rPr>
          <w:rFonts w:ascii="Verdana" w:hAnsi="Verdana"/>
          <w:sz w:val="16"/>
          <w:szCs w:val="16"/>
        </w:rPr>
        <w:t xml:space="preserve"> Código Civil: “Articulo 1602. Todo contrato legalmente celebrado es una ley para los contratantes, y no puede ser invalidado sino por su consentimiento mutuo o por causas legales”.</w:t>
      </w:r>
    </w:p>
  </w:footnote>
  <w:footnote w:id="2">
    <w:p w14:paraId="10AD17FF" w14:textId="77777777" w:rsidR="00815710" w:rsidRPr="00815710" w:rsidRDefault="00815710" w:rsidP="00815710">
      <w:pPr>
        <w:pStyle w:val="Textonotapie"/>
        <w:ind w:firstLine="708"/>
        <w:jc w:val="both"/>
        <w:rPr>
          <w:rFonts w:ascii="Verdana" w:hAnsi="Verdana"/>
          <w:sz w:val="16"/>
          <w:szCs w:val="16"/>
          <w:lang w:val="en-US"/>
        </w:rPr>
      </w:pPr>
      <w:r w:rsidRPr="00BB7987">
        <w:rPr>
          <w:rStyle w:val="Refdenotaalpie"/>
          <w:rFonts w:ascii="Verdana" w:hAnsi="Verdana"/>
          <w:sz w:val="16"/>
          <w:szCs w:val="16"/>
        </w:rPr>
        <w:footnoteRef/>
      </w:r>
      <w:r w:rsidRPr="00BB7987">
        <w:rPr>
          <w:rFonts w:ascii="Verdana" w:hAnsi="Verdana"/>
          <w:sz w:val="16"/>
          <w:szCs w:val="16"/>
        </w:rPr>
        <w:t xml:space="preserve"> </w:t>
      </w:r>
      <w:r w:rsidRPr="00BB7987">
        <w:rPr>
          <w:rFonts w:ascii="Verdana" w:hAnsi="Verdana" w:cs="Arial"/>
          <w:color w:val="000000"/>
          <w:sz w:val="16"/>
          <w:szCs w:val="16"/>
        </w:rPr>
        <w:t xml:space="preserve">DÍAZ DÍEZ, Cristian Andrés. La liquidación. </w:t>
      </w:r>
      <w:r w:rsidRPr="00815710">
        <w:rPr>
          <w:rFonts w:ascii="Verdana" w:hAnsi="Verdana" w:cs="Arial"/>
          <w:color w:val="000000"/>
          <w:sz w:val="16"/>
          <w:szCs w:val="16"/>
          <w:lang w:val="en-US"/>
        </w:rPr>
        <w:t xml:space="preserve">Op. cit. p. 207. </w:t>
      </w:r>
    </w:p>
  </w:footnote>
  <w:footnote w:id="3">
    <w:p w14:paraId="7E48756C" w14:textId="77777777" w:rsidR="0027006C" w:rsidRPr="00BB7987" w:rsidRDefault="0027006C" w:rsidP="0027006C">
      <w:pPr>
        <w:pStyle w:val="Textonotapie"/>
        <w:ind w:firstLine="709"/>
        <w:jc w:val="both"/>
        <w:rPr>
          <w:rFonts w:ascii="Verdana" w:hAnsi="Verdana" w:cs="Arial"/>
          <w:sz w:val="16"/>
          <w:szCs w:val="16"/>
        </w:rPr>
      </w:pPr>
      <w:r w:rsidRPr="00BB7987">
        <w:rPr>
          <w:rStyle w:val="Refdenotaalpie"/>
          <w:rFonts w:ascii="Verdana" w:hAnsi="Verdana" w:cs="Arial"/>
          <w:sz w:val="16"/>
          <w:szCs w:val="16"/>
        </w:rPr>
        <w:footnoteRef/>
      </w:r>
      <w:r w:rsidRPr="00BB7987">
        <w:rPr>
          <w:rFonts w:ascii="Verdana" w:hAnsi="Verdana" w:cs="Arial"/>
          <w:sz w:val="16"/>
          <w:szCs w:val="16"/>
        </w:rPr>
        <w:t xml:space="preserve"> Consejo de Estado. Sección Tercera, Subsección A. Sentencia del 1 de octubre de 2018. C.P. Marta Nubia Velásquez Rico. </w:t>
      </w:r>
      <w:proofErr w:type="spellStart"/>
      <w:r w:rsidRPr="00BB7987">
        <w:rPr>
          <w:rFonts w:ascii="Verdana" w:hAnsi="Verdana" w:cs="Arial"/>
          <w:sz w:val="16"/>
          <w:szCs w:val="16"/>
        </w:rPr>
        <w:t>Exp</w:t>
      </w:r>
      <w:proofErr w:type="spellEnd"/>
      <w:r w:rsidRPr="00BB7987">
        <w:rPr>
          <w:rFonts w:ascii="Verdana" w:hAnsi="Verdana" w:cs="Arial"/>
          <w:sz w:val="16"/>
          <w:szCs w:val="16"/>
        </w:rPr>
        <w:t>. 57.897.</w:t>
      </w:r>
    </w:p>
  </w:footnote>
  <w:footnote w:id="4">
    <w:p w14:paraId="3CCD99BC" w14:textId="77777777" w:rsidR="0027006C" w:rsidRPr="00BB7987" w:rsidRDefault="0027006C" w:rsidP="0027006C">
      <w:pPr>
        <w:pStyle w:val="Textonotapie"/>
        <w:ind w:firstLine="709"/>
        <w:jc w:val="both"/>
        <w:rPr>
          <w:rFonts w:ascii="Verdana" w:hAnsi="Verdana" w:cs="Arial"/>
          <w:sz w:val="16"/>
          <w:szCs w:val="16"/>
        </w:rPr>
      </w:pPr>
      <w:r w:rsidRPr="00BB7987">
        <w:rPr>
          <w:rStyle w:val="Refdenotaalpie"/>
          <w:rFonts w:ascii="Verdana" w:hAnsi="Verdana" w:cs="Arial"/>
          <w:sz w:val="16"/>
          <w:szCs w:val="16"/>
        </w:rPr>
        <w:footnoteRef/>
      </w:r>
      <w:r w:rsidRPr="00BB7987">
        <w:rPr>
          <w:rFonts w:ascii="Verdana" w:hAnsi="Verdana" w:cs="Arial"/>
          <w:sz w:val="16"/>
          <w:szCs w:val="16"/>
        </w:rPr>
        <w:t xml:space="preserve"> Cfr. Consejo de Estado. Sección Tercera, Subsección B. Sentencia del 1 de junio de 2017. C.P. Ramiro Pazos Guerrero. </w:t>
      </w:r>
      <w:proofErr w:type="spellStart"/>
      <w:r w:rsidRPr="00BB7987">
        <w:rPr>
          <w:rFonts w:ascii="Verdana" w:hAnsi="Verdana" w:cs="Arial"/>
          <w:sz w:val="16"/>
          <w:szCs w:val="16"/>
        </w:rPr>
        <w:t>Exp</w:t>
      </w:r>
      <w:proofErr w:type="spellEnd"/>
      <w:r w:rsidRPr="00BB7987">
        <w:rPr>
          <w:rFonts w:ascii="Verdana" w:hAnsi="Verdana" w:cs="Arial"/>
          <w:sz w:val="16"/>
          <w:szCs w:val="16"/>
        </w:rPr>
        <w:t>. 36.117, en la cual se analizó la suspensión de un contrato estatal debido a un paro armado promovido por grupos al margen de la ley en el sitio de ejecución de la obra.</w:t>
      </w:r>
    </w:p>
  </w:footnote>
  <w:footnote w:id="5">
    <w:p w14:paraId="368F918C" w14:textId="77777777" w:rsidR="0027006C" w:rsidRPr="00BB7987" w:rsidRDefault="0027006C" w:rsidP="0027006C">
      <w:pPr>
        <w:pStyle w:val="Textonotapie"/>
        <w:ind w:firstLine="709"/>
        <w:jc w:val="both"/>
        <w:rPr>
          <w:rFonts w:ascii="Verdana" w:hAnsi="Verdana" w:cs="Arial"/>
          <w:sz w:val="16"/>
          <w:szCs w:val="16"/>
          <w:lang w:val="es-CO"/>
        </w:rPr>
      </w:pPr>
      <w:r w:rsidRPr="00BB7987">
        <w:rPr>
          <w:rStyle w:val="Refdenotaalpie"/>
          <w:rFonts w:ascii="Verdana" w:hAnsi="Verdana" w:cs="Arial"/>
          <w:sz w:val="16"/>
          <w:szCs w:val="16"/>
        </w:rPr>
        <w:footnoteRef/>
      </w:r>
      <w:r w:rsidRPr="00BB7987">
        <w:rPr>
          <w:rFonts w:ascii="Verdana" w:hAnsi="Verdana" w:cs="Arial"/>
          <w:sz w:val="16"/>
          <w:szCs w:val="16"/>
        </w:rPr>
        <w:t xml:space="preserve"> </w:t>
      </w:r>
      <w:r w:rsidRPr="00BB7987">
        <w:rPr>
          <w:rFonts w:ascii="Verdana" w:hAnsi="Verdana" w:cs="Arial"/>
          <w:sz w:val="16"/>
          <w:szCs w:val="16"/>
          <w:lang w:val="es-ES"/>
        </w:rPr>
        <w:t>El artículo 64 del Código Civil define la fuerza mayor o caso fortuito como “el imprevisto o que no es posible resistir, como un naufragio, un terremoto, el apresamiento de enemigos, los actos de autoridad ejercidos por un funcionario público, etc.”.</w:t>
      </w:r>
    </w:p>
  </w:footnote>
  <w:footnote w:id="6">
    <w:p w14:paraId="3CCF6FF1" w14:textId="77777777" w:rsidR="0027006C" w:rsidRPr="00BB7987" w:rsidRDefault="0027006C" w:rsidP="0027006C">
      <w:pPr>
        <w:pStyle w:val="Textonotapie"/>
        <w:ind w:firstLine="709"/>
        <w:jc w:val="both"/>
        <w:rPr>
          <w:rFonts w:ascii="Verdana" w:hAnsi="Verdana" w:cs="Arial"/>
          <w:sz w:val="16"/>
          <w:szCs w:val="16"/>
          <w:lang w:val="es-CO"/>
        </w:rPr>
      </w:pPr>
      <w:r w:rsidRPr="00BB7987">
        <w:rPr>
          <w:rStyle w:val="Refdenotaalpie"/>
          <w:rFonts w:ascii="Verdana" w:hAnsi="Verdana" w:cs="Arial"/>
          <w:sz w:val="16"/>
          <w:szCs w:val="16"/>
        </w:rPr>
        <w:footnoteRef/>
      </w:r>
      <w:r w:rsidRPr="00BB7987">
        <w:rPr>
          <w:rFonts w:ascii="Verdana" w:hAnsi="Verdana" w:cs="Arial"/>
          <w:sz w:val="16"/>
          <w:szCs w:val="16"/>
        </w:rPr>
        <w:t xml:space="preserve"> “[…] en pronunciamiento del año 2012, la Sala de esta Subsección señaló que la suspensión del contrato, más estrictamente de la ejecución del contrato, como medida excepcional procede, por regla general, de consuno entre las partes, cuando situaciones de fuerza mayor, caso fortuito o de interés público impidan, temporalmente, cumplir el objeto de las obligaciones a cargo de las partes contratantes, de modo que el principal efecto que se desprende de la suspensión es que las obligaciones convenidas no pueden hacerse exigibles mientras perdure la medida y, por lo mismo, el término o plazo pactado del contrato (de ejecución o extintivo) no corre mientras permanezca suspendido. Por esa misma razón, la suspensión debe estar sujeta a un modo específico, plazo o condición, pactado con criterios de razonabilidad y proporcionalidad, acorde con la situación que se presente en cada caso, pero no puede permanecer indefinida en el tiempo» (Consejo de Estado. Sección Tercera, Subsección B. Sentencia del 16 de julio de 2015. C.P. Carlos Alberto Zambrano Barrera. </w:t>
      </w:r>
      <w:proofErr w:type="spellStart"/>
      <w:r w:rsidRPr="00BB7987">
        <w:rPr>
          <w:rFonts w:ascii="Verdana" w:hAnsi="Verdana" w:cs="Arial"/>
          <w:sz w:val="16"/>
          <w:szCs w:val="16"/>
        </w:rPr>
        <w:t>Exp</w:t>
      </w:r>
      <w:proofErr w:type="spellEnd"/>
      <w:r w:rsidRPr="00BB7987">
        <w:rPr>
          <w:rFonts w:ascii="Verdana" w:hAnsi="Verdana" w:cs="Arial"/>
          <w:sz w:val="16"/>
          <w:szCs w:val="16"/>
        </w:rPr>
        <w:t>. 31.634).</w:t>
      </w:r>
    </w:p>
  </w:footnote>
  <w:footnote w:id="7">
    <w:p w14:paraId="7D064059" w14:textId="77777777" w:rsidR="0027006C" w:rsidRPr="00BB7987" w:rsidRDefault="0027006C" w:rsidP="0027006C">
      <w:pPr>
        <w:pStyle w:val="Textonotapie"/>
        <w:ind w:firstLine="709"/>
        <w:jc w:val="both"/>
        <w:rPr>
          <w:rFonts w:ascii="Verdana" w:hAnsi="Verdana" w:cs="Arial"/>
          <w:sz w:val="16"/>
          <w:szCs w:val="16"/>
          <w:lang w:val="es-ES"/>
        </w:rPr>
      </w:pPr>
      <w:r w:rsidRPr="00BB7987">
        <w:rPr>
          <w:rStyle w:val="Refdenotaalpie"/>
          <w:rFonts w:ascii="Verdana" w:hAnsi="Verdana" w:cs="Arial"/>
          <w:sz w:val="16"/>
          <w:szCs w:val="16"/>
        </w:rPr>
        <w:footnoteRef/>
      </w:r>
      <w:r w:rsidRPr="00BB7987">
        <w:rPr>
          <w:rFonts w:ascii="Verdana" w:hAnsi="Verdana" w:cs="Arial"/>
          <w:sz w:val="16"/>
          <w:szCs w:val="16"/>
        </w:rPr>
        <w:t xml:space="preserve"> </w:t>
      </w:r>
      <w:r w:rsidRPr="00BB7987">
        <w:rPr>
          <w:rFonts w:ascii="Verdana" w:hAnsi="Verdana" w:cs="Arial"/>
          <w:sz w:val="16"/>
          <w:szCs w:val="16"/>
          <w:lang w:val="es-ES"/>
        </w:rPr>
        <w:t>En circunstancias como la mencionada la entidad podría hacer uso de las cláusulas de caducidad o de terminación unilateral, reguladas en los artículos 17 y 18 de la Ley 80 de 1993, según el caso.</w:t>
      </w:r>
    </w:p>
  </w:footnote>
  <w:footnote w:id="8">
    <w:p w14:paraId="73DF8154" w14:textId="77777777" w:rsidR="0027006C" w:rsidRPr="00BB7987" w:rsidRDefault="0027006C" w:rsidP="0027006C">
      <w:pPr>
        <w:pStyle w:val="Textonotapie"/>
        <w:ind w:firstLine="709"/>
        <w:jc w:val="both"/>
        <w:rPr>
          <w:rFonts w:ascii="Verdana" w:hAnsi="Verdana" w:cs="Arial"/>
          <w:sz w:val="16"/>
          <w:szCs w:val="16"/>
        </w:rPr>
      </w:pPr>
      <w:r w:rsidRPr="00BB7987">
        <w:rPr>
          <w:rStyle w:val="Refdenotaalpie"/>
          <w:rFonts w:ascii="Verdana" w:hAnsi="Verdana" w:cs="Arial"/>
          <w:sz w:val="16"/>
          <w:szCs w:val="16"/>
        </w:rPr>
        <w:footnoteRef/>
      </w:r>
      <w:r w:rsidRPr="00BB7987">
        <w:rPr>
          <w:rFonts w:ascii="Verdana" w:hAnsi="Verdana" w:cs="Arial"/>
          <w:sz w:val="16"/>
          <w:szCs w:val="16"/>
        </w:rPr>
        <w:t xml:space="preserve"> Consejo de Estado. Sección Tercera, Subsección C. Auto del 10 de mayo de 2019. C.P. Guillermo Sánchez Luque. Expediente: 59.532.</w:t>
      </w:r>
    </w:p>
    <w:p w14:paraId="60715C0A" w14:textId="77777777" w:rsidR="0027006C" w:rsidRPr="00BB7987" w:rsidRDefault="0027006C" w:rsidP="0027006C">
      <w:pPr>
        <w:pStyle w:val="Textonotapie"/>
        <w:ind w:firstLine="709"/>
        <w:jc w:val="both"/>
        <w:rPr>
          <w:rFonts w:ascii="Verdana" w:hAnsi="Verdana" w:cs="Arial"/>
          <w:sz w:val="16"/>
          <w:szCs w:val="16"/>
          <w:lang w:val="es-CO"/>
        </w:rPr>
      </w:pPr>
    </w:p>
  </w:footnote>
  <w:footnote w:id="9">
    <w:p w14:paraId="77E4D474" w14:textId="77777777" w:rsidR="0027006C" w:rsidRPr="00BB7987" w:rsidRDefault="0027006C" w:rsidP="0027006C">
      <w:pPr>
        <w:pStyle w:val="Textonotapie"/>
        <w:ind w:firstLine="708"/>
        <w:jc w:val="both"/>
        <w:rPr>
          <w:rFonts w:ascii="Verdana" w:hAnsi="Verdana"/>
          <w:sz w:val="16"/>
          <w:szCs w:val="16"/>
          <w:lang w:val="es-CO"/>
        </w:rPr>
      </w:pPr>
      <w:r w:rsidRPr="00BB7987">
        <w:rPr>
          <w:rStyle w:val="Refdenotaalpie"/>
          <w:rFonts w:ascii="Verdana" w:hAnsi="Verdana"/>
          <w:sz w:val="16"/>
          <w:szCs w:val="16"/>
        </w:rPr>
        <w:footnoteRef/>
      </w:r>
      <w:r w:rsidRPr="00BB7987">
        <w:rPr>
          <w:rFonts w:ascii="Verdana" w:hAnsi="Verdana"/>
          <w:sz w:val="16"/>
          <w:szCs w:val="16"/>
        </w:rPr>
        <w:t xml:space="preserve"> </w:t>
      </w:r>
      <w:r w:rsidRPr="00BB7987">
        <w:rPr>
          <w:rFonts w:ascii="Verdana" w:eastAsia="Arial MT" w:hAnsi="Verdana" w:cs="Arial"/>
          <w:color w:val="000000"/>
          <w:sz w:val="16"/>
          <w:szCs w:val="16"/>
          <w:lang w:val="es-ES"/>
        </w:rPr>
        <w:t>La</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jurisprudencia</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contencioso-administrativa,</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por</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su</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parte,</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ha</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considerado</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que</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la</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obligación de vigilar la correcta ejecución del objeto contractual es una función de la entidad</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contratante,</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en</w:t>
      </w:r>
      <w:r w:rsidRPr="00BB7987">
        <w:rPr>
          <w:rFonts w:ascii="Verdana" w:eastAsia="Arial MT" w:hAnsi="Verdana" w:cs="Arial"/>
          <w:color w:val="000000"/>
          <w:spacing w:val="-2"/>
          <w:sz w:val="16"/>
          <w:szCs w:val="16"/>
          <w:lang w:val="es-ES"/>
        </w:rPr>
        <w:t xml:space="preserve"> </w:t>
      </w:r>
      <w:r w:rsidRPr="00BB7987">
        <w:rPr>
          <w:rFonts w:ascii="Verdana" w:eastAsia="Arial MT" w:hAnsi="Verdana" w:cs="Arial"/>
          <w:color w:val="000000"/>
          <w:sz w:val="16"/>
          <w:szCs w:val="16"/>
          <w:lang w:val="es-ES"/>
        </w:rPr>
        <w:t>los siguientes</w:t>
      </w:r>
      <w:r w:rsidRPr="00BB7987">
        <w:rPr>
          <w:rFonts w:ascii="Verdana" w:eastAsia="Arial MT" w:hAnsi="Verdana" w:cs="Arial"/>
          <w:color w:val="000000"/>
          <w:spacing w:val="-1"/>
          <w:sz w:val="16"/>
          <w:szCs w:val="16"/>
          <w:lang w:val="es-ES"/>
        </w:rPr>
        <w:t xml:space="preserve"> </w:t>
      </w:r>
      <w:r w:rsidRPr="00BB7987">
        <w:rPr>
          <w:rFonts w:ascii="Verdana" w:eastAsia="Arial MT" w:hAnsi="Verdana" w:cs="Arial"/>
          <w:color w:val="000000"/>
          <w:sz w:val="16"/>
          <w:szCs w:val="16"/>
          <w:lang w:val="es-ES"/>
        </w:rPr>
        <w:t>términos: “La función de vigilancia y control del contrato estatal supone el cuidado y la supervisión, de forma tal que en ejercicio de esa función, quien administra la adecuada y oportuna ejecución del contrato no sólo debe velar por que las partes den cumplimiento a las obligaciones contractuales, sino que el contrato se ejecute en el tiempo y la forma convenidos, para de esta forma garantizar la satisfacción de las  necesidades que la administración buscaba alcanzar con la celebración del respectivo contrato” (</w:t>
      </w:r>
      <w:r w:rsidRPr="00BB7987">
        <w:rPr>
          <w:rFonts w:ascii="Verdana" w:eastAsia="Calibri" w:hAnsi="Verdana" w:cs="Arial"/>
          <w:spacing w:val="-1"/>
          <w:sz w:val="16"/>
          <w:szCs w:val="16"/>
          <w:lang w:val="es-CO"/>
        </w:rPr>
        <w:t>Consejo</w:t>
      </w:r>
      <w:r w:rsidRPr="00BB7987">
        <w:rPr>
          <w:rFonts w:ascii="Verdana" w:eastAsia="Calibri" w:hAnsi="Verdana" w:cs="Arial"/>
          <w:spacing w:val="-13"/>
          <w:sz w:val="16"/>
          <w:szCs w:val="16"/>
          <w:lang w:val="es-CO"/>
        </w:rPr>
        <w:t xml:space="preserve"> </w:t>
      </w:r>
      <w:r w:rsidRPr="00BB7987">
        <w:rPr>
          <w:rFonts w:ascii="Verdana" w:eastAsia="Calibri" w:hAnsi="Verdana" w:cs="Arial"/>
          <w:spacing w:val="-1"/>
          <w:sz w:val="16"/>
          <w:szCs w:val="16"/>
          <w:lang w:val="es-CO"/>
        </w:rPr>
        <w:t>de</w:t>
      </w:r>
      <w:r w:rsidRPr="00BB7987">
        <w:rPr>
          <w:rFonts w:ascii="Verdana" w:eastAsia="Calibri" w:hAnsi="Verdana" w:cs="Arial"/>
          <w:spacing w:val="-13"/>
          <w:sz w:val="16"/>
          <w:szCs w:val="16"/>
          <w:lang w:val="es-CO"/>
        </w:rPr>
        <w:t xml:space="preserve"> </w:t>
      </w:r>
      <w:r w:rsidRPr="00BB7987">
        <w:rPr>
          <w:rFonts w:ascii="Verdana" w:eastAsia="Calibri" w:hAnsi="Verdana" w:cs="Arial"/>
          <w:spacing w:val="-1"/>
          <w:sz w:val="16"/>
          <w:szCs w:val="16"/>
          <w:lang w:val="es-CO"/>
        </w:rPr>
        <w:t>Estado.</w:t>
      </w:r>
      <w:r w:rsidRPr="00BB7987">
        <w:rPr>
          <w:rFonts w:ascii="Verdana" w:eastAsia="Calibri" w:hAnsi="Verdana" w:cs="Arial"/>
          <w:spacing w:val="-12"/>
          <w:sz w:val="16"/>
          <w:szCs w:val="16"/>
          <w:lang w:val="es-CO"/>
        </w:rPr>
        <w:t xml:space="preserve"> </w:t>
      </w:r>
      <w:r w:rsidRPr="00BB7987">
        <w:rPr>
          <w:rFonts w:ascii="Verdana" w:eastAsia="Calibri" w:hAnsi="Verdana" w:cs="Arial"/>
          <w:spacing w:val="-1"/>
          <w:sz w:val="16"/>
          <w:szCs w:val="16"/>
          <w:lang w:val="es-CO"/>
        </w:rPr>
        <w:t>Sección</w:t>
      </w:r>
      <w:r w:rsidRPr="00BB7987">
        <w:rPr>
          <w:rFonts w:ascii="Verdana" w:eastAsia="Calibri" w:hAnsi="Verdana" w:cs="Arial"/>
          <w:spacing w:val="-11"/>
          <w:sz w:val="16"/>
          <w:szCs w:val="16"/>
          <w:lang w:val="es-CO"/>
        </w:rPr>
        <w:t xml:space="preserve"> </w:t>
      </w:r>
      <w:r w:rsidRPr="00BB7987">
        <w:rPr>
          <w:rFonts w:ascii="Verdana" w:eastAsia="Calibri" w:hAnsi="Verdana" w:cs="Arial"/>
          <w:sz w:val="16"/>
          <w:szCs w:val="16"/>
          <w:lang w:val="es-CO"/>
        </w:rPr>
        <w:t xml:space="preserve">Tercera, Subsección C. </w:t>
      </w:r>
      <w:r w:rsidRPr="00BB7987">
        <w:rPr>
          <w:rFonts w:ascii="Verdana" w:eastAsia="Calibri" w:hAnsi="Verdana" w:cs="Arial"/>
          <w:spacing w:val="-12"/>
          <w:sz w:val="16"/>
          <w:szCs w:val="16"/>
          <w:lang w:val="es-CO"/>
        </w:rPr>
        <w:t xml:space="preserve"> </w:t>
      </w:r>
      <w:r w:rsidRPr="00BB7987">
        <w:rPr>
          <w:rFonts w:ascii="Verdana" w:eastAsia="Calibri" w:hAnsi="Verdana" w:cs="Arial"/>
          <w:sz w:val="16"/>
          <w:szCs w:val="16"/>
          <w:lang w:val="es-CO"/>
        </w:rPr>
        <w:t>Sentencia</w:t>
      </w:r>
      <w:r w:rsidRPr="00BB7987">
        <w:rPr>
          <w:rFonts w:ascii="Verdana" w:eastAsia="Calibri" w:hAnsi="Verdana" w:cs="Arial"/>
          <w:spacing w:val="-12"/>
          <w:sz w:val="16"/>
          <w:szCs w:val="16"/>
          <w:lang w:val="es-CO"/>
        </w:rPr>
        <w:t xml:space="preserve"> </w:t>
      </w:r>
      <w:r w:rsidRPr="00BB7987">
        <w:rPr>
          <w:rFonts w:ascii="Verdana" w:eastAsia="Calibri" w:hAnsi="Verdana" w:cs="Arial"/>
          <w:sz w:val="16"/>
          <w:szCs w:val="16"/>
          <w:lang w:val="es-CO"/>
        </w:rPr>
        <w:t>del</w:t>
      </w:r>
      <w:r w:rsidRPr="00BB7987">
        <w:rPr>
          <w:rFonts w:ascii="Verdana" w:eastAsia="Calibri" w:hAnsi="Verdana" w:cs="Arial"/>
          <w:spacing w:val="-11"/>
          <w:sz w:val="16"/>
          <w:szCs w:val="16"/>
          <w:lang w:val="es-CO"/>
        </w:rPr>
        <w:t xml:space="preserve"> </w:t>
      </w:r>
      <w:r w:rsidRPr="00BB7987">
        <w:rPr>
          <w:rFonts w:ascii="Verdana" w:eastAsia="Calibri" w:hAnsi="Verdana" w:cs="Arial"/>
          <w:sz w:val="16"/>
          <w:szCs w:val="16"/>
          <w:lang w:val="es-CO"/>
        </w:rPr>
        <w:t>27</w:t>
      </w:r>
      <w:r w:rsidRPr="00BB7987">
        <w:rPr>
          <w:rFonts w:ascii="Verdana" w:eastAsia="Calibri" w:hAnsi="Verdana" w:cs="Arial"/>
          <w:spacing w:val="-14"/>
          <w:sz w:val="16"/>
          <w:szCs w:val="16"/>
          <w:lang w:val="es-CO"/>
        </w:rPr>
        <w:t xml:space="preserve"> </w:t>
      </w:r>
      <w:r w:rsidRPr="00BB7987">
        <w:rPr>
          <w:rFonts w:ascii="Verdana" w:eastAsia="Calibri" w:hAnsi="Verdana" w:cs="Arial"/>
          <w:sz w:val="16"/>
          <w:szCs w:val="16"/>
          <w:lang w:val="es-CO"/>
        </w:rPr>
        <w:t>de</w:t>
      </w:r>
      <w:r w:rsidRPr="00BB7987">
        <w:rPr>
          <w:rFonts w:ascii="Verdana" w:eastAsia="Calibri" w:hAnsi="Verdana" w:cs="Arial"/>
          <w:spacing w:val="-12"/>
          <w:sz w:val="16"/>
          <w:szCs w:val="16"/>
          <w:lang w:val="es-CO"/>
        </w:rPr>
        <w:t xml:space="preserve"> </w:t>
      </w:r>
      <w:r w:rsidRPr="00BB7987">
        <w:rPr>
          <w:rFonts w:ascii="Verdana" w:eastAsia="Calibri" w:hAnsi="Verdana" w:cs="Arial"/>
          <w:sz w:val="16"/>
          <w:szCs w:val="16"/>
          <w:lang w:val="es-CO"/>
        </w:rPr>
        <w:t>noviembre</w:t>
      </w:r>
      <w:r w:rsidRPr="00BB7987">
        <w:rPr>
          <w:rFonts w:ascii="Verdana" w:eastAsia="Calibri" w:hAnsi="Verdana" w:cs="Arial"/>
          <w:spacing w:val="-12"/>
          <w:sz w:val="16"/>
          <w:szCs w:val="16"/>
          <w:lang w:val="es-CO"/>
        </w:rPr>
        <w:t xml:space="preserve"> </w:t>
      </w:r>
      <w:r w:rsidRPr="00BB7987">
        <w:rPr>
          <w:rFonts w:ascii="Verdana" w:eastAsia="Calibri" w:hAnsi="Verdana" w:cs="Arial"/>
          <w:sz w:val="16"/>
          <w:szCs w:val="16"/>
          <w:lang w:val="es-CO"/>
        </w:rPr>
        <w:t>de</w:t>
      </w:r>
      <w:r w:rsidRPr="00BB7987">
        <w:rPr>
          <w:rFonts w:ascii="Verdana" w:eastAsia="Calibri" w:hAnsi="Verdana" w:cs="Arial"/>
          <w:spacing w:val="-12"/>
          <w:sz w:val="16"/>
          <w:szCs w:val="16"/>
          <w:lang w:val="es-CO"/>
        </w:rPr>
        <w:t xml:space="preserve"> </w:t>
      </w:r>
      <w:r w:rsidRPr="00BB7987">
        <w:rPr>
          <w:rFonts w:ascii="Verdana" w:eastAsia="Calibri" w:hAnsi="Verdana" w:cs="Arial"/>
          <w:sz w:val="16"/>
          <w:szCs w:val="16"/>
          <w:lang w:val="es-CO"/>
        </w:rPr>
        <w:t>2017.</w:t>
      </w:r>
      <w:r w:rsidRPr="00BB7987">
        <w:rPr>
          <w:rFonts w:ascii="Verdana" w:eastAsia="Calibri" w:hAnsi="Verdana" w:cs="Arial"/>
          <w:spacing w:val="-8"/>
          <w:sz w:val="16"/>
          <w:szCs w:val="16"/>
          <w:lang w:val="es-CO"/>
        </w:rPr>
        <w:t xml:space="preserve"> </w:t>
      </w:r>
      <w:proofErr w:type="spellStart"/>
      <w:r w:rsidRPr="00BB7987">
        <w:rPr>
          <w:rFonts w:ascii="Verdana" w:eastAsia="Calibri" w:hAnsi="Verdana" w:cs="Arial"/>
          <w:sz w:val="16"/>
          <w:szCs w:val="16"/>
          <w:lang w:val="es-CO"/>
        </w:rPr>
        <w:t>Exp</w:t>
      </w:r>
      <w:proofErr w:type="spellEnd"/>
      <w:r w:rsidRPr="00BB7987">
        <w:rPr>
          <w:rFonts w:ascii="Verdana" w:eastAsia="Calibri" w:hAnsi="Verdana" w:cs="Arial"/>
          <w:sz w:val="16"/>
          <w:szCs w:val="16"/>
          <w:lang w:val="es-CO"/>
        </w:rPr>
        <w:t>.</w:t>
      </w:r>
      <w:r w:rsidRPr="00BB7987">
        <w:rPr>
          <w:rFonts w:ascii="Verdana" w:eastAsia="Calibri" w:hAnsi="Verdana" w:cs="Arial"/>
          <w:spacing w:val="-12"/>
          <w:sz w:val="16"/>
          <w:szCs w:val="16"/>
          <w:lang w:val="es-CO"/>
        </w:rPr>
        <w:t xml:space="preserve"> </w:t>
      </w:r>
      <w:r w:rsidRPr="00BB7987">
        <w:rPr>
          <w:rFonts w:ascii="Verdana" w:eastAsia="Calibri" w:hAnsi="Verdana" w:cs="Arial"/>
          <w:sz w:val="16"/>
          <w:szCs w:val="16"/>
          <w:lang w:val="es-CO"/>
        </w:rPr>
        <w:t>51.802.</w:t>
      </w:r>
      <w:r w:rsidRPr="00BB7987">
        <w:rPr>
          <w:rFonts w:ascii="Verdana" w:eastAsia="Calibri" w:hAnsi="Verdana" w:cs="Arial"/>
          <w:spacing w:val="-9"/>
          <w:sz w:val="16"/>
          <w:szCs w:val="16"/>
          <w:lang w:val="es-CO"/>
        </w:rPr>
        <w:t xml:space="preserve"> </w:t>
      </w:r>
      <w:r w:rsidRPr="00BB7987">
        <w:rPr>
          <w:rFonts w:ascii="Verdana" w:eastAsia="Calibri" w:hAnsi="Verdana" w:cs="Arial"/>
          <w:sz w:val="16"/>
          <w:szCs w:val="16"/>
          <w:lang w:val="es-CO"/>
        </w:rPr>
        <w:t>M.P.</w:t>
      </w:r>
      <w:r w:rsidRPr="00BB7987">
        <w:rPr>
          <w:rFonts w:ascii="Verdana" w:eastAsia="Calibri" w:hAnsi="Verdana" w:cs="Arial"/>
          <w:spacing w:val="-12"/>
          <w:sz w:val="16"/>
          <w:szCs w:val="16"/>
          <w:lang w:val="es-CO"/>
        </w:rPr>
        <w:t xml:space="preserve"> </w:t>
      </w:r>
      <w:r w:rsidRPr="00BB7987">
        <w:rPr>
          <w:rFonts w:ascii="Verdana" w:eastAsia="Calibri" w:hAnsi="Verdana" w:cs="Arial"/>
          <w:sz w:val="16"/>
          <w:szCs w:val="16"/>
          <w:lang w:val="es-CO"/>
        </w:rPr>
        <w:t>Jaime</w:t>
      </w:r>
      <w:r w:rsidRPr="00BB7987">
        <w:rPr>
          <w:rFonts w:ascii="Verdana" w:eastAsia="Calibri" w:hAnsi="Verdana" w:cs="Arial"/>
          <w:spacing w:val="-47"/>
          <w:sz w:val="16"/>
          <w:szCs w:val="16"/>
          <w:lang w:val="es-CO"/>
        </w:rPr>
        <w:t xml:space="preserve"> </w:t>
      </w:r>
      <w:r w:rsidRPr="00BB7987">
        <w:rPr>
          <w:rFonts w:ascii="Verdana" w:eastAsia="Calibri" w:hAnsi="Verdana" w:cs="Arial"/>
          <w:sz w:val="16"/>
          <w:szCs w:val="16"/>
          <w:lang w:val="es-CO"/>
        </w:rPr>
        <w:t>Orlando</w:t>
      </w:r>
      <w:r w:rsidRPr="00BB7987">
        <w:rPr>
          <w:rFonts w:ascii="Verdana" w:eastAsia="Calibri" w:hAnsi="Verdana" w:cs="Arial"/>
          <w:spacing w:val="-1"/>
          <w:sz w:val="16"/>
          <w:szCs w:val="16"/>
          <w:lang w:val="es-CO"/>
        </w:rPr>
        <w:t xml:space="preserve"> </w:t>
      </w:r>
      <w:r w:rsidRPr="00BB7987">
        <w:rPr>
          <w:rFonts w:ascii="Verdana" w:eastAsia="Calibri" w:hAnsi="Verdana" w:cs="Arial"/>
          <w:sz w:val="16"/>
          <w:szCs w:val="16"/>
          <w:lang w:val="es-CO"/>
        </w:rPr>
        <w:t>Santofimio).</w:t>
      </w:r>
    </w:p>
  </w:footnote>
  <w:footnote w:id="10">
    <w:p w14:paraId="20B76AC4" w14:textId="77777777" w:rsidR="0027006C" w:rsidRPr="00BB7987" w:rsidRDefault="0027006C" w:rsidP="0027006C">
      <w:pPr>
        <w:pStyle w:val="Textonotapie"/>
        <w:snapToGrid w:val="0"/>
        <w:ind w:firstLine="708"/>
        <w:contextualSpacing/>
        <w:jc w:val="both"/>
        <w:rPr>
          <w:rFonts w:ascii="Verdana" w:hAnsi="Verdana" w:cs="Arial"/>
          <w:sz w:val="16"/>
          <w:szCs w:val="16"/>
        </w:rPr>
      </w:pPr>
      <w:r w:rsidRPr="00BB7987">
        <w:rPr>
          <w:rStyle w:val="Refdenotaalpie"/>
          <w:rFonts w:ascii="Verdana" w:hAnsi="Verdana" w:cs="Arial"/>
          <w:sz w:val="16"/>
          <w:szCs w:val="16"/>
        </w:rPr>
        <w:footnoteRef/>
      </w:r>
      <w:r w:rsidRPr="00BB7987">
        <w:rPr>
          <w:rFonts w:ascii="Verdana" w:hAnsi="Verdana" w:cs="Arial"/>
          <w:sz w:val="16"/>
          <w:szCs w:val="16"/>
        </w:rPr>
        <w:t xml:space="preserve"> Para la jurisprudencia, “[…] los seguros de cumplimiento, específicamente, el de contratos estatales, son aquellos que garantizan al acreedor (entidad estatal) que serán resarcidos los daños que pueda provocar el incumplimiento de las obligaciones del deudor (contratista) dentro del marco de una relación contractual. Así, pues, el riesgo asegurado en esta categoría de seguros, visto de manera general, lo constituye el incumplimiento de las obligaciones contractuales a cargo del deudor (contratista), quien a su vez es el tomador de la póliza, de modo que el objeto de las obligaciones garantizadas es lo que determina o particulariza el riesgo asegurado” (CONSEJO DE ESTADO. Sección Tercera. Subsección A. Sentencia del 12 de febrero de 2015. </w:t>
      </w:r>
      <w:proofErr w:type="spellStart"/>
      <w:r w:rsidRPr="00BB7987">
        <w:rPr>
          <w:rFonts w:ascii="Verdana" w:hAnsi="Verdana" w:cs="Arial"/>
          <w:sz w:val="16"/>
          <w:szCs w:val="16"/>
        </w:rPr>
        <w:t>Exp</w:t>
      </w:r>
      <w:proofErr w:type="spellEnd"/>
      <w:r w:rsidRPr="00BB7987">
        <w:rPr>
          <w:rFonts w:ascii="Verdana" w:hAnsi="Verdana" w:cs="Arial"/>
          <w:sz w:val="16"/>
          <w:szCs w:val="16"/>
        </w:rPr>
        <w:t>.  28278. C.P. Carlos Alberto Zambrano Barrera).</w:t>
      </w:r>
    </w:p>
    <w:p w14:paraId="3787A829" w14:textId="77777777" w:rsidR="0027006C" w:rsidRPr="00BB7987" w:rsidRDefault="0027006C" w:rsidP="0027006C">
      <w:pPr>
        <w:pStyle w:val="Textonotapie"/>
        <w:snapToGrid w:val="0"/>
        <w:ind w:firstLine="708"/>
        <w:contextualSpacing/>
        <w:jc w:val="both"/>
        <w:rPr>
          <w:rFonts w:ascii="Verdana" w:hAnsi="Verdana" w:cs="Arial"/>
          <w:sz w:val="16"/>
          <w:szCs w:val="16"/>
        </w:rPr>
      </w:pPr>
    </w:p>
  </w:footnote>
  <w:footnote w:id="11">
    <w:p w14:paraId="6A4B0741" w14:textId="77777777" w:rsidR="0027006C" w:rsidRPr="00BB7987" w:rsidRDefault="0027006C" w:rsidP="0027006C">
      <w:pPr>
        <w:pStyle w:val="Textonotapie"/>
        <w:snapToGrid w:val="0"/>
        <w:ind w:firstLine="709"/>
        <w:contextualSpacing/>
        <w:jc w:val="both"/>
        <w:rPr>
          <w:rFonts w:ascii="Verdana" w:hAnsi="Verdana" w:cs="Arial"/>
          <w:color w:val="000000" w:themeColor="text1"/>
          <w:sz w:val="16"/>
          <w:szCs w:val="16"/>
        </w:rPr>
      </w:pPr>
      <w:r w:rsidRPr="00BB7987">
        <w:rPr>
          <w:rStyle w:val="Refdenotaalpie"/>
          <w:rFonts w:ascii="Verdana" w:hAnsi="Verdana" w:cs="Arial"/>
          <w:color w:val="000000" w:themeColor="text1"/>
          <w:sz w:val="16"/>
          <w:szCs w:val="16"/>
        </w:rPr>
        <w:footnoteRef/>
      </w:r>
      <w:r w:rsidRPr="00BB7987">
        <w:rPr>
          <w:rFonts w:ascii="Verdana" w:hAnsi="Verdana" w:cs="Arial"/>
          <w:color w:val="000000" w:themeColor="text1"/>
          <w:sz w:val="16"/>
          <w:szCs w:val="16"/>
        </w:rPr>
        <w:t xml:space="preserve"> ORDÓÑEZ </w:t>
      </w:r>
      <w:proofErr w:type="spellStart"/>
      <w:r w:rsidRPr="00BB7987">
        <w:rPr>
          <w:rFonts w:ascii="Verdana" w:hAnsi="Verdana" w:cs="Arial"/>
          <w:color w:val="000000" w:themeColor="text1"/>
          <w:sz w:val="16"/>
          <w:szCs w:val="16"/>
        </w:rPr>
        <w:t>ORDÓÑEZ</w:t>
      </w:r>
      <w:proofErr w:type="spellEnd"/>
      <w:r w:rsidRPr="00BB7987">
        <w:rPr>
          <w:rFonts w:ascii="Verdana" w:hAnsi="Verdana" w:cs="Arial"/>
          <w:color w:val="000000" w:themeColor="text1"/>
          <w:sz w:val="16"/>
          <w:szCs w:val="16"/>
        </w:rPr>
        <w:t>, Andrés E. Seguro de cumplimiento de los contratos estatales en Colombia. Bogotá: Universidad Externado de Colombia, 2011. p. 44.</w:t>
      </w:r>
    </w:p>
  </w:footnote>
  <w:footnote w:id="12">
    <w:p w14:paraId="5B624B10" w14:textId="77777777" w:rsidR="0027006C" w:rsidRPr="00BB7987" w:rsidRDefault="0027006C" w:rsidP="0027006C">
      <w:pPr>
        <w:pStyle w:val="Textonotapie"/>
        <w:ind w:firstLine="708"/>
        <w:jc w:val="both"/>
        <w:rPr>
          <w:rFonts w:ascii="Verdana" w:hAnsi="Verdana"/>
          <w:sz w:val="16"/>
          <w:szCs w:val="16"/>
        </w:rPr>
      </w:pPr>
      <w:r w:rsidRPr="00BB7987">
        <w:rPr>
          <w:rStyle w:val="Refdenotaalpie"/>
          <w:rFonts w:ascii="Verdana" w:hAnsi="Verdana"/>
          <w:sz w:val="16"/>
          <w:szCs w:val="16"/>
        </w:rPr>
        <w:footnoteRef/>
      </w:r>
      <w:r w:rsidRPr="00BB7987">
        <w:rPr>
          <w:rFonts w:ascii="Verdana" w:hAnsi="Verdana"/>
          <w:sz w:val="16"/>
          <w:szCs w:val="16"/>
        </w:rPr>
        <w:t xml:space="preserve">  Artículo 41. Del perfeccionamiento del contrato. Los contratos del Estado se perfeccionan cuando se logre acuerdo sobre el objeto y la contraprestación y éste se eleve a escrito.</w:t>
      </w:r>
    </w:p>
    <w:p w14:paraId="64E687B7" w14:textId="77777777" w:rsidR="0027006C" w:rsidRPr="00BB7987" w:rsidRDefault="0027006C" w:rsidP="0027006C">
      <w:pPr>
        <w:pStyle w:val="Textonotapie"/>
        <w:jc w:val="both"/>
        <w:rPr>
          <w:rFonts w:ascii="Verdana" w:hAnsi="Verdana"/>
          <w:sz w:val="16"/>
          <w:szCs w:val="16"/>
          <w:lang w:val="es-CO"/>
        </w:rPr>
      </w:pPr>
      <w:r w:rsidRPr="00BB7987">
        <w:rPr>
          <w:rFonts w:ascii="Verdana" w:hAnsi="Verdana"/>
          <w:sz w:val="16"/>
          <w:szCs w:val="16"/>
        </w:rPr>
        <w:t>“Para la ejecución se requerirá de la aprobación de la garantía y de la existencia de las disponibilidades presupuestales correspondientes (…)”.</w:t>
      </w:r>
    </w:p>
  </w:footnote>
  <w:footnote w:id="13">
    <w:p w14:paraId="7AF16EB0" w14:textId="77777777" w:rsidR="0027006C" w:rsidRPr="00BB7987" w:rsidRDefault="0027006C" w:rsidP="0027006C">
      <w:pPr>
        <w:pStyle w:val="Textonotapie"/>
        <w:ind w:firstLine="708"/>
        <w:jc w:val="both"/>
        <w:rPr>
          <w:rFonts w:ascii="Verdana" w:hAnsi="Verdana"/>
          <w:sz w:val="16"/>
          <w:szCs w:val="16"/>
          <w:lang w:val="es-CO"/>
        </w:rPr>
      </w:pPr>
      <w:r w:rsidRPr="00BB7987">
        <w:rPr>
          <w:rStyle w:val="Refdenotaalpie"/>
          <w:rFonts w:ascii="Verdana" w:hAnsi="Verdana"/>
          <w:sz w:val="16"/>
          <w:szCs w:val="16"/>
        </w:rPr>
        <w:footnoteRef/>
      </w:r>
      <w:r w:rsidRPr="00BB7987">
        <w:rPr>
          <w:rFonts w:ascii="Verdana" w:hAnsi="Verdana"/>
          <w:sz w:val="16"/>
          <w:szCs w:val="16"/>
        </w:rPr>
        <w:t xml:space="preserve"> Código Civil: “Articulo 1602. Todo contrato legalmente celebrado es una ley para los contratantes, y no puede ser invalidado sino por su consentimiento mutuo o por causas legales”.</w:t>
      </w:r>
    </w:p>
  </w:footnote>
  <w:footnote w:id="14">
    <w:p w14:paraId="1B3055C5" w14:textId="77777777" w:rsidR="0027006C" w:rsidRPr="00BB7987" w:rsidRDefault="0027006C" w:rsidP="0027006C">
      <w:pPr>
        <w:pStyle w:val="Textonotapie"/>
        <w:ind w:firstLine="708"/>
        <w:jc w:val="both"/>
        <w:rPr>
          <w:rFonts w:ascii="Verdana" w:hAnsi="Verdana"/>
          <w:sz w:val="16"/>
          <w:szCs w:val="16"/>
        </w:rPr>
      </w:pPr>
      <w:r w:rsidRPr="00BB7987">
        <w:rPr>
          <w:rStyle w:val="Refdenotaalpie"/>
          <w:rFonts w:ascii="Verdana" w:hAnsi="Verdana"/>
          <w:sz w:val="16"/>
          <w:szCs w:val="16"/>
        </w:rPr>
        <w:footnoteRef/>
      </w:r>
      <w:r w:rsidRPr="00BB7987">
        <w:rPr>
          <w:rFonts w:ascii="Verdana" w:hAnsi="Verdana"/>
          <w:sz w:val="16"/>
          <w:szCs w:val="16"/>
        </w:rPr>
        <w:t xml:space="preserve"> “Artículo 1048. Documentos adicionales que hacen parte de la póliza. Hacen parte de la póliza: “1) La solicitud de seguro firmada por el tomador, y “2) Los anexos que se emitan para adicionar, modificar, suspender, renovar o revocar la póliza.</w:t>
      </w:r>
    </w:p>
    <w:p w14:paraId="2857158C"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rPr>
        <w:t>“Parágrafo. El tomador podrá en cualquier tiempo exigir que, a su costa, el asegurador le dé copia debidamente autorizada de la solicitud y de sus anexos, así como de los documentos que den fe de la inspección del riesgo”.</w:t>
      </w:r>
    </w:p>
  </w:footnote>
  <w:footnote w:id="15">
    <w:p w14:paraId="2FE2716E" w14:textId="77777777" w:rsidR="0027006C" w:rsidRPr="00BB7987" w:rsidRDefault="0027006C" w:rsidP="0027006C">
      <w:pPr>
        <w:pStyle w:val="Textonotapie"/>
        <w:ind w:firstLine="708"/>
        <w:jc w:val="both"/>
        <w:rPr>
          <w:rFonts w:ascii="Verdana" w:hAnsi="Verdana"/>
          <w:sz w:val="16"/>
          <w:szCs w:val="16"/>
          <w:lang w:val="es-CO"/>
        </w:rPr>
      </w:pPr>
      <w:r w:rsidRPr="00BB7987">
        <w:rPr>
          <w:rStyle w:val="Refdenotaalpie"/>
          <w:rFonts w:ascii="Verdana" w:hAnsi="Verdana"/>
          <w:sz w:val="16"/>
          <w:szCs w:val="16"/>
        </w:rPr>
        <w:footnoteRef/>
      </w:r>
      <w:r w:rsidRPr="00BB7987">
        <w:rPr>
          <w:rFonts w:ascii="Verdana" w:hAnsi="Verdana"/>
          <w:sz w:val="16"/>
          <w:szCs w:val="16"/>
        </w:rPr>
        <w:t xml:space="preserve"> Consejo de Estado, Sala de lo Contencioso Administrativo. Sección Tercera, Subsección B, sentencia de 31 de agosto de 2011, </w:t>
      </w:r>
      <w:proofErr w:type="spellStart"/>
      <w:r w:rsidRPr="00BB7987">
        <w:rPr>
          <w:rFonts w:ascii="Verdana" w:hAnsi="Verdana"/>
          <w:sz w:val="16"/>
          <w:szCs w:val="16"/>
        </w:rPr>
        <w:t>Exp</w:t>
      </w:r>
      <w:proofErr w:type="spellEnd"/>
      <w:r w:rsidRPr="00BB7987">
        <w:rPr>
          <w:rFonts w:ascii="Verdana" w:hAnsi="Verdana"/>
          <w:sz w:val="16"/>
          <w:szCs w:val="16"/>
        </w:rPr>
        <w:t>. 18080, C.P. Ruth Stella Correa Palacio: “(…) recuérdese que la aplicación de la buena fe en materia negocial implica para las partes la observancia la observancia de una conducta enmarcada dentro del contexto de los deberes de corrección, claridad y recíproca lealtad que se deben los contratantes, para remitir la realización de los efectos finales buscados en el contrato”.</w:t>
      </w:r>
    </w:p>
  </w:footnote>
  <w:footnote w:id="16">
    <w:p w14:paraId="1D264D13" w14:textId="77777777" w:rsidR="0027006C" w:rsidRPr="00A16E13" w:rsidRDefault="0027006C" w:rsidP="0027006C">
      <w:pPr>
        <w:pStyle w:val="Textonotapie"/>
        <w:ind w:firstLine="708"/>
        <w:jc w:val="both"/>
        <w:rPr>
          <w:rFonts w:ascii="Verdana" w:hAnsi="Verdana"/>
          <w:sz w:val="16"/>
          <w:szCs w:val="16"/>
          <w:lang w:val="es-CO"/>
        </w:rPr>
      </w:pPr>
      <w:r w:rsidRPr="00A16E13">
        <w:rPr>
          <w:rStyle w:val="Refdenotaalpie"/>
          <w:rFonts w:ascii="Verdana" w:hAnsi="Verdana"/>
          <w:sz w:val="16"/>
          <w:szCs w:val="16"/>
        </w:rPr>
        <w:footnoteRef/>
      </w:r>
      <w:r w:rsidRPr="00A16E13">
        <w:rPr>
          <w:rFonts w:ascii="Verdana" w:hAnsi="Verdana"/>
          <w:sz w:val="16"/>
          <w:szCs w:val="16"/>
        </w:rPr>
        <w:t xml:space="preserve"> </w:t>
      </w:r>
      <w:bookmarkStart w:id="4" w:name="1060"/>
      <w:r w:rsidRPr="00A16E13">
        <w:rPr>
          <w:rFonts w:ascii="Verdana" w:hAnsi="Verdana"/>
          <w:sz w:val="16"/>
          <w:szCs w:val="16"/>
          <w:lang w:val="es-CO"/>
        </w:rPr>
        <w:t>ARTÍCULO 1060. &lt;MANTENIMIENTO DEL ESTADO DEL RIESGO Y NOTIFICACIÓN DE CAMBIOS&gt;.</w:t>
      </w:r>
      <w:bookmarkEnd w:id="4"/>
      <w:r w:rsidRPr="00A16E13">
        <w:rPr>
          <w:rFonts w:ascii="Verdana" w:hAnsi="Verdana"/>
          <w:sz w:val="16"/>
          <w:szCs w:val="16"/>
          <w:lang w:val="es-CO"/>
        </w:rPr>
        <w:t> El asegurado o el tomador, según el caso, están obligados a mantener el estado del riesgo. En tal virtud, uno u otro deberán notificar por escrito al asegurador los hechos o circunstancias no previsibles que sobrevengan con posterioridad a la celebración del contrato y que, conforme al criterio consignado en el inciso lo del artículo </w:t>
      </w:r>
      <w:hyperlink r:id="rId1" w:anchor="1058" w:history="1">
        <w:r w:rsidRPr="00A16E13">
          <w:rPr>
            <w:rStyle w:val="Hipervnculo"/>
            <w:rFonts w:ascii="Verdana" w:hAnsi="Verdana"/>
            <w:color w:val="auto"/>
            <w:sz w:val="16"/>
            <w:szCs w:val="16"/>
            <w:lang w:val="es-CO"/>
          </w:rPr>
          <w:t>1058</w:t>
        </w:r>
      </w:hyperlink>
      <w:r w:rsidRPr="00A16E13">
        <w:rPr>
          <w:rFonts w:ascii="Verdana" w:hAnsi="Verdana"/>
          <w:sz w:val="16"/>
          <w:szCs w:val="16"/>
          <w:lang w:val="es-CO"/>
        </w:rPr>
        <w:t>, signifiquen agravación del riesgo o variación de su identidad local.</w:t>
      </w:r>
    </w:p>
    <w:p w14:paraId="616789A6" w14:textId="77777777" w:rsidR="0027006C" w:rsidRPr="00A16E13" w:rsidRDefault="0027006C" w:rsidP="0027006C">
      <w:pPr>
        <w:pStyle w:val="Textonotapie"/>
        <w:ind w:firstLine="708"/>
        <w:jc w:val="both"/>
        <w:rPr>
          <w:rFonts w:ascii="Verdana" w:hAnsi="Verdana"/>
          <w:sz w:val="16"/>
          <w:szCs w:val="16"/>
          <w:lang w:val="es-CO"/>
        </w:rPr>
      </w:pPr>
      <w:r w:rsidRPr="00A16E13">
        <w:rPr>
          <w:rFonts w:ascii="Verdana" w:hAnsi="Verdana"/>
          <w:sz w:val="16"/>
          <w:szCs w:val="16"/>
          <w:lang w:val="es-CO"/>
        </w:rPr>
        <w:t>La notificación se hará con antelación no menor de diez días a la fecha de la modificación del riesgo, si ésta depende del arbitrio del asegurado o del tomador. Si le es extraña, dentro de los diez días siguientes a aquel en que tengan conocimiento de ella, conocimiento que se presume transcurridos treinta días desde el momento de la modificación.</w:t>
      </w:r>
    </w:p>
    <w:p w14:paraId="5C18848A" w14:textId="77777777" w:rsidR="0027006C" w:rsidRPr="00A16E13" w:rsidRDefault="0027006C" w:rsidP="0027006C">
      <w:pPr>
        <w:pStyle w:val="Textonotapie"/>
        <w:ind w:firstLine="708"/>
        <w:jc w:val="both"/>
        <w:rPr>
          <w:rFonts w:ascii="Verdana" w:hAnsi="Verdana"/>
          <w:sz w:val="16"/>
          <w:szCs w:val="16"/>
          <w:lang w:val="es-CO"/>
        </w:rPr>
      </w:pPr>
      <w:r w:rsidRPr="00A16E13">
        <w:rPr>
          <w:rFonts w:ascii="Verdana" w:hAnsi="Verdana"/>
          <w:sz w:val="16"/>
          <w:szCs w:val="16"/>
          <w:lang w:val="es-CO"/>
        </w:rPr>
        <w:t>Notificada la modificación del riesgo en los términos consignados en el inciso anterior, el asegurador podrá revocar el contrato o exigir el reajuste a que haya lugar en el valor de la prima.</w:t>
      </w:r>
    </w:p>
    <w:p w14:paraId="33A176CE" w14:textId="77777777" w:rsidR="0027006C" w:rsidRPr="00A16E13" w:rsidRDefault="0027006C" w:rsidP="0027006C">
      <w:pPr>
        <w:pStyle w:val="Textonotapie"/>
        <w:jc w:val="both"/>
        <w:rPr>
          <w:rFonts w:ascii="Verdana" w:hAnsi="Verdana"/>
          <w:sz w:val="16"/>
          <w:szCs w:val="16"/>
          <w:lang w:val="es-CO"/>
        </w:rPr>
      </w:pPr>
      <w:r w:rsidRPr="00A16E13">
        <w:rPr>
          <w:rFonts w:ascii="Verdana" w:hAnsi="Verdana"/>
          <w:sz w:val="16"/>
          <w:szCs w:val="16"/>
          <w:lang w:val="es-CO"/>
        </w:rPr>
        <w:t>La falta de notificación oportuna produce la terminación del contrato. Pero sólo la mala fe del asegurado o del tomador dará derecho al asegurador a retener la prima no devengada.</w:t>
      </w:r>
    </w:p>
    <w:p w14:paraId="54577A0D" w14:textId="77777777" w:rsidR="0027006C" w:rsidRPr="00A16E13" w:rsidRDefault="0027006C" w:rsidP="0027006C">
      <w:pPr>
        <w:pStyle w:val="Textonotapie"/>
        <w:ind w:firstLine="708"/>
        <w:jc w:val="both"/>
        <w:rPr>
          <w:rFonts w:ascii="Verdana" w:hAnsi="Verdana"/>
          <w:sz w:val="16"/>
          <w:szCs w:val="16"/>
          <w:lang w:val="es-CO"/>
        </w:rPr>
      </w:pPr>
      <w:r w:rsidRPr="00A16E13">
        <w:rPr>
          <w:rFonts w:ascii="Verdana" w:hAnsi="Verdana"/>
          <w:sz w:val="16"/>
          <w:szCs w:val="16"/>
          <w:lang w:val="es-CO"/>
        </w:rPr>
        <w:t>Esta sanción no será aplicable a los seguros de vida, excepto en cuanto a los amparos accesorios, a menos de convención en contrario; ni cuando el asegurador haya conocido oportunamente la modificación y consentido en ella.</w:t>
      </w:r>
    </w:p>
    <w:p w14:paraId="3AF22DEC" w14:textId="77777777" w:rsidR="0027006C" w:rsidRPr="00A16E13" w:rsidRDefault="0027006C" w:rsidP="0027006C">
      <w:pPr>
        <w:pStyle w:val="Textonotapie"/>
        <w:rPr>
          <w:lang w:val="es-CO"/>
        </w:rPr>
      </w:pPr>
    </w:p>
  </w:footnote>
  <w:footnote w:id="17">
    <w:p w14:paraId="77D89178" w14:textId="77777777" w:rsidR="0027006C" w:rsidRPr="00BB7987" w:rsidRDefault="0027006C" w:rsidP="0027006C">
      <w:pPr>
        <w:pStyle w:val="Textonotapie"/>
        <w:ind w:firstLine="708"/>
        <w:jc w:val="both"/>
        <w:rPr>
          <w:rFonts w:ascii="Verdana" w:hAnsi="Verdana" w:cs="Arial"/>
          <w:color w:val="000000"/>
          <w:sz w:val="16"/>
          <w:szCs w:val="16"/>
          <w:shd w:val="clear" w:color="auto" w:fill="FFFFFF"/>
        </w:rPr>
      </w:pPr>
      <w:r w:rsidRPr="00BB7987">
        <w:rPr>
          <w:rStyle w:val="Refdenotaalpie"/>
          <w:rFonts w:ascii="Verdana" w:hAnsi="Verdana"/>
          <w:sz w:val="16"/>
          <w:szCs w:val="16"/>
        </w:rPr>
        <w:footnoteRef/>
      </w:r>
      <w:r w:rsidRPr="00BB7987">
        <w:rPr>
          <w:rFonts w:ascii="Verdana" w:hAnsi="Verdana"/>
          <w:sz w:val="16"/>
          <w:szCs w:val="16"/>
        </w:rPr>
        <w:t xml:space="preserve"> </w:t>
      </w:r>
      <w:r w:rsidRPr="00BB7987">
        <w:rPr>
          <w:rFonts w:ascii="Verdana" w:hAnsi="Verdana" w:cs="Arial"/>
          <w:bCs/>
          <w:color w:val="000000"/>
          <w:sz w:val="16"/>
          <w:szCs w:val="16"/>
          <w:shd w:val="clear" w:color="auto" w:fill="FFFFFF"/>
        </w:rPr>
        <w:t>Artículo 1068. Mora en el pago de la prima.</w:t>
      </w:r>
      <w:r w:rsidRPr="00BB7987">
        <w:rPr>
          <w:rFonts w:ascii="Verdana" w:hAnsi="Verdana" w:cs="Arial"/>
          <w:color w:val="000000"/>
          <w:sz w:val="16"/>
          <w:szCs w:val="16"/>
          <w:shd w:val="clear" w:color="auto" w:fill="FFFFFF"/>
        </w:rPr>
        <w:t> “</w:t>
      </w:r>
      <w:r w:rsidRPr="00BB7987">
        <w:rPr>
          <w:rFonts w:ascii="Verdana" w:hAnsi="Verdana" w:cs="Arial"/>
          <w:bCs/>
          <w:color w:val="000000"/>
          <w:sz w:val="16"/>
          <w:szCs w:val="16"/>
          <w:shd w:val="clear" w:color="auto" w:fill="FFFFFF"/>
        </w:rPr>
        <w:t>Subrogado por el artículo 82 de la Ley 45 de 1990. El nuevo texto es el siguiente”: </w:t>
      </w:r>
      <w:r w:rsidRPr="00BB7987">
        <w:rPr>
          <w:rFonts w:ascii="Verdana" w:hAnsi="Verdana" w:cs="Arial"/>
          <w:color w:val="000000"/>
          <w:sz w:val="16"/>
          <w:szCs w:val="16"/>
          <w:shd w:val="clear" w:color="auto" w:fill="FFFFFF"/>
        </w:rPr>
        <w:t>La mora en el pago de la prima de la póliza o de los certificados o anexos que se expidan con fundamento en ella, producirá la terminación automática del contrato y dará derecho al asegurador para exigir el pago de la prima devengada y de los gastos causados con ocasión de la expedición del contrato.</w:t>
      </w:r>
    </w:p>
    <w:p w14:paraId="4A51A786" w14:textId="77777777" w:rsidR="0027006C" w:rsidRPr="00BB7987" w:rsidRDefault="0027006C" w:rsidP="0027006C">
      <w:pPr>
        <w:pStyle w:val="Textonotapie"/>
        <w:ind w:firstLine="708"/>
        <w:jc w:val="both"/>
        <w:rPr>
          <w:rFonts w:ascii="Verdana" w:hAnsi="Verdana" w:cs="Arial"/>
          <w:color w:val="000000"/>
          <w:sz w:val="16"/>
          <w:szCs w:val="16"/>
          <w:shd w:val="clear" w:color="auto" w:fill="FFFFFF"/>
        </w:rPr>
      </w:pPr>
      <w:r w:rsidRPr="00BB7987">
        <w:rPr>
          <w:rFonts w:ascii="Verdana" w:hAnsi="Verdana" w:cs="Arial"/>
          <w:color w:val="000000"/>
          <w:sz w:val="16"/>
          <w:szCs w:val="16"/>
          <w:shd w:val="clear" w:color="auto" w:fill="FFFFFF"/>
        </w:rPr>
        <w:t>Lo dispuesto en el inciso anterior deberá consignarse por parte del asegurador en la carátula de la póliza, en caracteres destacados.</w:t>
      </w:r>
    </w:p>
    <w:p w14:paraId="39948E21" w14:textId="77777777" w:rsidR="0027006C" w:rsidRPr="00BB7987" w:rsidRDefault="0027006C" w:rsidP="0027006C">
      <w:pPr>
        <w:pStyle w:val="Textonotapie"/>
        <w:ind w:firstLine="708"/>
        <w:jc w:val="both"/>
        <w:rPr>
          <w:rFonts w:ascii="Verdana" w:hAnsi="Verdana"/>
          <w:sz w:val="16"/>
          <w:szCs w:val="16"/>
        </w:rPr>
      </w:pPr>
      <w:r w:rsidRPr="00BB7987">
        <w:rPr>
          <w:rFonts w:ascii="Verdana" w:hAnsi="Verdana" w:cs="Arial"/>
          <w:color w:val="000000"/>
          <w:sz w:val="16"/>
          <w:szCs w:val="16"/>
          <w:shd w:val="clear" w:color="auto" w:fill="FFFFFF"/>
        </w:rPr>
        <w:t>Lo dispuesto en este artículo no podrá ser modificado por las partes</w:t>
      </w:r>
      <w:r w:rsidRPr="00BB7987">
        <w:rPr>
          <w:rFonts w:ascii="Verdana" w:hAnsi="Verdana"/>
          <w:color w:val="000000"/>
          <w:sz w:val="16"/>
          <w:szCs w:val="16"/>
        </w:rPr>
        <w:t>»</w:t>
      </w:r>
      <w:r w:rsidRPr="00BB7987">
        <w:rPr>
          <w:rFonts w:ascii="Verdana" w:hAnsi="Verdana" w:cs="Arial"/>
          <w:color w:val="000000"/>
          <w:sz w:val="16"/>
          <w:szCs w:val="16"/>
          <w:shd w:val="clear" w:color="auto" w:fill="FFFFFF"/>
        </w:rPr>
        <w:t>.</w:t>
      </w:r>
    </w:p>
  </w:footnote>
  <w:footnote w:id="18">
    <w:p w14:paraId="131D68A6" w14:textId="77777777" w:rsidR="0027006C" w:rsidRPr="00BB7987" w:rsidRDefault="0027006C" w:rsidP="0027006C">
      <w:pPr>
        <w:pStyle w:val="Textonotapie"/>
        <w:ind w:firstLine="708"/>
        <w:jc w:val="both"/>
        <w:rPr>
          <w:rFonts w:ascii="Verdana" w:hAnsi="Verdana" w:cs="Arial"/>
          <w:color w:val="000000"/>
          <w:sz w:val="16"/>
          <w:szCs w:val="16"/>
          <w:shd w:val="clear" w:color="auto" w:fill="FFFFFF"/>
        </w:rPr>
      </w:pPr>
      <w:r w:rsidRPr="00BB7987">
        <w:rPr>
          <w:rStyle w:val="Refdenotaalpie"/>
          <w:rFonts w:ascii="Verdana" w:hAnsi="Verdana"/>
          <w:sz w:val="16"/>
          <w:szCs w:val="16"/>
        </w:rPr>
        <w:footnoteRef/>
      </w:r>
      <w:r w:rsidRPr="00BB7987">
        <w:rPr>
          <w:rFonts w:ascii="Verdana" w:hAnsi="Verdana"/>
          <w:sz w:val="16"/>
          <w:szCs w:val="16"/>
        </w:rPr>
        <w:t xml:space="preserve"> </w:t>
      </w:r>
      <w:r w:rsidRPr="00BB7987">
        <w:rPr>
          <w:rFonts w:ascii="Verdana" w:hAnsi="Verdana" w:cs="Arial"/>
          <w:bCs/>
          <w:color w:val="000000"/>
          <w:sz w:val="16"/>
          <w:szCs w:val="16"/>
          <w:shd w:val="clear" w:color="auto" w:fill="FFFFFF"/>
        </w:rPr>
        <w:t>Artículo 1071. Revocación.</w:t>
      </w:r>
      <w:r w:rsidRPr="00BB7987">
        <w:rPr>
          <w:rFonts w:ascii="Verdana" w:hAnsi="Verdana" w:cs="Arial"/>
          <w:color w:val="000000"/>
          <w:sz w:val="16"/>
          <w:szCs w:val="16"/>
          <w:shd w:val="clear" w:color="auto" w:fill="FFFFFF"/>
        </w:rPr>
        <w:t> El contrato de seguro podrá ser revocado unilateralmente por los contratantes. Por el asegurador, mediante noticia escrita al asegurado, enviada a su última dirección conocida, con no menos de diez días de antelación, contados a partir de la fecha del envío; por el asegurado, en cualquier momento, mediante aviso escrito al asegurador.</w:t>
      </w:r>
    </w:p>
    <w:p w14:paraId="6A4467EB" w14:textId="77777777" w:rsidR="0027006C" w:rsidRPr="00BB7987" w:rsidRDefault="0027006C" w:rsidP="0027006C">
      <w:pPr>
        <w:pStyle w:val="Textonotapie"/>
        <w:ind w:firstLine="708"/>
        <w:jc w:val="both"/>
        <w:rPr>
          <w:rFonts w:ascii="Verdana" w:hAnsi="Verdana" w:cs="Arial"/>
          <w:color w:val="000000"/>
          <w:sz w:val="16"/>
          <w:szCs w:val="16"/>
          <w:shd w:val="clear" w:color="auto" w:fill="FFFFFF"/>
        </w:rPr>
      </w:pPr>
      <w:r w:rsidRPr="00BB7987">
        <w:rPr>
          <w:rFonts w:ascii="Verdana" w:hAnsi="Verdana" w:cs="Arial"/>
          <w:color w:val="000000"/>
          <w:sz w:val="16"/>
          <w:szCs w:val="16"/>
          <w:shd w:val="clear" w:color="auto" w:fill="FFFFFF"/>
        </w:rPr>
        <w:t>En el primer caso la revocación da derecho al asegurado a recuperar la prima no devengada, o sea la que corresponde al lapso comprendido entre la fecha en que comienza a surtir efectos la revocación y la de vencimiento del contrato. La devolución se computará de igual modo, si la revocación resulta del mutuo acuerdo de las partes.</w:t>
      </w:r>
    </w:p>
    <w:p w14:paraId="5D538460" w14:textId="77777777" w:rsidR="0027006C" w:rsidRPr="00BB7987" w:rsidRDefault="0027006C" w:rsidP="0027006C">
      <w:pPr>
        <w:pStyle w:val="Textonotapie"/>
        <w:ind w:firstLine="708"/>
        <w:jc w:val="both"/>
        <w:rPr>
          <w:rFonts w:ascii="Verdana" w:hAnsi="Verdana" w:cs="Arial"/>
          <w:color w:val="000000"/>
          <w:sz w:val="16"/>
          <w:szCs w:val="16"/>
          <w:shd w:val="clear" w:color="auto" w:fill="FFFFFF"/>
        </w:rPr>
      </w:pPr>
      <w:r w:rsidRPr="00BB7987">
        <w:rPr>
          <w:rFonts w:ascii="Verdana" w:hAnsi="Verdana" w:cs="Arial"/>
          <w:color w:val="000000"/>
          <w:sz w:val="16"/>
          <w:szCs w:val="16"/>
          <w:shd w:val="clear" w:color="auto" w:fill="FFFFFF"/>
        </w:rPr>
        <w:t>En el segundo caso, el importe de la prima devengada y el de la devolución se calcularán tomando en cuenta la tarifa de seguros a corto plazo.</w:t>
      </w:r>
    </w:p>
    <w:p w14:paraId="680A4731" w14:textId="77777777" w:rsidR="0027006C" w:rsidRPr="00BB7987" w:rsidRDefault="0027006C" w:rsidP="0027006C">
      <w:pPr>
        <w:pStyle w:val="Textonotapie"/>
        <w:ind w:firstLine="708"/>
        <w:jc w:val="both"/>
        <w:rPr>
          <w:rFonts w:ascii="Verdana" w:hAnsi="Verdana"/>
          <w:sz w:val="16"/>
          <w:szCs w:val="16"/>
        </w:rPr>
      </w:pPr>
      <w:r w:rsidRPr="00BB7987">
        <w:rPr>
          <w:rFonts w:ascii="Verdana" w:hAnsi="Verdana" w:cs="Arial"/>
          <w:color w:val="000000"/>
          <w:sz w:val="16"/>
          <w:szCs w:val="16"/>
          <w:shd w:val="clear" w:color="auto" w:fill="FFFFFF"/>
        </w:rPr>
        <w:t>Serán también revocables la póliza flotante y la automática a que se refiere el artículo 1050.</w:t>
      </w:r>
    </w:p>
  </w:footnote>
  <w:footnote w:id="19">
    <w:p w14:paraId="6D5A075A" w14:textId="77777777" w:rsidR="0027006C" w:rsidRPr="00BB7987" w:rsidRDefault="0027006C" w:rsidP="0027006C">
      <w:pPr>
        <w:pStyle w:val="Textonotapie"/>
        <w:ind w:firstLine="708"/>
        <w:jc w:val="both"/>
        <w:rPr>
          <w:rFonts w:ascii="Verdana" w:hAnsi="Verdana" w:cs="Arial"/>
          <w:sz w:val="16"/>
          <w:szCs w:val="16"/>
        </w:rPr>
      </w:pPr>
      <w:r w:rsidRPr="00BB7987">
        <w:rPr>
          <w:rStyle w:val="Refdenotaalpie"/>
          <w:rFonts w:ascii="Verdana" w:hAnsi="Verdana" w:cs="Arial"/>
          <w:sz w:val="16"/>
          <w:szCs w:val="16"/>
        </w:rPr>
        <w:footnoteRef/>
      </w:r>
      <w:r w:rsidRPr="00BB7987">
        <w:rPr>
          <w:rFonts w:ascii="Verdana" w:hAnsi="Verdana" w:cs="Arial"/>
          <w:i/>
          <w:sz w:val="16"/>
          <w:szCs w:val="16"/>
        </w:rPr>
        <w:t xml:space="preserve"> </w:t>
      </w:r>
      <w:r w:rsidRPr="00BB7987">
        <w:rPr>
          <w:rFonts w:ascii="Verdana" w:eastAsia="Calibri" w:hAnsi="Verdana" w:cs="Times New Roman"/>
          <w:sz w:val="16"/>
          <w:szCs w:val="16"/>
          <w:lang w:val="es-CO"/>
        </w:rPr>
        <w:t xml:space="preserve">ESCOBAR GIL, Rodrigo. Teoría general de los contratos de la administración pública. Bogotá: Legis, 2000, </w:t>
      </w:r>
      <w:r w:rsidRPr="00BB7987">
        <w:rPr>
          <w:rFonts w:ascii="Verdana" w:hAnsi="Verdana" w:cs="Arial"/>
          <w:sz w:val="16"/>
          <w:szCs w:val="16"/>
        </w:rPr>
        <w:t xml:space="preserve">p. 249. Señala que el fundamento de dicha regla es la no aplicación de la </w:t>
      </w:r>
      <w:proofErr w:type="spellStart"/>
      <w:r w:rsidRPr="00BB7987">
        <w:rPr>
          <w:rFonts w:ascii="Verdana" w:hAnsi="Verdana" w:cs="Arial"/>
          <w:i/>
          <w:sz w:val="16"/>
          <w:szCs w:val="16"/>
        </w:rPr>
        <w:t>exceptio</w:t>
      </w:r>
      <w:proofErr w:type="spellEnd"/>
      <w:r w:rsidRPr="00BB7987">
        <w:rPr>
          <w:rFonts w:ascii="Verdana" w:hAnsi="Verdana" w:cs="Arial"/>
          <w:i/>
          <w:sz w:val="16"/>
          <w:szCs w:val="16"/>
        </w:rPr>
        <w:t xml:space="preserve"> non </w:t>
      </w:r>
      <w:proofErr w:type="spellStart"/>
      <w:r w:rsidRPr="00BB7987">
        <w:rPr>
          <w:rFonts w:ascii="Verdana" w:hAnsi="Verdana" w:cs="Arial"/>
          <w:i/>
          <w:sz w:val="16"/>
          <w:szCs w:val="16"/>
        </w:rPr>
        <w:t>adipleti</w:t>
      </w:r>
      <w:proofErr w:type="spellEnd"/>
      <w:r w:rsidRPr="00BB7987">
        <w:rPr>
          <w:rFonts w:ascii="Verdana" w:hAnsi="Verdana" w:cs="Arial"/>
          <w:i/>
          <w:sz w:val="16"/>
          <w:szCs w:val="16"/>
        </w:rPr>
        <w:t xml:space="preserve"> contractus </w:t>
      </w:r>
      <w:r w:rsidRPr="00BB7987">
        <w:rPr>
          <w:rFonts w:ascii="Verdana" w:hAnsi="Verdana" w:cs="Arial"/>
          <w:sz w:val="16"/>
          <w:szCs w:val="16"/>
        </w:rPr>
        <w:t>a los negocios jurídicos estatales.</w:t>
      </w:r>
    </w:p>
  </w:footnote>
  <w:footnote w:id="20">
    <w:p w14:paraId="31D8FEC2" w14:textId="77777777" w:rsidR="0027006C" w:rsidRPr="00BB7987" w:rsidRDefault="0027006C" w:rsidP="0027006C">
      <w:pPr>
        <w:pStyle w:val="Textonotapie"/>
        <w:ind w:firstLine="708"/>
        <w:jc w:val="both"/>
        <w:rPr>
          <w:rFonts w:ascii="Verdana" w:hAnsi="Verdana"/>
          <w:sz w:val="16"/>
          <w:szCs w:val="16"/>
        </w:rPr>
      </w:pPr>
      <w:r w:rsidRPr="00BB7987">
        <w:rPr>
          <w:rStyle w:val="Refdenotaalpie"/>
          <w:rFonts w:ascii="Verdana" w:hAnsi="Verdana"/>
          <w:sz w:val="16"/>
          <w:szCs w:val="16"/>
        </w:rPr>
        <w:footnoteRef/>
      </w:r>
      <w:r w:rsidRPr="00BB7987">
        <w:rPr>
          <w:rFonts w:ascii="Verdana" w:hAnsi="Verdana"/>
          <w:sz w:val="16"/>
          <w:szCs w:val="16"/>
        </w:rPr>
        <w:t xml:space="preserve"> Artículo 1044. Oposición y Excepciones. </w:t>
      </w:r>
      <w:r w:rsidRPr="00BB7987">
        <w:rPr>
          <w:rFonts w:ascii="Verdana" w:hAnsi="Verdana" w:cs="Arial"/>
          <w:color w:val="000000"/>
          <w:sz w:val="16"/>
          <w:szCs w:val="16"/>
          <w:shd w:val="clear" w:color="auto" w:fill="FFFFFF"/>
        </w:rPr>
        <w:t xml:space="preserve">Salvo estipulación en contrario, el asegurador podrá oponer al beneficiario las excepciones que hubiere podido alegar contra el tomador o el asegurado, en caso de ser </w:t>
      </w:r>
      <w:proofErr w:type="gramStart"/>
      <w:r w:rsidRPr="00BB7987">
        <w:rPr>
          <w:rFonts w:ascii="Verdana" w:hAnsi="Verdana" w:cs="Arial"/>
          <w:color w:val="000000"/>
          <w:sz w:val="16"/>
          <w:szCs w:val="16"/>
          <w:shd w:val="clear" w:color="auto" w:fill="FFFFFF"/>
        </w:rPr>
        <w:t>éstos</w:t>
      </w:r>
      <w:proofErr w:type="gramEnd"/>
      <w:r w:rsidRPr="00BB7987">
        <w:rPr>
          <w:rFonts w:ascii="Verdana" w:hAnsi="Verdana" w:cs="Arial"/>
          <w:color w:val="000000"/>
          <w:sz w:val="16"/>
          <w:szCs w:val="16"/>
          <w:shd w:val="clear" w:color="auto" w:fill="FFFFFF"/>
        </w:rPr>
        <w:t xml:space="preserve"> distintos de aquél, y al asegurado las que hubiere podido alegar contra el tomador.</w:t>
      </w:r>
    </w:p>
  </w:footnote>
  <w:footnote w:id="21">
    <w:p w14:paraId="6CB22414" w14:textId="77777777" w:rsidR="0027006C" w:rsidRPr="00BB7987" w:rsidRDefault="0027006C" w:rsidP="0027006C">
      <w:pPr>
        <w:pStyle w:val="Textonotapie"/>
        <w:ind w:firstLine="708"/>
        <w:jc w:val="both"/>
        <w:rPr>
          <w:rFonts w:ascii="Verdana" w:hAnsi="Verdana"/>
          <w:sz w:val="16"/>
          <w:szCs w:val="16"/>
          <w:lang w:val="es-ES_tradnl"/>
        </w:rPr>
      </w:pPr>
      <w:r w:rsidRPr="00BB7987">
        <w:rPr>
          <w:rStyle w:val="Refdenotaalpie"/>
          <w:rFonts w:ascii="Verdana" w:hAnsi="Verdana"/>
          <w:sz w:val="16"/>
          <w:szCs w:val="16"/>
        </w:rPr>
        <w:footnoteRef/>
      </w:r>
      <w:r w:rsidRPr="00BB7987">
        <w:rPr>
          <w:rFonts w:ascii="Verdana" w:hAnsi="Verdana"/>
          <w:sz w:val="16"/>
          <w:szCs w:val="16"/>
        </w:rPr>
        <w:t xml:space="preserve"> </w:t>
      </w:r>
      <w:r w:rsidRPr="00BB7987">
        <w:rPr>
          <w:rFonts w:ascii="Verdana" w:eastAsia="Verdana" w:hAnsi="Verdana" w:cs="Verdana"/>
          <w:sz w:val="16"/>
          <w:szCs w:val="16"/>
        </w:rPr>
        <w:t>Consejo De Estado. Sala de Consulta Y Servicio Civil. Concepto del 14 de diciembre de 2000. Radicación número: 1293. Consejero ponente: Luis Camilo Osorio Isaza.</w:t>
      </w:r>
    </w:p>
  </w:footnote>
  <w:footnote w:id="22">
    <w:p w14:paraId="091EF7AC" w14:textId="77777777" w:rsidR="0027006C" w:rsidRPr="00BB7987" w:rsidRDefault="0027006C" w:rsidP="0027006C">
      <w:pPr>
        <w:pBdr>
          <w:top w:val="nil"/>
          <w:left w:val="nil"/>
          <w:bottom w:val="nil"/>
          <w:right w:val="nil"/>
          <w:between w:val="nil"/>
        </w:pBdr>
        <w:ind w:firstLine="708"/>
        <w:jc w:val="both"/>
        <w:rPr>
          <w:rFonts w:ascii="Verdana" w:eastAsia="Verdana" w:hAnsi="Verdana" w:cs="Verdana"/>
          <w:color w:val="000000"/>
          <w:sz w:val="16"/>
          <w:szCs w:val="16"/>
        </w:rPr>
      </w:pPr>
      <w:r w:rsidRPr="00BB7987">
        <w:rPr>
          <w:rFonts w:ascii="Verdana" w:hAnsi="Verdana"/>
          <w:sz w:val="16"/>
          <w:szCs w:val="16"/>
          <w:vertAlign w:val="superscript"/>
        </w:rPr>
        <w:footnoteRef/>
      </w:r>
      <w:r w:rsidRPr="00BB7987">
        <w:rPr>
          <w:rFonts w:ascii="Verdana" w:eastAsia="Verdana" w:hAnsi="Verdana" w:cs="Verdana"/>
          <w:color w:val="000000"/>
          <w:sz w:val="16"/>
          <w:szCs w:val="16"/>
        </w:rPr>
        <w:t xml:space="preserve"> CONSEJO DE ESTADO. Sección Tercera. Subsección A. Sentencia del 9 de mayo de 2012. C.P. Mauricio Fajardo Gómez. </w:t>
      </w:r>
      <w:proofErr w:type="spellStart"/>
      <w:r w:rsidRPr="00BB7987">
        <w:rPr>
          <w:rFonts w:ascii="Verdana" w:eastAsia="Verdana" w:hAnsi="Verdana" w:cs="Verdana"/>
          <w:color w:val="000000"/>
          <w:sz w:val="16"/>
          <w:szCs w:val="16"/>
        </w:rPr>
        <w:t>Exp</w:t>
      </w:r>
      <w:proofErr w:type="spellEnd"/>
      <w:r w:rsidRPr="00BB7987">
        <w:rPr>
          <w:rFonts w:ascii="Verdana" w:eastAsia="Verdana" w:hAnsi="Verdana" w:cs="Verdana"/>
          <w:color w:val="000000"/>
          <w:sz w:val="16"/>
          <w:szCs w:val="16"/>
        </w:rPr>
        <w:t xml:space="preserve">. 20968. </w:t>
      </w:r>
    </w:p>
  </w:footnote>
  <w:footnote w:id="23">
    <w:p w14:paraId="04104440" w14:textId="77777777" w:rsidR="0027006C" w:rsidRPr="00BB7987" w:rsidRDefault="0027006C" w:rsidP="0027006C">
      <w:pPr>
        <w:pStyle w:val="Textonotapie"/>
        <w:ind w:firstLine="708"/>
        <w:jc w:val="both"/>
        <w:rPr>
          <w:rFonts w:ascii="Verdana" w:hAnsi="Verdana"/>
          <w:sz w:val="16"/>
          <w:szCs w:val="16"/>
          <w:lang w:val="es-ES_tradnl"/>
        </w:rPr>
      </w:pPr>
      <w:r w:rsidRPr="00BB7987">
        <w:rPr>
          <w:rStyle w:val="Refdenotaalpie"/>
          <w:rFonts w:ascii="Verdana" w:hAnsi="Verdana"/>
          <w:sz w:val="16"/>
          <w:szCs w:val="16"/>
        </w:rPr>
        <w:footnoteRef/>
      </w:r>
      <w:r w:rsidRPr="00BB7987">
        <w:rPr>
          <w:rFonts w:ascii="Verdana" w:hAnsi="Verdana"/>
          <w:sz w:val="16"/>
          <w:szCs w:val="16"/>
        </w:rPr>
        <w:t xml:space="preserve"> Consejo </w:t>
      </w:r>
      <w:r>
        <w:rPr>
          <w:rFonts w:ascii="Verdana" w:hAnsi="Verdana"/>
          <w:sz w:val="16"/>
          <w:szCs w:val="16"/>
        </w:rPr>
        <w:t>d</w:t>
      </w:r>
      <w:r w:rsidRPr="00BB7987">
        <w:rPr>
          <w:rFonts w:ascii="Verdana" w:hAnsi="Verdana"/>
          <w:sz w:val="16"/>
          <w:szCs w:val="16"/>
        </w:rPr>
        <w:t xml:space="preserve">e Estado. </w:t>
      </w:r>
      <w:r>
        <w:rPr>
          <w:rFonts w:ascii="Verdana" w:hAnsi="Verdana"/>
          <w:sz w:val="16"/>
          <w:szCs w:val="16"/>
        </w:rPr>
        <w:t xml:space="preserve">Sección Tercera, Subsección A. </w:t>
      </w:r>
      <w:r w:rsidRPr="00BB7987">
        <w:rPr>
          <w:rFonts w:ascii="Verdana" w:hAnsi="Verdana"/>
          <w:sz w:val="16"/>
          <w:szCs w:val="16"/>
        </w:rPr>
        <w:t>Sentencia del 4 de abril de 2025.</w:t>
      </w:r>
      <w:r>
        <w:rPr>
          <w:rFonts w:ascii="Verdana" w:hAnsi="Verdana"/>
          <w:sz w:val="16"/>
          <w:szCs w:val="16"/>
        </w:rPr>
        <w:t xml:space="preserve"> C.P. María Adriana Marín. </w:t>
      </w:r>
      <w:proofErr w:type="spellStart"/>
      <w:r>
        <w:rPr>
          <w:rFonts w:ascii="Verdana" w:hAnsi="Verdana"/>
          <w:sz w:val="16"/>
          <w:szCs w:val="16"/>
        </w:rPr>
        <w:t>Exp</w:t>
      </w:r>
      <w:proofErr w:type="spellEnd"/>
      <w:r>
        <w:rPr>
          <w:rFonts w:ascii="Verdana" w:hAnsi="Verdana"/>
          <w:sz w:val="16"/>
          <w:szCs w:val="16"/>
        </w:rPr>
        <w:t>. 58.434.</w:t>
      </w:r>
    </w:p>
  </w:footnote>
  <w:footnote w:id="24">
    <w:p w14:paraId="7F16F8A7" w14:textId="77777777" w:rsidR="0027006C" w:rsidRPr="00BB7987" w:rsidRDefault="0027006C" w:rsidP="0027006C">
      <w:pPr>
        <w:spacing w:after="0" w:line="240" w:lineRule="auto"/>
        <w:ind w:firstLine="709"/>
        <w:jc w:val="both"/>
        <w:rPr>
          <w:rFonts w:ascii="Verdana" w:hAnsi="Verdana" w:cs="Arial"/>
          <w:iCs/>
          <w:color w:val="000000"/>
          <w:sz w:val="16"/>
          <w:szCs w:val="16"/>
        </w:rPr>
      </w:pPr>
      <w:r w:rsidRPr="00BB7987">
        <w:rPr>
          <w:rStyle w:val="Refdenotaalpie"/>
          <w:rFonts w:ascii="Verdana" w:hAnsi="Verdana" w:cs="Arial"/>
          <w:sz w:val="16"/>
          <w:szCs w:val="16"/>
        </w:rPr>
        <w:footnoteRef/>
      </w:r>
      <w:r w:rsidRPr="00BB7987">
        <w:rPr>
          <w:rFonts w:ascii="Verdana" w:hAnsi="Verdana" w:cs="Arial"/>
          <w:sz w:val="16"/>
          <w:szCs w:val="16"/>
        </w:rPr>
        <w:t xml:space="preserve"> </w:t>
      </w:r>
      <w:r w:rsidRPr="00BB7987">
        <w:rPr>
          <w:rFonts w:ascii="Verdana" w:hAnsi="Verdana" w:cs="Arial"/>
          <w:iCs/>
          <w:color w:val="000000"/>
          <w:sz w:val="16"/>
          <w:szCs w:val="16"/>
        </w:rPr>
        <w:t xml:space="preserve">En cuanto a la oportunidad para su imposición, el Consejo de Estado ha precisado: “[…] al tenor de las normas que tipifican la caducidad, de acuerdo con los criterios de interpretación gramatical y teleológico –que aquí claramente coinciden–, constituye un requisito legal para declarar la caducidad del contrato que el plazo de ejecución correspondiente no haya expirado, puesto que si ya expiró sin que el contrato se ejecutara, la declaratoria de caducidad no lograría satisfacer uno de los propósitos principales de la norma, cual es permitir, en los términos del artículo 18 de la Ley 80, que “la entidad contratante tome posesión de la obra o continúe inmediatamente la ejecución del objeto contratado, bien sea a través del garante o de otro contratista […]” y conjure, de esta forma, la amenaza que se cierne sobre el interés general, representado en la debida ejecución del objeto contratado” Sección Tercera, Sentencia del 12 de julio de 2012, expediente 15.024 y ponencia de Danilo Rojas Betancourth. </w:t>
      </w:r>
    </w:p>
  </w:footnote>
  <w:footnote w:id="25">
    <w:p w14:paraId="2F4E21B8" w14:textId="77777777" w:rsidR="0027006C" w:rsidRPr="00BB7987" w:rsidRDefault="0027006C" w:rsidP="0027006C">
      <w:pPr>
        <w:pStyle w:val="Textonotapie"/>
        <w:snapToGrid w:val="0"/>
        <w:ind w:firstLine="709"/>
        <w:contextualSpacing/>
        <w:jc w:val="both"/>
        <w:rPr>
          <w:rFonts w:ascii="Verdana" w:hAnsi="Verdana" w:cs="Arial"/>
          <w:color w:val="000000" w:themeColor="text1"/>
          <w:sz w:val="16"/>
          <w:szCs w:val="16"/>
        </w:rPr>
      </w:pPr>
      <w:r w:rsidRPr="00BB7987">
        <w:rPr>
          <w:rStyle w:val="Refdenotaalpie"/>
          <w:rFonts w:ascii="Verdana" w:hAnsi="Verdana" w:cs="Arial"/>
          <w:color w:val="000000" w:themeColor="text1"/>
          <w:sz w:val="16"/>
          <w:szCs w:val="16"/>
        </w:rPr>
        <w:footnoteRef/>
      </w:r>
      <w:r w:rsidRPr="00BB7987">
        <w:rPr>
          <w:rFonts w:ascii="Verdana" w:hAnsi="Verdana" w:cs="Arial"/>
          <w:color w:val="000000" w:themeColor="text1"/>
          <w:sz w:val="16"/>
          <w:szCs w:val="16"/>
        </w:rPr>
        <w:t xml:space="preserve"> Así se desprende del primer inciso de aquel artículo, que dice: «Las entidades sometidas al Estatuto General de Contratación de la Administración Pública podrán declarar el incumplimiento, cuantificando los perjuicios </w:t>
      </w:r>
      <w:proofErr w:type="gramStart"/>
      <w:r w:rsidRPr="00BB7987">
        <w:rPr>
          <w:rFonts w:ascii="Verdana" w:hAnsi="Verdana" w:cs="Arial"/>
          <w:color w:val="000000" w:themeColor="text1"/>
          <w:sz w:val="16"/>
          <w:szCs w:val="16"/>
        </w:rPr>
        <w:t>del mismo</w:t>
      </w:r>
      <w:proofErr w:type="gramEnd"/>
      <w:r w:rsidRPr="00BB7987">
        <w:rPr>
          <w:rFonts w:ascii="Verdana" w:hAnsi="Verdana" w:cs="Arial"/>
          <w:color w:val="000000" w:themeColor="text1"/>
          <w:sz w:val="16"/>
          <w:szCs w:val="16"/>
        </w:rPr>
        <w:t>, imponer las multas y sanciones pactadas en el contrato, y hacer efectiva la cláusula penal. Para tal efecto observarán el siguiente procedimiento […]».</w:t>
      </w:r>
    </w:p>
  </w:footnote>
  <w:footnote w:id="26">
    <w:p w14:paraId="63705DD8" w14:textId="77777777" w:rsidR="0027006C" w:rsidRPr="00A553E6" w:rsidRDefault="0027006C" w:rsidP="0027006C">
      <w:pPr>
        <w:pStyle w:val="Textonotapie"/>
        <w:snapToGrid w:val="0"/>
        <w:ind w:firstLine="709"/>
        <w:contextualSpacing/>
        <w:jc w:val="both"/>
        <w:rPr>
          <w:rFonts w:ascii="Verdana" w:hAnsi="Verdana" w:cs="Arial"/>
          <w:color w:val="000000" w:themeColor="text1"/>
          <w:sz w:val="16"/>
          <w:szCs w:val="16"/>
        </w:rPr>
      </w:pPr>
      <w:r w:rsidRPr="00BB7987">
        <w:rPr>
          <w:rStyle w:val="Refdenotaalpie"/>
          <w:rFonts w:ascii="Verdana" w:hAnsi="Verdana" w:cs="Arial"/>
          <w:sz w:val="16"/>
          <w:szCs w:val="16"/>
        </w:rPr>
        <w:footnoteRef/>
      </w:r>
      <w:r w:rsidRPr="00BB7987">
        <w:rPr>
          <w:rFonts w:ascii="Verdana" w:hAnsi="Verdana" w:cs="Arial"/>
          <w:sz w:val="16"/>
          <w:szCs w:val="16"/>
        </w:rPr>
        <w:t xml:space="preserve"> </w:t>
      </w:r>
      <w:r w:rsidRPr="00BB7987">
        <w:rPr>
          <w:rFonts w:ascii="Verdana" w:hAnsi="Verdana" w:cs="Arial"/>
          <w:color w:val="000000" w:themeColor="text1"/>
          <w:sz w:val="16"/>
          <w:szCs w:val="16"/>
        </w:rPr>
        <w:t xml:space="preserve">Se entiende por entidades de </w:t>
      </w:r>
      <w:r w:rsidRPr="00BB7987">
        <w:rPr>
          <w:rFonts w:ascii="Verdana" w:hAnsi="Verdana" w:cs="Arial"/>
          <w:i/>
          <w:iCs/>
          <w:color w:val="000000" w:themeColor="text1"/>
          <w:sz w:val="16"/>
          <w:szCs w:val="16"/>
        </w:rPr>
        <w:t xml:space="preserve">régimen especial </w:t>
      </w:r>
      <w:r w:rsidRPr="00BB7987">
        <w:rPr>
          <w:rFonts w:ascii="Verdana" w:hAnsi="Verdana" w:cs="Arial"/>
          <w:color w:val="000000" w:themeColor="text1"/>
          <w:sz w:val="16"/>
          <w:szCs w:val="16"/>
        </w:rPr>
        <w:t>aquellas que tienen un régimen contractual distinto al Estatuto General de Contratación de la Administración Pública, y que por regla general se rigen por el derecho privado.</w:t>
      </w:r>
    </w:p>
  </w:footnote>
  <w:footnote w:id="27">
    <w:p w14:paraId="68CD04AD" w14:textId="77777777" w:rsidR="0027006C" w:rsidRPr="00BB7987" w:rsidRDefault="0027006C" w:rsidP="0027006C">
      <w:pPr>
        <w:pStyle w:val="Textonotapie"/>
        <w:ind w:firstLine="709"/>
        <w:jc w:val="both"/>
        <w:rPr>
          <w:rFonts w:ascii="Verdana" w:hAnsi="Verdana" w:cs="Arial"/>
          <w:color w:val="000000"/>
          <w:sz w:val="16"/>
          <w:szCs w:val="16"/>
        </w:rPr>
      </w:pPr>
      <w:r w:rsidRPr="00BB7987">
        <w:rPr>
          <w:rStyle w:val="Refdenotaalpie"/>
          <w:rFonts w:ascii="Verdana" w:hAnsi="Verdana" w:cs="Arial"/>
          <w:color w:val="000000"/>
          <w:sz w:val="16"/>
          <w:szCs w:val="16"/>
        </w:rPr>
        <w:footnoteRef/>
      </w:r>
      <w:r w:rsidRPr="00BB7987">
        <w:rPr>
          <w:rFonts w:ascii="Verdana" w:hAnsi="Verdana" w:cs="Arial"/>
          <w:color w:val="000000"/>
          <w:sz w:val="16"/>
          <w:szCs w:val="16"/>
          <w:lang w:val="pt-BR"/>
        </w:rPr>
        <w:t xml:space="preserve"> Corte Constitucional. Sentencia C-317 de 2012. </w:t>
      </w:r>
      <w:r w:rsidRPr="00BB7987">
        <w:rPr>
          <w:rFonts w:ascii="Verdana" w:hAnsi="Verdana" w:cs="Arial"/>
          <w:color w:val="000000"/>
          <w:sz w:val="16"/>
          <w:szCs w:val="16"/>
        </w:rPr>
        <w:t xml:space="preserve">M.P. María Victoria Calle Correa. </w:t>
      </w:r>
    </w:p>
  </w:footnote>
  <w:footnote w:id="28">
    <w:p w14:paraId="1C395F8E" w14:textId="77777777" w:rsidR="0027006C" w:rsidRPr="00BB7987" w:rsidRDefault="0027006C" w:rsidP="0027006C">
      <w:pPr>
        <w:spacing w:after="0" w:line="240" w:lineRule="auto"/>
        <w:ind w:firstLine="708"/>
        <w:jc w:val="both"/>
        <w:rPr>
          <w:rFonts w:ascii="Verdana" w:eastAsia="Verdana" w:hAnsi="Verdana" w:cs="Verdana"/>
          <w:sz w:val="16"/>
          <w:szCs w:val="16"/>
          <w:lang w:val="es-ES"/>
        </w:rPr>
      </w:pPr>
      <w:r w:rsidRPr="00BB7987">
        <w:rPr>
          <w:rStyle w:val="Refdenotaalpie"/>
          <w:rFonts w:ascii="Verdana" w:hAnsi="Verdana"/>
          <w:sz w:val="16"/>
          <w:szCs w:val="16"/>
        </w:rPr>
        <w:footnoteRef/>
      </w:r>
      <w:r w:rsidRPr="00BB7987">
        <w:rPr>
          <w:rFonts w:ascii="Verdana" w:hAnsi="Verdana"/>
          <w:sz w:val="16"/>
          <w:szCs w:val="16"/>
        </w:rPr>
        <w:t xml:space="preserve"> </w:t>
      </w:r>
      <w:r w:rsidRPr="00BB7987">
        <w:rPr>
          <w:rFonts w:ascii="Verdana" w:eastAsia="Verdana" w:hAnsi="Verdana" w:cs="Verdana"/>
          <w:sz w:val="16"/>
          <w:szCs w:val="16"/>
          <w:lang w:val="es-ES"/>
        </w:rPr>
        <w:t>“</w:t>
      </w:r>
      <w:r w:rsidRPr="00BB7987">
        <w:rPr>
          <w:rFonts w:ascii="Verdana" w:hAnsi="Verdana"/>
          <w:sz w:val="16"/>
          <w:szCs w:val="16"/>
        </w:rPr>
        <w:t>[…]</w:t>
      </w:r>
      <w:r w:rsidRPr="00BB7987">
        <w:rPr>
          <w:rFonts w:ascii="Verdana" w:eastAsia="Verdana" w:hAnsi="Verdana" w:cs="Verdana"/>
          <w:sz w:val="16"/>
          <w:szCs w:val="16"/>
          <w:lang w:val="es-ES"/>
        </w:rPr>
        <w:t xml:space="preserve"> la posibilidad de hacer efectiva la cláusula penal se extiende hasta el término de la liquidación, lo cual, con la Ley 1150 de 2007, se compagina con el término de caducidad.</w:t>
      </w:r>
    </w:p>
    <w:p w14:paraId="601383FB" w14:textId="77777777" w:rsidR="0027006C" w:rsidRPr="00BB7987" w:rsidRDefault="0027006C" w:rsidP="0027006C">
      <w:pPr>
        <w:spacing w:after="0" w:line="240" w:lineRule="auto"/>
        <w:ind w:firstLine="708"/>
        <w:jc w:val="both"/>
        <w:rPr>
          <w:rFonts w:ascii="Verdana" w:eastAsia="Verdana" w:hAnsi="Verdana" w:cs="Verdana"/>
          <w:sz w:val="16"/>
          <w:szCs w:val="16"/>
          <w:lang w:val="es-ES"/>
        </w:rPr>
      </w:pPr>
      <w:r w:rsidRPr="00BB7987">
        <w:rPr>
          <w:rFonts w:ascii="Verdana" w:eastAsia="Verdana" w:hAnsi="Verdana" w:cs="Verdana"/>
          <w:sz w:val="16"/>
          <w:szCs w:val="16"/>
          <w:lang w:val="es-ES"/>
        </w:rPr>
        <w:t xml:space="preserve">Aunque la Sala no desconoce que el término de caducidad es diferente al de liquidación, es la misma ley la que permite que, durante los dos años siguientes al vencimiento del plazo para la liquidación unilateral, y mientras no se acuda ante el juez, se pueda surtir la liquidación, lo cual mutatis mutandis, permite que la entidad contratante declare el incumplimiento para hacer efectiva la cláusula penal -resaltando, además, que no exista una disposición que restrinja el ejercicio de esta facultad-.” </w:t>
      </w:r>
      <w:r w:rsidRPr="00BB7987">
        <w:rPr>
          <w:rFonts w:ascii="Verdana" w:hAnsi="Verdana"/>
          <w:sz w:val="16"/>
          <w:szCs w:val="16"/>
        </w:rPr>
        <w:t xml:space="preserve">Consejo de Estado. Sección tercera. Sentencia del 31 de marzo del 2023. </w:t>
      </w:r>
      <w:proofErr w:type="spellStart"/>
      <w:r w:rsidRPr="00BB7987">
        <w:rPr>
          <w:rFonts w:ascii="Verdana" w:hAnsi="Verdana"/>
          <w:sz w:val="16"/>
          <w:szCs w:val="16"/>
        </w:rPr>
        <w:t>Exp</w:t>
      </w:r>
      <w:proofErr w:type="spellEnd"/>
      <w:r w:rsidRPr="00BB7987">
        <w:rPr>
          <w:rFonts w:ascii="Verdana" w:hAnsi="Verdana"/>
          <w:sz w:val="16"/>
          <w:szCs w:val="16"/>
        </w:rPr>
        <w:t xml:space="preserve">. </w:t>
      </w:r>
      <w:r w:rsidRPr="00BB7987">
        <w:rPr>
          <w:rFonts w:ascii="Verdana" w:eastAsia="Verdana" w:hAnsi="Verdana" w:cs="Verdana"/>
          <w:sz w:val="16"/>
          <w:szCs w:val="16"/>
          <w:lang w:val="es-ES"/>
        </w:rPr>
        <w:t>56.002. C.P: Adriana Marín.</w:t>
      </w:r>
    </w:p>
  </w:footnote>
  <w:footnote w:id="29">
    <w:p w14:paraId="67BB1344" w14:textId="77777777" w:rsidR="0027006C" w:rsidRPr="00BB7987" w:rsidRDefault="0027006C" w:rsidP="0027006C">
      <w:pPr>
        <w:pStyle w:val="Textonotapie"/>
        <w:ind w:firstLine="708"/>
        <w:jc w:val="both"/>
        <w:rPr>
          <w:rFonts w:ascii="Verdana" w:hAnsi="Verdana"/>
          <w:sz w:val="16"/>
          <w:szCs w:val="16"/>
          <w:lang w:val="es-ES"/>
        </w:rPr>
      </w:pPr>
      <w:r w:rsidRPr="00BB7987">
        <w:rPr>
          <w:rStyle w:val="Refdenotaalpie"/>
          <w:rFonts w:ascii="Verdana" w:hAnsi="Verdana"/>
          <w:sz w:val="16"/>
          <w:szCs w:val="16"/>
        </w:rPr>
        <w:footnoteRef/>
      </w:r>
      <w:r w:rsidRPr="00BB7987">
        <w:rPr>
          <w:rFonts w:ascii="Verdana" w:hAnsi="Verdana"/>
          <w:sz w:val="16"/>
          <w:szCs w:val="16"/>
          <w:lang w:val="es-ES"/>
        </w:rPr>
        <w:t xml:space="preserve"> REAL ACADEMIA DE LA LENGUA ESPAÑOLA. Diccionario Panhispánico Jurídico. Disponible en línea: </w:t>
      </w:r>
      <w:hyperlink r:id="rId2" w:history="1">
        <w:r w:rsidRPr="00BB7987">
          <w:rPr>
            <w:rStyle w:val="Hipervnculo"/>
            <w:rFonts w:ascii="Verdana" w:hAnsi="Verdana"/>
            <w:sz w:val="16"/>
            <w:szCs w:val="16"/>
            <w:lang w:val="es-ES"/>
          </w:rPr>
          <w:t>https://dpej.rae.es/lema/incumplimiento-de-contrato</w:t>
        </w:r>
      </w:hyperlink>
      <w:r w:rsidRPr="00BB7987">
        <w:rPr>
          <w:rFonts w:ascii="Verdana" w:hAnsi="Verdana"/>
          <w:sz w:val="16"/>
          <w:szCs w:val="16"/>
          <w:lang w:val="es-ES"/>
        </w:rPr>
        <w:t xml:space="preserve"> </w:t>
      </w:r>
    </w:p>
  </w:footnote>
  <w:footnote w:id="30">
    <w:p w14:paraId="0EDF04CD" w14:textId="77777777" w:rsidR="0027006C" w:rsidRPr="00BB7987" w:rsidRDefault="0027006C" w:rsidP="0027006C">
      <w:pPr>
        <w:pStyle w:val="Textonotapie"/>
        <w:ind w:firstLine="708"/>
        <w:jc w:val="both"/>
        <w:rPr>
          <w:rFonts w:ascii="Verdana" w:hAnsi="Verdana"/>
          <w:sz w:val="16"/>
          <w:szCs w:val="16"/>
          <w:lang w:val="es-ES"/>
        </w:rPr>
      </w:pPr>
      <w:r w:rsidRPr="00BB7987">
        <w:rPr>
          <w:rStyle w:val="Refdenotaalpie"/>
          <w:rFonts w:ascii="Verdana" w:hAnsi="Verdana"/>
          <w:sz w:val="16"/>
          <w:szCs w:val="16"/>
        </w:rPr>
        <w:footnoteRef/>
      </w:r>
      <w:r w:rsidRPr="00BB7987">
        <w:rPr>
          <w:rFonts w:ascii="Verdana" w:hAnsi="Verdana"/>
          <w:sz w:val="16"/>
          <w:szCs w:val="16"/>
        </w:rPr>
        <w:t xml:space="preserve"> MONTOYA PENAGOS, Juan David. Terminación unilateral por incumplimiento. Medellín: Librería Jurídica Sánchez S.A.S. y CEDA, 2025. p. 255. </w:t>
      </w:r>
    </w:p>
  </w:footnote>
  <w:footnote w:id="31">
    <w:p w14:paraId="1CC7F1EF" w14:textId="77777777" w:rsidR="0027006C" w:rsidRPr="00BB7987" w:rsidRDefault="0027006C" w:rsidP="0027006C">
      <w:pPr>
        <w:pStyle w:val="Textonotapie"/>
        <w:ind w:firstLine="708"/>
        <w:jc w:val="both"/>
        <w:rPr>
          <w:rFonts w:ascii="Verdana" w:hAnsi="Verdana"/>
          <w:sz w:val="16"/>
          <w:szCs w:val="16"/>
          <w:lang w:val="es-ES"/>
        </w:rPr>
      </w:pPr>
      <w:r w:rsidRPr="00BB7987">
        <w:rPr>
          <w:rStyle w:val="Refdenotaalpie"/>
          <w:rFonts w:ascii="Verdana" w:hAnsi="Verdana"/>
          <w:sz w:val="16"/>
          <w:szCs w:val="16"/>
        </w:rPr>
        <w:footnoteRef/>
      </w:r>
      <w:r w:rsidRPr="00BB7987">
        <w:rPr>
          <w:rFonts w:ascii="Verdana" w:hAnsi="Verdana"/>
          <w:sz w:val="16"/>
          <w:szCs w:val="16"/>
        </w:rPr>
        <w:t xml:space="preserve"> </w:t>
      </w:r>
      <w:proofErr w:type="spellStart"/>
      <w:r w:rsidRPr="00BB7987">
        <w:rPr>
          <w:rFonts w:ascii="Verdana" w:hAnsi="Verdana"/>
          <w:sz w:val="16"/>
          <w:szCs w:val="16"/>
        </w:rPr>
        <w:t>Ibídem</w:t>
      </w:r>
      <w:proofErr w:type="spellEnd"/>
      <w:r w:rsidRPr="00BB7987">
        <w:rPr>
          <w:rFonts w:ascii="Verdana" w:hAnsi="Verdana"/>
          <w:sz w:val="16"/>
          <w:szCs w:val="16"/>
        </w:rPr>
        <w:t xml:space="preserve">., p. 256. </w:t>
      </w:r>
    </w:p>
  </w:footnote>
  <w:footnote w:id="32">
    <w:p w14:paraId="3D991FE9" w14:textId="77777777" w:rsidR="0027006C" w:rsidRPr="00BB7987" w:rsidRDefault="0027006C" w:rsidP="0027006C">
      <w:pPr>
        <w:pStyle w:val="Textonotapie"/>
        <w:ind w:firstLine="708"/>
        <w:jc w:val="both"/>
        <w:rPr>
          <w:rFonts w:ascii="Verdana" w:hAnsi="Verdana"/>
          <w:sz w:val="16"/>
          <w:szCs w:val="16"/>
          <w:lang w:val="es-CO"/>
        </w:rPr>
      </w:pPr>
      <w:r w:rsidRPr="00BB7987">
        <w:rPr>
          <w:rStyle w:val="Refdenotaalpie"/>
          <w:rFonts w:ascii="Verdana" w:hAnsi="Verdana"/>
          <w:sz w:val="16"/>
          <w:szCs w:val="16"/>
        </w:rPr>
        <w:footnoteRef/>
      </w:r>
      <w:r w:rsidRPr="00BB7987">
        <w:rPr>
          <w:rFonts w:ascii="Verdana" w:hAnsi="Verdana"/>
          <w:sz w:val="16"/>
          <w:szCs w:val="16"/>
        </w:rPr>
        <w:t xml:space="preserve"> </w:t>
      </w:r>
      <w:bookmarkStart w:id="6" w:name="1625"/>
      <w:r w:rsidRPr="00BB7987">
        <w:rPr>
          <w:rFonts w:ascii="Verdana" w:hAnsi="Verdana"/>
          <w:bCs/>
          <w:sz w:val="16"/>
          <w:szCs w:val="16"/>
          <w:lang w:val="es-CO"/>
        </w:rPr>
        <w:t>Artículo 1625. &lt;Modos de Extinción&gt;.</w:t>
      </w:r>
      <w:bookmarkEnd w:id="6"/>
      <w:r w:rsidRPr="00BB7987">
        <w:rPr>
          <w:rFonts w:ascii="Verdana" w:hAnsi="Verdana"/>
          <w:sz w:val="16"/>
          <w:szCs w:val="16"/>
          <w:lang w:val="es-CO"/>
        </w:rPr>
        <w:t> Toda obligación puede extinguirse por una convención en que las partes interesadas, siendo capaces de disponer libremente de lo suyo, consientan en darla por nula.</w:t>
      </w:r>
    </w:p>
    <w:p w14:paraId="366A0F6D"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Las obligaciones se extinguen además en todo o en parte:</w:t>
      </w:r>
    </w:p>
    <w:p w14:paraId="1DDEA403"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1o.) Por la solución o pago efectivo.</w:t>
      </w:r>
    </w:p>
    <w:p w14:paraId="0146D1A6"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2o.) Por la novación.</w:t>
      </w:r>
    </w:p>
    <w:p w14:paraId="14E57685"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3o.) Por la transacción.</w:t>
      </w:r>
    </w:p>
    <w:p w14:paraId="42007C0C"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4o.) Por la remisión.</w:t>
      </w:r>
    </w:p>
    <w:p w14:paraId="27A3B263"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5o.) Por la compensación.</w:t>
      </w:r>
    </w:p>
    <w:p w14:paraId="4DFF4FD6"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6o.) Por la confusión.</w:t>
      </w:r>
    </w:p>
    <w:p w14:paraId="56A6B6B5"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7o.) Por la pérdida de la cosa que se debe.</w:t>
      </w:r>
    </w:p>
    <w:p w14:paraId="54BC2228"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8o.) Por la declaración de nulidad o por la rescisión.</w:t>
      </w:r>
    </w:p>
    <w:p w14:paraId="507741A8"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9o.) Por el evento de la condición resolutoria.</w:t>
      </w:r>
    </w:p>
    <w:p w14:paraId="0A1E9DCE"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10.) Por la prescripción.</w:t>
      </w:r>
    </w:p>
    <w:p w14:paraId="53989E28" w14:textId="77777777" w:rsidR="0027006C" w:rsidRPr="00BB7987" w:rsidRDefault="0027006C" w:rsidP="0027006C">
      <w:pPr>
        <w:pStyle w:val="Textonotapie"/>
        <w:ind w:firstLine="708"/>
        <w:jc w:val="both"/>
        <w:rPr>
          <w:rFonts w:ascii="Verdana" w:hAnsi="Verdana"/>
          <w:sz w:val="16"/>
          <w:szCs w:val="16"/>
          <w:lang w:val="es-CO"/>
        </w:rPr>
      </w:pPr>
      <w:r w:rsidRPr="00BB7987">
        <w:rPr>
          <w:rFonts w:ascii="Verdana" w:hAnsi="Verdana"/>
          <w:sz w:val="16"/>
          <w:szCs w:val="16"/>
          <w:lang w:val="es-CO"/>
        </w:rPr>
        <w:t>De la transacción y la prescripción se tratará al fin de este libro; de la condición resolutoria se ha tratado en el título De las obligaciones condicionales.</w:t>
      </w:r>
    </w:p>
  </w:footnote>
  <w:footnote w:id="33">
    <w:p w14:paraId="20F858D2" w14:textId="77777777" w:rsidR="0027006C" w:rsidRPr="00BB7987" w:rsidRDefault="0027006C" w:rsidP="0027006C">
      <w:pPr>
        <w:pStyle w:val="Textonotapie"/>
        <w:ind w:firstLine="709"/>
        <w:jc w:val="both"/>
        <w:rPr>
          <w:rFonts w:ascii="Verdana" w:hAnsi="Verdana" w:cs="Arial"/>
          <w:sz w:val="16"/>
          <w:szCs w:val="16"/>
          <w:lang w:val="es-ES"/>
        </w:rPr>
      </w:pPr>
      <w:r w:rsidRPr="00BB7987">
        <w:rPr>
          <w:rStyle w:val="Refdenotaalpie"/>
          <w:rFonts w:ascii="Verdana" w:hAnsi="Verdana" w:cs="Arial"/>
          <w:sz w:val="16"/>
          <w:szCs w:val="16"/>
        </w:rPr>
        <w:footnoteRef/>
      </w:r>
      <w:r w:rsidRPr="00BB7987">
        <w:rPr>
          <w:rFonts w:ascii="Verdana" w:hAnsi="Verdana" w:cs="Arial"/>
          <w:sz w:val="16"/>
          <w:szCs w:val="16"/>
        </w:rPr>
        <w:t xml:space="preserve"> </w:t>
      </w:r>
      <w:r w:rsidRPr="00BB7987">
        <w:rPr>
          <w:rFonts w:ascii="Verdana" w:hAnsi="Verdana" w:cs="Arial"/>
          <w:sz w:val="16"/>
          <w:szCs w:val="16"/>
          <w:lang w:val="es-ES"/>
        </w:rPr>
        <w:t>Por eso el literal a) del artículo 86 de la Ley 1474 de 2011 prescribe que “a) Evidenciado un posible incumplimiento de las obligaciones a cargo del contratista, la entidad pública lo citará a audiencia para debatir lo ocurrido. […]”.</w:t>
      </w:r>
    </w:p>
    <w:p w14:paraId="72744687" w14:textId="77777777" w:rsidR="0027006C" w:rsidRPr="00BB7987" w:rsidRDefault="0027006C" w:rsidP="0027006C">
      <w:pPr>
        <w:pStyle w:val="Textonotapie"/>
        <w:ind w:firstLine="709"/>
        <w:rPr>
          <w:rFonts w:ascii="Verdana" w:hAnsi="Verdana" w:cs="Arial"/>
          <w:sz w:val="16"/>
          <w:szCs w:val="16"/>
          <w:lang w:val="es-CO"/>
        </w:rPr>
      </w:pPr>
    </w:p>
  </w:footnote>
  <w:footnote w:id="34">
    <w:p w14:paraId="71C2ABDD" w14:textId="77777777" w:rsidR="0027006C" w:rsidRPr="00BB7987" w:rsidRDefault="0027006C" w:rsidP="0027006C">
      <w:pPr>
        <w:pStyle w:val="Textonotapie"/>
        <w:ind w:firstLine="708"/>
        <w:jc w:val="both"/>
        <w:rPr>
          <w:rFonts w:ascii="Verdana" w:hAnsi="Verdana"/>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BB7987">
        <w:rPr>
          <w:rFonts w:ascii="Verdana" w:hAnsi="Verdana" w:cs="Arial"/>
          <w:color w:val="000000"/>
          <w:sz w:val="16"/>
          <w:szCs w:val="16"/>
          <w:shd w:val="clear" w:color="auto" w:fill="FFFFFF"/>
        </w:rPr>
        <w:t>” (</w:t>
      </w:r>
      <w:r w:rsidRPr="00BB7987">
        <w:rPr>
          <w:rFonts w:ascii="Verdana" w:hAnsi="Verdana" w:cs="Arial"/>
          <w:color w:val="000000"/>
          <w:sz w:val="16"/>
          <w:szCs w:val="16"/>
        </w:rPr>
        <w:t>EXPOSITO, Juan Carlos. Forma y contenido del contrato estatal. Bogotá: Universidad Externado de Colombia, p. 89 y 90).</w:t>
      </w:r>
    </w:p>
  </w:footnote>
  <w:footnote w:id="35">
    <w:p w14:paraId="5448432E" w14:textId="77777777" w:rsidR="0027006C" w:rsidRPr="00BB7987" w:rsidRDefault="0027006C" w:rsidP="0027006C">
      <w:pPr>
        <w:pStyle w:val="Textonotapie"/>
        <w:ind w:firstLine="708"/>
        <w:jc w:val="both"/>
        <w:rPr>
          <w:rFonts w:ascii="Verdana" w:hAnsi="Verdana" w:cs="Arial"/>
          <w:color w:val="000000"/>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DÍAZ DÍEZ, Cristian Andrés. La liquidación. Serie: Las Cláusulas del Contrato Estatal. Medellín: Librería Jurídica Sánchez y Centro de Estudios de Derecho Administrativo –CEDA–, 2013, pp. 53-54.</w:t>
      </w:r>
    </w:p>
  </w:footnote>
  <w:footnote w:id="36">
    <w:p w14:paraId="73462C53" w14:textId="77777777" w:rsidR="0027006C" w:rsidRPr="00BB7987" w:rsidRDefault="0027006C" w:rsidP="0027006C">
      <w:pPr>
        <w:spacing w:after="0" w:line="240" w:lineRule="auto"/>
        <w:ind w:firstLine="708"/>
        <w:jc w:val="both"/>
        <w:rPr>
          <w:rFonts w:ascii="Verdana" w:hAnsi="Verdana" w:cs="Arial"/>
          <w:color w:val="000000"/>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Consejo de Estado. Sección Tercera. Subsección C. Sentencia del 20 de octubre de 2014, C.P: Enrique Gil Botero.</w:t>
      </w:r>
      <w:r w:rsidRPr="00BB7987">
        <w:rPr>
          <w:rFonts w:ascii="Verdana" w:hAnsi="Verdana"/>
          <w:sz w:val="16"/>
          <w:szCs w:val="16"/>
        </w:rPr>
        <w:t xml:space="preserve"> </w:t>
      </w:r>
      <w:proofErr w:type="spellStart"/>
      <w:r w:rsidRPr="00BB7987">
        <w:rPr>
          <w:rFonts w:ascii="Verdana" w:hAnsi="Verdana" w:cs="Arial"/>
          <w:color w:val="000000"/>
          <w:sz w:val="16"/>
          <w:szCs w:val="16"/>
        </w:rPr>
        <w:t>Exp</w:t>
      </w:r>
      <w:proofErr w:type="spellEnd"/>
      <w:r w:rsidRPr="00BB7987">
        <w:rPr>
          <w:rFonts w:ascii="Verdana" w:hAnsi="Verdana" w:cs="Arial"/>
          <w:color w:val="000000"/>
          <w:sz w:val="16"/>
          <w:szCs w:val="16"/>
        </w:rPr>
        <w:t>. 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footnote>
  <w:footnote w:id="37">
    <w:p w14:paraId="661F6C94" w14:textId="77777777" w:rsidR="0027006C" w:rsidRPr="00BB7987" w:rsidRDefault="0027006C" w:rsidP="0027006C">
      <w:pPr>
        <w:pStyle w:val="Textonotapie"/>
        <w:ind w:firstLine="708"/>
        <w:jc w:val="both"/>
        <w:rPr>
          <w:rFonts w:ascii="Verdana" w:hAnsi="Verdana"/>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EXPÓSITO VÉLEZ, Juan Carlos. Forma y contenido del contrato estatal, </w:t>
      </w:r>
      <w:proofErr w:type="spellStart"/>
      <w:r w:rsidRPr="00BB7987">
        <w:rPr>
          <w:rFonts w:ascii="Verdana" w:hAnsi="Verdana" w:cs="Arial"/>
          <w:color w:val="000000"/>
          <w:sz w:val="16"/>
          <w:szCs w:val="16"/>
        </w:rPr>
        <w:t>Op</w:t>
      </w:r>
      <w:proofErr w:type="spellEnd"/>
      <w:r w:rsidRPr="00BB7987">
        <w:rPr>
          <w:rFonts w:ascii="Verdana" w:hAnsi="Verdana" w:cs="Arial"/>
          <w:color w:val="000000"/>
          <w:sz w:val="16"/>
          <w:szCs w:val="16"/>
        </w:rPr>
        <w:t>. Cit., p. 90.</w:t>
      </w:r>
    </w:p>
  </w:footnote>
  <w:footnote w:id="38">
    <w:p w14:paraId="5E95507E" w14:textId="77777777" w:rsidR="0027006C" w:rsidRPr="00BB7987" w:rsidRDefault="0027006C" w:rsidP="0027006C">
      <w:pPr>
        <w:pStyle w:val="Textonotapie"/>
        <w:ind w:firstLine="708"/>
        <w:jc w:val="both"/>
        <w:rPr>
          <w:rFonts w:ascii="Verdana" w:hAnsi="Verdana" w:cs="Arial"/>
          <w:color w:val="000000"/>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Consejo de Estado, Sala de Consulta y Servicio Civil. </w:t>
      </w:r>
      <w:r w:rsidRPr="00BB7987">
        <w:rPr>
          <w:rFonts w:ascii="Verdana" w:hAnsi="Verdana" w:cs="Arial"/>
          <w:color w:val="000000"/>
          <w:sz w:val="16"/>
          <w:szCs w:val="16"/>
          <w:lang w:val="pt-BR"/>
        </w:rPr>
        <w:t xml:space="preserve">Concepto de 6 de agosto de 2003. </w:t>
      </w:r>
      <w:r w:rsidRPr="00BB7987">
        <w:rPr>
          <w:rFonts w:ascii="Verdana" w:hAnsi="Verdana" w:cs="Arial"/>
          <w:color w:val="000000"/>
          <w:sz w:val="16"/>
          <w:szCs w:val="16"/>
        </w:rPr>
        <w:t>C.P. Augusto Trejos. Rad. No. 1453.</w:t>
      </w:r>
    </w:p>
  </w:footnote>
  <w:footnote w:id="39">
    <w:p w14:paraId="213DCCBD" w14:textId="77777777" w:rsidR="0027006C" w:rsidRPr="00BB7987" w:rsidRDefault="0027006C" w:rsidP="0027006C">
      <w:pPr>
        <w:pStyle w:val="Textonotapie"/>
        <w:ind w:firstLine="708"/>
        <w:jc w:val="both"/>
        <w:rPr>
          <w:rFonts w:ascii="Verdana" w:hAnsi="Verdana" w:cs="Arial"/>
          <w:color w:val="000000"/>
          <w:sz w:val="16"/>
          <w:szCs w:val="16"/>
          <w:lang w:val="es-ES"/>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w:t>
      </w:r>
      <w:r w:rsidRPr="00BB7987">
        <w:rPr>
          <w:rFonts w:ascii="Verdana" w:hAnsi="Verdana" w:cs="Arial"/>
          <w:color w:val="000000"/>
          <w:sz w:val="16"/>
          <w:szCs w:val="16"/>
          <w:lang w:val="es-ES"/>
        </w:rPr>
        <w:t>El artículo 11 de la Ley 1150 de 2007 prescribe: “Artículo 11. Del plazo para la liquidación de los contratos. La liquidación de los contratos se hará de mutuo acuerdo dentro del término fijado en los pliegos de condiciones o sus equivalentes, o dentro del que acuerden las partes para el efecto. De no existir tal término, la liquidación se realizará dentro de los cuatro (4) meses siguientes a la expiración del término previsto para la ejecución del contrato o a la expedición del acto administrativo que ordene la terminación, o a la fecha del acuerdo que la disponga.</w:t>
      </w:r>
    </w:p>
    <w:p w14:paraId="5AE435C4" w14:textId="77777777" w:rsidR="0027006C" w:rsidRPr="00BB7987" w:rsidRDefault="0027006C" w:rsidP="0027006C">
      <w:pPr>
        <w:pStyle w:val="Textonotapie"/>
        <w:ind w:firstLine="708"/>
        <w:jc w:val="both"/>
        <w:rPr>
          <w:rFonts w:ascii="Verdana" w:hAnsi="Verdana" w:cs="Arial"/>
          <w:color w:val="000000"/>
          <w:sz w:val="16"/>
          <w:szCs w:val="16"/>
          <w:lang w:val="es-ES"/>
        </w:rPr>
      </w:pPr>
      <w:r w:rsidRPr="00BB7987">
        <w:rPr>
          <w:rFonts w:ascii="Verdana" w:hAnsi="Verdana" w:cs="Arial"/>
          <w:color w:val="000000"/>
          <w:sz w:val="16"/>
          <w:szCs w:val="16"/>
          <w:lang w:val="es-ES"/>
        </w:rPr>
        <w:t>En aquellos casos en que el contratista no se presente a la liquidación previa notificación o convocatoria que le haga la entidad, o las partes no lleguen a un acuerdo sobre su contenido, la entidad tendrá la facultad de liquidar en forma unilateral dentro de los dos (2) meses siguientes, de conformidad con lo dispuesto en el artículo 136 del C. C. A.</w:t>
      </w:r>
    </w:p>
    <w:p w14:paraId="7FEF8880" w14:textId="77777777" w:rsidR="0027006C" w:rsidRPr="00BB7987" w:rsidRDefault="0027006C" w:rsidP="0027006C">
      <w:pPr>
        <w:pStyle w:val="Textonotapie"/>
        <w:ind w:firstLine="708"/>
        <w:jc w:val="both"/>
        <w:rPr>
          <w:rFonts w:ascii="Verdana" w:hAnsi="Verdana" w:cs="Arial"/>
          <w:color w:val="000000"/>
          <w:sz w:val="16"/>
          <w:szCs w:val="16"/>
          <w:lang w:val="es-ES"/>
        </w:rPr>
      </w:pPr>
      <w:r w:rsidRPr="00BB7987">
        <w:rPr>
          <w:rFonts w:ascii="Verdana" w:hAnsi="Verdana" w:cs="Arial"/>
          <w:color w:val="000000"/>
          <w:sz w:val="16"/>
          <w:szCs w:val="16"/>
          <w:lang w:val="es-ES"/>
        </w:rPr>
        <w:t>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w:t>
      </w:r>
    </w:p>
    <w:p w14:paraId="235490B6" w14:textId="77777777" w:rsidR="0027006C" w:rsidRPr="00BB7987" w:rsidRDefault="0027006C" w:rsidP="0027006C">
      <w:pPr>
        <w:pStyle w:val="Textonotapie"/>
        <w:ind w:firstLine="708"/>
        <w:jc w:val="both"/>
        <w:rPr>
          <w:rFonts w:ascii="Verdana" w:hAnsi="Verdana"/>
          <w:sz w:val="16"/>
          <w:szCs w:val="16"/>
        </w:rPr>
      </w:pPr>
      <w:r w:rsidRPr="00BB7987">
        <w:rPr>
          <w:rFonts w:ascii="Verdana" w:hAnsi="Verdana" w:cs="Arial"/>
          <w:color w:val="000000"/>
          <w:sz w:val="16"/>
          <w:szCs w:val="16"/>
          <w:lang w:val="es-ES"/>
        </w:rPr>
        <w:t>Los contratistas tendrán derecho a efectuar salvedades a la liquidación por mutuo acuerdo, y en este evento la liquidación unilateral solo procederá en relación con los aspectos que no hayan sido objeto de acuerdo”.</w:t>
      </w:r>
    </w:p>
  </w:footnote>
  <w:footnote w:id="40">
    <w:p w14:paraId="7E40537B" w14:textId="77777777" w:rsidR="0027006C" w:rsidRPr="00BB7987" w:rsidRDefault="0027006C" w:rsidP="0027006C">
      <w:pPr>
        <w:pStyle w:val="Textonotapie"/>
        <w:ind w:firstLine="709"/>
        <w:jc w:val="both"/>
        <w:rPr>
          <w:rFonts w:ascii="Verdana" w:hAnsi="Verdana"/>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Consejo De Estado, Sección Tercera, Subsección C. Sentencia del 24 de julio de 2013. C.P. Enrique Gil Botero. </w:t>
      </w:r>
      <w:proofErr w:type="spellStart"/>
      <w:r w:rsidRPr="00BB7987">
        <w:rPr>
          <w:rFonts w:ascii="Verdana" w:hAnsi="Verdana" w:cs="Arial"/>
          <w:color w:val="000000"/>
          <w:sz w:val="16"/>
          <w:szCs w:val="16"/>
        </w:rPr>
        <w:t>Exp</w:t>
      </w:r>
      <w:proofErr w:type="spellEnd"/>
      <w:r w:rsidRPr="00BB7987">
        <w:rPr>
          <w:rFonts w:ascii="Verdana" w:hAnsi="Verdana" w:cs="Arial"/>
          <w:color w:val="000000"/>
          <w:sz w:val="16"/>
          <w:szCs w:val="16"/>
        </w:rPr>
        <w:t xml:space="preserve">. 25.642. </w:t>
      </w:r>
    </w:p>
  </w:footnote>
  <w:footnote w:id="41">
    <w:p w14:paraId="04CF8CD3" w14:textId="77777777" w:rsidR="0027006C" w:rsidRPr="00BB7987" w:rsidRDefault="0027006C" w:rsidP="0027006C">
      <w:pPr>
        <w:pStyle w:val="NormalWeb"/>
        <w:spacing w:before="0" w:beforeAutospacing="0" w:after="0" w:afterAutospacing="0"/>
        <w:ind w:firstLine="709"/>
        <w:jc w:val="both"/>
        <w:rPr>
          <w:rFonts w:ascii="Verdana" w:hAnsi="Verdana" w:cs="Arial"/>
          <w:color w:val="000000"/>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Decreto 1082 de 2015 “</w:t>
      </w:r>
      <w:r w:rsidRPr="00BB7987">
        <w:rPr>
          <w:rStyle w:val="Fuerte"/>
          <w:rFonts w:ascii="Verdana" w:hAnsi="Verdana" w:cs="Arial"/>
          <w:b w:val="0"/>
          <w:bCs w:val="0"/>
          <w:color w:val="000000"/>
          <w:sz w:val="16"/>
          <w:szCs w:val="16"/>
        </w:rPr>
        <w:t>Artículo 2.2.1.2.1.5.2.</w:t>
      </w:r>
      <w:r w:rsidRPr="00BB7987">
        <w:rPr>
          <w:rStyle w:val="Fuerte"/>
          <w:rFonts w:ascii="Verdana" w:hAnsi="Verdana" w:cs="Arial"/>
          <w:color w:val="000000"/>
          <w:sz w:val="16"/>
          <w:szCs w:val="16"/>
        </w:rPr>
        <w:t> </w:t>
      </w:r>
      <w:r w:rsidRPr="00BB7987">
        <w:rPr>
          <w:rStyle w:val="nfasis"/>
          <w:rFonts w:ascii="Verdana" w:eastAsia="MS Mincho" w:hAnsi="Verdana" w:cs="Arial"/>
          <w:color w:val="000000"/>
          <w:sz w:val="16"/>
          <w:szCs w:val="16"/>
        </w:rPr>
        <w:t>Procedimiento para la contratación de mínima cuantía. </w:t>
      </w:r>
      <w:r w:rsidRPr="00BB7987">
        <w:rPr>
          <w:rFonts w:ascii="Verdana" w:hAnsi="Verdana" w:cs="Arial"/>
          <w:color w:val="000000"/>
          <w:sz w:val="16"/>
          <w:szCs w:val="16"/>
        </w:rPr>
        <w:t>Las siguientes reglas son aplicables a la contratación cuyo valor no excede del 10% de la menor cuantía de la Entidad Estatal, independientemente de su objeto: </w:t>
      </w:r>
    </w:p>
    <w:p w14:paraId="295A26F0" w14:textId="77777777" w:rsidR="0027006C" w:rsidRPr="00BB7987" w:rsidRDefault="0027006C" w:rsidP="0027006C">
      <w:pPr>
        <w:pStyle w:val="NormalWeb"/>
        <w:spacing w:before="0" w:beforeAutospacing="0" w:after="0" w:afterAutospacing="0"/>
        <w:jc w:val="both"/>
        <w:rPr>
          <w:rFonts w:ascii="Verdana" w:hAnsi="Verdana"/>
          <w:sz w:val="16"/>
          <w:szCs w:val="16"/>
        </w:rPr>
      </w:pPr>
      <w:r w:rsidRPr="00BB7987">
        <w:rPr>
          <w:rFonts w:ascii="Verdana" w:hAnsi="Verdana" w:cs="Arial"/>
          <w:color w:val="000000"/>
          <w:sz w:val="16"/>
          <w:szCs w:val="16"/>
        </w:rPr>
        <w:t>  </w:t>
      </w:r>
      <w:r w:rsidRPr="00BB7987">
        <w:rPr>
          <w:rFonts w:ascii="Verdana" w:hAnsi="Verdana" w:cs="Arial"/>
          <w:color w:val="000000"/>
          <w:sz w:val="16"/>
          <w:szCs w:val="16"/>
        </w:rPr>
        <w:tab/>
        <w:t>“1. La Entidad Estatal debe señalar en la invitación a participar en procesos de mínima cuantía la información a la que se refieren los numerales 2, 3 y 4 del artículo anterior, y la forma como el interesado debe acreditar su capacidad jurídica y la experiencia mínima, si se exige esta última, y el cumplimiento de las condiciones técnicas exigidas […]”. </w:t>
      </w:r>
    </w:p>
  </w:footnote>
  <w:footnote w:id="42">
    <w:p w14:paraId="02948614" w14:textId="77777777" w:rsidR="0027006C" w:rsidRPr="00BB7987" w:rsidRDefault="0027006C" w:rsidP="0027006C">
      <w:pPr>
        <w:pStyle w:val="NormalWeb"/>
        <w:spacing w:before="0" w:beforeAutospacing="0" w:after="0" w:afterAutospacing="0"/>
        <w:ind w:firstLine="720"/>
        <w:jc w:val="both"/>
        <w:rPr>
          <w:rFonts w:ascii="Verdana" w:hAnsi="Verdana" w:cs="Arial"/>
          <w:color w:val="000000"/>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Ley 80 de 1993 </w:t>
      </w:r>
      <w:r w:rsidRPr="00BB7987">
        <w:rPr>
          <w:rFonts w:ascii="Verdana" w:hAnsi="Verdana" w:cs="Arial"/>
          <w:b/>
          <w:bCs/>
          <w:color w:val="000000"/>
          <w:sz w:val="16"/>
          <w:szCs w:val="16"/>
        </w:rPr>
        <w:t>“</w:t>
      </w:r>
      <w:r w:rsidRPr="00BB7987">
        <w:rPr>
          <w:rStyle w:val="Fuerte"/>
          <w:rFonts w:ascii="Verdana" w:hAnsi="Verdana" w:cs="Arial"/>
          <w:b w:val="0"/>
          <w:bCs w:val="0"/>
          <w:color w:val="000000"/>
          <w:sz w:val="16"/>
          <w:szCs w:val="16"/>
        </w:rPr>
        <w:t>Articulo 39. De la forma del contrato estatal. </w:t>
      </w:r>
      <w:r w:rsidRPr="00BB7987">
        <w:rPr>
          <w:rFonts w:ascii="Verdana" w:hAnsi="Verdana" w:cs="Arial"/>
          <w:color w:val="000000"/>
          <w:sz w:val="16"/>
          <w:szCs w:val="16"/>
        </w:rPr>
        <w:t>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w:t>
      </w:r>
    </w:p>
    <w:p w14:paraId="16E86C48" w14:textId="77777777" w:rsidR="0027006C" w:rsidRPr="00BB7987" w:rsidRDefault="0027006C" w:rsidP="0027006C">
      <w:pPr>
        <w:pStyle w:val="NormalWeb"/>
        <w:spacing w:before="0" w:beforeAutospacing="0" w:after="0" w:afterAutospacing="0"/>
        <w:jc w:val="both"/>
        <w:rPr>
          <w:rFonts w:ascii="Verdana" w:hAnsi="Verdana" w:cs="Arial"/>
          <w:color w:val="000000"/>
          <w:sz w:val="16"/>
          <w:szCs w:val="16"/>
        </w:rPr>
      </w:pPr>
      <w:r w:rsidRPr="00BB7987">
        <w:rPr>
          <w:rFonts w:ascii="Verdana" w:hAnsi="Verdana" w:cs="Arial"/>
          <w:color w:val="000000"/>
          <w:sz w:val="16"/>
          <w:szCs w:val="16"/>
        </w:rPr>
        <w:t>  </w:t>
      </w:r>
      <w:r w:rsidRPr="00BB7987">
        <w:rPr>
          <w:rFonts w:ascii="Verdana" w:hAnsi="Verdana" w:cs="Arial"/>
          <w:color w:val="000000"/>
          <w:sz w:val="16"/>
          <w:szCs w:val="16"/>
        </w:rPr>
        <w:tab/>
        <w:t>[…]</w:t>
      </w:r>
      <w:bookmarkStart w:id="7" w:name="ver_1790147"/>
      <w:bookmarkStart w:id="8" w:name="ver_30220791"/>
      <w:bookmarkStart w:id="9" w:name="ver_1790148"/>
      <w:bookmarkEnd w:id="7"/>
      <w:bookmarkEnd w:id="8"/>
    </w:p>
    <w:p w14:paraId="6D8ED6C7" w14:textId="77777777" w:rsidR="0027006C" w:rsidRPr="00BB7987" w:rsidRDefault="0027006C" w:rsidP="0027006C">
      <w:pPr>
        <w:pStyle w:val="NormalWeb"/>
        <w:spacing w:before="0" w:beforeAutospacing="0" w:after="0" w:afterAutospacing="0"/>
        <w:ind w:firstLine="720"/>
        <w:jc w:val="both"/>
        <w:rPr>
          <w:rFonts w:ascii="Verdana" w:hAnsi="Verdana" w:cs="Arial"/>
          <w:color w:val="000000"/>
          <w:sz w:val="16"/>
          <w:szCs w:val="16"/>
        </w:rPr>
      </w:pPr>
      <w:r w:rsidRPr="00BB7987">
        <w:rPr>
          <w:rStyle w:val="Fuerte"/>
          <w:rFonts w:ascii="Verdana" w:hAnsi="Verdana" w:cs="Arial"/>
          <w:b w:val="0"/>
          <w:bCs w:val="0"/>
          <w:color w:val="000000"/>
          <w:sz w:val="16"/>
          <w:szCs w:val="16"/>
        </w:rPr>
        <w:t>Artículo 40. Del contenido del contrato estatal.</w:t>
      </w:r>
      <w:r w:rsidRPr="00BB7987">
        <w:rPr>
          <w:rFonts w:ascii="Verdana" w:hAnsi="Verdana" w:cs="Arial"/>
          <w:color w:val="000000"/>
          <w:sz w:val="16"/>
          <w:szCs w:val="16"/>
        </w:rPr>
        <w:t xml:space="preserve"> Las estipulaciones de los contratos serán las </w:t>
      </w:r>
      <w:proofErr w:type="gramStart"/>
      <w:r w:rsidRPr="00BB7987">
        <w:rPr>
          <w:rFonts w:ascii="Verdana" w:hAnsi="Verdana" w:cs="Arial"/>
          <w:color w:val="000000"/>
          <w:sz w:val="16"/>
          <w:szCs w:val="16"/>
        </w:rPr>
        <w:t>que</w:t>
      </w:r>
      <w:proofErr w:type="gramEnd"/>
      <w:r w:rsidRPr="00BB7987">
        <w:rPr>
          <w:rFonts w:ascii="Verdana" w:hAnsi="Verdana" w:cs="Arial"/>
          <w:color w:val="000000"/>
          <w:sz w:val="16"/>
          <w:szCs w:val="16"/>
        </w:rPr>
        <w:t xml:space="preserve"> de acuerdo con las normas civiles, comerciales y las previstas en esta ley, correspondan a su esencia y naturaleza. </w:t>
      </w:r>
    </w:p>
    <w:p w14:paraId="1BD29239" w14:textId="77777777" w:rsidR="0027006C" w:rsidRPr="00BB7987" w:rsidRDefault="0027006C" w:rsidP="0027006C">
      <w:pPr>
        <w:pStyle w:val="NormalWeb"/>
        <w:spacing w:before="0" w:beforeAutospacing="0" w:after="0" w:afterAutospacing="0"/>
        <w:ind w:firstLine="720"/>
        <w:jc w:val="both"/>
        <w:rPr>
          <w:rFonts w:ascii="Verdana" w:hAnsi="Verdana" w:cs="Arial"/>
          <w:color w:val="000000"/>
          <w:sz w:val="16"/>
          <w:szCs w:val="16"/>
        </w:rPr>
      </w:pPr>
      <w:r w:rsidRPr="00BB7987">
        <w:rPr>
          <w:rFonts w:ascii="Verdana" w:hAnsi="Verdana" w:cs="Arial"/>
          <w:color w:val="000000"/>
          <w:sz w:val="16"/>
          <w:szCs w:val="16"/>
        </w:rPr>
        <w:t>Las entidades podrán celebrar los contratos y acuerdos que permitan la autonomía de la voluntad y requieran el cumplimiento de los fines estatales. </w:t>
      </w:r>
    </w:p>
    <w:p w14:paraId="784046FB" w14:textId="77777777" w:rsidR="0027006C" w:rsidRPr="00BB7987" w:rsidRDefault="0027006C" w:rsidP="0027006C">
      <w:pPr>
        <w:pStyle w:val="NormalWeb"/>
        <w:spacing w:before="0" w:beforeAutospacing="0" w:after="0" w:afterAutospacing="0"/>
        <w:jc w:val="both"/>
        <w:rPr>
          <w:rFonts w:ascii="Verdana" w:hAnsi="Verdana" w:cs="Arial"/>
          <w:color w:val="000000"/>
          <w:sz w:val="16"/>
          <w:szCs w:val="16"/>
        </w:rPr>
      </w:pPr>
      <w:r w:rsidRPr="00BB7987">
        <w:rPr>
          <w:rFonts w:ascii="Verdana" w:hAnsi="Verdana" w:cs="Arial"/>
          <w:color w:val="000000"/>
          <w:sz w:val="16"/>
          <w:szCs w:val="16"/>
        </w:rPr>
        <w:t>  </w:t>
      </w:r>
      <w:r w:rsidRPr="00BB7987">
        <w:rPr>
          <w:rFonts w:ascii="Verdana" w:hAnsi="Verdana" w:cs="Arial"/>
          <w:color w:val="000000"/>
          <w:sz w:val="16"/>
          <w:szCs w:val="16"/>
        </w:rPr>
        <w:tab/>
        <w:t>[…]  </w:t>
      </w:r>
    </w:p>
    <w:p w14:paraId="54F006D0" w14:textId="77777777" w:rsidR="0027006C" w:rsidRPr="00BB7987" w:rsidRDefault="0027006C" w:rsidP="0027006C">
      <w:pPr>
        <w:pStyle w:val="NormalWeb"/>
        <w:spacing w:before="0" w:beforeAutospacing="0" w:after="0" w:afterAutospacing="0"/>
        <w:ind w:firstLine="720"/>
        <w:jc w:val="both"/>
        <w:rPr>
          <w:rFonts w:ascii="Verdana" w:hAnsi="Verdana"/>
          <w:sz w:val="16"/>
          <w:szCs w:val="16"/>
        </w:rPr>
      </w:pPr>
      <w:bookmarkStart w:id="10" w:name="ver_30161420"/>
      <w:bookmarkStart w:id="11" w:name="ver_1790149"/>
      <w:bookmarkStart w:id="12" w:name="ver_30161408"/>
      <w:bookmarkStart w:id="13" w:name="ver_30161443"/>
      <w:bookmarkEnd w:id="9"/>
      <w:bookmarkEnd w:id="10"/>
      <w:bookmarkEnd w:id="11"/>
      <w:bookmarkEnd w:id="12"/>
      <w:bookmarkEnd w:id="13"/>
      <w:r w:rsidRPr="00BB7987">
        <w:rPr>
          <w:rStyle w:val="Fuerte"/>
          <w:rFonts w:ascii="Verdana" w:hAnsi="Verdana" w:cs="Arial"/>
          <w:b w:val="0"/>
          <w:bCs w:val="0"/>
          <w:color w:val="000000"/>
          <w:sz w:val="16"/>
          <w:szCs w:val="16"/>
        </w:rPr>
        <w:t>Artículo 41. Del perfeccionamiento del contrato.</w:t>
      </w:r>
      <w:r w:rsidRPr="00BB7987">
        <w:rPr>
          <w:rFonts w:ascii="Verdana" w:hAnsi="Verdana" w:cs="Arial"/>
          <w:b/>
          <w:bCs/>
          <w:color w:val="000000"/>
          <w:sz w:val="16"/>
          <w:szCs w:val="16"/>
        </w:rPr>
        <w:t xml:space="preserve"> Los </w:t>
      </w:r>
      <w:r w:rsidRPr="00BB7987">
        <w:rPr>
          <w:rFonts w:ascii="Verdana" w:hAnsi="Verdana" w:cs="Arial"/>
          <w:color w:val="000000"/>
          <w:sz w:val="16"/>
          <w:szCs w:val="16"/>
        </w:rPr>
        <w:t>contratos del Estado se perfeccionan cuando se logre acuerdo sobre el objeto y la contraprestación y éste se eleve a escrito […]”.</w:t>
      </w:r>
    </w:p>
  </w:footnote>
  <w:footnote w:id="43">
    <w:p w14:paraId="17424EAE" w14:textId="77777777" w:rsidR="0027006C" w:rsidRPr="00BB7987" w:rsidRDefault="0027006C" w:rsidP="0027006C">
      <w:pPr>
        <w:pStyle w:val="Textonotapie"/>
        <w:ind w:firstLine="709"/>
        <w:jc w:val="both"/>
        <w:rPr>
          <w:rFonts w:ascii="Verdana" w:hAnsi="Verdana"/>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Ley 80 de 1993 “</w:t>
      </w:r>
      <w:r w:rsidRPr="00BB7987">
        <w:rPr>
          <w:rStyle w:val="Fuerte"/>
          <w:rFonts w:ascii="Verdana" w:hAnsi="Verdana" w:cs="Arial"/>
          <w:b w:val="0"/>
          <w:bCs w:val="0"/>
          <w:color w:val="000000"/>
          <w:sz w:val="16"/>
          <w:szCs w:val="16"/>
        </w:rPr>
        <w:t>Artículo 77. De la normatividad aplicable en las actuaciones administrativas.</w:t>
      </w:r>
      <w:r w:rsidRPr="00BB7987">
        <w:rPr>
          <w:rFonts w:ascii="Verdana" w:hAnsi="Verdana" w:cs="Arial"/>
          <w:color w:val="000000"/>
          <w:sz w:val="16"/>
          <w:szCs w:val="16"/>
        </w:rPr>
        <w:t> En cuanto sean compatibles con la finalidad y los principios de esta ley, las normas que rigen los procedimientos y actuaciones en la función administrativa serán aplicables en las actuaciones contractuales. A falta de estas, regirán las disposiciones del Código de Procedimiento Civil […]”. </w:t>
      </w:r>
    </w:p>
  </w:footnote>
  <w:footnote w:id="44">
    <w:p w14:paraId="65D11903" w14:textId="77777777" w:rsidR="0027006C" w:rsidRPr="00BB7987" w:rsidRDefault="0027006C" w:rsidP="0027006C">
      <w:pPr>
        <w:pStyle w:val="NormalWeb"/>
        <w:spacing w:before="0" w:beforeAutospacing="0" w:after="0" w:afterAutospacing="0"/>
        <w:ind w:firstLine="709"/>
        <w:jc w:val="both"/>
        <w:rPr>
          <w:rFonts w:ascii="Verdana" w:hAnsi="Verdana" w:cs="Arial"/>
          <w:color w:val="000000"/>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Ley 80 de 1993 “</w:t>
      </w:r>
      <w:r w:rsidRPr="00BB7987">
        <w:rPr>
          <w:rStyle w:val="Fuerte"/>
          <w:rFonts w:ascii="Verdana" w:hAnsi="Verdana" w:cs="Arial"/>
          <w:b w:val="0"/>
          <w:bCs w:val="0"/>
          <w:color w:val="000000"/>
          <w:sz w:val="16"/>
          <w:szCs w:val="16"/>
        </w:rPr>
        <w:t>Artículo 25. Del principio de economía.</w:t>
      </w:r>
      <w:r w:rsidRPr="00BB7987">
        <w:rPr>
          <w:rFonts w:ascii="Verdana" w:hAnsi="Verdana" w:cs="Arial"/>
          <w:color w:val="000000"/>
          <w:sz w:val="16"/>
          <w:szCs w:val="16"/>
        </w:rPr>
        <w:t> En virtud de este principio: </w:t>
      </w:r>
    </w:p>
    <w:p w14:paraId="21B983F3" w14:textId="77777777" w:rsidR="0027006C" w:rsidRPr="00BB7987" w:rsidRDefault="0027006C" w:rsidP="0027006C">
      <w:pPr>
        <w:pStyle w:val="NormalWeb"/>
        <w:spacing w:before="0" w:beforeAutospacing="0" w:after="0" w:afterAutospacing="0"/>
        <w:ind w:firstLine="709"/>
        <w:jc w:val="both"/>
        <w:rPr>
          <w:rFonts w:ascii="Verdana" w:hAnsi="Verdana" w:cs="Arial"/>
          <w:color w:val="000000"/>
          <w:sz w:val="16"/>
          <w:szCs w:val="16"/>
        </w:rPr>
      </w:pPr>
      <w:r w:rsidRPr="00BB7987">
        <w:rPr>
          <w:rFonts w:ascii="Verdana" w:hAnsi="Verdana" w:cs="Arial"/>
          <w:color w:val="000000"/>
          <w:sz w:val="16"/>
          <w:szCs w:val="16"/>
        </w:rPr>
        <w:t>[…]</w:t>
      </w:r>
    </w:p>
    <w:p w14:paraId="6507BE6B" w14:textId="77777777" w:rsidR="0027006C" w:rsidRPr="00BB7987" w:rsidRDefault="0027006C" w:rsidP="0027006C">
      <w:pPr>
        <w:pStyle w:val="NormalWeb"/>
        <w:spacing w:before="0" w:beforeAutospacing="0" w:after="0" w:afterAutospacing="0"/>
        <w:ind w:firstLine="709"/>
        <w:jc w:val="both"/>
        <w:rPr>
          <w:rFonts w:ascii="Verdana" w:hAnsi="Verdana" w:cs="Arial"/>
          <w:color w:val="000000"/>
          <w:sz w:val="16"/>
          <w:szCs w:val="16"/>
        </w:rPr>
      </w:pPr>
      <w:r w:rsidRPr="00BB7987">
        <w:rPr>
          <w:rFonts w:ascii="Verdana" w:hAnsi="Verdana" w:cs="Arial"/>
          <w:color w:val="000000"/>
          <w:sz w:val="16"/>
          <w:szCs w:val="16"/>
        </w:rPr>
        <w:t>4o. Los trámites se adelantarán con austeridad de tiempo, medios y gastos y se impedirán las dilaciones y los retardos en la ejecución del contrato. </w:t>
      </w:r>
    </w:p>
    <w:p w14:paraId="7520F119" w14:textId="77777777" w:rsidR="0027006C" w:rsidRPr="00BB7987" w:rsidRDefault="0027006C" w:rsidP="0027006C">
      <w:pPr>
        <w:pStyle w:val="NormalWeb"/>
        <w:spacing w:before="0" w:beforeAutospacing="0" w:after="0" w:afterAutospacing="0"/>
        <w:jc w:val="both"/>
        <w:rPr>
          <w:rFonts w:ascii="Verdana" w:hAnsi="Verdana"/>
          <w:sz w:val="16"/>
          <w:szCs w:val="16"/>
        </w:rPr>
      </w:pPr>
      <w:r w:rsidRPr="00BB7987">
        <w:rPr>
          <w:rFonts w:ascii="Verdana" w:hAnsi="Verdana" w:cs="Arial"/>
          <w:color w:val="000000"/>
          <w:sz w:val="16"/>
          <w:szCs w:val="16"/>
        </w:rPr>
        <w:t>  </w:t>
      </w:r>
      <w:r w:rsidRPr="00BB7987">
        <w:rPr>
          <w:rFonts w:ascii="Verdana" w:hAnsi="Verdana" w:cs="Arial"/>
          <w:color w:val="000000"/>
          <w:sz w:val="16"/>
          <w:szCs w:val="16"/>
        </w:rPr>
        <w:tab/>
        <w:t>5o. Se adoptarán procedimientos que garanticen la pronta solución de las diferencias y controversias que con motivo de la celebración y ejecución del contrato se presenten […]”.</w:t>
      </w:r>
    </w:p>
  </w:footnote>
  <w:footnote w:id="45">
    <w:p w14:paraId="0BCE514F" w14:textId="77777777" w:rsidR="0027006C" w:rsidRPr="00BB7987" w:rsidRDefault="0027006C" w:rsidP="0027006C">
      <w:pPr>
        <w:pStyle w:val="Textonotapie"/>
        <w:ind w:firstLine="708"/>
        <w:jc w:val="both"/>
        <w:rPr>
          <w:rFonts w:ascii="Verdana" w:hAnsi="Verdana" w:cs="Arial"/>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COLOMBIA COMPRA EFICIENTE. Guía para la Liquidación de los Procesos de Contratación. página 5, disponible en: </w:t>
      </w:r>
      <w:hyperlink r:id="rId3" w:history="1">
        <w:r w:rsidRPr="00BB7987">
          <w:rPr>
            <w:rStyle w:val="Hipervnculo"/>
            <w:rFonts w:ascii="Verdana" w:hAnsi="Verdana" w:cs="Arial"/>
            <w:sz w:val="16"/>
            <w:szCs w:val="16"/>
          </w:rPr>
          <w:t>https://www.colombiacompra.gov.co/sites/cce_public/files/cce_documents/cce_guia_liquidacion_procesos.pdf</w:t>
        </w:r>
      </w:hyperlink>
      <w:r w:rsidRPr="00BB7987">
        <w:rPr>
          <w:rFonts w:ascii="Verdana" w:hAnsi="Verdana" w:cs="Arial"/>
          <w:sz w:val="16"/>
          <w:szCs w:val="16"/>
        </w:rPr>
        <w:t xml:space="preserve"> </w:t>
      </w:r>
    </w:p>
  </w:footnote>
  <w:footnote w:id="46">
    <w:p w14:paraId="0511F5AE" w14:textId="77777777" w:rsidR="0027006C" w:rsidRPr="00BB7987" w:rsidRDefault="0027006C" w:rsidP="0027006C">
      <w:pPr>
        <w:pStyle w:val="Textonotapie"/>
        <w:ind w:firstLine="708"/>
        <w:jc w:val="both"/>
        <w:rPr>
          <w:rFonts w:ascii="Verdana" w:hAnsi="Verdana"/>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Conviene recordar que es válida la liquidación bilateral parcial, debido a que las partes no logran ponerse de acuerdo en todos los asuntos referentes al contrato. En este evento, se debe hacer uso de las glosas o salvedades, y únicamente sobre tal glosa o salvedad girará el debate judicial que se da con ocasión de la demanda en ejercicio del medio de control de controversias contractuales.</w:t>
      </w:r>
    </w:p>
  </w:footnote>
  <w:footnote w:id="47">
    <w:p w14:paraId="1D0ACD9C" w14:textId="77777777" w:rsidR="0027006C" w:rsidRPr="00BB7987" w:rsidRDefault="0027006C" w:rsidP="0027006C">
      <w:pPr>
        <w:pStyle w:val="Textonotapie"/>
        <w:ind w:firstLine="708"/>
        <w:jc w:val="both"/>
        <w:rPr>
          <w:rFonts w:ascii="Verdana" w:hAnsi="Verdana" w:cs="Arial"/>
          <w:color w:val="000000"/>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Consejo de Estado. Sala de Consulta y Servicio Civil. Concepto de 28 de </w:t>
      </w:r>
      <w:proofErr w:type="gramStart"/>
      <w:r w:rsidRPr="00BB7987">
        <w:rPr>
          <w:rFonts w:ascii="Verdana" w:hAnsi="Verdana" w:cs="Arial"/>
          <w:color w:val="000000"/>
          <w:sz w:val="16"/>
          <w:szCs w:val="16"/>
        </w:rPr>
        <w:t>Junio</w:t>
      </w:r>
      <w:proofErr w:type="gramEnd"/>
      <w:r w:rsidRPr="00BB7987">
        <w:rPr>
          <w:rFonts w:ascii="Verdana" w:hAnsi="Verdana" w:cs="Arial"/>
          <w:color w:val="000000"/>
          <w:sz w:val="16"/>
          <w:szCs w:val="16"/>
        </w:rPr>
        <w:t xml:space="preserve"> de 2016. C.P. Álvaro Namén Vargas. Rad. No 2253. </w:t>
      </w:r>
    </w:p>
  </w:footnote>
  <w:footnote w:id="48">
    <w:p w14:paraId="427E9265" w14:textId="77777777" w:rsidR="0027006C" w:rsidRPr="00BB7987" w:rsidRDefault="0027006C" w:rsidP="0027006C">
      <w:pPr>
        <w:pStyle w:val="Textonotapie"/>
        <w:ind w:firstLine="708"/>
        <w:jc w:val="both"/>
        <w:rPr>
          <w:rFonts w:ascii="Verdana" w:hAnsi="Verdana"/>
          <w:sz w:val="16"/>
          <w:szCs w:val="16"/>
          <w:lang w:val="es-ES"/>
        </w:rPr>
      </w:pPr>
      <w:r w:rsidRPr="00BB7987">
        <w:rPr>
          <w:rStyle w:val="Refdenotaalpie"/>
          <w:rFonts w:ascii="Verdana" w:hAnsi="Verdana"/>
          <w:sz w:val="16"/>
          <w:szCs w:val="16"/>
        </w:rPr>
        <w:footnoteRef/>
      </w:r>
      <w:r w:rsidRPr="00BB7987">
        <w:rPr>
          <w:rFonts w:ascii="Verdana" w:hAnsi="Verdana"/>
          <w:sz w:val="16"/>
          <w:szCs w:val="16"/>
        </w:rPr>
        <w:t xml:space="preserve"> </w:t>
      </w:r>
      <w:r w:rsidRPr="00BB7987">
        <w:rPr>
          <w:rFonts w:ascii="Verdana" w:hAnsi="Verdana" w:cs="Arial"/>
          <w:color w:val="000000"/>
          <w:sz w:val="16"/>
          <w:szCs w:val="16"/>
        </w:rPr>
        <w:t xml:space="preserve">DÍAZ DÍEZ, Cristian Andrés. La liquidación. </w:t>
      </w:r>
      <w:proofErr w:type="spellStart"/>
      <w:r w:rsidRPr="00BB7987">
        <w:rPr>
          <w:rFonts w:ascii="Verdana" w:hAnsi="Verdana" w:cs="Arial"/>
          <w:color w:val="000000"/>
          <w:sz w:val="16"/>
          <w:szCs w:val="16"/>
        </w:rPr>
        <w:t>Op</w:t>
      </w:r>
      <w:proofErr w:type="spellEnd"/>
      <w:r w:rsidRPr="00BB7987">
        <w:rPr>
          <w:rFonts w:ascii="Verdana" w:hAnsi="Verdana" w:cs="Arial"/>
          <w:color w:val="000000"/>
          <w:sz w:val="16"/>
          <w:szCs w:val="16"/>
        </w:rPr>
        <w:t xml:space="preserve">. cit. p. 207. </w:t>
      </w:r>
    </w:p>
  </w:footnote>
  <w:footnote w:id="49">
    <w:p w14:paraId="0CC2F36D" w14:textId="77777777" w:rsidR="0027006C" w:rsidRPr="00BB7987" w:rsidRDefault="0027006C" w:rsidP="0027006C">
      <w:pPr>
        <w:pStyle w:val="Textonotapie"/>
        <w:ind w:firstLine="708"/>
        <w:jc w:val="both"/>
        <w:rPr>
          <w:rFonts w:ascii="Verdana" w:hAnsi="Verdana"/>
          <w:sz w:val="16"/>
          <w:szCs w:val="16"/>
          <w:lang w:val="es-ES"/>
        </w:rPr>
      </w:pPr>
      <w:r w:rsidRPr="00BB7987">
        <w:rPr>
          <w:rStyle w:val="Refdenotaalpie"/>
          <w:rFonts w:ascii="Verdana" w:hAnsi="Verdana"/>
          <w:sz w:val="16"/>
          <w:szCs w:val="16"/>
        </w:rPr>
        <w:footnoteRef/>
      </w:r>
      <w:r w:rsidRPr="00BB7987">
        <w:rPr>
          <w:rFonts w:ascii="Verdana" w:hAnsi="Verdana"/>
          <w:sz w:val="16"/>
          <w:szCs w:val="16"/>
        </w:rPr>
        <w:t xml:space="preserve"> </w:t>
      </w:r>
      <w:proofErr w:type="spellStart"/>
      <w:r w:rsidRPr="00BB7987">
        <w:rPr>
          <w:rFonts w:ascii="Verdana" w:hAnsi="Verdana"/>
          <w:sz w:val="16"/>
          <w:szCs w:val="16"/>
        </w:rPr>
        <w:t>Ibídem</w:t>
      </w:r>
      <w:proofErr w:type="spellEnd"/>
      <w:r w:rsidRPr="00BB7987">
        <w:rPr>
          <w:rFonts w:ascii="Verdana" w:hAnsi="Verdana"/>
          <w:sz w:val="16"/>
          <w:szCs w:val="16"/>
        </w:rPr>
        <w:t xml:space="preserve">., pp.208-209. </w:t>
      </w:r>
    </w:p>
  </w:footnote>
  <w:footnote w:id="50">
    <w:p w14:paraId="2E01620F" w14:textId="77777777" w:rsidR="0027006C" w:rsidRPr="00A30AAD" w:rsidRDefault="0027006C" w:rsidP="0027006C">
      <w:pPr>
        <w:pStyle w:val="Textonotapie"/>
        <w:ind w:firstLine="708"/>
        <w:jc w:val="both"/>
        <w:rPr>
          <w:rFonts w:ascii="Verdana" w:hAnsi="Verdana"/>
          <w:sz w:val="16"/>
          <w:szCs w:val="16"/>
        </w:rPr>
      </w:pPr>
      <w:r w:rsidRPr="00BB7987">
        <w:rPr>
          <w:rFonts w:ascii="Verdana" w:hAnsi="Verdana" w:cs="Arial"/>
          <w:color w:val="000000"/>
          <w:sz w:val="16"/>
          <w:szCs w:val="16"/>
          <w:vertAlign w:val="superscript"/>
        </w:rPr>
        <w:footnoteRef/>
      </w:r>
      <w:r w:rsidRPr="00BB7987">
        <w:rPr>
          <w:rFonts w:ascii="Verdana" w:hAnsi="Verdana" w:cs="Arial"/>
          <w:color w:val="000000"/>
          <w:sz w:val="16"/>
          <w:szCs w:val="16"/>
        </w:rPr>
        <w:t xml:space="preserve"> Consejo de Estado. Sección Tercera. </w:t>
      </w:r>
      <w:r w:rsidRPr="00BB7987">
        <w:rPr>
          <w:rFonts w:ascii="Verdana" w:hAnsi="Verdana" w:cs="Arial"/>
          <w:color w:val="000000"/>
          <w:sz w:val="16"/>
          <w:szCs w:val="16"/>
          <w:lang w:val="es-CO"/>
        </w:rPr>
        <w:t xml:space="preserve">Sala Plena. Auto del 1 de agosto de 2019. C.P. Jaime Enrique Rodríguez Navas. </w:t>
      </w:r>
      <w:proofErr w:type="spellStart"/>
      <w:r w:rsidRPr="00BB7987">
        <w:rPr>
          <w:rFonts w:ascii="Verdana" w:hAnsi="Verdana" w:cs="Arial"/>
          <w:color w:val="000000"/>
          <w:sz w:val="16"/>
          <w:szCs w:val="16"/>
          <w:lang w:val="es-CO"/>
        </w:rPr>
        <w:t>Exp</w:t>
      </w:r>
      <w:proofErr w:type="spellEnd"/>
      <w:r w:rsidRPr="00BB7987">
        <w:rPr>
          <w:rFonts w:ascii="Verdana" w:hAnsi="Verdana" w:cs="Arial"/>
          <w:color w:val="000000"/>
          <w:sz w:val="16"/>
          <w:szCs w:val="16"/>
          <w:lang w:val="es-CO"/>
        </w:rPr>
        <w:t>. 62009.</w:t>
      </w:r>
      <w:r w:rsidRPr="00A30AAD">
        <w:rPr>
          <w:rFonts w:ascii="Verdana" w:hAnsi="Verdana"/>
          <w:color w:val="000000"/>
          <w:sz w:val="16"/>
          <w:szCs w:val="16"/>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96716652">
    <w:abstractNumId w:val="10"/>
  </w:num>
  <w:num w:numId="2" w16cid:durableId="1379353265">
    <w:abstractNumId w:val="2"/>
  </w:num>
  <w:num w:numId="3" w16cid:durableId="1761638597">
    <w:abstractNumId w:val="8"/>
  </w:num>
  <w:num w:numId="4" w16cid:durableId="16956200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2795970">
    <w:abstractNumId w:val="2"/>
  </w:num>
  <w:num w:numId="6" w16cid:durableId="1090196618">
    <w:abstractNumId w:val="17"/>
  </w:num>
  <w:num w:numId="7" w16cid:durableId="1915966050">
    <w:abstractNumId w:val="9"/>
  </w:num>
  <w:num w:numId="8" w16cid:durableId="397947916">
    <w:abstractNumId w:val="16"/>
  </w:num>
  <w:num w:numId="9" w16cid:durableId="221716027">
    <w:abstractNumId w:val="11"/>
  </w:num>
  <w:num w:numId="10" w16cid:durableId="1280067477">
    <w:abstractNumId w:val="15"/>
  </w:num>
  <w:num w:numId="11" w16cid:durableId="652222316">
    <w:abstractNumId w:val="12"/>
  </w:num>
  <w:num w:numId="12" w16cid:durableId="1863592436">
    <w:abstractNumId w:val="0"/>
  </w:num>
  <w:num w:numId="13" w16cid:durableId="991300868">
    <w:abstractNumId w:val="5"/>
  </w:num>
  <w:num w:numId="14" w16cid:durableId="1649433259">
    <w:abstractNumId w:val="18"/>
  </w:num>
  <w:num w:numId="15" w16cid:durableId="755907747">
    <w:abstractNumId w:val="14"/>
  </w:num>
  <w:num w:numId="16" w16cid:durableId="1884560930">
    <w:abstractNumId w:val="6"/>
  </w:num>
  <w:num w:numId="17" w16cid:durableId="1267153158">
    <w:abstractNumId w:val="13"/>
  </w:num>
  <w:num w:numId="18" w16cid:durableId="974722749">
    <w:abstractNumId w:val="20"/>
  </w:num>
  <w:num w:numId="19" w16cid:durableId="1614510152">
    <w:abstractNumId w:val="19"/>
  </w:num>
  <w:num w:numId="20" w16cid:durableId="1412576946">
    <w:abstractNumId w:val="1"/>
  </w:num>
  <w:num w:numId="21" w16cid:durableId="1078013760">
    <w:abstractNumId w:val="4"/>
  </w:num>
  <w:num w:numId="22" w16cid:durableId="1549099835">
    <w:abstractNumId w:val="7"/>
  </w:num>
  <w:num w:numId="23" w16cid:durableId="454712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08D0"/>
    <w:rsid w:val="0000219B"/>
    <w:rsid w:val="00002DEC"/>
    <w:rsid w:val="00012F49"/>
    <w:rsid w:val="000134D5"/>
    <w:rsid w:val="000135FB"/>
    <w:rsid w:val="00016001"/>
    <w:rsid w:val="00016F78"/>
    <w:rsid w:val="000254FF"/>
    <w:rsid w:val="00030FB8"/>
    <w:rsid w:val="00035D23"/>
    <w:rsid w:val="00046945"/>
    <w:rsid w:val="00046D6F"/>
    <w:rsid w:val="00054975"/>
    <w:rsid w:val="00061B2A"/>
    <w:rsid w:val="00065412"/>
    <w:rsid w:val="000660C3"/>
    <w:rsid w:val="000711CF"/>
    <w:rsid w:val="00071207"/>
    <w:rsid w:val="00076D52"/>
    <w:rsid w:val="00077977"/>
    <w:rsid w:val="00082362"/>
    <w:rsid w:val="000A607E"/>
    <w:rsid w:val="000A683E"/>
    <w:rsid w:val="000B19B9"/>
    <w:rsid w:val="000B27F0"/>
    <w:rsid w:val="000C573E"/>
    <w:rsid w:val="000C77B1"/>
    <w:rsid w:val="000D0334"/>
    <w:rsid w:val="000D1DC8"/>
    <w:rsid w:val="000D3219"/>
    <w:rsid w:val="000D5DA7"/>
    <w:rsid w:val="000F078F"/>
    <w:rsid w:val="000F3444"/>
    <w:rsid w:val="000F6486"/>
    <w:rsid w:val="000F7E68"/>
    <w:rsid w:val="00105C57"/>
    <w:rsid w:val="001168F2"/>
    <w:rsid w:val="00116940"/>
    <w:rsid w:val="00125105"/>
    <w:rsid w:val="00127233"/>
    <w:rsid w:val="001328F3"/>
    <w:rsid w:val="00135B41"/>
    <w:rsid w:val="00140818"/>
    <w:rsid w:val="00143B90"/>
    <w:rsid w:val="00153719"/>
    <w:rsid w:val="0015699B"/>
    <w:rsid w:val="001658A0"/>
    <w:rsid w:val="00171640"/>
    <w:rsid w:val="00173D03"/>
    <w:rsid w:val="0017447C"/>
    <w:rsid w:val="00174D6E"/>
    <w:rsid w:val="0017759B"/>
    <w:rsid w:val="00177662"/>
    <w:rsid w:val="001923FA"/>
    <w:rsid w:val="00194AAB"/>
    <w:rsid w:val="00197992"/>
    <w:rsid w:val="001A28CE"/>
    <w:rsid w:val="001A33BF"/>
    <w:rsid w:val="001A7326"/>
    <w:rsid w:val="001B0854"/>
    <w:rsid w:val="001B4FBC"/>
    <w:rsid w:val="001B6F1A"/>
    <w:rsid w:val="001B7BAA"/>
    <w:rsid w:val="001C5910"/>
    <w:rsid w:val="001C5AE4"/>
    <w:rsid w:val="001D1642"/>
    <w:rsid w:val="001D329D"/>
    <w:rsid w:val="001D3479"/>
    <w:rsid w:val="001D3CB5"/>
    <w:rsid w:val="001D5F08"/>
    <w:rsid w:val="001D7ED2"/>
    <w:rsid w:val="001E1D98"/>
    <w:rsid w:val="001E2E05"/>
    <w:rsid w:val="001E4177"/>
    <w:rsid w:val="001E7166"/>
    <w:rsid w:val="001F0B24"/>
    <w:rsid w:val="001F63C3"/>
    <w:rsid w:val="001F7DC6"/>
    <w:rsid w:val="00200996"/>
    <w:rsid w:val="00200D5E"/>
    <w:rsid w:val="0020353A"/>
    <w:rsid w:val="00203ED0"/>
    <w:rsid w:val="00211D55"/>
    <w:rsid w:val="002209DE"/>
    <w:rsid w:val="0022400B"/>
    <w:rsid w:val="00224AFD"/>
    <w:rsid w:val="00233F8A"/>
    <w:rsid w:val="002421BB"/>
    <w:rsid w:val="0024329F"/>
    <w:rsid w:val="00243AB5"/>
    <w:rsid w:val="00245370"/>
    <w:rsid w:val="002540C6"/>
    <w:rsid w:val="0025796E"/>
    <w:rsid w:val="00262492"/>
    <w:rsid w:val="002647E8"/>
    <w:rsid w:val="0027006C"/>
    <w:rsid w:val="002707A2"/>
    <w:rsid w:val="00275482"/>
    <w:rsid w:val="00275620"/>
    <w:rsid w:val="0028778F"/>
    <w:rsid w:val="00293553"/>
    <w:rsid w:val="002951A0"/>
    <w:rsid w:val="002962BC"/>
    <w:rsid w:val="002A093D"/>
    <w:rsid w:val="002A0DD0"/>
    <w:rsid w:val="002A404E"/>
    <w:rsid w:val="002A49AC"/>
    <w:rsid w:val="002A64FD"/>
    <w:rsid w:val="002B730F"/>
    <w:rsid w:val="002C21BC"/>
    <w:rsid w:val="002C2C13"/>
    <w:rsid w:val="002C4BF9"/>
    <w:rsid w:val="002C7A84"/>
    <w:rsid w:val="002D051B"/>
    <w:rsid w:val="002E05EF"/>
    <w:rsid w:val="002E0FCD"/>
    <w:rsid w:val="002E2BF8"/>
    <w:rsid w:val="002E4FD9"/>
    <w:rsid w:val="002E7B44"/>
    <w:rsid w:val="002F0847"/>
    <w:rsid w:val="002F0D36"/>
    <w:rsid w:val="002F3228"/>
    <w:rsid w:val="002F5E6E"/>
    <w:rsid w:val="002F659D"/>
    <w:rsid w:val="0030657A"/>
    <w:rsid w:val="003136DC"/>
    <w:rsid w:val="00314A15"/>
    <w:rsid w:val="00316053"/>
    <w:rsid w:val="00322A85"/>
    <w:rsid w:val="00322C00"/>
    <w:rsid w:val="00324168"/>
    <w:rsid w:val="00330834"/>
    <w:rsid w:val="0033214A"/>
    <w:rsid w:val="003332A8"/>
    <w:rsid w:val="003401A0"/>
    <w:rsid w:val="00342644"/>
    <w:rsid w:val="003448F4"/>
    <w:rsid w:val="00352ED8"/>
    <w:rsid w:val="00354506"/>
    <w:rsid w:val="00354803"/>
    <w:rsid w:val="00357ED9"/>
    <w:rsid w:val="00364F5D"/>
    <w:rsid w:val="00374F5E"/>
    <w:rsid w:val="003760E0"/>
    <w:rsid w:val="003769E1"/>
    <w:rsid w:val="00377E3E"/>
    <w:rsid w:val="00381BAB"/>
    <w:rsid w:val="0038375F"/>
    <w:rsid w:val="00387B81"/>
    <w:rsid w:val="0039666C"/>
    <w:rsid w:val="003A779E"/>
    <w:rsid w:val="003D0A30"/>
    <w:rsid w:val="003D0F4D"/>
    <w:rsid w:val="003D27CC"/>
    <w:rsid w:val="003D3E3C"/>
    <w:rsid w:val="003D5B0D"/>
    <w:rsid w:val="003E0499"/>
    <w:rsid w:val="003E4F80"/>
    <w:rsid w:val="003E6439"/>
    <w:rsid w:val="003F0851"/>
    <w:rsid w:val="003F3941"/>
    <w:rsid w:val="00400F9E"/>
    <w:rsid w:val="004027D1"/>
    <w:rsid w:val="00403EFA"/>
    <w:rsid w:val="00406575"/>
    <w:rsid w:val="00407C78"/>
    <w:rsid w:val="004140B3"/>
    <w:rsid w:val="00414C74"/>
    <w:rsid w:val="0042722E"/>
    <w:rsid w:val="00431F9C"/>
    <w:rsid w:val="004339DA"/>
    <w:rsid w:val="0044528D"/>
    <w:rsid w:val="00451137"/>
    <w:rsid w:val="004555EA"/>
    <w:rsid w:val="0045562D"/>
    <w:rsid w:val="0046109A"/>
    <w:rsid w:val="00464FE5"/>
    <w:rsid w:val="00465646"/>
    <w:rsid w:val="00466E39"/>
    <w:rsid w:val="004760B1"/>
    <w:rsid w:val="0048787A"/>
    <w:rsid w:val="00494F04"/>
    <w:rsid w:val="004A0A0B"/>
    <w:rsid w:val="004A1847"/>
    <w:rsid w:val="004A233A"/>
    <w:rsid w:val="004A305D"/>
    <w:rsid w:val="004A3724"/>
    <w:rsid w:val="004B3DAC"/>
    <w:rsid w:val="004C0DBB"/>
    <w:rsid w:val="004C25D6"/>
    <w:rsid w:val="004C2888"/>
    <w:rsid w:val="004C58CA"/>
    <w:rsid w:val="004C6143"/>
    <w:rsid w:val="004D5A2F"/>
    <w:rsid w:val="004D6DF3"/>
    <w:rsid w:val="004D7B48"/>
    <w:rsid w:val="004F21C4"/>
    <w:rsid w:val="004F3BC3"/>
    <w:rsid w:val="004F685F"/>
    <w:rsid w:val="00502D92"/>
    <w:rsid w:val="00517955"/>
    <w:rsid w:val="005229DB"/>
    <w:rsid w:val="00523B8C"/>
    <w:rsid w:val="005261CB"/>
    <w:rsid w:val="00527A98"/>
    <w:rsid w:val="0053120A"/>
    <w:rsid w:val="00534886"/>
    <w:rsid w:val="00540BFC"/>
    <w:rsid w:val="005416E1"/>
    <w:rsid w:val="0054563A"/>
    <w:rsid w:val="005566E8"/>
    <w:rsid w:val="005576D1"/>
    <w:rsid w:val="00574867"/>
    <w:rsid w:val="00576EBC"/>
    <w:rsid w:val="0058307E"/>
    <w:rsid w:val="00591460"/>
    <w:rsid w:val="005A65E0"/>
    <w:rsid w:val="005A7271"/>
    <w:rsid w:val="005B3194"/>
    <w:rsid w:val="005B3541"/>
    <w:rsid w:val="005B6640"/>
    <w:rsid w:val="005C0881"/>
    <w:rsid w:val="005C311A"/>
    <w:rsid w:val="005C3777"/>
    <w:rsid w:val="005C4BD4"/>
    <w:rsid w:val="005C58A0"/>
    <w:rsid w:val="005C5CDC"/>
    <w:rsid w:val="005D0460"/>
    <w:rsid w:val="005D2566"/>
    <w:rsid w:val="005D476C"/>
    <w:rsid w:val="005D4FDC"/>
    <w:rsid w:val="005D54A4"/>
    <w:rsid w:val="005E474B"/>
    <w:rsid w:val="005E7C7A"/>
    <w:rsid w:val="005E7C9F"/>
    <w:rsid w:val="005F20A4"/>
    <w:rsid w:val="005F295E"/>
    <w:rsid w:val="00600D92"/>
    <w:rsid w:val="00603C5B"/>
    <w:rsid w:val="0061493D"/>
    <w:rsid w:val="00614B92"/>
    <w:rsid w:val="00615518"/>
    <w:rsid w:val="00617283"/>
    <w:rsid w:val="006200BF"/>
    <w:rsid w:val="00620849"/>
    <w:rsid w:val="006212B0"/>
    <w:rsid w:val="0062143E"/>
    <w:rsid w:val="0062169F"/>
    <w:rsid w:val="006219F8"/>
    <w:rsid w:val="00624C0E"/>
    <w:rsid w:val="006302F7"/>
    <w:rsid w:val="0064177D"/>
    <w:rsid w:val="00641FE4"/>
    <w:rsid w:val="00646B9F"/>
    <w:rsid w:val="00646E38"/>
    <w:rsid w:val="00665D70"/>
    <w:rsid w:val="00667B21"/>
    <w:rsid w:val="00674BDB"/>
    <w:rsid w:val="00681069"/>
    <w:rsid w:val="00684F67"/>
    <w:rsid w:val="006900D9"/>
    <w:rsid w:val="006967DB"/>
    <w:rsid w:val="0069741A"/>
    <w:rsid w:val="006A2BE4"/>
    <w:rsid w:val="006A75A1"/>
    <w:rsid w:val="006B4707"/>
    <w:rsid w:val="006C0E6F"/>
    <w:rsid w:val="006D39ED"/>
    <w:rsid w:val="006D591D"/>
    <w:rsid w:val="006D5D17"/>
    <w:rsid w:val="006E34C4"/>
    <w:rsid w:val="006F34EA"/>
    <w:rsid w:val="006F7B04"/>
    <w:rsid w:val="007009D7"/>
    <w:rsid w:val="007025D7"/>
    <w:rsid w:val="00706C16"/>
    <w:rsid w:val="00714467"/>
    <w:rsid w:val="00715392"/>
    <w:rsid w:val="0071557C"/>
    <w:rsid w:val="00717375"/>
    <w:rsid w:val="00731F30"/>
    <w:rsid w:val="007334C8"/>
    <w:rsid w:val="007335E3"/>
    <w:rsid w:val="007340C3"/>
    <w:rsid w:val="0073510E"/>
    <w:rsid w:val="007458D3"/>
    <w:rsid w:val="0075235A"/>
    <w:rsid w:val="00752CDB"/>
    <w:rsid w:val="00754149"/>
    <w:rsid w:val="0075557D"/>
    <w:rsid w:val="00756841"/>
    <w:rsid w:val="007649AB"/>
    <w:rsid w:val="00771342"/>
    <w:rsid w:val="00771D0C"/>
    <w:rsid w:val="00772BA2"/>
    <w:rsid w:val="0077623D"/>
    <w:rsid w:val="007833AC"/>
    <w:rsid w:val="007905E8"/>
    <w:rsid w:val="007944EE"/>
    <w:rsid w:val="00795086"/>
    <w:rsid w:val="007A1830"/>
    <w:rsid w:val="007A2987"/>
    <w:rsid w:val="007A6EF3"/>
    <w:rsid w:val="007B0E9B"/>
    <w:rsid w:val="007B268C"/>
    <w:rsid w:val="007B54BD"/>
    <w:rsid w:val="007B7171"/>
    <w:rsid w:val="007C0C0F"/>
    <w:rsid w:val="007C1496"/>
    <w:rsid w:val="007C3DC2"/>
    <w:rsid w:val="007C4353"/>
    <w:rsid w:val="007C5B60"/>
    <w:rsid w:val="007D1F1A"/>
    <w:rsid w:val="007D3058"/>
    <w:rsid w:val="007D4B12"/>
    <w:rsid w:val="007D60FA"/>
    <w:rsid w:val="007E5497"/>
    <w:rsid w:val="007E6A2A"/>
    <w:rsid w:val="007E7E47"/>
    <w:rsid w:val="007F22D2"/>
    <w:rsid w:val="008048A6"/>
    <w:rsid w:val="00806F5F"/>
    <w:rsid w:val="00815710"/>
    <w:rsid w:val="00817137"/>
    <w:rsid w:val="00820278"/>
    <w:rsid w:val="008210E3"/>
    <w:rsid w:val="008258C9"/>
    <w:rsid w:val="008264B1"/>
    <w:rsid w:val="00830C27"/>
    <w:rsid w:val="00833286"/>
    <w:rsid w:val="00834D09"/>
    <w:rsid w:val="00836232"/>
    <w:rsid w:val="00842FAA"/>
    <w:rsid w:val="0084389A"/>
    <w:rsid w:val="00844AE9"/>
    <w:rsid w:val="0084532F"/>
    <w:rsid w:val="008532F2"/>
    <w:rsid w:val="0085545E"/>
    <w:rsid w:val="008605E2"/>
    <w:rsid w:val="00867253"/>
    <w:rsid w:val="00867F95"/>
    <w:rsid w:val="00872AEE"/>
    <w:rsid w:val="00880F0D"/>
    <w:rsid w:val="008843B6"/>
    <w:rsid w:val="00890F28"/>
    <w:rsid w:val="00891928"/>
    <w:rsid w:val="0089244B"/>
    <w:rsid w:val="008943F7"/>
    <w:rsid w:val="00897906"/>
    <w:rsid w:val="008A314C"/>
    <w:rsid w:val="008A446D"/>
    <w:rsid w:val="008A555C"/>
    <w:rsid w:val="008B0D0F"/>
    <w:rsid w:val="008B25F1"/>
    <w:rsid w:val="008B7C13"/>
    <w:rsid w:val="008C11FD"/>
    <w:rsid w:val="008C49E1"/>
    <w:rsid w:val="008C4DD5"/>
    <w:rsid w:val="008C517A"/>
    <w:rsid w:val="008C6AE5"/>
    <w:rsid w:val="008D1660"/>
    <w:rsid w:val="008D180B"/>
    <w:rsid w:val="008D2056"/>
    <w:rsid w:val="008D5725"/>
    <w:rsid w:val="008F0EA7"/>
    <w:rsid w:val="008F17DC"/>
    <w:rsid w:val="008F4334"/>
    <w:rsid w:val="008F6705"/>
    <w:rsid w:val="008F7C12"/>
    <w:rsid w:val="009037F6"/>
    <w:rsid w:val="00903FD7"/>
    <w:rsid w:val="0091185A"/>
    <w:rsid w:val="00911DD0"/>
    <w:rsid w:val="009120E1"/>
    <w:rsid w:val="009137DE"/>
    <w:rsid w:val="009206F5"/>
    <w:rsid w:val="00923EEF"/>
    <w:rsid w:val="009303FF"/>
    <w:rsid w:val="0093172F"/>
    <w:rsid w:val="00934EDC"/>
    <w:rsid w:val="00935CF7"/>
    <w:rsid w:val="00936C09"/>
    <w:rsid w:val="009419F9"/>
    <w:rsid w:val="0095685E"/>
    <w:rsid w:val="00961166"/>
    <w:rsid w:val="0096154B"/>
    <w:rsid w:val="00961B09"/>
    <w:rsid w:val="009627CD"/>
    <w:rsid w:val="00964321"/>
    <w:rsid w:val="00965334"/>
    <w:rsid w:val="0097093E"/>
    <w:rsid w:val="00976880"/>
    <w:rsid w:val="00990A34"/>
    <w:rsid w:val="00991D40"/>
    <w:rsid w:val="00992E19"/>
    <w:rsid w:val="00995522"/>
    <w:rsid w:val="0099552B"/>
    <w:rsid w:val="009A0486"/>
    <w:rsid w:val="009A0DFA"/>
    <w:rsid w:val="009B026F"/>
    <w:rsid w:val="009B2D26"/>
    <w:rsid w:val="009C71FA"/>
    <w:rsid w:val="009C72E7"/>
    <w:rsid w:val="009C7C36"/>
    <w:rsid w:val="009C7F7E"/>
    <w:rsid w:val="009D3058"/>
    <w:rsid w:val="009E1F28"/>
    <w:rsid w:val="009E3DF0"/>
    <w:rsid w:val="009F3A13"/>
    <w:rsid w:val="009F3DA4"/>
    <w:rsid w:val="00A0334B"/>
    <w:rsid w:val="00A079FC"/>
    <w:rsid w:val="00A12186"/>
    <w:rsid w:val="00A122D3"/>
    <w:rsid w:val="00A13CB7"/>
    <w:rsid w:val="00A14468"/>
    <w:rsid w:val="00A1596D"/>
    <w:rsid w:val="00A17F13"/>
    <w:rsid w:val="00A20739"/>
    <w:rsid w:val="00A23AF9"/>
    <w:rsid w:val="00A25601"/>
    <w:rsid w:val="00A27907"/>
    <w:rsid w:val="00A30188"/>
    <w:rsid w:val="00A31A76"/>
    <w:rsid w:val="00A33C78"/>
    <w:rsid w:val="00A4011B"/>
    <w:rsid w:val="00A40964"/>
    <w:rsid w:val="00A4562C"/>
    <w:rsid w:val="00A52ADE"/>
    <w:rsid w:val="00A553E6"/>
    <w:rsid w:val="00A647D4"/>
    <w:rsid w:val="00A677AC"/>
    <w:rsid w:val="00A73F45"/>
    <w:rsid w:val="00A81258"/>
    <w:rsid w:val="00A82EB2"/>
    <w:rsid w:val="00A93FB7"/>
    <w:rsid w:val="00AA15C4"/>
    <w:rsid w:val="00AA7230"/>
    <w:rsid w:val="00AB0ADB"/>
    <w:rsid w:val="00AB436E"/>
    <w:rsid w:val="00AB501E"/>
    <w:rsid w:val="00AD398D"/>
    <w:rsid w:val="00AE3363"/>
    <w:rsid w:val="00AE3513"/>
    <w:rsid w:val="00AE5FE9"/>
    <w:rsid w:val="00AE68C5"/>
    <w:rsid w:val="00AF2E57"/>
    <w:rsid w:val="00AF5A10"/>
    <w:rsid w:val="00B0001E"/>
    <w:rsid w:val="00B00C0E"/>
    <w:rsid w:val="00B01B1A"/>
    <w:rsid w:val="00B04DA1"/>
    <w:rsid w:val="00B05729"/>
    <w:rsid w:val="00B06A18"/>
    <w:rsid w:val="00B37C55"/>
    <w:rsid w:val="00B44A47"/>
    <w:rsid w:val="00B46A1C"/>
    <w:rsid w:val="00B46A32"/>
    <w:rsid w:val="00B54271"/>
    <w:rsid w:val="00B5550F"/>
    <w:rsid w:val="00B57569"/>
    <w:rsid w:val="00B6149C"/>
    <w:rsid w:val="00B72CD3"/>
    <w:rsid w:val="00B72FFF"/>
    <w:rsid w:val="00B74092"/>
    <w:rsid w:val="00B76018"/>
    <w:rsid w:val="00B95DAC"/>
    <w:rsid w:val="00BA6749"/>
    <w:rsid w:val="00BA703D"/>
    <w:rsid w:val="00BB30E4"/>
    <w:rsid w:val="00BB7987"/>
    <w:rsid w:val="00BC153E"/>
    <w:rsid w:val="00BC2E2C"/>
    <w:rsid w:val="00BC3D36"/>
    <w:rsid w:val="00BC70CB"/>
    <w:rsid w:val="00BD0D67"/>
    <w:rsid w:val="00BD13AC"/>
    <w:rsid w:val="00BD333C"/>
    <w:rsid w:val="00BD4E09"/>
    <w:rsid w:val="00BD54A6"/>
    <w:rsid w:val="00BD7F72"/>
    <w:rsid w:val="00BE589F"/>
    <w:rsid w:val="00BE5F43"/>
    <w:rsid w:val="00BF5C08"/>
    <w:rsid w:val="00BF7410"/>
    <w:rsid w:val="00BF7425"/>
    <w:rsid w:val="00C04FB3"/>
    <w:rsid w:val="00C11D8B"/>
    <w:rsid w:val="00C1381B"/>
    <w:rsid w:val="00C13A06"/>
    <w:rsid w:val="00C1710F"/>
    <w:rsid w:val="00C243BC"/>
    <w:rsid w:val="00C24B5C"/>
    <w:rsid w:val="00C251B0"/>
    <w:rsid w:val="00C263C2"/>
    <w:rsid w:val="00C330EB"/>
    <w:rsid w:val="00C3443F"/>
    <w:rsid w:val="00C35DD4"/>
    <w:rsid w:val="00C373EE"/>
    <w:rsid w:val="00C419DF"/>
    <w:rsid w:val="00C42149"/>
    <w:rsid w:val="00C50D69"/>
    <w:rsid w:val="00C5365C"/>
    <w:rsid w:val="00C550E7"/>
    <w:rsid w:val="00C61AB3"/>
    <w:rsid w:val="00C70A3B"/>
    <w:rsid w:val="00C754BE"/>
    <w:rsid w:val="00C76B1C"/>
    <w:rsid w:val="00C76B84"/>
    <w:rsid w:val="00C83988"/>
    <w:rsid w:val="00C925AC"/>
    <w:rsid w:val="00C94828"/>
    <w:rsid w:val="00C95668"/>
    <w:rsid w:val="00CA41A6"/>
    <w:rsid w:val="00CA708F"/>
    <w:rsid w:val="00CB0E2F"/>
    <w:rsid w:val="00CB2565"/>
    <w:rsid w:val="00CB6357"/>
    <w:rsid w:val="00CB7FB7"/>
    <w:rsid w:val="00CC0F7D"/>
    <w:rsid w:val="00CC1B26"/>
    <w:rsid w:val="00CD31FD"/>
    <w:rsid w:val="00CE4026"/>
    <w:rsid w:val="00CF27E4"/>
    <w:rsid w:val="00CF53AD"/>
    <w:rsid w:val="00D06146"/>
    <w:rsid w:val="00D0699E"/>
    <w:rsid w:val="00D1313E"/>
    <w:rsid w:val="00D2231E"/>
    <w:rsid w:val="00D22D2B"/>
    <w:rsid w:val="00D279CA"/>
    <w:rsid w:val="00D334DD"/>
    <w:rsid w:val="00D361FD"/>
    <w:rsid w:val="00D423A2"/>
    <w:rsid w:val="00D44E26"/>
    <w:rsid w:val="00D5058D"/>
    <w:rsid w:val="00D51A5D"/>
    <w:rsid w:val="00D520D8"/>
    <w:rsid w:val="00D61C3A"/>
    <w:rsid w:val="00D62B9C"/>
    <w:rsid w:val="00D63AC2"/>
    <w:rsid w:val="00D7383B"/>
    <w:rsid w:val="00D7788A"/>
    <w:rsid w:val="00D816C7"/>
    <w:rsid w:val="00D936A2"/>
    <w:rsid w:val="00D95BEF"/>
    <w:rsid w:val="00DA231B"/>
    <w:rsid w:val="00DA24CF"/>
    <w:rsid w:val="00DB55DA"/>
    <w:rsid w:val="00DB6029"/>
    <w:rsid w:val="00DC1D14"/>
    <w:rsid w:val="00DC39FC"/>
    <w:rsid w:val="00DC7CCB"/>
    <w:rsid w:val="00DD1555"/>
    <w:rsid w:val="00DD1D62"/>
    <w:rsid w:val="00DD35C6"/>
    <w:rsid w:val="00DE35A9"/>
    <w:rsid w:val="00DE4CEE"/>
    <w:rsid w:val="00DE4DF7"/>
    <w:rsid w:val="00DE6687"/>
    <w:rsid w:val="00DF25CA"/>
    <w:rsid w:val="00DF2FB5"/>
    <w:rsid w:val="00DF5254"/>
    <w:rsid w:val="00E02524"/>
    <w:rsid w:val="00E1159D"/>
    <w:rsid w:val="00E15A43"/>
    <w:rsid w:val="00E16408"/>
    <w:rsid w:val="00E20894"/>
    <w:rsid w:val="00E21CBF"/>
    <w:rsid w:val="00E245AB"/>
    <w:rsid w:val="00E2510F"/>
    <w:rsid w:val="00E2764C"/>
    <w:rsid w:val="00E27F2E"/>
    <w:rsid w:val="00E31225"/>
    <w:rsid w:val="00E350B4"/>
    <w:rsid w:val="00E50AFE"/>
    <w:rsid w:val="00E54E86"/>
    <w:rsid w:val="00E577E2"/>
    <w:rsid w:val="00E60CAF"/>
    <w:rsid w:val="00E620CC"/>
    <w:rsid w:val="00E7518B"/>
    <w:rsid w:val="00E75C92"/>
    <w:rsid w:val="00E771DC"/>
    <w:rsid w:val="00E8213B"/>
    <w:rsid w:val="00E8772A"/>
    <w:rsid w:val="00E90F6B"/>
    <w:rsid w:val="00E91B0D"/>
    <w:rsid w:val="00E92C27"/>
    <w:rsid w:val="00E93699"/>
    <w:rsid w:val="00EA0E3D"/>
    <w:rsid w:val="00EA1333"/>
    <w:rsid w:val="00EA426C"/>
    <w:rsid w:val="00EB224C"/>
    <w:rsid w:val="00EB78B1"/>
    <w:rsid w:val="00EC006D"/>
    <w:rsid w:val="00EC172C"/>
    <w:rsid w:val="00EC297F"/>
    <w:rsid w:val="00EC38A7"/>
    <w:rsid w:val="00EC4F2B"/>
    <w:rsid w:val="00ED306E"/>
    <w:rsid w:val="00ED4980"/>
    <w:rsid w:val="00ED61C5"/>
    <w:rsid w:val="00EE1AA8"/>
    <w:rsid w:val="00EE44FA"/>
    <w:rsid w:val="00EE4F2B"/>
    <w:rsid w:val="00EE59F0"/>
    <w:rsid w:val="00EE5C74"/>
    <w:rsid w:val="00EF1340"/>
    <w:rsid w:val="00EF1D4F"/>
    <w:rsid w:val="00EF5ADC"/>
    <w:rsid w:val="00EF5C4A"/>
    <w:rsid w:val="00EF5E13"/>
    <w:rsid w:val="00EF647F"/>
    <w:rsid w:val="00F04A44"/>
    <w:rsid w:val="00F07B02"/>
    <w:rsid w:val="00F07BC8"/>
    <w:rsid w:val="00F23FEA"/>
    <w:rsid w:val="00F27B7B"/>
    <w:rsid w:val="00F31EDC"/>
    <w:rsid w:val="00F4071B"/>
    <w:rsid w:val="00F44D3B"/>
    <w:rsid w:val="00F462B3"/>
    <w:rsid w:val="00F464EB"/>
    <w:rsid w:val="00F5664F"/>
    <w:rsid w:val="00F600A4"/>
    <w:rsid w:val="00F648AB"/>
    <w:rsid w:val="00F666C4"/>
    <w:rsid w:val="00F73E20"/>
    <w:rsid w:val="00F76AFC"/>
    <w:rsid w:val="00F81175"/>
    <w:rsid w:val="00F81BF0"/>
    <w:rsid w:val="00F82E88"/>
    <w:rsid w:val="00F86E11"/>
    <w:rsid w:val="00F92717"/>
    <w:rsid w:val="00FA47C0"/>
    <w:rsid w:val="00FA5FFD"/>
    <w:rsid w:val="00FA612B"/>
    <w:rsid w:val="00FB3BFF"/>
    <w:rsid w:val="00FB5DD1"/>
    <w:rsid w:val="00FC2B5D"/>
    <w:rsid w:val="00FC39B7"/>
    <w:rsid w:val="00FD1DDC"/>
    <w:rsid w:val="00FD3AD2"/>
    <w:rsid w:val="00FD6ADD"/>
    <w:rsid w:val="00FE1F6D"/>
    <w:rsid w:val="00FE573C"/>
    <w:rsid w:val="00FF1449"/>
    <w:rsid w:val="00FF227D"/>
    <w:rsid w:val="00FF43DC"/>
    <w:rsid w:val="00FF4B32"/>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113DB00-9368-47DE-A928-A008ACB9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2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7F22D2"/>
    <w:rPr>
      <w:color w:val="605E5C"/>
      <w:shd w:val="clear" w:color="auto" w:fill="E1DFDD"/>
    </w:rPr>
  </w:style>
  <w:style w:type="character" w:styleId="Fuerte">
    <w:name w:val="Strong"/>
    <w:uiPriority w:val="22"/>
    <w:qFormat/>
    <w:rsid w:val="00E7518B"/>
    <w:rPr>
      <w:b/>
      <w:bCs/>
    </w:rPr>
  </w:style>
  <w:style w:type="character" w:styleId="nfasis">
    <w:name w:val="Emphasis"/>
    <w:basedOn w:val="Fuentedeprrafopredeter"/>
    <w:uiPriority w:val="20"/>
    <w:qFormat/>
    <w:rsid w:val="00E7518B"/>
    <w:rPr>
      <w:i/>
      <w:iCs/>
    </w:rPr>
  </w:style>
  <w:style w:type="character" w:customStyle="1" w:styleId="NormalWebCar">
    <w:name w:val="Normal (Web) Car"/>
    <w:link w:val="NormalWeb"/>
    <w:uiPriority w:val="99"/>
    <w:locked/>
    <w:rsid w:val="00ED306E"/>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archivos/manual/guia-de-garantias-en-procesos-de-contratacion" TargetMode="External"/><Relationship Id="rId18" Type="http://schemas.openxmlformats.org/officeDocument/2006/relationships/hyperlink" Target="https://www.colombiacompra.gov.co/archivos/boletin/boletin-edicion-n-3-de-2026-radar-de-la-compra-public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orms.office.com/r/pPHyWVs2SZ" TargetMode="External"/><Relationship Id="rId7" Type="http://schemas.openxmlformats.org/officeDocument/2006/relationships/settings" Target="settings.xml"/><Relationship Id="rId12" Type="http://schemas.openxmlformats.org/officeDocument/2006/relationships/hyperlink" Target="https://www.colombiacompra.gov.co/archivos/manual/guia-de-garantias-en-procesos-de-contratacion" TargetMode="External"/><Relationship Id="rId17" Type="http://schemas.openxmlformats.org/officeDocument/2006/relationships/hyperlink" Target="https://www.colombiacompra.gov.co/archivos/circular/circular-externa-002-de-202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lombiacompra.gov.co/archivos/circular/circular-externa-003-de-2026" TargetMode="External"/><Relationship Id="rId20" Type="http://schemas.openxmlformats.org/officeDocument/2006/relationships/hyperlink" Target="https://www.colombiacompra.gov.co/pqrsd/informacion-importante-antes-de-formular-una-pqrs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olombiacompra.gov.co/archivos/manual/guia-de-garantias-en-procesos-de-contratacio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entanilladeradicacion@colombiacompra.gov.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sites/cce_public/files/cce_documents/cce_guia_liquidacion_procesos.pdf" TargetMode="External"/><Relationship Id="rId2" Type="http://schemas.openxmlformats.org/officeDocument/2006/relationships/hyperlink" Target="https://dpej.rae.es/lema/incumplimiento-de-contrato" TargetMode="External"/><Relationship Id="rId1" Type="http://schemas.openxmlformats.org/officeDocument/2006/relationships/hyperlink" Target="http://www.secretariasenado.gov.co/senado/basedoc/codigo_comercio_pr032.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7D3A15D2-BC21-4F08-B843-479A38CC3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427F05-9DA6-4357-A03E-A8CF1A6AB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55</Pages>
  <Words>21153</Words>
  <Characters>116344</Characters>
  <Application>Microsoft Office Word</Application>
  <DocSecurity>0</DocSecurity>
  <Lines>969</Lines>
  <Paragraphs>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30</cp:revision>
  <cp:lastPrinted>2023-01-10T21:18:00Z</cp:lastPrinted>
  <dcterms:created xsi:type="dcterms:W3CDTF">2026-09-03T10:59:00Z</dcterms:created>
  <dcterms:modified xsi:type="dcterms:W3CDTF">2026-09-07T20:44:00Z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