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96E6" w14:textId="77777777" w:rsidR="00D202CC" w:rsidRPr="00D202CC" w:rsidRDefault="00D202CC" w:rsidP="00D202CC">
      <w:pPr>
        <w:spacing w:after="0"/>
        <w:rPr>
          <w:rFonts w:ascii="Aptos" w:eastAsia="Aptos" w:hAnsi="Aptos" w:cs="Times New Roman"/>
        </w:rPr>
      </w:pPr>
      <w:bookmarkStart w:id="0" w:name="_Hlk143780582"/>
      <w:r w:rsidRPr="00D202CC">
        <w:rPr>
          <w:rFonts w:ascii="Verdana" w:eastAsia="Calibri" w:hAnsi="Verdana" w:cs="Arial"/>
          <w:b/>
          <w:bCs/>
          <w:lang w:val="es-ES_tradnl" w:eastAsia="es-MX"/>
        </w:rPr>
        <w:t xml:space="preserve">DOCUMENTOS TIPO – Fundamento normativo – Obligatoriedad </w:t>
      </w:r>
    </w:p>
    <w:p w14:paraId="2BC2D889" w14:textId="77777777" w:rsidR="00D202CC" w:rsidRPr="00D202CC" w:rsidRDefault="00D202CC" w:rsidP="00D202CC">
      <w:pPr>
        <w:spacing w:after="0" w:line="276" w:lineRule="auto"/>
        <w:jc w:val="both"/>
        <w:rPr>
          <w:rFonts w:ascii="Verdana" w:eastAsia="Calibri" w:hAnsi="Verdana" w:cs="Arial"/>
          <w:b/>
          <w:bCs/>
          <w:sz w:val="20"/>
          <w:szCs w:val="20"/>
          <w:lang w:val="es-ES_tradnl" w:eastAsia="es-MX"/>
        </w:rPr>
      </w:pPr>
    </w:p>
    <w:p w14:paraId="6CF9D7A8" w14:textId="77777777" w:rsidR="00D202CC" w:rsidRPr="00D202CC" w:rsidRDefault="00D202CC" w:rsidP="00D202CC">
      <w:pPr>
        <w:tabs>
          <w:tab w:val="left" w:pos="709"/>
        </w:tabs>
        <w:snapToGrid w:val="0"/>
        <w:spacing w:after="0" w:line="240" w:lineRule="auto"/>
        <w:jc w:val="both"/>
        <w:rPr>
          <w:rFonts w:ascii="Verdana" w:eastAsia="Calibri" w:hAnsi="Verdana" w:cs="Arial"/>
          <w:sz w:val="20"/>
          <w:szCs w:val="20"/>
          <w:lang w:val="es-ES" w:eastAsia="es-MX"/>
        </w:rPr>
      </w:pPr>
      <w:r w:rsidRPr="00D202CC">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7D34AB5" w14:textId="77777777" w:rsidR="00D202CC" w:rsidRPr="00D202CC" w:rsidRDefault="00D202CC" w:rsidP="00D202CC">
      <w:pPr>
        <w:snapToGrid w:val="0"/>
        <w:spacing w:after="0" w:line="240" w:lineRule="auto"/>
        <w:jc w:val="both"/>
        <w:rPr>
          <w:rFonts w:ascii="Verdana" w:eastAsia="Calibri" w:hAnsi="Verdana" w:cs="Arial"/>
          <w:b/>
          <w:bCs/>
          <w:lang w:val="es-ES_tradnl" w:eastAsia="es-MX"/>
        </w:rPr>
      </w:pPr>
    </w:p>
    <w:p w14:paraId="0FE5D334" w14:textId="77777777" w:rsidR="00D202CC" w:rsidRPr="00D202CC" w:rsidRDefault="00D202CC" w:rsidP="00D202CC">
      <w:pPr>
        <w:widowControl w:val="0"/>
        <w:autoSpaceDE w:val="0"/>
        <w:autoSpaceDN w:val="0"/>
        <w:snapToGrid w:val="0"/>
        <w:spacing w:after="0" w:line="240" w:lineRule="auto"/>
        <w:jc w:val="both"/>
        <w:rPr>
          <w:rFonts w:ascii="Verdana" w:eastAsia="Calibri" w:hAnsi="Verdana" w:cs="Times New Roman"/>
          <w:b/>
          <w:bCs/>
          <w:lang w:val="es-ES" w:eastAsia="es-MX"/>
        </w:rPr>
      </w:pPr>
      <w:r w:rsidRPr="00D202CC">
        <w:rPr>
          <w:rFonts w:ascii="Verdana" w:eastAsia="Calibri" w:hAnsi="Verdana" w:cs="Arial"/>
          <w:b/>
          <w:bCs/>
          <w:lang w:val="es-ES_tradnl" w:eastAsia="es-MX"/>
        </w:rPr>
        <w:t>SECTOR SOCIAL</w:t>
      </w:r>
      <w:r w:rsidRPr="00D202CC">
        <w:rPr>
          <w:rFonts w:ascii="Verdana" w:eastAsia="Calibri" w:hAnsi="Verdana" w:cs="Times New Roman"/>
          <w:lang w:val="es-ES" w:eastAsia="es-MX"/>
        </w:rPr>
        <w:t xml:space="preserve"> </w:t>
      </w:r>
      <w:r w:rsidRPr="00D202CC">
        <w:rPr>
          <w:rFonts w:ascii="Verdana" w:eastAsia="Calibri" w:hAnsi="Verdana" w:cs="Times New Roman"/>
          <w:b/>
          <w:bCs/>
          <w:lang w:val="es-ES" w:eastAsia="es-MX"/>
        </w:rPr>
        <w:t>– Documentos tipo – Vigentes</w:t>
      </w:r>
    </w:p>
    <w:p w14:paraId="7EE4365F" w14:textId="77777777" w:rsidR="00D202CC" w:rsidRPr="00D202CC" w:rsidRDefault="00D202CC" w:rsidP="00D202CC">
      <w:pPr>
        <w:widowControl w:val="0"/>
        <w:autoSpaceDE w:val="0"/>
        <w:autoSpaceDN w:val="0"/>
        <w:snapToGrid w:val="0"/>
        <w:spacing w:after="0" w:line="240" w:lineRule="auto"/>
        <w:jc w:val="both"/>
        <w:rPr>
          <w:rFonts w:ascii="Verdana" w:eastAsia="Calibri" w:hAnsi="Verdana" w:cs="Times New Roman"/>
          <w:b/>
          <w:bCs/>
          <w:lang w:val="es-ES" w:eastAsia="es-MX"/>
        </w:rPr>
      </w:pPr>
    </w:p>
    <w:p w14:paraId="1406DB77" w14:textId="77777777" w:rsidR="00D202CC" w:rsidRPr="00D202CC" w:rsidRDefault="00D202CC" w:rsidP="00D202CC">
      <w:pPr>
        <w:widowControl w:val="0"/>
        <w:autoSpaceDE w:val="0"/>
        <w:autoSpaceDN w:val="0"/>
        <w:snapToGrid w:val="0"/>
        <w:spacing w:after="0" w:line="240" w:lineRule="auto"/>
        <w:jc w:val="both"/>
        <w:rPr>
          <w:rFonts w:ascii="Verdana" w:eastAsia="Calibri" w:hAnsi="Verdana" w:cs="Times New Roman"/>
          <w:b/>
          <w:bCs/>
          <w:sz w:val="20"/>
          <w:szCs w:val="20"/>
          <w:lang w:val="es-ES" w:eastAsia="es-MX"/>
        </w:rPr>
      </w:pPr>
      <w:r w:rsidRPr="00D202CC">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661E2EEF" w14:textId="77777777" w:rsidR="00D202CC" w:rsidRPr="00D202CC" w:rsidRDefault="00D202CC" w:rsidP="00D202CC">
      <w:pPr>
        <w:widowControl w:val="0"/>
        <w:autoSpaceDE w:val="0"/>
        <w:autoSpaceDN w:val="0"/>
        <w:snapToGrid w:val="0"/>
        <w:spacing w:after="0" w:line="240" w:lineRule="auto"/>
        <w:jc w:val="both"/>
        <w:rPr>
          <w:rFonts w:ascii="Verdana" w:eastAsia="Calibri" w:hAnsi="Verdana" w:cs="Times New Roman"/>
          <w:lang w:val="es-ES" w:eastAsia="es-MX"/>
        </w:rPr>
      </w:pPr>
    </w:p>
    <w:p w14:paraId="2EFB6456" w14:textId="77777777" w:rsidR="00D202CC" w:rsidRPr="00D202CC" w:rsidRDefault="00D202CC" w:rsidP="00D202CC">
      <w:pPr>
        <w:snapToGrid w:val="0"/>
        <w:spacing w:after="0" w:line="240" w:lineRule="auto"/>
        <w:jc w:val="both"/>
        <w:rPr>
          <w:rFonts w:ascii="Verdana" w:eastAsia="Calibri" w:hAnsi="Verdana" w:cs="Times New Roman"/>
          <w:sz w:val="20"/>
          <w:szCs w:val="20"/>
          <w:lang w:val="es-ES" w:eastAsia="es-MX"/>
        </w:rPr>
      </w:pPr>
      <w:r w:rsidRPr="00D202CC">
        <w:rPr>
          <w:rFonts w:ascii="Verdana" w:eastAsia="Calibri" w:hAnsi="Verdana" w:cs="Times New Roman"/>
          <w:b/>
          <w:bCs/>
          <w:lang w:val="es-ES" w:eastAsia="es-MX"/>
        </w:rPr>
        <w:t xml:space="preserve">DOCUMENTOS TIPO – Aplicación – Matriz de Experiencia </w:t>
      </w:r>
    </w:p>
    <w:p w14:paraId="7D450517" w14:textId="77777777" w:rsidR="00D202CC" w:rsidRPr="00D202CC" w:rsidRDefault="00D202CC" w:rsidP="00D202CC">
      <w:pPr>
        <w:snapToGrid w:val="0"/>
        <w:spacing w:after="0" w:line="240" w:lineRule="auto"/>
        <w:rPr>
          <w:rFonts w:ascii="Verdana" w:eastAsia="Geomanist Light" w:hAnsi="Verdana" w:cs="Arial"/>
          <w:lang w:val="es-MX" w:eastAsia="es-MX"/>
        </w:rPr>
      </w:pPr>
    </w:p>
    <w:p w14:paraId="5BE138FE" w14:textId="77777777" w:rsidR="00D202CC" w:rsidRPr="00D202CC" w:rsidRDefault="00D202CC" w:rsidP="00D202CC">
      <w:pPr>
        <w:widowControl w:val="0"/>
        <w:autoSpaceDE w:val="0"/>
        <w:autoSpaceDN w:val="0"/>
        <w:snapToGrid w:val="0"/>
        <w:spacing w:after="0" w:line="240" w:lineRule="auto"/>
        <w:jc w:val="both"/>
        <w:rPr>
          <w:rFonts w:ascii="Verdana" w:eastAsia="Calibri" w:hAnsi="Verdana" w:cs="Times New Roman"/>
          <w:sz w:val="20"/>
          <w:szCs w:val="20"/>
          <w:lang w:val="es-ES" w:eastAsia="es-MX"/>
        </w:rPr>
      </w:pPr>
      <w:r w:rsidRPr="00D202CC">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A5448DB"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sz w:val="20"/>
          <w:szCs w:val="20"/>
          <w:lang w:val="es-ES" w:eastAsia="es-MX"/>
        </w:rPr>
      </w:pPr>
    </w:p>
    <w:p w14:paraId="3E7BD891"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sz w:val="20"/>
          <w:szCs w:val="20"/>
          <w:lang w:val="es-ES" w:eastAsia="es-MX"/>
        </w:rPr>
      </w:pPr>
      <w:r w:rsidRPr="00D202CC">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03018CE"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sz w:val="20"/>
          <w:szCs w:val="20"/>
          <w:lang w:val="es-ES" w:eastAsia="es-MX"/>
        </w:rPr>
      </w:pPr>
    </w:p>
    <w:p w14:paraId="4034606A"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b/>
          <w:bCs/>
          <w:lang w:val="es-ES" w:eastAsia="es-MX"/>
        </w:rPr>
      </w:pPr>
      <w:r w:rsidRPr="00D202CC">
        <w:rPr>
          <w:rFonts w:ascii="Verdana" w:eastAsia="Calibri" w:hAnsi="Verdana" w:cs="Times New Roman"/>
          <w:b/>
          <w:bCs/>
          <w:lang w:val="es-ES" w:eastAsia="es-MX"/>
        </w:rPr>
        <w:t>SECTOR EDUCATIVO – Infraestructura social – Tipos de obras Documentos tipo – Resoluciones</w:t>
      </w:r>
    </w:p>
    <w:p w14:paraId="3463AA96"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b/>
          <w:bCs/>
          <w:lang w:val="es-ES" w:eastAsia="es-MX"/>
        </w:rPr>
      </w:pPr>
    </w:p>
    <w:p w14:paraId="6E93FB6E" w14:textId="77777777" w:rsidR="00D202CC" w:rsidRPr="00D202CC" w:rsidRDefault="00D202CC" w:rsidP="00D202CC">
      <w:pPr>
        <w:spacing w:after="0" w:line="240" w:lineRule="auto"/>
        <w:jc w:val="both"/>
        <w:rPr>
          <w:rFonts w:ascii="Verdana" w:eastAsia="Aptos" w:hAnsi="Verdana" w:cs="Times New Roman"/>
          <w:sz w:val="20"/>
          <w:szCs w:val="20"/>
        </w:rPr>
      </w:pPr>
      <w:r w:rsidRPr="00D202CC">
        <w:rPr>
          <w:rFonts w:ascii="Verdana" w:eastAsia="Aptos" w:hAnsi="Verdana" w:cs="Times New Roman"/>
          <w:sz w:val="20"/>
          <w:szCs w:val="20"/>
        </w:rPr>
        <w:t xml:space="preserve">El artículo 8 de la Resolución 539 del 21 de agosto de 2025 y el artículo 7 de las Resoluciones 540 y 541 del 21 de agosto de 2025 adoptan los documentos tipo complementarios para los procesos de infraestructura social relacionados con el Sector Educativo –según la modalidad que corresponda–. De acuerdo con el parágrafo segundo </w:t>
      </w:r>
      <w:r w:rsidRPr="00D202CC">
        <w:rPr>
          <w:rFonts w:ascii="Verdana" w:eastAsia="Aptos" w:hAnsi="Verdana" w:cs="Times New Roman"/>
          <w:sz w:val="20"/>
          <w:szCs w:val="20"/>
        </w:rPr>
        <w:lastRenderedPageBreak/>
        <w:t>de los artículos 9 y 8, respectivamente, de las citadas resoluciones, estos documentos aplican a los procesos contractuales que correspondan a las actividades definidas en la “Matriz 1 – Experiencia del Sector Educativo”.</w:t>
      </w:r>
    </w:p>
    <w:p w14:paraId="3E219AFB" w14:textId="77777777" w:rsidR="00D202CC" w:rsidRPr="00D202CC" w:rsidRDefault="00D202CC" w:rsidP="00D202CC">
      <w:pPr>
        <w:spacing w:after="0" w:line="240" w:lineRule="auto"/>
        <w:jc w:val="both"/>
        <w:rPr>
          <w:rFonts w:ascii="Verdana" w:eastAsia="Calibri" w:hAnsi="Verdana" w:cs="Times New Roman"/>
          <w:kern w:val="2"/>
          <w:sz w:val="20"/>
          <w:szCs w:val="20"/>
          <w:lang w:val="es-ES" w:eastAsia="es-MX"/>
          <w14:ligatures w14:val="standardContextual"/>
        </w:rPr>
      </w:pPr>
    </w:p>
    <w:p w14:paraId="2A4357F1" w14:textId="77777777" w:rsidR="00D202CC" w:rsidRPr="00D202CC" w:rsidRDefault="00D202CC" w:rsidP="00D202CC">
      <w:pPr>
        <w:widowControl w:val="0"/>
        <w:autoSpaceDE w:val="0"/>
        <w:autoSpaceDN w:val="0"/>
        <w:spacing w:after="0" w:line="240" w:lineRule="auto"/>
        <w:jc w:val="both"/>
        <w:rPr>
          <w:rFonts w:ascii="Verdana" w:eastAsia="Arial" w:hAnsi="Verdana" w:cs="Aptos"/>
          <w:sz w:val="20"/>
          <w:szCs w:val="20"/>
          <w:lang w:eastAsia="es-ES"/>
        </w:rPr>
      </w:pPr>
      <w:r w:rsidRPr="00D202CC">
        <w:rPr>
          <w:rFonts w:ascii="Verdana" w:eastAsia="Calibri" w:hAnsi="Verdana" w:cs="Times New Roman"/>
          <w:sz w:val="20"/>
          <w:szCs w:val="20"/>
          <w:lang w:val="es-ES" w:eastAsia="es-MX"/>
        </w:rPr>
        <w:t xml:space="preserve">La “Matriz 1 – Experiencia Sector Educativo”, </w:t>
      </w:r>
      <w:r w:rsidRPr="00D202CC">
        <w:rPr>
          <w:rFonts w:ascii="Verdana" w:eastAsia="Times New Roman" w:hAnsi="Verdana" w:cs="Times New Roman"/>
          <w:color w:val="000000"/>
          <w:sz w:val="20"/>
          <w:szCs w:val="20"/>
          <w:lang w:eastAsia="es-CO"/>
        </w:rPr>
        <w:t>en la modalidad de licitación pública, selección abreviada de menor cuantía y mínima cuantía dispone de los siguientes cuatro (4) tipos de obras de infraestructura educativa:</w:t>
      </w:r>
      <w:r w:rsidRPr="00D202CC">
        <w:rPr>
          <w:rFonts w:ascii="Verdana" w:eastAsia="Arial" w:hAnsi="Verdana" w:cs="Aptos"/>
          <w:sz w:val="20"/>
          <w:szCs w:val="20"/>
          <w:lang w:eastAsia="es-ES"/>
        </w:rPr>
        <w:t xml:space="preserve"> “1. OBRAS EN INFRAESTRUCTURA DE EDUCACIÓN; 2. OBRAS EN INFRAESTRUCTURA RECREODEPORTIVA Y CULTURAL EN INFRAESTRUCTURA </w:t>
      </w:r>
      <w:proofErr w:type="gramStart"/>
      <w:r w:rsidRPr="00D202CC">
        <w:rPr>
          <w:rFonts w:ascii="Verdana" w:eastAsia="Arial" w:hAnsi="Verdana" w:cs="Aptos"/>
          <w:sz w:val="20"/>
          <w:szCs w:val="20"/>
          <w:lang w:eastAsia="es-ES"/>
        </w:rPr>
        <w:t>EDUCATIVA,;</w:t>
      </w:r>
      <w:proofErr w:type="gramEnd"/>
      <w:r w:rsidRPr="00D202CC">
        <w:rPr>
          <w:rFonts w:ascii="Verdana" w:eastAsia="Arial" w:hAnsi="Verdana" w:cs="Aptos"/>
          <w:sz w:val="20"/>
          <w:szCs w:val="20"/>
          <w:lang w:eastAsia="es-ES"/>
        </w:rPr>
        <w:t>3. OBRAS EN VÍAS DE ACCESO O PARQUEADEROS O ZONAS DE CIRCULACIÓN (VEHICULAR O PEATONAL) O PLAZUELAS O PLAZAS O PLAZUELAS EN INFRAESTRUCTURA EDUCATIVA; y 4. OBRAS PARA ATENCIÓN, PREVENCIÓN O MITIGACIÓN DE EMERGENCIAS DIFERENTES A CONTRATACIÓN DIRECTA PARA EL SECTOR EDUCATIVO.</w:t>
      </w:r>
    </w:p>
    <w:p w14:paraId="74917A56"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sz w:val="20"/>
          <w:szCs w:val="20"/>
          <w:lang w:val="es-ES" w:eastAsia="es-MX"/>
        </w:rPr>
      </w:pPr>
    </w:p>
    <w:p w14:paraId="0C0F2184"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b/>
          <w:bCs/>
          <w:lang w:val="es-ES" w:eastAsia="es-MX"/>
        </w:rPr>
      </w:pPr>
      <w:r w:rsidRPr="00D202CC">
        <w:rPr>
          <w:rFonts w:ascii="Verdana" w:eastAsia="Calibri" w:hAnsi="Verdana" w:cs="Times New Roman"/>
          <w:b/>
          <w:bCs/>
          <w:lang w:val="es-ES" w:eastAsia="es-MX"/>
        </w:rPr>
        <w:t>SECTOR EDUCATIVO – Documentos tipo – Selección Abreviada – Matriz 1 – Experiencia – Actividad 1.14 – Experiencia general – Experiencia específica – Alcance</w:t>
      </w:r>
    </w:p>
    <w:p w14:paraId="3B858A90" w14:textId="77777777" w:rsidR="00D202CC" w:rsidRPr="00D202CC" w:rsidRDefault="00D202CC" w:rsidP="00D202CC">
      <w:pPr>
        <w:widowControl w:val="0"/>
        <w:autoSpaceDE w:val="0"/>
        <w:autoSpaceDN w:val="0"/>
        <w:spacing w:after="0" w:line="240" w:lineRule="auto"/>
        <w:jc w:val="both"/>
        <w:rPr>
          <w:rFonts w:ascii="Verdana" w:eastAsia="Calibri" w:hAnsi="Verdana" w:cs="Times New Roman"/>
          <w:sz w:val="20"/>
          <w:szCs w:val="20"/>
          <w:lang w:val="es-ES" w:eastAsia="es-MX"/>
        </w:rPr>
      </w:pPr>
    </w:p>
    <w:p w14:paraId="0D218657" w14:textId="77777777" w:rsidR="00D202CC" w:rsidRPr="00D202CC" w:rsidRDefault="00D202CC" w:rsidP="00D202CC">
      <w:pPr>
        <w:spacing w:after="0" w:line="240" w:lineRule="auto"/>
        <w:jc w:val="both"/>
        <w:rPr>
          <w:rFonts w:ascii="Verdana" w:eastAsia="Aptos" w:hAnsi="Verdana" w:cs="Times New Roman"/>
          <w:sz w:val="20"/>
          <w:szCs w:val="20"/>
        </w:rPr>
      </w:pPr>
      <w:r w:rsidRPr="00D202CC">
        <w:rPr>
          <w:rFonts w:ascii="Verdana" w:eastAsia="Aptos" w:hAnsi="Verdana" w:cs="Times New Roman"/>
          <w:sz w:val="20"/>
          <w:szCs w:val="20"/>
        </w:rPr>
        <w:t>Como se aprecia, para la actividad 1.14 contenida en la "Matriz 1 – Experiencia Sector Educativo", se establece que la acreditación de la experiencia general debe darse en proyectos que correspondan o contemplen actividades de suministro y/o instalación de sistemas de aire acondicionado o sistemas de ventilación o similares para “edificaciones”, sin que se realicen distinciones o se establezcan restricciones específicas respecto de algún tipo de edificación con destinación de uso particular.</w:t>
      </w:r>
    </w:p>
    <w:p w14:paraId="5A2B6AC8" w14:textId="77777777" w:rsidR="00D202CC" w:rsidRPr="00D202CC" w:rsidRDefault="00D202CC" w:rsidP="00D202CC">
      <w:pPr>
        <w:spacing w:after="0" w:line="240" w:lineRule="auto"/>
        <w:jc w:val="both"/>
        <w:rPr>
          <w:rFonts w:ascii="Verdana" w:eastAsia="Aptos" w:hAnsi="Verdana" w:cs="Times New Roman"/>
          <w:kern w:val="2"/>
          <w:sz w:val="20"/>
          <w:szCs w:val="20"/>
          <w14:ligatures w14:val="standardContextual"/>
        </w:rPr>
      </w:pPr>
      <w:r w:rsidRPr="00D202CC">
        <w:rPr>
          <w:rFonts w:ascii="Verdana" w:eastAsia="Aptos" w:hAnsi="Verdana" w:cs="Times New Roman"/>
          <w:kern w:val="2"/>
          <w:sz w:val="20"/>
          <w:szCs w:val="20"/>
          <w14:ligatures w14:val="standardContextual"/>
        </w:rPr>
        <w:t>En consecuencia, la experiencia general solicitada en la “Matriz 1 – Experiencia Sector educativo”, con el fin de no limitar la concurrencia de oferentes, se refiere a experiencia en edificaciones sin distinción de su destinación o uso, tales como cultura, recreación y deporte, salud, educación, vivienda o infraestructura institucional, entre otros.</w:t>
      </w:r>
    </w:p>
    <w:p w14:paraId="4EAC56D1" w14:textId="77777777" w:rsidR="00D202CC" w:rsidRPr="00D202CC" w:rsidRDefault="00D202CC" w:rsidP="00D202CC">
      <w:pPr>
        <w:spacing w:after="0" w:line="240" w:lineRule="auto"/>
        <w:jc w:val="both"/>
        <w:rPr>
          <w:rFonts w:ascii="Verdana" w:eastAsia="Aptos" w:hAnsi="Verdana" w:cs="Times New Roman"/>
          <w:sz w:val="20"/>
          <w:szCs w:val="20"/>
        </w:rPr>
      </w:pPr>
    </w:p>
    <w:p w14:paraId="448B79CD" w14:textId="77777777" w:rsidR="00D202CC" w:rsidRPr="00D202CC" w:rsidRDefault="00D202CC" w:rsidP="00D202CC">
      <w:pPr>
        <w:spacing w:after="0" w:line="240" w:lineRule="auto"/>
        <w:jc w:val="both"/>
        <w:rPr>
          <w:rFonts w:ascii="Verdana" w:eastAsia="Aptos" w:hAnsi="Verdana" w:cs="Times New Roman"/>
          <w:sz w:val="20"/>
          <w:szCs w:val="20"/>
        </w:rPr>
      </w:pPr>
      <w:r w:rsidRPr="00D202CC">
        <w:rPr>
          <w:rFonts w:ascii="Verdana" w:eastAsia="Aptos" w:hAnsi="Verdana" w:cs="Times New Roman"/>
          <w:sz w:val="20"/>
          <w:szCs w:val="20"/>
        </w:rPr>
        <w:t>Ahora bien, en relación con la experiencia específica solicitada para la actividad 1.15, particularmente para proyectos entre 151 y 1.000 SMMLV, la "Matriz 1 – Experiencia Sector Educativo" establece que por lo menos uno (1) de los contratos válidos aportados como experiencia general debe corresponder, como mínimo, al 30% del presupuesto oficial del presente proceso de selección.</w:t>
      </w:r>
    </w:p>
    <w:p w14:paraId="35CC7A33" w14:textId="77777777" w:rsidR="00D202CC" w:rsidRPr="00D202CC" w:rsidRDefault="00D202CC" w:rsidP="00D202CC">
      <w:pPr>
        <w:spacing w:after="0" w:line="240" w:lineRule="auto"/>
        <w:jc w:val="both"/>
        <w:rPr>
          <w:rFonts w:ascii="Verdana" w:eastAsia="Aptos" w:hAnsi="Verdana" w:cs="Times New Roman"/>
          <w:kern w:val="2"/>
          <w:sz w:val="20"/>
          <w:szCs w:val="20"/>
          <w14:ligatures w14:val="standardContextual"/>
        </w:rPr>
      </w:pPr>
    </w:p>
    <w:p w14:paraId="0078D05F" w14:textId="77777777" w:rsidR="00D202CC" w:rsidRPr="00D202CC" w:rsidRDefault="00D202CC" w:rsidP="00D202CC">
      <w:pPr>
        <w:spacing w:after="0" w:line="240" w:lineRule="auto"/>
        <w:jc w:val="both"/>
        <w:rPr>
          <w:rFonts w:ascii="Verdana" w:eastAsia="Aptos" w:hAnsi="Verdana" w:cs="Times New Roman"/>
          <w:kern w:val="2"/>
          <w:sz w:val="20"/>
          <w:szCs w:val="20"/>
          <w14:ligatures w14:val="standardContextual"/>
        </w:rPr>
      </w:pPr>
      <w:r w:rsidRPr="00D202CC">
        <w:rPr>
          <w:rFonts w:ascii="Verdana" w:eastAsia="Aptos" w:hAnsi="Verdana" w:cs="Times New Roman"/>
          <w:kern w:val="2"/>
          <w:sz w:val="20"/>
          <w:szCs w:val="20"/>
          <w14:ligatures w14:val="standardContextual"/>
        </w:rPr>
        <w:t>Sobre este aspecto, la exigencia de la experiencia específica para la actividad 1.14 responde a una condición de naturaleza cuantitativa, relacionada con el presupuesto oficial del proceso de selección, y no a una condición cualitativa asociada al tipo de edificación o a su destinación específica. En efecto, el requisito no introduce un elemento técnico adicional o diferenciado respecto de aquel ya definido para la experiencia general, sino que opera como un umbral de suficiencia dentro del mismo universo de contratos válidamente acreditados conforme a dicha experiencia. Así las cosas, la denominación de “experiencia específica” no debe entenderse como la creación de un requisito autónomo con exigencias técnicas propias, sino como una condición de ponderación aplicable sobre los contratos que ya cumplen las características exigidas para la experiencia general.</w:t>
      </w:r>
    </w:p>
    <w:p w14:paraId="35DE77D2" w14:textId="7854094A" w:rsidR="00D202CC" w:rsidRDefault="00D202CC" w:rsidP="00D202CC">
      <w:pPr>
        <w:spacing w:after="0" w:line="240" w:lineRule="auto"/>
        <w:rPr>
          <w:rFonts w:ascii="Verdana" w:eastAsia="Verdana" w:hAnsi="Verdana" w:cs="Verdana"/>
        </w:rPr>
      </w:pPr>
      <w:r w:rsidRPr="00D202CC">
        <w:rPr>
          <w:rFonts w:ascii="Verdana" w:eastAsia="Verdana" w:hAnsi="Verdana" w:cs="Verdana"/>
        </w:rPr>
        <w:lastRenderedPageBreak/>
        <w:t xml:space="preserve">Bogotá D.C., </w:t>
      </w:r>
      <w:r w:rsidR="00622450">
        <w:rPr>
          <w:rFonts w:ascii="Verdana" w:eastAsia="Verdana" w:hAnsi="Verdana" w:cs="Verdana"/>
        </w:rPr>
        <w:t>3 de septiembre de 2026</w:t>
      </w:r>
    </w:p>
    <w:p w14:paraId="512ED952" w14:textId="4C5260DF" w:rsidR="00622450" w:rsidRDefault="00622450" w:rsidP="00D202CC">
      <w:pPr>
        <w:spacing w:after="0" w:line="240" w:lineRule="auto"/>
        <w:rPr>
          <w:rFonts w:ascii="Verdana" w:eastAsia="Verdana" w:hAnsi="Verdana" w:cs="Verdana"/>
        </w:rPr>
      </w:pPr>
    </w:p>
    <w:p w14:paraId="69E3453E" w14:textId="291B3EA9" w:rsidR="00622450" w:rsidRPr="00D202CC" w:rsidRDefault="00622450" w:rsidP="00D202CC">
      <w:pPr>
        <w:spacing w:after="0" w:line="240" w:lineRule="auto"/>
        <w:rPr>
          <w:rFonts w:ascii="Verdana" w:eastAsia="Verdana" w:hAnsi="Verdana" w:cs="Verdana"/>
        </w:rPr>
      </w:pPr>
    </w:p>
    <w:p w14:paraId="32A78CAE" w14:textId="4AF54DEC" w:rsidR="00D202CC" w:rsidRPr="00D202CC" w:rsidRDefault="00322EC3" w:rsidP="00D202CC">
      <w:pPr>
        <w:spacing w:after="0" w:line="240" w:lineRule="auto"/>
        <w:rPr>
          <w:rFonts w:ascii="Verdana" w:eastAsia="Aptos" w:hAnsi="Verdana" w:cs="Times New Roman"/>
          <w:sz w:val="24"/>
          <w:szCs w:val="24"/>
          <w:lang w:eastAsia="es-MX"/>
        </w:rPr>
      </w:pPr>
      <w:r w:rsidRPr="00C61098">
        <w:rPr>
          <w:rFonts w:ascii="Verdana" w:eastAsia="Aptos" w:hAnsi="Verdana" w:cs="Times New Roman"/>
          <w:noProof/>
          <w:sz w:val="24"/>
          <w:szCs w:val="24"/>
          <w:lang w:eastAsia="es-MX"/>
        </w:rPr>
        <w:drawing>
          <wp:anchor distT="0" distB="0" distL="114300" distR="114300" simplePos="0" relativeHeight="251658240" behindDoc="0" locked="0" layoutInCell="1" allowOverlap="1" wp14:anchorId="2800D039" wp14:editId="23048303">
            <wp:simplePos x="0" y="0"/>
            <wp:positionH relativeFrom="margin">
              <wp:align>right</wp:align>
            </wp:positionH>
            <wp:positionV relativeFrom="paragraph">
              <wp:posOffset>8890</wp:posOffset>
            </wp:positionV>
            <wp:extent cx="2080260" cy="826770"/>
            <wp:effectExtent l="0" t="0" r="0" b="0"/>
            <wp:wrapSquare wrapText="bothSides"/>
            <wp:docPr id="167829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913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0260" cy="826770"/>
                    </a:xfrm>
                    <a:prstGeom prst="rect">
                      <a:avLst/>
                    </a:prstGeom>
                  </pic:spPr>
                </pic:pic>
              </a:graphicData>
            </a:graphic>
            <wp14:sizeRelH relativeFrom="page">
              <wp14:pctWidth>0</wp14:pctWidth>
            </wp14:sizeRelH>
            <wp14:sizeRelV relativeFrom="page">
              <wp14:pctHeight>0</wp14:pctHeight>
            </wp14:sizeRelV>
          </wp:anchor>
        </w:drawing>
      </w:r>
    </w:p>
    <w:p w14:paraId="60CCC8E6" w14:textId="77777777" w:rsidR="00D202CC" w:rsidRPr="00D202CC" w:rsidRDefault="00D202CC" w:rsidP="00D202CC">
      <w:pPr>
        <w:spacing w:after="0" w:line="240" w:lineRule="auto"/>
        <w:rPr>
          <w:rFonts w:ascii="Verdana" w:eastAsia="Calibri" w:hAnsi="Verdana" w:cs="Arial"/>
          <w:lang w:val="es-ES" w:eastAsia="es-ES"/>
        </w:rPr>
      </w:pPr>
      <w:r w:rsidRPr="00D202CC">
        <w:rPr>
          <w:rFonts w:ascii="Verdana" w:eastAsia="Calibri" w:hAnsi="Verdana" w:cs="Arial"/>
          <w:lang w:val="es-ES" w:eastAsia="es-ES"/>
        </w:rPr>
        <w:t>Doctora</w:t>
      </w:r>
    </w:p>
    <w:p w14:paraId="2B4409A8" w14:textId="77777777" w:rsidR="00D202CC" w:rsidRPr="00D202CC" w:rsidRDefault="00D202CC" w:rsidP="00D202CC">
      <w:pPr>
        <w:spacing w:after="0" w:line="240" w:lineRule="auto"/>
        <w:rPr>
          <w:rFonts w:ascii="Verdana" w:eastAsia="Calibri" w:hAnsi="Verdana" w:cs="Arial"/>
          <w:b/>
          <w:bCs/>
          <w:lang w:val="es-ES" w:eastAsia="es-ES"/>
        </w:rPr>
      </w:pPr>
      <w:r w:rsidRPr="00D202CC">
        <w:rPr>
          <w:rFonts w:ascii="Verdana" w:eastAsia="Calibri" w:hAnsi="Verdana" w:cs="Arial"/>
          <w:b/>
          <w:bCs/>
          <w:lang w:val="es-ES" w:eastAsia="es-ES"/>
        </w:rPr>
        <w:t>Natalia Martínez Botero</w:t>
      </w:r>
    </w:p>
    <w:p w14:paraId="6C332D4C" w14:textId="77777777" w:rsidR="00D202CC" w:rsidRPr="00D202CC" w:rsidRDefault="00D202CC" w:rsidP="00D202CC">
      <w:pPr>
        <w:spacing w:after="0" w:line="240" w:lineRule="auto"/>
        <w:rPr>
          <w:rFonts w:ascii="Verdana" w:eastAsia="Aptos" w:hAnsi="Verdana" w:cs="Times New Roman"/>
          <w:lang w:eastAsia="es-MX"/>
        </w:rPr>
      </w:pPr>
      <w:r w:rsidRPr="00D202CC">
        <w:rPr>
          <w:rFonts w:ascii="Verdana" w:eastAsia="Aptos" w:hAnsi="Verdana" w:cs="Times New Roman"/>
          <w:lang w:eastAsia="es-MX"/>
        </w:rPr>
        <w:t>Directora Administrativa de la Dirección Jurídica</w:t>
      </w:r>
    </w:p>
    <w:p w14:paraId="025DB074" w14:textId="77777777" w:rsidR="00D202CC" w:rsidRPr="00D202CC" w:rsidRDefault="00D202CC" w:rsidP="00D202CC">
      <w:pPr>
        <w:spacing w:after="0" w:line="240" w:lineRule="auto"/>
        <w:rPr>
          <w:rFonts w:ascii="Verdana" w:eastAsia="Aptos" w:hAnsi="Verdana" w:cs="Times New Roman"/>
          <w:lang w:eastAsia="es-MX"/>
        </w:rPr>
      </w:pPr>
      <w:r w:rsidRPr="00D202CC">
        <w:rPr>
          <w:rFonts w:ascii="Verdana" w:eastAsia="Aptos" w:hAnsi="Verdana" w:cs="Times New Roman"/>
          <w:lang w:eastAsia="es-MX"/>
        </w:rPr>
        <w:t>Institución Universitaria Pascual Bravo</w:t>
      </w:r>
    </w:p>
    <w:p w14:paraId="5F46FE92" w14:textId="77777777" w:rsidR="00D202CC" w:rsidRPr="00D202CC" w:rsidRDefault="00D202CC" w:rsidP="00D202CC">
      <w:pPr>
        <w:spacing w:after="0" w:line="240" w:lineRule="auto"/>
        <w:rPr>
          <w:rFonts w:ascii="Verdana" w:eastAsia="Calibri" w:hAnsi="Verdana" w:cs="Arial"/>
          <w:b/>
          <w:bCs/>
          <w:lang w:eastAsia="es-ES_tradnl"/>
        </w:rPr>
      </w:pPr>
      <w:r w:rsidRPr="00D202CC">
        <w:rPr>
          <w:rFonts w:ascii="Verdana" w:eastAsia="Aptos" w:hAnsi="Verdana" w:cs="Times New Roman"/>
          <w:lang w:eastAsia="es-MX"/>
        </w:rPr>
        <w:t>Medellín, Antioquia</w:t>
      </w:r>
    </w:p>
    <w:p w14:paraId="41A11C3B" w14:textId="77777777" w:rsidR="00D202CC" w:rsidRPr="00D202CC" w:rsidRDefault="00D202CC" w:rsidP="00D202CC">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D202CC" w:rsidRPr="00D202CC" w14:paraId="0897CD53" w14:textId="77777777" w:rsidTr="00670B64">
        <w:trPr>
          <w:trHeight w:val="229"/>
        </w:trPr>
        <w:tc>
          <w:tcPr>
            <w:tcW w:w="2268" w:type="dxa"/>
          </w:tcPr>
          <w:p w14:paraId="5CC4D135" w14:textId="77777777" w:rsidR="00D202CC" w:rsidRPr="00D202CC" w:rsidRDefault="00D202CC" w:rsidP="00D202CC">
            <w:pPr>
              <w:jc w:val="both"/>
              <w:rPr>
                <w:rFonts w:ascii="Verdana" w:eastAsia="Calibri" w:hAnsi="Verdana" w:cs="Arial"/>
                <w:b/>
                <w:bCs/>
                <w:lang w:val="es-ES_tradnl" w:eastAsia="es-ES_tradnl"/>
              </w:rPr>
            </w:pPr>
          </w:p>
        </w:tc>
        <w:tc>
          <w:tcPr>
            <w:tcW w:w="6100" w:type="dxa"/>
          </w:tcPr>
          <w:p w14:paraId="059ACCED" w14:textId="77777777" w:rsidR="00D202CC" w:rsidRPr="00D202CC" w:rsidRDefault="00D202CC" w:rsidP="00D202CC">
            <w:pPr>
              <w:jc w:val="both"/>
              <w:rPr>
                <w:rFonts w:ascii="Verdana" w:eastAsia="Calibri" w:hAnsi="Verdana" w:cs="Arial"/>
                <w:b/>
                <w:bCs/>
                <w:lang w:val="es-ES" w:eastAsia="es-ES"/>
              </w:rPr>
            </w:pPr>
            <w:r w:rsidRPr="00D202CC">
              <w:rPr>
                <w:rFonts w:ascii="Verdana" w:eastAsia="Calibri" w:hAnsi="Verdana" w:cs="Arial"/>
                <w:b/>
                <w:bCs/>
                <w:lang w:val="es-ES" w:eastAsia="es-ES"/>
              </w:rPr>
              <w:t xml:space="preserve">Concepto </w:t>
            </w:r>
            <w:bookmarkStart w:id="1" w:name="OLE_LINK1"/>
            <w:r w:rsidRPr="00D202CC">
              <w:rPr>
                <w:rFonts w:ascii="Verdana" w:eastAsia="Calibri" w:hAnsi="Verdana" w:cs="Arial"/>
                <w:b/>
                <w:bCs/>
                <w:lang w:val="es-ES" w:eastAsia="es-ES"/>
              </w:rPr>
              <w:t>C-1169 de 2026</w:t>
            </w:r>
            <w:bookmarkEnd w:id="1"/>
          </w:p>
          <w:p w14:paraId="1EB45E71" w14:textId="77777777" w:rsidR="00D202CC" w:rsidRPr="00D202CC" w:rsidRDefault="00D202CC" w:rsidP="00D202CC">
            <w:pPr>
              <w:jc w:val="both"/>
              <w:rPr>
                <w:rFonts w:ascii="Verdana" w:eastAsia="Calibri" w:hAnsi="Verdana" w:cs="Arial"/>
                <w:b/>
                <w:bCs/>
                <w:lang w:val="es-ES" w:eastAsia="es-ES"/>
              </w:rPr>
            </w:pPr>
          </w:p>
        </w:tc>
      </w:tr>
      <w:tr w:rsidR="00D202CC" w:rsidRPr="00D202CC" w14:paraId="5A832D87" w14:textId="77777777" w:rsidTr="00670B64">
        <w:trPr>
          <w:trHeight w:val="884"/>
        </w:trPr>
        <w:tc>
          <w:tcPr>
            <w:tcW w:w="2268" w:type="dxa"/>
          </w:tcPr>
          <w:p w14:paraId="42ACAC70" w14:textId="77777777" w:rsidR="00D202CC" w:rsidRPr="00D202CC" w:rsidRDefault="00D202CC" w:rsidP="00D202CC">
            <w:pPr>
              <w:jc w:val="both"/>
              <w:rPr>
                <w:rFonts w:ascii="Verdana" w:eastAsia="Calibri" w:hAnsi="Verdana" w:cs="Arial"/>
                <w:lang w:val="es-ES_tradnl" w:eastAsia="es-ES_tradnl"/>
              </w:rPr>
            </w:pPr>
            <w:r w:rsidRPr="00D202CC">
              <w:rPr>
                <w:rFonts w:ascii="Verdana" w:eastAsia="Calibri" w:hAnsi="Verdana" w:cs="Arial"/>
                <w:b/>
                <w:lang w:val="es-ES_tradnl" w:eastAsia="es-ES_tradnl"/>
              </w:rPr>
              <w:t>Temas:</w:t>
            </w:r>
            <w:r w:rsidRPr="00D202CC">
              <w:rPr>
                <w:rFonts w:ascii="Verdana" w:eastAsia="Calibri" w:hAnsi="Verdana" w:cs="Arial"/>
                <w:lang w:val="es-ES_tradnl" w:eastAsia="es-ES_tradnl"/>
              </w:rPr>
              <w:t xml:space="preserve">                   </w:t>
            </w:r>
          </w:p>
        </w:tc>
        <w:tc>
          <w:tcPr>
            <w:tcW w:w="6100" w:type="dxa"/>
          </w:tcPr>
          <w:p w14:paraId="756022DF" w14:textId="77777777" w:rsidR="00D202CC" w:rsidRPr="00D202CC" w:rsidRDefault="00D202CC" w:rsidP="00D202CC">
            <w:pPr>
              <w:widowControl w:val="0"/>
              <w:autoSpaceDE w:val="0"/>
              <w:autoSpaceDN w:val="0"/>
              <w:jc w:val="both"/>
              <w:rPr>
                <w:rFonts w:ascii="Verdana" w:eastAsia="Calibri" w:hAnsi="Verdana" w:cs="Times New Roman"/>
                <w:lang w:val="es-ES" w:eastAsia="es-MX"/>
              </w:rPr>
            </w:pPr>
            <w:r w:rsidRPr="00D202CC">
              <w:rPr>
                <w:rFonts w:ascii="Verdana" w:eastAsia="Calibri" w:hAnsi="Verdana" w:cs="Arial"/>
                <w:lang w:val="es-ES_tradnl" w:eastAsia="es-MX"/>
              </w:rPr>
              <w:t xml:space="preserve">DOCUMENTOS TIPO – Fundamento normativo – Obligatoriedad </w:t>
            </w:r>
            <w:r w:rsidRPr="00D202CC">
              <w:rPr>
                <w:rFonts w:ascii="Verdana" w:eastAsia="Aptos" w:hAnsi="Verdana" w:cs="Times New Roman"/>
              </w:rPr>
              <w:t xml:space="preserve">/ </w:t>
            </w:r>
            <w:r w:rsidRPr="00D202CC">
              <w:rPr>
                <w:rFonts w:ascii="Verdana" w:eastAsia="Calibri" w:hAnsi="Verdana" w:cs="Arial"/>
                <w:lang w:val="es-ES_tradnl" w:eastAsia="es-MX"/>
              </w:rPr>
              <w:t>SECTOR SOCIAL</w:t>
            </w:r>
            <w:r w:rsidRPr="00D202CC">
              <w:rPr>
                <w:rFonts w:ascii="Verdana" w:eastAsia="Calibri" w:hAnsi="Verdana" w:cs="Times New Roman"/>
                <w:lang w:val="es-ES" w:eastAsia="es-MX"/>
              </w:rPr>
              <w:t xml:space="preserve"> – Documentos tipo – Vigentes / DOCUMENTOS TIPO – Aplicación – Matriz de Experiencia / SECTOR EDUCATIVO – Infraestructura social – Tipos de obras Documentos tipo – Resoluciones / SECTOR EDUCATIVO – Documentos tipo – Selección Abreviada – Matriz 1 – Experiencia – Actividad 1.14 – Experiencia general – Experiencia específica – Alcance</w:t>
            </w:r>
          </w:p>
          <w:p w14:paraId="0426AB38" w14:textId="77777777" w:rsidR="00D202CC" w:rsidRPr="00D202CC" w:rsidRDefault="00D202CC" w:rsidP="00D202CC">
            <w:pPr>
              <w:jc w:val="both"/>
              <w:rPr>
                <w:rFonts w:ascii="Verdana" w:eastAsia="Calibri" w:hAnsi="Verdana" w:cs="Arial"/>
                <w:bCs/>
                <w:lang w:val="es-ES_tradnl" w:eastAsia="es-ES"/>
              </w:rPr>
            </w:pPr>
          </w:p>
        </w:tc>
      </w:tr>
      <w:tr w:rsidR="00D202CC" w:rsidRPr="00D202CC" w14:paraId="0BB084A3" w14:textId="77777777" w:rsidTr="00670B64">
        <w:tc>
          <w:tcPr>
            <w:tcW w:w="2268" w:type="dxa"/>
          </w:tcPr>
          <w:p w14:paraId="757677FF" w14:textId="77777777" w:rsidR="00D202CC" w:rsidRPr="00D202CC" w:rsidRDefault="00D202CC" w:rsidP="00D202CC">
            <w:pPr>
              <w:jc w:val="both"/>
              <w:rPr>
                <w:rFonts w:ascii="Verdana" w:eastAsia="Calibri" w:hAnsi="Verdana" w:cs="Arial"/>
                <w:b/>
                <w:lang w:val="es-ES_tradnl" w:eastAsia="es-ES_tradnl"/>
              </w:rPr>
            </w:pPr>
            <w:r w:rsidRPr="00D202CC">
              <w:rPr>
                <w:rFonts w:ascii="Verdana" w:eastAsia="Calibri" w:hAnsi="Verdana" w:cs="Arial"/>
                <w:b/>
                <w:lang w:val="es-ES_tradnl" w:eastAsia="es-ES_tradnl"/>
              </w:rPr>
              <w:t>Radicación:</w:t>
            </w:r>
            <w:r w:rsidRPr="00D202CC">
              <w:rPr>
                <w:rFonts w:ascii="Verdana" w:eastAsia="Calibri" w:hAnsi="Verdana" w:cs="Arial"/>
                <w:lang w:val="es-ES_tradnl" w:eastAsia="es-ES_tradnl"/>
              </w:rPr>
              <w:t xml:space="preserve">               </w:t>
            </w:r>
          </w:p>
        </w:tc>
        <w:tc>
          <w:tcPr>
            <w:tcW w:w="6100" w:type="dxa"/>
          </w:tcPr>
          <w:p w14:paraId="5CE65750" w14:textId="77777777" w:rsidR="00D202CC" w:rsidRPr="00D202CC" w:rsidRDefault="00D202CC" w:rsidP="00D202CC">
            <w:pPr>
              <w:ind w:left="3" w:hanging="3"/>
              <w:jc w:val="both"/>
              <w:rPr>
                <w:rFonts w:ascii="Verdana" w:eastAsia="Calibri" w:hAnsi="Verdana" w:cs="Arial"/>
                <w:lang w:val="es-ES_tradnl" w:eastAsia="es-ES_tradnl"/>
              </w:rPr>
            </w:pPr>
            <w:r w:rsidRPr="00D202CC">
              <w:rPr>
                <w:rFonts w:ascii="Verdana" w:eastAsia="Calibri" w:hAnsi="Verdana" w:cs="Arial"/>
                <w:lang w:val="es-ES_tradnl" w:eastAsia="es-ES_tradnl"/>
              </w:rPr>
              <w:t>Respuesta a consulta con radicado No. 1_2026_07_23_009696</w:t>
            </w:r>
          </w:p>
        </w:tc>
      </w:tr>
    </w:tbl>
    <w:p w14:paraId="0DDD1C43" w14:textId="77777777" w:rsidR="00D202CC" w:rsidRPr="00D202CC" w:rsidRDefault="00D202CC" w:rsidP="00D202CC">
      <w:pPr>
        <w:spacing w:after="0" w:line="240" w:lineRule="auto"/>
        <w:jc w:val="both"/>
        <w:rPr>
          <w:rFonts w:ascii="Verdana" w:eastAsia="Calibri" w:hAnsi="Verdana" w:cs="Arial"/>
          <w:lang w:val="es-ES_tradnl" w:eastAsia="es-ES_tradnl"/>
        </w:rPr>
      </w:pPr>
    </w:p>
    <w:p w14:paraId="7691EEE8" w14:textId="77777777" w:rsidR="00D202CC" w:rsidRPr="00D202CC" w:rsidRDefault="00D202CC" w:rsidP="00D202CC">
      <w:pPr>
        <w:spacing w:after="0" w:line="276" w:lineRule="auto"/>
        <w:jc w:val="both"/>
        <w:rPr>
          <w:rFonts w:ascii="Verdana" w:eastAsia="Calibri" w:hAnsi="Verdana" w:cs="Arial"/>
          <w:lang w:val="es-ES" w:eastAsia="es-ES"/>
        </w:rPr>
      </w:pPr>
      <w:r w:rsidRPr="00D202CC">
        <w:rPr>
          <w:rFonts w:ascii="Verdana" w:eastAsia="Calibri" w:hAnsi="Verdana" w:cs="Arial"/>
          <w:lang w:val="es-ES" w:eastAsia="es-ES"/>
        </w:rPr>
        <w:t xml:space="preserve">Estimado Doctora Martínez Botero: </w:t>
      </w:r>
    </w:p>
    <w:p w14:paraId="57873FCD" w14:textId="77777777" w:rsidR="00D202CC" w:rsidRPr="00D202CC" w:rsidRDefault="00D202CC" w:rsidP="00D202CC">
      <w:pPr>
        <w:tabs>
          <w:tab w:val="left" w:pos="3768"/>
        </w:tabs>
        <w:spacing w:after="0" w:line="276" w:lineRule="auto"/>
        <w:jc w:val="both"/>
        <w:rPr>
          <w:rFonts w:ascii="Verdana" w:eastAsia="Calibri" w:hAnsi="Verdana" w:cs="Arial"/>
          <w:lang w:val="es-ES" w:eastAsia="es-ES"/>
        </w:rPr>
      </w:pPr>
      <w:r w:rsidRPr="00D202CC">
        <w:rPr>
          <w:rFonts w:ascii="Verdana" w:eastAsia="Calibri" w:hAnsi="Verdana" w:cs="Arial"/>
          <w:lang w:val="es-ES" w:eastAsia="es-ES"/>
        </w:rPr>
        <w:tab/>
      </w:r>
    </w:p>
    <w:p w14:paraId="7AA78F89" w14:textId="77777777" w:rsidR="00D202CC" w:rsidRPr="00D202CC" w:rsidRDefault="00D202CC" w:rsidP="00D202CC">
      <w:pPr>
        <w:spacing w:after="0" w:line="276" w:lineRule="auto"/>
        <w:jc w:val="both"/>
        <w:rPr>
          <w:rFonts w:ascii="Verdana" w:eastAsia="Calibri" w:hAnsi="Verdana" w:cs="Arial"/>
          <w:lang w:val="es-ES" w:eastAsia="es-ES"/>
        </w:rPr>
      </w:pPr>
      <w:r w:rsidRPr="00D202CC">
        <w:rPr>
          <w:rFonts w:ascii="Verdana" w:eastAsia="Calibri" w:hAnsi="Verdana" w:cs="Arial"/>
          <w:lang w:val="es-ES" w:eastAsia="es-ES"/>
        </w:rPr>
        <w:t>En ejercicio de la competencia otorgada por los artículos 3, numeral 5º, y 11, numeral 8º, del Decreto Ley 4170 de 2011,</w:t>
      </w:r>
      <w:r w:rsidRPr="00D202CC">
        <w:rPr>
          <w:rFonts w:ascii="Verdana" w:eastAsia="Arial MT" w:hAnsi="Verdana" w:cs="Arial MT"/>
          <w:lang w:val="es-ES" w:eastAsia="es-ES"/>
        </w:rPr>
        <w:t xml:space="preserve"> </w:t>
      </w:r>
      <w:r w:rsidRPr="00D202CC">
        <w:rPr>
          <w:rFonts w:ascii="Verdana" w:eastAsia="Calibri" w:hAnsi="Verdana" w:cs="Arial"/>
          <w:lang w:eastAsia="es-MX"/>
        </w:rPr>
        <w:t xml:space="preserve">así como lo establecido por la </w:t>
      </w:r>
      <w:r w:rsidRPr="00D202CC">
        <w:rPr>
          <w:rFonts w:ascii="Verdana" w:eastAsia="Aptos" w:hAnsi="Verdana" w:cs="Arial"/>
          <w:bCs/>
          <w:lang w:eastAsia="es-ES" w:bidi="es-ES"/>
        </w:rPr>
        <w:t>Resolución 469 de 2025 expedida por esta Entidad</w:t>
      </w:r>
      <w:r w:rsidRPr="00D202CC">
        <w:rPr>
          <w:rFonts w:ascii="Verdana" w:eastAsia="Calibri" w:hAnsi="Verdana" w:cs="Arial"/>
          <w:lang w:eastAsia="es-MX"/>
        </w:rPr>
        <w:t xml:space="preserve">, </w:t>
      </w:r>
      <w:r w:rsidRPr="00D202CC">
        <w:rPr>
          <w:rFonts w:ascii="Verdana" w:eastAsia="Calibri" w:hAnsi="Verdana" w:cs="Arial"/>
          <w:lang w:val="es-ES" w:eastAsia="es-ES"/>
        </w:rPr>
        <w:t xml:space="preserve">la Agencia Nacional de Contratación Pública – Colombia Compra Eficiente responde su solicitud de consulta del 23 de julio de 2026, en la cual manifiesta lo siguiente: </w:t>
      </w:r>
    </w:p>
    <w:p w14:paraId="093A6279" w14:textId="77777777" w:rsidR="00D202CC" w:rsidRPr="00D202CC" w:rsidRDefault="00D202CC" w:rsidP="00D202CC">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1FE07E6C"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Century Gothic" w:hAnsi="Verdana" w:cs="Arial"/>
          <w:sz w:val="20"/>
          <w:szCs w:val="20"/>
          <w:lang w:val="es-ES" w:eastAsia="es-MX"/>
        </w:rPr>
        <w:t>“</w:t>
      </w:r>
      <w:r w:rsidRPr="00D202CC">
        <w:rPr>
          <w:rFonts w:ascii="Verdana" w:eastAsia="Aptos" w:hAnsi="Verdana" w:cs="Times New Roman"/>
          <w:sz w:val="20"/>
          <w:szCs w:val="20"/>
        </w:rPr>
        <w:t>En el marco del proceso de selección de menor cuantía (cuyo presupuesto oficial se encuentra en el rango de entre 151 y 1.000 SMMLV), se requiere evaluar la experiencia para la siguiente actividad:</w:t>
      </w:r>
    </w:p>
    <w:p w14:paraId="025EAD23"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 xml:space="preserve"> • Actividad a contratar: 1.14. SUMINISTRO Y/O INSTALACIÓN DE SISTEMAS DE AIRES ACONDICIONADOS O SISTEMAS DE VENTILACIÓN O SIMILARES PARA INFRAESTRUCTURA EDUCATIVA. </w:t>
      </w:r>
    </w:p>
    <w:p w14:paraId="0524B82A" w14:textId="77777777" w:rsidR="00D202CC" w:rsidRPr="00D202CC" w:rsidRDefault="00D202CC" w:rsidP="00D202CC">
      <w:pPr>
        <w:spacing w:after="120" w:line="240" w:lineRule="auto"/>
        <w:ind w:left="709" w:right="709"/>
        <w:jc w:val="both"/>
        <w:rPr>
          <w:rFonts w:ascii="Verdana" w:eastAsia="Times New Roman" w:hAnsi="Verdana" w:cs="Times New Roman"/>
          <w:sz w:val="20"/>
          <w:szCs w:val="20"/>
          <w:lang w:eastAsia="es-MX"/>
        </w:rPr>
      </w:pPr>
      <w:r w:rsidRPr="00D202CC">
        <w:rPr>
          <w:rFonts w:ascii="Verdana" w:eastAsia="Aptos" w:hAnsi="Verdana" w:cs="Times New Roman"/>
          <w:sz w:val="20"/>
          <w:szCs w:val="20"/>
        </w:rPr>
        <w:t>De conformidad con la Matriz de Experiencia de los Documentos Tipo aplicables, los requisitos están distribuidos de la siguiente manera:</w:t>
      </w:r>
    </w:p>
    <w:p w14:paraId="6CB9C952"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lastRenderedPageBreak/>
        <w:t xml:space="preserve">"Por lo menos uno (1) de los contratos válidos aportados como experiencia general debe corresponder como mínimo al treinta por ciento (30%) del presupuesto oficial del proceso de selección." </w:t>
      </w:r>
    </w:p>
    <w:p w14:paraId="2E6D4A1E"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 xml:space="preserve">La discrepancia y la ola de observaciones de los proponentes en el proceso MC 003 DE 2026 radican en la aparente contradicción e indeterminación de la columna de Experiencia Específica. Al no existir una descripción cualitativa adicional para la experiencia específica en este ítem (como sí ocurre en otras actividades de la matriz), por lo cual, algunos de los proponentes indican que dado que el texto de la columna "Especifica" remite expresamente a la "experiencia general", el contrato que represente el 30% del presupuesto oficial solo debe cumplir con las condiciones de la Experiencia General (es decir, sistemas de aires/ventilación en edificaciones en general, sin importar si es infraestructura educativa). Bajo esta tesis, el requisito del 30% es un mero tope financiero/cuantitativo aplicado sobre la experiencia general aportada. </w:t>
      </w:r>
    </w:p>
    <w:p w14:paraId="31C13259"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Sin embargo, también se presentan observaciones en contravía a lo planteado, donde indican que por el simple hecho de estar ubicada dicha regla bajo la columna "Experiencia Específica", el contrato que cumpla con el 30% del presupuesto oficial debe cumplir obligatoriamente con el objeto específico de la actividad a contratar (es decir, que el suministro o instalación haya sido ejecutado específicamente en infraestructura educativa).</w:t>
      </w:r>
    </w:p>
    <w:p w14:paraId="5BB544D1"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 xml:space="preserve">Esta falta de claridad literal en la matriz de los Documentos Tipo genera un desgaste administrativo severo para la Entidad a la hora de publicar los informes de evaluación, y expone el proceso a eventuales acciones de tutela o demandas por presunta vulneración al principio de selección objetiva. </w:t>
      </w:r>
    </w:p>
    <w:p w14:paraId="541DE083"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Con el fin de unificar criterios y garantizar la transparencia en el proceso MC 003 DE 2026, agradecemos que la Agencia se sirva resolver los siguientes interrogantes:</w:t>
      </w:r>
    </w:p>
    <w:p w14:paraId="193AF296"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 xml:space="preserve">1. </w:t>
      </w:r>
      <w:proofErr w:type="gramStart"/>
      <w:r w:rsidRPr="00D202CC">
        <w:rPr>
          <w:rFonts w:ascii="Verdana" w:eastAsia="Aptos" w:hAnsi="Verdana" w:cs="Times New Roman"/>
          <w:sz w:val="20"/>
          <w:szCs w:val="20"/>
        </w:rPr>
        <w:t>¿Cuál es el alcance real del requisito de "Experiencia Específica" para la actividad 1.</w:t>
      </w:r>
      <w:proofErr w:type="gramEnd"/>
      <w:r w:rsidRPr="00D202CC">
        <w:rPr>
          <w:rFonts w:ascii="Verdana" w:eastAsia="Aptos" w:hAnsi="Verdana" w:cs="Times New Roman"/>
          <w:sz w:val="20"/>
          <w:szCs w:val="20"/>
        </w:rPr>
        <w:t xml:space="preserve">14 en procesos de 151 a 1.000 SMMLV? ¿Se limita a una exigencia netamente financiera (cuantitativa) sobre los contratos de experiencia general, o exige una correspondencia técnica (cualitativa) con el destino final de la obra (infraestructura educativa)? </w:t>
      </w:r>
    </w:p>
    <w:p w14:paraId="057914AD" w14:textId="77777777" w:rsidR="00D202CC" w:rsidRPr="00D202CC" w:rsidRDefault="00D202CC" w:rsidP="00D202CC">
      <w:pPr>
        <w:spacing w:after="120" w:line="240" w:lineRule="auto"/>
        <w:ind w:left="709" w:right="709"/>
        <w:jc w:val="both"/>
        <w:rPr>
          <w:rFonts w:ascii="Verdana" w:eastAsia="Aptos" w:hAnsi="Verdana" w:cs="Times New Roman"/>
          <w:sz w:val="20"/>
          <w:szCs w:val="20"/>
        </w:rPr>
      </w:pPr>
      <w:r w:rsidRPr="00D202CC">
        <w:rPr>
          <w:rFonts w:ascii="Verdana" w:eastAsia="Aptos" w:hAnsi="Verdana" w:cs="Times New Roman"/>
          <w:sz w:val="20"/>
          <w:szCs w:val="20"/>
        </w:rPr>
        <w:t xml:space="preserve">2. Para cumplir con el requisito del treinta por ciento (30%) del presupuesto oficial exigido en la columna de Experiencia Específica, ¿el contrato aportado por el proponente puede corresponder a edificaciones en general (conforme a la definición de experiencia general), o debe corresponder obligatoriamente a infraestructura educativa? </w:t>
      </w:r>
    </w:p>
    <w:p w14:paraId="111ADC76" w14:textId="77777777" w:rsidR="00D202CC" w:rsidRPr="00D202CC" w:rsidRDefault="00D202CC" w:rsidP="00D202CC">
      <w:pPr>
        <w:spacing w:after="0" w:line="240" w:lineRule="auto"/>
        <w:ind w:left="709" w:right="709"/>
        <w:jc w:val="both"/>
        <w:rPr>
          <w:rFonts w:ascii="Verdana" w:eastAsia="Times New Roman" w:hAnsi="Verdana" w:cs="Times New Roman"/>
          <w:sz w:val="20"/>
          <w:szCs w:val="20"/>
          <w:lang w:eastAsia="es-MX"/>
        </w:rPr>
      </w:pPr>
      <w:r w:rsidRPr="00D202CC">
        <w:rPr>
          <w:rFonts w:ascii="Verdana" w:eastAsia="Aptos" w:hAnsi="Verdana" w:cs="Times New Roman"/>
          <w:sz w:val="20"/>
          <w:szCs w:val="20"/>
        </w:rPr>
        <w:lastRenderedPageBreak/>
        <w:t>3. En aquellos eventos donde la columna de "Experiencia Específica" de los Documentos Tipo no defina criterios técnicos adicionales y se limite a exigir un porcentaje del presupuesto sobre "los contratos válidos aportados como experiencia general", ¿es jurídicamente viable para la Entidad Estatal rechazar una oferta argumentando que el contrato del 30% no cumple con la especificidad de la actividad (infraestructura educativa), a pesar de que la matriz no lo señale explícitamente?</w:t>
      </w:r>
      <w:r w:rsidRPr="00D202CC">
        <w:rPr>
          <w:rFonts w:ascii="Verdana" w:eastAsia="Times New Roman" w:hAnsi="Verdana" w:cs="Times New Roman"/>
          <w:sz w:val="20"/>
          <w:szCs w:val="20"/>
          <w:lang w:eastAsia="es-MX"/>
        </w:rPr>
        <w:t xml:space="preserve">”. </w:t>
      </w:r>
    </w:p>
    <w:p w14:paraId="4E884367" w14:textId="77777777" w:rsidR="00D202CC" w:rsidRPr="00D202CC" w:rsidRDefault="00D202CC" w:rsidP="00D202CC">
      <w:pPr>
        <w:spacing w:after="0" w:line="240" w:lineRule="auto"/>
        <w:ind w:left="709" w:right="709"/>
        <w:jc w:val="both"/>
        <w:rPr>
          <w:rFonts w:ascii="Arial" w:eastAsia="Aptos" w:hAnsi="Arial" w:cs="Arial"/>
          <w:sz w:val="21"/>
          <w:szCs w:val="21"/>
          <w:lang w:eastAsia="es-MX"/>
        </w:rPr>
      </w:pPr>
    </w:p>
    <w:p w14:paraId="5C8EAA85" w14:textId="77777777" w:rsidR="00D202CC" w:rsidRPr="00D202CC" w:rsidRDefault="00D202CC" w:rsidP="00D202CC">
      <w:pPr>
        <w:spacing w:after="120" w:line="276" w:lineRule="auto"/>
        <w:ind w:firstLine="709"/>
        <w:jc w:val="both"/>
        <w:rPr>
          <w:rFonts w:ascii="Verdana" w:eastAsia="Calibri" w:hAnsi="Verdana" w:cs="Arial"/>
          <w:color w:val="000000"/>
          <w:lang w:val="es-ES" w:eastAsia="es-ES"/>
        </w:rPr>
      </w:pPr>
      <w:r w:rsidRPr="00D202C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202CC">
        <w:rPr>
          <w:rFonts w:ascii="Verdana" w:eastAsia="Calibri" w:hAnsi="Verdana" w:cs="Arial"/>
          <w:color w:val="000000"/>
          <w:lang w:val="es-ES_tradnl" w:eastAsia="es-ES_tradnl"/>
        </w:rPr>
        <w:tab/>
      </w:r>
    </w:p>
    <w:p w14:paraId="6830A3EE" w14:textId="77777777" w:rsidR="00D202CC" w:rsidRPr="00D202CC" w:rsidRDefault="00D202CC" w:rsidP="00D202CC">
      <w:pPr>
        <w:spacing w:after="0" w:line="276" w:lineRule="auto"/>
        <w:ind w:firstLine="709"/>
        <w:jc w:val="both"/>
        <w:rPr>
          <w:rFonts w:ascii="Verdana" w:eastAsia="Calibri" w:hAnsi="Verdana" w:cs="Arial"/>
          <w:color w:val="000000"/>
          <w:lang w:val="es-ES" w:eastAsia="es-ES"/>
        </w:rPr>
      </w:pPr>
      <w:r w:rsidRPr="00D202C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D202CC">
        <w:rPr>
          <w:rFonts w:ascii="Verdana" w:eastAsia="Calibri" w:hAnsi="Verdana" w:cs="Arial"/>
          <w:color w:val="7030A0"/>
          <w:lang w:val="es-ES" w:eastAsia="es-ES"/>
        </w:rPr>
        <w:t xml:space="preserve"> </w:t>
      </w:r>
      <w:r w:rsidRPr="00D202CC">
        <w:rPr>
          <w:rFonts w:ascii="Verdana" w:eastAsia="Calibri" w:hAnsi="Verdana" w:cs="Arial"/>
          <w:color w:val="000000"/>
          <w:lang w:val="es-ES" w:eastAsia="es-ES"/>
        </w:rPr>
        <w:t>problema</w:t>
      </w:r>
      <w:r w:rsidRPr="00D202CC">
        <w:rPr>
          <w:rFonts w:ascii="Verdana" w:eastAsia="Calibri" w:hAnsi="Verdana" w:cs="Arial"/>
          <w:color w:val="7030A0"/>
          <w:lang w:val="es-ES" w:eastAsia="es-ES"/>
        </w:rPr>
        <w:t xml:space="preserve"> </w:t>
      </w:r>
      <w:r w:rsidRPr="00D202CC">
        <w:rPr>
          <w:rFonts w:ascii="Verdana" w:eastAsia="Calibri" w:hAnsi="Verdana" w:cs="Arial"/>
          <w:color w:val="000000"/>
          <w:lang w:val="es-ES" w:eastAsia="es-ES"/>
        </w:rPr>
        <w:t>jurídico</w:t>
      </w:r>
      <w:r w:rsidRPr="00D202CC">
        <w:rPr>
          <w:rFonts w:ascii="Verdana" w:eastAsia="Calibri" w:hAnsi="Verdana" w:cs="Arial"/>
          <w:color w:val="7030A0"/>
          <w:lang w:val="es-ES" w:eastAsia="es-ES"/>
        </w:rPr>
        <w:t xml:space="preserve"> </w:t>
      </w:r>
      <w:r w:rsidRPr="00D202CC">
        <w:rPr>
          <w:rFonts w:ascii="Verdana" w:eastAsia="Calibri" w:hAnsi="Verdana" w:cs="Arial"/>
          <w:color w:val="000000"/>
          <w:lang w:val="es-ES" w:eastAsia="es-ES"/>
        </w:rPr>
        <w:t xml:space="preserve">de su consulta. </w:t>
      </w:r>
    </w:p>
    <w:p w14:paraId="2D0DC5B7" w14:textId="77777777" w:rsidR="00D202CC" w:rsidRPr="00D202CC" w:rsidRDefault="00D202CC" w:rsidP="00D202CC">
      <w:pPr>
        <w:spacing w:after="0" w:line="276" w:lineRule="auto"/>
        <w:jc w:val="both"/>
        <w:rPr>
          <w:rFonts w:ascii="Verdana" w:eastAsia="Calibri" w:hAnsi="Verdana" w:cs="Arial"/>
          <w:lang w:val="es-ES" w:eastAsia="es-ES"/>
        </w:rPr>
      </w:pPr>
    </w:p>
    <w:p w14:paraId="0466D8AC" w14:textId="77777777" w:rsidR="00D202CC" w:rsidRPr="00D202CC" w:rsidRDefault="00D202CC" w:rsidP="00D202CC">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D202CC">
        <w:rPr>
          <w:rFonts w:ascii="Verdana" w:eastAsia="Century Gothic" w:hAnsi="Verdana" w:cs="Century Gothic"/>
          <w:b/>
          <w:bCs/>
          <w:lang w:eastAsia="es-MX"/>
        </w:rPr>
        <w:t>Problema planteado:</w:t>
      </w:r>
    </w:p>
    <w:p w14:paraId="7892F421" w14:textId="77777777" w:rsidR="00D202CC" w:rsidRPr="00D202CC" w:rsidRDefault="00D202CC" w:rsidP="00D202CC">
      <w:pPr>
        <w:tabs>
          <w:tab w:val="left" w:pos="426"/>
        </w:tabs>
        <w:spacing w:after="0" w:line="276" w:lineRule="auto"/>
        <w:jc w:val="both"/>
        <w:rPr>
          <w:rFonts w:ascii="Verdana" w:eastAsia="Century Gothic" w:hAnsi="Verdana" w:cs="Century Gothic"/>
          <w:lang w:val="es-ES" w:eastAsia="es-MX"/>
        </w:rPr>
      </w:pPr>
    </w:p>
    <w:p w14:paraId="38AC984A" w14:textId="77777777" w:rsidR="00D202CC" w:rsidRPr="00D202CC" w:rsidRDefault="00D202CC" w:rsidP="00D202CC">
      <w:pPr>
        <w:spacing w:after="0" w:line="276" w:lineRule="auto"/>
        <w:jc w:val="both"/>
        <w:rPr>
          <w:rFonts w:ascii="Verdana" w:eastAsia="Aptos" w:hAnsi="Verdana" w:cs="Times New Roman"/>
          <w:color w:val="000000"/>
        </w:rPr>
      </w:pPr>
      <w:r w:rsidRPr="00D202CC">
        <w:rPr>
          <w:rFonts w:ascii="Verdana" w:eastAsia="Aptos" w:hAnsi="Verdana" w:cs="Times New Roman"/>
          <w:color w:val="000000"/>
        </w:rPr>
        <w:t>De acuerdo con el contenido de su solicitud y en relación con los documentos tipo del sector de infraestructura social, concretamente con los adicionales del sector educativo, esta Agencia resolverá el siguiente problema jurídico: ¿cuál es el alcance del requisito de experiencia general y específica solicitado para la actividad 1.14 en la Matriz 1 – Experiencia Sector educativo?</w:t>
      </w:r>
    </w:p>
    <w:p w14:paraId="505B23ED" w14:textId="77777777" w:rsidR="00D202CC" w:rsidRPr="00D202CC" w:rsidRDefault="00D202CC" w:rsidP="00D202CC">
      <w:pPr>
        <w:spacing w:after="0" w:line="276" w:lineRule="auto"/>
        <w:jc w:val="both"/>
        <w:rPr>
          <w:rFonts w:ascii="Verdana" w:eastAsia="Century Gothic" w:hAnsi="Verdana" w:cs="Century Gothic"/>
          <w:lang w:eastAsia="es-MX"/>
        </w:rPr>
      </w:pPr>
    </w:p>
    <w:p w14:paraId="537E1B28" w14:textId="77777777" w:rsidR="00D202CC" w:rsidRPr="00D202CC" w:rsidRDefault="00D202CC" w:rsidP="00D202CC">
      <w:pPr>
        <w:tabs>
          <w:tab w:val="left" w:pos="142"/>
          <w:tab w:val="left" w:pos="284"/>
        </w:tabs>
        <w:spacing w:after="0" w:line="276" w:lineRule="auto"/>
        <w:contextualSpacing/>
        <w:jc w:val="both"/>
        <w:rPr>
          <w:rFonts w:ascii="Verdana" w:eastAsia="Century Gothic" w:hAnsi="Verdana" w:cs="Century Gothic"/>
          <w:b/>
          <w:bCs/>
          <w:lang w:val="es-ES" w:eastAsia="es-MX"/>
        </w:rPr>
      </w:pPr>
      <w:r w:rsidRPr="00D202CC">
        <w:rPr>
          <w:rFonts w:ascii="Verdana" w:eastAsia="Century Gothic" w:hAnsi="Verdana" w:cs="Century Gothic"/>
          <w:b/>
          <w:bCs/>
          <w:lang w:val="es-ES" w:eastAsia="es-MX"/>
        </w:rPr>
        <w:t>2. Respuestas:</w:t>
      </w:r>
    </w:p>
    <w:p w14:paraId="27E4A221" w14:textId="77777777" w:rsidR="00D202CC" w:rsidRPr="00D202CC" w:rsidRDefault="00D202CC" w:rsidP="00D202CC">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202CC" w:rsidRPr="00D202CC" w14:paraId="55E20E80" w14:textId="77777777" w:rsidTr="00670B64">
        <w:trPr>
          <w:trHeight w:val="40"/>
        </w:trPr>
        <w:tc>
          <w:tcPr>
            <w:tcW w:w="8828" w:type="dxa"/>
            <w:tcBorders>
              <w:top w:val="dotted" w:sz="4" w:space="0" w:color="auto"/>
              <w:left w:val="dotted" w:sz="4" w:space="0" w:color="auto"/>
              <w:bottom w:val="dotted" w:sz="4" w:space="0" w:color="auto"/>
              <w:right w:val="dotted" w:sz="4" w:space="0" w:color="auto"/>
            </w:tcBorders>
          </w:tcPr>
          <w:p w14:paraId="092C823D" w14:textId="77777777" w:rsidR="00D202CC" w:rsidRPr="00D202CC" w:rsidRDefault="00D202CC" w:rsidP="00D202CC">
            <w:pPr>
              <w:spacing w:line="276" w:lineRule="auto"/>
              <w:jc w:val="both"/>
              <w:rPr>
                <w:rFonts w:ascii="Verdana" w:eastAsia="Times New Roman" w:hAnsi="Verdana" w:cs="Times New Roman"/>
                <w:color w:val="000000"/>
                <w:lang w:eastAsia="es-CO"/>
              </w:rPr>
            </w:pPr>
            <w:r w:rsidRPr="00D202CC">
              <w:rPr>
                <w:rFonts w:ascii="Verdana" w:eastAsia="Aptos" w:hAnsi="Verdana" w:cs="Times New Roman"/>
              </w:rPr>
              <w:lastRenderedPageBreak/>
              <w:t>Para la actividad “1.14. SUMINISTRO Y/O INSTALACIÓN DE SISTEMAS DE AIRE ACONDICIONADO O SISTEMAS DE VENTILACIÓN O SIMILARES PARA INFRAESTRUCTURA EDUCATIVA” contenida en la “Matriz 1 – Experiencia Sector Educativo” de los documentos tipo complementarios del sector educativo, en la modalidad de selección abreviada de menor cuantía, se solicita el siguiente requisito de experiencia general y específica:</w:t>
            </w:r>
          </w:p>
          <w:p w14:paraId="0B8D251F" w14:textId="77777777" w:rsidR="00D202CC" w:rsidRPr="00D202CC" w:rsidRDefault="00D202CC" w:rsidP="00D202CC">
            <w:pPr>
              <w:snapToGrid w:val="0"/>
              <w:ind w:left="709" w:right="709"/>
              <w:jc w:val="both"/>
              <w:rPr>
                <w:rFonts w:ascii="Verdana" w:eastAsia="Calibri" w:hAnsi="Verdana" w:cs="Arial"/>
                <w:color w:val="0D0D0D"/>
                <w:lang w:eastAsia="es-MX"/>
              </w:rPr>
            </w:pPr>
          </w:p>
          <w:p w14:paraId="40D5CA43" w14:textId="77777777" w:rsidR="00D202CC" w:rsidRPr="00D202CC" w:rsidRDefault="00D202CC" w:rsidP="00D202CC">
            <w:pPr>
              <w:snapToGrid w:val="0"/>
              <w:spacing w:after="120"/>
              <w:ind w:left="709" w:right="709"/>
              <w:jc w:val="both"/>
              <w:rPr>
                <w:rFonts w:ascii="Verdana" w:eastAsia="Calibri" w:hAnsi="Verdana" w:cs="Arial"/>
                <w:color w:val="0D0D0D"/>
                <w:sz w:val="21"/>
                <w:szCs w:val="21"/>
                <w:lang w:eastAsia="es-MX"/>
              </w:rPr>
            </w:pPr>
            <w:r w:rsidRPr="00D202CC">
              <w:rPr>
                <w:rFonts w:ascii="Verdana" w:eastAsia="Calibri" w:hAnsi="Verdana" w:cs="Arial"/>
                <w:color w:val="0D0D0D"/>
                <w:sz w:val="21"/>
                <w:szCs w:val="21"/>
                <w:lang w:eastAsia="es-MX"/>
              </w:rPr>
              <w:t>“General:</w:t>
            </w:r>
          </w:p>
          <w:p w14:paraId="64BD486D" w14:textId="77777777" w:rsidR="00D202CC" w:rsidRPr="00D202CC" w:rsidRDefault="00D202CC" w:rsidP="00D202CC">
            <w:pPr>
              <w:snapToGrid w:val="0"/>
              <w:spacing w:after="120"/>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 xml:space="preserve">PROYECTOS QUE CORRESPONDAN O CONTEMPLEN ACTIVIDADES DE: SUMINISTRO Y/O INSTALACIÓN DE SISTEMAS DE AIRES ACONDICIONADOS O SISTEMAS DE VENTILACIÓN O </w:t>
            </w:r>
            <w:proofErr w:type="gramStart"/>
            <w:r w:rsidRPr="00D202CC">
              <w:rPr>
                <w:rFonts w:ascii="Verdana" w:eastAsia="Arial" w:hAnsi="Verdana" w:cs="Arial"/>
                <w:sz w:val="21"/>
                <w:szCs w:val="21"/>
                <w:lang w:val="es-ES" w:eastAsia="es-ES_tradnl"/>
              </w:rPr>
              <w:t>SIMILARES  PARA</w:t>
            </w:r>
            <w:proofErr w:type="gramEnd"/>
            <w:r w:rsidRPr="00D202CC">
              <w:rPr>
                <w:rFonts w:ascii="Verdana" w:eastAsia="Arial" w:hAnsi="Verdana" w:cs="Arial"/>
                <w:sz w:val="21"/>
                <w:szCs w:val="21"/>
                <w:lang w:val="es-ES" w:eastAsia="es-ES_tradnl"/>
              </w:rPr>
              <w:t xml:space="preserve"> EDIFICACIONES.</w:t>
            </w:r>
          </w:p>
          <w:p w14:paraId="4C906081" w14:textId="77777777" w:rsidR="00D202CC" w:rsidRPr="00D202CC" w:rsidRDefault="00D202CC" w:rsidP="00D202CC">
            <w:pPr>
              <w:snapToGrid w:val="0"/>
              <w:spacing w:after="120"/>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Específica:</w:t>
            </w:r>
          </w:p>
          <w:p w14:paraId="59D305B6" w14:textId="77777777" w:rsidR="00D202CC" w:rsidRPr="00D202CC" w:rsidRDefault="00D202CC" w:rsidP="00D202CC">
            <w:pPr>
              <w:snapToGrid w:val="0"/>
              <w:spacing w:after="120"/>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i) Para proyectos &lt; 150 SMMLV</w:t>
            </w:r>
          </w:p>
          <w:p w14:paraId="0F8EF096" w14:textId="77777777" w:rsidR="00D202CC" w:rsidRPr="00D202CC" w:rsidRDefault="00D202CC" w:rsidP="00D202CC">
            <w:pPr>
              <w:snapToGrid w:val="0"/>
              <w:spacing w:after="120"/>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Por lo menos uno (1) de los contratos válidos aportados como experiencia general debe corresponder mínimo al 50% del presupuesto oficial del presente proceso de selección.</w:t>
            </w:r>
          </w:p>
          <w:p w14:paraId="79B05952" w14:textId="77777777" w:rsidR="00D202CC" w:rsidRPr="00D202CC" w:rsidRDefault="00D202CC" w:rsidP="00D202CC">
            <w:pPr>
              <w:snapToGrid w:val="0"/>
              <w:spacing w:after="120"/>
              <w:ind w:left="709" w:right="709"/>
              <w:jc w:val="both"/>
              <w:rPr>
                <w:rFonts w:ascii="Verdana" w:eastAsia="Arial" w:hAnsi="Verdana" w:cs="Arial"/>
                <w:sz w:val="21"/>
                <w:szCs w:val="21"/>
                <w:lang w:val="es-ES" w:eastAsia="es-ES_tradnl"/>
              </w:rPr>
            </w:pPr>
            <w:proofErr w:type="spellStart"/>
            <w:r w:rsidRPr="00D202CC">
              <w:rPr>
                <w:rFonts w:ascii="Verdana" w:eastAsia="Arial" w:hAnsi="Verdana" w:cs="Arial"/>
                <w:sz w:val="21"/>
                <w:szCs w:val="21"/>
                <w:lang w:val="es-ES" w:eastAsia="es-ES_tradnl"/>
              </w:rPr>
              <w:t>ii</w:t>
            </w:r>
            <w:proofErr w:type="spellEnd"/>
            <w:r w:rsidRPr="00D202CC">
              <w:rPr>
                <w:rFonts w:ascii="Verdana" w:eastAsia="Arial" w:hAnsi="Verdana" w:cs="Arial"/>
                <w:sz w:val="21"/>
                <w:szCs w:val="21"/>
                <w:lang w:val="es-ES" w:eastAsia="es-ES_tradnl"/>
              </w:rPr>
              <w:t>) Para proyectos Entre 151 y 1.000 SMMLV</w:t>
            </w:r>
          </w:p>
          <w:p w14:paraId="7D5F8CC8" w14:textId="77777777" w:rsidR="00D202CC" w:rsidRPr="00D202CC" w:rsidRDefault="00D202CC" w:rsidP="00D202CC">
            <w:pPr>
              <w:snapToGrid w:val="0"/>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Por lo menos uno (1) de los contratos válidos aportados como experiencia general debe corresponder mínimo al 30% del presupuesto oficial del presente proceso de selección”.</w:t>
            </w:r>
          </w:p>
          <w:p w14:paraId="55A8C75F" w14:textId="77777777" w:rsidR="00D202CC" w:rsidRPr="00D202CC" w:rsidRDefault="00D202CC" w:rsidP="00D202CC">
            <w:pPr>
              <w:spacing w:line="276" w:lineRule="auto"/>
              <w:ind w:left="708"/>
              <w:jc w:val="both"/>
              <w:rPr>
                <w:rFonts w:ascii="Verdana" w:eastAsia="Arial" w:hAnsi="Verdana" w:cs="Arial"/>
                <w:lang w:val="es-ES" w:eastAsia="es-ES_tradnl"/>
              </w:rPr>
            </w:pPr>
          </w:p>
          <w:p w14:paraId="46F564F2" w14:textId="77777777" w:rsidR="00D202CC" w:rsidRPr="00D202CC" w:rsidRDefault="00D202CC" w:rsidP="00D202CC">
            <w:pPr>
              <w:spacing w:after="120" w:line="276" w:lineRule="auto"/>
              <w:ind w:firstLine="708"/>
              <w:jc w:val="both"/>
              <w:rPr>
                <w:rFonts w:ascii="Verdana" w:eastAsia="Aptos" w:hAnsi="Verdana" w:cs="Times New Roman"/>
              </w:rPr>
            </w:pPr>
            <w:r w:rsidRPr="00D202CC">
              <w:rPr>
                <w:rFonts w:ascii="Verdana" w:eastAsia="Aptos" w:hAnsi="Verdana" w:cs="Times New Roman"/>
              </w:rPr>
              <w:t>Como se aprecia, para la actividad 1.14 contenida en la "Matriz 1 – Experiencia Sector Educativo", se establece que la acreditación de la experiencia general debe darse en proyectos que correspondan o contemplen actividades de suministro y/o instalación de sistemas de aire acondicionado o sistemas de ventilación o similares para “edificaciones”, sin que se realicen distinciones o se establezcan restricciones específicas respecto de algún tipo de edificación con destinación de uso particular.</w:t>
            </w:r>
          </w:p>
          <w:p w14:paraId="4F2E8529"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 xml:space="preserve">En este sentido, considerando que una edificación, de acuerdo con el artículo 4 de la Ley 400 de 1997, se define como </w:t>
            </w:r>
            <w:r w:rsidRPr="00D202CC">
              <w:rPr>
                <w:rFonts w:ascii="Verdana" w:eastAsia="Aptos" w:hAnsi="Verdana" w:cs="Times New Roman"/>
                <w:i/>
                <w:iCs/>
                <w:kern w:val="2"/>
                <w14:ligatures w14:val="standardContextual"/>
              </w:rPr>
              <w:t>“(…) una construcción cuyo uso primordial es la habitación u ocupación por seres humanos”,</w:t>
            </w:r>
            <w:r w:rsidRPr="00D202CC">
              <w:rPr>
                <w:rFonts w:ascii="Verdana" w:eastAsia="Aptos" w:hAnsi="Verdana" w:cs="Times New Roman"/>
                <w:kern w:val="2"/>
                <w14:ligatures w14:val="standardContextual"/>
              </w:rPr>
              <w:t xml:space="preserve"> y que la edificación convencional es “(…) aquella estructura concebida de tal manera que su geometría, dimensiones generales, dimensiones de sus miembros estructurales, materiales estructurales empleados y procedimientos de dimensionamiento y determinación de la resistencia de sus miembros </w:t>
            </w:r>
            <w:r w:rsidRPr="00D202CC">
              <w:rPr>
                <w:rFonts w:ascii="Verdana" w:eastAsia="Aptos" w:hAnsi="Verdana" w:cs="Times New Roman"/>
                <w:kern w:val="2"/>
                <w14:ligatures w14:val="standardContextual"/>
              </w:rPr>
              <w:lastRenderedPageBreak/>
              <w:t>estructurales ante todas las solicitaciones a las que puedan verse sometidos durante su vida útil estén previstos en la normativa y reglamentación contenida en el Reglamento NSR-10 (…)”, se tiene que la construcción de edificaciones, en términos generales, está determinada por el cumplimiento de las normas técnicas reglamentarias y, en particular, por lo dispuesto en la Norma Sismo Resistente NSR-10 y demás disposiciones aplicables a este tipo de infraestructura.</w:t>
            </w:r>
          </w:p>
          <w:p w14:paraId="46B7494A"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En consecuencia, la experiencia general solicitada en la “Matriz 1 – Experiencia Sector educativo”, con el fin de no limitar la concurrencia de oferentes, se refiere a experiencia en edificaciones sin distinción de su destinación o uso, tales como cultura, recreación y deporte, salud, educación, vivienda o infraestructura institucional, entre otros.</w:t>
            </w:r>
          </w:p>
          <w:p w14:paraId="00837C18" w14:textId="77777777" w:rsidR="00D202CC" w:rsidRPr="00D202CC" w:rsidRDefault="00D202CC" w:rsidP="00D202CC">
            <w:pPr>
              <w:spacing w:after="120" w:line="276" w:lineRule="auto"/>
              <w:ind w:firstLine="708"/>
              <w:jc w:val="both"/>
              <w:rPr>
                <w:rFonts w:ascii="Verdana" w:eastAsia="Aptos" w:hAnsi="Verdana" w:cs="Times New Roman"/>
              </w:rPr>
            </w:pPr>
            <w:r w:rsidRPr="00D202CC">
              <w:rPr>
                <w:rFonts w:ascii="Verdana" w:eastAsia="Aptos" w:hAnsi="Verdana" w:cs="Times New Roman"/>
              </w:rPr>
              <w:t>Ahora bien, en relación con la experiencia específica solicitada para la actividad 1.15, particularmente para proyectos entre 151 y 1.000 SMMLV, la "Matriz 1 – Experiencia Sector Educativo" establece que por lo menos uno (1) de los contratos válidos aportados como experiencia general debe corresponder, como mínimo, al 30% del presupuesto oficial del presente proceso de selección.</w:t>
            </w:r>
          </w:p>
          <w:p w14:paraId="4F3C60E3"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Sobre este aspecto, la exigencia de la experiencia específica para la actividad 1.14 responde a una condición de naturaleza cuantitativa, relacionada con el presupuesto oficial del proceso de selección, y no a una condición cualitativa asociada al tipo de edificación o a su destinación específica. En efecto, el requisito no introduce un elemento técnico adicional o diferenciado respecto de aquel ya definido para la experiencia general, sino que opera como un umbral de suficiencia dentro del mismo universo de contratos válidamente acreditados conforme a dicha experiencia. Así las cosas, la denominación de “experiencia específica” no debe entenderse como la creación de un requisito autónomo con exigencias técnicas propias, sino como una condición de ponderación aplicable sobre los contratos que ya cumplen las características exigidas para la experiencia general.</w:t>
            </w:r>
          </w:p>
          <w:p w14:paraId="5A5DB8D6"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 xml:space="preserve">Así, y dado que, según se explicó, la experiencia general para la actividad 1.14 se refiere a proyectos que correspondan o contemplen actividades de suministro y/o instalación de sistemas de aire acondicionado, ventilación o similares, para edificaciones sin distinción de su destinación o uso –bien sea esta cultural, recreativa y deportiva, de salud, educativa, de </w:t>
            </w:r>
            <w:r w:rsidRPr="00D202CC">
              <w:rPr>
                <w:rFonts w:ascii="Verdana" w:eastAsia="Aptos" w:hAnsi="Verdana" w:cs="Times New Roman"/>
                <w:kern w:val="2"/>
                <w14:ligatures w14:val="standardContextual"/>
              </w:rPr>
              <w:lastRenderedPageBreak/>
              <w:t>vivienda o institucional, entre otras–, resulta consecuente concluir que el contrato mediante el cual se pretenda acreditar el cumplimiento del 30% del presupuesto oficial del presente proceso de selección puede corresponder, igualmente, a cualquiera de dichas edificaciones, sin que sea exigible que el mismo se circunscriba, de manera exclusiva y excluyente, a infraestructura educativa, por tratarse este el subsector en el que se va a realizar la actividad.</w:t>
            </w:r>
          </w:p>
          <w:p w14:paraId="5888BCE9" w14:textId="77777777" w:rsidR="00D202CC" w:rsidRPr="00D202CC" w:rsidRDefault="00D202CC" w:rsidP="00D202CC">
            <w:pPr>
              <w:spacing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Sostener una interpretación distinta, en el sentido de exigir que el contrato que acredite el referido porcentaje corresponda necesariamente a infraestructura educativa, implicaría introducir una restricción no contemplada expresamente en la “Matriz 1 – Experiencia Sector Educativo” para la actividad 1.14, que adicionalmente, resultaría contraria a la finalidad enunciada de no limitar la concurrencia de oferentes al proceso de selección. Lo anterior, en tanto se estaría supeditando el cumplimiento de un requisito de carácter cuantitativo a una condición cualitativa que no fue prevista para tal efecto, generando con ello una exigencia adicional que desconocería el alcance y la finalidad con que fue concebida la experiencia específica aplicable a la actividad en mención.</w:t>
            </w:r>
          </w:p>
          <w:p w14:paraId="10C42850" w14:textId="77777777" w:rsidR="00D202CC" w:rsidRPr="00D202CC" w:rsidRDefault="00D202CC" w:rsidP="00D202CC">
            <w:pPr>
              <w:spacing w:line="276" w:lineRule="auto"/>
              <w:jc w:val="both"/>
              <w:rPr>
                <w:rFonts w:ascii="Verdana" w:eastAsia="Times New Roman" w:hAnsi="Verdana" w:cs="Calibri"/>
                <w:lang w:eastAsia="es-MX"/>
              </w:rPr>
            </w:pPr>
          </w:p>
          <w:p w14:paraId="504B4D98" w14:textId="77777777" w:rsidR="00D202CC" w:rsidRPr="00D202CC" w:rsidRDefault="00D202CC" w:rsidP="00D202CC">
            <w:pPr>
              <w:spacing w:after="120" w:line="276" w:lineRule="auto"/>
              <w:jc w:val="both"/>
              <w:rPr>
                <w:rFonts w:ascii="Verdana" w:eastAsia="Aptos" w:hAnsi="Verdana" w:cs="Times New Roman"/>
              </w:rPr>
            </w:pPr>
            <w:r w:rsidRPr="00D202CC">
              <w:rPr>
                <w:rFonts w:ascii="Verdana" w:eastAsia="Calibri" w:hAnsi="Verdana" w:cs="Times New Roman"/>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3EC9376" w14:textId="77777777" w:rsidR="00D202CC" w:rsidRPr="00D202CC" w:rsidRDefault="00D202CC" w:rsidP="00D202CC">
            <w:pPr>
              <w:spacing w:line="278" w:lineRule="auto"/>
              <w:ind w:firstLine="709"/>
              <w:jc w:val="both"/>
              <w:rPr>
                <w:rFonts w:ascii="Verdana" w:eastAsia="Calibri" w:hAnsi="Verdana" w:cs="Times New Roman"/>
                <w:lang w:val="es-ES"/>
              </w:rPr>
            </w:pPr>
            <w:r w:rsidRPr="00D202CC">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C532F45" w14:textId="77777777" w:rsidR="00D202CC" w:rsidRPr="00D202CC" w:rsidRDefault="00D202CC" w:rsidP="00D202CC">
      <w:pPr>
        <w:tabs>
          <w:tab w:val="left" w:pos="142"/>
          <w:tab w:val="left" w:pos="284"/>
        </w:tabs>
        <w:spacing w:after="0" w:line="276" w:lineRule="auto"/>
        <w:jc w:val="both"/>
        <w:rPr>
          <w:rFonts w:ascii="Verdana" w:eastAsia="Century Gothic" w:hAnsi="Verdana" w:cs="Century Gothic"/>
          <w:b/>
          <w:bCs/>
          <w:lang w:val="es-ES" w:eastAsia="es-MX"/>
        </w:rPr>
      </w:pPr>
    </w:p>
    <w:p w14:paraId="7E49640C" w14:textId="77777777" w:rsidR="00D202CC" w:rsidRPr="00D202CC" w:rsidRDefault="00D202CC" w:rsidP="00D202CC">
      <w:pPr>
        <w:tabs>
          <w:tab w:val="left" w:pos="142"/>
          <w:tab w:val="left" w:pos="284"/>
        </w:tabs>
        <w:spacing w:after="0" w:line="276" w:lineRule="auto"/>
        <w:jc w:val="both"/>
        <w:rPr>
          <w:rFonts w:ascii="Verdana" w:eastAsia="Century Gothic" w:hAnsi="Verdana" w:cs="Century Gothic"/>
          <w:b/>
          <w:bCs/>
          <w:lang w:val="es-ES" w:eastAsia="es-MX"/>
        </w:rPr>
      </w:pPr>
      <w:r w:rsidRPr="00D202CC">
        <w:rPr>
          <w:rFonts w:ascii="Verdana" w:eastAsia="Century Gothic" w:hAnsi="Verdana" w:cs="Century Gothic"/>
          <w:b/>
          <w:bCs/>
          <w:lang w:val="es-ES" w:eastAsia="es-MX"/>
        </w:rPr>
        <w:t>3. Razones de la respuesta:</w:t>
      </w:r>
    </w:p>
    <w:p w14:paraId="60901578" w14:textId="77777777" w:rsidR="00D202CC" w:rsidRPr="00D202CC" w:rsidRDefault="00D202CC" w:rsidP="00D202CC">
      <w:pPr>
        <w:spacing w:after="0" w:line="276" w:lineRule="auto"/>
        <w:jc w:val="both"/>
        <w:rPr>
          <w:rFonts w:ascii="Verdana" w:eastAsia="Calibri" w:hAnsi="Verdana" w:cs="Arial"/>
          <w:lang w:val="es-ES" w:eastAsia="es-MX"/>
        </w:rPr>
      </w:pPr>
    </w:p>
    <w:p w14:paraId="12949934" w14:textId="77777777" w:rsidR="00D202CC" w:rsidRPr="00D202CC" w:rsidRDefault="00D202CC" w:rsidP="00D202CC">
      <w:pPr>
        <w:spacing w:after="0" w:line="276" w:lineRule="auto"/>
        <w:jc w:val="both"/>
        <w:rPr>
          <w:rFonts w:ascii="Verdana" w:eastAsia="Calibri" w:hAnsi="Verdana" w:cs="Arial"/>
          <w:lang w:val="es-ES" w:eastAsia="es-MX"/>
        </w:rPr>
      </w:pPr>
      <w:r w:rsidRPr="00D202CC">
        <w:rPr>
          <w:rFonts w:ascii="Verdana" w:eastAsia="Calibri" w:hAnsi="Verdana" w:cs="Arial"/>
          <w:lang w:val="es-ES" w:eastAsia="es-MX"/>
        </w:rPr>
        <w:t xml:space="preserve">Lo anterior se sustenta en las siguientes consideraciones: </w:t>
      </w:r>
    </w:p>
    <w:p w14:paraId="69C615FD" w14:textId="77777777" w:rsidR="00D202CC" w:rsidRPr="00D202CC" w:rsidRDefault="00D202CC" w:rsidP="00D202CC">
      <w:pPr>
        <w:spacing w:after="0" w:line="276" w:lineRule="auto"/>
        <w:jc w:val="both"/>
        <w:rPr>
          <w:rFonts w:ascii="Verdana" w:eastAsia="Calibri" w:hAnsi="Verdana" w:cs="Arial"/>
          <w:lang w:val="es-ES" w:eastAsia="es-MX"/>
        </w:rPr>
      </w:pPr>
    </w:p>
    <w:p w14:paraId="6F466A4B" w14:textId="77777777" w:rsidR="00D202CC" w:rsidRPr="00D202CC" w:rsidRDefault="00D202CC" w:rsidP="00D202CC">
      <w:pPr>
        <w:spacing w:after="120" w:line="276" w:lineRule="auto"/>
        <w:jc w:val="both"/>
        <w:rPr>
          <w:rFonts w:ascii="Verdana" w:eastAsia="Aptos" w:hAnsi="Verdana" w:cs="Arial"/>
          <w:lang w:eastAsia="es-MX"/>
        </w:rPr>
      </w:pPr>
      <w:r w:rsidRPr="00D202CC">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B68A1D9" w14:textId="77777777" w:rsidR="00D202CC" w:rsidRPr="00D202CC" w:rsidRDefault="00D202CC" w:rsidP="00D202CC">
      <w:pPr>
        <w:spacing w:after="120" w:line="276" w:lineRule="auto"/>
        <w:ind w:firstLine="708"/>
        <w:jc w:val="both"/>
        <w:rPr>
          <w:rFonts w:ascii="Verdana" w:eastAsia="Aptos" w:hAnsi="Verdana" w:cs="Arial"/>
          <w:lang w:eastAsia="es-MX"/>
        </w:rPr>
      </w:pPr>
      <w:r w:rsidRPr="00D202CC">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8160388"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r w:rsidRPr="00D202CC">
        <w:rPr>
          <w:rFonts w:ascii="Verdana" w:eastAsia="Aptos" w:hAnsi="Verdana" w:cs="Arial"/>
          <w:lang w:eastAsia="es-MX"/>
        </w:rPr>
        <w:t xml:space="preserve">En el sector social, </w:t>
      </w:r>
      <w:r w:rsidRPr="00D202CC">
        <w:rPr>
          <w:rFonts w:ascii="Verdana" w:eastAsia="Calibri" w:hAnsi="Verdana" w:cs="Arial"/>
          <w:lang w:val="es-MX" w:eastAsia="es-MX"/>
        </w:rPr>
        <w:t xml:space="preserve">la Agencia Nacional de Contratación Pública – Colombia Compra </w:t>
      </w:r>
      <w:r w:rsidRPr="00D202CC">
        <w:rPr>
          <w:rFonts w:ascii="Verdana" w:eastAsia="Calibri" w:hAnsi="Verdana" w:cs="Arial"/>
          <w:lang w:eastAsia="es-MX"/>
        </w:rPr>
        <w:t xml:space="preserve">Eficiente </w:t>
      </w:r>
      <w:r w:rsidRPr="00D202CC">
        <w:rPr>
          <w:rFonts w:ascii="Verdana" w:eastAsia="Times New Roman" w:hAnsi="Verdana" w:cs="Times New Roman"/>
          <w:color w:val="000000"/>
          <w:lang w:eastAsia="es-CO"/>
        </w:rPr>
        <w:t>en el segundo semestre del año 2025 adoptó las siguientes Resoluciones para contratar obra pública y concurso de méritos:</w:t>
      </w:r>
    </w:p>
    <w:p w14:paraId="7F92626D"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r w:rsidRPr="00D202CC">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2DD6F0B3"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r w:rsidRPr="00D202CC">
        <w:rPr>
          <w:rFonts w:ascii="Verdana" w:eastAsia="Times New Roman" w:hAnsi="Verdana" w:cs="Times New Roman"/>
          <w:color w:val="000000"/>
          <w:lang w:eastAsia="es-CO"/>
        </w:rPr>
        <w:t xml:space="preserve"> </w:t>
      </w:r>
      <w:proofErr w:type="spellStart"/>
      <w:r w:rsidRPr="00D202CC">
        <w:rPr>
          <w:rFonts w:ascii="Verdana" w:eastAsia="Times New Roman" w:hAnsi="Verdana" w:cs="Times New Roman"/>
          <w:color w:val="000000"/>
          <w:lang w:eastAsia="es-CO"/>
        </w:rPr>
        <w:t>ii</w:t>
      </w:r>
      <w:proofErr w:type="spellEnd"/>
      <w:r w:rsidRPr="00D202CC">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w:t>
      </w:r>
      <w:r w:rsidRPr="00D202CC">
        <w:rPr>
          <w:rFonts w:ascii="Verdana" w:eastAsia="Times New Roman" w:hAnsi="Verdana" w:cs="Times New Roman"/>
          <w:color w:val="000000"/>
          <w:lang w:eastAsia="es-CO"/>
        </w:rPr>
        <w:lastRenderedPageBreak/>
        <w:t>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9DCDBAB"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proofErr w:type="spellStart"/>
      <w:r w:rsidRPr="00D202CC">
        <w:rPr>
          <w:rFonts w:ascii="Verdana" w:eastAsia="Times New Roman" w:hAnsi="Verdana" w:cs="Times New Roman"/>
          <w:color w:val="000000"/>
          <w:lang w:eastAsia="es-CO"/>
        </w:rPr>
        <w:t>iii</w:t>
      </w:r>
      <w:proofErr w:type="spellEnd"/>
      <w:r w:rsidRPr="00D202CC">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8E40464"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proofErr w:type="spellStart"/>
      <w:r w:rsidRPr="00D202CC">
        <w:rPr>
          <w:rFonts w:ascii="Verdana" w:eastAsia="Times New Roman" w:hAnsi="Verdana" w:cs="Times New Roman"/>
          <w:color w:val="000000"/>
          <w:lang w:eastAsia="es-CO"/>
        </w:rPr>
        <w:t>iv</w:t>
      </w:r>
      <w:proofErr w:type="spellEnd"/>
      <w:r w:rsidRPr="00D202CC">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E893EED" w14:textId="77777777" w:rsidR="00D202CC" w:rsidRPr="00D202CC" w:rsidRDefault="00D202CC" w:rsidP="00D202CC">
      <w:pPr>
        <w:spacing w:after="120" w:line="276" w:lineRule="auto"/>
        <w:ind w:firstLine="708"/>
        <w:jc w:val="both"/>
        <w:rPr>
          <w:rFonts w:ascii="Verdana" w:eastAsia="Times New Roman" w:hAnsi="Verdana" w:cs="Times New Roman"/>
          <w:color w:val="000000"/>
          <w:lang w:eastAsia="es-CO"/>
        </w:rPr>
      </w:pPr>
      <w:r w:rsidRPr="00D202CC">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D202CC">
        <w:rPr>
          <w:rFonts w:ascii="Verdana" w:eastAsia="Aptos" w:hAnsi="Verdana" w:cs="Times New Roman"/>
          <w:lang w:eastAsia="es-MX"/>
        </w:rPr>
        <w:t xml:space="preserve"> </w:t>
      </w:r>
    </w:p>
    <w:p w14:paraId="723FF8B0" w14:textId="77777777" w:rsidR="00D202CC" w:rsidRPr="00D202CC" w:rsidRDefault="00D202CC" w:rsidP="00D202CC">
      <w:pPr>
        <w:spacing w:after="120" w:line="276" w:lineRule="auto"/>
        <w:ind w:firstLine="708"/>
        <w:jc w:val="both"/>
        <w:textAlignment w:val="baseline"/>
        <w:rPr>
          <w:rFonts w:ascii="Verdana" w:eastAsia="Calibri" w:hAnsi="Verdana" w:cs="Arial"/>
          <w:lang w:eastAsia="es-MX"/>
        </w:rPr>
      </w:pPr>
      <w:r w:rsidRPr="00D202CC">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D202CC">
        <w:rPr>
          <w:rFonts w:ascii="Verdana" w:eastAsia="Calibri" w:hAnsi="Verdana" w:cs="Arial"/>
          <w:vertAlign w:val="superscript"/>
          <w:lang w:eastAsia="es-MX"/>
        </w:rPr>
        <w:footnoteReference w:id="1"/>
      </w:r>
      <w:r w:rsidRPr="00D202CC">
        <w:rPr>
          <w:rFonts w:ascii="Verdana" w:eastAsia="Calibri" w:hAnsi="Verdana" w:cs="Arial"/>
          <w:lang w:eastAsia="es-MX"/>
        </w:rPr>
        <w:t>.</w:t>
      </w:r>
    </w:p>
    <w:p w14:paraId="1B347C0A" w14:textId="77777777" w:rsidR="00D202CC" w:rsidRPr="00D202CC" w:rsidRDefault="00D202CC" w:rsidP="00D202CC">
      <w:pPr>
        <w:widowControl w:val="0"/>
        <w:autoSpaceDE w:val="0"/>
        <w:autoSpaceDN w:val="0"/>
        <w:spacing w:after="12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D202CC">
        <w:rPr>
          <w:rFonts w:ascii="Verdana" w:eastAsia="Calibri" w:hAnsi="Verdana" w:cs="Times New Roman"/>
          <w:shd w:val="clear" w:color="auto" w:fill="E8E8E8"/>
          <w:lang w:val="es-ES" w:eastAsia="es-MX"/>
        </w:rPr>
        <w:t>–[texto]–,</w:t>
      </w:r>
      <w:r w:rsidRPr="00D202CC">
        <w:rPr>
          <w:rFonts w:ascii="Verdana" w:eastAsia="Calibri" w:hAnsi="Verdana" w:cs="Times New Roman"/>
          <w:lang w:val="es-ES" w:eastAsia="es-MX"/>
        </w:rPr>
        <w:t xml:space="preserve"> para lo cual deberán observarse las instrucciones contenidas en los mismos para su diligenciamiento.</w:t>
      </w:r>
    </w:p>
    <w:p w14:paraId="4787481A" w14:textId="77777777" w:rsidR="00D202CC" w:rsidRPr="00D202CC" w:rsidRDefault="00D202CC" w:rsidP="00D202CC">
      <w:pPr>
        <w:widowControl w:val="0"/>
        <w:autoSpaceDE w:val="0"/>
        <w:autoSpaceDN w:val="0"/>
        <w:spacing w:after="12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BE5D753" w14:textId="77777777" w:rsidR="00D202CC" w:rsidRPr="00D202CC" w:rsidRDefault="00D202CC" w:rsidP="00D202CC">
      <w:pPr>
        <w:widowControl w:val="0"/>
        <w:autoSpaceDE w:val="0"/>
        <w:autoSpaceDN w:val="0"/>
        <w:spacing w:after="12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w:t>
      </w:r>
      <w:r w:rsidRPr="00D202CC">
        <w:rPr>
          <w:rFonts w:ascii="Verdana" w:eastAsia="Calibri" w:hAnsi="Verdana" w:cs="Times New Roman"/>
          <w:lang w:val="es-ES" w:eastAsia="es-MX"/>
        </w:rPr>
        <w:lastRenderedPageBreak/>
        <w:t>Agencia mediante las cuales se adoptan documentos tipo.</w:t>
      </w:r>
    </w:p>
    <w:p w14:paraId="2B8268BD" w14:textId="77777777" w:rsidR="00D202CC" w:rsidRPr="00D202CC" w:rsidRDefault="00D202CC" w:rsidP="00D202CC">
      <w:pPr>
        <w:widowControl w:val="0"/>
        <w:autoSpaceDE w:val="0"/>
        <w:autoSpaceDN w:val="0"/>
        <w:spacing w:after="12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4F8EF7B" w14:textId="77777777" w:rsidR="00D202CC" w:rsidRPr="00D202CC" w:rsidRDefault="00D202CC" w:rsidP="00D202CC">
      <w:pPr>
        <w:widowControl w:val="0"/>
        <w:autoSpaceDE w:val="0"/>
        <w:autoSpaceDN w:val="0"/>
        <w:spacing w:after="12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D080CD7" w14:textId="77777777" w:rsidR="00D202CC" w:rsidRPr="00D202CC" w:rsidRDefault="00D202CC" w:rsidP="00D202CC">
      <w:pPr>
        <w:widowControl w:val="0"/>
        <w:autoSpaceDE w:val="0"/>
        <w:autoSpaceDN w:val="0"/>
        <w:spacing w:after="0" w:line="276" w:lineRule="auto"/>
        <w:ind w:firstLine="708"/>
        <w:jc w:val="both"/>
        <w:rPr>
          <w:rFonts w:ascii="Verdana" w:eastAsia="Calibri" w:hAnsi="Verdana" w:cs="Times New Roman"/>
          <w:lang w:val="es-ES" w:eastAsia="es-MX"/>
        </w:rPr>
      </w:pPr>
      <w:r w:rsidRPr="00D202CC">
        <w:rPr>
          <w:rFonts w:ascii="Verdana" w:eastAsia="Calibri" w:hAnsi="Verdana" w:cs="Times New Roman"/>
          <w:lang w:val="es-ES" w:eastAsia="es-MX"/>
        </w:rPr>
        <w:t>De esta manera, para saber a qué actividades deben aplicarse los documentos tipo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58E14EB3" w14:textId="77777777" w:rsidR="00D202CC" w:rsidRPr="00D202CC" w:rsidRDefault="00D202CC" w:rsidP="00D202CC">
      <w:pPr>
        <w:spacing w:after="0" w:line="276" w:lineRule="auto"/>
        <w:jc w:val="both"/>
        <w:rPr>
          <w:rFonts w:ascii="Verdana" w:eastAsia="Calibri" w:hAnsi="Verdana" w:cs="Times New Roman"/>
          <w:lang w:val="es-ES" w:eastAsia="es-MX"/>
        </w:rPr>
      </w:pPr>
    </w:p>
    <w:p w14:paraId="56950484" w14:textId="77777777" w:rsidR="00D202CC" w:rsidRPr="00D202CC" w:rsidRDefault="00D202CC" w:rsidP="00D202CC">
      <w:pPr>
        <w:spacing w:after="120" w:line="276" w:lineRule="auto"/>
        <w:jc w:val="both"/>
        <w:rPr>
          <w:rFonts w:ascii="Verdana" w:eastAsia="Calibri" w:hAnsi="Verdana" w:cs="Times New Roman"/>
          <w:kern w:val="2"/>
          <w:lang w:val="es-ES" w:eastAsia="es-MX"/>
          <w14:ligatures w14:val="standardContextual"/>
        </w:rPr>
      </w:pPr>
      <w:proofErr w:type="spellStart"/>
      <w:r w:rsidRPr="00D202CC">
        <w:rPr>
          <w:rFonts w:ascii="Verdana" w:eastAsia="Calibri" w:hAnsi="Verdana" w:cs="Times New Roman"/>
          <w:kern w:val="2"/>
          <w:lang w:val="es-ES"/>
          <w14:ligatures w14:val="standardContextual"/>
        </w:rPr>
        <w:t>ii</w:t>
      </w:r>
      <w:proofErr w:type="spellEnd"/>
      <w:r w:rsidRPr="00D202CC">
        <w:rPr>
          <w:rFonts w:ascii="Verdana" w:eastAsia="Calibri" w:hAnsi="Verdana" w:cs="Times New Roman"/>
          <w:kern w:val="2"/>
          <w:lang w:val="es-ES"/>
          <w14:ligatures w14:val="standardContextual"/>
        </w:rPr>
        <w:t xml:space="preserve">. </w:t>
      </w:r>
      <w:r w:rsidRPr="00D202CC">
        <w:rPr>
          <w:rFonts w:ascii="Verdana" w:eastAsia="Aptos" w:hAnsi="Verdana" w:cs="Times New Roman"/>
        </w:rPr>
        <w:t>El artículo 8 de la Resolución 539 del 21 de agosto de 2025 y el artículo 7 de las Resoluciones 540 y 541 del 21 de agosto de 2025 adoptan los documentos tipo complementarios para los procesos de infraestructura social relacionados con el Sector Educativo –según la modalidad que corresponda–. De acuerdo con el parágrafo segundo de los artículos 9 y 8, respectivamente, de las citadas resoluciones, estos documentos aplican a los procesos contractuales que correspondan a las actividades definidas en la “Matriz 1 – Experiencia del Sector Educativo”.</w:t>
      </w:r>
    </w:p>
    <w:p w14:paraId="2DDB0D7A" w14:textId="77777777" w:rsidR="00D202CC" w:rsidRPr="00D202CC" w:rsidRDefault="00D202CC" w:rsidP="00D202CC">
      <w:pPr>
        <w:spacing w:after="120" w:line="276" w:lineRule="auto"/>
        <w:jc w:val="both"/>
        <w:rPr>
          <w:rFonts w:ascii="Verdana" w:eastAsia="Arial" w:hAnsi="Verdana" w:cs="Aptos"/>
          <w:lang w:eastAsia="es-ES"/>
        </w:rPr>
      </w:pPr>
      <w:r w:rsidRPr="00D202CC">
        <w:rPr>
          <w:rFonts w:ascii="Aptos" w:eastAsia="Calibri" w:hAnsi="Aptos" w:cs="Times New Roman"/>
          <w:kern w:val="2"/>
          <w:sz w:val="24"/>
          <w:szCs w:val="24"/>
          <w:lang w:val="es-ES" w:eastAsia="es-MX"/>
          <w14:ligatures w14:val="standardContextual"/>
        </w:rPr>
        <w:tab/>
      </w:r>
      <w:r w:rsidRPr="00D202CC">
        <w:rPr>
          <w:rFonts w:ascii="Verdana" w:eastAsia="Calibri" w:hAnsi="Verdana" w:cs="Times New Roman"/>
          <w:lang w:val="es-ES" w:eastAsia="es-MX"/>
        </w:rPr>
        <w:t xml:space="preserve">La “Matriz 1 – Experiencia Sector Educativo”, </w:t>
      </w:r>
      <w:r w:rsidRPr="00D202CC">
        <w:rPr>
          <w:rFonts w:ascii="Verdana" w:eastAsia="Times New Roman" w:hAnsi="Verdana" w:cs="Times New Roman"/>
          <w:color w:val="000000"/>
          <w:lang w:eastAsia="es-CO"/>
        </w:rPr>
        <w:t xml:space="preserve">en la modalidad de licitación pública, selección abreviada de menor cuantía y mínima cuantía dispone de los </w:t>
      </w:r>
      <w:r w:rsidRPr="00D202CC">
        <w:rPr>
          <w:rFonts w:ascii="Verdana" w:eastAsia="Times New Roman" w:hAnsi="Verdana" w:cs="Times New Roman"/>
          <w:color w:val="000000"/>
          <w:lang w:eastAsia="es-CO"/>
        </w:rPr>
        <w:lastRenderedPageBreak/>
        <w:t>siguientes cuatro (4) tipos de obras de infraestructura educativa:</w:t>
      </w:r>
      <w:r w:rsidRPr="00D202CC">
        <w:rPr>
          <w:rFonts w:ascii="Verdana" w:eastAsia="Arial" w:hAnsi="Verdana" w:cs="Aptos"/>
          <w:lang w:eastAsia="es-ES"/>
        </w:rPr>
        <w:t xml:space="preserve"> “1. OBRAS EN INFRAESTRUCTURA DE EDUCACIÓN; 2. OBRAS EN INFRAESTRUCTURA RECREODEPORTIVA Y CULTURAL EN INFRAESTRUCTURA </w:t>
      </w:r>
      <w:proofErr w:type="gramStart"/>
      <w:r w:rsidRPr="00D202CC">
        <w:rPr>
          <w:rFonts w:ascii="Verdana" w:eastAsia="Arial" w:hAnsi="Verdana" w:cs="Aptos"/>
          <w:lang w:eastAsia="es-ES"/>
        </w:rPr>
        <w:t>EDUCATIVA,;</w:t>
      </w:r>
      <w:proofErr w:type="gramEnd"/>
      <w:r w:rsidRPr="00D202CC">
        <w:rPr>
          <w:rFonts w:ascii="Verdana" w:eastAsia="Arial" w:hAnsi="Verdana" w:cs="Aptos"/>
          <w:lang w:eastAsia="es-ES"/>
        </w:rPr>
        <w:t xml:space="preserve">3. OBRAS EN VÍAS DE ACCESO O PARQUEADEROS O ZONAS DE CIRCULACIÓN (VEHICULAR O PEATONAL) O PLAZUELAS O PLAZAS O PLAZUELAS EN INFRAESTRUCTURA EDUCATIVA; y 4. OBRAS PARA ATENCIÓN, PREVENCIÓN O MITIGACIÓN DE EMERGENCIAS DIFERENTES A CONTRATACIÓN DIRECTA PARA EL SECTOR EDUCATIVO. Sobre los tipos de obras señaladas, la Matriz 1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entre otras actividades, sobre infraestructura educativa. </w:t>
      </w:r>
    </w:p>
    <w:p w14:paraId="47A0CCC6" w14:textId="77777777" w:rsidR="00D202CC" w:rsidRPr="00D202CC" w:rsidRDefault="00D202CC" w:rsidP="00D202CC">
      <w:pPr>
        <w:spacing w:after="120" w:line="276" w:lineRule="auto"/>
        <w:jc w:val="both"/>
        <w:rPr>
          <w:rFonts w:ascii="Verdana" w:eastAsia="Times New Roman" w:hAnsi="Verdana" w:cs="Times New Roman"/>
          <w:color w:val="000000"/>
          <w:lang w:eastAsia="es-CO"/>
        </w:rPr>
      </w:pPr>
      <w:r w:rsidRPr="00D202CC">
        <w:rPr>
          <w:rFonts w:ascii="Verdana" w:eastAsia="Arial" w:hAnsi="Verdana" w:cs="Aptos"/>
          <w:kern w:val="2"/>
          <w:sz w:val="24"/>
          <w:szCs w:val="24"/>
          <w:lang w:eastAsia="es-ES"/>
          <w14:ligatures w14:val="standardContextual"/>
        </w:rPr>
        <w:tab/>
      </w:r>
      <w:r w:rsidRPr="00D202CC">
        <w:rPr>
          <w:rFonts w:ascii="Verdana" w:eastAsia="Aptos" w:hAnsi="Verdana" w:cs="Times New Roman"/>
        </w:rPr>
        <w:t>De esta forma, los tipos de obras señalados y las actividades previstas en la "Matriz 1 – Experiencia Sector Educativo", en las modalidades de licitación pública, selección abreviada de menor cuantía y mínima cuantía, recaen sobre infraestructura educativa. Esto es importante para precisar el ámbito de aplicación de los documentos tipo de este sector, adoptados en las Resoluciones 539, 540 y 541 de 2025.</w:t>
      </w:r>
    </w:p>
    <w:p w14:paraId="7EDC9E65" w14:textId="77777777" w:rsidR="00D202CC" w:rsidRPr="00D202CC" w:rsidRDefault="00D202CC" w:rsidP="00D202CC">
      <w:pPr>
        <w:spacing w:after="0" w:line="276" w:lineRule="auto"/>
        <w:jc w:val="both"/>
        <w:rPr>
          <w:rFonts w:ascii="Verdana" w:eastAsia="Times New Roman" w:hAnsi="Verdana" w:cs="Times New Roman"/>
          <w:color w:val="000000"/>
          <w:lang w:eastAsia="es-CO"/>
        </w:rPr>
      </w:pPr>
      <w:r w:rsidRPr="00D202CC">
        <w:rPr>
          <w:rFonts w:ascii="Verdana" w:eastAsia="Times New Roman" w:hAnsi="Verdana" w:cs="Times New Roman"/>
          <w:color w:val="000000"/>
          <w:kern w:val="2"/>
          <w:lang w:eastAsia="es-CO"/>
          <w14:ligatures w14:val="standardContextual"/>
        </w:rPr>
        <w:tab/>
        <w:t>C</w:t>
      </w:r>
      <w:r w:rsidRPr="00D202CC">
        <w:rPr>
          <w:rFonts w:ascii="Verdana" w:eastAsia="Aptos" w:hAnsi="Verdana" w:cs="Times New Roman"/>
        </w:rPr>
        <w:t>oncretamente, en su solicitud usted indaga sobre el alcance de la experiencia general y específica solicitada para la actividad “1.14. SUMINISTRO Y/O INSTALACIÓN DE SISTEMAS DE AIRE ACONDICIONADO O SISTEMAS DE VENTILACIÓN O SIMILARES PARA INFRAESTRUCTURA EDUCATIVA” contenida en la “Matriz 1 – Experiencia Sector Educativo” de los documentos tipo complementarios del sector educativo, en la modalidad de selección abreviada de menor cuantía. Sobre el particular, para dicha actividad se solicita el siguiente requisito de experiencia general y específica:</w:t>
      </w:r>
    </w:p>
    <w:p w14:paraId="70B57A0E" w14:textId="77777777" w:rsidR="00D202CC" w:rsidRPr="00D202CC" w:rsidRDefault="00D202CC" w:rsidP="00D202CC">
      <w:pPr>
        <w:snapToGrid w:val="0"/>
        <w:spacing w:after="0" w:line="240" w:lineRule="auto"/>
        <w:ind w:left="709" w:right="709"/>
        <w:jc w:val="both"/>
        <w:rPr>
          <w:rFonts w:ascii="Verdana" w:eastAsia="Calibri" w:hAnsi="Verdana" w:cs="Arial"/>
          <w:color w:val="0D0D0D"/>
          <w:lang w:eastAsia="es-MX"/>
        </w:rPr>
      </w:pPr>
    </w:p>
    <w:p w14:paraId="7D18648B" w14:textId="77777777" w:rsidR="00D202CC" w:rsidRPr="00D202CC" w:rsidRDefault="00D202CC" w:rsidP="00D202CC">
      <w:pPr>
        <w:snapToGrid w:val="0"/>
        <w:spacing w:after="120" w:line="240" w:lineRule="auto"/>
        <w:ind w:left="709" w:right="709"/>
        <w:jc w:val="both"/>
        <w:rPr>
          <w:rFonts w:ascii="Verdana" w:eastAsia="Calibri" w:hAnsi="Verdana" w:cs="Arial"/>
          <w:color w:val="0D0D0D"/>
          <w:sz w:val="21"/>
          <w:szCs w:val="21"/>
          <w:lang w:eastAsia="es-MX"/>
        </w:rPr>
      </w:pPr>
      <w:r w:rsidRPr="00D202CC">
        <w:rPr>
          <w:rFonts w:ascii="Verdana" w:eastAsia="Calibri" w:hAnsi="Verdana" w:cs="Arial"/>
          <w:color w:val="0D0D0D"/>
          <w:sz w:val="21"/>
          <w:szCs w:val="21"/>
          <w:lang w:eastAsia="es-MX"/>
        </w:rPr>
        <w:t>“General:</w:t>
      </w:r>
    </w:p>
    <w:p w14:paraId="2BD61345" w14:textId="77777777" w:rsidR="00D202CC" w:rsidRPr="00D202CC" w:rsidRDefault="00D202CC" w:rsidP="00D202CC">
      <w:pPr>
        <w:snapToGrid w:val="0"/>
        <w:spacing w:after="120" w:line="240" w:lineRule="auto"/>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 xml:space="preserve">PROYECTOS QUE CORRESPONDAN O CONTEMPLEN ACTIVIDADES DE: SUMINISTRO Y/O INSTALACIÓN DE SISTEMAS DE AIRES ACONDICIONADOS O SISTEMAS DE VENTILACIÓN O </w:t>
      </w:r>
      <w:proofErr w:type="gramStart"/>
      <w:r w:rsidRPr="00D202CC">
        <w:rPr>
          <w:rFonts w:ascii="Verdana" w:eastAsia="Arial" w:hAnsi="Verdana" w:cs="Arial"/>
          <w:sz w:val="21"/>
          <w:szCs w:val="21"/>
          <w:lang w:val="es-ES" w:eastAsia="es-ES_tradnl"/>
        </w:rPr>
        <w:t>SIMILARES  PARA</w:t>
      </w:r>
      <w:proofErr w:type="gramEnd"/>
      <w:r w:rsidRPr="00D202CC">
        <w:rPr>
          <w:rFonts w:ascii="Verdana" w:eastAsia="Arial" w:hAnsi="Verdana" w:cs="Arial"/>
          <w:sz w:val="21"/>
          <w:szCs w:val="21"/>
          <w:lang w:val="es-ES" w:eastAsia="es-ES_tradnl"/>
        </w:rPr>
        <w:t xml:space="preserve"> EDIFICACIONES.</w:t>
      </w:r>
    </w:p>
    <w:p w14:paraId="4EAE11C3" w14:textId="77777777" w:rsidR="00D202CC" w:rsidRPr="00D202CC" w:rsidRDefault="00D202CC" w:rsidP="00D202CC">
      <w:pPr>
        <w:snapToGrid w:val="0"/>
        <w:spacing w:after="120" w:line="240" w:lineRule="auto"/>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Específica:</w:t>
      </w:r>
    </w:p>
    <w:p w14:paraId="06EC3B90" w14:textId="77777777" w:rsidR="00D202CC" w:rsidRPr="00D202CC" w:rsidRDefault="00D202CC" w:rsidP="00D202CC">
      <w:pPr>
        <w:snapToGrid w:val="0"/>
        <w:spacing w:after="120" w:line="240" w:lineRule="auto"/>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i) Para proyectos &lt; 150 SMMLV</w:t>
      </w:r>
    </w:p>
    <w:p w14:paraId="2FB5AEFF" w14:textId="77777777" w:rsidR="00D202CC" w:rsidRPr="00D202CC" w:rsidRDefault="00D202CC" w:rsidP="00D202CC">
      <w:pPr>
        <w:snapToGrid w:val="0"/>
        <w:spacing w:after="120" w:line="240" w:lineRule="auto"/>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lastRenderedPageBreak/>
        <w:t>Por lo menos uno (1) de los contratos válidos aportados como experiencia general debe corresponder mínimo al 50% del presupuesto oficial del presente proceso de selección.</w:t>
      </w:r>
    </w:p>
    <w:p w14:paraId="68074281" w14:textId="77777777" w:rsidR="00D202CC" w:rsidRPr="00D202CC" w:rsidRDefault="00D202CC" w:rsidP="00D202CC">
      <w:pPr>
        <w:snapToGrid w:val="0"/>
        <w:spacing w:after="120" w:line="240" w:lineRule="auto"/>
        <w:ind w:left="709" w:right="709"/>
        <w:jc w:val="both"/>
        <w:rPr>
          <w:rFonts w:ascii="Verdana" w:eastAsia="Arial" w:hAnsi="Verdana" w:cs="Arial"/>
          <w:sz w:val="21"/>
          <w:szCs w:val="21"/>
          <w:lang w:val="es-ES" w:eastAsia="es-ES_tradnl"/>
        </w:rPr>
      </w:pPr>
      <w:proofErr w:type="spellStart"/>
      <w:r w:rsidRPr="00D202CC">
        <w:rPr>
          <w:rFonts w:ascii="Verdana" w:eastAsia="Arial" w:hAnsi="Verdana" w:cs="Arial"/>
          <w:sz w:val="21"/>
          <w:szCs w:val="21"/>
          <w:lang w:val="es-ES" w:eastAsia="es-ES_tradnl"/>
        </w:rPr>
        <w:t>ii</w:t>
      </w:r>
      <w:proofErr w:type="spellEnd"/>
      <w:r w:rsidRPr="00D202CC">
        <w:rPr>
          <w:rFonts w:ascii="Verdana" w:eastAsia="Arial" w:hAnsi="Verdana" w:cs="Arial"/>
          <w:sz w:val="21"/>
          <w:szCs w:val="21"/>
          <w:lang w:val="es-ES" w:eastAsia="es-ES_tradnl"/>
        </w:rPr>
        <w:t>) Para proyectos Entre 151 y 1.000 SMMLV</w:t>
      </w:r>
    </w:p>
    <w:p w14:paraId="798F2ED8" w14:textId="77777777" w:rsidR="00D202CC" w:rsidRPr="00D202CC" w:rsidRDefault="00D202CC" w:rsidP="00D202CC">
      <w:pPr>
        <w:snapToGrid w:val="0"/>
        <w:spacing w:after="0" w:line="240" w:lineRule="auto"/>
        <w:ind w:left="709" w:right="709"/>
        <w:jc w:val="both"/>
        <w:rPr>
          <w:rFonts w:ascii="Verdana" w:eastAsia="Arial" w:hAnsi="Verdana" w:cs="Arial"/>
          <w:sz w:val="21"/>
          <w:szCs w:val="21"/>
          <w:lang w:val="es-ES" w:eastAsia="es-ES_tradnl"/>
        </w:rPr>
      </w:pPr>
      <w:r w:rsidRPr="00D202CC">
        <w:rPr>
          <w:rFonts w:ascii="Verdana" w:eastAsia="Arial" w:hAnsi="Verdana" w:cs="Arial"/>
          <w:sz w:val="21"/>
          <w:szCs w:val="21"/>
          <w:lang w:val="es-ES" w:eastAsia="es-ES_tradnl"/>
        </w:rPr>
        <w:t>Por lo menos uno (1) de los contratos válidos aportados como experiencia general debe corresponder mínimo al 30% del presupuesto oficial del presente proceso de selección”.</w:t>
      </w:r>
    </w:p>
    <w:p w14:paraId="05050876" w14:textId="77777777" w:rsidR="00D202CC" w:rsidRPr="00D202CC" w:rsidRDefault="00D202CC" w:rsidP="00D202CC">
      <w:pPr>
        <w:spacing w:after="0" w:line="276" w:lineRule="auto"/>
        <w:ind w:left="708"/>
        <w:jc w:val="both"/>
        <w:rPr>
          <w:rFonts w:ascii="Verdana" w:eastAsia="Arial" w:hAnsi="Verdana" w:cs="Arial"/>
          <w:lang w:val="es-ES" w:eastAsia="es-ES_tradnl"/>
        </w:rPr>
      </w:pPr>
    </w:p>
    <w:p w14:paraId="2D22513D" w14:textId="77777777" w:rsidR="00D202CC" w:rsidRPr="00D202CC" w:rsidRDefault="00D202CC" w:rsidP="00D202CC">
      <w:pPr>
        <w:spacing w:after="120" w:line="276" w:lineRule="auto"/>
        <w:ind w:firstLine="708"/>
        <w:jc w:val="both"/>
        <w:rPr>
          <w:rFonts w:ascii="Verdana" w:eastAsia="Aptos" w:hAnsi="Verdana" w:cs="Times New Roman"/>
        </w:rPr>
      </w:pPr>
      <w:r w:rsidRPr="00D202CC">
        <w:rPr>
          <w:rFonts w:ascii="Verdana" w:eastAsia="Aptos" w:hAnsi="Verdana" w:cs="Times New Roman"/>
        </w:rPr>
        <w:t>Como se aprecia, para la actividad 1.14 contenida en la "Matriz 1 – Experiencia Sector Educativo", se establece que la acreditación de la experiencia general debe darse en proyectos que correspondan o contemplen actividades de suministro y/o instalación de sistemas de aire acondicionado o sistemas de ventilación o similares para “edificaciones”, sin que se realicen distinciones o se establezcan restricciones específicas respecto de algún tipo de edificación con destinación de uso particular.</w:t>
      </w:r>
    </w:p>
    <w:p w14:paraId="189357BF"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 xml:space="preserve">En este sentido, considerando que una edificación, de acuerdo con el artículo 4 de la Ley 400 de 1997, se define como </w:t>
      </w:r>
      <w:r w:rsidRPr="00D202CC">
        <w:rPr>
          <w:rFonts w:ascii="Verdana" w:eastAsia="Aptos" w:hAnsi="Verdana" w:cs="Times New Roman"/>
          <w:i/>
          <w:iCs/>
          <w:kern w:val="2"/>
          <w14:ligatures w14:val="standardContextual"/>
        </w:rPr>
        <w:t>“(…) una construcción cuyo uso primordial es la habitación u ocupación por seres humanos”,</w:t>
      </w:r>
      <w:r w:rsidRPr="00D202CC">
        <w:rPr>
          <w:rFonts w:ascii="Verdana" w:eastAsia="Aptos" w:hAnsi="Verdana" w:cs="Times New Roman"/>
          <w:kern w:val="2"/>
          <w14:ligatures w14:val="standardContextual"/>
        </w:rPr>
        <w:t xml:space="preserve"> y que la edificación convencional es “(…) aquella estructura concebida de tal manera que su geometría, dimensiones generales, dimensiones de sus miembros estructurales, materiales estructurales empleados y procedimientos de dimensionamiento y determinación de la resistencia de sus miembros estructurales ante todas las solicitaciones a las que puedan verse sometidos durante su vida útil estén previstos en la normativa y reglamentación contenida en el Reglamento NSR-10 (…)”</w:t>
      </w:r>
      <w:r w:rsidRPr="00D202CC">
        <w:rPr>
          <w:rFonts w:ascii="Verdana" w:eastAsia="Aptos" w:hAnsi="Verdana" w:cs="Times New Roman"/>
          <w:kern w:val="2"/>
          <w:vertAlign w:val="superscript"/>
          <w14:ligatures w14:val="standardContextual"/>
        </w:rPr>
        <w:footnoteReference w:id="2"/>
      </w:r>
      <w:r w:rsidRPr="00D202CC">
        <w:rPr>
          <w:rFonts w:ascii="Verdana" w:eastAsia="Aptos" w:hAnsi="Verdana" w:cs="Times New Roman"/>
          <w:kern w:val="2"/>
          <w14:ligatures w14:val="standardContextual"/>
        </w:rPr>
        <w:t>, se tiene que la construcción de edificaciones, en términos generales, está determinada por el cumplimiento de las normas técnicas reglamentarias y, en particular, por lo dispuesto en la Norma Sismo Resistente NSR-10 y demás disposiciones aplicables a este tipo de infraestructura.</w:t>
      </w:r>
    </w:p>
    <w:p w14:paraId="6799F1E8"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En consecuencia, la experiencia general solicitada en la “Matriz 1 – Experiencia Sector educativo”, con el fin de no limitar la concurrencia de oferentes, se refiere a experiencia en edificaciones sin distinción de su destinación o uso, tales como cultura, recreación y deporte, salud, educación, vivienda o infraestructura institucional, entre otros.</w:t>
      </w:r>
    </w:p>
    <w:p w14:paraId="17E241FA" w14:textId="77777777" w:rsidR="00D202CC" w:rsidRPr="00D202CC" w:rsidRDefault="00D202CC" w:rsidP="00D202CC">
      <w:pPr>
        <w:spacing w:after="120" w:line="276" w:lineRule="auto"/>
        <w:ind w:firstLine="708"/>
        <w:jc w:val="both"/>
        <w:rPr>
          <w:rFonts w:ascii="Verdana" w:eastAsia="Aptos" w:hAnsi="Verdana" w:cs="Times New Roman"/>
        </w:rPr>
      </w:pPr>
      <w:r w:rsidRPr="00D202CC">
        <w:rPr>
          <w:rFonts w:ascii="Verdana" w:eastAsia="Aptos" w:hAnsi="Verdana" w:cs="Times New Roman"/>
        </w:rPr>
        <w:lastRenderedPageBreak/>
        <w:t>Ahora bien, en relación con la experiencia específica solicitada para la actividad 1.15, particularmente para proyectos entre 151 y 1.000 SMMLV, la "Matriz 1 – Experiencia Sector Educativo" establece que por lo menos uno (1) de los contratos válidos aportados como experiencia general debe corresponder, como mínimo, al 30% del presupuesto oficial del presente proceso de selección.</w:t>
      </w:r>
    </w:p>
    <w:p w14:paraId="5E09CE7D"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Sobre este aspecto, la exigencia de la experiencia específica para la actividad 1.14 responde a una condición de naturaleza cuantitativa, relacionada con el presupuesto oficial del proceso de selección, y no a una condición cualitativa asociada al tipo de edificación o a su destinación específica. En efecto, el requisito no introduce un elemento técnico adicional o diferenciado respecto de aquel ya definido para la experiencia general, sino que opera como un umbral de suficiencia dentro del mismo universo de contratos válidamente acreditados conforme a dicha experiencia. Así las cosas, la denominación de “experiencia específica” no debe entenderse como la creación de un requisito autónomo con exigencias técnicas propias, sino como una condición de ponderación aplicable sobre los contratos que ya cumplen las características exigidas para la experiencia general.</w:t>
      </w:r>
    </w:p>
    <w:p w14:paraId="394373DE" w14:textId="77777777" w:rsidR="00D202CC" w:rsidRPr="00D202CC" w:rsidRDefault="00D202CC" w:rsidP="00D202CC">
      <w:pPr>
        <w:spacing w:after="12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Así, y dado que, según se explicó, la experiencia general para la actividad 1.14 se refiere a proyectos que correspondan o contemplen actividades de suministro y/o instalación de sistemas de aire acondicionado, ventilación o similares, para edificaciones sin distinción de su destinación o uso –bien sea esta cultural, recreativa y deportiva, de salud, educativa, de vivienda o institucional, entre otras–, resulta consecuente concluir que el contrato mediante el cual se pretenda acreditar el cumplimiento del 30% del presupuesto oficial del presente proceso de selección puede corresponder, igualmente, a cualquiera de dichas edificaciones, sin que sea exigible que el mismo se circunscriba, de manera exclusiva y excluyente, a infraestructura educativa, por tratarse este el subsector en el que se va a realizar la actividad.</w:t>
      </w:r>
    </w:p>
    <w:p w14:paraId="6BC0D90C" w14:textId="77777777" w:rsidR="00D202CC" w:rsidRPr="00D202CC" w:rsidRDefault="00D202CC" w:rsidP="00D202CC">
      <w:pPr>
        <w:spacing w:after="0" w:line="276" w:lineRule="auto"/>
        <w:ind w:firstLine="708"/>
        <w:jc w:val="both"/>
        <w:rPr>
          <w:rFonts w:ascii="Verdana" w:eastAsia="Aptos" w:hAnsi="Verdana" w:cs="Times New Roman"/>
          <w:kern w:val="2"/>
          <w14:ligatures w14:val="standardContextual"/>
        </w:rPr>
      </w:pPr>
      <w:r w:rsidRPr="00D202CC">
        <w:rPr>
          <w:rFonts w:ascii="Verdana" w:eastAsia="Aptos" w:hAnsi="Verdana" w:cs="Times New Roman"/>
          <w:kern w:val="2"/>
          <w14:ligatures w14:val="standardContextual"/>
        </w:rPr>
        <w:t xml:space="preserve">Sostener una interpretación distinta, en el sentido de exigir que el contrato que acredite el referido porcentaje corresponda necesariamente a infraestructura educativa, implicaría introducir una restricción no contemplada expresamente en la “Matriz 1 – Experiencia Sector Educativo” para la actividad 1.14, que adicionalmente, resultaría contraria a la finalidad enunciada de no limitar la concurrencia de oferentes al proceso de selección. Lo anterior, en tanto se estaría supeditando el cumplimiento de un requisito de carácter cuantitativo </w:t>
      </w:r>
      <w:r w:rsidRPr="00D202CC">
        <w:rPr>
          <w:rFonts w:ascii="Verdana" w:eastAsia="Aptos" w:hAnsi="Verdana" w:cs="Times New Roman"/>
          <w:kern w:val="2"/>
          <w14:ligatures w14:val="standardContextual"/>
        </w:rPr>
        <w:lastRenderedPageBreak/>
        <w:t>a una condición cualitativa que no fue prevista para tal efecto, generando con ello una exigencia adicional que desconocería el alcance y la finalidad con que fue concebida la experiencia específica aplicable a la actividad en mención.</w:t>
      </w:r>
    </w:p>
    <w:p w14:paraId="6053938C" w14:textId="77777777" w:rsidR="00D202CC" w:rsidRPr="00D202CC" w:rsidRDefault="00D202CC" w:rsidP="00D202CC">
      <w:pPr>
        <w:spacing w:after="0" w:line="276" w:lineRule="auto"/>
        <w:jc w:val="both"/>
        <w:rPr>
          <w:rFonts w:ascii="Verdana" w:eastAsia="Times New Roman" w:hAnsi="Verdana" w:cs="Calibri"/>
          <w:lang w:eastAsia="es-MX"/>
        </w:rPr>
      </w:pPr>
    </w:p>
    <w:p w14:paraId="01505B2C" w14:textId="77777777" w:rsidR="00D202CC" w:rsidRPr="00D202CC" w:rsidRDefault="00D202CC" w:rsidP="00D202CC">
      <w:pPr>
        <w:spacing w:after="120" w:line="276" w:lineRule="auto"/>
        <w:jc w:val="both"/>
        <w:rPr>
          <w:rFonts w:ascii="Verdana" w:eastAsia="Aptos" w:hAnsi="Verdana" w:cs="Times New Roman"/>
        </w:rPr>
      </w:pPr>
      <w:proofErr w:type="spellStart"/>
      <w:r w:rsidRPr="00D202CC">
        <w:rPr>
          <w:rFonts w:ascii="Verdana" w:eastAsia="Calibri" w:hAnsi="Verdana" w:cs="Times New Roman"/>
          <w:lang w:val="es-ES"/>
        </w:rPr>
        <w:t>iii</w:t>
      </w:r>
      <w:proofErr w:type="spellEnd"/>
      <w:r w:rsidRPr="00D202CC">
        <w:rPr>
          <w:rFonts w:ascii="Verdana" w:eastAsia="Calibri" w:hAnsi="Verdana" w:cs="Times New Roman"/>
          <w:lang w:val="es-ES"/>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2C65D63" w14:textId="77777777" w:rsidR="00D202CC" w:rsidRPr="00D202CC" w:rsidRDefault="00D202CC" w:rsidP="00D202CC">
      <w:pPr>
        <w:spacing w:after="0" w:line="278" w:lineRule="auto"/>
        <w:ind w:firstLine="709"/>
        <w:jc w:val="both"/>
        <w:rPr>
          <w:rFonts w:ascii="Verdana" w:eastAsia="Calibri" w:hAnsi="Verdana" w:cs="Times New Roman"/>
          <w:lang w:val="es-ES"/>
        </w:rPr>
      </w:pPr>
      <w:r w:rsidRPr="00D202CC">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EF94D80" w14:textId="77777777" w:rsidR="00D202CC" w:rsidRPr="00D202CC" w:rsidRDefault="00D202CC" w:rsidP="00D202CC">
      <w:pPr>
        <w:spacing w:after="0" w:line="276" w:lineRule="auto"/>
        <w:jc w:val="both"/>
        <w:rPr>
          <w:rFonts w:ascii="Verdana" w:eastAsia="Calibri" w:hAnsi="Verdana" w:cs="Times New Roman"/>
          <w:lang w:eastAsia="es-MX"/>
        </w:rPr>
      </w:pPr>
    </w:p>
    <w:p w14:paraId="0D1EDEC3" w14:textId="77777777" w:rsidR="00D202CC" w:rsidRPr="00D202CC" w:rsidRDefault="00D202CC" w:rsidP="00D202CC">
      <w:pPr>
        <w:tabs>
          <w:tab w:val="left" w:pos="142"/>
          <w:tab w:val="left" w:pos="284"/>
        </w:tabs>
        <w:spacing w:after="0" w:line="276" w:lineRule="auto"/>
        <w:jc w:val="both"/>
        <w:rPr>
          <w:rFonts w:ascii="Verdana" w:eastAsia="Century Gothic" w:hAnsi="Verdana" w:cs="Century Gothic"/>
          <w:b/>
          <w:bCs/>
          <w:lang w:val="es-ES_tradnl" w:eastAsia="es-MX"/>
        </w:rPr>
      </w:pPr>
      <w:r w:rsidRPr="00D202CC">
        <w:rPr>
          <w:rFonts w:ascii="Verdana" w:eastAsia="Century Gothic" w:hAnsi="Verdana" w:cs="Century Gothic"/>
          <w:b/>
          <w:bCs/>
          <w:lang w:val="es-ES_tradnl" w:eastAsia="es-MX"/>
        </w:rPr>
        <w:t>4. Referencias normativas, jurisprudenciales y otras fuentes:</w:t>
      </w:r>
    </w:p>
    <w:p w14:paraId="74548CF5" w14:textId="77777777" w:rsidR="00D202CC" w:rsidRPr="00D202CC" w:rsidRDefault="00D202CC" w:rsidP="00D202CC">
      <w:pPr>
        <w:spacing w:after="0"/>
        <w:ind w:left="-15840"/>
        <w:jc w:val="both"/>
        <w:rPr>
          <w:rFonts w:ascii="Verdana" w:eastAsia="Calibri" w:hAnsi="Verdana" w:cs="Arial"/>
          <w:b/>
          <w:bCs/>
          <w:lang w:eastAsia="es-MX"/>
        </w:rPr>
      </w:pPr>
      <w:r w:rsidRPr="00D202CC">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202CC" w:rsidRPr="00D202CC" w14:paraId="34F30E15" w14:textId="77777777" w:rsidTr="00670B64">
        <w:trPr>
          <w:trHeight w:val="870"/>
        </w:trPr>
        <w:tc>
          <w:tcPr>
            <w:tcW w:w="8647" w:type="dxa"/>
            <w:tcBorders>
              <w:top w:val="dotted" w:sz="4" w:space="0" w:color="auto"/>
              <w:left w:val="dotted" w:sz="4" w:space="0" w:color="auto"/>
              <w:bottom w:val="dotted" w:sz="4" w:space="0" w:color="auto"/>
              <w:right w:val="dotted" w:sz="4" w:space="0" w:color="auto"/>
            </w:tcBorders>
          </w:tcPr>
          <w:p w14:paraId="6AB07858" w14:textId="77777777" w:rsidR="00D202CC" w:rsidRPr="00D202CC" w:rsidRDefault="00D202CC" w:rsidP="00D202CC">
            <w:pPr>
              <w:contextualSpacing/>
              <w:jc w:val="both"/>
              <w:rPr>
                <w:rFonts w:ascii="Verdana" w:eastAsia="Calibri" w:hAnsi="Verdana" w:cs="Arial"/>
                <w:bCs/>
                <w:lang w:eastAsia="es-MX"/>
              </w:rPr>
            </w:pPr>
          </w:p>
          <w:p w14:paraId="0F05A841" w14:textId="77777777" w:rsidR="00D202CC" w:rsidRPr="00D202CC" w:rsidRDefault="00D202CC" w:rsidP="00D202CC">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D202CC">
              <w:rPr>
                <w:rFonts w:ascii="Verdana" w:eastAsia="Calibri" w:hAnsi="Verdana" w:cs="Arial"/>
                <w:lang w:val="es-ES_tradnl" w:eastAsia="es-MX"/>
              </w:rPr>
              <w:t xml:space="preserve">Ley 2022 de 2020, artículo 1. </w:t>
            </w:r>
          </w:p>
          <w:p w14:paraId="671488BF" w14:textId="77777777" w:rsidR="00D202CC" w:rsidRPr="00D202CC" w:rsidRDefault="00D202CC" w:rsidP="00D202CC">
            <w:pPr>
              <w:widowControl w:val="0"/>
              <w:numPr>
                <w:ilvl w:val="0"/>
                <w:numId w:val="16"/>
              </w:numPr>
              <w:autoSpaceDE w:val="0"/>
              <w:autoSpaceDN w:val="0"/>
              <w:spacing w:line="276" w:lineRule="auto"/>
              <w:jc w:val="both"/>
              <w:rPr>
                <w:rFonts w:ascii="Verdana" w:eastAsia="Calibri" w:hAnsi="Verdana" w:cs="Arial"/>
                <w:lang w:eastAsia="es-MX"/>
              </w:rPr>
            </w:pPr>
            <w:r w:rsidRPr="00D202CC">
              <w:rPr>
                <w:rFonts w:ascii="Verdana" w:eastAsia="Calibri" w:hAnsi="Verdana" w:cs="Arial"/>
                <w:lang w:eastAsia="es-MX"/>
              </w:rPr>
              <w:t>Ley 1150 de 2007, artículo 2.</w:t>
            </w:r>
          </w:p>
          <w:p w14:paraId="19CEFE00" w14:textId="77777777" w:rsidR="00D202CC" w:rsidRPr="00D202CC" w:rsidRDefault="00D202CC" w:rsidP="00D202CC">
            <w:pPr>
              <w:widowControl w:val="0"/>
              <w:numPr>
                <w:ilvl w:val="0"/>
                <w:numId w:val="16"/>
              </w:numPr>
              <w:autoSpaceDE w:val="0"/>
              <w:autoSpaceDN w:val="0"/>
              <w:spacing w:line="276" w:lineRule="auto"/>
              <w:contextualSpacing/>
              <w:jc w:val="both"/>
              <w:rPr>
                <w:rFonts w:ascii="Verdana" w:eastAsia="Calibri" w:hAnsi="Verdana" w:cs="Arial"/>
                <w:lang w:eastAsia="es-MX"/>
              </w:rPr>
            </w:pPr>
            <w:r w:rsidRPr="00D202CC">
              <w:rPr>
                <w:rFonts w:ascii="Verdana" w:eastAsia="Calibri" w:hAnsi="Verdana" w:cs="Arial"/>
                <w:lang w:val="es-ES_tradnl" w:eastAsia="es-MX"/>
              </w:rPr>
              <w:t xml:space="preserve">Documentos Tipo. Disponibles en: </w:t>
            </w:r>
            <w:hyperlink r:id="rId11" w:history="1">
              <w:r w:rsidRPr="00D202CC">
                <w:rPr>
                  <w:rFonts w:ascii="Verdana" w:eastAsia="Calibri" w:hAnsi="Verdana" w:cs="Arial"/>
                  <w:color w:val="0000FF"/>
                  <w:u w:val="single"/>
                  <w:lang w:val="es-ES_tradnl" w:eastAsia="es-MX"/>
                </w:rPr>
                <w:t>https://www.colombiacompra.gov.co/documentos-tipo/documentos-tipo</w:t>
              </w:r>
            </w:hyperlink>
            <w:r w:rsidRPr="00D202CC">
              <w:rPr>
                <w:rFonts w:ascii="Verdana" w:eastAsia="Calibri" w:hAnsi="Verdana" w:cs="Arial"/>
                <w:lang w:val="es-ES_tradnl" w:eastAsia="es-MX"/>
              </w:rPr>
              <w:t>.</w:t>
            </w:r>
          </w:p>
        </w:tc>
      </w:tr>
    </w:tbl>
    <w:p w14:paraId="6B700B6D" w14:textId="77777777" w:rsidR="00D202CC" w:rsidRPr="00D202CC" w:rsidRDefault="00D202CC" w:rsidP="00D202CC">
      <w:pPr>
        <w:tabs>
          <w:tab w:val="left" w:pos="142"/>
          <w:tab w:val="left" w:pos="284"/>
        </w:tabs>
        <w:spacing w:after="0" w:line="276" w:lineRule="auto"/>
        <w:jc w:val="both"/>
        <w:rPr>
          <w:rFonts w:ascii="Verdana" w:eastAsia="Calibri" w:hAnsi="Verdana" w:cs="Arial"/>
          <w:lang w:eastAsia="es-MX"/>
        </w:rPr>
      </w:pPr>
    </w:p>
    <w:p w14:paraId="44733F98" w14:textId="77777777" w:rsidR="00D202CC" w:rsidRPr="00D202CC" w:rsidRDefault="00D202CC" w:rsidP="00D202CC">
      <w:pPr>
        <w:tabs>
          <w:tab w:val="left" w:pos="142"/>
          <w:tab w:val="left" w:pos="284"/>
        </w:tabs>
        <w:spacing w:after="0" w:line="276" w:lineRule="auto"/>
        <w:jc w:val="both"/>
        <w:rPr>
          <w:rFonts w:ascii="Verdana" w:eastAsia="Century Gothic" w:hAnsi="Verdana" w:cs="Century Gothic"/>
          <w:b/>
          <w:bCs/>
          <w:lang w:val="es-ES" w:eastAsia="es-MX"/>
        </w:rPr>
      </w:pPr>
      <w:r w:rsidRPr="00D202CC">
        <w:rPr>
          <w:rFonts w:ascii="Verdana" w:eastAsia="Calibri" w:hAnsi="Verdana" w:cs="Arial"/>
          <w:b/>
          <w:bCs/>
          <w:lang w:eastAsia="es-MX"/>
        </w:rPr>
        <w:t>5</w:t>
      </w:r>
      <w:r w:rsidRPr="00D202CC">
        <w:rPr>
          <w:rFonts w:ascii="Verdana" w:eastAsia="Calibri" w:hAnsi="Verdana" w:cs="Arial"/>
          <w:lang w:eastAsia="es-MX"/>
        </w:rPr>
        <w:t>.</w:t>
      </w:r>
      <w:r w:rsidRPr="00D202CC">
        <w:rPr>
          <w:rFonts w:ascii="Verdana" w:eastAsia="Century Gothic" w:hAnsi="Verdana" w:cs="Century Gothic"/>
          <w:b/>
          <w:bCs/>
          <w:lang w:val="es-ES" w:eastAsia="es-MX"/>
        </w:rPr>
        <w:t>Doctrina de la Agencia Nacional de Contratación Pública:</w:t>
      </w:r>
    </w:p>
    <w:p w14:paraId="145B92BF" w14:textId="77777777" w:rsidR="00D202CC" w:rsidRPr="00D202CC" w:rsidRDefault="00D202CC" w:rsidP="00D202CC">
      <w:pPr>
        <w:widowControl w:val="0"/>
        <w:autoSpaceDE w:val="0"/>
        <w:autoSpaceDN w:val="0"/>
        <w:spacing w:after="0" w:line="276" w:lineRule="auto"/>
        <w:jc w:val="both"/>
        <w:rPr>
          <w:rFonts w:ascii="Verdana" w:eastAsia="Calibri" w:hAnsi="Verdana" w:cs="Arial"/>
          <w:lang w:eastAsia="es-MX"/>
        </w:rPr>
      </w:pPr>
    </w:p>
    <w:p w14:paraId="18196BC7" w14:textId="77777777" w:rsidR="00D202CC" w:rsidRPr="00D202CC" w:rsidRDefault="00D202CC" w:rsidP="00D202CC">
      <w:pPr>
        <w:spacing w:after="0" w:line="276" w:lineRule="auto"/>
        <w:jc w:val="both"/>
        <w:rPr>
          <w:rFonts w:ascii="Verdana" w:eastAsia="Calibri" w:hAnsi="Verdana" w:cs="Arial"/>
          <w:shd w:val="clear" w:color="auto" w:fill="FFFFFF"/>
          <w:lang w:val="es-ES" w:eastAsia="es-MX"/>
        </w:rPr>
      </w:pPr>
      <w:r w:rsidRPr="00D202CC">
        <w:rPr>
          <w:rFonts w:ascii="Verdana" w:eastAsia="Calibri" w:hAnsi="Verdana" w:cs="Arial"/>
          <w:shd w:val="clear" w:color="auto" w:fill="FFFFFF"/>
          <w:lang w:val="es-ES" w:eastAsia="es-MX"/>
        </w:rPr>
        <w:t>La Agencia Nacional de Contratación Pública – Colombia Compra Eficiente se pronunció</w:t>
      </w:r>
      <w:r w:rsidRPr="00D202CC">
        <w:rPr>
          <w:rFonts w:ascii="Verdana" w:eastAsia="Calibri" w:hAnsi="Verdana" w:cs="Times New Roman"/>
          <w:lang w:eastAsia="es-MX"/>
        </w:rPr>
        <w:t xml:space="preserve"> </w:t>
      </w:r>
      <w:r w:rsidRPr="00D202CC">
        <w:rPr>
          <w:rFonts w:ascii="Verdana" w:eastAsia="Calibri" w:hAnsi="Verdana" w:cs="Arial"/>
          <w:shd w:val="clear" w:color="auto" w:fill="FFFFFF"/>
          <w:lang w:val="es-ES" w:eastAsia="es-MX"/>
        </w:rPr>
        <w:t xml:space="preserve">sobre el ámbito de aplicación de los documentos tipo de </w:t>
      </w:r>
      <w:r w:rsidRPr="00D202CC">
        <w:rPr>
          <w:rFonts w:ascii="Verdana" w:eastAsia="Calibri" w:hAnsi="Verdana" w:cs="Arial"/>
          <w:shd w:val="clear" w:color="auto" w:fill="FFFFFF"/>
          <w:lang w:val="es-ES" w:eastAsia="es-MX"/>
        </w:rPr>
        <w:lastRenderedPageBreak/>
        <w:t>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D202CC">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Concretamente, sobre los documentos tipo </w:t>
      </w:r>
      <w:r w:rsidRPr="00D202CC">
        <w:rPr>
          <w:rFonts w:ascii="Verdana" w:eastAsia="Times New Roman" w:hAnsi="Verdana" w:cs="Times New Roman"/>
          <w:color w:val="000000"/>
          <w:lang w:eastAsia="es-CO"/>
        </w:rPr>
        <w:t xml:space="preserve">complementarios del Sector Cultura, recreación y deporte – versión 2, esta Agencia se pronunció en los siguientes conceptos: C-182 del 19 de marzo de 2026, C-386 del 23 de abril de 2026 y C-469 del 6 de mayo de 2026. </w:t>
      </w:r>
    </w:p>
    <w:p w14:paraId="22486239" w14:textId="77777777" w:rsidR="00D202CC" w:rsidRPr="00D202CC" w:rsidRDefault="00D202CC" w:rsidP="00D202CC">
      <w:pPr>
        <w:spacing w:after="0" w:line="240" w:lineRule="auto"/>
        <w:jc w:val="both"/>
        <w:rPr>
          <w:rFonts w:ascii="Verdana" w:eastAsia="Calibri" w:hAnsi="Verdana" w:cs="Arial"/>
          <w:color w:val="000000"/>
          <w:shd w:val="clear" w:color="auto" w:fill="FFFFFF"/>
          <w:lang w:eastAsia="es-MX"/>
        </w:rPr>
      </w:pPr>
    </w:p>
    <w:p w14:paraId="4DECEFA3" w14:textId="77777777" w:rsidR="00D202CC" w:rsidRPr="00D202CC" w:rsidRDefault="00D202CC" w:rsidP="00D202C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D202CC">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D202CC">
          <w:rPr>
            <w:rFonts w:ascii="Verdana" w:eastAsia="Calibri" w:hAnsi="Verdana" w:cs="Arial"/>
            <w:color w:val="0000FF"/>
            <w:u w:val="single"/>
            <w:shd w:val="clear" w:color="auto" w:fill="FFFFFF"/>
            <w:lang w:eastAsia="es-MX"/>
          </w:rPr>
          <w:t>https://relatoria.colombiacompra.gov.co/</w:t>
        </w:r>
      </w:hyperlink>
      <w:r w:rsidRPr="00D202CC">
        <w:rPr>
          <w:rFonts w:ascii="Verdana" w:eastAsia="Calibri" w:hAnsi="Verdana" w:cs="Arial"/>
          <w:color w:val="0000FF"/>
          <w:u w:val="single"/>
          <w:shd w:val="clear" w:color="auto" w:fill="FFFFFF"/>
          <w:lang w:eastAsia="es-MX"/>
        </w:rPr>
        <w:t> .</w:t>
      </w:r>
    </w:p>
    <w:p w14:paraId="15B20C45" w14:textId="77777777" w:rsidR="00D202CC" w:rsidRPr="00D202CC" w:rsidRDefault="00D202CC" w:rsidP="00D202C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6A8D748D" w14:textId="77777777" w:rsidR="00D202CC" w:rsidRPr="00D202CC" w:rsidRDefault="00D202CC" w:rsidP="00D202CC">
      <w:pPr>
        <w:spacing w:after="0" w:line="276" w:lineRule="auto"/>
        <w:jc w:val="both"/>
        <w:rPr>
          <w:rFonts w:ascii="Verdana" w:eastAsia="Aptos" w:hAnsi="Verdana" w:cs="Times New Roman"/>
        </w:rPr>
      </w:pPr>
      <w:r w:rsidRPr="00D202CC">
        <w:rPr>
          <w:rFonts w:ascii="Verdana" w:eastAsia="Aptos" w:hAnsi="Verdana" w:cs="Times New Roman"/>
          <w:color w:val="000000"/>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202CC">
        <w:rPr>
          <w:rFonts w:ascii="Verdana" w:eastAsia="Aptos" w:hAnsi="Verdana" w:cs="Times New Roman"/>
          <w:b/>
          <w:bCs/>
          <w:color w:val="000000"/>
        </w:rPr>
        <w:t>Guía para la Exigencia y Constitución de Garantías en los Procesos de Contratación</w:t>
      </w:r>
      <w:r w:rsidRPr="00D202CC">
        <w:rPr>
          <w:rFonts w:ascii="Verdana" w:eastAsia="Aptos" w:hAnsi="Verdana" w:cs="Times New Roman"/>
          <w:color w:val="000000"/>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D202CC">
          <w:rPr>
            <w:rFonts w:ascii="Verdana" w:eastAsia="Aptos" w:hAnsi="Verdana" w:cs="Times New Roman"/>
            <w:color w:val="0078D7"/>
            <w:u w:val="single"/>
          </w:rPr>
          <w:t>https://www.colombiacompra.gov.co/archivos/manual/guia-de-garantias-en-procesos-de-contratacion</w:t>
        </w:r>
      </w:hyperlink>
    </w:p>
    <w:p w14:paraId="4FBD3BFC" w14:textId="77777777" w:rsidR="00D202CC" w:rsidRPr="00D202CC" w:rsidRDefault="00D202CC" w:rsidP="00D202CC">
      <w:pPr>
        <w:spacing w:after="0" w:line="276" w:lineRule="auto"/>
        <w:jc w:val="both"/>
        <w:rPr>
          <w:rFonts w:ascii="Verdana" w:eastAsia="Aptos" w:hAnsi="Verdana" w:cs="Times New Roman"/>
        </w:rPr>
      </w:pPr>
    </w:p>
    <w:p w14:paraId="29B30891" w14:textId="77777777" w:rsidR="00D202CC" w:rsidRPr="00D202CC" w:rsidRDefault="00D202CC" w:rsidP="00D202CC">
      <w:pPr>
        <w:spacing w:after="0" w:line="276" w:lineRule="auto"/>
        <w:jc w:val="both"/>
        <w:rPr>
          <w:rFonts w:ascii="Verdana" w:eastAsia="Aptos" w:hAnsi="Verdana" w:cs="Times New Roman"/>
        </w:rPr>
      </w:pPr>
      <w:r w:rsidRPr="00D202CC">
        <w:rPr>
          <w:rFonts w:ascii="Verdana" w:eastAsia="Aptos" w:hAnsi="Verdana" w:cs="Times New Roman"/>
          <w:color w:val="000000"/>
        </w:rPr>
        <w:t>De otro lado, te contamos que el Decreto 287 del 19 de marzo de 2026 sustituyó los artículos 2.2.1.2.4.2.6., 2.2.1.2.4.2.7. y 2.2.1.2.4.2.8. del Decreto 1082 de 2015 y estructuró el </w:t>
      </w:r>
      <w:r w:rsidRPr="00D202CC">
        <w:rPr>
          <w:rFonts w:ascii="Verdana" w:eastAsia="Aptos" w:hAnsi="Verdana" w:cs="Times New Roman"/>
          <w:b/>
          <w:bCs/>
          <w:color w:val="000000"/>
        </w:rPr>
        <w:t>Sistema Integral de Preferencias en favor de las personas con discapacidad</w:t>
      </w:r>
      <w:r w:rsidRPr="00D202CC">
        <w:rPr>
          <w:rFonts w:ascii="Verdana" w:eastAsia="Aptos" w:hAnsi="Verdana" w:cs="Times New Roman"/>
          <w:color w:val="000000"/>
        </w:rPr>
        <w:t>, en cumplimiento del artículo 13 de la Ley Estatutaria 1618 de 2013. Para orientar su aplicación, esta Agencia expidió la </w:t>
      </w:r>
      <w:r w:rsidRPr="00D202CC">
        <w:rPr>
          <w:rFonts w:ascii="Verdana" w:eastAsia="Aptos" w:hAnsi="Verdana" w:cs="Times New Roman"/>
          <w:b/>
          <w:bCs/>
          <w:color w:val="000000"/>
        </w:rPr>
        <w:t>Circular Externa 003 del 12 de mayo de 2026, </w:t>
      </w:r>
      <w:r w:rsidRPr="00D202CC">
        <w:rPr>
          <w:rFonts w:ascii="Verdana" w:eastAsia="Aptos" w:hAnsi="Verdana" w:cs="Times New Roman"/>
          <w:color w:val="000000"/>
        </w:rPr>
        <w:t xml:space="preserve">en la que precisa quiénes </w:t>
      </w:r>
      <w:r w:rsidRPr="00D202CC">
        <w:rPr>
          <w:rFonts w:ascii="Verdana" w:eastAsia="Aptos" w:hAnsi="Verdana" w:cs="Times New Roman"/>
          <w:color w:val="000000"/>
        </w:rPr>
        <w:lastRenderedPageBreak/>
        <w:t>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D202CC">
          <w:rPr>
            <w:rFonts w:ascii="Verdana" w:eastAsia="Aptos" w:hAnsi="Verdana" w:cs="Times New Roman"/>
            <w:color w:val="0078D7"/>
            <w:u w:val="single"/>
          </w:rPr>
          <w:t>https://www.colombiacompra.gov.co/archivos/circular/circular-externa-003-de-2026</w:t>
        </w:r>
      </w:hyperlink>
    </w:p>
    <w:p w14:paraId="545C6A3B" w14:textId="77777777" w:rsidR="00D202CC" w:rsidRPr="00D202CC" w:rsidRDefault="00D202CC" w:rsidP="00D202CC">
      <w:pPr>
        <w:spacing w:after="0" w:line="276" w:lineRule="auto"/>
        <w:jc w:val="both"/>
        <w:rPr>
          <w:rFonts w:ascii="Verdana" w:eastAsia="Aptos" w:hAnsi="Verdana" w:cs="Times New Roman"/>
          <w:color w:val="000000"/>
        </w:rPr>
      </w:pPr>
    </w:p>
    <w:p w14:paraId="7864452D" w14:textId="77777777" w:rsidR="00D202CC" w:rsidRPr="00D202CC" w:rsidRDefault="00D202CC" w:rsidP="00D202CC">
      <w:pPr>
        <w:spacing w:after="0" w:line="276" w:lineRule="auto"/>
        <w:jc w:val="both"/>
        <w:rPr>
          <w:rFonts w:ascii="Verdana" w:eastAsia="Aptos" w:hAnsi="Verdana" w:cs="Times New Roman"/>
        </w:rPr>
      </w:pPr>
      <w:r w:rsidRPr="00D202CC">
        <w:rPr>
          <w:rFonts w:ascii="Verdana" w:eastAsia="Aptos" w:hAnsi="Verdana" w:cs="Times New Roman"/>
          <w:color w:val="000000"/>
        </w:rPr>
        <w:t>Recuerda también que la</w:t>
      </w:r>
      <w:r w:rsidRPr="00D202CC">
        <w:rPr>
          <w:rFonts w:ascii="Verdana" w:eastAsia="Aptos" w:hAnsi="Verdana" w:cs="Times New Roman"/>
          <w:b/>
          <w:bCs/>
          <w:color w:val="000000"/>
        </w:rPr>
        <w:t> información sobre sanciones e inhabilidades </w:t>
      </w:r>
      <w:r w:rsidRPr="00D202CC">
        <w:rPr>
          <w:rFonts w:ascii="Verdana" w:eastAsia="Aptos" w:hAnsi="Verdana" w:cs="Times New Roman"/>
          <w:color w:val="000000"/>
        </w:rPr>
        <w:t>solo cumple su función preventiva si llega oportunamente a los registros públicos. Sobre este deber, esta Agencia expidió la </w:t>
      </w:r>
      <w:r w:rsidRPr="00D202CC">
        <w:rPr>
          <w:rFonts w:ascii="Verdana" w:eastAsia="Aptos" w:hAnsi="Verdana" w:cs="Times New Roman"/>
          <w:b/>
          <w:bCs/>
          <w:color w:val="000000"/>
        </w:rPr>
        <w:t>Circular Externa 002 del 5 de mayo de 2026,</w:t>
      </w:r>
      <w:r w:rsidRPr="00D202CC">
        <w:rPr>
          <w:rFonts w:ascii="Verdana" w:eastAsia="Aptos" w:hAnsi="Verdana" w:cs="Times New Roman"/>
          <w:color w:val="000000"/>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D202CC">
          <w:rPr>
            <w:rFonts w:ascii="Verdana" w:eastAsia="Aptos" w:hAnsi="Verdana" w:cs="Times New Roman"/>
            <w:color w:val="0078D7"/>
            <w:u w:val="single"/>
          </w:rPr>
          <w:t>https://www.colombiacompra.gov.co/archivos/circular/circular-externa-002-de-2026</w:t>
        </w:r>
      </w:hyperlink>
    </w:p>
    <w:p w14:paraId="39BED732" w14:textId="77777777" w:rsidR="00D202CC" w:rsidRPr="00D202CC" w:rsidRDefault="00D202CC" w:rsidP="00D202CC">
      <w:pPr>
        <w:spacing w:after="0" w:line="276" w:lineRule="auto"/>
        <w:jc w:val="both"/>
        <w:rPr>
          <w:rFonts w:ascii="Verdana" w:eastAsia="Aptos" w:hAnsi="Verdana" w:cs="Times New Roman"/>
          <w:color w:val="000000"/>
        </w:rPr>
      </w:pPr>
    </w:p>
    <w:p w14:paraId="695258C7" w14:textId="77777777" w:rsidR="00D202CC" w:rsidRPr="00D202CC" w:rsidRDefault="00D202CC" w:rsidP="00D202CC">
      <w:pPr>
        <w:spacing w:after="0" w:line="276" w:lineRule="auto"/>
        <w:jc w:val="both"/>
        <w:rPr>
          <w:rFonts w:ascii="Verdana" w:eastAsia="Aptos" w:hAnsi="Verdana" w:cs="Times New Roman"/>
          <w:color w:val="000000"/>
        </w:rPr>
      </w:pPr>
      <w:r w:rsidRPr="00D202CC">
        <w:rPr>
          <w:rFonts w:ascii="Verdana" w:eastAsia="Aptos" w:hAnsi="Verdana" w:cs="Times New Roman"/>
          <w:color w:val="000000"/>
        </w:rPr>
        <w:t>Finalmente, si quieres seguir de cerca la actividad de la Agencia, la tercera edición de 2026 del</w:t>
      </w:r>
      <w:r w:rsidRPr="00D202CC">
        <w:rPr>
          <w:rFonts w:ascii="Verdana" w:eastAsia="Aptos" w:hAnsi="Verdana" w:cs="Times New Roman"/>
          <w:b/>
          <w:bCs/>
          <w:color w:val="000000"/>
        </w:rPr>
        <w:t> Radar de la Compra Pública</w:t>
      </w:r>
      <w:r w:rsidRPr="00D202CC">
        <w:rPr>
          <w:rFonts w:ascii="Verdana" w:eastAsia="Aptos" w:hAnsi="Verdana" w:cs="Times New Roman"/>
          <w:color w:val="000000"/>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D202CC">
          <w:rPr>
            <w:rFonts w:ascii="Verdana" w:eastAsia="Aptos" w:hAnsi="Verdana" w:cs="Times New Roman"/>
            <w:color w:val="0078D7"/>
            <w:u w:val="single"/>
          </w:rPr>
          <w:t>https://www.colombiacompra.gov.co/archivos/boletin/boletin-edicion-n-3-de-2026-radar-de-la-compra-publica</w:t>
        </w:r>
      </w:hyperlink>
      <w:r w:rsidRPr="00D202CC">
        <w:rPr>
          <w:rFonts w:ascii="Verdana" w:eastAsia="Aptos" w:hAnsi="Verdana" w:cs="Times New Roman"/>
          <w:color w:val="000000"/>
        </w:rPr>
        <w:t>"</w:t>
      </w:r>
    </w:p>
    <w:p w14:paraId="1724AC4D" w14:textId="77777777" w:rsidR="00D202CC" w:rsidRPr="00D202CC" w:rsidRDefault="00D202CC" w:rsidP="00D202CC">
      <w:pPr>
        <w:spacing w:after="0" w:line="276" w:lineRule="auto"/>
        <w:jc w:val="both"/>
        <w:rPr>
          <w:rFonts w:ascii="Verdana" w:eastAsia="Aptos" w:hAnsi="Verdana" w:cs="Times New Roman"/>
          <w:color w:val="000000"/>
        </w:rPr>
      </w:pPr>
    </w:p>
    <w:p w14:paraId="74F2CFED" w14:textId="77777777" w:rsidR="00D202CC" w:rsidRPr="00D202CC" w:rsidRDefault="00D202CC" w:rsidP="00D202CC">
      <w:pPr>
        <w:spacing w:after="0" w:line="240" w:lineRule="auto"/>
        <w:jc w:val="both"/>
        <w:rPr>
          <w:rFonts w:ascii="Verdana" w:eastAsia="Aptos" w:hAnsi="Verdana" w:cs="Times New Roman"/>
          <w:lang w:eastAsia="es-MX"/>
        </w:rPr>
      </w:pPr>
      <w:r w:rsidRPr="00D202CC">
        <w:rPr>
          <w:rFonts w:ascii="Verdana" w:eastAsia="Aptos" w:hAnsi="Verdana" w:cs="Times New Roman"/>
          <w:lang w:eastAsia="es-MX"/>
        </w:rPr>
        <w:t xml:space="preserve">Por último, lo invitamos a seguirnos en las redes sociales en las cuales se difunde información institucional: </w:t>
      </w:r>
    </w:p>
    <w:p w14:paraId="221F9BA7" w14:textId="77777777" w:rsidR="00D202CC" w:rsidRPr="00D202CC" w:rsidRDefault="00D202CC" w:rsidP="00D202CC">
      <w:pPr>
        <w:spacing w:after="0" w:line="240" w:lineRule="auto"/>
        <w:jc w:val="both"/>
        <w:rPr>
          <w:rFonts w:ascii="Verdana" w:eastAsia="Calibri" w:hAnsi="Verdana" w:cs="Times New Roman"/>
          <w:lang w:eastAsia="es-MX"/>
        </w:rPr>
      </w:pPr>
    </w:p>
    <w:p w14:paraId="31A3265E" w14:textId="77777777" w:rsidR="00D202CC" w:rsidRPr="00D202CC" w:rsidRDefault="00D202CC" w:rsidP="00D202CC">
      <w:pPr>
        <w:spacing w:after="0" w:line="240" w:lineRule="auto"/>
        <w:jc w:val="both"/>
        <w:rPr>
          <w:rFonts w:ascii="Verdana" w:eastAsia="Aptos" w:hAnsi="Verdana" w:cs="Times New Roman"/>
          <w:lang w:eastAsia="es-MX"/>
        </w:rPr>
      </w:pPr>
      <w:r w:rsidRPr="00D202CC">
        <w:rPr>
          <w:rFonts w:ascii="Verdana" w:eastAsia="Aptos" w:hAnsi="Verdana" w:cs="Times New Roman"/>
          <w:lang w:eastAsia="es-MX"/>
        </w:rPr>
        <w:t xml:space="preserve">Twitter: </w:t>
      </w:r>
      <w:r w:rsidRPr="00D202CC">
        <w:rPr>
          <w:rFonts w:ascii="Verdana" w:eastAsia="Calibri" w:hAnsi="Verdana" w:cs="Times New Roman"/>
          <w:color w:val="156082"/>
          <w:u w:val="single"/>
          <w:lang w:eastAsia="es-MX"/>
        </w:rPr>
        <w:t>@colombiacompra</w:t>
      </w:r>
      <w:r w:rsidRPr="00D202CC">
        <w:rPr>
          <w:rFonts w:ascii="Verdana" w:eastAsia="Calibri" w:hAnsi="Verdana" w:cs="Times New Roman"/>
          <w:color w:val="156082"/>
          <w:lang w:eastAsia="es-MX"/>
        </w:rPr>
        <w:t xml:space="preserve"> </w:t>
      </w:r>
    </w:p>
    <w:p w14:paraId="5B03AFAD" w14:textId="77777777" w:rsidR="00D202CC" w:rsidRPr="00D202CC" w:rsidRDefault="00D202CC" w:rsidP="00D202CC">
      <w:pPr>
        <w:spacing w:after="0" w:line="240" w:lineRule="auto"/>
        <w:jc w:val="both"/>
        <w:rPr>
          <w:rFonts w:ascii="Verdana" w:eastAsia="Aptos" w:hAnsi="Verdana" w:cs="Times New Roman"/>
          <w:lang w:eastAsia="es-MX"/>
        </w:rPr>
      </w:pPr>
      <w:r w:rsidRPr="00D202CC">
        <w:rPr>
          <w:rFonts w:ascii="Verdana" w:eastAsia="Aptos" w:hAnsi="Verdana" w:cs="Times New Roman"/>
          <w:lang w:eastAsia="es-MX"/>
        </w:rPr>
        <w:t xml:space="preserve">Facebook: </w:t>
      </w:r>
      <w:proofErr w:type="spellStart"/>
      <w:r w:rsidRPr="00D202CC">
        <w:rPr>
          <w:rFonts w:ascii="Verdana" w:eastAsia="Calibri" w:hAnsi="Verdana" w:cs="Times New Roman"/>
          <w:color w:val="156082"/>
          <w:u w:val="single"/>
          <w:lang w:eastAsia="es-MX"/>
        </w:rPr>
        <w:t>ColombiaCompraEficiente</w:t>
      </w:r>
      <w:proofErr w:type="spellEnd"/>
    </w:p>
    <w:p w14:paraId="37775D49" w14:textId="77777777" w:rsidR="00D202CC" w:rsidRPr="00D202CC" w:rsidRDefault="00D202CC" w:rsidP="00D202CC">
      <w:pPr>
        <w:spacing w:after="0" w:line="240" w:lineRule="auto"/>
        <w:jc w:val="both"/>
        <w:rPr>
          <w:rFonts w:ascii="Verdana" w:eastAsia="Aptos" w:hAnsi="Verdana" w:cs="Times New Roman"/>
          <w:lang w:eastAsia="es-MX"/>
        </w:rPr>
      </w:pPr>
      <w:r w:rsidRPr="00D202CC">
        <w:rPr>
          <w:rFonts w:ascii="Verdana" w:eastAsia="Aptos" w:hAnsi="Verdana" w:cs="Times New Roman"/>
          <w:lang w:eastAsia="es-MX"/>
        </w:rPr>
        <w:t xml:space="preserve">LinkedIn: </w:t>
      </w:r>
      <w:r w:rsidRPr="00D202CC">
        <w:rPr>
          <w:rFonts w:ascii="Verdana" w:eastAsia="Calibri" w:hAnsi="Verdana" w:cs="Times New Roman"/>
          <w:color w:val="156082"/>
          <w:u w:val="single"/>
          <w:lang w:eastAsia="es-MX"/>
        </w:rPr>
        <w:t>Agencia Nacional de Contratación Pública - Colombia Compra Eficiente</w:t>
      </w:r>
      <w:r w:rsidRPr="00D202CC">
        <w:rPr>
          <w:rFonts w:ascii="Verdana" w:eastAsia="Calibri" w:hAnsi="Verdana" w:cs="Times New Roman"/>
          <w:color w:val="156082"/>
          <w:lang w:eastAsia="es-MX"/>
        </w:rPr>
        <w:t xml:space="preserve"> </w:t>
      </w:r>
      <w:r w:rsidRPr="00D202CC">
        <w:rPr>
          <w:rFonts w:ascii="Verdana" w:eastAsia="Aptos" w:hAnsi="Verdana" w:cs="Times New Roman"/>
          <w:lang w:eastAsia="es-MX"/>
        </w:rPr>
        <w:t xml:space="preserve">Instagram: </w:t>
      </w:r>
      <w:r w:rsidRPr="00D202CC">
        <w:rPr>
          <w:rFonts w:ascii="Verdana" w:eastAsia="Calibri" w:hAnsi="Verdana" w:cs="Times New Roman"/>
          <w:color w:val="156082"/>
          <w:u w:val="single"/>
          <w:lang w:eastAsia="es-MX"/>
        </w:rPr>
        <w:t>@colombiacompraeficiente_cce</w:t>
      </w:r>
    </w:p>
    <w:p w14:paraId="79428066" w14:textId="77777777" w:rsidR="00D202CC" w:rsidRPr="00D202CC" w:rsidRDefault="00D202CC" w:rsidP="00D202CC">
      <w:pPr>
        <w:spacing w:after="0" w:line="276" w:lineRule="auto"/>
        <w:jc w:val="both"/>
        <w:rPr>
          <w:rFonts w:ascii="Verdana" w:eastAsia="Aptos" w:hAnsi="Verdana" w:cs="Times New Roman"/>
          <w:lang w:eastAsia="es-MX"/>
        </w:rPr>
      </w:pPr>
    </w:p>
    <w:p w14:paraId="0744C2D1" w14:textId="77777777" w:rsidR="00D202CC" w:rsidRPr="00D202CC" w:rsidRDefault="00D202CC" w:rsidP="00D202CC">
      <w:pPr>
        <w:spacing w:after="0" w:line="276" w:lineRule="auto"/>
        <w:jc w:val="both"/>
        <w:rPr>
          <w:rFonts w:ascii="Verdana" w:eastAsia="Calibri" w:hAnsi="Verdana" w:cs="Times New Roman"/>
          <w:bCs/>
          <w:lang w:val="es-ES_tradnl" w:eastAsia="es-MX"/>
        </w:rPr>
      </w:pPr>
      <w:r w:rsidRPr="00D202CC">
        <w:rPr>
          <w:rFonts w:ascii="Verdana" w:eastAsia="Calibri" w:hAnsi="Verdana" w:cs="Times New Roman"/>
          <w:lang w:val="es-ES_tradnl" w:eastAsia="es-MX"/>
        </w:rPr>
        <w:t xml:space="preserve">Este concepto tiene el alcance previsto en el artículo 28 del Código de Procedimiento Administrativo y de lo Contencioso Administrativo y las </w:t>
      </w:r>
      <w:r w:rsidRPr="00D202CC">
        <w:rPr>
          <w:rFonts w:ascii="Verdana" w:eastAsia="Calibri" w:hAnsi="Verdana" w:cs="Times New Roman"/>
          <w:lang w:val="es-ES_tradnl" w:eastAsia="es-MX"/>
        </w:rPr>
        <w:lastRenderedPageBreak/>
        <w:t>expresiones utilizadas con mayúscula inicial deben ser entendidas con el significado que les otorga el artículo 2.2.1.1.1.3.1 del Decreto 1082 de 2015.</w:t>
      </w:r>
    </w:p>
    <w:p w14:paraId="73F285D8" w14:textId="77777777" w:rsidR="00D202CC" w:rsidRPr="00D202CC" w:rsidRDefault="00D202CC" w:rsidP="00D202CC">
      <w:pPr>
        <w:spacing w:after="0" w:line="276" w:lineRule="auto"/>
        <w:jc w:val="both"/>
        <w:rPr>
          <w:rFonts w:ascii="Verdana" w:eastAsia="Calibri" w:hAnsi="Verdana" w:cs="Times New Roman"/>
          <w:lang w:eastAsia="es-MX"/>
        </w:rPr>
      </w:pPr>
    </w:p>
    <w:p w14:paraId="3A0598F8" w14:textId="77777777" w:rsidR="00D202CC" w:rsidRPr="00D202CC" w:rsidRDefault="00D202CC" w:rsidP="00D202CC">
      <w:pPr>
        <w:spacing w:after="0" w:line="276" w:lineRule="auto"/>
        <w:jc w:val="both"/>
        <w:rPr>
          <w:rFonts w:ascii="Verdana" w:eastAsia="Calibri" w:hAnsi="Verdana" w:cs="Times New Roman"/>
          <w:lang w:eastAsia="es-MX"/>
        </w:rPr>
      </w:pPr>
      <w:r w:rsidRPr="00D202CC">
        <w:rPr>
          <w:rFonts w:ascii="Verdana" w:eastAsia="Calibri" w:hAnsi="Verdana" w:cs="Times New Roman"/>
          <w:lang w:eastAsia="es-MX"/>
        </w:rPr>
        <w:t>Atentamente,</w:t>
      </w:r>
    </w:p>
    <w:p w14:paraId="03CA3259" w14:textId="16E98C2F" w:rsidR="00D202CC" w:rsidRPr="00D202CC" w:rsidRDefault="0022215B" w:rsidP="00D202CC">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18B3A87D" wp14:editId="3F538CD7">
            <wp:extent cx="2629225" cy="1128741"/>
            <wp:effectExtent l="0" t="0" r="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696757" cy="1157733"/>
                    </a:xfrm>
                    <a:prstGeom prst="rect">
                      <a:avLst/>
                    </a:prstGeom>
                  </pic:spPr>
                </pic:pic>
              </a:graphicData>
            </a:graphic>
          </wp:inline>
        </w:drawing>
      </w:r>
    </w:p>
    <w:p w14:paraId="7EFA220C" w14:textId="77777777" w:rsidR="00D202CC" w:rsidRPr="00D202CC" w:rsidRDefault="00D202CC" w:rsidP="00D202CC">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D202CC" w:rsidRPr="00D202CC" w14:paraId="6B5C4F04" w14:textId="77777777" w:rsidTr="00670B64">
        <w:trPr>
          <w:trHeight w:val="323"/>
        </w:trPr>
        <w:tc>
          <w:tcPr>
            <w:tcW w:w="1041" w:type="dxa"/>
            <w:vAlign w:val="center"/>
            <w:hideMark/>
          </w:tcPr>
          <w:p w14:paraId="5CF91C85" w14:textId="77777777" w:rsidR="00D202CC" w:rsidRPr="00D202CC" w:rsidRDefault="00D202CC" w:rsidP="00D202CC">
            <w:pPr>
              <w:rPr>
                <w:rFonts w:ascii="Verdana" w:eastAsia="Calibri" w:hAnsi="Verdana" w:cs="Arial"/>
                <w:sz w:val="16"/>
                <w:szCs w:val="16"/>
                <w:lang w:val="es-ES_tradnl" w:eastAsia="es-ES"/>
              </w:rPr>
            </w:pPr>
            <w:r w:rsidRPr="00D202C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BC80563" w14:textId="77777777" w:rsidR="00D202CC" w:rsidRPr="00D202CC" w:rsidRDefault="00D202CC" w:rsidP="00D202CC">
            <w:pPr>
              <w:rPr>
                <w:rFonts w:ascii="Verdana" w:eastAsia="Arial" w:hAnsi="Verdana" w:cs="Arial"/>
                <w:sz w:val="16"/>
                <w:szCs w:val="16"/>
                <w:lang w:val="es-ES" w:eastAsia="es-MX"/>
              </w:rPr>
            </w:pPr>
            <w:r w:rsidRPr="00D202CC">
              <w:rPr>
                <w:rFonts w:ascii="Verdana" w:eastAsia="Arial" w:hAnsi="Verdana" w:cs="Arial"/>
                <w:sz w:val="16"/>
                <w:szCs w:val="16"/>
                <w:lang w:val="es-ES" w:eastAsia="es-MX"/>
              </w:rPr>
              <w:t xml:space="preserve">Carlos Mario Castrillón Endo </w:t>
            </w:r>
          </w:p>
          <w:p w14:paraId="23839676" w14:textId="77777777" w:rsidR="00D202CC" w:rsidRPr="00D202CC" w:rsidRDefault="00D202CC" w:rsidP="00D202CC">
            <w:pPr>
              <w:rPr>
                <w:rFonts w:ascii="Verdana" w:eastAsia="Arial" w:hAnsi="Verdana" w:cs="Arial"/>
                <w:sz w:val="16"/>
                <w:szCs w:val="16"/>
                <w:lang w:val="es-ES_tradnl" w:eastAsia="es-MX"/>
              </w:rPr>
            </w:pPr>
            <w:r w:rsidRPr="00D202CC">
              <w:rPr>
                <w:rFonts w:ascii="Verdana" w:eastAsia="Arial" w:hAnsi="Verdana" w:cs="Arial"/>
                <w:sz w:val="16"/>
                <w:szCs w:val="16"/>
                <w:lang w:val="es-ES_tradnl" w:eastAsia="es-MX"/>
              </w:rPr>
              <w:t>Contratista de la Subdirección de Gestión Contractual</w:t>
            </w:r>
          </w:p>
          <w:p w14:paraId="0A2FEB23" w14:textId="77777777" w:rsidR="00D202CC" w:rsidRPr="00D202CC" w:rsidRDefault="00D202CC" w:rsidP="00D202CC">
            <w:pPr>
              <w:rPr>
                <w:rFonts w:ascii="Verdana" w:eastAsia="Arial" w:hAnsi="Verdana" w:cs="Arial"/>
                <w:sz w:val="16"/>
                <w:szCs w:val="16"/>
                <w:lang w:val="es-ES_tradnl" w:eastAsia="es-MX"/>
              </w:rPr>
            </w:pPr>
          </w:p>
        </w:tc>
      </w:tr>
      <w:tr w:rsidR="00D202CC" w:rsidRPr="00D202CC" w14:paraId="5EB0A1A3" w14:textId="77777777" w:rsidTr="00670B64">
        <w:trPr>
          <w:trHeight w:val="338"/>
        </w:trPr>
        <w:tc>
          <w:tcPr>
            <w:tcW w:w="1041" w:type="dxa"/>
            <w:vAlign w:val="center"/>
            <w:hideMark/>
          </w:tcPr>
          <w:p w14:paraId="4F503A39" w14:textId="77777777" w:rsidR="00D202CC" w:rsidRPr="00D202CC" w:rsidRDefault="00D202CC" w:rsidP="00D202CC">
            <w:pPr>
              <w:rPr>
                <w:rFonts w:ascii="Verdana" w:eastAsia="Calibri" w:hAnsi="Verdana" w:cs="Arial"/>
                <w:sz w:val="16"/>
                <w:szCs w:val="16"/>
                <w:lang w:val="es-ES_tradnl" w:eastAsia="es-ES"/>
              </w:rPr>
            </w:pPr>
            <w:r w:rsidRPr="00D202C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3D67A97" w14:textId="77777777" w:rsidR="00D202CC" w:rsidRPr="00D202CC" w:rsidRDefault="00D202CC" w:rsidP="00D202CC">
            <w:pPr>
              <w:rPr>
                <w:rFonts w:ascii="Verdana" w:eastAsia="Arial" w:hAnsi="Verdana" w:cs="Arial"/>
                <w:sz w:val="16"/>
                <w:szCs w:val="16"/>
                <w:lang w:val="es-ES_tradnl" w:eastAsia="es-MX"/>
              </w:rPr>
            </w:pPr>
            <w:r w:rsidRPr="00D202CC">
              <w:rPr>
                <w:rFonts w:ascii="Verdana" w:eastAsia="Arial" w:hAnsi="Verdana" w:cs="Arial"/>
                <w:sz w:val="16"/>
                <w:szCs w:val="16"/>
                <w:lang w:val="es-ES_tradnl" w:eastAsia="es-MX"/>
              </w:rPr>
              <w:t>Alexandra Rodríguez Motta</w:t>
            </w:r>
          </w:p>
          <w:p w14:paraId="6629E38C" w14:textId="77777777" w:rsidR="00D202CC" w:rsidRPr="00D202CC" w:rsidRDefault="00D202CC" w:rsidP="00D202CC">
            <w:pPr>
              <w:rPr>
                <w:rFonts w:ascii="Verdana" w:eastAsia="Arial" w:hAnsi="Verdana" w:cs="Arial"/>
                <w:sz w:val="16"/>
                <w:szCs w:val="16"/>
                <w:lang w:val="es-ES_tradnl" w:eastAsia="es-MX"/>
              </w:rPr>
            </w:pPr>
            <w:r w:rsidRPr="00D202CC">
              <w:rPr>
                <w:rFonts w:ascii="Verdana" w:eastAsia="Arial" w:hAnsi="Verdana" w:cs="Arial"/>
                <w:sz w:val="16"/>
                <w:szCs w:val="16"/>
                <w:lang w:val="es-ES_tradnl" w:eastAsia="es-MX"/>
              </w:rPr>
              <w:t>Contratista de la Subdirección de Gestión Contractual</w:t>
            </w:r>
          </w:p>
          <w:p w14:paraId="700B52E4" w14:textId="77777777" w:rsidR="00D202CC" w:rsidRPr="00D202CC" w:rsidRDefault="00D202CC" w:rsidP="00D202CC">
            <w:pPr>
              <w:rPr>
                <w:rFonts w:ascii="Verdana" w:eastAsia="Arial" w:hAnsi="Verdana" w:cs="Arial"/>
                <w:sz w:val="16"/>
                <w:szCs w:val="16"/>
                <w:lang w:val="es-ES_tradnl" w:eastAsia="es-MX"/>
              </w:rPr>
            </w:pPr>
            <w:r w:rsidRPr="00D202CC">
              <w:rPr>
                <w:rFonts w:ascii="Verdana" w:eastAsia="Arial" w:hAnsi="Verdana" w:cs="Arial"/>
                <w:sz w:val="16"/>
                <w:szCs w:val="16"/>
                <w:lang w:val="es-ES_tradnl" w:eastAsia="es-MX"/>
              </w:rPr>
              <w:t>Martha Alicia Romero Vargas</w:t>
            </w:r>
          </w:p>
          <w:p w14:paraId="7D77D748" w14:textId="77777777" w:rsidR="00D202CC" w:rsidRPr="00D202CC" w:rsidRDefault="00D202CC" w:rsidP="00D202CC">
            <w:pPr>
              <w:rPr>
                <w:rFonts w:ascii="Verdana" w:eastAsia="Arial" w:hAnsi="Verdana" w:cs="Arial"/>
                <w:sz w:val="16"/>
                <w:szCs w:val="16"/>
                <w:lang w:val="es-ES_tradnl" w:eastAsia="es-MX"/>
              </w:rPr>
            </w:pPr>
            <w:r w:rsidRPr="00D202CC">
              <w:rPr>
                <w:rFonts w:ascii="Verdana" w:eastAsia="Arial" w:hAnsi="Verdana" w:cs="Arial"/>
                <w:sz w:val="16"/>
                <w:szCs w:val="16"/>
                <w:lang w:val="es-ES_tradnl" w:eastAsia="es-MX"/>
              </w:rPr>
              <w:t>Gestor T1-15 de la Subdirección de Gestión Contractual</w:t>
            </w:r>
          </w:p>
          <w:p w14:paraId="798AD8EB" w14:textId="77777777" w:rsidR="00D202CC" w:rsidRPr="00D202CC" w:rsidRDefault="00D202CC" w:rsidP="00D202CC">
            <w:pPr>
              <w:rPr>
                <w:rFonts w:ascii="Verdana" w:eastAsia="Arial" w:hAnsi="Verdana" w:cs="Arial"/>
                <w:sz w:val="16"/>
                <w:szCs w:val="16"/>
                <w:lang w:val="es-ES_tradnl" w:eastAsia="es-MX"/>
              </w:rPr>
            </w:pPr>
          </w:p>
        </w:tc>
      </w:tr>
      <w:tr w:rsidR="00D202CC" w:rsidRPr="00D202CC" w14:paraId="3B87A048" w14:textId="77777777" w:rsidTr="00670B64">
        <w:trPr>
          <w:trHeight w:val="308"/>
        </w:trPr>
        <w:tc>
          <w:tcPr>
            <w:tcW w:w="1041" w:type="dxa"/>
            <w:vAlign w:val="center"/>
          </w:tcPr>
          <w:p w14:paraId="3935C434" w14:textId="77777777" w:rsidR="00D202CC" w:rsidRPr="00D202CC" w:rsidRDefault="00D202CC" w:rsidP="00D202CC">
            <w:pPr>
              <w:rPr>
                <w:rFonts w:ascii="Verdana" w:eastAsia="Calibri" w:hAnsi="Verdana" w:cs="Arial"/>
                <w:sz w:val="16"/>
                <w:szCs w:val="16"/>
                <w:lang w:val="es-ES_tradnl" w:eastAsia="es-ES"/>
              </w:rPr>
            </w:pPr>
            <w:r w:rsidRPr="00D202CC">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EB4DE7F" w14:textId="77777777" w:rsidR="00D202CC" w:rsidRPr="00D202CC" w:rsidRDefault="00D202CC" w:rsidP="00D202CC">
            <w:pPr>
              <w:rPr>
                <w:rFonts w:ascii="Verdana" w:eastAsia="Calibri" w:hAnsi="Verdana" w:cs="Arial"/>
                <w:sz w:val="16"/>
                <w:szCs w:val="16"/>
                <w:lang w:val="es-ES" w:eastAsia="es-ES"/>
              </w:rPr>
            </w:pPr>
            <w:r w:rsidRPr="00D202CC">
              <w:rPr>
                <w:rFonts w:ascii="Verdana" w:eastAsia="Calibri" w:hAnsi="Verdana" w:cs="Arial"/>
                <w:sz w:val="16"/>
                <w:szCs w:val="16"/>
                <w:lang w:val="es-ES" w:eastAsia="es-ES"/>
              </w:rPr>
              <w:t>Carolina Quintero Gacharná</w:t>
            </w:r>
          </w:p>
          <w:p w14:paraId="5BC8A5A5" w14:textId="77777777" w:rsidR="00D202CC" w:rsidRPr="00D202CC" w:rsidRDefault="00D202CC" w:rsidP="00D202CC">
            <w:pPr>
              <w:rPr>
                <w:rFonts w:ascii="Verdana" w:eastAsia="Calibri" w:hAnsi="Verdana" w:cs="Arial"/>
                <w:sz w:val="16"/>
                <w:szCs w:val="16"/>
                <w:lang w:val="es-ES_tradnl" w:eastAsia="es-ES"/>
              </w:rPr>
            </w:pPr>
            <w:r w:rsidRPr="00D202CC">
              <w:rPr>
                <w:rFonts w:ascii="Verdana" w:eastAsia="Calibri" w:hAnsi="Verdana" w:cs="Arial"/>
                <w:sz w:val="16"/>
                <w:szCs w:val="16"/>
                <w:lang w:val="es-ES_tradnl" w:eastAsia="es-ES"/>
              </w:rPr>
              <w:t>Subdirectora de Gestión Contractual ANCP – CCE</w:t>
            </w:r>
          </w:p>
        </w:tc>
      </w:tr>
    </w:tbl>
    <w:p w14:paraId="5D1CAEDD" w14:textId="77777777" w:rsidR="00D202CC" w:rsidRPr="00D202CC" w:rsidRDefault="00D202CC" w:rsidP="00D202CC">
      <w:pPr>
        <w:spacing w:after="0" w:line="240" w:lineRule="auto"/>
        <w:jc w:val="both"/>
        <w:textAlignment w:val="baseline"/>
        <w:rPr>
          <w:rFonts w:ascii="Verdana" w:eastAsia="Verdana" w:hAnsi="Verdana" w:cs="Verdana"/>
          <w:lang w:eastAsia="es-CO"/>
        </w:rPr>
      </w:pPr>
    </w:p>
    <w:p w14:paraId="1006A388" w14:textId="6F76664A" w:rsidR="00C15139" w:rsidRPr="00D202CC" w:rsidRDefault="00C15139" w:rsidP="00D202CC">
      <w:pPr>
        <w:spacing w:after="0" w:line="240" w:lineRule="auto"/>
        <w:textAlignment w:val="baseline"/>
        <w:rPr>
          <w:rFonts w:ascii="Verdana" w:eastAsia="Calibri" w:hAnsi="Verdana" w:cs="Arial"/>
          <w:color w:val="0000FF"/>
          <w:u w:val="single"/>
          <w:shd w:val="clear" w:color="auto" w:fill="FFFFFF"/>
          <w:lang w:eastAsia="es-MX"/>
        </w:rPr>
      </w:pPr>
    </w:p>
    <w:p w14:paraId="69BC4D14" w14:textId="5FC46AB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28BE" w14:textId="77777777" w:rsidR="00BA10F6" w:rsidRDefault="00BA10F6" w:rsidP="004A1847">
      <w:pPr>
        <w:spacing w:after="0" w:line="240" w:lineRule="auto"/>
      </w:pPr>
      <w:r>
        <w:separator/>
      </w:r>
    </w:p>
  </w:endnote>
  <w:endnote w:type="continuationSeparator" w:id="0">
    <w:p w14:paraId="7028C7B8" w14:textId="77777777" w:rsidR="00BA10F6" w:rsidRDefault="00BA10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D202CC">
      <w:rPr>
        <w:rFonts w:ascii="Verdana" w:eastAsia="Verdana" w:hAnsi="Verdana" w:cs="Verdana"/>
        <w:b/>
        <w:bCs/>
        <w:color w:val="000000"/>
        <w:sz w:val="18"/>
        <w:szCs w:val="18"/>
        <w:lang w:eastAsia="es-CO"/>
      </w:rPr>
      <w:t xml:space="preserve">Código: </w:t>
    </w:r>
    <w:r w:rsidRPr="00D202CC">
      <w:rPr>
        <w:rFonts w:ascii="Verdana" w:eastAsia="Verdana" w:hAnsi="Verdana" w:cs="Verdana"/>
        <w:color w:val="000000"/>
        <w:sz w:val="18"/>
        <w:szCs w:val="18"/>
        <w:lang w:eastAsia="es-CO"/>
      </w:rPr>
      <w:t xml:space="preserve">CCE-REC-FM-17 </w:t>
    </w:r>
    <w:r w:rsidRPr="00D202CC">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0251" w14:textId="77777777" w:rsidR="00BA10F6" w:rsidRDefault="00BA10F6" w:rsidP="004A1847">
      <w:pPr>
        <w:spacing w:after="0" w:line="240" w:lineRule="auto"/>
      </w:pPr>
      <w:r>
        <w:separator/>
      </w:r>
    </w:p>
  </w:footnote>
  <w:footnote w:type="continuationSeparator" w:id="0">
    <w:p w14:paraId="4D7784BB" w14:textId="77777777" w:rsidR="00BA10F6" w:rsidRDefault="00BA10F6" w:rsidP="004A1847">
      <w:pPr>
        <w:spacing w:after="0" w:line="240" w:lineRule="auto"/>
      </w:pPr>
      <w:r>
        <w:continuationSeparator/>
      </w:r>
    </w:p>
  </w:footnote>
  <w:footnote w:id="1">
    <w:p w14:paraId="15839077" w14:textId="77777777" w:rsidR="00D202CC" w:rsidRPr="00357B94" w:rsidRDefault="00D202CC" w:rsidP="00D202CC">
      <w:pPr>
        <w:pStyle w:val="Textonotapie"/>
        <w:ind w:firstLine="708"/>
        <w:jc w:val="both"/>
        <w:rPr>
          <w:rFonts w:ascii="Verdana" w:hAnsi="Verdana"/>
          <w:sz w:val="18"/>
          <w:szCs w:val="18"/>
        </w:rPr>
      </w:pPr>
      <w:r w:rsidRPr="00357B94">
        <w:rPr>
          <w:rStyle w:val="Refdenotaalpie"/>
          <w:rFonts w:ascii="Verdana" w:eastAsia="Times New Roman" w:hAnsi="Verdana"/>
          <w:sz w:val="18"/>
          <w:szCs w:val="18"/>
        </w:rPr>
        <w:footnoteRef/>
      </w:r>
      <w:r w:rsidRPr="00357B94">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7349DFE6" w14:textId="77777777" w:rsidR="00D202CC" w:rsidRPr="00357B94" w:rsidRDefault="00D202CC" w:rsidP="00D202CC">
      <w:pPr>
        <w:pStyle w:val="Textonotapie"/>
        <w:ind w:firstLine="708"/>
        <w:jc w:val="both"/>
        <w:rPr>
          <w:rFonts w:ascii="Verdana" w:hAnsi="Verdana"/>
          <w:sz w:val="18"/>
          <w:szCs w:val="18"/>
        </w:rPr>
      </w:pPr>
    </w:p>
    <w:p w14:paraId="741F5D02" w14:textId="77777777" w:rsidR="00D202CC" w:rsidRPr="00357B94" w:rsidRDefault="00D202CC" w:rsidP="00D202CC">
      <w:pPr>
        <w:pStyle w:val="Textonotapie"/>
        <w:ind w:firstLine="708"/>
        <w:jc w:val="both"/>
        <w:rPr>
          <w:rFonts w:ascii="Verdana" w:hAnsi="Verdana"/>
          <w:sz w:val="18"/>
          <w:szCs w:val="18"/>
        </w:rPr>
      </w:pPr>
      <w:r w:rsidRPr="00357B94">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240097D" w14:textId="77777777" w:rsidR="00D202CC" w:rsidRPr="00357B94" w:rsidRDefault="00D202CC" w:rsidP="00D202CC">
      <w:pPr>
        <w:pStyle w:val="Textonotapie"/>
        <w:ind w:firstLine="708"/>
        <w:jc w:val="both"/>
        <w:rPr>
          <w:rFonts w:ascii="Verdana" w:hAnsi="Verdana"/>
          <w:sz w:val="18"/>
          <w:szCs w:val="18"/>
        </w:rPr>
      </w:pPr>
    </w:p>
    <w:p w14:paraId="1DB8F2AE" w14:textId="77777777" w:rsidR="00D202CC" w:rsidRPr="00357B94" w:rsidRDefault="00D202CC" w:rsidP="00D202CC">
      <w:pPr>
        <w:pStyle w:val="Textonotapie"/>
        <w:ind w:firstLine="708"/>
        <w:jc w:val="both"/>
        <w:rPr>
          <w:rFonts w:ascii="Verdana" w:hAnsi="Verdana"/>
          <w:sz w:val="18"/>
          <w:szCs w:val="18"/>
        </w:rPr>
      </w:pPr>
      <w:r w:rsidRPr="00357B94">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5B42B0D6" w14:textId="77777777" w:rsidR="00D202CC" w:rsidRPr="00357B94" w:rsidRDefault="00D202CC" w:rsidP="00D202CC">
      <w:pPr>
        <w:pStyle w:val="Textonotapie"/>
        <w:ind w:firstLine="708"/>
        <w:jc w:val="both"/>
        <w:rPr>
          <w:rFonts w:ascii="Verdana" w:hAnsi="Verdana"/>
          <w:sz w:val="18"/>
          <w:szCs w:val="18"/>
        </w:rPr>
      </w:pPr>
    </w:p>
    <w:p w14:paraId="2886E15A" w14:textId="77777777" w:rsidR="00D202CC" w:rsidRPr="00357B94" w:rsidRDefault="00D202CC" w:rsidP="00D202CC">
      <w:pPr>
        <w:pStyle w:val="Textonotapie"/>
        <w:ind w:firstLine="708"/>
        <w:jc w:val="both"/>
        <w:rPr>
          <w:rFonts w:ascii="Verdana" w:hAnsi="Verdana"/>
          <w:sz w:val="18"/>
          <w:szCs w:val="18"/>
        </w:rPr>
      </w:pPr>
      <w:r w:rsidRPr="00357B94">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9800AD7" w14:textId="77777777" w:rsidR="00D202CC" w:rsidRPr="00357B94" w:rsidRDefault="00D202CC" w:rsidP="00D202CC">
      <w:pPr>
        <w:pStyle w:val="Textonotapie"/>
        <w:ind w:firstLine="708"/>
        <w:jc w:val="both"/>
        <w:rPr>
          <w:rFonts w:ascii="Verdana" w:hAnsi="Verdana"/>
          <w:sz w:val="18"/>
          <w:szCs w:val="18"/>
        </w:rPr>
      </w:pPr>
    </w:p>
    <w:p w14:paraId="202CCF72" w14:textId="77777777" w:rsidR="00D202CC" w:rsidRPr="00357B94" w:rsidRDefault="00D202CC" w:rsidP="00D202CC">
      <w:pPr>
        <w:pStyle w:val="Textonotapie"/>
        <w:ind w:firstLine="708"/>
        <w:jc w:val="both"/>
        <w:rPr>
          <w:rFonts w:ascii="Verdana" w:hAnsi="Verdana"/>
          <w:sz w:val="18"/>
          <w:szCs w:val="18"/>
        </w:rPr>
      </w:pPr>
      <w:r w:rsidRPr="00357B94">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721F0D1F" w14:textId="77777777" w:rsidR="00D202CC" w:rsidRPr="00357B94" w:rsidRDefault="00D202CC" w:rsidP="00D202CC">
      <w:pPr>
        <w:pStyle w:val="Textonotapie"/>
        <w:ind w:firstLine="708"/>
        <w:rPr>
          <w:rFonts w:ascii="Verdana" w:hAnsi="Verdana"/>
          <w:sz w:val="18"/>
          <w:szCs w:val="18"/>
          <w:lang w:val="es-ES_tradnl"/>
        </w:rPr>
      </w:pPr>
      <w:r w:rsidRPr="00357B94">
        <w:rPr>
          <w:rStyle w:val="Refdenotaalpie"/>
          <w:rFonts w:ascii="Verdana" w:hAnsi="Verdana"/>
          <w:sz w:val="18"/>
          <w:szCs w:val="18"/>
        </w:rPr>
        <w:footnoteRef/>
      </w:r>
      <w:r w:rsidRPr="00357B94">
        <w:rPr>
          <w:rFonts w:ascii="Verdana" w:hAnsi="Verdana"/>
          <w:sz w:val="18"/>
          <w:szCs w:val="18"/>
        </w:rPr>
        <w:t xml:space="preserve"> Definición tomada de la página web del Ministerio de Vivienda, Ciudad y Territorio en el siguiente enlace: </w:t>
      </w:r>
      <w:hyperlink r:id="rId1" w:history="1">
        <w:r w:rsidRPr="00357B94">
          <w:rPr>
            <w:rStyle w:val="Hipervnculo"/>
            <w:rFonts w:ascii="Verdana" w:hAnsi="Verdana"/>
            <w:sz w:val="18"/>
            <w:szCs w:val="18"/>
          </w:rPr>
          <w:t>https://www.minvivienda.gov.co/node/46738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8700460">
    <w:abstractNumId w:val="9"/>
  </w:num>
  <w:num w:numId="17" w16cid:durableId="120744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DB1"/>
    <w:rsid w:val="00016F78"/>
    <w:rsid w:val="00046945"/>
    <w:rsid w:val="00061B2A"/>
    <w:rsid w:val="00082362"/>
    <w:rsid w:val="000A4E36"/>
    <w:rsid w:val="000A683E"/>
    <w:rsid w:val="000B19B9"/>
    <w:rsid w:val="000D0334"/>
    <w:rsid w:val="000D5DA7"/>
    <w:rsid w:val="000F6486"/>
    <w:rsid w:val="00116940"/>
    <w:rsid w:val="00125105"/>
    <w:rsid w:val="00127233"/>
    <w:rsid w:val="0015699B"/>
    <w:rsid w:val="001A33BF"/>
    <w:rsid w:val="001E4177"/>
    <w:rsid w:val="001F0B24"/>
    <w:rsid w:val="001F7DC6"/>
    <w:rsid w:val="0022215B"/>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2EC3"/>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96007"/>
    <w:rsid w:val="005A65E0"/>
    <w:rsid w:val="005C3777"/>
    <w:rsid w:val="005C5CDC"/>
    <w:rsid w:val="005D476C"/>
    <w:rsid w:val="006200BF"/>
    <w:rsid w:val="006219F8"/>
    <w:rsid w:val="00622450"/>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D6EA5"/>
    <w:rsid w:val="007E5497"/>
    <w:rsid w:val="007F72F2"/>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5989"/>
    <w:rsid w:val="00AB0ADB"/>
    <w:rsid w:val="00B00C0E"/>
    <w:rsid w:val="00B01B1A"/>
    <w:rsid w:val="00B0381D"/>
    <w:rsid w:val="00B44A47"/>
    <w:rsid w:val="00B72CD3"/>
    <w:rsid w:val="00B72FFF"/>
    <w:rsid w:val="00BA10F6"/>
    <w:rsid w:val="00BC3D36"/>
    <w:rsid w:val="00BD54A6"/>
    <w:rsid w:val="00BD7F72"/>
    <w:rsid w:val="00BF7425"/>
    <w:rsid w:val="00C04FB3"/>
    <w:rsid w:val="00C11D8B"/>
    <w:rsid w:val="00C15139"/>
    <w:rsid w:val="00C330EB"/>
    <w:rsid w:val="00C50D69"/>
    <w:rsid w:val="00C5365C"/>
    <w:rsid w:val="00C61098"/>
    <w:rsid w:val="00C754BE"/>
    <w:rsid w:val="00C76B1C"/>
    <w:rsid w:val="00C925AC"/>
    <w:rsid w:val="00CB6357"/>
    <w:rsid w:val="00CC1B26"/>
    <w:rsid w:val="00D202CC"/>
    <w:rsid w:val="00D361FD"/>
    <w:rsid w:val="00D423A2"/>
    <w:rsid w:val="00D44E26"/>
    <w:rsid w:val="00D520D8"/>
    <w:rsid w:val="00D63AC2"/>
    <w:rsid w:val="00D7383B"/>
    <w:rsid w:val="00D7788A"/>
    <w:rsid w:val="00DA231B"/>
    <w:rsid w:val="00DB5965"/>
    <w:rsid w:val="00DC39FC"/>
    <w:rsid w:val="00DF5254"/>
    <w:rsid w:val="00E02524"/>
    <w:rsid w:val="00E15A98"/>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33B4"/>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2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202CC"/>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invivienda.gov.co/node/4673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2CECD11-CE00-4E7B-9D6F-E89787A1C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19</Pages>
  <Words>6951</Words>
  <Characters>38235</Characters>
  <Application>Microsoft Office Word</Application>
  <DocSecurity>0</DocSecurity>
  <Lines>318</Lines>
  <Paragraphs>90</Paragraphs>
  <ScaleCrop>false</ScaleCrop>
  <Company/>
  <LinksUpToDate>false</LinksUpToDate>
  <CharactersWithSpaces>45096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2026-09-04T00:13:00Z</dcterms:created>
  <dcterms:modified xsi:type="dcterms:W3CDTF">2026-09-15T13:58:00Z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