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2BAF" w14:textId="77777777" w:rsidR="00A21449" w:rsidRPr="006A332E" w:rsidRDefault="00A21449" w:rsidP="00A21449">
      <w:pPr>
        <w:spacing w:after="0" w:line="240" w:lineRule="auto"/>
        <w:contextualSpacing/>
        <w:jc w:val="both"/>
        <w:rPr>
          <w:rFonts w:ascii="Verdana" w:eastAsia="Calibri" w:hAnsi="Verdana" w:cs="Arial"/>
          <w:b/>
          <w:bCs/>
          <w:lang w:val="es-ES_tradnl" w:eastAsia="es-ES"/>
        </w:rPr>
      </w:pPr>
      <w:r w:rsidRPr="006A332E">
        <w:rPr>
          <w:rFonts w:ascii="Verdana" w:eastAsia="Calibri" w:hAnsi="Verdana" w:cs="Arial"/>
          <w:b/>
          <w:bCs/>
          <w:lang w:val="es-ES_tradnl" w:eastAsia="es-ES"/>
        </w:rPr>
        <w:t>SISTEMA DE PREFERENCIA PARA PERSONAS CON DISCAPACIDAD ‒ Constitución Política ‒ Ley 1618 de 2013</w:t>
      </w:r>
    </w:p>
    <w:p w14:paraId="4C989C3C" w14:textId="77777777" w:rsidR="00A21449" w:rsidRPr="006A332E" w:rsidRDefault="00A21449" w:rsidP="00A21449">
      <w:pPr>
        <w:spacing w:after="0" w:line="240" w:lineRule="auto"/>
        <w:contextualSpacing/>
        <w:jc w:val="both"/>
        <w:rPr>
          <w:rFonts w:ascii="Verdana" w:eastAsia="Calibri" w:hAnsi="Verdana" w:cs="Arial"/>
          <w:sz w:val="20"/>
          <w:szCs w:val="20"/>
          <w:lang w:val="es-ES_tradnl" w:eastAsia="es-ES"/>
        </w:rPr>
      </w:pPr>
    </w:p>
    <w:p w14:paraId="15AE8477" w14:textId="77777777" w:rsidR="00A21449" w:rsidRPr="006A332E" w:rsidRDefault="00A21449" w:rsidP="00A21449">
      <w:pPr>
        <w:spacing w:after="0" w:line="240" w:lineRule="auto"/>
        <w:contextualSpacing/>
        <w:jc w:val="both"/>
        <w:rPr>
          <w:rFonts w:ascii="Verdana" w:eastAsia="Calibri" w:hAnsi="Verdana" w:cs="Arial"/>
          <w:sz w:val="20"/>
          <w:szCs w:val="20"/>
          <w:lang w:eastAsia="es-ES"/>
        </w:rPr>
      </w:pPr>
      <w:r w:rsidRPr="006A332E">
        <w:rPr>
          <w:rFonts w:ascii="Verdana" w:eastAsia="Calibri" w:hAnsi="Verdana" w:cs="Arial"/>
          <w:sz w:val="20"/>
          <w:szCs w:val="20"/>
          <w:lang w:eastAsia="es-ES"/>
        </w:rPr>
        <w:t xml:space="preserve">[…] </w:t>
      </w:r>
      <w:r w:rsidRPr="006A332E">
        <w:rPr>
          <w:rFonts w:ascii="Verdana" w:eastAsia="Calibri" w:hAnsi="Verdana" w:cs="Arial"/>
          <w:sz w:val="20"/>
          <w:szCs w:val="20"/>
          <w:lang w:val="es-ES" w:eastAsia="es-ES"/>
        </w:rPr>
        <w:t>El fundamento del Sistema de Preferencias para Personas con Discapacidad (PcD) en la contratación pública es el principio de igualdad real y efectiva consagrado en el artículo 13 de la Constitución Política de 1991, que impone al Estado el deber positivo de adoptar acciones afirmativas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6A332E">
        <w:rPr>
          <w:rFonts w:ascii="Verdana" w:eastAsia="Calibri" w:hAnsi="Verdana" w:cs="Arial"/>
          <w:sz w:val="20"/>
          <w:szCs w:val="20"/>
          <w:lang w:eastAsia="es-ES"/>
        </w:rPr>
        <w:t xml:space="preserve"> […]</w:t>
      </w:r>
    </w:p>
    <w:p w14:paraId="631C7476" w14:textId="77777777" w:rsidR="00A21449" w:rsidRPr="006A332E" w:rsidRDefault="00A21449" w:rsidP="00A21449">
      <w:pPr>
        <w:spacing w:after="0" w:line="240" w:lineRule="auto"/>
        <w:contextualSpacing/>
        <w:jc w:val="both"/>
        <w:rPr>
          <w:rFonts w:ascii="Verdana" w:eastAsia="Calibri" w:hAnsi="Verdana" w:cs="Arial"/>
          <w:sz w:val="20"/>
          <w:szCs w:val="20"/>
          <w:lang w:val="es-ES_tradnl" w:eastAsia="es-ES"/>
        </w:rPr>
      </w:pPr>
    </w:p>
    <w:p w14:paraId="55ACCBA7" w14:textId="77777777" w:rsidR="00A21449" w:rsidRPr="006A332E" w:rsidRDefault="00A21449" w:rsidP="00A21449">
      <w:pPr>
        <w:spacing w:after="0" w:line="240" w:lineRule="auto"/>
        <w:contextualSpacing/>
        <w:jc w:val="both"/>
        <w:rPr>
          <w:rFonts w:ascii="Verdana" w:eastAsia="Calibri" w:hAnsi="Verdana" w:cs="Arial"/>
          <w:sz w:val="20"/>
          <w:szCs w:val="20"/>
          <w:lang w:val="es-ES" w:eastAsia="es-ES"/>
        </w:rPr>
      </w:pPr>
      <w:r w:rsidRPr="006A332E">
        <w:rPr>
          <w:rFonts w:ascii="Verdana" w:eastAsia="Calibri" w:hAnsi="Verdana" w:cs="Arial"/>
          <w:sz w:val="20"/>
          <w:szCs w:val="20"/>
          <w:lang w:val="es-ES" w:eastAsia="es-ES"/>
        </w:rPr>
        <w:t>La Ley Estatutaria 1618 de 2013 representó un salto cualitativo en el marco jurídico de protección de las PcD,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 Este último mandato fue especialmente significativo porque introdujo el concepto de "sistema de preferencias", que por definición no puede reducirse a una sola medida sino que implica un conjunto estructurado de instrumentos que actúen en las distintas fases del proceso contractual. […]</w:t>
      </w:r>
    </w:p>
    <w:p w14:paraId="610D9803" w14:textId="77777777" w:rsidR="00A21449" w:rsidRPr="00E4738A" w:rsidRDefault="00A21449" w:rsidP="00A21449">
      <w:pPr>
        <w:spacing w:after="0"/>
        <w:jc w:val="both"/>
        <w:rPr>
          <w:rFonts w:ascii="Verdana" w:eastAsia="Verdana" w:hAnsi="Verdana" w:cs="Verdana"/>
          <w:b/>
          <w:color w:val="EE0000"/>
          <w:sz w:val="24"/>
          <w:szCs w:val="24"/>
          <w:lang w:val="es-MX"/>
        </w:rPr>
      </w:pPr>
    </w:p>
    <w:p w14:paraId="618D9CD4" w14:textId="77777777" w:rsidR="00A21449" w:rsidRPr="00D11711" w:rsidRDefault="00A21449" w:rsidP="00A21449">
      <w:pPr>
        <w:spacing w:after="0" w:line="240" w:lineRule="auto"/>
        <w:jc w:val="both"/>
        <w:rPr>
          <w:rFonts w:ascii="Verdana" w:eastAsia="Calibri" w:hAnsi="Verdana" w:cs="Arial"/>
          <w:b/>
          <w:bCs/>
          <w:lang w:val="pt-BR" w:eastAsia="es-ES"/>
        </w:rPr>
      </w:pPr>
      <w:r w:rsidRPr="00D11711">
        <w:rPr>
          <w:rFonts w:ascii="Verdana" w:eastAsia="Calibri" w:hAnsi="Verdana" w:cs="Arial"/>
          <w:b/>
          <w:bCs/>
          <w:lang w:val="pt-BR" w:eastAsia="es-ES"/>
        </w:rPr>
        <w:t xml:space="preserve">DECRETO 287 DE 2026 ‒ Antecedentes normativos ‒ Decreto 392 de 2018 </w:t>
      </w:r>
    </w:p>
    <w:p w14:paraId="10C666E2" w14:textId="77777777" w:rsidR="00A21449" w:rsidRPr="00D11711" w:rsidRDefault="00A21449" w:rsidP="00A21449">
      <w:pPr>
        <w:spacing w:after="0" w:line="240" w:lineRule="auto"/>
        <w:jc w:val="both"/>
        <w:rPr>
          <w:rFonts w:ascii="Verdana" w:eastAsia="Calibri" w:hAnsi="Verdana" w:cs="Arial"/>
          <w:b/>
          <w:bCs/>
          <w:lang w:val="pt-BR" w:eastAsia="es-ES"/>
        </w:rPr>
      </w:pPr>
    </w:p>
    <w:p w14:paraId="266594DD" w14:textId="77777777" w:rsidR="00A21449" w:rsidRDefault="00A21449" w:rsidP="00A21449">
      <w:pPr>
        <w:spacing w:after="0" w:line="240" w:lineRule="auto"/>
        <w:jc w:val="both"/>
        <w:rPr>
          <w:rFonts w:ascii="Verdana" w:eastAsia="Calibri" w:hAnsi="Verdana" w:cs="Arial"/>
          <w:sz w:val="20"/>
          <w:szCs w:val="20"/>
          <w:lang w:eastAsia="es-ES"/>
        </w:rPr>
      </w:pPr>
      <w:r w:rsidRPr="006A332E">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r w:rsidRPr="00915323">
        <w:rPr>
          <w:rFonts w:ascii="Verdana" w:eastAsia="Calibri" w:hAnsi="Verdana" w:cs="Arial"/>
          <w:sz w:val="20"/>
          <w:szCs w:val="20"/>
          <w:lang w:eastAsia="es-ES"/>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pues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220CB4EF" w14:textId="77777777" w:rsidR="00A21449" w:rsidRPr="00915323" w:rsidRDefault="00A21449" w:rsidP="00A21449">
      <w:pPr>
        <w:spacing w:after="0" w:line="240" w:lineRule="auto"/>
        <w:jc w:val="both"/>
        <w:rPr>
          <w:rFonts w:ascii="Verdana" w:eastAsia="Calibri" w:hAnsi="Verdana" w:cs="Arial"/>
          <w:sz w:val="20"/>
          <w:szCs w:val="20"/>
          <w:lang w:eastAsia="es-ES"/>
        </w:rPr>
      </w:pPr>
    </w:p>
    <w:p w14:paraId="5C85F5B6" w14:textId="77777777" w:rsidR="00A21449" w:rsidRPr="00915323" w:rsidRDefault="00A21449" w:rsidP="00A21449">
      <w:pPr>
        <w:spacing w:after="0" w:line="240" w:lineRule="auto"/>
        <w:jc w:val="both"/>
        <w:rPr>
          <w:rFonts w:ascii="Verdana" w:eastAsia="Calibri" w:hAnsi="Verdana" w:cs="Arial"/>
          <w:sz w:val="20"/>
          <w:szCs w:val="20"/>
          <w:lang w:eastAsia="es-ES"/>
        </w:rPr>
      </w:pPr>
      <w:r w:rsidRPr="00915323">
        <w:rPr>
          <w:rFonts w:ascii="Verdana" w:eastAsia="Calibri" w:hAnsi="Verdana" w:cs="Arial"/>
          <w:sz w:val="20"/>
          <w:szCs w:val="20"/>
          <w:lang w:eastAsia="es-ES"/>
        </w:rPr>
        <w:t>Lo anterior fue ratificado por el Consejo de Estado</w:t>
      </w:r>
      <w:r>
        <w:rPr>
          <w:rFonts w:ascii="Verdana" w:eastAsia="Calibri" w:hAnsi="Verdana" w:cs="Arial"/>
          <w:sz w:val="20"/>
          <w:szCs w:val="20"/>
          <w:lang w:eastAsia="es-ES"/>
        </w:rPr>
        <w:t xml:space="preserve"> </w:t>
      </w:r>
      <w:r w:rsidRPr="00915323">
        <w:rPr>
          <w:rFonts w:ascii="Verdana" w:eastAsia="Calibri" w:hAnsi="Verdana" w:cs="Arial"/>
          <w:sz w:val="20"/>
          <w:szCs w:val="20"/>
          <w:lang w:eastAsia="es-ES"/>
        </w:rPr>
        <w:t xml:space="preserve">que mediante una acción de cumplimiento, declaró el incumplimiento del deber de reglamentar integralmente el </w:t>
      </w:r>
      <w:r w:rsidRPr="00915323">
        <w:rPr>
          <w:rFonts w:ascii="Verdana" w:eastAsia="Calibri" w:hAnsi="Verdana" w:cs="Arial"/>
          <w:sz w:val="20"/>
          <w:szCs w:val="20"/>
          <w:lang w:eastAsia="es-ES"/>
        </w:rPr>
        <w:lastRenderedPageBreak/>
        <w:t>artículo 13 de la Ley 1618 de 2013 y ordenó al Gobierno Nacional expedir la regulación necesaria para hacer efectivo el sistema de preferencias en favor de las personas con discapacidad, sus emprendimientos y empresas que las contratan. La Sala calificó la obligación como imperativa, expresa e inobjetable, señalando que el Gobierno Nacional no contaba con margen de discrecionalidad para decidir si reglamentaba o no el sistema de preferencias</w:t>
      </w:r>
      <w:r>
        <w:rPr>
          <w:rFonts w:ascii="Verdana" w:eastAsia="Calibri" w:hAnsi="Verdana" w:cs="Arial"/>
          <w:sz w:val="20"/>
          <w:szCs w:val="20"/>
          <w:lang w:eastAsia="es-ES"/>
        </w:rPr>
        <w:t xml:space="preserve"> </w:t>
      </w:r>
      <w:r w:rsidRPr="006A332E">
        <w:rPr>
          <w:rFonts w:ascii="Verdana" w:eastAsia="Calibri" w:hAnsi="Verdana" w:cs="Arial"/>
          <w:sz w:val="20"/>
          <w:szCs w:val="20"/>
          <w:lang w:val="es-ES" w:eastAsia="es-ES"/>
        </w:rPr>
        <w:t>[…]</w:t>
      </w:r>
    </w:p>
    <w:p w14:paraId="1A302C7F" w14:textId="77777777" w:rsidR="00A21449" w:rsidRDefault="00A21449" w:rsidP="00A21449">
      <w:pPr>
        <w:spacing w:after="0" w:line="240" w:lineRule="auto"/>
        <w:jc w:val="both"/>
        <w:rPr>
          <w:rFonts w:ascii="Verdana" w:eastAsia="Calibri" w:hAnsi="Verdana" w:cs="Arial"/>
          <w:lang w:eastAsia="es-ES"/>
        </w:rPr>
      </w:pPr>
    </w:p>
    <w:p w14:paraId="4527D4C2" w14:textId="77777777" w:rsidR="00A21449" w:rsidRDefault="00A21449" w:rsidP="00A21449">
      <w:pPr>
        <w:spacing w:after="0" w:line="240" w:lineRule="auto"/>
        <w:jc w:val="both"/>
        <w:rPr>
          <w:rFonts w:ascii="Verdana" w:eastAsia="Calibri" w:hAnsi="Verdana" w:cs="Arial"/>
          <w:b/>
          <w:bCs/>
          <w:lang w:val="es-ES_tradnl"/>
        </w:rPr>
      </w:pPr>
      <w:r w:rsidRPr="004C2794">
        <w:rPr>
          <w:rFonts w:ascii="Verdana" w:eastAsia="Calibri" w:hAnsi="Verdana" w:cs="Arial"/>
          <w:b/>
          <w:bCs/>
          <w:lang w:val="es-ES_tradnl"/>
        </w:rPr>
        <w:t xml:space="preserve">DECRETO 0287 DE 2026 ‒ Sistema Integral de Preferencias ‒ Contratación pública inclusiva ‒ Personas con discapacidad </w:t>
      </w:r>
    </w:p>
    <w:p w14:paraId="241A0167" w14:textId="77777777" w:rsidR="00A21449" w:rsidRDefault="00A21449" w:rsidP="00A21449">
      <w:pPr>
        <w:spacing w:after="0" w:line="240" w:lineRule="auto"/>
        <w:jc w:val="both"/>
        <w:rPr>
          <w:rFonts w:ascii="Verdana" w:eastAsia="Calibri" w:hAnsi="Verdana" w:cs="Arial"/>
          <w:color w:val="000000"/>
          <w:kern w:val="2"/>
          <w:sz w:val="20"/>
          <w:szCs w:val="20"/>
          <w:lang w:val="es-MX"/>
          <w14:ligatures w14:val="standardContextual"/>
        </w:rPr>
      </w:pPr>
    </w:p>
    <w:p w14:paraId="14B4879D" w14:textId="77777777" w:rsidR="00A21449" w:rsidRPr="001B3C5D" w:rsidRDefault="00A21449" w:rsidP="00A21449">
      <w:pPr>
        <w:spacing w:after="0" w:line="240" w:lineRule="auto"/>
        <w:jc w:val="both"/>
        <w:rPr>
          <w:rFonts w:ascii="Verdana" w:eastAsia="Calibri" w:hAnsi="Verdana" w:cs="Arial"/>
          <w:color w:val="000000"/>
          <w:kern w:val="2"/>
          <w:sz w:val="20"/>
          <w:szCs w:val="20"/>
          <w:lang w:val="es-MX"/>
          <w14:ligatures w14:val="standardContextual"/>
        </w:rPr>
      </w:pPr>
      <w:r w:rsidRPr="006A332E">
        <w:rPr>
          <w:rFonts w:ascii="Verdana" w:eastAsia="Calibri" w:hAnsi="Verdana" w:cs="Arial"/>
          <w:sz w:val="20"/>
          <w:szCs w:val="20"/>
          <w:lang w:val="es-ES" w:eastAsia="es-ES"/>
        </w:rPr>
        <w:t>[…]</w:t>
      </w:r>
      <w:r>
        <w:rPr>
          <w:rFonts w:ascii="Verdana" w:eastAsia="Calibri" w:hAnsi="Verdana" w:cs="Arial"/>
          <w:sz w:val="20"/>
          <w:szCs w:val="20"/>
          <w:lang w:val="es-ES" w:eastAsia="es-ES"/>
        </w:rPr>
        <w:t xml:space="preserve"> </w:t>
      </w:r>
      <w:r w:rsidRPr="00915323">
        <w:rPr>
          <w:rFonts w:ascii="Verdana" w:eastAsia="Calibri" w:hAnsi="Verdana" w:cs="Arial"/>
          <w:color w:val="000000"/>
          <w:kern w:val="2"/>
          <w:sz w:val="20"/>
          <w:szCs w:val="20"/>
          <w14:ligatures w14:val="standardContextual"/>
        </w:rPr>
        <w:t>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 Mediante la expedición del mencionado decreto, en aplicación directa de la Constitución Política y para que exista una igualdad material para las personas con discapacidad, se pretende subsanar la falta de acciones afirmativas del Decreto 392 de 2018, modificando los artículos 2.2.1.2.4.2.6, 2.2.1.2.4.2.7. y 2.2.1.2.4.2.8. del Decreto 1082 de 2015</w:t>
      </w:r>
      <w:r>
        <w:rPr>
          <w:rFonts w:ascii="Verdana" w:eastAsia="Calibri" w:hAnsi="Verdana" w:cs="Arial"/>
          <w:color w:val="000000"/>
          <w:kern w:val="2"/>
          <w:sz w:val="20"/>
          <w:szCs w:val="20"/>
          <w14:ligatures w14:val="standardContextual"/>
        </w:rPr>
        <w:t xml:space="preserve"> </w:t>
      </w:r>
      <w:r w:rsidRPr="006A332E">
        <w:rPr>
          <w:rFonts w:ascii="Verdana" w:eastAsia="Calibri" w:hAnsi="Verdana" w:cs="Arial"/>
          <w:sz w:val="20"/>
          <w:szCs w:val="20"/>
          <w:lang w:val="es-ES" w:eastAsia="es-ES"/>
        </w:rPr>
        <w:t>[…]</w:t>
      </w:r>
    </w:p>
    <w:p w14:paraId="6CC3588A" w14:textId="77777777" w:rsidR="00A21449" w:rsidRDefault="00A21449" w:rsidP="00A21449">
      <w:pPr>
        <w:spacing w:after="0" w:line="240" w:lineRule="auto"/>
        <w:jc w:val="both"/>
        <w:rPr>
          <w:rFonts w:ascii="Verdana" w:eastAsia="Calibri" w:hAnsi="Verdana" w:cs="Arial"/>
          <w:b/>
          <w:bCs/>
        </w:rPr>
      </w:pPr>
    </w:p>
    <w:p w14:paraId="1D28A36A" w14:textId="77777777" w:rsidR="00A21449" w:rsidRPr="00EC518B" w:rsidRDefault="00A21449" w:rsidP="00A21449">
      <w:pPr>
        <w:spacing w:after="0" w:line="240" w:lineRule="auto"/>
        <w:jc w:val="both"/>
        <w:rPr>
          <w:rFonts w:ascii="Verdana" w:eastAsia="Calibri" w:hAnsi="Verdana" w:cs="Arial"/>
          <w:b/>
          <w:bCs/>
          <w:lang w:val="es-ES_tradnl"/>
        </w:rPr>
      </w:pPr>
      <w:r w:rsidRPr="00EC518B">
        <w:rPr>
          <w:rFonts w:ascii="Verdana" w:eastAsia="Calibri" w:hAnsi="Verdana" w:cs="Arial"/>
          <w:b/>
          <w:bCs/>
          <w:lang w:val="es-ES_tradnl"/>
        </w:rPr>
        <w:t>DECRETO 0287 DE 2026 ‒ Definición de emprendimiento y empresa de personas con discapacidad ‒ Certificaciones ‒ Bajo la gravedad de juramento</w:t>
      </w:r>
    </w:p>
    <w:p w14:paraId="3B11E7F5" w14:textId="77777777" w:rsidR="00A21449" w:rsidRPr="00637B13" w:rsidRDefault="00A21449" w:rsidP="00A21449">
      <w:pPr>
        <w:spacing w:after="0" w:line="240" w:lineRule="auto"/>
        <w:rPr>
          <w:rFonts w:ascii="Verdana" w:eastAsia="Calibri" w:hAnsi="Verdana" w:cs="Arial"/>
          <w:color w:val="000000"/>
          <w:kern w:val="2"/>
          <w:sz w:val="20"/>
          <w:szCs w:val="20"/>
          <w14:ligatures w14:val="standardContextual"/>
        </w:rPr>
      </w:pPr>
    </w:p>
    <w:p w14:paraId="38FC82AA" w14:textId="77777777" w:rsidR="00A21449" w:rsidRPr="00637B13" w:rsidRDefault="00A21449" w:rsidP="00A21449">
      <w:pPr>
        <w:spacing w:after="0" w:line="240" w:lineRule="auto"/>
        <w:jc w:val="both"/>
        <w:rPr>
          <w:rFonts w:ascii="Verdana" w:eastAsia="Calibri" w:hAnsi="Verdana" w:cs="Arial"/>
          <w:color w:val="000000"/>
          <w:kern w:val="2"/>
          <w:sz w:val="20"/>
          <w:szCs w:val="20"/>
          <w14:ligatures w14:val="standardContextual"/>
        </w:rPr>
      </w:pPr>
      <w:r w:rsidRPr="001D3E7D">
        <w:rPr>
          <w:rFonts w:ascii="Verdana" w:eastAsia="Calibri" w:hAnsi="Verdana" w:cs="Arial"/>
          <w:color w:val="000000"/>
          <w:kern w:val="2"/>
          <w:sz w:val="20"/>
          <w:szCs w:val="20"/>
          <w14:ligatures w14:val="standardContextual"/>
        </w:rPr>
        <w:t>[…]</w:t>
      </w:r>
      <w:r>
        <w:rPr>
          <w:rFonts w:ascii="Verdana" w:eastAsia="Calibri" w:hAnsi="Verdana" w:cs="Arial"/>
          <w:color w:val="000000"/>
          <w:kern w:val="2"/>
          <w:sz w:val="20"/>
          <w:szCs w:val="20"/>
          <w14:ligatures w14:val="standardContextual"/>
        </w:rPr>
        <w:t xml:space="preserve"> C</w:t>
      </w:r>
      <w:r w:rsidRPr="00637B13">
        <w:rPr>
          <w:rFonts w:ascii="Verdana" w:eastAsia="Calibri" w:hAnsi="Verdana" w:cs="Arial"/>
          <w:color w:val="000000"/>
          <w:kern w:val="2"/>
          <w:sz w:val="20"/>
          <w:szCs w:val="20"/>
          <w14:ligatures w14:val="standardContextual"/>
        </w:rPr>
        <w:t>uando la acreditación de la condición de emprendimientos y empresas de personas con discapacidad se presenta mediante un conjunto de documentos que integran una misma oferta y la manifestación principal realizada en un determinado formato cobija los soportes aportados para acreditar los supuestos previstos en los numerales 1, 2, 3 y 4 del artículo 2.2.1.2.4.2.6. del Decreto 1082 de 2015, se entiende que cumple con lo dispuesto en tal parágrafo. Debe destacarse que dicha disposición no impone que cada documento soporte reproduzca de forma autónoma la expresión "bajo la gravedad de juramento", pues el requisito se satisface en la medida en que las manifestaciones efectuadas para acreditar el incentivo se entiendan realizadas con ese alcance jurídico.</w:t>
      </w:r>
    </w:p>
    <w:p w14:paraId="4A2D735F" w14:textId="77777777" w:rsidR="00A21449" w:rsidRPr="00A21A6B" w:rsidRDefault="00A21449" w:rsidP="00A21449">
      <w:pPr>
        <w:spacing w:after="0" w:line="240" w:lineRule="auto"/>
        <w:jc w:val="both"/>
        <w:rPr>
          <w:rFonts w:ascii="Verdana" w:eastAsia="Calibri" w:hAnsi="Verdana" w:cs="Arial"/>
          <w:color w:val="000000"/>
          <w:kern w:val="2"/>
          <w:sz w:val="20"/>
          <w:szCs w:val="20"/>
          <w14:ligatures w14:val="standardContextual"/>
        </w:rPr>
      </w:pPr>
      <w:r w:rsidRPr="00637B13">
        <w:rPr>
          <w:rFonts w:ascii="Verdana" w:eastAsia="Calibri" w:hAnsi="Verdana" w:cs="Arial"/>
          <w:color w:val="000000"/>
          <w:kern w:val="2"/>
          <w:sz w:val="20"/>
          <w:szCs w:val="20"/>
          <w14:ligatures w14:val="standardContextual"/>
        </w:rPr>
        <w:t>Esta interpretación resulta consistente con el artículo 7 del Decreto Ley 019 de 2012 conforme al cual en las actuaciones administrativas, no pueden exigirse declaraciones extrajuicio y basta la afirmación realizada por el particular ante la autoridad para que esta se entienda efectuada bajo la gravedad de juramento. Adicionalmente, es la que más se ajusta al principio del efecto útil de la norma, lo cual no riñe con lo dispuesto en el parágrafo del artículo 2.2.1.2.4.2.6 ibidem. No en vano, la Corte Constitucional ha señalado, al explicar el principio del efecto útil, que “debe considerarse, de entre varias interpretaciones de una disposición normativa, aquella que permita consecuencias jurídicas, sobre aquella que no las prevea o que contemple consecuencias superfluas o innecesarias”</w:t>
      </w:r>
      <w:r>
        <w:rPr>
          <w:rFonts w:ascii="Verdana" w:eastAsia="Calibri" w:hAnsi="Verdana" w:cs="Arial"/>
          <w:color w:val="000000"/>
          <w:kern w:val="2"/>
          <w:sz w:val="20"/>
          <w:szCs w:val="20"/>
          <w14:ligatures w14:val="standardContextual"/>
        </w:rPr>
        <w:t xml:space="preserve"> </w:t>
      </w:r>
      <w:r w:rsidRPr="001D3E7D">
        <w:rPr>
          <w:rFonts w:ascii="Verdana" w:eastAsia="Calibri" w:hAnsi="Verdana" w:cs="Arial"/>
          <w:color w:val="000000"/>
          <w:kern w:val="2"/>
          <w:sz w:val="20"/>
          <w:szCs w:val="20"/>
          <w14:ligatures w14:val="standardContextual"/>
        </w:rPr>
        <w:t>[…]</w:t>
      </w:r>
    </w:p>
    <w:p w14:paraId="4CAFE584" w14:textId="77777777" w:rsidR="00A21449" w:rsidRPr="00E4738A" w:rsidRDefault="00A21449" w:rsidP="00A21449">
      <w:pPr>
        <w:spacing w:after="0"/>
        <w:rPr>
          <w:rFonts w:ascii="Verdana" w:hAnsi="Verdana"/>
          <w:color w:val="EE0000"/>
        </w:rPr>
      </w:pPr>
    </w:p>
    <w:p w14:paraId="1304E946" w14:textId="77777777" w:rsidR="00A21449" w:rsidRDefault="00A21449" w:rsidP="00A21449">
      <w:pPr>
        <w:spacing w:after="0"/>
        <w:jc w:val="both"/>
        <w:rPr>
          <w:rFonts w:ascii="Verdana" w:hAnsi="Verdana"/>
        </w:rPr>
      </w:pPr>
    </w:p>
    <w:p w14:paraId="3E75E09F" w14:textId="21FED421" w:rsidR="00A21449" w:rsidRPr="00F34BA3" w:rsidRDefault="00A21449" w:rsidP="00A21449">
      <w:pPr>
        <w:spacing w:after="0"/>
        <w:jc w:val="both"/>
        <w:rPr>
          <w:rFonts w:ascii="Verdana" w:hAnsi="Verdana"/>
          <w:color w:val="EE0000"/>
          <w:sz w:val="20"/>
          <w:szCs w:val="20"/>
        </w:rPr>
      </w:pPr>
      <w:r w:rsidRPr="001A645A">
        <w:rPr>
          <w:rFonts w:ascii="Verdana" w:hAnsi="Verdana"/>
        </w:rPr>
        <w:lastRenderedPageBreak/>
        <w:t xml:space="preserve">Bogotá D.C., </w:t>
      </w:r>
      <w:r w:rsidR="00F04A40">
        <w:rPr>
          <w:rFonts w:ascii="Verdana" w:hAnsi="Verdana"/>
        </w:rPr>
        <w:t>02 Septiembre 2026</w:t>
      </w:r>
    </w:p>
    <w:p w14:paraId="4B370476" w14:textId="77777777" w:rsidR="00A21449" w:rsidRPr="00C37A67" w:rsidRDefault="00A21449" w:rsidP="00A21449">
      <w:pPr>
        <w:spacing w:after="0"/>
        <w:rPr>
          <w:rFonts w:ascii="Verdana" w:hAnsi="Verdana"/>
          <w:color w:val="EE0000"/>
          <w:lang w:val="es-ES"/>
        </w:rPr>
      </w:pPr>
    </w:p>
    <w:p w14:paraId="18B2EE66" w14:textId="022D2D72" w:rsidR="00A21449" w:rsidRPr="009D140D" w:rsidRDefault="000B06CC" w:rsidP="00A21449">
      <w:pPr>
        <w:spacing w:after="0" w:line="240" w:lineRule="auto"/>
        <w:rPr>
          <w:rFonts w:ascii="Verdana" w:hAnsi="Verdana"/>
          <w:lang w:val="es-ES"/>
        </w:rPr>
      </w:pPr>
      <w:bookmarkStart w:id="0" w:name="_Hlk143780582"/>
      <w:r w:rsidRPr="000B06CC">
        <w:rPr>
          <w:rFonts w:ascii="Verdana" w:eastAsia="Calibri" w:hAnsi="Verdana" w:cs="Arial"/>
          <w:b/>
          <w:bCs/>
          <w:lang w:eastAsia="es-ES"/>
        </w:rPr>
        <w:drawing>
          <wp:anchor distT="0" distB="0" distL="114300" distR="114300" simplePos="0" relativeHeight="251659264" behindDoc="1" locked="0" layoutInCell="1" allowOverlap="1" wp14:anchorId="0D76734B" wp14:editId="1A54F6C7">
            <wp:simplePos x="0" y="0"/>
            <wp:positionH relativeFrom="column">
              <wp:posOffset>3082290</wp:posOffset>
            </wp:positionH>
            <wp:positionV relativeFrom="paragraph">
              <wp:posOffset>10160</wp:posOffset>
            </wp:positionV>
            <wp:extent cx="2609850" cy="726978"/>
            <wp:effectExtent l="0" t="0" r="0" b="0"/>
            <wp:wrapNone/>
            <wp:docPr id="4432375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37508" name=""/>
                    <pic:cNvPicPr/>
                  </pic:nvPicPr>
                  <pic:blipFill>
                    <a:blip r:embed="rId10">
                      <a:extLst>
                        <a:ext uri="{28A0092B-C50C-407E-A947-70E740481C1C}">
                          <a14:useLocalDpi xmlns:a14="http://schemas.microsoft.com/office/drawing/2010/main" val="0"/>
                        </a:ext>
                      </a:extLst>
                    </a:blip>
                    <a:stretch>
                      <a:fillRect/>
                    </a:stretch>
                  </pic:blipFill>
                  <pic:spPr>
                    <a:xfrm>
                      <a:off x="0" y="0"/>
                      <a:ext cx="2609850" cy="726978"/>
                    </a:xfrm>
                    <a:prstGeom prst="rect">
                      <a:avLst/>
                    </a:prstGeom>
                  </pic:spPr>
                </pic:pic>
              </a:graphicData>
            </a:graphic>
            <wp14:sizeRelH relativeFrom="margin">
              <wp14:pctWidth>0</wp14:pctWidth>
            </wp14:sizeRelH>
            <wp14:sizeRelV relativeFrom="margin">
              <wp14:pctHeight>0</wp14:pctHeight>
            </wp14:sizeRelV>
          </wp:anchor>
        </w:drawing>
      </w:r>
      <w:r w:rsidR="00A21449" w:rsidRPr="009D140D">
        <w:rPr>
          <w:rFonts w:ascii="Verdana" w:eastAsia="Calibri" w:hAnsi="Verdana" w:cs="Arial"/>
          <w:lang w:val="es-ES" w:eastAsia="es-ES"/>
        </w:rPr>
        <w:t>Señor</w:t>
      </w:r>
    </w:p>
    <w:p w14:paraId="23707621" w14:textId="717720AB" w:rsidR="00A21449" w:rsidRPr="009D140D" w:rsidRDefault="00A21449" w:rsidP="00A21449">
      <w:pPr>
        <w:spacing w:after="0" w:line="240" w:lineRule="auto"/>
        <w:rPr>
          <w:rFonts w:ascii="Verdana" w:hAnsi="Verdana"/>
          <w:lang w:val="es-ES"/>
        </w:rPr>
      </w:pPr>
      <w:r w:rsidRPr="009D140D">
        <w:rPr>
          <w:rFonts w:ascii="Verdana" w:eastAsia="Calibri" w:hAnsi="Verdana" w:cs="Arial"/>
          <w:b/>
          <w:bCs/>
          <w:lang w:eastAsia="es-ES"/>
        </w:rPr>
        <w:t>Jhan Carlos Martínez Prado</w:t>
      </w:r>
      <w:r w:rsidR="000B06CC" w:rsidRPr="000B06CC">
        <w:rPr>
          <w:noProof/>
        </w:rPr>
        <w:t xml:space="preserve"> </w:t>
      </w:r>
    </w:p>
    <w:p w14:paraId="2C7096DF" w14:textId="77777777" w:rsidR="00A21449" w:rsidRPr="00C37A67" w:rsidRDefault="00A21449" w:rsidP="00A21449">
      <w:pPr>
        <w:spacing w:after="0"/>
        <w:rPr>
          <w:rFonts w:ascii="Verdana" w:hAnsi="Verdana"/>
          <w:color w:val="EE0000"/>
        </w:rPr>
      </w:pPr>
      <w:hyperlink r:id="rId11" w:history="1">
        <w:r>
          <w:t>mailto:</w:t>
        </w:r>
      </w:hyperlink>
      <w:hyperlink r:id="rId12" w:history="1">
        <w:r w:rsidRPr="005A57B8">
          <w:rPr>
            <w:rStyle w:val="Hipervnculo"/>
            <w:rFonts w:ascii="Verdana" w:hAnsi="Verdana"/>
          </w:rPr>
          <w:t>jhank95@hotmail.com</w:t>
        </w:r>
      </w:hyperlink>
      <w:r>
        <w:rPr>
          <w:rFonts w:ascii="Verdana" w:hAnsi="Verdana"/>
          <w:color w:val="EE0000"/>
        </w:rPr>
        <w:t xml:space="preserve"> </w:t>
      </w:r>
    </w:p>
    <w:p w14:paraId="7658BC67" w14:textId="77777777" w:rsidR="00A21449" w:rsidRPr="001A645A" w:rsidRDefault="00A21449" w:rsidP="00A21449">
      <w:pPr>
        <w:spacing w:after="0"/>
        <w:rPr>
          <w:rFonts w:ascii="Verdana" w:eastAsia="Calibri" w:hAnsi="Verdana" w:cs="Arial"/>
          <w:lang w:val="es-ES" w:eastAsia="es-ES"/>
        </w:rPr>
      </w:pPr>
      <w:r w:rsidRPr="001A645A">
        <w:rPr>
          <w:rFonts w:ascii="Verdana" w:eastAsia="Calibri" w:hAnsi="Verdana" w:cs="Arial"/>
          <w:lang w:val="es-ES" w:eastAsia="es-ES"/>
        </w:rPr>
        <w:t>Valledupar, Cesar</w:t>
      </w:r>
    </w:p>
    <w:p w14:paraId="4540C1FD" w14:textId="77777777" w:rsidR="00A21449" w:rsidRPr="00C37A67" w:rsidRDefault="00A21449" w:rsidP="00A21449">
      <w:pPr>
        <w:spacing w:after="0"/>
        <w:rPr>
          <w:rFonts w:ascii="Verdana" w:eastAsia="Calibri" w:hAnsi="Verdana" w:cs="Arial"/>
          <w:color w:val="EE0000"/>
          <w:lang w:val="es-ES" w:eastAsia="es-ES"/>
        </w:rPr>
      </w:pPr>
    </w:p>
    <w:p w14:paraId="605EE970" w14:textId="77777777" w:rsidR="00A21449" w:rsidRPr="00C37A67" w:rsidRDefault="00A21449" w:rsidP="00A21449">
      <w:pPr>
        <w:spacing w:after="0" w:line="240" w:lineRule="auto"/>
        <w:rPr>
          <w:rFonts w:ascii="Verdana" w:eastAsia="Calibri" w:hAnsi="Verdana" w:cs="Arial"/>
          <w:b/>
          <w:bCs/>
          <w:color w:val="EE000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A21449" w:rsidRPr="00C37A67" w14:paraId="7318A240" w14:textId="77777777" w:rsidTr="00821153">
        <w:trPr>
          <w:trHeight w:val="300"/>
        </w:trPr>
        <w:tc>
          <w:tcPr>
            <w:tcW w:w="2410" w:type="dxa"/>
          </w:tcPr>
          <w:p w14:paraId="342E686C" w14:textId="77777777" w:rsidR="00A21449" w:rsidRPr="00C37A67" w:rsidRDefault="00A21449" w:rsidP="00821153">
            <w:pPr>
              <w:ind w:left="-142"/>
              <w:jc w:val="both"/>
              <w:rPr>
                <w:rFonts w:ascii="Verdana" w:eastAsia="Calibri" w:hAnsi="Verdana" w:cs="Arial"/>
                <w:b/>
                <w:bCs/>
                <w:color w:val="EE0000"/>
                <w:lang w:val="es-ES" w:eastAsia="es-ES_tradnl"/>
              </w:rPr>
            </w:pPr>
          </w:p>
        </w:tc>
        <w:tc>
          <w:tcPr>
            <w:tcW w:w="6379" w:type="dxa"/>
          </w:tcPr>
          <w:p w14:paraId="7368BEF0" w14:textId="77777777" w:rsidR="00A21449" w:rsidRPr="00E47459" w:rsidRDefault="00A21449" w:rsidP="00821153">
            <w:pPr>
              <w:ind w:left="3"/>
              <w:jc w:val="both"/>
              <w:rPr>
                <w:rFonts w:ascii="Verdana" w:eastAsia="Calibri" w:hAnsi="Verdana" w:cs="Arial"/>
                <w:b/>
                <w:bCs/>
                <w:lang w:val="es-ES" w:eastAsia="es-ES"/>
              </w:rPr>
            </w:pPr>
            <w:r w:rsidRPr="00E47459">
              <w:rPr>
                <w:rFonts w:ascii="Verdana" w:eastAsia="Calibri" w:hAnsi="Verdana" w:cs="Arial"/>
                <w:b/>
                <w:bCs/>
                <w:lang w:val="es-ES" w:eastAsia="es-ES"/>
              </w:rPr>
              <w:t>Concepto C-1170 de 2026</w:t>
            </w:r>
          </w:p>
          <w:p w14:paraId="1471F6E0" w14:textId="77777777" w:rsidR="00A21449" w:rsidRPr="00C37A67" w:rsidRDefault="00A21449" w:rsidP="00821153">
            <w:pPr>
              <w:ind w:left="3"/>
              <w:jc w:val="both"/>
              <w:rPr>
                <w:rFonts w:ascii="Verdana" w:eastAsia="Calibri" w:hAnsi="Verdana" w:cs="Arial"/>
                <w:b/>
                <w:bCs/>
                <w:color w:val="EE0000"/>
                <w:lang w:val="es-ES" w:eastAsia="es-ES"/>
              </w:rPr>
            </w:pPr>
          </w:p>
        </w:tc>
      </w:tr>
      <w:tr w:rsidR="00A21449" w:rsidRPr="00C37A67" w14:paraId="60BD1181" w14:textId="77777777" w:rsidTr="00821153">
        <w:trPr>
          <w:trHeight w:val="300"/>
        </w:trPr>
        <w:tc>
          <w:tcPr>
            <w:tcW w:w="2410" w:type="dxa"/>
          </w:tcPr>
          <w:p w14:paraId="131557E8" w14:textId="77777777" w:rsidR="00A21449" w:rsidRPr="00216D91" w:rsidRDefault="00A21449" w:rsidP="00821153">
            <w:pPr>
              <w:ind w:left="424" w:firstLine="142"/>
              <w:jc w:val="both"/>
              <w:rPr>
                <w:rFonts w:ascii="Verdana" w:eastAsia="Calibri" w:hAnsi="Verdana" w:cs="Arial"/>
                <w:lang w:val="es-ES" w:eastAsia="es-ES_tradnl"/>
              </w:rPr>
            </w:pPr>
            <w:r w:rsidRPr="00216D91">
              <w:rPr>
                <w:rFonts w:ascii="Verdana" w:eastAsia="Calibri" w:hAnsi="Verdana" w:cs="Arial"/>
                <w:b/>
                <w:lang w:val="es-ES" w:eastAsia="es-ES_tradnl"/>
              </w:rPr>
              <w:t>Temas:</w:t>
            </w:r>
            <w:r w:rsidRPr="00216D91">
              <w:rPr>
                <w:rFonts w:ascii="Verdana" w:eastAsia="Calibri" w:hAnsi="Verdana" w:cs="Arial"/>
                <w:lang w:val="es-ES" w:eastAsia="es-ES_tradnl"/>
              </w:rPr>
              <w:t xml:space="preserve">                  </w:t>
            </w:r>
          </w:p>
        </w:tc>
        <w:tc>
          <w:tcPr>
            <w:tcW w:w="6379" w:type="dxa"/>
          </w:tcPr>
          <w:p w14:paraId="34DA0D10" w14:textId="77777777" w:rsidR="00A21449" w:rsidRPr="00216D91" w:rsidRDefault="00A21449" w:rsidP="00821153">
            <w:pPr>
              <w:contextualSpacing/>
              <w:jc w:val="both"/>
              <w:rPr>
                <w:rFonts w:ascii="Verdana" w:hAnsi="Verdana" w:cs="Arial"/>
                <w:lang w:val="es-ES_tradnl"/>
              </w:rPr>
            </w:pPr>
            <w:r w:rsidRPr="00216D91">
              <w:rPr>
                <w:rFonts w:ascii="Verdana" w:hAnsi="Verdana" w:cs="Arial"/>
                <w:lang w:val="es-ES_tradnl"/>
              </w:rPr>
              <w:t>SISTEMA DE PREFERENCIA PARA PERSONAS CON DISCAPACIDAD ‒ Constitución Política ‒ Ley 1618 de 2013 / DECRETO 287 DE 2026 ‒ Antecedentes normativos ‒ Decreto 392 de 2018 / DECRETO 0287 DE 2026 ‒ Sistema Integral de Preferencias ‒ Contratación pública inclusiva ‒ Personas con discapacidad / DECRETO 0287 DE 2026 ‒ Definición de emprendimiento y empresa de personas con discapacidad ‒ Certificaciones ‒ Bajo la gravedad de juramento</w:t>
            </w:r>
          </w:p>
          <w:p w14:paraId="2C33F7FB" w14:textId="77777777" w:rsidR="00A21449" w:rsidRPr="00216D91" w:rsidRDefault="00A21449" w:rsidP="00821153">
            <w:pPr>
              <w:contextualSpacing/>
              <w:jc w:val="both"/>
              <w:rPr>
                <w:rFonts w:ascii="Verdana" w:eastAsia="Calibri" w:hAnsi="Verdana" w:cs="Arial"/>
              </w:rPr>
            </w:pPr>
          </w:p>
        </w:tc>
      </w:tr>
      <w:tr w:rsidR="00A21449" w:rsidRPr="00C37A67" w14:paraId="50FD719A" w14:textId="77777777" w:rsidTr="00821153">
        <w:trPr>
          <w:trHeight w:val="350"/>
        </w:trPr>
        <w:tc>
          <w:tcPr>
            <w:tcW w:w="2410" w:type="dxa"/>
          </w:tcPr>
          <w:p w14:paraId="505559FA" w14:textId="77777777" w:rsidR="00A21449" w:rsidRPr="00E47459" w:rsidRDefault="00A21449" w:rsidP="00821153">
            <w:pPr>
              <w:ind w:left="561"/>
              <w:jc w:val="both"/>
              <w:rPr>
                <w:rFonts w:ascii="Verdana" w:eastAsia="Calibri" w:hAnsi="Verdana" w:cs="Arial"/>
                <w:b/>
                <w:lang w:val="es-ES" w:eastAsia="es-ES_tradnl"/>
              </w:rPr>
            </w:pPr>
            <w:r w:rsidRPr="00E47459">
              <w:rPr>
                <w:rFonts w:ascii="Verdana" w:eastAsia="Calibri" w:hAnsi="Verdana" w:cs="Arial"/>
                <w:b/>
                <w:lang w:val="es-ES" w:eastAsia="es-ES_tradnl"/>
              </w:rPr>
              <w:t>Radicación:</w:t>
            </w:r>
            <w:r w:rsidRPr="00E47459">
              <w:rPr>
                <w:rFonts w:ascii="Verdana" w:eastAsia="Calibri" w:hAnsi="Verdana" w:cs="Arial"/>
                <w:lang w:val="es-ES" w:eastAsia="es-ES_tradnl"/>
              </w:rPr>
              <w:t xml:space="preserve">              </w:t>
            </w:r>
          </w:p>
        </w:tc>
        <w:tc>
          <w:tcPr>
            <w:tcW w:w="6379" w:type="dxa"/>
          </w:tcPr>
          <w:p w14:paraId="7569BD09" w14:textId="77777777" w:rsidR="00A21449" w:rsidRPr="00E47459" w:rsidRDefault="00A21449" w:rsidP="00821153">
            <w:pPr>
              <w:ind w:left="3"/>
              <w:jc w:val="both"/>
              <w:rPr>
                <w:rFonts w:ascii="Verdana" w:eastAsia="Calibri" w:hAnsi="Verdana" w:cs="Arial"/>
                <w:lang w:val="es-ES" w:eastAsia="es-ES"/>
              </w:rPr>
            </w:pPr>
            <w:r w:rsidRPr="00E47459">
              <w:rPr>
                <w:rFonts w:ascii="Verdana" w:eastAsia="Calibri" w:hAnsi="Verdana" w:cs="Arial"/>
                <w:lang w:val="es-ES" w:eastAsia="es-ES"/>
              </w:rPr>
              <w:t>Respuesta a consulta con radicado No. 1_2026_07_23_009742 acumulada con 1_2026_07_23_009743</w:t>
            </w:r>
          </w:p>
          <w:p w14:paraId="7485EDB7" w14:textId="77777777" w:rsidR="00A21449" w:rsidRPr="00E47459" w:rsidRDefault="00A21449" w:rsidP="00821153">
            <w:pPr>
              <w:ind w:left="3"/>
              <w:jc w:val="both"/>
              <w:rPr>
                <w:rFonts w:ascii="Verdana" w:hAnsi="Verdana"/>
                <w:lang w:val="es-ES"/>
              </w:rPr>
            </w:pPr>
          </w:p>
        </w:tc>
      </w:tr>
      <w:tr w:rsidR="00A21449" w:rsidRPr="00C37A67" w14:paraId="59310391" w14:textId="77777777" w:rsidTr="00821153">
        <w:trPr>
          <w:trHeight w:val="350"/>
        </w:trPr>
        <w:tc>
          <w:tcPr>
            <w:tcW w:w="2410" w:type="dxa"/>
          </w:tcPr>
          <w:p w14:paraId="25FBFEFB" w14:textId="77777777" w:rsidR="00A21449" w:rsidRPr="00C37A67" w:rsidRDefault="00A21449" w:rsidP="00821153">
            <w:pPr>
              <w:jc w:val="both"/>
              <w:rPr>
                <w:rFonts w:ascii="Verdana" w:eastAsia="Calibri" w:hAnsi="Verdana" w:cs="Arial"/>
                <w:b/>
                <w:color w:val="EE0000"/>
                <w:lang w:val="es-ES" w:eastAsia="es-ES_tradnl"/>
              </w:rPr>
            </w:pPr>
          </w:p>
        </w:tc>
        <w:tc>
          <w:tcPr>
            <w:tcW w:w="6379" w:type="dxa"/>
          </w:tcPr>
          <w:p w14:paraId="4F71BB73" w14:textId="77777777" w:rsidR="00A21449" w:rsidRPr="00C37A67" w:rsidRDefault="00A21449" w:rsidP="00821153">
            <w:pPr>
              <w:jc w:val="both"/>
              <w:rPr>
                <w:rFonts w:ascii="Verdana" w:eastAsia="Calibri" w:hAnsi="Verdana" w:cs="Arial"/>
                <w:color w:val="EE0000"/>
                <w:lang w:val="es-ES" w:eastAsia="es-ES"/>
              </w:rPr>
            </w:pPr>
          </w:p>
        </w:tc>
      </w:tr>
    </w:tbl>
    <w:p w14:paraId="4862B4E1" w14:textId="77777777" w:rsidR="00A21449" w:rsidRPr="00DD12EC" w:rsidRDefault="00A21449" w:rsidP="00A21449">
      <w:pPr>
        <w:spacing w:after="0" w:line="276" w:lineRule="auto"/>
        <w:jc w:val="both"/>
        <w:rPr>
          <w:rFonts w:ascii="Verdana" w:eastAsia="Calibri" w:hAnsi="Verdana" w:cs="Arial"/>
          <w:lang w:val="es-ES" w:eastAsia="es-ES"/>
        </w:rPr>
      </w:pPr>
      <w:r w:rsidRPr="00DD12EC">
        <w:rPr>
          <w:rFonts w:ascii="Verdana" w:eastAsia="Calibri" w:hAnsi="Verdana" w:cs="Arial"/>
          <w:lang w:val="es-ES" w:eastAsia="es-ES"/>
        </w:rPr>
        <w:t>Estimada Señora Martínez:</w:t>
      </w:r>
    </w:p>
    <w:p w14:paraId="0DC20876" w14:textId="77777777" w:rsidR="00A21449" w:rsidRPr="00DD12EC" w:rsidRDefault="00A21449" w:rsidP="00A21449">
      <w:pPr>
        <w:tabs>
          <w:tab w:val="left" w:pos="3768"/>
        </w:tabs>
        <w:spacing w:after="0" w:line="276" w:lineRule="auto"/>
        <w:jc w:val="both"/>
        <w:rPr>
          <w:rFonts w:ascii="Verdana" w:eastAsia="Calibri" w:hAnsi="Verdana" w:cs="Arial"/>
          <w:lang w:val="es-ES" w:eastAsia="es-ES"/>
        </w:rPr>
      </w:pPr>
      <w:r w:rsidRPr="00DD12EC">
        <w:rPr>
          <w:rFonts w:ascii="Verdana" w:eastAsia="Calibri" w:hAnsi="Verdana" w:cs="Arial"/>
          <w:lang w:val="es-ES" w:eastAsia="es-ES"/>
        </w:rPr>
        <w:tab/>
      </w:r>
    </w:p>
    <w:p w14:paraId="67CB5FD8" w14:textId="77777777" w:rsidR="00A21449" w:rsidRPr="00C378CA" w:rsidRDefault="00A21449" w:rsidP="00A21449">
      <w:pPr>
        <w:spacing w:after="0" w:line="276" w:lineRule="auto"/>
        <w:jc w:val="both"/>
        <w:rPr>
          <w:rFonts w:ascii="Verdana" w:eastAsia="Calibri" w:hAnsi="Verdana" w:cs="Arial"/>
          <w:lang w:val="es-ES" w:eastAsia="es-ES"/>
        </w:rPr>
      </w:pPr>
      <w:r w:rsidRPr="00C378CA">
        <w:rPr>
          <w:rFonts w:ascii="Verdana" w:eastAsia="Calibri" w:hAnsi="Verdana" w:cs="Arial"/>
          <w:lang w:val="es-ES" w:eastAsia="es-ES"/>
        </w:rPr>
        <w:t>En ejercicio de la competencia otorgada por los artículos 3, numeral 5º, y 11, numeral 8º, del Decreto Ley 4170 de 2011,</w:t>
      </w:r>
      <w:r w:rsidRPr="00C378CA">
        <w:rPr>
          <w:rFonts w:ascii="Verdana" w:eastAsia="Arial MT" w:hAnsi="Verdana" w:cs="Arial MT"/>
          <w:lang w:val="es-ES" w:eastAsia="es-ES"/>
        </w:rPr>
        <w:t xml:space="preserve"> </w:t>
      </w:r>
      <w:r w:rsidRPr="00C378CA">
        <w:rPr>
          <w:rFonts w:ascii="Verdana" w:hAnsi="Verdana" w:cs="Arial"/>
          <w:lang w:val="es-ES"/>
        </w:rPr>
        <w:t xml:space="preserve">así como lo establecido en el artículo 4 de la Resolución 469 de 2025 expedida por esta Entidad, </w:t>
      </w:r>
      <w:r w:rsidRPr="00C378CA">
        <w:rPr>
          <w:rFonts w:ascii="Verdana" w:eastAsia="Calibri" w:hAnsi="Verdana" w:cs="Arial"/>
          <w:lang w:val="es-ES" w:eastAsia="es-ES"/>
        </w:rPr>
        <w:t xml:space="preserve">la Agencia Nacional de Contratación Pública – Colombia Compra Eficiente– responde sus solicitudes de consulta de fecha 23 de julio de 2026, en la cual manifiesta lo siguiente: </w:t>
      </w:r>
    </w:p>
    <w:p w14:paraId="0028DE87" w14:textId="77777777" w:rsidR="00A21449" w:rsidRPr="009B77F0" w:rsidRDefault="00A21449" w:rsidP="00A21449">
      <w:pPr>
        <w:tabs>
          <w:tab w:val="left" w:pos="142"/>
          <w:tab w:val="left" w:pos="284"/>
        </w:tabs>
        <w:spacing w:after="0" w:line="276" w:lineRule="auto"/>
        <w:jc w:val="both"/>
        <w:rPr>
          <w:rFonts w:ascii="Verdana" w:eastAsia="Century Gothic" w:hAnsi="Verdana" w:cs="Century Gothic"/>
          <w:b/>
          <w:bCs/>
          <w:lang w:val="es-ES"/>
        </w:rPr>
      </w:pPr>
    </w:p>
    <w:p w14:paraId="3AED9A97" w14:textId="77777777" w:rsidR="00A21449" w:rsidRPr="009B77F0" w:rsidRDefault="00A21449" w:rsidP="00A21449">
      <w:pPr>
        <w:spacing w:after="0" w:line="240" w:lineRule="auto"/>
        <w:ind w:left="709" w:right="709"/>
        <w:jc w:val="both"/>
        <w:rPr>
          <w:rFonts w:ascii="Verdana" w:eastAsia="Century Gothic" w:hAnsi="Verdana" w:cs="Century Gothic"/>
          <w:i/>
          <w:iCs/>
          <w:sz w:val="20"/>
          <w:szCs w:val="20"/>
          <w:lang w:val="es-ES"/>
        </w:rPr>
      </w:pPr>
      <w:r w:rsidRPr="009B77F0">
        <w:rPr>
          <w:rFonts w:ascii="Verdana" w:eastAsia="Century Gothic" w:hAnsi="Verdana" w:cs="Century Gothic"/>
          <w:i/>
          <w:iCs/>
          <w:sz w:val="20"/>
          <w:szCs w:val="20"/>
          <w:lang w:val="es-ES"/>
        </w:rPr>
        <w:t>“[…] Respetuosamente solicito concepto sobre el alcance del parágrafo del</w:t>
      </w:r>
    </w:p>
    <w:p w14:paraId="48505984" w14:textId="77777777" w:rsidR="00A21449" w:rsidRPr="009B77F0" w:rsidRDefault="00A21449" w:rsidP="00A21449">
      <w:pPr>
        <w:spacing w:after="0" w:line="240" w:lineRule="auto"/>
        <w:ind w:left="709" w:right="709"/>
        <w:jc w:val="both"/>
        <w:rPr>
          <w:rFonts w:ascii="Verdana" w:eastAsia="Century Gothic" w:hAnsi="Verdana" w:cs="Century Gothic"/>
          <w:i/>
          <w:iCs/>
          <w:sz w:val="20"/>
          <w:szCs w:val="20"/>
          <w:lang w:val="es-ES"/>
        </w:rPr>
      </w:pPr>
      <w:r w:rsidRPr="009B77F0">
        <w:rPr>
          <w:rFonts w:ascii="Verdana" w:eastAsia="Century Gothic" w:hAnsi="Verdana" w:cs="Century Gothic"/>
          <w:i/>
          <w:iCs/>
          <w:sz w:val="20"/>
          <w:szCs w:val="20"/>
          <w:lang w:val="es-ES"/>
        </w:rPr>
        <w:t>artículo 2.2.1.2.4.2.26 del Decreto 1082 de 2015. El numeral 4 exige una</w:t>
      </w:r>
    </w:p>
    <w:p w14:paraId="4D86E9D4" w14:textId="77777777" w:rsidR="00A21449" w:rsidRPr="009B77F0" w:rsidRDefault="00A21449" w:rsidP="00A21449">
      <w:pPr>
        <w:spacing w:after="0" w:line="240" w:lineRule="auto"/>
        <w:ind w:left="709" w:right="709"/>
        <w:jc w:val="both"/>
        <w:rPr>
          <w:rFonts w:ascii="Verdana" w:eastAsia="Century Gothic" w:hAnsi="Verdana" w:cs="Century Gothic"/>
          <w:i/>
          <w:iCs/>
          <w:sz w:val="20"/>
          <w:szCs w:val="20"/>
          <w:lang w:val="es-ES"/>
        </w:rPr>
      </w:pPr>
      <w:r w:rsidRPr="009B77F0">
        <w:rPr>
          <w:rFonts w:ascii="Verdana" w:eastAsia="Century Gothic" w:hAnsi="Verdana" w:cs="Century Gothic"/>
          <w:i/>
          <w:iCs/>
          <w:sz w:val="20"/>
          <w:szCs w:val="20"/>
          <w:lang w:val="es-ES"/>
        </w:rPr>
        <w:t>certificación del representante legal y revisor fiscal o contador, y como soportes, entre otros, la certificación laboral con funciones. El parágrafo dispone que "las certificaciones de que trata el presente artículo" deben expedirse bajo la gravedad de juramento. Solicito se precise: 1) ¿A cuáles</w:t>
      </w:r>
    </w:p>
    <w:p w14:paraId="4BC551CA" w14:textId="77777777" w:rsidR="00A21449" w:rsidRPr="009B77F0" w:rsidRDefault="00A21449" w:rsidP="00A21449">
      <w:pPr>
        <w:spacing w:after="0" w:line="240" w:lineRule="auto"/>
        <w:ind w:left="709" w:right="709"/>
        <w:jc w:val="both"/>
        <w:rPr>
          <w:rFonts w:ascii="Verdana" w:eastAsia="Century Gothic" w:hAnsi="Verdana" w:cs="Century Gothic"/>
          <w:i/>
          <w:iCs/>
          <w:sz w:val="20"/>
          <w:szCs w:val="20"/>
          <w:lang w:val="es-ES"/>
        </w:rPr>
      </w:pPr>
      <w:r w:rsidRPr="009B77F0">
        <w:rPr>
          <w:rFonts w:ascii="Verdana" w:eastAsia="Century Gothic" w:hAnsi="Verdana" w:cs="Century Gothic"/>
          <w:i/>
          <w:iCs/>
          <w:sz w:val="20"/>
          <w:szCs w:val="20"/>
          <w:lang w:val="es-ES"/>
        </w:rPr>
        <w:lastRenderedPageBreak/>
        <w:t xml:space="preserve">certificaciones se refiere el parágrafo: únicamente a las certificaciones expedidas por el representante legal y el contador (o revisor fiscal), o también a los documentos soporte? 2) ¿La certificación laboral con funciones debe expedirse bajo la gravedad de juramento? 3) Si no contiene esa manifestación, ¿es procedente negar el incentivo por discapacidad aun cuando la certificación principal sí fue expedida bajo juramento? </w:t>
      </w:r>
      <w:r w:rsidRPr="009B77F0">
        <w:rPr>
          <w:rFonts w:ascii="Verdana" w:eastAsia="Century Gothic" w:hAnsi="Verdana" w:cs="Century Gothic"/>
          <w:i/>
          <w:iCs/>
          <w:sz w:val="20"/>
          <w:szCs w:val="20"/>
        </w:rPr>
        <w:t>[…]”</w:t>
      </w:r>
    </w:p>
    <w:p w14:paraId="6BDFA22C" w14:textId="77777777" w:rsidR="00A21449" w:rsidRPr="00C37A67" w:rsidRDefault="00A21449" w:rsidP="00A21449">
      <w:pPr>
        <w:spacing w:before="120" w:after="120" w:line="240" w:lineRule="auto"/>
        <w:ind w:left="709" w:right="709"/>
        <w:contextualSpacing/>
        <w:jc w:val="both"/>
        <w:rPr>
          <w:rFonts w:ascii="Verdana" w:eastAsia="Century Gothic" w:hAnsi="Verdana" w:cs="Century Gothic"/>
          <w:i/>
          <w:iCs/>
          <w:color w:val="EE0000"/>
          <w:sz w:val="20"/>
          <w:szCs w:val="20"/>
          <w:lang w:val="es-ES"/>
        </w:rPr>
      </w:pPr>
    </w:p>
    <w:p w14:paraId="7D5D727C" w14:textId="77777777" w:rsidR="00A21449" w:rsidRPr="00C378CA" w:rsidRDefault="00A21449" w:rsidP="00A21449">
      <w:pPr>
        <w:spacing w:after="120" w:line="276" w:lineRule="auto"/>
        <w:ind w:firstLine="708"/>
        <w:jc w:val="both"/>
        <w:rPr>
          <w:rFonts w:ascii="Verdana" w:eastAsia="Calibri" w:hAnsi="Verdana" w:cs="Arial"/>
          <w:lang w:val="es-ES" w:eastAsia="es-ES"/>
        </w:rPr>
      </w:pPr>
      <w:r w:rsidRPr="00C378C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78CA">
        <w:rPr>
          <w:rFonts w:ascii="Verdana" w:hAnsi="Verdana"/>
          <w:lang w:val="es-ES"/>
        </w:rPr>
        <w:tab/>
      </w:r>
    </w:p>
    <w:p w14:paraId="04FDECAC" w14:textId="77777777" w:rsidR="00A21449" w:rsidRPr="00C378CA" w:rsidRDefault="00A21449" w:rsidP="00A21449">
      <w:pPr>
        <w:spacing w:after="0" w:line="276" w:lineRule="auto"/>
        <w:ind w:firstLine="709"/>
        <w:jc w:val="both"/>
        <w:rPr>
          <w:rFonts w:ascii="Verdana" w:eastAsia="Calibri" w:hAnsi="Verdana" w:cs="Arial"/>
          <w:lang w:val="es-ES" w:eastAsia="es-ES"/>
        </w:rPr>
      </w:pPr>
      <w:r w:rsidRPr="00C378C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sus consultas. </w:t>
      </w:r>
    </w:p>
    <w:p w14:paraId="1C6D2C12" w14:textId="77777777" w:rsidR="00A21449" w:rsidRPr="00C37A67" w:rsidRDefault="00A21449" w:rsidP="00A21449">
      <w:pPr>
        <w:spacing w:after="0" w:line="276" w:lineRule="auto"/>
        <w:ind w:firstLine="709"/>
        <w:jc w:val="both"/>
        <w:rPr>
          <w:rFonts w:ascii="Verdana" w:eastAsia="Calibri" w:hAnsi="Verdana" w:cs="Arial"/>
          <w:color w:val="EE0000"/>
          <w:lang w:val="es-ES" w:eastAsia="es-ES"/>
        </w:rPr>
      </w:pPr>
    </w:p>
    <w:p w14:paraId="2340811D" w14:textId="77777777" w:rsidR="00A21449" w:rsidRPr="009B77F0" w:rsidRDefault="00A21449" w:rsidP="00A21449">
      <w:pPr>
        <w:tabs>
          <w:tab w:val="left" w:pos="142"/>
          <w:tab w:val="left" w:pos="284"/>
        </w:tabs>
        <w:spacing w:after="0" w:line="276" w:lineRule="auto"/>
        <w:jc w:val="both"/>
        <w:rPr>
          <w:rFonts w:ascii="Verdana" w:eastAsia="Century Gothic" w:hAnsi="Verdana" w:cs="Century Gothic"/>
          <w:b/>
          <w:lang w:val="es-ES"/>
        </w:rPr>
      </w:pPr>
      <w:r w:rsidRPr="009B77F0">
        <w:rPr>
          <w:rFonts w:ascii="Verdana" w:eastAsia="Century Gothic" w:hAnsi="Verdana" w:cs="Century Gothic"/>
          <w:b/>
          <w:lang w:val="es-ES"/>
        </w:rPr>
        <w:t>1. Problema planteado:</w:t>
      </w:r>
    </w:p>
    <w:p w14:paraId="7CA5EF74" w14:textId="77777777" w:rsidR="00A21449" w:rsidRPr="00C37A67" w:rsidRDefault="00A21449" w:rsidP="00A21449">
      <w:pPr>
        <w:tabs>
          <w:tab w:val="left" w:pos="426"/>
        </w:tabs>
        <w:spacing w:after="0" w:line="276" w:lineRule="auto"/>
        <w:jc w:val="both"/>
        <w:rPr>
          <w:rFonts w:ascii="Verdana" w:eastAsia="Century Gothic" w:hAnsi="Verdana" w:cs="Century Gothic"/>
          <w:color w:val="EE0000"/>
          <w:lang w:val="es-ES"/>
        </w:rPr>
      </w:pPr>
    </w:p>
    <w:p w14:paraId="04E01EA5" w14:textId="77777777" w:rsidR="00A21449" w:rsidRDefault="00A21449" w:rsidP="00A21449">
      <w:pPr>
        <w:spacing w:after="0" w:line="276" w:lineRule="auto"/>
        <w:jc w:val="both"/>
        <w:rPr>
          <w:rFonts w:ascii="Verdana" w:eastAsia="Century Gothic" w:hAnsi="Verdana" w:cs="Century Gothic"/>
          <w:color w:val="EE0000"/>
        </w:rPr>
      </w:pPr>
      <w:r w:rsidRPr="009B77F0">
        <w:rPr>
          <w:rFonts w:ascii="Verdana" w:eastAsia="Century Gothic" w:hAnsi="Verdana" w:cs="Century Gothic"/>
          <w:lang w:val="es-ES"/>
        </w:rPr>
        <w:t>De acuerdo con el contenido de su solicitud, esta Agencia resolverá los siguientes problemas jurídic</w:t>
      </w:r>
      <w:r w:rsidRPr="002B089A">
        <w:rPr>
          <w:rFonts w:ascii="Verdana" w:eastAsia="Century Gothic" w:hAnsi="Verdana" w:cs="Century Gothic"/>
          <w:lang w:val="es-ES"/>
        </w:rPr>
        <w:t>os:</w:t>
      </w:r>
      <w:r w:rsidRPr="002B089A">
        <w:rPr>
          <w:rFonts w:ascii="Verdana" w:eastAsia="Century Gothic" w:hAnsi="Verdana" w:cs="Century Gothic"/>
        </w:rPr>
        <w:t xml:space="preserve"> i. </w:t>
      </w:r>
      <w:r w:rsidRPr="0072668F">
        <w:rPr>
          <w:rFonts w:ascii="Verdana" w:eastAsia="Century Gothic" w:hAnsi="Verdana" w:cs="Century Gothic"/>
        </w:rPr>
        <w:t>¿Cuál es el alcance de la exigencia de expedición bajo la gravedad de juramento de las certificaciones previstas en el</w:t>
      </w:r>
      <w:r>
        <w:rPr>
          <w:rFonts w:ascii="Verdana" w:eastAsia="Century Gothic" w:hAnsi="Verdana" w:cs="Century Gothic"/>
        </w:rPr>
        <w:t xml:space="preserve"> parágrafo del</w:t>
      </w:r>
      <w:r w:rsidRPr="0072668F">
        <w:rPr>
          <w:rFonts w:ascii="Verdana" w:eastAsia="Century Gothic" w:hAnsi="Verdana" w:cs="Century Gothic"/>
        </w:rPr>
        <w:t xml:space="preserve"> artículo 2.2.1.2.4.2.6 del Decreto 1082 de 2015, modificado por el artículo 1 del Decreto 0287 de 2026?</w:t>
      </w:r>
    </w:p>
    <w:p w14:paraId="250449D4" w14:textId="77777777" w:rsidR="00A21449" w:rsidRPr="00C37A67" w:rsidRDefault="00A21449" w:rsidP="00A21449">
      <w:pPr>
        <w:spacing w:after="0" w:line="276" w:lineRule="auto"/>
        <w:jc w:val="both"/>
        <w:rPr>
          <w:rFonts w:ascii="Verdana" w:eastAsia="Century Gothic" w:hAnsi="Verdana" w:cs="Century Gothic"/>
          <w:color w:val="EE0000"/>
        </w:rPr>
      </w:pPr>
    </w:p>
    <w:p w14:paraId="30911219" w14:textId="77777777" w:rsidR="00A21449" w:rsidRPr="009B77F0" w:rsidRDefault="00A21449" w:rsidP="00A21449">
      <w:pPr>
        <w:tabs>
          <w:tab w:val="left" w:pos="142"/>
          <w:tab w:val="left" w:pos="284"/>
        </w:tabs>
        <w:spacing w:after="0" w:line="276" w:lineRule="auto"/>
        <w:jc w:val="both"/>
        <w:rPr>
          <w:rFonts w:ascii="Verdana" w:eastAsia="Century Gothic" w:hAnsi="Verdana" w:cs="Century Gothic"/>
          <w:b/>
          <w:lang w:val="es-ES"/>
        </w:rPr>
      </w:pPr>
      <w:r w:rsidRPr="009B77F0">
        <w:rPr>
          <w:rFonts w:ascii="Verdana" w:eastAsia="Century Gothic" w:hAnsi="Verdana" w:cs="Century Gothic"/>
          <w:b/>
          <w:lang w:val="es-ES"/>
        </w:rPr>
        <w:t>2. Respuesta:</w:t>
      </w:r>
    </w:p>
    <w:p w14:paraId="487018E1" w14:textId="77777777" w:rsidR="00A21449" w:rsidRPr="00C37A67" w:rsidRDefault="00A21449" w:rsidP="00A21449">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21449" w:rsidRPr="00C37A67" w14:paraId="3122B742" w14:textId="77777777" w:rsidTr="00821153">
        <w:tc>
          <w:tcPr>
            <w:tcW w:w="8828" w:type="dxa"/>
          </w:tcPr>
          <w:p w14:paraId="0F775ABD" w14:textId="77777777" w:rsidR="00A21449" w:rsidRDefault="00A21449" w:rsidP="00821153">
            <w:pPr>
              <w:spacing w:after="120" w:line="276" w:lineRule="auto"/>
              <w:jc w:val="both"/>
              <w:rPr>
                <w:rFonts w:ascii="Verdana" w:eastAsia="Calibri" w:hAnsi="Verdana" w:cs="Arial"/>
              </w:rPr>
            </w:pPr>
            <w:r w:rsidRPr="0068635D">
              <w:rPr>
                <w:rFonts w:ascii="Verdana" w:hAnsi="Verdana"/>
              </w:rPr>
              <w:lastRenderedPageBreak/>
              <w:t>Para dar respuesta al primer problema jurídico, es importante precisar que el Decreto 0287 de 2026 r</w:t>
            </w:r>
            <w:r w:rsidRPr="0068635D">
              <w:rPr>
                <w:rFonts w:ascii="Verdana" w:eastAsia="Calibri" w:hAnsi="Verdana" w:cs="Arial"/>
              </w:rPr>
              <w:t xml:space="preserve">eglamenta los numerales 1, 7 y 8 del artículo 13 de la Ley 1618 de 2013, acción que fue ordenada por el Consejo de Estado, Sección Quinta de la Sala de lo Contencioso Administrativo, mediante sentencia de acción de cumplimiento del 12 de diciembre de 2024, radicación n°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70E0C6D2" w14:textId="77777777" w:rsidR="00A21449" w:rsidRDefault="00A21449" w:rsidP="00821153">
            <w:pPr>
              <w:spacing w:after="120" w:line="276" w:lineRule="auto"/>
              <w:ind w:firstLine="709"/>
              <w:jc w:val="both"/>
              <w:rPr>
                <w:rFonts w:ascii="Verdana" w:eastAsia="Calibri" w:hAnsi="Verdana" w:cs="Arial"/>
              </w:rPr>
            </w:pPr>
            <w:r>
              <w:rPr>
                <w:rFonts w:ascii="Verdana" w:eastAsia="Calibri" w:hAnsi="Verdana" w:cs="Arial"/>
              </w:rPr>
              <w:t>En ese contexto, e</w:t>
            </w:r>
            <w:r w:rsidRPr="00236DB1">
              <w:rPr>
                <w:rFonts w:ascii="Verdana" w:eastAsia="Calibri" w:hAnsi="Verdana" w:cs="Arial"/>
              </w:rPr>
              <w:t>l artículo 2.2.1.2.4.2.6 del Decreto 1082 de 2015, adicionado por el Decreto 287 de 2026, incorpora la definición de emprendimientos y empresas de personas con discapacidad y establece cuatro criterios alternativos a partir de los cuales una persona natural o jurídica puede acceder a los incentivos contractuales previstos en su favor. En consecuencia, es suficiente con que se configure uno de estos criterios para que el sujeto pueda ser considerado, para los efectos de la disposición, como un emprendimiento o empresa de personas con discapacidad.</w:t>
            </w:r>
          </w:p>
          <w:p w14:paraId="7A384F09" w14:textId="77777777" w:rsidR="00A21449" w:rsidRDefault="00A21449" w:rsidP="00821153">
            <w:pPr>
              <w:spacing w:after="120" w:line="276" w:lineRule="auto"/>
              <w:ind w:firstLine="709"/>
              <w:jc w:val="both"/>
              <w:rPr>
                <w:rFonts w:ascii="Verdana" w:eastAsia="Calibri" w:hAnsi="Verdana" w:cs="Arial"/>
              </w:rPr>
            </w:pPr>
            <w:r>
              <w:rPr>
                <w:rFonts w:ascii="Verdana" w:eastAsia="Calibri" w:hAnsi="Verdana" w:cs="Arial"/>
              </w:rPr>
              <w:t>Ahora bien,</w:t>
            </w:r>
            <w:r w:rsidRPr="005439BD">
              <w:rPr>
                <w:rFonts w:ascii="Verdana" w:eastAsia="Calibri" w:hAnsi="Verdana" w:cs="Arial"/>
              </w:rPr>
              <w:t xml:space="preserve"> de los numerales que integran el artículo 2.2.1.2.4.2.6 se advierte que para cada uno de los criterios allí previstos se determinaron expresamente los documentos mediante los cuales debe acreditarse su configuración. Por tanto, estos documentos constituyen los medios de prueba establecidos por la norma para acreditar que un proponente reúne las condiciones para ser considerado un emprendimiento o empresa de personas con discapacidad y, en consecuencia, acceder a las medidas afirmativas previstas en el Decreto 287 de 2026.</w:t>
            </w:r>
          </w:p>
          <w:p w14:paraId="5D3D0A13" w14:textId="77777777" w:rsidR="00A21449" w:rsidRDefault="00A21449" w:rsidP="00821153">
            <w:pPr>
              <w:spacing w:after="120" w:line="276" w:lineRule="auto"/>
              <w:ind w:firstLine="709"/>
              <w:jc w:val="both"/>
              <w:rPr>
                <w:rFonts w:ascii="Verdana" w:eastAsia="Calibri" w:hAnsi="Verdana" w:cs="Arial"/>
              </w:rPr>
            </w:pPr>
            <w:r>
              <w:rPr>
                <w:rFonts w:ascii="Verdana" w:eastAsia="Calibri" w:hAnsi="Verdana" w:cs="Arial"/>
              </w:rPr>
              <w:t xml:space="preserve">Por su parte, </w:t>
            </w:r>
            <w:r w:rsidRPr="00933E50">
              <w:rPr>
                <w:rFonts w:ascii="Verdana" w:eastAsia="Calibri" w:hAnsi="Verdana" w:cs="Arial"/>
              </w:rPr>
              <w:t xml:space="preserve">l parágrafo del artículo 2.2.1.2.4.2.6 del Decreto 1082 de 2015 dispone que las certificaciones de que trata el artículo, relacionadas con los incentivos contractuales para los emprendimientos y empresas de personas con discapacidad, deben expedirse “bajo la gravedad de juramento”. El alcance de esta expresión consiste en atribuir a las manifestaciones contenidas en dichas certificaciones los efectos jurídicos propios del juramento, de manera que quien las suscribe asume responsabilidad respecto de la veracidad </w:t>
            </w:r>
            <w:r w:rsidRPr="00933E50">
              <w:rPr>
                <w:rFonts w:ascii="Verdana" w:eastAsia="Calibri" w:hAnsi="Verdana" w:cs="Arial"/>
              </w:rPr>
              <w:lastRenderedPageBreak/>
              <w:t>de la información suministrada, sin que resulte necesario adelantar trámites adicionales para conferirles tal carácter.</w:t>
            </w:r>
          </w:p>
          <w:p w14:paraId="09B853D9" w14:textId="77777777" w:rsidR="00A21449" w:rsidRDefault="00A21449" w:rsidP="00821153">
            <w:pPr>
              <w:spacing w:after="120" w:line="276" w:lineRule="auto"/>
              <w:ind w:firstLine="709"/>
              <w:jc w:val="both"/>
              <w:rPr>
                <w:rFonts w:ascii="Verdana" w:eastAsia="Calibri" w:hAnsi="Verdana" w:cs="Arial"/>
              </w:rPr>
            </w:pPr>
            <w:r>
              <w:rPr>
                <w:rFonts w:ascii="Verdana" w:eastAsia="Calibri" w:hAnsi="Verdana" w:cs="Arial"/>
              </w:rPr>
              <w:t xml:space="preserve">Es decir, </w:t>
            </w:r>
            <w:r w:rsidRPr="00933E50">
              <w:rPr>
                <w:rFonts w:ascii="Verdana" w:eastAsia="Calibri" w:hAnsi="Verdana" w:cs="Arial"/>
              </w:rPr>
              <w:t>la exigencia de que las certificaciones se expidan bajo la gravedad de juramento no implica que esta expresión deba incorporarse literalmente en cada uno de los documentos que sirven de soporte para acreditar la condición correspondiente. Lo relevante es que las manifestaciones efectuadas por el proponente respecto de dicha condición produzcan los efectos jurídicos propios del juramento.</w:t>
            </w:r>
          </w:p>
          <w:p w14:paraId="7F75503E" w14:textId="77777777" w:rsidR="00A21449" w:rsidRDefault="00A21449" w:rsidP="00821153">
            <w:pPr>
              <w:spacing w:after="120" w:line="276" w:lineRule="auto"/>
              <w:ind w:firstLine="709"/>
              <w:jc w:val="both"/>
              <w:rPr>
                <w:rFonts w:ascii="Verdana" w:eastAsia="Calibri" w:hAnsi="Verdana" w:cs="Arial"/>
              </w:rPr>
            </w:pPr>
            <w:r>
              <w:rPr>
                <w:rFonts w:ascii="Verdana" w:eastAsia="Calibri" w:hAnsi="Verdana" w:cs="Arial"/>
              </w:rPr>
              <w:t>En consecuencia</w:t>
            </w:r>
            <w:r w:rsidRPr="006E21CA">
              <w:rPr>
                <w:rFonts w:ascii="Verdana" w:eastAsia="Calibri" w:hAnsi="Verdana" w:cs="Arial"/>
              </w:rPr>
              <w:t>, cuando la acreditación de la condición de emprendimiento o empresa de personas con discapacidad se realiza mediante un conjunto de documentos que integran una misma oferta, y la manifestación principal contenida en el formato o documento correspondiente cobija los soportes aportados para acreditar alguno de los supuestos previstos en los numerales 1, 2, 3 o 4 del artículo 2.2.1.2.4.2.6 del Decreto 1082 de 2015, debe entenderse satisfecha la exigencia prevista en el parágrafo. La disposición no establece que cada documento soporte deba reproducir autónomamente la expresión “bajo la gravedad de juramento”, pues el requisito se cumple cuando la manifestación realizada para acreditar el incentivo se entiende efectuada con dicho alcance jurídico.</w:t>
            </w:r>
          </w:p>
          <w:p w14:paraId="5294655D" w14:textId="77777777" w:rsidR="00A21449" w:rsidRDefault="00A21449" w:rsidP="00821153">
            <w:pPr>
              <w:spacing w:after="120" w:line="276" w:lineRule="auto"/>
              <w:ind w:firstLine="709"/>
              <w:jc w:val="both"/>
              <w:rPr>
                <w:rFonts w:ascii="Verdana" w:eastAsia="Calibri" w:hAnsi="Verdana" w:cs="Arial"/>
              </w:rPr>
            </w:pPr>
            <w:r w:rsidRPr="00DA789C">
              <w:rPr>
                <w:rFonts w:ascii="Verdana" w:eastAsia="Calibri" w:hAnsi="Verdana" w:cs="Arial"/>
              </w:rPr>
              <w:t>Esta interpretación resulta, además, consistente con el artículo 7 del Decreto Ley 019 de 2012, conforme al cual, en las actuaciones administrativas, no pueden exigirse declaraciones extrajuicio y basta la afirmación realizada por el particular ante la autoridad para que esta se entienda efectuada bajo la gravedad de juramento. Asimismo, dicha interpretación se ajusta al principio del efecto útil de la norma, en tanto evita atribuirle a la disposición una exigencia formal que no se encuentra expresamente prevista y que no resulta necesaria para alcanzar la finalidad perseguida por el reglamento. En efecto, la Corte Constitucional ha señalado que, entre varias interpretaciones posibles de una disposición normativa, debe preferirse aquella que produzca consecuencias jurídicas frente a aquella que no las contemple o que genere consecuencias superfluas o innecesarias.</w:t>
            </w:r>
          </w:p>
          <w:p w14:paraId="220190F4" w14:textId="77777777" w:rsidR="00A21449" w:rsidRPr="00C37A67" w:rsidRDefault="00A21449" w:rsidP="00821153">
            <w:pPr>
              <w:spacing w:after="120" w:line="276" w:lineRule="auto"/>
              <w:ind w:right="79" w:firstLine="601"/>
              <w:jc w:val="both"/>
              <w:rPr>
                <w:rFonts w:ascii="Verdana" w:eastAsia="Arial" w:hAnsi="Verdana" w:cs="Arial"/>
                <w:bCs/>
                <w:color w:val="EE0000"/>
              </w:rPr>
            </w:pPr>
            <w:r w:rsidRPr="00932E06">
              <w:rPr>
                <w:rFonts w:ascii="Verdana" w:eastAsia="Calibri" w:hAnsi="Verdana" w:cs="Arial"/>
                <w:lang w:val="es-ES"/>
              </w:rPr>
              <w:t>Finalmente, al</w:t>
            </w:r>
            <w:r w:rsidRPr="00932E06">
              <w:rPr>
                <w:rFonts w:ascii="Verdana" w:eastAsia="Calibri" w:hAnsi="Verdana" w:cs="Arial"/>
                <w:bCs/>
              </w:rPr>
              <w:t xml:space="preserve"> margen de la explicación precedente debe advertirse que </w:t>
            </w:r>
            <w:r w:rsidRPr="00932E06">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932E06">
              <w:rPr>
                <w:rStyle w:val="apple-converted-space"/>
                <w:rFonts w:ascii="Verdana" w:hAnsi="Verdana"/>
              </w:rPr>
              <w:t> </w:t>
            </w:r>
            <w:r w:rsidRPr="00932E06">
              <w:rPr>
                <w:rStyle w:val="s15"/>
                <w:rFonts w:ascii="Verdana" w:hAnsi="Verdana"/>
              </w:rPr>
              <w:t xml:space="preserve">Por lo anterior, </w:t>
            </w:r>
            <w:r w:rsidRPr="00932E06">
              <w:rPr>
                <w:rStyle w:val="s15"/>
                <w:rFonts w:ascii="Verdana" w:hAnsi="Verdana"/>
              </w:rPr>
              <w:lastRenderedPageBreak/>
              <w:t>previo</w:t>
            </w:r>
            <w:r w:rsidRPr="00932E06">
              <w:rPr>
                <w:rStyle w:val="apple-converted-space"/>
                <w:rFonts w:ascii="Verdana" w:hAnsi="Verdana"/>
              </w:rPr>
              <w:t> </w:t>
            </w:r>
            <w:r w:rsidRPr="00932E06">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BDD37EB" w14:textId="77777777" w:rsidR="00A21449" w:rsidRPr="00C37A67" w:rsidRDefault="00A21449" w:rsidP="00A21449">
      <w:pPr>
        <w:tabs>
          <w:tab w:val="left" w:pos="142"/>
          <w:tab w:val="left" w:pos="284"/>
        </w:tabs>
        <w:spacing w:after="0" w:line="276" w:lineRule="auto"/>
        <w:jc w:val="both"/>
        <w:rPr>
          <w:rFonts w:ascii="Verdana" w:eastAsia="Century Gothic" w:hAnsi="Verdana" w:cs="Century Gothic"/>
          <w:b/>
          <w:bCs/>
          <w:color w:val="EE0000"/>
          <w:lang w:val="es-ES"/>
        </w:rPr>
      </w:pPr>
    </w:p>
    <w:p w14:paraId="10B6FD27" w14:textId="77777777" w:rsidR="00A21449" w:rsidRPr="009B77F0" w:rsidRDefault="00A21449" w:rsidP="00A21449">
      <w:pPr>
        <w:tabs>
          <w:tab w:val="left" w:pos="142"/>
          <w:tab w:val="left" w:pos="284"/>
        </w:tabs>
        <w:spacing w:after="0" w:line="276" w:lineRule="auto"/>
        <w:jc w:val="both"/>
        <w:rPr>
          <w:rFonts w:ascii="Verdana" w:eastAsia="Century Gothic" w:hAnsi="Verdana" w:cs="Century Gothic"/>
          <w:b/>
          <w:lang w:val="es-ES"/>
        </w:rPr>
      </w:pPr>
      <w:r w:rsidRPr="009B77F0">
        <w:rPr>
          <w:rFonts w:ascii="Verdana" w:eastAsia="Century Gothic" w:hAnsi="Verdana" w:cs="Century Gothic"/>
          <w:b/>
          <w:lang w:val="es-ES"/>
        </w:rPr>
        <w:t>3. Razones de la respuesta:</w:t>
      </w:r>
    </w:p>
    <w:p w14:paraId="571A7F48" w14:textId="77777777" w:rsidR="00A21449" w:rsidRPr="009B77F0" w:rsidRDefault="00A21449" w:rsidP="00A21449">
      <w:pPr>
        <w:spacing w:after="0" w:line="276" w:lineRule="auto"/>
        <w:jc w:val="both"/>
        <w:rPr>
          <w:rFonts w:ascii="Verdana" w:eastAsia="Calibri" w:hAnsi="Verdana" w:cs="Arial"/>
          <w:lang w:val="es-ES"/>
        </w:rPr>
      </w:pPr>
    </w:p>
    <w:p w14:paraId="2E91DD40" w14:textId="77777777" w:rsidR="00A21449" w:rsidRDefault="00A21449" w:rsidP="00A21449">
      <w:pPr>
        <w:spacing w:after="0" w:line="276" w:lineRule="auto"/>
        <w:jc w:val="both"/>
        <w:rPr>
          <w:rFonts w:ascii="Verdana" w:eastAsia="Calibri" w:hAnsi="Verdana" w:cs="Arial"/>
          <w:lang w:val="es-ES"/>
        </w:rPr>
      </w:pPr>
      <w:r w:rsidRPr="009B77F0">
        <w:rPr>
          <w:rFonts w:ascii="Verdana" w:eastAsia="Calibri" w:hAnsi="Verdana" w:cs="Arial"/>
          <w:lang w:val="es-ES"/>
        </w:rPr>
        <w:t xml:space="preserve">Las respuestas anteriores se sustentan en las siguientes consideraciones: </w:t>
      </w:r>
    </w:p>
    <w:p w14:paraId="2CE1AFE6" w14:textId="77777777" w:rsidR="00A21449" w:rsidRPr="001D4B12" w:rsidRDefault="00A21449" w:rsidP="00A21449">
      <w:pPr>
        <w:spacing w:after="0" w:line="276" w:lineRule="auto"/>
        <w:jc w:val="both"/>
        <w:rPr>
          <w:rFonts w:ascii="Verdana" w:eastAsia="Calibri" w:hAnsi="Verdana" w:cs="Arial"/>
          <w:lang w:val="es-ES"/>
        </w:rPr>
      </w:pPr>
    </w:p>
    <w:p w14:paraId="6925E79D" w14:textId="77777777" w:rsidR="00A21449" w:rsidRPr="000F4FBC" w:rsidRDefault="00A21449" w:rsidP="00A21449">
      <w:pPr>
        <w:widowControl w:val="0"/>
        <w:tabs>
          <w:tab w:val="left" w:pos="1088"/>
        </w:tabs>
        <w:autoSpaceDE w:val="0"/>
        <w:autoSpaceDN w:val="0"/>
        <w:spacing w:after="120" w:line="276" w:lineRule="auto"/>
        <w:jc w:val="both"/>
        <w:rPr>
          <w:rFonts w:ascii="Verdana" w:eastAsia="Calibri" w:hAnsi="Verdana" w:cs="Arial"/>
        </w:rPr>
      </w:pPr>
      <w:bookmarkStart w:id="1" w:name="_Hlk102983874"/>
      <w:bookmarkStart w:id="2" w:name="_Hlk102388095"/>
      <w:r w:rsidRPr="000F4FBC">
        <w:rPr>
          <w:rFonts w:ascii="Verdana" w:eastAsia="Calibri" w:hAnsi="Verdana" w:cs="Arial"/>
          <w:bCs/>
          <w:lang w:eastAsia="es-ES_tradnl"/>
        </w:rPr>
        <w:t xml:space="preserve">i. </w:t>
      </w:r>
      <w:r w:rsidRPr="000F4FBC">
        <w:rPr>
          <w:rFonts w:ascii="Verdana" w:eastAsia="Calibri" w:hAnsi="Verdana" w:cs="Arial"/>
        </w:rPr>
        <w:t>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w:t>
      </w:r>
    </w:p>
    <w:p w14:paraId="6E3362CD" w14:textId="77777777" w:rsidR="00A21449" w:rsidRPr="000F4FBC" w:rsidRDefault="00A21449" w:rsidP="00A21449">
      <w:pPr>
        <w:spacing w:after="120" w:line="276" w:lineRule="auto"/>
        <w:ind w:firstLine="708"/>
        <w:jc w:val="both"/>
        <w:rPr>
          <w:rFonts w:ascii="Verdana" w:eastAsia="Times New Roman" w:hAnsi="Verdana" w:cs="Times New Roman"/>
        </w:rPr>
      </w:pPr>
      <w:r w:rsidRPr="000F4FBC">
        <w:rPr>
          <w:rFonts w:ascii="Verdana" w:eastAsia="Times New Roman" w:hAnsi="Verdana" w:cs="Times New Roman"/>
        </w:rPr>
        <w:t>El fundamento del Sistema de Preferencias para PcD en la contratación pública es el principio de igualdad real y efectiva consagrado en el artículo 13 de la Constitución Política de 1991</w:t>
      </w:r>
      <w:r w:rsidRPr="000F4FBC">
        <w:rPr>
          <w:rStyle w:val="Refdenotaalpie"/>
          <w:rFonts w:ascii="Verdana" w:eastAsia="Times New Roman" w:hAnsi="Verdana" w:cs="Times New Roman"/>
        </w:rPr>
        <w:footnoteReference w:id="1"/>
      </w:r>
      <w:r w:rsidRPr="000F4FBC">
        <w:rPr>
          <w:rFonts w:ascii="Verdana" w:eastAsia="Times New Roman" w:hAnsi="Verdana" w:cs="Times New Roman"/>
        </w:rPr>
        <w:t xml:space="preserve">, que impone al Estado el deber positivo de adoptar </w:t>
      </w:r>
      <w:r w:rsidRPr="000F4FBC">
        <w:rPr>
          <w:rFonts w:ascii="Verdana" w:eastAsia="Times New Roman" w:hAnsi="Verdana" w:cs="Times New Roman"/>
          <w:i/>
          <w:iCs/>
        </w:rPr>
        <w:t>acciones afirmativas</w:t>
      </w:r>
      <w:r w:rsidRPr="000F4FBC">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0F4FBC">
        <w:rPr>
          <w:rStyle w:val="Refdenotaalpie"/>
          <w:rFonts w:ascii="Verdana" w:eastAsia="Times New Roman" w:hAnsi="Verdana" w:cs="Times New Roman"/>
        </w:rPr>
        <w:footnoteReference w:id="2"/>
      </w:r>
      <w:r w:rsidRPr="000F4FBC">
        <w:rPr>
          <w:rFonts w:ascii="Verdana" w:eastAsia="Times New Roman" w:hAnsi="Verdana" w:cs="Times New Roman"/>
        </w:rPr>
        <w:t>.</w:t>
      </w:r>
    </w:p>
    <w:p w14:paraId="44623A79" w14:textId="77777777" w:rsidR="00A21449" w:rsidRPr="000F4FBC" w:rsidRDefault="00A21449" w:rsidP="00A21449">
      <w:pPr>
        <w:spacing w:after="120" w:line="276" w:lineRule="auto"/>
        <w:ind w:firstLine="708"/>
        <w:jc w:val="both"/>
        <w:rPr>
          <w:rFonts w:ascii="Verdana" w:hAnsi="Verdana"/>
        </w:rPr>
      </w:pPr>
      <w:r w:rsidRPr="000F4FBC">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0F4FBC">
        <w:rPr>
          <w:rStyle w:val="Refdenotaalpie"/>
          <w:rFonts w:ascii="Verdana" w:eastAsia="Times New Roman" w:hAnsi="Verdana" w:cs="Times New Roman"/>
        </w:rPr>
        <w:footnoteReference w:id="3"/>
      </w:r>
      <w:r w:rsidRPr="000F4FBC">
        <w:rPr>
          <w:rFonts w:ascii="Verdana" w:eastAsia="Times New Roman" w:hAnsi="Verdana" w:cs="Times New Roman"/>
        </w:rPr>
        <w:t xml:space="preserve"> reconoce el derecho de las PcD a trabajar en igualdad de condiciones y exige programas de acción afirmativa. La Convención Interamericana para la </w:t>
      </w:r>
      <w:r w:rsidRPr="000F4FBC">
        <w:rPr>
          <w:rFonts w:ascii="Verdana" w:eastAsia="Times New Roman" w:hAnsi="Verdana" w:cs="Times New Roman"/>
        </w:rPr>
        <w:lastRenderedPageBreak/>
        <w:t>Eliminación de todas las Formas de Discriminación</w:t>
      </w:r>
      <w:r w:rsidRPr="000F4FBC">
        <w:rPr>
          <w:rStyle w:val="Refdenotaalpie"/>
          <w:rFonts w:ascii="Verdana" w:eastAsia="Times New Roman" w:hAnsi="Verdana" w:cs="Times New Roman"/>
        </w:rPr>
        <w:footnoteReference w:id="4"/>
      </w:r>
      <w:r w:rsidRPr="000F4FBC">
        <w:rPr>
          <w:rFonts w:ascii="Verdana" w:eastAsia="Times New Roman" w:hAnsi="Verdana" w:cs="Times New Roman"/>
        </w:rPr>
        <w:t xml:space="preserve"> ordena eliminar progresivamente la discriminación en la prestación de servicios, incluido el empleo. El Convenio 159 de la OIT</w:t>
      </w:r>
      <w:r w:rsidRPr="000F4FBC">
        <w:rPr>
          <w:rStyle w:val="Refdenotaalpie"/>
          <w:rFonts w:ascii="Verdana" w:eastAsia="Times New Roman" w:hAnsi="Verdana" w:cs="Times New Roman"/>
        </w:rPr>
        <w:footnoteReference w:id="5"/>
      </w:r>
      <w:r w:rsidRPr="000F4FBC">
        <w:rPr>
          <w:rFonts w:ascii="Verdana" w:eastAsia="Times New Roman" w:hAnsi="Verdana" w:cs="Times New Roman"/>
        </w:rPr>
        <w:t xml:space="preserve"> exige medidas orientadas a garantizar la igualdad de oportunidades de todas las categorías de PcD en materia de empleo.</w:t>
      </w:r>
    </w:p>
    <w:p w14:paraId="076A124C" w14:textId="77777777" w:rsidR="00A21449" w:rsidRDefault="00A21449" w:rsidP="00A21449">
      <w:pPr>
        <w:spacing w:after="120" w:line="276" w:lineRule="auto"/>
        <w:ind w:firstLine="708"/>
        <w:jc w:val="both"/>
        <w:rPr>
          <w:rFonts w:ascii="Verdana" w:hAnsi="Verdana"/>
        </w:rPr>
      </w:pPr>
      <w:r w:rsidRPr="000F4FBC">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0F4FBC">
        <w:rPr>
          <w:rStyle w:val="Refdenotaalpie"/>
          <w:rFonts w:ascii="Verdana" w:eastAsia="Times New Roman" w:hAnsi="Verdana" w:cs="Times New Roman"/>
        </w:rPr>
        <w:footnoteReference w:id="6"/>
      </w:r>
      <w:r w:rsidRPr="000F4FBC">
        <w:rPr>
          <w:rFonts w:ascii="Verdana" w:eastAsia="Times New Roman" w:hAnsi="Verdana" w:cs="Times New Roman"/>
        </w:rPr>
        <w:t>.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0B4C9506" w14:textId="77777777" w:rsidR="00A21449" w:rsidRDefault="00A21449" w:rsidP="00A21449">
      <w:pPr>
        <w:spacing w:after="120" w:line="276" w:lineRule="auto"/>
        <w:ind w:firstLine="708"/>
        <w:jc w:val="both"/>
        <w:rPr>
          <w:rFonts w:ascii="Verdana" w:eastAsia="Times New Roman" w:hAnsi="Verdana" w:cs="Times New Roman"/>
        </w:rPr>
      </w:pPr>
      <w:r w:rsidRPr="00276664">
        <w:rPr>
          <w:rFonts w:ascii="Verdana" w:eastAsia="Times New Roman" w:hAnsi="Verdana" w:cs="Times New Roman"/>
        </w:rPr>
        <w:t xml:space="preserve">La Ley Estatutaria 1618 de 2013 representó un salto cualitativo en el marco jurídico de protección de las PcD, al definir a estas como </w:t>
      </w:r>
      <w:r w:rsidRPr="00276664">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76664">
        <w:rPr>
          <w:rStyle w:val="Refdenotaalpie"/>
          <w:rFonts w:ascii="Verdana" w:eastAsia="Times New Roman" w:hAnsi="Verdana" w:cs="Times New Roman"/>
          <w:i/>
          <w:iCs/>
        </w:rPr>
        <w:footnoteReference w:id="7"/>
      </w:r>
      <w:r w:rsidRPr="00276664">
        <w:rPr>
          <w:rFonts w:ascii="Verdana" w:eastAsia="Times New Roman" w:hAnsi="Verdana" w:cs="Times New Roman"/>
          <w:i/>
          <w:iCs/>
        </w:rPr>
        <w:t>.</w:t>
      </w:r>
      <w:r w:rsidRPr="00276664">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76664">
        <w:rPr>
          <w:rStyle w:val="Refdenotaalpie"/>
          <w:rFonts w:ascii="Verdana" w:eastAsia="Times New Roman" w:hAnsi="Verdana" w:cs="Times New Roman"/>
        </w:rPr>
        <w:footnoteReference w:id="8"/>
      </w:r>
      <w:r w:rsidRPr="00276664">
        <w:rPr>
          <w:rFonts w:ascii="Verdana" w:eastAsia="Times New Roman" w:hAnsi="Verdana" w:cs="Times New Roman"/>
        </w:rPr>
        <w:t xml:space="preserve">. Este último mandato fue especialmente </w:t>
      </w:r>
      <w:r w:rsidRPr="00276664">
        <w:rPr>
          <w:rFonts w:ascii="Verdana" w:eastAsia="Times New Roman" w:hAnsi="Verdana" w:cs="Times New Roman"/>
        </w:rPr>
        <w:lastRenderedPageBreak/>
        <w:t xml:space="preserve">significativo porque introdujo el concepto de </w:t>
      </w:r>
      <w:r w:rsidRPr="00276664">
        <w:rPr>
          <w:rFonts w:ascii="Verdana" w:eastAsia="Times New Roman" w:hAnsi="Verdana" w:cs="Times New Roman"/>
          <w:i/>
          <w:iCs/>
        </w:rPr>
        <w:t>"sistema de preferencias"</w:t>
      </w:r>
      <w:r w:rsidRPr="00276664">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13FDCF7D" w14:textId="77777777" w:rsidR="00A21449" w:rsidRDefault="00A21449" w:rsidP="00A21449">
      <w:pPr>
        <w:spacing w:after="120" w:line="276" w:lineRule="auto"/>
        <w:ind w:firstLine="709"/>
        <w:jc w:val="both"/>
        <w:rPr>
          <w:rFonts w:ascii="Verdana" w:hAnsi="Verdana"/>
        </w:rPr>
      </w:pPr>
      <w:r w:rsidRPr="00276664">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r>
        <w:rPr>
          <w:rFonts w:ascii="Verdana" w:hAnsi="Verdana"/>
        </w:rPr>
        <w:t xml:space="preserve"> </w:t>
      </w:r>
    </w:p>
    <w:p w14:paraId="0B0DACC1" w14:textId="77777777" w:rsidR="00A21449" w:rsidRPr="00DA1510" w:rsidRDefault="00A21449" w:rsidP="00A21449">
      <w:pPr>
        <w:spacing w:after="120" w:line="276" w:lineRule="auto"/>
        <w:ind w:firstLine="709"/>
        <w:jc w:val="both"/>
        <w:rPr>
          <w:rFonts w:ascii="Verdana" w:hAnsi="Verdana"/>
        </w:rPr>
      </w:pPr>
      <w:r w:rsidRPr="00DA1510">
        <w:rPr>
          <w:rFonts w:ascii="Verdana" w:hAnsi="Verdana"/>
        </w:rPr>
        <w:t>Lo anterior fue ratificado por el Consejo de Estado</w:t>
      </w:r>
      <w:r w:rsidRPr="00DA1510">
        <w:rPr>
          <w:rStyle w:val="Refdenotaalpie"/>
          <w:rFonts w:ascii="Verdana" w:hAnsi="Verdana"/>
        </w:rPr>
        <w:footnoteReference w:id="9"/>
      </w:r>
      <w:r w:rsidRPr="00DA1510">
        <w:rPr>
          <w:rFonts w:ascii="Verdana" w:hAnsi="Verdana"/>
        </w:rPr>
        <w:t>,</w:t>
      </w:r>
      <w:r w:rsidRPr="00DA1510">
        <w:rPr>
          <w:rFonts w:ascii="Verdana" w:eastAsia="Aptos" w:hAnsi="Verdana" w:cs="Times New Roman"/>
          <w:kern w:val="2"/>
          <w14:ligatures w14:val="standardContextual"/>
        </w:rPr>
        <w:t xml:space="preserve"> que mediante una acción de cumplimiento, </w:t>
      </w:r>
      <w:r w:rsidRPr="00DA1510">
        <w:rPr>
          <w:rFonts w:ascii="Verdana" w:hAnsi="Verdana"/>
        </w:rPr>
        <w:t xml:space="preserve">declaró el incumplimiento </w:t>
      </w:r>
      <w:r w:rsidRPr="00DA1510">
        <w:rPr>
          <w:rFonts w:ascii="Verdana" w:eastAsia="Aptos" w:hAnsi="Verdana" w:cs="Times New Roman"/>
          <w:kern w:val="2"/>
          <w14:ligatures w14:val="standardContextual"/>
        </w:rPr>
        <w:t xml:space="preserve">del deber de reglamentar integralmente el artículo 13 de la Ley 1618 de 2013 y ordenó al Gobierno Nacional expedir la regulación necesaria para hacer efectivo el sistema de preferencias en favor de las personas con discapacidad, sus emprendimientos y empresas que las contratan. </w:t>
      </w:r>
      <w:r w:rsidRPr="00DA1510">
        <w:rPr>
          <w:rFonts w:ascii="Verdana" w:hAnsi="Verdana"/>
        </w:rPr>
        <w:t>La Sala calificó la obligación como imperativa, expresa e inobjetable, señalando que el Gobierno Nacional no contaba con margen de discrecionalidad para decidir si reglamentaba o no el sistema de preferencias.</w:t>
      </w:r>
    </w:p>
    <w:p w14:paraId="26A92063" w14:textId="77777777" w:rsidR="00A21449" w:rsidRPr="00DA1510" w:rsidRDefault="00A21449" w:rsidP="00A21449">
      <w:pPr>
        <w:spacing w:after="120" w:line="276" w:lineRule="auto"/>
        <w:ind w:firstLine="709"/>
        <w:jc w:val="both"/>
        <w:rPr>
          <w:rFonts w:ascii="Verdana" w:hAnsi="Verdana"/>
        </w:rPr>
      </w:pPr>
      <w:r w:rsidRPr="00DA1510">
        <w:rPr>
          <w:rFonts w:ascii="Verdana" w:hAnsi="Verdana"/>
        </w:rPr>
        <w:t>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PcD y los empleadores de PcD</w:t>
      </w:r>
      <w:r w:rsidRPr="00DA1510">
        <w:rPr>
          <w:rFonts w:ascii="Verdana" w:eastAsia="Aptos" w:hAnsi="Verdana" w:cs="Times New Roman"/>
          <w:kern w:val="2"/>
          <w14:ligatures w14:val="standardContextual"/>
        </w:rPr>
        <w:t xml:space="preserve">. Mediante la expedición del mencionado decreto, se modificaron los artículos 2.2.1.2.4.2.6, 2.2.1.2.4.2.7. y 2.2.1.2.4.2.8. del Decreto 1082 de 2015 y se </w:t>
      </w:r>
      <w:r w:rsidRPr="00DA1510">
        <w:rPr>
          <w:rFonts w:ascii="Verdana" w:eastAsia="Aptos" w:hAnsi="Verdana" w:cs="Times New Roman"/>
          <w:kern w:val="2"/>
          <w14:ligatures w14:val="standardContextual"/>
        </w:rPr>
        <w:lastRenderedPageBreak/>
        <w:t xml:space="preserve">adicionan otras normas, cuyos aspectos más relevantes se resaltan a continuación: </w:t>
      </w:r>
    </w:p>
    <w:p w14:paraId="414C3940" w14:textId="77777777" w:rsidR="00A21449" w:rsidRPr="00DA1510"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A1510">
        <w:rPr>
          <w:rFonts w:ascii="Verdana" w:eastAsia="Aptos" w:hAnsi="Verdana" w:cs="Times New Roman"/>
          <w:kern w:val="2"/>
          <w14:ligatures w14:val="standardContextual"/>
        </w:rPr>
        <w:t xml:space="preserve"> i) Se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243D2A70" w14:textId="77777777" w:rsidR="00A21449" w:rsidRPr="00DA1510"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A1510">
        <w:rPr>
          <w:rFonts w:ascii="Verdana" w:eastAsia="Aptos" w:hAnsi="Verdana" w:cs="Times New Roman"/>
          <w:kern w:val="2"/>
          <w14:ligatures w14:val="standardContextual"/>
        </w:rPr>
        <w:t xml:space="preserve">ii) Se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5991CA86" w14:textId="77777777" w:rsidR="00A21449" w:rsidRPr="00D26665"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A1510">
        <w:rPr>
          <w:rFonts w:ascii="Verdana" w:eastAsia="Aptos" w:hAnsi="Verdana" w:cs="Times New Roman"/>
          <w:kern w:val="2"/>
          <w14:ligatures w14:val="standardContextual"/>
        </w:rPr>
        <w:t xml:space="preserve">iii) Se incluye el artículo 2.2.1.2.4.2.7.1. del Decreto 1082 de 2015, disponiendo que todas las entidades que manejen recursos públicos están </w:t>
      </w:r>
      <w:r w:rsidRPr="00D26665">
        <w:rPr>
          <w:rFonts w:ascii="Verdana" w:eastAsia="Aptos" w:hAnsi="Verdana" w:cs="Times New Roman"/>
          <w:kern w:val="2"/>
          <w14:ligatures w14:val="standardContextual"/>
        </w:rPr>
        <w:t xml:space="preserve">obligadas a garantizar la accesibilidad para personas con discapacidad en sus procesos de contratación. </w:t>
      </w:r>
    </w:p>
    <w:p w14:paraId="49136D97" w14:textId="77777777" w:rsidR="00A21449" w:rsidRPr="00D26665"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26665">
        <w:rPr>
          <w:rFonts w:ascii="Aptos" w:eastAsia="Aptos" w:hAnsi="Aptos" w:cs="Times New Roman"/>
          <w:kern w:val="2"/>
          <w:sz w:val="24"/>
          <w:szCs w:val="24"/>
          <w14:ligatures w14:val="standardContextual"/>
        </w:rPr>
        <w:t xml:space="preserve">iv) </w:t>
      </w:r>
      <w:r w:rsidRPr="00D26665">
        <w:rPr>
          <w:rFonts w:ascii="Verdana" w:eastAsia="Aptos" w:hAnsi="Verdana" w:cs="Times New Roman"/>
          <w:kern w:val="2"/>
          <w14:ligatures w14:val="standardContextual"/>
        </w:rPr>
        <w:t>Se incluye el artículo 2.2.1.2.4.2.7.2. del Decreto 1082 de 2015, en el cual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9601DD0"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D26665">
        <w:rPr>
          <w:rFonts w:ascii="Verdana" w:eastAsia="Aptos" w:hAnsi="Verdana" w:cs="Times New Roman"/>
          <w:kern w:val="2"/>
          <w14:ligatures w14:val="standardContextual"/>
        </w:rPr>
        <w:t xml:space="preserve">v) Se incluye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w:t>
      </w:r>
      <w:r w:rsidRPr="005729C9">
        <w:rPr>
          <w:rFonts w:ascii="Verdana" w:eastAsia="Aptos" w:hAnsi="Verdana" w:cs="Times New Roman"/>
          <w:kern w:val="2"/>
          <w14:ligatures w14:val="standardContextual"/>
        </w:rPr>
        <w:t xml:space="preserve">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w:t>
      </w:r>
      <w:r w:rsidRPr="005729C9">
        <w:rPr>
          <w:rFonts w:ascii="Verdana" w:eastAsia="Aptos" w:hAnsi="Verdana" w:cs="Times New Roman"/>
          <w:kern w:val="2"/>
          <w14:ligatures w14:val="standardContextual"/>
        </w:rPr>
        <w:lastRenderedPageBreak/>
        <w:t>el primer filtro, que resulta de la aplicación de los requisitos habilitantes que pueden resultar un impedimento para la posterior evaluación de su oferta y que pueda tener efectividad el puntaje”</w:t>
      </w:r>
      <w:r w:rsidRPr="005729C9">
        <w:rPr>
          <w:rFonts w:ascii="Verdana" w:eastAsia="Aptos" w:hAnsi="Verdana" w:cs="Times New Roman"/>
          <w:kern w:val="2"/>
          <w:vertAlign w:val="superscript"/>
          <w14:ligatures w14:val="standardContextual"/>
        </w:rPr>
        <w:footnoteReference w:id="10"/>
      </w:r>
      <w:r w:rsidRPr="005729C9">
        <w:rPr>
          <w:rFonts w:ascii="Verdana" w:eastAsia="Aptos" w:hAnsi="Verdana" w:cs="Times New Roman"/>
          <w:kern w:val="2"/>
          <w14:ligatures w14:val="standardContextual"/>
        </w:rPr>
        <w:t xml:space="preserve">. </w:t>
      </w:r>
    </w:p>
    <w:p w14:paraId="476473E0"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 xml:space="preserve">vi) Se incluye el artículo 2.1.2.4.2.7.4 que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73BE44DE"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 xml:space="preserve">vii) Se incluye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6564F973"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viii) Se incluye el artículo 2.2.1.2.4.2.7.6. del Decreto 1082 de 2015, contemplando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6DC293E8"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ix) Se incluye el artículo 2.2.1.2.4.2.7.7. del Decreto 1082 de 2015, que incorpora el</w:t>
      </w:r>
      <w:r w:rsidRPr="005729C9">
        <w:t xml:space="preserve"> </w:t>
      </w:r>
      <w:r w:rsidRPr="005729C9">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5CB11108"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 xml:space="preserve">x) Se modifica el artículo 2.2.1.2.4.2.7.8 del Decreto 1082 de 2015 y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0FE75386" w14:textId="77777777" w:rsidR="00A21449" w:rsidRPr="005729C9" w:rsidRDefault="00A21449" w:rsidP="00A2144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5729C9">
        <w:rPr>
          <w:rFonts w:ascii="Verdana" w:eastAsia="Aptos" w:hAnsi="Verdana" w:cs="Times New Roman"/>
          <w:kern w:val="2"/>
          <w14:ligatures w14:val="standardContextual"/>
        </w:rPr>
        <w:t xml:space="preserve">xi) </w:t>
      </w:r>
      <w:r w:rsidRPr="005729C9">
        <w:rPr>
          <w:rFonts w:ascii="Verdana" w:eastAsia="Aptos" w:hAnsi="Verdana" w:cs="Times New Roman"/>
          <w:color w:val="000000" w:themeColor="text1"/>
          <w:kern w:val="2"/>
          <w14:ligatures w14:val="standardContextual"/>
        </w:rPr>
        <w:t>Se incluye el artículo 2.2.1.2.4.2.7.9 del Decreto 1082 de 2015</w:t>
      </w:r>
      <w:r w:rsidRPr="005729C9">
        <w:rPr>
          <w:rFonts w:ascii="Work Sans" w:hAnsi="Work Sans"/>
          <w:b/>
          <w:bCs/>
          <w:color w:val="000000" w:themeColor="text1"/>
          <w:sz w:val="25"/>
          <w:szCs w:val="25"/>
          <w:shd w:val="clear" w:color="auto" w:fill="FFFFFF"/>
        </w:rPr>
        <w:t xml:space="preserve"> </w:t>
      </w:r>
      <w:r w:rsidRPr="005729C9">
        <w:rPr>
          <w:rFonts w:ascii="Verdana" w:hAnsi="Verdana"/>
          <w:color w:val="000000" w:themeColor="text1"/>
          <w:shd w:val="clear" w:color="auto" w:fill="FFFFFF"/>
        </w:rPr>
        <w:t>que establece lo referente al</w:t>
      </w:r>
      <w:r w:rsidRPr="005729C9">
        <w:rPr>
          <w:rFonts w:ascii="Work Sans" w:hAnsi="Work Sans"/>
          <w:b/>
          <w:bCs/>
          <w:color w:val="000000" w:themeColor="text1"/>
          <w:sz w:val="25"/>
          <w:szCs w:val="25"/>
          <w:shd w:val="clear" w:color="auto" w:fill="FFFFFF"/>
        </w:rPr>
        <w:t xml:space="preserve"> </w:t>
      </w:r>
      <w:r w:rsidRPr="005729C9">
        <w:rPr>
          <w:rFonts w:ascii="Verdana" w:eastAsia="Aptos" w:hAnsi="Verdana" w:cs="Times New Roman"/>
          <w:color w:val="000000" w:themeColor="text1"/>
          <w:kern w:val="2"/>
          <w14:ligatures w14:val="standardContextual"/>
        </w:rPr>
        <w:t xml:space="preserve">acceso y accesibilidad del sistema electrónico de </w:t>
      </w:r>
      <w:r w:rsidRPr="005729C9">
        <w:rPr>
          <w:rFonts w:ascii="Verdana" w:eastAsia="Aptos" w:hAnsi="Verdana" w:cs="Times New Roman"/>
          <w:color w:val="000000" w:themeColor="text1"/>
          <w:kern w:val="2"/>
          <w14:ligatures w14:val="standardContextual"/>
        </w:rPr>
        <w:lastRenderedPageBreak/>
        <w:t>contratación pública - SECOP. </w:t>
      </w:r>
    </w:p>
    <w:p w14:paraId="387BF992" w14:textId="77777777" w:rsidR="00A21449" w:rsidRPr="000A7EB2" w:rsidRDefault="00A21449" w:rsidP="00A21449">
      <w:pPr>
        <w:widowControl w:val="0"/>
        <w:autoSpaceDE w:val="0"/>
        <w:autoSpaceDN w:val="0"/>
        <w:spacing w:after="120" w:line="276" w:lineRule="auto"/>
        <w:jc w:val="both"/>
        <w:rPr>
          <w:rFonts w:ascii="Verdana" w:eastAsia="Calibri" w:hAnsi="Verdana" w:cs="Arial"/>
          <w:color w:val="000000"/>
          <w:sz w:val="20"/>
          <w:szCs w:val="20"/>
          <w:lang w:val="es-ES" w:eastAsia="es-ES_tradnl"/>
        </w:rPr>
      </w:pPr>
      <w:r w:rsidRPr="000A7EB2">
        <w:rPr>
          <w:rFonts w:ascii="Verdana" w:eastAsia="Aptos" w:hAnsi="Verdana" w:cs="Times New Roman"/>
          <w:kern w:val="2"/>
          <w14:ligatures w14:val="standardContextual"/>
        </w:rPr>
        <w:t>ii. Ahora bien, de acuerdo con las inquietudes planteadas, resulta necesario realizar algunas precisiones en relación con el artículo 2.2.1.2.4.2.6 del Decreto 287 de 2026, el cual incorpora la definición de emprendimientos y empresas de personas con discapacidad</w:t>
      </w:r>
      <w:r w:rsidRPr="000A7EB2">
        <w:rPr>
          <w:rFonts w:ascii="Verdana" w:eastAsia="Calibri" w:hAnsi="Verdana" w:cs="Arial"/>
          <w:lang w:val="es-ES_tradnl"/>
        </w:rPr>
        <w:t xml:space="preserve"> y </w:t>
      </w:r>
      <w:r w:rsidRPr="000A7EB2">
        <w:rPr>
          <w:rFonts w:ascii="Verdana" w:hAnsi="Verdana"/>
        </w:rPr>
        <w:t>consagra cuatro criterios alternativos en atención a los cuales una persona natural o jurídica puede acceder a los incentivos contractuales en favor de ellos</w:t>
      </w:r>
      <w:r w:rsidRPr="000A7EB2">
        <w:rPr>
          <w:rFonts w:ascii="Verdana" w:eastAsia="Calibri" w:hAnsi="Verdana" w:cs="Arial"/>
          <w:lang w:val="es-ES_tradnl"/>
        </w:rPr>
        <w:t>, siendo suficiente la configuración de uno de estos criterios para que se materialice la respectiva definición respecto del sujeto en particular.</w:t>
      </w:r>
      <w:r w:rsidRPr="000A7EB2">
        <w:rPr>
          <w:rFonts w:ascii="Verdana" w:eastAsia="Calibri" w:hAnsi="Verdana" w:cs="Arial"/>
          <w:color w:val="000000"/>
          <w:lang w:val="es-ES" w:eastAsia="es-ES_tradnl"/>
        </w:rPr>
        <w:t xml:space="preserve"> Para estos efectos, cada uno de los numerales de la norma establecen unos requisitos que deben acreditarse a efectos de aplicar las medidas </w:t>
      </w:r>
      <w:r w:rsidRPr="000A7EB2">
        <w:rPr>
          <w:rFonts w:ascii="Verdana" w:eastAsia="Calibri" w:hAnsi="Verdana" w:cs="Arial"/>
          <w:color w:val="000000"/>
          <w:sz w:val="20"/>
          <w:szCs w:val="20"/>
          <w:lang w:val="es-ES" w:eastAsia="es-ES_tradnl"/>
        </w:rPr>
        <w:t xml:space="preserve">afirmativas. El citado artículo indica:  </w:t>
      </w:r>
    </w:p>
    <w:p w14:paraId="0722313B"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“ARTÍCULO 2.2.1.2.4.2.6. DEFINICIÓN DE EMPRENDIMIENTOS Y EMPRESAS DE PERSONAS CON DISCAPACIDAD. Con el propósito de adoptar medidas afirmativas que incentiven la participación de las personas con discapacidad en el sistema de compras y contratación Pública, mediante la reglamentación del puntaje al que se refiere el numeral 1 del artículo 13 de la Ley 1618 de 2013 y el desarrollo del sistema de preferencias del numeral 8 del mismo artículo, se entenderán como emprendimientos y empresas de personas con discapacidad aquellos que cumplan con alguna de las siguientes condiciones:</w:t>
      </w:r>
    </w:p>
    <w:p w14:paraId="45C75A15" w14:textId="77777777" w:rsidR="00A21449" w:rsidRPr="000A7EB2" w:rsidRDefault="00A21449" w:rsidP="00A21449">
      <w:pPr>
        <w:spacing w:after="0" w:line="240" w:lineRule="auto"/>
        <w:ind w:left="709" w:right="709"/>
        <w:jc w:val="both"/>
        <w:rPr>
          <w:rFonts w:ascii="Verdana" w:hAnsi="Verdana"/>
          <w:iCs/>
          <w:sz w:val="20"/>
          <w:szCs w:val="20"/>
        </w:rPr>
      </w:pPr>
    </w:p>
    <w:p w14:paraId="0BD7B392"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1) Personas naturales con discapacidad que ejerzan una profesión liberal. Esta circunstancia se acreditará mediante la copia de cedula de ciudadanía, la cedula de extranjería o el pasaporte, el certificado de discapacidad expedido de acuerdo con la normativa del Ministerio de Salud y Protección Social, así coma el título profesional correspondiente.</w:t>
      </w:r>
    </w:p>
    <w:p w14:paraId="6D1096A4" w14:textId="77777777" w:rsidR="00A21449" w:rsidRPr="000A7EB2" w:rsidRDefault="00A21449" w:rsidP="00A21449">
      <w:pPr>
        <w:spacing w:after="0" w:line="240" w:lineRule="auto"/>
        <w:ind w:left="709" w:right="709"/>
        <w:jc w:val="both"/>
        <w:rPr>
          <w:rFonts w:ascii="Verdana" w:hAnsi="Verdana"/>
          <w:iCs/>
          <w:sz w:val="20"/>
          <w:szCs w:val="20"/>
        </w:rPr>
      </w:pPr>
    </w:p>
    <w:p w14:paraId="30701108"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2) Personas naturales con discapacidad que hayan realizado actividades comerciales a través de un establecimiento de comercio, durante al menos el último año anterior a la fecha de cierre del proceso de selección. Esta circunstancia se acreditará mediante la copia de cedula de ciudadanía, la cedula de extranjera o el pasaporte, el certificado de discapacidad expedido de acuerdo con la normativa del Ministerio de Salud y Protección Social, así coma la copia del registro mercantil.</w:t>
      </w:r>
    </w:p>
    <w:p w14:paraId="564A38B2" w14:textId="77777777" w:rsidR="00A21449" w:rsidRPr="000A7EB2" w:rsidRDefault="00A21449" w:rsidP="00A21449">
      <w:pPr>
        <w:spacing w:after="0" w:line="240" w:lineRule="auto"/>
        <w:ind w:right="709"/>
        <w:jc w:val="both"/>
        <w:rPr>
          <w:rFonts w:ascii="Verdana" w:hAnsi="Verdana"/>
          <w:iCs/>
          <w:sz w:val="20"/>
          <w:szCs w:val="20"/>
        </w:rPr>
      </w:pPr>
    </w:p>
    <w:p w14:paraId="786DE7DE"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3) Personas jurídicas donde más del cincuenta por ciento (50%) de sus acciones, partes de interés o cuotas de participación pertenezcan a personas con discapacidad y las derechos de propiedad hayan pertenecido a estas durante al menos el último año anterior a la fecha de cierre del Proceso de Selección.</w:t>
      </w:r>
    </w:p>
    <w:p w14:paraId="2B651C5F" w14:textId="77777777" w:rsidR="00A21449" w:rsidRPr="000A7EB2" w:rsidRDefault="00A21449" w:rsidP="00A21449">
      <w:pPr>
        <w:spacing w:after="0" w:line="240" w:lineRule="auto"/>
        <w:ind w:left="709" w:right="709"/>
        <w:jc w:val="both"/>
        <w:rPr>
          <w:rFonts w:ascii="Verdana" w:hAnsi="Verdana"/>
          <w:iCs/>
          <w:sz w:val="20"/>
          <w:szCs w:val="20"/>
        </w:rPr>
      </w:pPr>
    </w:p>
    <w:p w14:paraId="60FE3191"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lastRenderedPageBreak/>
        <w:t>La circunstancia de la propiedad de la persona jurídica se acreditará mediante certificación expedida por el representante legal y el revisor fiscal, cuando exista, de acuerdo con las requerimientos de ley o, el contador, donde conste la distribución de las derechos en la sociedad y el tiempo en el que las personas con discapacidad han mantenido su participación. Adicionalmente se debe adjuntar la copia de cedula de ciudadanía, la cedula de extranjera o el pasaporte, el certificado de discapacidad expedido de acuerdo con la normativa del Ministerio de Salud y Protección Social, así como la copia del certificado de existencia y representación legal.</w:t>
      </w:r>
    </w:p>
    <w:p w14:paraId="12C06557" w14:textId="77777777" w:rsidR="00A21449" w:rsidRPr="000A7EB2" w:rsidRDefault="00A21449" w:rsidP="00A21449">
      <w:pPr>
        <w:spacing w:after="0" w:line="240" w:lineRule="auto"/>
        <w:ind w:left="709" w:right="709"/>
        <w:jc w:val="both"/>
        <w:rPr>
          <w:rFonts w:ascii="Verdana" w:hAnsi="Verdana"/>
          <w:iCs/>
          <w:sz w:val="20"/>
          <w:szCs w:val="20"/>
        </w:rPr>
      </w:pPr>
    </w:p>
    <w:p w14:paraId="79FC7007"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4) Personas jurídicas que tengan vinculadas laboralmente al menos una persona con discapacidad en empleos del nivel directivo de la empresa durante al menos el último año anterior a la fecha de cierre del Proceso de Selección en el mismo cargo u otro del mismo nivel.</w:t>
      </w:r>
    </w:p>
    <w:p w14:paraId="6462A9F0" w14:textId="77777777" w:rsidR="00A21449" w:rsidRPr="000A7EB2" w:rsidRDefault="00A21449" w:rsidP="00A21449">
      <w:pPr>
        <w:spacing w:after="0" w:line="240" w:lineRule="auto"/>
        <w:ind w:right="709"/>
        <w:jc w:val="both"/>
        <w:rPr>
          <w:rFonts w:ascii="Verdana" w:hAnsi="Verdana"/>
          <w:iCs/>
          <w:sz w:val="20"/>
          <w:szCs w:val="20"/>
        </w:rPr>
      </w:pPr>
    </w:p>
    <w:p w14:paraId="381E3D85"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Por otra parte,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B2AEF47" w14:textId="77777777" w:rsidR="00A21449" w:rsidRPr="000A7EB2" w:rsidRDefault="00A21449" w:rsidP="00A21449">
      <w:pPr>
        <w:spacing w:after="0" w:line="240" w:lineRule="auto"/>
        <w:ind w:left="709" w:right="709"/>
        <w:jc w:val="both"/>
        <w:rPr>
          <w:rFonts w:ascii="Verdana" w:hAnsi="Verdana"/>
          <w:iCs/>
          <w:sz w:val="20"/>
          <w:szCs w:val="20"/>
        </w:rPr>
      </w:pPr>
    </w:p>
    <w:p w14:paraId="392A8070"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Esta circunstancia se acreditará mediante certificación expedida por el representante legal y el revisor fiscal, cuando exista de acuerdo con los requerimientos de ley, o el contador, donde se señale de manera detallada las personas con discapacidad que ocupan cargos de nivel directivo del proponente y el tiempo de vinculación.</w:t>
      </w:r>
    </w:p>
    <w:p w14:paraId="2E8E1617" w14:textId="77777777" w:rsidR="00A21449" w:rsidRPr="000A7EB2" w:rsidRDefault="00A21449" w:rsidP="00A21449">
      <w:pPr>
        <w:spacing w:after="0" w:line="240" w:lineRule="auto"/>
        <w:ind w:right="709"/>
        <w:jc w:val="both"/>
        <w:rPr>
          <w:rFonts w:ascii="Verdana" w:hAnsi="Verdana"/>
          <w:iCs/>
          <w:sz w:val="20"/>
          <w:szCs w:val="20"/>
        </w:rPr>
      </w:pPr>
    </w:p>
    <w:p w14:paraId="1BF23C2F"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y el certificado de discapacidad expedido de acuerdo con la normativa del Ministerio de Salud y Protección Social.</w:t>
      </w:r>
    </w:p>
    <w:p w14:paraId="36FBAA05" w14:textId="77777777" w:rsidR="00A21449" w:rsidRPr="000A7EB2" w:rsidRDefault="00A21449" w:rsidP="00A21449">
      <w:pPr>
        <w:spacing w:after="0" w:line="240" w:lineRule="auto"/>
        <w:ind w:left="709" w:right="709"/>
        <w:jc w:val="both"/>
        <w:rPr>
          <w:rFonts w:ascii="Verdana" w:hAnsi="Verdana"/>
          <w:iCs/>
          <w:sz w:val="20"/>
          <w:szCs w:val="20"/>
        </w:rPr>
      </w:pPr>
    </w:p>
    <w:p w14:paraId="6FB65E93" w14:textId="77777777" w:rsidR="00A21449" w:rsidRPr="000A7EB2" w:rsidRDefault="00A21449" w:rsidP="00A21449">
      <w:pPr>
        <w:spacing w:after="0" w:line="240" w:lineRule="auto"/>
        <w:ind w:left="709" w:right="709"/>
        <w:jc w:val="both"/>
        <w:rPr>
          <w:rFonts w:ascii="Verdana" w:hAnsi="Verdana"/>
          <w:iCs/>
          <w:sz w:val="20"/>
          <w:szCs w:val="20"/>
        </w:rPr>
      </w:pPr>
      <w:r w:rsidRPr="000A7EB2">
        <w:rPr>
          <w:rFonts w:ascii="Verdana" w:hAnsi="Verdana"/>
          <w:iCs/>
          <w:sz w:val="20"/>
          <w:szCs w:val="20"/>
        </w:rPr>
        <w:t>PARÁGRAFO. Respecto de los incentivos contractuales para los emprendimientos y empresas de personas con discapacidad, las certificaciones de que trata el presente artículo deben expedirse bajo la gravedad de juramento con una fecha de máxima treinta (30) días calendario anteriores a la prevista para el cierre del procedimiento de selección.”</w:t>
      </w:r>
    </w:p>
    <w:p w14:paraId="425728A9" w14:textId="77777777" w:rsidR="00A21449" w:rsidRPr="000A7EB2" w:rsidRDefault="00A21449" w:rsidP="00A21449">
      <w:pPr>
        <w:spacing w:after="0" w:line="240" w:lineRule="auto"/>
        <w:ind w:right="709"/>
        <w:jc w:val="both"/>
        <w:rPr>
          <w:rFonts w:ascii="Verdana" w:hAnsi="Verdana"/>
          <w:iCs/>
          <w:sz w:val="20"/>
          <w:szCs w:val="20"/>
        </w:rPr>
      </w:pPr>
    </w:p>
    <w:p w14:paraId="24BFAD98" w14:textId="77777777" w:rsidR="00A21449" w:rsidRPr="000A7EB2" w:rsidRDefault="00A21449" w:rsidP="00A21449">
      <w:pPr>
        <w:spacing w:after="120" w:line="276" w:lineRule="auto"/>
        <w:ind w:firstLine="709"/>
        <w:jc w:val="both"/>
        <w:rPr>
          <w:rFonts w:ascii="Verdana" w:eastAsia="Calibri" w:hAnsi="Verdana" w:cs="Arial"/>
          <w:color w:val="000000"/>
          <w:lang w:val="es-ES" w:eastAsia="es-ES_tradnl"/>
        </w:rPr>
      </w:pPr>
      <w:r w:rsidRPr="000A7EB2">
        <w:rPr>
          <w:rFonts w:ascii="Verdana" w:eastAsia="Calibri" w:hAnsi="Verdana" w:cs="Arial"/>
          <w:color w:val="000000"/>
          <w:lang w:val="es-ES" w:eastAsia="es-ES_tradnl"/>
        </w:rPr>
        <w:t xml:space="preserve">De acuerdo con lo establecido en este artículo, para efectos de la aplicación de estas medidas afirmativas, son considerados emprendimientos y empresas de personas con discapacidad aquellas personas jurídicas o naturales que cumplan con alguno de los cuatro supuestos de hecho previstos en la norma citada y acrediten estos supuestos con los documentos previstos para ello. </w:t>
      </w:r>
    </w:p>
    <w:p w14:paraId="68735DA8" w14:textId="77777777" w:rsidR="00A21449" w:rsidRPr="000A7EB2" w:rsidRDefault="00A21449" w:rsidP="00A21449">
      <w:pPr>
        <w:spacing w:after="120" w:line="276" w:lineRule="auto"/>
        <w:ind w:firstLine="709"/>
        <w:jc w:val="both"/>
        <w:rPr>
          <w:rFonts w:ascii="Verdana" w:eastAsia="Calibri" w:hAnsi="Verdana" w:cs="Arial"/>
          <w:color w:val="000000"/>
          <w:lang w:val="es-ES" w:eastAsia="es-ES"/>
        </w:rPr>
      </w:pPr>
      <w:r w:rsidRPr="000A7EB2">
        <w:rPr>
          <w:rFonts w:ascii="Verdana" w:eastAsia="Calibri" w:hAnsi="Verdana" w:cs="Arial"/>
          <w:color w:val="000000"/>
          <w:lang w:val="es-ES" w:eastAsia="es-ES"/>
        </w:rPr>
        <w:t xml:space="preserve">De la revisión de todos los numerales del artículo </w:t>
      </w:r>
      <w:r w:rsidRPr="000A7EB2">
        <w:rPr>
          <w:rFonts w:ascii="Verdana" w:eastAsia="Aptos" w:hAnsi="Verdana" w:cs="Times New Roman"/>
          <w:kern w:val="2"/>
          <w14:ligatures w14:val="standardContextual"/>
        </w:rPr>
        <w:t xml:space="preserve">2.2.1.2.4.2.6 </w:t>
      </w:r>
      <w:r w:rsidRPr="000A7EB2">
        <w:rPr>
          <w:rFonts w:ascii="Verdana" w:eastAsia="Calibri" w:hAnsi="Verdana" w:cs="Arial"/>
          <w:color w:val="000000"/>
          <w:lang w:val="es-ES" w:eastAsia="es-ES"/>
        </w:rPr>
        <w:t xml:space="preserve">es posible advertir que para cada uno de estos fueron expresamente establecidos los documentos que sirven como medio para su acreditación. De este modo, dichos </w:t>
      </w:r>
      <w:r w:rsidRPr="000A7EB2">
        <w:rPr>
          <w:rFonts w:ascii="Verdana" w:eastAsia="Calibri" w:hAnsi="Verdana" w:cs="Arial"/>
          <w:lang w:val="es-ES" w:eastAsia="es-ES"/>
        </w:rPr>
        <w:t xml:space="preserve">documentos constituyen una tarifa legal probatoria para demostrar que los proponentes son emprendimientos o empresas de personas con discapacidad que, por lo tanto, tienen derecho a la aplicación de las medidas afirmativas reglamentados en el decreto 287 de 2026. </w:t>
      </w:r>
    </w:p>
    <w:p w14:paraId="2CDCF423" w14:textId="77777777" w:rsidR="00A21449" w:rsidRPr="000A7EB2" w:rsidRDefault="00A21449" w:rsidP="5E9A424D">
      <w:pPr>
        <w:spacing w:after="120" w:line="276" w:lineRule="auto"/>
        <w:ind w:firstLine="709"/>
        <w:jc w:val="both"/>
        <w:rPr>
          <w:rFonts w:ascii="Verdana" w:eastAsia="Calibri" w:hAnsi="Verdana" w:cs="Arial"/>
          <w:lang w:val="es-ES" w:eastAsia="es-ES"/>
        </w:rPr>
      </w:pPr>
      <w:r w:rsidRPr="5E9A424D">
        <w:rPr>
          <w:rFonts w:ascii="Verdana" w:eastAsia="Calibri" w:hAnsi="Verdana" w:cs="Arial"/>
          <w:lang w:val="es-ES" w:eastAsia="es-ES"/>
        </w:rPr>
        <w:t xml:space="preserve">Conforme con lo anterior, se puede concluir que, el artículo en comento reglamentó </w:t>
      </w:r>
      <w:r w:rsidRPr="5E9A424D">
        <w:rPr>
          <w:rFonts w:ascii="Verdana" w:eastAsia="Calibri" w:hAnsi="Verdana" w:cs="Arial"/>
          <w:i/>
          <w:iCs/>
          <w:lang w:val="es-ES" w:eastAsia="es-ES"/>
        </w:rPr>
        <w:t xml:space="preserve">in extenso </w:t>
      </w:r>
      <w:r w:rsidRPr="5E9A424D">
        <w:rPr>
          <w:rFonts w:ascii="Verdana" w:eastAsia="Calibri" w:hAnsi="Verdana" w:cs="Arial"/>
          <w:lang w:val="es-ES" w:eastAsia="es-ES"/>
        </w:rPr>
        <w:t>la forma de acreditar las circunstancias, los medios de prueba requeridos en cada evento y las autoridades que pueden emitir estos documentos, por lo que las entidades contratantes deberán acudir a su contenido detallado para la aplicación de cada medida afirmativa. En efecto, los numerales 1 y 2 regulan los supuestos aplicables a las personas naturales con discapacidad. El numeral 1 se refiere a aquellas que ejerzan una profesión liberal, condición que se acredita mediante copia del documento de identidad (cédula de ciudadanía, cédula de extranjería o pasaporte), el certificado de discapacidad expedido conforme a la normativa del Ministerio de Salud y Protección Social y el correspondiente título profesional. Por su parte, el numeral 2 contempla a las personas naturales con discapacidad que hayan desarrollado actividades comerciales a través de un establecimiento de comercio durante, por lo menos, un (1) año anterior a la fecha de cierre del proceso de selección. Para acreditar esta condición se exige copia del documento de identidad, el certificado de discapacidad expedido conforme a la normativa del Ministerio de Salud y Protección Social y copia del registro mercantil.</w:t>
      </w:r>
    </w:p>
    <w:p w14:paraId="338EB117" w14:textId="77777777" w:rsidR="00A21449" w:rsidRPr="000A7EB2" w:rsidRDefault="00A21449" w:rsidP="00A21449">
      <w:pPr>
        <w:spacing w:after="120" w:line="276" w:lineRule="auto"/>
        <w:ind w:firstLine="709"/>
        <w:jc w:val="both"/>
        <w:rPr>
          <w:rFonts w:ascii="Verdana" w:eastAsia="Calibri" w:hAnsi="Verdana" w:cs="Arial"/>
          <w:szCs w:val="24"/>
          <w:lang w:val="es-ES_tradnl" w:eastAsia="es-ES_tradnl"/>
        </w:rPr>
      </w:pPr>
      <w:r w:rsidRPr="000A7EB2">
        <w:rPr>
          <w:rFonts w:ascii="Verdana" w:eastAsia="Calibri" w:hAnsi="Verdana" w:cs="Arial"/>
          <w:szCs w:val="24"/>
          <w:lang w:val="es-ES_tradnl" w:eastAsia="es-ES_tradnl"/>
        </w:rPr>
        <w:t xml:space="preserve">En segundo lugar, los numerales 3 y 4 regulan los supuestos aplicables a las personas jurídicas. El numeral 3 comprende aquellas en las cuales más del cincuenta por ciento (50 %) de las acciones, partes de interés o cuotas de participación pertenezcan a personas con discapacidad y cuyos derechos de propiedad hayan pertenecido a estas durante, al menos, el último año anterior </w:t>
      </w:r>
      <w:r w:rsidRPr="000A7EB2">
        <w:rPr>
          <w:rFonts w:ascii="Verdana" w:eastAsia="Calibri" w:hAnsi="Verdana" w:cs="Arial"/>
          <w:szCs w:val="24"/>
          <w:lang w:val="es-ES_tradnl" w:eastAsia="es-ES_tradnl"/>
        </w:rPr>
        <w:lastRenderedPageBreak/>
        <w:t>a la fecha de cierre del proceso de selección. Esta circunstancia debe acreditarse mediante certificación expedida por el representante legal y el revisor fiscal, cuando exista, copia de los documentos de identidad de las personas con discapacidad, el correspondiente certificado de discapacidad expedido conforme a la normativa del Ministerio de Salud y Protección Social y copia del certificado de existencia y representación legal.</w:t>
      </w:r>
    </w:p>
    <w:p w14:paraId="042C990C" w14:textId="77777777" w:rsidR="00A21449" w:rsidRPr="000A7EB2" w:rsidRDefault="00A21449" w:rsidP="00A21449">
      <w:pPr>
        <w:spacing w:after="120" w:line="276" w:lineRule="auto"/>
        <w:ind w:firstLine="709"/>
        <w:jc w:val="both"/>
        <w:rPr>
          <w:rFonts w:ascii="Verdana" w:eastAsia="Calibri" w:hAnsi="Verdana" w:cs="Arial"/>
          <w:color w:val="000000"/>
          <w:lang w:val="es-ES" w:eastAsia="es-ES"/>
        </w:rPr>
      </w:pPr>
      <w:r w:rsidRPr="000A7EB2">
        <w:rPr>
          <w:rFonts w:ascii="Verdana" w:eastAsia="Calibri" w:hAnsi="Verdana" w:cs="Arial"/>
          <w:szCs w:val="24"/>
          <w:lang w:val="es-ES_tradnl" w:eastAsia="es-ES_tradnl"/>
        </w:rPr>
        <w:t>Por su parte, el numeral 4 comprende a las personas jurídicas que tengan vinculada laboralmente, por lo menos, una persona con discapacidad en un cargo del nivel directivo durante el último año anterior a la fecha de cierre del proceso de selección. Para acreditar esta condición deberán aportar certificación expedida por el representante legal y el revisor fiscal, cuando exista, copia de los documentos de identidad correspondientes, copia de los contratos de trabajo o certificación laboral en la que consten las funciones desempeñadas, el certificado de aportes al sistema de seguridad social y el correspondiente certificado de discapacidad expedido conforme a la normativa del Ministerio de Salud y Protección Social.</w:t>
      </w:r>
    </w:p>
    <w:p w14:paraId="3DF82518" w14:textId="77777777" w:rsidR="00A21449" w:rsidRPr="000A7EB2" w:rsidRDefault="00A21449" w:rsidP="00A21449">
      <w:pPr>
        <w:spacing w:after="120" w:line="276" w:lineRule="auto"/>
        <w:ind w:firstLine="708"/>
        <w:jc w:val="both"/>
        <w:rPr>
          <w:rFonts w:ascii="Verdana" w:eastAsia="Arial" w:hAnsi="Verdana" w:cs="Arial"/>
        </w:rPr>
      </w:pPr>
      <w:r w:rsidRPr="000A7EB2">
        <w:rPr>
          <w:rFonts w:ascii="Verdana" w:eastAsia="Arial" w:hAnsi="Verdana" w:cs="Arial"/>
        </w:rPr>
        <w:t>Sin perjuicio de lo anterior,</w:t>
      </w:r>
      <w:r w:rsidRPr="000A7EB2">
        <w:rPr>
          <w:rFonts w:ascii="Verdana" w:eastAsia="Arial" w:hAnsi="Verdana" w:cs="Arial"/>
          <w:spacing w:val="1"/>
        </w:rPr>
        <w:t xml:space="preserve"> </w:t>
      </w:r>
      <w:r w:rsidRPr="000A7EB2">
        <w:rPr>
          <w:rFonts w:ascii="Verdana" w:eastAsia="Arial" w:hAnsi="Verdana" w:cs="Arial"/>
        </w:rPr>
        <w:t>la sola presentación</w:t>
      </w:r>
      <w:r w:rsidRPr="000A7EB2">
        <w:rPr>
          <w:rFonts w:ascii="Verdana" w:eastAsia="Arial" w:hAnsi="Verdana" w:cs="Arial"/>
          <w:spacing w:val="1"/>
        </w:rPr>
        <w:t xml:space="preserve"> </w:t>
      </w:r>
      <w:r w:rsidRPr="000A7EB2">
        <w:rPr>
          <w:rFonts w:ascii="Verdana" w:eastAsia="Arial" w:hAnsi="Verdana" w:cs="Arial"/>
        </w:rPr>
        <w:t>de las certificaciones y documentos señalados no confiere automáticamente el acceso a las medidas afirmativas. Esto por cuanto es deber</w:t>
      </w:r>
      <w:r w:rsidRPr="000A7EB2">
        <w:rPr>
          <w:rFonts w:ascii="Verdana" w:eastAsia="Arial" w:hAnsi="Verdana" w:cs="Arial"/>
          <w:spacing w:val="-7"/>
        </w:rPr>
        <w:t xml:space="preserve"> </w:t>
      </w:r>
      <w:r w:rsidRPr="000A7EB2">
        <w:rPr>
          <w:rFonts w:ascii="Verdana" w:eastAsia="Arial" w:hAnsi="Verdana" w:cs="Arial"/>
        </w:rPr>
        <w:t>de</w:t>
      </w:r>
      <w:r w:rsidRPr="000A7EB2">
        <w:rPr>
          <w:rFonts w:ascii="Verdana" w:eastAsia="Arial" w:hAnsi="Verdana" w:cs="Arial"/>
          <w:spacing w:val="-7"/>
        </w:rPr>
        <w:t xml:space="preserve"> </w:t>
      </w:r>
      <w:r w:rsidRPr="000A7EB2">
        <w:rPr>
          <w:rFonts w:ascii="Verdana" w:eastAsia="Arial" w:hAnsi="Verdana" w:cs="Arial"/>
        </w:rPr>
        <w:t>la</w:t>
      </w:r>
      <w:r w:rsidRPr="000A7EB2">
        <w:rPr>
          <w:rFonts w:ascii="Verdana" w:eastAsia="Arial" w:hAnsi="Verdana" w:cs="Arial"/>
          <w:spacing w:val="-7"/>
        </w:rPr>
        <w:t xml:space="preserve"> </w:t>
      </w:r>
      <w:r w:rsidRPr="000A7EB2">
        <w:rPr>
          <w:rFonts w:ascii="Verdana" w:eastAsia="Arial" w:hAnsi="Verdana" w:cs="Arial"/>
        </w:rPr>
        <w:t>entidad</w:t>
      </w:r>
      <w:r w:rsidRPr="000A7EB2">
        <w:rPr>
          <w:rFonts w:ascii="Verdana" w:eastAsia="Arial" w:hAnsi="Verdana" w:cs="Arial"/>
          <w:spacing w:val="-7"/>
        </w:rPr>
        <w:t xml:space="preserve"> </w:t>
      </w:r>
      <w:r w:rsidRPr="000A7EB2">
        <w:rPr>
          <w:rFonts w:ascii="Verdana" w:eastAsia="Arial" w:hAnsi="Verdana" w:cs="Arial"/>
        </w:rPr>
        <w:t>verificar</w:t>
      </w:r>
      <w:r w:rsidRPr="000A7EB2">
        <w:rPr>
          <w:rFonts w:ascii="Verdana" w:eastAsia="Arial" w:hAnsi="Verdana" w:cs="Arial"/>
          <w:spacing w:val="-7"/>
        </w:rPr>
        <w:t xml:space="preserve"> </w:t>
      </w:r>
      <w:r w:rsidRPr="000A7EB2">
        <w:rPr>
          <w:rFonts w:ascii="Verdana" w:eastAsia="Arial" w:hAnsi="Verdana" w:cs="Arial"/>
        </w:rPr>
        <w:t>que</w:t>
      </w:r>
      <w:r w:rsidRPr="000A7EB2">
        <w:rPr>
          <w:rFonts w:ascii="Verdana" w:eastAsia="Arial" w:hAnsi="Verdana" w:cs="Arial"/>
          <w:spacing w:val="-7"/>
        </w:rPr>
        <w:t xml:space="preserve"> </w:t>
      </w:r>
      <w:r w:rsidRPr="000A7EB2">
        <w:rPr>
          <w:rFonts w:ascii="Verdana" w:eastAsia="Arial" w:hAnsi="Verdana" w:cs="Arial"/>
        </w:rPr>
        <w:t>los</w:t>
      </w:r>
      <w:r w:rsidRPr="000A7EB2">
        <w:rPr>
          <w:rFonts w:ascii="Verdana" w:eastAsia="Arial" w:hAnsi="Verdana" w:cs="Arial"/>
          <w:spacing w:val="-7"/>
        </w:rPr>
        <w:t xml:space="preserve"> </w:t>
      </w:r>
      <w:r w:rsidRPr="000A7EB2">
        <w:rPr>
          <w:rFonts w:ascii="Verdana" w:eastAsia="Arial" w:hAnsi="Verdana" w:cs="Arial"/>
        </w:rPr>
        <w:t>documentos</w:t>
      </w:r>
      <w:r w:rsidRPr="000A7EB2">
        <w:rPr>
          <w:rFonts w:ascii="Verdana" w:eastAsia="Arial" w:hAnsi="Verdana" w:cs="Arial"/>
          <w:spacing w:val="-7"/>
        </w:rPr>
        <w:t xml:space="preserve"> </w:t>
      </w:r>
      <w:r w:rsidRPr="000A7EB2">
        <w:rPr>
          <w:rFonts w:ascii="Verdana" w:eastAsia="Arial" w:hAnsi="Verdana" w:cs="Arial"/>
        </w:rPr>
        <w:t>presentados</w:t>
      </w:r>
      <w:r w:rsidRPr="000A7EB2">
        <w:rPr>
          <w:rFonts w:ascii="Verdana" w:eastAsia="Arial" w:hAnsi="Verdana" w:cs="Arial"/>
          <w:spacing w:val="-7"/>
        </w:rPr>
        <w:t xml:space="preserve"> </w:t>
      </w:r>
      <w:r w:rsidRPr="000A7EB2">
        <w:rPr>
          <w:rFonts w:ascii="Verdana" w:eastAsia="Arial" w:hAnsi="Verdana" w:cs="Arial"/>
        </w:rPr>
        <w:t>acrediten</w:t>
      </w:r>
      <w:r w:rsidRPr="000A7EB2">
        <w:rPr>
          <w:rFonts w:ascii="Verdana" w:eastAsia="Arial" w:hAnsi="Verdana" w:cs="Arial"/>
          <w:spacing w:val="-7"/>
        </w:rPr>
        <w:t xml:space="preserve"> </w:t>
      </w:r>
      <w:r w:rsidRPr="000A7EB2">
        <w:rPr>
          <w:rFonts w:ascii="Verdana" w:eastAsia="Arial" w:hAnsi="Verdana" w:cs="Arial"/>
        </w:rPr>
        <w:t>las</w:t>
      </w:r>
      <w:r w:rsidRPr="000A7EB2">
        <w:rPr>
          <w:rFonts w:ascii="Verdana" w:eastAsia="Arial" w:hAnsi="Verdana" w:cs="Arial"/>
          <w:spacing w:val="-7"/>
        </w:rPr>
        <w:t xml:space="preserve"> </w:t>
      </w:r>
      <w:r w:rsidRPr="000A7EB2">
        <w:rPr>
          <w:rFonts w:ascii="Verdana" w:eastAsia="Arial" w:hAnsi="Verdana" w:cs="Arial"/>
        </w:rPr>
        <w:t>condiciones</w:t>
      </w:r>
      <w:r w:rsidRPr="000A7EB2">
        <w:rPr>
          <w:rFonts w:ascii="Verdana" w:eastAsia="Arial" w:hAnsi="Verdana" w:cs="Arial"/>
          <w:spacing w:val="-7"/>
        </w:rPr>
        <w:t xml:space="preserve"> </w:t>
      </w:r>
      <w:r w:rsidRPr="000A7EB2">
        <w:rPr>
          <w:rFonts w:ascii="Verdana" w:eastAsia="Arial" w:hAnsi="Verdana" w:cs="Arial"/>
        </w:rPr>
        <w:t>descritas en cada uno de los numerales del</w:t>
      </w:r>
      <w:r w:rsidRPr="000A7EB2">
        <w:rPr>
          <w:rFonts w:ascii="Verdana" w:eastAsia="Arial" w:hAnsi="Verdana" w:cs="Arial"/>
          <w:spacing w:val="-3"/>
        </w:rPr>
        <w:t xml:space="preserve"> </w:t>
      </w:r>
      <w:r w:rsidRPr="000A7EB2">
        <w:rPr>
          <w:rFonts w:ascii="Verdana" w:eastAsia="Arial" w:hAnsi="Verdana" w:cs="Arial"/>
        </w:rPr>
        <w:t>artículo</w:t>
      </w:r>
      <w:r w:rsidRPr="000A7EB2">
        <w:rPr>
          <w:rFonts w:ascii="Verdana" w:eastAsia="Arial" w:hAnsi="Verdana" w:cs="Arial"/>
          <w:spacing w:val="-2"/>
        </w:rPr>
        <w:t xml:space="preserve"> </w:t>
      </w:r>
      <w:r w:rsidRPr="000A7EB2">
        <w:rPr>
          <w:rFonts w:ascii="Verdana" w:eastAsia="Aptos" w:hAnsi="Verdana" w:cs="Times New Roman"/>
          <w:kern w:val="2"/>
          <w14:ligatures w14:val="standardContextual"/>
        </w:rPr>
        <w:t xml:space="preserve">2.2.1.2.4.2.6 </w:t>
      </w:r>
      <w:r w:rsidRPr="000A7EB2">
        <w:rPr>
          <w:rFonts w:ascii="Verdana" w:eastAsia="Arial" w:hAnsi="Verdana" w:cs="Arial"/>
        </w:rPr>
        <w:t>del</w:t>
      </w:r>
      <w:r w:rsidRPr="000A7EB2">
        <w:rPr>
          <w:rFonts w:ascii="Verdana" w:eastAsia="Arial" w:hAnsi="Verdana" w:cs="Arial"/>
          <w:spacing w:val="-3"/>
        </w:rPr>
        <w:t xml:space="preserve"> </w:t>
      </w:r>
      <w:r w:rsidRPr="000A7EB2">
        <w:rPr>
          <w:rFonts w:ascii="Verdana" w:eastAsia="Arial" w:hAnsi="Verdana" w:cs="Arial"/>
        </w:rPr>
        <w:t>Decreto</w:t>
      </w:r>
      <w:r w:rsidRPr="000A7EB2">
        <w:rPr>
          <w:rFonts w:ascii="Verdana" w:eastAsia="Arial" w:hAnsi="Verdana" w:cs="Arial"/>
          <w:spacing w:val="-3"/>
        </w:rPr>
        <w:t xml:space="preserve"> </w:t>
      </w:r>
      <w:r w:rsidRPr="000A7EB2">
        <w:rPr>
          <w:rFonts w:ascii="Verdana" w:eastAsia="Arial" w:hAnsi="Verdana" w:cs="Arial"/>
        </w:rPr>
        <w:t>1082</w:t>
      </w:r>
      <w:r w:rsidRPr="000A7EB2">
        <w:rPr>
          <w:rFonts w:ascii="Verdana" w:eastAsia="Arial" w:hAnsi="Verdana" w:cs="Arial"/>
          <w:spacing w:val="-3"/>
        </w:rPr>
        <w:t xml:space="preserve"> </w:t>
      </w:r>
      <w:r w:rsidRPr="000A7EB2">
        <w:rPr>
          <w:rFonts w:ascii="Verdana" w:eastAsia="Arial" w:hAnsi="Verdana" w:cs="Arial"/>
        </w:rPr>
        <w:t>de</w:t>
      </w:r>
      <w:r w:rsidRPr="000A7EB2">
        <w:rPr>
          <w:rFonts w:ascii="Verdana" w:eastAsia="Arial" w:hAnsi="Verdana" w:cs="Arial"/>
          <w:spacing w:val="-3"/>
        </w:rPr>
        <w:t xml:space="preserve"> </w:t>
      </w:r>
      <w:r w:rsidRPr="000A7EB2">
        <w:rPr>
          <w:rFonts w:ascii="Verdana" w:eastAsia="Arial" w:hAnsi="Verdana" w:cs="Arial"/>
        </w:rPr>
        <w:t>2015.</w:t>
      </w:r>
    </w:p>
    <w:p w14:paraId="73B3EB59" w14:textId="77777777" w:rsidR="00A21449" w:rsidRPr="000A7EB2" w:rsidRDefault="00A21449" w:rsidP="00A21449">
      <w:pPr>
        <w:spacing w:after="120" w:line="276" w:lineRule="auto"/>
        <w:ind w:firstLine="708"/>
        <w:jc w:val="both"/>
        <w:rPr>
          <w:rFonts w:ascii="Verdana" w:eastAsia="Batang" w:hAnsi="Verdana" w:cs="Arial"/>
        </w:rPr>
      </w:pPr>
      <w:r w:rsidRPr="000A7EB2">
        <w:rPr>
          <w:rFonts w:ascii="Verdana" w:eastAsia="Arial" w:hAnsi="Verdana" w:cs="Arial"/>
        </w:rPr>
        <w:t>Concretamente, para responder el problema jurídico planteado, debe indicarse que el parágrafo del</w:t>
      </w:r>
      <w:r w:rsidRPr="000A7EB2">
        <w:rPr>
          <w:rFonts w:ascii="Verdana" w:eastAsia="Arial" w:hAnsi="Verdana" w:cs="Arial"/>
          <w:spacing w:val="-3"/>
        </w:rPr>
        <w:t xml:space="preserve"> </w:t>
      </w:r>
      <w:r w:rsidRPr="000A7EB2">
        <w:rPr>
          <w:rFonts w:ascii="Verdana" w:eastAsia="Arial" w:hAnsi="Verdana" w:cs="Arial"/>
        </w:rPr>
        <w:t>artículo</w:t>
      </w:r>
      <w:r w:rsidRPr="000A7EB2">
        <w:rPr>
          <w:rFonts w:ascii="Verdana" w:eastAsia="Arial" w:hAnsi="Verdana" w:cs="Arial"/>
          <w:spacing w:val="-2"/>
        </w:rPr>
        <w:t xml:space="preserve"> </w:t>
      </w:r>
      <w:r w:rsidRPr="000A7EB2">
        <w:rPr>
          <w:rFonts w:ascii="Verdana" w:eastAsia="Aptos" w:hAnsi="Verdana" w:cs="Times New Roman"/>
          <w:kern w:val="2"/>
          <w14:ligatures w14:val="standardContextual"/>
        </w:rPr>
        <w:t xml:space="preserve">2.2.1.2.4.2.6 </w:t>
      </w:r>
      <w:r w:rsidRPr="000A7EB2">
        <w:rPr>
          <w:rFonts w:ascii="Verdana" w:eastAsia="Arial" w:hAnsi="Verdana" w:cs="Arial"/>
        </w:rPr>
        <w:t>del</w:t>
      </w:r>
      <w:r w:rsidRPr="000A7EB2">
        <w:rPr>
          <w:rFonts w:ascii="Verdana" w:eastAsia="Arial" w:hAnsi="Verdana" w:cs="Arial"/>
          <w:spacing w:val="-3"/>
        </w:rPr>
        <w:t xml:space="preserve"> </w:t>
      </w:r>
      <w:r w:rsidRPr="000A7EB2">
        <w:rPr>
          <w:rFonts w:ascii="Verdana" w:eastAsia="Arial" w:hAnsi="Verdana" w:cs="Arial"/>
        </w:rPr>
        <w:t>Decreto</w:t>
      </w:r>
      <w:r w:rsidRPr="000A7EB2">
        <w:rPr>
          <w:rFonts w:ascii="Verdana" w:eastAsia="Arial" w:hAnsi="Verdana" w:cs="Arial"/>
          <w:spacing w:val="-3"/>
        </w:rPr>
        <w:t xml:space="preserve"> </w:t>
      </w:r>
      <w:r w:rsidRPr="000A7EB2">
        <w:rPr>
          <w:rFonts w:ascii="Verdana" w:eastAsia="Arial" w:hAnsi="Verdana" w:cs="Arial"/>
        </w:rPr>
        <w:t>1082</w:t>
      </w:r>
      <w:r w:rsidRPr="000A7EB2">
        <w:rPr>
          <w:rFonts w:ascii="Verdana" w:eastAsia="Arial" w:hAnsi="Verdana" w:cs="Arial"/>
          <w:spacing w:val="-3"/>
        </w:rPr>
        <w:t xml:space="preserve"> </w:t>
      </w:r>
      <w:r w:rsidRPr="000A7EB2">
        <w:rPr>
          <w:rFonts w:ascii="Verdana" w:eastAsia="Arial" w:hAnsi="Verdana" w:cs="Arial"/>
        </w:rPr>
        <w:t>de</w:t>
      </w:r>
      <w:r w:rsidRPr="000A7EB2">
        <w:rPr>
          <w:rFonts w:ascii="Verdana" w:eastAsia="Arial" w:hAnsi="Verdana" w:cs="Arial"/>
          <w:spacing w:val="-3"/>
        </w:rPr>
        <w:t xml:space="preserve"> </w:t>
      </w:r>
      <w:r w:rsidRPr="000A7EB2">
        <w:rPr>
          <w:rFonts w:ascii="Verdana" w:eastAsia="Arial" w:hAnsi="Verdana" w:cs="Arial"/>
        </w:rPr>
        <w:t>2015 señala que,</w:t>
      </w:r>
      <w:r w:rsidRPr="000A7EB2">
        <w:t xml:space="preserve"> </w:t>
      </w:r>
      <w:r w:rsidRPr="000A7EB2">
        <w:rPr>
          <w:rFonts w:ascii="Verdana" w:eastAsia="Arial" w:hAnsi="Verdana" w:cs="Arial"/>
        </w:rPr>
        <w:t>respecto de los incentivos contractuales para los emprendimientos y empresas de personas con discapacidad, las certificaciones de que trata el presente artículo deben expedirse “bajo la gravedad de juramento”. El alcance de esta expresión consiste en atribuir a las manifestaciones contenidas en las certificaciones los efectos jurídicos propios del juramento, esto es, comprometer la responsabilidad de quien las suscribe respecto de la veracidad de la información suministrada</w:t>
      </w:r>
      <w:r w:rsidRPr="000A7EB2">
        <w:rPr>
          <w:rFonts w:ascii="Verdana" w:eastAsia="Batang" w:hAnsi="Verdana" w:cs="Arial"/>
        </w:rPr>
        <w:t xml:space="preserve"> sin necesidad de trámites adicionales.</w:t>
      </w:r>
    </w:p>
    <w:p w14:paraId="5858A92C" w14:textId="77777777" w:rsidR="00A21449" w:rsidRPr="000A7EB2" w:rsidRDefault="00A21449" w:rsidP="00A21449">
      <w:pPr>
        <w:spacing w:after="120" w:line="276" w:lineRule="auto"/>
        <w:ind w:firstLine="708"/>
        <w:jc w:val="both"/>
        <w:rPr>
          <w:rFonts w:ascii="Verdana" w:eastAsia="Arial" w:hAnsi="Verdana" w:cs="Arial"/>
        </w:rPr>
      </w:pPr>
      <w:r w:rsidRPr="000A7EB2">
        <w:rPr>
          <w:rFonts w:ascii="Verdana" w:eastAsia="Arial" w:hAnsi="Verdana" w:cs="Arial"/>
        </w:rPr>
        <w:t xml:space="preserve">En consecuencia, cuando el parágrafo dispone que las certificaciones deben expedirse bajo la gravedad de juramento, lo que exige es que las manifestaciones contenidas en ellas produzcan dicho efecto jurídico, sin que de ello se derive la necesidad de incorporar literalmente esa expresión en cada uno de los documentos que soportan la acreditación de dicha condición. </w:t>
      </w:r>
    </w:p>
    <w:p w14:paraId="5C5ECFEE" w14:textId="77777777" w:rsidR="00A21449" w:rsidRPr="000A7EB2" w:rsidRDefault="00A21449" w:rsidP="00A21449">
      <w:pPr>
        <w:spacing w:after="120" w:line="276" w:lineRule="auto"/>
        <w:ind w:firstLine="709"/>
        <w:jc w:val="both"/>
        <w:rPr>
          <w:rFonts w:ascii="Verdana" w:eastAsia="Arial" w:hAnsi="Verdana" w:cs="Arial"/>
        </w:rPr>
      </w:pPr>
      <w:r w:rsidRPr="000A7EB2">
        <w:rPr>
          <w:rFonts w:ascii="Verdana" w:eastAsia="Arial" w:hAnsi="Verdana" w:cs="Arial"/>
        </w:rPr>
        <w:lastRenderedPageBreak/>
        <w:t>Así, cuando la acreditación de la condición de emprendimientos y empresas de personas con discapacidad se presenta mediante un conjunto de documentos que integran una misma oferta y la manifestación principal realizada en un determinado formato cobija los soportes aportados para acreditar los supuestos previstos en los numerales 1, 2, 3 y 4 del artículo 2.2.1.2.4.2.6. del Decreto 1082</w:t>
      </w:r>
      <w:r w:rsidRPr="000A7EB2">
        <w:rPr>
          <w:rFonts w:ascii="Verdana" w:eastAsia="Arial" w:hAnsi="Verdana" w:cs="Arial"/>
          <w:spacing w:val="-3"/>
        </w:rPr>
        <w:t xml:space="preserve"> </w:t>
      </w:r>
      <w:r w:rsidRPr="000A7EB2">
        <w:rPr>
          <w:rFonts w:ascii="Verdana" w:eastAsia="Arial" w:hAnsi="Verdana" w:cs="Arial"/>
        </w:rPr>
        <w:t>de</w:t>
      </w:r>
      <w:r w:rsidRPr="000A7EB2">
        <w:rPr>
          <w:rFonts w:ascii="Verdana" w:eastAsia="Arial" w:hAnsi="Verdana" w:cs="Arial"/>
          <w:spacing w:val="-3"/>
        </w:rPr>
        <w:t xml:space="preserve"> </w:t>
      </w:r>
      <w:r w:rsidRPr="000A7EB2">
        <w:rPr>
          <w:rFonts w:ascii="Verdana" w:eastAsia="Arial" w:hAnsi="Verdana" w:cs="Arial"/>
        </w:rPr>
        <w:t>2015, se entiende que cumple con lo dispuesto en tal parágrafo. Debe destacarse que dicha disposición no impone que cada documento soporte reproduzca de forma autónoma la expresión "bajo la gravedad de juramento", pues el requisito se satisface en la medida en que las manifestaciones efectuadas para acreditar el incentivo se entiendan realizadas con ese alcance jurídico.</w:t>
      </w:r>
    </w:p>
    <w:p w14:paraId="3C5BBA39" w14:textId="77777777" w:rsidR="00A21449" w:rsidRPr="000A7EB2" w:rsidRDefault="00A21449" w:rsidP="00A21449">
      <w:pPr>
        <w:spacing w:after="120" w:line="276" w:lineRule="auto"/>
        <w:ind w:firstLine="708"/>
        <w:jc w:val="both"/>
        <w:rPr>
          <w:rFonts w:ascii="Verdana" w:eastAsia="Times New Roman" w:hAnsi="Verdana" w:cs="Arial"/>
          <w:kern w:val="2"/>
          <w:lang w:eastAsia="es-CO"/>
          <w14:ligatures w14:val="standardContextual"/>
        </w:rPr>
      </w:pPr>
      <w:r w:rsidRPr="000A7EB2">
        <w:rPr>
          <w:rFonts w:ascii="Verdana" w:eastAsia="Arial" w:hAnsi="Verdana" w:cs="Arial"/>
        </w:rPr>
        <w:t xml:space="preserve">Esta interpretación resulta consistente con el artículo 7 del Decreto Ley 019 de 2012 conforme al cual en las actuaciones administrativas, no pueden exigirse declaraciones </w:t>
      </w:r>
      <w:r w:rsidRPr="000A7EB2">
        <w:rPr>
          <w:rFonts w:ascii="Verdana" w:eastAsia="Arial" w:hAnsi="Verdana" w:cs="Arial"/>
          <w:i/>
          <w:iCs/>
        </w:rPr>
        <w:t>extrajuicio</w:t>
      </w:r>
      <w:r w:rsidRPr="000A7EB2">
        <w:rPr>
          <w:rFonts w:ascii="Verdana" w:eastAsia="Arial" w:hAnsi="Verdana" w:cs="Arial"/>
        </w:rPr>
        <w:t xml:space="preserve"> y basta la afirmación realizada por el particular ante la autoridad para que esta se entienda efectuada bajo la gravedad de juramento. Adicionalmente, es la que </w:t>
      </w:r>
      <w:r w:rsidRPr="000A7EB2">
        <w:rPr>
          <w:rFonts w:ascii="Verdana" w:eastAsia="Times New Roman" w:hAnsi="Verdana" w:cs="Arial"/>
          <w:kern w:val="2"/>
          <w:lang w:eastAsia="es-CO"/>
          <w14:ligatures w14:val="standardContextual"/>
        </w:rPr>
        <w:t xml:space="preserve">más se ajusta al principio del efecto útil de la norma, lo cual no riñe con lo dispuesto en el parágrafo del artículo </w:t>
      </w:r>
      <w:r w:rsidRPr="000A7EB2">
        <w:rPr>
          <w:rFonts w:ascii="Verdana" w:eastAsia="Arial" w:hAnsi="Verdana" w:cs="Arial"/>
        </w:rPr>
        <w:t xml:space="preserve">2.2.1.2.4.2.6 </w:t>
      </w:r>
      <w:r w:rsidRPr="000A7EB2">
        <w:rPr>
          <w:rFonts w:ascii="Verdana" w:eastAsia="Arial" w:hAnsi="Verdana" w:cs="Arial"/>
          <w:i/>
          <w:iCs/>
        </w:rPr>
        <w:t>ibidem</w:t>
      </w:r>
      <w:r w:rsidRPr="000A7EB2">
        <w:rPr>
          <w:rFonts w:ascii="Verdana" w:eastAsia="Times New Roman" w:hAnsi="Verdana" w:cs="Arial"/>
          <w:kern w:val="2"/>
          <w:lang w:eastAsia="es-CO"/>
          <w14:ligatures w14:val="standardContextual"/>
        </w:rPr>
        <w:t>. No en vano, la Corte Constitucional ha señalado, al explicar el principio del efecto útil, que “debe considerarse, de entre varias interpretaciones de una disposición normativa, aquella que permita consecuencias jurídicas, sobre aquella que no las prevea o que contemple consecuencias superfluas o innecesarias</w:t>
      </w:r>
      <w:r w:rsidRPr="000A7EB2">
        <w:rPr>
          <w:rStyle w:val="Refdenotaalpie"/>
          <w:rFonts w:ascii="Verdana" w:eastAsia="Times New Roman" w:hAnsi="Verdana" w:cs="Arial"/>
          <w:kern w:val="2"/>
          <w:lang w:eastAsia="es-CO"/>
          <w14:ligatures w14:val="standardContextual"/>
        </w:rPr>
        <w:footnoteReference w:id="11"/>
      </w:r>
      <w:r w:rsidRPr="000A7EB2">
        <w:rPr>
          <w:rFonts w:ascii="Verdana" w:eastAsia="Times New Roman" w:hAnsi="Verdana" w:cs="Arial"/>
          <w:kern w:val="2"/>
          <w:lang w:eastAsia="es-CO"/>
          <w14:ligatures w14:val="standardContextual"/>
        </w:rPr>
        <w:t>”.</w:t>
      </w:r>
    </w:p>
    <w:p w14:paraId="2603F19A" w14:textId="77777777" w:rsidR="00A21449" w:rsidRPr="000A7EB2" w:rsidRDefault="00A21449" w:rsidP="00A21449">
      <w:pPr>
        <w:spacing w:after="120" w:line="276" w:lineRule="auto"/>
        <w:ind w:firstLine="708"/>
        <w:jc w:val="both"/>
        <w:rPr>
          <w:rFonts w:ascii="Verdana" w:eastAsia="Calibri" w:hAnsi="Verdana" w:cs="Arial"/>
          <w:bCs/>
          <w:color w:val="000000"/>
        </w:rPr>
      </w:pPr>
      <w:r w:rsidRPr="000A7EB2">
        <w:rPr>
          <w:rFonts w:ascii="Verdana" w:eastAsia="Times New Roman" w:hAnsi="Verdana" w:cs="Arial"/>
          <w:kern w:val="2"/>
          <w:lang w:eastAsia="es-CO"/>
          <w14:ligatures w14:val="standardContextual"/>
        </w:rPr>
        <w:t xml:space="preserve">Adicionalmente, esta postura es coherente con el principio de economía contenido </w:t>
      </w:r>
      <w:r w:rsidRPr="000A7EB2">
        <w:rPr>
          <w:rFonts w:ascii="Verdana" w:eastAsia="Calibri" w:hAnsi="Verdana" w:cs="Arial"/>
          <w:bCs/>
          <w:color w:val="000000"/>
          <w:lang w:val="es-ES_tradnl"/>
        </w:rPr>
        <w:t xml:space="preserve">numeral 2 del artículo 25 de la Ley 80 de 1993 que “(…) </w:t>
      </w:r>
      <w:r w:rsidRPr="000A7EB2">
        <w:rPr>
          <w:rFonts w:ascii="Verdana" w:eastAsia="Calibri" w:hAnsi="Verdana" w:cs="Arial"/>
          <w:bCs/>
          <w:color w:val="000000"/>
        </w:rPr>
        <w:t>persigue eliminar trámites, requisitos y en general procedimientos innecesarios que entraben o dilaten injustificadamente el proceso de contratación”</w:t>
      </w:r>
      <w:r w:rsidRPr="000A7EB2">
        <w:rPr>
          <w:rFonts w:ascii="Verdana" w:eastAsia="Calibri" w:hAnsi="Verdana" w:cs="Arial"/>
          <w:bCs/>
          <w:color w:val="000000"/>
          <w:vertAlign w:val="superscript"/>
        </w:rPr>
        <w:footnoteReference w:id="12"/>
      </w:r>
      <w:r w:rsidRPr="000A7EB2">
        <w:rPr>
          <w:rFonts w:ascii="Verdana" w:eastAsia="Calibri" w:hAnsi="Verdana" w:cs="Arial"/>
          <w:bCs/>
          <w:color w:val="000000"/>
        </w:rPr>
        <w:t xml:space="preserve">. </w:t>
      </w:r>
    </w:p>
    <w:p w14:paraId="00587312" w14:textId="77777777" w:rsidR="00A21449" w:rsidRPr="000A7EB2" w:rsidRDefault="00A21449" w:rsidP="00A21449">
      <w:pPr>
        <w:spacing w:after="120" w:line="276" w:lineRule="auto"/>
        <w:ind w:firstLine="708"/>
        <w:jc w:val="both"/>
        <w:rPr>
          <w:rFonts w:ascii="Verdana" w:hAnsi="Verdana"/>
          <w:iCs/>
          <w:sz w:val="20"/>
          <w:szCs w:val="20"/>
        </w:rPr>
      </w:pPr>
      <w:r w:rsidRPr="000A7EB2">
        <w:rPr>
          <w:rFonts w:ascii="Verdana" w:eastAsia="Calibri" w:hAnsi="Verdana" w:cs="Arial"/>
          <w:bCs/>
          <w:color w:val="000000"/>
        </w:rPr>
        <w:t xml:space="preserve">Por consiguiente, la ausencia de la expresión "bajo la gravedad de juramento" en los documentos soporte para acreditar la condición de </w:t>
      </w:r>
      <w:r w:rsidRPr="000A7EB2">
        <w:rPr>
          <w:rFonts w:ascii="Verdana" w:eastAsia="Arial" w:hAnsi="Verdana" w:cs="Arial"/>
        </w:rPr>
        <w:t>emprendimientos y empresas de personas con discapacidad</w:t>
      </w:r>
      <w:r w:rsidRPr="000A7EB2">
        <w:rPr>
          <w:rFonts w:ascii="Verdana" w:eastAsia="Calibri" w:hAnsi="Verdana" w:cs="Arial"/>
          <w:bCs/>
          <w:color w:val="000000"/>
        </w:rPr>
        <w:t xml:space="preserve"> no conduce, por sí sola, a concluir que el requisito establecido en dicho parágrafo fue incumplido. </w:t>
      </w:r>
      <w:r w:rsidRPr="000A7EB2">
        <w:rPr>
          <w:rFonts w:ascii="Verdana" w:eastAsia="Calibri" w:hAnsi="Verdana" w:cs="Arial"/>
          <w:bCs/>
          <w:color w:val="000000"/>
          <w:lang w:val="es-ES_tradnl"/>
        </w:rPr>
        <w:t xml:space="preserve">Lo anterior, sin perjuicio del deber de verificación, ante las inconsistencias </w:t>
      </w:r>
      <w:r w:rsidRPr="000A7EB2">
        <w:rPr>
          <w:rFonts w:ascii="Verdana" w:eastAsia="Calibri" w:hAnsi="Verdana" w:cs="Arial"/>
          <w:bCs/>
          <w:color w:val="000000"/>
          <w:lang w:val="es-ES_tradnl"/>
        </w:rPr>
        <w:lastRenderedPageBreak/>
        <w:t xml:space="preserve">evidenciadas, o de denuncia de la posible falsedad de los documentos advertida durante el procedimiento contractual. </w:t>
      </w:r>
    </w:p>
    <w:bookmarkEnd w:id="1"/>
    <w:bookmarkEnd w:id="2"/>
    <w:p w14:paraId="5C433003" w14:textId="77777777" w:rsidR="00A21449" w:rsidRPr="000A7EB2" w:rsidRDefault="00A21449" w:rsidP="00A21449">
      <w:pPr>
        <w:snapToGrid w:val="0"/>
        <w:spacing w:after="120" w:line="276" w:lineRule="auto"/>
        <w:ind w:firstLine="708"/>
        <w:jc w:val="both"/>
        <w:rPr>
          <w:rFonts w:ascii="Verdana" w:eastAsia="Calibri" w:hAnsi="Verdana" w:cs="Arial"/>
          <w:kern w:val="2"/>
          <w14:ligatures w14:val="standardContextual"/>
        </w:rPr>
      </w:pPr>
      <w:r w:rsidRPr="000A7EB2">
        <w:rPr>
          <w:rFonts w:ascii="Verdana" w:eastAsia="Calibri" w:hAnsi="Verdana" w:cs="Arial"/>
          <w:kern w:val="2"/>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895BEF5" w14:textId="77777777" w:rsidR="00A21449" w:rsidRDefault="00A21449" w:rsidP="00A21449">
      <w:pPr>
        <w:snapToGrid w:val="0"/>
        <w:spacing w:after="0" w:line="276" w:lineRule="auto"/>
        <w:ind w:firstLine="708"/>
        <w:jc w:val="both"/>
        <w:rPr>
          <w:rFonts w:ascii="Verdana" w:eastAsia="Calibri" w:hAnsi="Verdana" w:cs="Arial"/>
          <w:kern w:val="2"/>
          <w14:ligatures w14:val="standardContextual"/>
        </w:rPr>
      </w:pPr>
      <w:r w:rsidRPr="000A7EB2">
        <w:rPr>
          <w:rFonts w:ascii="Verdana" w:eastAsia="Calibri" w:hAnsi="Verdana" w:cs="Arial"/>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7149A1">
        <w:rPr>
          <w:rFonts w:ascii="Verdana" w:eastAsia="Calibri" w:hAnsi="Verdana" w:cs="Arial"/>
          <w:kern w:val="2"/>
          <w14:ligatures w14:val="standardContextual"/>
        </w:rPr>
        <w:t xml:space="preserve"> </w:t>
      </w:r>
    </w:p>
    <w:p w14:paraId="43CB7307" w14:textId="77777777" w:rsidR="00A21449" w:rsidRPr="007149A1" w:rsidRDefault="00A21449" w:rsidP="00A21449">
      <w:pPr>
        <w:snapToGrid w:val="0"/>
        <w:spacing w:after="0" w:line="276" w:lineRule="auto"/>
        <w:ind w:firstLine="708"/>
        <w:jc w:val="both"/>
        <w:rPr>
          <w:rFonts w:ascii="Verdana" w:eastAsia="Calibri" w:hAnsi="Verdana" w:cs="Arial"/>
          <w:kern w:val="2"/>
          <w14:ligatures w14:val="standardContextual"/>
        </w:rPr>
      </w:pPr>
    </w:p>
    <w:p w14:paraId="6F08ABF5" w14:textId="77777777" w:rsidR="00A21449" w:rsidRDefault="00A21449" w:rsidP="00A21449">
      <w:pPr>
        <w:spacing w:after="0" w:line="276" w:lineRule="auto"/>
        <w:jc w:val="both"/>
        <w:rPr>
          <w:rFonts w:ascii="Verdana" w:eastAsia="Century Gothic" w:hAnsi="Verdana" w:cs="Century Gothic"/>
          <w:b/>
          <w:lang w:val="es-ES"/>
        </w:rPr>
      </w:pPr>
      <w:r w:rsidRPr="00842C3F">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21449" w:rsidRPr="00C37A67" w14:paraId="681ED552" w14:textId="77777777" w:rsidTr="00821153">
        <w:trPr>
          <w:trHeight w:val="3997"/>
        </w:trPr>
        <w:tc>
          <w:tcPr>
            <w:tcW w:w="8647" w:type="dxa"/>
          </w:tcPr>
          <w:p w14:paraId="3AB9BCBB" w14:textId="77777777" w:rsidR="00A21449" w:rsidRPr="00883D35"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883D35">
              <w:rPr>
                <w:rFonts w:ascii="Verdana" w:eastAsia="Arial MT" w:hAnsi="Verdana" w:cs="Arial"/>
                <w:lang w:eastAsia="es-ES" w:bidi="es-ES"/>
              </w:rPr>
              <w:t>Constitución Política de Colombia. Artículos 13, 47, 54 y 93.</w:t>
            </w:r>
          </w:p>
          <w:p w14:paraId="028A2CFA" w14:textId="77777777" w:rsidR="00A21449" w:rsidRPr="00883D35"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883D35">
              <w:rPr>
                <w:rFonts w:ascii="Verdana" w:eastAsia="Arial MT" w:hAnsi="Verdana" w:cs="Arial"/>
                <w:lang w:eastAsia="es-ES" w:bidi="es-ES"/>
              </w:rPr>
              <w:t>Ley 82 de 1988. Por la cual se aprueba el Convenio 159 de la OIT sobre readaptación profesional y empleo de personas inválidas.</w:t>
            </w:r>
          </w:p>
          <w:p w14:paraId="09EC1A89" w14:textId="77777777" w:rsidR="00A21449" w:rsidRPr="00883D35"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883D35">
              <w:rPr>
                <w:rFonts w:ascii="Verdana" w:eastAsia="Arial MT" w:hAnsi="Verdana" w:cs="Arial"/>
                <w:lang w:eastAsia="es-ES" w:bidi="es-ES"/>
              </w:rPr>
              <w:t>Ley 361 de 1997. Artículo 24.</w:t>
            </w:r>
          </w:p>
          <w:p w14:paraId="41C2B797" w14:textId="77777777" w:rsidR="00A21449" w:rsidRPr="003A3472"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3A3472">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6609E0B4" w14:textId="77777777" w:rsidR="00A21449" w:rsidRPr="00722242"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722242">
              <w:rPr>
                <w:rFonts w:ascii="Verdana" w:eastAsia="Arial MT" w:hAnsi="Verdana" w:cs="Arial"/>
                <w:lang w:eastAsia="es-ES" w:bidi="es-ES"/>
              </w:rPr>
              <w:t>Ley 1346 de 2009. Por medio de la cual se aprueba la Convención sobre los Derechos de las Personas con Discapacidad de la ONU.</w:t>
            </w:r>
          </w:p>
          <w:p w14:paraId="23FE478A" w14:textId="77777777" w:rsidR="00A21449" w:rsidRPr="003420DF"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3420DF">
              <w:rPr>
                <w:rFonts w:ascii="Verdana" w:eastAsia="Arial MT" w:hAnsi="Verdana" w:cs="Arial"/>
                <w:lang w:eastAsia="es-ES" w:bidi="es-ES"/>
              </w:rPr>
              <w:t>Ley Estatutaria 1618 de 2013. Artículo 13, numerales 1, 7 y 8.</w:t>
            </w:r>
          </w:p>
          <w:p w14:paraId="6D0B2D0E" w14:textId="77777777" w:rsidR="00A21449" w:rsidRPr="00707067"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color w:val="7030A0"/>
                <w:lang w:eastAsia="es-ES" w:bidi="es-ES"/>
              </w:rPr>
            </w:pPr>
            <w:r w:rsidRPr="005729C9">
              <w:rPr>
                <w:rFonts w:ascii="Verdana" w:eastAsia="Arial MT" w:hAnsi="Verdana" w:cs="Arial"/>
                <w:lang w:eastAsia="es-ES" w:bidi="es-ES"/>
              </w:rPr>
              <w:t>Decreto 1082 de 2015. Artículos 2.2.1.2.4.2.6., 2.2.1.2.4.2.7. y siguientes, y 2.2.1.2.4.2.8., modificados por el Decreto 0287 de 2026</w:t>
            </w:r>
            <w:r w:rsidRPr="00707067">
              <w:rPr>
                <w:rFonts w:ascii="Verdana" w:eastAsia="Arial MT" w:hAnsi="Verdana" w:cs="Arial"/>
                <w:color w:val="7030A0"/>
                <w:lang w:eastAsia="es-ES" w:bidi="es-ES"/>
              </w:rPr>
              <w:t>.</w:t>
            </w:r>
          </w:p>
          <w:p w14:paraId="60CC6D91" w14:textId="77777777" w:rsidR="00A21449" w:rsidRPr="007E06D2"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7E06D2">
              <w:rPr>
                <w:rFonts w:ascii="Verdana" w:eastAsia="Arial MT" w:hAnsi="Verdana" w:cs="Arial"/>
                <w:lang w:eastAsia="es-ES" w:bidi="es-ES"/>
              </w:rPr>
              <w:t xml:space="preserve">Decreto 0287 de 2026. Por el cual se modifican los artículos </w:t>
            </w:r>
            <w:r w:rsidRPr="007E06D2">
              <w:rPr>
                <w:rFonts w:ascii="Verdana" w:eastAsia="Arial MT" w:hAnsi="Verdana" w:cs="Arial"/>
                <w:lang w:eastAsia="es-ES" w:bidi="es-ES"/>
              </w:rPr>
              <w:lastRenderedPageBreak/>
              <w:t>2.2.1.2.4.2.6., 2.2.1.2.4.2.7. y 2.2.1.2.4.2.8. del Decreto 1082 de 2015.</w:t>
            </w:r>
          </w:p>
          <w:p w14:paraId="1D943AB4" w14:textId="77777777" w:rsidR="00A21449" w:rsidRPr="004D576C"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4D576C">
              <w:rPr>
                <w:rFonts w:ascii="Verdana" w:eastAsia="Arial MT" w:hAnsi="Verdana" w:cs="Arial"/>
                <w:lang w:eastAsia="es-ES" w:bidi="es-ES"/>
              </w:rPr>
              <w:t>Corte Constitucional. Sentencia C-569 de 2004. M.P. Rodrigo Uprimny Yepes.</w:t>
            </w:r>
          </w:p>
          <w:p w14:paraId="5A9CDBDD" w14:textId="77777777" w:rsidR="00A21449" w:rsidRPr="007E06D2"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7E06D2">
              <w:rPr>
                <w:rFonts w:ascii="Verdana" w:eastAsia="Arial MT" w:hAnsi="Verdana" w:cs="Arial"/>
                <w:lang w:eastAsia="es-ES" w:bidi="es-ES"/>
              </w:rPr>
              <w:t>Consejo de Estado. Sala de lo Contencioso Administrativo, Sección Quinta. Sentencia de acción de cumplimiento del 12 de diciembre de 2024. Rad. N° 05001-23-33-000-2024-00847-01. M.P. Omar Joaquín Barreto Suárez.</w:t>
            </w:r>
          </w:p>
          <w:p w14:paraId="4EAB8A45" w14:textId="77777777" w:rsidR="00A21449" w:rsidRPr="004D576C"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4D576C">
              <w:rPr>
                <w:rFonts w:ascii="Verdana" w:eastAsia="Arial MT" w:hAnsi="Verdana" w:cs="Arial"/>
                <w:lang w:eastAsia="es-ES" w:bidi="es-ES"/>
              </w:rPr>
              <w:t>Consejo de Estado. Sala de Consulta y Servicio Civil. Concepto del 17 de abril de 1996. Rad. No. 811-1996. C.P. Roberto Suárez Franco.</w:t>
            </w:r>
          </w:p>
          <w:p w14:paraId="25E462DE" w14:textId="77777777" w:rsidR="00A21449" w:rsidRPr="007E06D2"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7E06D2">
              <w:rPr>
                <w:rFonts w:ascii="Verdana" w:eastAsia="Arial MT" w:hAnsi="Verdana" w:cs="Arial"/>
                <w:lang w:eastAsia="es-ES" w:bidi="es-ES"/>
              </w:rPr>
              <w:t>Agencia Nacional de Contratación Pública – Colombia Compra Eficiente. Circular Externa sobre orientaciones para la aplicación del Decreto 287 de 2026. Bogotá, 2026.</w:t>
            </w:r>
            <w:r>
              <w:rPr>
                <w:rFonts w:ascii="Verdana" w:eastAsia="Arial MT" w:hAnsi="Verdana" w:cs="Arial"/>
                <w:lang w:eastAsia="es-ES" w:bidi="es-ES"/>
              </w:rPr>
              <w:t xml:space="preserve"> Disponible en: </w:t>
            </w:r>
            <w:hyperlink r:id="rId13" w:history="1">
              <w:r w:rsidRPr="002C5CBC">
                <w:rPr>
                  <w:rStyle w:val="Hipervnculo"/>
                  <w:rFonts w:ascii="Verdana" w:eastAsia="Calibri" w:hAnsi="Verdana" w:cs="Arial"/>
                </w:rPr>
                <w:t>www.colombiacompra.gov.co/wp-content/uploads/2026/05/CIRCULAR-EXTERNA-003-DE-2026-DISCAPACIDAD.pdf</w:t>
              </w:r>
            </w:hyperlink>
            <w:r>
              <w:rPr>
                <w:rFonts w:ascii="Verdana" w:eastAsia="Calibri" w:hAnsi="Verdana" w:cs="Arial"/>
              </w:rPr>
              <w:t>.</w:t>
            </w:r>
          </w:p>
          <w:p w14:paraId="45B1A468" w14:textId="77777777" w:rsidR="00A21449" w:rsidRPr="00936CD3" w:rsidRDefault="00A21449" w:rsidP="0082115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7E06D2">
              <w:rPr>
                <w:rFonts w:ascii="Verdana" w:eastAsia="Arial MT" w:hAnsi="Verdana" w:cs="Arial"/>
                <w:lang w:eastAsia="es-ES" w:bidi="es-ES"/>
              </w:rPr>
              <w:t>Agencia Nacional de Contratación Pública – Colombia Compra Eficiente. ABC del Decreto 0287 de 2026. Bogotá, 2026.</w:t>
            </w:r>
            <w:r>
              <w:rPr>
                <w:rFonts w:ascii="Verdana" w:eastAsia="Arial MT" w:hAnsi="Verdana" w:cs="Arial"/>
                <w:lang w:eastAsia="es-ES" w:bidi="es-ES"/>
              </w:rPr>
              <w:t xml:space="preserve"> Disponible aquí: </w:t>
            </w:r>
            <w:hyperlink r:id="rId14" w:history="1">
              <w:r w:rsidRPr="00306A5E">
                <w:rPr>
                  <w:rStyle w:val="Hipervnculo"/>
                  <w:rFonts w:ascii="Verdana" w:eastAsia="Calibri" w:hAnsi="Verdana" w:cs="Arial"/>
                </w:rPr>
                <w:t>https://www.colombiacompra.gov.co/archivos/infografia/abc-del-decreto-0287-de-2026-contratacion-publica-inclusiva-para-personas-con-discapacidad</w:t>
              </w:r>
            </w:hyperlink>
            <w:r>
              <w:rPr>
                <w:rFonts w:ascii="Verdana" w:eastAsia="Calibri" w:hAnsi="Verdana" w:cs="Arial"/>
              </w:rPr>
              <w:t>.</w:t>
            </w:r>
          </w:p>
          <w:p w14:paraId="4AFD07BE" w14:textId="77777777" w:rsidR="00A21449" w:rsidRPr="00932E06" w:rsidRDefault="00A21449" w:rsidP="00821153">
            <w:pPr>
              <w:pStyle w:val="Prrafodelista"/>
              <w:widowControl w:val="0"/>
              <w:autoSpaceDE w:val="0"/>
              <w:autoSpaceDN w:val="0"/>
              <w:spacing w:line="276" w:lineRule="auto"/>
              <w:jc w:val="both"/>
              <w:rPr>
                <w:rFonts w:ascii="Verdana" w:eastAsia="Arial MT" w:hAnsi="Verdana" w:cs="Arial"/>
                <w:lang w:eastAsia="es-ES" w:bidi="es-ES"/>
              </w:rPr>
            </w:pPr>
          </w:p>
        </w:tc>
      </w:tr>
    </w:tbl>
    <w:p w14:paraId="01EA87B4" w14:textId="77777777" w:rsidR="00A21449" w:rsidRDefault="00A21449" w:rsidP="00A21449">
      <w:pPr>
        <w:tabs>
          <w:tab w:val="left" w:pos="142"/>
          <w:tab w:val="left" w:pos="284"/>
        </w:tabs>
        <w:spacing w:after="0" w:line="276" w:lineRule="auto"/>
        <w:jc w:val="both"/>
        <w:rPr>
          <w:rFonts w:ascii="Verdana" w:eastAsia="Century Gothic" w:hAnsi="Verdana" w:cs="Century Gothic"/>
          <w:b/>
          <w:lang w:val="es-ES"/>
        </w:rPr>
      </w:pPr>
    </w:p>
    <w:p w14:paraId="1D64C0DC" w14:textId="77777777" w:rsidR="00A21449" w:rsidRPr="00DB6F7A" w:rsidRDefault="00A21449" w:rsidP="00A21449">
      <w:pPr>
        <w:tabs>
          <w:tab w:val="left" w:pos="142"/>
          <w:tab w:val="left" w:pos="284"/>
        </w:tabs>
        <w:spacing w:after="0" w:line="276" w:lineRule="auto"/>
        <w:jc w:val="both"/>
        <w:rPr>
          <w:rFonts w:ascii="Verdana" w:eastAsia="Century Gothic" w:hAnsi="Verdana" w:cs="Century Gothic"/>
          <w:b/>
          <w:lang w:val="es-ES"/>
        </w:rPr>
      </w:pPr>
      <w:r w:rsidRPr="00842C3F">
        <w:rPr>
          <w:rFonts w:ascii="Verdana" w:eastAsia="Century Gothic" w:hAnsi="Verdana" w:cs="Century Gothic"/>
          <w:b/>
          <w:lang w:val="es-ES"/>
        </w:rPr>
        <w:t>5. Doctrina de la Agencia Nacional de Contratación Pública:</w:t>
      </w:r>
    </w:p>
    <w:p w14:paraId="3D4781CE" w14:textId="77777777" w:rsidR="00A21449" w:rsidRPr="00651114" w:rsidRDefault="00A21449" w:rsidP="00A21449">
      <w:pPr>
        <w:widowControl w:val="0"/>
        <w:autoSpaceDE w:val="0"/>
        <w:autoSpaceDN w:val="0"/>
        <w:spacing w:after="0" w:line="276" w:lineRule="auto"/>
        <w:jc w:val="both"/>
        <w:rPr>
          <w:rFonts w:ascii="Verdana" w:hAnsi="Verdana" w:cs="Arial"/>
          <w:color w:val="EE0000"/>
        </w:rPr>
      </w:pPr>
      <w:r w:rsidRPr="00206556">
        <w:rPr>
          <w:rFonts w:ascii="Verdana" w:eastAsia="Calibri" w:hAnsi="Verdana" w:cs="Arial"/>
          <w:lang w:val="es-ES"/>
        </w:rPr>
        <w:t xml:space="preserve">La Agencia Nacional de Contratación Pública – Colombia Compra Eficiente se ha </w:t>
      </w:r>
      <w:r w:rsidRPr="003A40AF">
        <w:rPr>
          <w:rFonts w:ascii="Verdana" w:eastAsia="Calibri" w:hAnsi="Verdana" w:cs="Arial"/>
          <w:lang w:val="es-ES"/>
        </w:rPr>
        <w:t xml:space="preserve">referido </w:t>
      </w:r>
      <w:r w:rsidRPr="003A40AF">
        <w:rPr>
          <w:rFonts w:ascii="Verdana" w:hAnsi="Verdana" w:cs="Arial"/>
          <w:shd w:val="clear" w:color="auto" w:fill="FFFFFF"/>
          <w:lang w:val="es-ES"/>
        </w:rPr>
        <w:t>sobre el alcance del Decreto 0287 de 2026</w:t>
      </w:r>
      <w:r w:rsidRPr="003A40AF">
        <w:rPr>
          <w:rFonts w:ascii="Verdana" w:hAnsi="Verdana" w:cs="Arial"/>
          <w:lang w:val="es-ES"/>
        </w:rPr>
        <w:t xml:space="preserve"> </w:t>
      </w:r>
      <w:r w:rsidRPr="003A40AF">
        <w:rPr>
          <w:rFonts w:ascii="Verdana" w:hAnsi="Verdana" w:cs="Arial"/>
        </w:rPr>
        <w:t>en los conceptos C-473 del 07 de mayo de 2026, C-484 del 07 de mayo de 2026, C-498 del 08 de mayo de 2025, C-507 del 08 de mayo de 2026, C-629 del 11 de mayo de 2026, C-706 del 26 de mayo de 2026, C-737 del 29 de mayo de 2026, C-745 del 02 de junio de 2026, C-757 del 11 de junio de 2026, C-775 del 17 de junio de 2026, C-816 del 24 de junio de 2026, C-862 del 24 de junio de 2026, C-971 del 06 de julio de 2026, C-959 del 07 de julio de 2026</w:t>
      </w:r>
      <w:r w:rsidRPr="003A40AF">
        <w:rPr>
          <w:rFonts w:ascii="Verdana" w:eastAsia="Calibri" w:hAnsi="Verdana" w:cs="Arial"/>
          <w:lang w:val="es-ES_tradnl" w:eastAsia="es-MX"/>
        </w:rPr>
        <w:t>, entre otros.</w:t>
      </w:r>
    </w:p>
    <w:p w14:paraId="7B4B8A0F" w14:textId="77777777" w:rsidR="00A21449" w:rsidRPr="00C37A67" w:rsidRDefault="00A21449" w:rsidP="00A21449">
      <w:pPr>
        <w:widowControl w:val="0"/>
        <w:autoSpaceDE w:val="0"/>
        <w:autoSpaceDN w:val="0"/>
        <w:spacing w:after="0" w:line="276" w:lineRule="auto"/>
        <w:jc w:val="both"/>
        <w:rPr>
          <w:rFonts w:ascii="Verdana" w:hAnsi="Verdana" w:cs="Arial"/>
          <w:color w:val="EE0000"/>
        </w:rPr>
      </w:pPr>
    </w:p>
    <w:p w14:paraId="1BFC5391" w14:textId="77777777" w:rsidR="00A21449" w:rsidRDefault="00A21449" w:rsidP="00A21449">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5" w:history="1">
        <w:r w:rsidRPr="00AC6529">
          <w:rPr>
            <w:rStyle w:val="Hipervnculo"/>
            <w:rFonts w:ascii="Verdana" w:hAnsi="Verdana" w:cs="Arial"/>
            <w:shd w:val="clear" w:color="auto" w:fill="FFFFFF"/>
            <w:lang w:val="es-ES"/>
          </w:rPr>
          <w:t>https://relatoria.colombiacompra.gov.co/busqueda/conceptos</w:t>
        </w:r>
      </w:hyperlink>
    </w:p>
    <w:p w14:paraId="3A1EADBB" w14:textId="77777777" w:rsidR="00A21449" w:rsidRPr="00AC6529" w:rsidRDefault="00A21449" w:rsidP="00A21449">
      <w:pPr>
        <w:widowControl w:val="0"/>
        <w:autoSpaceDE w:val="0"/>
        <w:autoSpaceDN w:val="0"/>
        <w:spacing w:after="0" w:line="276" w:lineRule="auto"/>
        <w:jc w:val="both"/>
        <w:rPr>
          <w:rFonts w:ascii="Verdana" w:hAnsi="Verdana" w:cs="Arial"/>
          <w:color w:val="EE0000"/>
          <w:u w:val="single"/>
          <w:shd w:val="clear" w:color="auto" w:fill="FFFFFF"/>
          <w:lang w:val="es-ES"/>
        </w:rPr>
      </w:pPr>
    </w:p>
    <w:p w14:paraId="45FBA06C" w14:textId="77777777" w:rsidR="00A21449" w:rsidRDefault="00A21449" w:rsidP="00A21449">
      <w:pPr>
        <w:spacing w:after="0" w:line="276" w:lineRule="auto"/>
        <w:jc w:val="both"/>
        <w:rPr>
          <w:rFonts w:ascii="Verdana" w:hAnsi="Verdana"/>
          <w:color w:val="EE0000"/>
        </w:rPr>
      </w:pPr>
      <w:r w:rsidRPr="00AC652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6"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61461FA1" w14:textId="77777777" w:rsidR="00A21449" w:rsidRDefault="00A21449" w:rsidP="00A21449">
      <w:pPr>
        <w:spacing w:after="0" w:line="276" w:lineRule="auto"/>
        <w:jc w:val="both"/>
        <w:rPr>
          <w:rFonts w:ascii="Verdana" w:hAnsi="Verdana"/>
          <w:color w:val="EE0000"/>
        </w:rPr>
      </w:pPr>
    </w:p>
    <w:p w14:paraId="5A385FDE" w14:textId="77777777" w:rsidR="00A21449" w:rsidRPr="00AC6529" w:rsidRDefault="00A21449" w:rsidP="00A21449">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AC6529">
        <w:rPr>
          <w:rFonts w:ascii="Verdana" w:hAnsi="Verdana"/>
          <w:color w:val="EE0000"/>
        </w:rPr>
        <w:t> </w:t>
      </w:r>
      <w:hyperlink r:id="rId17"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3FC2B592" w14:textId="77777777" w:rsidR="00A21449" w:rsidRDefault="00A21449" w:rsidP="00A21449">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2BBC676D" w14:textId="77777777" w:rsidR="00A21449" w:rsidRDefault="00A21449" w:rsidP="00A21449">
      <w:pPr>
        <w:spacing w:after="0" w:line="276" w:lineRule="auto"/>
        <w:jc w:val="both"/>
        <w:rPr>
          <w:rFonts w:ascii="Verdana" w:hAnsi="Verdana"/>
          <w:color w:val="EE0000"/>
        </w:rPr>
      </w:pPr>
    </w:p>
    <w:p w14:paraId="75D87BB7" w14:textId="77777777" w:rsidR="00A21449" w:rsidRPr="00AC6529" w:rsidRDefault="00A21449" w:rsidP="00A21449">
      <w:pPr>
        <w:spacing w:after="0" w:line="276" w:lineRule="auto"/>
        <w:jc w:val="both"/>
        <w:rPr>
          <w:rFonts w:ascii="Verdana" w:hAnsi="Verdana"/>
          <w:color w:val="EE0000"/>
        </w:rPr>
      </w:pPr>
      <w:r w:rsidRPr="00AC6529">
        <w:rPr>
          <w:rFonts w:ascii="Verdana" w:hAnsi="Verdana"/>
        </w:rPr>
        <w:lastRenderedPageBreak/>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9"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0D0F0163" w14:textId="77777777" w:rsidR="00A21449" w:rsidRPr="006C695D" w:rsidRDefault="00A21449" w:rsidP="00A21449">
      <w:pPr>
        <w:spacing w:after="0" w:line="276" w:lineRule="auto"/>
        <w:jc w:val="both"/>
        <w:rPr>
          <w:rFonts w:ascii="Verdana" w:hAnsi="Verdana" w:cs="Arial"/>
          <w:shd w:val="clear" w:color="auto" w:fill="FFFFFF"/>
        </w:rPr>
      </w:pPr>
    </w:p>
    <w:p w14:paraId="13B4E7A4" w14:textId="77777777" w:rsidR="00A21449" w:rsidRPr="006C695D" w:rsidRDefault="00A21449" w:rsidP="00A21449">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1E274CA8" w14:textId="77777777" w:rsidR="00A21449" w:rsidRPr="006C695D" w:rsidRDefault="00A21449" w:rsidP="00A21449">
      <w:pPr>
        <w:spacing w:after="0" w:line="276" w:lineRule="auto"/>
        <w:jc w:val="both"/>
        <w:rPr>
          <w:rFonts w:ascii="Verdana" w:hAnsi="Verdana" w:cs="Arial"/>
          <w:shd w:val="clear" w:color="auto" w:fill="FFFFFF"/>
        </w:rPr>
      </w:pPr>
    </w:p>
    <w:p w14:paraId="64B486D8" w14:textId="77777777" w:rsidR="00A21449" w:rsidRPr="006C695D" w:rsidRDefault="00A21449" w:rsidP="00A21449">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7CA6070C" w14:textId="77777777" w:rsidR="00A21449" w:rsidRPr="006C695D" w:rsidRDefault="00A21449" w:rsidP="00A21449">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r w:rsidRPr="006C695D">
        <w:rPr>
          <w:rStyle w:val="Hipervnculo"/>
          <w:rFonts w:ascii="Verdana" w:hAnsi="Verdana"/>
        </w:rPr>
        <w:t>ColombiaCompraEficiente</w:t>
      </w:r>
    </w:p>
    <w:p w14:paraId="08695DDC" w14:textId="77777777" w:rsidR="00A21449" w:rsidRPr="006C695D" w:rsidRDefault="00A21449" w:rsidP="00A21449">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4D427632" w14:textId="77777777" w:rsidR="00A21449" w:rsidRPr="006C695D" w:rsidRDefault="00A21449" w:rsidP="00A21449">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09BD3BA0" w14:textId="77777777" w:rsidR="00A21449" w:rsidRPr="006C695D" w:rsidRDefault="00A21449" w:rsidP="00A21449">
      <w:pPr>
        <w:widowControl w:val="0"/>
        <w:autoSpaceDE w:val="0"/>
        <w:autoSpaceDN w:val="0"/>
        <w:spacing w:after="0" w:line="276" w:lineRule="auto"/>
        <w:jc w:val="both"/>
        <w:rPr>
          <w:rFonts w:ascii="Verdana" w:hAnsi="Verdana" w:cs="Arial"/>
          <w:lang w:val="es-ES"/>
        </w:rPr>
      </w:pPr>
    </w:p>
    <w:p w14:paraId="3BA52C56" w14:textId="77777777" w:rsidR="00A21449" w:rsidRPr="006C695D" w:rsidRDefault="00A21449" w:rsidP="00A21449">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AA2B675" w14:textId="77777777" w:rsidR="00A21449" w:rsidRPr="006C695D" w:rsidRDefault="00A21449" w:rsidP="00A21449">
      <w:pPr>
        <w:widowControl w:val="0"/>
        <w:autoSpaceDE w:val="0"/>
        <w:autoSpaceDN w:val="0"/>
        <w:spacing w:after="0" w:line="276" w:lineRule="auto"/>
        <w:jc w:val="both"/>
        <w:rPr>
          <w:rFonts w:ascii="Verdana" w:hAnsi="Verdana" w:cs="Arial"/>
          <w:lang w:val="es-ES"/>
        </w:rPr>
      </w:pPr>
    </w:p>
    <w:p w14:paraId="5F3E90D3" w14:textId="77777777" w:rsidR="00A21449" w:rsidRDefault="00A21449" w:rsidP="00A21449">
      <w:pPr>
        <w:spacing w:after="0" w:line="276" w:lineRule="auto"/>
        <w:rPr>
          <w:rFonts w:ascii="Verdana" w:hAnsi="Verdana" w:cs="Arial"/>
          <w:lang w:val="es-ES" w:eastAsia="es-CO"/>
        </w:rPr>
      </w:pPr>
      <w:r w:rsidRPr="006C695D">
        <w:rPr>
          <w:rFonts w:ascii="Verdana" w:eastAsia="Times New Roman" w:hAnsi="Verdana" w:cs="Arial"/>
          <w:lang w:val="es-ES" w:eastAsia="es-CO"/>
        </w:rPr>
        <w:t>Atentamente,</w:t>
      </w:r>
      <w:r w:rsidRPr="006C695D">
        <w:rPr>
          <w:rFonts w:ascii="Verdana" w:hAnsi="Verdana" w:cs="Arial"/>
          <w:lang w:val="es-ES" w:eastAsia="es-CO"/>
        </w:rPr>
        <w:t xml:space="preserve"> </w:t>
      </w:r>
    </w:p>
    <w:p w14:paraId="088B6513" w14:textId="77777777" w:rsidR="00F74359" w:rsidRDefault="00F74359" w:rsidP="00A21449">
      <w:pPr>
        <w:spacing w:after="0" w:line="276" w:lineRule="auto"/>
        <w:rPr>
          <w:rFonts w:ascii="Verdana" w:hAnsi="Verdana" w:cs="Arial"/>
          <w:lang w:val="es-ES" w:eastAsia="es-CO"/>
        </w:rPr>
      </w:pPr>
    </w:p>
    <w:p w14:paraId="59C64F3C" w14:textId="34F1C08F" w:rsidR="00A21449" w:rsidRPr="00F74359" w:rsidRDefault="00F74359" w:rsidP="00A21449">
      <w:pPr>
        <w:spacing w:after="0" w:line="276" w:lineRule="auto"/>
        <w:jc w:val="center"/>
        <w:rPr>
          <w:rFonts w:ascii="Verdana" w:hAnsi="Verdana"/>
          <w:noProof/>
          <w:color w:val="ED7D31" w:themeColor="accent2"/>
        </w:rPr>
      </w:pPr>
      <w:r w:rsidRPr="00F74359">
        <w:rPr>
          <w:rFonts w:ascii="Verdana" w:hAnsi="Verdana"/>
          <w:noProof/>
          <w:color w:val="ED7D31" w:themeColor="accent2"/>
        </w:rPr>
        <w:drawing>
          <wp:inline distT="0" distB="0" distL="0" distR="0" wp14:anchorId="22BAF907" wp14:editId="79F0595B">
            <wp:extent cx="2762636" cy="1028844"/>
            <wp:effectExtent l="0" t="0" r="0" b="0"/>
            <wp:docPr id="9067119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11962" name=""/>
                    <pic:cNvPicPr/>
                  </pic:nvPicPr>
                  <pic:blipFill>
                    <a:blip r:embed="rId20"/>
                    <a:stretch>
                      <a:fillRect/>
                    </a:stretch>
                  </pic:blipFill>
                  <pic:spPr>
                    <a:xfrm>
                      <a:off x="0" y="0"/>
                      <a:ext cx="2762636" cy="1028844"/>
                    </a:xfrm>
                    <a:prstGeom prst="rect">
                      <a:avLst/>
                    </a:prstGeom>
                  </pic:spPr>
                </pic:pic>
              </a:graphicData>
            </a:graphic>
          </wp:inline>
        </w:drawing>
      </w:r>
    </w:p>
    <w:p w14:paraId="27DA9859" w14:textId="77777777" w:rsidR="00A21449" w:rsidRPr="006C695D" w:rsidRDefault="00A21449" w:rsidP="00A21449">
      <w:pPr>
        <w:spacing w:after="0" w:line="276" w:lineRule="auto"/>
        <w:jc w:val="center"/>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21449" w:rsidRPr="006C695D" w14:paraId="42610760" w14:textId="77777777" w:rsidTr="00821153">
        <w:trPr>
          <w:trHeight w:val="315"/>
        </w:trPr>
        <w:tc>
          <w:tcPr>
            <w:tcW w:w="893" w:type="dxa"/>
            <w:vAlign w:val="center"/>
            <w:hideMark/>
          </w:tcPr>
          <w:p w14:paraId="08136939" w14:textId="77777777" w:rsidR="00A21449" w:rsidRPr="006C695D" w:rsidRDefault="00A21449" w:rsidP="00821153">
            <w:pPr>
              <w:contextualSpacing/>
              <w:rPr>
                <w:rFonts w:ascii="Verdana" w:hAnsi="Verdana" w:cs="Arial"/>
                <w:sz w:val="16"/>
                <w:szCs w:val="16"/>
                <w:lang w:val="es-ES" w:eastAsia="es-ES"/>
              </w:rPr>
            </w:pPr>
            <w:r w:rsidRPr="006C695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BB86FD8" w14:textId="77777777" w:rsidR="00A21449" w:rsidRPr="006C695D" w:rsidRDefault="00A21449" w:rsidP="00821153">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Camila Alejandra Naranjo Gómez</w:t>
            </w:r>
          </w:p>
          <w:p w14:paraId="1DA79DE4" w14:textId="77777777" w:rsidR="00A21449" w:rsidRPr="006C695D" w:rsidRDefault="00A21449" w:rsidP="00821153">
            <w:pPr>
              <w:contextualSpacing/>
              <w:rPr>
                <w:rFonts w:ascii="Verdana" w:eastAsia="Arial" w:hAnsi="Verdana" w:cs="Arial"/>
                <w:sz w:val="16"/>
                <w:szCs w:val="16"/>
                <w:lang w:val="es-ES"/>
              </w:rPr>
            </w:pPr>
            <w:r w:rsidRPr="006C695D">
              <w:rPr>
                <w:rFonts w:ascii="Verdana" w:eastAsia="Times New Roman" w:hAnsi="Verdana" w:cs="Arial"/>
                <w:sz w:val="16"/>
                <w:szCs w:val="16"/>
                <w:lang w:eastAsia="es-ES"/>
              </w:rPr>
              <w:t>Analista T2-02 de la Subdirección de Gestión Contractual</w:t>
            </w:r>
          </w:p>
        </w:tc>
      </w:tr>
      <w:tr w:rsidR="00A21449" w:rsidRPr="006C695D" w14:paraId="4429994F" w14:textId="77777777" w:rsidTr="00821153">
        <w:trPr>
          <w:trHeight w:val="330"/>
        </w:trPr>
        <w:tc>
          <w:tcPr>
            <w:tcW w:w="893" w:type="dxa"/>
            <w:vAlign w:val="center"/>
            <w:hideMark/>
          </w:tcPr>
          <w:p w14:paraId="1F64B5A9" w14:textId="77777777" w:rsidR="00A21449" w:rsidRPr="006C695D" w:rsidRDefault="00A21449" w:rsidP="00821153">
            <w:pPr>
              <w:contextualSpacing/>
              <w:rPr>
                <w:rFonts w:ascii="Verdana" w:hAnsi="Verdana" w:cs="Arial"/>
                <w:sz w:val="16"/>
                <w:szCs w:val="16"/>
                <w:lang w:val="es-ES" w:eastAsia="es-ES"/>
              </w:rPr>
            </w:pPr>
            <w:r w:rsidRPr="006C695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99C851" w14:textId="77777777" w:rsidR="00A21449" w:rsidRPr="006C695D" w:rsidRDefault="00A21449" w:rsidP="00821153">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Diana Luc</w:t>
            </w:r>
            <w:r>
              <w:rPr>
                <w:rFonts w:ascii="Verdana" w:eastAsia="Times New Roman" w:hAnsi="Verdana" w:cs="Arial"/>
                <w:sz w:val="16"/>
                <w:szCs w:val="16"/>
                <w:lang w:eastAsia="es-ES"/>
              </w:rPr>
              <w:t>í</w:t>
            </w:r>
            <w:r w:rsidRPr="006C695D">
              <w:rPr>
                <w:rFonts w:ascii="Verdana" w:eastAsia="Times New Roman" w:hAnsi="Verdana" w:cs="Arial"/>
                <w:sz w:val="16"/>
                <w:szCs w:val="16"/>
                <w:lang w:eastAsia="es-ES"/>
              </w:rPr>
              <w:t>a Saavedra Castañeda</w:t>
            </w:r>
          </w:p>
          <w:p w14:paraId="27A6C6E9" w14:textId="77777777" w:rsidR="00A21449" w:rsidRPr="006C695D" w:rsidRDefault="00A21449" w:rsidP="00821153">
            <w:pPr>
              <w:pStyle w:val="paragraph"/>
              <w:spacing w:before="0" w:beforeAutospacing="0" w:after="0" w:afterAutospacing="0"/>
              <w:contextualSpacing/>
              <w:textAlignment w:val="baseline"/>
              <w:rPr>
                <w:rFonts w:ascii="Verdana" w:hAnsi="Verdana" w:cs="Segoe UI"/>
                <w:sz w:val="16"/>
                <w:szCs w:val="16"/>
                <w:lang w:val="es-ES"/>
              </w:rPr>
            </w:pPr>
            <w:r w:rsidRPr="006C695D">
              <w:rPr>
                <w:rFonts w:ascii="Verdana" w:hAnsi="Verdana" w:cs="Arial"/>
                <w:sz w:val="16"/>
                <w:szCs w:val="16"/>
                <w:lang w:eastAsia="es-ES"/>
              </w:rPr>
              <w:t>Contratista de la Subdirección de Gestión Contractual</w:t>
            </w:r>
          </w:p>
        </w:tc>
      </w:tr>
      <w:tr w:rsidR="00A21449" w:rsidRPr="006C695D" w14:paraId="07943DF4" w14:textId="77777777" w:rsidTr="00821153">
        <w:trPr>
          <w:trHeight w:val="300"/>
        </w:trPr>
        <w:tc>
          <w:tcPr>
            <w:tcW w:w="893" w:type="dxa"/>
            <w:vAlign w:val="center"/>
          </w:tcPr>
          <w:p w14:paraId="0AEB3C2D" w14:textId="77777777" w:rsidR="00A21449" w:rsidRPr="006C695D" w:rsidRDefault="00A21449" w:rsidP="00821153">
            <w:pPr>
              <w:contextualSpacing/>
              <w:rPr>
                <w:rFonts w:ascii="Verdana" w:hAnsi="Verdana" w:cs="Arial"/>
                <w:sz w:val="16"/>
                <w:szCs w:val="16"/>
                <w:lang w:val="es-ES" w:eastAsia="es-ES"/>
              </w:rPr>
            </w:pPr>
            <w:r w:rsidRPr="006C695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7040F8" w14:textId="77777777" w:rsidR="00A21449" w:rsidRPr="006C695D" w:rsidRDefault="00A21449" w:rsidP="00821153">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Carolina Quintero Gacharná</w:t>
            </w:r>
          </w:p>
          <w:p w14:paraId="567953E4" w14:textId="77777777" w:rsidR="00A21449" w:rsidRPr="006C695D" w:rsidRDefault="00A21449" w:rsidP="00821153">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Subdirectora de Gestión Contractual ANCP – CCE</w:t>
            </w:r>
          </w:p>
        </w:tc>
      </w:tr>
      <w:bookmarkEnd w:id="0"/>
    </w:tbl>
    <w:p w14:paraId="5D19713C" w14:textId="77777777" w:rsidR="00A21449" w:rsidRDefault="00A21449" w:rsidP="00A21449">
      <w:pPr>
        <w:spacing w:after="120" w:line="276" w:lineRule="auto"/>
        <w:jc w:val="both"/>
        <w:rPr>
          <w:rFonts w:ascii="Verdana" w:eastAsia="Century Gothic" w:hAnsi="Verdana" w:cs="Century Gothic"/>
          <w:b/>
          <w:color w:val="ED7D31" w:themeColor="accent2"/>
          <w:lang w:val="es-ES"/>
        </w:rPr>
      </w:pPr>
    </w:p>
    <w:p w14:paraId="0F293BF4" w14:textId="488BF9CC" w:rsidR="00127233" w:rsidRPr="00A21449" w:rsidRDefault="00127233" w:rsidP="00A21449">
      <w:pPr>
        <w:spacing w:after="120" w:line="276" w:lineRule="auto"/>
        <w:jc w:val="both"/>
        <w:rPr>
          <w:rFonts w:ascii="Verdana" w:eastAsia="Century Gothic" w:hAnsi="Verdana" w:cs="Century Gothic"/>
          <w:b/>
          <w:color w:val="ED7D31" w:themeColor="accent2"/>
          <w:lang w:val="es-ES"/>
        </w:rPr>
      </w:pPr>
    </w:p>
    <w:sectPr w:rsidR="00127233" w:rsidRPr="00A21449"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2443" w14:textId="77777777" w:rsidR="000F39C6" w:rsidRDefault="000F39C6" w:rsidP="004A1847">
      <w:pPr>
        <w:spacing w:after="0" w:line="240" w:lineRule="auto"/>
      </w:pPr>
      <w:r>
        <w:separator/>
      </w:r>
    </w:p>
  </w:endnote>
  <w:endnote w:type="continuationSeparator" w:id="0">
    <w:p w14:paraId="51330575" w14:textId="77777777" w:rsidR="000F39C6" w:rsidRDefault="000F39C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D8813" w14:textId="77777777" w:rsidR="000F39C6" w:rsidRDefault="000F39C6" w:rsidP="004A1847">
      <w:pPr>
        <w:spacing w:after="0" w:line="240" w:lineRule="auto"/>
      </w:pPr>
      <w:r>
        <w:separator/>
      </w:r>
    </w:p>
  </w:footnote>
  <w:footnote w:type="continuationSeparator" w:id="0">
    <w:p w14:paraId="4DEC6DD7" w14:textId="77777777" w:rsidR="000F39C6" w:rsidRDefault="000F39C6" w:rsidP="004A1847">
      <w:pPr>
        <w:spacing w:after="0" w:line="240" w:lineRule="auto"/>
      </w:pPr>
      <w:r>
        <w:continuationSeparator/>
      </w:r>
    </w:p>
  </w:footnote>
  <w:footnote w:id="1">
    <w:p w14:paraId="760258AB" w14:textId="77777777" w:rsidR="00A21449" w:rsidRPr="00D0639A" w:rsidRDefault="00A21449" w:rsidP="00A21449">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footnote>
  <w:footnote w:id="2">
    <w:p w14:paraId="531089A3" w14:textId="77777777" w:rsidR="00A21449" w:rsidRPr="00792393" w:rsidRDefault="00A21449" w:rsidP="00A21449">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Colombia. Asamblea Nacional Constituyente. (1991). Constitución Política de Colombia. Artículos 47</w:t>
      </w:r>
      <w:r>
        <w:rPr>
          <w:rFonts w:ascii="Verdana" w:eastAsia="Times New Roman" w:hAnsi="Verdana" w:cs="Times New Roman"/>
          <w:sz w:val="16"/>
          <w:szCs w:val="16"/>
        </w:rPr>
        <w:t xml:space="preserve"> </w:t>
      </w:r>
      <w:r w:rsidRPr="00206556">
        <w:rPr>
          <w:rFonts w:ascii="Verdana" w:eastAsia="Times New Roman" w:hAnsi="Verdana" w:cs="Times New Roman"/>
          <w:sz w:val="16"/>
          <w:szCs w:val="16"/>
        </w:rPr>
        <w:t xml:space="preserve">y 54. </w:t>
      </w:r>
    </w:p>
  </w:footnote>
  <w:footnote w:id="3">
    <w:p w14:paraId="3C7D133F" w14:textId="77777777" w:rsidR="00A21449" w:rsidRPr="003E7F7C" w:rsidRDefault="00A21449" w:rsidP="00A21449">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footnote>
  <w:footnote w:id="4">
    <w:p w14:paraId="25583A58" w14:textId="77777777" w:rsidR="00A21449" w:rsidRPr="00206556" w:rsidRDefault="00A21449" w:rsidP="00A21449">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44C30F5F" w14:textId="77777777" w:rsidR="00A21449" w:rsidRPr="00206556" w:rsidRDefault="00A21449" w:rsidP="00A21449">
      <w:pPr>
        <w:pStyle w:val="Textonotapie"/>
        <w:ind w:firstLine="708"/>
        <w:jc w:val="both"/>
        <w:rPr>
          <w:rFonts w:ascii="Verdana" w:hAnsi="Verdana"/>
          <w:sz w:val="16"/>
          <w:szCs w:val="16"/>
          <w:lang w:val="es-ES"/>
        </w:rPr>
      </w:pPr>
    </w:p>
  </w:footnote>
  <w:footnote w:id="5">
    <w:p w14:paraId="0A317B58" w14:textId="77777777" w:rsidR="00A21449" w:rsidRPr="00206556" w:rsidRDefault="00A21449" w:rsidP="00A21449">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27558B8E" w14:textId="77777777" w:rsidR="00A21449" w:rsidRPr="00206556" w:rsidRDefault="00A21449" w:rsidP="00A21449">
      <w:pPr>
        <w:pStyle w:val="Textonotapie"/>
        <w:ind w:firstLine="708"/>
        <w:jc w:val="both"/>
        <w:rPr>
          <w:rFonts w:ascii="Verdana" w:hAnsi="Verdana"/>
          <w:sz w:val="16"/>
          <w:szCs w:val="16"/>
          <w:lang w:val="es-ES"/>
        </w:rPr>
      </w:pPr>
    </w:p>
  </w:footnote>
  <w:footnote w:id="6">
    <w:p w14:paraId="17D77CFD" w14:textId="77777777" w:rsidR="00A21449" w:rsidRPr="008D559A" w:rsidRDefault="00A21449" w:rsidP="00A21449">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footnote>
  <w:footnote w:id="7">
    <w:p w14:paraId="40E2A471" w14:textId="77777777" w:rsidR="00A21449" w:rsidRDefault="00A21449" w:rsidP="00A21449">
      <w:pPr>
        <w:pStyle w:val="Textonotapie"/>
        <w:ind w:firstLine="708"/>
        <w:jc w:val="both"/>
        <w:rPr>
          <w:rFonts w:ascii="Verdana" w:hAnsi="Verdana"/>
          <w:sz w:val="16"/>
          <w:szCs w:val="16"/>
        </w:rPr>
      </w:pPr>
      <w:r w:rsidRPr="00D0639A">
        <w:rPr>
          <w:rStyle w:val="Refdenotaalpie"/>
          <w:rFonts w:ascii="Verdana" w:hAnsi="Verdana"/>
          <w:sz w:val="16"/>
          <w:szCs w:val="16"/>
        </w:rPr>
        <w:footnoteRef/>
      </w:r>
      <w:r w:rsidRPr="00D0639A">
        <w:rPr>
          <w:rFonts w:ascii="Verdana" w:hAnsi="Verdana"/>
          <w:sz w:val="16"/>
          <w:szCs w:val="16"/>
        </w:rPr>
        <w:t xml:space="preserve"> Colombia. Congreso de la República. (27 de febrero de 2013). Ley Estatutaria 1618 de 2013. Artículo 2, numeral 1. Diario Oficial 48717.</w:t>
      </w:r>
    </w:p>
    <w:p w14:paraId="51CB552C" w14:textId="77777777" w:rsidR="00A21449" w:rsidRPr="00F30F34" w:rsidRDefault="00A21449" w:rsidP="00A21449">
      <w:pPr>
        <w:pStyle w:val="Textonotapie"/>
        <w:ind w:firstLine="708"/>
        <w:jc w:val="both"/>
        <w:rPr>
          <w:rFonts w:ascii="Verdana" w:hAnsi="Verdana"/>
          <w:sz w:val="16"/>
          <w:szCs w:val="16"/>
        </w:rPr>
      </w:pPr>
    </w:p>
  </w:footnote>
  <w:footnote w:id="8">
    <w:p w14:paraId="008F55D3" w14:textId="77777777" w:rsidR="00A21449" w:rsidRPr="00206556" w:rsidRDefault="00A21449" w:rsidP="00A21449">
      <w:pPr>
        <w:pStyle w:val="Textonotapie"/>
        <w:ind w:firstLine="708"/>
        <w:jc w:val="both"/>
        <w:rPr>
          <w:rFonts w:ascii="Verdana" w:hAnsi="Verdana"/>
          <w:sz w:val="16"/>
          <w:szCs w:val="16"/>
          <w:lang w:val="es-ES"/>
        </w:rPr>
      </w:pPr>
      <w:r w:rsidRPr="00D0639A">
        <w:rPr>
          <w:rStyle w:val="Refdenotaalpie"/>
          <w:rFonts w:ascii="Verdana" w:hAnsi="Verdana"/>
          <w:sz w:val="16"/>
          <w:szCs w:val="16"/>
        </w:rPr>
        <w:footnoteRef/>
      </w:r>
      <w:r w:rsidRPr="00D0639A">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15DC3527" w14:textId="77777777" w:rsidR="00A21449" w:rsidRPr="004A2F29" w:rsidRDefault="00A21449" w:rsidP="00A21449">
      <w:pPr>
        <w:pStyle w:val="Textonotapie"/>
        <w:ind w:firstLine="708"/>
        <w:jc w:val="both"/>
        <w:rPr>
          <w:rFonts w:ascii="Verdana" w:hAnsi="Verdana"/>
          <w:sz w:val="16"/>
          <w:szCs w:val="16"/>
        </w:rPr>
      </w:pPr>
      <w:r w:rsidRPr="00662625">
        <w:rPr>
          <w:rStyle w:val="Refdenotaalpie"/>
          <w:rFonts w:ascii="Verdana" w:hAnsi="Verdana"/>
          <w:sz w:val="16"/>
          <w:szCs w:val="16"/>
        </w:rPr>
        <w:footnoteRef/>
      </w:r>
      <w:r w:rsidRPr="00662625">
        <w:rPr>
          <w:rFonts w:ascii="Verdana" w:hAnsi="Verdana"/>
          <w:sz w:val="16"/>
          <w:szCs w:val="16"/>
        </w:rPr>
        <w:t xml:space="preserve"> Consejo de Estado, Sección Quinta, del 12 de diciembre de 2024 (Rad. 05001-23-33-000-2024-00847-01, M.P. Omar Joaquín Barreto Suárez)</w:t>
      </w:r>
    </w:p>
  </w:footnote>
  <w:footnote w:id="10">
    <w:p w14:paraId="3BEFE72C" w14:textId="77777777" w:rsidR="00A21449" w:rsidRPr="00662625" w:rsidRDefault="00A21449" w:rsidP="00A21449">
      <w:pPr>
        <w:pStyle w:val="Textonotapie"/>
        <w:ind w:firstLine="708"/>
        <w:jc w:val="both"/>
        <w:rPr>
          <w:rFonts w:ascii="Verdana" w:hAnsi="Verdana"/>
          <w:sz w:val="16"/>
          <w:szCs w:val="16"/>
          <w:lang w:val="es-ES_tradnl"/>
        </w:rPr>
      </w:pPr>
      <w:r w:rsidRPr="00662625">
        <w:rPr>
          <w:rStyle w:val="Refdenotaalpie"/>
          <w:rFonts w:ascii="Verdana" w:hAnsi="Verdana"/>
          <w:sz w:val="16"/>
          <w:szCs w:val="16"/>
        </w:rPr>
        <w:footnoteRef/>
      </w:r>
      <w:r w:rsidRPr="00662625">
        <w:rPr>
          <w:rFonts w:ascii="Verdana" w:hAnsi="Verdana"/>
          <w:sz w:val="16"/>
          <w:szCs w:val="16"/>
        </w:rPr>
        <w:t xml:space="preserve"> Parte considerativa del Decreto 287 de 2026.</w:t>
      </w:r>
    </w:p>
  </w:footnote>
  <w:footnote w:id="11">
    <w:p w14:paraId="7D844554" w14:textId="77777777" w:rsidR="00A21449" w:rsidRDefault="00A21449" w:rsidP="00A21449">
      <w:pPr>
        <w:pStyle w:val="Textonotapie"/>
        <w:ind w:firstLine="709"/>
        <w:rPr>
          <w:rFonts w:ascii="Verdana" w:hAnsi="Verdana"/>
          <w:sz w:val="16"/>
          <w:szCs w:val="16"/>
        </w:rPr>
      </w:pPr>
      <w:r w:rsidRPr="00662625">
        <w:rPr>
          <w:rStyle w:val="Refdenotaalpie"/>
          <w:rFonts w:ascii="Verdana" w:hAnsi="Verdana"/>
          <w:sz w:val="16"/>
          <w:szCs w:val="16"/>
        </w:rPr>
        <w:footnoteRef/>
      </w:r>
      <w:r w:rsidRPr="00662625">
        <w:rPr>
          <w:rFonts w:ascii="Verdana" w:hAnsi="Verdana"/>
          <w:sz w:val="16"/>
          <w:szCs w:val="16"/>
        </w:rPr>
        <w:t xml:space="preserve">  Corte Constitucional. Sentencia C-569 de 2004. M.P. Rodrigo Uprimny Yepes.</w:t>
      </w:r>
    </w:p>
    <w:p w14:paraId="5664B4D4" w14:textId="77777777" w:rsidR="00A21449" w:rsidRPr="00662625" w:rsidRDefault="00A21449" w:rsidP="00A21449">
      <w:pPr>
        <w:pStyle w:val="Textonotapie"/>
        <w:ind w:firstLine="709"/>
        <w:rPr>
          <w:rFonts w:ascii="Verdana" w:hAnsi="Verdana"/>
          <w:sz w:val="16"/>
          <w:szCs w:val="16"/>
          <w:lang w:val="es-CO"/>
        </w:rPr>
      </w:pPr>
    </w:p>
  </w:footnote>
  <w:footnote w:id="12">
    <w:p w14:paraId="707A1908" w14:textId="77777777" w:rsidR="00A21449" w:rsidRPr="00662625" w:rsidRDefault="00A21449" w:rsidP="00A21449">
      <w:pPr>
        <w:pStyle w:val="Textonotapie"/>
        <w:ind w:firstLine="708"/>
        <w:rPr>
          <w:rFonts w:ascii="Verdana" w:hAnsi="Verdana"/>
          <w:sz w:val="16"/>
          <w:szCs w:val="16"/>
        </w:rPr>
      </w:pPr>
      <w:r w:rsidRPr="00662625">
        <w:rPr>
          <w:rStyle w:val="Refdenotaalpie"/>
          <w:rFonts w:ascii="Verdana" w:hAnsi="Verdana"/>
          <w:sz w:val="16"/>
          <w:szCs w:val="16"/>
        </w:rPr>
        <w:footnoteRef/>
      </w:r>
      <w:r w:rsidRPr="00662625">
        <w:rPr>
          <w:rFonts w:ascii="Verdana" w:hAnsi="Verdana"/>
          <w:sz w:val="16"/>
          <w:szCs w:val="16"/>
        </w:rPr>
        <w:t xml:space="preserve"> </w:t>
      </w:r>
      <w:r w:rsidRPr="00662625">
        <w:rPr>
          <w:rFonts w:ascii="Verdana" w:hAnsi="Verdana" w:cs="Arial"/>
          <w:color w:val="000000"/>
          <w:sz w:val="16"/>
          <w:szCs w:val="16"/>
        </w:rPr>
        <w:t>Consejo de Estado. Sala de Consulta y Servicio Civil. Concepto del 17 de abril de 1996. Rad. No. 811-1996. C.P. Roberto Suárez Franco.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06CC"/>
    <w:rsid w:val="000B19B9"/>
    <w:rsid w:val="000D0334"/>
    <w:rsid w:val="000D5DA7"/>
    <w:rsid w:val="000F39C6"/>
    <w:rsid w:val="000F6486"/>
    <w:rsid w:val="00116940"/>
    <w:rsid w:val="00125105"/>
    <w:rsid w:val="00127233"/>
    <w:rsid w:val="00127DE8"/>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16AD"/>
    <w:rsid w:val="003A779E"/>
    <w:rsid w:val="003B3A7B"/>
    <w:rsid w:val="003D0F4D"/>
    <w:rsid w:val="003D4ED0"/>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5867"/>
    <w:rsid w:val="009A0DFA"/>
    <w:rsid w:val="009A1C6F"/>
    <w:rsid w:val="009B2D26"/>
    <w:rsid w:val="009C71FA"/>
    <w:rsid w:val="009C72E7"/>
    <w:rsid w:val="009C7F7E"/>
    <w:rsid w:val="009D3058"/>
    <w:rsid w:val="009F3A13"/>
    <w:rsid w:val="00A122D3"/>
    <w:rsid w:val="00A14468"/>
    <w:rsid w:val="00A17F13"/>
    <w:rsid w:val="00A20739"/>
    <w:rsid w:val="00A2144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64BF"/>
    <w:rsid w:val="00D361FD"/>
    <w:rsid w:val="00D423A2"/>
    <w:rsid w:val="00D44E26"/>
    <w:rsid w:val="00D520D8"/>
    <w:rsid w:val="00D63AC2"/>
    <w:rsid w:val="00D7383B"/>
    <w:rsid w:val="00D7788A"/>
    <w:rsid w:val="00DA231B"/>
    <w:rsid w:val="00DC39FC"/>
    <w:rsid w:val="00DD4D7F"/>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4A40"/>
    <w:rsid w:val="00F23FEA"/>
    <w:rsid w:val="00F31EDC"/>
    <w:rsid w:val="00F462B3"/>
    <w:rsid w:val="00F5664F"/>
    <w:rsid w:val="00F666C4"/>
    <w:rsid w:val="00F74359"/>
    <w:rsid w:val="00F76AFC"/>
    <w:rsid w:val="00FA266E"/>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E9A424D"/>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2144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21449"/>
    <w:rPr>
      <w:rFonts w:ascii="Geomanist Light" w:hAnsi="Geomanist Light"/>
      <w:lang w:val="es-ES"/>
    </w:rPr>
  </w:style>
  <w:style w:type="character" w:customStyle="1" w:styleId="s15">
    <w:name w:val="s15"/>
    <w:basedOn w:val="Fuentedeprrafopredeter"/>
    <w:rsid w:val="00A21449"/>
  </w:style>
  <w:style w:type="character" w:customStyle="1" w:styleId="apple-converted-space">
    <w:name w:val="apple-converted-space"/>
    <w:basedOn w:val="Fuentedeprrafopredeter"/>
    <w:rsid w:val="00A21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wp-content/uploads/2026/05/CIRCULAR-EXTERNA-003-DE-2026-DISCAPACIDAD.pdf" TargetMode="External"/><Relationship Id="rId18"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jhank95@hotmail.com" TargetMode="External"/><Relationship Id="rId17"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infografia/abc-del-decreto-0287-de-2026-contratacion-publica-inclusiva-para-personas-con-discapacidad"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614569-8051-4F8E-BD8D-0DF1EC65B11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7521</Words>
  <Characters>41367</Characters>
  <Application>Microsoft Office Word</Application>
  <DocSecurity>0</DocSecurity>
  <Lines>344</Lines>
  <Paragraphs>97</Paragraphs>
  <ScaleCrop>false</ScaleCrop>
  <Company/>
  <LinksUpToDate>false</LinksUpToDate>
  <CharactersWithSpaces>48791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5</cp:revision>
  <cp:lastPrinted>2023-01-10T21:18:00Z</cp:lastPrinted>
  <dcterms:created xsi:type="dcterms:W3CDTF">2026-09-02T21:29:00Z</dcterms:created>
  <dcterms:modified xsi:type="dcterms:W3CDTF">2026-09-02T22:26:00Z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