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A4FB2" w14:textId="77777777" w:rsidR="009542E0" w:rsidRPr="009542E0" w:rsidRDefault="009542E0" w:rsidP="009542E0">
      <w:pPr>
        <w:spacing w:after="0" w:line="240" w:lineRule="auto"/>
        <w:jc w:val="both"/>
        <w:rPr>
          <w:rFonts w:ascii="Verdana" w:eastAsia="Times New Roman" w:hAnsi="Verdana" w:cs="Arial"/>
          <w:b/>
          <w:bCs/>
          <w:lang w:eastAsia="es-ES_tradnl"/>
        </w:rPr>
      </w:pPr>
      <w:bookmarkStart w:id="0" w:name="_Hlk143780582"/>
      <w:r w:rsidRPr="009542E0">
        <w:rPr>
          <w:rFonts w:ascii="Verdana" w:eastAsia="Times New Roman" w:hAnsi="Verdana" w:cs="Arial"/>
          <w:b/>
          <w:bCs/>
          <w:lang w:eastAsia="es-ES_tradnl"/>
        </w:rPr>
        <w:t xml:space="preserve">DOCUMENTOS TIPO – Fundamento normativo – Obligatoriedad – Ámbito de aplicación – Entidades sometidas  </w:t>
      </w:r>
    </w:p>
    <w:p w14:paraId="64F022CC" w14:textId="77777777" w:rsidR="009542E0" w:rsidRPr="009542E0" w:rsidRDefault="009542E0" w:rsidP="009542E0">
      <w:pPr>
        <w:spacing w:after="0" w:line="240" w:lineRule="auto"/>
        <w:jc w:val="both"/>
        <w:rPr>
          <w:rFonts w:ascii="Verdana" w:eastAsia="Times New Roman" w:hAnsi="Verdana" w:cs="Arial"/>
          <w:b/>
          <w:bCs/>
          <w:sz w:val="20"/>
          <w:szCs w:val="20"/>
          <w:lang w:eastAsia="es-ES_tradnl"/>
        </w:rPr>
      </w:pPr>
    </w:p>
    <w:p w14:paraId="6B73E2B8" w14:textId="77777777" w:rsidR="009542E0" w:rsidRPr="009542E0" w:rsidRDefault="009542E0" w:rsidP="009542E0">
      <w:pPr>
        <w:spacing w:after="0" w:line="240" w:lineRule="auto"/>
        <w:jc w:val="both"/>
        <w:rPr>
          <w:rFonts w:ascii="Verdana" w:eastAsia="Calibri" w:hAnsi="Verdana" w:cs="Arial"/>
          <w:sz w:val="20"/>
          <w:szCs w:val="20"/>
          <w:lang w:val="es-ES_tradnl" w:eastAsia="es-ES"/>
        </w:rPr>
      </w:pPr>
      <w:r w:rsidRPr="009542E0">
        <w:rPr>
          <w:rFonts w:ascii="Verdana" w:eastAsia="Calibri" w:hAnsi="Verdana" w:cs="Arial"/>
          <w:sz w:val="20"/>
          <w:szCs w:val="20"/>
          <w:lang w:val="es-ES_tradnl" w:eastAsia="es-ES"/>
        </w:rPr>
        <w:t xml:space="preserve">(…) la Ley 2022 de 2020 (…) modificó el contenido del parágrafo 7 del artículo 2 de la Ley 1150 de 2007, que había sido adicionado por la Ley 1882 de 2018. Con esta modificación, si bien se mantuvo el mandato de aplicación obligatoria de los Documentos Tipo por parte de las entidades sometidas al </w:t>
      </w:r>
      <w:r w:rsidRPr="009542E0">
        <w:rPr>
          <w:rFonts w:ascii="Verdana" w:eastAsia="Calibri" w:hAnsi="Verdana" w:cs="Arial"/>
          <w:bCs/>
          <w:sz w:val="20"/>
          <w:szCs w:val="20"/>
          <w:lang w:val="es-ES_tradnl" w:eastAsia="es-ES_tradnl"/>
        </w:rPr>
        <w:t>EGCAP</w:t>
      </w:r>
      <w:r w:rsidRPr="009542E0">
        <w:rPr>
          <w:rFonts w:ascii="Verdana" w:eastAsia="Calibri" w:hAnsi="Verdana" w:cs="Arial"/>
          <w:sz w:val="20"/>
          <w:szCs w:val="20"/>
          <w:lang w:val="es-ES_tradnl" w:eastAsia="es-ES"/>
        </w:rPr>
        <w:t xml:space="preserve">, se atribuyó a la </w:t>
      </w:r>
      <w:r w:rsidRPr="009542E0">
        <w:rPr>
          <w:rFonts w:ascii="Verdana" w:eastAsia="Calibri" w:hAnsi="Verdana" w:cs="Arial"/>
          <w:sz w:val="20"/>
          <w:szCs w:val="20"/>
          <w:lang w:val="es-ES_tradnl" w:eastAsia="es-ES_tradnl"/>
        </w:rPr>
        <w:t xml:space="preserve">Agencia Nacional de Contratación Pública – Colombia Compra Eficiente la competencia para su expedición. </w:t>
      </w:r>
    </w:p>
    <w:p w14:paraId="57CD9B49" w14:textId="77777777" w:rsidR="009542E0" w:rsidRPr="009542E0" w:rsidRDefault="009542E0" w:rsidP="009542E0">
      <w:pPr>
        <w:spacing w:after="0" w:line="240" w:lineRule="auto"/>
        <w:jc w:val="both"/>
        <w:rPr>
          <w:rFonts w:ascii="Verdana" w:eastAsia="Calibri" w:hAnsi="Verdana" w:cs="Arial"/>
          <w:sz w:val="20"/>
          <w:szCs w:val="20"/>
          <w:lang w:val="es-ES_tradnl" w:eastAsia="es-ES"/>
        </w:rPr>
      </w:pPr>
    </w:p>
    <w:p w14:paraId="05CB35AF" w14:textId="77777777" w:rsidR="009542E0" w:rsidRPr="009542E0" w:rsidRDefault="009542E0" w:rsidP="009542E0">
      <w:pPr>
        <w:spacing w:after="0" w:line="240" w:lineRule="auto"/>
        <w:jc w:val="both"/>
        <w:rPr>
          <w:rFonts w:ascii="Verdana" w:eastAsia="Calibri" w:hAnsi="Verdana" w:cs="Arial"/>
          <w:sz w:val="20"/>
          <w:szCs w:val="20"/>
          <w:lang w:eastAsia="es-MX"/>
        </w:rPr>
      </w:pPr>
      <w:r w:rsidRPr="009542E0">
        <w:rPr>
          <w:rFonts w:ascii="Verdana" w:eastAsia="Calibri" w:hAnsi="Verdana" w:cs="Arial"/>
          <w:sz w:val="20"/>
          <w:szCs w:val="20"/>
          <w:lang w:eastAsia="es-ES_tradnl"/>
        </w:rPr>
        <w:t xml:space="preserve">De acuerdo con lo expuesto, </w:t>
      </w:r>
      <w:r w:rsidRPr="009542E0">
        <w:rPr>
          <w:rFonts w:ascii="Verdana" w:eastAsia="Calibri" w:hAnsi="Verdana" w:cs="Arial"/>
          <w:sz w:val="20"/>
          <w:szCs w:val="20"/>
          <w:bdr w:val="none" w:sz="0" w:space="0" w:color="auto" w:frame="1"/>
          <w:lang w:eastAsia="es-ES_tradnl"/>
        </w:rPr>
        <w:t xml:space="preserve">los Documentos Tipo adoptados son obligatorios para las Entidades Estatales regidas por el </w:t>
      </w:r>
      <w:r w:rsidRPr="009542E0">
        <w:rPr>
          <w:rFonts w:ascii="Verdana" w:eastAsia="Calibri" w:hAnsi="Verdana" w:cs="Arial"/>
          <w:bCs/>
          <w:sz w:val="20"/>
          <w:szCs w:val="20"/>
          <w:lang w:val="es-ES_tradnl" w:eastAsia="es-ES_tradnl"/>
        </w:rPr>
        <w:t>EGCAP</w:t>
      </w:r>
      <w:r w:rsidRPr="009542E0">
        <w:rPr>
          <w:rFonts w:ascii="Verdana" w:eastAsia="Calibri" w:hAnsi="Verdana" w:cs="Arial"/>
          <w:sz w:val="20"/>
          <w:szCs w:val="20"/>
          <w:bdr w:val="none" w:sz="0" w:space="0" w:color="auto" w:frame="1"/>
          <w:lang w:eastAsia="es-ES_tradnl"/>
        </w:rPr>
        <w:t xml:space="preserve"> que adelanten Procesos de Contratación mediante las modalidades de selección y objetos contractuales cobijados por alguno de los Documentos Tipo vigentes en los diferentes sectores. </w:t>
      </w:r>
      <w:r w:rsidRPr="009542E0">
        <w:rPr>
          <w:rFonts w:ascii="Verdana" w:eastAsia="Calibri" w:hAnsi="Verdana" w:cs="Arial"/>
          <w:sz w:val="20"/>
          <w:szCs w:val="20"/>
          <w:lang w:eastAsia="es-MX"/>
        </w:rPr>
        <w:t>Esta obligatoriedad implica, a su vez, que las Entidades Estatales tengan que adelantar los Procesos de Contratación bajo las condiciones establecidas en los Documentos Tipo que rijan para el objeto a contratar y el procedimiento de selección aplicables, sin que puedan variarse los requisitos fijados en ellos.</w:t>
      </w:r>
    </w:p>
    <w:p w14:paraId="5FD73F35" w14:textId="77777777" w:rsidR="009542E0" w:rsidRPr="009542E0" w:rsidRDefault="009542E0" w:rsidP="009542E0">
      <w:pPr>
        <w:spacing w:after="0" w:line="240" w:lineRule="auto"/>
        <w:jc w:val="both"/>
        <w:rPr>
          <w:rFonts w:ascii="Verdana" w:eastAsia="Times New Roman" w:hAnsi="Verdana" w:cs="Arial"/>
          <w:b/>
          <w:bCs/>
          <w:sz w:val="24"/>
          <w:szCs w:val="24"/>
          <w:lang w:eastAsia="es-ES_tradnl"/>
        </w:rPr>
      </w:pPr>
    </w:p>
    <w:p w14:paraId="5FA0BCC7" w14:textId="77777777" w:rsidR="009542E0" w:rsidRPr="009542E0" w:rsidRDefault="009542E0" w:rsidP="009542E0">
      <w:pPr>
        <w:spacing w:after="0" w:line="240" w:lineRule="auto"/>
        <w:jc w:val="both"/>
        <w:rPr>
          <w:rFonts w:ascii="Verdana" w:eastAsia="Calibri" w:hAnsi="Verdana" w:cs="Arial"/>
          <w:b/>
          <w:color w:val="000000"/>
          <w:lang w:val="es-ES_tradnl" w:eastAsia="es-ES_tradnl"/>
        </w:rPr>
      </w:pPr>
      <w:r w:rsidRPr="009542E0">
        <w:rPr>
          <w:rFonts w:ascii="Verdana" w:eastAsia="Calibri" w:hAnsi="Verdana" w:cs="Arial"/>
          <w:b/>
          <w:color w:val="000000"/>
          <w:lang w:val="es-ES_tradnl" w:eastAsia="es-ES_tradnl"/>
        </w:rPr>
        <w:t>LEY 2195 DE 2022 – Artículo 56 – Personas jurídicas de derecho privado – Documentos tipo – Estatuto General de Contratación de la Administración Pública</w:t>
      </w:r>
    </w:p>
    <w:p w14:paraId="3477070B" w14:textId="77777777" w:rsidR="009542E0" w:rsidRPr="009542E0" w:rsidRDefault="009542E0" w:rsidP="009542E0">
      <w:pPr>
        <w:spacing w:after="0" w:line="240" w:lineRule="auto"/>
        <w:jc w:val="both"/>
        <w:rPr>
          <w:rFonts w:ascii="Verdana" w:eastAsia="Calibri" w:hAnsi="Verdana" w:cs="Arial"/>
          <w:b/>
          <w:color w:val="000000"/>
          <w:sz w:val="24"/>
          <w:szCs w:val="24"/>
          <w:lang w:val="es-ES_tradnl" w:eastAsia="es-ES_tradnl"/>
        </w:rPr>
      </w:pPr>
    </w:p>
    <w:p w14:paraId="55560849" w14:textId="77777777" w:rsidR="009542E0" w:rsidRPr="009542E0" w:rsidRDefault="009542E0" w:rsidP="009542E0">
      <w:pPr>
        <w:spacing w:after="0" w:line="240" w:lineRule="auto"/>
        <w:jc w:val="both"/>
        <w:rPr>
          <w:rFonts w:ascii="Verdana" w:eastAsia="Times New Roman" w:hAnsi="Verdana" w:cs="Arial"/>
          <w:noProof/>
          <w:color w:val="000000"/>
          <w:sz w:val="20"/>
          <w:szCs w:val="20"/>
          <w:lang w:val="es-ES_tradnl" w:eastAsia="es-ES_tradnl"/>
        </w:rPr>
      </w:pPr>
      <w:r w:rsidRPr="009542E0">
        <w:rPr>
          <w:rFonts w:ascii="Verdana" w:eastAsia="Calibri" w:hAnsi="Verdana" w:cs="Arial"/>
          <w:sz w:val="20"/>
          <w:szCs w:val="20"/>
          <w:lang w:val="es-ES_tradnl" w:eastAsia="es-ES"/>
        </w:rPr>
        <w:t xml:space="preserve">(…) </w:t>
      </w:r>
      <w:r w:rsidRPr="009542E0">
        <w:rPr>
          <w:rFonts w:ascii="Verdana" w:eastAsia="Times New Roman" w:hAnsi="Verdana" w:cs="Arial"/>
          <w:noProof/>
          <w:color w:val="000000"/>
          <w:sz w:val="20"/>
          <w:szCs w:val="20"/>
          <w:lang w:val="es-ES_tradnl" w:eastAsia="es-ES_tradnl"/>
        </w:rPr>
        <w:t>el primer inciso del artículo 56 de la Ley 2195 de 2022 surge como una disposición complementaria de la Ley 2022 de 2020, en la medida en que, según se desprende de su texto, de una parte, la norma busca extender la aplicación obligatoria de los documentos tipo a la celebración de contratos o convenios interadministrativos entre entidades regidas por EGCAP y otros sujetos cuyo régimen de contratación prevalente es el derecho privado. Esto de tal forma que cuando una entidad estatal regida por el EGCAP celebre contratos o convenios con otra i) entidad estatal de régimen especial o con ii) patrimonios autónomos o iii) con personas naturales o jurídicas de derecho privado, tenga que hacerlo aplicando documentos tipo. Los efectos del primer inciso del artículo 56 se proyectarían entonces a los contratos o convenios interadministrativos o de cualquier otra índole, que se deban celebrar con estos sujetos, cuyos objetos comprendan la adquisición de bienes, obras o servicios, que, al tenor de lo dispuesto en el apartado normativo bajo examen, deberán celebrarse mediante documentos tipo.</w:t>
      </w:r>
    </w:p>
    <w:p w14:paraId="6088C9CF" w14:textId="77777777" w:rsidR="009542E0" w:rsidRPr="009542E0" w:rsidRDefault="009542E0" w:rsidP="009542E0">
      <w:pPr>
        <w:spacing w:after="0" w:line="276" w:lineRule="auto"/>
        <w:jc w:val="both"/>
        <w:rPr>
          <w:rFonts w:ascii="Verdana" w:eastAsia="Times New Roman" w:hAnsi="Verdana" w:cs="Arial"/>
          <w:noProof/>
          <w:color w:val="000000"/>
          <w:sz w:val="24"/>
          <w:szCs w:val="24"/>
          <w:lang w:val="es-ES_tradnl" w:eastAsia="es-ES_tradnl"/>
        </w:rPr>
      </w:pPr>
    </w:p>
    <w:p w14:paraId="7AB2FC9D" w14:textId="77777777" w:rsidR="009542E0" w:rsidRPr="009542E0" w:rsidRDefault="009542E0" w:rsidP="009542E0">
      <w:pPr>
        <w:tabs>
          <w:tab w:val="left" w:pos="0"/>
        </w:tabs>
        <w:spacing w:after="0" w:line="276" w:lineRule="auto"/>
        <w:jc w:val="both"/>
        <w:rPr>
          <w:rFonts w:ascii="Verdana" w:eastAsia="Calibri" w:hAnsi="Verdana" w:cs="Arial"/>
          <w:b/>
          <w:color w:val="000000"/>
          <w:lang w:val="es-ES_tradnl" w:eastAsia="es-ES_tradnl"/>
        </w:rPr>
      </w:pPr>
      <w:r w:rsidRPr="009542E0">
        <w:rPr>
          <w:rFonts w:ascii="Verdana" w:eastAsia="Calibri" w:hAnsi="Verdana" w:cs="Arial"/>
          <w:b/>
          <w:color w:val="000000"/>
          <w:lang w:val="es-ES_tradnl" w:eastAsia="es-ES_tradnl"/>
        </w:rPr>
        <w:t xml:space="preserve">LEY 2195 DE 2022 – Artículo 56 – Parágrafo – Alcance </w:t>
      </w:r>
    </w:p>
    <w:p w14:paraId="3F91FAE3" w14:textId="77777777" w:rsidR="009542E0" w:rsidRPr="009542E0" w:rsidRDefault="009542E0" w:rsidP="009542E0">
      <w:pPr>
        <w:tabs>
          <w:tab w:val="left" w:pos="0"/>
        </w:tabs>
        <w:spacing w:after="0" w:line="240" w:lineRule="auto"/>
        <w:jc w:val="both"/>
        <w:rPr>
          <w:rFonts w:ascii="Arial" w:eastAsia="Times New Roman" w:hAnsi="Arial" w:cs="Arial"/>
          <w:noProof/>
          <w:color w:val="000000"/>
          <w:sz w:val="24"/>
          <w:szCs w:val="24"/>
          <w:lang w:val="es-ES_tradnl" w:eastAsia="es-ES_tradnl"/>
        </w:rPr>
      </w:pPr>
    </w:p>
    <w:p w14:paraId="5E52A6DD" w14:textId="77777777" w:rsidR="009542E0" w:rsidRPr="009542E0" w:rsidRDefault="009542E0" w:rsidP="009542E0">
      <w:pPr>
        <w:tabs>
          <w:tab w:val="left" w:pos="0"/>
        </w:tabs>
        <w:spacing w:after="0" w:line="240" w:lineRule="auto"/>
        <w:jc w:val="both"/>
        <w:rPr>
          <w:rFonts w:ascii="Arial" w:eastAsia="Calibri" w:hAnsi="Arial" w:cs="Arial"/>
          <w:bCs/>
          <w:sz w:val="20"/>
          <w:szCs w:val="20"/>
          <w:lang w:val="es-ES_tradnl" w:eastAsia="es-MX"/>
        </w:rPr>
      </w:pPr>
      <w:r w:rsidRPr="009542E0">
        <w:rPr>
          <w:rFonts w:ascii="Verdana" w:eastAsia="Times New Roman" w:hAnsi="Verdana" w:cs="Arial"/>
          <w:color w:val="000000"/>
          <w:sz w:val="20"/>
          <w:szCs w:val="20"/>
          <w:lang w:eastAsia="es-MX"/>
        </w:rPr>
        <w:t xml:space="preserve">En este contexto, </w:t>
      </w:r>
      <w:r w:rsidRPr="009542E0">
        <w:rPr>
          <w:rFonts w:ascii="Verdana" w:eastAsia="Calibri" w:hAnsi="Verdana" w:cs="Arial"/>
          <w:bCs/>
          <w:sz w:val="20"/>
          <w:szCs w:val="20"/>
          <w:lang w:val="es-ES_tradnl" w:eastAsia="es-ES_tradnl"/>
        </w:rPr>
        <w:t>de la lectura conjunta de los incisos primero y segundo</w:t>
      </w:r>
      <w:r w:rsidRPr="009542E0">
        <w:rPr>
          <w:rFonts w:ascii="Verdana" w:eastAsia="Calibri" w:hAnsi="Verdana" w:cs="Arial"/>
          <w:bCs/>
          <w:sz w:val="20"/>
          <w:szCs w:val="20"/>
          <w:lang w:eastAsia="es-ES_tradnl"/>
        </w:rPr>
        <w:t xml:space="preserve"> del artículo 56 de la Ley 2195 de 2022,</w:t>
      </w:r>
      <w:r w:rsidRPr="009542E0">
        <w:rPr>
          <w:rFonts w:ascii="Verdana" w:eastAsia="Calibri" w:hAnsi="Verdana" w:cs="Arial"/>
          <w:bCs/>
          <w:sz w:val="20"/>
          <w:szCs w:val="20"/>
          <w:lang w:val="es-ES_tradnl" w:eastAsia="es-ES_tradnl"/>
        </w:rPr>
        <w:t xml:space="preserve"> se desprende que </w:t>
      </w:r>
      <w:r w:rsidRPr="009542E0">
        <w:rPr>
          <w:rFonts w:ascii="Verdana" w:eastAsia="Calibri" w:hAnsi="Verdana" w:cs="Arial"/>
          <w:bCs/>
          <w:sz w:val="20"/>
          <w:szCs w:val="20"/>
          <w:lang w:eastAsia="es-ES_tradnl"/>
        </w:rPr>
        <w:t xml:space="preserve">cuando se celebre un contrato o convenio interadministrativo o de cualquier otra índole entre una entidad sometida al EGCAP y los sujetos allí mencionados, del cual se derive la ejecución de objetos contractuales incluidos dentro del ámbito de aplicación de los documentos tipo, su celebración deberá realizarse por parte del ejecutor o de quien tenga a su cargo el deber legal de </w:t>
      </w:r>
      <w:r w:rsidRPr="009542E0">
        <w:rPr>
          <w:rFonts w:ascii="Verdana" w:eastAsia="Calibri" w:hAnsi="Verdana" w:cs="Arial"/>
          <w:bCs/>
          <w:sz w:val="20"/>
          <w:szCs w:val="20"/>
          <w:lang w:eastAsia="es-ES_tradnl"/>
        </w:rPr>
        <w:lastRenderedPageBreak/>
        <w:t>materializar dicha contratación, haciendo uso obligatorio de dichos documentos</w:t>
      </w:r>
      <w:r w:rsidRPr="009542E0">
        <w:rPr>
          <w:rFonts w:ascii="Arial" w:eastAsia="Calibri" w:hAnsi="Arial" w:cs="Arial"/>
          <w:bCs/>
          <w:sz w:val="20"/>
          <w:szCs w:val="20"/>
          <w:lang w:val="es-ES_tradnl" w:eastAsia="es-MX"/>
        </w:rPr>
        <w:t xml:space="preserve"> </w:t>
      </w:r>
      <w:r w:rsidRPr="009542E0">
        <w:rPr>
          <w:rFonts w:ascii="Verdana" w:eastAsia="Calibri" w:hAnsi="Verdana" w:cs="Arial"/>
          <w:bCs/>
          <w:sz w:val="20"/>
          <w:szCs w:val="20"/>
          <w:lang w:val="es-ES_tradnl" w:eastAsia="es-MX"/>
        </w:rPr>
        <w:t xml:space="preserve">siempre que exista documento tipo aplicable al objeto contractual que se planea contratar. Esto significa que los contratos no relacionados con los contratos y convenios adquiridos con la entidad sometida al EGCAP no tendrían que aplicar los documentos tipo, salvo que quieran hacerlo como una buena práctica de contratación. </w:t>
      </w:r>
    </w:p>
    <w:p w14:paraId="23D8424E" w14:textId="77777777" w:rsidR="009542E0" w:rsidRPr="009542E0" w:rsidRDefault="009542E0" w:rsidP="009542E0">
      <w:pPr>
        <w:tabs>
          <w:tab w:val="left" w:pos="0"/>
        </w:tabs>
        <w:spacing w:after="0" w:line="240" w:lineRule="auto"/>
        <w:jc w:val="both"/>
        <w:rPr>
          <w:rFonts w:ascii="Verdana" w:eastAsia="Calibri" w:hAnsi="Verdana" w:cs="Arial"/>
          <w:bCs/>
          <w:sz w:val="20"/>
          <w:szCs w:val="20"/>
          <w:lang w:val="es-ES_tradnl" w:eastAsia="es-ES_tradnl"/>
        </w:rPr>
      </w:pPr>
    </w:p>
    <w:p w14:paraId="3A7471E5" w14:textId="77777777" w:rsidR="009542E0" w:rsidRPr="009542E0" w:rsidRDefault="009542E0" w:rsidP="009542E0">
      <w:pPr>
        <w:tabs>
          <w:tab w:val="left" w:pos="0"/>
        </w:tabs>
        <w:spacing w:after="0" w:line="240" w:lineRule="auto"/>
        <w:jc w:val="both"/>
        <w:rPr>
          <w:rFonts w:ascii="Verdana" w:eastAsia="Calibri" w:hAnsi="Verdana" w:cs="Arial"/>
          <w:bCs/>
          <w:color w:val="000000"/>
          <w:sz w:val="20"/>
          <w:szCs w:val="20"/>
          <w:lang w:val="es-ES_tradnl" w:eastAsia="es-ES_tradnl"/>
        </w:rPr>
      </w:pPr>
      <w:r w:rsidRPr="009542E0">
        <w:rPr>
          <w:rFonts w:ascii="Verdana" w:eastAsia="Calibri" w:hAnsi="Verdana" w:cs="Arial"/>
          <w:bCs/>
          <w:sz w:val="20"/>
          <w:szCs w:val="20"/>
          <w:lang w:val="es-ES_tradnl" w:eastAsia="es-ES_tradnl"/>
        </w:rPr>
        <w:t>Sin perjuicio de lo anterior</w:t>
      </w:r>
      <w:r w:rsidRPr="009542E0">
        <w:rPr>
          <w:rFonts w:ascii="Verdana" w:eastAsia="Times New Roman" w:hAnsi="Verdana" w:cs="Arial"/>
          <w:sz w:val="20"/>
          <w:szCs w:val="20"/>
          <w:lang w:eastAsia="es-ES_tradnl"/>
        </w:rPr>
        <w:t xml:space="preserve">, </w:t>
      </w:r>
      <w:r w:rsidRPr="009542E0">
        <w:rPr>
          <w:rFonts w:ascii="Verdana" w:eastAsia="Calibri" w:hAnsi="Verdana" w:cs="Arial"/>
          <w:bCs/>
          <w:sz w:val="20"/>
          <w:szCs w:val="20"/>
          <w:lang w:val="es-ES_tradnl" w:eastAsia="es-ES_tradnl"/>
        </w:rPr>
        <w:t xml:space="preserve">es necesario precisar el alcance del parágrafo del artículo 56 de la Ley 2195 de 2022 y lo dispuesto en los dos primeros incisos del mencionado artículo, del cual se excluye, a cierto tipo de entidades, en lo relacionado con la contratación de su </w:t>
      </w:r>
      <w:r w:rsidRPr="009542E0">
        <w:rPr>
          <w:rFonts w:ascii="Verdana" w:eastAsia="Calibri" w:hAnsi="Verdana" w:cs="Arial"/>
          <w:bCs/>
          <w:i/>
          <w:iCs/>
          <w:sz w:val="20"/>
          <w:szCs w:val="20"/>
          <w:lang w:val="es-ES_tradnl" w:eastAsia="es-ES_tradnl"/>
        </w:rPr>
        <w:t>giro ordinario</w:t>
      </w:r>
      <w:r w:rsidRPr="009542E0">
        <w:rPr>
          <w:rFonts w:ascii="Verdana" w:eastAsia="Calibri" w:hAnsi="Verdana" w:cs="Arial"/>
          <w:bCs/>
          <w:sz w:val="20"/>
          <w:szCs w:val="20"/>
          <w:lang w:val="es-ES_tradnl" w:eastAsia="es-ES_tradnl"/>
        </w:rPr>
        <w:t xml:space="preserve">. Conforme se desprende del texto del referido parágrafo, se exceptúa de lo señalado en los dos primeros incisos a: i) las instituciones de educación superior públicas, </w:t>
      </w:r>
      <w:proofErr w:type="spellStart"/>
      <w:r w:rsidRPr="009542E0">
        <w:rPr>
          <w:rFonts w:ascii="Verdana" w:eastAsia="Calibri" w:hAnsi="Verdana" w:cs="Arial"/>
          <w:bCs/>
          <w:sz w:val="20"/>
          <w:szCs w:val="20"/>
          <w:lang w:val="es-ES_tradnl" w:eastAsia="es-ES_tradnl"/>
        </w:rPr>
        <w:t>ii</w:t>
      </w:r>
      <w:proofErr w:type="spellEnd"/>
      <w:r w:rsidRPr="009542E0">
        <w:rPr>
          <w:rFonts w:ascii="Verdana" w:eastAsia="Calibri" w:hAnsi="Verdana" w:cs="Arial"/>
          <w:bCs/>
          <w:sz w:val="20"/>
          <w:szCs w:val="20"/>
          <w:lang w:val="es-ES_tradnl" w:eastAsia="es-ES_tradnl"/>
        </w:rPr>
        <w:t xml:space="preserve">) las </w:t>
      </w:r>
      <w:r w:rsidRPr="009542E0">
        <w:rPr>
          <w:rFonts w:ascii="Verdana" w:eastAsia="Calibri" w:hAnsi="Verdana" w:cs="Arial"/>
          <w:bCs/>
          <w:i/>
          <w:iCs/>
          <w:sz w:val="20"/>
          <w:szCs w:val="20"/>
          <w:lang w:val="es-ES_tradnl" w:eastAsia="es-ES_tradnl"/>
        </w:rPr>
        <w:t>empresas sociales del Estado</w:t>
      </w:r>
      <w:r w:rsidRPr="009542E0">
        <w:rPr>
          <w:rFonts w:ascii="Verdana" w:eastAsia="Calibri" w:hAnsi="Verdana" w:cs="Arial"/>
          <w:bCs/>
          <w:sz w:val="20"/>
          <w:szCs w:val="20"/>
          <w:lang w:val="es-ES_tradnl" w:eastAsia="es-ES_tradnl"/>
        </w:rPr>
        <w:t xml:space="preserve">, </w:t>
      </w:r>
      <w:proofErr w:type="spellStart"/>
      <w:r w:rsidRPr="009542E0">
        <w:rPr>
          <w:rFonts w:ascii="Verdana" w:eastAsia="Calibri" w:hAnsi="Verdana" w:cs="Arial"/>
          <w:bCs/>
          <w:sz w:val="20"/>
          <w:szCs w:val="20"/>
          <w:lang w:val="es-ES_tradnl" w:eastAsia="es-ES_tradnl"/>
        </w:rPr>
        <w:t>iii</w:t>
      </w:r>
      <w:proofErr w:type="spellEnd"/>
      <w:r w:rsidRPr="009542E0">
        <w:rPr>
          <w:rFonts w:ascii="Verdana" w:eastAsia="Calibri" w:hAnsi="Verdana" w:cs="Arial"/>
          <w:bCs/>
          <w:sz w:val="20"/>
          <w:szCs w:val="20"/>
          <w:lang w:val="es-ES_tradnl" w:eastAsia="es-ES_tradnl"/>
        </w:rPr>
        <w:t xml:space="preserve">) las sociedades de economía mixta y </w:t>
      </w:r>
      <w:proofErr w:type="spellStart"/>
      <w:r w:rsidRPr="009542E0">
        <w:rPr>
          <w:rFonts w:ascii="Verdana" w:eastAsia="Calibri" w:hAnsi="Verdana" w:cs="Arial"/>
          <w:bCs/>
          <w:sz w:val="20"/>
          <w:szCs w:val="20"/>
          <w:lang w:val="es-ES_tradnl" w:eastAsia="es-ES_tradnl"/>
        </w:rPr>
        <w:t>iv</w:t>
      </w:r>
      <w:proofErr w:type="spellEnd"/>
      <w:r w:rsidRPr="009542E0">
        <w:rPr>
          <w:rFonts w:ascii="Verdana" w:eastAsia="Calibri" w:hAnsi="Verdana" w:cs="Arial"/>
          <w:bCs/>
          <w:sz w:val="20"/>
          <w:szCs w:val="20"/>
          <w:lang w:val="es-ES_tradnl" w:eastAsia="es-ES_tradnl"/>
        </w:rPr>
        <w:t xml:space="preserve">) las empresas industriales y comerciales del Estado, únicamente, en la contratación relacionada con el </w:t>
      </w:r>
      <w:r w:rsidRPr="009542E0">
        <w:rPr>
          <w:rFonts w:ascii="Verdana" w:eastAsia="Calibri" w:hAnsi="Verdana" w:cs="Arial"/>
          <w:bCs/>
          <w:i/>
          <w:iCs/>
          <w:sz w:val="20"/>
          <w:szCs w:val="20"/>
          <w:lang w:val="es-ES_tradnl" w:eastAsia="es-ES_tradnl"/>
        </w:rPr>
        <w:t>giro ordinario.</w:t>
      </w:r>
      <w:r w:rsidRPr="009542E0">
        <w:rPr>
          <w:rFonts w:ascii="Verdana" w:eastAsia="Calibri" w:hAnsi="Verdana" w:cs="Arial"/>
          <w:bCs/>
          <w:sz w:val="20"/>
          <w:szCs w:val="20"/>
          <w:lang w:val="es-ES_tradnl" w:eastAsia="es-ES_tradnl"/>
        </w:rPr>
        <w:t xml:space="preserve"> Esto significa que, en la contratación asociada a su </w:t>
      </w:r>
      <w:r w:rsidRPr="009542E0">
        <w:rPr>
          <w:rFonts w:ascii="Verdana" w:eastAsia="Calibri" w:hAnsi="Verdana" w:cs="Arial"/>
          <w:bCs/>
          <w:i/>
          <w:iCs/>
          <w:sz w:val="20"/>
          <w:szCs w:val="20"/>
          <w:lang w:val="es-ES_tradnl" w:eastAsia="es-ES_tradnl"/>
        </w:rPr>
        <w:t xml:space="preserve">giro ordinario, </w:t>
      </w:r>
      <w:r w:rsidRPr="009542E0">
        <w:rPr>
          <w:rFonts w:ascii="Verdana" w:eastAsia="Calibri" w:hAnsi="Verdana" w:cs="Arial"/>
          <w:bCs/>
          <w:sz w:val="20"/>
          <w:szCs w:val="20"/>
          <w:lang w:val="es-ES_tradnl" w:eastAsia="es-ES_tradnl"/>
        </w:rPr>
        <w:t>estos tipos de entidades no tendrían que aplicar, de manera obligatoria, los Documentos Tipo, ni tampoco el EGCAP.</w:t>
      </w:r>
      <w:r w:rsidRPr="009542E0">
        <w:rPr>
          <w:rFonts w:ascii="Verdana" w:eastAsia="Times New Roman" w:hAnsi="Verdana" w:cs="Arial"/>
          <w:sz w:val="20"/>
          <w:szCs w:val="20"/>
          <w:lang w:eastAsia="es-ES_tradnl"/>
        </w:rPr>
        <w:t xml:space="preserve"> </w:t>
      </w:r>
      <w:r w:rsidRPr="009542E0">
        <w:rPr>
          <w:rFonts w:ascii="Verdana" w:eastAsia="Calibri" w:hAnsi="Verdana" w:cs="Arial"/>
          <w:bCs/>
          <w:sz w:val="20"/>
          <w:szCs w:val="20"/>
          <w:lang w:val="es-ES_tradnl" w:eastAsia="es-ES_tradnl"/>
        </w:rPr>
        <w:t>En este caso, la norma se limita a fomentar la implementación de Documentos Tipo a modo de buena práctica contractual, en los casos en los que se estime conveniente.</w:t>
      </w:r>
      <w:r w:rsidRPr="009542E0">
        <w:rPr>
          <w:rFonts w:ascii="Verdana" w:eastAsia="Calibri" w:hAnsi="Verdana" w:cs="Arial"/>
          <w:bCs/>
          <w:color w:val="000000"/>
          <w:sz w:val="20"/>
          <w:szCs w:val="20"/>
          <w:lang w:val="es-ES_tradnl" w:eastAsia="es-ES_tradnl"/>
        </w:rPr>
        <w:t xml:space="preserve"> </w:t>
      </w:r>
    </w:p>
    <w:p w14:paraId="20422394" w14:textId="77777777" w:rsidR="009542E0" w:rsidRPr="009542E0" w:rsidRDefault="009542E0" w:rsidP="009542E0">
      <w:pPr>
        <w:spacing w:after="0" w:line="240" w:lineRule="auto"/>
        <w:jc w:val="both"/>
        <w:rPr>
          <w:rFonts w:ascii="Verdana" w:eastAsia="Calibri" w:hAnsi="Verdana" w:cs="Arial"/>
          <w:b/>
          <w:bCs/>
          <w:lang w:val="es-ES_tradnl" w:eastAsia="es-MX"/>
        </w:rPr>
      </w:pPr>
    </w:p>
    <w:p w14:paraId="245B9FE3" w14:textId="77777777" w:rsidR="009542E0" w:rsidRPr="009542E0" w:rsidRDefault="009542E0" w:rsidP="009542E0">
      <w:pPr>
        <w:tabs>
          <w:tab w:val="left" w:pos="0"/>
        </w:tabs>
        <w:spacing w:after="0" w:line="278" w:lineRule="auto"/>
        <w:jc w:val="both"/>
        <w:rPr>
          <w:rFonts w:ascii="Verdana" w:eastAsia="Calibri" w:hAnsi="Verdana" w:cs="Arial"/>
          <w:b/>
          <w:kern w:val="2"/>
          <w:szCs w:val="24"/>
          <w:lang w:val="es-ES_tradnl"/>
          <w14:ligatures w14:val="standardContextual"/>
        </w:rPr>
      </w:pPr>
      <w:r w:rsidRPr="009542E0">
        <w:rPr>
          <w:rFonts w:ascii="Verdana" w:eastAsia="Calibri" w:hAnsi="Verdana" w:cs="Arial"/>
          <w:b/>
          <w:kern w:val="2"/>
          <w:szCs w:val="24"/>
          <w:lang w:val="es-ES_tradnl"/>
          <w14:ligatures w14:val="standardContextual"/>
        </w:rPr>
        <w:t xml:space="preserve">INSTITUCIONES DE EDUCACIÓN SUPERIOR PÚBLICAS – Excepciones – Artículo 56 – Clasificación – Interpretación </w:t>
      </w:r>
    </w:p>
    <w:p w14:paraId="6A118700" w14:textId="77777777" w:rsidR="009542E0" w:rsidRPr="009542E0" w:rsidRDefault="009542E0" w:rsidP="009542E0">
      <w:pPr>
        <w:spacing w:after="0" w:line="278" w:lineRule="auto"/>
        <w:jc w:val="both"/>
        <w:rPr>
          <w:rFonts w:ascii="Arial" w:eastAsia="Aptos" w:hAnsi="Arial" w:cs="Arial"/>
          <w:noProof/>
          <w:kern w:val="2"/>
          <w:sz w:val="20"/>
          <w:szCs w:val="20"/>
          <w:lang w:val="es-ES_tradnl"/>
          <w14:ligatures w14:val="standardContextual"/>
        </w:rPr>
      </w:pPr>
    </w:p>
    <w:p w14:paraId="3D750C67" w14:textId="77777777" w:rsidR="009542E0" w:rsidRPr="009542E0" w:rsidRDefault="009542E0" w:rsidP="009542E0">
      <w:pPr>
        <w:spacing w:after="0" w:line="240" w:lineRule="auto"/>
        <w:jc w:val="both"/>
        <w:rPr>
          <w:rFonts w:ascii="Verdana" w:eastAsia="Aptos" w:hAnsi="Verdana" w:cs="Arial"/>
          <w:bCs/>
          <w:noProof/>
          <w:kern w:val="2"/>
          <w:sz w:val="20"/>
          <w:szCs w:val="20"/>
          <w14:ligatures w14:val="standardContextual"/>
        </w:rPr>
      </w:pPr>
      <w:r w:rsidRPr="009542E0">
        <w:rPr>
          <w:rFonts w:ascii="Verdana" w:eastAsia="Aptos" w:hAnsi="Verdana" w:cs="Arial"/>
          <w:noProof/>
          <w:kern w:val="2"/>
          <w:sz w:val="20"/>
          <w:szCs w:val="20"/>
          <w:lang w:val="es-ES_tradnl"/>
          <w14:ligatures w14:val="standardContextual"/>
        </w:rPr>
        <w:t xml:space="preserve">(…) </w:t>
      </w:r>
      <w:r w:rsidRPr="009542E0">
        <w:rPr>
          <w:rFonts w:ascii="Verdana" w:eastAsia="Aptos" w:hAnsi="Verdana" w:cs="Arial"/>
          <w:noProof/>
          <w:kern w:val="2"/>
          <w:sz w:val="20"/>
          <w:szCs w:val="20"/>
          <w:lang w:val="es-MX"/>
          <w14:ligatures w14:val="standardContextual"/>
        </w:rPr>
        <w:t>la Ley 30 de 1992 regula aspectos como la naturaleza jurídica de las universidades estatales y oficiales, la forma de organizarse y su régimen de contratación. En el artículo 57 se evidencia dos tipos de instituciones de educación superior públicas: i) las universidades</w:t>
      </w:r>
      <w:r w:rsidRPr="009542E0">
        <w:rPr>
          <w:rFonts w:ascii="Verdana" w:eastAsia="Aptos" w:hAnsi="Verdana" w:cs="Arial"/>
          <w:bCs/>
          <w:noProof/>
          <w:kern w:val="2"/>
          <w:sz w:val="20"/>
          <w:szCs w:val="20"/>
          <w14:ligatures w14:val="standardContextual"/>
        </w:rPr>
        <w:t xml:space="preserve"> estatales u oficiales que deben organizarse como entes universitarios autónomos, con régimen especial</w:t>
      </w:r>
      <w:r w:rsidRPr="009542E0">
        <w:rPr>
          <w:rFonts w:ascii="Verdana" w:eastAsia="Aptos" w:hAnsi="Verdana" w:cs="Arial"/>
          <w:noProof/>
          <w:kern w:val="2"/>
          <w:sz w:val="20"/>
          <w:szCs w:val="20"/>
          <w14:ligatures w14:val="standardContextual"/>
        </w:rPr>
        <w:t xml:space="preserve">, </w:t>
      </w:r>
      <w:r w:rsidRPr="009542E0">
        <w:rPr>
          <w:rFonts w:ascii="Verdana" w:eastAsia="Aptos" w:hAnsi="Verdana" w:cs="Arial"/>
          <w:bCs/>
          <w:noProof/>
          <w:kern w:val="2"/>
          <w:sz w:val="20"/>
          <w:szCs w:val="20"/>
          <w14:ligatures w14:val="standardContextual"/>
        </w:rPr>
        <w:t xml:space="preserve">vinculados al Ministerio de Educación Nacional en lo que se refiere a las políticas y la planeación del sector educativo y ii) las instituciones estatales u oficiales de educación superior que no tengan el carácter de universidad, que deberán organizarse como establecimientos públicos del orden nacional, departamental, distrital o municipa. </w:t>
      </w:r>
    </w:p>
    <w:p w14:paraId="4E69997E" w14:textId="77777777" w:rsidR="009542E0" w:rsidRPr="009542E0" w:rsidRDefault="009542E0" w:rsidP="009542E0">
      <w:pPr>
        <w:spacing w:after="0" w:line="240" w:lineRule="auto"/>
        <w:jc w:val="both"/>
        <w:rPr>
          <w:rFonts w:ascii="Verdana" w:eastAsia="Aptos" w:hAnsi="Verdana" w:cs="Arial"/>
          <w:bCs/>
          <w:noProof/>
          <w:kern w:val="2"/>
          <w:sz w:val="20"/>
          <w:szCs w:val="20"/>
          <w14:ligatures w14:val="standardContextual"/>
        </w:rPr>
      </w:pPr>
    </w:p>
    <w:p w14:paraId="44325AF4" w14:textId="77777777" w:rsidR="009542E0" w:rsidRPr="009542E0" w:rsidRDefault="009542E0" w:rsidP="009542E0">
      <w:pPr>
        <w:spacing w:after="0" w:line="240" w:lineRule="auto"/>
        <w:jc w:val="both"/>
        <w:rPr>
          <w:rFonts w:ascii="Verdana" w:eastAsia="Aptos" w:hAnsi="Verdana" w:cs="Arial"/>
          <w:bCs/>
          <w:noProof/>
          <w:kern w:val="2"/>
          <w:sz w:val="20"/>
          <w:szCs w:val="20"/>
          <w14:ligatures w14:val="standardContextual"/>
        </w:rPr>
      </w:pPr>
      <w:r w:rsidRPr="009542E0">
        <w:rPr>
          <w:rFonts w:ascii="Verdana" w:eastAsia="Aptos" w:hAnsi="Verdana" w:cs="Arial"/>
          <w:bCs/>
          <w:noProof/>
          <w:kern w:val="2"/>
          <w:sz w:val="20"/>
          <w:szCs w:val="20"/>
          <w14:ligatures w14:val="standardContextual"/>
        </w:rPr>
        <w:t xml:space="preserve">(…) </w:t>
      </w:r>
    </w:p>
    <w:p w14:paraId="5AD816DC" w14:textId="77777777" w:rsidR="009542E0" w:rsidRPr="009542E0" w:rsidRDefault="009542E0" w:rsidP="009542E0">
      <w:pPr>
        <w:spacing w:after="0" w:line="240" w:lineRule="auto"/>
        <w:jc w:val="both"/>
        <w:rPr>
          <w:rFonts w:ascii="Verdana" w:eastAsia="Aptos" w:hAnsi="Verdana" w:cs="Arial"/>
          <w:bCs/>
          <w:noProof/>
          <w:kern w:val="2"/>
          <w:sz w:val="20"/>
          <w:szCs w:val="20"/>
          <w14:ligatures w14:val="standardContextual"/>
        </w:rPr>
      </w:pPr>
    </w:p>
    <w:p w14:paraId="2EF1D60E" w14:textId="77777777" w:rsidR="009542E0" w:rsidRPr="009542E0" w:rsidRDefault="009542E0" w:rsidP="009542E0">
      <w:pPr>
        <w:spacing w:after="0" w:line="240" w:lineRule="auto"/>
        <w:jc w:val="both"/>
        <w:rPr>
          <w:rFonts w:ascii="Verdana" w:eastAsia="Aptos" w:hAnsi="Verdana" w:cs="Arial"/>
          <w:bCs/>
          <w:noProof/>
          <w:kern w:val="2"/>
          <w:sz w:val="20"/>
          <w:szCs w:val="20"/>
          <w14:ligatures w14:val="standardContextual"/>
        </w:rPr>
      </w:pPr>
      <w:r w:rsidRPr="009542E0">
        <w:rPr>
          <w:rFonts w:ascii="Verdana" w:eastAsia="Aptos" w:hAnsi="Verdana" w:cs="Arial"/>
          <w:bCs/>
          <w:i/>
          <w:iCs/>
          <w:noProof/>
          <w:kern w:val="2"/>
          <w:sz w:val="20"/>
          <w:szCs w:val="20"/>
          <w14:ligatures w14:val="standardContextual"/>
        </w:rPr>
        <w:t>Las primeras</w:t>
      </w:r>
      <w:r w:rsidRPr="009542E0">
        <w:rPr>
          <w:rFonts w:ascii="Verdana" w:eastAsia="Aptos" w:hAnsi="Verdana" w:cs="Arial"/>
          <w:bCs/>
          <w:noProof/>
          <w:kern w:val="2"/>
          <w:sz w:val="20"/>
          <w:szCs w:val="20"/>
          <w14:ligatures w14:val="standardContextual"/>
        </w:rPr>
        <w:t>, esto es, las universidades estatales u oficiales organizadas como entes autónomos cuentan con régimen especial. En particular, los contratos que para el cumplimiento de sus funciones celebren se regirán por las normas del derecho privado y sus efectos estarán sujetos a las normas civiles y comerciales, según la naturaleza de los contratos.</w:t>
      </w:r>
    </w:p>
    <w:p w14:paraId="0EADB2A7" w14:textId="77777777" w:rsidR="009542E0" w:rsidRPr="009542E0" w:rsidRDefault="009542E0" w:rsidP="009542E0">
      <w:pPr>
        <w:spacing w:after="0" w:line="240" w:lineRule="auto"/>
        <w:jc w:val="both"/>
        <w:rPr>
          <w:rFonts w:ascii="Verdana" w:eastAsia="Aptos" w:hAnsi="Verdana" w:cs="Arial"/>
          <w:bCs/>
          <w:noProof/>
          <w:kern w:val="2"/>
          <w:sz w:val="20"/>
          <w:szCs w:val="20"/>
          <w14:ligatures w14:val="standardContextual"/>
        </w:rPr>
      </w:pPr>
    </w:p>
    <w:p w14:paraId="38AB62CC" w14:textId="77777777" w:rsidR="009542E0" w:rsidRPr="009542E0" w:rsidRDefault="009542E0" w:rsidP="009542E0">
      <w:pPr>
        <w:spacing w:after="0" w:line="240" w:lineRule="auto"/>
        <w:jc w:val="both"/>
        <w:rPr>
          <w:rFonts w:ascii="Verdana" w:eastAsia="Aptos" w:hAnsi="Verdana" w:cs="Arial"/>
          <w:bCs/>
          <w:noProof/>
          <w:kern w:val="2"/>
          <w:sz w:val="20"/>
          <w:szCs w:val="20"/>
          <w14:ligatures w14:val="standardContextual"/>
        </w:rPr>
      </w:pPr>
      <w:r w:rsidRPr="009542E0">
        <w:rPr>
          <w:rFonts w:ascii="Verdana" w:eastAsia="Aptos" w:hAnsi="Verdana" w:cs="Arial"/>
          <w:bCs/>
          <w:noProof/>
          <w:kern w:val="2"/>
          <w:sz w:val="20"/>
          <w:szCs w:val="20"/>
          <w14:ligatures w14:val="standardContextual"/>
        </w:rPr>
        <w:t xml:space="preserve">(…) </w:t>
      </w:r>
      <w:r w:rsidRPr="009542E0">
        <w:rPr>
          <w:rFonts w:ascii="Verdana" w:eastAsia="Aptos" w:hAnsi="Verdana" w:cs="Arial"/>
          <w:bCs/>
          <w:i/>
          <w:iCs/>
          <w:noProof/>
          <w:kern w:val="2"/>
          <w:sz w:val="20"/>
          <w:szCs w:val="20"/>
          <w14:ligatures w14:val="standardContextual"/>
        </w:rPr>
        <w:t>Las segundas</w:t>
      </w:r>
      <w:r w:rsidRPr="009542E0">
        <w:rPr>
          <w:rFonts w:ascii="Verdana" w:eastAsia="Aptos" w:hAnsi="Verdana" w:cs="Arial"/>
          <w:bCs/>
          <w:noProof/>
          <w:kern w:val="2"/>
          <w:sz w:val="20"/>
          <w:szCs w:val="20"/>
          <w14:ligatures w14:val="standardContextual"/>
        </w:rPr>
        <w:t xml:space="preserve">, es decir, las instituciones estatales u oficiales de educación superior que no tengan el carácter de universidad organizadas como establecimientos públicos, se rigen por las normas del Estatuto General de Contratación de la Administración Pública, de conformidad con lo señalado por el artículo 81 de la Ley 489 de 1998. </w:t>
      </w:r>
    </w:p>
    <w:p w14:paraId="21F9F371" w14:textId="77777777" w:rsidR="009542E0" w:rsidRPr="009542E0" w:rsidRDefault="009542E0" w:rsidP="009542E0">
      <w:pPr>
        <w:spacing w:after="0" w:line="240" w:lineRule="auto"/>
        <w:jc w:val="both"/>
        <w:rPr>
          <w:rFonts w:ascii="Verdana" w:eastAsia="Aptos" w:hAnsi="Verdana" w:cs="Arial"/>
          <w:noProof/>
          <w:kern w:val="2"/>
          <w:sz w:val="20"/>
          <w:szCs w:val="20"/>
          <w14:ligatures w14:val="standardContextual"/>
        </w:rPr>
      </w:pPr>
    </w:p>
    <w:p w14:paraId="0CFD0CE5" w14:textId="77777777" w:rsidR="009542E0" w:rsidRPr="009542E0" w:rsidRDefault="009542E0" w:rsidP="009542E0">
      <w:pPr>
        <w:spacing w:after="0" w:line="240" w:lineRule="auto"/>
        <w:jc w:val="both"/>
        <w:rPr>
          <w:rFonts w:ascii="Verdana" w:eastAsia="Aptos" w:hAnsi="Verdana" w:cs="Arial"/>
          <w:bCs/>
          <w:noProof/>
          <w:kern w:val="2"/>
          <w:sz w:val="20"/>
          <w:szCs w:val="20"/>
          <w14:ligatures w14:val="standardContextual"/>
        </w:rPr>
      </w:pPr>
      <w:r w:rsidRPr="009542E0">
        <w:rPr>
          <w:rFonts w:ascii="Verdana" w:eastAsia="Aptos" w:hAnsi="Verdana" w:cs="Arial"/>
          <w:bCs/>
          <w:noProof/>
          <w:kern w:val="2"/>
          <w:sz w:val="20"/>
          <w:szCs w:val="20"/>
          <w14:ligatures w14:val="standardContextual"/>
        </w:rPr>
        <w:lastRenderedPageBreak/>
        <w:t xml:space="preserve">Con base en estas consideraciones, es posible concluir que el parágrafo del artículo 56 de la Ley 2195 de 2022 únicamente resulta aplicable a las instituciones de educación superior públicas que cuentan con régimen especial y no a aquellas, como los establecimientos públicos, que tienen un régimen de contratación sometido a la Ley 80 de 1993. Esta postura se estima adecuada y se ajusta al propósito de la norma en la medida en que, como se explicó, </w:t>
      </w:r>
      <w:r w:rsidRPr="009542E0">
        <w:rPr>
          <w:rFonts w:ascii="Verdana" w:eastAsia="Aptos" w:hAnsi="Verdana" w:cs="Arial"/>
          <w:bCs/>
          <w:noProof/>
          <w:kern w:val="2"/>
          <w:sz w:val="20"/>
          <w:szCs w:val="20"/>
          <w:lang w:val="es-ES_tradnl"/>
          <w14:ligatures w14:val="standardContextual"/>
        </w:rPr>
        <w:t>un efecto importante de esta norma es la ampliación del ámbito de aplicación de los documentos tipo, al hacerlos obligatorios para unos sujetos que, en principio, de acuerdo con la Ley 2022 de 2020, no estarían sometidos a esos documentos</w:t>
      </w:r>
      <w:r w:rsidRPr="009542E0">
        <w:rPr>
          <w:rFonts w:ascii="Verdana" w:eastAsia="Aptos" w:hAnsi="Verdana" w:cs="Arial"/>
          <w:bCs/>
          <w:noProof/>
          <w:kern w:val="2"/>
          <w:sz w:val="20"/>
          <w:szCs w:val="20"/>
          <w14:ligatures w14:val="standardContextual"/>
        </w:rPr>
        <w:t xml:space="preserve">, tal como se explicó con anterioridad, lo que incluso se deriva del título del artículo 56 de la Ley 2195 de 2022 denominado “aplicación de los documentos tipo a entidades de régimen especial”. </w:t>
      </w:r>
    </w:p>
    <w:p w14:paraId="62E474AC" w14:textId="77777777" w:rsidR="009542E0" w:rsidRPr="009542E0" w:rsidRDefault="009542E0" w:rsidP="009542E0">
      <w:pPr>
        <w:spacing w:line="240" w:lineRule="auto"/>
        <w:jc w:val="both"/>
        <w:rPr>
          <w:rFonts w:ascii="Verdana" w:eastAsia="Aptos" w:hAnsi="Verdana" w:cs="Arial"/>
          <w:bCs/>
          <w:noProof/>
          <w:kern w:val="2"/>
          <w:sz w:val="20"/>
          <w:szCs w:val="20"/>
          <w14:ligatures w14:val="standardContextual"/>
        </w:rPr>
      </w:pPr>
    </w:p>
    <w:p w14:paraId="715CCF43" w14:textId="77777777" w:rsidR="009542E0" w:rsidRPr="009542E0" w:rsidRDefault="009542E0" w:rsidP="009542E0">
      <w:pPr>
        <w:spacing w:line="276" w:lineRule="auto"/>
        <w:jc w:val="both"/>
        <w:rPr>
          <w:rFonts w:ascii="Arial" w:eastAsia="Aptos" w:hAnsi="Arial" w:cs="Arial"/>
          <w:noProof/>
          <w:color w:val="000000"/>
          <w:kern w:val="2"/>
          <w:szCs w:val="24"/>
          <w14:ligatures w14:val="standardContextual"/>
        </w:rPr>
      </w:pPr>
    </w:p>
    <w:p w14:paraId="108822F2" w14:textId="77777777" w:rsidR="009542E0" w:rsidRPr="009542E0" w:rsidRDefault="009542E0" w:rsidP="009542E0">
      <w:pPr>
        <w:spacing w:line="276" w:lineRule="auto"/>
        <w:jc w:val="both"/>
        <w:rPr>
          <w:rFonts w:ascii="Arial" w:eastAsia="Aptos" w:hAnsi="Arial" w:cs="Arial"/>
          <w:noProof/>
          <w:color w:val="000000"/>
          <w:kern w:val="2"/>
          <w:szCs w:val="24"/>
          <w14:ligatures w14:val="standardContextual"/>
        </w:rPr>
      </w:pPr>
    </w:p>
    <w:p w14:paraId="51B15D14" w14:textId="77777777" w:rsidR="009542E0" w:rsidRPr="009542E0" w:rsidRDefault="009542E0" w:rsidP="009542E0">
      <w:pPr>
        <w:spacing w:line="276" w:lineRule="auto"/>
        <w:jc w:val="both"/>
        <w:rPr>
          <w:rFonts w:ascii="Arial" w:eastAsia="Aptos" w:hAnsi="Arial" w:cs="Arial"/>
          <w:noProof/>
          <w:color w:val="000000"/>
          <w:kern w:val="2"/>
          <w:szCs w:val="24"/>
          <w14:ligatures w14:val="standardContextual"/>
        </w:rPr>
      </w:pPr>
    </w:p>
    <w:p w14:paraId="1C4CA6D4" w14:textId="77777777" w:rsidR="009542E0" w:rsidRPr="009542E0" w:rsidRDefault="009542E0" w:rsidP="009542E0">
      <w:pPr>
        <w:spacing w:line="276" w:lineRule="auto"/>
        <w:jc w:val="both"/>
        <w:rPr>
          <w:rFonts w:ascii="Arial" w:eastAsia="Aptos" w:hAnsi="Arial" w:cs="Arial"/>
          <w:noProof/>
          <w:color w:val="000000"/>
          <w:kern w:val="2"/>
          <w:szCs w:val="24"/>
          <w14:ligatures w14:val="standardContextual"/>
        </w:rPr>
      </w:pPr>
    </w:p>
    <w:p w14:paraId="43A8CF55" w14:textId="77777777" w:rsidR="009542E0" w:rsidRPr="009542E0" w:rsidRDefault="009542E0" w:rsidP="009542E0">
      <w:pPr>
        <w:spacing w:after="0" w:line="240" w:lineRule="auto"/>
        <w:jc w:val="both"/>
        <w:rPr>
          <w:rFonts w:ascii="Verdana" w:eastAsia="Calibri" w:hAnsi="Verdana" w:cs="Arial"/>
          <w:color w:val="0D0D0D"/>
          <w:sz w:val="20"/>
          <w:szCs w:val="20"/>
          <w:lang w:eastAsia="es-MX"/>
        </w:rPr>
      </w:pPr>
    </w:p>
    <w:p w14:paraId="3E26D22F" w14:textId="77777777" w:rsidR="009542E0" w:rsidRPr="009542E0" w:rsidRDefault="009542E0" w:rsidP="009542E0">
      <w:pPr>
        <w:widowControl w:val="0"/>
        <w:autoSpaceDE w:val="0"/>
        <w:autoSpaceDN w:val="0"/>
        <w:spacing w:after="0" w:line="276" w:lineRule="auto"/>
        <w:jc w:val="both"/>
        <w:rPr>
          <w:rFonts w:ascii="Verdana" w:eastAsia="Calibri" w:hAnsi="Verdana" w:cs="Times New Roman"/>
          <w:lang w:val="es-ES" w:eastAsia="es-MX"/>
        </w:rPr>
      </w:pPr>
    </w:p>
    <w:p w14:paraId="725A3AE6"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0A9283FE"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31DE531C"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3927169D"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2B9B5CC7"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02430CAC"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6149D5CF"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689C504C"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4FC16C3E"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4A62714C"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3DA1443B"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6EC35A2E"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5767933E"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3B888704"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7FB087F4"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325CA43C" w14:textId="77777777" w:rsidR="009542E0" w:rsidRDefault="009542E0" w:rsidP="009542E0">
      <w:pPr>
        <w:spacing w:after="0" w:line="240" w:lineRule="auto"/>
        <w:jc w:val="both"/>
        <w:rPr>
          <w:rFonts w:ascii="Arial" w:eastAsia="Calibri" w:hAnsi="Arial" w:cs="Arial"/>
          <w:b/>
          <w:bCs/>
          <w:color w:val="000000"/>
          <w:sz w:val="24"/>
          <w:szCs w:val="24"/>
          <w:lang w:eastAsia="es-MX"/>
        </w:rPr>
      </w:pPr>
    </w:p>
    <w:p w14:paraId="22C4512D" w14:textId="77777777" w:rsidR="000E188E" w:rsidRPr="009542E0" w:rsidRDefault="000E188E" w:rsidP="009542E0">
      <w:pPr>
        <w:spacing w:after="0" w:line="240" w:lineRule="auto"/>
        <w:jc w:val="both"/>
        <w:rPr>
          <w:rFonts w:ascii="Arial" w:eastAsia="Calibri" w:hAnsi="Arial" w:cs="Arial"/>
          <w:b/>
          <w:bCs/>
          <w:color w:val="000000"/>
          <w:sz w:val="24"/>
          <w:szCs w:val="24"/>
          <w:lang w:eastAsia="es-MX"/>
        </w:rPr>
      </w:pPr>
    </w:p>
    <w:p w14:paraId="271570BC"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7C929517"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1E6E876C"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114DFBA6" w14:textId="77777777" w:rsidR="009542E0" w:rsidRPr="009542E0" w:rsidRDefault="009542E0" w:rsidP="009542E0">
      <w:pPr>
        <w:spacing w:after="0" w:line="240" w:lineRule="auto"/>
        <w:jc w:val="both"/>
        <w:rPr>
          <w:rFonts w:ascii="Arial" w:eastAsia="Calibri" w:hAnsi="Arial" w:cs="Arial"/>
          <w:b/>
          <w:bCs/>
          <w:color w:val="000000"/>
          <w:sz w:val="24"/>
          <w:szCs w:val="24"/>
          <w:lang w:eastAsia="es-MX"/>
        </w:rPr>
      </w:pPr>
    </w:p>
    <w:p w14:paraId="77BBD8BB" w14:textId="1CFDD417" w:rsidR="009542E0" w:rsidRDefault="009542E0" w:rsidP="009542E0">
      <w:pPr>
        <w:spacing w:after="0" w:line="240" w:lineRule="auto"/>
        <w:rPr>
          <w:rFonts w:ascii="Verdana" w:eastAsia="Verdana" w:hAnsi="Verdana" w:cs="Verdana"/>
          <w:kern w:val="2"/>
          <w14:ligatures w14:val="standardContextual"/>
        </w:rPr>
      </w:pPr>
      <w:r w:rsidRPr="009542E0">
        <w:rPr>
          <w:rFonts w:ascii="Verdana" w:eastAsia="Verdana" w:hAnsi="Verdana" w:cs="Verdana"/>
          <w:kern w:val="2"/>
          <w14:ligatures w14:val="standardContextual"/>
        </w:rPr>
        <w:lastRenderedPageBreak/>
        <w:t xml:space="preserve">Bogotá D.C., </w:t>
      </w:r>
      <w:r w:rsidR="00663CE7">
        <w:rPr>
          <w:rFonts w:ascii="Verdana" w:eastAsia="Verdana" w:hAnsi="Verdana" w:cs="Verdana"/>
          <w:kern w:val="2"/>
          <w14:ligatures w14:val="standardContextual"/>
        </w:rPr>
        <w:t>7 de septiembre de 2026</w:t>
      </w:r>
    </w:p>
    <w:p w14:paraId="1CEC34BB" w14:textId="2BEE1391" w:rsidR="00663CE7" w:rsidRDefault="00663CE7" w:rsidP="009542E0">
      <w:pPr>
        <w:spacing w:after="0" w:line="240" w:lineRule="auto"/>
        <w:rPr>
          <w:rFonts w:ascii="Verdana" w:eastAsia="Verdana" w:hAnsi="Verdana" w:cs="Verdana"/>
          <w:kern w:val="2"/>
          <w14:ligatures w14:val="standardContextual"/>
        </w:rPr>
      </w:pPr>
    </w:p>
    <w:p w14:paraId="6CC5A24F" w14:textId="6392C49F" w:rsidR="00663CE7" w:rsidRPr="009542E0" w:rsidRDefault="00663CE7" w:rsidP="009542E0">
      <w:pPr>
        <w:spacing w:after="0" w:line="240" w:lineRule="auto"/>
        <w:rPr>
          <w:rFonts w:ascii="Verdana" w:eastAsia="Verdana" w:hAnsi="Verdana" w:cs="Verdana"/>
          <w:kern w:val="2"/>
          <w14:ligatures w14:val="standardContextual"/>
        </w:rPr>
      </w:pPr>
    </w:p>
    <w:p w14:paraId="7C767E6F" w14:textId="50BE4A0D" w:rsidR="009542E0" w:rsidRPr="009542E0" w:rsidRDefault="005A3140" w:rsidP="009542E0">
      <w:pPr>
        <w:spacing w:after="0" w:line="240" w:lineRule="auto"/>
        <w:rPr>
          <w:rFonts w:ascii="Verdana" w:eastAsia="Calibri" w:hAnsi="Verdana" w:cs="Arial"/>
          <w:lang w:val="es-ES" w:eastAsia="es-ES"/>
        </w:rPr>
      </w:pPr>
      <w:r w:rsidRPr="00663CE7">
        <w:rPr>
          <w:rFonts w:ascii="Verdana" w:eastAsia="Verdana" w:hAnsi="Verdana" w:cs="Verdana"/>
          <w:noProof/>
          <w:kern w:val="2"/>
          <w14:ligatures w14:val="standardContextual"/>
        </w:rPr>
        <w:drawing>
          <wp:anchor distT="0" distB="0" distL="114300" distR="114300" simplePos="0" relativeHeight="251658240" behindDoc="0" locked="0" layoutInCell="1" allowOverlap="1" wp14:anchorId="39E2C32D" wp14:editId="43C982D9">
            <wp:simplePos x="0" y="0"/>
            <wp:positionH relativeFrom="column">
              <wp:posOffset>4104060</wp:posOffset>
            </wp:positionH>
            <wp:positionV relativeFrom="paragraph">
              <wp:posOffset>48370</wp:posOffset>
            </wp:positionV>
            <wp:extent cx="2148205" cy="914400"/>
            <wp:effectExtent l="0" t="0" r="4445" b="0"/>
            <wp:wrapSquare wrapText="bothSides"/>
            <wp:docPr id="1807925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257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8205" cy="914400"/>
                    </a:xfrm>
                    <a:prstGeom prst="rect">
                      <a:avLst/>
                    </a:prstGeom>
                  </pic:spPr>
                </pic:pic>
              </a:graphicData>
            </a:graphic>
            <wp14:sizeRelH relativeFrom="page">
              <wp14:pctWidth>0</wp14:pctWidth>
            </wp14:sizeRelH>
            <wp14:sizeRelV relativeFrom="page">
              <wp14:pctHeight>0</wp14:pctHeight>
            </wp14:sizeRelV>
          </wp:anchor>
        </w:drawing>
      </w:r>
    </w:p>
    <w:p w14:paraId="68DD55F1" w14:textId="77777777" w:rsidR="009542E0" w:rsidRPr="009542E0" w:rsidRDefault="009542E0" w:rsidP="009542E0">
      <w:pPr>
        <w:spacing w:after="0" w:line="240" w:lineRule="auto"/>
        <w:rPr>
          <w:rFonts w:ascii="Verdana" w:eastAsia="Calibri" w:hAnsi="Verdana" w:cs="Arial"/>
          <w:lang w:val="es-ES" w:eastAsia="es-ES"/>
        </w:rPr>
      </w:pPr>
      <w:r w:rsidRPr="009542E0">
        <w:rPr>
          <w:rFonts w:ascii="Verdana" w:eastAsia="Calibri" w:hAnsi="Verdana" w:cs="Arial"/>
          <w:lang w:val="es-ES" w:eastAsia="es-ES"/>
        </w:rPr>
        <w:t>Señor</w:t>
      </w:r>
    </w:p>
    <w:p w14:paraId="0E36F4DE" w14:textId="77777777" w:rsidR="009542E0" w:rsidRPr="009542E0" w:rsidRDefault="009542E0" w:rsidP="009542E0">
      <w:pPr>
        <w:spacing w:after="0" w:line="240" w:lineRule="auto"/>
        <w:rPr>
          <w:rFonts w:ascii="Verdana" w:eastAsia="Times New Roman" w:hAnsi="Verdana" w:cs="Times New Roman"/>
          <w:b/>
          <w:bCs/>
          <w:color w:val="242424"/>
          <w:shd w:val="clear" w:color="auto" w:fill="FFFFFF"/>
          <w:lang w:eastAsia="es-MX"/>
        </w:rPr>
      </w:pPr>
      <w:r w:rsidRPr="009542E0">
        <w:rPr>
          <w:rFonts w:ascii="Verdana" w:eastAsia="Times New Roman" w:hAnsi="Verdana" w:cs="Times New Roman"/>
          <w:b/>
          <w:bCs/>
          <w:color w:val="242424"/>
          <w:shd w:val="clear" w:color="auto" w:fill="FFFFFF"/>
          <w:lang w:eastAsia="es-MX"/>
        </w:rPr>
        <w:t>Mario Fernando Díaz Pava</w:t>
      </w:r>
    </w:p>
    <w:p w14:paraId="6D5C94DB" w14:textId="77777777" w:rsidR="009542E0" w:rsidRPr="009542E0" w:rsidRDefault="009542E0" w:rsidP="009542E0">
      <w:pPr>
        <w:spacing w:after="0" w:line="240" w:lineRule="auto"/>
        <w:rPr>
          <w:rFonts w:ascii="Verdana" w:eastAsia="Calibri" w:hAnsi="Verdana" w:cs="Arial"/>
          <w:lang w:val="es-ES_tradnl" w:eastAsia="es-ES_tradnl"/>
        </w:rPr>
      </w:pPr>
      <w:r w:rsidRPr="009542E0">
        <w:rPr>
          <w:rFonts w:ascii="Verdana" w:eastAsia="Calibri" w:hAnsi="Verdana" w:cs="Arial"/>
          <w:lang w:val="es-ES_tradnl" w:eastAsia="es-ES_tradnl"/>
        </w:rPr>
        <w:t xml:space="preserve">Rector </w:t>
      </w:r>
    </w:p>
    <w:p w14:paraId="13C775D8" w14:textId="77777777" w:rsidR="009542E0" w:rsidRPr="009542E0" w:rsidRDefault="009542E0" w:rsidP="009542E0">
      <w:pPr>
        <w:spacing w:after="0" w:line="240" w:lineRule="auto"/>
        <w:rPr>
          <w:rFonts w:ascii="Verdana" w:eastAsia="Calibri" w:hAnsi="Verdana" w:cs="Arial"/>
          <w:lang w:val="es-ES_tradnl" w:eastAsia="es-ES_tradnl"/>
        </w:rPr>
      </w:pPr>
      <w:r w:rsidRPr="009542E0">
        <w:rPr>
          <w:rFonts w:ascii="Verdana" w:eastAsia="Calibri" w:hAnsi="Verdana" w:cs="Arial"/>
          <w:lang w:val="es-ES_tradnl" w:eastAsia="es-ES_tradnl"/>
        </w:rPr>
        <w:t>Institución Universitaria de El Espinal – UNIESPINAL</w:t>
      </w:r>
    </w:p>
    <w:p w14:paraId="6600A2AD" w14:textId="77777777" w:rsidR="009542E0" w:rsidRPr="009542E0" w:rsidRDefault="009542E0" w:rsidP="009542E0">
      <w:pPr>
        <w:spacing w:after="0" w:line="240" w:lineRule="auto"/>
        <w:rPr>
          <w:rFonts w:ascii="Verdana" w:eastAsia="Calibri" w:hAnsi="Verdana" w:cs="Arial"/>
          <w:lang w:val="es-ES_tradnl" w:eastAsia="es-ES_tradnl"/>
        </w:rPr>
      </w:pPr>
      <w:r w:rsidRPr="009542E0">
        <w:rPr>
          <w:rFonts w:ascii="Verdana" w:eastAsia="Calibri" w:hAnsi="Verdana" w:cs="Arial"/>
          <w:lang w:val="es-ES_tradnl" w:eastAsia="es-ES_tradnl"/>
        </w:rPr>
        <w:t xml:space="preserve">El Espinal, Tolima </w:t>
      </w:r>
    </w:p>
    <w:p w14:paraId="416DC46D" w14:textId="77777777" w:rsidR="009542E0" w:rsidRPr="009542E0" w:rsidRDefault="009542E0" w:rsidP="009542E0">
      <w:pPr>
        <w:spacing w:after="0" w:line="240" w:lineRule="auto"/>
        <w:rPr>
          <w:rFonts w:ascii="Verdana" w:eastAsia="Calibri" w:hAnsi="Verdana" w:cs="Arial"/>
          <w:b/>
          <w:bCs/>
          <w:lang w:val="es-ES_tradnl" w:eastAsia="es-ES_tradnl"/>
        </w:rPr>
      </w:pPr>
    </w:p>
    <w:tbl>
      <w:tblPr>
        <w:tblStyle w:val="Tablaconcuadrcula"/>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6100"/>
      </w:tblGrid>
      <w:tr w:rsidR="009542E0" w:rsidRPr="009542E0" w14:paraId="6E2C9978" w14:textId="77777777" w:rsidTr="00670B64">
        <w:trPr>
          <w:trHeight w:val="229"/>
        </w:trPr>
        <w:tc>
          <w:tcPr>
            <w:tcW w:w="2268" w:type="dxa"/>
          </w:tcPr>
          <w:p w14:paraId="2B1573EC" w14:textId="77777777" w:rsidR="009542E0" w:rsidRPr="009542E0" w:rsidRDefault="009542E0" w:rsidP="009542E0">
            <w:pPr>
              <w:jc w:val="both"/>
              <w:rPr>
                <w:rFonts w:ascii="Verdana" w:eastAsia="Calibri" w:hAnsi="Verdana" w:cs="Arial"/>
                <w:b/>
                <w:bCs/>
                <w:lang w:val="es-ES_tradnl" w:eastAsia="es-ES_tradnl"/>
              </w:rPr>
            </w:pPr>
          </w:p>
        </w:tc>
        <w:tc>
          <w:tcPr>
            <w:tcW w:w="6100" w:type="dxa"/>
          </w:tcPr>
          <w:p w14:paraId="710CF4E8" w14:textId="77777777" w:rsidR="009542E0" w:rsidRPr="009542E0" w:rsidRDefault="009542E0" w:rsidP="009542E0">
            <w:pPr>
              <w:jc w:val="both"/>
              <w:rPr>
                <w:rFonts w:ascii="Verdana" w:eastAsia="Calibri" w:hAnsi="Verdana" w:cs="Arial"/>
                <w:b/>
                <w:bCs/>
                <w:lang w:val="es-ES" w:eastAsia="es-ES"/>
              </w:rPr>
            </w:pPr>
            <w:r w:rsidRPr="009542E0">
              <w:rPr>
                <w:rFonts w:ascii="Verdana" w:eastAsia="Calibri" w:hAnsi="Verdana" w:cs="Arial"/>
                <w:b/>
                <w:bCs/>
                <w:lang w:val="es-ES" w:eastAsia="es-ES"/>
              </w:rPr>
              <w:t xml:space="preserve">Concepto </w:t>
            </w:r>
            <w:bookmarkStart w:id="1" w:name="OLE_LINK1"/>
            <w:r w:rsidRPr="009542E0">
              <w:rPr>
                <w:rFonts w:ascii="Verdana" w:eastAsia="Calibri" w:hAnsi="Verdana" w:cs="Arial"/>
                <w:b/>
                <w:bCs/>
                <w:lang w:val="es-ES" w:eastAsia="es-ES"/>
              </w:rPr>
              <w:t>C-1180 de 2026</w:t>
            </w:r>
            <w:bookmarkEnd w:id="1"/>
          </w:p>
          <w:p w14:paraId="191C4FC3" w14:textId="77777777" w:rsidR="009542E0" w:rsidRPr="009542E0" w:rsidRDefault="009542E0" w:rsidP="009542E0">
            <w:pPr>
              <w:jc w:val="both"/>
              <w:rPr>
                <w:rFonts w:ascii="Verdana" w:eastAsia="Calibri" w:hAnsi="Verdana" w:cs="Arial"/>
                <w:b/>
                <w:bCs/>
                <w:lang w:val="es-ES" w:eastAsia="es-ES"/>
              </w:rPr>
            </w:pPr>
          </w:p>
        </w:tc>
      </w:tr>
      <w:tr w:rsidR="009542E0" w:rsidRPr="009542E0" w14:paraId="2C7A580C" w14:textId="77777777" w:rsidTr="00670B64">
        <w:trPr>
          <w:trHeight w:val="884"/>
        </w:trPr>
        <w:tc>
          <w:tcPr>
            <w:tcW w:w="2268" w:type="dxa"/>
          </w:tcPr>
          <w:p w14:paraId="4008822F" w14:textId="77777777" w:rsidR="009542E0" w:rsidRPr="009542E0" w:rsidRDefault="009542E0" w:rsidP="009542E0">
            <w:pPr>
              <w:jc w:val="both"/>
              <w:rPr>
                <w:rFonts w:ascii="Verdana" w:eastAsia="Calibri" w:hAnsi="Verdana" w:cs="Arial"/>
                <w:lang w:val="es-ES_tradnl" w:eastAsia="es-ES_tradnl"/>
              </w:rPr>
            </w:pPr>
            <w:r w:rsidRPr="009542E0">
              <w:rPr>
                <w:rFonts w:ascii="Verdana" w:eastAsia="Calibri" w:hAnsi="Verdana" w:cs="Arial"/>
                <w:b/>
                <w:lang w:val="es-ES_tradnl" w:eastAsia="es-ES_tradnl"/>
              </w:rPr>
              <w:t>Temas:</w:t>
            </w:r>
            <w:r w:rsidRPr="009542E0">
              <w:rPr>
                <w:rFonts w:ascii="Verdana" w:eastAsia="Calibri" w:hAnsi="Verdana" w:cs="Arial"/>
                <w:lang w:val="es-ES_tradnl" w:eastAsia="es-ES_tradnl"/>
              </w:rPr>
              <w:t xml:space="preserve">                   </w:t>
            </w:r>
          </w:p>
        </w:tc>
        <w:tc>
          <w:tcPr>
            <w:tcW w:w="6100" w:type="dxa"/>
          </w:tcPr>
          <w:p w14:paraId="21772D00" w14:textId="77777777" w:rsidR="009542E0" w:rsidRPr="009542E0" w:rsidRDefault="009542E0" w:rsidP="009542E0">
            <w:pPr>
              <w:tabs>
                <w:tab w:val="left" w:pos="0"/>
              </w:tabs>
              <w:spacing w:line="276" w:lineRule="auto"/>
              <w:jc w:val="both"/>
              <w:rPr>
                <w:rFonts w:ascii="Verdana" w:eastAsia="Calibri" w:hAnsi="Verdana" w:cs="Arial"/>
                <w:kern w:val="2"/>
                <w:lang w:val="es-ES_tradnl"/>
                <w14:ligatures w14:val="standardContextual"/>
              </w:rPr>
            </w:pPr>
            <w:r w:rsidRPr="009542E0">
              <w:rPr>
                <w:rFonts w:ascii="Verdana" w:eastAsia="Times New Roman" w:hAnsi="Verdana" w:cs="Arial"/>
                <w:lang w:eastAsia="es-ES_tradnl"/>
              </w:rPr>
              <w:t xml:space="preserve">DOCUMENTOS TIPO – Fundamento normativo – Obligatoriedad – Ámbito de aplicación – Entidades sometidas   / </w:t>
            </w:r>
            <w:r w:rsidRPr="009542E0">
              <w:rPr>
                <w:rFonts w:ascii="Verdana" w:eastAsia="Calibri" w:hAnsi="Verdana" w:cs="Arial"/>
                <w:color w:val="000000"/>
                <w:lang w:val="es-ES_tradnl" w:eastAsia="es-ES_tradnl"/>
              </w:rPr>
              <w:t xml:space="preserve">LEY 2195 DE 2022 – Artículo 56 – Personas jurídicas de derecho privado – Documentos tipo – Estatuto General de Contratación de la Administración Pública / LEY 2195 DE 2022 – Artículo 56 – Parágrafo – Alcance / </w:t>
            </w:r>
            <w:r w:rsidRPr="009542E0">
              <w:rPr>
                <w:rFonts w:ascii="Verdana" w:eastAsia="Calibri" w:hAnsi="Verdana" w:cs="Arial"/>
                <w:lang w:val="es-ES_tradnl"/>
              </w:rPr>
              <w:t>INSTITUCIONES DE EDUCACIÓN SUPERIOR PÚBLICAS – Excepciones – Artículo 56 – Clasificación – Interpretación</w:t>
            </w:r>
          </w:p>
          <w:p w14:paraId="7406305D" w14:textId="77777777" w:rsidR="009542E0" w:rsidRPr="009542E0" w:rsidRDefault="009542E0" w:rsidP="009542E0">
            <w:pPr>
              <w:jc w:val="both"/>
              <w:rPr>
                <w:rFonts w:ascii="Verdana" w:eastAsia="Calibri" w:hAnsi="Verdana" w:cs="Arial"/>
                <w:bCs/>
                <w:lang w:val="es-ES_tradnl" w:eastAsia="es-ES"/>
              </w:rPr>
            </w:pPr>
          </w:p>
        </w:tc>
      </w:tr>
      <w:tr w:rsidR="009542E0" w:rsidRPr="009542E0" w14:paraId="59C2F7F0" w14:textId="77777777" w:rsidTr="00670B64">
        <w:tc>
          <w:tcPr>
            <w:tcW w:w="2268" w:type="dxa"/>
          </w:tcPr>
          <w:p w14:paraId="6C908C5D" w14:textId="77777777" w:rsidR="009542E0" w:rsidRPr="009542E0" w:rsidRDefault="009542E0" w:rsidP="009542E0">
            <w:pPr>
              <w:jc w:val="both"/>
              <w:rPr>
                <w:rFonts w:ascii="Verdana" w:eastAsia="Calibri" w:hAnsi="Verdana" w:cs="Arial"/>
                <w:b/>
                <w:lang w:val="es-ES_tradnl" w:eastAsia="es-ES_tradnl"/>
              </w:rPr>
            </w:pPr>
            <w:r w:rsidRPr="009542E0">
              <w:rPr>
                <w:rFonts w:ascii="Verdana" w:eastAsia="Calibri" w:hAnsi="Verdana" w:cs="Arial"/>
                <w:b/>
                <w:lang w:val="es-ES_tradnl" w:eastAsia="es-ES_tradnl"/>
              </w:rPr>
              <w:t>Radicación:</w:t>
            </w:r>
            <w:r w:rsidRPr="009542E0">
              <w:rPr>
                <w:rFonts w:ascii="Verdana" w:eastAsia="Calibri" w:hAnsi="Verdana" w:cs="Arial"/>
                <w:lang w:val="es-ES_tradnl" w:eastAsia="es-ES_tradnl"/>
              </w:rPr>
              <w:t xml:space="preserve">               </w:t>
            </w:r>
          </w:p>
        </w:tc>
        <w:tc>
          <w:tcPr>
            <w:tcW w:w="6100" w:type="dxa"/>
          </w:tcPr>
          <w:p w14:paraId="0065BAFC" w14:textId="77777777" w:rsidR="009542E0" w:rsidRPr="009542E0" w:rsidRDefault="009542E0" w:rsidP="009542E0">
            <w:pPr>
              <w:ind w:left="3" w:hanging="3"/>
              <w:jc w:val="both"/>
              <w:rPr>
                <w:rFonts w:ascii="Verdana" w:eastAsia="Calibri" w:hAnsi="Verdana" w:cs="Arial"/>
                <w:lang w:val="es-ES_tradnl" w:eastAsia="es-ES_tradnl"/>
              </w:rPr>
            </w:pPr>
            <w:r w:rsidRPr="009542E0">
              <w:rPr>
                <w:rFonts w:ascii="Verdana" w:eastAsia="Calibri" w:hAnsi="Verdana" w:cs="Arial"/>
                <w:lang w:val="es-ES_tradnl" w:eastAsia="es-ES_tradnl"/>
              </w:rPr>
              <w:t>Respuesta a consulta con radicado No. 1_2026_07_27_009846</w:t>
            </w:r>
          </w:p>
        </w:tc>
      </w:tr>
    </w:tbl>
    <w:p w14:paraId="27AE9A57" w14:textId="77777777" w:rsidR="009542E0" w:rsidRPr="009542E0" w:rsidRDefault="009542E0" w:rsidP="009542E0">
      <w:pPr>
        <w:spacing w:after="0" w:line="240" w:lineRule="auto"/>
        <w:jc w:val="both"/>
        <w:rPr>
          <w:rFonts w:ascii="Verdana" w:eastAsia="Calibri" w:hAnsi="Verdana" w:cs="Arial"/>
          <w:lang w:val="es-ES_tradnl" w:eastAsia="es-ES_tradnl"/>
        </w:rPr>
      </w:pPr>
    </w:p>
    <w:p w14:paraId="7063CFE6" w14:textId="77777777" w:rsidR="009542E0" w:rsidRPr="009542E0" w:rsidRDefault="009542E0" w:rsidP="009542E0">
      <w:pPr>
        <w:spacing w:after="0" w:line="276" w:lineRule="auto"/>
        <w:jc w:val="both"/>
        <w:rPr>
          <w:rFonts w:ascii="Verdana" w:eastAsia="Calibri" w:hAnsi="Verdana" w:cs="Arial"/>
          <w:lang w:val="es-ES" w:eastAsia="es-ES"/>
        </w:rPr>
      </w:pPr>
      <w:r w:rsidRPr="009542E0">
        <w:rPr>
          <w:rFonts w:ascii="Verdana" w:eastAsia="Calibri" w:hAnsi="Verdana" w:cs="Arial"/>
          <w:lang w:val="es-ES" w:eastAsia="es-ES"/>
        </w:rPr>
        <w:t xml:space="preserve">Estimado señor </w:t>
      </w:r>
      <w:r w:rsidRPr="009542E0">
        <w:rPr>
          <w:rFonts w:ascii="Verdana" w:eastAsia="Times New Roman" w:hAnsi="Verdana" w:cs="Times New Roman"/>
          <w:color w:val="242424"/>
          <w:shd w:val="clear" w:color="auto" w:fill="FFFFFF"/>
          <w:lang w:eastAsia="es-MX"/>
        </w:rPr>
        <w:t>Díaz Pava</w:t>
      </w:r>
      <w:r w:rsidRPr="009542E0">
        <w:rPr>
          <w:rFonts w:ascii="Verdana" w:eastAsia="Calibri" w:hAnsi="Verdana" w:cs="Arial"/>
          <w:lang w:val="es-ES" w:eastAsia="es-ES"/>
        </w:rPr>
        <w:t xml:space="preserve">: </w:t>
      </w:r>
    </w:p>
    <w:p w14:paraId="402B91A8" w14:textId="77777777" w:rsidR="009542E0" w:rsidRPr="009542E0" w:rsidRDefault="009542E0" w:rsidP="009542E0">
      <w:pPr>
        <w:tabs>
          <w:tab w:val="left" w:pos="3768"/>
        </w:tabs>
        <w:spacing w:after="0" w:line="276" w:lineRule="auto"/>
        <w:jc w:val="both"/>
        <w:rPr>
          <w:rFonts w:ascii="Verdana" w:eastAsia="Calibri" w:hAnsi="Verdana" w:cs="Arial"/>
          <w:lang w:val="es-ES" w:eastAsia="es-ES"/>
        </w:rPr>
      </w:pPr>
      <w:r w:rsidRPr="009542E0">
        <w:rPr>
          <w:rFonts w:ascii="Verdana" w:eastAsia="Calibri" w:hAnsi="Verdana" w:cs="Arial"/>
          <w:lang w:val="es-ES" w:eastAsia="es-ES"/>
        </w:rPr>
        <w:tab/>
      </w:r>
    </w:p>
    <w:p w14:paraId="627FB179" w14:textId="77777777" w:rsidR="009542E0" w:rsidRPr="009542E0" w:rsidRDefault="009542E0" w:rsidP="009542E0">
      <w:pPr>
        <w:spacing w:after="0" w:line="276" w:lineRule="auto"/>
        <w:jc w:val="both"/>
        <w:rPr>
          <w:rFonts w:ascii="Verdana" w:eastAsia="Calibri" w:hAnsi="Verdana" w:cs="Arial"/>
          <w:lang w:val="es-ES" w:eastAsia="es-ES"/>
        </w:rPr>
      </w:pPr>
      <w:r w:rsidRPr="009542E0">
        <w:rPr>
          <w:rFonts w:ascii="Verdana" w:eastAsia="Calibri" w:hAnsi="Verdana" w:cs="Arial"/>
          <w:lang w:val="es-ES" w:eastAsia="es-ES"/>
        </w:rPr>
        <w:t>En ejercicio de la competencia otorgada por los artículos 3, numeral 5º, y 11, numeral 8º, del Decreto Ley 4170 de 2011,</w:t>
      </w:r>
      <w:r w:rsidRPr="009542E0">
        <w:rPr>
          <w:rFonts w:ascii="Verdana" w:eastAsia="Arial MT" w:hAnsi="Verdana" w:cs="Arial MT"/>
          <w:lang w:val="es-ES" w:eastAsia="es-ES"/>
        </w:rPr>
        <w:t xml:space="preserve"> </w:t>
      </w:r>
      <w:r w:rsidRPr="009542E0">
        <w:rPr>
          <w:rFonts w:ascii="Verdana" w:eastAsia="Calibri" w:hAnsi="Verdana" w:cs="Arial"/>
          <w:lang w:eastAsia="es-MX"/>
        </w:rPr>
        <w:t xml:space="preserve">así como lo establecido por la </w:t>
      </w:r>
      <w:r w:rsidRPr="009542E0">
        <w:rPr>
          <w:rFonts w:ascii="Verdana" w:eastAsia="Aptos" w:hAnsi="Verdana" w:cs="Arial"/>
          <w:bCs/>
          <w:lang w:eastAsia="es-ES" w:bidi="es-ES"/>
        </w:rPr>
        <w:t>Resolución 469 de 2025 expedida por esta Entidad</w:t>
      </w:r>
      <w:r w:rsidRPr="009542E0">
        <w:rPr>
          <w:rFonts w:ascii="Verdana" w:eastAsia="Calibri" w:hAnsi="Verdana" w:cs="Arial"/>
          <w:lang w:eastAsia="es-MX"/>
        </w:rPr>
        <w:t xml:space="preserve">, </w:t>
      </w:r>
      <w:r w:rsidRPr="009542E0">
        <w:rPr>
          <w:rFonts w:ascii="Verdana" w:eastAsia="Calibri" w:hAnsi="Verdana" w:cs="Arial"/>
          <w:lang w:val="es-ES" w:eastAsia="es-ES"/>
        </w:rPr>
        <w:t xml:space="preserve">la Agencia Nacional de Contratación Pública – Colombia Compra Eficiente– responde su solicitud de consulta del 27 de julio de 2026, en la cual manifiesta lo siguiente: </w:t>
      </w:r>
    </w:p>
    <w:p w14:paraId="57C847D2" w14:textId="77777777" w:rsidR="009542E0" w:rsidRPr="009542E0" w:rsidRDefault="009542E0" w:rsidP="009542E0">
      <w:pPr>
        <w:tabs>
          <w:tab w:val="left" w:pos="142"/>
          <w:tab w:val="left" w:pos="284"/>
        </w:tabs>
        <w:spacing w:after="0" w:line="276" w:lineRule="auto"/>
        <w:ind w:left="709" w:right="709"/>
        <w:jc w:val="both"/>
        <w:rPr>
          <w:rFonts w:ascii="Verdana" w:eastAsia="Century Gothic" w:hAnsi="Verdana" w:cs="Century Gothic"/>
          <w:b/>
          <w:bCs/>
          <w:lang w:val="es-ES" w:eastAsia="es-MX"/>
        </w:rPr>
      </w:pPr>
    </w:p>
    <w:p w14:paraId="39782D77"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Times New Roman" w:hAnsi="Verdana" w:cs="Times New Roman"/>
          <w:color w:val="242424"/>
          <w:sz w:val="20"/>
          <w:szCs w:val="20"/>
          <w:lang w:eastAsia="es-MX"/>
        </w:rPr>
        <w:t>“</w:t>
      </w:r>
      <w:r w:rsidRPr="009542E0">
        <w:rPr>
          <w:rFonts w:ascii="Verdana" w:eastAsia="Aptos" w:hAnsi="Verdana" w:cs="Times New Roman"/>
          <w:kern w:val="2"/>
          <w:sz w:val="20"/>
          <w:szCs w:val="20"/>
          <w14:ligatures w14:val="standardContextual"/>
        </w:rPr>
        <w:t xml:space="preserve">I. ANTECEDENTES </w:t>
      </w:r>
    </w:p>
    <w:p w14:paraId="5274F077"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1. La INSTITUCIÓN UNIVERSITARIA DE EL ESPINAL – UNIESPINAL es una Institución de Educación Superior Pública, con personería jurídica, autonomía administrativa y académica, y patrimonio independiente, adscrita al Ministerio de Educación Nacional, creada mediante el Decreto 3462 de 1980 e identificada con código SNIES 4110.</w:t>
      </w:r>
    </w:p>
    <w:p w14:paraId="6B39F4F2" w14:textId="77777777" w:rsidR="009542E0" w:rsidRPr="009542E0" w:rsidRDefault="009542E0" w:rsidP="009542E0">
      <w:pPr>
        <w:shd w:val="clear" w:color="auto" w:fill="FFFFFF"/>
        <w:spacing w:after="120" w:line="240" w:lineRule="auto"/>
        <w:ind w:left="709" w:right="709"/>
        <w:jc w:val="both"/>
        <w:rPr>
          <w:rFonts w:ascii="Verdana" w:eastAsia="Times New Roman" w:hAnsi="Verdana" w:cs="Times New Roman"/>
          <w:sz w:val="20"/>
          <w:szCs w:val="20"/>
          <w:lang w:eastAsia="es-MX"/>
        </w:rPr>
      </w:pPr>
      <w:r w:rsidRPr="009542E0">
        <w:rPr>
          <w:rFonts w:ascii="Verdana" w:eastAsia="Aptos" w:hAnsi="Verdana" w:cs="Times New Roman"/>
          <w:kern w:val="2"/>
          <w:sz w:val="20"/>
          <w:szCs w:val="20"/>
          <w14:ligatures w14:val="standardContextual"/>
        </w:rPr>
        <w:lastRenderedPageBreak/>
        <w:t>2. Mediante la Resolución 004974 del 20 de febrero de 2026, el Ministerio de Educación Nacional ratificó la reforma estatutaria conducente al “cambio de carácter académico” de la entidad, que pasó de Institución Técnica Profesional —anteriormente denominada Instituto Tolimense de Formación Técnica Profesional (ITFIP)— a Institución Universitaria.</w:t>
      </w:r>
    </w:p>
    <w:p w14:paraId="2976E173"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Debido a este “cambio de carácter académico”, se autorizó el consecuente cambio de denominación institucional a INSTITUCIÓN UNIVERSITARIA DE EL ESPINAL – UNIESPINAL, permaneciendo como una Institución de Educación Superior Pública con domicilio en El Espinal (Tolima).</w:t>
      </w:r>
    </w:p>
    <w:p w14:paraId="50B3C414"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3. En relación con la obligatoriedad de la utilización de documentos tipo en las Instituciones de Educación Superior Públicas, la Ley 2195 de 2022 dispuso lo siguiente:</w:t>
      </w:r>
    </w:p>
    <w:p w14:paraId="1B762229"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 xml:space="preserve">“ARTÍCULO 56. APLICACIÓN DE LOS DOCUMENTOS TIPO A ENTIDADES DE REGIMEN ESPECIAL. Para la adquisición de bienes, obras o servicios, las entidades estatales sometidas al Estatuto General de Contratación de la Administración </w:t>
      </w:r>
      <w:proofErr w:type="spellStart"/>
      <w:r w:rsidRPr="009542E0">
        <w:rPr>
          <w:rFonts w:ascii="Verdana" w:eastAsia="Aptos" w:hAnsi="Verdana" w:cs="Times New Roman"/>
          <w:kern w:val="2"/>
          <w:sz w:val="20"/>
          <w:szCs w:val="20"/>
          <w14:ligatures w14:val="standardContextual"/>
        </w:rPr>
        <w:t>Publica</w:t>
      </w:r>
      <w:proofErr w:type="spellEnd"/>
      <w:r w:rsidRPr="009542E0">
        <w:rPr>
          <w:rFonts w:ascii="Verdana" w:eastAsia="Aptos" w:hAnsi="Verdana" w:cs="Times New Roman"/>
          <w:kern w:val="2"/>
          <w:sz w:val="20"/>
          <w:szCs w:val="20"/>
          <w14:ligatures w14:val="standardContextual"/>
        </w:rPr>
        <w:t xml:space="preserve"> que celebren contratos o convenios interadministrativos o de cualquier otra índole, con otra entidad estatal o con patrimonios autónomos o con personas naturales o jurídicas de derecho privado, cuyo régimen de contratación sea especial o de derecho privado, deberán aplicar los documentos tipo adoptados por la Agencia Nacional de Contratación Pública - Colombia Compra Eficiente o quien haga sus veces, conforme al parágrafo 7 del Artículo 2 de la Ley 1150 de 2007 o las normas que lo modifiquen o sustituyan. </w:t>
      </w:r>
    </w:p>
    <w:p w14:paraId="1E095224"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 xml:space="preserve">Los procedimientos de selección y los contratos que realicen en desarrollo de los anteriores negocios jurídicos, donde apliquen los documentos tipo se regirán por el Estatuto General de Contratación de la Administración </w:t>
      </w:r>
      <w:proofErr w:type="spellStart"/>
      <w:r w:rsidRPr="009542E0">
        <w:rPr>
          <w:rFonts w:ascii="Verdana" w:eastAsia="Aptos" w:hAnsi="Verdana" w:cs="Times New Roman"/>
          <w:kern w:val="2"/>
          <w:sz w:val="20"/>
          <w:szCs w:val="20"/>
          <w14:ligatures w14:val="standardContextual"/>
        </w:rPr>
        <w:t>Publica</w:t>
      </w:r>
      <w:proofErr w:type="spellEnd"/>
      <w:r w:rsidRPr="009542E0">
        <w:rPr>
          <w:rFonts w:ascii="Verdana" w:eastAsia="Aptos" w:hAnsi="Verdana" w:cs="Times New Roman"/>
          <w:kern w:val="2"/>
          <w:sz w:val="20"/>
          <w:szCs w:val="20"/>
          <w14:ligatures w14:val="standardContextual"/>
        </w:rPr>
        <w:t xml:space="preserve">. </w:t>
      </w:r>
    </w:p>
    <w:p w14:paraId="66A10159"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u w:val="single"/>
          <w14:ligatures w14:val="standardContextual"/>
        </w:rPr>
        <w:t>PARÁGRAFO. Se exceptúan del presente Artículo las Instituciones de Educación Superior públicas</w:t>
      </w:r>
      <w:r w:rsidRPr="009542E0">
        <w:rPr>
          <w:rFonts w:ascii="Verdana" w:eastAsia="Aptos" w:hAnsi="Verdana" w:cs="Times New Roman"/>
          <w:kern w:val="2"/>
          <w:sz w:val="20"/>
          <w:szCs w:val="20"/>
          <w14:ligatures w14:val="standardContextual"/>
        </w:rPr>
        <w:t>, las empresas sociales del Estado, las sociedades de economía mixta y las empresas industriales y comerciales del Estado, únicamente en cuanto a la contratación de su giro ordinario. En estos casos, en los manuales de contratación de estas entidades, se fomentará como buena práctica la aplicación de los pliegos tipo”. (Subrayas propias).</w:t>
      </w:r>
    </w:p>
    <w:p w14:paraId="49BD9E1B"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 xml:space="preserve">4. El Concepto C-246 del 12 de marzo de 2026 emitido por la Agencia Nacional de Contratación Pública – Colombia Compra Eficiente, precisó lo siguiente: </w:t>
      </w:r>
    </w:p>
    <w:p w14:paraId="0A67456F"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u w:val="single"/>
          <w14:ligatures w14:val="standardContextual"/>
        </w:rPr>
        <w:t>“En tales términos, lo dispuesto en el parágrafo del artículo 56 implica que las instituciones de educación superior públicas (…) no tendrán que implementar Documentos Tipo</w:t>
      </w:r>
      <w:r w:rsidRPr="009542E0">
        <w:rPr>
          <w:rFonts w:ascii="Verdana" w:eastAsia="Aptos" w:hAnsi="Verdana" w:cs="Times New Roman"/>
          <w:kern w:val="2"/>
          <w:sz w:val="20"/>
          <w:szCs w:val="20"/>
          <w14:ligatures w14:val="standardContextual"/>
        </w:rPr>
        <w:t xml:space="preserve"> únicamente para la contratación relacionada con el giro ordinario de sus asuntos, salvo que los manuales internos de contratación de estas entidades dispongan la obligación de </w:t>
      </w:r>
      <w:r w:rsidRPr="009542E0">
        <w:rPr>
          <w:rFonts w:ascii="Verdana" w:eastAsia="Aptos" w:hAnsi="Verdana" w:cs="Times New Roman"/>
          <w:kern w:val="2"/>
          <w:sz w:val="20"/>
          <w:szCs w:val="20"/>
          <w14:ligatures w14:val="standardContextual"/>
        </w:rPr>
        <w:lastRenderedPageBreak/>
        <w:t xml:space="preserve">tener en cuenta los Documentos Tipo como una buena práctica contractual. De acuerdo con este entendimiento, estas entidades, en virtud de su enunciación en este parágrafo, </w:t>
      </w:r>
      <w:r w:rsidRPr="009542E0">
        <w:rPr>
          <w:rFonts w:ascii="Verdana" w:eastAsia="Aptos" w:hAnsi="Verdana" w:cs="Times New Roman"/>
          <w:kern w:val="2"/>
          <w:sz w:val="20"/>
          <w:szCs w:val="20"/>
          <w:u w:val="single"/>
          <w14:ligatures w14:val="standardContextual"/>
        </w:rPr>
        <w:t>quedan, en principio, exceptuadas de los Documentos Tipo, incluso para la contratación de obras o servicios cubiertos por documentos tipo (…)</w:t>
      </w:r>
      <w:r w:rsidRPr="009542E0">
        <w:rPr>
          <w:rFonts w:ascii="Verdana" w:eastAsia="Aptos" w:hAnsi="Verdana" w:cs="Times New Roman"/>
          <w:kern w:val="2"/>
          <w:sz w:val="20"/>
          <w:szCs w:val="20"/>
          <w14:ligatures w14:val="standardContextual"/>
        </w:rPr>
        <w:t xml:space="preserve"> En otras palabras, ninguna entidad cuya naturaleza jurídica coincida con las mencionadas en el parágrafo del artículo 56, tendrá que someterse de manera obligatoria a los Documentos Tipo o el EGCAP para la contratación de obras o servicios asociadas a su giro ordinario, a menos que su manual de contratación establezca lo contrario. De hacerlo, primará el principio de inderogabilidad singular del reglamento, que obliga a aplicarlo en las actuaciones concretas”. (Subrayas y negrillas propias).</w:t>
      </w:r>
    </w:p>
    <w:p w14:paraId="36DF5BB6"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5. En concordancia de lo anterior, el Concepto C-488 del 18 de junio de 2026 de la Agencia Nacional de Contratación Pública – Colombia Compra Eficiente, señaló:</w:t>
      </w:r>
    </w:p>
    <w:p w14:paraId="31CE2B49"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u w:val="single"/>
          <w14:ligatures w14:val="standardContextual"/>
        </w:rPr>
      </w:pPr>
      <w:r w:rsidRPr="009542E0">
        <w:rPr>
          <w:rFonts w:ascii="Verdana" w:eastAsia="Aptos" w:hAnsi="Verdana" w:cs="Times New Roman"/>
          <w:kern w:val="2"/>
          <w:sz w:val="20"/>
          <w:szCs w:val="20"/>
          <w14:ligatures w14:val="standardContextual"/>
        </w:rPr>
        <w:t xml:space="preserve">“De acuerdo con este criterio interpretativo y comoquiera que la norma determina las excepciones en consideración a la naturaleza jurídica de los sujetos que menciona, </w:t>
      </w:r>
      <w:r w:rsidRPr="009542E0">
        <w:rPr>
          <w:rFonts w:ascii="Verdana" w:eastAsia="Aptos" w:hAnsi="Verdana" w:cs="Times New Roman"/>
          <w:kern w:val="2"/>
          <w:sz w:val="20"/>
          <w:szCs w:val="20"/>
          <w:u w:val="single"/>
          <w14:ligatures w14:val="standardContextual"/>
        </w:rPr>
        <w:t>sin hacer distinción alguna respecto de su régimen contractual, es posible concluir que la excepción predicable de las instituciones de educación superior públicas (…) no resulta extensible a entidades que no cuenten con dicha naturaleza.</w:t>
      </w:r>
    </w:p>
    <w:p w14:paraId="4D5F6503"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 xml:space="preserve">En conclusión, a juicio de esta Agencia lo dispuesto en el parágrafo del artículo 56 de la Ley 2195 de 2022, es una manifestación de la voluntad del Legislador de excluir de la aplicación del presente artículo a </w:t>
      </w:r>
      <w:r w:rsidRPr="009542E0">
        <w:rPr>
          <w:rFonts w:ascii="Verdana" w:eastAsia="Aptos" w:hAnsi="Verdana" w:cs="Times New Roman"/>
          <w:kern w:val="2"/>
          <w:sz w:val="20"/>
          <w:szCs w:val="20"/>
          <w:u w:val="single"/>
          <w14:ligatures w14:val="standardContextual"/>
        </w:rPr>
        <w:t>las Instituciones de Educación Superior públicas</w:t>
      </w:r>
      <w:r w:rsidRPr="009542E0">
        <w:rPr>
          <w:rFonts w:ascii="Verdana" w:eastAsia="Aptos" w:hAnsi="Verdana" w:cs="Times New Roman"/>
          <w:kern w:val="2"/>
          <w:sz w:val="20"/>
          <w:szCs w:val="20"/>
          <w14:ligatures w14:val="standardContextual"/>
        </w:rPr>
        <w:t xml:space="preserve"> (…) únicamente en cuanto a la contratación de su giro ordinario. En estos casos, en los manuales de contratación de estas entidades, se fomentará como buena práctica la aplicación de los pliegos tipo”. (Subrayas y negrillas propias).</w:t>
      </w:r>
    </w:p>
    <w:p w14:paraId="5FB30798"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 xml:space="preserve">6. Según el Certificado de Existencia y Representación Legal de Instituciones de Educación Superior 2026-EE-263927 del 16 de julio de 2026, expedido por la Subdirección de Inspección y Vigilancia del Viceministerio de Educación Superior del Ministerio de Educación Nacional, la INSTITUCIÓN UNIVERSITARIA DE EL ESPINAL – UNIESPINAL es una Institución de Educación Superior Pública, documento que se anexa a la presente solicitud de concepto. </w:t>
      </w:r>
    </w:p>
    <w:p w14:paraId="72373472"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7. En desarrollo de sus funciones, nuestra Institución Universitaria adelanta procesos de contratación de obra pública que recaen sobre su propia infraestructura. Con el propósito de precisar el ámbito de aplicación de los documentos tipo del sector educativo respecto de tales obras en las Instituciones Universitarias Públicas, se requiere el criterio de esa Agencia sobre el problema jurídico que se formula a continuación.</w:t>
      </w:r>
    </w:p>
    <w:p w14:paraId="4AE3FEA3"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 xml:space="preserve">II. PROBLEMAS JURÍDICOS OBJETO DE LA CONSULTA </w:t>
      </w:r>
    </w:p>
    <w:p w14:paraId="27AC8B68"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lastRenderedPageBreak/>
        <w:t xml:space="preserve">Primero: ¿Las Instituciones Universitarias Públicas están obligadas a aplicar los documentos tipo en sus procesos de contratación de obra pública de infraestructura social del sector educativo, adoptados mediante la Resolución 539 de 2025? </w:t>
      </w:r>
    </w:p>
    <w:p w14:paraId="216CE69B"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Segundo: ¿La Institución Universitaria de El Espinal – UNIESPINAL, en su condición de Institución de Educación Superior Pública, está obligada a aplicar los documentos tipo en sus procesos de contratación de obra pública de infraestructura social del sector educativo, adoptados mediante la Resolución 539 de 2025?</w:t>
      </w:r>
    </w:p>
    <w:p w14:paraId="69D78945"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9542E0">
        <w:rPr>
          <w:rFonts w:ascii="Verdana" w:eastAsia="Aptos" w:hAnsi="Verdana" w:cs="Times New Roman"/>
          <w:kern w:val="2"/>
          <w:sz w:val="20"/>
          <w:szCs w:val="20"/>
          <w14:ligatures w14:val="standardContextual"/>
        </w:rPr>
        <w:t>III. PETICIONES</w:t>
      </w:r>
    </w:p>
    <w:p w14:paraId="0CBA086B" w14:textId="77777777" w:rsidR="009542E0" w:rsidRPr="009542E0" w:rsidRDefault="009542E0" w:rsidP="009542E0">
      <w:pPr>
        <w:shd w:val="clear" w:color="auto" w:fill="FFFFFF"/>
        <w:spacing w:after="120" w:line="240" w:lineRule="auto"/>
        <w:ind w:left="709" w:right="709"/>
        <w:jc w:val="both"/>
        <w:rPr>
          <w:rFonts w:ascii="Verdana" w:eastAsia="Aptos" w:hAnsi="Verdana" w:cs="Times New Roman"/>
          <w:kern w:val="2"/>
          <w:sz w:val="20"/>
          <w:szCs w:val="20"/>
          <w:u w:val="single"/>
          <w14:ligatures w14:val="standardContextual"/>
        </w:rPr>
      </w:pPr>
      <w:r w:rsidRPr="009542E0">
        <w:rPr>
          <w:rFonts w:ascii="Verdana" w:eastAsia="Aptos" w:hAnsi="Verdana" w:cs="Times New Roman"/>
          <w:kern w:val="2"/>
          <w:sz w:val="20"/>
          <w:szCs w:val="20"/>
          <w14:ligatures w14:val="standardContextual"/>
        </w:rPr>
        <w:t>Con fundamento en los antecedentes y en el marco normativo expuestos, solicito respetuosamente a la Agencia Nacional de Contratación Pública – Colombia Compra Eficiente absolver el anterior interrogante, precisando si las Instituciones Universitarias Públicas están obligadas a aplicar los documentos o pliegos tipo en sus procesos de contratación de obra pública de infraestructura social del sector educativo, adoptados mediante la Resolución 539 de 2025</w:t>
      </w:r>
      <w:r w:rsidRPr="009542E0">
        <w:rPr>
          <w:rFonts w:ascii="Verdana" w:eastAsia="Times New Roman" w:hAnsi="Verdana" w:cs="Times New Roman"/>
          <w:color w:val="242424"/>
          <w:sz w:val="20"/>
          <w:szCs w:val="20"/>
          <w:lang w:eastAsia="es-MX"/>
        </w:rPr>
        <w:t>”.</w:t>
      </w:r>
    </w:p>
    <w:p w14:paraId="57E19702" w14:textId="77777777" w:rsidR="009542E0" w:rsidRPr="009542E0" w:rsidRDefault="009542E0" w:rsidP="009542E0">
      <w:pPr>
        <w:spacing w:after="0" w:line="240" w:lineRule="auto"/>
        <w:ind w:right="709"/>
        <w:jc w:val="both"/>
        <w:rPr>
          <w:rFonts w:ascii="Arial" w:eastAsia="Aptos" w:hAnsi="Arial" w:cs="Arial"/>
          <w:sz w:val="21"/>
          <w:szCs w:val="21"/>
          <w:lang w:eastAsia="es-MX"/>
        </w:rPr>
      </w:pPr>
    </w:p>
    <w:p w14:paraId="046B1307" w14:textId="77777777" w:rsidR="009542E0" w:rsidRPr="009542E0" w:rsidRDefault="009542E0" w:rsidP="009542E0">
      <w:pPr>
        <w:spacing w:after="120" w:line="276" w:lineRule="auto"/>
        <w:ind w:firstLine="709"/>
        <w:jc w:val="both"/>
        <w:rPr>
          <w:rFonts w:ascii="Verdana" w:eastAsia="Calibri" w:hAnsi="Verdana" w:cs="Arial"/>
          <w:color w:val="000000"/>
          <w:lang w:val="es-ES" w:eastAsia="es-ES"/>
        </w:rPr>
      </w:pPr>
      <w:r w:rsidRPr="009542E0">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9542E0">
        <w:rPr>
          <w:rFonts w:ascii="Verdana" w:eastAsia="Calibri" w:hAnsi="Verdana" w:cs="Arial"/>
          <w:color w:val="000000"/>
          <w:lang w:val="es-ES_tradnl" w:eastAsia="es-ES_tradnl"/>
        </w:rPr>
        <w:tab/>
      </w:r>
    </w:p>
    <w:p w14:paraId="1AC5AB38" w14:textId="77777777" w:rsidR="009542E0" w:rsidRPr="009542E0" w:rsidRDefault="009542E0" w:rsidP="009542E0">
      <w:pPr>
        <w:spacing w:after="0" w:line="276" w:lineRule="auto"/>
        <w:ind w:firstLine="709"/>
        <w:jc w:val="both"/>
        <w:rPr>
          <w:rFonts w:ascii="Verdana" w:eastAsia="Calibri" w:hAnsi="Verdana" w:cs="Arial"/>
          <w:color w:val="000000"/>
          <w:lang w:val="es-ES" w:eastAsia="es-ES"/>
        </w:rPr>
      </w:pPr>
      <w:r w:rsidRPr="009542E0">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9542E0">
        <w:rPr>
          <w:rFonts w:ascii="Verdana" w:eastAsia="Calibri" w:hAnsi="Verdana" w:cs="Arial"/>
          <w:color w:val="7030A0"/>
          <w:lang w:val="es-ES" w:eastAsia="es-ES"/>
        </w:rPr>
        <w:t xml:space="preserve"> </w:t>
      </w:r>
      <w:r w:rsidRPr="009542E0">
        <w:rPr>
          <w:rFonts w:ascii="Verdana" w:eastAsia="Calibri" w:hAnsi="Verdana" w:cs="Arial"/>
          <w:color w:val="000000"/>
          <w:lang w:val="es-ES" w:eastAsia="es-ES"/>
        </w:rPr>
        <w:t>problema</w:t>
      </w:r>
      <w:r w:rsidRPr="009542E0">
        <w:rPr>
          <w:rFonts w:ascii="Verdana" w:eastAsia="Calibri" w:hAnsi="Verdana" w:cs="Arial"/>
          <w:color w:val="7030A0"/>
          <w:lang w:val="es-ES" w:eastAsia="es-ES"/>
        </w:rPr>
        <w:t xml:space="preserve"> </w:t>
      </w:r>
      <w:r w:rsidRPr="009542E0">
        <w:rPr>
          <w:rFonts w:ascii="Verdana" w:eastAsia="Calibri" w:hAnsi="Verdana" w:cs="Arial"/>
          <w:color w:val="000000"/>
          <w:lang w:val="es-ES" w:eastAsia="es-ES"/>
        </w:rPr>
        <w:t>jurídico</w:t>
      </w:r>
      <w:r w:rsidRPr="009542E0">
        <w:rPr>
          <w:rFonts w:ascii="Verdana" w:eastAsia="Calibri" w:hAnsi="Verdana" w:cs="Arial"/>
          <w:color w:val="7030A0"/>
          <w:lang w:val="es-ES" w:eastAsia="es-ES"/>
        </w:rPr>
        <w:t xml:space="preserve"> </w:t>
      </w:r>
      <w:r w:rsidRPr="009542E0">
        <w:rPr>
          <w:rFonts w:ascii="Verdana" w:eastAsia="Calibri" w:hAnsi="Verdana" w:cs="Arial"/>
          <w:color w:val="000000"/>
          <w:lang w:val="es-ES" w:eastAsia="es-ES"/>
        </w:rPr>
        <w:t xml:space="preserve">de su consulta. </w:t>
      </w:r>
    </w:p>
    <w:p w14:paraId="2C46353F" w14:textId="77777777" w:rsidR="009542E0" w:rsidRPr="009542E0" w:rsidRDefault="009542E0" w:rsidP="009542E0">
      <w:pPr>
        <w:spacing w:after="0" w:line="276" w:lineRule="auto"/>
        <w:jc w:val="both"/>
        <w:rPr>
          <w:rFonts w:ascii="Verdana" w:eastAsia="Calibri" w:hAnsi="Verdana" w:cs="Arial"/>
          <w:lang w:val="es-ES" w:eastAsia="es-ES"/>
        </w:rPr>
      </w:pPr>
    </w:p>
    <w:p w14:paraId="1C758AAE" w14:textId="77777777" w:rsidR="009542E0" w:rsidRPr="009542E0" w:rsidRDefault="009542E0" w:rsidP="009542E0">
      <w:pPr>
        <w:numPr>
          <w:ilvl w:val="0"/>
          <w:numId w:val="17"/>
        </w:numPr>
        <w:tabs>
          <w:tab w:val="left" w:pos="142"/>
          <w:tab w:val="left" w:pos="284"/>
        </w:tabs>
        <w:spacing w:after="0" w:line="276" w:lineRule="auto"/>
        <w:jc w:val="both"/>
        <w:rPr>
          <w:rFonts w:ascii="Verdana" w:eastAsia="Century Gothic" w:hAnsi="Verdana" w:cs="Century Gothic"/>
          <w:b/>
          <w:bCs/>
          <w:lang w:eastAsia="es-MX"/>
        </w:rPr>
      </w:pPr>
      <w:r w:rsidRPr="009542E0">
        <w:rPr>
          <w:rFonts w:ascii="Verdana" w:eastAsia="Century Gothic" w:hAnsi="Verdana" w:cs="Century Gothic"/>
          <w:b/>
          <w:bCs/>
          <w:lang w:eastAsia="es-MX"/>
        </w:rPr>
        <w:t>Problema planteado:</w:t>
      </w:r>
    </w:p>
    <w:p w14:paraId="6455F20D" w14:textId="77777777" w:rsidR="009542E0" w:rsidRPr="009542E0" w:rsidRDefault="009542E0" w:rsidP="009542E0">
      <w:pPr>
        <w:tabs>
          <w:tab w:val="left" w:pos="426"/>
        </w:tabs>
        <w:spacing w:after="0" w:line="276" w:lineRule="auto"/>
        <w:jc w:val="both"/>
        <w:rPr>
          <w:rFonts w:ascii="Verdana" w:eastAsia="Century Gothic" w:hAnsi="Verdana" w:cs="Century Gothic"/>
          <w:lang w:val="es-ES" w:eastAsia="es-MX"/>
        </w:rPr>
      </w:pPr>
    </w:p>
    <w:p w14:paraId="5033C971" w14:textId="77777777" w:rsidR="009542E0" w:rsidRPr="009542E0" w:rsidRDefault="009542E0" w:rsidP="009542E0">
      <w:pPr>
        <w:spacing w:after="0" w:line="276" w:lineRule="auto"/>
        <w:jc w:val="both"/>
        <w:rPr>
          <w:rFonts w:ascii="Verdana" w:eastAsia="Calibri" w:hAnsi="Verdana" w:cs="Arial"/>
          <w:bCs/>
          <w:kern w:val="2"/>
          <w:lang w:val="es-ES_tradnl"/>
          <w14:ligatures w14:val="standardContextual"/>
        </w:rPr>
      </w:pPr>
      <w:r w:rsidRPr="009542E0">
        <w:rPr>
          <w:rFonts w:ascii="Verdana" w:eastAsia="Century Gothic" w:hAnsi="Verdana" w:cs="Century Gothic"/>
          <w:lang w:eastAsia="es-MX"/>
        </w:rPr>
        <w:t xml:space="preserve">De acuerdo con el contenido de su solicitud, </w:t>
      </w:r>
      <w:r w:rsidRPr="009542E0">
        <w:rPr>
          <w:rFonts w:ascii="Verdana" w:eastAsia="Century Gothic" w:hAnsi="Verdana" w:cs="Century Gothic"/>
          <w:kern w:val="2"/>
          <w:lang w:eastAsia="es-MX"/>
          <w14:ligatures w14:val="standardContextual"/>
        </w:rPr>
        <w:t xml:space="preserve">de conformidad con el parágrafo del artículo 56 de la Ley 2195 de 2022, </w:t>
      </w:r>
      <w:r w:rsidRPr="009542E0">
        <w:rPr>
          <w:rFonts w:ascii="Verdana" w:eastAsia="Century Gothic" w:hAnsi="Verdana" w:cs="Century Gothic"/>
          <w:lang w:eastAsia="es-MX"/>
        </w:rPr>
        <w:t>esta Agencia resolverá los siguientes problemas jurídicos:</w:t>
      </w:r>
      <w:r w:rsidRPr="009542E0">
        <w:rPr>
          <w:rFonts w:ascii="Verdana" w:eastAsia="Century Gothic" w:hAnsi="Verdana" w:cs="Century Gothic"/>
          <w:kern w:val="2"/>
          <w:lang w:eastAsia="es-MX"/>
          <w14:ligatures w14:val="standardContextual"/>
        </w:rPr>
        <w:t xml:space="preserve"> i) ¿Debe una Institución de Educación Superior aplicar los documentos tipo expedidos por esta Agencia? y </w:t>
      </w:r>
      <w:proofErr w:type="spellStart"/>
      <w:r w:rsidRPr="009542E0">
        <w:rPr>
          <w:rFonts w:ascii="Verdana" w:eastAsia="Century Gothic" w:hAnsi="Verdana" w:cs="Century Gothic"/>
          <w:kern w:val="2"/>
          <w:lang w:eastAsia="es-MX"/>
          <w14:ligatures w14:val="standardContextual"/>
        </w:rPr>
        <w:t>ii</w:t>
      </w:r>
      <w:proofErr w:type="spellEnd"/>
      <w:r w:rsidRPr="009542E0">
        <w:rPr>
          <w:rFonts w:ascii="Verdana" w:eastAsia="Century Gothic" w:hAnsi="Verdana" w:cs="Century Gothic"/>
          <w:kern w:val="2"/>
          <w:lang w:eastAsia="es-MX"/>
          <w14:ligatures w14:val="standardContextual"/>
        </w:rPr>
        <w:t>) ¿</w:t>
      </w:r>
      <w:r w:rsidRPr="009542E0">
        <w:rPr>
          <w:rFonts w:ascii="Verdana" w:eastAsia="Calibri" w:hAnsi="Verdana" w:cs="Arial"/>
          <w:bCs/>
          <w:kern w:val="2"/>
          <w14:ligatures w14:val="standardContextual"/>
        </w:rPr>
        <w:t>T</w:t>
      </w:r>
      <w:proofErr w:type="spellStart"/>
      <w:r w:rsidRPr="009542E0">
        <w:rPr>
          <w:rFonts w:ascii="Verdana" w:eastAsia="Calibri" w:hAnsi="Verdana" w:cs="Arial"/>
          <w:bCs/>
          <w:kern w:val="2"/>
          <w:lang w:val="es-ES_tradnl"/>
          <w14:ligatures w14:val="standardContextual"/>
        </w:rPr>
        <w:t>odas</w:t>
      </w:r>
      <w:proofErr w:type="spellEnd"/>
      <w:r w:rsidRPr="009542E0">
        <w:rPr>
          <w:rFonts w:ascii="Verdana" w:eastAsia="Calibri" w:hAnsi="Verdana" w:cs="Arial"/>
          <w:bCs/>
          <w:kern w:val="2"/>
          <w:lang w:val="es-ES_tradnl"/>
          <w14:ligatures w14:val="standardContextual"/>
        </w:rPr>
        <w:t xml:space="preserve"> las Instituciones de Educación Superior son destinatarias de la excepción del parágrafo del artículo 56 en razón a su naturaleza jurídica y, particularmente, a su régimen contractual?</w:t>
      </w:r>
    </w:p>
    <w:p w14:paraId="6DC3E364" w14:textId="77777777" w:rsidR="009542E0" w:rsidRPr="009542E0" w:rsidRDefault="009542E0" w:rsidP="009542E0">
      <w:pPr>
        <w:spacing w:after="0" w:line="276" w:lineRule="auto"/>
        <w:jc w:val="both"/>
        <w:rPr>
          <w:rFonts w:ascii="Verdana" w:eastAsia="Century Gothic" w:hAnsi="Verdana" w:cs="Century Gothic"/>
          <w:lang w:eastAsia="es-MX"/>
        </w:rPr>
      </w:pPr>
    </w:p>
    <w:p w14:paraId="0EF77063" w14:textId="77777777" w:rsidR="009542E0" w:rsidRPr="009542E0" w:rsidRDefault="009542E0" w:rsidP="009542E0">
      <w:pPr>
        <w:tabs>
          <w:tab w:val="left" w:pos="142"/>
          <w:tab w:val="left" w:pos="284"/>
        </w:tabs>
        <w:spacing w:after="0" w:line="276" w:lineRule="auto"/>
        <w:contextualSpacing/>
        <w:jc w:val="both"/>
        <w:rPr>
          <w:rFonts w:ascii="Verdana" w:eastAsia="Century Gothic" w:hAnsi="Verdana" w:cs="Century Gothic"/>
          <w:b/>
          <w:bCs/>
          <w:lang w:val="es-ES" w:eastAsia="es-MX"/>
        </w:rPr>
      </w:pPr>
      <w:r w:rsidRPr="009542E0">
        <w:rPr>
          <w:rFonts w:ascii="Verdana" w:eastAsia="Century Gothic" w:hAnsi="Verdana" w:cs="Century Gothic"/>
          <w:b/>
          <w:bCs/>
          <w:lang w:val="es-ES" w:eastAsia="es-MX"/>
        </w:rPr>
        <w:t>2. Respuestas:</w:t>
      </w:r>
    </w:p>
    <w:p w14:paraId="459F3F96" w14:textId="77777777" w:rsidR="009542E0" w:rsidRPr="009542E0" w:rsidRDefault="009542E0" w:rsidP="009542E0">
      <w:pPr>
        <w:tabs>
          <w:tab w:val="left" w:pos="142"/>
          <w:tab w:val="left" w:pos="284"/>
        </w:tabs>
        <w:spacing w:after="0" w:line="276" w:lineRule="auto"/>
        <w:contextualSpacing/>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542E0" w:rsidRPr="009542E0" w14:paraId="2E1C7F10" w14:textId="77777777" w:rsidTr="2C52402E">
        <w:trPr>
          <w:trHeight w:val="40"/>
        </w:trPr>
        <w:tc>
          <w:tcPr>
            <w:tcW w:w="8828" w:type="dxa"/>
            <w:tcBorders>
              <w:top w:val="dotted" w:sz="4" w:space="0" w:color="auto"/>
              <w:left w:val="dotted" w:sz="4" w:space="0" w:color="auto"/>
              <w:bottom w:val="dotted" w:sz="4" w:space="0" w:color="auto"/>
              <w:right w:val="dotted" w:sz="4" w:space="0" w:color="auto"/>
            </w:tcBorders>
          </w:tcPr>
          <w:p w14:paraId="09572B1F" w14:textId="5A7FDCF8" w:rsidR="009542E0" w:rsidRPr="009542E0" w:rsidRDefault="009542E0" w:rsidP="009542E0">
            <w:pPr>
              <w:tabs>
                <w:tab w:val="left" w:pos="0"/>
              </w:tabs>
              <w:spacing w:before="120" w:after="120" w:line="276" w:lineRule="auto"/>
              <w:jc w:val="both"/>
              <w:rPr>
                <w:rFonts w:ascii="Verdana" w:eastAsia="Calibri" w:hAnsi="Verdana" w:cs="Arial"/>
                <w:lang w:val="es-MX"/>
              </w:rPr>
            </w:pPr>
            <w:r w:rsidRPr="009542E0">
              <w:rPr>
                <w:rFonts w:ascii="Verdana" w:eastAsia="Calibri" w:hAnsi="Verdana" w:cs="Arial"/>
                <w:lang w:val="es-MX"/>
              </w:rPr>
              <w:t xml:space="preserve">Por unidad de materia, los problemas jurídicos uno (i) y dos (ii) planteados en este concepto, se </w:t>
            </w:r>
            <w:r w:rsidR="00FA0BF5" w:rsidRPr="009542E0">
              <w:rPr>
                <w:rFonts w:ascii="Verdana" w:eastAsia="Calibri" w:hAnsi="Verdana" w:cs="Arial"/>
                <w:lang w:val="es-MX"/>
              </w:rPr>
              <w:t>resolverán</w:t>
            </w:r>
            <w:r w:rsidRPr="009542E0">
              <w:rPr>
                <w:rFonts w:ascii="Verdana" w:eastAsia="Calibri" w:hAnsi="Verdana" w:cs="Arial"/>
                <w:lang w:val="es-MX"/>
              </w:rPr>
              <w:t xml:space="preserve"> de forma conjunta en los siguientes términos:</w:t>
            </w:r>
          </w:p>
          <w:p w14:paraId="701DFEA1" w14:textId="77777777" w:rsidR="009542E0" w:rsidRPr="009542E0" w:rsidRDefault="009542E0" w:rsidP="009542E0">
            <w:pPr>
              <w:tabs>
                <w:tab w:val="left" w:pos="0"/>
              </w:tabs>
              <w:spacing w:before="120" w:after="120" w:line="276" w:lineRule="auto"/>
              <w:jc w:val="both"/>
              <w:rPr>
                <w:rFonts w:ascii="Verdana" w:eastAsia="Calibri" w:hAnsi="Verdana" w:cs="Arial"/>
                <w:lang w:val="es-MX"/>
              </w:rPr>
            </w:pPr>
            <w:r w:rsidRPr="009542E0">
              <w:rPr>
                <w:rFonts w:ascii="Verdana" w:eastAsia="Calibri" w:hAnsi="Verdana" w:cs="Arial"/>
                <w:lang w:val="es-MX"/>
              </w:rPr>
              <w:t>En relación con la implementación de los documentos tipo expedidos por la Agencia Nacional de Contratación Pública – Colombia Compra Eficiente, por parte de las instituciones de educación superior públicas, esta Agencia aclara y complementa la postura señalada en los Conceptos C-246 del 12 de marzo de 2026 y C-488 del 18 de junio de 2026, en el sentido de precisar algunos aspectos relativos a su clasificación, puesto que, a juicio de esta Agencia, no todas las instituciones dentro de esta categoría son destinatarias de la excepción del parágrafo del artículo 56, en razón de su naturaleza jurídica y, particularmente, de su régimen contractual.</w:t>
            </w:r>
          </w:p>
          <w:p w14:paraId="49BE536F" w14:textId="77777777" w:rsidR="009542E0" w:rsidRPr="009542E0" w:rsidRDefault="009542E0" w:rsidP="009542E0">
            <w:pPr>
              <w:tabs>
                <w:tab w:val="left" w:pos="0"/>
              </w:tabs>
              <w:spacing w:before="120" w:after="120" w:line="276" w:lineRule="auto"/>
              <w:jc w:val="both"/>
              <w:rPr>
                <w:rFonts w:ascii="Verdana" w:eastAsia="Calibri" w:hAnsi="Verdana" w:cs="Arial"/>
                <w:lang w:val="es-MX"/>
              </w:rPr>
            </w:pPr>
            <w:r w:rsidRPr="009542E0">
              <w:rPr>
                <w:rFonts w:ascii="Verdana" w:eastAsia="Calibri" w:hAnsi="Verdana" w:cs="Arial"/>
                <w:lang w:val="es-MX"/>
              </w:rPr>
              <w:tab/>
              <w:t>En efecto, en el Concepto C-246 del 12 de marzo de 2026, al resolver la pregunta relativa a si una Institución de Educación Superior debe aplicar los documentos tipo expedidos por esta Agencia de conformidad con el artículo 56 de la Ley 2195 de 2022, esta Agencia señaló que “(…) se encuentran exceptuadas de dicha obligación las Instituciones de Educación Superior públicas, las empresas sociales del Estado, las sociedades de economía mixta y las empresas industriales y comerciales del Estado, únicamente en cuanto a la contratación de su giro ordinario, conforme a lo dispuesto en el parágrafo del artículo 56 de la Ley 2195 de 2022”.</w:t>
            </w:r>
          </w:p>
          <w:p w14:paraId="2593A736" w14:textId="77777777" w:rsidR="009542E0" w:rsidRPr="009542E0" w:rsidRDefault="009542E0" w:rsidP="009542E0">
            <w:pPr>
              <w:tabs>
                <w:tab w:val="left" w:pos="0"/>
              </w:tabs>
              <w:spacing w:before="120" w:after="120" w:line="276" w:lineRule="auto"/>
              <w:jc w:val="both"/>
              <w:rPr>
                <w:rFonts w:ascii="Verdana" w:eastAsia="Calibri" w:hAnsi="Verdana" w:cs="Arial"/>
                <w:lang w:val="es-MX"/>
              </w:rPr>
            </w:pPr>
            <w:r w:rsidRPr="009542E0">
              <w:rPr>
                <w:rFonts w:ascii="Verdana" w:eastAsia="Calibri" w:hAnsi="Verdana" w:cs="Arial"/>
                <w:lang w:val="es-MX"/>
              </w:rPr>
              <w:tab/>
              <w:t xml:space="preserve">Por su parte, en el Concepto C-488 del 18 de junio de 2026 –cuya postura fue retomada del concepto de unificación CU-870 del 13 de agosto de 2026–, esta Agencia reiteró y profundizó dicha interpretación, señalando que el parágrafo del artículo 56 de la Ley 2195 de 2022, al constituir una norma </w:t>
            </w:r>
            <w:r w:rsidRPr="009542E0">
              <w:rPr>
                <w:rFonts w:ascii="Verdana" w:eastAsia="Calibri" w:hAnsi="Verdana" w:cs="Arial"/>
                <w:lang w:val="es-MX"/>
              </w:rPr>
              <w:lastRenderedPageBreak/>
              <w:t>de carácter excepcional, debe ser objeto de interpretación restrictiva, esto es, apegada a lo que literalmente se desprende de su texto. Bajo esa lógica, se concluyó que la excepción allí prevista se formula: “(…) respecto de ciertos tipos de Entidades Estatales, las cuales son mencionadas por su naturaleza jurídica, sin que se incluya consideración alguna relacionada con el régimen jurídico al que se encuentren sometidas (…) De acuerdo con este criterio interpretativo y comoquiera que la norma determina las excepciones en consideración a la naturaleza jurídica de los sujetos que menciona, sin hacer distinción alguna respecto de su régimen contractual, es posible concluir que la excepción predicable de las instituciones de educación superior públicas (…) no resulta extensible a entidades que no cuenten con dicha naturaleza”.</w:t>
            </w:r>
            <w:r w:rsidRPr="009542E0">
              <w:rPr>
                <w:rFonts w:ascii="Verdana" w:eastAsia="Calibri" w:hAnsi="Verdana" w:cs="Arial"/>
                <w:bCs/>
                <w:lang w:val="es-ES_tradnl" w:eastAsia="es-ES_tradnl"/>
              </w:rPr>
              <w:t xml:space="preserve"> </w:t>
            </w:r>
          </w:p>
          <w:p w14:paraId="2C828CF3" w14:textId="764CEC7C" w:rsidR="009542E0" w:rsidRPr="009542E0" w:rsidRDefault="009542E0" w:rsidP="009542E0">
            <w:pPr>
              <w:tabs>
                <w:tab w:val="left" w:pos="0"/>
              </w:tabs>
              <w:spacing w:before="120" w:after="120" w:line="276" w:lineRule="auto"/>
              <w:jc w:val="both"/>
              <w:rPr>
                <w:rFonts w:ascii="Verdana" w:eastAsia="Calibri" w:hAnsi="Verdana" w:cs="Arial"/>
                <w:lang w:val="es-MX"/>
              </w:rPr>
            </w:pPr>
            <w:r w:rsidRPr="009542E0">
              <w:rPr>
                <w:rFonts w:ascii="Verdana" w:eastAsia="Calibri" w:hAnsi="Verdana" w:cs="Arial"/>
                <w:lang w:val="es-MX"/>
              </w:rPr>
              <w:tab/>
              <w:t xml:space="preserve">No obstante lo anterior, esta Agencia advierte que tanto el Concepto C-246 de 2026 como el Concepto C-488 de 2026 centraron su análisis en la denominación o naturaleza jurídica genérica de las entidades mencionadas en el parágrafo del artículo 56 –esto es, en el hecho de que se trate, formalmente, de una “Institución de Educación Superior pública”–, sin detenerse a examinar si, dentro de dicha categoría genérica, existen tipos de instituciones sometidas a regímenes de contratación distintos entre sí. En esa medida, si bien ambos conceptos acertaron al identificar que la excepción del parágrafo del artículo 56 opera en función de la naturaleza jurídica de los sujetos allí enunciados y no en función de un régimen contractual autónomamente considerado, dicha conclusión no puede entenderse en el sentido de que toda entidad que ostente la denominación genérica de “Institución de Educación Superior pública” resulte, por esa sola razón, cobijada por la excepción del </w:t>
            </w:r>
            <w:r w:rsidR="09AC7671" w:rsidRPr="009542E0">
              <w:rPr>
                <w:rFonts w:ascii="Verdana" w:eastAsia="Calibri" w:hAnsi="Verdana" w:cs="Arial"/>
                <w:lang w:val="es-MX"/>
              </w:rPr>
              <w:t>parágrafo</w:t>
            </w:r>
            <w:r w:rsidRPr="009542E0">
              <w:rPr>
                <w:rFonts w:ascii="Verdana" w:eastAsia="Calibri" w:hAnsi="Verdana" w:cs="Arial"/>
                <w:lang w:val="es-MX"/>
              </w:rPr>
              <w:t xml:space="preserve"> del artículo 56 de la Ley 2195 de 2022, con independencia de su régimen de contratación.</w:t>
            </w:r>
          </w:p>
          <w:p w14:paraId="276600F3" w14:textId="00193B73" w:rsidR="009542E0" w:rsidRPr="009542E0" w:rsidRDefault="009542E0" w:rsidP="009542E0">
            <w:pPr>
              <w:tabs>
                <w:tab w:val="left" w:pos="0"/>
              </w:tabs>
              <w:spacing w:before="120" w:after="120" w:line="276" w:lineRule="auto"/>
              <w:jc w:val="both"/>
              <w:rPr>
                <w:rFonts w:ascii="Verdana" w:eastAsia="Calibri" w:hAnsi="Verdana" w:cs="Arial"/>
                <w:lang w:val="es-MX"/>
              </w:rPr>
            </w:pPr>
            <w:r w:rsidRPr="009542E0">
              <w:rPr>
                <w:rFonts w:ascii="Verdana" w:eastAsia="Calibri" w:hAnsi="Verdana" w:cs="Arial"/>
                <w:lang w:val="es-MX"/>
              </w:rPr>
              <w:tab/>
              <w:t xml:space="preserve">Lo anterior, por cuanto, como se desarrollará a continuación, la categoría “Instituciones de Educación Superior públicas” no es jurídicamente homogénea, sino que comprende, cuando menos, dos tipos de instituciones con naturaleza jurídica y régimen de contratación claramente diferenciados, de una parte: i) las universidades estatales u oficiales organizadas como entes universitarios autónomos, sometidas a un régimen especial de derecho privado; y, de otra, ii) las instituciones estatales u oficiales de educación superior que no ostentan el carácter de universidad, organizadas como establecimientos públicos y sometidas al Estatuto General de Contratación de la Administración Pública. Es esta distinción, ausente en los Conceptos C-246 </w:t>
            </w:r>
            <w:r w:rsidRPr="009542E0">
              <w:rPr>
                <w:rFonts w:ascii="Verdana" w:eastAsia="Calibri" w:hAnsi="Verdana" w:cs="Arial"/>
                <w:lang w:val="es-MX"/>
              </w:rPr>
              <w:lastRenderedPageBreak/>
              <w:t xml:space="preserve">y C-488 de 2026, la que en esta oportunidad la Subdirección de Gestión Contractual de la Agencia Nacional de Contratación Pública – Colombia Compra Eficiente estima necesario precisar, en la medida en que la naturaleza jurídica de “Institución de Educación Superior pública” no resulta, por sí sola, un criterio suficiente para determinar la procedencia de la excepción prevista en el parágrafo del artículo 56 de la Ley 2195 de 2022, sino que debe complementarse con el examen del régimen de contratación específico al que cada tipo de institución se encuentre sometido. Precisamente, este fue el análisis que esta Agencia realizó en el concepto C-160 del 5 de abril de 2022, el cual se reitera en lo </w:t>
            </w:r>
            <w:r w:rsidR="4791E39B" w:rsidRPr="009542E0">
              <w:rPr>
                <w:rFonts w:ascii="Verdana" w:eastAsia="Calibri" w:hAnsi="Verdana" w:cs="Arial"/>
                <w:lang w:val="es-MX"/>
              </w:rPr>
              <w:t>pertinente</w:t>
            </w:r>
            <w:r w:rsidRPr="009542E0">
              <w:rPr>
                <w:rFonts w:ascii="Verdana" w:eastAsia="Calibri" w:hAnsi="Verdana" w:cs="Arial"/>
                <w:lang w:val="es-MX"/>
              </w:rPr>
              <w:t xml:space="preserve"> a continuación. </w:t>
            </w:r>
          </w:p>
          <w:p w14:paraId="0F3F2660" w14:textId="77777777" w:rsidR="009542E0" w:rsidRPr="009542E0" w:rsidRDefault="009542E0" w:rsidP="009542E0">
            <w:pPr>
              <w:tabs>
                <w:tab w:val="left" w:pos="0"/>
              </w:tabs>
              <w:spacing w:before="120" w:after="120" w:line="276" w:lineRule="auto"/>
              <w:jc w:val="both"/>
              <w:rPr>
                <w:rFonts w:ascii="Verdana" w:eastAsia="Calibri" w:hAnsi="Verdana" w:cs="Arial"/>
                <w:bCs/>
                <w:lang w:eastAsia="es-ES_tradnl"/>
              </w:rPr>
            </w:pPr>
            <w:r w:rsidRPr="009542E0">
              <w:rPr>
                <w:rFonts w:ascii="Verdana" w:eastAsia="Calibri" w:hAnsi="Verdana" w:cs="Arial"/>
                <w:lang w:val="es-MX"/>
              </w:rPr>
              <w:tab/>
              <w:t>La Ley 30 de 1992 regula aspectos como la naturaleza jurídica de las universidades estatales y oficiales, la forma de organizarse y su régimen de contratación. En el artículo 57 se evidencia dos tipos de instituciones de educación superior públicas: i) las universidades</w:t>
            </w:r>
            <w:r w:rsidRPr="009542E0">
              <w:rPr>
                <w:rFonts w:ascii="Verdana" w:eastAsia="Calibri" w:hAnsi="Verdana" w:cs="Arial"/>
                <w:bCs/>
                <w:lang w:eastAsia="es-ES_tradnl"/>
              </w:rPr>
              <w:t xml:space="preserve"> estatales u oficiales que deben organizarse como entes universitarios autónomos, con régimen especial</w:t>
            </w:r>
            <w:r w:rsidRPr="009542E0">
              <w:rPr>
                <w:rFonts w:ascii="Verdana" w:eastAsia="Times New Roman" w:hAnsi="Verdana" w:cs="Open Sans"/>
                <w:color w:val="4B4949"/>
                <w:lang w:eastAsia="es-ES_tradnl"/>
              </w:rPr>
              <w:t xml:space="preserve">, </w:t>
            </w:r>
            <w:r w:rsidRPr="009542E0">
              <w:rPr>
                <w:rFonts w:ascii="Verdana" w:eastAsia="Calibri" w:hAnsi="Verdana" w:cs="Arial"/>
                <w:bCs/>
                <w:lang w:eastAsia="es-ES_tradnl"/>
              </w:rPr>
              <w:t xml:space="preserve">vinculados al Ministerio de Educación Nacional en lo que se refiere a las políticas y la planeación del sector educativo y </w:t>
            </w:r>
            <w:proofErr w:type="spellStart"/>
            <w:r w:rsidRPr="009542E0">
              <w:rPr>
                <w:rFonts w:ascii="Verdana" w:eastAsia="Calibri" w:hAnsi="Verdana" w:cs="Arial"/>
                <w:bCs/>
                <w:lang w:eastAsia="es-ES_tradnl"/>
              </w:rPr>
              <w:t>ii</w:t>
            </w:r>
            <w:proofErr w:type="spellEnd"/>
            <w:r w:rsidRPr="009542E0">
              <w:rPr>
                <w:rFonts w:ascii="Verdana" w:eastAsia="Calibri" w:hAnsi="Verdana" w:cs="Arial"/>
                <w:bCs/>
                <w:lang w:eastAsia="es-ES_tradnl"/>
              </w:rPr>
              <w:t xml:space="preserve">) las instituciones estatales u oficiales de educación superior que no tengan el carácter de universidad, que deberán organizarse como establecimientos públicos del orden nacional, departamental, distrital o municipal. </w:t>
            </w:r>
          </w:p>
          <w:p w14:paraId="04AFD7EB" w14:textId="77777777" w:rsidR="009542E0" w:rsidRPr="009542E0" w:rsidRDefault="009542E0" w:rsidP="009542E0">
            <w:pPr>
              <w:widowControl w:val="0"/>
              <w:autoSpaceDE w:val="0"/>
              <w:autoSpaceDN w:val="0"/>
              <w:spacing w:before="120" w:after="120" w:line="276" w:lineRule="auto"/>
              <w:ind w:firstLine="708"/>
              <w:jc w:val="both"/>
              <w:rPr>
                <w:rFonts w:ascii="Aptos" w:eastAsia="Aptos" w:hAnsi="Aptos" w:cs="Times New Roman"/>
              </w:rPr>
            </w:pPr>
            <w:r w:rsidRPr="009542E0">
              <w:rPr>
                <w:rFonts w:ascii="Verdana" w:eastAsia="Calibri" w:hAnsi="Verdana" w:cs="Arial"/>
                <w:bCs/>
                <w:i/>
                <w:iCs/>
                <w:lang w:eastAsia="es-ES_tradnl"/>
              </w:rPr>
              <w:t>Las primeras</w:t>
            </w:r>
            <w:r w:rsidRPr="009542E0">
              <w:rPr>
                <w:rFonts w:ascii="Verdana" w:eastAsia="Calibri" w:hAnsi="Verdana" w:cs="Arial"/>
                <w:bCs/>
                <w:lang w:eastAsia="es-ES_tradnl"/>
              </w:rPr>
              <w:t>, esto es, las universidades estatales u oficiales organizadas como entes autónomos cuentan con régimen especial. En particular, los contratos que para el cumplimiento de sus funciones celebren se regirán por las normas del derecho privado y sus efectos estarán sujetos a las normas civiles y comerciales, según la naturaleza de los contratos</w:t>
            </w:r>
            <w:r w:rsidRPr="009542E0">
              <w:rPr>
                <w:rFonts w:ascii="Verdana" w:eastAsia="Calibri" w:hAnsi="Verdana" w:cs="Arial"/>
                <w:bCs/>
                <w:vertAlign w:val="superscript"/>
                <w:lang w:eastAsia="es-ES_tradnl"/>
              </w:rPr>
              <w:footnoteReference w:id="1"/>
            </w:r>
            <w:r w:rsidRPr="009542E0">
              <w:rPr>
                <w:rFonts w:ascii="Verdana" w:eastAsia="Calibri" w:hAnsi="Verdana" w:cs="Arial"/>
                <w:bCs/>
                <w:lang w:eastAsia="es-ES_tradnl"/>
              </w:rPr>
              <w:t>.</w:t>
            </w:r>
            <w:r w:rsidRPr="009542E0">
              <w:rPr>
                <w:rFonts w:ascii="Verdana" w:eastAsia="Arial" w:hAnsi="Verdana" w:cs="Arial"/>
                <w:lang w:val="es-ES"/>
              </w:rPr>
              <w:t xml:space="preserve"> La Ley 489 de 1998, al desarrollar la estructura y organización de la Administración Pública, establece que los entes universitarios hacen parte integral de esta, catalogándolos como entidades públicas de carácter autónomo a las que aplica un régimen especial</w:t>
            </w:r>
            <w:r w:rsidRPr="009542E0">
              <w:rPr>
                <w:rFonts w:ascii="Verdana" w:eastAsia="Arial" w:hAnsi="Verdana" w:cs="Arial"/>
                <w:sz w:val="21"/>
                <w:szCs w:val="21"/>
                <w:vertAlign w:val="superscript"/>
                <w:lang w:val="es-ES"/>
              </w:rPr>
              <w:footnoteReference w:id="2"/>
            </w:r>
            <w:r w:rsidRPr="009542E0">
              <w:rPr>
                <w:rFonts w:ascii="Verdana" w:eastAsia="Arial" w:hAnsi="Verdana" w:cs="Arial"/>
                <w:sz w:val="21"/>
                <w:szCs w:val="21"/>
                <w:lang w:val="es-ES"/>
              </w:rPr>
              <w:t>.</w:t>
            </w:r>
          </w:p>
          <w:p w14:paraId="68FAF7D5" w14:textId="77777777" w:rsidR="009542E0" w:rsidRPr="009542E0" w:rsidRDefault="009542E0" w:rsidP="009542E0">
            <w:pPr>
              <w:widowControl w:val="0"/>
              <w:autoSpaceDE w:val="0"/>
              <w:autoSpaceDN w:val="0"/>
              <w:spacing w:after="120" w:line="276" w:lineRule="auto"/>
              <w:ind w:firstLine="527"/>
              <w:jc w:val="both"/>
              <w:rPr>
                <w:rFonts w:ascii="Verdana" w:eastAsia="Arial" w:hAnsi="Verdana" w:cs="Arial"/>
                <w:lang w:val="es-ES"/>
              </w:rPr>
            </w:pPr>
            <w:r w:rsidRPr="009542E0">
              <w:rPr>
                <w:rFonts w:ascii="Verdana" w:eastAsia="Arial" w:hAnsi="Verdana" w:cs="Arial"/>
                <w:lang w:val="es-ES"/>
              </w:rPr>
              <w:lastRenderedPageBreak/>
              <w:t>En armonía con lo anterior, se ha considerado que los entes universitarios no son entidades que hagan parte de la rama ejecutiva, ni pueden, por tanto, considerarse entidades descentralizadas, sino que gozan de un régimen especial</w:t>
            </w:r>
            <w:r w:rsidRPr="009542E0">
              <w:rPr>
                <w:rFonts w:ascii="Verdana" w:eastAsia="Arial" w:hAnsi="Verdana" w:cs="Arial"/>
                <w:vertAlign w:val="superscript"/>
                <w:lang w:val="es-ES"/>
              </w:rPr>
              <w:footnoteReference w:id="3"/>
            </w:r>
            <w:r w:rsidRPr="009542E0">
              <w:rPr>
                <w:rFonts w:ascii="Verdana" w:eastAsia="Arial" w:hAnsi="Verdana" w:cs="Arial"/>
                <w:lang w:val="es-ES"/>
              </w:rPr>
              <w:t>.</w:t>
            </w:r>
          </w:p>
          <w:p w14:paraId="7F029FAF" w14:textId="77777777" w:rsidR="009542E0" w:rsidRPr="009542E0" w:rsidRDefault="009542E0" w:rsidP="009542E0">
            <w:pPr>
              <w:tabs>
                <w:tab w:val="left" w:pos="0"/>
              </w:tabs>
              <w:spacing w:line="276" w:lineRule="auto"/>
              <w:ind w:firstLine="709"/>
              <w:jc w:val="both"/>
              <w:rPr>
                <w:rFonts w:ascii="Verdana" w:eastAsia="Calibri" w:hAnsi="Verdana" w:cs="Arial"/>
                <w:bCs/>
                <w:lang w:val="es-ES" w:eastAsia="es-ES_tradnl"/>
              </w:rPr>
            </w:pPr>
            <w:r w:rsidRPr="009542E0">
              <w:rPr>
                <w:rFonts w:ascii="Verdana" w:eastAsia="Calibri" w:hAnsi="Verdana" w:cs="Arial"/>
                <w:bCs/>
                <w:i/>
                <w:iCs/>
                <w:lang w:eastAsia="es-ES_tradnl"/>
              </w:rPr>
              <w:t>Las segundas</w:t>
            </w:r>
            <w:r w:rsidRPr="009542E0">
              <w:rPr>
                <w:rFonts w:ascii="Verdana" w:eastAsia="Calibri" w:hAnsi="Verdana" w:cs="Arial"/>
                <w:bCs/>
                <w:lang w:eastAsia="es-ES_tradnl"/>
              </w:rPr>
              <w:t>, es decir, las instituciones estatales u oficiales de educación superior que no tengan el carácter de universidad organizadas como establecimientos públicos</w:t>
            </w:r>
            <w:r w:rsidRPr="009542E0">
              <w:rPr>
                <w:rFonts w:ascii="Verdana" w:eastAsia="Calibri" w:hAnsi="Verdana" w:cs="Arial"/>
                <w:bCs/>
                <w:vertAlign w:val="superscript"/>
                <w:lang w:eastAsia="es-ES_tradnl"/>
              </w:rPr>
              <w:footnoteReference w:id="4"/>
            </w:r>
            <w:r w:rsidRPr="009542E0">
              <w:rPr>
                <w:rFonts w:ascii="Verdana" w:eastAsia="Calibri" w:hAnsi="Verdana" w:cs="Arial"/>
                <w:bCs/>
                <w:lang w:eastAsia="es-ES_tradnl"/>
              </w:rPr>
              <w:t>, se rigen por las normas del Estatuto General de Contratación de la Administración Pública, de conformidad con lo señalado por el artículo 81 de la Ley 489 de 1998</w:t>
            </w:r>
            <w:r w:rsidRPr="009542E0">
              <w:rPr>
                <w:rFonts w:ascii="Verdana" w:eastAsia="Calibri" w:hAnsi="Verdana" w:cs="Arial"/>
                <w:bCs/>
                <w:vertAlign w:val="superscript"/>
                <w:lang w:eastAsia="es-ES_tradnl"/>
              </w:rPr>
              <w:footnoteReference w:id="5"/>
            </w:r>
            <w:r w:rsidRPr="009542E0">
              <w:rPr>
                <w:rFonts w:ascii="Verdana" w:eastAsia="Calibri" w:hAnsi="Verdana" w:cs="Arial"/>
                <w:bCs/>
                <w:lang w:eastAsia="es-ES_tradnl"/>
              </w:rPr>
              <w:t xml:space="preserve">. Esto significa que </w:t>
            </w:r>
            <w:r w:rsidRPr="009542E0">
              <w:rPr>
                <w:rFonts w:ascii="Verdana" w:eastAsia="Calibri" w:hAnsi="Verdana" w:cs="Arial"/>
                <w:bCs/>
                <w:lang w:val="es-ES" w:eastAsia="es-ES_tradnl"/>
              </w:rPr>
              <w:t>los establecimientos públicos son entidades estatales para efectos del EGCAP</w:t>
            </w:r>
            <w:r w:rsidRPr="009542E0">
              <w:rPr>
                <w:rFonts w:ascii="Verdana" w:eastAsia="Calibri" w:hAnsi="Verdana" w:cs="Arial"/>
                <w:bCs/>
                <w:vertAlign w:val="superscript"/>
                <w:lang w:val="es-ES" w:eastAsia="es-ES_tradnl"/>
              </w:rPr>
              <w:footnoteReference w:id="6"/>
            </w:r>
            <w:r w:rsidRPr="009542E0">
              <w:rPr>
                <w:rFonts w:ascii="Verdana" w:eastAsia="Calibri" w:hAnsi="Verdana" w:cs="Arial"/>
                <w:bCs/>
                <w:lang w:val="es-ES" w:eastAsia="es-ES_tradnl"/>
              </w:rPr>
              <w:t xml:space="preserve">, por lo que cualquier contrato que celebren deben sujetarse a las normas de la Ley 80 de 1993, Ley 1150 de 2007 y demás normas concordantes. </w:t>
            </w:r>
          </w:p>
          <w:p w14:paraId="22B4FFB3" w14:textId="77777777" w:rsidR="009542E0" w:rsidRPr="009542E0" w:rsidRDefault="009542E0" w:rsidP="2C52402E">
            <w:pPr>
              <w:tabs>
                <w:tab w:val="left" w:pos="0"/>
              </w:tabs>
              <w:spacing w:before="120" w:line="276" w:lineRule="auto"/>
              <w:ind w:firstLine="709"/>
              <w:jc w:val="both"/>
              <w:rPr>
                <w:rFonts w:ascii="Verdana" w:eastAsia="Calibri" w:hAnsi="Verdana" w:cs="Arial"/>
                <w:lang w:eastAsia="es-ES"/>
              </w:rPr>
            </w:pPr>
            <w:r w:rsidRPr="00400124">
              <w:rPr>
                <w:rFonts w:ascii="Verdana" w:eastAsia="Calibri" w:hAnsi="Verdana" w:cs="Arial"/>
                <w:u w:val="single"/>
                <w:lang w:eastAsia="es-ES"/>
              </w:rPr>
              <w:t xml:space="preserve">Con base en estas consideraciones, es posible concluir que el parágrafo del artículo 56 de la Ley 2195 de 2022 únicamente resulta aplicable a las instituciones de educación superior públicas que cuentan con régimen especial y no a aquellas, como los establecimientos públicos, que tienen un régimen de </w:t>
            </w:r>
            <w:r w:rsidRPr="00400124">
              <w:rPr>
                <w:rFonts w:ascii="Verdana" w:eastAsia="Calibri" w:hAnsi="Verdana" w:cs="Arial"/>
                <w:u w:val="single"/>
                <w:lang w:eastAsia="es-ES"/>
              </w:rPr>
              <w:lastRenderedPageBreak/>
              <w:t>contratación sometido a la Ley 80 de 1993.</w:t>
            </w:r>
            <w:r w:rsidRPr="2C52402E">
              <w:rPr>
                <w:rFonts w:ascii="Verdana" w:eastAsia="Calibri" w:hAnsi="Verdana" w:cs="Arial"/>
                <w:lang w:eastAsia="es-ES"/>
              </w:rPr>
              <w:t xml:space="preserve"> Esta postura se estima adecuada y se ajusta al propósito de la norma en la medida en que, como se explicó, </w:t>
            </w:r>
            <w:r w:rsidRPr="2C52402E">
              <w:rPr>
                <w:rFonts w:ascii="Verdana" w:eastAsia="Calibri" w:hAnsi="Verdana" w:cs="Arial"/>
                <w:lang w:val="es-ES" w:eastAsia="es-ES"/>
              </w:rPr>
              <w:t>un efecto importante de esta norma es la ampliación del ámbito de aplicación de los documentos tipo, al hacerlos obligatorios para unos sujetos que, en principio, de acuerdo con la Ley 2022 de 2020, no estarían sometidos a esos documentos</w:t>
            </w:r>
            <w:r w:rsidRPr="2C52402E">
              <w:rPr>
                <w:rFonts w:ascii="Verdana" w:eastAsia="Calibri" w:hAnsi="Verdana" w:cs="Arial"/>
                <w:lang w:eastAsia="es-ES"/>
              </w:rPr>
              <w:t xml:space="preserve">, tal como se explicó con anterioridad, lo que incluso se deriva del título del artículo 56 de la Ley 2195 de 2022 denominado “aplicación de los documentos tipo a entidades de régimen especial”. </w:t>
            </w:r>
          </w:p>
          <w:p w14:paraId="14C24AED" w14:textId="77777777" w:rsidR="009542E0" w:rsidRPr="009542E0" w:rsidRDefault="009542E0" w:rsidP="009542E0">
            <w:pPr>
              <w:tabs>
                <w:tab w:val="left" w:pos="0"/>
              </w:tabs>
              <w:spacing w:before="120" w:line="276" w:lineRule="auto"/>
              <w:ind w:firstLine="709"/>
              <w:jc w:val="both"/>
              <w:rPr>
                <w:rFonts w:ascii="Verdana" w:eastAsia="Calibri" w:hAnsi="Verdana" w:cs="Arial"/>
                <w:bCs/>
                <w:lang w:eastAsia="es-ES_tradnl"/>
              </w:rPr>
            </w:pPr>
            <w:r w:rsidRPr="009542E0">
              <w:rPr>
                <w:rFonts w:ascii="Verdana" w:eastAsia="Calibri" w:hAnsi="Verdana" w:cs="Arial"/>
                <w:bCs/>
                <w:lang w:eastAsia="es-ES_tradnl"/>
              </w:rPr>
              <w:t xml:space="preserve">En tal sentido, como se señaló con anterioridad, la finalidad de esta norma consiste precisamente en extender la aplicación de los documentos tipo a las entidades con régimen de contratación especial o privado, cuando se celebren contratos o convenios o de cualquier índole entre estas y las entidades sometidas al EGCAP. Por tanto, la aplicación de este parágrafo debe partir de la base de que los sujetos allí referidos cuenten con un régimen especial de contratación que permite aplicar la excepción de lo dispuesto en los dos incisos del artículo 56. De lo contrario, es decir, de no contar con régimen de contratación especial o de derecho privado, estarían sometidos al EGCAP y tendrían que aplicar los documentos tipo de manera obligatoria, de conformidad con lo establecido en el artículo 1 de la Ley 2022 de 2020, que modificó el parágrafo 7 del artículo 2 de la Ley 1150 de 2007, conforme se explicó en el numeral (i.) de este concepto. Una interpretación distinta incluso supondría exceptuar a estas entidades del EGCAP en cuanto a la contratación de su giro ordinario, lo que evidentemente sería un contrasentido con la finalidad de la norma. </w:t>
            </w:r>
          </w:p>
          <w:p w14:paraId="7CC111DA" w14:textId="77777777" w:rsidR="009542E0" w:rsidRPr="009542E0" w:rsidRDefault="009542E0" w:rsidP="009542E0">
            <w:pPr>
              <w:tabs>
                <w:tab w:val="left" w:pos="0"/>
              </w:tabs>
              <w:spacing w:before="120" w:after="120" w:line="276" w:lineRule="auto"/>
              <w:ind w:firstLine="709"/>
              <w:jc w:val="both"/>
              <w:rPr>
                <w:rFonts w:ascii="Verdana" w:eastAsia="Calibri" w:hAnsi="Verdana" w:cs="Arial"/>
                <w:bCs/>
                <w:lang w:eastAsia="es-ES_tradnl"/>
              </w:rPr>
            </w:pPr>
            <w:r w:rsidRPr="009542E0">
              <w:rPr>
                <w:rFonts w:ascii="Verdana" w:eastAsia="Calibri" w:hAnsi="Verdana" w:cs="Arial"/>
                <w:bCs/>
                <w:lang w:eastAsia="es-ES_tradnl"/>
              </w:rPr>
              <w:t xml:space="preserve">De este modo, cuando el parágrafo del artículo 56 de la Ley 2195 de 2022 se refiere a las instituciones de educación superior públicas, debe interpretarse que su aplicación procede en relación con aquellas entidades que cuenten con régimen especial de contratación, como las universidades estatales u oficiales organizadas como entes autónomos, debido a su régimen de contratación de derecho privado conforme lo disponen los artículos 57 y 93 de la Ley 30 de 1992. En contraste, aquellas instituciones de educación superior públicas que no cuentan con un régimen especial, como los establecimientos públicos, deben aplicar la Ley 80 de 1993 y la Ley 2022 de 2020, por lo que no resultaría aplicable el parágrafo del artículo 56 de la Ley 2195 de 2022. </w:t>
            </w:r>
          </w:p>
          <w:p w14:paraId="15D6DB66" w14:textId="77777777" w:rsidR="009542E0" w:rsidRPr="009542E0" w:rsidRDefault="009542E0" w:rsidP="009542E0">
            <w:pPr>
              <w:tabs>
                <w:tab w:val="left" w:pos="0"/>
              </w:tabs>
              <w:spacing w:before="120" w:after="120" w:line="276" w:lineRule="auto"/>
              <w:ind w:firstLine="709"/>
              <w:jc w:val="both"/>
              <w:rPr>
                <w:rFonts w:ascii="Verdana" w:eastAsia="Calibri" w:hAnsi="Verdana" w:cs="Arial"/>
                <w:bCs/>
                <w:lang w:val="es-ES_tradnl" w:eastAsia="es-ES_tradnl"/>
              </w:rPr>
            </w:pPr>
            <w:r w:rsidRPr="009542E0">
              <w:rPr>
                <w:rFonts w:ascii="Verdana" w:eastAsia="Calibri" w:hAnsi="Verdana" w:cs="Arial"/>
                <w:bCs/>
                <w:lang w:eastAsia="es-ES_tradnl"/>
              </w:rPr>
              <w:lastRenderedPageBreak/>
              <w:t xml:space="preserve">Así las cosas, conforme al artículo 56, cuando se celebra un contrato o convenio interadministrativo o de cualquier otra índole entre una entidad sometida al EGCAP y una institución de educación superior pública organizada como ente universitario autónomo con régimen especial, deberán aplicar los documentos tipo </w:t>
            </w:r>
            <w:r w:rsidRPr="009542E0">
              <w:rPr>
                <w:rFonts w:ascii="Verdana" w:eastAsia="Calibri" w:hAnsi="Verdana" w:cs="Arial"/>
                <w:bCs/>
                <w:lang w:val="es-ES_tradnl" w:eastAsia="es-ES_tradnl"/>
              </w:rPr>
              <w:t>en los procedimientos de selección y los contratos que realicen en desarrollo de los anteriores negocios jurídico</w:t>
            </w:r>
            <w:r w:rsidRPr="009542E0">
              <w:rPr>
                <w:rFonts w:ascii="Verdana" w:eastAsia="Calibri" w:hAnsi="Verdana" w:cs="Arial"/>
                <w:bCs/>
                <w:lang w:eastAsia="es-ES_tradnl"/>
              </w:rPr>
              <w:t xml:space="preserve">. Sin embargo, en este caso aplicará la excepción contemplada en el parágrafo del artículo 56, de manera que </w:t>
            </w:r>
            <w:r w:rsidRPr="009542E0">
              <w:rPr>
                <w:rFonts w:ascii="Verdana" w:eastAsia="Calibri" w:hAnsi="Verdana" w:cs="Arial"/>
                <w:bCs/>
                <w:lang w:val="es-ES_tradnl" w:eastAsia="es-ES_tradnl"/>
              </w:rPr>
              <w:t>estas instituciones de educación superior pública no tendrán que implementar documentos tipo únicamente para la contratación relacionada con el giro ordinario</w:t>
            </w:r>
            <w:r w:rsidRPr="009542E0">
              <w:rPr>
                <w:rFonts w:ascii="Verdana" w:eastAsia="Calibri" w:hAnsi="Verdana" w:cs="Arial"/>
                <w:bCs/>
                <w:i/>
                <w:iCs/>
                <w:lang w:val="es-ES_tradnl" w:eastAsia="es-ES_tradnl"/>
              </w:rPr>
              <w:t xml:space="preserve"> </w:t>
            </w:r>
            <w:r w:rsidRPr="009542E0">
              <w:rPr>
                <w:rFonts w:ascii="Verdana" w:eastAsia="Calibri" w:hAnsi="Verdana" w:cs="Arial"/>
                <w:bCs/>
                <w:lang w:val="es-ES_tradnl" w:eastAsia="es-ES_tradnl"/>
              </w:rPr>
              <w:t xml:space="preserve">de sus asuntos, sin perjuicio de que incluso en los casos en que aplique la excepción los manuales internos de contratación de estas entidades dispongan la obligación de tener en cuenta los documentos tipo o parte de ellos como una buena práctica contractual. </w:t>
            </w:r>
          </w:p>
          <w:p w14:paraId="6EAB8DA0" w14:textId="77777777" w:rsidR="009542E0" w:rsidRPr="009542E0" w:rsidRDefault="009542E0" w:rsidP="009542E0">
            <w:pPr>
              <w:tabs>
                <w:tab w:val="left" w:pos="0"/>
              </w:tabs>
              <w:spacing w:before="120" w:after="120" w:line="276" w:lineRule="auto"/>
              <w:ind w:firstLine="709"/>
              <w:jc w:val="both"/>
              <w:rPr>
                <w:rFonts w:ascii="Verdana" w:eastAsia="Calibri" w:hAnsi="Verdana" w:cs="Arial"/>
                <w:bCs/>
                <w:lang w:val="es-ES_tradnl" w:eastAsia="es-ES_tradnl"/>
              </w:rPr>
            </w:pPr>
            <w:r w:rsidRPr="009542E0">
              <w:rPr>
                <w:rFonts w:ascii="Verdana" w:eastAsia="Calibri" w:hAnsi="Verdana" w:cs="Arial"/>
                <w:bCs/>
                <w:lang w:val="es-ES_tradnl" w:eastAsia="es-ES_tradnl"/>
              </w:rPr>
              <w:t>En conclusión, a juicio de esta Agencia lo dispuesto en el parágrafo del artículo 56 de la Ley 2195 de 2022, es una manifestación de la voluntad del Legislador de relevar a las instituciones de educación superior públicas que cuentan con un régimen especial, y las demás entidades allí mencionadas, de la implementación de documentos tipo y de la aplicación del EGCAP, únicamente en lo que tiene que ver con su giro ordinario. Esto significa que tales entidades, cuando en desarrollo de un contrato o un convenio con una entidad sometida al EGCAP, requieran contratar un objeto cobijado por algún documento tipo, que no esté comprendido dentro de su giro ordinario</w:t>
            </w:r>
            <w:r w:rsidRPr="009542E0">
              <w:rPr>
                <w:rFonts w:ascii="Verdana" w:eastAsia="Calibri" w:hAnsi="Verdana" w:cs="Arial"/>
                <w:bCs/>
                <w:i/>
                <w:iCs/>
                <w:lang w:val="es-ES_tradnl" w:eastAsia="es-ES_tradnl"/>
              </w:rPr>
              <w:t>,</w:t>
            </w:r>
            <w:r w:rsidRPr="009542E0">
              <w:rPr>
                <w:rFonts w:ascii="Verdana" w:eastAsia="Calibri" w:hAnsi="Verdana" w:cs="Arial"/>
                <w:bCs/>
                <w:lang w:val="es-ES_tradnl" w:eastAsia="es-ES_tradnl"/>
              </w:rPr>
              <w:t xml:space="preserve"> deberán regirse por lo establecido en los dos incisos del referido artículo. Esta interpretación encuentra sustento en el principio del efecto útil del artículo 56 de la Ley 2195 de 2022, pues refleja el alcance que el Legislador quiso darle a la norma en comento.  </w:t>
            </w:r>
          </w:p>
          <w:p w14:paraId="46652E75" w14:textId="77777777" w:rsidR="009542E0" w:rsidRPr="009542E0" w:rsidRDefault="009542E0" w:rsidP="009542E0">
            <w:pPr>
              <w:tabs>
                <w:tab w:val="left" w:pos="0"/>
              </w:tabs>
              <w:spacing w:after="120" w:line="276" w:lineRule="auto"/>
              <w:ind w:firstLine="709"/>
              <w:jc w:val="both"/>
              <w:rPr>
                <w:rFonts w:ascii="Verdana" w:eastAsia="Times New Roman" w:hAnsi="Verdana" w:cs="Arial"/>
                <w:lang w:eastAsia="x-none"/>
              </w:rPr>
            </w:pPr>
            <w:r w:rsidRPr="009542E0">
              <w:rPr>
                <w:rFonts w:ascii="Verdana" w:eastAsia="Calibri" w:hAnsi="Verdana" w:cs="Arial"/>
                <w:bCs/>
                <w:lang w:eastAsia="es-ES_tradnl"/>
              </w:rPr>
              <w:t>Concretamente, para efectos de su solicitud, le indicamos que, para efectos de responder su consulta es pertinente indicar que el parágrafo del artículo 56 de la Ley 2195 de 2022 se refiere de forma genérica a las instituciones de educación superior públicas. Por tanto, como se indicó en el desarrollo de este concepto, para su aplicación lo importante es determinar que la entidad cuente con la naturaleza de institución de educación superior pública con régimen de contratación especial, esto es, exceptuado del EGCAP. De este modo, será cada entidad la</w:t>
            </w:r>
            <w:r w:rsidRPr="009542E0">
              <w:rPr>
                <w:rFonts w:ascii="Verdana" w:eastAsia="Calibri" w:hAnsi="Verdana" w:cs="Arial"/>
                <w:bCs/>
                <w:color w:val="000000"/>
                <w:lang w:eastAsia="es-CO"/>
              </w:rPr>
              <w:t xml:space="preserve"> que, en ejercicio de su competencia, debe determinar si</w:t>
            </w:r>
            <w:r w:rsidRPr="009542E0">
              <w:rPr>
                <w:rFonts w:ascii="Verdana" w:eastAsia="Calibri" w:hAnsi="Verdana" w:cs="Arial"/>
                <w:bCs/>
                <w:lang w:eastAsia="es-ES_tradnl"/>
              </w:rPr>
              <w:t xml:space="preserve"> resulta procedente la aplicación del parágrafo del artículo 56 </w:t>
            </w:r>
            <w:r w:rsidRPr="009542E0">
              <w:rPr>
                <w:rFonts w:ascii="Verdana" w:eastAsia="Calibri" w:hAnsi="Verdana" w:cs="Arial"/>
                <w:bCs/>
                <w:lang w:eastAsia="es-ES_tradnl"/>
              </w:rPr>
              <w:lastRenderedPageBreak/>
              <w:t xml:space="preserve">teniendo en cuenta la naturaleza jurídica de esta y lo que establezcan sus normas estatutarias –actos de creación y demás reglamentos–. </w:t>
            </w:r>
            <w:r w:rsidRPr="009542E0">
              <w:rPr>
                <w:rFonts w:ascii="Verdana" w:eastAsia="Calibri" w:hAnsi="Verdana" w:cs="Arial"/>
                <w:bCs/>
                <w:color w:val="000000"/>
                <w:lang w:eastAsia="es-CO"/>
              </w:rPr>
              <w:t>Al tratarse de un análisis que se debe realizar en cada caso concreto, la Agencia,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w:t>
            </w:r>
            <w:r w:rsidRPr="009542E0">
              <w:rPr>
                <w:rFonts w:ascii="Verdana" w:eastAsia="Times New Roman" w:hAnsi="Verdana" w:cs="Arial"/>
                <w:lang w:eastAsia="x-none"/>
              </w:rPr>
              <w:t>.</w:t>
            </w:r>
          </w:p>
          <w:p w14:paraId="32B41798" w14:textId="77777777" w:rsidR="009542E0" w:rsidRPr="009542E0" w:rsidRDefault="009542E0" w:rsidP="009542E0">
            <w:pPr>
              <w:spacing w:after="120" w:line="276" w:lineRule="auto"/>
              <w:jc w:val="both"/>
              <w:rPr>
                <w:rFonts w:ascii="Verdana" w:eastAsia="Times New Roman" w:hAnsi="Verdana" w:cs="Times New Roman"/>
                <w:lang w:eastAsia="es-MX"/>
              </w:rPr>
            </w:pPr>
            <w:r w:rsidRPr="009542E0">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1F9FAEF" w14:textId="77777777" w:rsidR="009542E0" w:rsidRPr="009542E0" w:rsidRDefault="009542E0" w:rsidP="009542E0">
            <w:pPr>
              <w:spacing w:line="276" w:lineRule="auto"/>
              <w:ind w:firstLine="708"/>
              <w:jc w:val="both"/>
              <w:rPr>
                <w:rFonts w:ascii="Verdana" w:eastAsia="Calibri" w:hAnsi="Verdana" w:cs="Arial"/>
                <w:bCs/>
                <w:color w:val="000000"/>
                <w:lang w:eastAsia="es-MX"/>
              </w:rPr>
            </w:pPr>
            <w:r w:rsidRPr="009542E0">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tc>
      </w:tr>
    </w:tbl>
    <w:p w14:paraId="1643534B" w14:textId="77777777" w:rsidR="009542E0" w:rsidRPr="009542E0" w:rsidRDefault="009542E0" w:rsidP="009542E0">
      <w:pPr>
        <w:tabs>
          <w:tab w:val="left" w:pos="142"/>
          <w:tab w:val="left" w:pos="284"/>
        </w:tabs>
        <w:spacing w:after="0" w:line="276" w:lineRule="auto"/>
        <w:jc w:val="both"/>
        <w:rPr>
          <w:rFonts w:ascii="Verdana" w:eastAsia="Century Gothic" w:hAnsi="Verdana" w:cs="Century Gothic"/>
          <w:b/>
          <w:bCs/>
          <w:lang w:val="es-ES" w:eastAsia="es-MX"/>
        </w:rPr>
      </w:pPr>
    </w:p>
    <w:p w14:paraId="2FDF2CDA" w14:textId="77777777" w:rsidR="009542E0" w:rsidRPr="009542E0" w:rsidRDefault="009542E0" w:rsidP="009542E0">
      <w:pPr>
        <w:tabs>
          <w:tab w:val="left" w:pos="142"/>
          <w:tab w:val="left" w:pos="284"/>
        </w:tabs>
        <w:spacing w:after="0" w:line="276" w:lineRule="auto"/>
        <w:jc w:val="both"/>
        <w:rPr>
          <w:rFonts w:ascii="Verdana" w:eastAsia="Century Gothic" w:hAnsi="Verdana" w:cs="Century Gothic"/>
          <w:b/>
          <w:bCs/>
          <w:lang w:val="es-ES" w:eastAsia="es-MX"/>
        </w:rPr>
      </w:pPr>
      <w:r w:rsidRPr="009542E0">
        <w:rPr>
          <w:rFonts w:ascii="Verdana" w:eastAsia="Century Gothic" w:hAnsi="Verdana" w:cs="Century Gothic"/>
          <w:b/>
          <w:bCs/>
          <w:lang w:val="es-ES" w:eastAsia="es-MX"/>
        </w:rPr>
        <w:t>3. Razones de la respuesta:</w:t>
      </w:r>
    </w:p>
    <w:p w14:paraId="1FC88169" w14:textId="77777777" w:rsidR="009542E0" w:rsidRPr="009542E0" w:rsidRDefault="009542E0" w:rsidP="009542E0">
      <w:pPr>
        <w:spacing w:after="0" w:line="276" w:lineRule="auto"/>
        <w:jc w:val="both"/>
        <w:rPr>
          <w:rFonts w:ascii="Verdana" w:eastAsia="Calibri" w:hAnsi="Verdana" w:cs="Arial"/>
          <w:lang w:val="es-ES" w:eastAsia="es-MX"/>
        </w:rPr>
      </w:pPr>
    </w:p>
    <w:p w14:paraId="6A19674B" w14:textId="77777777" w:rsidR="009542E0" w:rsidRPr="009542E0" w:rsidRDefault="009542E0" w:rsidP="009542E0">
      <w:pPr>
        <w:spacing w:after="120" w:line="276" w:lineRule="auto"/>
        <w:jc w:val="both"/>
        <w:rPr>
          <w:rFonts w:ascii="Verdana" w:eastAsia="Calibri" w:hAnsi="Verdana" w:cs="Arial"/>
          <w:lang w:val="es-ES_tradnl" w:eastAsia="es-ES"/>
        </w:rPr>
      </w:pPr>
      <w:bookmarkStart w:id="2" w:name="_Hlk176861190"/>
      <w:bookmarkStart w:id="3" w:name="_Hlk176877108"/>
      <w:r w:rsidRPr="009542E0">
        <w:rPr>
          <w:rFonts w:ascii="Verdana" w:eastAsia="Calibri" w:hAnsi="Verdana" w:cs="Arial"/>
          <w:lang w:val="es-ES_tradnl" w:eastAsia="es-ES"/>
        </w:rPr>
        <w:t xml:space="preserve">i. La </w:t>
      </w:r>
      <w:bookmarkStart w:id="4" w:name="_Hlk176876754"/>
      <w:r w:rsidRPr="009542E0">
        <w:rPr>
          <w:rFonts w:ascii="Verdana" w:eastAsia="Calibri" w:hAnsi="Verdana" w:cs="Arial"/>
          <w:lang w:val="es-ES_tradnl" w:eastAsia="es-ES"/>
        </w:rPr>
        <w:t>Ley 2022 de 2020, modificó el contenido del parágrafo 7 del artículo 2 de la Ley 1150 de 2007, que había sido adicionado por la Ley 1882 de 2018</w:t>
      </w:r>
      <w:bookmarkEnd w:id="4"/>
      <w:r w:rsidRPr="009542E0">
        <w:rPr>
          <w:rFonts w:ascii="Verdana" w:eastAsia="Times New Roman" w:hAnsi="Verdana" w:cs="Times New Roman"/>
          <w:vertAlign w:val="superscript"/>
          <w:lang w:eastAsia="es-ES"/>
        </w:rPr>
        <w:footnoteReference w:id="7"/>
      </w:r>
      <w:r w:rsidRPr="009542E0">
        <w:rPr>
          <w:rFonts w:ascii="Verdana" w:eastAsia="Calibri" w:hAnsi="Verdana" w:cs="Arial"/>
          <w:lang w:val="es-ES_tradnl" w:eastAsia="es-ES"/>
        </w:rPr>
        <w:t xml:space="preserve">. Con </w:t>
      </w:r>
      <w:r w:rsidRPr="009542E0">
        <w:rPr>
          <w:rFonts w:ascii="Verdana" w:eastAsia="Calibri" w:hAnsi="Verdana" w:cs="Arial"/>
          <w:lang w:val="es-ES_tradnl" w:eastAsia="es-ES"/>
        </w:rPr>
        <w:lastRenderedPageBreak/>
        <w:t xml:space="preserve">esta modificación, si bien se mantuvo el mandato de aplicación obligatoria de los Documentos Tipo por parte de las entidades sometidas al </w:t>
      </w:r>
      <w:r w:rsidRPr="009542E0">
        <w:rPr>
          <w:rFonts w:ascii="Verdana" w:eastAsia="Calibri" w:hAnsi="Verdana" w:cs="Arial"/>
          <w:bCs/>
          <w:lang w:val="es-ES_tradnl" w:eastAsia="es-ES_tradnl"/>
        </w:rPr>
        <w:t>EGCAP</w:t>
      </w:r>
      <w:r w:rsidRPr="009542E0">
        <w:rPr>
          <w:rFonts w:ascii="Verdana" w:eastAsia="Calibri" w:hAnsi="Verdana" w:cs="Arial"/>
          <w:lang w:val="es-ES_tradnl" w:eastAsia="es-ES"/>
        </w:rPr>
        <w:t xml:space="preserve">, se atribuyó a la </w:t>
      </w:r>
      <w:r w:rsidRPr="009542E0">
        <w:rPr>
          <w:rFonts w:ascii="Verdana" w:eastAsia="Calibri" w:hAnsi="Verdana" w:cs="Arial"/>
          <w:lang w:val="es-ES_tradnl" w:eastAsia="es-ES_tradnl"/>
        </w:rPr>
        <w:t xml:space="preserve">Agencia Nacional de Contratación Pública – Colombia Compra Eficiente la competencia para su expedición. </w:t>
      </w:r>
    </w:p>
    <w:p w14:paraId="6B9C9364" w14:textId="77777777" w:rsidR="009542E0" w:rsidRPr="009542E0" w:rsidRDefault="009542E0" w:rsidP="009542E0">
      <w:pPr>
        <w:spacing w:after="120" w:line="276" w:lineRule="auto"/>
        <w:ind w:firstLine="709"/>
        <w:jc w:val="both"/>
        <w:rPr>
          <w:rFonts w:ascii="Verdana" w:eastAsia="Aptos" w:hAnsi="Verdana" w:cs="Arial"/>
          <w:lang w:val="es-ES" w:eastAsia="es-MX"/>
        </w:rPr>
      </w:pPr>
      <w:r w:rsidRPr="009542E0">
        <w:rPr>
          <w:rFonts w:ascii="Verdana" w:eastAsia="Aptos" w:hAnsi="Verdana" w:cs="Arial"/>
          <w:lang w:val="es-ES" w:eastAsia="es-MX"/>
        </w:rPr>
        <w:t xml:space="preserve">Con sustento en esta competencia, esta Agencia ha expedido diversos grupos de Documentos Tipo aplicables principalmente a la contratación de obras públicas de infraestructura de transporte, agua potable,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 </w:t>
      </w:r>
    </w:p>
    <w:p w14:paraId="70CF59C9" w14:textId="77777777" w:rsidR="009542E0" w:rsidRPr="009542E0" w:rsidRDefault="009542E0" w:rsidP="009542E0">
      <w:pPr>
        <w:spacing w:after="120" w:line="276" w:lineRule="auto"/>
        <w:ind w:firstLine="708"/>
        <w:jc w:val="both"/>
        <w:rPr>
          <w:rFonts w:ascii="Verdana" w:eastAsia="Calibri" w:hAnsi="Verdana" w:cs="Arial"/>
          <w:lang w:eastAsia="es-MX"/>
        </w:rPr>
      </w:pPr>
      <w:r w:rsidRPr="009542E0">
        <w:rPr>
          <w:rFonts w:ascii="Verdana" w:eastAsia="Calibri" w:hAnsi="Verdana" w:cs="Arial"/>
          <w:lang w:eastAsia="es-ES_tradnl"/>
        </w:rPr>
        <w:lastRenderedPageBreak/>
        <w:t xml:space="preserve">De acuerdo con lo expuesto, </w:t>
      </w:r>
      <w:r w:rsidRPr="009542E0">
        <w:rPr>
          <w:rFonts w:ascii="Verdana" w:eastAsia="Calibri" w:hAnsi="Verdana" w:cs="Arial"/>
          <w:bdr w:val="none" w:sz="0" w:space="0" w:color="auto" w:frame="1"/>
          <w:lang w:eastAsia="es-ES_tradnl"/>
        </w:rPr>
        <w:t xml:space="preserve">los Documentos Tipo adoptados son obligatorios para las Entidades Estatales regidas por el </w:t>
      </w:r>
      <w:r w:rsidRPr="009542E0">
        <w:rPr>
          <w:rFonts w:ascii="Verdana" w:eastAsia="Calibri" w:hAnsi="Verdana" w:cs="Arial"/>
          <w:bCs/>
          <w:lang w:val="es-ES_tradnl" w:eastAsia="es-ES_tradnl"/>
        </w:rPr>
        <w:t>EGCAP</w:t>
      </w:r>
      <w:r w:rsidRPr="009542E0">
        <w:rPr>
          <w:rFonts w:ascii="Verdana" w:eastAsia="Calibri" w:hAnsi="Verdana" w:cs="Arial"/>
          <w:bdr w:val="none" w:sz="0" w:space="0" w:color="auto" w:frame="1"/>
          <w:lang w:eastAsia="es-ES_tradnl"/>
        </w:rPr>
        <w:t xml:space="preserve"> que adelanten Procesos de Contratación mediante las modalidades de selección y objetos contractuales cobijados por alguno de los Documentos Tipo vigentes en los diferentes sectores</w:t>
      </w:r>
      <w:r w:rsidRPr="009542E0">
        <w:rPr>
          <w:rFonts w:ascii="Verdana" w:eastAsia="Calibri" w:hAnsi="Verdana" w:cs="Arial"/>
          <w:bdr w:val="none" w:sz="0" w:space="0" w:color="auto" w:frame="1"/>
          <w:vertAlign w:val="superscript"/>
          <w:lang w:eastAsia="es-ES_tradnl"/>
        </w:rPr>
        <w:footnoteReference w:id="8"/>
      </w:r>
      <w:r w:rsidRPr="009542E0">
        <w:rPr>
          <w:rFonts w:ascii="Verdana" w:eastAsia="Calibri" w:hAnsi="Verdana" w:cs="Arial"/>
          <w:bdr w:val="none" w:sz="0" w:space="0" w:color="auto" w:frame="1"/>
          <w:lang w:eastAsia="es-ES_tradnl"/>
        </w:rPr>
        <w:t xml:space="preserve">. </w:t>
      </w:r>
      <w:r w:rsidRPr="009542E0">
        <w:rPr>
          <w:rFonts w:ascii="Verdana" w:eastAsia="Calibri" w:hAnsi="Verdana" w:cs="Arial"/>
          <w:lang w:eastAsia="es-MX"/>
        </w:rPr>
        <w:t xml:space="preserve">Esta obligatoriedad implica, a su vez, que las Entidades Estatales tengan que adelantar los Procesos de Contratación bajo las condiciones establecidas en los Documentos Tipo que rijan para el objeto a contratar y el procedimiento de selección aplicables, sin que puedan variarse los requisitos fijados en ellos. Lo anterior, por cuanto los Documentos Tipo se caracterizan por ser inalterables, es decir, que las Entidades Públicas carecen de la facultad de modificarlos, con excepción de aquellos aspectos que pueden diligenciar, que son las descripciones que están incluidas entre corchetes y resaltadas en gris en cada uno de los Documentos Tipo. </w:t>
      </w:r>
    </w:p>
    <w:p w14:paraId="5DB47AF7" w14:textId="77777777" w:rsidR="009542E0" w:rsidRPr="009542E0" w:rsidRDefault="009542E0" w:rsidP="009542E0">
      <w:pPr>
        <w:spacing w:after="120" w:line="276" w:lineRule="auto"/>
        <w:ind w:firstLine="709"/>
        <w:jc w:val="both"/>
        <w:rPr>
          <w:rFonts w:ascii="Verdana" w:eastAsia="Calibri" w:hAnsi="Verdana" w:cs="Arial"/>
          <w:lang w:val="es-ES" w:eastAsia="es-MX"/>
        </w:rPr>
      </w:pPr>
      <w:r w:rsidRPr="009542E0">
        <w:rPr>
          <w:rFonts w:ascii="Verdana" w:eastAsia="Calibri" w:hAnsi="Verdana" w:cs="Arial"/>
          <w:shd w:val="clear" w:color="auto" w:fill="FFFFFF"/>
          <w:lang w:val="es-ES" w:eastAsia="es-MX"/>
        </w:rPr>
        <w:t xml:space="preserve">En ese orden, </w:t>
      </w:r>
      <w:r w:rsidRPr="009542E0">
        <w:rPr>
          <w:rFonts w:ascii="Verdana" w:eastAsia="Calibri" w:hAnsi="Verdana" w:cs="Arial"/>
          <w:lang w:val="es-ES" w:eastAsia="es-MX"/>
        </w:rPr>
        <w:t xml:space="preserve">las Entidades Estatales regidas por el EGCAP, de conformidad con el parágrafo 7 del artículo 2 de la Ley 1150 de 2007, adicionado por la Ley 1882 de 2018 y modificado por la Ley 2022 de 2020, se encuentran obligadas a aplicar los Documentos Tipo implementados por esta Agencia para adelantar los Procesos de Contratación que se encuentren cobijados por los Documentos Tipo expedidos. Sin embargo, si el objeto contractual no se relaciona con actividades u objetos contractuales descritos en los Documentos Tipo que han sido expedidos por Colombia Compra Eficiente, o estos no aplican a la modalidad de escogencia aplicable, no será obligatorio aplicar los Pliegos Tipo. </w:t>
      </w:r>
    </w:p>
    <w:p w14:paraId="6FDE34D0" w14:textId="77777777" w:rsidR="009542E0" w:rsidRPr="009542E0" w:rsidRDefault="009542E0" w:rsidP="009542E0">
      <w:pPr>
        <w:spacing w:after="120" w:line="276" w:lineRule="auto"/>
        <w:ind w:firstLine="709"/>
        <w:jc w:val="both"/>
        <w:rPr>
          <w:rFonts w:ascii="Verdana" w:eastAsia="Calibri" w:hAnsi="Verdana" w:cs="Arial"/>
          <w:lang w:val="es-ES_tradnl" w:eastAsia="es-MX"/>
        </w:rPr>
      </w:pPr>
      <w:r w:rsidRPr="009542E0">
        <w:rPr>
          <w:rFonts w:ascii="Verdana" w:eastAsia="Calibri" w:hAnsi="Verdana" w:cs="Arial"/>
          <w:lang w:val="es-ES" w:eastAsia="es-MX"/>
        </w:rPr>
        <w:t xml:space="preserve">Además del objeto y la modalidad de escogencia aplicable, para delimitar de forma más precisa el ámbito de aplicación de cada uno de los Documentos Tipo será necesario analizar la matriz de experiencia asociada a cada uno de ellos, pues estos aplicarán a los proyectos y/o actividades específicas contempladas en cada una de dichas matrices de experiencia. En este sentido, la matriz de experiencia de cada uno de los Documentos Tipo, además de estandarizar este importante requisito en los procedimientos de selección, </w:t>
      </w:r>
      <w:r w:rsidRPr="009542E0">
        <w:rPr>
          <w:rFonts w:ascii="Verdana" w:eastAsia="Calibri" w:hAnsi="Verdana" w:cs="Arial"/>
          <w:lang w:val="es-ES" w:eastAsia="es-MX"/>
        </w:rPr>
        <w:lastRenderedPageBreak/>
        <w:t>delimita o precisa el ámbito de aplicación de estos, por lo que aplicarán a las actividades establecidas en cada una de estas matrices</w:t>
      </w:r>
      <w:r w:rsidRPr="009542E0">
        <w:rPr>
          <w:rFonts w:ascii="Verdana" w:eastAsia="Calibri" w:hAnsi="Verdana" w:cs="Arial"/>
          <w:vertAlign w:val="superscript"/>
          <w:lang w:val="es-ES" w:eastAsia="es-MX"/>
        </w:rPr>
        <w:footnoteReference w:id="9"/>
      </w:r>
      <w:r w:rsidRPr="009542E0">
        <w:rPr>
          <w:rFonts w:ascii="Verdana" w:eastAsia="Calibri" w:hAnsi="Verdana" w:cs="Arial"/>
          <w:lang w:val="es-ES" w:eastAsia="es-MX"/>
        </w:rPr>
        <w:t>.</w:t>
      </w:r>
    </w:p>
    <w:p w14:paraId="3A9CFCA9" w14:textId="77777777" w:rsidR="009542E0" w:rsidRPr="009542E0" w:rsidRDefault="009542E0" w:rsidP="009542E0">
      <w:pPr>
        <w:spacing w:after="120" w:line="276" w:lineRule="auto"/>
        <w:jc w:val="both"/>
        <w:rPr>
          <w:rFonts w:ascii="Verdana" w:eastAsia="Aptos" w:hAnsi="Verdana" w:cs="Arial"/>
          <w:lang w:val="es-ES" w:eastAsia="es-MX"/>
        </w:rPr>
      </w:pPr>
      <w:r w:rsidRPr="009542E0">
        <w:rPr>
          <w:rFonts w:ascii="Verdana" w:eastAsia="Aptos" w:hAnsi="Verdana" w:cs="Arial"/>
          <w:lang w:val="es-ES" w:eastAsia="es-MX"/>
        </w:rPr>
        <w:tab/>
      </w:r>
      <w:bookmarkStart w:id="5" w:name="_Hlk104104535"/>
      <w:r w:rsidRPr="009542E0">
        <w:rPr>
          <w:rFonts w:ascii="Verdana" w:eastAsia="Aptos" w:hAnsi="Verdana" w:cs="Arial"/>
          <w:lang w:val="es-ES" w:eastAsia="es-MX"/>
        </w:rPr>
        <w:t xml:space="preserve">En conclusión, la definición de si a un Proceso de Contratación le aplican los Documentos Tipo radicará en si el contrato a ejecutar </w:t>
      </w:r>
      <w:proofErr w:type="gramStart"/>
      <w:r w:rsidRPr="009542E0">
        <w:rPr>
          <w:rFonts w:ascii="Verdana" w:eastAsia="Aptos" w:hAnsi="Verdana" w:cs="Arial"/>
          <w:lang w:val="es-ES" w:eastAsia="es-MX"/>
        </w:rPr>
        <w:t>se enmarca dentro de</w:t>
      </w:r>
      <w:proofErr w:type="gramEnd"/>
      <w:r w:rsidRPr="009542E0">
        <w:rPr>
          <w:rFonts w:ascii="Verdana" w:eastAsia="Aptos" w:hAnsi="Verdana" w:cs="Arial"/>
          <w:lang w:val="es-ES" w:eastAsia="es-MX"/>
        </w:rPr>
        <w:t xml:space="preserve"> las actividades establecidas en la matriz de experiencia del Documento Tipo, de modo que las Entidades Estatales sometidas al EGCAP deberán aplicar los Documentos Tipo en dichos supuestos. En todo caso, independientemente de la correspondencia entre el objeto a contratar y alguna de las actividades tipificadas en las matrices de experiencia, la aplicación del Documento Tipo solo será forzosa, si además el correspondiente Documento Tipo ha sido expedido para la modalidad de escogencia en la que se debe adelantar el proceso de selección. </w:t>
      </w:r>
      <w:bookmarkEnd w:id="5"/>
    </w:p>
    <w:p w14:paraId="3395A4DB" w14:textId="77777777" w:rsidR="009542E0" w:rsidRPr="009542E0" w:rsidRDefault="009542E0" w:rsidP="009542E0">
      <w:pPr>
        <w:spacing w:after="120" w:line="276" w:lineRule="auto"/>
        <w:ind w:firstLine="708"/>
        <w:jc w:val="both"/>
        <w:rPr>
          <w:rFonts w:ascii="Verdana" w:eastAsia="Aptos" w:hAnsi="Verdana" w:cs="Arial"/>
          <w:lang w:val="es-ES" w:eastAsia="es-MX"/>
        </w:rPr>
      </w:pPr>
      <w:r w:rsidRPr="009542E0">
        <w:rPr>
          <w:rFonts w:ascii="Verdana" w:eastAsia="Calibri" w:hAnsi="Verdana" w:cs="Arial"/>
          <w:bCs/>
          <w:lang w:val="es-ES_tradnl" w:eastAsia="es-ES_tradnl"/>
        </w:rPr>
        <w:t xml:space="preserve">Conforme se explicó en los párrafos anteriores, en virtud de la Ley 2022 de 2020, los Documentos Tipo expedidos por la Agencia Nacional de Contratación Pública – Colombia Compra Eficiente son de aplicación obligatoria para las Entidades Estatales sometidas al EGCAP. En ese sentido, el contenido normativo de la Ley 2022 de 2020, y en su momento también de la Ley 1882 de 2018, excluyen del ámbito de aplicación de los Documentos Tipo la contratación de Entidades Estatales de régimen exceptuado, por lo general, sujetas al derecho privado. </w:t>
      </w:r>
    </w:p>
    <w:p w14:paraId="0EE227A6" w14:textId="77777777" w:rsidR="009542E0" w:rsidRPr="009542E0" w:rsidRDefault="009542E0" w:rsidP="009542E0">
      <w:pPr>
        <w:spacing w:after="120" w:line="276" w:lineRule="auto"/>
        <w:jc w:val="both"/>
        <w:rPr>
          <w:rFonts w:ascii="Verdana" w:eastAsia="Calibri" w:hAnsi="Verdana" w:cs="Arial"/>
          <w:lang w:val="es-ES" w:eastAsia="es-ES"/>
        </w:rPr>
      </w:pPr>
      <w:proofErr w:type="spellStart"/>
      <w:r w:rsidRPr="009542E0">
        <w:rPr>
          <w:rFonts w:ascii="Verdana" w:eastAsia="Calibri" w:hAnsi="Verdana" w:cs="Arial"/>
          <w:lang w:val="es-ES" w:eastAsia="es-ES"/>
        </w:rPr>
        <w:t>ii</w:t>
      </w:r>
      <w:proofErr w:type="spellEnd"/>
      <w:r w:rsidRPr="009542E0">
        <w:rPr>
          <w:rFonts w:ascii="Verdana" w:eastAsia="Calibri" w:hAnsi="Verdana" w:cs="Arial"/>
          <w:lang w:val="es-ES" w:eastAsia="es-ES"/>
        </w:rPr>
        <w:t xml:space="preserve">. No obstante, este panorama varió con la expedición de la Ley 2195 de 2022, “Por medio de la cual se adoptan medidas en materia de transparencia, prevención y lucha contra la corrupción y se dictan otras disposiciones”. De conformidad con su artículo 1, esta norma tiene por objeto la adopción de diferentes medidas tendientes a prevenir los actos de corrupción, reforzar la articulación de las entidades del Estado y a recuperar los daños ocasionados por la corrupción, promoviendo la cultura de la legalidad e integridad. </w:t>
      </w:r>
    </w:p>
    <w:p w14:paraId="1517C6BA" w14:textId="77777777" w:rsidR="009542E0" w:rsidRPr="009542E0" w:rsidRDefault="009542E0" w:rsidP="009542E0">
      <w:pPr>
        <w:spacing w:after="0" w:line="276" w:lineRule="auto"/>
        <w:ind w:firstLine="708"/>
        <w:jc w:val="both"/>
        <w:rPr>
          <w:rFonts w:ascii="Verdana" w:eastAsia="Calibri" w:hAnsi="Verdana" w:cs="Arial"/>
          <w:bCs/>
          <w:lang w:val="es-ES_tradnl" w:eastAsia="es-ES_tradnl"/>
        </w:rPr>
      </w:pPr>
      <w:r w:rsidRPr="009542E0">
        <w:rPr>
          <w:rFonts w:ascii="Verdana" w:eastAsia="Calibri" w:hAnsi="Verdana" w:cs="Arial"/>
          <w:bCs/>
          <w:lang w:val="es-ES_tradnl" w:eastAsia="es-ES_tradnl"/>
        </w:rPr>
        <w:lastRenderedPageBreak/>
        <w:t>Entre las medidas adoptadas por la Ley mencionada se destaca el artículo 56, norma sobre la que versa la presente consulta. Esta disposición se refiere de manera expresa a los documentos tipo y a su aplicabilidad a sujetos diferentes de las entidades estatales sometidas al Estatuto General de Contratación de la Administración Pública:</w:t>
      </w:r>
    </w:p>
    <w:p w14:paraId="4C2F829E" w14:textId="77777777" w:rsidR="009542E0" w:rsidRPr="009542E0" w:rsidRDefault="009542E0" w:rsidP="009542E0">
      <w:pPr>
        <w:tabs>
          <w:tab w:val="left" w:pos="0"/>
        </w:tabs>
        <w:spacing w:after="0" w:line="276" w:lineRule="auto"/>
        <w:jc w:val="both"/>
        <w:rPr>
          <w:rFonts w:ascii="Arial" w:eastAsia="Calibri" w:hAnsi="Arial" w:cs="Arial"/>
          <w:bCs/>
          <w:szCs w:val="24"/>
          <w:lang w:val="es-ES_tradnl" w:eastAsia="es-ES_tradnl"/>
        </w:rPr>
      </w:pPr>
    </w:p>
    <w:p w14:paraId="55B2D850" w14:textId="77777777" w:rsidR="009542E0" w:rsidRPr="009542E0" w:rsidRDefault="009542E0" w:rsidP="009542E0">
      <w:pPr>
        <w:tabs>
          <w:tab w:val="left" w:pos="0"/>
        </w:tabs>
        <w:spacing w:after="120" w:line="240" w:lineRule="auto"/>
        <w:ind w:left="709" w:right="709"/>
        <w:jc w:val="both"/>
        <w:rPr>
          <w:rFonts w:ascii="Verdana" w:eastAsia="Times New Roman" w:hAnsi="Verdana" w:cs="Arial"/>
          <w:sz w:val="20"/>
          <w:szCs w:val="20"/>
          <w:lang w:val="es-ES_tradnl" w:eastAsia="es-ES_tradnl"/>
        </w:rPr>
      </w:pPr>
      <w:r w:rsidRPr="009542E0">
        <w:rPr>
          <w:rFonts w:ascii="Verdana" w:eastAsia="Times New Roman" w:hAnsi="Verdana" w:cs="Arial"/>
          <w:sz w:val="20"/>
          <w:szCs w:val="20"/>
          <w:lang w:val="es-ES_tradnl" w:eastAsia="es-ES_tradnl"/>
        </w:rPr>
        <w:t xml:space="preserve">Artículo 56. Aplicación de los documentos tipo a entidades de régimen especial. Para la adquisición de bienes, obras o servicios, las entidades estatales sometidas al Estatuto General de Contratación de la Administración Pública que celebren contratos o convenios interadministrativos o de cualquier otra índole, con otra entidad estatal o con patrimonios autónomos o con personas naturales o jurídicas de derecho privado, cuyo régimen de contratación sea especial o de derecho privado, deberán aplicar los documentos tipo adoptados por la Agencia Nacional de Contratación Pública - Colombia Compra Eficiente o quien haga sus veces, conforme al parágrafo 7 del artículo 2 de la Ley 1150 de 2007 o las normas que lo modifiquen o sustituyan. </w:t>
      </w:r>
    </w:p>
    <w:p w14:paraId="49216B00" w14:textId="77777777" w:rsidR="009542E0" w:rsidRPr="009542E0" w:rsidRDefault="009542E0" w:rsidP="009542E0">
      <w:pPr>
        <w:tabs>
          <w:tab w:val="left" w:pos="0"/>
        </w:tabs>
        <w:spacing w:after="120" w:line="240" w:lineRule="auto"/>
        <w:ind w:left="709" w:right="709"/>
        <w:jc w:val="both"/>
        <w:rPr>
          <w:rFonts w:ascii="Verdana" w:eastAsia="Times New Roman" w:hAnsi="Verdana" w:cs="Arial"/>
          <w:sz w:val="20"/>
          <w:szCs w:val="20"/>
          <w:lang w:val="es-ES_tradnl" w:eastAsia="es-ES_tradnl"/>
        </w:rPr>
      </w:pPr>
      <w:r w:rsidRPr="009542E0">
        <w:rPr>
          <w:rFonts w:ascii="Verdana" w:eastAsia="Times New Roman" w:hAnsi="Verdana" w:cs="Arial"/>
          <w:sz w:val="20"/>
          <w:szCs w:val="20"/>
          <w:lang w:val="es-ES_tradnl" w:eastAsia="es-ES_tradnl"/>
        </w:rPr>
        <w:t xml:space="preserve">Los procedimientos de selección y los contratos que realicen en desarrollo de los anteriores negocios jurídicos, donde apliquen los documentos tipo se regirán por el Estatuto General de Contratación de la Administración Pública. </w:t>
      </w:r>
    </w:p>
    <w:p w14:paraId="2212B518" w14:textId="77777777" w:rsidR="009542E0" w:rsidRPr="009542E0" w:rsidRDefault="009542E0" w:rsidP="009542E0">
      <w:pPr>
        <w:spacing w:after="0" w:line="240" w:lineRule="auto"/>
        <w:ind w:left="709" w:right="709"/>
        <w:jc w:val="both"/>
        <w:rPr>
          <w:rFonts w:ascii="Verdana" w:eastAsia="Calibri" w:hAnsi="Verdana" w:cs="Arial"/>
          <w:sz w:val="20"/>
          <w:szCs w:val="20"/>
          <w:lang w:val="es-ES" w:eastAsia="es-ES"/>
        </w:rPr>
      </w:pPr>
      <w:r w:rsidRPr="009542E0">
        <w:rPr>
          <w:rFonts w:ascii="Verdana" w:eastAsia="Times New Roman" w:hAnsi="Verdana" w:cs="Arial"/>
          <w:sz w:val="20"/>
          <w:szCs w:val="20"/>
          <w:lang w:val="es-ES" w:eastAsia="es-ES"/>
        </w:rPr>
        <w:t xml:space="preserve">Parágrafo. Se exceptúan del presente artículo las Instituciones de Educación Superior públicas, las empresas sociales del Estado, las sociedades de economía mixta y las empresas industriales y comerciales del Estado, únicamente en cuanto a la contratación de su </w:t>
      </w:r>
      <w:r w:rsidRPr="009542E0">
        <w:rPr>
          <w:rFonts w:ascii="Verdana" w:eastAsia="Times New Roman" w:hAnsi="Verdana" w:cs="Arial"/>
          <w:i/>
          <w:iCs/>
          <w:sz w:val="20"/>
          <w:szCs w:val="20"/>
          <w:lang w:val="es-ES" w:eastAsia="es-ES"/>
        </w:rPr>
        <w:t>giro ordinario</w:t>
      </w:r>
      <w:r w:rsidRPr="009542E0">
        <w:rPr>
          <w:rFonts w:ascii="Verdana" w:eastAsia="Times New Roman" w:hAnsi="Verdana" w:cs="Arial"/>
          <w:sz w:val="20"/>
          <w:szCs w:val="20"/>
          <w:lang w:val="es-ES" w:eastAsia="es-ES"/>
        </w:rPr>
        <w:t>. En estos casos, en los manuales de contratación de estas entidades, se fomentará como buena práctica la aplicación de los pliegos tipo.</w:t>
      </w:r>
    </w:p>
    <w:p w14:paraId="42BA283E" w14:textId="77777777" w:rsidR="009542E0" w:rsidRPr="009542E0" w:rsidRDefault="009542E0" w:rsidP="009542E0">
      <w:pPr>
        <w:tabs>
          <w:tab w:val="left" w:pos="0"/>
        </w:tabs>
        <w:spacing w:after="0" w:line="276" w:lineRule="auto"/>
        <w:jc w:val="both"/>
        <w:rPr>
          <w:rFonts w:ascii="Arial" w:eastAsia="Calibri" w:hAnsi="Arial" w:cs="Arial"/>
          <w:bCs/>
          <w:szCs w:val="24"/>
          <w:lang w:val="es-ES_tradnl" w:eastAsia="es-ES_tradnl"/>
        </w:rPr>
      </w:pPr>
    </w:p>
    <w:p w14:paraId="7AA6BA25" w14:textId="77777777" w:rsidR="009542E0" w:rsidRPr="009542E0" w:rsidRDefault="009542E0" w:rsidP="009542E0">
      <w:pPr>
        <w:tabs>
          <w:tab w:val="left" w:pos="0"/>
        </w:tabs>
        <w:spacing w:after="120" w:line="276" w:lineRule="auto"/>
        <w:jc w:val="both"/>
        <w:rPr>
          <w:rFonts w:ascii="Verdana" w:eastAsia="Calibri" w:hAnsi="Verdana" w:cs="Arial"/>
          <w:color w:val="000000"/>
        </w:rPr>
      </w:pPr>
      <w:r w:rsidRPr="009542E0">
        <w:rPr>
          <w:rFonts w:ascii="Arial" w:eastAsia="Calibri" w:hAnsi="Arial" w:cs="Arial"/>
          <w:bCs/>
          <w:szCs w:val="24"/>
          <w:lang w:val="es-ES_tradnl" w:eastAsia="es-ES_tradnl"/>
        </w:rPr>
        <w:tab/>
      </w:r>
      <w:r w:rsidRPr="009542E0">
        <w:rPr>
          <w:rFonts w:ascii="Verdana" w:eastAsia="Calibri" w:hAnsi="Verdana" w:cs="Arial"/>
          <w:bCs/>
          <w:szCs w:val="24"/>
          <w:lang w:val="es-ES_tradnl" w:eastAsia="es-ES_tradnl"/>
        </w:rPr>
        <w:t xml:space="preserve">Las implicaciones de lo establecido en esta norma son variadas y se presentan en múltiples ámbitos de la actividad contractual de las entidades estatales, </w:t>
      </w:r>
      <w:proofErr w:type="gramStart"/>
      <w:r w:rsidRPr="009542E0">
        <w:rPr>
          <w:rFonts w:ascii="Verdana" w:eastAsia="Calibri" w:hAnsi="Verdana" w:cs="Arial"/>
          <w:bCs/>
          <w:szCs w:val="24"/>
          <w:lang w:val="es-ES_tradnl" w:eastAsia="es-ES_tradnl"/>
        </w:rPr>
        <w:t>que</w:t>
      </w:r>
      <w:proofErr w:type="gramEnd"/>
      <w:r w:rsidRPr="009542E0">
        <w:rPr>
          <w:rFonts w:ascii="Verdana" w:eastAsia="Calibri" w:hAnsi="Verdana" w:cs="Arial"/>
          <w:bCs/>
          <w:szCs w:val="24"/>
          <w:lang w:val="es-ES_tradnl" w:eastAsia="es-ES_tradnl"/>
        </w:rPr>
        <w:t xml:space="preserve"> como consecuencia de la entrada en vigor de la disposición en cita, ven alterado su régimen jurídico. </w:t>
      </w:r>
      <w:r w:rsidRPr="009542E0">
        <w:rPr>
          <w:rFonts w:ascii="Verdana" w:eastAsia="Calibri" w:hAnsi="Verdana" w:cs="Arial"/>
          <w:color w:val="000000"/>
        </w:rPr>
        <w:t xml:space="preserve">En tal sentido, para efectos de dar respuesta concreta al problema jurídico planteado y unificar el criterio de esta Subdirección, es importante tener en cuenta las posturas que se han sustentado en torno al alcance del artículo 56 de la Ley 2195 de 2022. </w:t>
      </w:r>
    </w:p>
    <w:p w14:paraId="694025A9" w14:textId="77777777" w:rsidR="009542E0" w:rsidRPr="009542E0" w:rsidRDefault="009542E0" w:rsidP="009542E0">
      <w:pPr>
        <w:tabs>
          <w:tab w:val="left" w:pos="0"/>
        </w:tabs>
        <w:spacing w:after="120" w:line="276" w:lineRule="auto"/>
        <w:ind w:firstLine="709"/>
        <w:jc w:val="both"/>
        <w:rPr>
          <w:rFonts w:ascii="Verdana" w:eastAsia="Calibri" w:hAnsi="Verdana" w:cs="Arial"/>
          <w:bCs/>
          <w:szCs w:val="24"/>
          <w:lang w:val="es-ES_tradnl" w:eastAsia="es-ES_tradnl"/>
        </w:rPr>
      </w:pPr>
      <w:r w:rsidRPr="009542E0">
        <w:rPr>
          <w:rFonts w:ascii="Verdana" w:eastAsia="Calibri" w:hAnsi="Verdana" w:cs="Arial"/>
          <w:color w:val="000000"/>
        </w:rPr>
        <w:t xml:space="preserve">Así, </w:t>
      </w:r>
      <w:r w:rsidRPr="009542E0">
        <w:rPr>
          <w:rFonts w:ascii="Verdana" w:eastAsia="Times New Roman" w:hAnsi="Verdana" w:cs="Arial"/>
          <w:lang w:eastAsia="es-ES_tradnl"/>
        </w:rPr>
        <w:t>a partir del concepto C-066 del 28 de enero de 2022</w:t>
      </w:r>
      <w:r w:rsidRPr="009542E0">
        <w:rPr>
          <w:rFonts w:ascii="Verdana" w:eastAsia="Times New Roman" w:hAnsi="Verdana" w:cs="Arial"/>
          <w:vertAlign w:val="superscript"/>
          <w:lang w:eastAsia="es-ES_tradnl"/>
        </w:rPr>
        <w:footnoteReference w:id="10"/>
      </w:r>
      <w:r w:rsidRPr="009542E0">
        <w:rPr>
          <w:rFonts w:ascii="Verdana" w:eastAsia="Times New Roman" w:hAnsi="Verdana" w:cs="Arial"/>
          <w:lang w:eastAsia="es-ES_tradnl"/>
        </w:rPr>
        <w:t xml:space="preserve">, esta agencia consideró que </w:t>
      </w:r>
      <w:r w:rsidRPr="009542E0">
        <w:rPr>
          <w:rFonts w:ascii="Verdana" w:eastAsia="Calibri" w:hAnsi="Verdana" w:cs="Arial"/>
          <w:bCs/>
          <w:lang w:val="es-ES_tradnl" w:eastAsia="es-ES_tradnl"/>
        </w:rPr>
        <w:t xml:space="preserve">el primer y principal mandato de la norma se encuentra dirigido a </w:t>
      </w:r>
      <w:r w:rsidRPr="009542E0">
        <w:rPr>
          <w:rFonts w:ascii="Verdana" w:eastAsia="Calibri" w:hAnsi="Verdana" w:cs="Arial"/>
          <w:bCs/>
          <w:lang w:val="es-ES_tradnl" w:eastAsia="es-ES_tradnl"/>
        </w:rPr>
        <w:lastRenderedPageBreak/>
        <w:t xml:space="preserve">las Entidades Estatales sometidas al EGCAP, para que, en la adquisición de bienes, obras o servicios, apliquen los Documentos Tipo expedidos por esta Agencia, cuando celebren contratos o convenios interadministrativos o de cualquier otra índole con otra Entidad Estatal, o con patrimonios autónomos o con personas naturales o jurídicas, cuyo régimen de contratación sea especial o de derecho privado. En ese sentido, el primer inciso de la norma reafirma el deber de las entidades sometidas al EGCAP de aplicar los Documentos Tipo. </w:t>
      </w:r>
    </w:p>
    <w:p w14:paraId="5CF1A6C6" w14:textId="77777777" w:rsidR="009542E0" w:rsidRPr="009542E0" w:rsidRDefault="009542E0" w:rsidP="009542E0">
      <w:pPr>
        <w:spacing w:after="120" w:line="276" w:lineRule="auto"/>
        <w:jc w:val="both"/>
        <w:rPr>
          <w:rFonts w:ascii="Verdana" w:eastAsia="Calibri" w:hAnsi="Verdana" w:cs="Arial"/>
          <w:lang w:val="es-ES"/>
        </w:rPr>
      </w:pPr>
      <w:r w:rsidRPr="009542E0">
        <w:rPr>
          <w:rFonts w:ascii="Verdana" w:eastAsia="Calibri" w:hAnsi="Verdana" w:cs="Arial"/>
          <w:bCs/>
          <w:lang w:val="es-ES_tradnl" w:eastAsia="es-ES_tradnl"/>
        </w:rPr>
        <w:tab/>
      </w:r>
      <w:r w:rsidRPr="009542E0">
        <w:rPr>
          <w:rFonts w:ascii="Verdana" w:eastAsia="Calibri" w:hAnsi="Verdana" w:cs="Arial"/>
          <w:lang w:val="es-ES"/>
        </w:rPr>
        <w:t xml:space="preserve">De acuerdo con esto, se sostuvo que el artículo 56 de la Ley 2195 de 2022 es una norma que complementa al parágrafo 7 del artículo 2 de la Ley 1150 de 2007, modificado por la Ley 2022 de 2020, que establece el mandato de aplicación obligatoria de los Documentos Tipo para las entidades sometidas al EGCAP. Si bien el texto de la Ley 2022 de 2020 establece con claridad la regla de aplicación obligatoria de los documentos tipo en los Procesos de Contratación adelantados por las entidades estatales regidas por el EGCAP, lo cierto es que sus efectos no eran los mismos en los procesos de selección adelantados por entidades exceptuadas o con regímenes especiales.  </w:t>
      </w:r>
    </w:p>
    <w:p w14:paraId="3D97E6BA" w14:textId="77777777" w:rsidR="009542E0" w:rsidRPr="009542E0" w:rsidRDefault="009542E0" w:rsidP="009542E0">
      <w:pPr>
        <w:spacing w:after="120" w:line="276" w:lineRule="auto"/>
        <w:jc w:val="both"/>
        <w:rPr>
          <w:rFonts w:ascii="Verdana" w:eastAsia="Calibri" w:hAnsi="Verdana" w:cs="Arial"/>
          <w:lang w:val="es-ES"/>
        </w:rPr>
      </w:pPr>
      <w:r w:rsidRPr="009542E0">
        <w:rPr>
          <w:rFonts w:ascii="Verdana" w:eastAsia="Calibri" w:hAnsi="Verdana" w:cs="Arial"/>
          <w:bCs/>
          <w:lang w:val="es-ES_tradnl"/>
        </w:rPr>
        <w:tab/>
      </w:r>
      <w:r w:rsidRPr="009542E0">
        <w:rPr>
          <w:rFonts w:ascii="Verdana" w:eastAsia="Calibri" w:hAnsi="Verdana" w:cs="Arial"/>
          <w:lang w:val="es-ES"/>
        </w:rPr>
        <w:t xml:space="preserve">Antes de la expedición del artículo 56 </w:t>
      </w:r>
      <w:proofErr w:type="spellStart"/>
      <w:r w:rsidRPr="009542E0">
        <w:rPr>
          <w:rFonts w:ascii="Verdana" w:eastAsia="Calibri" w:hAnsi="Verdana" w:cs="Arial"/>
          <w:i/>
          <w:iCs/>
          <w:lang w:val="es-ES"/>
        </w:rPr>
        <w:t>ibídem</w:t>
      </w:r>
      <w:proofErr w:type="spellEnd"/>
      <w:r w:rsidRPr="009542E0">
        <w:rPr>
          <w:rFonts w:ascii="Verdana" w:eastAsia="Calibri" w:hAnsi="Verdana" w:cs="Arial"/>
          <w:i/>
          <w:iCs/>
          <w:lang w:val="es-ES"/>
        </w:rPr>
        <w:t>,</w:t>
      </w:r>
      <w:r w:rsidRPr="009542E0">
        <w:rPr>
          <w:rFonts w:ascii="Verdana" w:eastAsia="Calibri" w:hAnsi="Verdana" w:cs="Arial"/>
          <w:lang w:val="es-ES"/>
        </w:rPr>
        <w:t xml:space="preserve"> la Ley 2022 de 2020 ya había establecido el mandato de aplicación obligatoria de los Documentos Tipo, atribuyendo a esta a Agencia la competencia para expedirlos. Dicha Ley restringe su aplicación en los Procesos de Contratación a través de los que una entidad estatal regida por el EGCAP debe adquirir una obra o servicio, por supuesto siempre que el objeto a contratar, al igual que la modalidad que se requiere emplear, estén cobijados por algún documento tipo vigente. Por el contrario, la aplicación de Documentos Tipo por parte de entidades con regímenes especiales o de derecho privado era un asunto que escapaba del ámbito de aplicación de lo establecido por la Ley 2022 de 2020, incluso tratándose de obras o servicios para cuya contratación les resultaba aplicable los Documentos Tipo vigentes, comoquiera que la aplicación de estos solo era procedente cuando el régimen de la entidad contratante fuera el EGCAP, toda vez que el parágrafo 7 del artículo </w:t>
      </w:r>
      <w:r w:rsidRPr="009542E0">
        <w:rPr>
          <w:rFonts w:ascii="Verdana" w:eastAsia="Calibri" w:hAnsi="Verdana" w:cs="Arial"/>
          <w:lang w:val="es-ES"/>
        </w:rPr>
        <w:lastRenderedPageBreak/>
        <w:t xml:space="preserve">2 de la Ley 1150 de 2007 solo se refiere a la obligación de aplicar los Documentos Tipo en los Procesos de Contratación que adelanten las entidades sometidas al EGCAP. </w:t>
      </w:r>
    </w:p>
    <w:p w14:paraId="077B3D86" w14:textId="77777777" w:rsidR="009542E0" w:rsidRPr="009542E0" w:rsidRDefault="009542E0" w:rsidP="009542E0">
      <w:pPr>
        <w:spacing w:after="120" w:line="276" w:lineRule="auto"/>
        <w:jc w:val="both"/>
        <w:rPr>
          <w:rFonts w:ascii="Verdana" w:eastAsia="Calibri" w:hAnsi="Verdana" w:cs="Arial"/>
          <w:lang w:val="es-ES"/>
        </w:rPr>
      </w:pPr>
      <w:r w:rsidRPr="009542E0">
        <w:rPr>
          <w:rFonts w:ascii="Verdana" w:eastAsia="Calibri" w:hAnsi="Verdana" w:cs="Arial"/>
          <w:bCs/>
          <w:lang w:val="es-ES_tradnl"/>
        </w:rPr>
        <w:tab/>
      </w:r>
      <w:r w:rsidRPr="009542E0">
        <w:rPr>
          <w:rFonts w:ascii="Verdana" w:eastAsia="Calibri" w:hAnsi="Verdana" w:cs="Arial"/>
          <w:lang w:val="es-ES"/>
        </w:rPr>
        <w:t>Por tanto, la norma, por el hecho de estar dirigida únicamente a las entidades sometidas a la Ley 80 de 1993 y la Ley 1150 de 2007, solo permitía que los Documentos Tipo tuvieran que aplicarse de manera obligatoria cuando este era el régimen general de la contratación de la entidad que adelantaba el Proceso de Contratación. En estos términos, si bien la Ley 2022 de 2020 no limitó la aplicabilidad de los Documentos Tipo expedidos por esta Agencia a una modalidad en específico, sí estableció que su implementación debía hacerse en el marco del EGCAP.</w:t>
      </w:r>
    </w:p>
    <w:p w14:paraId="1DF3E9E4" w14:textId="77777777" w:rsidR="009542E0" w:rsidRPr="009542E0" w:rsidRDefault="009542E0" w:rsidP="009542E0">
      <w:pPr>
        <w:spacing w:after="120" w:line="276" w:lineRule="auto"/>
        <w:ind w:firstLine="708"/>
        <w:jc w:val="both"/>
        <w:rPr>
          <w:rFonts w:ascii="Verdana" w:eastAsia="Calibri" w:hAnsi="Verdana" w:cs="Arial"/>
          <w:lang w:val="es-ES"/>
        </w:rPr>
      </w:pPr>
      <w:r w:rsidRPr="009542E0">
        <w:rPr>
          <w:rFonts w:ascii="Verdana" w:eastAsia="Calibri" w:hAnsi="Verdana" w:cs="Arial"/>
          <w:lang w:val="es-ES"/>
        </w:rPr>
        <w:t xml:space="preserve">En este escenario, el primer inciso del artículo 56 de la Ley 2195 de 2022 surge como una disposición complementaria de la Ley 2022 de 2020, en la medida en que, según se desprende de su texto, de una parte, la norma busca extender la aplicación obligatoria de los documentos tipo a la celebración de contratos o convenios interadministrativos entre entidades regidas por EGCAP y otros sujetos cuyo régimen de contratación prevalente es el derecho privado. Esto de tal forma que cuando una entidad estatal regida por el EGCAP celebre contratos o convenios con otra i) entidad estatal de régimen especial o con </w:t>
      </w:r>
      <w:proofErr w:type="spellStart"/>
      <w:r w:rsidRPr="009542E0">
        <w:rPr>
          <w:rFonts w:ascii="Verdana" w:eastAsia="Calibri" w:hAnsi="Verdana" w:cs="Arial"/>
          <w:lang w:val="es-ES"/>
        </w:rPr>
        <w:t>ii</w:t>
      </w:r>
      <w:proofErr w:type="spellEnd"/>
      <w:r w:rsidRPr="009542E0">
        <w:rPr>
          <w:rFonts w:ascii="Verdana" w:eastAsia="Calibri" w:hAnsi="Verdana" w:cs="Arial"/>
          <w:lang w:val="es-ES"/>
        </w:rPr>
        <w:t xml:space="preserve">) patrimonios autónomos o </w:t>
      </w:r>
      <w:proofErr w:type="spellStart"/>
      <w:r w:rsidRPr="009542E0">
        <w:rPr>
          <w:rFonts w:ascii="Verdana" w:eastAsia="Calibri" w:hAnsi="Verdana" w:cs="Arial"/>
          <w:lang w:val="es-ES"/>
        </w:rPr>
        <w:t>iii</w:t>
      </w:r>
      <w:proofErr w:type="spellEnd"/>
      <w:r w:rsidRPr="009542E0">
        <w:rPr>
          <w:rFonts w:ascii="Verdana" w:eastAsia="Calibri" w:hAnsi="Verdana" w:cs="Arial"/>
          <w:lang w:val="es-ES"/>
        </w:rPr>
        <w:t xml:space="preserve">) con personas naturales o jurídicas de derecho privado, tenga que hacerlo aplicando documentos tipo. Los efectos del primer inciso del artículo 56 se proyectarían entonces a los contratos o convenios interadministrativos o de cualquier otra índole, que se deban celebrar con estos sujetos, cuyos objetos comprendan la adquisición de bienes, obras o servicios, que, al tenor de lo dispuesto en el apartado normativo bajo examen, deberán celebrarse mediante documentos tipo.    </w:t>
      </w:r>
    </w:p>
    <w:p w14:paraId="316089C0" w14:textId="77777777" w:rsidR="009542E0" w:rsidRPr="009542E0" w:rsidRDefault="009542E0" w:rsidP="009542E0">
      <w:pPr>
        <w:tabs>
          <w:tab w:val="left" w:pos="0"/>
        </w:tabs>
        <w:spacing w:after="120" w:line="276" w:lineRule="auto"/>
        <w:jc w:val="both"/>
        <w:rPr>
          <w:rFonts w:ascii="Verdana" w:eastAsia="Calibri" w:hAnsi="Verdana" w:cs="Arial"/>
          <w:lang w:val="es-ES" w:eastAsia="es-ES"/>
        </w:rPr>
      </w:pPr>
      <w:r w:rsidRPr="009542E0">
        <w:rPr>
          <w:rFonts w:ascii="Verdana" w:eastAsia="Calibri" w:hAnsi="Verdana" w:cs="Arial"/>
          <w:bCs/>
          <w:lang w:val="es-ES_tradnl" w:eastAsia="es-ES_tradnl"/>
        </w:rPr>
        <w:tab/>
      </w:r>
      <w:r w:rsidRPr="009542E0">
        <w:rPr>
          <w:rFonts w:ascii="Verdana" w:eastAsia="Calibri" w:hAnsi="Verdana" w:cs="Arial"/>
          <w:lang w:val="es-ES" w:eastAsia="es-ES"/>
        </w:rPr>
        <w:t xml:space="preserve"> Sin perjuicio de lo anterior, solo es posible comprender los efectos de lo dispuesto en el artículo 56 de la </w:t>
      </w:r>
      <w:bookmarkStart w:id="7" w:name="_Hlk205276572"/>
      <w:r w:rsidRPr="009542E0">
        <w:rPr>
          <w:rFonts w:ascii="Verdana" w:eastAsia="Calibri" w:hAnsi="Verdana" w:cs="Arial"/>
          <w:lang w:val="es-ES" w:eastAsia="es-ES"/>
        </w:rPr>
        <w:t xml:space="preserve">Ley 2195 de 2022 </w:t>
      </w:r>
      <w:bookmarkEnd w:id="7"/>
      <w:r w:rsidRPr="009542E0">
        <w:rPr>
          <w:rFonts w:ascii="Verdana" w:eastAsia="Calibri" w:hAnsi="Verdana" w:cs="Arial"/>
          <w:lang w:val="es-ES" w:eastAsia="es-ES"/>
        </w:rPr>
        <w:t xml:space="preserve">cuando se interpretan en conjunto todos sus componentes. Esto comoquiera que, a lo anterior se le suman las implicaciones de lo ordenado por el segundo inciso de la norma en estudio cuando usa la expresión “los procedimientos de selección y contratos que realicen en desarrollo de los anteriores negocios jurídicos”, a los que se refiere el primer inciso, en los que, además de la aplicación de los Documentos Tipo, se dispone la aplicación del EGCAP. </w:t>
      </w:r>
    </w:p>
    <w:p w14:paraId="5F914DE2" w14:textId="77777777" w:rsidR="009542E0" w:rsidRPr="009542E0" w:rsidRDefault="009542E0" w:rsidP="009542E0">
      <w:pPr>
        <w:tabs>
          <w:tab w:val="left" w:pos="0"/>
        </w:tabs>
        <w:spacing w:after="120" w:line="276" w:lineRule="auto"/>
        <w:jc w:val="both"/>
        <w:rPr>
          <w:rFonts w:ascii="Verdana" w:eastAsia="Calibri" w:hAnsi="Verdana" w:cs="Arial"/>
          <w:lang w:val="es-ES" w:eastAsia="es-ES"/>
        </w:rPr>
      </w:pPr>
      <w:r w:rsidRPr="009542E0">
        <w:rPr>
          <w:rFonts w:ascii="Verdana" w:eastAsia="Calibri" w:hAnsi="Verdana" w:cs="Arial"/>
          <w:lang w:val="es-ES" w:eastAsia="es-ES"/>
        </w:rPr>
        <w:lastRenderedPageBreak/>
        <w:tab/>
        <w:t xml:space="preserve">De acuerdo con esto, el cambio normativo que supone el artículo en comento no se agota con el mandato de aplicación obligatoria de los Documentos Tipo en los convenios o contratos que celebren las entidades estatales regidas por el EGCAP con otras entidades de régimen especial, patrimonios autónomos, personas naturales o jurídicas de derecho privado, pues, según se desprende del segundo inciso de la norma, esta además ordena la aplicación del EGCAP a los Procesos de Contratación que se adelanten y a los contratos que se celebren con ocasión de los contratos o convenios a los que se refiere el primer inciso. Esto significa que, ya sea una entidad estatal de régimen especial, un patrimonio autónomo o una persona natural o jurídica de derecho privado, en virtud de lo dispuesto en los incisos primero y segundo del artículo 56 </w:t>
      </w:r>
      <w:proofErr w:type="spellStart"/>
      <w:r w:rsidRPr="009542E0">
        <w:rPr>
          <w:rFonts w:ascii="Verdana" w:eastAsia="Calibri" w:hAnsi="Verdana" w:cs="Arial"/>
          <w:lang w:val="es-ES" w:eastAsia="es-ES"/>
        </w:rPr>
        <w:t>ejusdem</w:t>
      </w:r>
      <w:proofErr w:type="spellEnd"/>
      <w:r w:rsidRPr="009542E0">
        <w:rPr>
          <w:rFonts w:ascii="Verdana" w:eastAsia="Calibri" w:hAnsi="Verdana" w:cs="Arial"/>
          <w:lang w:val="es-ES" w:eastAsia="es-ES"/>
        </w:rPr>
        <w:t xml:space="preserve">, si, en efecto, deben subcontratar bienes, obras o servicios, en cumplimiento de un contrato o convenio interadministrativo o de cualquier otra índole, con una entidad estatal sometida a la Ley 80 de 1993, deberá adelantar el procedimiento de selección, así como celebrar el respectivo contrato, implementando los Documentos Tipo  y aplicando las disposiciones del EGCAP. </w:t>
      </w:r>
    </w:p>
    <w:p w14:paraId="6465CDB6" w14:textId="77777777" w:rsidR="009542E0" w:rsidRPr="009542E0" w:rsidRDefault="009542E0" w:rsidP="009542E0">
      <w:pPr>
        <w:tabs>
          <w:tab w:val="left" w:pos="0"/>
        </w:tabs>
        <w:spacing w:after="0" w:line="276" w:lineRule="auto"/>
        <w:jc w:val="both"/>
        <w:rPr>
          <w:rFonts w:ascii="Verdana" w:eastAsia="Calibri" w:hAnsi="Verdana" w:cs="Arial"/>
          <w:lang w:val="es-ES" w:eastAsia="es-ES"/>
        </w:rPr>
      </w:pPr>
      <w:r w:rsidRPr="009542E0">
        <w:rPr>
          <w:rFonts w:ascii="Arial" w:eastAsia="Calibri" w:hAnsi="Arial" w:cs="Arial"/>
          <w:bCs/>
          <w:color w:val="000000"/>
          <w:lang w:val="es-ES_tradnl"/>
        </w:rPr>
        <w:tab/>
      </w:r>
      <w:r w:rsidRPr="009542E0">
        <w:rPr>
          <w:rFonts w:ascii="Verdana" w:eastAsia="Calibri" w:hAnsi="Verdana" w:cs="Arial"/>
          <w:lang w:val="es-ES" w:eastAsia="es-ES"/>
        </w:rPr>
        <w:t xml:space="preserve">Esta, además, es la interpretación que se desprende de la justificación del proyecto normativo que se convirtió en la Ley 2195 de 2022, en la que, respecto de los contratos ejecutados por entidades de derecho privado, se refirió a la “[..] obligatoriedad de aplicar los Documentos Tipo, aun si son ejecutados con entidades de régimen especial”, como uno de los propósitos de la Ley.  Conforme se indica en la justificación jurídica del proyecto ley, este: </w:t>
      </w:r>
    </w:p>
    <w:p w14:paraId="3091AD90" w14:textId="77777777" w:rsidR="009542E0" w:rsidRPr="009542E0" w:rsidRDefault="009542E0" w:rsidP="009542E0">
      <w:pPr>
        <w:tabs>
          <w:tab w:val="left" w:pos="0"/>
        </w:tabs>
        <w:spacing w:after="0" w:line="276" w:lineRule="auto"/>
        <w:jc w:val="both"/>
        <w:rPr>
          <w:rFonts w:ascii="Verdana" w:eastAsia="Calibri" w:hAnsi="Verdana" w:cs="Arial"/>
          <w:lang w:val="es-ES" w:eastAsia="es-ES"/>
        </w:rPr>
      </w:pPr>
    </w:p>
    <w:p w14:paraId="5FBC3D1C" w14:textId="77777777" w:rsidR="009542E0" w:rsidRPr="009542E0" w:rsidRDefault="009542E0" w:rsidP="009542E0">
      <w:pPr>
        <w:tabs>
          <w:tab w:val="left" w:pos="0"/>
        </w:tabs>
        <w:spacing w:after="0"/>
        <w:ind w:left="709" w:right="709"/>
        <w:jc w:val="both"/>
        <w:rPr>
          <w:rFonts w:ascii="Verdana" w:eastAsia="Calibri" w:hAnsi="Verdana" w:cs="Arial"/>
          <w:bCs/>
          <w:color w:val="000000"/>
          <w:sz w:val="20"/>
          <w:szCs w:val="20"/>
          <w:lang w:val="es-ES_tradnl"/>
        </w:rPr>
      </w:pPr>
      <w:r w:rsidRPr="009542E0">
        <w:rPr>
          <w:rFonts w:ascii="Verdana" w:eastAsia="Calibri" w:hAnsi="Verdana" w:cs="Arial"/>
          <w:bCs/>
          <w:color w:val="000000"/>
          <w:sz w:val="20"/>
          <w:szCs w:val="20"/>
          <w:lang w:val="es-ES_tradnl"/>
        </w:rPr>
        <w:t>“[…] determina la aplicación de documentos tipo, en los términos del parágrafo 7 del artículo 2 de la Ley 1150 de 2007 o las normas que lo modifiquen o sustituyan, en los eventos en que entidades públicas sometidas al Estatuto General de Contratación de la Administración Pública celebren contratos o convenios interadministrativos o de cualquier otra índole con otras entidades estatales, patrimonios autónomos o personas naturales o jurídicas de derecho privado. Así mismo, se determina que los procedimientos de selección y los contratos realizados en dichos negocios jurídicos deben regirse por las normas de contratación pública”</w:t>
      </w:r>
      <w:r w:rsidRPr="009542E0">
        <w:rPr>
          <w:rFonts w:ascii="Verdana" w:eastAsia="Calibri" w:hAnsi="Verdana" w:cs="Arial"/>
          <w:color w:val="000000"/>
          <w:sz w:val="20"/>
          <w:szCs w:val="20"/>
          <w:vertAlign w:val="superscript"/>
        </w:rPr>
        <w:footnoteReference w:id="11"/>
      </w:r>
      <w:r w:rsidRPr="009542E0">
        <w:rPr>
          <w:rFonts w:ascii="Verdana" w:eastAsia="Calibri" w:hAnsi="Verdana" w:cs="Arial"/>
          <w:bCs/>
          <w:color w:val="000000"/>
          <w:sz w:val="20"/>
          <w:szCs w:val="20"/>
          <w:lang w:val="es-ES_tradnl"/>
        </w:rPr>
        <w:t xml:space="preserve">. </w:t>
      </w:r>
    </w:p>
    <w:p w14:paraId="5381462B" w14:textId="77777777" w:rsidR="009542E0" w:rsidRPr="009542E0" w:rsidRDefault="009542E0" w:rsidP="009542E0">
      <w:pPr>
        <w:tabs>
          <w:tab w:val="left" w:pos="0"/>
        </w:tabs>
        <w:spacing w:after="0" w:line="276" w:lineRule="auto"/>
        <w:jc w:val="both"/>
        <w:rPr>
          <w:rFonts w:ascii="Arial" w:eastAsia="Calibri" w:hAnsi="Arial" w:cs="Arial"/>
          <w:bCs/>
          <w:color w:val="000000"/>
          <w:lang w:val="es-ES_tradnl"/>
        </w:rPr>
      </w:pPr>
      <w:r w:rsidRPr="009542E0">
        <w:rPr>
          <w:rFonts w:ascii="Arial" w:eastAsia="Calibri" w:hAnsi="Arial" w:cs="Arial"/>
          <w:bCs/>
          <w:color w:val="000000"/>
          <w:lang w:val="es-ES_tradnl"/>
        </w:rPr>
        <w:tab/>
        <w:t xml:space="preserve"> </w:t>
      </w:r>
    </w:p>
    <w:p w14:paraId="216DC826" w14:textId="77777777" w:rsidR="009542E0" w:rsidRPr="009542E0" w:rsidRDefault="009542E0" w:rsidP="009542E0">
      <w:pPr>
        <w:spacing w:after="120" w:line="276" w:lineRule="auto"/>
        <w:jc w:val="both"/>
        <w:rPr>
          <w:rFonts w:ascii="Verdana" w:eastAsia="Calibri" w:hAnsi="Verdana" w:cs="Arial"/>
          <w:color w:val="000000"/>
          <w:lang w:val="es-ES"/>
        </w:rPr>
      </w:pPr>
      <w:r w:rsidRPr="009542E0">
        <w:rPr>
          <w:rFonts w:ascii="Arial" w:eastAsia="Calibri" w:hAnsi="Arial" w:cs="Arial"/>
          <w:bCs/>
          <w:color w:val="000000"/>
          <w:lang w:val="es-ES_tradnl"/>
        </w:rPr>
        <w:lastRenderedPageBreak/>
        <w:tab/>
      </w:r>
      <w:r w:rsidRPr="009542E0">
        <w:rPr>
          <w:rFonts w:ascii="Verdana" w:eastAsia="Calibri" w:hAnsi="Verdana" w:cs="Arial"/>
          <w:color w:val="000000"/>
          <w:lang w:val="es-ES"/>
        </w:rPr>
        <w:t xml:space="preserve">De lo anterior se evidencia que el propósito del legislador con la expedición de la norma objeto de consulta, tal como se ha explicado, es que las entidades estatales que tienen como régimen contractual el EGCAP no puedan eludir su aplicación, ni la de los Documentos Tipo que resulten obligatorios, celebrando convenios o contratos interadministrativo o de cualquier otra índole, con entidades exceptuadas o particulares sometidos al derecho privado, para que sean estos últimos quienes, en el marco de sus regímenes especiales o de derecho privado, realicen la subcontratación de los bienes, obras o servicios que demanda la entidad estatal, en una suerte de tercerización de la contratación. Lo anterior teniendo en cuenta que, a la luz de lo dispuesto en el artículo 56 de la Ley 2195 de 2022, tales entidades exceptuadas, patrimonios autónomos o particulares, que han suscrito convenios o contratos de cualquier índole con entidades sometidas al EGCAP, estarán obligadas a aplicar dicho estatuto para la subcontratación derivada de obras, bienes o servicios, siempre que exista Documentos Tipo en el sector en el que se adelanta la contratación.  </w:t>
      </w:r>
    </w:p>
    <w:p w14:paraId="0BA41C32" w14:textId="77777777" w:rsidR="009542E0" w:rsidRPr="009542E0" w:rsidRDefault="009542E0" w:rsidP="009542E0">
      <w:pPr>
        <w:spacing w:after="120" w:line="276" w:lineRule="auto"/>
        <w:ind w:firstLine="709"/>
        <w:jc w:val="both"/>
        <w:rPr>
          <w:rFonts w:ascii="Verdana" w:eastAsia="Calibri" w:hAnsi="Verdana" w:cs="Arial"/>
          <w:lang w:val="es-ES" w:eastAsia="es-ES"/>
        </w:rPr>
      </w:pPr>
      <w:r w:rsidRPr="009542E0">
        <w:rPr>
          <w:rFonts w:ascii="Verdana" w:eastAsia="Calibri" w:hAnsi="Verdana" w:cs="Arial"/>
          <w:lang w:val="es-ES" w:eastAsia="es-ES"/>
        </w:rPr>
        <w:t>En este punto es necesario analizar los efectos del artículo 56 de la Ley 2195 de 2022, respecto de lo dispuesto en el artículo 2, numeral 4, de la Ley 1150 de 2007, particularmente, de lo establecido en el tercer inciso del literal c). Lo anterior por cuanto esta norma, al establecer como causal de contratación directa la celebración de convenios o contratos interadministrativos regulaba la normativa aplicable a estos cuando el régimen prevalente de la entidad encargada de la ejecución no fuera el de la Ley 80 de 1993, casos en los que la norma imponía la aplicación de esta normativa, a menos que la entidad ejecutora desarrollara su actividad en competencia con el sector privado, o cuando la ejecución del contrato tuviere relación directa con el desarrollo de su actividad, eventos en los que se imponía el derecho privado.</w:t>
      </w:r>
    </w:p>
    <w:p w14:paraId="31DA5B18" w14:textId="77777777" w:rsidR="009542E0" w:rsidRPr="009542E0" w:rsidRDefault="009542E0" w:rsidP="009542E0">
      <w:pPr>
        <w:spacing w:after="120" w:line="276" w:lineRule="auto"/>
        <w:ind w:firstLine="709"/>
        <w:jc w:val="both"/>
        <w:rPr>
          <w:rFonts w:ascii="Verdana" w:eastAsia="Calibri" w:hAnsi="Verdana" w:cs="Arial"/>
          <w:lang w:val="es-ES" w:eastAsia="es-ES"/>
        </w:rPr>
      </w:pPr>
      <w:r w:rsidRPr="009542E0">
        <w:rPr>
          <w:rFonts w:ascii="Verdana" w:eastAsia="Calibri" w:hAnsi="Verdana" w:cs="Arial"/>
          <w:lang w:val="es-ES" w:eastAsia="es-ES"/>
        </w:rPr>
        <w:t xml:space="preserve"> En ese sentido, en este último evento el tercer inciso del literal c) del artículo 2, numeral 4 de la Ley 1150 de 2007 daba pie a la aplicación de normas de derecho privado, lo que evidencia una supuesta o aparente tensión entre este y el artículo 56 de la Ley 2195 de 2022, en lo que se refiere al régimen aplicable en estas situaciones, comoquiera que, en estos eventos, al tenor de criterios interpretativos aplicados a lo dispuesto en esta última norma, se entendía que debía aplicarse el EGCAP y los Documentos Tipo. </w:t>
      </w:r>
    </w:p>
    <w:p w14:paraId="20E572A6" w14:textId="77777777" w:rsidR="009542E0" w:rsidRPr="009542E0" w:rsidRDefault="009542E0" w:rsidP="009542E0">
      <w:pPr>
        <w:spacing w:after="120" w:line="276" w:lineRule="auto"/>
        <w:jc w:val="both"/>
        <w:rPr>
          <w:rFonts w:ascii="Verdana" w:eastAsia="Calibri" w:hAnsi="Verdana" w:cs="Arial"/>
          <w:lang w:val="es-ES" w:eastAsia="es-ES"/>
        </w:rPr>
      </w:pPr>
      <w:r w:rsidRPr="009542E0">
        <w:rPr>
          <w:rFonts w:ascii="Verdana" w:eastAsia="Calibri" w:hAnsi="Verdana" w:cs="Arial"/>
          <w:bCs/>
          <w:lang w:val="es-ES_tradnl" w:eastAsia="es-ES_tradnl"/>
        </w:rPr>
        <w:tab/>
      </w:r>
      <w:r w:rsidRPr="009542E0">
        <w:rPr>
          <w:rFonts w:ascii="Verdana" w:eastAsia="Calibri" w:hAnsi="Verdana" w:cs="Arial"/>
          <w:lang w:val="es-ES" w:eastAsia="es-ES"/>
        </w:rPr>
        <w:t xml:space="preserve">Lo anterior suponía una antinomia entre el literal c) del artículo 2, numeral 4, de la Ley 1150 de 2007 y el artículo 56 de la Ley 2195 de 2022, en la medida </w:t>
      </w:r>
      <w:r w:rsidRPr="009542E0">
        <w:rPr>
          <w:rFonts w:ascii="Verdana" w:eastAsia="Calibri" w:hAnsi="Verdana" w:cs="Arial"/>
          <w:lang w:val="es-ES" w:eastAsia="es-ES"/>
        </w:rPr>
        <w:lastRenderedPageBreak/>
        <w:t>en que para un mismo supuesto de hecho –la celebración de un convenio interadministrativo entre una entidad sometida al EGCAP y otra exceptuada, en la que la última es la ejecutora y desarrolla su actividad en competencia con el sector privado–, se establecían diferentes consecuencias jurídicas, ya que mientras que la primera norma dispone la aplicación del derecho privado, la última impone la aplicación de Documentos Tipo y del EGCAP. Esta aparente contradicción, como se expuso en el numeral anterior, debe ser resuelta en favor del artículo 56 de la Ley 2195 de 2022.</w:t>
      </w:r>
    </w:p>
    <w:p w14:paraId="1D6C165C" w14:textId="77777777" w:rsidR="009542E0" w:rsidRPr="009542E0" w:rsidRDefault="009542E0" w:rsidP="009542E0">
      <w:pPr>
        <w:tabs>
          <w:tab w:val="left" w:pos="0"/>
        </w:tabs>
        <w:spacing w:after="120" w:line="276" w:lineRule="auto"/>
        <w:jc w:val="both"/>
        <w:rPr>
          <w:rFonts w:ascii="Verdana" w:eastAsia="Calibri" w:hAnsi="Verdana" w:cs="Arial"/>
          <w:bCs/>
          <w:lang w:val="es-ES_tradnl" w:eastAsia="es-ES_tradnl"/>
        </w:rPr>
      </w:pPr>
      <w:r w:rsidRPr="009542E0">
        <w:rPr>
          <w:rFonts w:ascii="Verdana" w:eastAsia="Calibri" w:hAnsi="Verdana" w:cs="Arial"/>
          <w:bCs/>
          <w:lang w:val="es-ES_tradnl" w:eastAsia="es-ES_tradnl"/>
        </w:rPr>
        <w:tab/>
        <w:t xml:space="preserve">En efecto, tratándose de disposiciones de igual jerarquía normativa –ambas son leyes ordinarias–, que coinciden en su ámbito de aplicación, debe colegirse que, en lo que respecta al régimen aplicable a los contratos con entidades exceptuadas ejecutoras de contratos o convenios interadministrativos, que desarrollen su actividad en competencia con el sector privado, el artículo 56 de la Ley 2195 de 2022 supuso una modificación tácita del artículo 2, numeral 4, literal c), de la Ley 1150 de 2007. </w:t>
      </w:r>
    </w:p>
    <w:p w14:paraId="56A288E8" w14:textId="77777777" w:rsidR="009542E0" w:rsidRPr="009542E0" w:rsidRDefault="009542E0" w:rsidP="009542E0">
      <w:pPr>
        <w:spacing w:after="120" w:line="276" w:lineRule="auto"/>
        <w:jc w:val="both"/>
        <w:rPr>
          <w:rFonts w:ascii="Verdana" w:eastAsia="Calibri" w:hAnsi="Verdana" w:cs="Arial"/>
          <w:lang w:val="es-ES" w:eastAsia="es-ES"/>
        </w:rPr>
      </w:pPr>
      <w:r w:rsidRPr="009542E0">
        <w:rPr>
          <w:rFonts w:ascii="Verdana" w:eastAsia="Calibri" w:hAnsi="Verdana" w:cs="Arial"/>
          <w:bCs/>
          <w:lang w:val="es-ES_tradnl" w:eastAsia="es-ES_tradnl"/>
        </w:rPr>
        <w:tab/>
      </w:r>
      <w:r w:rsidRPr="009542E0">
        <w:rPr>
          <w:rFonts w:ascii="Verdana" w:eastAsia="Calibri" w:hAnsi="Verdana" w:cs="Arial"/>
          <w:lang w:val="es-ES" w:eastAsia="es-ES"/>
        </w:rPr>
        <w:t xml:space="preserve">En tales términos, de lo analizado hasta aquí es posible concluir que el efecto principal de la norma bajo estudio es la ampliación de los Documentos Tipo, al hacerlos obligatorios frente a unos sujetos que, en principio, de acuerdo con la Ley 2022 de 2020 y el literal c) del numeral 4 del artículo 2 de la Ley 1150 de 2007, no estarían sometidos a esos documentos. Para complementar esta medida, la disposición además hace extensiva la aplicación del EGCAP a estos sujetos que, en virtud de su naturaleza jurídica, tienen, como regla general, un régimen de contratación diferente, tales como las entidades exceptuadas, los patrimonios autónomos y las personas naturales y jurídicas de derecho privado, a los que expresamente hace alusión el artículo 56. De esta forma, independientemente de que el inciso tercero del literal c) del artículo 2, numeral 4, de la Ley 1150 de 2007 parezca indicar que se debe aplicar el derecho privado, por ser este el régimen que por regla general aplica la entidad ejecutora, tratándose de objetos cobijados por Documentos Tipo, los mismos deberán ser contratados aplicando tales Pliegos Tipo y las disposiciones del EGCAP, por efecto del artículo 56 de la Ley 2195 de 2022.  </w:t>
      </w:r>
      <w:r w:rsidRPr="009542E0">
        <w:rPr>
          <w:rFonts w:ascii="Verdana" w:eastAsia="Calibri" w:hAnsi="Verdana" w:cs="Arial"/>
          <w:bCs/>
          <w:highlight w:val="yellow"/>
          <w:lang w:val="es-ES_tradnl" w:eastAsia="es-ES_tradnl"/>
        </w:rPr>
        <w:t xml:space="preserve"> </w:t>
      </w:r>
    </w:p>
    <w:p w14:paraId="346B230B" w14:textId="77777777" w:rsidR="009542E0" w:rsidRPr="009542E0" w:rsidRDefault="009542E0" w:rsidP="009542E0">
      <w:pPr>
        <w:tabs>
          <w:tab w:val="left" w:pos="0"/>
        </w:tabs>
        <w:spacing w:after="120" w:line="276" w:lineRule="auto"/>
        <w:ind w:firstLine="709"/>
        <w:jc w:val="both"/>
        <w:rPr>
          <w:rFonts w:ascii="Arial" w:eastAsia="Calibri" w:hAnsi="Arial" w:cs="Arial"/>
          <w:bCs/>
          <w:lang w:val="es-ES_tradnl"/>
        </w:rPr>
      </w:pPr>
      <w:r w:rsidRPr="009542E0">
        <w:rPr>
          <w:rFonts w:ascii="Verdana" w:eastAsia="Calibri" w:hAnsi="Verdana" w:cs="Arial"/>
          <w:color w:val="000000"/>
        </w:rPr>
        <w:t xml:space="preserve">En este contexto, </w:t>
      </w:r>
      <w:r w:rsidRPr="009542E0">
        <w:rPr>
          <w:rFonts w:ascii="Verdana" w:eastAsia="Calibri" w:hAnsi="Verdana" w:cs="Arial"/>
          <w:bCs/>
          <w:lang w:val="es-ES_tradnl" w:eastAsia="es-ES_tradnl"/>
        </w:rPr>
        <w:t>de la lectura conjunta de los incisos primero y segundo</w:t>
      </w:r>
      <w:r w:rsidRPr="009542E0">
        <w:rPr>
          <w:rFonts w:ascii="Verdana" w:eastAsia="Calibri" w:hAnsi="Verdana" w:cs="Arial"/>
          <w:bCs/>
          <w:lang w:eastAsia="es-ES_tradnl"/>
        </w:rPr>
        <w:t xml:space="preserve"> del artículo 56 de la Ley 2195 de 2022,</w:t>
      </w:r>
      <w:r w:rsidRPr="009542E0">
        <w:rPr>
          <w:rFonts w:ascii="Verdana" w:eastAsia="Calibri" w:hAnsi="Verdana" w:cs="Arial"/>
          <w:bCs/>
          <w:lang w:val="es-ES_tradnl" w:eastAsia="es-ES_tradnl"/>
        </w:rPr>
        <w:t xml:space="preserve"> se desprende que </w:t>
      </w:r>
      <w:r w:rsidRPr="009542E0">
        <w:rPr>
          <w:rFonts w:ascii="Verdana" w:eastAsia="Calibri" w:hAnsi="Verdana" w:cs="Arial"/>
          <w:bCs/>
          <w:lang w:eastAsia="es-ES_tradnl"/>
        </w:rPr>
        <w:t xml:space="preserve">cuando se celebre un contrato o convenio interadministrativo o de cualquier otra índole entre una entidad sometida al EGCAP y los sujetos allí mencionados, del cual se derive la </w:t>
      </w:r>
      <w:r w:rsidRPr="009542E0">
        <w:rPr>
          <w:rFonts w:ascii="Verdana" w:eastAsia="Calibri" w:hAnsi="Verdana" w:cs="Arial"/>
          <w:bCs/>
          <w:lang w:eastAsia="es-ES_tradnl"/>
        </w:rPr>
        <w:lastRenderedPageBreak/>
        <w:t>ejecución de objetos contractuales incluidos dentro del ámbito de aplicación de los Documentos Tipo, su celebración deberá realizarse por parte del ejecutor o de quien tenga a su cargo el deber legal de materializar dicha contratación, haciendo uso obligatorio de dichos documentos</w:t>
      </w:r>
      <w:r w:rsidRPr="009542E0">
        <w:rPr>
          <w:rFonts w:ascii="Arial" w:eastAsia="Calibri" w:hAnsi="Arial" w:cs="Arial"/>
          <w:bCs/>
          <w:lang w:val="es-ES_tradnl"/>
        </w:rPr>
        <w:t xml:space="preserve"> </w:t>
      </w:r>
      <w:r w:rsidRPr="009542E0">
        <w:rPr>
          <w:rFonts w:ascii="Verdana" w:eastAsia="Calibri" w:hAnsi="Verdana" w:cs="Arial"/>
          <w:bCs/>
          <w:lang w:val="es-ES_tradnl"/>
        </w:rPr>
        <w:t xml:space="preserve">siempre que exista documento tipo aplicable al objeto contractual que se planea contratar. Esto significa que los contratos no relacionados con los contratos y convenios adquiridos con la entidad sometida al EGCAP no tendrían que aplicar los Documentos Tipo, salvo que quieran hacerlo como una buena práctica de contratación. </w:t>
      </w:r>
    </w:p>
    <w:p w14:paraId="0D2C3304" w14:textId="77777777" w:rsidR="009542E0" w:rsidRPr="009542E0" w:rsidRDefault="009542E0" w:rsidP="009542E0">
      <w:pPr>
        <w:tabs>
          <w:tab w:val="left" w:pos="0"/>
        </w:tabs>
        <w:spacing w:after="120" w:line="276" w:lineRule="auto"/>
        <w:ind w:firstLine="709"/>
        <w:jc w:val="both"/>
        <w:rPr>
          <w:rFonts w:ascii="Verdana" w:eastAsia="Calibri" w:hAnsi="Verdana" w:cs="Arial"/>
          <w:bCs/>
          <w:color w:val="000000"/>
          <w:lang w:val="es-ES_tradnl" w:eastAsia="es-ES_tradnl"/>
        </w:rPr>
      </w:pPr>
      <w:r w:rsidRPr="009542E0">
        <w:rPr>
          <w:rFonts w:ascii="Verdana" w:eastAsia="Calibri" w:hAnsi="Verdana" w:cs="Arial"/>
          <w:bCs/>
          <w:lang w:val="es-ES_tradnl" w:eastAsia="es-ES_tradnl"/>
        </w:rPr>
        <w:t>Sin perjuicio de lo anterior</w:t>
      </w:r>
      <w:r w:rsidRPr="009542E0">
        <w:rPr>
          <w:rFonts w:ascii="Verdana" w:eastAsia="Times New Roman" w:hAnsi="Verdana" w:cs="Arial"/>
          <w:lang w:eastAsia="es-ES_tradnl"/>
        </w:rPr>
        <w:t xml:space="preserve">, </w:t>
      </w:r>
      <w:r w:rsidRPr="009542E0">
        <w:rPr>
          <w:rFonts w:ascii="Verdana" w:eastAsia="Calibri" w:hAnsi="Verdana" w:cs="Arial"/>
          <w:bCs/>
          <w:lang w:val="es-ES_tradnl" w:eastAsia="es-ES_tradnl"/>
        </w:rPr>
        <w:t xml:space="preserve">es necesario precisar el alcance del parágrafo del artículo 56 de la Ley 2195 de 2022 y lo dispuesto en los dos primeros incisos del mencionado artículo, del cual se excluye, a cierto tipo de entidades, en lo relacionado con la contratación de su </w:t>
      </w:r>
      <w:r w:rsidRPr="009542E0">
        <w:rPr>
          <w:rFonts w:ascii="Verdana" w:eastAsia="Calibri" w:hAnsi="Verdana" w:cs="Arial"/>
          <w:bCs/>
          <w:i/>
          <w:iCs/>
          <w:lang w:val="es-ES_tradnl" w:eastAsia="es-ES_tradnl"/>
        </w:rPr>
        <w:t>giro ordinario</w:t>
      </w:r>
      <w:r w:rsidRPr="009542E0">
        <w:rPr>
          <w:rFonts w:ascii="Verdana" w:eastAsia="Calibri" w:hAnsi="Verdana" w:cs="Arial"/>
          <w:bCs/>
          <w:lang w:val="es-ES_tradnl" w:eastAsia="es-ES_tradnl"/>
        </w:rPr>
        <w:t xml:space="preserve">. Conforme se desprende del texto del referido parágrafo, se exceptúa de lo señalado en los dos primeros incisos a: i) las instituciones de educación superior públicas, </w:t>
      </w:r>
      <w:proofErr w:type="spellStart"/>
      <w:r w:rsidRPr="009542E0">
        <w:rPr>
          <w:rFonts w:ascii="Verdana" w:eastAsia="Calibri" w:hAnsi="Verdana" w:cs="Arial"/>
          <w:bCs/>
          <w:lang w:val="es-ES_tradnl" w:eastAsia="es-ES_tradnl"/>
        </w:rPr>
        <w:t>ii</w:t>
      </w:r>
      <w:proofErr w:type="spellEnd"/>
      <w:r w:rsidRPr="009542E0">
        <w:rPr>
          <w:rFonts w:ascii="Verdana" w:eastAsia="Calibri" w:hAnsi="Verdana" w:cs="Arial"/>
          <w:bCs/>
          <w:lang w:val="es-ES_tradnl" w:eastAsia="es-ES_tradnl"/>
        </w:rPr>
        <w:t xml:space="preserve">) las empresas sociales del Estado, </w:t>
      </w:r>
      <w:proofErr w:type="spellStart"/>
      <w:r w:rsidRPr="009542E0">
        <w:rPr>
          <w:rFonts w:ascii="Verdana" w:eastAsia="Calibri" w:hAnsi="Verdana" w:cs="Arial"/>
          <w:bCs/>
          <w:lang w:val="es-ES_tradnl" w:eastAsia="es-ES_tradnl"/>
        </w:rPr>
        <w:t>iii</w:t>
      </w:r>
      <w:proofErr w:type="spellEnd"/>
      <w:r w:rsidRPr="009542E0">
        <w:rPr>
          <w:rFonts w:ascii="Verdana" w:eastAsia="Calibri" w:hAnsi="Verdana" w:cs="Arial"/>
          <w:bCs/>
          <w:lang w:val="es-ES_tradnl" w:eastAsia="es-ES_tradnl"/>
        </w:rPr>
        <w:t xml:space="preserve">) las sociedades de economía mixta y </w:t>
      </w:r>
      <w:proofErr w:type="spellStart"/>
      <w:r w:rsidRPr="009542E0">
        <w:rPr>
          <w:rFonts w:ascii="Verdana" w:eastAsia="Calibri" w:hAnsi="Verdana" w:cs="Arial"/>
          <w:bCs/>
          <w:lang w:val="es-ES_tradnl" w:eastAsia="es-ES_tradnl"/>
        </w:rPr>
        <w:t>iv</w:t>
      </w:r>
      <w:proofErr w:type="spellEnd"/>
      <w:r w:rsidRPr="009542E0">
        <w:rPr>
          <w:rFonts w:ascii="Verdana" w:eastAsia="Calibri" w:hAnsi="Verdana" w:cs="Arial"/>
          <w:bCs/>
          <w:lang w:val="es-ES_tradnl" w:eastAsia="es-ES_tradnl"/>
        </w:rPr>
        <w:t xml:space="preserve">) las empresas industriales y comerciales del Estado, únicamente, en la contratación relacionada con el </w:t>
      </w:r>
      <w:r w:rsidRPr="009542E0">
        <w:rPr>
          <w:rFonts w:ascii="Verdana" w:eastAsia="Calibri" w:hAnsi="Verdana" w:cs="Arial"/>
          <w:bCs/>
          <w:i/>
          <w:iCs/>
          <w:lang w:val="es-ES_tradnl" w:eastAsia="es-ES_tradnl"/>
        </w:rPr>
        <w:t>giro ordinario.</w:t>
      </w:r>
      <w:r w:rsidRPr="009542E0">
        <w:rPr>
          <w:rFonts w:ascii="Verdana" w:eastAsia="Calibri" w:hAnsi="Verdana" w:cs="Arial"/>
          <w:bCs/>
          <w:lang w:val="es-ES_tradnl" w:eastAsia="es-ES_tradnl"/>
        </w:rPr>
        <w:t xml:space="preserve"> Esto significa que, en la contratación asociada a su </w:t>
      </w:r>
      <w:r w:rsidRPr="009542E0">
        <w:rPr>
          <w:rFonts w:ascii="Verdana" w:eastAsia="Calibri" w:hAnsi="Verdana" w:cs="Arial"/>
          <w:bCs/>
          <w:i/>
          <w:iCs/>
          <w:lang w:val="es-ES_tradnl" w:eastAsia="es-ES_tradnl"/>
        </w:rPr>
        <w:t xml:space="preserve">giro ordinario, </w:t>
      </w:r>
      <w:r w:rsidRPr="009542E0">
        <w:rPr>
          <w:rFonts w:ascii="Verdana" w:eastAsia="Calibri" w:hAnsi="Verdana" w:cs="Arial"/>
          <w:bCs/>
          <w:lang w:val="es-ES_tradnl" w:eastAsia="es-ES_tradnl"/>
        </w:rPr>
        <w:t>estos tipos de entidades no tendrían que aplicar, de manera obligatoria, los Documentos Tipo, ni tampoco el EGCAP.</w:t>
      </w:r>
      <w:r w:rsidRPr="009542E0">
        <w:rPr>
          <w:rFonts w:ascii="Verdana" w:eastAsia="Times New Roman" w:hAnsi="Verdana" w:cs="Arial"/>
          <w:lang w:eastAsia="es-ES_tradnl"/>
        </w:rPr>
        <w:t xml:space="preserve"> </w:t>
      </w:r>
      <w:r w:rsidRPr="009542E0">
        <w:rPr>
          <w:rFonts w:ascii="Verdana" w:eastAsia="Calibri" w:hAnsi="Verdana" w:cs="Arial"/>
          <w:bCs/>
          <w:lang w:val="es-ES_tradnl" w:eastAsia="es-ES_tradnl"/>
        </w:rPr>
        <w:t>En este caso, la norma se limita a fomentar la implementación de Documentos Tipo a modo de buena práctica contractual, en los casos en los que se estime conveniente.</w:t>
      </w:r>
      <w:r w:rsidRPr="009542E0">
        <w:rPr>
          <w:rFonts w:ascii="Verdana" w:eastAsia="Calibri" w:hAnsi="Verdana" w:cs="Arial"/>
          <w:bCs/>
          <w:color w:val="000000"/>
          <w:lang w:val="es-ES_tradnl" w:eastAsia="es-ES_tradnl"/>
        </w:rPr>
        <w:t xml:space="preserve"> </w:t>
      </w:r>
    </w:p>
    <w:p w14:paraId="73ADE802" w14:textId="77777777" w:rsidR="009542E0" w:rsidRPr="009542E0" w:rsidRDefault="009542E0" w:rsidP="009542E0">
      <w:pPr>
        <w:tabs>
          <w:tab w:val="left" w:pos="0"/>
        </w:tabs>
        <w:spacing w:after="120" w:line="276" w:lineRule="auto"/>
        <w:ind w:firstLine="709"/>
        <w:jc w:val="both"/>
        <w:rPr>
          <w:rFonts w:ascii="Verdana" w:eastAsia="Arial" w:hAnsi="Verdana" w:cs="Arial"/>
          <w:lang w:val="es-ES_tradnl" w:eastAsia="es-ES_tradnl"/>
        </w:rPr>
      </w:pPr>
      <w:r w:rsidRPr="009542E0">
        <w:rPr>
          <w:rFonts w:ascii="Verdana" w:eastAsia="Calibri" w:hAnsi="Verdana" w:cs="Arial"/>
          <w:bCs/>
          <w:lang w:val="es-ES_tradnl" w:eastAsia="es-ES_tradnl"/>
        </w:rPr>
        <w:t xml:space="preserve">Es importante tener en cuenta que cuando la norma se refiere a la contratación del </w:t>
      </w:r>
      <w:r w:rsidRPr="009542E0">
        <w:rPr>
          <w:rFonts w:ascii="Verdana" w:eastAsia="Calibri" w:hAnsi="Verdana" w:cs="Arial"/>
          <w:bCs/>
          <w:i/>
          <w:iCs/>
          <w:lang w:val="es-ES_tradnl" w:eastAsia="es-ES_tradnl"/>
        </w:rPr>
        <w:t>giro ordinario</w:t>
      </w:r>
      <w:r w:rsidRPr="009542E0">
        <w:rPr>
          <w:rFonts w:ascii="Verdana" w:eastAsia="Calibri" w:hAnsi="Verdana" w:cs="Arial"/>
          <w:bCs/>
          <w:lang w:val="es-ES_tradnl" w:eastAsia="es-ES_tradnl"/>
        </w:rPr>
        <w:t>, emplea un concepto jurídico indeterminado</w:t>
      </w:r>
      <w:r w:rsidRPr="009542E0">
        <w:rPr>
          <w:rFonts w:ascii="Verdana" w:eastAsia="Calibri" w:hAnsi="Verdana" w:cs="Arial"/>
          <w:vertAlign w:val="superscript"/>
          <w:lang w:eastAsia="es-ES_tradnl"/>
        </w:rPr>
        <w:footnoteReference w:id="12"/>
      </w:r>
      <w:r w:rsidRPr="009542E0">
        <w:rPr>
          <w:rFonts w:ascii="Verdana" w:eastAsia="Calibri" w:hAnsi="Verdana" w:cs="Arial"/>
          <w:bCs/>
          <w:lang w:val="es-ES_tradnl" w:eastAsia="es-ES_tradnl"/>
        </w:rPr>
        <w:t xml:space="preserve">. </w:t>
      </w:r>
      <w:r w:rsidRPr="009542E0">
        <w:rPr>
          <w:rFonts w:ascii="Verdana" w:eastAsia="Arial" w:hAnsi="Verdana" w:cs="Arial"/>
          <w:lang w:val="es-ES_tradnl" w:eastAsia="es-ES_tradnl"/>
        </w:rPr>
        <w:t xml:space="preserve">Un concepto adquiere esta denominación en el Derecho cuando se trata de un enunciado que goza de vaguedad y que debe materializarse en cada caso, atendiendo a las técnicas de la interpretación jurídica. De igual forma, se trata de un concepto para cuya concreción las Entidades Estatales gozan de cierto margen de apreciación en su aplicación, pero deben respetar los límites previstos </w:t>
      </w:r>
      <w:r w:rsidRPr="009542E0">
        <w:rPr>
          <w:rFonts w:ascii="Verdana" w:eastAsia="Arial" w:hAnsi="Verdana" w:cs="Arial"/>
          <w:lang w:val="es-ES_tradnl" w:eastAsia="es-ES_tradnl"/>
        </w:rPr>
        <w:lastRenderedPageBreak/>
        <w:t xml:space="preserve">en las normas de orden público. Por ejemplo, no podrán considerar que cualquier contrato que celebren hace parte del </w:t>
      </w:r>
      <w:r w:rsidRPr="009542E0">
        <w:rPr>
          <w:rFonts w:ascii="Verdana" w:eastAsia="Arial" w:hAnsi="Verdana" w:cs="Arial"/>
          <w:i/>
          <w:iCs/>
          <w:lang w:val="es-ES_tradnl" w:eastAsia="es-ES_tradnl"/>
        </w:rPr>
        <w:t>giro ordinario</w:t>
      </w:r>
      <w:r w:rsidRPr="009542E0">
        <w:rPr>
          <w:rFonts w:ascii="Verdana" w:eastAsia="Arial" w:hAnsi="Verdana" w:cs="Arial"/>
          <w:lang w:val="es-ES_tradnl" w:eastAsia="es-ES_tradnl"/>
        </w:rPr>
        <w:t xml:space="preserve"> de sus negocios. </w:t>
      </w:r>
    </w:p>
    <w:p w14:paraId="71AA8079" w14:textId="77777777" w:rsidR="009542E0" w:rsidRPr="009542E0" w:rsidRDefault="009542E0" w:rsidP="009542E0">
      <w:pPr>
        <w:tabs>
          <w:tab w:val="left" w:pos="0"/>
        </w:tabs>
        <w:spacing w:after="120" w:line="276" w:lineRule="auto"/>
        <w:ind w:firstLine="709"/>
        <w:jc w:val="both"/>
        <w:rPr>
          <w:rFonts w:ascii="Verdana" w:eastAsia="Calibri" w:hAnsi="Verdana" w:cs="Arial"/>
          <w:bCs/>
          <w:lang w:val="es-ES_tradnl" w:eastAsia="es-ES_tradnl"/>
        </w:rPr>
      </w:pPr>
      <w:r w:rsidRPr="009542E0">
        <w:rPr>
          <w:rFonts w:ascii="Verdana" w:eastAsia="Arial" w:hAnsi="Verdana" w:cs="Arial"/>
          <w:lang w:val="es-ES_tradnl" w:eastAsia="es-ES_tradnl"/>
        </w:rPr>
        <w:t>La Corte Constitucional</w:t>
      </w:r>
      <w:r w:rsidRPr="009542E0">
        <w:rPr>
          <w:rFonts w:ascii="Verdana" w:eastAsia="Arial" w:hAnsi="Verdana" w:cs="Arial"/>
          <w:vertAlign w:val="superscript"/>
          <w:lang w:eastAsia="es-ES_tradnl"/>
        </w:rPr>
        <w:footnoteReference w:id="13"/>
      </w:r>
      <w:r w:rsidRPr="009542E0">
        <w:rPr>
          <w:rFonts w:ascii="Verdana" w:eastAsia="Arial" w:hAnsi="Verdana" w:cs="Arial"/>
          <w:lang w:val="es-ES_tradnl" w:eastAsia="es-ES_tradnl"/>
        </w:rPr>
        <w:t xml:space="preserve"> también ha reconocido que el Congreso de la República, dentro de su libertad de configuración legislativa, puede emplear este tipo de conceptos, que se caracterizan por tener un cierto halo de incertidumbre en su interpretación, quedando referida su determinación concreta a la actividad de los operadores jurídicos.</w:t>
      </w:r>
      <w:r w:rsidRPr="009542E0">
        <w:rPr>
          <w:rFonts w:ascii="Verdana" w:eastAsia="Calibri" w:hAnsi="Verdana" w:cs="Arial"/>
          <w:bCs/>
          <w:lang w:val="es-ES_tradnl" w:eastAsia="es-ES_tradnl"/>
        </w:rPr>
        <w:t xml:space="preserve"> </w:t>
      </w:r>
    </w:p>
    <w:p w14:paraId="350F8371" w14:textId="77777777" w:rsidR="009542E0" w:rsidRPr="009542E0" w:rsidRDefault="009542E0" w:rsidP="009542E0">
      <w:pPr>
        <w:tabs>
          <w:tab w:val="left" w:pos="0"/>
        </w:tabs>
        <w:spacing w:after="0" w:line="276" w:lineRule="auto"/>
        <w:ind w:firstLine="709"/>
        <w:jc w:val="both"/>
        <w:rPr>
          <w:rFonts w:ascii="Verdana" w:eastAsia="Calibri" w:hAnsi="Verdana" w:cs="Arial"/>
          <w:bCs/>
          <w:lang w:val="es-ES_tradnl" w:eastAsia="es-ES_tradnl"/>
        </w:rPr>
      </w:pPr>
      <w:r w:rsidRPr="009542E0">
        <w:rPr>
          <w:rFonts w:ascii="Verdana" w:eastAsia="Calibri" w:hAnsi="Verdana" w:cs="Arial"/>
          <w:bCs/>
          <w:lang w:val="es-ES_tradnl" w:eastAsia="es-ES_tradnl"/>
        </w:rPr>
        <w:t xml:space="preserve">Aunque, como se indicó, la expresión giro ordinario de los negocios es un concepto jurídico indeterminado, el Consejo de Estado ha tenido la oportunidad de pronunciarse en distintas ocasiones sobre su alcance, estableciendo algunos criterios de interpretación. En su momento, en relación con el alcance de la expresión </w:t>
      </w:r>
      <w:r w:rsidRPr="009542E0">
        <w:rPr>
          <w:rFonts w:ascii="Verdana" w:eastAsia="Calibri" w:hAnsi="Verdana" w:cs="Arial"/>
          <w:bCs/>
          <w:i/>
          <w:iCs/>
          <w:lang w:val="es-ES_tradnl" w:eastAsia="es-ES_tradnl"/>
        </w:rPr>
        <w:t xml:space="preserve">giro ordinario </w:t>
      </w:r>
      <w:r w:rsidRPr="009542E0">
        <w:rPr>
          <w:rFonts w:ascii="Verdana" w:eastAsia="Calibri" w:hAnsi="Verdana" w:cs="Arial"/>
          <w:bCs/>
          <w:lang w:val="es-ES_tradnl" w:eastAsia="es-ES_tradnl"/>
        </w:rPr>
        <w:t>incluida en la redacción original del parágrafo 1° del artículo 32 de la Ley 80 de 1993</w:t>
      </w:r>
      <w:r w:rsidRPr="009542E0">
        <w:rPr>
          <w:rFonts w:ascii="Verdana" w:eastAsia="Calibri" w:hAnsi="Verdana" w:cs="Arial"/>
          <w:vertAlign w:val="superscript"/>
          <w:lang w:eastAsia="es-ES_tradnl"/>
        </w:rPr>
        <w:footnoteReference w:id="14"/>
      </w:r>
      <w:r w:rsidRPr="009542E0">
        <w:rPr>
          <w:rFonts w:ascii="Verdana" w:eastAsia="Calibri" w:hAnsi="Verdana" w:cs="Arial"/>
          <w:bCs/>
          <w:lang w:val="es-ES_tradnl" w:eastAsia="es-ES_tradnl"/>
        </w:rPr>
        <w:t xml:space="preserve">, la Sección Tercera manifestó lo siguiente: </w:t>
      </w:r>
    </w:p>
    <w:p w14:paraId="2F3245AB" w14:textId="77777777" w:rsidR="009542E0" w:rsidRPr="009542E0" w:rsidRDefault="009542E0" w:rsidP="009542E0">
      <w:pPr>
        <w:tabs>
          <w:tab w:val="left" w:pos="0"/>
        </w:tabs>
        <w:spacing w:after="0" w:line="276" w:lineRule="auto"/>
        <w:jc w:val="both"/>
        <w:rPr>
          <w:rFonts w:ascii="Verdana" w:eastAsia="Calibri" w:hAnsi="Verdana" w:cs="Arial"/>
          <w:bCs/>
          <w:lang w:val="es-ES_tradnl" w:eastAsia="es-ES_tradnl"/>
        </w:rPr>
      </w:pPr>
    </w:p>
    <w:p w14:paraId="36A76CC4" w14:textId="77777777" w:rsidR="009542E0" w:rsidRPr="009542E0" w:rsidRDefault="009542E0" w:rsidP="009542E0">
      <w:pPr>
        <w:spacing w:after="0" w:line="240" w:lineRule="auto"/>
        <w:ind w:left="709" w:right="709"/>
        <w:jc w:val="both"/>
        <w:rPr>
          <w:rFonts w:ascii="Verdana" w:eastAsia="Times New Roman" w:hAnsi="Verdana" w:cs="Arial"/>
          <w:sz w:val="20"/>
          <w:szCs w:val="20"/>
          <w:lang w:val="es-ES_tradnl" w:eastAsia="es-CO"/>
        </w:rPr>
      </w:pPr>
      <w:r w:rsidRPr="009542E0">
        <w:rPr>
          <w:rFonts w:ascii="Verdana" w:eastAsia="Times New Roman" w:hAnsi="Verdana" w:cs="Arial"/>
          <w:sz w:val="20"/>
          <w:szCs w:val="20"/>
          <w:lang w:val="es-ES_tradnl" w:eastAsia="es-ES_tradnl"/>
        </w:rPr>
        <w:t xml:space="preserve">“[E]l giro ordinario de las actividades de una sociedad comercial no sólo comprende aquello que define en forma concreta su objeto social, sino todos los actos directamente relacionados con el mismo, lo que denota que entre éstos y aquéllas debe existir una relación de necesidad que los hace parte en el objeto de la sociedad. </w:t>
      </w:r>
      <w:proofErr w:type="gramStart"/>
      <w:r w:rsidRPr="009542E0">
        <w:rPr>
          <w:rFonts w:ascii="Verdana" w:eastAsia="Times New Roman" w:hAnsi="Verdana" w:cs="Arial"/>
          <w:sz w:val="20"/>
          <w:szCs w:val="20"/>
          <w:lang w:val="es-ES_tradnl" w:eastAsia="es-ES_tradnl"/>
        </w:rPr>
        <w:t>Siendo</w:t>
      </w:r>
      <w:proofErr w:type="gramEnd"/>
      <w:r w:rsidRPr="009542E0">
        <w:rPr>
          <w:rFonts w:ascii="Verdana" w:eastAsia="Times New Roman" w:hAnsi="Verdana" w:cs="Arial"/>
          <w:sz w:val="20"/>
          <w:szCs w:val="20"/>
          <w:lang w:val="es-ES_tradnl" w:eastAsia="es-ES_tradnl"/>
        </w:rPr>
        <w:t xml:space="preserve"> así las cosas, resulta que el concepto “giro ordinario de las actividades” […], hace relación tanto a las actividades o negocios realizados en cumplimiento del objeto social o de las funciones principales, expresamente definidas por la Ley, como también a todo aquello que es conexo con ellas y que se realiza para desarrollar la función principal, estableciéndose entre estos una relación de medio a fin, estrecha y complementaria”</w:t>
      </w:r>
      <w:r w:rsidRPr="009542E0">
        <w:rPr>
          <w:rFonts w:ascii="Verdana" w:eastAsia="Times New Roman" w:hAnsi="Verdana" w:cs="Arial"/>
          <w:sz w:val="20"/>
          <w:szCs w:val="20"/>
          <w:vertAlign w:val="superscript"/>
          <w:lang w:eastAsia="es-ES_tradnl"/>
        </w:rPr>
        <w:footnoteReference w:id="15"/>
      </w:r>
      <w:r w:rsidRPr="009542E0">
        <w:rPr>
          <w:rFonts w:ascii="Verdana" w:eastAsia="Times New Roman" w:hAnsi="Verdana" w:cs="Arial"/>
          <w:sz w:val="20"/>
          <w:szCs w:val="20"/>
          <w:lang w:val="es-ES_tradnl" w:eastAsia="es-ES_tradnl"/>
        </w:rPr>
        <w:t>.</w:t>
      </w:r>
    </w:p>
    <w:p w14:paraId="50046528" w14:textId="77777777" w:rsidR="009542E0" w:rsidRPr="009542E0" w:rsidRDefault="009542E0" w:rsidP="009542E0">
      <w:pPr>
        <w:tabs>
          <w:tab w:val="left" w:pos="0"/>
        </w:tabs>
        <w:spacing w:after="0" w:line="276" w:lineRule="auto"/>
        <w:jc w:val="both"/>
        <w:rPr>
          <w:rFonts w:ascii="Verdana" w:eastAsia="Calibri" w:hAnsi="Verdana" w:cs="Arial"/>
          <w:bCs/>
          <w:i/>
          <w:iCs/>
          <w:lang w:val="es-ES_tradnl" w:eastAsia="es-ES_tradnl"/>
        </w:rPr>
      </w:pPr>
    </w:p>
    <w:p w14:paraId="53A99416" w14:textId="77777777" w:rsidR="009542E0" w:rsidRPr="009542E0" w:rsidRDefault="009542E0" w:rsidP="009542E0">
      <w:pPr>
        <w:tabs>
          <w:tab w:val="left" w:pos="0"/>
        </w:tabs>
        <w:spacing w:after="120" w:line="276" w:lineRule="auto"/>
        <w:jc w:val="both"/>
        <w:rPr>
          <w:rFonts w:ascii="Verdana" w:eastAsia="Calibri" w:hAnsi="Verdana" w:cs="Arial"/>
          <w:bCs/>
          <w:lang w:val="es-ES_tradnl" w:eastAsia="es-ES_tradnl"/>
        </w:rPr>
      </w:pPr>
      <w:r w:rsidRPr="009542E0">
        <w:rPr>
          <w:rFonts w:ascii="Verdana" w:eastAsia="Calibri" w:hAnsi="Verdana" w:cs="Arial"/>
          <w:bCs/>
          <w:lang w:val="es-ES_tradnl" w:eastAsia="es-ES_tradnl"/>
        </w:rPr>
        <w:tab/>
        <w:t xml:space="preserve">En el mismo sentido se pronunció recientemente el Alto Tribunal de lo Contencioso Administrativo, reiterando las anteriores consideraciones, al expresar que el concepto de </w:t>
      </w:r>
      <w:r w:rsidRPr="009542E0">
        <w:rPr>
          <w:rFonts w:ascii="Verdana" w:eastAsia="Calibri" w:hAnsi="Verdana" w:cs="Arial"/>
          <w:i/>
          <w:lang w:val="es-ES_tradnl" w:eastAsia="es-ES_tradnl"/>
        </w:rPr>
        <w:t xml:space="preserve">“giro ordinario de los negocios” </w:t>
      </w:r>
      <w:r w:rsidRPr="009542E0">
        <w:rPr>
          <w:rFonts w:ascii="Verdana" w:eastAsia="Calibri" w:hAnsi="Verdana" w:cs="Arial"/>
          <w:bCs/>
          <w:lang w:val="es-ES_tradnl" w:eastAsia="es-ES_tradnl"/>
        </w:rPr>
        <w:t>se refiere a aquellas actividades compatibles con el objeto social, funciones previstas en la ley, o en las normas de creación y en sus estatutos internos de las personas</w:t>
      </w:r>
      <w:r w:rsidRPr="009542E0">
        <w:rPr>
          <w:rFonts w:ascii="Verdana" w:eastAsia="Calibri" w:hAnsi="Verdana" w:cs="Arial"/>
          <w:vertAlign w:val="superscript"/>
          <w:lang w:eastAsia="es-ES_tradnl"/>
        </w:rPr>
        <w:footnoteReference w:id="16"/>
      </w:r>
      <w:r w:rsidRPr="009542E0">
        <w:rPr>
          <w:rFonts w:ascii="Verdana" w:eastAsia="Calibri" w:hAnsi="Verdana" w:cs="Arial"/>
          <w:bCs/>
          <w:lang w:val="es-ES_tradnl" w:eastAsia="es-ES_tradnl"/>
        </w:rPr>
        <w:t xml:space="preserve"> y la doctrina societaria</w:t>
      </w:r>
      <w:r w:rsidRPr="009542E0">
        <w:rPr>
          <w:rFonts w:ascii="Verdana" w:eastAsia="Calibri" w:hAnsi="Verdana" w:cs="Arial"/>
          <w:bCs/>
          <w:vertAlign w:val="superscript"/>
          <w:lang w:val="es-ES_tradnl" w:eastAsia="es-ES_tradnl"/>
        </w:rPr>
        <w:footnoteReference w:id="17"/>
      </w:r>
      <w:r w:rsidRPr="009542E0">
        <w:rPr>
          <w:rFonts w:ascii="Verdana" w:eastAsia="Calibri" w:hAnsi="Verdana" w:cs="Arial"/>
          <w:bCs/>
          <w:lang w:val="es-ES_tradnl" w:eastAsia="es-ES_tradnl"/>
        </w:rPr>
        <w:t xml:space="preserve">. </w:t>
      </w:r>
    </w:p>
    <w:p w14:paraId="2BA2E0B1" w14:textId="77777777" w:rsidR="009542E0" w:rsidRPr="009542E0" w:rsidRDefault="009542E0" w:rsidP="009542E0">
      <w:pPr>
        <w:spacing w:after="120" w:line="276" w:lineRule="auto"/>
        <w:jc w:val="both"/>
        <w:rPr>
          <w:rFonts w:ascii="Verdana" w:eastAsia="Calibri" w:hAnsi="Verdana" w:cs="Arial"/>
          <w:lang w:val="es-ES" w:eastAsia="es-ES"/>
        </w:rPr>
      </w:pPr>
      <w:r w:rsidRPr="009542E0">
        <w:rPr>
          <w:rFonts w:ascii="Verdana" w:eastAsia="Calibri" w:hAnsi="Verdana" w:cs="Arial"/>
          <w:bCs/>
          <w:lang w:val="es-ES_tradnl" w:eastAsia="es-ES_tradnl"/>
        </w:rPr>
        <w:tab/>
      </w:r>
      <w:r w:rsidRPr="009542E0">
        <w:rPr>
          <w:rFonts w:ascii="Verdana" w:eastAsia="Calibri" w:hAnsi="Verdana" w:cs="Arial"/>
          <w:lang w:val="es-ES" w:eastAsia="es-ES"/>
        </w:rPr>
        <w:t xml:space="preserve">Conforme con lo expresado, el </w:t>
      </w:r>
      <w:r w:rsidRPr="009542E0">
        <w:rPr>
          <w:rFonts w:ascii="Verdana" w:eastAsia="Calibri" w:hAnsi="Verdana" w:cs="Arial"/>
          <w:i/>
          <w:lang w:val="es-ES" w:eastAsia="es-ES"/>
        </w:rPr>
        <w:t xml:space="preserve">giro ordinario </w:t>
      </w:r>
      <w:r w:rsidRPr="009542E0">
        <w:rPr>
          <w:rFonts w:ascii="Verdana" w:eastAsia="Calibri" w:hAnsi="Verdana" w:cs="Arial"/>
          <w:lang w:val="es-ES" w:eastAsia="es-ES"/>
        </w:rPr>
        <w:t>involucra los asuntos que integran el desarrollo del objeto social de una sociedad comercial, una empresa o Entidad Pública, lo cual comprende tanto unas actividades directamente relacionadas con dicho objeto social, así como otros actos conexos al mismo. Esta interpretación, en principio, es coherente con la regulación de la capacidad de las sociedades comerciales establecida en el Código de Comercio, cuyo artículo 99 dispone que “[</w:t>
      </w:r>
      <w:r w:rsidRPr="009542E0">
        <w:rPr>
          <w:rFonts w:ascii="Verdana" w:eastAsia="Times New Roman" w:hAnsi="Verdana" w:cs="Arial"/>
          <w:lang w:val="es-ES" w:eastAsia="es-ES"/>
        </w:rPr>
        <w:t>S]e</w:t>
      </w:r>
      <w:r w:rsidRPr="009542E0">
        <w:rPr>
          <w:rFonts w:ascii="Verdana" w:eastAsia="Calibri" w:hAnsi="Verdana" w:cs="Arial"/>
          <w:lang w:val="es-ES" w:eastAsia="es-ES"/>
        </w:rPr>
        <w:t xml:space="preserve"> entenderán incluidos en el objeto social los actos directamente relacionados con el mismo y los que tengan como finalidad ejercer los derechos o cumplir las obligaciones, legal o convencionalmente derivados de la existencia y actividad de la sociedad.”</w:t>
      </w:r>
      <w:r w:rsidRPr="009542E0">
        <w:rPr>
          <w:rFonts w:ascii="Verdana" w:eastAsia="Calibri" w:hAnsi="Verdana" w:cs="Arial"/>
          <w:vertAlign w:val="superscript"/>
          <w:lang w:eastAsia="es-ES"/>
        </w:rPr>
        <w:footnoteReference w:id="18"/>
      </w:r>
    </w:p>
    <w:p w14:paraId="2292B1D5" w14:textId="77777777" w:rsidR="009542E0" w:rsidRPr="009542E0" w:rsidRDefault="009542E0" w:rsidP="009542E0">
      <w:pPr>
        <w:spacing w:before="120" w:after="120" w:line="276" w:lineRule="auto"/>
        <w:jc w:val="both"/>
        <w:rPr>
          <w:rFonts w:ascii="Verdana" w:eastAsia="Calibri" w:hAnsi="Verdana" w:cs="Arial"/>
          <w:lang w:val="es-ES" w:eastAsia="es-ES"/>
        </w:rPr>
      </w:pPr>
      <w:r w:rsidRPr="009542E0">
        <w:rPr>
          <w:rFonts w:ascii="Verdana" w:eastAsia="Calibri" w:hAnsi="Verdana" w:cs="Arial"/>
          <w:bCs/>
          <w:lang w:val="es-ES_tradnl" w:eastAsia="es-ES_tradnl"/>
        </w:rPr>
        <w:lastRenderedPageBreak/>
        <w:tab/>
      </w:r>
      <w:r w:rsidRPr="009542E0">
        <w:rPr>
          <w:rFonts w:ascii="Verdana" w:eastAsia="Calibri" w:hAnsi="Verdana" w:cs="Arial"/>
          <w:lang w:val="es-ES" w:eastAsia="es-ES"/>
        </w:rPr>
        <w:t xml:space="preserve">En relación con la aplicación de lo dispuesto en el parágrafo del artículo 56 de la Ley 2195 de 2022, conviene aclarar que, a juicio de esta Agencia, la expresión </w:t>
      </w:r>
      <w:r w:rsidRPr="009542E0">
        <w:rPr>
          <w:rFonts w:ascii="Verdana" w:eastAsia="Calibri" w:hAnsi="Verdana" w:cs="Arial"/>
          <w:i/>
          <w:lang w:val="es-ES" w:eastAsia="es-ES"/>
        </w:rPr>
        <w:t xml:space="preserve">giro ordinario </w:t>
      </w:r>
      <w:r w:rsidRPr="009542E0">
        <w:rPr>
          <w:rFonts w:ascii="Verdana" w:eastAsia="Calibri" w:hAnsi="Verdana" w:cs="Arial"/>
          <w:lang w:val="es-ES" w:eastAsia="es-ES"/>
        </w:rPr>
        <w:t xml:space="preserve">se usa para designar a la contratación directamente relacionada con los asuntos de la gestión habitual u ordinaria de los tipos de entidades mencionadas en el parágrafo. No obstante, la determinación de las actividades que comprenden el </w:t>
      </w:r>
      <w:r w:rsidRPr="009542E0">
        <w:rPr>
          <w:rFonts w:ascii="Verdana" w:eastAsia="Calibri" w:hAnsi="Verdana" w:cs="Arial"/>
          <w:i/>
          <w:lang w:val="es-ES" w:eastAsia="es-ES"/>
        </w:rPr>
        <w:t>giro ordinario</w:t>
      </w:r>
      <w:r w:rsidRPr="009542E0">
        <w:rPr>
          <w:rFonts w:ascii="Verdana" w:eastAsia="Calibri" w:hAnsi="Verdana" w:cs="Arial"/>
          <w:lang w:val="es-ES" w:eastAsia="es-ES"/>
        </w:rPr>
        <w:t xml:space="preserve"> es un asunto que debe establecerse en cada caso concreto por parte de las Entidades Estatales –analizando lo establecido en sus actos de creación y verificando los negocios habituales u ordinarios que desarrollan–, pues el parágrafo del artículo 56 </w:t>
      </w:r>
      <w:proofErr w:type="spellStart"/>
      <w:r w:rsidRPr="009542E0">
        <w:rPr>
          <w:rFonts w:ascii="Verdana" w:eastAsia="Calibri" w:hAnsi="Verdana" w:cs="Arial"/>
          <w:i/>
          <w:lang w:val="es-ES" w:eastAsia="es-ES"/>
        </w:rPr>
        <w:t>ejusdem</w:t>
      </w:r>
      <w:proofErr w:type="spellEnd"/>
      <w:r w:rsidRPr="009542E0">
        <w:rPr>
          <w:rFonts w:ascii="Verdana" w:eastAsia="Calibri" w:hAnsi="Verdana" w:cs="Arial"/>
          <w:lang w:val="es-ES" w:eastAsia="es-ES"/>
        </w:rPr>
        <w:t xml:space="preserve"> se limita a enunciar algunos tipos de Entidades Estatales, las cuales no solo difieren en su naturaleza jurídica, sino también en las actividades que realizan. </w:t>
      </w:r>
    </w:p>
    <w:p w14:paraId="70BCEF73" w14:textId="77777777" w:rsidR="009542E0" w:rsidRPr="009542E0" w:rsidRDefault="009542E0" w:rsidP="009542E0">
      <w:pPr>
        <w:tabs>
          <w:tab w:val="left" w:pos="0"/>
        </w:tabs>
        <w:spacing w:before="120" w:after="120" w:line="276" w:lineRule="auto"/>
        <w:ind w:firstLine="709"/>
        <w:jc w:val="both"/>
        <w:rPr>
          <w:rFonts w:ascii="Verdana" w:eastAsia="Calibri" w:hAnsi="Verdana" w:cs="Arial"/>
          <w:bCs/>
          <w:lang w:val="es-ES_tradnl"/>
        </w:rPr>
      </w:pPr>
      <w:r w:rsidRPr="009542E0">
        <w:rPr>
          <w:rFonts w:ascii="Verdana" w:eastAsia="Calibri" w:hAnsi="Verdana" w:cs="Arial"/>
          <w:lang w:val="es-ES" w:eastAsia="es-ES"/>
        </w:rPr>
        <w:t xml:space="preserve">Esto impide que la Agencia Nacional de Contratación Pública – Colombia Compra Eficiente, en sede consultiva, pueda determinar, con un criterio universal y absoluto, qué actividades específicas hacen parte del giro ordinario de los negocios de dichas entidades y cuáles escapan de este, pues, como se indicó, al explicar la naturaleza de los conceptos jurídicos indeterminados, la concreción del alcance de la expresión </w:t>
      </w:r>
      <w:r w:rsidRPr="009542E0">
        <w:rPr>
          <w:rFonts w:ascii="Verdana" w:eastAsia="Calibri" w:hAnsi="Verdana" w:cs="Arial"/>
          <w:i/>
          <w:lang w:val="es-ES" w:eastAsia="es-ES"/>
        </w:rPr>
        <w:t>giro ordinario</w:t>
      </w:r>
      <w:r w:rsidRPr="009542E0">
        <w:rPr>
          <w:rFonts w:ascii="Verdana" w:eastAsia="Calibri" w:hAnsi="Verdana" w:cs="Arial"/>
          <w:lang w:val="es-ES" w:eastAsia="es-ES"/>
        </w:rPr>
        <w:t xml:space="preserve"> debe hacerse en el caso concreto, empleando un criterio de interpretación restrictiva. Ello en la medida en que el parágrafo del artículo 56 consagra una excepción a una regla general. </w:t>
      </w:r>
      <w:r w:rsidRPr="009542E0">
        <w:rPr>
          <w:rFonts w:ascii="Verdana" w:eastAsia="Calibri" w:hAnsi="Verdana" w:cs="Arial"/>
          <w:bCs/>
          <w:lang w:val="es-ES_tradnl"/>
        </w:rPr>
        <w:t>Además, cada una de las entidades estatales señaladas en dicho parágrafo se encuentra circunscrita, hermenéuticamente –para acotar aquel concepto–, a lo que establezcan sus normas estatutarias –actos de creación y demás reglamentos–, así como a la realidad de los negocios que hacen parte de su dinámica habitual.</w:t>
      </w:r>
    </w:p>
    <w:p w14:paraId="1B3AFC06" w14:textId="77777777" w:rsidR="009542E0" w:rsidRPr="009542E0" w:rsidRDefault="009542E0" w:rsidP="009542E0">
      <w:pPr>
        <w:spacing w:before="120" w:after="120" w:line="276" w:lineRule="auto"/>
        <w:jc w:val="both"/>
        <w:rPr>
          <w:rFonts w:ascii="Verdana" w:eastAsia="Calibri" w:hAnsi="Verdana" w:cs="Arial"/>
          <w:lang w:val="es-ES" w:eastAsia="es-ES"/>
        </w:rPr>
      </w:pPr>
      <w:r w:rsidRPr="009542E0">
        <w:rPr>
          <w:rFonts w:ascii="Verdana" w:eastAsia="Calibri" w:hAnsi="Verdana" w:cs="Arial"/>
          <w:bCs/>
          <w:lang w:val="es-ES_tradnl" w:eastAsia="es-ES_tradnl"/>
        </w:rPr>
        <w:tab/>
      </w:r>
      <w:r w:rsidRPr="009542E0">
        <w:rPr>
          <w:rFonts w:ascii="Verdana" w:eastAsia="Calibri" w:hAnsi="Verdana" w:cs="Arial"/>
          <w:color w:val="000000"/>
          <w:lang w:val="es-ES"/>
        </w:rPr>
        <w:t xml:space="preserve"> </w:t>
      </w:r>
      <w:r w:rsidRPr="009542E0">
        <w:rPr>
          <w:rFonts w:ascii="Verdana" w:eastAsia="Calibri" w:hAnsi="Verdana" w:cs="Arial"/>
          <w:lang w:val="es-ES" w:eastAsia="es-ES"/>
        </w:rPr>
        <w:t xml:space="preserve">En tales términos, lo dispuesto en el parágrafo del artículo 56 implica que las instituciones de educación superior públicas </w:t>
      </w:r>
      <w:r w:rsidRPr="009542E0">
        <w:rPr>
          <w:rFonts w:ascii="Verdana" w:eastAsia="Calibri" w:hAnsi="Verdana" w:cs="Arial"/>
          <w:i/>
          <w:iCs/>
          <w:u w:val="single"/>
          <w:lang w:val="es-ES" w:eastAsia="es-ES"/>
        </w:rPr>
        <w:t xml:space="preserve">–con las precisiones que se </w:t>
      </w:r>
      <w:r w:rsidRPr="009542E0">
        <w:rPr>
          <w:rFonts w:ascii="Verdana" w:eastAsia="Calibri" w:hAnsi="Verdana" w:cs="Arial"/>
          <w:i/>
          <w:iCs/>
          <w:u w:val="single"/>
          <w:lang w:val="es-ES" w:eastAsia="es-ES"/>
        </w:rPr>
        <w:lastRenderedPageBreak/>
        <w:t xml:space="preserve">desarrollaran en el punto </w:t>
      </w:r>
      <w:proofErr w:type="spellStart"/>
      <w:r w:rsidRPr="009542E0">
        <w:rPr>
          <w:rFonts w:ascii="Verdana" w:eastAsia="Calibri" w:hAnsi="Verdana" w:cs="Arial"/>
          <w:i/>
          <w:iCs/>
          <w:u w:val="single"/>
          <w:lang w:val="es-ES" w:eastAsia="es-ES"/>
        </w:rPr>
        <w:t>iv</w:t>
      </w:r>
      <w:proofErr w:type="spellEnd"/>
      <w:r w:rsidRPr="009542E0">
        <w:rPr>
          <w:rFonts w:ascii="Verdana" w:eastAsia="Calibri" w:hAnsi="Verdana" w:cs="Arial"/>
          <w:i/>
          <w:iCs/>
          <w:u w:val="single"/>
          <w:lang w:val="es-ES" w:eastAsia="es-ES"/>
        </w:rPr>
        <w:t>. de este concepto–</w:t>
      </w:r>
      <w:r w:rsidRPr="009542E0">
        <w:rPr>
          <w:rFonts w:ascii="Verdana" w:eastAsia="Calibri" w:hAnsi="Verdana" w:cs="Arial"/>
          <w:lang w:val="es-ES" w:eastAsia="es-ES"/>
        </w:rPr>
        <w:t xml:space="preserve">, las empresas sociales del Estado, las sociedades de economía mixta y las empresas industriales y comerciales del Estado, no tendrán que implementar Documentos Tipo a excepción de aquellos casos en los que la contratación esté relacionada con el </w:t>
      </w:r>
      <w:r w:rsidRPr="009542E0">
        <w:rPr>
          <w:rFonts w:ascii="Verdana" w:eastAsia="Calibri" w:hAnsi="Verdana" w:cs="Arial"/>
          <w:i/>
          <w:iCs/>
          <w:lang w:val="es-ES" w:eastAsia="es-ES"/>
        </w:rPr>
        <w:t xml:space="preserve">giro ordinario </w:t>
      </w:r>
      <w:r w:rsidRPr="009542E0">
        <w:rPr>
          <w:rFonts w:ascii="Verdana" w:eastAsia="Calibri" w:hAnsi="Verdana" w:cs="Arial"/>
          <w:lang w:val="es-ES" w:eastAsia="es-ES"/>
        </w:rPr>
        <w:t xml:space="preserve">de sus asuntos, salvo que los manuales internos de contratación de estas entidades dispongan la obligación de tener en cuenta los Documentos Tipo como una buena práctica contractual. De acuerdo con este entendimiento, estas entidades, en virtud de su enunciación en este parágrafo, quedan, en principio, exceptuadas de los Documentos Tipo, incluso para la contratación de obras o servicios cubiertos por documentos tipo, en el marco del cumplimiento de contratos o convenios con entidades sometidas al EGCAP y de los negocios jurídicos que se deriven de ellos, exclusivamente en lo que se refiere a </w:t>
      </w:r>
      <w:r w:rsidRPr="009542E0">
        <w:rPr>
          <w:rFonts w:ascii="Verdana" w:eastAsia="Calibri" w:hAnsi="Verdana" w:cs="Arial"/>
          <w:i/>
          <w:iCs/>
          <w:lang w:val="es-ES" w:eastAsia="es-ES"/>
        </w:rPr>
        <w:t>su giro ordinario</w:t>
      </w:r>
      <w:r w:rsidRPr="009542E0">
        <w:rPr>
          <w:rFonts w:ascii="Verdana" w:eastAsia="Calibri" w:hAnsi="Verdana" w:cs="Arial"/>
          <w:lang w:val="es-ES" w:eastAsia="es-ES"/>
        </w:rPr>
        <w:t xml:space="preserve">, entendido este conforme a los criterios jurisprudenciales y doctrinarios aquí explicados. En otras palabras, ninguna entidad cuya naturaleza jurídica coincida con las mencionadas en el parágrafo del artículo 56, tendrá que someterse de manera obligatoria a los Documentos Tipo o el EGCAP para la contratación de obras o servicios asociadas a su </w:t>
      </w:r>
      <w:r w:rsidRPr="009542E0">
        <w:rPr>
          <w:rFonts w:ascii="Verdana" w:eastAsia="Calibri" w:hAnsi="Verdana" w:cs="Arial"/>
          <w:i/>
          <w:iCs/>
          <w:lang w:val="es-ES" w:eastAsia="es-ES"/>
        </w:rPr>
        <w:t>giro ordinario</w:t>
      </w:r>
      <w:r w:rsidRPr="009542E0">
        <w:rPr>
          <w:rFonts w:ascii="Verdana" w:eastAsia="Calibri" w:hAnsi="Verdana" w:cs="Arial"/>
          <w:lang w:val="es-ES" w:eastAsia="es-ES"/>
        </w:rPr>
        <w:t xml:space="preserve">, a menos que su manual de contratación establezca lo contrario. De hacerlo, primará el principio de inderogabilidad singular del reglamento, que obliga a aplicarlo en las actuaciones concretas.  </w:t>
      </w:r>
    </w:p>
    <w:p w14:paraId="40E34593" w14:textId="77777777" w:rsidR="009542E0" w:rsidRPr="009542E0" w:rsidRDefault="009542E0" w:rsidP="009542E0">
      <w:pPr>
        <w:tabs>
          <w:tab w:val="left" w:pos="0"/>
        </w:tabs>
        <w:spacing w:before="120" w:after="120" w:line="276" w:lineRule="auto"/>
        <w:jc w:val="both"/>
        <w:rPr>
          <w:rFonts w:ascii="Verdana" w:eastAsia="Calibri" w:hAnsi="Verdana" w:cs="Arial"/>
          <w:lang w:val="es-MX"/>
        </w:rPr>
      </w:pPr>
      <w:proofErr w:type="spellStart"/>
      <w:r w:rsidRPr="009542E0">
        <w:rPr>
          <w:rFonts w:ascii="Verdana" w:eastAsia="Calibri" w:hAnsi="Verdana" w:cs="Arial"/>
          <w:lang w:val="es-ES" w:eastAsia="es-ES"/>
        </w:rPr>
        <w:t>iv</w:t>
      </w:r>
      <w:proofErr w:type="spellEnd"/>
      <w:r w:rsidRPr="009542E0">
        <w:rPr>
          <w:rFonts w:ascii="Verdana" w:eastAsia="Calibri" w:hAnsi="Verdana" w:cs="Arial"/>
          <w:lang w:val="es-ES" w:eastAsia="es-ES"/>
        </w:rPr>
        <w:t xml:space="preserve">. </w:t>
      </w:r>
      <w:r w:rsidRPr="009542E0">
        <w:rPr>
          <w:rFonts w:ascii="Verdana" w:eastAsia="Calibri" w:hAnsi="Verdana" w:cs="Arial"/>
          <w:lang w:val="es-MX"/>
        </w:rPr>
        <w:t>En relación con la implementación de los documentos tipo expedidos por la Agencia Nacional de Contratación Pública – Colombia Compra Eficiente, por parte de las instituciones de educación superior públicas, esta Agencia aclara y complementa la postura señalada en los Conceptos C-246 del 12 de marzo de 2026 y C-488 del 18 de junio de 2026, en el sentido de precisar algunos aspectos relativos a su clasificación, puesto que, a juicio de esta Agencia, no todas las instituciones dentro de esta categoría son destinatarias de la excepción del parágrafo del artículo 56, en razón de su naturaleza jurídica y, particularmente, de su régimen contractual.</w:t>
      </w:r>
    </w:p>
    <w:p w14:paraId="69F0F89C" w14:textId="77777777" w:rsidR="009542E0" w:rsidRPr="009542E0" w:rsidRDefault="009542E0" w:rsidP="009542E0">
      <w:pPr>
        <w:tabs>
          <w:tab w:val="left" w:pos="0"/>
        </w:tabs>
        <w:spacing w:before="120" w:after="120" w:line="276" w:lineRule="auto"/>
        <w:jc w:val="both"/>
        <w:rPr>
          <w:rFonts w:ascii="Verdana" w:eastAsia="Calibri" w:hAnsi="Verdana" w:cs="Arial"/>
          <w:lang w:val="es-MX"/>
        </w:rPr>
      </w:pPr>
      <w:r w:rsidRPr="009542E0">
        <w:rPr>
          <w:rFonts w:ascii="Verdana" w:eastAsia="Calibri" w:hAnsi="Verdana" w:cs="Arial"/>
          <w:lang w:val="es-MX"/>
        </w:rPr>
        <w:tab/>
        <w:t xml:space="preserve">En efecto, en el Concepto C-246 del 12 de marzo de 2026, al resolver la pregunta relativa a si una Institución de Educación Superior debe aplicar los documentos tipo expedidos por esta Agencia de conformidad con el artículo 56 de la Ley 2195 de 2022, esta Agencia señaló que “(…) se encuentran exceptuadas de dicha obligación las Instituciones de Educación Superior públicas, las empresas sociales del Estado, las sociedades de economía mixta y las empresas industriales y comerciales del Estado, únicamente en cuanto a la </w:t>
      </w:r>
      <w:r w:rsidRPr="009542E0">
        <w:rPr>
          <w:rFonts w:ascii="Verdana" w:eastAsia="Calibri" w:hAnsi="Verdana" w:cs="Arial"/>
          <w:lang w:val="es-MX"/>
        </w:rPr>
        <w:lastRenderedPageBreak/>
        <w:t>contratación de su giro ordinario, conforme a lo dispuesto en el parágrafo del artículo 56 de la Ley 2195 de 2022”.</w:t>
      </w:r>
    </w:p>
    <w:p w14:paraId="5C7E5B33" w14:textId="77777777" w:rsidR="009542E0" w:rsidRPr="009542E0" w:rsidRDefault="009542E0" w:rsidP="009542E0">
      <w:pPr>
        <w:tabs>
          <w:tab w:val="left" w:pos="0"/>
        </w:tabs>
        <w:spacing w:before="120" w:after="120" w:line="276" w:lineRule="auto"/>
        <w:jc w:val="both"/>
        <w:rPr>
          <w:rFonts w:ascii="Verdana" w:eastAsia="Calibri" w:hAnsi="Verdana" w:cs="Arial"/>
          <w:lang w:val="es-MX"/>
        </w:rPr>
      </w:pPr>
      <w:r w:rsidRPr="009542E0">
        <w:rPr>
          <w:rFonts w:ascii="Verdana" w:eastAsia="Calibri" w:hAnsi="Verdana" w:cs="Arial"/>
          <w:lang w:val="es-MX"/>
        </w:rPr>
        <w:tab/>
        <w:t>Por su parte, en el Concepto C-488 del 18 de junio de 2026 –cuya postura fue retomada del concepto de unificación CU-870 del 13 de agosto de 2026–, esta Agencia reiteró y profundizó dicha interpretación, señalando que el parágrafo del artículo 56 de la Ley 2195 de 2022, al constituir una norma de carácter excepcional, debe ser objeto de interpretación restrictiva, esto es, apegada a lo que literalmente se desprende de su texto. Bajo esa lógica, se concluyó que la excepción allí prevista se formula: “(…) respecto de ciertos tipos de Entidades Estatales, las cuales son mencionadas por su naturaleza jurídica, sin que se incluya consideración alguna relacionada con el régimen jurídico al que se encuentren sometidas (…) De acuerdo con este criterio interpretativo y comoquiera que la norma determina las excepciones en consideración a la naturaleza jurídica de los sujetos que menciona, sin hacer distinción alguna respecto de su régimen contractual, es posible concluir que la excepción predicable de las instituciones de educación superior públicas (…) no resulta extensible a entidades que no cuenten con dicha naturaleza”.</w:t>
      </w:r>
      <w:r w:rsidRPr="009542E0">
        <w:rPr>
          <w:rFonts w:ascii="Verdana" w:eastAsia="Calibri" w:hAnsi="Verdana" w:cs="Arial"/>
          <w:bCs/>
          <w:kern w:val="2"/>
          <w:sz w:val="24"/>
          <w:szCs w:val="24"/>
          <w:lang w:val="es-ES_tradnl" w:eastAsia="es-ES_tradnl"/>
          <w14:ligatures w14:val="standardContextual"/>
        </w:rPr>
        <w:t xml:space="preserve"> </w:t>
      </w:r>
    </w:p>
    <w:p w14:paraId="767DAE42" w14:textId="11DCE6B3" w:rsidR="009542E0" w:rsidRPr="009542E0" w:rsidRDefault="009542E0" w:rsidP="009542E0">
      <w:pPr>
        <w:tabs>
          <w:tab w:val="left" w:pos="0"/>
        </w:tabs>
        <w:spacing w:before="120" w:after="120" w:line="276" w:lineRule="auto"/>
        <w:jc w:val="both"/>
        <w:rPr>
          <w:rFonts w:ascii="Verdana" w:eastAsia="Calibri" w:hAnsi="Verdana" w:cs="Arial"/>
          <w:lang w:val="es-MX"/>
        </w:rPr>
      </w:pPr>
      <w:r w:rsidRPr="009542E0">
        <w:rPr>
          <w:rFonts w:ascii="Verdana" w:eastAsia="Calibri" w:hAnsi="Verdana" w:cs="Arial"/>
          <w:lang w:val="es-MX"/>
        </w:rPr>
        <w:tab/>
        <w:t xml:space="preserve">No obstante lo anterior, esta Agencia advierte que tanto el Concepto C-246 de 2026 como el Concepto C-488 de 2026 centraron su análisis en la denominación o naturaleza jurídica genérica de las entidades mencionadas en el parágrafo del artículo 56 –esto es, en el hecho de que se trate, formalmente, de una “Institución de Educación Superior pública”–, sin detenerse a examinar si, dentro de dicha categoría genérica, existen tipos de instituciones sometidas a regímenes de contratación distintos entre sí. En esa medida, si bien ambos conceptos acertaron al identificar que la excepción del parágrafo del artículo 56 opera en función de la naturaleza jurídica de los sujetos allí enunciados y no en función de un régimen contractual autónomamente considerado, dicha conclusión no puede entenderse en el sentido de que toda entidad que ostente la denominación genérica de “Institución de Educación Superior pública” resulte, por esa sola razón, cobijada por la excepción del </w:t>
      </w:r>
      <w:r w:rsidR="26BA2BB4" w:rsidRPr="009542E0">
        <w:rPr>
          <w:rFonts w:ascii="Verdana" w:eastAsia="Calibri" w:hAnsi="Verdana" w:cs="Arial"/>
          <w:lang w:val="es-MX"/>
        </w:rPr>
        <w:t>parágrafo</w:t>
      </w:r>
      <w:r w:rsidRPr="009542E0">
        <w:rPr>
          <w:rFonts w:ascii="Verdana" w:eastAsia="Calibri" w:hAnsi="Verdana" w:cs="Arial"/>
          <w:lang w:val="es-MX"/>
        </w:rPr>
        <w:t xml:space="preserve"> del artículo 56 de la Ley 2195 de 2022, con independencia de su régimen de contratación.</w:t>
      </w:r>
    </w:p>
    <w:p w14:paraId="4E93080C" w14:textId="628B29A2" w:rsidR="009542E0" w:rsidRPr="009542E0" w:rsidRDefault="009542E0" w:rsidP="009542E0">
      <w:pPr>
        <w:tabs>
          <w:tab w:val="left" w:pos="0"/>
        </w:tabs>
        <w:spacing w:before="120" w:after="120" w:line="276" w:lineRule="auto"/>
        <w:jc w:val="both"/>
        <w:rPr>
          <w:rFonts w:ascii="Verdana" w:eastAsia="Calibri" w:hAnsi="Verdana" w:cs="Arial"/>
          <w:lang w:val="es-MX"/>
        </w:rPr>
      </w:pPr>
      <w:r w:rsidRPr="009542E0">
        <w:rPr>
          <w:rFonts w:ascii="Verdana" w:eastAsia="Calibri" w:hAnsi="Verdana" w:cs="Arial"/>
          <w:lang w:val="es-MX"/>
        </w:rPr>
        <w:tab/>
        <w:t xml:space="preserve">Lo anterior, por cuanto, como se desarrollará a continuación, la categoría “Instituciones de Educación Superior públicas” no es jurídicamente homogénea, sino que comprende, cuando menos, dos tipos de instituciones con naturaleza jurídica y régimen de contratación claramente diferenciados, de una parte: i) las </w:t>
      </w:r>
      <w:r w:rsidRPr="009542E0">
        <w:rPr>
          <w:rFonts w:ascii="Verdana" w:eastAsia="Calibri" w:hAnsi="Verdana" w:cs="Arial"/>
          <w:lang w:val="es-MX"/>
        </w:rPr>
        <w:lastRenderedPageBreak/>
        <w:t xml:space="preserve">universidades estatales u oficiales organizadas como entes universitarios autónomos, sometidas a un régimen especial de derecho privado; y, de otra, ii) las instituciones estatales u oficiales de educación superior que no ostentan el carácter de universidad, organizadas como establecimientos públicos y sometidas al Estatuto General de Contratación de la Administración Pública. Es esta distinción, ausente en los Conceptos C-246 y C-488 de 2026, la que en esta oportunidad la Subdirección de Gestión Contractual de la Agencia Nacional de Contratación Pública – Colombia Compra Eficiente estima necesario precisar, en la medida en que la naturaleza jurídica de “Institución de Educación Superior pública” no resulta, por sí sola, un criterio suficiente para determinar la procedencia de la excepción prevista en el parágrafo del artículo 56 de la Ley 2195 de 2022, sino que debe complementarse con el examen del régimen de contratación específico al que cada tipo de institución se encuentre sometido. Precisamente, este fue el análisis que esta Agencia realizó en el concepto C-160 del 5 de abril de 2022, el cual se reitera en lo </w:t>
      </w:r>
      <w:r w:rsidR="0737F604" w:rsidRPr="009542E0">
        <w:rPr>
          <w:rFonts w:ascii="Verdana" w:eastAsia="Calibri" w:hAnsi="Verdana" w:cs="Arial"/>
          <w:lang w:val="es-MX"/>
        </w:rPr>
        <w:t>pertinente</w:t>
      </w:r>
      <w:r w:rsidRPr="009542E0">
        <w:rPr>
          <w:rFonts w:ascii="Verdana" w:eastAsia="Calibri" w:hAnsi="Verdana" w:cs="Arial"/>
          <w:lang w:val="es-MX"/>
        </w:rPr>
        <w:t xml:space="preserve"> a continuación. </w:t>
      </w:r>
    </w:p>
    <w:p w14:paraId="79A887C0" w14:textId="77777777" w:rsidR="009542E0" w:rsidRPr="009542E0" w:rsidRDefault="009542E0" w:rsidP="009542E0">
      <w:pPr>
        <w:tabs>
          <w:tab w:val="left" w:pos="0"/>
        </w:tabs>
        <w:spacing w:before="120" w:after="120" w:line="276" w:lineRule="auto"/>
        <w:jc w:val="both"/>
        <w:rPr>
          <w:rFonts w:ascii="Verdana" w:eastAsia="Calibri" w:hAnsi="Verdana" w:cs="Arial"/>
          <w:bCs/>
          <w:lang w:eastAsia="es-ES_tradnl"/>
        </w:rPr>
      </w:pPr>
      <w:r w:rsidRPr="009542E0">
        <w:rPr>
          <w:rFonts w:ascii="Verdana" w:eastAsia="Calibri" w:hAnsi="Verdana" w:cs="Arial"/>
          <w:lang w:val="es-MX"/>
        </w:rPr>
        <w:tab/>
        <w:t>La Ley 30 de 1992 regula aspectos como la naturaleza jurídica de las universidades estatales y oficiales, la forma de organizarse y su régimen de contratación. En el artículo 57 se evidencia dos tipos de instituciones de educación superior públicas: i) las universidades</w:t>
      </w:r>
      <w:r w:rsidRPr="009542E0">
        <w:rPr>
          <w:rFonts w:ascii="Verdana" w:eastAsia="Calibri" w:hAnsi="Verdana" w:cs="Arial"/>
          <w:bCs/>
          <w:lang w:eastAsia="es-ES_tradnl"/>
        </w:rPr>
        <w:t xml:space="preserve"> estatales u oficiales que deben organizarse como entes universitarios autónomos, con régimen especial</w:t>
      </w:r>
      <w:r w:rsidRPr="009542E0">
        <w:rPr>
          <w:rFonts w:ascii="Verdana" w:eastAsia="Times New Roman" w:hAnsi="Verdana" w:cs="Open Sans"/>
          <w:color w:val="4B4949"/>
          <w:lang w:eastAsia="es-ES_tradnl"/>
        </w:rPr>
        <w:t xml:space="preserve">, </w:t>
      </w:r>
      <w:r w:rsidRPr="009542E0">
        <w:rPr>
          <w:rFonts w:ascii="Verdana" w:eastAsia="Calibri" w:hAnsi="Verdana" w:cs="Arial"/>
          <w:bCs/>
          <w:lang w:eastAsia="es-ES_tradnl"/>
        </w:rPr>
        <w:t xml:space="preserve">vinculados al Ministerio de Educación Nacional en lo que se refiere a las políticas y la planeación del sector educativo y </w:t>
      </w:r>
      <w:proofErr w:type="spellStart"/>
      <w:r w:rsidRPr="009542E0">
        <w:rPr>
          <w:rFonts w:ascii="Verdana" w:eastAsia="Calibri" w:hAnsi="Verdana" w:cs="Arial"/>
          <w:bCs/>
          <w:lang w:eastAsia="es-ES_tradnl"/>
        </w:rPr>
        <w:t>ii</w:t>
      </w:r>
      <w:proofErr w:type="spellEnd"/>
      <w:r w:rsidRPr="009542E0">
        <w:rPr>
          <w:rFonts w:ascii="Verdana" w:eastAsia="Calibri" w:hAnsi="Verdana" w:cs="Arial"/>
          <w:bCs/>
          <w:lang w:eastAsia="es-ES_tradnl"/>
        </w:rPr>
        <w:t>) las instituciones estatales u oficiales de educación superior que no tengan el carácter de universidad, que deberán organizarse como establecimientos públicos del orden nacional, departamental, distrital o municipal</w:t>
      </w:r>
      <w:r w:rsidRPr="009542E0">
        <w:rPr>
          <w:rFonts w:ascii="Verdana" w:eastAsia="Calibri" w:hAnsi="Verdana" w:cs="Arial"/>
          <w:bCs/>
          <w:vertAlign w:val="superscript"/>
          <w:lang w:eastAsia="es-ES_tradnl"/>
        </w:rPr>
        <w:footnoteReference w:id="19"/>
      </w:r>
      <w:r w:rsidRPr="009542E0">
        <w:rPr>
          <w:rFonts w:ascii="Verdana" w:eastAsia="Calibri" w:hAnsi="Verdana" w:cs="Arial"/>
          <w:bCs/>
          <w:lang w:eastAsia="es-ES_tradnl"/>
        </w:rPr>
        <w:t xml:space="preserve">. </w:t>
      </w:r>
    </w:p>
    <w:p w14:paraId="516CD752" w14:textId="77777777" w:rsidR="009542E0" w:rsidRPr="009542E0" w:rsidRDefault="009542E0" w:rsidP="009542E0">
      <w:pPr>
        <w:widowControl w:val="0"/>
        <w:autoSpaceDE w:val="0"/>
        <w:autoSpaceDN w:val="0"/>
        <w:spacing w:before="120" w:after="0" w:line="276" w:lineRule="auto"/>
        <w:ind w:firstLine="708"/>
        <w:jc w:val="both"/>
        <w:rPr>
          <w:rFonts w:ascii="Verdana" w:eastAsia="Arial" w:hAnsi="Verdana" w:cs="Arial"/>
          <w:lang w:val="es-ES"/>
        </w:rPr>
      </w:pPr>
      <w:r w:rsidRPr="009542E0">
        <w:rPr>
          <w:rFonts w:ascii="Verdana" w:eastAsia="Calibri" w:hAnsi="Verdana" w:cs="Arial"/>
          <w:bCs/>
          <w:i/>
          <w:iCs/>
          <w:lang w:eastAsia="es-ES_tradnl"/>
        </w:rPr>
        <w:lastRenderedPageBreak/>
        <w:t>Las primeras</w:t>
      </w:r>
      <w:r w:rsidRPr="009542E0">
        <w:rPr>
          <w:rFonts w:ascii="Verdana" w:eastAsia="Calibri" w:hAnsi="Verdana" w:cs="Arial"/>
          <w:bCs/>
          <w:lang w:eastAsia="es-ES_tradnl"/>
        </w:rPr>
        <w:t>, esto es, las universidades estatales u oficiales organizadas como entes autónomos cuentan con régimen especial. En particular, los contratos que para el cumplimiento de sus funciones celebren se regirán por las normas del derecho privado y sus efectos estarán sujetos a las normas civiles y comerciales, según la naturaleza de los contratos</w:t>
      </w:r>
      <w:r w:rsidRPr="009542E0">
        <w:rPr>
          <w:rFonts w:ascii="Verdana" w:eastAsia="Calibri" w:hAnsi="Verdana" w:cs="Arial"/>
          <w:bCs/>
          <w:vertAlign w:val="superscript"/>
          <w:lang w:eastAsia="es-ES_tradnl"/>
        </w:rPr>
        <w:footnoteReference w:id="20"/>
      </w:r>
      <w:r w:rsidRPr="009542E0">
        <w:rPr>
          <w:rFonts w:ascii="Verdana" w:eastAsia="Calibri" w:hAnsi="Verdana" w:cs="Arial"/>
          <w:bCs/>
          <w:lang w:eastAsia="es-ES_tradnl"/>
        </w:rPr>
        <w:t>.</w:t>
      </w:r>
      <w:r w:rsidRPr="009542E0">
        <w:rPr>
          <w:rFonts w:ascii="Verdana" w:eastAsia="Arial" w:hAnsi="Verdana" w:cs="Arial"/>
          <w:lang w:val="es-ES"/>
        </w:rPr>
        <w:t xml:space="preserve"> La Ley 489 de 1998, al desarrollar la estructura y organización de la Administración Pública, establece que los entes universitarios hacen parte integral de esta</w:t>
      </w:r>
      <w:r w:rsidRPr="009542E0">
        <w:rPr>
          <w:rFonts w:ascii="Verdana" w:eastAsia="Arial" w:hAnsi="Verdana" w:cs="Arial"/>
          <w:vertAlign w:val="superscript"/>
          <w:lang w:val="es-ES"/>
        </w:rPr>
        <w:footnoteReference w:id="21"/>
      </w:r>
      <w:r w:rsidRPr="009542E0">
        <w:rPr>
          <w:rFonts w:ascii="Verdana" w:eastAsia="Arial" w:hAnsi="Verdana" w:cs="Arial"/>
          <w:lang w:val="es-ES"/>
        </w:rPr>
        <w:t>, catalogándolos como entidades públicas de carácter autónomo a las que aplica un régimen especial</w:t>
      </w:r>
      <w:r w:rsidRPr="009542E0">
        <w:rPr>
          <w:rFonts w:ascii="Verdana" w:eastAsia="Arial" w:hAnsi="Verdana" w:cs="Arial"/>
          <w:vertAlign w:val="superscript"/>
          <w:lang w:val="es-ES"/>
        </w:rPr>
        <w:footnoteReference w:id="22"/>
      </w:r>
      <w:r w:rsidRPr="009542E0">
        <w:rPr>
          <w:rFonts w:ascii="Verdana" w:eastAsia="Arial" w:hAnsi="Verdana" w:cs="Arial"/>
          <w:lang w:val="es-ES"/>
        </w:rPr>
        <w:t>.  Al respecto, en la sentencia C-1019 de 2012, la Corte Constitucional señaló:</w:t>
      </w:r>
    </w:p>
    <w:p w14:paraId="578D4752" w14:textId="77777777" w:rsidR="009542E0" w:rsidRPr="009542E0" w:rsidRDefault="009542E0" w:rsidP="009542E0">
      <w:pPr>
        <w:widowControl w:val="0"/>
        <w:autoSpaceDE w:val="0"/>
        <w:autoSpaceDN w:val="0"/>
        <w:spacing w:before="10" w:after="0" w:line="240" w:lineRule="auto"/>
        <w:rPr>
          <w:rFonts w:ascii="Verdana" w:eastAsia="Arial" w:hAnsi="Verdana" w:cs="Arial"/>
          <w:sz w:val="19"/>
          <w:lang w:val="es-ES"/>
        </w:rPr>
      </w:pPr>
    </w:p>
    <w:p w14:paraId="61F5E928" w14:textId="77777777" w:rsidR="009542E0" w:rsidRPr="009542E0" w:rsidRDefault="009542E0" w:rsidP="009542E0">
      <w:pPr>
        <w:widowControl w:val="0"/>
        <w:autoSpaceDE w:val="0"/>
        <w:autoSpaceDN w:val="0"/>
        <w:spacing w:after="120" w:line="240" w:lineRule="auto"/>
        <w:ind w:left="709" w:right="709"/>
        <w:jc w:val="both"/>
        <w:rPr>
          <w:rFonts w:ascii="Verdana" w:eastAsia="Arial" w:hAnsi="Verdana" w:cs="Arial"/>
          <w:sz w:val="21"/>
          <w:szCs w:val="21"/>
          <w:lang w:val="es-ES"/>
        </w:rPr>
      </w:pPr>
      <w:r w:rsidRPr="009542E0">
        <w:rPr>
          <w:rFonts w:ascii="Verdana" w:eastAsia="Arial" w:hAnsi="Verdana" w:cs="Arial"/>
          <w:sz w:val="21"/>
          <w:szCs w:val="21"/>
          <w:lang w:val="es-ES"/>
        </w:rPr>
        <w:t>“El régimen especial de las universidades públicas y oficiales se justifica en el hecho de que estas instituciones manejan recursos públicos y a que a través suyo se promueve directamente el servicio público de la educación, por lo cual es fundamental establecer canales de articulación con el Estado y la sociedad en aras de que esta misión se cumpla adecuadamente. Además, como entes públicos, a las universidades se les</w:t>
      </w:r>
      <w:r w:rsidRPr="009542E0">
        <w:rPr>
          <w:rFonts w:ascii="Verdana" w:eastAsia="Arial" w:hAnsi="Verdana" w:cs="Arial"/>
          <w:spacing w:val="49"/>
          <w:sz w:val="21"/>
          <w:szCs w:val="21"/>
          <w:lang w:val="es-ES"/>
        </w:rPr>
        <w:t xml:space="preserve"> </w:t>
      </w:r>
      <w:r w:rsidRPr="009542E0">
        <w:rPr>
          <w:rFonts w:ascii="Verdana" w:eastAsia="Arial" w:hAnsi="Verdana" w:cs="Arial"/>
          <w:sz w:val="21"/>
          <w:szCs w:val="21"/>
          <w:lang w:val="es-ES"/>
        </w:rPr>
        <w:t>exige el cumplimiento de la obligación de colaboración armónica consagrado en el artículo 113 de la C.P. para el cumplimiento de las funciones del Estado.</w:t>
      </w:r>
    </w:p>
    <w:p w14:paraId="31FE919A" w14:textId="77777777" w:rsidR="009542E0" w:rsidRPr="009542E0" w:rsidRDefault="009542E0" w:rsidP="009542E0">
      <w:pPr>
        <w:widowControl w:val="0"/>
        <w:autoSpaceDE w:val="0"/>
        <w:autoSpaceDN w:val="0"/>
        <w:spacing w:before="120" w:after="0" w:line="240" w:lineRule="auto"/>
        <w:ind w:left="709" w:right="709"/>
        <w:jc w:val="both"/>
        <w:rPr>
          <w:rFonts w:ascii="Verdana" w:eastAsia="Arial" w:hAnsi="Verdana" w:cs="Arial"/>
          <w:sz w:val="21"/>
          <w:szCs w:val="21"/>
          <w:lang w:val="es-ES"/>
        </w:rPr>
      </w:pPr>
      <w:r w:rsidRPr="009542E0">
        <w:rPr>
          <w:rFonts w:ascii="Verdana" w:eastAsia="Arial" w:hAnsi="Verdana" w:cs="Arial"/>
          <w:sz w:val="21"/>
          <w:szCs w:val="21"/>
          <w:lang w:val="es-ES"/>
        </w:rPr>
        <w:t xml:space="preserve">Aunque se establezca la participación de representantes del Estado en sus órganos de gobierno, la normatividad y la jurisprudencia han reconocido que lo anterior no significa que dichas instituciones hagan parte de la administración central o descentralizada, o se conviertan </w:t>
      </w:r>
      <w:r w:rsidRPr="009542E0">
        <w:rPr>
          <w:rFonts w:ascii="Verdana" w:eastAsia="Arial" w:hAnsi="Verdana" w:cs="Arial"/>
          <w:sz w:val="21"/>
          <w:szCs w:val="21"/>
          <w:lang w:val="es-ES"/>
        </w:rPr>
        <w:lastRenderedPageBreak/>
        <w:t>por ello en órganos dependientes y bajo el control de tutela del Estado, “pues las universidades estatales por su carácter de entes autónomos no conforman ninguna de las ramas del poder ni pueden formar parte de la administración nacional”</w:t>
      </w:r>
      <w:r w:rsidRPr="009542E0">
        <w:rPr>
          <w:rFonts w:ascii="Verdana" w:eastAsia="Arial" w:hAnsi="Verdana" w:cs="Arial"/>
          <w:sz w:val="21"/>
          <w:szCs w:val="21"/>
          <w:vertAlign w:val="superscript"/>
          <w:lang w:val="es-ES"/>
        </w:rPr>
        <w:footnoteReference w:id="23"/>
      </w:r>
      <w:r w:rsidRPr="009542E0">
        <w:rPr>
          <w:rFonts w:ascii="Verdana" w:eastAsia="Arial" w:hAnsi="Verdana" w:cs="Arial"/>
          <w:sz w:val="21"/>
          <w:szCs w:val="21"/>
          <w:lang w:val="es-ES"/>
        </w:rPr>
        <w:t>. De esta manera se pretende preservar a las universidades públicas y oficiales, de las injerencias e interferencias arbitrarias e indebidas del poder</w:t>
      </w:r>
      <w:r w:rsidRPr="009542E0">
        <w:rPr>
          <w:rFonts w:ascii="Verdana" w:eastAsia="Arial" w:hAnsi="Verdana" w:cs="Arial"/>
          <w:spacing w:val="-6"/>
          <w:sz w:val="21"/>
          <w:szCs w:val="21"/>
          <w:lang w:val="es-ES"/>
        </w:rPr>
        <w:t xml:space="preserve"> </w:t>
      </w:r>
      <w:r w:rsidRPr="009542E0">
        <w:rPr>
          <w:rFonts w:ascii="Verdana" w:eastAsia="Arial" w:hAnsi="Verdana" w:cs="Arial"/>
          <w:sz w:val="21"/>
          <w:szCs w:val="21"/>
          <w:lang w:val="es-ES"/>
        </w:rPr>
        <w:t>político</w:t>
      </w:r>
      <w:r w:rsidRPr="009542E0">
        <w:rPr>
          <w:rFonts w:ascii="Verdana" w:eastAsia="Arial" w:hAnsi="Verdana" w:cs="Arial"/>
          <w:sz w:val="21"/>
          <w:szCs w:val="21"/>
          <w:vertAlign w:val="superscript"/>
          <w:lang w:val="es-ES"/>
        </w:rPr>
        <w:footnoteReference w:id="24"/>
      </w:r>
      <w:r w:rsidRPr="009542E0">
        <w:rPr>
          <w:rFonts w:ascii="Verdana" w:eastAsia="Arial" w:hAnsi="Verdana" w:cs="Arial"/>
          <w:sz w:val="21"/>
          <w:szCs w:val="21"/>
          <w:lang w:val="es-ES"/>
        </w:rPr>
        <w:t>”.</w:t>
      </w:r>
    </w:p>
    <w:p w14:paraId="0E249445" w14:textId="77777777" w:rsidR="009542E0" w:rsidRPr="009542E0" w:rsidRDefault="009542E0" w:rsidP="009542E0">
      <w:pPr>
        <w:widowControl w:val="0"/>
        <w:autoSpaceDE w:val="0"/>
        <w:autoSpaceDN w:val="0"/>
        <w:spacing w:after="0" w:line="240" w:lineRule="auto"/>
        <w:ind w:left="709" w:right="709"/>
        <w:jc w:val="both"/>
        <w:rPr>
          <w:rFonts w:ascii="Verdana" w:eastAsia="Arial" w:hAnsi="Verdana" w:cs="Arial"/>
          <w:sz w:val="21"/>
          <w:szCs w:val="21"/>
          <w:lang w:val="es-ES"/>
        </w:rPr>
      </w:pPr>
    </w:p>
    <w:p w14:paraId="2C58CDF2" w14:textId="77777777" w:rsidR="009542E0" w:rsidRPr="009542E0" w:rsidRDefault="009542E0" w:rsidP="009542E0">
      <w:pPr>
        <w:widowControl w:val="0"/>
        <w:autoSpaceDE w:val="0"/>
        <w:autoSpaceDN w:val="0"/>
        <w:spacing w:after="0" w:line="276" w:lineRule="auto"/>
        <w:ind w:right="108" w:firstLine="527"/>
        <w:jc w:val="both"/>
        <w:rPr>
          <w:rFonts w:ascii="Verdana" w:eastAsia="Arial" w:hAnsi="Verdana" w:cs="Arial"/>
          <w:lang w:val="es-ES"/>
        </w:rPr>
      </w:pPr>
      <w:r w:rsidRPr="009542E0">
        <w:rPr>
          <w:rFonts w:ascii="Verdana" w:eastAsia="Arial" w:hAnsi="Verdana" w:cs="Arial"/>
          <w:lang w:val="es-ES"/>
        </w:rPr>
        <w:t>En armonía con lo anterior, se ha considerado que los entes universitarios no son entidades que hagan parte de la rama ejecutiva, ni pueden, por tanto, considerarse entidades descentralizadas, sino que gozan de un régimen especial. Lo anterior fue señalado por el Consejo de Estado de la siguiente manera</w:t>
      </w:r>
      <w:r w:rsidRPr="009542E0">
        <w:rPr>
          <w:rFonts w:ascii="Verdana" w:eastAsia="Arial" w:hAnsi="Verdana" w:cs="Arial"/>
          <w:vertAlign w:val="superscript"/>
          <w:lang w:val="es-ES"/>
        </w:rPr>
        <w:footnoteReference w:id="25"/>
      </w:r>
      <w:r w:rsidRPr="009542E0">
        <w:rPr>
          <w:rFonts w:ascii="Verdana" w:eastAsia="Arial" w:hAnsi="Verdana" w:cs="Arial"/>
          <w:lang w:val="es-ES"/>
        </w:rPr>
        <w:t>:</w:t>
      </w:r>
    </w:p>
    <w:p w14:paraId="65E17D33" w14:textId="77777777" w:rsidR="009542E0" w:rsidRPr="009542E0" w:rsidRDefault="009542E0" w:rsidP="009542E0">
      <w:pPr>
        <w:widowControl w:val="0"/>
        <w:autoSpaceDE w:val="0"/>
        <w:autoSpaceDN w:val="0"/>
        <w:spacing w:after="0" w:line="240" w:lineRule="auto"/>
        <w:rPr>
          <w:rFonts w:ascii="Verdana" w:eastAsia="Arial" w:hAnsi="Verdana" w:cs="Arial"/>
          <w:lang w:val="es-ES"/>
        </w:rPr>
      </w:pPr>
    </w:p>
    <w:p w14:paraId="168D07E3" w14:textId="77777777" w:rsidR="009542E0" w:rsidRPr="009542E0" w:rsidRDefault="009542E0" w:rsidP="009542E0">
      <w:pPr>
        <w:widowControl w:val="0"/>
        <w:autoSpaceDE w:val="0"/>
        <w:autoSpaceDN w:val="0"/>
        <w:spacing w:after="0" w:line="240" w:lineRule="auto"/>
        <w:ind w:left="709" w:right="709"/>
        <w:jc w:val="both"/>
        <w:rPr>
          <w:rFonts w:ascii="Verdana" w:eastAsia="Arial" w:hAnsi="Verdana" w:cs="Arial"/>
          <w:sz w:val="21"/>
          <w:szCs w:val="21"/>
          <w:lang w:val="es-ES"/>
        </w:rPr>
      </w:pPr>
      <w:r w:rsidRPr="009542E0">
        <w:rPr>
          <w:rFonts w:ascii="Verdana" w:eastAsia="Arial" w:hAnsi="Verdana" w:cs="Arial"/>
          <w:sz w:val="21"/>
          <w:szCs w:val="21"/>
          <w:lang w:val="es-ES"/>
        </w:rPr>
        <w:t>“Ahora bien, en la disposición legal [art. 57 de la Ley 30/92] se menciona que las universidades estatales u oficiales están vinculadas al Ministerio de Educación Nacional en lo que se refiere a las políticas y planeación del sector educativo, en donde la jurisprudencia constitucional ha dejado en claro que es únicamente para efectos de coordinar y planear el desarrollo de directrices educativas, y no como organismos supeditados al poder ejecutivo, de manera que deben actuar con independencia del mismo, sin estar sujetas a un control de tutela como el concebido para los establecimientos públicos, concepto que por sí mismo niega la autonomía.</w:t>
      </w:r>
    </w:p>
    <w:p w14:paraId="3B745AB2" w14:textId="77777777" w:rsidR="009542E0" w:rsidRPr="009542E0" w:rsidRDefault="009542E0" w:rsidP="009542E0">
      <w:pPr>
        <w:widowControl w:val="0"/>
        <w:autoSpaceDE w:val="0"/>
        <w:autoSpaceDN w:val="0"/>
        <w:spacing w:before="1" w:after="120" w:line="240" w:lineRule="auto"/>
        <w:ind w:left="709" w:right="709"/>
        <w:rPr>
          <w:rFonts w:ascii="Verdana" w:eastAsia="Arial" w:hAnsi="Verdana" w:cs="Arial"/>
          <w:sz w:val="21"/>
          <w:szCs w:val="21"/>
          <w:lang w:val="es-ES"/>
        </w:rPr>
      </w:pPr>
      <w:r w:rsidRPr="009542E0">
        <w:rPr>
          <w:rFonts w:ascii="Verdana" w:eastAsia="Arial" w:hAnsi="Verdana" w:cs="Arial"/>
          <w:sz w:val="21"/>
          <w:szCs w:val="21"/>
          <w:lang w:val="es-ES"/>
        </w:rPr>
        <w:t>[…]</w:t>
      </w:r>
    </w:p>
    <w:p w14:paraId="79C82039" w14:textId="77777777" w:rsidR="009542E0" w:rsidRPr="009542E0" w:rsidRDefault="009542E0" w:rsidP="009542E0">
      <w:pPr>
        <w:widowControl w:val="0"/>
        <w:autoSpaceDE w:val="0"/>
        <w:autoSpaceDN w:val="0"/>
        <w:spacing w:after="120" w:line="240" w:lineRule="auto"/>
        <w:ind w:left="709" w:right="709"/>
        <w:jc w:val="both"/>
        <w:rPr>
          <w:rFonts w:ascii="Verdana" w:eastAsia="Arial" w:hAnsi="Verdana" w:cs="Arial"/>
          <w:sz w:val="21"/>
          <w:szCs w:val="21"/>
          <w:lang w:val="es-ES"/>
        </w:rPr>
      </w:pPr>
      <w:r w:rsidRPr="009542E0">
        <w:rPr>
          <w:rFonts w:ascii="Verdana" w:eastAsia="Arial" w:hAnsi="Verdana" w:cs="Arial"/>
          <w:sz w:val="21"/>
          <w:szCs w:val="21"/>
          <w:lang w:val="es-ES"/>
        </w:rPr>
        <w:t>La situación se modificó con el actual marco constitucional en donde se estableció [art. 69] la garantía a la autonomía universitaria, para que pudieran darse sus directivas y regirse por sus propios estatutos, de acuerdo con el régimen especial que previera la Ley para las universidades del Estado, por lo cual se despojaban del control de tutela que ejercía el ejecutivo sobre ellas, con el fin de garantizar la independencia académica en la educación superior, sin ningún tipo de injerencia del poder público.</w:t>
      </w:r>
    </w:p>
    <w:p w14:paraId="0D892871" w14:textId="77777777" w:rsidR="009542E0" w:rsidRPr="009542E0" w:rsidRDefault="009542E0" w:rsidP="009542E0">
      <w:pPr>
        <w:widowControl w:val="0"/>
        <w:autoSpaceDE w:val="0"/>
        <w:autoSpaceDN w:val="0"/>
        <w:spacing w:after="0" w:line="240" w:lineRule="auto"/>
        <w:ind w:left="709" w:right="709"/>
        <w:jc w:val="both"/>
        <w:rPr>
          <w:rFonts w:ascii="Verdana" w:eastAsia="Arial" w:hAnsi="Verdana" w:cs="Arial"/>
          <w:sz w:val="21"/>
          <w:szCs w:val="21"/>
          <w:lang w:val="es-ES"/>
        </w:rPr>
      </w:pPr>
      <w:r w:rsidRPr="009542E0">
        <w:rPr>
          <w:rFonts w:ascii="Verdana" w:eastAsia="Arial" w:hAnsi="Verdana" w:cs="Arial"/>
          <w:sz w:val="21"/>
          <w:szCs w:val="21"/>
          <w:lang w:val="es-ES"/>
        </w:rPr>
        <w:t xml:space="preserve">Lo anterior hizo que dejaran de pertenecer a la rama ejecutiva y por </w:t>
      </w:r>
      <w:r w:rsidRPr="009542E0">
        <w:rPr>
          <w:rFonts w:ascii="Verdana" w:eastAsia="Arial" w:hAnsi="Verdana" w:cs="Arial"/>
          <w:sz w:val="21"/>
          <w:szCs w:val="21"/>
          <w:lang w:val="es-ES"/>
        </w:rPr>
        <w:lastRenderedPageBreak/>
        <w:t xml:space="preserve">supuesto no hicieran parte de las demás [legislativa y judicial], al convertirse en organismos autónomos que cumplen funciones estatales de trascendental importancia para la nación, sin perder la calidad de entidades públicas […]”. </w:t>
      </w:r>
    </w:p>
    <w:p w14:paraId="61E12295" w14:textId="77777777" w:rsidR="009542E0" w:rsidRPr="009542E0" w:rsidRDefault="009542E0" w:rsidP="009542E0">
      <w:pPr>
        <w:tabs>
          <w:tab w:val="left" w:pos="0"/>
        </w:tabs>
        <w:spacing w:after="0" w:line="276" w:lineRule="auto"/>
        <w:ind w:firstLine="709"/>
        <w:jc w:val="both"/>
        <w:rPr>
          <w:rFonts w:ascii="Verdana" w:eastAsia="Calibri" w:hAnsi="Verdana" w:cs="Arial"/>
          <w:bCs/>
          <w:szCs w:val="24"/>
          <w:lang w:eastAsia="es-ES_tradnl"/>
        </w:rPr>
      </w:pPr>
    </w:p>
    <w:p w14:paraId="14F89C6D" w14:textId="77777777" w:rsidR="009542E0" w:rsidRPr="009542E0" w:rsidRDefault="009542E0" w:rsidP="009542E0">
      <w:pPr>
        <w:tabs>
          <w:tab w:val="left" w:pos="0"/>
        </w:tabs>
        <w:spacing w:after="0" w:line="276" w:lineRule="auto"/>
        <w:ind w:firstLine="709"/>
        <w:jc w:val="both"/>
        <w:rPr>
          <w:rFonts w:ascii="Verdana" w:eastAsia="Calibri" w:hAnsi="Verdana" w:cs="Arial"/>
          <w:bCs/>
          <w:szCs w:val="24"/>
          <w:lang w:val="es-ES" w:eastAsia="es-ES_tradnl"/>
        </w:rPr>
      </w:pPr>
      <w:r w:rsidRPr="009542E0">
        <w:rPr>
          <w:rFonts w:ascii="Verdana" w:eastAsia="Calibri" w:hAnsi="Verdana" w:cs="Arial"/>
          <w:bCs/>
          <w:i/>
          <w:iCs/>
          <w:szCs w:val="24"/>
          <w:lang w:eastAsia="es-ES_tradnl"/>
        </w:rPr>
        <w:t>Las segundas</w:t>
      </w:r>
      <w:r w:rsidRPr="009542E0">
        <w:rPr>
          <w:rFonts w:ascii="Verdana" w:eastAsia="Calibri" w:hAnsi="Verdana" w:cs="Arial"/>
          <w:bCs/>
          <w:szCs w:val="24"/>
          <w:lang w:eastAsia="es-ES_tradnl"/>
        </w:rPr>
        <w:t>, es decir, las instituciones estatales u oficiales de educación superior que no tengan el carácter de universidad organizadas como establecimientos públicos</w:t>
      </w:r>
      <w:r w:rsidRPr="009542E0">
        <w:rPr>
          <w:rFonts w:ascii="Verdana" w:eastAsia="Calibri" w:hAnsi="Verdana" w:cs="Arial"/>
          <w:bCs/>
          <w:szCs w:val="24"/>
          <w:vertAlign w:val="superscript"/>
          <w:lang w:eastAsia="es-ES_tradnl"/>
        </w:rPr>
        <w:footnoteReference w:id="26"/>
      </w:r>
      <w:r w:rsidRPr="009542E0">
        <w:rPr>
          <w:rFonts w:ascii="Verdana" w:eastAsia="Calibri" w:hAnsi="Verdana" w:cs="Arial"/>
          <w:bCs/>
          <w:szCs w:val="24"/>
          <w:lang w:eastAsia="es-ES_tradnl"/>
        </w:rPr>
        <w:t>, se rigen por las normas del Estatuto General de Contratación de la Administración Pública, de conformidad con lo señalado por el artículo 81 de la Ley 489 de 1998</w:t>
      </w:r>
      <w:r w:rsidRPr="009542E0">
        <w:rPr>
          <w:rFonts w:ascii="Verdana" w:eastAsia="Calibri" w:hAnsi="Verdana" w:cs="Arial"/>
          <w:bCs/>
          <w:szCs w:val="24"/>
          <w:vertAlign w:val="superscript"/>
          <w:lang w:eastAsia="es-ES_tradnl"/>
        </w:rPr>
        <w:footnoteReference w:id="27"/>
      </w:r>
      <w:r w:rsidRPr="009542E0">
        <w:rPr>
          <w:rFonts w:ascii="Verdana" w:eastAsia="Calibri" w:hAnsi="Verdana" w:cs="Arial"/>
          <w:bCs/>
          <w:szCs w:val="24"/>
          <w:lang w:eastAsia="es-ES_tradnl"/>
        </w:rPr>
        <w:t xml:space="preserve">. Esto significa que </w:t>
      </w:r>
      <w:r w:rsidRPr="009542E0">
        <w:rPr>
          <w:rFonts w:ascii="Verdana" w:eastAsia="Calibri" w:hAnsi="Verdana" w:cs="Arial"/>
          <w:bCs/>
          <w:szCs w:val="24"/>
          <w:lang w:val="es-ES" w:eastAsia="es-ES_tradnl"/>
        </w:rPr>
        <w:t>los establecimientos públicos son entidades estatales para efectos del EGCAP</w:t>
      </w:r>
      <w:r w:rsidRPr="009542E0">
        <w:rPr>
          <w:rFonts w:ascii="Verdana" w:eastAsia="Calibri" w:hAnsi="Verdana" w:cs="Arial"/>
          <w:bCs/>
          <w:szCs w:val="24"/>
          <w:vertAlign w:val="superscript"/>
          <w:lang w:val="es-ES" w:eastAsia="es-ES_tradnl"/>
        </w:rPr>
        <w:footnoteReference w:id="28"/>
      </w:r>
      <w:r w:rsidRPr="009542E0">
        <w:rPr>
          <w:rFonts w:ascii="Verdana" w:eastAsia="Calibri" w:hAnsi="Verdana" w:cs="Arial"/>
          <w:bCs/>
          <w:szCs w:val="24"/>
          <w:lang w:val="es-ES" w:eastAsia="es-ES_tradnl"/>
        </w:rPr>
        <w:t xml:space="preserve">, por lo que cualquier contrato que celebren deben sujetarse a las normas de la Ley 80 de 1993, Ley 1150 de 2007 y demás normas concordantes. </w:t>
      </w:r>
    </w:p>
    <w:p w14:paraId="2095C376" w14:textId="77777777" w:rsidR="009542E0" w:rsidRPr="009542E0" w:rsidRDefault="009542E0" w:rsidP="009542E0">
      <w:pPr>
        <w:tabs>
          <w:tab w:val="left" w:pos="0"/>
        </w:tabs>
        <w:spacing w:before="120" w:after="0" w:line="276" w:lineRule="auto"/>
        <w:ind w:firstLine="709"/>
        <w:jc w:val="both"/>
        <w:rPr>
          <w:rFonts w:ascii="Verdana" w:eastAsia="Calibri" w:hAnsi="Verdana" w:cs="Arial"/>
          <w:bCs/>
          <w:szCs w:val="24"/>
          <w:lang w:eastAsia="es-ES_tradnl"/>
        </w:rPr>
      </w:pPr>
      <w:r w:rsidRPr="009542E0">
        <w:rPr>
          <w:rFonts w:ascii="Verdana" w:eastAsia="Calibri" w:hAnsi="Verdana" w:cs="Arial"/>
          <w:bCs/>
          <w:szCs w:val="24"/>
          <w:lang w:eastAsia="es-ES_tradnl"/>
        </w:rPr>
        <w:t xml:space="preserve">Con base en estas consideraciones, es posible concluir que el parágrafo del artículo 56 de la Ley 2195 de 2022 únicamente resulta aplicable a las instituciones de educación superior públicas que cuentan con régimen especial y no a aquellas, como los establecimientos públicos, que tienen un régimen de contratación sometido a la Ley 80 de 1993. Esta postura se estima adecuada y </w:t>
      </w:r>
      <w:r w:rsidRPr="009542E0">
        <w:rPr>
          <w:rFonts w:ascii="Verdana" w:eastAsia="Calibri" w:hAnsi="Verdana" w:cs="Arial"/>
          <w:bCs/>
          <w:szCs w:val="24"/>
          <w:lang w:eastAsia="es-ES_tradnl"/>
        </w:rPr>
        <w:lastRenderedPageBreak/>
        <w:t xml:space="preserve">se ajusta al propósito de la norma en la medida en que, como se explicó, </w:t>
      </w:r>
      <w:r w:rsidRPr="009542E0">
        <w:rPr>
          <w:rFonts w:ascii="Verdana" w:eastAsia="Calibri" w:hAnsi="Verdana" w:cs="Arial"/>
          <w:bCs/>
          <w:szCs w:val="24"/>
          <w:lang w:val="es-ES_tradnl" w:eastAsia="es-ES_tradnl"/>
        </w:rPr>
        <w:t>un efecto importante de esta norma es la ampliación del ámbito de aplicación de los documentos tipo, al hacerlos obligatorios para unos sujetos que, en principio, de acuerdo con la Ley 2022 de 2020, no estarían sometidos a esos documentos</w:t>
      </w:r>
      <w:r w:rsidRPr="009542E0">
        <w:rPr>
          <w:rFonts w:ascii="Verdana" w:eastAsia="Calibri" w:hAnsi="Verdana" w:cs="Arial"/>
          <w:bCs/>
          <w:szCs w:val="24"/>
          <w:lang w:eastAsia="es-ES_tradnl"/>
        </w:rPr>
        <w:t xml:space="preserve">, tal como se explicó con anterioridad, lo que incluso se deriva del título del artículo 56 de la Ley 2195 de 2022 denominado “aplicación de los documentos tipo a entidades de régimen especial”. </w:t>
      </w:r>
    </w:p>
    <w:p w14:paraId="2C7852BF" w14:textId="77777777" w:rsidR="009542E0" w:rsidRPr="009542E0" w:rsidRDefault="009542E0" w:rsidP="009542E0">
      <w:pPr>
        <w:tabs>
          <w:tab w:val="left" w:pos="0"/>
        </w:tabs>
        <w:spacing w:before="120" w:after="0" w:line="276" w:lineRule="auto"/>
        <w:ind w:firstLine="709"/>
        <w:jc w:val="both"/>
        <w:rPr>
          <w:rFonts w:ascii="Verdana" w:eastAsia="Calibri" w:hAnsi="Verdana" w:cs="Arial"/>
          <w:bCs/>
          <w:szCs w:val="24"/>
          <w:lang w:eastAsia="es-ES_tradnl"/>
        </w:rPr>
      </w:pPr>
      <w:r w:rsidRPr="009542E0">
        <w:rPr>
          <w:rFonts w:ascii="Verdana" w:eastAsia="Calibri" w:hAnsi="Verdana" w:cs="Arial"/>
          <w:bCs/>
          <w:szCs w:val="24"/>
          <w:lang w:eastAsia="es-ES_tradnl"/>
        </w:rPr>
        <w:t xml:space="preserve">En tal sentido, como se señaló con anterioridad, la finalidad de esta norma consiste precisamente en extender la aplicación de los documentos tipo a las entidades con régimen de contratación especial o privado, cuando se celebren contratos o convenios o de cualquier índole entre estas y las entidades sometidas al EGCAP. Por tanto, la aplicación de este parágrafo debe partir de la base de que los sujetos allí referidos cuenten con un régimen especial de contratación que permite aplicar la excepción de lo dispuesto en los dos incisos del artículo 56. De lo contrario, es decir, de no contar con régimen de contratación especial o de derecho privado, estarían sometidos al EGCAP y tendrían que aplicar los documentos tipo de manera obligatoria, de conformidad con lo establecido en el artículo 1 de la Ley 2022 de 2020, que modificó el parágrafo 7 del artículo 2 de la Ley 1150 de 2007, conforme se explicó en el numeral (i.) de este concepto. Una interpretación distinta incluso supondría exceptuar a estas entidades del EGCAP en cuanto a la contratación de su giro ordinario, lo que evidentemente sería un contrasentido con la finalidad de la norma. </w:t>
      </w:r>
    </w:p>
    <w:p w14:paraId="1F0B2ACD" w14:textId="77777777" w:rsidR="009542E0" w:rsidRPr="009542E0" w:rsidRDefault="009542E0" w:rsidP="009542E0">
      <w:pPr>
        <w:tabs>
          <w:tab w:val="left" w:pos="0"/>
        </w:tabs>
        <w:spacing w:before="120" w:after="120" w:line="276" w:lineRule="auto"/>
        <w:ind w:firstLine="709"/>
        <w:jc w:val="both"/>
        <w:rPr>
          <w:rFonts w:ascii="Verdana" w:eastAsia="Calibri" w:hAnsi="Verdana" w:cs="Arial"/>
          <w:bCs/>
          <w:szCs w:val="24"/>
          <w:lang w:eastAsia="es-ES_tradnl"/>
        </w:rPr>
      </w:pPr>
      <w:r w:rsidRPr="009542E0">
        <w:rPr>
          <w:rFonts w:ascii="Verdana" w:eastAsia="Calibri" w:hAnsi="Verdana" w:cs="Arial"/>
          <w:bCs/>
          <w:szCs w:val="24"/>
          <w:lang w:eastAsia="es-ES_tradnl"/>
        </w:rPr>
        <w:t xml:space="preserve">De este modo, cuando el parágrafo del artículo 56 de la Ley 2195 de 2022 se refiere a las instituciones de educación superior públicas, debe interpretarse que su aplicación procede en relación con aquellas entidades que cuenten con régimen especial de contratación, como las universidades estatales u oficiales organizadas como entes autónomos, debido a su régimen de contratación de derecho privado conforme lo disponen los artículos 57 y 93 de la Ley 30 de 1992. En contraste, aquellas instituciones de educación superior públicas que no cuentan con un régimen especial, como los establecimientos públicos, deben aplicar la Ley 80 de 1993 y la Ley 2022 de 2020, por lo que no resultaría aplicable el parágrafo del artículo 56 de la Ley 2195 de 2022. </w:t>
      </w:r>
    </w:p>
    <w:p w14:paraId="0A75C3E8" w14:textId="77777777" w:rsidR="009542E0" w:rsidRPr="009542E0" w:rsidRDefault="009542E0" w:rsidP="009542E0">
      <w:pPr>
        <w:tabs>
          <w:tab w:val="left" w:pos="0"/>
        </w:tabs>
        <w:spacing w:before="120" w:after="120" w:line="276" w:lineRule="auto"/>
        <w:ind w:firstLine="709"/>
        <w:jc w:val="both"/>
        <w:rPr>
          <w:rFonts w:ascii="Verdana" w:eastAsia="Calibri" w:hAnsi="Verdana" w:cs="Arial"/>
          <w:bCs/>
          <w:szCs w:val="24"/>
          <w:lang w:val="es-ES_tradnl" w:eastAsia="es-ES_tradnl"/>
        </w:rPr>
      </w:pPr>
      <w:r w:rsidRPr="009542E0">
        <w:rPr>
          <w:rFonts w:ascii="Verdana" w:eastAsia="Calibri" w:hAnsi="Verdana" w:cs="Arial"/>
          <w:bCs/>
          <w:szCs w:val="24"/>
          <w:lang w:eastAsia="es-ES_tradnl"/>
        </w:rPr>
        <w:t>Así las cosas</w:t>
      </w:r>
      <w:r w:rsidRPr="009542E0">
        <w:rPr>
          <w:rFonts w:ascii="Verdana" w:eastAsia="Calibri" w:hAnsi="Verdana" w:cs="Arial"/>
          <w:bCs/>
          <w:lang w:eastAsia="es-ES_tradnl"/>
        </w:rPr>
        <w:t xml:space="preserve">, conforme al artículo 56, cuando se celebra un contrato o convenio interadministrativo o de cualquier otra índole entre una entidad sometida al EGCAP y una institución de educación superior pública organizada </w:t>
      </w:r>
      <w:r w:rsidRPr="009542E0">
        <w:rPr>
          <w:rFonts w:ascii="Verdana" w:eastAsia="Calibri" w:hAnsi="Verdana" w:cs="Arial"/>
          <w:bCs/>
          <w:lang w:eastAsia="es-ES_tradnl"/>
        </w:rPr>
        <w:lastRenderedPageBreak/>
        <w:t xml:space="preserve">como ente universitario autónomo con régimen especial, deberán aplicar los documentos tipo </w:t>
      </w:r>
      <w:r w:rsidRPr="009542E0">
        <w:rPr>
          <w:rFonts w:ascii="Verdana" w:eastAsia="Calibri" w:hAnsi="Verdana" w:cs="Arial"/>
          <w:bCs/>
          <w:lang w:val="es-ES_tradnl" w:eastAsia="es-ES_tradnl"/>
        </w:rPr>
        <w:t>en los procedimientos de selección y los contratos que realicen en desarrollo de los anteriores negocios jurídico</w:t>
      </w:r>
      <w:r w:rsidRPr="009542E0">
        <w:rPr>
          <w:rFonts w:ascii="Verdana" w:eastAsia="Calibri" w:hAnsi="Verdana" w:cs="Arial"/>
          <w:bCs/>
          <w:lang w:eastAsia="es-ES_tradnl"/>
        </w:rPr>
        <w:t xml:space="preserve">. Sin embargo, en este caso aplicará la excepción contemplada en el parágrafo del artículo 56, de manera que </w:t>
      </w:r>
      <w:r w:rsidRPr="009542E0">
        <w:rPr>
          <w:rFonts w:ascii="Verdana" w:eastAsia="Calibri" w:hAnsi="Verdana" w:cs="Arial"/>
          <w:bCs/>
          <w:szCs w:val="24"/>
          <w:lang w:val="es-ES_tradnl" w:eastAsia="es-ES_tradnl"/>
        </w:rPr>
        <w:t>estas instituciones de educación superior pública no tendrán que implementar documentos tipo únicamente para la contratación relacionada con el giro ordinario</w:t>
      </w:r>
      <w:r w:rsidRPr="009542E0">
        <w:rPr>
          <w:rFonts w:ascii="Verdana" w:eastAsia="Calibri" w:hAnsi="Verdana" w:cs="Arial"/>
          <w:bCs/>
          <w:i/>
          <w:iCs/>
          <w:szCs w:val="24"/>
          <w:lang w:val="es-ES_tradnl" w:eastAsia="es-ES_tradnl"/>
        </w:rPr>
        <w:t xml:space="preserve"> </w:t>
      </w:r>
      <w:r w:rsidRPr="009542E0">
        <w:rPr>
          <w:rFonts w:ascii="Verdana" w:eastAsia="Calibri" w:hAnsi="Verdana" w:cs="Arial"/>
          <w:bCs/>
          <w:szCs w:val="24"/>
          <w:lang w:val="es-ES_tradnl" w:eastAsia="es-ES_tradnl"/>
        </w:rPr>
        <w:t xml:space="preserve">de sus asuntos, sin perjuicio de que incluso en los casos en que aplique la excepción los manuales internos de contratación de estas entidades dispongan la obligación de tener en cuenta los documentos tipo o parte de ellos como una buena práctica contractual. </w:t>
      </w:r>
    </w:p>
    <w:p w14:paraId="62E94F0E" w14:textId="77777777" w:rsidR="009542E0" w:rsidRPr="009542E0" w:rsidRDefault="009542E0" w:rsidP="009542E0">
      <w:pPr>
        <w:tabs>
          <w:tab w:val="left" w:pos="0"/>
        </w:tabs>
        <w:spacing w:before="120" w:after="120" w:line="276" w:lineRule="auto"/>
        <w:ind w:firstLine="709"/>
        <w:jc w:val="both"/>
        <w:rPr>
          <w:rFonts w:ascii="Verdana" w:eastAsia="Calibri" w:hAnsi="Verdana" w:cs="Arial"/>
          <w:bCs/>
          <w:szCs w:val="24"/>
          <w:lang w:val="es-ES_tradnl" w:eastAsia="es-ES_tradnl"/>
        </w:rPr>
      </w:pPr>
      <w:r w:rsidRPr="009542E0">
        <w:rPr>
          <w:rFonts w:ascii="Verdana" w:eastAsia="Calibri" w:hAnsi="Verdana" w:cs="Arial"/>
          <w:bCs/>
          <w:szCs w:val="24"/>
          <w:lang w:val="es-ES_tradnl" w:eastAsia="es-ES_tradnl"/>
        </w:rPr>
        <w:t xml:space="preserve">En conclusión, a juicio de esta Agencia lo dispuesto en el parágrafo del artículo 56 de la Ley 2195 de 2022, es una manifestación de la voluntad del Legislador de relevar a las </w:t>
      </w:r>
      <w:r w:rsidRPr="009542E0">
        <w:rPr>
          <w:rFonts w:ascii="Verdana" w:eastAsia="Calibri" w:hAnsi="Verdana" w:cs="Arial"/>
          <w:bCs/>
          <w:lang w:val="es-ES_tradnl" w:eastAsia="es-ES_tradnl"/>
        </w:rPr>
        <w:t xml:space="preserve">instituciones de educación superior públicas que cuentan con un régimen especial, y las demás entidades allí mencionadas, de la implementación de documentos tipo y de la aplicación del EGCAP, únicamente en lo que tiene que ver con su giro ordinario. Esto significa que tales entidades, </w:t>
      </w:r>
      <w:r w:rsidRPr="009542E0">
        <w:rPr>
          <w:rFonts w:ascii="Verdana" w:eastAsia="Calibri" w:hAnsi="Verdana" w:cs="Arial"/>
          <w:bCs/>
          <w:szCs w:val="24"/>
          <w:lang w:val="es-ES_tradnl" w:eastAsia="es-ES_tradnl"/>
        </w:rPr>
        <w:t>cuando en desarrollo de un contrato o un convenio con una entidad sometida al EGCAP, requieran contratar un objeto cobijado por algún documento tipo, que no esté comprendido dentro de su giro ordinario</w:t>
      </w:r>
      <w:r w:rsidRPr="009542E0">
        <w:rPr>
          <w:rFonts w:ascii="Verdana" w:eastAsia="Calibri" w:hAnsi="Verdana" w:cs="Arial"/>
          <w:bCs/>
          <w:i/>
          <w:iCs/>
          <w:szCs w:val="24"/>
          <w:lang w:val="es-ES_tradnl" w:eastAsia="es-ES_tradnl"/>
        </w:rPr>
        <w:t>,</w:t>
      </w:r>
      <w:r w:rsidRPr="009542E0">
        <w:rPr>
          <w:rFonts w:ascii="Verdana" w:eastAsia="Calibri" w:hAnsi="Verdana" w:cs="Arial"/>
          <w:bCs/>
          <w:szCs w:val="24"/>
          <w:lang w:val="es-ES_tradnl" w:eastAsia="es-ES_tradnl"/>
        </w:rPr>
        <w:t xml:space="preserve"> deberán regirse por lo establecido en los dos incisos del referido artículo. Esta interpretación encuentra sustento en el principio del efecto útil del artículo 56 de la Ley 2195 de 2022, pues refleja el alcance que el Legislador quiso darle a la norma en comento.  </w:t>
      </w:r>
    </w:p>
    <w:p w14:paraId="2B8AB9A2" w14:textId="77777777" w:rsidR="009542E0" w:rsidRPr="009542E0" w:rsidRDefault="009542E0" w:rsidP="009542E0">
      <w:pPr>
        <w:tabs>
          <w:tab w:val="left" w:pos="0"/>
        </w:tabs>
        <w:spacing w:after="120" w:line="276" w:lineRule="auto"/>
        <w:ind w:firstLine="709"/>
        <w:jc w:val="both"/>
        <w:rPr>
          <w:rFonts w:ascii="Verdana" w:eastAsia="Times New Roman" w:hAnsi="Verdana" w:cs="Arial"/>
          <w:lang w:eastAsia="x-none"/>
        </w:rPr>
      </w:pPr>
      <w:r w:rsidRPr="009542E0">
        <w:rPr>
          <w:rFonts w:ascii="Verdana" w:eastAsia="Calibri" w:hAnsi="Verdana" w:cs="Arial"/>
          <w:bCs/>
          <w:lang w:eastAsia="es-ES_tradnl"/>
        </w:rPr>
        <w:t>Concretamente, para efectos de su solicitud, le indicamos que, para efectos de responder su consulta es pertinente indicar que el parágrafo del artículo 56 de la Ley 2195 de 2022 se refiere de forma genérica a las instituciones de educación superior públicas. Por tanto, como se indicó en el desarrollo de este concepto, para su aplicación lo importante es determinar que la entidad cuente con la naturaleza de institución de educación superior pública con régimen de contratación especial, esto es, exceptuado del EGCAP. De este modo, será cada entidad la</w:t>
      </w:r>
      <w:r w:rsidRPr="009542E0">
        <w:rPr>
          <w:rFonts w:ascii="Verdana" w:eastAsia="Calibri" w:hAnsi="Verdana" w:cs="Arial"/>
          <w:bCs/>
          <w:color w:val="000000"/>
          <w:lang w:eastAsia="es-CO"/>
        </w:rPr>
        <w:t xml:space="preserve"> que, en ejercicio de su competencia, debe determinar si</w:t>
      </w:r>
      <w:r w:rsidRPr="009542E0">
        <w:rPr>
          <w:rFonts w:ascii="Verdana" w:eastAsia="Calibri" w:hAnsi="Verdana" w:cs="Arial"/>
          <w:bCs/>
          <w:lang w:eastAsia="es-ES_tradnl"/>
        </w:rPr>
        <w:t xml:space="preserve"> resulta procedente la aplicación del parágrafo del artículo 56 teniendo en cuenta la naturaleza jurídica de esta y lo que establezcan sus normas estatutarias –actos de creación y demás reglamentos–. </w:t>
      </w:r>
      <w:r w:rsidRPr="009542E0">
        <w:rPr>
          <w:rFonts w:ascii="Verdana" w:eastAsia="Calibri" w:hAnsi="Verdana" w:cs="Arial"/>
          <w:bCs/>
          <w:color w:val="000000"/>
          <w:lang w:eastAsia="es-CO"/>
        </w:rPr>
        <w:t xml:space="preserve">Al tratarse de un análisis que se debe realizar en cada caso concreto, la Agencia, por vía consultiva, no puede definir un criterio universal y absoluto, sino que brinda elementos hermenéuticos de carácter general para que los partícipes del sistema de </w:t>
      </w:r>
      <w:r w:rsidRPr="009542E0">
        <w:rPr>
          <w:rFonts w:ascii="Verdana" w:eastAsia="Calibri" w:hAnsi="Verdana" w:cs="Arial"/>
          <w:bCs/>
          <w:color w:val="000000"/>
          <w:lang w:eastAsia="es-CO"/>
        </w:rPr>
        <w:lastRenderedPageBreak/>
        <w:t>compras y contratación pública adopten la decisión que corresponda, lo cual es acorde con el principio de juridicidad</w:t>
      </w:r>
      <w:r w:rsidRPr="009542E0">
        <w:rPr>
          <w:rFonts w:ascii="Verdana" w:eastAsia="Times New Roman" w:hAnsi="Verdana" w:cs="Arial"/>
          <w:lang w:eastAsia="x-none"/>
        </w:rPr>
        <w:t>.</w:t>
      </w:r>
    </w:p>
    <w:bookmarkEnd w:id="2"/>
    <w:bookmarkEnd w:id="3"/>
    <w:p w14:paraId="040044C3" w14:textId="77777777" w:rsidR="009542E0" w:rsidRPr="009542E0" w:rsidRDefault="009542E0" w:rsidP="009542E0">
      <w:pPr>
        <w:spacing w:after="120" w:line="276" w:lineRule="auto"/>
        <w:jc w:val="both"/>
        <w:rPr>
          <w:rFonts w:ascii="Verdana" w:eastAsia="Times New Roman" w:hAnsi="Verdana" w:cs="Times New Roman"/>
          <w:lang w:eastAsia="es-MX"/>
        </w:rPr>
      </w:pPr>
      <w:r w:rsidRPr="009542E0">
        <w:rPr>
          <w:rFonts w:ascii="Verdana" w:eastAsia="Calibri" w:hAnsi="Verdana" w:cs="Arial"/>
          <w:lang w:eastAsia="es-MX"/>
        </w:rPr>
        <w:t xml:space="preserve">v. </w:t>
      </w:r>
      <w:r w:rsidRPr="009542E0">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95A9634" w14:textId="77777777" w:rsidR="009542E0" w:rsidRPr="009542E0" w:rsidRDefault="009542E0" w:rsidP="009542E0">
      <w:pPr>
        <w:spacing w:after="0" w:line="276" w:lineRule="auto"/>
        <w:ind w:firstLine="708"/>
        <w:jc w:val="both"/>
        <w:rPr>
          <w:rFonts w:ascii="Verdana" w:eastAsia="Calibri" w:hAnsi="Verdana" w:cs="Arial"/>
          <w:bCs/>
          <w:color w:val="000000"/>
          <w:lang w:eastAsia="es-MX"/>
        </w:rPr>
      </w:pPr>
      <w:r w:rsidRPr="009542E0">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4341068F" w14:textId="77777777" w:rsidR="009542E0" w:rsidRPr="009542E0" w:rsidRDefault="009542E0" w:rsidP="009542E0">
      <w:pPr>
        <w:spacing w:after="0" w:line="276" w:lineRule="auto"/>
        <w:jc w:val="both"/>
        <w:rPr>
          <w:rFonts w:ascii="Verdana" w:eastAsia="Calibri" w:hAnsi="Verdana" w:cs="Times New Roman"/>
          <w:lang w:eastAsia="es-MX"/>
        </w:rPr>
      </w:pPr>
    </w:p>
    <w:p w14:paraId="30A5623C" w14:textId="77777777" w:rsidR="009542E0" w:rsidRPr="009542E0" w:rsidRDefault="009542E0" w:rsidP="009542E0">
      <w:pPr>
        <w:tabs>
          <w:tab w:val="left" w:pos="142"/>
          <w:tab w:val="left" w:pos="284"/>
        </w:tabs>
        <w:spacing w:after="0" w:line="276" w:lineRule="auto"/>
        <w:jc w:val="both"/>
        <w:rPr>
          <w:rFonts w:ascii="Verdana" w:eastAsia="Century Gothic" w:hAnsi="Verdana" w:cs="Century Gothic"/>
          <w:b/>
          <w:bCs/>
          <w:lang w:val="es-ES_tradnl" w:eastAsia="es-MX"/>
        </w:rPr>
      </w:pPr>
      <w:r w:rsidRPr="009542E0">
        <w:rPr>
          <w:rFonts w:ascii="Verdana" w:eastAsia="Century Gothic" w:hAnsi="Verdana" w:cs="Century Gothic"/>
          <w:b/>
          <w:bCs/>
          <w:lang w:val="es-ES_tradnl" w:eastAsia="es-MX"/>
        </w:rPr>
        <w:t>4. Referencias normativas, jurisprudenciales y otras fuentes:</w:t>
      </w:r>
    </w:p>
    <w:p w14:paraId="53B659CF" w14:textId="77777777" w:rsidR="009542E0" w:rsidRPr="009542E0" w:rsidRDefault="009542E0" w:rsidP="009542E0">
      <w:pPr>
        <w:spacing w:after="0"/>
        <w:ind w:left="-15840"/>
        <w:jc w:val="both"/>
        <w:rPr>
          <w:rFonts w:ascii="Verdana" w:eastAsia="Calibri" w:hAnsi="Verdana" w:cs="Arial"/>
          <w:b/>
          <w:bCs/>
          <w:lang w:eastAsia="es-MX"/>
        </w:rPr>
      </w:pPr>
      <w:r w:rsidRPr="009542E0">
        <w:rPr>
          <w:rFonts w:ascii="Verdana" w:eastAsia="Calibri" w:hAnsi="Verdana" w:cs="Arial"/>
          <w:b/>
          <w:bCs/>
          <w:lang w:eastAsia="es-MX"/>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9542E0" w:rsidRPr="009542E0" w14:paraId="546A3B3C" w14:textId="77777777" w:rsidTr="00670B64">
        <w:trPr>
          <w:trHeight w:val="297"/>
        </w:trPr>
        <w:tc>
          <w:tcPr>
            <w:tcW w:w="8647" w:type="dxa"/>
            <w:tcBorders>
              <w:top w:val="dotted" w:sz="4" w:space="0" w:color="auto"/>
              <w:left w:val="dotted" w:sz="4" w:space="0" w:color="auto"/>
              <w:bottom w:val="dotted" w:sz="4" w:space="0" w:color="auto"/>
              <w:right w:val="dotted" w:sz="4" w:space="0" w:color="auto"/>
            </w:tcBorders>
          </w:tcPr>
          <w:p w14:paraId="15A03504" w14:textId="77777777" w:rsidR="009542E0" w:rsidRPr="009542E0" w:rsidRDefault="009542E0" w:rsidP="009542E0">
            <w:pPr>
              <w:contextualSpacing/>
              <w:jc w:val="both"/>
              <w:rPr>
                <w:rFonts w:ascii="Verdana" w:eastAsia="Calibri" w:hAnsi="Verdana" w:cs="Arial"/>
                <w:bCs/>
                <w:lang w:eastAsia="es-MX"/>
              </w:rPr>
            </w:pPr>
          </w:p>
          <w:p w14:paraId="3E1E93A0" w14:textId="77777777" w:rsidR="009542E0" w:rsidRPr="009542E0" w:rsidRDefault="009542E0" w:rsidP="009542E0">
            <w:pPr>
              <w:widowControl w:val="0"/>
              <w:numPr>
                <w:ilvl w:val="0"/>
                <w:numId w:val="16"/>
              </w:numPr>
              <w:autoSpaceDE w:val="0"/>
              <w:autoSpaceDN w:val="0"/>
              <w:spacing w:line="276" w:lineRule="auto"/>
              <w:ind w:left="714" w:hanging="357"/>
              <w:jc w:val="both"/>
              <w:rPr>
                <w:rFonts w:ascii="Verdana" w:eastAsia="Calibri" w:hAnsi="Verdana" w:cs="Arial"/>
                <w:lang w:val="es-ES_tradnl" w:eastAsia="es-MX"/>
              </w:rPr>
            </w:pPr>
            <w:r w:rsidRPr="009542E0">
              <w:rPr>
                <w:rFonts w:ascii="Verdana" w:eastAsia="Calibri" w:hAnsi="Verdana" w:cs="Arial"/>
                <w:lang w:val="es-ES_tradnl" w:eastAsia="es-MX"/>
              </w:rPr>
              <w:t xml:space="preserve">Ley 2022 de 2020, artículo 1. </w:t>
            </w:r>
          </w:p>
          <w:p w14:paraId="36122B4E" w14:textId="77777777" w:rsidR="009542E0" w:rsidRPr="009542E0" w:rsidRDefault="009542E0" w:rsidP="009542E0">
            <w:pPr>
              <w:widowControl w:val="0"/>
              <w:numPr>
                <w:ilvl w:val="0"/>
                <w:numId w:val="16"/>
              </w:numPr>
              <w:autoSpaceDE w:val="0"/>
              <w:autoSpaceDN w:val="0"/>
              <w:spacing w:line="276" w:lineRule="auto"/>
              <w:contextualSpacing/>
              <w:jc w:val="both"/>
              <w:rPr>
                <w:rFonts w:ascii="Verdana" w:eastAsia="Calibri" w:hAnsi="Verdana" w:cs="Arial"/>
                <w:lang w:eastAsia="es-MX"/>
              </w:rPr>
            </w:pPr>
            <w:r w:rsidRPr="009542E0">
              <w:rPr>
                <w:rFonts w:ascii="Verdana" w:eastAsia="Calibri" w:hAnsi="Verdana" w:cs="Arial"/>
                <w:lang w:val="es-ES_tradnl" w:eastAsia="es-MX"/>
              </w:rPr>
              <w:t xml:space="preserve">Documentos Tipo. Disponibles en: </w:t>
            </w:r>
            <w:hyperlink r:id="rId11" w:history="1">
              <w:r w:rsidRPr="009542E0">
                <w:rPr>
                  <w:rFonts w:ascii="Verdana" w:eastAsia="Calibri" w:hAnsi="Verdana" w:cs="Arial"/>
                  <w:color w:val="0000FF"/>
                  <w:u w:val="single"/>
                  <w:lang w:val="es-ES_tradnl" w:eastAsia="es-MX"/>
                </w:rPr>
                <w:t>https://www.colombiacompra.gov.co/documentos-tipo/documentos-tipo</w:t>
              </w:r>
            </w:hyperlink>
            <w:r w:rsidRPr="009542E0">
              <w:rPr>
                <w:rFonts w:ascii="Verdana" w:eastAsia="Calibri" w:hAnsi="Verdana" w:cs="Arial"/>
                <w:lang w:val="es-ES_tradnl" w:eastAsia="es-MX"/>
              </w:rPr>
              <w:t>.</w:t>
            </w:r>
          </w:p>
          <w:p w14:paraId="7214226E" w14:textId="77777777" w:rsidR="009542E0" w:rsidRPr="00DF3033" w:rsidRDefault="009542E0" w:rsidP="009542E0">
            <w:pPr>
              <w:widowControl w:val="0"/>
              <w:numPr>
                <w:ilvl w:val="0"/>
                <w:numId w:val="16"/>
              </w:numPr>
              <w:autoSpaceDE w:val="0"/>
              <w:autoSpaceDN w:val="0"/>
              <w:spacing w:line="276" w:lineRule="auto"/>
              <w:contextualSpacing/>
              <w:jc w:val="both"/>
              <w:rPr>
                <w:rFonts w:ascii="Verdana" w:eastAsia="Aptos" w:hAnsi="Verdana" w:cs="Arial"/>
              </w:rPr>
            </w:pPr>
            <w:r w:rsidRPr="00DF3033">
              <w:rPr>
                <w:rFonts w:ascii="Verdana" w:eastAsia="Aptos" w:hAnsi="Verdana" w:cs="Arial"/>
              </w:rPr>
              <w:t xml:space="preserve">Ley 1150 de 2007 - </w:t>
            </w:r>
            <w:r w:rsidRPr="00DF3033">
              <w:rPr>
                <w:rFonts w:ascii="Verdana" w:eastAsia="Calibri" w:hAnsi="Verdana" w:cs="Arial"/>
                <w:lang w:val="es-ES" w:eastAsia="es-ES"/>
              </w:rPr>
              <w:t>literal c, numeral 4, del artículo 2,</w:t>
            </w:r>
          </w:p>
          <w:p w14:paraId="0979C0AA" w14:textId="77777777" w:rsidR="009542E0" w:rsidRPr="00DF3033" w:rsidRDefault="009542E0" w:rsidP="009542E0">
            <w:pPr>
              <w:widowControl w:val="0"/>
              <w:numPr>
                <w:ilvl w:val="0"/>
                <w:numId w:val="16"/>
              </w:numPr>
              <w:autoSpaceDE w:val="0"/>
              <w:autoSpaceDN w:val="0"/>
              <w:spacing w:line="276" w:lineRule="auto"/>
              <w:ind w:left="714" w:hanging="357"/>
              <w:jc w:val="both"/>
              <w:rPr>
                <w:rFonts w:ascii="Verdana" w:eastAsia="Aptos" w:hAnsi="Verdana" w:cs="Arial"/>
              </w:rPr>
            </w:pPr>
            <w:r w:rsidRPr="00DF3033">
              <w:rPr>
                <w:rFonts w:ascii="Verdana" w:eastAsia="Aptos" w:hAnsi="Verdana" w:cs="Arial"/>
              </w:rPr>
              <w:t>Ley 2195 de 2022: Artículo 56.</w:t>
            </w:r>
          </w:p>
          <w:p w14:paraId="1EE0E00C" w14:textId="77777777" w:rsidR="009542E0" w:rsidRPr="00DF3033" w:rsidRDefault="009542E0" w:rsidP="009542E0">
            <w:pPr>
              <w:widowControl w:val="0"/>
              <w:numPr>
                <w:ilvl w:val="0"/>
                <w:numId w:val="16"/>
              </w:numPr>
              <w:autoSpaceDE w:val="0"/>
              <w:autoSpaceDN w:val="0"/>
              <w:spacing w:line="276" w:lineRule="auto"/>
              <w:ind w:left="714" w:hanging="357"/>
              <w:jc w:val="both"/>
              <w:rPr>
                <w:rFonts w:ascii="Verdana" w:eastAsia="Aptos" w:hAnsi="Verdana" w:cs="Arial"/>
              </w:rPr>
            </w:pPr>
            <w:r w:rsidRPr="00DF3033">
              <w:rPr>
                <w:rFonts w:ascii="Verdana" w:eastAsia="Calibri" w:hAnsi="Verdana" w:cs="Arial"/>
                <w:lang w:val="es-MX"/>
              </w:rPr>
              <w:t>Ley 30 de 1992: Artículo 57.</w:t>
            </w:r>
          </w:p>
          <w:p w14:paraId="33FFFF3B" w14:textId="77777777" w:rsidR="009542E0" w:rsidRPr="00DF3033" w:rsidRDefault="009542E0" w:rsidP="009542E0">
            <w:pPr>
              <w:widowControl w:val="0"/>
              <w:numPr>
                <w:ilvl w:val="0"/>
                <w:numId w:val="16"/>
              </w:numPr>
              <w:autoSpaceDE w:val="0"/>
              <w:autoSpaceDN w:val="0"/>
              <w:spacing w:line="276" w:lineRule="auto"/>
              <w:ind w:left="714" w:hanging="357"/>
              <w:jc w:val="both"/>
              <w:rPr>
                <w:rFonts w:ascii="Verdana" w:eastAsia="Aptos" w:hAnsi="Verdana" w:cs="Arial"/>
              </w:rPr>
            </w:pPr>
            <w:r w:rsidRPr="00DF3033">
              <w:rPr>
                <w:rFonts w:ascii="Verdana" w:eastAsia="Arial" w:hAnsi="Verdana" w:cs="Arial"/>
                <w:lang w:val="es-ES"/>
              </w:rPr>
              <w:t>Ley 489 de 1998: Artículo 40, artículo 81</w:t>
            </w:r>
          </w:p>
          <w:p w14:paraId="7EEF5039" w14:textId="77777777" w:rsidR="009542E0" w:rsidRPr="009542E0" w:rsidRDefault="009542E0" w:rsidP="009542E0">
            <w:pPr>
              <w:widowControl w:val="0"/>
              <w:numPr>
                <w:ilvl w:val="0"/>
                <w:numId w:val="16"/>
              </w:numPr>
              <w:autoSpaceDE w:val="0"/>
              <w:autoSpaceDN w:val="0"/>
              <w:spacing w:line="276" w:lineRule="auto"/>
              <w:ind w:left="714" w:hanging="357"/>
              <w:jc w:val="both"/>
              <w:rPr>
                <w:rFonts w:ascii="Verdana" w:eastAsia="Aptos" w:hAnsi="Verdana" w:cs="Arial"/>
              </w:rPr>
            </w:pPr>
            <w:r w:rsidRPr="009542E0">
              <w:rPr>
                <w:rFonts w:ascii="Verdana" w:eastAsia="Aptos" w:hAnsi="Verdana" w:cs="Arial"/>
                <w:color w:val="000000"/>
              </w:rPr>
              <w:t xml:space="preserve">CONGRESO DE LA REPÚBLICA. Gaceta </w:t>
            </w:r>
            <w:proofErr w:type="spellStart"/>
            <w:r w:rsidRPr="009542E0">
              <w:rPr>
                <w:rFonts w:ascii="Verdana" w:eastAsia="Aptos" w:hAnsi="Verdana" w:cs="Arial"/>
                <w:color w:val="000000"/>
              </w:rPr>
              <w:t>Nº</w:t>
            </w:r>
            <w:proofErr w:type="spellEnd"/>
            <w:r w:rsidRPr="009542E0">
              <w:rPr>
                <w:rFonts w:ascii="Verdana" w:eastAsia="Aptos" w:hAnsi="Verdana" w:cs="Arial"/>
                <w:color w:val="000000"/>
              </w:rPr>
              <w:t xml:space="preserve"> 1677 del 23 de noviembre de 2021</w:t>
            </w:r>
          </w:p>
          <w:p w14:paraId="3DE59A16" w14:textId="77777777" w:rsidR="009542E0" w:rsidRPr="009542E0" w:rsidRDefault="009542E0" w:rsidP="009542E0">
            <w:pPr>
              <w:widowControl w:val="0"/>
              <w:numPr>
                <w:ilvl w:val="0"/>
                <w:numId w:val="16"/>
              </w:numPr>
              <w:autoSpaceDE w:val="0"/>
              <w:autoSpaceDN w:val="0"/>
              <w:spacing w:line="276" w:lineRule="auto"/>
              <w:ind w:left="714" w:hanging="357"/>
              <w:jc w:val="both"/>
              <w:rPr>
                <w:rFonts w:ascii="Verdana" w:eastAsia="Aptos" w:hAnsi="Verdana" w:cs="Arial"/>
              </w:rPr>
            </w:pPr>
            <w:r w:rsidRPr="009542E0">
              <w:rPr>
                <w:rFonts w:ascii="Verdana" w:eastAsia="Aptos" w:hAnsi="Verdana" w:cs="Arial"/>
              </w:rPr>
              <w:t xml:space="preserve">Consejo de Estado. Sección Tercera. Sentencia del 6 de julio de 2005. </w:t>
            </w:r>
            <w:proofErr w:type="spellStart"/>
            <w:r w:rsidRPr="009542E0">
              <w:rPr>
                <w:rFonts w:ascii="Verdana" w:eastAsia="Aptos" w:hAnsi="Verdana" w:cs="Arial"/>
              </w:rPr>
              <w:lastRenderedPageBreak/>
              <w:t>Exp</w:t>
            </w:r>
            <w:proofErr w:type="spellEnd"/>
            <w:r w:rsidRPr="009542E0">
              <w:rPr>
                <w:rFonts w:ascii="Verdana" w:eastAsia="Aptos" w:hAnsi="Verdana" w:cs="Arial"/>
              </w:rPr>
              <w:t>. No. 11575. C.P. Alier E. Hernández Enríquez</w:t>
            </w:r>
          </w:p>
          <w:p w14:paraId="2C550FBE" w14:textId="77777777" w:rsidR="009542E0" w:rsidRPr="009542E0" w:rsidRDefault="009542E0" w:rsidP="009542E0">
            <w:pPr>
              <w:widowControl w:val="0"/>
              <w:numPr>
                <w:ilvl w:val="0"/>
                <w:numId w:val="16"/>
              </w:numPr>
              <w:autoSpaceDE w:val="0"/>
              <w:autoSpaceDN w:val="0"/>
              <w:spacing w:line="276" w:lineRule="auto"/>
              <w:ind w:left="714" w:hanging="357"/>
              <w:jc w:val="both"/>
              <w:rPr>
                <w:rFonts w:ascii="Verdana" w:eastAsia="Aptos" w:hAnsi="Verdana" w:cs="Arial"/>
              </w:rPr>
            </w:pPr>
            <w:r w:rsidRPr="009542E0">
              <w:rPr>
                <w:rFonts w:ascii="Verdana" w:eastAsia="Aptos" w:hAnsi="Verdana" w:cs="Arial"/>
              </w:rPr>
              <w:t xml:space="preserve">CONSEJO DE ESTADO. Sección Tercera. Subsección A. Sentencia del 3 de marzo de 2021. </w:t>
            </w:r>
            <w:proofErr w:type="spellStart"/>
            <w:r w:rsidRPr="009542E0">
              <w:rPr>
                <w:rFonts w:ascii="Verdana" w:eastAsia="Aptos" w:hAnsi="Verdana" w:cs="Arial"/>
              </w:rPr>
              <w:t>Exp</w:t>
            </w:r>
            <w:proofErr w:type="spellEnd"/>
            <w:r w:rsidRPr="009542E0">
              <w:rPr>
                <w:rFonts w:ascii="Verdana" w:eastAsia="Aptos" w:hAnsi="Verdana" w:cs="Arial"/>
              </w:rPr>
              <w:t>. No. 51373. C.P. José Roberto Sáchica Méndez.</w:t>
            </w:r>
          </w:p>
          <w:p w14:paraId="5649A604" w14:textId="77777777" w:rsidR="009542E0" w:rsidRPr="009542E0" w:rsidRDefault="009542E0" w:rsidP="009542E0">
            <w:pPr>
              <w:widowControl w:val="0"/>
              <w:numPr>
                <w:ilvl w:val="0"/>
                <w:numId w:val="16"/>
              </w:numPr>
              <w:autoSpaceDE w:val="0"/>
              <w:autoSpaceDN w:val="0"/>
              <w:spacing w:line="276" w:lineRule="auto"/>
              <w:ind w:left="714" w:hanging="357"/>
              <w:jc w:val="both"/>
              <w:rPr>
                <w:rFonts w:ascii="Verdana" w:eastAsia="Aptos" w:hAnsi="Verdana" w:cs="Arial"/>
              </w:rPr>
            </w:pPr>
            <w:r w:rsidRPr="009542E0">
              <w:rPr>
                <w:rFonts w:ascii="Verdana" w:eastAsia="Aptos" w:hAnsi="Verdana" w:cs="Arial"/>
              </w:rPr>
              <w:t xml:space="preserve">CONSEJO DE ESTADO. Sección Tercera. Subsección B. Sentencia del 12 de octubre de 2011. </w:t>
            </w:r>
            <w:proofErr w:type="spellStart"/>
            <w:r w:rsidRPr="009542E0">
              <w:rPr>
                <w:rFonts w:ascii="Verdana" w:eastAsia="Aptos" w:hAnsi="Verdana" w:cs="Arial"/>
              </w:rPr>
              <w:t>Exp</w:t>
            </w:r>
            <w:proofErr w:type="spellEnd"/>
            <w:r w:rsidRPr="009542E0">
              <w:rPr>
                <w:rFonts w:ascii="Verdana" w:eastAsia="Aptos" w:hAnsi="Verdana" w:cs="Arial"/>
              </w:rPr>
              <w:t>. No. 20070. C.P. Danilo Rojas Betancourt.</w:t>
            </w:r>
          </w:p>
          <w:p w14:paraId="6272D7EB" w14:textId="77777777" w:rsidR="009542E0" w:rsidRPr="009542E0" w:rsidRDefault="009542E0" w:rsidP="009542E0">
            <w:pPr>
              <w:widowControl w:val="0"/>
              <w:numPr>
                <w:ilvl w:val="0"/>
                <w:numId w:val="16"/>
              </w:numPr>
              <w:autoSpaceDE w:val="0"/>
              <w:autoSpaceDN w:val="0"/>
              <w:spacing w:line="276" w:lineRule="auto"/>
              <w:contextualSpacing/>
              <w:jc w:val="both"/>
              <w:rPr>
                <w:rFonts w:ascii="Verdana" w:eastAsia="Calibri" w:hAnsi="Verdana" w:cs="Arial"/>
                <w:lang w:eastAsia="es-MX"/>
              </w:rPr>
            </w:pPr>
            <w:r w:rsidRPr="009542E0">
              <w:rPr>
                <w:rFonts w:ascii="Verdana" w:eastAsia="Aptos" w:hAnsi="Verdana" w:cs="Arial"/>
              </w:rPr>
              <w:t>CORTE CONSTITUCIONAL, Sentencia C-382 de 2019, M.P. Alejandro Linares Cantillo.</w:t>
            </w:r>
          </w:p>
          <w:p w14:paraId="6AD244DC" w14:textId="77777777" w:rsidR="009542E0" w:rsidRPr="009542E0" w:rsidRDefault="009542E0" w:rsidP="009542E0">
            <w:pPr>
              <w:widowControl w:val="0"/>
              <w:numPr>
                <w:ilvl w:val="0"/>
                <w:numId w:val="16"/>
              </w:numPr>
              <w:autoSpaceDE w:val="0"/>
              <w:autoSpaceDN w:val="0"/>
              <w:spacing w:line="276" w:lineRule="auto"/>
              <w:contextualSpacing/>
              <w:jc w:val="both"/>
              <w:rPr>
                <w:rFonts w:ascii="Verdana" w:eastAsia="Aptos" w:hAnsi="Verdana" w:cs="Arial"/>
              </w:rPr>
            </w:pPr>
            <w:r w:rsidRPr="009542E0">
              <w:rPr>
                <w:rFonts w:ascii="Verdana" w:eastAsia="Aptos" w:hAnsi="Verdana" w:cs="Arial"/>
              </w:rPr>
              <w:t>Corte Constitucional. Sentencia C-121 de 2003. M.P. Clara Inés Vargas Hernández.</w:t>
            </w:r>
          </w:p>
          <w:p w14:paraId="1FA89ABE" w14:textId="77777777" w:rsidR="009542E0" w:rsidRPr="009542E0" w:rsidRDefault="009542E0" w:rsidP="009542E0">
            <w:pPr>
              <w:widowControl w:val="0"/>
              <w:numPr>
                <w:ilvl w:val="0"/>
                <w:numId w:val="16"/>
              </w:numPr>
              <w:autoSpaceDE w:val="0"/>
              <w:autoSpaceDN w:val="0"/>
              <w:spacing w:line="276" w:lineRule="auto"/>
              <w:contextualSpacing/>
              <w:jc w:val="both"/>
              <w:rPr>
                <w:rFonts w:ascii="Verdana" w:eastAsia="Aptos" w:hAnsi="Verdana" w:cs="Arial"/>
              </w:rPr>
            </w:pPr>
            <w:r w:rsidRPr="009542E0">
              <w:rPr>
                <w:rFonts w:ascii="Verdana" w:eastAsia="Aptos" w:hAnsi="Verdana" w:cs="Arial"/>
              </w:rPr>
              <w:t>Corte Constitucional. Sentencia C-1019 del 28 de noviembre de 2012. M.P. Mauricio González.</w:t>
            </w:r>
          </w:p>
          <w:p w14:paraId="22453761" w14:textId="77777777" w:rsidR="009542E0" w:rsidRPr="009542E0" w:rsidRDefault="009542E0" w:rsidP="009542E0">
            <w:pPr>
              <w:widowControl w:val="0"/>
              <w:numPr>
                <w:ilvl w:val="0"/>
                <w:numId w:val="16"/>
              </w:numPr>
              <w:autoSpaceDE w:val="0"/>
              <w:autoSpaceDN w:val="0"/>
              <w:spacing w:line="276" w:lineRule="auto"/>
              <w:contextualSpacing/>
              <w:jc w:val="both"/>
              <w:rPr>
                <w:rFonts w:ascii="Verdana" w:eastAsia="Aptos" w:hAnsi="Verdana" w:cs="Arial"/>
              </w:rPr>
            </w:pPr>
            <w:r w:rsidRPr="009542E0">
              <w:rPr>
                <w:rFonts w:ascii="Verdana" w:eastAsia="Aptos" w:hAnsi="Verdana" w:cs="Arial"/>
              </w:rPr>
              <w:t xml:space="preserve">CONSEJO DE ESTADO. Sección Cuarta. Sentencia del 16 de diciembre de 2008. </w:t>
            </w:r>
            <w:proofErr w:type="spellStart"/>
            <w:r w:rsidRPr="009542E0">
              <w:rPr>
                <w:rFonts w:ascii="Verdana" w:eastAsia="Aptos" w:hAnsi="Verdana" w:cs="Arial"/>
              </w:rPr>
              <w:t>Exp</w:t>
            </w:r>
            <w:proofErr w:type="spellEnd"/>
            <w:r w:rsidRPr="009542E0">
              <w:rPr>
                <w:rFonts w:ascii="Verdana" w:eastAsia="Aptos" w:hAnsi="Verdana" w:cs="Arial"/>
              </w:rPr>
              <w:t>. 16.297. C.P. Martha Teresa Briceño de Valencia.</w:t>
            </w:r>
          </w:p>
        </w:tc>
      </w:tr>
    </w:tbl>
    <w:p w14:paraId="0A6F5314" w14:textId="77777777" w:rsidR="009542E0" w:rsidRPr="009542E0" w:rsidRDefault="009542E0" w:rsidP="009542E0">
      <w:pPr>
        <w:tabs>
          <w:tab w:val="left" w:pos="142"/>
          <w:tab w:val="left" w:pos="284"/>
        </w:tabs>
        <w:spacing w:after="0" w:line="276" w:lineRule="auto"/>
        <w:jc w:val="both"/>
        <w:rPr>
          <w:rFonts w:ascii="Verdana" w:eastAsia="Calibri" w:hAnsi="Verdana" w:cs="Arial"/>
          <w:lang w:eastAsia="es-MX"/>
        </w:rPr>
      </w:pPr>
    </w:p>
    <w:p w14:paraId="6BD2D76B" w14:textId="77777777" w:rsidR="009542E0" w:rsidRPr="009542E0" w:rsidRDefault="009542E0" w:rsidP="009542E0">
      <w:pPr>
        <w:tabs>
          <w:tab w:val="left" w:pos="142"/>
          <w:tab w:val="left" w:pos="284"/>
        </w:tabs>
        <w:spacing w:after="0" w:line="276" w:lineRule="auto"/>
        <w:jc w:val="both"/>
        <w:rPr>
          <w:rFonts w:ascii="Verdana" w:eastAsia="Century Gothic" w:hAnsi="Verdana" w:cs="Century Gothic"/>
          <w:b/>
          <w:bCs/>
          <w:lang w:val="es-ES" w:eastAsia="es-MX"/>
        </w:rPr>
      </w:pPr>
      <w:r w:rsidRPr="009542E0">
        <w:rPr>
          <w:rFonts w:ascii="Verdana" w:eastAsia="Calibri" w:hAnsi="Verdana" w:cs="Arial"/>
          <w:b/>
          <w:bCs/>
          <w:lang w:eastAsia="es-MX"/>
        </w:rPr>
        <w:t>5</w:t>
      </w:r>
      <w:r w:rsidRPr="009542E0">
        <w:rPr>
          <w:rFonts w:ascii="Verdana" w:eastAsia="Calibri" w:hAnsi="Verdana" w:cs="Arial"/>
          <w:lang w:eastAsia="es-MX"/>
        </w:rPr>
        <w:t>.</w:t>
      </w:r>
      <w:r w:rsidRPr="009542E0">
        <w:rPr>
          <w:rFonts w:ascii="Verdana" w:eastAsia="Century Gothic" w:hAnsi="Verdana" w:cs="Century Gothic"/>
          <w:b/>
          <w:bCs/>
          <w:lang w:val="es-ES" w:eastAsia="es-MX"/>
        </w:rPr>
        <w:t>Doctrina de la Agencia Nacional de Contratación Pública:</w:t>
      </w:r>
    </w:p>
    <w:p w14:paraId="129F03B5" w14:textId="77777777" w:rsidR="009542E0" w:rsidRPr="009542E0" w:rsidRDefault="009542E0" w:rsidP="009542E0">
      <w:pPr>
        <w:widowControl w:val="0"/>
        <w:autoSpaceDE w:val="0"/>
        <w:autoSpaceDN w:val="0"/>
        <w:spacing w:after="0" w:line="276" w:lineRule="auto"/>
        <w:jc w:val="both"/>
        <w:rPr>
          <w:rFonts w:ascii="Verdana" w:eastAsia="Calibri" w:hAnsi="Verdana" w:cs="Arial"/>
          <w:lang w:eastAsia="es-MX"/>
        </w:rPr>
      </w:pPr>
    </w:p>
    <w:p w14:paraId="795DF684" w14:textId="77777777" w:rsidR="009542E0" w:rsidRPr="009542E0" w:rsidRDefault="009542E0" w:rsidP="009542E0">
      <w:pPr>
        <w:widowControl w:val="0"/>
        <w:autoSpaceDE w:val="0"/>
        <w:autoSpaceDN w:val="0"/>
        <w:spacing w:after="0" w:line="276" w:lineRule="auto"/>
        <w:jc w:val="both"/>
        <w:rPr>
          <w:rFonts w:ascii="Verdana" w:eastAsia="Aptos" w:hAnsi="Verdana" w:cs="Arial"/>
          <w:color w:val="FF0000"/>
          <w:kern w:val="2"/>
          <w:shd w:val="clear" w:color="auto" w:fill="FFFFFF"/>
          <w:lang w:val="es-ES"/>
          <w14:ligatures w14:val="standardContextual"/>
        </w:rPr>
      </w:pPr>
      <w:r w:rsidRPr="009542E0">
        <w:rPr>
          <w:rFonts w:ascii="Verdana" w:eastAsia="Calibri" w:hAnsi="Verdana" w:cs="Arial"/>
          <w:kern w:val="2"/>
          <w:lang w:val="es-ES" w:eastAsia="es-ES_tradnl"/>
          <w14:ligatures w14:val="standardContextual"/>
        </w:rPr>
        <w:t xml:space="preserve">La </w:t>
      </w:r>
      <w:r w:rsidRPr="009542E0">
        <w:rPr>
          <w:rFonts w:ascii="Verdana" w:eastAsia="Calibri" w:hAnsi="Verdana" w:cs="Arial"/>
          <w:kern w:val="2"/>
          <w:shd w:val="clear" w:color="auto" w:fill="FFFFFF"/>
          <w:lang w:val="es-ES"/>
          <w14:ligatures w14:val="standardContextual"/>
        </w:rPr>
        <w:t xml:space="preserve">Agencia Nacional de Contratación Pública − Colombia Compra Eficiente, </w:t>
      </w:r>
      <w:r w:rsidRPr="009542E0">
        <w:rPr>
          <w:rFonts w:ascii="Verdana" w:eastAsia="Times New Roman" w:hAnsi="Verdana" w:cs="Arial"/>
          <w:kern w:val="2"/>
          <w:lang w:val="es-ES_tradnl" w:eastAsia="es-ES_tradnl"/>
          <w14:ligatures w14:val="standardContextual"/>
        </w:rPr>
        <w:t xml:space="preserve">se ha pronunciado sobre </w:t>
      </w:r>
      <w:r w:rsidRPr="009542E0">
        <w:rPr>
          <w:rFonts w:ascii="Verdana" w:eastAsia="Times New Roman" w:hAnsi="Verdana" w:cs="Arial"/>
          <w:kern w:val="2"/>
          <w:lang w:eastAsia="es-ES_tradnl"/>
          <w14:ligatures w14:val="standardContextual"/>
        </w:rPr>
        <w:t xml:space="preserve">el alcance del artículo 56 de la Ley 2195 de 2022, específicamente, a partir del concepto C-066 del 28 de enero de 2022, cuya tesis se desarrolló y complementó los conceptos </w:t>
      </w:r>
      <w:r w:rsidRPr="009542E0">
        <w:rPr>
          <w:rFonts w:ascii="Verdana" w:eastAsia="Aptos" w:hAnsi="Verdana" w:cs="Times New Roman"/>
          <w:kern w:val="2"/>
          <w14:ligatures w14:val="standardContextual"/>
        </w:rPr>
        <w:t xml:space="preserve">C-320 del 20 de mayo de 2022, C-160 del 5 de abril de 2022, C-333 del 24 de mayo de 2022, C-404 del 26 de mayo de 2023, C-382 del 27 de mayo de 2022, C-388 del 15 de junio de 2022, C-423 del 5 de julio de 2022, C-435 del 6 de julio de 2023, C-453 del 15 de julio de 2022, C-483 del 5 de agosto de 2022, C-556 del 3 de agosto de 2022, C-532 del 22 de agosto de 2022, C-341 del 27 de mayo de 2022, C-382 del 27 de mayo de 2022, C-449 del 25 de julio de 2022, C-453 del 14 de julio de 2022,  C-488 del 29 de julio de 2022, C-501 del 29 de julio de 2022,  C-155 del 7 de marzo de 2025, C-202 del 26 de marzo de 2025, C-298 del 16 de abril de 2025, C-808 del 30 de julio de 2025,CU-870 del 13 de agosto de 2026, C-246 del 12 de marzo de 2026, C-464 del 5 de mayo de 2026 y C-488 del 18 de junio de 2026. </w:t>
      </w:r>
    </w:p>
    <w:p w14:paraId="24C715E6" w14:textId="77777777" w:rsidR="009542E0" w:rsidRPr="009542E0" w:rsidRDefault="009542E0" w:rsidP="009542E0">
      <w:pPr>
        <w:spacing w:after="0" w:line="240" w:lineRule="auto"/>
        <w:jc w:val="both"/>
        <w:rPr>
          <w:rFonts w:ascii="Verdana" w:eastAsia="Calibri" w:hAnsi="Verdana" w:cs="Arial"/>
          <w:color w:val="000000"/>
          <w:shd w:val="clear" w:color="auto" w:fill="FFFFFF"/>
          <w:lang w:val="es-ES" w:eastAsia="es-MX"/>
        </w:rPr>
      </w:pPr>
    </w:p>
    <w:p w14:paraId="049FDA45" w14:textId="77777777" w:rsidR="009542E0" w:rsidRPr="009542E0" w:rsidRDefault="009542E0" w:rsidP="009542E0">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9542E0">
        <w:rPr>
          <w:rFonts w:ascii="Verdana" w:eastAsia="Calibri" w:hAnsi="Verdana" w:cs="Arial"/>
          <w:color w:val="000000"/>
          <w:shd w:val="clear" w:color="auto" w:fill="FFFFFF"/>
          <w:lang w:eastAsia="es-MX"/>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w:t>
      </w:r>
      <w:r w:rsidRPr="009542E0">
        <w:rPr>
          <w:rFonts w:ascii="Verdana" w:eastAsia="Calibri" w:hAnsi="Verdana" w:cs="Arial"/>
          <w:color w:val="000000"/>
          <w:shd w:val="clear" w:color="auto" w:fill="FFFFFF"/>
          <w:lang w:eastAsia="es-MX"/>
        </w:rPr>
        <w:lastRenderedPageBreak/>
        <w:t>través del siguiente enlace: </w:t>
      </w:r>
      <w:hyperlink r:id="rId12" w:tgtFrame="_blank" w:tooltip="Dirección URL original: https://relatoria.colombiacompra.gov.co/. Haga clic o pulse si confía en este vínculo." w:history="1">
        <w:r w:rsidRPr="009542E0">
          <w:rPr>
            <w:rFonts w:ascii="Verdana" w:eastAsia="Calibri" w:hAnsi="Verdana" w:cs="Arial"/>
            <w:color w:val="0000FF"/>
            <w:u w:val="single"/>
            <w:shd w:val="clear" w:color="auto" w:fill="FFFFFF"/>
            <w:lang w:eastAsia="es-MX"/>
          </w:rPr>
          <w:t>https://relatoria.colombiacompra.gov.co/</w:t>
        </w:r>
      </w:hyperlink>
      <w:r w:rsidRPr="009542E0">
        <w:rPr>
          <w:rFonts w:ascii="Verdana" w:eastAsia="Calibri" w:hAnsi="Verdana" w:cs="Arial"/>
          <w:color w:val="0000FF"/>
          <w:u w:val="single"/>
          <w:shd w:val="clear" w:color="auto" w:fill="FFFFFF"/>
          <w:lang w:eastAsia="es-MX"/>
        </w:rPr>
        <w:t> .</w:t>
      </w:r>
    </w:p>
    <w:p w14:paraId="03854803" w14:textId="77777777" w:rsidR="009542E0" w:rsidRPr="009542E0" w:rsidRDefault="009542E0" w:rsidP="009542E0">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p>
    <w:p w14:paraId="2B283E62" w14:textId="77777777" w:rsidR="009542E0" w:rsidRPr="009542E0" w:rsidRDefault="009542E0" w:rsidP="009542E0">
      <w:pPr>
        <w:spacing w:after="0" w:line="276" w:lineRule="auto"/>
        <w:jc w:val="both"/>
        <w:rPr>
          <w:rFonts w:ascii="Verdana" w:eastAsia="Aptos" w:hAnsi="Verdana" w:cs="Times New Roman"/>
          <w:kern w:val="2"/>
          <w14:ligatures w14:val="standardContextual"/>
        </w:rPr>
      </w:pPr>
      <w:r w:rsidRPr="009542E0">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9542E0">
        <w:rPr>
          <w:rFonts w:ascii="Verdana" w:eastAsia="Aptos" w:hAnsi="Verdana" w:cs="Times New Roman"/>
          <w:b/>
          <w:bCs/>
          <w:color w:val="000000"/>
          <w:kern w:val="2"/>
          <w14:ligatures w14:val="standardContextual"/>
        </w:rPr>
        <w:t>Guía para la Exigencia y Constitución de Garantías en los Procesos de Contratación</w:t>
      </w:r>
      <w:r w:rsidRPr="009542E0">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9542E0">
          <w:rPr>
            <w:rFonts w:ascii="Verdana" w:eastAsia="Aptos" w:hAnsi="Verdana" w:cs="Times New Roman"/>
            <w:color w:val="0078D7"/>
            <w:kern w:val="2"/>
            <w:u w:val="single"/>
            <w14:ligatures w14:val="standardContextual"/>
          </w:rPr>
          <w:t>https://www.colombiacompra.gov.co/archivos/manual/guia-de-garantias-en-procesos-de-contratacion</w:t>
        </w:r>
      </w:hyperlink>
    </w:p>
    <w:p w14:paraId="41EDFE48" w14:textId="77777777" w:rsidR="009542E0" w:rsidRPr="009542E0" w:rsidRDefault="009542E0" w:rsidP="009542E0">
      <w:pPr>
        <w:spacing w:after="0" w:line="276" w:lineRule="auto"/>
        <w:jc w:val="both"/>
        <w:rPr>
          <w:rFonts w:ascii="Verdana" w:eastAsia="Aptos" w:hAnsi="Verdana" w:cs="Times New Roman"/>
          <w:kern w:val="2"/>
          <w14:ligatures w14:val="standardContextual"/>
        </w:rPr>
      </w:pPr>
    </w:p>
    <w:p w14:paraId="6240F156" w14:textId="77777777" w:rsidR="009542E0" w:rsidRPr="009542E0" w:rsidRDefault="009542E0" w:rsidP="009542E0">
      <w:pPr>
        <w:spacing w:after="0" w:line="276" w:lineRule="auto"/>
        <w:jc w:val="both"/>
        <w:rPr>
          <w:rFonts w:ascii="Verdana" w:eastAsia="Aptos" w:hAnsi="Verdana" w:cs="Times New Roman"/>
          <w:kern w:val="2"/>
          <w14:ligatures w14:val="standardContextual"/>
        </w:rPr>
      </w:pPr>
      <w:r w:rsidRPr="009542E0">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9542E0">
        <w:rPr>
          <w:rFonts w:ascii="Verdana" w:eastAsia="Aptos" w:hAnsi="Verdana" w:cs="Times New Roman"/>
          <w:b/>
          <w:bCs/>
          <w:color w:val="000000"/>
          <w:kern w:val="2"/>
          <w14:ligatures w14:val="standardContextual"/>
        </w:rPr>
        <w:t>Sistema Integral de Preferencias en favor de las personas con discapacidad</w:t>
      </w:r>
      <w:r w:rsidRPr="009542E0">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9542E0">
        <w:rPr>
          <w:rFonts w:ascii="Verdana" w:eastAsia="Aptos" w:hAnsi="Verdana" w:cs="Times New Roman"/>
          <w:b/>
          <w:bCs/>
          <w:color w:val="000000"/>
          <w:kern w:val="2"/>
          <w14:ligatures w14:val="standardContextual"/>
        </w:rPr>
        <w:t>Circular Externa 003 del 12 de mayo de 2026,</w:t>
      </w:r>
      <w:r w:rsidRPr="009542E0">
        <w:rPr>
          <w:rFonts w:ascii="Verdana" w:eastAsia="Aptos" w:hAnsi="Verdana" w:cs="Times New Roman"/>
          <w:color w:val="000000"/>
          <w:kern w:val="2"/>
          <w14:ligatures w14:val="standardContextual"/>
        </w:rPr>
        <w:t> 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9542E0">
          <w:rPr>
            <w:rFonts w:ascii="Verdana" w:eastAsia="Aptos" w:hAnsi="Verdana" w:cs="Times New Roman"/>
            <w:color w:val="0078D7"/>
            <w:kern w:val="2"/>
            <w:u w:val="single"/>
            <w14:ligatures w14:val="standardContextual"/>
          </w:rPr>
          <w:t>https://www.colombiacompra.gov.co/archivos/circular/circular-externa-003-de-2026</w:t>
        </w:r>
      </w:hyperlink>
    </w:p>
    <w:p w14:paraId="707760A2" w14:textId="77777777" w:rsidR="009542E0" w:rsidRPr="009542E0" w:rsidRDefault="009542E0" w:rsidP="009542E0">
      <w:pPr>
        <w:spacing w:after="0" w:line="276" w:lineRule="auto"/>
        <w:jc w:val="both"/>
        <w:rPr>
          <w:rFonts w:ascii="Verdana" w:eastAsia="Aptos" w:hAnsi="Verdana" w:cs="Times New Roman"/>
          <w:color w:val="000000"/>
          <w:kern w:val="2"/>
          <w14:ligatures w14:val="standardContextual"/>
        </w:rPr>
      </w:pPr>
    </w:p>
    <w:p w14:paraId="2EC31260" w14:textId="77777777" w:rsidR="009542E0" w:rsidRPr="009542E0" w:rsidRDefault="009542E0" w:rsidP="009542E0">
      <w:pPr>
        <w:spacing w:after="0" w:line="276" w:lineRule="auto"/>
        <w:jc w:val="both"/>
        <w:rPr>
          <w:rFonts w:ascii="Verdana" w:eastAsia="Aptos" w:hAnsi="Verdana" w:cs="Times New Roman"/>
          <w:kern w:val="2"/>
          <w14:ligatures w14:val="standardContextual"/>
        </w:rPr>
      </w:pPr>
      <w:r w:rsidRPr="009542E0">
        <w:rPr>
          <w:rFonts w:ascii="Verdana" w:eastAsia="Aptos" w:hAnsi="Verdana" w:cs="Times New Roman"/>
          <w:color w:val="000000"/>
          <w:kern w:val="2"/>
          <w14:ligatures w14:val="standardContextual"/>
        </w:rPr>
        <w:t>Recuerda también que la </w:t>
      </w:r>
      <w:r w:rsidRPr="009542E0">
        <w:rPr>
          <w:rFonts w:ascii="Verdana" w:eastAsia="Aptos" w:hAnsi="Verdana" w:cs="Times New Roman"/>
          <w:b/>
          <w:bCs/>
          <w:color w:val="000000"/>
          <w:kern w:val="2"/>
          <w14:ligatures w14:val="standardContextual"/>
        </w:rPr>
        <w:t>información sobre sanciones e inhabilidades</w:t>
      </w:r>
      <w:r w:rsidRPr="009542E0">
        <w:rPr>
          <w:rFonts w:ascii="Verdana" w:eastAsia="Aptos" w:hAnsi="Verdana" w:cs="Times New Roman"/>
          <w:color w:val="000000"/>
          <w:kern w:val="2"/>
          <w14:ligatures w14:val="standardContextual"/>
        </w:rPr>
        <w:t> solo cumple su función preventiva si llega oportunamente a los registros públicos. Sobre este deber, esta Agencia expidió la </w:t>
      </w:r>
      <w:r w:rsidRPr="009542E0">
        <w:rPr>
          <w:rFonts w:ascii="Verdana" w:eastAsia="Aptos" w:hAnsi="Verdana" w:cs="Times New Roman"/>
          <w:b/>
          <w:bCs/>
          <w:color w:val="000000"/>
          <w:kern w:val="2"/>
          <w14:ligatures w14:val="standardContextual"/>
        </w:rPr>
        <w:t>Circular Externa 002 del 5 de mayo de 2026,</w:t>
      </w:r>
      <w:r w:rsidRPr="009542E0">
        <w:rPr>
          <w:rFonts w:ascii="Verdana" w:eastAsia="Aptos" w:hAnsi="Verdana" w:cs="Times New Roman"/>
          <w:color w:val="000000"/>
          <w:kern w:val="2"/>
          <w14:ligatures w14:val="standardContextua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9542E0">
        <w:rPr>
          <w:rFonts w:ascii="Verdana" w:eastAsia="Aptos" w:hAnsi="Verdana" w:cs="Times New Roman"/>
          <w:color w:val="000000"/>
          <w:kern w:val="2"/>
          <w14:ligatures w14:val="standardContextual"/>
        </w:rPr>
        <w:lastRenderedPageBreak/>
        <w:t>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9542E0">
          <w:rPr>
            <w:rFonts w:ascii="Verdana" w:eastAsia="Aptos" w:hAnsi="Verdana" w:cs="Times New Roman"/>
            <w:color w:val="0078D7"/>
            <w:kern w:val="2"/>
            <w:u w:val="single"/>
            <w14:ligatures w14:val="standardContextual"/>
          </w:rPr>
          <w:t>https://www.colombiacompra.gov.co/archivos/circular/circular-externa-002-de-2026</w:t>
        </w:r>
      </w:hyperlink>
    </w:p>
    <w:p w14:paraId="0CA4B988" w14:textId="77777777" w:rsidR="009542E0" w:rsidRPr="009542E0" w:rsidRDefault="009542E0" w:rsidP="009542E0">
      <w:pPr>
        <w:spacing w:after="0" w:line="276" w:lineRule="auto"/>
        <w:jc w:val="both"/>
        <w:rPr>
          <w:rFonts w:ascii="Verdana" w:eastAsia="Aptos" w:hAnsi="Verdana" w:cs="Times New Roman"/>
          <w:color w:val="000000"/>
          <w:kern w:val="2"/>
          <w14:ligatures w14:val="standardContextual"/>
        </w:rPr>
      </w:pPr>
    </w:p>
    <w:p w14:paraId="266E42EA" w14:textId="77777777" w:rsidR="009542E0" w:rsidRPr="009542E0" w:rsidRDefault="009542E0" w:rsidP="009542E0">
      <w:pPr>
        <w:spacing w:after="0" w:line="276" w:lineRule="auto"/>
        <w:jc w:val="both"/>
        <w:rPr>
          <w:rFonts w:ascii="Verdana" w:eastAsia="Aptos" w:hAnsi="Verdana" w:cs="Times New Roman"/>
          <w:color w:val="000000"/>
          <w:kern w:val="2"/>
          <w14:ligatures w14:val="standardContextual"/>
        </w:rPr>
      </w:pPr>
      <w:r w:rsidRPr="009542E0">
        <w:rPr>
          <w:rFonts w:ascii="Verdana" w:eastAsia="Aptos" w:hAnsi="Verdana" w:cs="Times New Roman"/>
          <w:color w:val="000000"/>
          <w:kern w:val="2"/>
          <w14:ligatures w14:val="standardContextual"/>
        </w:rPr>
        <w:t>Finalmente, si quieres seguir de cerca la actividad de la Agencia, la tercera edición de 2026 del </w:t>
      </w:r>
      <w:r w:rsidRPr="009542E0">
        <w:rPr>
          <w:rFonts w:ascii="Verdana" w:eastAsia="Aptos" w:hAnsi="Verdana" w:cs="Times New Roman"/>
          <w:b/>
          <w:bCs/>
          <w:color w:val="000000"/>
          <w:kern w:val="2"/>
          <w14:ligatures w14:val="standardContextual"/>
        </w:rPr>
        <w:t>Radar de la Compra Pública</w:t>
      </w:r>
      <w:r w:rsidRPr="009542E0">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9542E0">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9542E0">
        <w:rPr>
          <w:rFonts w:ascii="Verdana" w:eastAsia="Aptos" w:hAnsi="Verdana" w:cs="Times New Roman"/>
          <w:color w:val="000000"/>
          <w:kern w:val="2"/>
          <w14:ligatures w14:val="standardContextual"/>
        </w:rPr>
        <w:t>"</w:t>
      </w:r>
    </w:p>
    <w:p w14:paraId="6F09E0CC" w14:textId="77777777" w:rsidR="009542E0" w:rsidRPr="009542E0" w:rsidRDefault="009542E0" w:rsidP="009542E0">
      <w:pPr>
        <w:spacing w:after="0" w:line="276" w:lineRule="auto"/>
        <w:jc w:val="both"/>
        <w:rPr>
          <w:rFonts w:ascii="Verdana" w:eastAsia="Aptos" w:hAnsi="Verdana" w:cs="Times New Roman"/>
          <w:color w:val="000000"/>
          <w:kern w:val="2"/>
          <w14:ligatures w14:val="standardContextual"/>
        </w:rPr>
      </w:pPr>
    </w:p>
    <w:p w14:paraId="6901F17C" w14:textId="77777777" w:rsidR="009542E0" w:rsidRPr="009542E0" w:rsidRDefault="009542E0" w:rsidP="009542E0">
      <w:pPr>
        <w:spacing w:after="0" w:line="240" w:lineRule="auto"/>
        <w:jc w:val="both"/>
        <w:rPr>
          <w:rFonts w:ascii="Verdana" w:eastAsia="Aptos" w:hAnsi="Verdana" w:cs="Times New Roman"/>
          <w:kern w:val="2"/>
          <w:lang w:eastAsia="es-MX"/>
          <w14:ligatures w14:val="standardContextual"/>
        </w:rPr>
      </w:pPr>
      <w:r w:rsidRPr="009542E0">
        <w:rPr>
          <w:rFonts w:ascii="Verdana" w:eastAsia="Aptos" w:hAnsi="Verdana" w:cs="Times New Roman"/>
          <w:kern w:val="2"/>
          <w:lang w:eastAsia="es-MX"/>
          <w14:ligatures w14:val="standardContextual"/>
        </w:rPr>
        <w:t xml:space="preserve">Por último, lo invitamos a seguirnos en las redes sociales en las cuales se difunde información institucional: </w:t>
      </w:r>
    </w:p>
    <w:p w14:paraId="0A9A1A29" w14:textId="77777777" w:rsidR="009542E0" w:rsidRPr="009542E0" w:rsidRDefault="009542E0" w:rsidP="009542E0">
      <w:pPr>
        <w:spacing w:after="0" w:line="240" w:lineRule="auto"/>
        <w:jc w:val="both"/>
        <w:rPr>
          <w:rFonts w:ascii="Verdana" w:eastAsia="Calibri" w:hAnsi="Verdana" w:cs="Times New Roman"/>
          <w:kern w:val="2"/>
          <w:lang w:eastAsia="es-MX"/>
          <w14:ligatures w14:val="standardContextual"/>
        </w:rPr>
      </w:pPr>
    </w:p>
    <w:p w14:paraId="54EA50E3" w14:textId="77777777" w:rsidR="009542E0" w:rsidRPr="009542E0" w:rsidRDefault="009542E0" w:rsidP="009542E0">
      <w:pPr>
        <w:spacing w:after="0" w:line="240" w:lineRule="auto"/>
        <w:jc w:val="both"/>
        <w:rPr>
          <w:rFonts w:ascii="Verdana" w:eastAsia="Aptos" w:hAnsi="Verdana" w:cs="Times New Roman"/>
          <w:kern w:val="2"/>
          <w:lang w:eastAsia="es-MX"/>
          <w14:ligatures w14:val="standardContextual"/>
        </w:rPr>
      </w:pPr>
      <w:r w:rsidRPr="009542E0">
        <w:rPr>
          <w:rFonts w:ascii="Verdana" w:eastAsia="Aptos" w:hAnsi="Verdana" w:cs="Times New Roman"/>
          <w:kern w:val="2"/>
          <w:lang w:eastAsia="es-MX"/>
          <w14:ligatures w14:val="standardContextual"/>
        </w:rPr>
        <w:t xml:space="preserve">Twitter: </w:t>
      </w:r>
      <w:r w:rsidRPr="009542E0">
        <w:rPr>
          <w:rFonts w:ascii="Verdana" w:eastAsia="Calibri" w:hAnsi="Verdana" w:cs="Times New Roman"/>
          <w:color w:val="156082"/>
          <w:kern w:val="2"/>
          <w:u w:val="single"/>
          <w:lang w:eastAsia="es-MX"/>
          <w14:ligatures w14:val="standardContextual"/>
        </w:rPr>
        <w:t>@colombiacompra</w:t>
      </w:r>
      <w:r w:rsidRPr="009542E0">
        <w:rPr>
          <w:rFonts w:ascii="Verdana" w:eastAsia="Calibri" w:hAnsi="Verdana" w:cs="Times New Roman"/>
          <w:color w:val="156082"/>
          <w:kern w:val="2"/>
          <w:lang w:eastAsia="es-MX"/>
          <w14:ligatures w14:val="standardContextual"/>
        </w:rPr>
        <w:t xml:space="preserve"> </w:t>
      </w:r>
    </w:p>
    <w:p w14:paraId="3C2E04EF" w14:textId="77777777" w:rsidR="009542E0" w:rsidRPr="009542E0" w:rsidRDefault="009542E0" w:rsidP="009542E0">
      <w:pPr>
        <w:spacing w:after="0" w:line="240" w:lineRule="auto"/>
        <w:jc w:val="both"/>
        <w:rPr>
          <w:rFonts w:ascii="Verdana" w:eastAsia="Aptos" w:hAnsi="Verdana" w:cs="Times New Roman"/>
          <w:kern w:val="2"/>
          <w:lang w:eastAsia="es-MX"/>
          <w14:ligatures w14:val="standardContextual"/>
        </w:rPr>
      </w:pPr>
      <w:r w:rsidRPr="009542E0">
        <w:rPr>
          <w:rFonts w:ascii="Verdana" w:eastAsia="Aptos" w:hAnsi="Verdana" w:cs="Times New Roman"/>
          <w:kern w:val="2"/>
          <w:lang w:eastAsia="es-MX"/>
          <w14:ligatures w14:val="standardContextual"/>
        </w:rPr>
        <w:t xml:space="preserve">Facebook: </w:t>
      </w:r>
      <w:proofErr w:type="spellStart"/>
      <w:r w:rsidRPr="009542E0">
        <w:rPr>
          <w:rFonts w:ascii="Verdana" w:eastAsia="Calibri" w:hAnsi="Verdana" w:cs="Times New Roman"/>
          <w:color w:val="156082"/>
          <w:kern w:val="2"/>
          <w:u w:val="single"/>
          <w:lang w:eastAsia="es-MX"/>
          <w14:ligatures w14:val="standardContextual"/>
        </w:rPr>
        <w:t>ColombiaCompraEficiente</w:t>
      </w:r>
      <w:proofErr w:type="spellEnd"/>
    </w:p>
    <w:p w14:paraId="4C8010F3" w14:textId="77777777" w:rsidR="009542E0" w:rsidRPr="009542E0" w:rsidRDefault="009542E0" w:rsidP="009542E0">
      <w:pPr>
        <w:spacing w:after="0" w:line="240" w:lineRule="auto"/>
        <w:jc w:val="both"/>
        <w:rPr>
          <w:rFonts w:ascii="Verdana" w:eastAsia="Aptos" w:hAnsi="Verdana" w:cs="Times New Roman"/>
          <w:kern w:val="2"/>
          <w:lang w:eastAsia="es-MX"/>
          <w14:ligatures w14:val="standardContextual"/>
        </w:rPr>
      </w:pPr>
      <w:r w:rsidRPr="009542E0">
        <w:rPr>
          <w:rFonts w:ascii="Verdana" w:eastAsia="Aptos" w:hAnsi="Verdana" w:cs="Times New Roman"/>
          <w:kern w:val="2"/>
          <w:lang w:eastAsia="es-MX"/>
          <w14:ligatures w14:val="standardContextual"/>
        </w:rPr>
        <w:t xml:space="preserve">LinkedIn: </w:t>
      </w:r>
      <w:r w:rsidRPr="009542E0">
        <w:rPr>
          <w:rFonts w:ascii="Verdana" w:eastAsia="Calibri" w:hAnsi="Verdana" w:cs="Times New Roman"/>
          <w:color w:val="156082"/>
          <w:kern w:val="2"/>
          <w:u w:val="single"/>
          <w:lang w:eastAsia="es-MX"/>
          <w14:ligatures w14:val="standardContextual"/>
        </w:rPr>
        <w:t>Agencia Nacional de Contratación Pública - Colombia Compra Eficiente</w:t>
      </w:r>
      <w:r w:rsidRPr="009542E0">
        <w:rPr>
          <w:rFonts w:ascii="Verdana" w:eastAsia="Calibri" w:hAnsi="Verdana" w:cs="Times New Roman"/>
          <w:color w:val="156082"/>
          <w:kern w:val="2"/>
          <w:lang w:eastAsia="es-MX"/>
          <w14:ligatures w14:val="standardContextual"/>
        </w:rPr>
        <w:t xml:space="preserve"> </w:t>
      </w:r>
      <w:r w:rsidRPr="009542E0">
        <w:rPr>
          <w:rFonts w:ascii="Verdana" w:eastAsia="Aptos" w:hAnsi="Verdana" w:cs="Times New Roman"/>
          <w:kern w:val="2"/>
          <w:lang w:eastAsia="es-MX"/>
          <w14:ligatures w14:val="standardContextual"/>
        </w:rPr>
        <w:t xml:space="preserve">Instagram: </w:t>
      </w:r>
      <w:r w:rsidRPr="009542E0">
        <w:rPr>
          <w:rFonts w:ascii="Verdana" w:eastAsia="Calibri" w:hAnsi="Verdana" w:cs="Times New Roman"/>
          <w:color w:val="156082"/>
          <w:kern w:val="2"/>
          <w:u w:val="single"/>
          <w:lang w:eastAsia="es-MX"/>
          <w14:ligatures w14:val="standardContextual"/>
        </w:rPr>
        <w:t>@colombiacompraeficiente_cce</w:t>
      </w:r>
    </w:p>
    <w:p w14:paraId="68172918" w14:textId="77777777" w:rsidR="009542E0" w:rsidRPr="009542E0" w:rsidRDefault="009542E0" w:rsidP="009542E0">
      <w:pPr>
        <w:spacing w:after="0" w:line="276" w:lineRule="auto"/>
        <w:jc w:val="both"/>
        <w:rPr>
          <w:rFonts w:ascii="Verdana" w:eastAsia="Aptos" w:hAnsi="Verdana" w:cs="Times New Roman"/>
          <w:kern w:val="2"/>
          <w:lang w:eastAsia="es-MX"/>
          <w14:ligatures w14:val="standardContextual"/>
        </w:rPr>
      </w:pPr>
    </w:p>
    <w:p w14:paraId="5B90705C" w14:textId="77777777" w:rsidR="009542E0" w:rsidRPr="009542E0" w:rsidRDefault="009542E0" w:rsidP="009542E0">
      <w:pPr>
        <w:spacing w:after="0" w:line="276" w:lineRule="auto"/>
        <w:jc w:val="both"/>
        <w:rPr>
          <w:rFonts w:ascii="Verdana" w:eastAsia="Calibri" w:hAnsi="Verdana" w:cs="Times New Roman"/>
          <w:bCs/>
          <w:kern w:val="2"/>
          <w:lang w:val="es-ES_tradnl" w:eastAsia="es-MX"/>
          <w14:ligatures w14:val="standardContextual"/>
        </w:rPr>
      </w:pPr>
      <w:r w:rsidRPr="009542E0">
        <w:rPr>
          <w:rFonts w:ascii="Verdana" w:eastAsia="Calibri" w:hAnsi="Verdana" w:cs="Times New Roman"/>
          <w:kern w:val="2"/>
          <w:lang w:val="es-ES_tradnl" w:eastAsia="es-MX"/>
          <w14:ligatures w14:val="standardContextua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F334FD0" w14:textId="77777777" w:rsidR="009542E0" w:rsidRPr="009542E0" w:rsidRDefault="009542E0" w:rsidP="009542E0">
      <w:pPr>
        <w:spacing w:after="0" w:line="276" w:lineRule="auto"/>
        <w:jc w:val="both"/>
        <w:rPr>
          <w:rFonts w:ascii="Verdana" w:eastAsia="Calibri" w:hAnsi="Verdana" w:cs="Times New Roman"/>
          <w:kern w:val="2"/>
          <w:lang w:eastAsia="es-MX"/>
          <w14:ligatures w14:val="standardContextual"/>
        </w:rPr>
      </w:pPr>
    </w:p>
    <w:p w14:paraId="7E89C8F5" w14:textId="77777777" w:rsidR="009542E0" w:rsidRPr="009542E0" w:rsidRDefault="009542E0" w:rsidP="009542E0">
      <w:pPr>
        <w:spacing w:after="0" w:line="276" w:lineRule="auto"/>
        <w:jc w:val="both"/>
        <w:rPr>
          <w:rFonts w:ascii="Verdana" w:eastAsia="Calibri" w:hAnsi="Verdana" w:cs="Times New Roman"/>
          <w:kern w:val="2"/>
          <w:lang w:eastAsia="es-MX"/>
          <w14:ligatures w14:val="standardContextual"/>
        </w:rPr>
      </w:pPr>
      <w:r w:rsidRPr="009542E0">
        <w:rPr>
          <w:rFonts w:ascii="Verdana" w:eastAsia="Calibri" w:hAnsi="Verdana" w:cs="Times New Roman"/>
          <w:kern w:val="2"/>
          <w:lang w:eastAsia="es-MX"/>
          <w14:ligatures w14:val="standardContextual"/>
        </w:rPr>
        <w:t>Atentamente,</w:t>
      </w:r>
    </w:p>
    <w:p w14:paraId="27BCCAA9" w14:textId="03AAA822" w:rsidR="009542E0" w:rsidRPr="009542E0" w:rsidRDefault="004F4352" w:rsidP="004F4352">
      <w:pPr>
        <w:tabs>
          <w:tab w:val="left" w:pos="1320"/>
        </w:tabs>
        <w:spacing w:after="0" w:line="278" w:lineRule="auto"/>
        <w:jc w:val="center"/>
        <w:rPr>
          <w:rFonts w:ascii="Century Gothic" w:eastAsia="Calibri" w:hAnsi="Century Gothic" w:cs="Times New Roman"/>
          <w:kern w:val="2"/>
          <w:sz w:val="24"/>
          <w:szCs w:val="24"/>
          <w:lang w:eastAsia="es-MX"/>
          <w14:ligatures w14:val="standardContextual"/>
        </w:rPr>
      </w:pPr>
      <w:r w:rsidRPr="004D5C25">
        <w:rPr>
          <w:rFonts w:ascii="Century Gothic" w:hAnsi="Century Gothic"/>
          <w:noProof/>
        </w:rPr>
        <w:drawing>
          <wp:inline distT="0" distB="0" distL="0" distR="0" wp14:anchorId="153947C9" wp14:editId="5183A284">
            <wp:extent cx="2629225" cy="1128741"/>
            <wp:effectExtent l="0" t="0" r="0" b="190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696757" cy="1157733"/>
                    </a:xfrm>
                    <a:prstGeom prst="rect">
                      <a:avLst/>
                    </a:prstGeom>
                  </pic:spPr>
                </pic:pic>
              </a:graphicData>
            </a:graphic>
          </wp:inline>
        </w:drawing>
      </w: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9542E0" w:rsidRPr="009542E0" w14:paraId="0292A1C5" w14:textId="77777777" w:rsidTr="00670B64">
        <w:trPr>
          <w:trHeight w:val="323"/>
        </w:trPr>
        <w:tc>
          <w:tcPr>
            <w:tcW w:w="1041" w:type="dxa"/>
            <w:vAlign w:val="center"/>
            <w:hideMark/>
          </w:tcPr>
          <w:p w14:paraId="10B76A4C" w14:textId="77777777" w:rsidR="009542E0" w:rsidRPr="009542E0" w:rsidRDefault="009542E0" w:rsidP="009542E0">
            <w:pPr>
              <w:rPr>
                <w:rFonts w:ascii="Verdana" w:eastAsia="Calibri" w:hAnsi="Verdana" w:cs="Arial"/>
                <w:sz w:val="16"/>
                <w:szCs w:val="16"/>
                <w:lang w:val="es-ES_tradnl" w:eastAsia="es-ES"/>
              </w:rPr>
            </w:pPr>
            <w:r w:rsidRPr="009542E0">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6775A239" w14:textId="77777777" w:rsidR="009542E0" w:rsidRPr="009542E0" w:rsidRDefault="009542E0" w:rsidP="009542E0">
            <w:pPr>
              <w:rPr>
                <w:rFonts w:ascii="Verdana" w:eastAsia="Arial" w:hAnsi="Verdana" w:cs="Arial"/>
                <w:sz w:val="16"/>
                <w:szCs w:val="16"/>
                <w:lang w:val="es-ES" w:eastAsia="es-MX"/>
              </w:rPr>
            </w:pPr>
            <w:r w:rsidRPr="009542E0">
              <w:rPr>
                <w:rFonts w:ascii="Verdana" w:eastAsia="Arial" w:hAnsi="Verdana" w:cs="Arial"/>
                <w:sz w:val="16"/>
                <w:szCs w:val="16"/>
                <w:lang w:val="es-ES" w:eastAsia="es-MX"/>
              </w:rPr>
              <w:t xml:space="preserve">Carlos Mario Castrillón Endo </w:t>
            </w:r>
          </w:p>
          <w:p w14:paraId="26DD62E3" w14:textId="77777777" w:rsidR="009542E0" w:rsidRPr="009542E0" w:rsidRDefault="009542E0" w:rsidP="009542E0">
            <w:pPr>
              <w:rPr>
                <w:rFonts w:ascii="Verdana" w:eastAsia="Arial" w:hAnsi="Verdana" w:cs="Arial"/>
                <w:sz w:val="16"/>
                <w:szCs w:val="16"/>
                <w:lang w:val="es-ES_tradnl" w:eastAsia="es-MX"/>
              </w:rPr>
            </w:pPr>
            <w:r w:rsidRPr="009542E0">
              <w:rPr>
                <w:rFonts w:ascii="Verdana" w:eastAsia="Arial" w:hAnsi="Verdana" w:cs="Arial"/>
                <w:sz w:val="16"/>
                <w:szCs w:val="16"/>
                <w:lang w:val="es-ES_tradnl" w:eastAsia="es-MX"/>
              </w:rPr>
              <w:t>Contratista de la Subdirección de Gestión Contractual</w:t>
            </w:r>
          </w:p>
          <w:p w14:paraId="162773D0" w14:textId="77777777" w:rsidR="009542E0" w:rsidRPr="009542E0" w:rsidRDefault="009542E0" w:rsidP="009542E0">
            <w:pPr>
              <w:rPr>
                <w:rFonts w:ascii="Verdana" w:eastAsia="Arial" w:hAnsi="Verdana" w:cs="Arial"/>
                <w:sz w:val="16"/>
                <w:szCs w:val="16"/>
                <w:lang w:val="es-ES_tradnl" w:eastAsia="es-MX"/>
              </w:rPr>
            </w:pPr>
          </w:p>
        </w:tc>
      </w:tr>
      <w:tr w:rsidR="009542E0" w:rsidRPr="009542E0" w14:paraId="75871B07" w14:textId="77777777" w:rsidTr="00670B64">
        <w:trPr>
          <w:trHeight w:val="338"/>
        </w:trPr>
        <w:tc>
          <w:tcPr>
            <w:tcW w:w="1041" w:type="dxa"/>
            <w:vAlign w:val="center"/>
            <w:hideMark/>
          </w:tcPr>
          <w:p w14:paraId="4E54C6AD" w14:textId="77777777" w:rsidR="009542E0" w:rsidRPr="009542E0" w:rsidRDefault="009542E0" w:rsidP="009542E0">
            <w:pPr>
              <w:rPr>
                <w:rFonts w:ascii="Verdana" w:eastAsia="Calibri" w:hAnsi="Verdana" w:cs="Arial"/>
                <w:sz w:val="16"/>
                <w:szCs w:val="16"/>
                <w:lang w:val="es-ES_tradnl" w:eastAsia="es-ES"/>
              </w:rPr>
            </w:pPr>
            <w:r w:rsidRPr="009542E0">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2556B8F6" w14:textId="77777777" w:rsidR="009542E0" w:rsidRPr="009542E0" w:rsidRDefault="009542E0" w:rsidP="009542E0">
            <w:pPr>
              <w:rPr>
                <w:rFonts w:ascii="Verdana" w:eastAsia="Arial" w:hAnsi="Verdana" w:cs="Arial"/>
                <w:sz w:val="16"/>
                <w:szCs w:val="16"/>
                <w:lang w:val="es-ES_tradnl" w:eastAsia="es-MX"/>
              </w:rPr>
            </w:pPr>
            <w:r w:rsidRPr="009542E0">
              <w:rPr>
                <w:rFonts w:ascii="Verdana" w:eastAsia="Arial" w:hAnsi="Verdana" w:cs="Arial"/>
                <w:sz w:val="16"/>
                <w:szCs w:val="16"/>
                <w:lang w:val="es-ES_tradnl" w:eastAsia="es-MX"/>
              </w:rPr>
              <w:t>Martha Alicia Romero Vargas</w:t>
            </w:r>
          </w:p>
          <w:p w14:paraId="0B02853F" w14:textId="77777777" w:rsidR="009542E0" w:rsidRPr="009542E0" w:rsidRDefault="009542E0" w:rsidP="009542E0">
            <w:pPr>
              <w:rPr>
                <w:rFonts w:ascii="Verdana" w:eastAsia="Arial" w:hAnsi="Verdana" w:cs="Arial"/>
                <w:sz w:val="16"/>
                <w:szCs w:val="16"/>
                <w:lang w:val="es-ES_tradnl" w:eastAsia="es-MX"/>
              </w:rPr>
            </w:pPr>
            <w:r w:rsidRPr="009542E0">
              <w:rPr>
                <w:rFonts w:ascii="Verdana" w:eastAsia="Arial" w:hAnsi="Verdana" w:cs="Arial"/>
                <w:sz w:val="16"/>
                <w:szCs w:val="16"/>
                <w:lang w:val="es-ES_tradnl" w:eastAsia="es-MX"/>
              </w:rPr>
              <w:t>Gestor T1-15 de la Subdirección de Gestión Contractual</w:t>
            </w:r>
          </w:p>
          <w:p w14:paraId="7ABE671F" w14:textId="77777777" w:rsidR="009542E0" w:rsidRPr="009542E0" w:rsidRDefault="009542E0" w:rsidP="009542E0">
            <w:pPr>
              <w:rPr>
                <w:rFonts w:ascii="Verdana" w:eastAsia="Arial" w:hAnsi="Verdana" w:cs="Arial"/>
                <w:sz w:val="16"/>
                <w:szCs w:val="16"/>
                <w:lang w:val="es-ES_tradnl" w:eastAsia="es-MX"/>
              </w:rPr>
            </w:pPr>
          </w:p>
        </w:tc>
      </w:tr>
      <w:tr w:rsidR="009542E0" w:rsidRPr="009542E0" w14:paraId="7275A9C4" w14:textId="77777777" w:rsidTr="00670B64">
        <w:trPr>
          <w:trHeight w:val="308"/>
        </w:trPr>
        <w:tc>
          <w:tcPr>
            <w:tcW w:w="1041" w:type="dxa"/>
            <w:vAlign w:val="center"/>
          </w:tcPr>
          <w:p w14:paraId="5B24C4AB" w14:textId="77777777" w:rsidR="009542E0" w:rsidRPr="009542E0" w:rsidRDefault="009542E0" w:rsidP="009542E0">
            <w:pPr>
              <w:rPr>
                <w:rFonts w:ascii="Verdana" w:eastAsia="Calibri" w:hAnsi="Verdana" w:cs="Arial"/>
                <w:sz w:val="16"/>
                <w:szCs w:val="16"/>
                <w:lang w:val="es-ES_tradnl" w:eastAsia="es-ES"/>
              </w:rPr>
            </w:pPr>
            <w:r w:rsidRPr="009542E0">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2C99A7F8" w14:textId="77777777" w:rsidR="009542E0" w:rsidRPr="009542E0" w:rsidRDefault="009542E0" w:rsidP="009542E0">
            <w:pPr>
              <w:rPr>
                <w:rFonts w:ascii="Verdana" w:eastAsia="Calibri" w:hAnsi="Verdana" w:cs="Arial"/>
                <w:sz w:val="16"/>
                <w:szCs w:val="16"/>
                <w:lang w:val="es-ES" w:eastAsia="es-ES"/>
              </w:rPr>
            </w:pPr>
            <w:r w:rsidRPr="009542E0">
              <w:rPr>
                <w:rFonts w:ascii="Verdana" w:eastAsia="Calibri" w:hAnsi="Verdana" w:cs="Arial"/>
                <w:sz w:val="16"/>
                <w:szCs w:val="16"/>
                <w:lang w:val="es-ES" w:eastAsia="es-ES"/>
              </w:rPr>
              <w:t>Carolina Quintero Gacharná</w:t>
            </w:r>
          </w:p>
          <w:p w14:paraId="1DCD9263" w14:textId="77777777" w:rsidR="009542E0" w:rsidRPr="009542E0" w:rsidRDefault="009542E0" w:rsidP="009542E0">
            <w:pPr>
              <w:rPr>
                <w:rFonts w:ascii="Verdana" w:eastAsia="Calibri" w:hAnsi="Verdana" w:cs="Arial"/>
                <w:sz w:val="16"/>
                <w:szCs w:val="16"/>
                <w:lang w:val="es-ES_tradnl" w:eastAsia="es-ES"/>
              </w:rPr>
            </w:pPr>
            <w:r w:rsidRPr="009542E0">
              <w:rPr>
                <w:rFonts w:ascii="Verdana" w:eastAsia="Calibri" w:hAnsi="Verdana" w:cs="Arial"/>
                <w:sz w:val="16"/>
                <w:szCs w:val="16"/>
                <w:lang w:val="es-ES_tradnl" w:eastAsia="es-ES"/>
              </w:rPr>
              <w:t>Subdirectora de Gestión Contractual ANCP – CCE</w:t>
            </w:r>
          </w:p>
        </w:tc>
      </w:tr>
      <w:bookmarkEnd w:id="0"/>
    </w:tbl>
    <w:p w14:paraId="69BC4D14" w14:textId="6D3EFB7A" w:rsidR="00C15139" w:rsidRPr="000E2B93" w:rsidRDefault="00C15139" w:rsidP="30821638">
      <w:pPr>
        <w:spacing w:after="0" w:line="240" w:lineRule="auto"/>
        <w:textAlignment w:val="baseline"/>
        <w:rPr>
          <w:rFonts w:ascii="Verdana" w:eastAsia="Verdana" w:hAnsi="Verdana" w:cs="Verdana"/>
          <w:lang w:eastAsia="es-CO"/>
        </w:rPr>
      </w:pPr>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BE6F5" w14:textId="77777777" w:rsidR="00541056" w:rsidRDefault="00541056" w:rsidP="004A1847">
      <w:pPr>
        <w:spacing w:after="0" w:line="240" w:lineRule="auto"/>
      </w:pPr>
      <w:r>
        <w:separator/>
      </w:r>
    </w:p>
  </w:endnote>
  <w:endnote w:type="continuationSeparator" w:id="0">
    <w:p w14:paraId="4A53FF6F" w14:textId="77777777" w:rsidR="00541056" w:rsidRDefault="0054105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9542E0">
      <w:rPr>
        <w:rFonts w:ascii="Verdana" w:eastAsia="Verdana" w:hAnsi="Verdana" w:cs="Verdana"/>
        <w:b/>
        <w:bCs/>
        <w:color w:val="000000"/>
        <w:sz w:val="18"/>
        <w:szCs w:val="18"/>
        <w:lang w:eastAsia="es-CO"/>
      </w:rPr>
      <w:t xml:space="preserve">Código: </w:t>
    </w:r>
    <w:r w:rsidRPr="009542E0">
      <w:rPr>
        <w:rFonts w:ascii="Verdana" w:eastAsia="Verdana" w:hAnsi="Verdana" w:cs="Verdana"/>
        <w:color w:val="000000"/>
        <w:sz w:val="18"/>
        <w:szCs w:val="18"/>
        <w:lang w:eastAsia="es-CO"/>
      </w:rPr>
      <w:t xml:space="preserve">CCE-REC-FM-17 </w:t>
    </w:r>
    <w:r w:rsidRPr="009542E0">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EB546" w14:textId="77777777" w:rsidR="00541056" w:rsidRDefault="00541056" w:rsidP="004A1847">
      <w:pPr>
        <w:spacing w:after="0" w:line="240" w:lineRule="auto"/>
      </w:pPr>
      <w:r>
        <w:separator/>
      </w:r>
    </w:p>
  </w:footnote>
  <w:footnote w:type="continuationSeparator" w:id="0">
    <w:p w14:paraId="7AA87303" w14:textId="77777777" w:rsidR="00541056" w:rsidRDefault="00541056" w:rsidP="004A1847">
      <w:pPr>
        <w:spacing w:after="0" w:line="240" w:lineRule="auto"/>
      </w:pPr>
      <w:r>
        <w:continuationSeparator/>
      </w:r>
    </w:p>
  </w:footnote>
  <w:footnote w:id="1">
    <w:p w14:paraId="4CF6EC4F" w14:textId="77777777" w:rsidR="009542E0" w:rsidRPr="00C1249C" w:rsidRDefault="009542E0" w:rsidP="009542E0">
      <w:pPr>
        <w:pStyle w:val="Textonotapie"/>
        <w:snapToGrid w:val="0"/>
        <w:spacing w:after="120"/>
        <w:ind w:firstLine="709"/>
        <w:jc w:val="both"/>
        <w:rPr>
          <w:rFonts w:ascii="Verdana" w:hAnsi="Verdana" w:cs="Arial"/>
          <w:color w:val="000000"/>
          <w:sz w:val="19"/>
          <w:szCs w:val="19"/>
        </w:rPr>
      </w:pPr>
      <w:r w:rsidRPr="00443A10">
        <w:rPr>
          <w:rStyle w:val="Refdenotaalpie"/>
          <w:rFonts w:ascii="Verdana" w:hAnsi="Verdana"/>
          <w:sz w:val="19"/>
          <w:szCs w:val="19"/>
        </w:rPr>
        <w:footnoteRef/>
      </w:r>
      <w:r w:rsidRPr="00443A10">
        <w:rPr>
          <w:rFonts w:ascii="Verdana" w:hAnsi="Verdana"/>
          <w:sz w:val="19"/>
          <w:szCs w:val="19"/>
        </w:rPr>
        <w:t xml:space="preserve"> </w:t>
      </w:r>
      <w:r>
        <w:rPr>
          <w:rFonts w:ascii="Verdana" w:hAnsi="Verdana" w:cs="Arial"/>
          <w:color w:val="000000"/>
          <w:sz w:val="19"/>
          <w:szCs w:val="19"/>
        </w:rPr>
        <w:t>“</w:t>
      </w:r>
      <w:r w:rsidRPr="00443A10">
        <w:rPr>
          <w:rFonts w:ascii="Verdana" w:hAnsi="Verdana" w:cs="Arial"/>
          <w:color w:val="000000"/>
          <w:sz w:val="19"/>
          <w:szCs w:val="19"/>
        </w:rPr>
        <w:t>Artículo 93. Salvo las excepciones consagradas en la presente ley, los contratos que para el cumplimiento de sus funciones celebren las universidades estatales u oficiales, se regirán por las normas del derecho privado y sus efectos estarán sujetos a las normas civiles y comerciales, según la naturaleza de los</w:t>
      </w:r>
      <w:r w:rsidRPr="00443A10">
        <w:rPr>
          <w:rFonts w:ascii="Verdana" w:hAnsi="Verdana" w:cs="Arial"/>
          <w:color w:val="000000"/>
          <w:spacing w:val="-16"/>
          <w:sz w:val="19"/>
          <w:szCs w:val="19"/>
        </w:rPr>
        <w:t xml:space="preserve"> </w:t>
      </w:r>
      <w:r w:rsidRPr="00443A10">
        <w:rPr>
          <w:rFonts w:ascii="Verdana" w:hAnsi="Verdana" w:cs="Arial"/>
          <w:color w:val="000000"/>
          <w:sz w:val="19"/>
          <w:szCs w:val="19"/>
        </w:rPr>
        <w:t>contratos</w:t>
      </w:r>
      <w:r>
        <w:rPr>
          <w:rFonts w:ascii="Verdana" w:hAnsi="Verdana" w:cs="Arial"/>
          <w:color w:val="000000"/>
          <w:sz w:val="19"/>
          <w:szCs w:val="19"/>
        </w:rPr>
        <w:t>”</w:t>
      </w:r>
      <w:r w:rsidRPr="00443A10">
        <w:rPr>
          <w:rFonts w:ascii="Verdana" w:hAnsi="Verdana" w:cs="Arial"/>
          <w:color w:val="000000"/>
          <w:sz w:val="19"/>
          <w:szCs w:val="19"/>
        </w:rPr>
        <w:t>.</w:t>
      </w:r>
    </w:p>
  </w:footnote>
  <w:footnote w:id="2">
    <w:p w14:paraId="37D46FC3" w14:textId="77777777" w:rsidR="009542E0" w:rsidRPr="00443A10" w:rsidRDefault="009542E0" w:rsidP="009542E0">
      <w:pPr>
        <w:snapToGrid w:val="0"/>
        <w:spacing w:after="120" w:line="240" w:lineRule="auto"/>
        <w:ind w:firstLine="709"/>
        <w:jc w:val="both"/>
        <w:rPr>
          <w:rFonts w:ascii="Verdana" w:hAnsi="Verdana" w:cs="Arial"/>
          <w:color w:val="000000"/>
          <w:sz w:val="19"/>
          <w:szCs w:val="19"/>
        </w:rPr>
      </w:pPr>
      <w:r w:rsidRPr="00443A10">
        <w:rPr>
          <w:rStyle w:val="Refdenotaalpie"/>
          <w:rFonts w:ascii="Verdana" w:hAnsi="Verdana" w:cs="Arial"/>
          <w:color w:val="000000"/>
          <w:sz w:val="19"/>
          <w:szCs w:val="19"/>
        </w:rPr>
        <w:footnoteRef/>
      </w:r>
      <w:r w:rsidRPr="00443A10">
        <w:rPr>
          <w:rFonts w:ascii="Verdana" w:hAnsi="Verdana" w:cs="Arial"/>
          <w:color w:val="000000"/>
          <w:sz w:val="19"/>
          <w:szCs w:val="19"/>
        </w:rPr>
        <w:t xml:space="preserve"> Corte</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Constitucional.</w:t>
      </w:r>
      <w:r w:rsidRPr="00443A10">
        <w:rPr>
          <w:rFonts w:ascii="Verdana" w:hAnsi="Verdana" w:cs="Arial"/>
          <w:color w:val="000000"/>
          <w:spacing w:val="11"/>
          <w:sz w:val="19"/>
          <w:szCs w:val="19"/>
        </w:rPr>
        <w:t xml:space="preserve"> </w:t>
      </w:r>
      <w:r w:rsidRPr="00443A10">
        <w:rPr>
          <w:rFonts w:ascii="Verdana" w:hAnsi="Verdana" w:cs="Arial"/>
          <w:color w:val="000000"/>
          <w:sz w:val="19"/>
          <w:szCs w:val="19"/>
        </w:rPr>
        <w:t>Sentencia</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C-1019</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del</w:t>
      </w:r>
      <w:r w:rsidRPr="00443A10">
        <w:rPr>
          <w:rFonts w:ascii="Verdana" w:hAnsi="Verdana" w:cs="Arial"/>
          <w:color w:val="000000"/>
          <w:spacing w:val="9"/>
          <w:sz w:val="19"/>
          <w:szCs w:val="19"/>
        </w:rPr>
        <w:t xml:space="preserve"> </w:t>
      </w:r>
      <w:r w:rsidRPr="00443A10">
        <w:rPr>
          <w:rFonts w:ascii="Verdana" w:hAnsi="Verdana" w:cs="Arial"/>
          <w:color w:val="000000"/>
          <w:sz w:val="19"/>
          <w:szCs w:val="19"/>
        </w:rPr>
        <w:t>28</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de</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noviembre</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de</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2012.</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M.P.</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Mauricio</w:t>
      </w:r>
      <w:r w:rsidRPr="00443A10">
        <w:rPr>
          <w:rFonts w:ascii="Verdana" w:hAnsi="Verdana" w:cs="Arial"/>
          <w:color w:val="000000"/>
          <w:spacing w:val="8"/>
          <w:sz w:val="19"/>
          <w:szCs w:val="19"/>
        </w:rPr>
        <w:t xml:space="preserve"> </w:t>
      </w:r>
      <w:r w:rsidRPr="00443A10">
        <w:rPr>
          <w:rFonts w:ascii="Verdana" w:hAnsi="Verdana" w:cs="Arial"/>
          <w:color w:val="000000"/>
          <w:sz w:val="19"/>
          <w:szCs w:val="19"/>
        </w:rPr>
        <w:t>González.</w:t>
      </w:r>
    </w:p>
  </w:footnote>
  <w:footnote w:id="3">
    <w:p w14:paraId="6BD0563E" w14:textId="77777777" w:rsidR="009542E0" w:rsidRPr="00C82EC6" w:rsidRDefault="009542E0" w:rsidP="009542E0">
      <w:pPr>
        <w:pStyle w:val="Textonotapie"/>
        <w:snapToGrid w:val="0"/>
        <w:spacing w:after="120"/>
        <w:ind w:firstLine="708"/>
        <w:jc w:val="both"/>
        <w:rPr>
          <w:rFonts w:ascii="Verdana" w:hAnsi="Verdana" w:cs="Arial"/>
          <w:color w:val="000000"/>
          <w:sz w:val="19"/>
          <w:szCs w:val="19"/>
        </w:rPr>
      </w:pPr>
      <w:r w:rsidRPr="00443A10">
        <w:rPr>
          <w:rStyle w:val="Refdenotaalpie"/>
          <w:rFonts w:ascii="Verdana" w:hAnsi="Verdana" w:cs="Arial"/>
          <w:color w:val="000000"/>
          <w:sz w:val="19"/>
          <w:szCs w:val="19"/>
        </w:rPr>
        <w:footnoteRef/>
      </w:r>
      <w:r w:rsidRPr="00443A10">
        <w:rPr>
          <w:rFonts w:ascii="Verdana" w:hAnsi="Verdana" w:cs="Arial"/>
          <w:color w:val="000000"/>
          <w:sz w:val="19"/>
          <w:szCs w:val="19"/>
        </w:rPr>
        <w:t xml:space="preserve"> CONSEJO DE ESTADO. Sección Cuarta. Sentencia del 16 de diciembre de 2008. Exp. 16.297. C.P. Martha Teresa Briceño de Valencia.</w:t>
      </w:r>
    </w:p>
  </w:footnote>
  <w:footnote w:id="4">
    <w:p w14:paraId="32897086" w14:textId="77777777" w:rsidR="009542E0" w:rsidRPr="009539E3" w:rsidRDefault="009542E0" w:rsidP="009542E0">
      <w:pPr>
        <w:pStyle w:val="Textonotapie"/>
        <w:snapToGrid w:val="0"/>
        <w:spacing w:after="120"/>
        <w:ind w:firstLine="708"/>
        <w:jc w:val="both"/>
        <w:rPr>
          <w:rFonts w:ascii="Verdana" w:hAnsi="Verdana" w:cs="Arial"/>
          <w:sz w:val="19"/>
          <w:szCs w:val="19"/>
          <w:lang w:val="es-CO"/>
        </w:rPr>
      </w:pPr>
      <w:r w:rsidRPr="00443A10">
        <w:rPr>
          <w:rStyle w:val="Refdenotaalpie"/>
          <w:rFonts w:ascii="Verdana" w:hAnsi="Verdana"/>
          <w:sz w:val="19"/>
          <w:szCs w:val="19"/>
        </w:rPr>
        <w:footnoteRef/>
      </w:r>
      <w:r w:rsidRPr="00443A10">
        <w:rPr>
          <w:rFonts w:ascii="Verdana" w:hAnsi="Verdana"/>
          <w:sz w:val="19"/>
          <w:szCs w:val="19"/>
        </w:rPr>
        <w:t xml:space="preserve"> </w:t>
      </w:r>
      <w:r w:rsidRPr="00443A10">
        <w:rPr>
          <w:rFonts w:ascii="Verdana" w:hAnsi="Verdana" w:cs="Arial"/>
          <w:sz w:val="19"/>
          <w:szCs w:val="19"/>
          <w:lang w:val="es-CO"/>
        </w:rPr>
        <w:t>Así lo establece el parágrafo del artículo 57 de la Ley 30 de 1992: «Parágrafo 1°. Las instituciones estatales u oficiales de Educación Superior que no tengan el carácter de universidad según lo previsto en la presente Ley, deberán organizarse como Establecimientos Públicos del orden Nacional, Departamental, Distrital o Municipal».</w:t>
      </w:r>
    </w:p>
  </w:footnote>
  <w:footnote w:id="5">
    <w:p w14:paraId="5DAEA303" w14:textId="77777777" w:rsidR="009542E0" w:rsidRPr="00443A10" w:rsidRDefault="009542E0" w:rsidP="009542E0">
      <w:pPr>
        <w:pStyle w:val="Textonotapie"/>
        <w:snapToGrid w:val="0"/>
        <w:spacing w:after="120"/>
        <w:ind w:firstLine="709"/>
        <w:jc w:val="both"/>
        <w:rPr>
          <w:rFonts w:ascii="Verdana" w:hAnsi="Verdana" w:cs="Arial"/>
          <w:sz w:val="19"/>
          <w:szCs w:val="19"/>
          <w:lang w:val="es-CO"/>
        </w:rPr>
      </w:pPr>
      <w:r w:rsidRPr="00443A10">
        <w:rPr>
          <w:rStyle w:val="Refdenotaalpie"/>
          <w:rFonts w:ascii="Verdana" w:hAnsi="Verdana"/>
          <w:sz w:val="19"/>
          <w:szCs w:val="19"/>
        </w:rPr>
        <w:footnoteRef/>
      </w:r>
      <w:r w:rsidRPr="00443A10">
        <w:rPr>
          <w:rFonts w:ascii="Verdana" w:hAnsi="Verdana"/>
          <w:sz w:val="19"/>
          <w:szCs w:val="19"/>
        </w:rPr>
        <w:t xml:space="preserve"> </w:t>
      </w:r>
      <w:r w:rsidRPr="00443A10">
        <w:rPr>
          <w:rFonts w:ascii="Verdana" w:hAnsi="Verdana" w:cs="Arial"/>
          <w:color w:val="000000"/>
          <w:sz w:val="19"/>
          <w:szCs w:val="19"/>
        </w:rPr>
        <w:t>“</w:t>
      </w:r>
      <w:r w:rsidRPr="00443A10">
        <w:rPr>
          <w:rFonts w:ascii="Verdana" w:hAnsi="Verdana" w:cs="Arial"/>
          <w:sz w:val="19"/>
          <w:szCs w:val="19"/>
          <w:lang w:val="es-CO"/>
        </w:rPr>
        <w:t>Articulo 81.- Régimen de los actos y contratos</w:t>
      </w:r>
      <w:r w:rsidRPr="00443A10">
        <w:rPr>
          <w:rFonts w:ascii="Verdana" w:hAnsi="Verdana" w:cs="Arial"/>
          <w:b/>
          <w:bCs/>
          <w:i/>
          <w:iCs/>
          <w:sz w:val="19"/>
          <w:szCs w:val="19"/>
          <w:lang w:val="es-CO"/>
        </w:rPr>
        <w:t>.</w:t>
      </w:r>
      <w:r w:rsidRPr="00443A10">
        <w:rPr>
          <w:rFonts w:ascii="Verdana" w:hAnsi="Verdana" w:cs="Arial"/>
          <w:sz w:val="19"/>
          <w:szCs w:val="19"/>
          <w:lang w:val="es-CO"/>
        </w:rPr>
        <w:t> Los actos unilaterales que expidan los establecimientos públicos en ejercicio de funciones administrativas son actos administrativos y se sujetan a las disposiciones del Código Contencioso Administrativo.</w:t>
      </w:r>
    </w:p>
    <w:p w14:paraId="0FB09E3B" w14:textId="77777777" w:rsidR="009542E0" w:rsidRPr="00C82EC6" w:rsidRDefault="009542E0" w:rsidP="009542E0">
      <w:pPr>
        <w:pStyle w:val="Textonotapie"/>
        <w:snapToGrid w:val="0"/>
        <w:spacing w:after="120"/>
        <w:ind w:firstLine="709"/>
        <w:jc w:val="both"/>
        <w:rPr>
          <w:rFonts w:ascii="Verdana" w:hAnsi="Verdana" w:cs="Arial"/>
          <w:sz w:val="19"/>
          <w:szCs w:val="19"/>
          <w:lang w:val="es-CO"/>
        </w:rPr>
      </w:pPr>
      <w:r w:rsidRPr="00443A10">
        <w:rPr>
          <w:rFonts w:ascii="Verdana" w:hAnsi="Verdana" w:cs="Arial"/>
          <w:sz w:val="19"/>
          <w:szCs w:val="19"/>
          <w:lang w:val="es-CO"/>
        </w:rPr>
        <w:t>Los contratos que celebren los establecimientos públicos se rigen por las normas del Estatuto Contractual de las entidades estatales contenido en la Ley 80 de 1993 y las disposiciones que lo complementen, adicionen o modifiquen, sin perjuicio de lo dispuesto en las normas especiales</w:t>
      </w:r>
      <w:r w:rsidRPr="00443A10">
        <w:rPr>
          <w:rFonts w:ascii="Verdana" w:hAnsi="Verdana" w:cs="Arial"/>
          <w:color w:val="000000"/>
          <w:sz w:val="19"/>
          <w:szCs w:val="19"/>
        </w:rPr>
        <w:t>”</w:t>
      </w:r>
      <w:r w:rsidRPr="00443A10">
        <w:rPr>
          <w:rFonts w:ascii="Verdana" w:hAnsi="Verdana" w:cs="Arial"/>
          <w:sz w:val="19"/>
          <w:szCs w:val="19"/>
          <w:lang w:val="es-CO"/>
        </w:rPr>
        <w:t>.</w:t>
      </w:r>
    </w:p>
  </w:footnote>
  <w:footnote w:id="6">
    <w:p w14:paraId="05B305BE" w14:textId="77777777" w:rsidR="009542E0" w:rsidRPr="00443A10" w:rsidRDefault="009542E0" w:rsidP="009542E0">
      <w:pPr>
        <w:pStyle w:val="Textonotapie"/>
        <w:snapToGrid w:val="0"/>
        <w:spacing w:after="120"/>
        <w:ind w:firstLine="708"/>
        <w:jc w:val="both"/>
        <w:rPr>
          <w:rFonts w:ascii="Verdana" w:hAnsi="Verdana" w:cs="Arial"/>
          <w:sz w:val="19"/>
          <w:szCs w:val="19"/>
        </w:rPr>
      </w:pPr>
      <w:r w:rsidRPr="00443A10">
        <w:rPr>
          <w:rStyle w:val="Refdenotaalpie"/>
          <w:rFonts w:ascii="Verdana" w:hAnsi="Verdana" w:cs="Arial"/>
          <w:sz w:val="19"/>
          <w:szCs w:val="19"/>
        </w:rPr>
        <w:footnoteRef/>
      </w:r>
      <w:r w:rsidRPr="00443A10">
        <w:rPr>
          <w:rFonts w:ascii="Verdana" w:hAnsi="Verdana" w:cs="Arial"/>
          <w:sz w:val="19"/>
          <w:szCs w:val="19"/>
        </w:rPr>
        <w:t xml:space="preserve"> Conforme al literal a) del artículo 2.1 de la Ley 80 de 1993, se consideran entidades estatales </w:t>
      </w:r>
      <w:r>
        <w:rPr>
          <w:rFonts w:ascii="Verdana" w:hAnsi="Verdana" w:cs="Arial"/>
          <w:sz w:val="19"/>
          <w:szCs w:val="19"/>
        </w:rPr>
        <w:t>“</w:t>
      </w:r>
      <w:r w:rsidRPr="00443A10">
        <w:rPr>
          <w:rFonts w:ascii="Verdana" w:hAnsi="Verdana" w:cs="Arial"/>
          <w:sz w:val="19"/>
          <w:szCs w:val="19"/>
        </w:rPr>
        <w:t xml:space="preserve">La Nación, las regiones, los departamentos, las provincias, el Distrito Capital y los distritos especiales, las áreas metropolitanas, las asociaciones de municipios, los territorios indígenas y los municipios; </w:t>
      </w:r>
      <w:r w:rsidRPr="00443A10">
        <w:rPr>
          <w:rFonts w:ascii="Verdana" w:hAnsi="Verdana" w:cs="Arial"/>
          <w:i/>
          <w:iCs/>
          <w:sz w:val="19"/>
          <w:szCs w:val="19"/>
        </w:rPr>
        <w:t>los establecimientos públicos</w:t>
      </w:r>
      <w:r w:rsidRPr="00443A10">
        <w:rPr>
          <w:rFonts w:ascii="Verdana" w:hAnsi="Verdana" w:cs="Arial"/>
          <w:sz w:val="19"/>
          <w:szCs w:val="19"/>
        </w:rPr>
        <w:t>,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w:t>
      </w:r>
      <w:r>
        <w:rPr>
          <w:rFonts w:ascii="Verdana" w:hAnsi="Verdana" w:cs="Arial"/>
          <w:sz w:val="19"/>
          <w:szCs w:val="19"/>
        </w:rPr>
        <w:t>”</w:t>
      </w:r>
      <w:r w:rsidRPr="00443A10">
        <w:rPr>
          <w:rFonts w:ascii="Verdana" w:hAnsi="Verdana" w:cs="Arial"/>
          <w:sz w:val="19"/>
          <w:szCs w:val="19"/>
        </w:rPr>
        <w:t xml:space="preserve"> (Énfasis fuera de texto).</w:t>
      </w:r>
    </w:p>
  </w:footnote>
  <w:footnote w:id="7">
    <w:p w14:paraId="3FF0085D" w14:textId="77777777" w:rsidR="009542E0" w:rsidRPr="00443A10" w:rsidRDefault="009542E0" w:rsidP="009542E0">
      <w:pPr>
        <w:pStyle w:val="NormalWeb"/>
        <w:snapToGrid w:val="0"/>
        <w:spacing w:before="0" w:beforeAutospacing="0" w:after="120" w:afterAutospacing="0"/>
        <w:ind w:firstLine="708"/>
        <w:jc w:val="both"/>
        <w:rPr>
          <w:rFonts w:ascii="Verdana" w:hAnsi="Verdana" w:cs="Arial"/>
          <w:color w:val="000000"/>
          <w:sz w:val="19"/>
          <w:szCs w:val="19"/>
        </w:rPr>
      </w:pPr>
      <w:r w:rsidRPr="00443A10">
        <w:rPr>
          <w:rStyle w:val="Refdenotaalpie"/>
          <w:rFonts w:ascii="Verdana" w:hAnsi="Verdana" w:cs="Arial"/>
          <w:color w:val="000000"/>
          <w:sz w:val="19"/>
          <w:szCs w:val="19"/>
        </w:rPr>
        <w:footnoteRef/>
      </w:r>
      <w:r w:rsidRPr="00443A10">
        <w:rPr>
          <w:rFonts w:ascii="Verdana" w:hAnsi="Verdana" w:cs="Arial"/>
          <w:color w:val="000000"/>
          <w:sz w:val="19"/>
          <w:szCs w:val="19"/>
        </w:rPr>
        <w:t xml:space="preserve"> Ley 2022 de 2020: “</w:t>
      </w:r>
      <w:r w:rsidRPr="00443A10">
        <w:rPr>
          <w:rStyle w:val="Fuerte"/>
          <w:rFonts w:ascii="Verdana" w:hAnsi="Verdana" w:cs="Arial"/>
          <w:color w:val="000000"/>
          <w:sz w:val="19"/>
          <w:szCs w:val="19"/>
        </w:rPr>
        <w:t xml:space="preserve">Artículo 1º. </w:t>
      </w:r>
      <w:r w:rsidRPr="00443A10">
        <w:rPr>
          <w:rFonts w:ascii="Verdana" w:hAnsi="Verdana" w:cs="Arial"/>
          <w:color w:val="000000"/>
          <w:sz w:val="19"/>
          <w:szCs w:val="19"/>
        </w:rPr>
        <w:t>Modifíquese el artículo 4º de la Ley 1882 de 2018, el cual quedará así:</w:t>
      </w:r>
    </w:p>
    <w:p w14:paraId="767DB66B" w14:textId="77777777" w:rsidR="009542E0" w:rsidRPr="00443A10" w:rsidRDefault="009542E0" w:rsidP="009542E0">
      <w:pPr>
        <w:pStyle w:val="NormalWeb"/>
        <w:snapToGrid w:val="0"/>
        <w:spacing w:before="0" w:beforeAutospacing="0" w:after="120" w:afterAutospacing="0"/>
        <w:ind w:firstLine="708"/>
        <w:jc w:val="both"/>
        <w:rPr>
          <w:rFonts w:ascii="Verdana" w:hAnsi="Verdana" w:cs="Arial"/>
          <w:color w:val="000000"/>
          <w:sz w:val="19"/>
          <w:szCs w:val="19"/>
        </w:rPr>
      </w:pPr>
      <w:r w:rsidRPr="00443A10">
        <w:rPr>
          <w:rStyle w:val="Fuerte"/>
          <w:rFonts w:ascii="Verdana" w:hAnsi="Verdana" w:cs="Arial"/>
          <w:color w:val="000000"/>
          <w:sz w:val="19"/>
          <w:szCs w:val="19"/>
        </w:rPr>
        <w:t xml:space="preserve">“Artículo 4º. </w:t>
      </w:r>
      <w:r w:rsidRPr="00443A10">
        <w:rPr>
          <w:rFonts w:ascii="Verdana" w:hAnsi="Verdana" w:cs="Arial"/>
          <w:color w:val="000000"/>
          <w:sz w:val="19"/>
          <w:szCs w:val="19"/>
        </w:rPr>
        <w:t>Adiciónese el siguiente parágrafo al artículo 2º de la Ley 1150 de 2007.</w:t>
      </w:r>
    </w:p>
    <w:p w14:paraId="4FCC1085" w14:textId="77777777" w:rsidR="009542E0" w:rsidRPr="00443A10" w:rsidRDefault="009542E0" w:rsidP="009542E0">
      <w:pPr>
        <w:pStyle w:val="NormalWeb"/>
        <w:snapToGrid w:val="0"/>
        <w:spacing w:before="0" w:beforeAutospacing="0" w:after="120" w:afterAutospacing="0"/>
        <w:ind w:firstLine="708"/>
        <w:jc w:val="both"/>
        <w:rPr>
          <w:rFonts w:ascii="Verdana" w:hAnsi="Verdana" w:cs="Arial"/>
          <w:color w:val="000000"/>
          <w:sz w:val="19"/>
          <w:szCs w:val="19"/>
        </w:rPr>
      </w:pPr>
      <w:r w:rsidRPr="00443A10">
        <w:rPr>
          <w:rStyle w:val="Fuerte"/>
          <w:rFonts w:ascii="Verdana" w:hAnsi="Verdana" w:cs="Arial"/>
          <w:color w:val="000000"/>
          <w:sz w:val="19"/>
          <w:szCs w:val="19"/>
        </w:rPr>
        <w:t xml:space="preserve">Parágrafo 7º. </w:t>
      </w:r>
      <w:r w:rsidRPr="00443A10">
        <w:rPr>
          <w:rFonts w:ascii="Verdana" w:hAnsi="Verdana" w:cs="Arial"/>
          <w:color w:val="000000"/>
          <w:sz w:val="19"/>
          <w:szCs w:val="19"/>
        </w:rPr>
        <w:t>La Agencia Nacional de Contratación Pública Colombia Compra Eficiente o quien haga sus veces, adoptará documentos tipo que serán de obligatorio cumplimiento en la actividad contractual de todas las entidades sometidas al Estatuto General de Contratación de la Administración Pública.</w:t>
      </w:r>
    </w:p>
    <w:p w14:paraId="62A29C80" w14:textId="77777777" w:rsidR="009542E0" w:rsidRPr="00443A10" w:rsidRDefault="009542E0" w:rsidP="009542E0">
      <w:pPr>
        <w:pStyle w:val="NormalWeb"/>
        <w:snapToGrid w:val="0"/>
        <w:spacing w:before="0" w:beforeAutospacing="0" w:after="120" w:afterAutospacing="0"/>
        <w:ind w:firstLine="708"/>
        <w:jc w:val="both"/>
        <w:rPr>
          <w:rFonts w:ascii="Verdana" w:hAnsi="Verdana" w:cs="Arial"/>
          <w:color w:val="000000"/>
          <w:sz w:val="19"/>
          <w:szCs w:val="19"/>
        </w:rPr>
      </w:pPr>
      <w:r w:rsidRPr="00443A10">
        <w:rPr>
          <w:rFonts w:ascii="Verdana" w:hAnsi="Verdana" w:cs="Arial"/>
          <w:color w:val="000000"/>
          <w:sz w:val="19"/>
          <w:szCs w:val="19"/>
        </w:rPr>
        <w:t>Dentro de estos documentos tipo, se establecerán los requisitos habilitantes, factores técnicos, económicos y otros factores de escogencia, así como aquellos requisitos que, previa justificación, representen buenas prácticas contractuales que procuren el adecuado desarrollo de los principios que rigen la contratación pública.</w:t>
      </w:r>
    </w:p>
    <w:p w14:paraId="135AC0B5" w14:textId="77777777" w:rsidR="009542E0" w:rsidRPr="00443A10" w:rsidRDefault="009542E0" w:rsidP="009542E0">
      <w:pPr>
        <w:pStyle w:val="NormalWeb"/>
        <w:snapToGrid w:val="0"/>
        <w:spacing w:before="0" w:beforeAutospacing="0" w:after="120" w:afterAutospacing="0"/>
        <w:ind w:firstLine="708"/>
        <w:jc w:val="both"/>
        <w:rPr>
          <w:rFonts w:ascii="Verdana" w:hAnsi="Verdana" w:cs="Arial"/>
          <w:color w:val="000000"/>
          <w:sz w:val="19"/>
          <w:szCs w:val="19"/>
        </w:rPr>
      </w:pPr>
      <w:r w:rsidRPr="00443A10">
        <w:rPr>
          <w:rFonts w:ascii="Verdana" w:hAnsi="Verdana" w:cs="Arial"/>
          <w:color w:val="000000"/>
          <w:sz w:val="19"/>
          <w:szCs w:val="19"/>
        </w:rPr>
        <w:t>Con el ánimo de promover la descentralización, el empleo local, el desarrollo, los servicios e industria local, en la adopción de los documentos tipo, se tendrá en cuenta las características propias de las regiones, la cuantía, el fomento de la economía local y la naturaleza y especialidad de la contratación. Para tal efecto se deberá llevar a cabo un proceso de capacitación para los municipios.</w:t>
      </w:r>
    </w:p>
    <w:p w14:paraId="1B9F89F1" w14:textId="77777777" w:rsidR="009542E0" w:rsidRPr="00443A10" w:rsidRDefault="009542E0" w:rsidP="009542E0">
      <w:pPr>
        <w:pStyle w:val="NormalWeb"/>
        <w:snapToGrid w:val="0"/>
        <w:spacing w:before="0" w:beforeAutospacing="0" w:after="120" w:afterAutospacing="0"/>
        <w:ind w:firstLine="708"/>
        <w:jc w:val="both"/>
        <w:rPr>
          <w:rFonts w:ascii="Verdana" w:hAnsi="Verdana" w:cs="Arial"/>
          <w:color w:val="000000"/>
          <w:sz w:val="19"/>
          <w:szCs w:val="19"/>
        </w:rPr>
      </w:pPr>
      <w:r w:rsidRPr="00443A10">
        <w:rPr>
          <w:rFonts w:ascii="Verdana" w:hAnsi="Verdana" w:cs="Arial"/>
          <w:color w:val="000000"/>
          <w:sz w:val="19"/>
          <w:szCs w:val="19"/>
        </w:rPr>
        <w:t>La Agencia Nacional de Contratación Pública Colombia Compra Eficiente fijará un cronograma, y definirá en coordinación con las entidades técnicas o especializadas correspondientes el procedimiento para implementar gradualmente los documentos tipo, con el propósito de facilitar la incorporación de estos en el sistema de compra pública y deberá establecer el procedimiento para recibir y revisar comentarios de los interesados, así como un sistema para la revisión constante de los documentos tipo, que expida.</w:t>
      </w:r>
    </w:p>
    <w:p w14:paraId="527BA024" w14:textId="77777777" w:rsidR="009542E0" w:rsidRPr="00443A10" w:rsidRDefault="009542E0" w:rsidP="009542E0">
      <w:pPr>
        <w:pStyle w:val="NormalWeb"/>
        <w:snapToGrid w:val="0"/>
        <w:spacing w:before="0" w:beforeAutospacing="0" w:after="120" w:afterAutospacing="0"/>
        <w:ind w:firstLine="708"/>
        <w:jc w:val="both"/>
        <w:rPr>
          <w:rFonts w:ascii="Verdana" w:hAnsi="Verdana" w:cs="Arial"/>
          <w:color w:val="000000"/>
          <w:sz w:val="19"/>
          <w:szCs w:val="19"/>
        </w:rPr>
      </w:pPr>
      <w:r w:rsidRPr="00443A10">
        <w:rPr>
          <w:rFonts w:ascii="Verdana" w:hAnsi="Verdana" w:cs="Arial"/>
          <w:color w:val="000000"/>
          <w:sz w:val="19"/>
          <w:szCs w:val="19"/>
        </w:rPr>
        <w:t>En todo caso, serán de uso obligatorio los documentos tipo para los pliegos de condiciones de los procesos de selección de obras públicas, interventoría para las obras públicas interventoría para consultoría de estudios y diseños para obras públicas, consultoría en ingeniería para obras, que lleven a cabo todas las entidades sometidas al Estatuto General de Contratación de la Administración Pública, en los términos fijados mediante la reglamentación correspondiente”.</w:t>
      </w:r>
    </w:p>
  </w:footnote>
  <w:footnote w:id="8">
    <w:p w14:paraId="6BBB6AC1" w14:textId="77777777" w:rsidR="009542E0" w:rsidRPr="00443A10" w:rsidRDefault="009542E0" w:rsidP="009542E0">
      <w:pPr>
        <w:pStyle w:val="Textonotapie"/>
        <w:snapToGrid w:val="0"/>
        <w:spacing w:after="120"/>
        <w:ind w:firstLine="708"/>
        <w:jc w:val="both"/>
        <w:rPr>
          <w:rFonts w:ascii="Verdana" w:hAnsi="Verdana" w:cs="Arial"/>
          <w:color w:val="000000"/>
          <w:sz w:val="19"/>
          <w:szCs w:val="19"/>
        </w:rPr>
      </w:pPr>
      <w:r w:rsidRPr="00443A10">
        <w:rPr>
          <w:rStyle w:val="Refdenotaalpie"/>
          <w:rFonts w:ascii="Verdana" w:hAnsi="Verdana" w:cs="Arial"/>
          <w:color w:val="000000"/>
          <w:sz w:val="19"/>
          <w:szCs w:val="19"/>
        </w:rPr>
        <w:footnoteRef/>
      </w:r>
      <w:r w:rsidRPr="00443A10">
        <w:rPr>
          <w:rFonts w:ascii="Verdana" w:hAnsi="Verdana" w:cs="Arial"/>
          <w:color w:val="000000"/>
          <w:sz w:val="19"/>
          <w:szCs w:val="19"/>
        </w:rPr>
        <w:t xml:space="preserve"> Los Documentos Tipo expedidos por la Agencia Nacional de Contratación Pública – Colombia Compra Eficiente pueden ser consultados en el siguiente enlace: </w:t>
      </w:r>
      <w:hyperlink r:id="rId1" w:history="1">
        <w:r w:rsidRPr="00443A10">
          <w:rPr>
            <w:rStyle w:val="Hipervnculo"/>
            <w:rFonts w:ascii="Verdana" w:hAnsi="Verdana" w:cs="Arial"/>
            <w:color w:val="000000"/>
            <w:sz w:val="19"/>
            <w:szCs w:val="19"/>
          </w:rPr>
          <w:t>https://www.colombiacompra.gov.co/documentos-tipo/documentos-tipo</w:t>
        </w:r>
      </w:hyperlink>
      <w:r w:rsidRPr="00443A10">
        <w:rPr>
          <w:rFonts w:ascii="Verdana" w:hAnsi="Verdana" w:cs="Arial"/>
          <w:color w:val="000000"/>
          <w:sz w:val="19"/>
          <w:szCs w:val="19"/>
        </w:rPr>
        <w:t xml:space="preserve"> </w:t>
      </w:r>
    </w:p>
  </w:footnote>
  <w:footnote w:id="9">
    <w:p w14:paraId="0FFB5A9D" w14:textId="77777777" w:rsidR="009542E0" w:rsidRPr="00443A10" w:rsidRDefault="009542E0" w:rsidP="009542E0">
      <w:pPr>
        <w:pStyle w:val="Textonotapie"/>
        <w:snapToGrid w:val="0"/>
        <w:spacing w:after="120"/>
        <w:ind w:firstLine="708"/>
        <w:jc w:val="both"/>
        <w:rPr>
          <w:rFonts w:ascii="Verdana" w:hAnsi="Verdana" w:cs="Arial"/>
          <w:color w:val="000000"/>
          <w:sz w:val="19"/>
          <w:szCs w:val="19"/>
        </w:rPr>
      </w:pPr>
      <w:r w:rsidRPr="00443A10">
        <w:rPr>
          <w:rStyle w:val="Refdenotaalpie"/>
          <w:rFonts w:ascii="Verdana" w:hAnsi="Verdana" w:cs="Arial"/>
          <w:color w:val="000000"/>
          <w:sz w:val="19"/>
          <w:szCs w:val="19"/>
        </w:rPr>
        <w:footnoteRef/>
      </w:r>
      <w:r w:rsidRPr="00443A10">
        <w:rPr>
          <w:rFonts w:ascii="Verdana" w:hAnsi="Verdana" w:cs="Arial"/>
          <w:color w:val="000000"/>
          <w:sz w:val="19"/>
          <w:szCs w:val="19"/>
        </w:rPr>
        <w:t xml:space="preserve"> En este sentido, a modo de ejemplo, en el «documento base» del documento tipo de licitación se establece lo siguiente: “Los Documentos Tipo aplica a los procesos de licitación de obra pública de infraestructura de transporte (versión 3), que correspondan a las actividades definidas en la Matriz 1 – Experiencia. En consecuencia, las actividades de infraestructura de transporte no contempladas en la Matriz 1 – Experiencia no tienen que aplicar los documentos tipo; sin perjuicio de lo previsto en el artículo 2.2.1.2.6.1.5. del Decreto 1082 de 2015”.</w:t>
      </w:r>
    </w:p>
  </w:footnote>
  <w:footnote w:id="10">
    <w:p w14:paraId="38CFED1C" w14:textId="77777777" w:rsidR="009542E0" w:rsidRPr="00443A10" w:rsidRDefault="009542E0" w:rsidP="009542E0">
      <w:pPr>
        <w:pStyle w:val="Textonotapie"/>
        <w:snapToGrid w:val="0"/>
        <w:spacing w:after="120"/>
        <w:ind w:firstLine="709"/>
        <w:jc w:val="both"/>
        <w:rPr>
          <w:rFonts w:ascii="Verdana" w:hAnsi="Verdana"/>
          <w:bCs/>
          <w:sz w:val="19"/>
          <w:szCs w:val="19"/>
          <w:lang w:val="es-ES_tradnl"/>
        </w:rPr>
      </w:pPr>
      <w:r w:rsidRPr="00443A10">
        <w:rPr>
          <w:rStyle w:val="Refdenotaalpie"/>
          <w:rFonts w:ascii="Verdana" w:hAnsi="Verdana"/>
          <w:sz w:val="19"/>
          <w:szCs w:val="19"/>
        </w:rPr>
        <w:footnoteRef/>
      </w:r>
      <w:r w:rsidRPr="00443A10">
        <w:rPr>
          <w:rFonts w:ascii="Verdana" w:hAnsi="Verdana"/>
          <w:sz w:val="19"/>
          <w:szCs w:val="19"/>
        </w:rPr>
        <w:t xml:space="preserve"> </w:t>
      </w:r>
      <w:r w:rsidRPr="00443A10">
        <w:rPr>
          <w:rFonts w:ascii="Verdana" w:hAnsi="Verdana"/>
          <w:sz w:val="19"/>
          <w:szCs w:val="19"/>
          <w:lang w:val="es-CO"/>
        </w:rPr>
        <w:t xml:space="preserve">Esta tesis se desarrolló y complementó, entre otros, en los siguientes conceptos </w:t>
      </w:r>
      <w:bookmarkStart w:id="6" w:name="_Hlk205384358"/>
      <w:r w:rsidRPr="00443A10">
        <w:rPr>
          <w:rFonts w:ascii="Verdana" w:hAnsi="Verdana"/>
          <w:sz w:val="19"/>
          <w:szCs w:val="19"/>
          <w:lang w:val="es-CO"/>
        </w:rPr>
        <w:t xml:space="preserve">C-320 del 20 de mayo de 2022, C-333 del 24 de mayo de 2022, C-404 del 26 de mayo de 2023, C-382 del 27 de mayo de 2022, C-388 del 15 de junio de 2022, C-423 del 5 de julio de 2022, C-435 del 6 de julio de 2023, C-453 del 15 de julio de 2022, C-483 del 5 de agosto de 2022, C-556 del 3 de agosto de 2022, C-532 del 22 de agosto de 2022, C-341 del 27 de mayo de 2022, C-382 del 27 de mayo de 2022, C-449 del 25 de julio de 2022, C-453 del 14 de julio de 2022,  C-488 del 29 de julio de 2022, C-501 del 29 de julio de 2022,  C-155 del 7 de marzo de 2025, C-202 del 26 de marzo de 2025, C-298 del 16 de abril de 2025 y C-808 del 30 de julio de2025 </w:t>
      </w:r>
      <w:bookmarkEnd w:id="6"/>
    </w:p>
  </w:footnote>
  <w:footnote w:id="11">
    <w:p w14:paraId="1BC82E3B" w14:textId="77777777" w:rsidR="009542E0" w:rsidRPr="00BC7670" w:rsidRDefault="009542E0" w:rsidP="009542E0">
      <w:pPr>
        <w:pStyle w:val="Textonotapie"/>
        <w:spacing w:after="120"/>
        <w:ind w:firstLine="709"/>
        <w:jc w:val="both"/>
        <w:rPr>
          <w:rFonts w:ascii="Verdana" w:hAnsi="Verdana" w:cs="Arial"/>
          <w:color w:val="000000"/>
          <w:sz w:val="19"/>
          <w:szCs w:val="19"/>
        </w:rPr>
      </w:pPr>
      <w:r w:rsidRPr="00BC7670">
        <w:rPr>
          <w:rStyle w:val="Refdenotaalpie"/>
          <w:rFonts w:ascii="Verdana" w:hAnsi="Verdana" w:cs="Arial"/>
          <w:color w:val="000000"/>
          <w:sz w:val="19"/>
          <w:szCs w:val="19"/>
        </w:rPr>
        <w:footnoteRef/>
      </w:r>
      <w:r w:rsidRPr="00BC7670">
        <w:rPr>
          <w:rFonts w:ascii="Verdana" w:hAnsi="Verdana" w:cs="Arial"/>
          <w:color w:val="000000"/>
          <w:sz w:val="19"/>
          <w:szCs w:val="19"/>
        </w:rPr>
        <w:t xml:space="preserve"> CONGRESO DE LA REPÚBLICA. Gaceta Nº 1677 del 23 de noviembre de 2021. Justificación jurídica del Proyecto de Ley No. 226 de 2021 Cámara. p. 15.</w:t>
      </w:r>
      <w:r w:rsidRPr="00BC7670">
        <w:rPr>
          <w:rFonts w:ascii="Verdana" w:hAnsi="Verdana" w:cs="Arial"/>
          <w:color w:val="000000"/>
          <w:sz w:val="19"/>
          <w:szCs w:val="19"/>
        </w:rPr>
        <w:cr/>
      </w:r>
    </w:p>
  </w:footnote>
  <w:footnote w:id="12">
    <w:p w14:paraId="69A245DA" w14:textId="77777777" w:rsidR="009542E0" w:rsidRDefault="009542E0" w:rsidP="009542E0">
      <w:pPr>
        <w:pStyle w:val="Textonotapie"/>
        <w:spacing w:after="120"/>
        <w:ind w:firstLine="709"/>
        <w:contextualSpacing/>
        <w:jc w:val="both"/>
        <w:rPr>
          <w:rFonts w:ascii="Verdana" w:hAnsi="Verdana" w:cs="Arial"/>
          <w:color w:val="000000"/>
          <w:sz w:val="19"/>
          <w:szCs w:val="19"/>
          <w:lang w:val="es-ES"/>
        </w:rPr>
      </w:pPr>
      <w:r w:rsidRPr="00BC7670">
        <w:rPr>
          <w:rStyle w:val="Refdenotaalpie"/>
          <w:rFonts w:ascii="Verdana" w:hAnsi="Verdana" w:cs="Arial"/>
          <w:color w:val="000000"/>
          <w:sz w:val="19"/>
          <w:szCs w:val="19"/>
        </w:rPr>
        <w:footnoteRef/>
      </w:r>
      <w:r w:rsidRPr="00BC7670">
        <w:rPr>
          <w:rFonts w:ascii="Verdana" w:hAnsi="Verdana" w:cs="Arial"/>
          <w:color w:val="000000"/>
          <w:sz w:val="19"/>
          <w:szCs w:val="19"/>
        </w:rPr>
        <w:t xml:space="preserve"> </w:t>
      </w:r>
      <w:r w:rsidRPr="00BC7670">
        <w:rPr>
          <w:rFonts w:ascii="Verdana" w:hAnsi="Verdana" w:cs="Arial"/>
          <w:color w:val="000000"/>
          <w:sz w:val="19"/>
          <w:szCs w:val="19"/>
          <w:lang w:val="es-ES"/>
        </w:rPr>
        <w:t>Según García de Enterría: “Estos conceptos jurídicos indeterminados, o que se contienen en lo que también se llaman las normas flexibles, son consustanciales a toda la técnica jurídica y no constituyen una particularidad del Derecho público […], son conceptos jurídicos indeterminados, en el sentido de que la medida concreta para la aplicación de los mismos en un caso particular no nos la resuelve o determina con exactitud la propia Ley que los ha creado y de cuya aplicación se trata”. (GARCÍA DE ENTERRÍA, Eduardo. La lucha contra las inmunidades del poder en el derecho administrativo. 3ª ed. Madrid: Civitas, 1983. pp. 33-34).</w:t>
      </w:r>
    </w:p>
    <w:p w14:paraId="115EB3C9" w14:textId="77777777" w:rsidR="009542E0" w:rsidRPr="00BC7670" w:rsidRDefault="009542E0" w:rsidP="009542E0">
      <w:pPr>
        <w:pStyle w:val="Textonotapie"/>
        <w:spacing w:after="120"/>
        <w:ind w:firstLine="709"/>
        <w:contextualSpacing/>
        <w:jc w:val="both"/>
        <w:rPr>
          <w:rFonts w:ascii="Verdana" w:hAnsi="Verdana" w:cs="Arial"/>
          <w:color w:val="000000"/>
          <w:sz w:val="19"/>
          <w:szCs w:val="19"/>
          <w:lang w:val="es-ES"/>
        </w:rPr>
      </w:pPr>
    </w:p>
  </w:footnote>
  <w:footnote w:id="13">
    <w:p w14:paraId="7923D599" w14:textId="77777777" w:rsidR="009542E0" w:rsidRPr="00BC7670" w:rsidRDefault="009542E0" w:rsidP="009542E0">
      <w:pPr>
        <w:pStyle w:val="Textonotapie"/>
        <w:spacing w:after="120"/>
        <w:ind w:firstLine="709"/>
        <w:contextualSpacing/>
        <w:jc w:val="both"/>
        <w:rPr>
          <w:rFonts w:ascii="Verdana" w:hAnsi="Verdana" w:cs="Arial"/>
          <w:color w:val="000000"/>
          <w:sz w:val="19"/>
          <w:szCs w:val="19"/>
        </w:rPr>
      </w:pPr>
      <w:r w:rsidRPr="00BC7670">
        <w:rPr>
          <w:rStyle w:val="Refdenotaalpie"/>
          <w:rFonts w:ascii="Verdana" w:hAnsi="Verdana" w:cs="Arial"/>
          <w:color w:val="000000"/>
          <w:sz w:val="19"/>
          <w:szCs w:val="19"/>
        </w:rPr>
        <w:footnoteRef/>
      </w:r>
      <w:r w:rsidRPr="00BC7670">
        <w:rPr>
          <w:rFonts w:ascii="Verdana" w:hAnsi="Verdana" w:cs="Arial"/>
          <w:color w:val="000000"/>
          <w:sz w:val="19"/>
          <w:szCs w:val="19"/>
        </w:rPr>
        <w:t xml:space="preserve"> CORTE CONSTITUCIONAL, Sentencia C-382 de 2019, M.P. Alejandro Linares Cantillo.</w:t>
      </w:r>
    </w:p>
    <w:p w14:paraId="6EC63588" w14:textId="77777777" w:rsidR="009542E0" w:rsidRPr="00BC7670" w:rsidRDefault="009542E0" w:rsidP="009542E0">
      <w:pPr>
        <w:pStyle w:val="Textonotapie"/>
        <w:spacing w:after="120"/>
        <w:ind w:firstLine="709"/>
        <w:contextualSpacing/>
        <w:jc w:val="both"/>
        <w:rPr>
          <w:rFonts w:ascii="Verdana" w:hAnsi="Verdana" w:cs="Arial"/>
          <w:color w:val="000000"/>
          <w:sz w:val="19"/>
          <w:szCs w:val="19"/>
        </w:rPr>
      </w:pPr>
    </w:p>
  </w:footnote>
  <w:footnote w:id="14">
    <w:p w14:paraId="45009246" w14:textId="77777777" w:rsidR="009542E0" w:rsidRPr="00BC7670" w:rsidRDefault="009542E0" w:rsidP="009542E0">
      <w:pPr>
        <w:pStyle w:val="Textonotapie"/>
        <w:spacing w:after="120"/>
        <w:ind w:firstLine="709"/>
        <w:contextualSpacing/>
        <w:jc w:val="both"/>
        <w:rPr>
          <w:rFonts w:ascii="Verdana" w:hAnsi="Verdana" w:cs="Arial"/>
          <w:color w:val="000000"/>
          <w:sz w:val="19"/>
          <w:szCs w:val="19"/>
        </w:rPr>
      </w:pPr>
      <w:r w:rsidRPr="00BC7670">
        <w:rPr>
          <w:rStyle w:val="Refdenotaalpie"/>
          <w:rFonts w:ascii="Verdana" w:hAnsi="Verdana" w:cs="Arial"/>
          <w:color w:val="000000"/>
          <w:sz w:val="19"/>
          <w:szCs w:val="19"/>
        </w:rPr>
        <w:footnoteRef/>
      </w:r>
      <w:r w:rsidRPr="00BC7670">
        <w:rPr>
          <w:rFonts w:ascii="Verdana" w:hAnsi="Verdana" w:cs="Arial"/>
          <w:color w:val="000000"/>
          <w:sz w:val="19"/>
          <w:szCs w:val="19"/>
        </w:rPr>
        <w:t xml:space="preserve"> La redacción original del parágrafo primero del artículo 32 de la Ley 80 de 1993, incluía la expresión giro ordinario, la cual servía de elemento calificante para la determinación del régimen aplicable a los contratos de los establecimientos de crédito público, las compañías de seguros y las demás entidades financieras públicas. Dicho parágrafo establecía “Sin perjuicio de lo dispuesto en esta ley sobre fiducia y encargo fiduciario, los contratos que celebren los establecimientos de crédito, las compañías de seguros y las demás entidades financieras de carácter estatal, que correspondan al giro ordinario de las actividades propias de su objeto social, no estarán sujetos a las disposiciones del presente estatuto y se regirán por las disposiciones legales y reglamentarias aplicables a dichas actividades” [Énfasis fuera de texto].</w:t>
      </w:r>
    </w:p>
    <w:p w14:paraId="41F8689D" w14:textId="77777777" w:rsidR="009542E0" w:rsidRPr="00BC7670" w:rsidRDefault="009542E0" w:rsidP="009542E0">
      <w:pPr>
        <w:pStyle w:val="Textonotapie"/>
        <w:spacing w:after="120"/>
        <w:ind w:firstLine="709"/>
        <w:contextualSpacing/>
        <w:jc w:val="both"/>
        <w:rPr>
          <w:rFonts w:ascii="Verdana" w:hAnsi="Verdana" w:cs="Arial"/>
          <w:color w:val="000000"/>
          <w:sz w:val="19"/>
          <w:szCs w:val="19"/>
        </w:rPr>
      </w:pPr>
    </w:p>
  </w:footnote>
  <w:footnote w:id="15">
    <w:p w14:paraId="71D21910" w14:textId="77777777" w:rsidR="009542E0" w:rsidRPr="00BC7670" w:rsidRDefault="009542E0" w:rsidP="009542E0">
      <w:pPr>
        <w:pStyle w:val="Textonotapie"/>
        <w:spacing w:after="120"/>
        <w:ind w:firstLine="709"/>
        <w:contextualSpacing/>
        <w:jc w:val="both"/>
        <w:rPr>
          <w:rFonts w:ascii="Verdana" w:hAnsi="Verdana" w:cs="Arial"/>
          <w:color w:val="000000"/>
          <w:sz w:val="19"/>
          <w:szCs w:val="19"/>
        </w:rPr>
      </w:pPr>
      <w:r w:rsidRPr="00BC7670">
        <w:rPr>
          <w:rStyle w:val="Refdenotaalpie"/>
          <w:rFonts w:ascii="Verdana" w:hAnsi="Verdana" w:cs="Arial"/>
          <w:color w:val="000000"/>
          <w:sz w:val="19"/>
          <w:szCs w:val="19"/>
        </w:rPr>
        <w:footnoteRef/>
      </w:r>
      <w:r w:rsidRPr="00BC7670">
        <w:rPr>
          <w:rFonts w:ascii="Verdana" w:hAnsi="Verdana" w:cs="Arial"/>
          <w:color w:val="000000"/>
          <w:sz w:val="19"/>
          <w:szCs w:val="19"/>
        </w:rPr>
        <w:t xml:space="preserve"> CONSEJO DE ESTADO. Sección Tercera. Subsección B. Sentencia del 12 de octubre de 2011. Exp. No. 20070. C.P. Danilo Rojas Betancourt.</w:t>
      </w:r>
    </w:p>
    <w:p w14:paraId="24186656" w14:textId="77777777" w:rsidR="009542E0" w:rsidRPr="00BC7670" w:rsidRDefault="009542E0" w:rsidP="009542E0">
      <w:pPr>
        <w:pStyle w:val="Textonotapie"/>
        <w:spacing w:after="120"/>
        <w:ind w:firstLine="709"/>
        <w:contextualSpacing/>
        <w:jc w:val="both"/>
        <w:rPr>
          <w:rFonts w:ascii="Verdana" w:hAnsi="Verdana" w:cs="Arial"/>
          <w:color w:val="000000"/>
          <w:sz w:val="19"/>
          <w:szCs w:val="19"/>
        </w:rPr>
      </w:pPr>
    </w:p>
  </w:footnote>
  <w:footnote w:id="16">
    <w:p w14:paraId="571ABDE5" w14:textId="77777777" w:rsidR="009542E0" w:rsidRPr="00BC7670" w:rsidRDefault="009542E0" w:rsidP="009542E0">
      <w:pPr>
        <w:tabs>
          <w:tab w:val="left" w:pos="0"/>
        </w:tabs>
        <w:spacing w:after="120" w:line="240" w:lineRule="auto"/>
        <w:contextualSpacing/>
        <w:jc w:val="both"/>
        <w:rPr>
          <w:rFonts w:ascii="Verdana" w:eastAsia="Calibri" w:hAnsi="Verdana" w:cs="Arial"/>
          <w:color w:val="000000"/>
          <w:sz w:val="19"/>
          <w:szCs w:val="19"/>
          <w:lang w:val="es-ES_tradnl" w:eastAsia="es-ES_tradnl"/>
        </w:rPr>
      </w:pPr>
      <w:r w:rsidRPr="00BC7670">
        <w:rPr>
          <w:rFonts w:ascii="Verdana" w:hAnsi="Verdana" w:cs="Arial"/>
          <w:color w:val="000000"/>
          <w:sz w:val="19"/>
          <w:szCs w:val="19"/>
        </w:rPr>
        <w:tab/>
      </w:r>
      <w:r w:rsidRPr="00BC7670">
        <w:rPr>
          <w:rStyle w:val="Refdenotaalpie"/>
          <w:rFonts w:ascii="Verdana" w:hAnsi="Verdana" w:cs="Arial"/>
          <w:color w:val="000000"/>
          <w:sz w:val="19"/>
          <w:szCs w:val="19"/>
        </w:rPr>
        <w:footnoteRef/>
      </w:r>
      <w:r w:rsidRPr="00BC7670">
        <w:rPr>
          <w:rFonts w:ascii="Verdana" w:hAnsi="Verdana" w:cs="Arial"/>
          <w:color w:val="000000"/>
          <w:sz w:val="19"/>
          <w:szCs w:val="19"/>
        </w:rPr>
        <w:t xml:space="preserve"> CONSEJO DE ESTADO. Sección Tercera. Subsección A. Sentencia del 3 de marzo de 2021. Exp. No. 51373. C.P. José Roberto Sáchica Méndez. </w:t>
      </w:r>
      <w:r w:rsidRPr="00BC7670">
        <w:rPr>
          <w:rFonts w:ascii="Verdana" w:eastAsia="Calibri" w:hAnsi="Verdana" w:cs="Arial"/>
          <w:color w:val="000000"/>
          <w:sz w:val="19"/>
          <w:szCs w:val="19"/>
          <w:lang w:val="es-ES_tradnl" w:eastAsia="es-ES_tradnl"/>
        </w:rPr>
        <w:t>“[E]l elemento central para la determinación de este concepto jurídico, remite al objeto social –cuando se trata de empresas públicas o privadas constituidas bajo alguno de los tipos societarios definidos en la ley– pero también se refiere, mutatis mutandis, al objeto y funciones expresamente definidas en los actos de creación de entidades públicas que, por su naturaleza, se orientan al desarrollo de actividades industriales y comerciales. De forma que, el giro ordinario de los negocios se explica a partir del objeto social o, también, de las funciones expresamente fijadas por ley, según se trate de una persona jurídica pública o privada, pues ambas categorías, para estos efectos, resultan equivalentes.”</w:t>
      </w:r>
    </w:p>
  </w:footnote>
  <w:footnote w:id="17">
    <w:p w14:paraId="37F3CD10" w14:textId="77777777" w:rsidR="009542E0" w:rsidRPr="00BC7670" w:rsidRDefault="009542E0" w:rsidP="009542E0">
      <w:pPr>
        <w:pStyle w:val="Textonotapie"/>
        <w:snapToGrid w:val="0"/>
        <w:spacing w:after="120"/>
        <w:ind w:firstLine="708"/>
        <w:jc w:val="both"/>
        <w:rPr>
          <w:rFonts w:ascii="Verdana" w:hAnsi="Verdana" w:cs="Arial"/>
          <w:color w:val="000000"/>
          <w:sz w:val="19"/>
          <w:szCs w:val="19"/>
        </w:rPr>
      </w:pPr>
      <w:r w:rsidRPr="00BC7670">
        <w:rPr>
          <w:rStyle w:val="Refdenotaalpie"/>
          <w:rFonts w:ascii="Verdana" w:hAnsi="Verdana" w:cs="Arial"/>
          <w:color w:val="000000"/>
          <w:sz w:val="19"/>
          <w:szCs w:val="19"/>
        </w:rPr>
        <w:footnoteRef/>
      </w:r>
      <w:r w:rsidRPr="00BC7670">
        <w:rPr>
          <w:rFonts w:ascii="Verdana" w:hAnsi="Verdana" w:cs="Arial"/>
          <w:color w:val="000000"/>
          <w:sz w:val="19"/>
          <w:szCs w:val="19"/>
        </w:rPr>
        <w:t xml:space="preserve"> La Superintendencia de Sociedades, citando doctrina autorizada en la materia, ha señalado: “Si bien el llamado giro ordinario de los negocios se encuentra determinado por las actividades que constituyen el objeto social, resultan oportunas algunas precisiones conceptuales en torno al empleo constante en la práctica mercantil de la referida expresión "giro ordinario de los negocios". Partiendo de las anteriores consideraciones en cuanto al tema del objeto social, se concluye que éste alude a las actividades que desarrolla o se propone realizar el ente social, al paso que solamente quedan cobijadas por "giro ordinario" aquellas actividades que, en forma habitual u ordinaria, ejecuta la sociedad.</w:t>
      </w:r>
    </w:p>
  </w:footnote>
  <w:footnote w:id="18">
    <w:p w14:paraId="1F0EB49C" w14:textId="77777777" w:rsidR="009542E0" w:rsidRPr="00BC7670" w:rsidRDefault="009542E0" w:rsidP="009542E0">
      <w:pPr>
        <w:pStyle w:val="Textonotapie"/>
        <w:snapToGrid w:val="0"/>
        <w:spacing w:after="120"/>
        <w:ind w:firstLine="709"/>
        <w:jc w:val="both"/>
        <w:rPr>
          <w:rFonts w:ascii="Verdana" w:hAnsi="Verdana" w:cs="Arial"/>
          <w:color w:val="000000"/>
          <w:sz w:val="19"/>
          <w:szCs w:val="19"/>
        </w:rPr>
      </w:pPr>
      <w:r w:rsidRPr="00BC7670">
        <w:rPr>
          <w:rStyle w:val="Refdenotaalpie"/>
          <w:rFonts w:ascii="Verdana" w:hAnsi="Verdana" w:cs="Arial"/>
          <w:color w:val="000000"/>
          <w:sz w:val="19"/>
          <w:szCs w:val="19"/>
        </w:rPr>
        <w:footnoteRef/>
      </w:r>
      <w:r w:rsidRPr="00BC7670">
        <w:rPr>
          <w:rFonts w:ascii="Verdana" w:hAnsi="Verdana" w:cs="Arial"/>
          <w:color w:val="000000"/>
          <w:sz w:val="19"/>
          <w:szCs w:val="19"/>
        </w:rPr>
        <w:t xml:space="preserve"> El Consejo de Estado ha precisado que: “Según esta norma, el giro ordinario de las actividades de una sociedad comercial no sólo comprende aquello que define en forma concreta su objeto social, sino todos los actos directamente relacionados con el mismo, lo que denota que entre éstos y aquéllas debe existir una relación de necesidad que los hace parte del objeto de la sociedad. Tal es el caso de la contratación de la publicidad para promocionar la empresa o sus productos, o la contratación de profesionales para que realicen una consultoría o asesoría relacionada con las actividades de la empresa, etc.</w:t>
      </w:r>
    </w:p>
    <w:p w14:paraId="12337754" w14:textId="77777777" w:rsidR="009542E0" w:rsidRPr="00BC7670" w:rsidRDefault="009542E0" w:rsidP="009542E0">
      <w:pPr>
        <w:pStyle w:val="Textonotapie"/>
        <w:spacing w:after="120"/>
        <w:ind w:firstLine="709"/>
        <w:contextualSpacing/>
        <w:jc w:val="both"/>
        <w:rPr>
          <w:rFonts w:ascii="Verdana" w:hAnsi="Verdana" w:cs="Arial"/>
          <w:color w:val="000000"/>
          <w:sz w:val="19"/>
          <w:szCs w:val="19"/>
        </w:rPr>
      </w:pPr>
      <w:r w:rsidRPr="00BC7670">
        <w:rPr>
          <w:rFonts w:ascii="Verdana" w:hAnsi="Verdana" w:cs="Arial"/>
          <w:color w:val="000000"/>
          <w:sz w:val="19"/>
          <w:szCs w:val="19"/>
        </w:rPr>
        <w:t>“En estos casos, mal podría decirse que la sociedad no puede realizar este tipo de actos necesarios para el buen desempeño de sus actividades comerciales. Lo propio cabe decir de las entidades financieras. De manera que la norma comercial citada es perfectamente trasladable al campo financiero”.  (Consejo de Estado. Sección Tercera. Sentencia del 6 de julio de 2005. Exp. No. 11575. C.P. Alier E. Hernández Enríquez).</w:t>
      </w:r>
    </w:p>
  </w:footnote>
  <w:footnote w:id="19">
    <w:p w14:paraId="5B757CE6" w14:textId="77777777" w:rsidR="009542E0" w:rsidRPr="00443A10" w:rsidRDefault="009542E0" w:rsidP="009542E0">
      <w:pPr>
        <w:pStyle w:val="Textonotapie"/>
        <w:snapToGrid w:val="0"/>
        <w:spacing w:after="120"/>
        <w:ind w:firstLine="708"/>
        <w:jc w:val="both"/>
        <w:rPr>
          <w:rFonts w:ascii="Verdana" w:hAnsi="Verdana" w:cs="Arial"/>
          <w:color w:val="000000"/>
          <w:sz w:val="19"/>
          <w:szCs w:val="19"/>
        </w:rPr>
      </w:pPr>
      <w:r w:rsidRPr="00443A10">
        <w:rPr>
          <w:rStyle w:val="Refdenotaalpie"/>
          <w:rFonts w:ascii="Verdana" w:hAnsi="Verdana"/>
          <w:sz w:val="19"/>
          <w:szCs w:val="19"/>
        </w:rPr>
        <w:footnoteRef/>
      </w:r>
      <w:r w:rsidRPr="00443A10">
        <w:rPr>
          <w:rFonts w:ascii="Verdana" w:hAnsi="Verdana"/>
          <w:sz w:val="19"/>
          <w:szCs w:val="19"/>
        </w:rPr>
        <w:t xml:space="preserve"> </w:t>
      </w:r>
      <w:r w:rsidRPr="00443A10">
        <w:rPr>
          <w:rFonts w:ascii="Verdana" w:hAnsi="Verdana" w:cs="Arial"/>
          <w:color w:val="000000"/>
          <w:sz w:val="19"/>
          <w:szCs w:val="19"/>
        </w:rPr>
        <w:t>Artículo 57. Las universidades estatales u oficiales deben organizarse como entes universitarios autónomos, con régimen especial y vinculados al Ministerio de Educación Nacional en lo que se refiere a las políticas y la planeación del sector educativo.</w:t>
      </w:r>
    </w:p>
    <w:p w14:paraId="454563EA" w14:textId="77777777" w:rsidR="009542E0" w:rsidRPr="00443A10" w:rsidRDefault="009542E0" w:rsidP="009542E0">
      <w:pPr>
        <w:pStyle w:val="Textonotapie"/>
        <w:snapToGrid w:val="0"/>
        <w:spacing w:after="120"/>
        <w:ind w:firstLine="708"/>
        <w:jc w:val="both"/>
        <w:rPr>
          <w:rFonts w:ascii="Verdana" w:hAnsi="Verdana" w:cs="Arial"/>
          <w:color w:val="000000"/>
          <w:sz w:val="19"/>
          <w:szCs w:val="19"/>
        </w:rPr>
      </w:pPr>
      <w:r w:rsidRPr="00443A10">
        <w:rPr>
          <w:rFonts w:ascii="Verdana" w:hAnsi="Verdana" w:cs="Arial"/>
          <w:color w:val="000000"/>
          <w:sz w:val="19"/>
          <w:szCs w:val="19"/>
        </w:rPr>
        <w:t>Los entes universitarios autónomos tendrán las siguientes características: Personería jurídica, autonomía académica, administrativa y financiera, patrimonio independiente y podrán elaborar y manejar su presupuesto de acuerdo con las funciones que le corresponden.</w:t>
      </w:r>
    </w:p>
    <w:p w14:paraId="1216D21D" w14:textId="77777777" w:rsidR="009542E0" w:rsidRPr="00443A10" w:rsidRDefault="009542E0" w:rsidP="009542E0">
      <w:pPr>
        <w:pStyle w:val="Textonotapie"/>
        <w:snapToGrid w:val="0"/>
        <w:spacing w:after="120"/>
        <w:jc w:val="both"/>
        <w:rPr>
          <w:rFonts w:ascii="Verdana" w:hAnsi="Verdana" w:cs="Arial"/>
          <w:color w:val="000000"/>
          <w:sz w:val="19"/>
          <w:szCs w:val="19"/>
          <w:lang w:val="es-CO"/>
        </w:rPr>
      </w:pPr>
      <w:r w:rsidRPr="00443A10">
        <w:rPr>
          <w:rFonts w:ascii="Verdana" w:hAnsi="Verdana" w:cs="Arial"/>
          <w:color w:val="000000"/>
          <w:sz w:val="19"/>
          <w:szCs w:val="19"/>
        </w:rPr>
        <w:tab/>
      </w:r>
      <w:r w:rsidRPr="00443A10">
        <w:rPr>
          <w:rFonts w:ascii="Verdana" w:hAnsi="Verdana" w:cs="Arial"/>
          <w:color w:val="000000"/>
          <w:sz w:val="19"/>
          <w:szCs w:val="19"/>
          <w:lang w:val="es-CO"/>
        </w:rPr>
        <w:t>El carácter especial del régimen de las universidades estatales u oficiales, comprenderá la organización y elección de directivas, del personal docente y administrativo, el sistema de las universidades estatales u oficiales, el régimen financiero, el régimen de contratación y control fiscal y su propia seguridad social en salud, de acuerdo con la presente ley</w:t>
      </w:r>
    </w:p>
    <w:p w14:paraId="10876EAA" w14:textId="77777777" w:rsidR="009542E0" w:rsidRPr="00C1249C" w:rsidRDefault="009542E0" w:rsidP="009542E0">
      <w:pPr>
        <w:pStyle w:val="Textonotapie"/>
        <w:snapToGrid w:val="0"/>
        <w:spacing w:after="120"/>
        <w:ind w:firstLine="708"/>
        <w:jc w:val="both"/>
        <w:rPr>
          <w:rFonts w:ascii="Verdana" w:hAnsi="Verdana" w:cs="Arial"/>
          <w:color w:val="000000"/>
          <w:sz w:val="19"/>
          <w:szCs w:val="19"/>
          <w:lang w:val="es-CO"/>
        </w:rPr>
      </w:pPr>
      <w:r w:rsidRPr="00443A10">
        <w:rPr>
          <w:rFonts w:ascii="Verdana" w:hAnsi="Verdana" w:cs="Arial"/>
          <w:color w:val="000000"/>
          <w:sz w:val="19"/>
          <w:szCs w:val="19"/>
          <w:lang w:val="es-CO"/>
        </w:rPr>
        <w:t xml:space="preserve">Parágrafo 1°. Las instituciones estatales u oficiales de Educación Superior que no tengan el carácter de universidad según lo previsto en la presente Ley, deberán organizarse como Establecimientos Públicos del orden Nacional, Departamental, Distrital o Municipal </w:t>
      </w:r>
      <w:r>
        <w:rPr>
          <w:rFonts w:ascii="Verdana" w:hAnsi="Verdana" w:cs="Arial"/>
          <w:color w:val="000000"/>
          <w:sz w:val="19"/>
          <w:szCs w:val="19"/>
          <w:lang w:val="es-CO"/>
        </w:rPr>
        <w:t>(</w:t>
      </w:r>
      <w:r w:rsidRPr="00443A10">
        <w:rPr>
          <w:rFonts w:ascii="Verdana" w:hAnsi="Verdana" w:cs="Arial"/>
          <w:color w:val="000000"/>
          <w:sz w:val="19"/>
          <w:szCs w:val="19"/>
          <w:lang w:val="es-CO"/>
        </w:rPr>
        <w:t>…</w:t>
      </w:r>
      <w:r>
        <w:rPr>
          <w:rFonts w:ascii="Verdana" w:hAnsi="Verdana" w:cs="Arial"/>
          <w:color w:val="000000"/>
          <w:sz w:val="19"/>
          <w:szCs w:val="19"/>
          <w:lang w:val="es-CO"/>
        </w:rPr>
        <w:t>)”</w:t>
      </w:r>
      <w:r w:rsidRPr="00443A10">
        <w:rPr>
          <w:rFonts w:ascii="Verdana" w:hAnsi="Verdana" w:cs="Arial"/>
          <w:color w:val="000000"/>
          <w:sz w:val="19"/>
          <w:szCs w:val="19"/>
          <w:lang w:val="es-CO"/>
        </w:rPr>
        <w:t>.</w:t>
      </w:r>
    </w:p>
  </w:footnote>
  <w:footnote w:id="20">
    <w:p w14:paraId="36AD3837" w14:textId="77777777" w:rsidR="009542E0" w:rsidRPr="00C1249C" w:rsidRDefault="009542E0" w:rsidP="009542E0">
      <w:pPr>
        <w:pStyle w:val="Textonotapie"/>
        <w:snapToGrid w:val="0"/>
        <w:spacing w:after="120"/>
        <w:ind w:firstLine="709"/>
        <w:jc w:val="both"/>
        <w:rPr>
          <w:rFonts w:ascii="Verdana" w:hAnsi="Verdana" w:cs="Arial"/>
          <w:color w:val="000000"/>
          <w:sz w:val="19"/>
          <w:szCs w:val="19"/>
        </w:rPr>
      </w:pPr>
      <w:r w:rsidRPr="00443A10">
        <w:rPr>
          <w:rStyle w:val="Refdenotaalpie"/>
          <w:rFonts w:ascii="Verdana" w:hAnsi="Verdana"/>
          <w:sz w:val="19"/>
          <w:szCs w:val="19"/>
        </w:rPr>
        <w:footnoteRef/>
      </w:r>
      <w:r w:rsidRPr="00443A10">
        <w:rPr>
          <w:rFonts w:ascii="Verdana" w:hAnsi="Verdana"/>
          <w:sz w:val="19"/>
          <w:szCs w:val="19"/>
        </w:rPr>
        <w:t xml:space="preserve"> </w:t>
      </w:r>
      <w:r>
        <w:rPr>
          <w:rFonts w:ascii="Verdana" w:hAnsi="Verdana" w:cs="Arial"/>
          <w:color w:val="000000"/>
          <w:sz w:val="19"/>
          <w:szCs w:val="19"/>
        </w:rPr>
        <w:t>“</w:t>
      </w:r>
      <w:r w:rsidRPr="00443A10">
        <w:rPr>
          <w:rFonts w:ascii="Verdana" w:hAnsi="Verdana" w:cs="Arial"/>
          <w:color w:val="000000"/>
          <w:sz w:val="19"/>
          <w:szCs w:val="19"/>
        </w:rPr>
        <w:t>Artículo 93. Salvo las excepciones consagradas en la presente ley, los contratos que para el cumplimiento de sus funciones celebren las universidades estatales u oficiales, se regirán por las normas del derecho privado y sus efectos estarán sujetos a las normas civiles y comerciales, según la naturaleza de los</w:t>
      </w:r>
      <w:r w:rsidRPr="00443A10">
        <w:rPr>
          <w:rFonts w:ascii="Verdana" w:hAnsi="Verdana" w:cs="Arial"/>
          <w:color w:val="000000"/>
          <w:spacing w:val="-16"/>
          <w:sz w:val="19"/>
          <w:szCs w:val="19"/>
        </w:rPr>
        <w:t xml:space="preserve"> </w:t>
      </w:r>
      <w:r w:rsidRPr="00443A10">
        <w:rPr>
          <w:rFonts w:ascii="Verdana" w:hAnsi="Verdana" w:cs="Arial"/>
          <w:color w:val="000000"/>
          <w:sz w:val="19"/>
          <w:szCs w:val="19"/>
        </w:rPr>
        <w:t>contratos</w:t>
      </w:r>
      <w:r>
        <w:rPr>
          <w:rFonts w:ascii="Verdana" w:hAnsi="Verdana" w:cs="Arial"/>
          <w:color w:val="000000"/>
          <w:sz w:val="19"/>
          <w:szCs w:val="19"/>
        </w:rPr>
        <w:t>”</w:t>
      </w:r>
      <w:r w:rsidRPr="00443A10">
        <w:rPr>
          <w:rFonts w:ascii="Verdana" w:hAnsi="Verdana" w:cs="Arial"/>
          <w:color w:val="000000"/>
          <w:sz w:val="19"/>
          <w:szCs w:val="19"/>
        </w:rPr>
        <w:t>.</w:t>
      </w:r>
    </w:p>
  </w:footnote>
  <w:footnote w:id="21">
    <w:p w14:paraId="2E526242" w14:textId="77777777" w:rsidR="009542E0" w:rsidRPr="00443A10" w:rsidRDefault="009542E0" w:rsidP="009542E0">
      <w:pPr>
        <w:snapToGrid w:val="0"/>
        <w:spacing w:after="120" w:line="240" w:lineRule="auto"/>
        <w:ind w:firstLine="708"/>
        <w:jc w:val="both"/>
        <w:rPr>
          <w:rFonts w:ascii="Verdana" w:hAnsi="Verdana" w:cs="Arial"/>
          <w:color w:val="000000"/>
          <w:sz w:val="19"/>
          <w:szCs w:val="19"/>
        </w:rPr>
      </w:pPr>
      <w:r w:rsidRPr="00443A10">
        <w:rPr>
          <w:rStyle w:val="Refdenotaalpie"/>
          <w:rFonts w:ascii="Verdana" w:hAnsi="Verdana" w:cs="Arial"/>
          <w:color w:val="000000"/>
          <w:sz w:val="19"/>
          <w:szCs w:val="19"/>
        </w:rPr>
        <w:footnoteRef/>
      </w:r>
      <w:r w:rsidRPr="00443A10">
        <w:rPr>
          <w:rFonts w:ascii="Verdana" w:hAnsi="Verdana" w:cs="Arial"/>
          <w:color w:val="000000"/>
          <w:sz w:val="19"/>
          <w:szCs w:val="19"/>
        </w:rPr>
        <w:t xml:space="preserve"> “Artículo 39. Integración de la Administración Pública. La Administración Pública se integra por los organismos que conforman la Rama Ejecutiva del Poder Público y por todos los demás organismos y entidades de naturaleza pública que de manera permanente tienen a su cargo el ejercicio de las actividades y funciones administrativas o la prestación de servicios públicos del Estado Colombiano”.</w:t>
      </w:r>
    </w:p>
  </w:footnote>
  <w:footnote w:id="22">
    <w:p w14:paraId="2990545F" w14:textId="77777777" w:rsidR="009542E0" w:rsidRPr="00443A10" w:rsidRDefault="009542E0" w:rsidP="009542E0">
      <w:pPr>
        <w:snapToGrid w:val="0"/>
        <w:spacing w:after="120" w:line="240" w:lineRule="auto"/>
        <w:ind w:firstLine="708"/>
        <w:jc w:val="both"/>
        <w:rPr>
          <w:rFonts w:ascii="Verdana" w:hAnsi="Verdana" w:cs="Arial"/>
          <w:color w:val="000000"/>
          <w:sz w:val="19"/>
          <w:szCs w:val="19"/>
        </w:rPr>
      </w:pPr>
      <w:r w:rsidRPr="00443A10">
        <w:rPr>
          <w:rStyle w:val="Refdenotaalpie"/>
          <w:rFonts w:ascii="Verdana" w:hAnsi="Verdana" w:cs="Arial"/>
          <w:color w:val="000000"/>
          <w:sz w:val="19"/>
          <w:szCs w:val="19"/>
        </w:rPr>
        <w:footnoteRef/>
      </w:r>
      <w:r w:rsidRPr="00443A10">
        <w:rPr>
          <w:rFonts w:ascii="Verdana" w:hAnsi="Verdana" w:cs="Arial"/>
          <w:color w:val="000000"/>
          <w:sz w:val="19"/>
          <w:szCs w:val="19"/>
        </w:rPr>
        <w:t xml:space="preserve"> “Artículo 40. Entidades y organismos estatales sujetos a régimen especial. El Banco de la República, los entes universitarios autónomos, las corporaciones autónomas regionales, la Comisión Nacional de Televisión y los demás organismos y entidades con régimen especial otorgado por la Constitución Política se sujetan a las disposiciones que para ellos establezcan las respectivas leyes”.</w:t>
      </w:r>
    </w:p>
  </w:footnote>
  <w:footnote w:id="23">
    <w:p w14:paraId="2101848C" w14:textId="77777777" w:rsidR="009542E0" w:rsidRPr="00443A10" w:rsidRDefault="009542E0" w:rsidP="009542E0">
      <w:pPr>
        <w:snapToGrid w:val="0"/>
        <w:spacing w:after="120" w:line="240" w:lineRule="auto"/>
        <w:ind w:firstLine="708"/>
        <w:jc w:val="both"/>
        <w:rPr>
          <w:rFonts w:ascii="Verdana" w:hAnsi="Verdana" w:cs="Arial"/>
          <w:color w:val="000000"/>
          <w:sz w:val="19"/>
          <w:szCs w:val="19"/>
        </w:rPr>
      </w:pPr>
      <w:r w:rsidRPr="00443A10">
        <w:rPr>
          <w:rStyle w:val="Refdenotaalpie"/>
          <w:rFonts w:ascii="Verdana" w:hAnsi="Verdana" w:cs="Arial"/>
          <w:color w:val="000000"/>
          <w:sz w:val="19"/>
          <w:szCs w:val="19"/>
        </w:rPr>
        <w:footnoteRef/>
      </w:r>
      <w:r w:rsidRPr="00443A10">
        <w:rPr>
          <w:rFonts w:ascii="Verdana" w:hAnsi="Verdana" w:cs="Arial"/>
          <w:color w:val="000000"/>
          <w:sz w:val="19"/>
          <w:szCs w:val="19"/>
        </w:rPr>
        <w:t xml:space="preserve"> Corte Constitucional. Sentencia C-121 de 2003. M.P. Clara Inés Vargas Hernández.</w:t>
      </w:r>
    </w:p>
  </w:footnote>
  <w:footnote w:id="24">
    <w:p w14:paraId="5246C600" w14:textId="77777777" w:rsidR="009542E0" w:rsidRPr="00443A10" w:rsidRDefault="009542E0" w:rsidP="009542E0">
      <w:pPr>
        <w:snapToGrid w:val="0"/>
        <w:spacing w:after="120" w:line="240" w:lineRule="auto"/>
        <w:ind w:firstLine="709"/>
        <w:jc w:val="both"/>
        <w:rPr>
          <w:rFonts w:ascii="Verdana" w:hAnsi="Verdana" w:cs="Arial"/>
          <w:color w:val="000000"/>
          <w:sz w:val="19"/>
          <w:szCs w:val="19"/>
        </w:rPr>
      </w:pPr>
      <w:r w:rsidRPr="00443A10">
        <w:rPr>
          <w:rStyle w:val="Refdenotaalpie"/>
          <w:rFonts w:ascii="Verdana" w:hAnsi="Verdana" w:cs="Arial"/>
          <w:color w:val="000000"/>
          <w:sz w:val="19"/>
          <w:szCs w:val="19"/>
        </w:rPr>
        <w:footnoteRef/>
      </w:r>
      <w:r w:rsidRPr="00443A10">
        <w:rPr>
          <w:rFonts w:ascii="Verdana" w:hAnsi="Verdana" w:cs="Arial"/>
          <w:color w:val="000000"/>
          <w:sz w:val="19"/>
          <w:szCs w:val="19"/>
        </w:rPr>
        <w:t xml:space="preserve"> Corte</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Constitucional.</w:t>
      </w:r>
      <w:r w:rsidRPr="00443A10">
        <w:rPr>
          <w:rFonts w:ascii="Verdana" w:hAnsi="Verdana" w:cs="Arial"/>
          <w:color w:val="000000"/>
          <w:spacing w:val="11"/>
          <w:sz w:val="19"/>
          <w:szCs w:val="19"/>
        </w:rPr>
        <w:t xml:space="preserve"> </w:t>
      </w:r>
      <w:r w:rsidRPr="00443A10">
        <w:rPr>
          <w:rFonts w:ascii="Verdana" w:hAnsi="Verdana" w:cs="Arial"/>
          <w:color w:val="000000"/>
          <w:sz w:val="19"/>
          <w:szCs w:val="19"/>
        </w:rPr>
        <w:t>Sentencia</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C-1019</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del</w:t>
      </w:r>
      <w:r w:rsidRPr="00443A10">
        <w:rPr>
          <w:rFonts w:ascii="Verdana" w:hAnsi="Verdana" w:cs="Arial"/>
          <w:color w:val="000000"/>
          <w:spacing w:val="9"/>
          <w:sz w:val="19"/>
          <w:szCs w:val="19"/>
        </w:rPr>
        <w:t xml:space="preserve"> </w:t>
      </w:r>
      <w:r w:rsidRPr="00443A10">
        <w:rPr>
          <w:rFonts w:ascii="Verdana" w:hAnsi="Verdana" w:cs="Arial"/>
          <w:color w:val="000000"/>
          <w:sz w:val="19"/>
          <w:szCs w:val="19"/>
        </w:rPr>
        <w:t>28</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de</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noviembre</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de</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2012.</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M.P.</w:t>
      </w:r>
      <w:r w:rsidRPr="00443A10">
        <w:rPr>
          <w:rFonts w:ascii="Verdana" w:hAnsi="Verdana" w:cs="Arial"/>
          <w:color w:val="000000"/>
          <w:spacing w:val="10"/>
          <w:sz w:val="19"/>
          <w:szCs w:val="19"/>
        </w:rPr>
        <w:t xml:space="preserve"> </w:t>
      </w:r>
      <w:r w:rsidRPr="00443A10">
        <w:rPr>
          <w:rFonts w:ascii="Verdana" w:hAnsi="Verdana" w:cs="Arial"/>
          <w:color w:val="000000"/>
          <w:sz w:val="19"/>
          <w:szCs w:val="19"/>
        </w:rPr>
        <w:t>Mauricio</w:t>
      </w:r>
      <w:r w:rsidRPr="00443A10">
        <w:rPr>
          <w:rFonts w:ascii="Verdana" w:hAnsi="Verdana" w:cs="Arial"/>
          <w:color w:val="000000"/>
          <w:spacing w:val="8"/>
          <w:sz w:val="19"/>
          <w:szCs w:val="19"/>
        </w:rPr>
        <w:t xml:space="preserve"> </w:t>
      </w:r>
      <w:r w:rsidRPr="00443A10">
        <w:rPr>
          <w:rFonts w:ascii="Verdana" w:hAnsi="Verdana" w:cs="Arial"/>
          <w:color w:val="000000"/>
          <w:sz w:val="19"/>
          <w:szCs w:val="19"/>
        </w:rPr>
        <w:t>González.</w:t>
      </w:r>
    </w:p>
  </w:footnote>
  <w:footnote w:id="25">
    <w:p w14:paraId="0026D15C" w14:textId="77777777" w:rsidR="009542E0" w:rsidRPr="00443A10" w:rsidRDefault="009542E0" w:rsidP="009542E0">
      <w:pPr>
        <w:pStyle w:val="Textonotapie"/>
        <w:snapToGrid w:val="0"/>
        <w:spacing w:after="120"/>
        <w:ind w:firstLine="708"/>
        <w:jc w:val="both"/>
        <w:rPr>
          <w:rFonts w:ascii="Verdana" w:hAnsi="Verdana" w:cs="Arial"/>
          <w:color w:val="000000"/>
          <w:sz w:val="19"/>
          <w:szCs w:val="19"/>
        </w:rPr>
      </w:pPr>
      <w:r w:rsidRPr="00443A10">
        <w:rPr>
          <w:rStyle w:val="Refdenotaalpie"/>
          <w:rFonts w:ascii="Verdana" w:hAnsi="Verdana" w:cs="Arial"/>
          <w:color w:val="000000"/>
          <w:sz w:val="19"/>
          <w:szCs w:val="19"/>
        </w:rPr>
        <w:footnoteRef/>
      </w:r>
      <w:r w:rsidRPr="00443A10">
        <w:rPr>
          <w:rFonts w:ascii="Verdana" w:hAnsi="Verdana" w:cs="Arial"/>
          <w:color w:val="000000"/>
          <w:sz w:val="19"/>
          <w:szCs w:val="19"/>
        </w:rPr>
        <w:t xml:space="preserve"> CONSEJO DE ESTADO. Sección Cuarta. Sentencia del 16 de diciembre de 2008. Exp. 16.297. C.P. Martha Teresa Briceño de Valencia.</w:t>
      </w:r>
    </w:p>
    <w:p w14:paraId="6C3A645A" w14:textId="77777777" w:rsidR="009542E0" w:rsidRPr="00443A10" w:rsidRDefault="009542E0" w:rsidP="009542E0">
      <w:pPr>
        <w:pStyle w:val="Textonotapie"/>
        <w:snapToGrid w:val="0"/>
        <w:spacing w:after="120"/>
        <w:ind w:firstLine="708"/>
        <w:jc w:val="both"/>
        <w:rPr>
          <w:rFonts w:ascii="Verdana" w:hAnsi="Verdana" w:cs="Arial"/>
          <w:color w:val="000000"/>
          <w:sz w:val="19"/>
          <w:szCs w:val="19"/>
          <w:lang w:val="es-ES_tradnl"/>
        </w:rPr>
      </w:pPr>
    </w:p>
  </w:footnote>
  <w:footnote w:id="26">
    <w:p w14:paraId="1728B7CD" w14:textId="77777777" w:rsidR="009542E0" w:rsidRPr="009539E3" w:rsidRDefault="009542E0" w:rsidP="009542E0">
      <w:pPr>
        <w:pStyle w:val="Textonotapie"/>
        <w:snapToGrid w:val="0"/>
        <w:spacing w:after="120"/>
        <w:ind w:firstLine="708"/>
        <w:jc w:val="both"/>
        <w:rPr>
          <w:rFonts w:ascii="Verdana" w:hAnsi="Verdana" w:cs="Arial"/>
          <w:sz w:val="19"/>
          <w:szCs w:val="19"/>
          <w:lang w:val="es-CO"/>
        </w:rPr>
      </w:pPr>
      <w:r w:rsidRPr="00443A10">
        <w:rPr>
          <w:rStyle w:val="Refdenotaalpie"/>
          <w:rFonts w:ascii="Verdana" w:hAnsi="Verdana"/>
          <w:sz w:val="19"/>
          <w:szCs w:val="19"/>
        </w:rPr>
        <w:footnoteRef/>
      </w:r>
      <w:r w:rsidRPr="00443A10">
        <w:rPr>
          <w:rFonts w:ascii="Verdana" w:hAnsi="Verdana"/>
          <w:sz w:val="19"/>
          <w:szCs w:val="19"/>
        </w:rPr>
        <w:t xml:space="preserve"> </w:t>
      </w:r>
      <w:r w:rsidRPr="00443A10">
        <w:rPr>
          <w:rFonts w:ascii="Verdana" w:hAnsi="Verdana" w:cs="Arial"/>
          <w:sz w:val="19"/>
          <w:szCs w:val="19"/>
          <w:lang w:val="es-CO"/>
        </w:rPr>
        <w:t>Así lo establece el parágrafo del artículo 57 de la Ley 30 de 1992: «Parágrafo 1°. Las instituciones estatales u oficiales de Educación Superior que no tengan el carácter de universidad según lo previsto en la presente Ley, deberán organizarse como Establecimientos Públicos del orden Nacional, Departamental, Distrital o Municipal».</w:t>
      </w:r>
    </w:p>
  </w:footnote>
  <w:footnote w:id="27">
    <w:p w14:paraId="101FF2F1" w14:textId="77777777" w:rsidR="009542E0" w:rsidRPr="00443A10" w:rsidRDefault="009542E0" w:rsidP="009542E0">
      <w:pPr>
        <w:pStyle w:val="Textonotapie"/>
        <w:snapToGrid w:val="0"/>
        <w:spacing w:after="120"/>
        <w:ind w:firstLine="709"/>
        <w:jc w:val="both"/>
        <w:rPr>
          <w:rFonts w:ascii="Verdana" w:hAnsi="Verdana" w:cs="Arial"/>
          <w:sz w:val="19"/>
          <w:szCs w:val="19"/>
          <w:lang w:val="es-CO"/>
        </w:rPr>
      </w:pPr>
      <w:r w:rsidRPr="00443A10">
        <w:rPr>
          <w:rStyle w:val="Refdenotaalpie"/>
          <w:rFonts w:ascii="Verdana" w:hAnsi="Verdana"/>
          <w:sz w:val="19"/>
          <w:szCs w:val="19"/>
        </w:rPr>
        <w:footnoteRef/>
      </w:r>
      <w:r w:rsidRPr="00443A10">
        <w:rPr>
          <w:rFonts w:ascii="Verdana" w:hAnsi="Verdana"/>
          <w:sz w:val="19"/>
          <w:szCs w:val="19"/>
        </w:rPr>
        <w:t xml:space="preserve"> </w:t>
      </w:r>
      <w:r w:rsidRPr="00443A10">
        <w:rPr>
          <w:rFonts w:ascii="Verdana" w:hAnsi="Verdana" w:cs="Arial"/>
          <w:color w:val="000000"/>
          <w:sz w:val="19"/>
          <w:szCs w:val="19"/>
        </w:rPr>
        <w:t>“</w:t>
      </w:r>
      <w:r w:rsidRPr="00443A10">
        <w:rPr>
          <w:rFonts w:ascii="Verdana" w:hAnsi="Verdana" w:cs="Arial"/>
          <w:sz w:val="19"/>
          <w:szCs w:val="19"/>
          <w:lang w:val="es-CO"/>
        </w:rPr>
        <w:t>Articulo</w:t>
      </w:r>
      <w:bookmarkStart w:id="8" w:name="81"/>
      <w:bookmarkEnd w:id="8"/>
      <w:r w:rsidRPr="00443A10">
        <w:rPr>
          <w:rFonts w:ascii="Verdana" w:hAnsi="Verdana" w:cs="Arial"/>
          <w:sz w:val="19"/>
          <w:szCs w:val="19"/>
          <w:lang w:val="es-CO"/>
        </w:rPr>
        <w:t> 81.- Régimen de los actos y contratos</w:t>
      </w:r>
      <w:r w:rsidRPr="00443A10">
        <w:rPr>
          <w:rFonts w:ascii="Verdana" w:hAnsi="Verdana" w:cs="Arial"/>
          <w:b/>
          <w:bCs/>
          <w:i/>
          <w:iCs/>
          <w:sz w:val="19"/>
          <w:szCs w:val="19"/>
          <w:lang w:val="es-CO"/>
        </w:rPr>
        <w:t>.</w:t>
      </w:r>
      <w:r w:rsidRPr="00443A10">
        <w:rPr>
          <w:rFonts w:ascii="Verdana" w:hAnsi="Verdana" w:cs="Arial"/>
          <w:sz w:val="19"/>
          <w:szCs w:val="19"/>
          <w:lang w:val="es-CO"/>
        </w:rPr>
        <w:t> Los actos unilaterales que expidan los establecimientos públicos en ejercicio de funciones administrativas son actos administrativos y se sujetan a las disposiciones del Código Contencioso Administrativo.</w:t>
      </w:r>
    </w:p>
    <w:p w14:paraId="34B7B542" w14:textId="77777777" w:rsidR="009542E0" w:rsidRPr="00443A10" w:rsidRDefault="009542E0" w:rsidP="009542E0">
      <w:pPr>
        <w:pStyle w:val="Textonotapie"/>
        <w:snapToGrid w:val="0"/>
        <w:spacing w:after="120"/>
        <w:ind w:firstLine="709"/>
        <w:jc w:val="both"/>
        <w:rPr>
          <w:rFonts w:ascii="Verdana" w:hAnsi="Verdana" w:cs="Arial"/>
          <w:sz w:val="19"/>
          <w:szCs w:val="19"/>
          <w:lang w:val="es-CO"/>
        </w:rPr>
      </w:pPr>
      <w:r w:rsidRPr="00443A10">
        <w:rPr>
          <w:rFonts w:ascii="Verdana" w:hAnsi="Verdana" w:cs="Arial"/>
          <w:sz w:val="19"/>
          <w:szCs w:val="19"/>
          <w:lang w:val="es-CO"/>
        </w:rPr>
        <w:t>Los contratos que celebren los establecimientos públicos se rigen por las normas del Estatuto Contractual de las entidades estatales contenido en la Ley 80 de 1993 y las disposiciones que lo complementen, adicionen o modifiquen, sin perjuicio de lo dispuesto en las normas especiales</w:t>
      </w:r>
      <w:r w:rsidRPr="00443A10">
        <w:rPr>
          <w:rFonts w:ascii="Verdana" w:hAnsi="Verdana" w:cs="Arial"/>
          <w:color w:val="000000"/>
          <w:sz w:val="19"/>
          <w:szCs w:val="19"/>
        </w:rPr>
        <w:t>”</w:t>
      </w:r>
      <w:r w:rsidRPr="00443A10">
        <w:rPr>
          <w:rFonts w:ascii="Verdana" w:hAnsi="Verdana" w:cs="Arial"/>
          <w:sz w:val="19"/>
          <w:szCs w:val="19"/>
          <w:lang w:val="es-CO"/>
        </w:rPr>
        <w:t>.</w:t>
      </w:r>
    </w:p>
    <w:p w14:paraId="06B1772D" w14:textId="77777777" w:rsidR="009542E0" w:rsidRPr="00443A10" w:rsidRDefault="009542E0" w:rsidP="009542E0">
      <w:pPr>
        <w:pStyle w:val="Textonotapie"/>
        <w:snapToGrid w:val="0"/>
        <w:spacing w:after="120"/>
        <w:jc w:val="both"/>
        <w:rPr>
          <w:rFonts w:ascii="Verdana" w:hAnsi="Verdana"/>
          <w:sz w:val="19"/>
          <w:szCs w:val="19"/>
          <w:lang w:val="es-CO"/>
        </w:rPr>
      </w:pPr>
    </w:p>
  </w:footnote>
  <w:footnote w:id="28">
    <w:p w14:paraId="6135B6CA" w14:textId="77777777" w:rsidR="009542E0" w:rsidRPr="00443A10" w:rsidRDefault="009542E0" w:rsidP="009542E0">
      <w:pPr>
        <w:pStyle w:val="Textonotapie"/>
        <w:snapToGrid w:val="0"/>
        <w:spacing w:after="120"/>
        <w:ind w:firstLine="708"/>
        <w:jc w:val="both"/>
        <w:rPr>
          <w:rFonts w:ascii="Verdana" w:hAnsi="Verdana" w:cs="Arial"/>
          <w:sz w:val="19"/>
          <w:szCs w:val="19"/>
        </w:rPr>
      </w:pPr>
      <w:r w:rsidRPr="00443A10">
        <w:rPr>
          <w:rStyle w:val="Refdenotaalpie"/>
          <w:rFonts w:ascii="Verdana" w:hAnsi="Verdana" w:cs="Arial"/>
          <w:sz w:val="19"/>
          <w:szCs w:val="19"/>
        </w:rPr>
        <w:footnoteRef/>
      </w:r>
      <w:r w:rsidRPr="00443A10">
        <w:rPr>
          <w:rFonts w:ascii="Verdana" w:hAnsi="Verdana" w:cs="Arial"/>
          <w:sz w:val="19"/>
          <w:szCs w:val="19"/>
        </w:rPr>
        <w:t xml:space="preserve"> Conforme al literal a) del artículo 2.1 de la Ley 80 de 1993, se consideran entidades estatales </w:t>
      </w:r>
      <w:r>
        <w:rPr>
          <w:rFonts w:ascii="Verdana" w:hAnsi="Verdana" w:cs="Arial"/>
          <w:sz w:val="19"/>
          <w:szCs w:val="19"/>
        </w:rPr>
        <w:t>“</w:t>
      </w:r>
      <w:r w:rsidRPr="00443A10">
        <w:rPr>
          <w:rFonts w:ascii="Verdana" w:hAnsi="Verdana" w:cs="Arial"/>
          <w:sz w:val="19"/>
          <w:szCs w:val="19"/>
        </w:rPr>
        <w:t xml:space="preserve">La Nación, las regiones, los departamentos, las provincias, el Distrito Capital y los distritos especiales, las áreas metropolitanas, las asociaciones de municipios, los territorios indígenas y los municipios; </w:t>
      </w:r>
      <w:r w:rsidRPr="00443A10">
        <w:rPr>
          <w:rFonts w:ascii="Verdana" w:hAnsi="Verdana" w:cs="Arial"/>
          <w:i/>
          <w:iCs/>
          <w:sz w:val="19"/>
          <w:szCs w:val="19"/>
        </w:rPr>
        <w:t>los establecimientos públicos</w:t>
      </w:r>
      <w:r w:rsidRPr="00443A10">
        <w:rPr>
          <w:rFonts w:ascii="Verdana" w:hAnsi="Verdana" w:cs="Arial"/>
          <w:sz w:val="19"/>
          <w:szCs w:val="19"/>
        </w:rPr>
        <w:t>,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w:t>
      </w:r>
      <w:r>
        <w:rPr>
          <w:rFonts w:ascii="Verdana" w:hAnsi="Verdana" w:cs="Arial"/>
          <w:sz w:val="19"/>
          <w:szCs w:val="19"/>
        </w:rPr>
        <w:t>”</w:t>
      </w:r>
      <w:r w:rsidRPr="00443A10">
        <w:rPr>
          <w:rFonts w:ascii="Verdana" w:hAnsi="Verdana" w:cs="Arial"/>
          <w:sz w:val="19"/>
          <w:szCs w:val="19"/>
        </w:rPr>
        <w:t xml:space="preserve"> (Énfasis fuera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827985604">
    <w:abstractNumId w:val="9"/>
  </w:num>
  <w:num w:numId="17" w16cid:durableId="341274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446"/>
    <w:rsid w:val="00016F78"/>
    <w:rsid w:val="00046945"/>
    <w:rsid w:val="00061B2A"/>
    <w:rsid w:val="00082362"/>
    <w:rsid w:val="000A4E36"/>
    <w:rsid w:val="000A683E"/>
    <w:rsid w:val="000B19B9"/>
    <w:rsid w:val="000D0334"/>
    <w:rsid w:val="000D5DA7"/>
    <w:rsid w:val="000E188E"/>
    <w:rsid w:val="000F6486"/>
    <w:rsid w:val="00116940"/>
    <w:rsid w:val="00125105"/>
    <w:rsid w:val="00127233"/>
    <w:rsid w:val="0015699B"/>
    <w:rsid w:val="001814A0"/>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0E4D"/>
    <w:rsid w:val="003448F4"/>
    <w:rsid w:val="00374F5E"/>
    <w:rsid w:val="00377E3E"/>
    <w:rsid w:val="003A779E"/>
    <w:rsid w:val="003D0F4D"/>
    <w:rsid w:val="003D5B0D"/>
    <w:rsid w:val="003E0499"/>
    <w:rsid w:val="003E4F80"/>
    <w:rsid w:val="003E6439"/>
    <w:rsid w:val="003F3941"/>
    <w:rsid w:val="00400124"/>
    <w:rsid w:val="00406575"/>
    <w:rsid w:val="00414C74"/>
    <w:rsid w:val="0042722E"/>
    <w:rsid w:val="0044528D"/>
    <w:rsid w:val="00466E39"/>
    <w:rsid w:val="004A1847"/>
    <w:rsid w:val="004A305D"/>
    <w:rsid w:val="004F21C4"/>
    <w:rsid w:val="004F4352"/>
    <w:rsid w:val="004F685F"/>
    <w:rsid w:val="00512772"/>
    <w:rsid w:val="00541056"/>
    <w:rsid w:val="005566E8"/>
    <w:rsid w:val="00574867"/>
    <w:rsid w:val="00591460"/>
    <w:rsid w:val="00596007"/>
    <w:rsid w:val="005A3140"/>
    <w:rsid w:val="005A65E0"/>
    <w:rsid w:val="005C3777"/>
    <w:rsid w:val="005C5CDC"/>
    <w:rsid w:val="005D476C"/>
    <w:rsid w:val="006200BF"/>
    <w:rsid w:val="006219F8"/>
    <w:rsid w:val="006302F7"/>
    <w:rsid w:val="00646B9F"/>
    <w:rsid w:val="00663CE7"/>
    <w:rsid w:val="00665D70"/>
    <w:rsid w:val="006900D9"/>
    <w:rsid w:val="00706C16"/>
    <w:rsid w:val="007340C3"/>
    <w:rsid w:val="0075235A"/>
    <w:rsid w:val="00756841"/>
    <w:rsid w:val="007649AB"/>
    <w:rsid w:val="00771D0C"/>
    <w:rsid w:val="007833AC"/>
    <w:rsid w:val="007B268C"/>
    <w:rsid w:val="007B7171"/>
    <w:rsid w:val="007C0C0F"/>
    <w:rsid w:val="007C3DC2"/>
    <w:rsid w:val="007D65D9"/>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42E0"/>
    <w:rsid w:val="0095685E"/>
    <w:rsid w:val="00961B09"/>
    <w:rsid w:val="00965334"/>
    <w:rsid w:val="009662D3"/>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901C7"/>
    <w:rsid w:val="00AB0ADB"/>
    <w:rsid w:val="00B00C0E"/>
    <w:rsid w:val="00B01B1A"/>
    <w:rsid w:val="00B0381D"/>
    <w:rsid w:val="00B44A47"/>
    <w:rsid w:val="00B65A49"/>
    <w:rsid w:val="00B72CD3"/>
    <w:rsid w:val="00B72FFF"/>
    <w:rsid w:val="00BC3D36"/>
    <w:rsid w:val="00BD54A6"/>
    <w:rsid w:val="00BD7F72"/>
    <w:rsid w:val="00BF7425"/>
    <w:rsid w:val="00C04FB3"/>
    <w:rsid w:val="00C07E34"/>
    <w:rsid w:val="00C11D8B"/>
    <w:rsid w:val="00C15139"/>
    <w:rsid w:val="00C330EB"/>
    <w:rsid w:val="00C50D69"/>
    <w:rsid w:val="00C5365C"/>
    <w:rsid w:val="00C754BE"/>
    <w:rsid w:val="00C76B1C"/>
    <w:rsid w:val="00C925AC"/>
    <w:rsid w:val="00CB6357"/>
    <w:rsid w:val="00CC1B26"/>
    <w:rsid w:val="00CD25A9"/>
    <w:rsid w:val="00D361FD"/>
    <w:rsid w:val="00D423A2"/>
    <w:rsid w:val="00D44E26"/>
    <w:rsid w:val="00D520D8"/>
    <w:rsid w:val="00D63AC2"/>
    <w:rsid w:val="00D7383B"/>
    <w:rsid w:val="00D7788A"/>
    <w:rsid w:val="00DA231B"/>
    <w:rsid w:val="00DC39FC"/>
    <w:rsid w:val="00DF3033"/>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14326"/>
    <w:rsid w:val="00F23FEA"/>
    <w:rsid w:val="00F31EDC"/>
    <w:rsid w:val="00F462B3"/>
    <w:rsid w:val="00F5664F"/>
    <w:rsid w:val="00F666C4"/>
    <w:rsid w:val="00F76AFC"/>
    <w:rsid w:val="00FA0BF5"/>
    <w:rsid w:val="00FA47C0"/>
    <w:rsid w:val="00FB5DD1"/>
    <w:rsid w:val="00FC2B5D"/>
    <w:rsid w:val="00FF1449"/>
    <w:rsid w:val="00FF7963"/>
    <w:rsid w:val="071B8F93"/>
    <w:rsid w:val="0737F604"/>
    <w:rsid w:val="07C73DD1"/>
    <w:rsid w:val="09908A09"/>
    <w:rsid w:val="09AC7671"/>
    <w:rsid w:val="0E0AF0F4"/>
    <w:rsid w:val="0EFE6349"/>
    <w:rsid w:val="0FF4CCA8"/>
    <w:rsid w:val="13CFC91B"/>
    <w:rsid w:val="19A2EC2C"/>
    <w:rsid w:val="21779BE6"/>
    <w:rsid w:val="26BA2BB4"/>
    <w:rsid w:val="2859CA1B"/>
    <w:rsid w:val="2C4D2425"/>
    <w:rsid w:val="2C52402E"/>
    <w:rsid w:val="2EE1E026"/>
    <w:rsid w:val="2F44F38F"/>
    <w:rsid w:val="2F70FF3A"/>
    <w:rsid w:val="30821638"/>
    <w:rsid w:val="32A4F9CF"/>
    <w:rsid w:val="33A1FF93"/>
    <w:rsid w:val="356CEDFD"/>
    <w:rsid w:val="3C591AFD"/>
    <w:rsid w:val="42183F0A"/>
    <w:rsid w:val="4791E39B"/>
    <w:rsid w:val="50A7057B"/>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next w:val="Normal"/>
    <w:link w:val="Ttulo1Car"/>
    <w:uiPriority w:val="9"/>
    <w:qFormat/>
    <w:rsid w:val="009542E0"/>
    <w:pPr>
      <w:keepNext/>
      <w:keepLines/>
      <w:spacing w:before="240" w:after="0"/>
      <w:outlineLvl w:val="0"/>
    </w:pPr>
    <w:rPr>
      <w:rFonts w:ascii="Aptos Display" w:eastAsia="Times New Roman" w:hAnsi="Aptos Display" w:cs="Times New Roman"/>
      <w:color w:val="0F4761"/>
      <w:sz w:val="40"/>
      <w:szCs w:val="40"/>
    </w:rPr>
  </w:style>
  <w:style w:type="paragraph" w:styleId="Ttulo2">
    <w:name w:val="heading 2"/>
    <w:basedOn w:val="Normal"/>
    <w:next w:val="Normal"/>
    <w:link w:val="Ttulo2Car"/>
    <w:uiPriority w:val="9"/>
    <w:semiHidden/>
    <w:unhideWhenUsed/>
    <w:qFormat/>
    <w:rsid w:val="009542E0"/>
    <w:pPr>
      <w:keepNext/>
      <w:keepLines/>
      <w:spacing w:before="40" w:after="0"/>
      <w:outlineLvl w:val="1"/>
    </w:pPr>
    <w:rPr>
      <w:rFonts w:ascii="Aptos Display" w:eastAsia="Times New Roman" w:hAnsi="Aptos Display" w:cs="Times New Roman"/>
      <w:color w:val="0F4761"/>
      <w:sz w:val="32"/>
      <w:szCs w:val="32"/>
    </w:rPr>
  </w:style>
  <w:style w:type="paragraph" w:styleId="Ttulo3">
    <w:name w:val="heading 3"/>
    <w:basedOn w:val="Normal"/>
    <w:next w:val="Normal"/>
    <w:link w:val="Ttulo3Car"/>
    <w:uiPriority w:val="9"/>
    <w:semiHidden/>
    <w:unhideWhenUsed/>
    <w:qFormat/>
    <w:rsid w:val="009542E0"/>
    <w:pPr>
      <w:keepNext/>
      <w:keepLines/>
      <w:spacing w:before="40" w:after="0"/>
      <w:outlineLvl w:val="2"/>
    </w:pPr>
    <w:rPr>
      <w:rFonts w:eastAsia="Times New Roman" w:cs="Times New Roman"/>
      <w:color w:val="0F4761"/>
      <w:sz w:val="28"/>
      <w:szCs w:val="28"/>
    </w:rPr>
  </w:style>
  <w:style w:type="paragraph" w:styleId="Ttulo4">
    <w:name w:val="heading 4"/>
    <w:basedOn w:val="Normal"/>
    <w:next w:val="Normal"/>
    <w:link w:val="Ttulo4Car"/>
    <w:uiPriority w:val="9"/>
    <w:semiHidden/>
    <w:unhideWhenUsed/>
    <w:qFormat/>
    <w:rsid w:val="009542E0"/>
    <w:pPr>
      <w:keepNext/>
      <w:keepLines/>
      <w:spacing w:before="40" w:after="0"/>
      <w:outlineLvl w:val="3"/>
    </w:pPr>
    <w:rPr>
      <w:rFonts w:eastAsia="Times New Roman" w:cs="Times New Roman"/>
      <w:i/>
      <w:iCs/>
      <w:color w:val="0F4761"/>
    </w:rPr>
  </w:style>
  <w:style w:type="paragraph" w:styleId="Ttulo5">
    <w:name w:val="heading 5"/>
    <w:basedOn w:val="Normal"/>
    <w:next w:val="Normal"/>
    <w:link w:val="Ttulo5Car"/>
    <w:uiPriority w:val="9"/>
    <w:semiHidden/>
    <w:unhideWhenUsed/>
    <w:qFormat/>
    <w:rsid w:val="009542E0"/>
    <w:pPr>
      <w:keepNext/>
      <w:keepLines/>
      <w:spacing w:before="40" w:after="0"/>
      <w:outlineLvl w:val="4"/>
    </w:pPr>
    <w:rPr>
      <w:rFonts w:eastAsia="Times New Roman" w:cs="Times New Roman"/>
      <w:color w:val="0F4761"/>
    </w:rPr>
  </w:style>
  <w:style w:type="paragraph" w:styleId="Ttulo6">
    <w:name w:val="heading 6"/>
    <w:basedOn w:val="Normal"/>
    <w:next w:val="Normal"/>
    <w:link w:val="Ttulo6Car"/>
    <w:uiPriority w:val="9"/>
    <w:semiHidden/>
    <w:unhideWhenUsed/>
    <w:qFormat/>
    <w:rsid w:val="009542E0"/>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ar"/>
    <w:uiPriority w:val="9"/>
    <w:semiHidden/>
    <w:unhideWhenUsed/>
    <w:qFormat/>
    <w:rsid w:val="009542E0"/>
    <w:pPr>
      <w:keepNext/>
      <w:keepLines/>
      <w:spacing w:before="40" w:after="0"/>
      <w:outlineLvl w:val="6"/>
    </w:pPr>
    <w:rPr>
      <w:rFonts w:eastAsia="Times New Roman" w:cs="Times New Roman"/>
      <w:color w:val="595959"/>
    </w:rPr>
  </w:style>
  <w:style w:type="paragraph" w:styleId="Ttulo8">
    <w:name w:val="heading 8"/>
    <w:basedOn w:val="Normal"/>
    <w:next w:val="Normal"/>
    <w:link w:val="Ttulo8Car"/>
    <w:uiPriority w:val="9"/>
    <w:semiHidden/>
    <w:unhideWhenUsed/>
    <w:qFormat/>
    <w:rsid w:val="009542E0"/>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ar"/>
    <w:uiPriority w:val="9"/>
    <w:semiHidden/>
    <w:unhideWhenUsed/>
    <w:qFormat/>
    <w:rsid w:val="009542E0"/>
    <w:pPr>
      <w:keepNext/>
      <w:keepLines/>
      <w:spacing w:before="40" w:after="0"/>
      <w:outlineLvl w:val="8"/>
    </w:pPr>
    <w:rPr>
      <w:rFonts w:eastAsia="Times New Roman"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Ttulo11">
    <w:name w:val="Título 11"/>
    <w:basedOn w:val="Normal"/>
    <w:next w:val="Normal"/>
    <w:uiPriority w:val="9"/>
    <w:qFormat/>
    <w:rsid w:val="009542E0"/>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Ttulo21">
    <w:name w:val="Título 21"/>
    <w:basedOn w:val="Normal"/>
    <w:next w:val="Normal"/>
    <w:uiPriority w:val="9"/>
    <w:semiHidden/>
    <w:unhideWhenUsed/>
    <w:qFormat/>
    <w:rsid w:val="009542E0"/>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Ttulo31">
    <w:name w:val="Título 31"/>
    <w:basedOn w:val="Normal"/>
    <w:next w:val="Normal"/>
    <w:uiPriority w:val="9"/>
    <w:semiHidden/>
    <w:unhideWhenUsed/>
    <w:qFormat/>
    <w:rsid w:val="009542E0"/>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Ttulo41">
    <w:name w:val="Título 41"/>
    <w:basedOn w:val="Normal"/>
    <w:next w:val="Normal"/>
    <w:uiPriority w:val="9"/>
    <w:semiHidden/>
    <w:unhideWhenUsed/>
    <w:qFormat/>
    <w:rsid w:val="009542E0"/>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Ttulo51">
    <w:name w:val="Título 51"/>
    <w:basedOn w:val="Normal"/>
    <w:next w:val="Normal"/>
    <w:uiPriority w:val="9"/>
    <w:semiHidden/>
    <w:unhideWhenUsed/>
    <w:qFormat/>
    <w:rsid w:val="009542E0"/>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Ttulo61">
    <w:name w:val="Título 61"/>
    <w:basedOn w:val="Normal"/>
    <w:next w:val="Normal"/>
    <w:uiPriority w:val="9"/>
    <w:semiHidden/>
    <w:unhideWhenUsed/>
    <w:qFormat/>
    <w:rsid w:val="009542E0"/>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Ttulo71">
    <w:name w:val="Título 71"/>
    <w:basedOn w:val="Normal"/>
    <w:next w:val="Normal"/>
    <w:uiPriority w:val="9"/>
    <w:semiHidden/>
    <w:unhideWhenUsed/>
    <w:qFormat/>
    <w:rsid w:val="009542E0"/>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Ttulo81">
    <w:name w:val="Título 81"/>
    <w:basedOn w:val="Normal"/>
    <w:next w:val="Normal"/>
    <w:uiPriority w:val="9"/>
    <w:semiHidden/>
    <w:unhideWhenUsed/>
    <w:qFormat/>
    <w:rsid w:val="009542E0"/>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Ttulo91">
    <w:name w:val="Título 91"/>
    <w:basedOn w:val="Normal"/>
    <w:next w:val="Normal"/>
    <w:uiPriority w:val="9"/>
    <w:semiHidden/>
    <w:unhideWhenUsed/>
    <w:qFormat/>
    <w:rsid w:val="009542E0"/>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Sinlista1">
    <w:name w:val="Sin lista1"/>
    <w:next w:val="Sinlista"/>
    <w:uiPriority w:val="99"/>
    <w:semiHidden/>
    <w:unhideWhenUsed/>
    <w:rsid w:val="009542E0"/>
  </w:style>
  <w:style w:type="character" w:customStyle="1" w:styleId="Ttulo1Car">
    <w:name w:val="Título 1 Car"/>
    <w:basedOn w:val="Fuentedeprrafopredeter"/>
    <w:link w:val="Ttulo1"/>
    <w:uiPriority w:val="9"/>
    <w:rsid w:val="009542E0"/>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semiHidden/>
    <w:rsid w:val="009542E0"/>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uiPriority w:val="9"/>
    <w:semiHidden/>
    <w:rsid w:val="009542E0"/>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9542E0"/>
    <w:rPr>
      <w:rFonts w:eastAsia="Times New Roman" w:cs="Times New Roman"/>
      <w:i/>
      <w:iCs/>
      <w:color w:val="0F4761"/>
    </w:rPr>
  </w:style>
  <w:style w:type="character" w:customStyle="1" w:styleId="Ttulo5Car">
    <w:name w:val="Título 5 Car"/>
    <w:basedOn w:val="Fuentedeprrafopredeter"/>
    <w:link w:val="Ttulo5"/>
    <w:uiPriority w:val="9"/>
    <w:semiHidden/>
    <w:rsid w:val="009542E0"/>
    <w:rPr>
      <w:rFonts w:eastAsia="Times New Roman" w:cs="Times New Roman"/>
      <w:color w:val="0F4761"/>
    </w:rPr>
  </w:style>
  <w:style w:type="character" w:customStyle="1" w:styleId="Ttulo6Car">
    <w:name w:val="Título 6 Car"/>
    <w:basedOn w:val="Fuentedeprrafopredeter"/>
    <w:link w:val="Ttulo6"/>
    <w:uiPriority w:val="9"/>
    <w:semiHidden/>
    <w:rsid w:val="009542E0"/>
    <w:rPr>
      <w:rFonts w:eastAsia="Times New Roman" w:cs="Times New Roman"/>
      <w:i/>
      <w:iCs/>
      <w:color w:val="595959"/>
    </w:rPr>
  </w:style>
  <w:style w:type="character" w:customStyle="1" w:styleId="Ttulo7Car">
    <w:name w:val="Título 7 Car"/>
    <w:basedOn w:val="Fuentedeprrafopredeter"/>
    <w:link w:val="Ttulo7"/>
    <w:uiPriority w:val="9"/>
    <w:semiHidden/>
    <w:rsid w:val="009542E0"/>
    <w:rPr>
      <w:rFonts w:eastAsia="Times New Roman" w:cs="Times New Roman"/>
      <w:color w:val="595959"/>
    </w:rPr>
  </w:style>
  <w:style w:type="character" w:customStyle="1" w:styleId="Ttulo8Car">
    <w:name w:val="Título 8 Car"/>
    <w:basedOn w:val="Fuentedeprrafopredeter"/>
    <w:link w:val="Ttulo8"/>
    <w:uiPriority w:val="9"/>
    <w:semiHidden/>
    <w:rsid w:val="009542E0"/>
    <w:rPr>
      <w:rFonts w:eastAsia="Times New Roman" w:cs="Times New Roman"/>
      <w:i/>
      <w:iCs/>
      <w:color w:val="272727"/>
    </w:rPr>
  </w:style>
  <w:style w:type="character" w:customStyle="1" w:styleId="Ttulo9Car">
    <w:name w:val="Título 9 Car"/>
    <w:basedOn w:val="Fuentedeprrafopredeter"/>
    <w:link w:val="Ttulo9"/>
    <w:uiPriority w:val="9"/>
    <w:semiHidden/>
    <w:rsid w:val="009542E0"/>
    <w:rPr>
      <w:rFonts w:eastAsia="Times New Roman" w:cs="Times New Roman"/>
      <w:color w:val="272727"/>
    </w:rPr>
  </w:style>
  <w:style w:type="paragraph" w:customStyle="1" w:styleId="Subttulo1">
    <w:name w:val="Subtítulo1"/>
    <w:basedOn w:val="Normal"/>
    <w:next w:val="Normal"/>
    <w:uiPriority w:val="11"/>
    <w:qFormat/>
    <w:rsid w:val="009542E0"/>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tuloCar">
    <w:name w:val="Subtítulo Car"/>
    <w:basedOn w:val="Fuentedeprrafopredeter"/>
    <w:link w:val="Subttulo"/>
    <w:uiPriority w:val="11"/>
    <w:rsid w:val="009542E0"/>
    <w:rPr>
      <w:rFonts w:eastAsia="Times New Roman" w:cs="Times New Roman"/>
      <w:color w:val="595959"/>
      <w:spacing w:val="15"/>
      <w:sz w:val="28"/>
      <w:szCs w:val="28"/>
    </w:rPr>
  </w:style>
  <w:style w:type="paragraph" w:customStyle="1" w:styleId="Cita1">
    <w:name w:val="Cita1"/>
    <w:basedOn w:val="Normal"/>
    <w:next w:val="Normal"/>
    <w:uiPriority w:val="29"/>
    <w:qFormat/>
    <w:rsid w:val="009542E0"/>
    <w:pPr>
      <w:spacing w:before="160" w:line="278" w:lineRule="auto"/>
      <w:jc w:val="center"/>
    </w:pPr>
    <w:rPr>
      <w:i/>
      <w:iCs/>
      <w:color w:val="404040"/>
      <w:kern w:val="2"/>
      <w:sz w:val="24"/>
      <w:szCs w:val="24"/>
      <w14:ligatures w14:val="standardContextual"/>
    </w:rPr>
  </w:style>
  <w:style w:type="character" w:customStyle="1" w:styleId="CitaCar">
    <w:name w:val="Cita Car"/>
    <w:basedOn w:val="Fuentedeprrafopredeter"/>
    <w:link w:val="Cita"/>
    <w:uiPriority w:val="29"/>
    <w:rsid w:val="009542E0"/>
    <w:rPr>
      <w:i/>
      <w:iCs/>
      <w:color w:val="404040"/>
    </w:rPr>
  </w:style>
  <w:style w:type="character" w:customStyle="1" w:styleId="nfasisintenso1">
    <w:name w:val="Énfasis intenso1"/>
    <w:basedOn w:val="Fuentedeprrafopredeter"/>
    <w:uiPriority w:val="21"/>
    <w:qFormat/>
    <w:rsid w:val="009542E0"/>
    <w:rPr>
      <w:i/>
      <w:iCs/>
      <w:color w:val="0F4761"/>
    </w:rPr>
  </w:style>
  <w:style w:type="paragraph" w:customStyle="1" w:styleId="Citadestacada1">
    <w:name w:val="Cita destacada1"/>
    <w:basedOn w:val="Normal"/>
    <w:next w:val="Normal"/>
    <w:uiPriority w:val="30"/>
    <w:qFormat/>
    <w:rsid w:val="009542E0"/>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CitadestacadaCar">
    <w:name w:val="Cita destacada Car"/>
    <w:basedOn w:val="Fuentedeprrafopredeter"/>
    <w:link w:val="Citadestacada"/>
    <w:uiPriority w:val="30"/>
    <w:rsid w:val="009542E0"/>
    <w:rPr>
      <w:i/>
      <w:iCs/>
      <w:color w:val="0F4761"/>
    </w:rPr>
  </w:style>
  <w:style w:type="character" w:customStyle="1" w:styleId="Referenciaintensa1">
    <w:name w:val="Referencia intensa1"/>
    <w:basedOn w:val="Fuentedeprrafopredeter"/>
    <w:uiPriority w:val="32"/>
    <w:qFormat/>
    <w:rsid w:val="009542E0"/>
    <w:rPr>
      <w:b/>
      <w:bCs/>
      <w:smallCaps/>
      <w:color w:val="0F4761"/>
      <w:spacing w:val="5"/>
    </w:rPr>
  </w:style>
  <w:style w:type="table" w:customStyle="1" w:styleId="Tablaconcuadrcula1">
    <w:name w:val="Tabla con cuadrícula1"/>
    <w:basedOn w:val="Tablanormal"/>
    <w:next w:val="Tablaconcuadrcula"/>
    <w:uiPriority w:val="39"/>
    <w:qFormat/>
    <w:rsid w:val="00954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9542E0"/>
    <w:pPr>
      <w:spacing w:after="0" w:line="240" w:lineRule="exact"/>
    </w:pPr>
    <w:rPr>
      <w:vertAlign w:val="superscript"/>
    </w:rPr>
  </w:style>
  <w:style w:type="character" w:styleId="Fuerte">
    <w:name w:val="Strong"/>
    <w:basedOn w:val="Fuentedeprrafopredeter"/>
    <w:uiPriority w:val="22"/>
    <w:qFormat/>
    <w:rsid w:val="009542E0"/>
    <w:rPr>
      <w:b/>
      <w:bCs/>
    </w:rPr>
  </w:style>
  <w:style w:type="character" w:customStyle="1" w:styleId="apple-converted-space">
    <w:name w:val="apple-converted-space"/>
    <w:basedOn w:val="Fuentedeprrafopredeter"/>
    <w:rsid w:val="009542E0"/>
  </w:style>
  <w:style w:type="paragraph" w:customStyle="1" w:styleId="font-claude-response-body">
    <w:name w:val="font-claude-response-body"/>
    <w:basedOn w:val="Normal"/>
    <w:rsid w:val="009542E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1">
    <w:name w:val="Título 1 Car1"/>
    <w:basedOn w:val="Fuentedeprrafopredeter"/>
    <w:uiPriority w:val="9"/>
    <w:rsid w:val="009542E0"/>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9542E0"/>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9542E0"/>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9542E0"/>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9542E0"/>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9542E0"/>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9542E0"/>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9542E0"/>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9542E0"/>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ar"/>
    <w:uiPriority w:val="11"/>
    <w:qFormat/>
    <w:rsid w:val="009542E0"/>
    <w:pPr>
      <w:numPr>
        <w:ilvl w:val="1"/>
      </w:numPr>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9542E0"/>
    <w:rPr>
      <w:rFonts w:eastAsiaTheme="minorEastAsia"/>
      <w:color w:val="5A5A5A" w:themeColor="text1" w:themeTint="A5"/>
      <w:spacing w:val="15"/>
    </w:rPr>
  </w:style>
  <w:style w:type="paragraph" w:styleId="Cita">
    <w:name w:val="Quote"/>
    <w:basedOn w:val="Normal"/>
    <w:next w:val="Normal"/>
    <w:link w:val="CitaCar"/>
    <w:uiPriority w:val="29"/>
    <w:qFormat/>
    <w:rsid w:val="009542E0"/>
    <w:pPr>
      <w:spacing w:before="200"/>
      <w:ind w:left="864" w:right="864"/>
      <w:jc w:val="center"/>
    </w:pPr>
    <w:rPr>
      <w:i/>
      <w:iCs/>
      <w:color w:val="404040"/>
    </w:rPr>
  </w:style>
  <w:style w:type="character" w:customStyle="1" w:styleId="CitaCar1">
    <w:name w:val="Cita Car1"/>
    <w:basedOn w:val="Fuentedeprrafopredeter"/>
    <w:uiPriority w:val="29"/>
    <w:rsid w:val="009542E0"/>
    <w:rPr>
      <w:i/>
      <w:iCs/>
      <w:color w:val="404040" w:themeColor="text1" w:themeTint="BF"/>
    </w:rPr>
  </w:style>
  <w:style w:type="character" w:styleId="nfasisintenso">
    <w:name w:val="Intense Emphasis"/>
    <w:basedOn w:val="Fuentedeprrafopredeter"/>
    <w:uiPriority w:val="21"/>
    <w:qFormat/>
    <w:rsid w:val="009542E0"/>
    <w:rPr>
      <w:i/>
      <w:iCs/>
      <w:color w:val="4472C4" w:themeColor="accent1"/>
    </w:rPr>
  </w:style>
  <w:style w:type="paragraph" w:styleId="Citadestacada">
    <w:name w:val="Intense Quote"/>
    <w:basedOn w:val="Normal"/>
    <w:next w:val="Normal"/>
    <w:link w:val="CitadestacadaCar"/>
    <w:uiPriority w:val="30"/>
    <w:qFormat/>
    <w:rsid w:val="009542E0"/>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1">
    <w:name w:val="Cita destacada Car1"/>
    <w:basedOn w:val="Fuentedeprrafopredeter"/>
    <w:uiPriority w:val="30"/>
    <w:rsid w:val="009542E0"/>
    <w:rPr>
      <w:i/>
      <w:iCs/>
      <w:color w:val="4472C4" w:themeColor="accent1"/>
    </w:rPr>
  </w:style>
  <w:style w:type="character" w:styleId="Referenciaintensa">
    <w:name w:val="Intense Reference"/>
    <w:basedOn w:val="Fuentedeprrafopredeter"/>
    <w:uiPriority w:val="32"/>
    <w:qFormat/>
    <w:rsid w:val="009542E0"/>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documentos-tipo/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2B5170-0AE4-43C8-A58E-AA77E7200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15</TotalTime>
  <Pages>39</Pages>
  <Words>13388</Words>
  <Characters>73638</Characters>
  <Application>Microsoft Office Word</Application>
  <DocSecurity>0</DocSecurity>
  <Lines>613</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2026-09-07T19:57:00Z</dcterms:created>
  <dcterms:modified xsi:type="dcterms:W3CDTF">2026-09-08T14:27:00Z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