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18BF7"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COMPETENCIA PARA CONTRATAR – Titularidad – Jefe o representante legal – Dependencias</w:t>
      </w:r>
    </w:p>
    <w:p w14:paraId="7C2375BE" w14:textId="77777777" w:rsidR="004A0841" w:rsidRDefault="004A0841" w:rsidP="00751DE8">
      <w:pPr>
        <w:spacing w:after="0" w:line="240" w:lineRule="auto"/>
        <w:jc w:val="both"/>
        <w:rPr>
          <w:rFonts w:ascii="Verdana" w:hAnsi="Verdana" w:cs="Arial"/>
          <w:b/>
          <w:bCs/>
          <w:color w:val="000000"/>
          <w:lang w:val="es-ES"/>
        </w:rPr>
      </w:pPr>
    </w:p>
    <w:p w14:paraId="7768F341"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artículo 11 de la Ley 80 de 1993 definió la competencia para dirigir los procesos de selección y suscribir los contratos estatales centralizándola en determinadas autoridades: conforme a su numeral 1, la competencia para ordenar y dirigir la celebración de licitaciones y para escoger contratistas es del jefe o representante de la entidad. La competencia contractual es, por tanto, de la entidad estatal y no de sus dependencias. Las dependencias no son sujetos de la relación contractual ni titulares de una competencia propia para contratar: intervienen en la formación de la voluntad de la entidad conforme a la organización interna que esta adopte.</w:t>
      </w:r>
    </w:p>
    <w:p w14:paraId="104900C6" w14:textId="77777777" w:rsidR="004A0841" w:rsidRDefault="004A0841" w:rsidP="00751DE8">
      <w:pPr>
        <w:spacing w:after="0" w:line="240" w:lineRule="auto"/>
        <w:jc w:val="both"/>
        <w:rPr>
          <w:rFonts w:ascii="Verdana" w:hAnsi="Verdana" w:cs="Arial"/>
          <w:b/>
          <w:bCs/>
          <w:color w:val="000000"/>
          <w:lang w:val="es-ES"/>
        </w:rPr>
      </w:pPr>
    </w:p>
    <w:p w14:paraId="5BAF5EA8"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DELEGACIÓN Y DESCONCENTRACIÓN – Artículo 12 de la Ley 80 de 1993 – Acto formal</w:t>
      </w:r>
    </w:p>
    <w:p w14:paraId="71CF2BBE" w14:textId="77777777" w:rsidR="004A0841" w:rsidRDefault="004A0841" w:rsidP="00751DE8">
      <w:pPr>
        <w:spacing w:after="0" w:line="240" w:lineRule="auto"/>
        <w:jc w:val="both"/>
        <w:rPr>
          <w:rFonts w:ascii="Verdana" w:hAnsi="Verdana" w:cs="Arial"/>
          <w:b/>
          <w:bCs/>
          <w:color w:val="000000"/>
          <w:lang w:val="es-ES"/>
        </w:rPr>
      </w:pPr>
    </w:p>
    <w:p w14:paraId="33CE1AA0"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Los jefes y representantes legales de las entidades estatales pueden delegar total o parcialmente la competencia para celebrar contratos y desconcentrar la realización de licitaciones en servidores públicos que desempeñen cargos del nivel directivo o ejecutivo o en sus equivalentes, conforme a los artículos 12 de la Ley 80 de 1993 —modificado por el artículo 21 de la Ley 1150 de 2007— y 9 de la Ley 489 de 1998. La delegación de la función contractual no tiene naturaleza contractual sino que se relaciona con la competencia como presupuesto de la actuación administrativa, y requiere un acto formal de delegación. La desconcentración, en cambio, es la distribución adecuada del trabajo del jefe o representante legal, sin autonomía administrativa en su ejercicio.</w:t>
      </w:r>
    </w:p>
    <w:p w14:paraId="04E036AF" w14:textId="77777777" w:rsidR="004A0841" w:rsidRDefault="004A0841" w:rsidP="00751DE8">
      <w:pPr>
        <w:spacing w:after="0" w:line="240" w:lineRule="auto"/>
        <w:jc w:val="both"/>
        <w:rPr>
          <w:rFonts w:ascii="Verdana" w:hAnsi="Verdana" w:cs="Arial"/>
          <w:b/>
          <w:bCs/>
          <w:color w:val="000000"/>
          <w:lang w:val="es-ES"/>
        </w:rPr>
      </w:pPr>
    </w:p>
    <w:p w14:paraId="289E80C9"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ESTRUCTURA ADMINISTRATIVA – Decreto de estructura – Alcance frente a la actividad contractual</w:t>
      </w:r>
    </w:p>
    <w:p w14:paraId="63BF751C" w14:textId="77777777" w:rsidR="004A0841" w:rsidRDefault="004A0841" w:rsidP="00751DE8">
      <w:pPr>
        <w:spacing w:after="0" w:line="240" w:lineRule="auto"/>
        <w:jc w:val="both"/>
        <w:rPr>
          <w:rFonts w:ascii="Verdana" w:hAnsi="Verdana" w:cs="Arial"/>
          <w:b/>
          <w:bCs/>
          <w:color w:val="000000"/>
          <w:lang w:val="es-ES"/>
        </w:rPr>
      </w:pPr>
    </w:p>
    <w:p w14:paraId="42FCA80F"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decreto que fija la estructura de una entidad estatal distribuye funciones entre dependencias, pero no fragmenta ni distribuye la competencia para contratar, que la ley radica en el jefe o representante legal. Ese decreto es relevante para la actividad contractual en dos planos distintos: como referente para verificar que la actividad contratada corresponde a la administración o al funcionamiento de la entidad, y como insumo técnico para justificar la necesidad en los estudios previos. No opera, en cambio, como norma atributiva de competencia contractual entre dependencias.</w:t>
      </w:r>
    </w:p>
    <w:p w14:paraId="71C82F13" w14:textId="77777777" w:rsidR="004A0841" w:rsidRDefault="004A0841" w:rsidP="00751DE8">
      <w:pPr>
        <w:spacing w:after="0" w:line="240" w:lineRule="auto"/>
        <w:jc w:val="both"/>
        <w:rPr>
          <w:rFonts w:ascii="Verdana" w:hAnsi="Verdana" w:cs="Arial"/>
          <w:b/>
          <w:bCs/>
          <w:color w:val="000000"/>
          <w:lang w:val="es-ES"/>
        </w:rPr>
      </w:pPr>
    </w:p>
    <w:p w14:paraId="27C2CDC3"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CONTRATO DE PRESTACIÓN DE SERVICIOS – Actividades relacionadas con la administración o el funcionamiento de la entidad</w:t>
      </w:r>
    </w:p>
    <w:p w14:paraId="775C6DDB" w14:textId="77777777" w:rsidR="004A0841" w:rsidRDefault="004A0841" w:rsidP="00751DE8">
      <w:pPr>
        <w:spacing w:after="0" w:line="240" w:lineRule="auto"/>
        <w:jc w:val="both"/>
        <w:rPr>
          <w:rFonts w:ascii="Verdana" w:hAnsi="Verdana" w:cs="Arial"/>
          <w:b/>
          <w:bCs/>
          <w:color w:val="000000"/>
          <w:lang w:val="es-ES"/>
        </w:rPr>
      </w:pPr>
    </w:p>
    <w:p w14:paraId="2FEF575B"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 xml:space="preserve">Conforme al numeral 3 del artículo 32 de la Ley 80 de 1993, el contrato de prestación de servicios solo puede celebrarse para desarrollar actividades relacionadas con la administración o el funcionamiento de la entidad, es decir, que hagan parte de su giro ordinario. El referente de esa correspondencia es la entidad considerada como un todo y no una dependencia en particular, de modo que el hecho de que las actividades </w:t>
      </w:r>
      <w:r>
        <w:rPr>
          <w:rFonts w:ascii="Verdana" w:hAnsi="Verdana" w:cs="Arial"/>
          <w:bCs/>
          <w:color w:val="000000"/>
          <w:sz w:val="20"/>
          <w:lang w:val="es-ES"/>
        </w:rPr>
        <w:lastRenderedPageBreak/>
        <w:t>contratadas se relacionen con funciones asignadas a una dependencia distinta de la que estructuró el proceso no las sitúa, por esa sola razón, fuera del ámbito del precepto.</w:t>
      </w:r>
    </w:p>
    <w:p w14:paraId="0BF70E03" w14:textId="77777777" w:rsidR="004A0841" w:rsidRDefault="004A0841" w:rsidP="00751DE8">
      <w:pPr>
        <w:spacing w:after="0" w:line="240" w:lineRule="auto"/>
        <w:jc w:val="both"/>
        <w:rPr>
          <w:rFonts w:ascii="Verdana" w:hAnsi="Verdana" w:cs="Arial"/>
          <w:b/>
          <w:bCs/>
          <w:color w:val="000000"/>
          <w:lang w:val="es-ES"/>
        </w:rPr>
      </w:pPr>
    </w:p>
    <w:p w14:paraId="1FE1354D"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DEBER DE PLANEACIÓN – Correspondencia entre necesidad, objeto y obligaciones</w:t>
      </w:r>
    </w:p>
    <w:p w14:paraId="1DC684E5" w14:textId="77777777" w:rsidR="004A0841" w:rsidRDefault="004A0841" w:rsidP="00751DE8">
      <w:pPr>
        <w:spacing w:after="0" w:line="240" w:lineRule="auto"/>
        <w:jc w:val="both"/>
        <w:rPr>
          <w:rFonts w:ascii="Verdana" w:hAnsi="Verdana" w:cs="Arial"/>
          <w:b/>
          <w:bCs/>
          <w:color w:val="000000"/>
          <w:lang w:val="es-ES"/>
        </w:rPr>
      </w:pPr>
    </w:p>
    <w:p w14:paraId="63E50853"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Estatuto General de Contratación de la Administración Pública sí impone un deber de correspondencia, pero entre términos precisos: la necesidad que la entidad justifica en los estudios previos, el objeto que contrata y las obligaciones que pacta. Los numerales 7 y 12 del artículo 25 de la Ley 80 de 1993 y el artículo 2.2.1.1.2.1.1 del Decreto 1082 de 2015 exigen describir la necesidad que la Entidad Estatal pretende satisfacer y el objeto a contratar con sus especificaciones. La divergencia entre el objeto enunciado y las obligaciones efectivamente pactadas configura un defecto de los estudios previos, con independencia de la dependencia que haya estructurado el proceso.</w:t>
      </w:r>
    </w:p>
    <w:p w14:paraId="5033031F" w14:textId="77777777" w:rsidR="002B1315" w:rsidRDefault="002B1315" w:rsidP="00662087">
      <w:pPr>
        <w:spacing w:after="0" w:line="240" w:lineRule="auto"/>
        <w:rPr>
          <w:rFonts w:ascii="Verdana" w:eastAsia="Verdana" w:hAnsi="Verdana" w:cs="Verdana"/>
        </w:rPr>
      </w:pPr>
    </w:p>
    <w:p w14:paraId="78494851" w14:textId="77777777" w:rsidR="00E1449C" w:rsidRDefault="00E1449C" w:rsidP="00662087">
      <w:pPr>
        <w:spacing w:after="0" w:line="240" w:lineRule="auto"/>
        <w:rPr>
          <w:rFonts w:ascii="Verdana" w:eastAsia="Verdana" w:hAnsi="Verdana" w:cs="Verdana"/>
        </w:rPr>
      </w:pPr>
    </w:p>
    <w:p w14:paraId="6BB1BA14" w14:textId="77777777" w:rsidR="00FE79ED" w:rsidRDefault="00FE79ED" w:rsidP="00662087">
      <w:pPr>
        <w:spacing w:after="0" w:line="240" w:lineRule="auto"/>
        <w:rPr>
          <w:rFonts w:ascii="Verdana" w:eastAsia="Verdana" w:hAnsi="Verdana" w:cs="Verdana"/>
        </w:rPr>
      </w:pPr>
    </w:p>
    <w:p w14:paraId="56DFA5CB" w14:textId="77777777" w:rsidR="00FE79ED" w:rsidRDefault="00FE79ED" w:rsidP="00662087">
      <w:pPr>
        <w:spacing w:after="0" w:line="240" w:lineRule="auto"/>
        <w:rPr>
          <w:rFonts w:ascii="Verdana" w:eastAsia="Verdana" w:hAnsi="Verdana" w:cs="Verdana"/>
        </w:rPr>
      </w:pPr>
    </w:p>
    <w:p w14:paraId="5506F8B4" w14:textId="77777777" w:rsidR="00FE79ED" w:rsidRDefault="00FE79ED" w:rsidP="00662087">
      <w:pPr>
        <w:spacing w:after="0" w:line="240" w:lineRule="auto"/>
        <w:rPr>
          <w:rFonts w:ascii="Verdana" w:eastAsia="Verdana" w:hAnsi="Verdana" w:cs="Verdana"/>
        </w:rPr>
      </w:pPr>
    </w:p>
    <w:p w14:paraId="543BC7E7" w14:textId="77777777" w:rsidR="00FE79ED" w:rsidRDefault="00FE79ED" w:rsidP="00662087">
      <w:pPr>
        <w:spacing w:after="0" w:line="240" w:lineRule="auto"/>
        <w:rPr>
          <w:rFonts w:ascii="Verdana" w:eastAsia="Verdana" w:hAnsi="Verdana" w:cs="Verdana"/>
        </w:rPr>
      </w:pPr>
    </w:p>
    <w:p w14:paraId="464DEE3E" w14:textId="77777777" w:rsidR="00FE79ED" w:rsidRDefault="00FE79ED" w:rsidP="00662087">
      <w:pPr>
        <w:spacing w:after="0" w:line="240" w:lineRule="auto"/>
        <w:rPr>
          <w:rFonts w:ascii="Verdana" w:eastAsia="Verdana" w:hAnsi="Verdana" w:cs="Verdana"/>
        </w:rPr>
      </w:pPr>
    </w:p>
    <w:p w14:paraId="08192255" w14:textId="77777777" w:rsidR="00FE79ED" w:rsidRDefault="00FE79ED" w:rsidP="00662087">
      <w:pPr>
        <w:spacing w:after="0" w:line="240" w:lineRule="auto"/>
        <w:rPr>
          <w:rFonts w:ascii="Verdana" w:eastAsia="Verdana" w:hAnsi="Verdana" w:cs="Verdana"/>
        </w:rPr>
      </w:pPr>
    </w:p>
    <w:p w14:paraId="03C4E01A" w14:textId="77777777" w:rsidR="00FE79ED" w:rsidRDefault="00FE79ED" w:rsidP="00662087">
      <w:pPr>
        <w:spacing w:after="0" w:line="240" w:lineRule="auto"/>
        <w:rPr>
          <w:rFonts w:ascii="Verdana" w:eastAsia="Verdana" w:hAnsi="Verdana" w:cs="Verdana"/>
        </w:rPr>
      </w:pPr>
    </w:p>
    <w:p w14:paraId="56D21ADC" w14:textId="77777777" w:rsidR="00FE79ED" w:rsidRDefault="00FE79ED" w:rsidP="00662087">
      <w:pPr>
        <w:spacing w:after="0" w:line="240" w:lineRule="auto"/>
        <w:rPr>
          <w:rFonts w:ascii="Verdana" w:eastAsia="Verdana" w:hAnsi="Verdana" w:cs="Verdana"/>
        </w:rPr>
      </w:pPr>
    </w:p>
    <w:p w14:paraId="7941DBE0" w14:textId="77777777" w:rsidR="00FE79ED" w:rsidRDefault="00FE79ED" w:rsidP="00662087">
      <w:pPr>
        <w:spacing w:after="0" w:line="240" w:lineRule="auto"/>
        <w:rPr>
          <w:rFonts w:ascii="Verdana" w:eastAsia="Verdana" w:hAnsi="Verdana" w:cs="Verdana"/>
        </w:rPr>
      </w:pPr>
    </w:p>
    <w:p w14:paraId="1B68116B" w14:textId="77777777" w:rsidR="00FE79ED" w:rsidRDefault="00FE79ED" w:rsidP="00662087">
      <w:pPr>
        <w:spacing w:after="0" w:line="240" w:lineRule="auto"/>
        <w:rPr>
          <w:rFonts w:ascii="Verdana" w:eastAsia="Verdana" w:hAnsi="Verdana" w:cs="Verdana"/>
        </w:rPr>
      </w:pPr>
    </w:p>
    <w:p w14:paraId="4041D22D" w14:textId="77777777" w:rsidR="00FE79ED" w:rsidRDefault="00FE79ED" w:rsidP="00662087">
      <w:pPr>
        <w:spacing w:after="0" w:line="240" w:lineRule="auto"/>
        <w:rPr>
          <w:rFonts w:ascii="Verdana" w:eastAsia="Verdana" w:hAnsi="Verdana" w:cs="Verdana"/>
        </w:rPr>
      </w:pPr>
    </w:p>
    <w:p w14:paraId="151DE13C" w14:textId="77777777" w:rsidR="00FE79ED" w:rsidRDefault="00FE79ED" w:rsidP="00662087">
      <w:pPr>
        <w:spacing w:after="0" w:line="240" w:lineRule="auto"/>
        <w:rPr>
          <w:rFonts w:ascii="Verdana" w:eastAsia="Verdana" w:hAnsi="Verdana" w:cs="Verdana"/>
        </w:rPr>
      </w:pPr>
    </w:p>
    <w:p w14:paraId="2D35E094" w14:textId="77777777" w:rsidR="00FE79ED" w:rsidRDefault="00FE79ED" w:rsidP="00662087">
      <w:pPr>
        <w:spacing w:after="0" w:line="240" w:lineRule="auto"/>
        <w:rPr>
          <w:rFonts w:ascii="Verdana" w:eastAsia="Verdana" w:hAnsi="Verdana" w:cs="Verdana"/>
        </w:rPr>
      </w:pPr>
    </w:p>
    <w:p w14:paraId="0B250A11" w14:textId="77777777" w:rsidR="00FE79ED" w:rsidRDefault="00FE79ED" w:rsidP="00662087">
      <w:pPr>
        <w:spacing w:after="0" w:line="240" w:lineRule="auto"/>
        <w:rPr>
          <w:rFonts w:ascii="Verdana" w:eastAsia="Verdana" w:hAnsi="Verdana" w:cs="Verdana"/>
        </w:rPr>
      </w:pPr>
    </w:p>
    <w:p w14:paraId="43EA9989" w14:textId="77777777" w:rsidR="00FE79ED" w:rsidRDefault="00FE79ED" w:rsidP="00662087">
      <w:pPr>
        <w:spacing w:after="0" w:line="240" w:lineRule="auto"/>
        <w:rPr>
          <w:rFonts w:ascii="Verdana" w:eastAsia="Verdana" w:hAnsi="Verdana" w:cs="Verdana"/>
        </w:rPr>
      </w:pPr>
    </w:p>
    <w:p w14:paraId="17337776" w14:textId="77777777" w:rsidR="00FE79ED" w:rsidRDefault="00FE79ED" w:rsidP="00662087">
      <w:pPr>
        <w:spacing w:after="0" w:line="240" w:lineRule="auto"/>
        <w:rPr>
          <w:rFonts w:ascii="Verdana" w:eastAsia="Verdana" w:hAnsi="Verdana" w:cs="Verdana"/>
        </w:rPr>
      </w:pPr>
    </w:p>
    <w:p w14:paraId="765AB17E" w14:textId="77777777" w:rsidR="00FE79ED" w:rsidRDefault="00FE79ED" w:rsidP="00662087">
      <w:pPr>
        <w:spacing w:after="0" w:line="240" w:lineRule="auto"/>
        <w:rPr>
          <w:rFonts w:ascii="Verdana" w:eastAsia="Verdana" w:hAnsi="Verdana" w:cs="Verdana"/>
        </w:rPr>
      </w:pPr>
    </w:p>
    <w:p w14:paraId="203A7393" w14:textId="77777777" w:rsidR="00FE79ED" w:rsidRDefault="00FE79ED" w:rsidP="00662087">
      <w:pPr>
        <w:spacing w:after="0" w:line="240" w:lineRule="auto"/>
        <w:rPr>
          <w:rFonts w:ascii="Verdana" w:eastAsia="Verdana" w:hAnsi="Verdana" w:cs="Verdana"/>
        </w:rPr>
      </w:pPr>
    </w:p>
    <w:p w14:paraId="6310656E" w14:textId="77777777" w:rsidR="00FE79ED" w:rsidRDefault="00FE79ED" w:rsidP="00662087">
      <w:pPr>
        <w:spacing w:after="0" w:line="240" w:lineRule="auto"/>
        <w:rPr>
          <w:rFonts w:ascii="Verdana" w:eastAsia="Verdana" w:hAnsi="Verdana" w:cs="Verdana"/>
        </w:rPr>
      </w:pPr>
    </w:p>
    <w:p w14:paraId="10515093" w14:textId="77777777" w:rsidR="00FE79ED" w:rsidRDefault="00FE79ED" w:rsidP="00662087">
      <w:pPr>
        <w:spacing w:after="0" w:line="240" w:lineRule="auto"/>
        <w:rPr>
          <w:rFonts w:ascii="Verdana" w:eastAsia="Verdana" w:hAnsi="Verdana" w:cs="Verdana"/>
        </w:rPr>
      </w:pPr>
    </w:p>
    <w:p w14:paraId="26FC63A7" w14:textId="77777777" w:rsidR="00FE79ED" w:rsidRDefault="00FE79ED" w:rsidP="00662087">
      <w:pPr>
        <w:spacing w:after="0" w:line="240" w:lineRule="auto"/>
        <w:rPr>
          <w:rFonts w:ascii="Verdana" w:eastAsia="Verdana" w:hAnsi="Verdana" w:cs="Verdana"/>
        </w:rPr>
      </w:pPr>
    </w:p>
    <w:p w14:paraId="62C2C629" w14:textId="7694D7E7" w:rsidR="00FE79ED" w:rsidRDefault="00FE79ED" w:rsidP="00662087">
      <w:pPr>
        <w:spacing w:after="0" w:line="240" w:lineRule="auto"/>
        <w:rPr>
          <w:rFonts w:ascii="Verdana" w:eastAsia="Verdana" w:hAnsi="Verdana" w:cs="Verdana"/>
        </w:rPr>
      </w:pPr>
    </w:p>
    <w:p w14:paraId="342BB17D" w14:textId="77777777" w:rsidR="00FE79ED" w:rsidRDefault="00FE79ED" w:rsidP="00662087">
      <w:pPr>
        <w:spacing w:after="0" w:line="240" w:lineRule="auto"/>
        <w:rPr>
          <w:rFonts w:ascii="Verdana" w:eastAsia="Verdana" w:hAnsi="Verdana" w:cs="Verdana"/>
        </w:rPr>
      </w:pPr>
    </w:p>
    <w:p w14:paraId="68C30FCC" w14:textId="77777777" w:rsidR="00FE79ED" w:rsidRDefault="00FE79ED" w:rsidP="00662087">
      <w:pPr>
        <w:spacing w:after="0" w:line="240" w:lineRule="auto"/>
        <w:rPr>
          <w:rFonts w:ascii="Verdana" w:eastAsia="Verdana" w:hAnsi="Verdana" w:cs="Verdana"/>
        </w:rPr>
      </w:pPr>
    </w:p>
    <w:p w14:paraId="6196F07D" w14:textId="77777777" w:rsidR="00FE79ED" w:rsidRDefault="00FE79ED" w:rsidP="00662087">
      <w:pPr>
        <w:spacing w:after="0" w:line="240" w:lineRule="auto"/>
        <w:rPr>
          <w:rFonts w:ascii="Verdana" w:eastAsia="Verdana" w:hAnsi="Verdana" w:cs="Verdana"/>
        </w:rPr>
      </w:pPr>
    </w:p>
    <w:p w14:paraId="2E684AA8" w14:textId="77777777" w:rsidR="00751DE8" w:rsidRDefault="00751DE8" w:rsidP="00662087">
      <w:pPr>
        <w:spacing w:after="0" w:line="240" w:lineRule="auto"/>
        <w:rPr>
          <w:rFonts w:ascii="Verdana" w:eastAsia="Verdana" w:hAnsi="Verdana" w:cs="Verdana"/>
        </w:rPr>
      </w:pPr>
    </w:p>
    <w:p w14:paraId="3E196AB5" w14:textId="6CFAAE04" w:rsidR="00DC1EFB" w:rsidRPr="00FE79ED" w:rsidRDefault="00CB0829" w:rsidP="00FE79ED">
      <w:pPr>
        <w:spacing w:after="0" w:line="240" w:lineRule="auto"/>
        <w:jc w:val="both"/>
        <w:rPr>
          <w:rFonts w:ascii="Verdana" w:eastAsia="Calibri" w:hAnsi="Verdana" w:cs="Arial"/>
          <w:color w:val="000000"/>
          <w:lang w:val="es-ES"/>
        </w:rPr>
      </w:pPr>
      <w:r w:rsidRPr="00BF7921">
        <w:rPr>
          <w:rFonts w:ascii="Verdana" w:eastAsia="Geomanist Light" w:hAnsi="Verdana" w:cs="Arial"/>
          <w:color w:val="000000" w:themeColor="text1"/>
          <w:lang w:val="es-MX"/>
        </w:rPr>
        <w:lastRenderedPageBreak/>
        <w:t xml:space="preserve">Bogotá D.C., </w:t>
      </w:r>
      <w:r w:rsidR="00FE79ED">
        <w:rPr>
          <w:rFonts w:ascii="Verdana" w:eastAsia="Geomanist Light" w:hAnsi="Verdana" w:cs="Arial"/>
          <w:color w:val="000000" w:themeColor="text1"/>
          <w:lang w:val="es-MX"/>
        </w:rPr>
        <w:t>07</w:t>
      </w:r>
      <w:r w:rsidRPr="00BF7921">
        <w:rPr>
          <w:rFonts w:ascii="Verdana" w:eastAsia="Geomanist Light" w:hAnsi="Verdana" w:cs="Arial"/>
          <w:color w:val="000000" w:themeColor="text1"/>
          <w:lang w:val="es-MX"/>
        </w:rPr>
        <w:t xml:space="preserve"> de </w:t>
      </w:r>
      <w:r w:rsidR="00FE79ED">
        <w:rPr>
          <w:rFonts w:ascii="Verdana" w:eastAsia="Geomanist Light" w:hAnsi="Verdana" w:cs="Arial"/>
          <w:color w:val="000000" w:themeColor="text1"/>
          <w:lang w:val="es-MX"/>
        </w:rPr>
        <w:t xml:space="preserve">septiembre </w:t>
      </w:r>
      <w:r w:rsidRPr="00BF7921">
        <w:rPr>
          <w:rFonts w:ascii="Verdana" w:eastAsia="Geomanist Light" w:hAnsi="Verdana" w:cs="Arial"/>
          <w:color w:val="000000" w:themeColor="text1"/>
          <w:lang w:val="es-MX"/>
        </w:rPr>
        <w:t xml:space="preserve">de </w:t>
      </w:r>
      <w:r w:rsidR="00FE79ED">
        <w:rPr>
          <w:rFonts w:ascii="Verdana" w:eastAsia="Geomanist Light" w:hAnsi="Verdana" w:cs="Arial"/>
          <w:color w:val="000000" w:themeColor="text1"/>
          <w:lang w:val="es-MX"/>
        </w:rPr>
        <w:t xml:space="preserve">2026 </w:t>
      </w:r>
    </w:p>
    <w:p w14:paraId="701F6B1B" w14:textId="5BE4EFCE" w:rsidR="00DC1EFB" w:rsidRDefault="00DC1EFB" w:rsidP="00662087">
      <w:pPr>
        <w:spacing w:after="0" w:line="240" w:lineRule="auto"/>
        <w:rPr>
          <w:rFonts w:ascii="Verdana" w:hAnsi="Verdana"/>
        </w:rPr>
      </w:pPr>
    </w:p>
    <w:p w14:paraId="7380AAF9" w14:textId="0F1BE78B" w:rsidR="00FE79ED" w:rsidRDefault="00FE79ED" w:rsidP="00FE79ED">
      <w:pPr>
        <w:spacing w:after="0" w:line="240" w:lineRule="auto"/>
        <w:jc w:val="right"/>
        <w:rPr>
          <w:rFonts w:ascii="Verdana" w:hAnsi="Verdana"/>
        </w:rPr>
      </w:pPr>
    </w:p>
    <w:p w14:paraId="005CE459" w14:textId="78D087A0" w:rsidR="00662087" w:rsidRPr="002B4BE9" w:rsidRDefault="00113132" w:rsidP="00662087">
      <w:pPr>
        <w:spacing w:after="0" w:line="240" w:lineRule="auto"/>
        <w:rPr>
          <w:rFonts w:ascii="Verdana" w:hAnsi="Verdana"/>
        </w:rPr>
      </w:pPr>
      <w:r w:rsidRPr="00FE79ED">
        <w:rPr>
          <w:rFonts w:ascii="Verdana" w:hAnsi="Verdana"/>
          <w:noProof/>
        </w:rPr>
        <w:drawing>
          <wp:anchor distT="0" distB="0" distL="114300" distR="114300" simplePos="0" relativeHeight="251658240" behindDoc="0" locked="0" layoutInCell="1" allowOverlap="1" wp14:anchorId="7F293A13" wp14:editId="4C6A17D5">
            <wp:simplePos x="0" y="0"/>
            <wp:positionH relativeFrom="margin">
              <wp:align>right</wp:align>
            </wp:positionH>
            <wp:positionV relativeFrom="paragraph">
              <wp:posOffset>16510</wp:posOffset>
            </wp:positionV>
            <wp:extent cx="2621915" cy="882015"/>
            <wp:effectExtent l="0" t="0" r="6985" b="0"/>
            <wp:wrapSquare wrapText="bothSides"/>
            <wp:docPr id="16375861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586124" name=""/>
                    <pic:cNvPicPr/>
                  </pic:nvPicPr>
                  <pic:blipFill>
                    <a:blip r:embed="rId11">
                      <a:extLst>
                        <a:ext uri="{28A0092B-C50C-407E-A947-70E740481C1C}">
                          <a14:useLocalDpi xmlns:a14="http://schemas.microsoft.com/office/drawing/2010/main" val="0"/>
                        </a:ext>
                      </a:extLst>
                    </a:blip>
                    <a:stretch>
                      <a:fillRect/>
                    </a:stretch>
                  </pic:blipFill>
                  <pic:spPr>
                    <a:xfrm>
                      <a:off x="0" y="0"/>
                      <a:ext cx="2621915" cy="882015"/>
                    </a:xfrm>
                    <a:prstGeom prst="rect">
                      <a:avLst/>
                    </a:prstGeom>
                  </pic:spPr>
                </pic:pic>
              </a:graphicData>
            </a:graphic>
            <wp14:sizeRelH relativeFrom="margin">
              <wp14:pctWidth>0</wp14:pctWidth>
            </wp14:sizeRelH>
            <wp14:sizeRelV relativeFrom="margin">
              <wp14:pctHeight>0</wp14:pctHeight>
            </wp14:sizeRelV>
          </wp:anchor>
        </w:drawing>
      </w:r>
    </w:p>
    <w:p w14:paraId="06B0CF47" w14:textId="77777777" w:rsidR="00662087" w:rsidRPr="00524422" w:rsidRDefault="00662087" w:rsidP="00662087">
      <w:pPr>
        <w:spacing w:after="0" w:line="240" w:lineRule="auto"/>
        <w:rPr>
          <w:rFonts w:ascii="Verdana" w:eastAsia="Calibri" w:hAnsi="Verdana" w:cs="Times New Roman"/>
          <w:lang w:val="es-MX"/>
        </w:rPr>
      </w:pPr>
      <w:r w:rsidRPr="00524422">
        <w:rPr>
          <w:rFonts w:ascii="Verdana" w:eastAsia="Calibri" w:hAnsi="Verdana" w:cs="Times New Roman"/>
          <w:lang w:val="es-MX"/>
        </w:rPr>
        <w:t>Señora</w:t>
      </w:r>
    </w:p>
    <w:p w14:paraId="480C78F6" w14:textId="77777777" w:rsidR="00662087" w:rsidRPr="00CB0829" w:rsidRDefault="00662087" w:rsidP="00662087">
      <w:pPr>
        <w:spacing w:after="0" w:line="240" w:lineRule="auto"/>
        <w:rPr>
          <w:rFonts w:ascii="Verdana" w:eastAsia="Calibri" w:hAnsi="Verdana" w:cs="Times New Roman"/>
          <w:b/>
          <w:bCs/>
          <w:lang w:val="es-MX"/>
        </w:rPr>
      </w:pPr>
      <w:r w:rsidRPr="00CB0829">
        <w:rPr>
          <w:rFonts w:ascii="Verdana" w:eastAsia="Calibri" w:hAnsi="Verdana" w:cs="Times New Roman"/>
          <w:b/>
          <w:bCs/>
          <w:lang w:val="es-MX"/>
        </w:rPr>
        <w:t>ANGIE PINEDA RONDEROS</w:t>
      </w:r>
    </w:p>
    <w:p w14:paraId="218956FE" w14:textId="77777777" w:rsidR="00662087" w:rsidRPr="00524422" w:rsidRDefault="00662087" w:rsidP="00662087">
      <w:pPr>
        <w:spacing w:after="0" w:line="240" w:lineRule="auto"/>
        <w:rPr>
          <w:rFonts w:ascii="Verdana" w:eastAsia="Calibri" w:hAnsi="Verdana" w:cs="Times New Roman"/>
          <w:lang w:val="es-MX"/>
        </w:rPr>
      </w:pPr>
      <w:r w:rsidRPr="00524422">
        <w:rPr>
          <w:rFonts w:ascii="Verdana" w:eastAsia="Calibri" w:hAnsi="Verdana" w:cs="Times New Roman"/>
          <w:lang w:val="es-MX"/>
        </w:rPr>
        <w:t>angiestefanypineda@hotmail.com</w:t>
      </w:r>
    </w:p>
    <w:p w14:paraId="2CDB0C77" w14:textId="77777777" w:rsidR="00662087" w:rsidRPr="00524422" w:rsidRDefault="00662087" w:rsidP="00662087">
      <w:pPr>
        <w:spacing w:after="0" w:line="240" w:lineRule="auto"/>
        <w:rPr>
          <w:rFonts w:ascii="Verdana" w:eastAsia="Calibri" w:hAnsi="Verdana" w:cs="Times New Roman"/>
          <w:lang w:val="es-MX"/>
        </w:rPr>
      </w:pPr>
      <w:r w:rsidRPr="00524422">
        <w:rPr>
          <w:rFonts w:ascii="Verdana" w:eastAsia="Calibri" w:hAnsi="Verdana" w:cs="Times New Roman"/>
          <w:lang w:val="es-MX"/>
        </w:rPr>
        <w:t>Bogotá D.C.</w:t>
      </w:r>
    </w:p>
    <w:p w14:paraId="65A8D2FD" w14:textId="77777777" w:rsidR="00662087" w:rsidRPr="002B4BE9" w:rsidRDefault="00662087" w:rsidP="00662087">
      <w:pPr>
        <w:spacing w:after="0" w:line="240" w:lineRule="auto"/>
        <w:rPr>
          <w:rFonts w:ascii="Verdana" w:eastAsia="Calibri" w:hAnsi="Verdana" w:cs="Times New Roman"/>
        </w:rPr>
      </w:pPr>
    </w:p>
    <w:p w14:paraId="18B31159" w14:textId="1D3C5ABB" w:rsidR="00662087" w:rsidRPr="002B4BE9" w:rsidRDefault="00662087" w:rsidP="00CB0829">
      <w:pPr>
        <w:spacing w:after="0" w:line="240" w:lineRule="auto"/>
        <w:rPr>
          <w:rFonts w:ascii="Verdana" w:eastAsia="Calibri" w:hAnsi="Verdana" w:cs="Times New Roman"/>
          <w:b/>
          <w:bCs/>
          <w:lang w:val="es-ES"/>
        </w:rPr>
      </w:pPr>
      <w:r w:rsidRPr="002B4BE9">
        <w:rPr>
          <w:rFonts w:ascii="Verdana" w:eastAsia="Calibri" w:hAnsi="Verdana" w:cs="Times New Roman"/>
          <w:b/>
          <w:bCs/>
          <w:lang w:val="es-ES"/>
        </w:rPr>
        <w:t xml:space="preserve">                    </w:t>
      </w:r>
      <w:r>
        <w:rPr>
          <w:rFonts w:ascii="Verdana" w:eastAsia="Calibri" w:hAnsi="Verdana" w:cs="Times New Roman"/>
          <w:b/>
          <w:bCs/>
          <w:lang w:val="es-ES"/>
        </w:rPr>
        <w:t xml:space="preserve">                Concepto C</w:t>
      </w:r>
      <w:r w:rsidR="00113132">
        <w:rPr>
          <w:rFonts w:ascii="Verdana" w:eastAsia="Calibri" w:hAnsi="Verdana" w:cs="Times New Roman"/>
          <w:b/>
          <w:bCs/>
          <w:lang w:val="es-ES"/>
        </w:rPr>
        <w:t>-</w:t>
      </w:r>
      <w:r w:rsidR="00CB0829" w:rsidRPr="00CB0829">
        <w:rPr>
          <w:rFonts w:ascii="Verdana" w:eastAsia="Calibri" w:hAnsi="Verdana" w:cs="Times New Roman"/>
          <w:b/>
          <w:bCs/>
          <w:lang w:val="es-ES"/>
        </w:rPr>
        <w:t>1181</w:t>
      </w:r>
      <w:r>
        <w:rPr>
          <w:rFonts w:ascii="Verdana" w:eastAsia="Calibri" w:hAnsi="Verdana" w:cs="Times New Roman"/>
          <w:b/>
          <w:bCs/>
          <w:lang w:val="es-ES"/>
        </w:rPr>
        <w:t xml:space="preserve"> de 2026</w:t>
      </w:r>
    </w:p>
    <w:p w14:paraId="28AD4A37" w14:textId="77777777" w:rsidR="00662087" w:rsidRPr="002B4BE9" w:rsidRDefault="00662087" w:rsidP="00662087">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662087" w:rsidRPr="002B4BE9" w14:paraId="64E53B43" w14:textId="77777777" w:rsidTr="002A4618">
        <w:trPr>
          <w:trHeight w:val="645"/>
        </w:trPr>
        <w:tc>
          <w:tcPr>
            <w:tcW w:w="2685" w:type="dxa"/>
            <w:hideMark/>
          </w:tcPr>
          <w:p w14:paraId="1B04F361" w14:textId="77777777" w:rsidR="00662087" w:rsidRPr="00403388" w:rsidRDefault="00662087" w:rsidP="002A4618">
            <w:pPr>
              <w:rPr>
                <w:rFonts w:ascii="Verdana" w:hAnsi="Verdana"/>
                <w:b/>
                <w:bCs/>
                <w:lang w:val="es-ES_tradnl"/>
              </w:rPr>
            </w:pPr>
            <w:r w:rsidRPr="00403388">
              <w:rPr>
                <w:rFonts w:ascii="Verdana" w:hAnsi="Verdana"/>
                <w:b/>
                <w:bCs/>
                <w:lang w:val="es-ES_tradnl"/>
              </w:rPr>
              <w:t xml:space="preserve">Temas:                  </w:t>
            </w:r>
          </w:p>
        </w:tc>
        <w:tc>
          <w:tcPr>
            <w:tcW w:w="6241" w:type="dxa"/>
            <w:hideMark/>
          </w:tcPr>
          <w:p w14:paraId="27F98A16" w14:textId="77777777" w:rsidR="00662087" w:rsidRPr="00403388" w:rsidRDefault="00662087" w:rsidP="002A4618">
            <w:pPr>
              <w:spacing w:line="276" w:lineRule="auto"/>
              <w:jc w:val="both"/>
              <w:rPr>
                <w:rFonts w:ascii="Verdana" w:hAnsi="Verdana" w:cs="Arial"/>
                <w:lang w:val="es-ES" w:eastAsia="es-ES"/>
              </w:rPr>
            </w:pPr>
            <w:r w:rsidRPr="001B49B3">
              <w:rPr>
                <w:rFonts w:ascii="Verdana" w:hAnsi="Verdana" w:cs="Arial"/>
                <w:bCs/>
                <w:color w:val="000000"/>
                <w:lang w:val="es-ES"/>
              </w:rPr>
              <w:t>COMPETENCIA PARA CONTRATAR – Titularidad – Jefe o representante legal – Dependencias / DELEGACIÓN Y DESCONCENTRACIÓN – Artículo 12 de la Ley 80 de 1993 – Acto formal / ESTRUCTURA ADMINISTRATIVA – Decreto de estructura – Alcance frente a la actividad contractual / CONTRATO DE PRESTACIÓN DE SERVICIOS – Actividades relacionadas con la administración o el funcionamiento de la entidad / DEBER DE PLANEACIÓN – Correspondencia entre necesidad, objeto y obligaciones</w:t>
            </w:r>
          </w:p>
        </w:tc>
        <w:tc>
          <w:tcPr>
            <w:tcW w:w="6237" w:type="dxa"/>
          </w:tcPr>
          <w:p w14:paraId="2B332A29" w14:textId="77777777" w:rsidR="00662087" w:rsidRPr="002B4BE9" w:rsidRDefault="00662087" w:rsidP="002A4618">
            <w:pPr>
              <w:rPr>
                <w:rFonts w:ascii="Verdana" w:hAnsi="Verdana"/>
                <w:lang w:val="es-ES"/>
              </w:rPr>
            </w:pPr>
          </w:p>
        </w:tc>
      </w:tr>
      <w:tr w:rsidR="00662087" w:rsidRPr="002B4BE9" w14:paraId="23904F68" w14:textId="77777777" w:rsidTr="002A4618">
        <w:tc>
          <w:tcPr>
            <w:tcW w:w="2685" w:type="dxa"/>
          </w:tcPr>
          <w:p w14:paraId="491F6769" w14:textId="77777777" w:rsidR="00662087" w:rsidRPr="002B4BE9" w:rsidRDefault="00662087" w:rsidP="002A4618">
            <w:pPr>
              <w:rPr>
                <w:rFonts w:ascii="Verdana" w:hAnsi="Verdana"/>
                <w:b/>
                <w:bCs/>
                <w:lang w:val="es-ES_tradnl"/>
              </w:rPr>
            </w:pPr>
          </w:p>
          <w:p w14:paraId="54CEFA77" w14:textId="77777777" w:rsidR="00662087" w:rsidRPr="00995618" w:rsidRDefault="00662087" w:rsidP="002A4618">
            <w:pPr>
              <w:rPr>
                <w:rFonts w:ascii="Verdana" w:hAnsi="Verdana"/>
                <w:b/>
                <w:bCs/>
                <w:lang w:val="es-ES_tradnl"/>
              </w:rPr>
            </w:pPr>
            <w:r w:rsidRPr="002B4BE9">
              <w:rPr>
                <w:rFonts w:ascii="Verdana" w:hAnsi="Verdana"/>
                <w:b/>
                <w:bCs/>
                <w:lang w:val="es-ES_tradnl"/>
              </w:rPr>
              <w:t xml:space="preserve">Radicación:               </w:t>
            </w:r>
          </w:p>
        </w:tc>
        <w:tc>
          <w:tcPr>
            <w:tcW w:w="6241" w:type="dxa"/>
          </w:tcPr>
          <w:p w14:paraId="236B8079" w14:textId="77777777" w:rsidR="00662087" w:rsidRPr="002B4BE9" w:rsidRDefault="00662087" w:rsidP="002A4618">
            <w:pPr>
              <w:spacing w:line="276" w:lineRule="auto"/>
              <w:jc w:val="both"/>
              <w:rPr>
                <w:rFonts w:ascii="Verdana" w:hAnsi="Verdana"/>
                <w:lang w:val="es-ES_tradnl"/>
              </w:rPr>
            </w:pPr>
          </w:p>
          <w:p w14:paraId="77020B4B" w14:textId="5D202F50" w:rsidR="007341BB" w:rsidRDefault="007341BB" w:rsidP="007341BB">
            <w:pPr>
              <w:spacing w:line="276" w:lineRule="auto"/>
              <w:jc w:val="both"/>
              <w:rPr>
                <w:rFonts w:ascii="Verdana" w:hAnsi="Verdana"/>
                <w:lang w:val="es-ES_tradnl"/>
              </w:rPr>
            </w:pPr>
            <w:r w:rsidRPr="002B4BE9">
              <w:rPr>
                <w:rFonts w:ascii="Verdana" w:hAnsi="Verdana"/>
                <w:lang w:val="es-ES_tradnl"/>
              </w:rPr>
              <w:t xml:space="preserve">Respuesta a consulta con radicado </w:t>
            </w:r>
            <w:r w:rsidRPr="007341BB">
              <w:rPr>
                <w:rFonts w:ascii="Verdana" w:hAnsi="Verdana"/>
                <w:lang w:val="es-ES_tradnl"/>
              </w:rPr>
              <w:t>1_2026_07_27_009845</w:t>
            </w:r>
            <w:r>
              <w:rPr>
                <w:rFonts w:ascii="Verdana" w:hAnsi="Verdana"/>
                <w:lang w:val="es-ES_tradnl"/>
              </w:rPr>
              <w:t xml:space="preserve"> </w:t>
            </w:r>
          </w:p>
          <w:p w14:paraId="6E2C623E" w14:textId="4104FA45" w:rsidR="00662087" w:rsidRPr="002B4BE9" w:rsidRDefault="00662087" w:rsidP="002A4618">
            <w:pPr>
              <w:spacing w:line="276" w:lineRule="auto"/>
              <w:jc w:val="both"/>
              <w:rPr>
                <w:rFonts w:ascii="Verdana" w:hAnsi="Verdana"/>
                <w:lang w:val="es-ES_tradnl"/>
              </w:rPr>
            </w:pPr>
          </w:p>
        </w:tc>
        <w:tc>
          <w:tcPr>
            <w:tcW w:w="6237" w:type="dxa"/>
          </w:tcPr>
          <w:p w14:paraId="37C1DEE2" w14:textId="77777777" w:rsidR="00662087" w:rsidRPr="002B4BE9" w:rsidRDefault="00662087" w:rsidP="002A4618">
            <w:pPr>
              <w:rPr>
                <w:rFonts w:ascii="Verdana" w:hAnsi="Verdana"/>
              </w:rPr>
            </w:pPr>
          </w:p>
        </w:tc>
      </w:tr>
    </w:tbl>
    <w:p w14:paraId="4FA278E0" w14:textId="77777777" w:rsidR="007341BB" w:rsidRDefault="007341BB" w:rsidP="00662087">
      <w:pPr>
        <w:spacing w:after="0" w:line="256" w:lineRule="auto"/>
        <w:rPr>
          <w:rFonts w:ascii="Verdana" w:eastAsia="Calibri" w:hAnsi="Verdana" w:cs="Times New Roman"/>
          <w:lang w:val="es-ES"/>
        </w:rPr>
      </w:pPr>
    </w:p>
    <w:p w14:paraId="64834656" w14:textId="77777777" w:rsidR="00FE79ED" w:rsidRDefault="00FE79ED" w:rsidP="00662087">
      <w:pPr>
        <w:spacing w:after="0" w:line="256" w:lineRule="auto"/>
        <w:rPr>
          <w:rFonts w:ascii="Verdana" w:eastAsia="Calibri" w:hAnsi="Verdana" w:cs="Times New Roman"/>
          <w:lang w:val="es-ES"/>
        </w:rPr>
      </w:pPr>
    </w:p>
    <w:p w14:paraId="7243114F" w14:textId="72EB8035" w:rsidR="00662087" w:rsidRPr="009037F6" w:rsidRDefault="00662087" w:rsidP="00662087">
      <w:pPr>
        <w:spacing w:after="0" w:line="256" w:lineRule="auto"/>
        <w:rPr>
          <w:rFonts w:ascii="Verdana" w:eastAsia="Calibri" w:hAnsi="Verdana" w:cs="Times New Roman"/>
          <w:lang w:val="es-ES"/>
        </w:rPr>
      </w:pPr>
      <w:r>
        <w:rPr>
          <w:rFonts w:ascii="Verdana" w:eastAsia="Calibri" w:hAnsi="Verdana" w:cs="Times New Roman"/>
          <w:lang w:val="es-ES"/>
        </w:rPr>
        <w:t>Estimada señora Pineda:</w:t>
      </w:r>
    </w:p>
    <w:p w14:paraId="11FBFD50" w14:textId="77777777" w:rsidR="00662087" w:rsidRDefault="00662087" w:rsidP="00662087">
      <w:pPr>
        <w:spacing w:after="0" w:line="276" w:lineRule="auto"/>
        <w:rPr>
          <w:rFonts w:ascii="Verdana" w:eastAsia="Calibri" w:hAnsi="Verdana" w:cs="Times New Roman"/>
          <w:lang w:val="es-ES"/>
        </w:rPr>
      </w:pPr>
    </w:p>
    <w:p w14:paraId="594B075B" w14:textId="77777777" w:rsidR="00FE79ED" w:rsidRPr="009037F6" w:rsidRDefault="00FE79ED" w:rsidP="00662087">
      <w:pPr>
        <w:spacing w:after="0" w:line="276" w:lineRule="auto"/>
        <w:rPr>
          <w:rFonts w:ascii="Verdana" w:eastAsia="Calibri" w:hAnsi="Verdana" w:cs="Times New Roman"/>
          <w:lang w:val="es-ES"/>
        </w:rPr>
      </w:pPr>
    </w:p>
    <w:p w14:paraId="0B31920D" w14:textId="25BBBFB1" w:rsidR="003A26B0" w:rsidRDefault="00662087" w:rsidP="003A26B0">
      <w:pPr>
        <w:spacing w:after="120" w:line="276" w:lineRule="auto"/>
        <w:jc w:val="both"/>
        <w:rPr>
          <w:rFonts w:ascii="Verdana" w:eastAsia="Calibri" w:hAnsi="Verdana" w:cs="Times New Roman"/>
          <w:bCs/>
          <w:lang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el numeral 5 del artículo 3 y el numeral 8 del artículo 11 del Decreto Ley 4170 de 2011, así como lo establecido en la Resolución 469 de 2025 </w:t>
      </w:r>
      <w:r w:rsidR="007341BB">
        <w:rPr>
          <w:rFonts w:ascii="Verdana" w:eastAsia="Calibri" w:hAnsi="Verdana" w:cs="Times New Roman"/>
          <w:bCs/>
          <w:lang w:bidi="es-ES"/>
        </w:rPr>
        <w:t xml:space="preserve">y </w:t>
      </w:r>
      <w:r w:rsidR="007341BB" w:rsidRPr="009037F6">
        <w:rPr>
          <w:rFonts w:ascii="Verdana" w:eastAsia="Calibri" w:hAnsi="Verdana" w:cs="Times New Roman"/>
          <w:bCs/>
          <w:lang w:bidi="es-ES"/>
        </w:rPr>
        <w:t>1822 de 2019</w:t>
      </w:r>
      <w:r w:rsidR="007341BB">
        <w:rPr>
          <w:rFonts w:ascii="Verdana" w:eastAsia="Calibri" w:hAnsi="Verdana" w:cs="Times New Roman"/>
          <w:bCs/>
          <w:lang w:bidi="es-ES"/>
        </w:rPr>
        <w:t xml:space="preserve"> </w:t>
      </w:r>
      <w:r w:rsidRPr="009037F6">
        <w:rPr>
          <w:rFonts w:ascii="Verdana" w:eastAsia="Calibri" w:hAnsi="Verdana" w:cs="Times New Roman"/>
          <w:bCs/>
          <w:lang w:bidi="es-ES"/>
        </w:rPr>
        <w:t>expedida</w:t>
      </w:r>
      <w:r w:rsidR="007341BB">
        <w:rPr>
          <w:rFonts w:ascii="Verdana" w:eastAsia="Calibri" w:hAnsi="Verdana" w:cs="Times New Roman"/>
          <w:bCs/>
          <w:lang w:bidi="es-ES"/>
        </w:rPr>
        <w:t>s</w:t>
      </w:r>
      <w:r w:rsidRPr="009037F6">
        <w:rPr>
          <w:rFonts w:ascii="Verdana" w:eastAsia="Calibri" w:hAnsi="Verdana" w:cs="Times New Roman"/>
          <w:bCs/>
          <w:lang w:bidi="es-ES"/>
        </w:rPr>
        <w:t xml:space="preserve"> por esta Entidad, responde la consulta que usted formuló el 6 de julio de 2026 al Departamento Administrativo de la Función Pública bajo el radicado 20262060336112, trasladada a esta Agencia mediante oficio 20264000271511 del 24 de julio de </w:t>
      </w:r>
      <w:r w:rsidRPr="009037F6">
        <w:rPr>
          <w:rFonts w:ascii="Verdana" w:eastAsia="Calibri" w:hAnsi="Verdana" w:cs="Times New Roman"/>
          <w:bCs/>
          <w:lang w:bidi="es-ES"/>
        </w:rPr>
        <w:lastRenderedPageBreak/>
        <w:t>2026 respecto de sus interrogantes primero, segundo y tercero, del siguiente tenor:</w:t>
      </w:r>
    </w:p>
    <w:p w14:paraId="3504227C" w14:textId="77777777" w:rsidR="00FE79ED" w:rsidRDefault="00FE79ED" w:rsidP="003A26B0">
      <w:pPr>
        <w:spacing w:after="120" w:line="276" w:lineRule="auto"/>
        <w:jc w:val="both"/>
        <w:rPr>
          <w:rFonts w:ascii="Verdana" w:eastAsia="Calibri" w:hAnsi="Verdana" w:cs="Times New Roman"/>
          <w:bCs/>
          <w:lang w:val="es-ES" w:bidi="es-ES"/>
        </w:rPr>
      </w:pPr>
    </w:p>
    <w:p w14:paraId="07BCA1BE" w14:textId="77777777" w:rsidR="005648EC" w:rsidRDefault="00662087" w:rsidP="005648EC">
      <w:pPr>
        <w:tabs>
          <w:tab w:val="left" w:pos="709"/>
        </w:tabs>
        <w:spacing w:after="120" w:line="240" w:lineRule="auto"/>
        <w:ind w:left="709" w:right="709"/>
        <w:jc w:val="both"/>
        <w:rPr>
          <w:rFonts w:ascii="Verdana" w:hAnsi="Verdana" w:cs="Arial"/>
          <w:sz w:val="21"/>
          <w:szCs w:val="21"/>
          <w:lang w:val="es-ES" w:eastAsia="es-ES"/>
        </w:rPr>
      </w:pPr>
      <w:r w:rsidRPr="00294ADE">
        <w:rPr>
          <w:rFonts w:ascii="Verdana" w:hAnsi="Verdana" w:cs="Arial"/>
          <w:sz w:val="21"/>
          <w:szCs w:val="21"/>
          <w:lang w:val="es-ES" w:eastAsia="es-ES"/>
        </w:rPr>
        <w:t>“1. ¿La distribución de competencias prevista en el decreto de estructura de una entidad pública constituye un límite para que una dependencia estructure procesos contractuales destinados a desarrollar funciones asignadas normativamente a otra dependencia?</w:t>
      </w:r>
    </w:p>
    <w:p w14:paraId="6A959F28" w14:textId="77777777" w:rsidR="005648EC" w:rsidRDefault="00662087" w:rsidP="005648EC">
      <w:pPr>
        <w:tabs>
          <w:tab w:val="left" w:pos="709"/>
        </w:tabs>
        <w:spacing w:after="120" w:line="240" w:lineRule="auto"/>
        <w:ind w:left="709" w:right="709"/>
        <w:jc w:val="both"/>
        <w:rPr>
          <w:rFonts w:ascii="Verdana" w:hAnsi="Verdana" w:cs="Arial"/>
          <w:sz w:val="21"/>
          <w:szCs w:val="21"/>
          <w:lang w:val="es-ES" w:eastAsia="es-ES"/>
        </w:rPr>
      </w:pPr>
      <w:r w:rsidRPr="00294ADE">
        <w:rPr>
          <w:rFonts w:ascii="Verdana" w:hAnsi="Verdana" w:cs="Arial"/>
          <w:sz w:val="21"/>
          <w:szCs w:val="21"/>
          <w:lang w:val="es-ES" w:eastAsia="es-ES"/>
        </w:rPr>
        <w:t>2. ¿Es jurídicamente procedente que una dependencia administrativa incorpore, mediante un contrato de prestación de servicios, actividades que corresponden al cumplimiento de funciones asignadas por la estructura administrativa a otra dependencia?</w:t>
      </w:r>
    </w:p>
    <w:p w14:paraId="0907B706" w14:textId="77777777" w:rsidR="005648EC" w:rsidRDefault="00662087" w:rsidP="005648EC">
      <w:pPr>
        <w:tabs>
          <w:tab w:val="left" w:pos="709"/>
        </w:tabs>
        <w:spacing w:after="120" w:line="240" w:lineRule="auto"/>
        <w:ind w:left="709" w:right="709"/>
        <w:jc w:val="both"/>
        <w:rPr>
          <w:rFonts w:ascii="Verdana" w:hAnsi="Verdana" w:cs="Arial"/>
          <w:sz w:val="21"/>
          <w:szCs w:val="21"/>
          <w:lang w:val="es-ES" w:eastAsia="es-ES"/>
        </w:rPr>
      </w:pPr>
      <w:r w:rsidRPr="00294ADE">
        <w:rPr>
          <w:rFonts w:ascii="Verdana" w:hAnsi="Verdana" w:cs="Arial"/>
          <w:sz w:val="21"/>
          <w:szCs w:val="21"/>
          <w:lang w:val="es-ES" w:eastAsia="es-ES"/>
        </w:rPr>
        <w:t>3. ¿Existe un deber de correspondencia entre las competencias funcionales de una dependencia y las actividades que pretende desarrollar mediante la contratación de prestación de servicios?”.</w:t>
      </w:r>
    </w:p>
    <w:p w14:paraId="1B41349E" w14:textId="77777777" w:rsidR="00FE79ED" w:rsidRDefault="00FE79ED" w:rsidP="005648EC">
      <w:pPr>
        <w:tabs>
          <w:tab w:val="left" w:pos="709"/>
        </w:tabs>
        <w:spacing w:after="120" w:line="240" w:lineRule="auto"/>
        <w:ind w:left="709" w:right="709"/>
        <w:jc w:val="both"/>
        <w:rPr>
          <w:rFonts w:ascii="Verdana" w:hAnsi="Verdana" w:cs="Arial"/>
          <w:sz w:val="21"/>
          <w:szCs w:val="21"/>
          <w:lang w:val="es-ES" w:eastAsia="es-ES"/>
        </w:rPr>
      </w:pPr>
    </w:p>
    <w:p w14:paraId="2CD64F2A" w14:textId="34A7BEEC" w:rsidR="007341BB" w:rsidRPr="009037F6" w:rsidRDefault="007341BB" w:rsidP="007341BB">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4E24F1E" w14:textId="4A7418EF" w:rsidR="00662087" w:rsidRPr="009037F6" w:rsidRDefault="00662087" w:rsidP="00662087">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y en aras de satisfacer el derecho fundamental de petición, se resolverá la consulta dentro de los límites de la referida competencia consultiva, con el alcance previsto en el artículo 28 del Código de Procedimiento Administrativo y de lo Contencioso Administrativo. El pronunciamiento se circunscribe a los tres interrogantes que el Departamento Administrativo de la Función Pública remitió a esta Agencia, de los cuales se abstraen dos problemas </w:t>
      </w:r>
      <w:r w:rsidRPr="009037F6">
        <w:rPr>
          <w:rFonts w:ascii="Verdana" w:eastAsia="Calibri" w:hAnsi="Verdana" w:cs="Times New Roman"/>
          <w:lang w:val="es-ES"/>
        </w:rPr>
        <w:lastRenderedPageBreak/>
        <w:t>jurídicos generales que se resuelven haciendo abstracción del supuesto de hecho descrito en la petición. No se examinan, por consiguiente, los demás interrogantes de la solicitud, que no fueron objeto de traslado.</w:t>
      </w:r>
    </w:p>
    <w:p w14:paraId="39021747" w14:textId="77777777" w:rsidR="00662087" w:rsidRPr="009037F6" w:rsidRDefault="00662087" w:rsidP="00662087">
      <w:pPr>
        <w:spacing w:after="0" w:line="276" w:lineRule="auto"/>
        <w:rPr>
          <w:rFonts w:ascii="Verdana" w:eastAsia="Calibri" w:hAnsi="Verdana" w:cs="Times New Roman"/>
          <w:lang w:val="es-ES"/>
        </w:rPr>
      </w:pPr>
    </w:p>
    <w:p w14:paraId="2043CF6B" w14:textId="77777777" w:rsidR="00662087" w:rsidRPr="009037F6" w:rsidRDefault="00662087" w:rsidP="00662087">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Problemas planteados:</w:t>
      </w:r>
    </w:p>
    <w:p w14:paraId="6479006E" w14:textId="77777777" w:rsidR="00662087" w:rsidRPr="009037F6" w:rsidRDefault="00662087" w:rsidP="00662087">
      <w:pPr>
        <w:spacing w:after="0" w:line="276" w:lineRule="auto"/>
        <w:rPr>
          <w:rFonts w:ascii="Verdana" w:eastAsia="Calibri" w:hAnsi="Verdana" w:cs="Times New Roman"/>
        </w:rPr>
      </w:pPr>
    </w:p>
    <w:p w14:paraId="11125D85" w14:textId="77777777" w:rsidR="00662087" w:rsidRPr="00D1210B" w:rsidRDefault="00662087" w:rsidP="00CB0829">
      <w:pPr>
        <w:spacing w:after="0" w:line="276" w:lineRule="auto"/>
        <w:ind w:firstLine="567"/>
        <w:jc w:val="both"/>
        <w:rPr>
          <w:rFonts w:ascii="Verdana" w:eastAsia="Calibri" w:hAnsi="Verdana" w:cs="Times New Roman"/>
        </w:rPr>
      </w:pPr>
      <w:r w:rsidRPr="009037F6">
        <w:rPr>
          <w:rFonts w:ascii="Verdana" w:eastAsia="Calibri" w:hAnsi="Verdana" w:cs="Times New Roman"/>
        </w:rPr>
        <w:t>De acuerdo con el contenido de su solicitud, la Agencia procede a resolver los siguientes problemas jurídicos: i) ¿La distribución interna de funciones prevista en el decreto que fija la estructura de una entidad estatal condiciona la competencia para adelantar procesos de contratación y celebrar contratos, de manera que constituya un límite para que una dependencia estructure un proceso cuyas obligaciones se relacionan con funciones asignadas a otra dependencia? ii) ¿Impone el Estatuto General de Contratación de la Administración Pública un deber de correspondencia entre la necesidad que la entidad justifica, el objeto que contrata y las obligaciones que pacta en un contrato de prestación de servicios, y cuáles son las consecuencias de su inobservancia?</w:t>
      </w:r>
    </w:p>
    <w:p w14:paraId="089A7DD4" w14:textId="77777777" w:rsidR="00662087" w:rsidRPr="00E27EDD" w:rsidRDefault="00662087" w:rsidP="00662087">
      <w:pPr>
        <w:spacing w:after="0" w:line="276" w:lineRule="auto"/>
        <w:jc w:val="both"/>
        <w:rPr>
          <w:rFonts w:ascii="Verdana" w:eastAsia="Calibri" w:hAnsi="Verdana" w:cs="Times New Roman"/>
          <w:i/>
          <w:iCs/>
        </w:rPr>
      </w:pPr>
    </w:p>
    <w:p w14:paraId="29D9DE92" w14:textId="77777777" w:rsidR="00662087" w:rsidRPr="009037F6" w:rsidRDefault="00662087" w:rsidP="00662087">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Respuestas:</w:t>
      </w:r>
    </w:p>
    <w:p w14:paraId="263C557E" w14:textId="77777777" w:rsidR="00662087" w:rsidRPr="009037F6" w:rsidRDefault="00662087" w:rsidP="00662087">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662087" w:rsidRPr="009037F6" w14:paraId="4F1D926E" w14:textId="77777777" w:rsidTr="002A4618">
        <w:trPr>
          <w:trHeight w:val="345"/>
          <w:jc w:val="center"/>
        </w:trPr>
        <w:tc>
          <w:tcPr>
            <w:tcW w:w="8784" w:type="dxa"/>
            <w:tcBorders>
              <w:bottom w:val="single" w:sz="4" w:space="0" w:color="auto"/>
            </w:tcBorders>
          </w:tcPr>
          <w:p w14:paraId="73A87D11" w14:textId="3CB37CFC" w:rsidR="008A2B6F" w:rsidRPr="004F3256" w:rsidRDefault="008A2B6F" w:rsidP="0094710A">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i) </w:t>
            </w:r>
            <w:r w:rsidRPr="000A6171">
              <w:rPr>
                <w:rFonts w:ascii="Verdana" w:eastAsia="Times New Roman" w:hAnsi="Verdana" w:cs="Arial"/>
                <w:bCs/>
                <w:color w:val="000000" w:themeColor="text1"/>
                <w:lang w:val="es-ES" w:eastAsia="es-ES"/>
              </w:rPr>
              <w:t>Sobre el primer problema</w:t>
            </w:r>
            <w:r w:rsidR="000A6171" w:rsidRPr="000A6171">
              <w:rPr>
                <w:rFonts w:ascii="Verdana" w:eastAsia="Times New Roman" w:hAnsi="Verdana" w:cs="Arial"/>
                <w:bCs/>
                <w:color w:val="000000" w:themeColor="text1"/>
                <w:lang w:val="es-ES" w:eastAsia="es-ES"/>
              </w:rPr>
              <w:t>, e</w:t>
            </w:r>
            <w:r w:rsidRPr="000A6171">
              <w:rPr>
                <w:rFonts w:ascii="Verdana" w:eastAsia="Times New Roman" w:hAnsi="Verdana" w:cs="Arial"/>
                <w:bCs/>
                <w:color w:val="000000" w:themeColor="text1"/>
                <w:lang w:val="es-ES" w:eastAsia="es-ES"/>
              </w:rPr>
              <w:t>l</w:t>
            </w:r>
            <w:r w:rsidRPr="004F3256">
              <w:rPr>
                <w:rFonts w:ascii="Verdana" w:eastAsia="Times New Roman" w:hAnsi="Verdana" w:cs="Arial"/>
                <w:color w:val="000000" w:themeColor="text1"/>
                <w:lang w:val="es-ES" w:eastAsia="es-ES"/>
              </w:rPr>
              <w:t xml:space="preserve"> decreto que fija la estructura de una entidad estatal no constituye, por sí mismo, un límite de competencia contractual entre dependencias, por una razón que antecede al problema</w:t>
            </w:r>
            <w:r w:rsidRPr="000A6171">
              <w:rPr>
                <w:rFonts w:ascii="Verdana" w:eastAsia="Times New Roman" w:hAnsi="Verdana" w:cs="Arial"/>
                <w:color w:val="000000" w:themeColor="text1"/>
                <w:lang w:val="es-ES" w:eastAsia="es-ES"/>
              </w:rPr>
              <w:t>: la competencia para contratar no está distribuida entre las dependencias.</w:t>
            </w:r>
            <w:r w:rsidRPr="004F3256">
              <w:rPr>
                <w:rFonts w:ascii="Verdana" w:eastAsia="Times New Roman" w:hAnsi="Verdana" w:cs="Arial"/>
                <w:color w:val="000000" w:themeColor="text1"/>
                <w:lang w:val="es-ES" w:eastAsia="es-ES"/>
              </w:rPr>
              <w:t xml:space="preserve"> El artículo 11 de la Ley 80 de 1993 la centralizó en determinadas autoridades y, conforme a su numeral 1, la competencia para ordenar y dirigir la celebración de licitaciones y para escoger contratistas es del jefe o representante de la entidad. Quien contrata es la entidad estatal, no la Subdirección Corporativa ni la Subdirección de Gestión</w:t>
            </w:r>
            <w:r w:rsidRPr="004F3256">
              <w:rPr>
                <w:rStyle w:val="Refdenotaalpie"/>
                <w:rFonts w:ascii="Verdana" w:hAnsi="Verdana"/>
                <w:sz w:val="20"/>
              </w:rPr>
              <w:footnoteReference w:id="1"/>
            </w:r>
            <w:r w:rsidRPr="004F3256">
              <w:rPr>
                <w:rFonts w:ascii="Verdana" w:eastAsia="Times New Roman" w:hAnsi="Verdana" w:cs="Arial"/>
                <w:color w:val="000000" w:themeColor="text1"/>
                <w:lang w:val="es-ES" w:eastAsia="es-ES"/>
              </w:rPr>
              <w:t>.</w:t>
            </w:r>
          </w:p>
          <w:p w14:paraId="21D2DB28" w14:textId="2C91EEA8" w:rsidR="008A2B6F" w:rsidRPr="004F3256" w:rsidRDefault="008A2B6F" w:rsidP="00CB0829">
            <w:pPr>
              <w:spacing w:after="120" w:line="276" w:lineRule="auto"/>
              <w:ind w:firstLine="601"/>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Las dependencias no son sujetos de la relación contractual ni titulares de una competencia propia para contratar: intervienen en la formación de la voluntad de la entidad conforme a la organización interna que esta adopte. </w:t>
            </w:r>
            <w:r w:rsidRPr="004F3256">
              <w:rPr>
                <w:rFonts w:ascii="Verdana" w:eastAsia="Times New Roman" w:hAnsi="Verdana" w:cs="Arial"/>
                <w:color w:val="000000" w:themeColor="text1"/>
                <w:lang w:val="es-ES" w:eastAsia="es-ES"/>
              </w:rPr>
              <w:lastRenderedPageBreak/>
              <w:t>Por consiguiente, el interrogante sobre si una dependencia «invade» la competencia de otra al estructurar un proceso no encuentra respuesta en el Estatuto General de Contratación de la Administración Pública, porque ese estatuto no reparte la competencia contractual por dependencias</w:t>
            </w:r>
            <w:r w:rsidRPr="004F3256">
              <w:rPr>
                <w:rStyle w:val="Refdenotaalpie"/>
                <w:rFonts w:ascii="Verdana" w:hAnsi="Verdana"/>
                <w:sz w:val="20"/>
              </w:rPr>
              <w:footnoteReference w:id="2"/>
            </w:r>
            <w:r w:rsidRPr="004F3256">
              <w:rPr>
                <w:rFonts w:ascii="Verdana" w:eastAsia="Times New Roman" w:hAnsi="Verdana" w:cs="Arial"/>
                <w:color w:val="000000" w:themeColor="text1"/>
                <w:lang w:val="es-ES" w:eastAsia="es-ES"/>
              </w:rPr>
              <w:t>.</w:t>
            </w:r>
            <w:r w:rsidR="000A6171">
              <w:rPr>
                <w:rFonts w:ascii="Verdana" w:eastAsia="Times New Roman" w:hAnsi="Verdana" w:cs="Arial"/>
                <w:color w:val="000000" w:themeColor="text1"/>
                <w:lang w:val="es-ES" w:eastAsia="es-ES"/>
              </w:rPr>
              <w:t xml:space="preserve"> </w:t>
            </w:r>
          </w:p>
          <w:p w14:paraId="312E4940" w14:textId="76E7868F" w:rsidR="008A2B6F" w:rsidRPr="004F3256" w:rsidRDefault="008A2B6F" w:rsidP="00CB0829">
            <w:pPr>
              <w:spacing w:after="120" w:line="276" w:lineRule="auto"/>
              <w:ind w:firstLine="601"/>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Lo anterior no significa que la organización interna sea indiferente. Es relevante en dos planos precisos. El primero es el de </w:t>
            </w:r>
            <w:r w:rsidRPr="000A6171">
              <w:rPr>
                <w:rFonts w:ascii="Verdana" w:eastAsia="Times New Roman" w:hAnsi="Verdana" w:cs="Arial"/>
                <w:color w:val="000000" w:themeColor="text1"/>
                <w:lang w:val="es-ES" w:eastAsia="es-ES"/>
              </w:rPr>
              <w:t>la delegación</w:t>
            </w:r>
            <w:r w:rsidRPr="004F3256">
              <w:rPr>
                <w:rFonts w:ascii="Verdana" w:eastAsia="Times New Roman" w:hAnsi="Verdana" w:cs="Arial"/>
                <w:color w:val="000000" w:themeColor="text1"/>
                <w:lang w:val="es-ES" w:eastAsia="es-ES"/>
              </w:rPr>
              <w:t>: si el jefe o representante legal delegó total o parcialmente la competencia para contratar en un servidor del nivel directivo o ejecutivo, o desconcentró la realización de los procedimientos, es el acto formal de delegación —y no el decreto de estructura— el que determina quién puede comprometer a la entidad. Actuar por fuera de ese acto sí configura un problema de competencia</w:t>
            </w:r>
            <w:r w:rsidRPr="004F3256">
              <w:rPr>
                <w:rStyle w:val="Refdenotaalpie"/>
                <w:rFonts w:ascii="Verdana" w:hAnsi="Verdana"/>
                <w:sz w:val="20"/>
              </w:rPr>
              <w:footnoteReference w:id="3"/>
            </w:r>
            <w:r w:rsidRPr="004F3256">
              <w:rPr>
                <w:rFonts w:ascii="Verdana" w:eastAsia="Times New Roman" w:hAnsi="Verdana" w:cs="Arial"/>
                <w:color w:val="000000" w:themeColor="text1"/>
                <w:lang w:val="es-ES" w:eastAsia="es-ES"/>
              </w:rPr>
              <w:t>.</w:t>
            </w:r>
          </w:p>
          <w:p w14:paraId="57BCED2C" w14:textId="576E8058" w:rsidR="008A2B6F" w:rsidRPr="004F3256" w:rsidRDefault="008A2B6F" w:rsidP="00CB0829">
            <w:pPr>
              <w:spacing w:after="120" w:line="276" w:lineRule="auto"/>
              <w:ind w:firstLine="601"/>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El segundo plano es el de la </w:t>
            </w:r>
            <w:r w:rsidRPr="000A6171">
              <w:rPr>
                <w:rFonts w:ascii="Verdana" w:eastAsia="Times New Roman" w:hAnsi="Verdana" w:cs="Arial"/>
                <w:bCs/>
                <w:color w:val="000000" w:themeColor="text1"/>
                <w:lang w:val="es-ES" w:eastAsia="es-ES"/>
              </w:rPr>
              <w:t>justificación de la necesidad.</w:t>
            </w:r>
            <w:r w:rsidRPr="004F3256">
              <w:rPr>
                <w:rFonts w:ascii="Verdana" w:eastAsia="Times New Roman" w:hAnsi="Verdana" w:cs="Arial"/>
                <w:color w:val="000000" w:themeColor="text1"/>
                <w:lang w:val="es-ES" w:eastAsia="es-ES"/>
              </w:rPr>
              <w:t xml:space="preserve"> El decreto de estructura es el instrumento que permite verificar que la actividad contratada corresponde a la administración o al funcionamiento de la entidad, como lo exige el numeral 3 del artículo 32 de la Ley 80 de 1993 para el contrato de prestación de servicios. Ahora bien, el referente de esa correspondencia es la entidad considerada como un todo, no una dependencia en particular: que las actividades se relacionen con funciones asignadas a una dependencia distinta de la que estructuró el proceso no las sitúa, por esa sola razón, fuera del ámbito del precepto</w:t>
            </w:r>
            <w:r w:rsidRPr="004F3256">
              <w:rPr>
                <w:rStyle w:val="Refdenotaalpie"/>
                <w:rFonts w:ascii="Verdana" w:hAnsi="Verdana"/>
                <w:sz w:val="20"/>
              </w:rPr>
              <w:footnoteReference w:id="4"/>
            </w:r>
            <w:r w:rsidRPr="004F3256">
              <w:rPr>
                <w:rFonts w:ascii="Verdana" w:eastAsia="Times New Roman" w:hAnsi="Verdana" w:cs="Arial"/>
                <w:color w:val="000000" w:themeColor="text1"/>
                <w:lang w:val="es-ES" w:eastAsia="es-ES"/>
              </w:rPr>
              <w:t>.</w:t>
            </w:r>
          </w:p>
          <w:p w14:paraId="05E3916C" w14:textId="51E32BDA" w:rsidR="008A2B6F" w:rsidRPr="004F3256" w:rsidRDefault="000A6171" w:rsidP="0094710A">
            <w:pPr>
              <w:spacing w:after="120" w:line="276" w:lineRule="auto"/>
              <w:jc w:val="both"/>
              <w:rPr>
                <w:rFonts w:ascii="Verdana" w:hAnsi="Verdana" w:cs="Arial"/>
                <w:lang w:val="es-ES" w:eastAsia="es-ES"/>
              </w:rPr>
            </w:pPr>
            <w:proofErr w:type="spellStart"/>
            <w:r>
              <w:rPr>
                <w:rFonts w:ascii="Verdana" w:eastAsia="Times New Roman" w:hAnsi="Verdana" w:cs="Arial"/>
                <w:color w:val="000000" w:themeColor="text1"/>
                <w:lang w:val="es-ES" w:eastAsia="es-ES"/>
              </w:rPr>
              <w:lastRenderedPageBreak/>
              <w:t>ii</w:t>
            </w:r>
            <w:proofErr w:type="spellEnd"/>
            <w:r w:rsidR="008A2B6F" w:rsidRPr="004F3256">
              <w:rPr>
                <w:rFonts w:ascii="Verdana" w:eastAsia="Times New Roman" w:hAnsi="Verdana" w:cs="Arial"/>
                <w:color w:val="000000" w:themeColor="text1"/>
                <w:lang w:val="es-ES" w:eastAsia="es-ES"/>
              </w:rPr>
              <w:t xml:space="preserve">) </w:t>
            </w:r>
            <w:r w:rsidR="008A2B6F" w:rsidRPr="000A6171">
              <w:rPr>
                <w:rFonts w:ascii="Verdana" w:eastAsia="Times New Roman" w:hAnsi="Verdana" w:cs="Arial"/>
                <w:bCs/>
                <w:color w:val="000000" w:themeColor="text1"/>
                <w:lang w:val="es-ES" w:eastAsia="es-ES"/>
              </w:rPr>
              <w:t>Sobre el segundo problema, sí existe un deber de correspondencia,</w:t>
            </w:r>
            <w:r w:rsidR="008A2B6F" w:rsidRPr="004F3256">
              <w:rPr>
                <w:rFonts w:ascii="Verdana" w:eastAsia="Times New Roman" w:hAnsi="Verdana" w:cs="Arial"/>
                <w:color w:val="000000" w:themeColor="text1"/>
                <w:lang w:val="es-ES" w:eastAsia="es-ES"/>
              </w:rPr>
              <w:t xml:space="preserve"> pero conviene precisar entre qué términos se predica. No es un deber de correspondencia entre «la dependencia» y «la actividad contratada», porque la dependencia no es la contratante. </w:t>
            </w:r>
            <w:r w:rsidR="008A2B6F" w:rsidRPr="001A48E8">
              <w:rPr>
                <w:rFonts w:ascii="Verdana" w:eastAsia="Times New Roman" w:hAnsi="Verdana" w:cs="Arial"/>
                <w:color w:val="000000" w:themeColor="text1"/>
                <w:lang w:val="es-ES" w:eastAsia="es-ES"/>
              </w:rPr>
              <w:t>Es un deber de correspondencia entre la necesidad que la entidad justifica en los estudios previos, el objeto que contrata y las obligaciones que pacta.</w:t>
            </w:r>
            <w:r w:rsidR="008A2B6F" w:rsidRPr="004F3256">
              <w:rPr>
                <w:rFonts w:ascii="Verdana" w:eastAsia="Times New Roman" w:hAnsi="Verdana" w:cs="Arial"/>
                <w:color w:val="000000" w:themeColor="text1"/>
                <w:lang w:val="es-ES" w:eastAsia="es-ES"/>
              </w:rPr>
              <w:t xml:space="preserve"> Ese deber deriva del principio de planeación, concretado en los numerales 7 y 12 del artículo 25 de la Ley 80 de 1993 y en el artículo 2.2.1.1.2.1.1 del Decreto 1082 de 2015, que exige describir «la necesidad que la Entidad Estatal pretende satisfacer con el Proceso de Contratación» y «el objeto a contratar, con sus especificaciones»</w:t>
            </w:r>
            <w:r w:rsidR="008A2B6F" w:rsidRPr="004F3256">
              <w:rPr>
                <w:rStyle w:val="Refdenotaalpie"/>
                <w:rFonts w:ascii="Verdana" w:hAnsi="Verdana"/>
                <w:sz w:val="20"/>
              </w:rPr>
              <w:footnoteReference w:id="5"/>
            </w:r>
            <w:r w:rsidR="008A2B6F" w:rsidRPr="004F3256">
              <w:rPr>
                <w:rFonts w:ascii="Verdana" w:eastAsia="Times New Roman" w:hAnsi="Verdana" w:cs="Arial"/>
                <w:color w:val="000000" w:themeColor="text1"/>
                <w:lang w:val="es-ES" w:eastAsia="es-ES"/>
              </w:rPr>
              <w:t>.</w:t>
            </w:r>
          </w:p>
          <w:p w14:paraId="064E86F3" w14:textId="6AFE4071" w:rsidR="008A2B6F" w:rsidRPr="004F3256" w:rsidRDefault="008A2B6F" w:rsidP="00CB0829">
            <w:pPr>
              <w:spacing w:after="120" w:line="276" w:lineRule="auto"/>
              <w:ind w:firstLine="601"/>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De ese deber se sigue la consecuencia que interesa al supuesto planteado. Si el objeto se enuncia como apoyo a la gestión de una dependencia mientras las obligaciones pactadas corresponden materialmente a actividades de otra, lo reprochable no es una supuesta invasión de competencias entre dependencias —que, como se dijo, no se configura—, sino la </w:t>
            </w:r>
            <w:r w:rsidRPr="001A48E8">
              <w:rPr>
                <w:rFonts w:ascii="Verdana" w:eastAsia="Times New Roman" w:hAnsi="Verdana" w:cs="Arial"/>
                <w:bCs/>
                <w:color w:val="000000" w:themeColor="text1"/>
                <w:lang w:val="es-ES" w:eastAsia="es-ES"/>
              </w:rPr>
              <w:t>incoherencia entre el objeto y las obligaciones</w:t>
            </w:r>
            <w:r w:rsidRPr="004F3256">
              <w:rPr>
                <w:rFonts w:ascii="Verdana" w:eastAsia="Times New Roman" w:hAnsi="Verdana" w:cs="Arial"/>
                <w:color w:val="000000" w:themeColor="text1"/>
                <w:lang w:val="es-ES" w:eastAsia="es-ES"/>
              </w:rPr>
              <w:t xml:space="preserve">, que </w:t>
            </w:r>
            <w:r w:rsidR="001A48E8">
              <w:rPr>
                <w:rFonts w:ascii="Verdana" w:eastAsia="Times New Roman" w:hAnsi="Verdana" w:cs="Arial"/>
                <w:color w:val="000000" w:themeColor="text1"/>
                <w:lang w:val="es-ES" w:eastAsia="es-ES"/>
              </w:rPr>
              <w:t>posiblemente constituiría</w:t>
            </w:r>
            <w:r w:rsidRPr="004F3256">
              <w:rPr>
                <w:rFonts w:ascii="Verdana" w:eastAsia="Times New Roman" w:hAnsi="Verdana" w:cs="Arial"/>
                <w:color w:val="000000" w:themeColor="text1"/>
                <w:lang w:val="es-ES" w:eastAsia="es-ES"/>
              </w:rPr>
              <w:t xml:space="preserve"> un defecto de los estudios previos.</w:t>
            </w:r>
          </w:p>
          <w:p w14:paraId="0D9BB9EC" w14:textId="0D477B03" w:rsidR="008A2B6F" w:rsidRPr="004F3256" w:rsidRDefault="008A2B6F" w:rsidP="00CB0829">
            <w:pPr>
              <w:spacing w:after="120" w:line="276" w:lineRule="auto"/>
              <w:ind w:firstLine="601"/>
              <w:jc w:val="both"/>
              <w:rPr>
                <w:rFonts w:ascii="Verdana" w:hAnsi="Verdana" w:cs="Arial"/>
                <w:lang w:val="es-ES" w:eastAsia="es-ES"/>
              </w:rPr>
            </w:pPr>
            <w:r w:rsidRPr="004F3256">
              <w:rPr>
                <w:rFonts w:ascii="Verdana" w:eastAsia="Times New Roman" w:hAnsi="Verdana" w:cs="Arial"/>
                <w:color w:val="000000" w:themeColor="text1"/>
                <w:lang w:val="es-ES" w:eastAsia="es-ES"/>
              </w:rPr>
              <w:t>Debe añadirse una precisión sobre el uso del contrato de prestación de servicios. Conforme al numeral 3 del artículo 32 de la Ley 80 de 1993, este solo puede celebrarse con personas naturales cuando las actividades no puedan realizarse con personal de planta o requieran conocimientos especializados, y «en ningún caso» genera relación laboral. Por consiguiente, cuando las actividades que se pretenden contratar corresponden a funciones permanentes asignadas a una dependencia, la entidad debe justificar en los estudios previos por qué no pueden atenderse con el personal de planta de esa dependencia. Esa justificación es el punto de control del supuesto descrito</w:t>
            </w:r>
            <w:r w:rsidRPr="004F3256">
              <w:rPr>
                <w:rStyle w:val="Refdenotaalpie"/>
                <w:rFonts w:ascii="Verdana" w:hAnsi="Verdana"/>
                <w:sz w:val="20"/>
              </w:rPr>
              <w:footnoteReference w:id="6"/>
            </w:r>
            <w:r w:rsidRPr="004F3256">
              <w:rPr>
                <w:rFonts w:ascii="Verdana" w:eastAsia="Times New Roman" w:hAnsi="Verdana" w:cs="Arial"/>
                <w:color w:val="000000" w:themeColor="text1"/>
                <w:lang w:val="es-ES" w:eastAsia="es-ES"/>
              </w:rPr>
              <w:t>.</w:t>
            </w:r>
          </w:p>
          <w:p w14:paraId="2A385B91" w14:textId="4B0F3291" w:rsidR="008A2B6F" w:rsidRPr="004F3256" w:rsidRDefault="00CB0829" w:rsidP="00CB0829">
            <w:pPr>
              <w:spacing w:after="120" w:line="276" w:lineRule="auto"/>
              <w:ind w:firstLine="601"/>
              <w:jc w:val="both"/>
              <w:rPr>
                <w:rFonts w:ascii="Verdana" w:hAnsi="Verdana" w:cs="Arial"/>
                <w:lang w:val="es-ES" w:eastAsia="es-ES"/>
              </w:rPr>
            </w:pPr>
            <w:r>
              <w:rPr>
                <w:rFonts w:ascii="Verdana" w:eastAsia="Times New Roman" w:hAnsi="Verdana" w:cs="Arial"/>
                <w:color w:val="000000" w:themeColor="text1"/>
                <w:lang w:val="es-ES" w:eastAsia="es-ES"/>
              </w:rPr>
              <w:lastRenderedPageBreak/>
              <w:t>F</w:t>
            </w:r>
            <w:r w:rsidR="008A2B6F" w:rsidRPr="004F3256">
              <w:rPr>
                <w:rFonts w:ascii="Verdana" w:eastAsia="Times New Roman" w:hAnsi="Verdana" w:cs="Arial"/>
                <w:color w:val="000000" w:themeColor="text1"/>
                <w:lang w:val="es-ES" w:eastAsia="es-ES"/>
              </w:rPr>
              <w:t>inalmente, se advierte que este pronunciamiento se limita a los tres interrogantes remitidos por el Departamento Administrativo de la Función Pública y se emite en abstracto, sin calificar la actuación descrita en el supuesto de hecho. La verificación de si en un procedimiento determinado se observó el deber de planeación, así como la valoración de las eventuales responsabilidades, corresponde a la propia entidad, a los organismos de control y a la jurisdicción de lo contencioso administrativo, según el caso</w:t>
            </w:r>
            <w:r w:rsidR="008A2B6F" w:rsidRPr="004F3256">
              <w:rPr>
                <w:rStyle w:val="Refdenotaalpie"/>
                <w:rFonts w:ascii="Verdana" w:hAnsi="Verdana"/>
                <w:sz w:val="20"/>
              </w:rPr>
              <w:footnoteReference w:id="7"/>
            </w:r>
            <w:r w:rsidR="008A2B6F" w:rsidRPr="004F3256">
              <w:rPr>
                <w:rFonts w:ascii="Verdana" w:eastAsia="Times New Roman" w:hAnsi="Verdana" w:cs="Arial"/>
                <w:color w:val="000000" w:themeColor="text1"/>
                <w:lang w:val="es-ES" w:eastAsia="es-ES"/>
              </w:rPr>
              <w:t>.</w:t>
            </w:r>
          </w:p>
        </w:tc>
      </w:tr>
    </w:tbl>
    <w:p w14:paraId="3C876E1D" w14:textId="77777777" w:rsidR="00662087" w:rsidRPr="00B57A1B" w:rsidRDefault="00662087" w:rsidP="00662087">
      <w:pPr>
        <w:spacing w:after="0" w:line="276" w:lineRule="auto"/>
        <w:jc w:val="both"/>
        <w:rPr>
          <w:rFonts w:ascii="Verdana" w:eastAsia="Calibri" w:hAnsi="Verdana" w:cs="Arial"/>
          <w:bCs/>
          <w:color w:val="000000" w:themeColor="text1"/>
        </w:rPr>
      </w:pPr>
      <w:bookmarkStart w:id="0" w:name="_Hlk37703813"/>
    </w:p>
    <w:p w14:paraId="32981472" w14:textId="77777777" w:rsidR="00662087" w:rsidRPr="00B57A1B" w:rsidRDefault="00662087" w:rsidP="00662087">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las respuestas:</w:t>
      </w:r>
    </w:p>
    <w:p w14:paraId="0F551EF3" w14:textId="77777777" w:rsidR="00662087" w:rsidRPr="003C0ED7" w:rsidRDefault="00662087" w:rsidP="00662087">
      <w:pPr>
        <w:spacing w:after="0" w:line="276" w:lineRule="auto"/>
        <w:jc w:val="both"/>
        <w:rPr>
          <w:rFonts w:ascii="Verdana" w:eastAsia="Calibri" w:hAnsi="Verdana" w:cs="Arial"/>
          <w:lang w:val="es-ES"/>
        </w:rPr>
      </w:pPr>
    </w:p>
    <w:p w14:paraId="4F911955" w14:textId="77777777" w:rsidR="00662087" w:rsidRPr="00A0389A" w:rsidRDefault="00662087" w:rsidP="00662087">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08DE50C5" w14:textId="77777777" w:rsidR="004A0841" w:rsidRDefault="004A0841" w:rsidP="00751DE8">
      <w:pPr>
        <w:spacing w:after="0" w:line="240" w:lineRule="auto"/>
        <w:jc w:val="both"/>
        <w:rPr>
          <w:rFonts w:ascii="Verdana" w:hAnsi="Verdana" w:cs="Arial"/>
          <w:b/>
          <w:bCs/>
          <w:color w:val="000000"/>
          <w:lang w:val="es-ES"/>
        </w:rPr>
      </w:pPr>
    </w:p>
    <w:p w14:paraId="7AA66293" w14:textId="672D65B0" w:rsidR="00662087" w:rsidRPr="00A0389A" w:rsidRDefault="009A4D8C"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i) </w:t>
      </w:r>
      <w:r w:rsidR="00867E8A">
        <w:rPr>
          <w:rFonts w:ascii="Verdana" w:hAnsi="Verdana" w:cs="Arial"/>
          <w:bCs/>
          <w:szCs w:val="24"/>
          <w:lang w:val="es-ES_tradnl" w:eastAsia="es-ES_tradnl"/>
        </w:rPr>
        <w:t xml:space="preserve">El artículo 11 de la Ley 80 de 1993 definió la competencia para dirigir los procesos de selección y suscribir los contratos estatales, y </w:t>
      </w:r>
      <w:r w:rsidR="00867E8A" w:rsidRPr="009A4D8C">
        <w:rPr>
          <w:rFonts w:ascii="Verdana" w:hAnsi="Verdana" w:cs="Arial"/>
          <w:bCs/>
          <w:szCs w:val="24"/>
          <w:lang w:val="es-ES_tradnl" w:eastAsia="es-ES_tradnl"/>
        </w:rPr>
        <w:t>lo hizo centralizándola en determinadas autoridades estatales.</w:t>
      </w:r>
      <w:r w:rsidR="00867E8A">
        <w:rPr>
          <w:rFonts w:ascii="Verdana" w:hAnsi="Verdana" w:cs="Arial"/>
          <w:bCs/>
          <w:szCs w:val="24"/>
          <w:lang w:val="es-ES_tradnl" w:eastAsia="es-ES_tradnl"/>
        </w:rPr>
        <w:t xml:space="preserve"> Su numeral 1 dispone que «la competencia para ordenar y dirigir la celebración de licitaciones y para escoger contratistas será del jefe o representante de la entidad, según el caso»</w:t>
      </w:r>
      <w:r w:rsidR="00867E8A">
        <w:rPr>
          <w:rStyle w:val="Refdenotaalpie"/>
          <w:rFonts w:ascii="Verdana" w:hAnsi="Verdana"/>
          <w:sz w:val="20"/>
        </w:rPr>
        <w:footnoteReference w:id="8"/>
      </w:r>
      <w:r w:rsidR="00867E8A">
        <w:rPr>
          <w:rFonts w:ascii="Verdana" w:hAnsi="Verdana" w:cs="Arial"/>
          <w:bCs/>
          <w:szCs w:val="24"/>
          <w:lang w:val="es-ES_tradnl" w:eastAsia="es-ES_tradnl"/>
        </w:rPr>
        <w:t>.</w:t>
      </w:r>
    </w:p>
    <w:p w14:paraId="5C209517" w14:textId="77777777" w:rsidR="004A0841" w:rsidRDefault="004A0841" w:rsidP="00751DE8">
      <w:pPr>
        <w:spacing w:after="0" w:line="240" w:lineRule="auto"/>
        <w:jc w:val="both"/>
        <w:rPr>
          <w:rFonts w:ascii="Verdana" w:hAnsi="Verdana" w:cs="Arial"/>
          <w:b/>
          <w:bCs/>
          <w:color w:val="000000"/>
          <w:lang w:val="es-ES"/>
        </w:rPr>
      </w:pPr>
    </w:p>
    <w:p w14:paraId="69047E93" w14:textId="42900375" w:rsidR="00662087" w:rsidRPr="00A0389A" w:rsidRDefault="00867E8A" w:rsidP="009A4D8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Esta Subdirección ha precisado el alcance de esa disposición al señalar que «son los jefes o representantes legales de las entidades estatales en quienes recae la facultad para desarrollar procesos de selección y la celebración de contratos». </w:t>
      </w:r>
      <w:r w:rsidR="009A4D8C">
        <w:rPr>
          <w:rFonts w:ascii="Verdana" w:hAnsi="Verdana" w:cs="Arial"/>
          <w:bCs/>
          <w:szCs w:val="24"/>
          <w:lang w:val="es-ES_tradnl" w:eastAsia="es-ES_tradnl"/>
        </w:rPr>
        <w:t>Entonces, l</w:t>
      </w:r>
      <w:r>
        <w:rPr>
          <w:rFonts w:ascii="Verdana" w:hAnsi="Verdana" w:cs="Arial"/>
          <w:bCs/>
          <w:szCs w:val="24"/>
          <w:lang w:val="es-ES_tradnl" w:eastAsia="es-ES_tradnl"/>
        </w:rPr>
        <w:t>a consecuencia es directa</w:t>
      </w:r>
      <w:r w:rsidR="009A4D8C">
        <w:rPr>
          <w:rFonts w:ascii="Verdana" w:hAnsi="Verdana" w:cs="Arial"/>
          <w:bCs/>
          <w:szCs w:val="24"/>
          <w:lang w:val="es-ES_tradnl" w:eastAsia="es-ES_tradnl"/>
        </w:rPr>
        <w:t>,</w:t>
      </w:r>
      <w:r>
        <w:rPr>
          <w:rFonts w:ascii="Verdana" w:hAnsi="Verdana" w:cs="Arial"/>
          <w:bCs/>
          <w:szCs w:val="24"/>
          <w:lang w:val="es-ES_tradnl" w:eastAsia="es-ES_tradnl"/>
        </w:rPr>
        <w:t xml:space="preserve"> </w:t>
      </w:r>
      <w:r w:rsidR="009A4D8C" w:rsidRPr="009A4D8C">
        <w:rPr>
          <w:rFonts w:ascii="Verdana" w:hAnsi="Verdana" w:cs="Arial"/>
          <w:szCs w:val="24"/>
          <w:lang w:val="es-ES_tradnl" w:eastAsia="es-ES_tradnl"/>
        </w:rPr>
        <w:t>q</w:t>
      </w:r>
      <w:r w:rsidRPr="009A4D8C">
        <w:rPr>
          <w:rFonts w:ascii="Verdana" w:hAnsi="Verdana" w:cs="Arial"/>
          <w:szCs w:val="24"/>
          <w:lang w:val="es-ES_tradnl" w:eastAsia="es-ES_tradnl"/>
        </w:rPr>
        <w:t>uien contrata es la entidad estatal</w:t>
      </w:r>
      <w:r>
        <w:rPr>
          <w:rFonts w:ascii="Verdana" w:hAnsi="Verdana" w:cs="Arial"/>
          <w:bCs/>
          <w:szCs w:val="24"/>
          <w:lang w:val="es-ES_tradnl" w:eastAsia="es-ES_tradnl"/>
        </w:rPr>
        <w:t>, a través de quien la representa, y no cada una de sus dependencias consideradas por separado</w:t>
      </w:r>
      <w:r>
        <w:rPr>
          <w:rStyle w:val="Refdenotaalpie"/>
          <w:rFonts w:ascii="Verdana" w:hAnsi="Verdana"/>
          <w:sz w:val="20"/>
        </w:rPr>
        <w:footnoteReference w:id="9"/>
      </w:r>
      <w:r>
        <w:rPr>
          <w:rFonts w:ascii="Verdana" w:hAnsi="Verdana" w:cs="Arial"/>
          <w:bCs/>
          <w:szCs w:val="24"/>
          <w:lang w:val="es-ES_tradnl" w:eastAsia="es-ES_tradnl"/>
        </w:rPr>
        <w:t>.</w:t>
      </w:r>
    </w:p>
    <w:p w14:paraId="6C78CAD4" w14:textId="77777777" w:rsidR="004A0841" w:rsidRDefault="004A0841" w:rsidP="00751DE8">
      <w:pPr>
        <w:spacing w:after="0" w:line="240" w:lineRule="auto"/>
        <w:jc w:val="both"/>
        <w:rPr>
          <w:rFonts w:ascii="Verdana" w:hAnsi="Verdana" w:cs="Arial"/>
          <w:b/>
          <w:bCs/>
          <w:color w:val="000000"/>
          <w:lang w:val="es-ES"/>
        </w:rPr>
      </w:pPr>
    </w:p>
    <w:p w14:paraId="710A29C3" w14:textId="77777777" w:rsidR="00662087" w:rsidRPr="00A0389A" w:rsidRDefault="00867E8A" w:rsidP="009A4D8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De ahí se sigue que las dependencias no son sujetos de la relación contractual ni titulares de una competencia propia para contratar. Su papel es otro: intervienen en la formación de la voluntad de la entidad —identificando necesidades, aportando el sustento técnico, elaborando insumos para los </w:t>
      </w:r>
      <w:r>
        <w:rPr>
          <w:rFonts w:ascii="Verdana" w:hAnsi="Verdana" w:cs="Arial"/>
          <w:bCs/>
          <w:szCs w:val="24"/>
          <w:lang w:val="es-ES_tradnl" w:eastAsia="es-ES_tradnl"/>
        </w:rPr>
        <w:lastRenderedPageBreak/>
        <w:t>estudios previos, ejerciendo la supervisión cuando se les designa— conforme a la organización interna que la entidad adopte. Esa intervención es de orden operativo y no atributiva de competencia.</w:t>
      </w:r>
    </w:p>
    <w:p w14:paraId="2DF11CB2" w14:textId="77777777" w:rsidR="004A0841" w:rsidRDefault="004A0841" w:rsidP="00751DE8">
      <w:pPr>
        <w:spacing w:after="0" w:line="240" w:lineRule="auto"/>
        <w:jc w:val="both"/>
        <w:rPr>
          <w:rFonts w:ascii="Verdana" w:hAnsi="Verdana" w:cs="Arial"/>
          <w:b/>
          <w:bCs/>
          <w:color w:val="000000"/>
          <w:lang w:val="es-ES"/>
        </w:rPr>
      </w:pPr>
    </w:p>
    <w:p w14:paraId="15E6A013" w14:textId="77777777" w:rsidR="00662087" w:rsidRPr="00A0389A" w:rsidRDefault="00867E8A" w:rsidP="009A4D8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Conviene añadir que la propia Agencia ha subrayado que la delegación de funciones administrativas «no tiene una naturaleza contractual, sino que se encuentra relacionada con la competencia como presupuesto necesario para la actuación administrativa». La competencia, en otras palabras, es un presupuesto de validez del acto y solo puede transferirse por los cauces que la ley prevé, no por la vía de la distribución funcional interna</w:t>
      </w:r>
      <w:r>
        <w:rPr>
          <w:rStyle w:val="Refdenotaalpie"/>
          <w:rFonts w:ascii="Verdana" w:hAnsi="Verdana"/>
          <w:sz w:val="20"/>
        </w:rPr>
        <w:footnoteReference w:id="10"/>
      </w:r>
      <w:r>
        <w:rPr>
          <w:rFonts w:ascii="Verdana" w:hAnsi="Verdana" w:cs="Arial"/>
          <w:bCs/>
          <w:szCs w:val="24"/>
          <w:lang w:val="es-ES_tradnl" w:eastAsia="es-ES_tradnl"/>
        </w:rPr>
        <w:t>.</w:t>
      </w:r>
    </w:p>
    <w:p w14:paraId="1555300F" w14:textId="34407B44" w:rsidR="00662087" w:rsidRPr="00A0389A" w:rsidRDefault="00662087" w:rsidP="00662087">
      <w:pPr>
        <w:spacing w:after="0" w:line="276" w:lineRule="auto"/>
        <w:jc w:val="both"/>
        <w:rPr>
          <w:rFonts w:ascii="Verdana" w:hAnsi="Verdana" w:cs="Arial"/>
          <w:bCs/>
          <w:szCs w:val="24"/>
          <w:lang w:val="es-ES_tradnl" w:eastAsia="es-ES_tradnl"/>
        </w:rPr>
      </w:pPr>
    </w:p>
    <w:p w14:paraId="1D8EFC3E" w14:textId="4E14CEDD" w:rsidR="00662087" w:rsidRPr="00A0389A" w:rsidRDefault="009A4D8C" w:rsidP="00662087">
      <w:pPr>
        <w:spacing w:after="0" w:line="276" w:lineRule="auto"/>
        <w:jc w:val="both"/>
        <w:rPr>
          <w:rFonts w:ascii="Verdana" w:hAnsi="Verdana" w:cs="Arial"/>
          <w:bCs/>
          <w:szCs w:val="24"/>
          <w:lang w:val="es-ES_tradnl" w:eastAsia="es-ES_tradnl"/>
        </w:rPr>
      </w:pPr>
      <w:proofErr w:type="spellStart"/>
      <w:r w:rsidRPr="009A4D8C">
        <w:rPr>
          <w:rFonts w:ascii="Verdana" w:hAnsi="Verdana" w:cs="Arial"/>
          <w:color w:val="000000"/>
          <w:lang w:val="es-ES"/>
        </w:rPr>
        <w:t>ii</w:t>
      </w:r>
      <w:proofErr w:type="spellEnd"/>
      <w:r w:rsidRPr="009A4D8C">
        <w:rPr>
          <w:rFonts w:ascii="Verdana" w:hAnsi="Verdana" w:cs="Arial"/>
          <w:color w:val="000000"/>
          <w:lang w:val="es-ES"/>
        </w:rPr>
        <w:t>)</w:t>
      </w:r>
      <w:r>
        <w:rPr>
          <w:rFonts w:ascii="Verdana" w:hAnsi="Verdana" w:cs="Arial"/>
          <w:b/>
          <w:bCs/>
          <w:color w:val="000000"/>
          <w:lang w:val="es-ES"/>
        </w:rPr>
        <w:t xml:space="preserve"> </w:t>
      </w:r>
      <w:r w:rsidR="00867E8A">
        <w:rPr>
          <w:rFonts w:ascii="Verdana" w:hAnsi="Verdana" w:cs="Arial"/>
          <w:bCs/>
          <w:szCs w:val="24"/>
          <w:lang w:val="es-ES_tradnl" w:eastAsia="es-ES_tradnl"/>
        </w:rPr>
        <w:t xml:space="preserve">Si la competencia contractual es del jefe o representante legal, cabe preguntar cómo puede otro servidor comprometer válidamente a la entidad. La respuesta está en el artículo 12 de la Ley 80 de 1993, modificado por el artículo 21 de la Ley 1150 de 2007, en concordancia con el artículo 9 de la Ley 489 de 1998: los jefes y representantes legales pueden </w:t>
      </w:r>
      <w:r w:rsidR="00867E8A" w:rsidRPr="009A4D8C">
        <w:rPr>
          <w:rFonts w:ascii="Verdana" w:hAnsi="Verdana" w:cs="Arial"/>
          <w:szCs w:val="24"/>
          <w:lang w:val="es-ES_tradnl" w:eastAsia="es-ES_tradnl"/>
        </w:rPr>
        <w:t xml:space="preserve">delegar </w:t>
      </w:r>
      <w:r w:rsidR="00867E8A">
        <w:rPr>
          <w:rFonts w:ascii="Verdana" w:hAnsi="Verdana" w:cs="Arial"/>
          <w:bCs/>
          <w:szCs w:val="24"/>
          <w:lang w:val="es-ES_tradnl" w:eastAsia="es-ES_tradnl"/>
        </w:rPr>
        <w:t xml:space="preserve">total o parcialmente la competencia para celebrar contratos </w:t>
      </w:r>
      <w:r w:rsidR="00867E8A" w:rsidRPr="009A4D8C">
        <w:rPr>
          <w:rFonts w:ascii="Verdana" w:hAnsi="Verdana" w:cs="Arial"/>
          <w:bCs/>
          <w:szCs w:val="24"/>
          <w:lang w:val="es-ES_tradnl" w:eastAsia="es-ES_tradnl"/>
        </w:rPr>
        <w:t>y desconcentrar la</w:t>
      </w:r>
      <w:r w:rsidR="00867E8A">
        <w:rPr>
          <w:rFonts w:ascii="Verdana" w:hAnsi="Verdana" w:cs="Arial"/>
          <w:bCs/>
          <w:szCs w:val="24"/>
          <w:lang w:val="es-ES_tradnl" w:eastAsia="es-ES_tradnl"/>
        </w:rPr>
        <w:t xml:space="preserve"> realización de licitaciones en servidores públicos que desempeñen cargos del nivel directivo o ejecutivo o en sus equivalentes</w:t>
      </w:r>
      <w:r w:rsidR="00867E8A">
        <w:rPr>
          <w:rStyle w:val="Refdenotaalpie"/>
          <w:rFonts w:ascii="Verdana" w:hAnsi="Verdana"/>
          <w:sz w:val="20"/>
        </w:rPr>
        <w:footnoteReference w:id="11"/>
      </w:r>
      <w:r w:rsidR="00867E8A">
        <w:rPr>
          <w:rFonts w:ascii="Verdana" w:hAnsi="Verdana" w:cs="Arial"/>
          <w:bCs/>
          <w:szCs w:val="24"/>
          <w:lang w:val="es-ES_tradnl" w:eastAsia="es-ES_tradnl"/>
        </w:rPr>
        <w:t>.</w:t>
      </w:r>
    </w:p>
    <w:p w14:paraId="116FA773" w14:textId="77777777" w:rsidR="004A0841" w:rsidRDefault="004A0841" w:rsidP="00751DE8">
      <w:pPr>
        <w:spacing w:after="0" w:line="240" w:lineRule="auto"/>
        <w:jc w:val="both"/>
        <w:rPr>
          <w:rFonts w:ascii="Verdana" w:hAnsi="Verdana" w:cs="Arial"/>
          <w:b/>
          <w:bCs/>
          <w:color w:val="000000"/>
          <w:lang w:val="es-ES"/>
        </w:rPr>
      </w:pPr>
    </w:p>
    <w:p w14:paraId="0377AF3D" w14:textId="77777777" w:rsidR="00662087" w:rsidRPr="00A0389A" w:rsidRDefault="00867E8A" w:rsidP="009A4D8C">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Ambas figuras deben distinguirse. La delegación implica «una actuación administrativa mediante la cual el titular de la función —delegante— […] invista voluntaria y formalmente de autoridad a quien ejerce un cargo subordinado —delegatario—, para que asuma una o varias de las atribuciones del primero»; se trata de una transferencia de funciones que exige </w:t>
      </w:r>
      <w:r w:rsidRPr="00FC1E72">
        <w:rPr>
          <w:rFonts w:ascii="Verdana" w:hAnsi="Verdana" w:cs="Arial"/>
          <w:bCs/>
          <w:szCs w:val="24"/>
          <w:lang w:val="es-ES_tradnl" w:eastAsia="es-ES_tradnl"/>
        </w:rPr>
        <w:t>un acto formal de</w:t>
      </w:r>
      <w:r>
        <w:rPr>
          <w:rFonts w:ascii="Verdana" w:hAnsi="Verdana" w:cs="Arial"/>
          <w:bCs/>
          <w:szCs w:val="24"/>
          <w:lang w:val="es-ES_tradnl" w:eastAsia="es-ES_tradnl"/>
        </w:rPr>
        <w:t xml:space="preserve"> delegación. La desconcentración, en cambio, es la distribución adecuada del trabajo que realiza el jefe o representante legal, sin que implique autonomía administrativa en su ejercicio</w:t>
      </w:r>
      <w:r>
        <w:rPr>
          <w:rStyle w:val="Refdenotaalpie"/>
          <w:rFonts w:ascii="Verdana" w:hAnsi="Verdana"/>
          <w:sz w:val="20"/>
        </w:rPr>
        <w:footnoteReference w:id="12"/>
      </w:r>
      <w:r>
        <w:rPr>
          <w:rFonts w:ascii="Verdana" w:hAnsi="Verdana" w:cs="Arial"/>
          <w:bCs/>
          <w:szCs w:val="24"/>
          <w:lang w:val="es-ES_tradnl" w:eastAsia="es-ES_tradnl"/>
        </w:rPr>
        <w:t>.</w:t>
      </w:r>
    </w:p>
    <w:p w14:paraId="218A5D13" w14:textId="77777777" w:rsidR="004A0841" w:rsidRDefault="004A0841" w:rsidP="00751DE8">
      <w:pPr>
        <w:spacing w:after="0" w:line="240" w:lineRule="auto"/>
        <w:jc w:val="both"/>
        <w:rPr>
          <w:rFonts w:ascii="Verdana" w:hAnsi="Verdana" w:cs="Arial"/>
          <w:b/>
          <w:bCs/>
          <w:color w:val="000000"/>
          <w:lang w:val="es-ES"/>
        </w:rPr>
      </w:pPr>
    </w:p>
    <w:p w14:paraId="4F6ADBF3" w14:textId="77777777" w:rsidR="00FC1E72"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lastRenderedPageBreak/>
        <w:t>Esta distinción resuelve buena parte del primer interrogante. El instrumento que determina quién puede comprometer a la entidad no es el decreto que fija su estructura, sino el acto de delegación —o, en su caso, el manual de contratación que organice la desconcentración—. Un servidor que actúe por fuera de los términos de ese acto sí incurre en un problema de competencia, con las consecuencias que el ordenamiento prevé; pero ese problema no surge de que la actividad contratada se relacione con funciones de otra dependencia.</w:t>
      </w:r>
    </w:p>
    <w:p w14:paraId="3E4D13D7" w14:textId="31240F47" w:rsidR="00662087" w:rsidRPr="00A0389A" w:rsidRDefault="00FC1E72" w:rsidP="00662087">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iii</w:t>
      </w:r>
      <w:proofErr w:type="spellEnd"/>
      <w:r>
        <w:rPr>
          <w:rFonts w:ascii="Verdana" w:hAnsi="Verdana" w:cs="Arial"/>
          <w:bCs/>
          <w:szCs w:val="24"/>
          <w:lang w:val="es-ES_tradnl" w:eastAsia="es-ES_tradnl"/>
        </w:rPr>
        <w:t xml:space="preserve">) </w:t>
      </w:r>
      <w:r w:rsidR="00867E8A">
        <w:rPr>
          <w:rFonts w:ascii="Verdana" w:hAnsi="Verdana" w:cs="Arial"/>
          <w:bCs/>
          <w:szCs w:val="24"/>
          <w:lang w:val="es-ES_tradnl" w:eastAsia="es-ES_tradnl"/>
        </w:rPr>
        <w:t>Lo dicho no convierte al decreto de estructura en un documento irrelevante para la contratación. Cumple dos funciones, ambas distintas de la atribución de competencia contractual.</w:t>
      </w:r>
    </w:p>
    <w:p w14:paraId="2DFF0648" w14:textId="77777777" w:rsidR="004A0841" w:rsidRDefault="004A0841" w:rsidP="00751DE8">
      <w:pPr>
        <w:spacing w:after="0" w:line="240" w:lineRule="auto"/>
        <w:jc w:val="both"/>
        <w:rPr>
          <w:rFonts w:ascii="Verdana" w:hAnsi="Verdana" w:cs="Arial"/>
          <w:b/>
          <w:bCs/>
          <w:color w:val="000000"/>
          <w:lang w:val="es-ES"/>
        </w:rPr>
      </w:pPr>
    </w:p>
    <w:p w14:paraId="2BA0D691" w14:textId="77777777" w:rsidR="00662087" w:rsidRPr="00A0389A" w:rsidRDefault="00867E8A" w:rsidP="00662087">
      <w:pPr>
        <w:spacing w:after="0" w:line="276" w:lineRule="auto"/>
        <w:jc w:val="both"/>
        <w:rPr>
          <w:rFonts w:ascii="Verdana" w:hAnsi="Verdana" w:cs="Arial"/>
          <w:bCs/>
          <w:szCs w:val="24"/>
          <w:lang w:val="es-ES_tradnl" w:eastAsia="es-ES_tradnl"/>
        </w:rPr>
      </w:pPr>
      <w:r w:rsidRPr="00FC1E72">
        <w:rPr>
          <w:rFonts w:ascii="Verdana" w:hAnsi="Verdana" w:cs="Arial"/>
          <w:bCs/>
          <w:szCs w:val="24"/>
          <w:lang w:val="es-ES_tradnl" w:eastAsia="es-ES_tradnl"/>
        </w:rPr>
        <w:t>La primera es servir de referente para verificar el objeto.</w:t>
      </w:r>
      <w:r>
        <w:rPr>
          <w:rFonts w:ascii="Verdana" w:hAnsi="Verdana" w:cs="Arial"/>
          <w:bCs/>
          <w:szCs w:val="24"/>
          <w:lang w:val="es-ES_tradnl" w:eastAsia="es-ES_tradnl"/>
        </w:rPr>
        <w:t xml:space="preserve"> El numeral 3 del artículo 32 de la Ley 80 de 1993 dispone que son contratos de prestación de servicios «los que celebren las entidades estatales para desarrollar actividades relacionadas con la administración o funcionamiento de la entidad». Esta Subdirección ha precisado que ello significa que la actividad debe hacer parte «de su giro ordinario o quehacer cotidiano». El decreto de estructura y el manual de funciones son, precisamente, los instrumentos que permiten constatar si una determinada actividad pertenece a ese giro ordinario</w:t>
      </w:r>
      <w:r>
        <w:rPr>
          <w:rStyle w:val="Refdenotaalpie"/>
          <w:rFonts w:ascii="Verdana" w:hAnsi="Verdana"/>
          <w:sz w:val="20"/>
        </w:rPr>
        <w:footnoteReference w:id="13"/>
      </w:r>
      <w:r>
        <w:rPr>
          <w:rFonts w:ascii="Verdana" w:hAnsi="Verdana" w:cs="Arial"/>
          <w:bCs/>
          <w:szCs w:val="24"/>
          <w:lang w:val="es-ES_tradnl" w:eastAsia="es-ES_tradnl"/>
        </w:rPr>
        <w:t>.</w:t>
      </w:r>
    </w:p>
    <w:p w14:paraId="54544D6B" w14:textId="77777777" w:rsidR="004A0841" w:rsidRDefault="004A0841" w:rsidP="00751DE8">
      <w:pPr>
        <w:spacing w:after="0" w:line="240" w:lineRule="auto"/>
        <w:jc w:val="both"/>
        <w:rPr>
          <w:rFonts w:ascii="Verdana" w:hAnsi="Verdana" w:cs="Arial"/>
          <w:b/>
          <w:bCs/>
          <w:color w:val="000000"/>
          <w:lang w:val="es-ES"/>
        </w:rPr>
      </w:pPr>
    </w:p>
    <w:p w14:paraId="412AEC6B" w14:textId="77777777"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Ahora bien, y esto es determinante para el segundo interrogante, el sujeto de referencia del precepto es </w:t>
      </w:r>
      <w:r>
        <w:rPr>
          <w:rFonts w:ascii="Verdana" w:hAnsi="Verdana" w:cs="Arial"/>
          <w:b/>
          <w:bCs/>
          <w:szCs w:val="24"/>
          <w:lang w:val="es-ES_tradnl" w:eastAsia="es-ES_tradnl"/>
        </w:rPr>
        <w:t>la entidad</w:t>
      </w:r>
      <w:r>
        <w:rPr>
          <w:rFonts w:ascii="Verdana" w:hAnsi="Verdana" w:cs="Arial"/>
          <w:bCs/>
          <w:szCs w:val="24"/>
          <w:lang w:val="es-ES_tradnl" w:eastAsia="es-ES_tradnl"/>
        </w:rPr>
        <w:t xml:space="preserve"> y no la dependencia. La norma exige que la actividad se relacione con la administración o el funcionamiento «de la entidad», no con las funciones de la dependencia que estructura el proceso. De suerte que el hecho de que las obligaciones pactadas correspondan a funciones asignadas a una dependencia distinta de aquella que identificó la necesidad no sitúa, por sí solo, el contrato fuera del ámbito del numeral 3 del artículo 32: la actividad sigue perteneciendo al giro ordinario de la entidad.</w:t>
      </w:r>
    </w:p>
    <w:p w14:paraId="26BCA9F4" w14:textId="77777777" w:rsidR="004A0841" w:rsidRDefault="004A0841" w:rsidP="00751DE8">
      <w:pPr>
        <w:spacing w:after="0" w:line="240" w:lineRule="auto"/>
        <w:jc w:val="both"/>
        <w:rPr>
          <w:rFonts w:ascii="Verdana" w:hAnsi="Verdana" w:cs="Arial"/>
          <w:b/>
          <w:bCs/>
          <w:color w:val="000000"/>
          <w:lang w:val="es-ES"/>
        </w:rPr>
      </w:pPr>
    </w:p>
    <w:p w14:paraId="2ED0AA64" w14:textId="7B51E0B2"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La segunda función del decreto de estructura es servir d</w:t>
      </w:r>
      <w:r w:rsidRPr="00FC1E72">
        <w:rPr>
          <w:rFonts w:ascii="Verdana" w:hAnsi="Verdana" w:cs="Arial"/>
          <w:bCs/>
          <w:szCs w:val="24"/>
          <w:lang w:val="es-ES_tradnl" w:eastAsia="es-ES_tradnl"/>
        </w:rPr>
        <w:t xml:space="preserve">e insumo técnico para justificar la necesidad. </w:t>
      </w:r>
      <w:r>
        <w:rPr>
          <w:rFonts w:ascii="Verdana" w:hAnsi="Verdana" w:cs="Arial"/>
          <w:bCs/>
          <w:szCs w:val="24"/>
          <w:lang w:val="es-ES_tradnl" w:eastAsia="es-ES_tradnl"/>
        </w:rPr>
        <w:t>Y aquí sí aparece una consecuencia práctica relevante</w:t>
      </w:r>
      <w:r w:rsidR="00FC1E72">
        <w:rPr>
          <w:rFonts w:ascii="Verdana" w:hAnsi="Verdana" w:cs="Arial"/>
          <w:bCs/>
          <w:szCs w:val="24"/>
          <w:lang w:val="es-ES_tradnl" w:eastAsia="es-ES_tradnl"/>
        </w:rPr>
        <w:t xml:space="preserve">, </w:t>
      </w:r>
      <w:r>
        <w:rPr>
          <w:rFonts w:ascii="Verdana" w:hAnsi="Verdana" w:cs="Arial"/>
          <w:bCs/>
          <w:szCs w:val="24"/>
          <w:lang w:val="es-ES_tradnl" w:eastAsia="es-ES_tradnl"/>
        </w:rPr>
        <w:t xml:space="preserve">si la función que da origen a la necesidad está asignada a una dependencia determinada, es esa dependencia la que está en condiciones de precisar el </w:t>
      </w:r>
      <w:r>
        <w:rPr>
          <w:rFonts w:ascii="Verdana" w:hAnsi="Verdana" w:cs="Arial"/>
          <w:bCs/>
          <w:szCs w:val="24"/>
          <w:lang w:val="es-ES_tradnl" w:eastAsia="es-ES_tradnl"/>
        </w:rPr>
        <w:lastRenderedPageBreak/>
        <w:t>alcance de las actividades, su intensidad y el perfil requerido. Que no participe en la estructuración no vicia la competencia, pero sí debilita el sustento técnico de los estudios previos, que es donde reside el verdadero problema del supuesto planteado.</w:t>
      </w:r>
    </w:p>
    <w:p w14:paraId="16259360" w14:textId="77777777" w:rsidR="004A0841" w:rsidRDefault="004A0841" w:rsidP="00751DE8">
      <w:pPr>
        <w:spacing w:after="0" w:line="240" w:lineRule="auto"/>
        <w:jc w:val="both"/>
        <w:rPr>
          <w:rFonts w:ascii="Verdana" w:hAnsi="Verdana" w:cs="Arial"/>
          <w:b/>
          <w:bCs/>
          <w:color w:val="000000"/>
          <w:lang w:val="es-ES"/>
        </w:rPr>
      </w:pPr>
    </w:p>
    <w:p w14:paraId="4027BF77" w14:textId="3D33B9CC" w:rsidR="00662087" w:rsidRPr="00A0389A" w:rsidRDefault="00FC1E72" w:rsidP="00662087">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iv</w:t>
      </w:r>
      <w:proofErr w:type="spellEnd"/>
      <w:r>
        <w:rPr>
          <w:rFonts w:ascii="Verdana" w:hAnsi="Verdana" w:cs="Arial"/>
          <w:bCs/>
          <w:szCs w:val="24"/>
          <w:lang w:val="es-ES_tradnl" w:eastAsia="es-ES_tradnl"/>
        </w:rPr>
        <w:t xml:space="preserve">) </w:t>
      </w:r>
      <w:r w:rsidR="00867E8A">
        <w:rPr>
          <w:rFonts w:ascii="Verdana" w:hAnsi="Verdana" w:cs="Arial"/>
          <w:bCs/>
          <w:szCs w:val="24"/>
          <w:lang w:val="es-ES_tradnl" w:eastAsia="es-ES_tradnl"/>
        </w:rPr>
        <w:t>El tercer interrogante pregunta si existe un deber de correspondencia entre las competencias funcionales de una dependencia y las actividades que pretende desarrollar mediante contratos de prestación de servicios. La respuesta es afirmativa, pero exige reformular l</w:t>
      </w:r>
      <w:r w:rsidR="00867E8A" w:rsidRPr="00FC1E72">
        <w:rPr>
          <w:rFonts w:ascii="Verdana" w:hAnsi="Verdana" w:cs="Arial"/>
          <w:bCs/>
          <w:szCs w:val="24"/>
          <w:lang w:val="es-ES_tradnl" w:eastAsia="es-ES_tradnl"/>
        </w:rPr>
        <w:t>os términos: el deber existe, aunque no se predica entre «dependencia» y «actividad», sino entre necesidad, objeto y obligaciones.</w:t>
      </w:r>
    </w:p>
    <w:p w14:paraId="4FE8FF30" w14:textId="77777777" w:rsidR="004A0841" w:rsidRDefault="004A0841" w:rsidP="00751DE8">
      <w:pPr>
        <w:spacing w:after="0" w:line="240" w:lineRule="auto"/>
        <w:jc w:val="both"/>
        <w:rPr>
          <w:rFonts w:ascii="Verdana" w:hAnsi="Verdana" w:cs="Arial"/>
          <w:b/>
          <w:bCs/>
          <w:color w:val="000000"/>
          <w:lang w:val="es-ES"/>
        </w:rPr>
      </w:pPr>
    </w:p>
    <w:p w14:paraId="3892AECD" w14:textId="77777777"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Ese deber es una manifestación del principio de planeación, que esta Agencia ha descrito como «una herramienta de gerencia pública, que exige estructurar el proceso contractual dedicando tiempo y esfuerzos para elaborar estudios previos, con el fin de determinar la necesidad que pretende satisfacer la Entidad Estatal y cuál es la mejor manera de hacerlo»</w:t>
      </w:r>
      <w:r>
        <w:rPr>
          <w:rStyle w:val="Refdenotaalpie"/>
          <w:rFonts w:ascii="Verdana" w:hAnsi="Verdana"/>
          <w:sz w:val="20"/>
        </w:rPr>
        <w:footnoteReference w:id="14"/>
      </w:r>
      <w:r>
        <w:rPr>
          <w:rFonts w:ascii="Verdana" w:hAnsi="Verdana" w:cs="Arial"/>
          <w:bCs/>
          <w:szCs w:val="24"/>
          <w:lang w:val="es-ES_tradnl" w:eastAsia="es-ES_tradnl"/>
        </w:rPr>
        <w:t>.</w:t>
      </w:r>
    </w:p>
    <w:p w14:paraId="6E48CA8F" w14:textId="77777777" w:rsidR="004A0841" w:rsidRDefault="004A0841" w:rsidP="00751DE8">
      <w:pPr>
        <w:spacing w:after="0" w:line="240" w:lineRule="auto"/>
        <w:jc w:val="both"/>
        <w:rPr>
          <w:rFonts w:ascii="Verdana" w:hAnsi="Verdana" w:cs="Arial"/>
          <w:b/>
          <w:bCs/>
          <w:color w:val="000000"/>
          <w:lang w:val="es-ES"/>
        </w:rPr>
      </w:pPr>
    </w:p>
    <w:p w14:paraId="798FB2DA" w14:textId="77777777"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En el plano normativo, el numeral 7 del artículo 25 de la Ley 80 de 1993 exige que la conveniencia del objeto a contratar se analice con antelación al inicio del proceso de selección, y el numeral 12 —modificado por el artículo 87 de la Ley 1474 de 2011— impone elaborar previamente los estudios y documentos requeridos. El artículo 2.2.1.1.2.1.1 del Decreto 1082 de 2015 concreta su contenido, cuyos dos primeros elementos son «la descripción de la necesidad que la Entidad Estatal pretende satisfacer con el Proceso de Contratación» y «el objeto a contratar, con sus especificaciones»</w:t>
      </w:r>
      <w:r>
        <w:rPr>
          <w:rStyle w:val="Refdenotaalpie"/>
          <w:rFonts w:ascii="Verdana" w:hAnsi="Verdana"/>
          <w:sz w:val="20"/>
        </w:rPr>
        <w:footnoteReference w:id="15"/>
      </w:r>
      <w:r>
        <w:rPr>
          <w:rFonts w:ascii="Verdana" w:hAnsi="Verdana" w:cs="Arial"/>
          <w:bCs/>
          <w:szCs w:val="24"/>
          <w:lang w:val="es-ES_tradnl" w:eastAsia="es-ES_tradnl"/>
        </w:rPr>
        <w:t>.</w:t>
      </w:r>
    </w:p>
    <w:p w14:paraId="18CD4C69" w14:textId="77777777" w:rsidR="004A0841" w:rsidRDefault="004A0841" w:rsidP="00751DE8">
      <w:pPr>
        <w:spacing w:after="0" w:line="240" w:lineRule="auto"/>
        <w:jc w:val="both"/>
        <w:rPr>
          <w:rFonts w:ascii="Verdana" w:hAnsi="Verdana" w:cs="Arial"/>
          <w:b/>
          <w:bCs/>
          <w:color w:val="000000"/>
          <w:lang w:val="es-ES"/>
        </w:rPr>
      </w:pPr>
    </w:p>
    <w:p w14:paraId="16F90B53" w14:textId="77777777"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Nótese que la norma reglamentaria emplea, también aquí, la expresión «la Entidad Estatal». La necesidad que debe describirse y justificarse es la de la entidad, y el objeto debe corresponder a esa necesidad. Es esa cadena —necesidad, objeto, obligaciones— la que el ordenamiento exige que sea coherente.</w:t>
      </w:r>
    </w:p>
    <w:p w14:paraId="6B3424F3" w14:textId="77777777" w:rsidR="004A0841" w:rsidRDefault="004A0841" w:rsidP="00751DE8">
      <w:pPr>
        <w:spacing w:after="0" w:line="240" w:lineRule="auto"/>
        <w:jc w:val="both"/>
        <w:rPr>
          <w:rFonts w:ascii="Verdana" w:hAnsi="Verdana" w:cs="Arial"/>
          <w:b/>
          <w:bCs/>
          <w:color w:val="000000"/>
          <w:lang w:val="es-ES"/>
        </w:rPr>
      </w:pPr>
    </w:p>
    <w:p w14:paraId="4A7A6827" w14:textId="11333EA0"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Aplicado al supuesto descrito en la consulta, el resultado es el siguiente. Cuando el objeto contractual se enuncia como orientado a apoyar la gestión de una dependencia, pero las obligaciones específicas corresponden materialmente a actividades propias de otra, lo jurídicamente reprochable no es una invasión de </w:t>
      </w:r>
      <w:r w:rsidRPr="00FC1E72">
        <w:rPr>
          <w:rFonts w:ascii="Verdana" w:hAnsi="Verdana" w:cs="Arial"/>
          <w:bCs/>
          <w:szCs w:val="24"/>
          <w:lang w:val="es-ES_tradnl" w:eastAsia="es-ES_tradnl"/>
        </w:rPr>
        <w:t>competencias entre dependencias —que, según se expuso, no se configura—, sino la incoherencia entre el objeto enunciado y las obligaciones pactadas. Esa incoher</w:t>
      </w:r>
      <w:r>
        <w:rPr>
          <w:rFonts w:ascii="Verdana" w:hAnsi="Verdana" w:cs="Arial"/>
          <w:bCs/>
          <w:szCs w:val="24"/>
          <w:lang w:val="es-ES_tradnl" w:eastAsia="es-ES_tradnl"/>
        </w:rPr>
        <w:t>encia constituye un defecto de los estudios previos y</w:t>
      </w:r>
      <w:r w:rsidR="002B1315">
        <w:rPr>
          <w:rFonts w:ascii="Verdana" w:hAnsi="Verdana" w:cs="Arial"/>
          <w:bCs/>
          <w:szCs w:val="24"/>
          <w:lang w:val="es-ES_tradnl" w:eastAsia="es-ES_tradnl"/>
        </w:rPr>
        <w:t xml:space="preserve"> posiblemente</w:t>
      </w:r>
      <w:r>
        <w:rPr>
          <w:rFonts w:ascii="Verdana" w:hAnsi="Verdana" w:cs="Arial"/>
          <w:bCs/>
          <w:szCs w:val="24"/>
          <w:lang w:val="es-ES_tradnl" w:eastAsia="es-ES_tradnl"/>
        </w:rPr>
        <w:t xml:space="preserve"> </w:t>
      </w:r>
      <w:r w:rsidR="002B1315">
        <w:rPr>
          <w:rFonts w:ascii="Verdana" w:hAnsi="Verdana" w:cs="Arial"/>
          <w:bCs/>
          <w:szCs w:val="24"/>
          <w:lang w:val="es-ES_tradnl" w:eastAsia="es-ES_tradnl"/>
        </w:rPr>
        <w:t>d</w:t>
      </w:r>
      <w:r>
        <w:rPr>
          <w:rFonts w:ascii="Verdana" w:hAnsi="Verdana" w:cs="Arial"/>
          <w:bCs/>
          <w:szCs w:val="24"/>
          <w:lang w:val="es-ES_tradnl" w:eastAsia="es-ES_tradnl"/>
        </w:rPr>
        <w:t>el deber de planeación</w:t>
      </w:r>
      <w:r>
        <w:rPr>
          <w:rStyle w:val="Refdenotaalpie"/>
          <w:rFonts w:ascii="Verdana" w:hAnsi="Verdana"/>
          <w:sz w:val="20"/>
        </w:rPr>
        <w:footnoteReference w:id="16"/>
      </w:r>
      <w:r>
        <w:rPr>
          <w:rFonts w:ascii="Verdana" w:hAnsi="Verdana" w:cs="Arial"/>
          <w:bCs/>
          <w:szCs w:val="24"/>
          <w:lang w:val="es-ES_tradnl" w:eastAsia="es-ES_tradnl"/>
        </w:rPr>
        <w:t>.</w:t>
      </w:r>
    </w:p>
    <w:p w14:paraId="1833D979" w14:textId="77777777" w:rsidR="004A0841" w:rsidRDefault="004A0841" w:rsidP="00751DE8">
      <w:pPr>
        <w:spacing w:after="0" w:line="240" w:lineRule="auto"/>
        <w:jc w:val="both"/>
        <w:rPr>
          <w:rFonts w:ascii="Verdana" w:hAnsi="Verdana" w:cs="Arial"/>
          <w:b/>
          <w:bCs/>
          <w:color w:val="000000"/>
          <w:lang w:val="es-ES"/>
        </w:rPr>
      </w:pPr>
    </w:p>
    <w:p w14:paraId="182AAA5C" w14:textId="77777777"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A lo anterior se suma una exigencia propia del contrato de prestación de servicios. El numeral 3 del artículo 32 de la Ley 80 de 1993 dispone que estos contratos «sólo podrán celebrarse con personas naturales cuando dichas actividades no puedan realizarse con personal de planta o requieran conocimientos especializados», y que «en ningún caso» generan relación laboral. Por consiguiente, si las actividades que se pretenden contratar corresponden a funciones permanentes asignadas por el decreto de estructura a una dependencia, la entidad debe justificar en los estudios previos por qué no pueden atenderse con el personal de planta de esa dependencia. Esa justificación —y no la identidad de la dependencia estructuradora— es el verdadero punto de control</w:t>
      </w:r>
      <w:r>
        <w:rPr>
          <w:rStyle w:val="Refdenotaalpie"/>
          <w:rFonts w:ascii="Verdana" w:hAnsi="Verdana"/>
          <w:sz w:val="20"/>
        </w:rPr>
        <w:footnoteReference w:id="17"/>
      </w:r>
      <w:r>
        <w:rPr>
          <w:rFonts w:ascii="Verdana" w:hAnsi="Verdana" w:cs="Arial"/>
          <w:bCs/>
          <w:szCs w:val="24"/>
          <w:lang w:val="es-ES_tradnl" w:eastAsia="es-ES_tradnl"/>
        </w:rPr>
        <w:t>.</w:t>
      </w:r>
    </w:p>
    <w:p w14:paraId="4E59F791" w14:textId="77777777" w:rsidR="004A0841" w:rsidRDefault="004A0841" w:rsidP="00751DE8">
      <w:pPr>
        <w:spacing w:after="0" w:line="240" w:lineRule="auto"/>
        <w:jc w:val="both"/>
        <w:rPr>
          <w:rFonts w:ascii="Verdana" w:hAnsi="Verdana" w:cs="Arial"/>
          <w:b/>
          <w:bCs/>
          <w:color w:val="000000"/>
          <w:lang w:val="es-ES"/>
        </w:rPr>
      </w:pPr>
    </w:p>
    <w:p w14:paraId="6C7B44F3" w14:textId="7F1FE0BA" w:rsidR="00662087" w:rsidRPr="00A0389A" w:rsidRDefault="002B1315"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v) </w:t>
      </w:r>
      <w:r w:rsidR="00867E8A">
        <w:rPr>
          <w:rFonts w:ascii="Verdana" w:hAnsi="Verdana" w:cs="Arial"/>
          <w:bCs/>
          <w:szCs w:val="24"/>
          <w:lang w:val="es-ES_tradnl" w:eastAsia="es-ES_tradnl"/>
        </w:rPr>
        <w:t>Recogiendo lo expuesto: el decreto que fija la estructura de una entidad estatal no distribuye la competencia contractual entre dependencias, porque esa competencia la radica la ley en el jefe o representante legal y solo se altera por delegación o desconcentración mediante acto formal. En consecuencia, no constituye por sí mismo un límite para que una dependencia intervenga en la estructuración de un proceso cuyas obligaciones se relacionen con funciones asignadas a otra, ni hace jurídicamente improcedente esa contratación desde la perspectiva del Estatuto General.</w:t>
      </w:r>
    </w:p>
    <w:p w14:paraId="5010FEDC" w14:textId="77777777" w:rsidR="004A0841" w:rsidRDefault="004A0841" w:rsidP="00751DE8">
      <w:pPr>
        <w:spacing w:after="0" w:line="240" w:lineRule="auto"/>
        <w:jc w:val="both"/>
        <w:rPr>
          <w:rFonts w:ascii="Verdana" w:hAnsi="Verdana" w:cs="Arial"/>
          <w:b/>
          <w:bCs/>
          <w:color w:val="000000"/>
          <w:lang w:val="es-ES"/>
        </w:rPr>
      </w:pPr>
    </w:p>
    <w:p w14:paraId="370E1D02" w14:textId="04FD2DB8"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lastRenderedPageBreak/>
        <w:t>Sí existe, en cambio, un deber de correspondencia entre la necesidad justificada, el objeto contratado y las obligaciones pactadas, derivado del principio de planeación. Su inobservancia configura un defecto de los estudios previos con efectos sobre la publicidad, la verificación de la idoneidad y la supervisión. Y cuando las actividades corresponden a funciones permanentes de una dependencia, se suma la carga de justificar por qué no pueden atenderse con su personal de planta.</w:t>
      </w:r>
    </w:p>
    <w:p w14:paraId="337B9C76" w14:textId="77777777" w:rsidR="004A0841" w:rsidRDefault="004A0841" w:rsidP="00751DE8">
      <w:pPr>
        <w:spacing w:after="0" w:line="240" w:lineRule="auto"/>
        <w:jc w:val="both"/>
        <w:rPr>
          <w:rFonts w:ascii="Verdana" w:hAnsi="Verdana" w:cs="Arial"/>
          <w:b/>
          <w:bCs/>
          <w:color w:val="000000"/>
          <w:lang w:val="es-ES"/>
        </w:rPr>
      </w:pPr>
    </w:p>
    <w:p w14:paraId="282E2054" w14:textId="77777777" w:rsidR="00662087" w:rsidRPr="00A0389A"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Debe precisarse, finalmente, que este pronunciamiento se limita a los tres interrogantes remitidos por el Departamento Administrativo de la Función Pública y se emite en abstracto. La verificación de si en un procedimiento determinado se observó el deber de planeación, así como la valoración de las eventuales responsabilidades, corresponde a la propia entidad, a los organismos de control y a la jurisdicción de lo contencioso administrativo, según el caso</w:t>
      </w:r>
      <w:r>
        <w:rPr>
          <w:rStyle w:val="Refdenotaalpie"/>
          <w:rFonts w:ascii="Verdana" w:hAnsi="Verdana"/>
          <w:sz w:val="20"/>
        </w:rPr>
        <w:footnoteReference w:id="18"/>
      </w:r>
      <w:r>
        <w:rPr>
          <w:rFonts w:ascii="Verdana" w:hAnsi="Verdana" w:cs="Arial"/>
          <w:bCs/>
          <w:szCs w:val="24"/>
          <w:lang w:val="es-ES_tradnl" w:eastAsia="es-ES_tradnl"/>
        </w:rPr>
        <w:t>.</w:t>
      </w:r>
    </w:p>
    <w:p w14:paraId="0C9AF89B" w14:textId="77777777" w:rsidR="004A0841" w:rsidRDefault="004A0841" w:rsidP="00751DE8">
      <w:pPr>
        <w:spacing w:after="0" w:line="240" w:lineRule="auto"/>
        <w:jc w:val="both"/>
        <w:rPr>
          <w:rFonts w:ascii="Verdana" w:hAnsi="Verdana" w:cs="Arial"/>
          <w:b/>
          <w:bCs/>
          <w:color w:val="000000"/>
          <w:lang w:val="es-ES"/>
        </w:rPr>
      </w:pPr>
    </w:p>
    <w:p w14:paraId="30400DBA" w14:textId="77777777" w:rsidR="00662087" w:rsidRDefault="00867E8A"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Dentro de este marco, la entidad pública definirá en cada caso concreto lo relacionado con el tema objeto de consulta, atendiendo las normas que rigen la materia, sin que sea atribución de Colombia Compra Eficiente validar sus actuaciones ni las de los demás partícipes del sistema de compra pública.</w:t>
      </w:r>
    </w:p>
    <w:p w14:paraId="00BC1168" w14:textId="77777777" w:rsidR="002B1315" w:rsidRPr="00A0389A" w:rsidRDefault="002B1315" w:rsidP="00662087">
      <w:pPr>
        <w:spacing w:after="0" w:line="276" w:lineRule="auto"/>
        <w:jc w:val="both"/>
        <w:rPr>
          <w:rFonts w:ascii="Verdana" w:hAnsi="Verdana" w:cs="Arial"/>
          <w:bCs/>
          <w:szCs w:val="24"/>
          <w:lang w:val="es-ES_tradnl" w:eastAsia="es-ES_tradnl"/>
        </w:rPr>
      </w:pPr>
    </w:p>
    <w:bookmarkEnd w:id="0"/>
    <w:p w14:paraId="245B73FC" w14:textId="77777777" w:rsidR="00662087" w:rsidRPr="009037F6" w:rsidRDefault="00662087" w:rsidP="00662087">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 xml:space="preserve">Referencias normativas, jurisprudenciales y otras fuentes </w:t>
      </w:r>
    </w:p>
    <w:p w14:paraId="637D5519" w14:textId="77777777" w:rsidR="00662087" w:rsidRPr="009037F6" w:rsidRDefault="00662087" w:rsidP="00662087">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62087" w:rsidRPr="009037F6" w14:paraId="7ED6A02A" w14:textId="77777777" w:rsidTr="002A4618">
        <w:trPr>
          <w:trHeight w:val="487"/>
          <w:jc w:val="center"/>
        </w:trPr>
        <w:tc>
          <w:tcPr>
            <w:tcW w:w="8647" w:type="dxa"/>
          </w:tcPr>
          <w:p w14:paraId="5A369605"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Normativa: Constitución Política, artículos 6, 121, 122 y 209. Ley 80 de 1993, artículos 11, 12, 23, 25, 26 y 32, numeral 3. Ley 489 de 1998, artículo 9. Ley 1150 de 2007, artículo 21. Ley 1474 de 2011, artículo 87. Ley 1437 de 2011, artículo 28, sustituido por el artículo 1 de la Ley 1755 de 2015. Decreto Ley 4170 de 2011, artículos 3, numeral 5, y 11, numeral 8. Decreto 1082 de 2015, artículo 2.2.1.1.2.1.1. Resolución 469 de 2025 de la ANCP-CCE.</w:t>
            </w:r>
          </w:p>
          <w:p w14:paraId="7B2613E8"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Conceptos de la ANCP-CCE: Subdirección de Gestión Contractual. Conceptos C-1051 del 9 de septiembre de 2025, C-1836 del 5 de enero de 2026 y C-544 del 28 de abril de 2026.</w:t>
            </w:r>
          </w:p>
        </w:tc>
      </w:tr>
    </w:tbl>
    <w:p w14:paraId="0ACB7940" w14:textId="77777777" w:rsidR="00662087" w:rsidRPr="009037F6" w:rsidRDefault="00662087" w:rsidP="00662087">
      <w:pPr>
        <w:widowControl w:val="0"/>
        <w:autoSpaceDE w:val="0"/>
        <w:autoSpaceDN w:val="0"/>
        <w:spacing w:after="0" w:line="276" w:lineRule="auto"/>
        <w:jc w:val="both"/>
        <w:rPr>
          <w:rFonts w:ascii="Verdana" w:hAnsi="Verdana" w:cs="Arial"/>
        </w:rPr>
      </w:pPr>
    </w:p>
    <w:p w14:paraId="3AF747D2" w14:textId="77777777" w:rsidR="00662087" w:rsidRPr="009037F6" w:rsidRDefault="00662087" w:rsidP="00662087">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3B8B0647" w14:textId="77777777" w:rsidR="00662087" w:rsidRPr="009037F6" w:rsidRDefault="00662087" w:rsidP="00662087">
      <w:pPr>
        <w:widowControl w:val="0"/>
        <w:autoSpaceDE w:val="0"/>
        <w:autoSpaceDN w:val="0"/>
        <w:spacing w:after="0" w:line="276" w:lineRule="auto"/>
        <w:jc w:val="both"/>
        <w:rPr>
          <w:rFonts w:ascii="Verdana" w:hAnsi="Verdana" w:cs="Arial"/>
        </w:rPr>
      </w:pPr>
    </w:p>
    <w:p w14:paraId="5F7C941A" w14:textId="77777777" w:rsidR="001B24C7" w:rsidRDefault="00662087" w:rsidP="00662087">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Esta Subdirección se ha pronunciado sobre la competencia para contratar y la delegación de la función contractual en el Concepto C-1051 del 9 de septiembre de 2025; sobre las características del contrato de prestación de servicios, en el Concepto C-1836 del 5 de enero de 2026; y sobre el deber de planeación y el contenido de los estudios previos, en el Concepto C-544 del 28 de abril de 2026. Los conceptos emitidos por la Agencia pueden consultarse en el siguiente enlace:</w:t>
      </w:r>
    </w:p>
    <w:p w14:paraId="494AA022" w14:textId="77777777" w:rsidR="001B24C7" w:rsidRDefault="001B24C7" w:rsidP="00662087">
      <w:pPr>
        <w:widowControl w:val="0"/>
        <w:autoSpaceDE w:val="0"/>
        <w:autoSpaceDN w:val="0"/>
        <w:spacing w:after="0" w:line="276" w:lineRule="auto"/>
        <w:jc w:val="both"/>
        <w:rPr>
          <w:rStyle w:val="normaltextrun"/>
          <w:rFonts w:ascii="Verdana" w:hAnsi="Verdana" w:cs="Arial"/>
          <w:shd w:val="clear" w:color="auto" w:fill="FFFFFF"/>
        </w:rPr>
      </w:pPr>
    </w:p>
    <w:p w14:paraId="4EEE0766" w14:textId="77777777" w:rsidR="00662087" w:rsidRPr="009037F6" w:rsidRDefault="00662087" w:rsidP="00662087">
      <w:pPr>
        <w:spacing w:after="0" w:line="256" w:lineRule="auto"/>
        <w:jc w:val="both"/>
        <w:rPr>
          <w:rFonts w:ascii="Verdana" w:eastAsia="Calibri" w:hAnsi="Verdana" w:cs="Times New Roman"/>
        </w:rPr>
      </w:pPr>
      <w:hyperlink r:id="rId12" w:history="1">
        <w:r w:rsidRPr="009037F6">
          <w:rPr>
            <w:rFonts w:ascii="Verdana" w:eastAsia="Calibri" w:hAnsi="Verdana" w:cs="Times New Roman"/>
            <w:color w:val="0000FF"/>
            <w:u w:val="single"/>
            <w:lang w:val="es-ES"/>
          </w:rPr>
          <w:t>https://relatoria.colombiacompra.gov.co/busqueda/conceptos</w:t>
        </w:r>
      </w:hyperlink>
    </w:p>
    <w:p w14:paraId="1C9EC619" w14:textId="77777777" w:rsidR="00662087" w:rsidRPr="009037F6" w:rsidRDefault="00662087" w:rsidP="00662087">
      <w:pPr>
        <w:spacing w:after="0"/>
        <w:jc w:val="both"/>
        <w:rPr>
          <w:rFonts w:ascii="Verdana" w:hAnsi="Verdana"/>
        </w:rPr>
      </w:pPr>
    </w:p>
    <w:p w14:paraId="12227218" w14:textId="77777777" w:rsidR="00662087" w:rsidRDefault="00662087" w:rsidP="00662087">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4E7FC15C" w14:textId="77777777" w:rsidR="00662087" w:rsidRPr="009A385A" w:rsidRDefault="00662087" w:rsidP="00662087">
      <w:pPr>
        <w:spacing w:after="0"/>
        <w:jc w:val="both"/>
        <w:rPr>
          <w:rFonts w:ascii="Verdana" w:hAnsi="Verdana"/>
        </w:rPr>
      </w:pPr>
    </w:p>
    <w:p w14:paraId="1629BA92" w14:textId="77777777" w:rsidR="00662087" w:rsidRDefault="00662087" w:rsidP="00662087">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59E725D7" w14:textId="77777777" w:rsidR="00662087" w:rsidRDefault="00662087" w:rsidP="00662087">
      <w:pPr>
        <w:spacing w:after="0"/>
        <w:jc w:val="both"/>
        <w:rPr>
          <w:rFonts w:ascii="Verdana" w:hAnsi="Verdana"/>
        </w:rPr>
      </w:pPr>
    </w:p>
    <w:p w14:paraId="13A388CB" w14:textId="77777777" w:rsidR="00662087" w:rsidRPr="008E1CD7" w:rsidRDefault="00662087" w:rsidP="00662087">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 xml:space="preserve">se incorporaron orientaciones prácticas dirigidas a entidades públicas, proveedores, organismos de control y demás interesados, con el </w:t>
      </w:r>
      <w:r w:rsidRPr="00797327">
        <w:rPr>
          <w:rFonts w:ascii="Verdana" w:hAnsi="Verdana"/>
        </w:rPr>
        <w:lastRenderedPageBreak/>
        <w:t>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03C38581" w14:textId="77777777" w:rsidR="00662087" w:rsidRDefault="00662087" w:rsidP="00662087">
      <w:pPr>
        <w:shd w:val="clear" w:color="auto" w:fill="FFFFFF"/>
        <w:spacing w:after="0" w:line="276" w:lineRule="auto"/>
        <w:jc w:val="both"/>
        <w:rPr>
          <w:rFonts w:ascii="Verdana" w:hAnsi="Verdana"/>
          <w:color w:val="000000"/>
          <w:u w:val="single"/>
        </w:rPr>
      </w:pPr>
    </w:p>
    <w:p w14:paraId="7EE54A5A" w14:textId="77777777" w:rsidR="00662087" w:rsidRPr="0038088D" w:rsidRDefault="00662087" w:rsidP="00662087">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3D624A25" w14:textId="77777777" w:rsidR="00662087" w:rsidRPr="0038088D" w:rsidRDefault="00662087" w:rsidP="00662087">
      <w:pPr>
        <w:spacing w:after="0"/>
        <w:jc w:val="both"/>
        <w:rPr>
          <w:rFonts w:ascii="Verdana" w:hAnsi="Verdana"/>
        </w:rPr>
      </w:pPr>
    </w:p>
    <w:p w14:paraId="7EC3330C" w14:textId="77777777" w:rsidR="00662087" w:rsidRPr="0038088D" w:rsidRDefault="00662087" w:rsidP="00662087">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218A49C0" w14:textId="77777777" w:rsidR="00662087" w:rsidRPr="0038088D" w:rsidRDefault="00662087" w:rsidP="00662087">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513BFDED" w14:textId="77777777" w:rsidR="00662087" w:rsidRPr="0038088D" w:rsidRDefault="00662087" w:rsidP="00662087">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6">
        <w:r w:rsidRPr="0038088D">
          <w:rPr>
            <w:rStyle w:val="Hipervnculo"/>
            <w:rFonts w:ascii="Verdana" w:eastAsia="Verdana" w:hAnsi="Verdana" w:cs="Verdana"/>
          </w:rPr>
          <w:t>ventanilladeradicacion@colombiacompra.gov.co</w:t>
        </w:r>
      </w:hyperlink>
    </w:p>
    <w:p w14:paraId="05894943" w14:textId="77777777" w:rsidR="00662087" w:rsidRPr="0038088D" w:rsidRDefault="00662087" w:rsidP="00662087">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7">
        <w:r w:rsidRPr="0038088D">
          <w:rPr>
            <w:rStyle w:val="Hipervnculo"/>
            <w:rFonts w:ascii="Verdana" w:eastAsia="Verdana" w:hAnsi="Verdana" w:cs="Verdana"/>
          </w:rPr>
          <w:t>https://www.colombiacompra.gov.co/pqrsd/informacion-importante-antes-de-formular-una-pqrsd</w:t>
        </w:r>
      </w:hyperlink>
    </w:p>
    <w:p w14:paraId="7ECC52D9" w14:textId="77777777" w:rsidR="00662087" w:rsidRPr="0038088D" w:rsidRDefault="00662087" w:rsidP="00662087">
      <w:pPr>
        <w:spacing w:after="0" w:line="240" w:lineRule="auto"/>
        <w:ind w:left="720"/>
        <w:jc w:val="both"/>
        <w:rPr>
          <w:rFonts w:ascii="Verdana" w:hAnsi="Verdana"/>
        </w:rPr>
      </w:pPr>
    </w:p>
    <w:p w14:paraId="7F9341EB" w14:textId="77777777" w:rsidR="00662087" w:rsidRPr="0038088D" w:rsidRDefault="00662087" w:rsidP="00662087">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8"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4F54D493" w14:textId="77777777" w:rsidR="00662087" w:rsidRPr="0038088D" w:rsidRDefault="00662087" w:rsidP="00662087">
      <w:pPr>
        <w:spacing w:after="0" w:line="240" w:lineRule="auto"/>
        <w:rPr>
          <w:rFonts w:ascii="Verdana" w:hAnsi="Verdana"/>
        </w:rPr>
      </w:pPr>
    </w:p>
    <w:p w14:paraId="046BDD27" w14:textId="77777777" w:rsidR="00662087" w:rsidRPr="0038088D" w:rsidRDefault="00662087" w:rsidP="00662087">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390FDB2A" w14:textId="77777777" w:rsidR="00662087" w:rsidRPr="00116940" w:rsidRDefault="00662087" w:rsidP="00662087">
      <w:pPr>
        <w:spacing w:after="0" w:line="240" w:lineRule="auto"/>
        <w:jc w:val="both"/>
        <w:rPr>
          <w:rFonts w:ascii="Verdana" w:hAnsi="Verdana"/>
        </w:rPr>
      </w:pPr>
    </w:p>
    <w:p w14:paraId="3057A45D" w14:textId="77777777" w:rsidR="00662087" w:rsidRPr="00116940" w:rsidRDefault="00662087" w:rsidP="00662087">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D494FEA" w14:textId="77777777" w:rsidR="00662087" w:rsidRPr="00116940" w:rsidRDefault="00662087" w:rsidP="00662087">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708B8C76" w14:textId="77777777" w:rsidR="00662087" w:rsidRPr="00E22E6E" w:rsidRDefault="00662087" w:rsidP="00662087">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4987D82" w14:textId="77777777" w:rsidR="00662087" w:rsidRPr="009C4035" w:rsidRDefault="00662087" w:rsidP="00662087">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5913BA9E" w14:textId="77777777" w:rsidR="00662087" w:rsidRPr="00593A5F" w:rsidRDefault="00662087" w:rsidP="00662087">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 xml:space="preserve">y las expresiones aquí utilizadas con mayúscula inicial deben ser entendidas con el </w:t>
      </w:r>
      <w:r w:rsidRPr="00593A5F">
        <w:rPr>
          <w:rFonts w:ascii="Verdana" w:hAnsi="Verdana" w:cs="Arial"/>
          <w:lang w:val="es-ES_tradnl"/>
        </w:rPr>
        <w:lastRenderedPageBreak/>
        <w:t>significado que les otorga el artículo 2.2.1.1.1.3.1. del Decreto 1082 de 2015.</w:t>
      </w:r>
      <w:r>
        <w:rPr>
          <w:rFonts w:ascii="Verdana" w:hAnsi="Verdana" w:cs="Arial"/>
          <w:lang w:val="es-ES_tradnl"/>
        </w:rPr>
        <w:t xml:space="preserve"> </w:t>
      </w:r>
    </w:p>
    <w:p w14:paraId="64EB29CB" w14:textId="77777777" w:rsidR="00662087" w:rsidRDefault="00662087" w:rsidP="00662087">
      <w:pPr>
        <w:widowControl w:val="0"/>
        <w:autoSpaceDE w:val="0"/>
        <w:autoSpaceDN w:val="0"/>
        <w:spacing w:after="0" w:line="276" w:lineRule="auto"/>
        <w:jc w:val="both"/>
        <w:rPr>
          <w:rFonts w:ascii="Verdana" w:hAnsi="Verdana" w:cs="Arial"/>
        </w:rPr>
      </w:pPr>
    </w:p>
    <w:p w14:paraId="14B6CA3E" w14:textId="55F2B38F" w:rsidR="00FE79ED" w:rsidRPr="00FE79ED" w:rsidRDefault="008D539F" w:rsidP="00FE79ED">
      <w:pPr>
        <w:spacing w:after="0" w:line="276" w:lineRule="auto"/>
        <w:rPr>
          <w:rFonts w:ascii="Verdana" w:eastAsia="Calibri" w:hAnsi="Verdana" w:cs="Arial"/>
          <w:lang w:val="es-ES" w:eastAsia="es-CO"/>
        </w:rPr>
      </w:pPr>
      <w:r w:rsidRPr="008D539F">
        <w:rPr>
          <w:rFonts w:ascii="Verdana" w:eastAsia="Times New Roman" w:hAnsi="Verdana" w:cs="Arial"/>
          <w:lang w:val="es-ES" w:eastAsia="es-CO"/>
        </w:rPr>
        <w:t>Atentamente,</w:t>
      </w:r>
    </w:p>
    <w:p w14:paraId="266123C3" w14:textId="77777777" w:rsidR="00FE79ED" w:rsidRDefault="00FE79ED" w:rsidP="008D539F">
      <w:pPr>
        <w:spacing w:after="0" w:line="254" w:lineRule="auto"/>
        <w:jc w:val="center"/>
        <w:rPr>
          <w:rFonts w:ascii="Verdana" w:eastAsia="Times New Roman" w:hAnsi="Verdana" w:cs="Arial"/>
          <w:lang w:eastAsia="es-ES"/>
        </w:rPr>
      </w:pPr>
    </w:p>
    <w:p w14:paraId="2D5F5395" w14:textId="21E26E5D" w:rsidR="00FE79ED" w:rsidRPr="008D539F" w:rsidRDefault="00FE79ED" w:rsidP="008D539F">
      <w:pPr>
        <w:spacing w:after="0" w:line="254" w:lineRule="auto"/>
        <w:jc w:val="center"/>
        <w:rPr>
          <w:rFonts w:ascii="Verdana" w:eastAsia="Times New Roman" w:hAnsi="Verdana" w:cs="Arial"/>
          <w:lang w:eastAsia="es-ES"/>
        </w:rPr>
      </w:pPr>
      <w:r w:rsidRPr="002C3AD6">
        <w:rPr>
          <w:rFonts w:ascii="Century Gothic" w:hAnsi="Century Gothic"/>
          <w:noProof/>
        </w:rPr>
        <w:drawing>
          <wp:inline distT="0" distB="0" distL="0" distR="0" wp14:anchorId="06B099DD" wp14:editId="21ADCC93">
            <wp:extent cx="2757639" cy="1023669"/>
            <wp:effectExtent l="0" t="0" r="0" b="508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2795561" cy="1037746"/>
                    </a:xfrm>
                    <a:prstGeom prst="rect">
                      <a:avLst/>
                    </a:prstGeom>
                  </pic:spPr>
                </pic:pic>
              </a:graphicData>
            </a:graphic>
          </wp:inline>
        </w:drawing>
      </w:r>
    </w:p>
    <w:p w14:paraId="5E0B5A6A" w14:textId="77777777" w:rsidR="008D539F" w:rsidRPr="008D539F" w:rsidRDefault="008D539F" w:rsidP="008D539F">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8D539F" w:rsidRPr="008D539F" w14:paraId="5C748327" w14:textId="77777777">
        <w:trPr>
          <w:trHeight w:val="322"/>
        </w:trPr>
        <w:tc>
          <w:tcPr>
            <w:tcW w:w="733" w:type="dxa"/>
            <w:tcBorders>
              <w:top w:val="nil"/>
              <w:left w:val="nil"/>
              <w:bottom w:val="nil"/>
              <w:right w:val="nil"/>
            </w:tcBorders>
            <w:vAlign w:val="center"/>
            <w:hideMark/>
          </w:tcPr>
          <w:p w14:paraId="74987D1B" w14:textId="77777777" w:rsidR="008D539F" w:rsidRPr="008D539F" w:rsidRDefault="008D539F" w:rsidP="008D539F">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Elaboró:         </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9046488" w14:textId="03B978CE" w:rsidR="008D539F" w:rsidRPr="008D539F" w:rsidRDefault="002B1315" w:rsidP="008D539F">
            <w:pPr>
              <w:spacing w:after="0" w:line="254"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 xml:space="preserve">Camilo José Martínez </w:t>
            </w:r>
            <w:proofErr w:type="spellStart"/>
            <w:r>
              <w:rPr>
                <w:rFonts w:ascii="Verdana" w:eastAsia="Times New Roman" w:hAnsi="Verdana" w:cs="Arial"/>
                <w:sz w:val="16"/>
                <w:szCs w:val="16"/>
                <w:lang w:val="es-ES_tradnl" w:eastAsia="es-ES"/>
              </w:rPr>
              <w:t>Martínez</w:t>
            </w:r>
            <w:proofErr w:type="spellEnd"/>
            <w:r>
              <w:rPr>
                <w:rFonts w:ascii="Verdana" w:eastAsia="Times New Roman" w:hAnsi="Verdana" w:cs="Arial"/>
                <w:sz w:val="16"/>
                <w:szCs w:val="16"/>
                <w:lang w:val="es-ES_tradnl" w:eastAsia="es-ES"/>
              </w:rPr>
              <w:t xml:space="preserve"> </w:t>
            </w:r>
          </w:p>
          <w:p w14:paraId="5891624A" w14:textId="2073D790" w:rsidR="008D539F" w:rsidRPr="008D539F" w:rsidRDefault="002B1315" w:rsidP="008D539F">
            <w:pPr>
              <w:spacing w:after="0" w:line="254"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sidR="008D539F" w:rsidRPr="008D539F">
              <w:rPr>
                <w:rFonts w:ascii="Verdana" w:eastAsia="Times New Roman" w:hAnsi="Verdana" w:cs="Arial"/>
                <w:sz w:val="16"/>
                <w:szCs w:val="16"/>
                <w:lang w:eastAsia="es-ES"/>
              </w:rPr>
              <w:t>de la Subdirección de Gestión Contractual</w:t>
            </w:r>
          </w:p>
        </w:tc>
      </w:tr>
      <w:tr w:rsidR="008D539F" w:rsidRPr="008D539F" w14:paraId="6D750676" w14:textId="77777777">
        <w:trPr>
          <w:trHeight w:val="322"/>
        </w:trPr>
        <w:tc>
          <w:tcPr>
            <w:tcW w:w="733" w:type="dxa"/>
            <w:tcBorders>
              <w:top w:val="nil"/>
              <w:left w:val="nil"/>
              <w:bottom w:val="nil"/>
              <w:right w:val="nil"/>
            </w:tcBorders>
            <w:vAlign w:val="center"/>
            <w:hideMark/>
          </w:tcPr>
          <w:p w14:paraId="7CD859F0" w14:textId="77777777" w:rsidR="008D539F" w:rsidRPr="008D539F" w:rsidRDefault="008D539F" w:rsidP="008D539F">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Revisó: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2FF462D" w14:textId="77777777" w:rsidR="008D539F" w:rsidRPr="008D539F" w:rsidRDefault="005746D5" w:rsidP="008D539F">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Diana Saavedra</w:t>
            </w:r>
          </w:p>
          <w:p w14:paraId="6633D4BB" w14:textId="77777777" w:rsidR="008D539F" w:rsidRPr="008D539F" w:rsidRDefault="008D539F" w:rsidP="008D539F">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8D539F" w:rsidRPr="008D539F" w14:paraId="5B52DB15" w14:textId="77777777">
        <w:trPr>
          <w:trHeight w:val="307"/>
        </w:trPr>
        <w:tc>
          <w:tcPr>
            <w:tcW w:w="733" w:type="dxa"/>
            <w:tcBorders>
              <w:top w:val="nil"/>
              <w:left w:val="nil"/>
              <w:bottom w:val="nil"/>
              <w:right w:val="nil"/>
            </w:tcBorders>
            <w:vAlign w:val="center"/>
            <w:hideMark/>
          </w:tcPr>
          <w:p w14:paraId="3D85D8B9" w14:textId="77777777" w:rsidR="008D539F" w:rsidRPr="008D539F" w:rsidRDefault="008D539F" w:rsidP="008D539F">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Aprobó: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2D814C9" w14:textId="77777777" w:rsidR="008D539F" w:rsidRPr="008D539F" w:rsidRDefault="008D539F" w:rsidP="008D539F">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Carolina Quintero Gacharná</w:t>
            </w:r>
          </w:p>
          <w:p w14:paraId="46A24C38" w14:textId="77777777" w:rsidR="008D539F" w:rsidRPr="008D539F" w:rsidRDefault="008D539F" w:rsidP="008D539F">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Subdirectora de Gestión Contractual ANCP – CCE</w:t>
            </w:r>
          </w:p>
        </w:tc>
      </w:tr>
    </w:tbl>
    <w:p w14:paraId="14AB8D32" w14:textId="77777777" w:rsidR="008D539F" w:rsidRPr="008D539F" w:rsidRDefault="008D539F" w:rsidP="008D539F">
      <w:pPr>
        <w:autoSpaceDE w:val="0"/>
        <w:autoSpaceDN w:val="0"/>
        <w:adjustRightInd w:val="0"/>
        <w:spacing w:after="0" w:line="276" w:lineRule="auto"/>
        <w:jc w:val="center"/>
        <w:rPr>
          <w:rFonts w:ascii="Verdana" w:eastAsia="Calibri" w:hAnsi="Verdana" w:cs="Arial"/>
        </w:rPr>
      </w:pPr>
    </w:p>
    <w:p w14:paraId="14548578" w14:textId="7AABC55C" w:rsidR="008D539F" w:rsidRPr="00593A5F" w:rsidRDefault="008D539F" w:rsidP="00662087">
      <w:pPr>
        <w:widowControl w:val="0"/>
        <w:autoSpaceDE w:val="0"/>
        <w:autoSpaceDN w:val="0"/>
        <w:spacing w:after="0" w:line="276" w:lineRule="auto"/>
        <w:jc w:val="both"/>
        <w:rPr>
          <w:rFonts w:ascii="Verdana" w:hAnsi="Verdana" w:cs="Arial"/>
        </w:rPr>
      </w:pPr>
    </w:p>
    <w:sectPr w:rsidR="008D539F" w:rsidRPr="00593A5F"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11ECF" w14:textId="77777777" w:rsidR="00431C78" w:rsidRDefault="00431C78" w:rsidP="004A1847">
      <w:pPr>
        <w:spacing w:after="0" w:line="240" w:lineRule="auto"/>
      </w:pPr>
      <w:r>
        <w:separator/>
      </w:r>
    </w:p>
  </w:endnote>
  <w:endnote w:type="continuationSeparator" w:id="0">
    <w:p w14:paraId="761305A6" w14:textId="77777777" w:rsidR="00431C78" w:rsidRDefault="00431C7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charset w:val="00"/>
    <w:family w:val="modern"/>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5656A" w14:textId="77777777" w:rsidR="003332A8" w:rsidRDefault="003332A8">
    <w:pPr>
      <w:pStyle w:val="Piedepgina"/>
    </w:pPr>
  </w:p>
  <w:p w14:paraId="0E40548D" w14:textId="77777777"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751DE8" w:rsidRPr="00751DE8">
      <w:rPr>
        <w:rFonts w:ascii="Verdana" w:eastAsiaTheme="minorEastAsia" w:hAnsi="Verdana"/>
        <w:b/>
        <w:bCs/>
        <w:noProof/>
        <w:sz w:val="16"/>
        <w:szCs w:val="16"/>
      </w:rPr>
      <w:t>19</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4F84BCF"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48132F1"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B8C3338" w14:textId="77777777"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BEE11" w14:textId="77777777" w:rsidR="00431C78" w:rsidRDefault="00431C78" w:rsidP="004A1847">
      <w:pPr>
        <w:spacing w:after="0" w:line="240" w:lineRule="auto"/>
      </w:pPr>
      <w:r>
        <w:separator/>
      </w:r>
    </w:p>
  </w:footnote>
  <w:footnote w:type="continuationSeparator" w:id="0">
    <w:p w14:paraId="12381E2B" w14:textId="77777777" w:rsidR="00431C78" w:rsidRDefault="00431C78" w:rsidP="004A1847">
      <w:pPr>
        <w:spacing w:after="0" w:line="240" w:lineRule="auto"/>
      </w:pPr>
      <w:r>
        <w:continuationSeparator/>
      </w:r>
    </w:p>
  </w:footnote>
  <w:footnote w:id="1">
    <w:p w14:paraId="005E92D1" w14:textId="77777777" w:rsidR="005F4BDE"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11, numeral 1. En el mismo sentido, AGENCIA NACIONAL DE CONTRATACIÓN PÚBLICA – COLOMBIA COMPRA EFICIENTE. Subdirección de Gestión Contractual. Concepto C-1051 del 9 de septiembre de 2025.</w:t>
      </w:r>
    </w:p>
  </w:footnote>
  <w:footnote w:id="2">
    <w:p w14:paraId="47330729" w14:textId="77777777" w:rsidR="005F4BDE"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C-1051 del 9 de septiembre de 2025, según el cual «son los jefes o representantes legales de las entidades estatales en quienes recae la facultad para desarrollar procesos de selección y la celebración de contratos».</w:t>
      </w:r>
    </w:p>
  </w:footnote>
  <w:footnote w:id="3">
    <w:p w14:paraId="0BA68252" w14:textId="77777777" w:rsidR="005F4BDE"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12, modificado por el artículo 21 de la Ley 1150 de 2007; Ley 489 de 1998, artículo 9. Sobre el carácter formal del acto de delegación y su distinción de otras figuras, AGENCIA NACIONAL DE CONTRATACIÓN PÚBLICA – COLOMBIA COMPRA EFICIENTE. Subdirección de Gestión Contractual. Concepto C-1051 del 9 de septiembre de 2025.</w:t>
      </w:r>
    </w:p>
  </w:footnote>
  <w:footnote w:id="4">
    <w:p w14:paraId="0DE23E29" w14:textId="77777777" w:rsidR="005F4BDE"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32, numeral 3. Sobre las características del contrato de prestación de servicios, AGENCIA NACIONAL DE CONTRATACIÓN PÚBLICA – COLOMBIA COMPRA EFICIENTE. Subdirección de Gestión Contractual. Concepto C-1836 del 5 de enero de 2026.</w:t>
      </w:r>
    </w:p>
  </w:footnote>
  <w:footnote w:id="5">
    <w:p w14:paraId="3B77717A" w14:textId="77777777" w:rsidR="005F4BDE"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25, numerales 7 y 12, este último modificado por el artículo 87 de la Ley 1474 de 2011; Decreto 1082 de 2015, artículo 2.2.1.1.2.1.1. En el mismo sentido, AGENCIA NACIONAL DE CONTRATACIÓN PÚBLICA – COLOMBIA COMPRA EFICIENTE. Subdirección de Gestión Contractual. Concepto C-544 del 28 de abril de 2026.</w:t>
      </w:r>
    </w:p>
  </w:footnote>
  <w:footnote w:id="6">
    <w:p w14:paraId="433E4295" w14:textId="77777777" w:rsidR="005F4BDE"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32, numeral 3. AGENCIA NACIONAL DE CONTRATACIÓN PÚBLICA – COLOMBIA COMPRA EFICIENTE. Subdirección de Gestión Contractual. Concepto C-1836 del 5 de enero de 2026.</w:t>
      </w:r>
    </w:p>
  </w:footnote>
  <w:footnote w:id="7">
    <w:p w14:paraId="468D2F29" w14:textId="77777777" w:rsidR="005F4BDE"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Ley 4170 de 2011, artículos 3, numeral 5, y 11, numeral 8; Ley 1437 de 2011, artículo 28, sustituido por el artículo 1 de la Ley 1755 de 2015.</w:t>
      </w:r>
    </w:p>
  </w:footnote>
  <w:footnote w:id="8">
    <w:p w14:paraId="31571A5A" w14:textId="77777777" w:rsidR="005F4BDE"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11, numeral 1. En el mismo sentido, AGENCIA NACIONAL DE CONTRATACIÓN PÚBLICA – COLOMBIA COMPRA EFICIENTE. Subdirección de Gestión Contractual. Concepto C-1051 del 9 de septiembre de 2025.</w:t>
      </w:r>
    </w:p>
  </w:footnote>
  <w:footnote w:id="9">
    <w:p w14:paraId="759ABC18" w14:textId="77777777" w:rsidR="005F4BDE"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C-1051 del 9 de septiembre de 2025.</w:t>
      </w:r>
    </w:p>
  </w:footnote>
  <w:footnote w:id="10">
    <w:p w14:paraId="4C2ED6E9" w14:textId="77777777" w:rsidR="005F4BDE"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C-1051 del 9 de septiembre de 2025.</w:t>
      </w:r>
    </w:p>
  </w:footnote>
  <w:footnote w:id="11">
    <w:p w14:paraId="3BF77B97" w14:textId="77777777" w:rsidR="005F4BDE"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12, modificado por el artículo 21 de la Ley 1150 de 2007; Ley 489 de 1998, artículo 9.</w:t>
      </w:r>
    </w:p>
  </w:footnote>
  <w:footnote w:id="12">
    <w:p w14:paraId="204D2C9E" w14:textId="77777777" w:rsidR="005F4BDE"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C-1051 del 9 de septiembre de 2025.</w:t>
      </w:r>
    </w:p>
  </w:footnote>
  <w:footnote w:id="13">
    <w:p w14:paraId="4BB57E4B" w14:textId="77777777" w:rsidR="005F4BDE"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32, numeral 3. AGENCIA NACIONAL DE CONTRATACIÓN PÚBLICA – COLOMBIA COMPRA EFICIENTE. Subdirección de Gestión Contractual. Concepto C-1836 del 5 de enero de 2026.</w:t>
      </w:r>
    </w:p>
  </w:footnote>
  <w:footnote w:id="14">
    <w:p w14:paraId="0CBAD55F" w14:textId="77777777" w:rsidR="005F4BDE"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C-544 del 28 de abril de 2026.</w:t>
      </w:r>
    </w:p>
  </w:footnote>
  <w:footnote w:id="15">
    <w:p w14:paraId="769853FB" w14:textId="77777777" w:rsidR="005F4BDE"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25, numerales 7 y 12; Decreto 1082 de 2015, artículo 2.2.1.1.2.1.1.</w:t>
      </w:r>
    </w:p>
  </w:footnote>
  <w:footnote w:id="16">
    <w:p w14:paraId="4CDAC669" w14:textId="77777777" w:rsidR="005F4BDE"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23, 25 y 26.</w:t>
      </w:r>
    </w:p>
  </w:footnote>
  <w:footnote w:id="17">
    <w:p w14:paraId="46E000A7" w14:textId="77777777" w:rsidR="005F4BDE"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32, numeral 3. AGENCIA NACIONAL DE CONTRATACIÓN PÚBLICA – COLOMBIA COMPRA EFICIENTE. Subdirección de Gestión Contractual. Concepto C-1836 del 5 de enero de 2026.</w:t>
      </w:r>
    </w:p>
  </w:footnote>
  <w:footnote w:id="18">
    <w:p w14:paraId="1A85DF03" w14:textId="77777777" w:rsidR="005F4BDE"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Ley 4170 de 2011, artículos 3, numeral 5, y 11, numeral 8; Ley 1437 de 2011, artículo 28, sustituido por el artículo 1 de la Ley 1755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B2C4D" w14:textId="77777777"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8CF60B6" w14:textId="77777777" w:rsidR="003332A8" w:rsidRDefault="003332A8">
    <w:pPr>
      <w:pStyle w:val="Encabezado"/>
    </w:pPr>
  </w:p>
  <w:p w14:paraId="56BDFEAE" w14:textId="77777777" w:rsidR="003332A8" w:rsidRPr="004A305D" w:rsidRDefault="003332A8" w:rsidP="00B01B1A">
    <w:pPr>
      <w:spacing w:after="0" w:line="120" w:lineRule="auto"/>
      <w:rPr>
        <w:rFonts w:ascii="Century Gothic" w:eastAsia="Geo" w:hAnsi="Century Gothic" w:cs="Geo"/>
        <w:sz w:val="16"/>
        <w:szCs w:val="16"/>
        <w:lang w:eastAsia="es-CO"/>
      </w:rPr>
    </w:pPr>
  </w:p>
  <w:p w14:paraId="51E04DE0" w14:textId="77777777" w:rsidR="003332A8" w:rsidRDefault="003332A8" w:rsidP="00844AE9">
    <w:pPr>
      <w:spacing w:after="0" w:line="240" w:lineRule="auto"/>
      <w:rPr>
        <w:rFonts w:ascii="Verdana" w:hAnsi="Verdana"/>
        <w:sz w:val="24"/>
        <w:szCs w:val="24"/>
      </w:rPr>
    </w:pPr>
  </w:p>
  <w:p w14:paraId="25185D19" w14:textId="77777777" w:rsidR="003332A8" w:rsidRPr="00C925AC" w:rsidRDefault="003332A8" w:rsidP="00844AE9">
    <w:pPr>
      <w:spacing w:after="0" w:line="240" w:lineRule="auto"/>
      <w:rPr>
        <w:rFonts w:ascii="Verdana" w:hAnsi="Verdana"/>
        <w:sz w:val="24"/>
        <w:szCs w:val="24"/>
      </w:rPr>
    </w:pPr>
  </w:p>
  <w:p w14:paraId="32B84FF0" w14:textId="77777777"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pt;height:7.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17D83102"/>
    <w:lvl w:ilvl="0" w:tplc="080A000F">
      <w:start w:val="1"/>
      <w:numFmt w:val="decimal"/>
      <w:lvlText w:val="%1."/>
      <w:lvlJc w:val="left"/>
      <w:pPr>
        <w:ind w:left="720" w:hanging="36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42839426">
    <w:abstractNumId w:val="10"/>
  </w:num>
  <w:num w:numId="2" w16cid:durableId="575671387">
    <w:abstractNumId w:val="2"/>
  </w:num>
  <w:num w:numId="3" w16cid:durableId="478959013">
    <w:abstractNumId w:val="8"/>
  </w:num>
  <w:num w:numId="4" w16cid:durableId="114566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4566880">
    <w:abstractNumId w:val="2"/>
  </w:num>
  <w:num w:numId="6" w16cid:durableId="699085116">
    <w:abstractNumId w:val="18"/>
  </w:num>
  <w:num w:numId="7" w16cid:durableId="1974751856">
    <w:abstractNumId w:val="9"/>
  </w:num>
  <w:num w:numId="8" w16cid:durableId="1524243295">
    <w:abstractNumId w:val="16"/>
  </w:num>
  <w:num w:numId="9" w16cid:durableId="1693993010">
    <w:abstractNumId w:val="11"/>
  </w:num>
  <w:num w:numId="10" w16cid:durableId="756638953">
    <w:abstractNumId w:val="15"/>
  </w:num>
  <w:num w:numId="11" w16cid:durableId="1511916912">
    <w:abstractNumId w:val="12"/>
  </w:num>
  <w:num w:numId="12" w16cid:durableId="1733693583">
    <w:abstractNumId w:val="0"/>
  </w:num>
  <w:num w:numId="13" w16cid:durableId="2044207265">
    <w:abstractNumId w:val="5"/>
  </w:num>
  <w:num w:numId="14" w16cid:durableId="1715882887">
    <w:abstractNumId w:val="19"/>
  </w:num>
  <w:num w:numId="15" w16cid:durableId="368184482">
    <w:abstractNumId w:val="14"/>
  </w:num>
  <w:num w:numId="16" w16cid:durableId="986013926">
    <w:abstractNumId w:val="6"/>
  </w:num>
  <w:num w:numId="17" w16cid:durableId="173233579">
    <w:abstractNumId w:val="13"/>
  </w:num>
  <w:num w:numId="18" w16cid:durableId="1762485312">
    <w:abstractNumId w:val="22"/>
  </w:num>
  <w:num w:numId="19" w16cid:durableId="390540605">
    <w:abstractNumId w:val="21"/>
  </w:num>
  <w:num w:numId="20" w16cid:durableId="1630667266">
    <w:abstractNumId w:val="1"/>
  </w:num>
  <w:num w:numId="21" w16cid:durableId="686448761">
    <w:abstractNumId w:val="4"/>
  </w:num>
  <w:num w:numId="22" w16cid:durableId="1933010044">
    <w:abstractNumId w:val="7"/>
  </w:num>
  <w:num w:numId="23" w16cid:durableId="1621455384">
    <w:abstractNumId w:val="3"/>
  </w:num>
  <w:num w:numId="24" w16cid:durableId="1864779819">
    <w:abstractNumId w:val="20"/>
  </w:num>
  <w:num w:numId="25" w16cid:durableId="11690623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660"/>
    <w:rsid w:val="000063E0"/>
    <w:rsid w:val="0001083E"/>
    <w:rsid w:val="000134D5"/>
    <w:rsid w:val="00016F78"/>
    <w:rsid w:val="00030B1D"/>
    <w:rsid w:val="000353BD"/>
    <w:rsid w:val="000401ED"/>
    <w:rsid w:val="000468A1"/>
    <w:rsid w:val="00046945"/>
    <w:rsid w:val="00061B2A"/>
    <w:rsid w:val="0006217C"/>
    <w:rsid w:val="000711CF"/>
    <w:rsid w:val="00076D52"/>
    <w:rsid w:val="00080B1D"/>
    <w:rsid w:val="00082362"/>
    <w:rsid w:val="00085031"/>
    <w:rsid w:val="000866ED"/>
    <w:rsid w:val="00087566"/>
    <w:rsid w:val="0009079C"/>
    <w:rsid w:val="000A1514"/>
    <w:rsid w:val="000A1642"/>
    <w:rsid w:val="000A6171"/>
    <w:rsid w:val="000A66E5"/>
    <w:rsid w:val="000A683E"/>
    <w:rsid w:val="000B0D04"/>
    <w:rsid w:val="000B0FAA"/>
    <w:rsid w:val="000B19B9"/>
    <w:rsid w:val="000B27F0"/>
    <w:rsid w:val="000C013D"/>
    <w:rsid w:val="000C5A9E"/>
    <w:rsid w:val="000D0334"/>
    <w:rsid w:val="000D1DC8"/>
    <w:rsid w:val="000D4734"/>
    <w:rsid w:val="000D5DA7"/>
    <w:rsid w:val="000E6E2C"/>
    <w:rsid w:val="000F01E9"/>
    <w:rsid w:val="000F078F"/>
    <w:rsid w:val="000F3444"/>
    <w:rsid w:val="000F3E03"/>
    <w:rsid w:val="000F512E"/>
    <w:rsid w:val="000F6486"/>
    <w:rsid w:val="000F7FD4"/>
    <w:rsid w:val="00105C57"/>
    <w:rsid w:val="00105E1D"/>
    <w:rsid w:val="00113132"/>
    <w:rsid w:val="001161CA"/>
    <w:rsid w:val="001168F2"/>
    <w:rsid w:val="00116940"/>
    <w:rsid w:val="00125105"/>
    <w:rsid w:val="00127233"/>
    <w:rsid w:val="001328F3"/>
    <w:rsid w:val="00134724"/>
    <w:rsid w:val="001428DC"/>
    <w:rsid w:val="00151D59"/>
    <w:rsid w:val="001521B3"/>
    <w:rsid w:val="0015699B"/>
    <w:rsid w:val="00165609"/>
    <w:rsid w:val="00171640"/>
    <w:rsid w:val="00174D6E"/>
    <w:rsid w:val="00180954"/>
    <w:rsid w:val="0018679F"/>
    <w:rsid w:val="0019045D"/>
    <w:rsid w:val="00192805"/>
    <w:rsid w:val="0019787F"/>
    <w:rsid w:val="001A33BF"/>
    <w:rsid w:val="001A35A7"/>
    <w:rsid w:val="001A48E8"/>
    <w:rsid w:val="001A5968"/>
    <w:rsid w:val="001B24C7"/>
    <w:rsid w:val="001B49B3"/>
    <w:rsid w:val="001C1EB2"/>
    <w:rsid w:val="001C5AE4"/>
    <w:rsid w:val="001C61B3"/>
    <w:rsid w:val="001D02CC"/>
    <w:rsid w:val="001D16E0"/>
    <w:rsid w:val="001D64AE"/>
    <w:rsid w:val="001E2E05"/>
    <w:rsid w:val="001E4177"/>
    <w:rsid w:val="001F0B24"/>
    <w:rsid w:val="001F5903"/>
    <w:rsid w:val="001F5DD0"/>
    <w:rsid w:val="001F7DC6"/>
    <w:rsid w:val="002022E0"/>
    <w:rsid w:val="00207466"/>
    <w:rsid w:val="00211A12"/>
    <w:rsid w:val="00211E12"/>
    <w:rsid w:val="00212AD1"/>
    <w:rsid w:val="00216E4C"/>
    <w:rsid w:val="00217FCA"/>
    <w:rsid w:val="002209DE"/>
    <w:rsid w:val="0022400B"/>
    <w:rsid w:val="0023515D"/>
    <w:rsid w:val="002421BB"/>
    <w:rsid w:val="00242F3E"/>
    <w:rsid w:val="00253436"/>
    <w:rsid w:val="002543AD"/>
    <w:rsid w:val="0025796E"/>
    <w:rsid w:val="0026018C"/>
    <w:rsid w:val="00261EDF"/>
    <w:rsid w:val="0026324D"/>
    <w:rsid w:val="00265065"/>
    <w:rsid w:val="0026579C"/>
    <w:rsid w:val="002707A2"/>
    <w:rsid w:val="00275482"/>
    <w:rsid w:val="00277C07"/>
    <w:rsid w:val="0028778F"/>
    <w:rsid w:val="00291AD4"/>
    <w:rsid w:val="00294ADE"/>
    <w:rsid w:val="002951A0"/>
    <w:rsid w:val="002962BC"/>
    <w:rsid w:val="002975A4"/>
    <w:rsid w:val="002A093D"/>
    <w:rsid w:val="002A0DD0"/>
    <w:rsid w:val="002A49AC"/>
    <w:rsid w:val="002A64FD"/>
    <w:rsid w:val="002B1315"/>
    <w:rsid w:val="002B730F"/>
    <w:rsid w:val="002C7A84"/>
    <w:rsid w:val="002E05EF"/>
    <w:rsid w:val="002E2BF8"/>
    <w:rsid w:val="002E4FD9"/>
    <w:rsid w:val="002F0847"/>
    <w:rsid w:val="002F2B42"/>
    <w:rsid w:val="0030657A"/>
    <w:rsid w:val="00310987"/>
    <w:rsid w:val="00311FF5"/>
    <w:rsid w:val="003136DC"/>
    <w:rsid w:val="003156BF"/>
    <w:rsid w:val="00316053"/>
    <w:rsid w:val="00322A85"/>
    <w:rsid w:val="00322C00"/>
    <w:rsid w:val="00322D77"/>
    <w:rsid w:val="00324168"/>
    <w:rsid w:val="00330834"/>
    <w:rsid w:val="003332A8"/>
    <w:rsid w:val="003448F4"/>
    <w:rsid w:val="003475FC"/>
    <w:rsid w:val="00351F93"/>
    <w:rsid w:val="0037228E"/>
    <w:rsid w:val="00374F5E"/>
    <w:rsid w:val="003769E1"/>
    <w:rsid w:val="00377E3E"/>
    <w:rsid w:val="00381BAB"/>
    <w:rsid w:val="003878B3"/>
    <w:rsid w:val="003A26B0"/>
    <w:rsid w:val="003A779E"/>
    <w:rsid w:val="003B0DFC"/>
    <w:rsid w:val="003C0ED7"/>
    <w:rsid w:val="003D0F4D"/>
    <w:rsid w:val="003D3FF4"/>
    <w:rsid w:val="003D494E"/>
    <w:rsid w:val="003D5B0D"/>
    <w:rsid w:val="003E0499"/>
    <w:rsid w:val="003E4915"/>
    <w:rsid w:val="003E4C37"/>
    <w:rsid w:val="003E4F80"/>
    <w:rsid w:val="003E6439"/>
    <w:rsid w:val="003F18C5"/>
    <w:rsid w:val="003F1FD8"/>
    <w:rsid w:val="003F3941"/>
    <w:rsid w:val="00403388"/>
    <w:rsid w:val="00403EFA"/>
    <w:rsid w:val="0040494E"/>
    <w:rsid w:val="00406575"/>
    <w:rsid w:val="004140B3"/>
    <w:rsid w:val="00414C74"/>
    <w:rsid w:val="00416706"/>
    <w:rsid w:val="0042722E"/>
    <w:rsid w:val="00431C78"/>
    <w:rsid w:val="0044528D"/>
    <w:rsid w:val="00451137"/>
    <w:rsid w:val="00452650"/>
    <w:rsid w:val="004555EA"/>
    <w:rsid w:val="0045785F"/>
    <w:rsid w:val="00464ACB"/>
    <w:rsid w:val="00466E39"/>
    <w:rsid w:val="004768AE"/>
    <w:rsid w:val="00484E40"/>
    <w:rsid w:val="0048787A"/>
    <w:rsid w:val="00492A06"/>
    <w:rsid w:val="00492C4A"/>
    <w:rsid w:val="00494F04"/>
    <w:rsid w:val="004A0841"/>
    <w:rsid w:val="004A0A0B"/>
    <w:rsid w:val="004A0E5C"/>
    <w:rsid w:val="004A1847"/>
    <w:rsid w:val="004A305D"/>
    <w:rsid w:val="004B3DAC"/>
    <w:rsid w:val="004B5C63"/>
    <w:rsid w:val="004B73B9"/>
    <w:rsid w:val="004C0DBB"/>
    <w:rsid w:val="004D2267"/>
    <w:rsid w:val="004D2B6F"/>
    <w:rsid w:val="004E2B92"/>
    <w:rsid w:val="004F21C4"/>
    <w:rsid w:val="004F685F"/>
    <w:rsid w:val="005000A1"/>
    <w:rsid w:val="00503361"/>
    <w:rsid w:val="005062AF"/>
    <w:rsid w:val="00513BF7"/>
    <w:rsid w:val="00515A4E"/>
    <w:rsid w:val="00515F6A"/>
    <w:rsid w:val="00517955"/>
    <w:rsid w:val="005229DB"/>
    <w:rsid w:val="00524422"/>
    <w:rsid w:val="00534886"/>
    <w:rsid w:val="005365D9"/>
    <w:rsid w:val="00536A0E"/>
    <w:rsid w:val="0055262A"/>
    <w:rsid w:val="00553040"/>
    <w:rsid w:val="005566E8"/>
    <w:rsid w:val="00560892"/>
    <w:rsid w:val="005648EC"/>
    <w:rsid w:val="00570B00"/>
    <w:rsid w:val="00572622"/>
    <w:rsid w:val="00573280"/>
    <w:rsid w:val="005746D5"/>
    <w:rsid w:val="00574867"/>
    <w:rsid w:val="00591460"/>
    <w:rsid w:val="00592C94"/>
    <w:rsid w:val="005A2CAB"/>
    <w:rsid w:val="005A4AF9"/>
    <w:rsid w:val="005A5114"/>
    <w:rsid w:val="005A52A7"/>
    <w:rsid w:val="005A57A5"/>
    <w:rsid w:val="005A65E0"/>
    <w:rsid w:val="005C0881"/>
    <w:rsid w:val="005C3777"/>
    <w:rsid w:val="005C5CDC"/>
    <w:rsid w:val="005D2566"/>
    <w:rsid w:val="005D476C"/>
    <w:rsid w:val="005D7628"/>
    <w:rsid w:val="005F20A4"/>
    <w:rsid w:val="005F4BDE"/>
    <w:rsid w:val="00600D92"/>
    <w:rsid w:val="00603C5B"/>
    <w:rsid w:val="00611CE6"/>
    <w:rsid w:val="006137E1"/>
    <w:rsid w:val="00615105"/>
    <w:rsid w:val="00617200"/>
    <w:rsid w:val="00617E91"/>
    <w:rsid w:val="006200BF"/>
    <w:rsid w:val="0062143E"/>
    <w:rsid w:val="006219F8"/>
    <w:rsid w:val="00624A89"/>
    <w:rsid w:val="00624EEC"/>
    <w:rsid w:val="006302F7"/>
    <w:rsid w:val="00640441"/>
    <w:rsid w:val="00646B9F"/>
    <w:rsid w:val="00646F24"/>
    <w:rsid w:val="006547C3"/>
    <w:rsid w:val="00660C46"/>
    <w:rsid w:val="00662087"/>
    <w:rsid w:val="00663A04"/>
    <w:rsid w:val="00665D70"/>
    <w:rsid w:val="00672499"/>
    <w:rsid w:val="00684F67"/>
    <w:rsid w:val="0068758B"/>
    <w:rsid w:val="006900D9"/>
    <w:rsid w:val="00696960"/>
    <w:rsid w:val="0069741A"/>
    <w:rsid w:val="006A2BE4"/>
    <w:rsid w:val="006A6BF4"/>
    <w:rsid w:val="006B4707"/>
    <w:rsid w:val="006C38A9"/>
    <w:rsid w:val="006D13BA"/>
    <w:rsid w:val="006D1D21"/>
    <w:rsid w:val="006D2B34"/>
    <w:rsid w:val="006D591D"/>
    <w:rsid w:val="006D64EE"/>
    <w:rsid w:val="006E3854"/>
    <w:rsid w:val="006F2238"/>
    <w:rsid w:val="006F4199"/>
    <w:rsid w:val="007009D7"/>
    <w:rsid w:val="007025D7"/>
    <w:rsid w:val="00706C16"/>
    <w:rsid w:val="0071557C"/>
    <w:rsid w:val="00720597"/>
    <w:rsid w:val="00722A5A"/>
    <w:rsid w:val="00723639"/>
    <w:rsid w:val="00731F30"/>
    <w:rsid w:val="00733C96"/>
    <w:rsid w:val="007340C3"/>
    <w:rsid w:val="007341BB"/>
    <w:rsid w:val="007344B2"/>
    <w:rsid w:val="007345D5"/>
    <w:rsid w:val="0073510E"/>
    <w:rsid w:val="00741631"/>
    <w:rsid w:val="007458D3"/>
    <w:rsid w:val="00751DE8"/>
    <w:rsid w:val="0075235A"/>
    <w:rsid w:val="00752CDB"/>
    <w:rsid w:val="0075557D"/>
    <w:rsid w:val="00756841"/>
    <w:rsid w:val="007649AB"/>
    <w:rsid w:val="0076653D"/>
    <w:rsid w:val="00771AEF"/>
    <w:rsid w:val="00771D0C"/>
    <w:rsid w:val="00772767"/>
    <w:rsid w:val="00782ED2"/>
    <w:rsid w:val="007833AC"/>
    <w:rsid w:val="007853FB"/>
    <w:rsid w:val="00795086"/>
    <w:rsid w:val="007A037B"/>
    <w:rsid w:val="007A1830"/>
    <w:rsid w:val="007A2615"/>
    <w:rsid w:val="007B268C"/>
    <w:rsid w:val="007B7171"/>
    <w:rsid w:val="007C0C0F"/>
    <w:rsid w:val="007C3DC2"/>
    <w:rsid w:val="007C4353"/>
    <w:rsid w:val="007D3058"/>
    <w:rsid w:val="007D4B12"/>
    <w:rsid w:val="007E43AC"/>
    <w:rsid w:val="007E5497"/>
    <w:rsid w:val="00803584"/>
    <w:rsid w:val="00806F5F"/>
    <w:rsid w:val="008103F6"/>
    <w:rsid w:val="00820278"/>
    <w:rsid w:val="00820488"/>
    <w:rsid w:val="0082071A"/>
    <w:rsid w:val="008258C9"/>
    <w:rsid w:val="00830893"/>
    <w:rsid w:val="00833286"/>
    <w:rsid w:val="00836232"/>
    <w:rsid w:val="00841E29"/>
    <w:rsid w:val="008440A2"/>
    <w:rsid w:val="00844AE9"/>
    <w:rsid w:val="00845EF6"/>
    <w:rsid w:val="0085545E"/>
    <w:rsid w:val="00857CF9"/>
    <w:rsid w:val="00867E8A"/>
    <w:rsid w:val="00867F95"/>
    <w:rsid w:val="00871AAC"/>
    <w:rsid w:val="00875356"/>
    <w:rsid w:val="008753FD"/>
    <w:rsid w:val="00876B28"/>
    <w:rsid w:val="008843B6"/>
    <w:rsid w:val="00886410"/>
    <w:rsid w:val="00891928"/>
    <w:rsid w:val="00891A0E"/>
    <w:rsid w:val="008A2B6F"/>
    <w:rsid w:val="008A3BF4"/>
    <w:rsid w:val="008A446D"/>
    <w:rsid w:val="008B0D0F"/>
    <w:rsid w:val="008B25F1"/>
    <w:rsid w:val="008C11FD"/>
    <w:rsid w:val="008C4DD5"/>
    <w:rsid w:val="008C517A"/>
    <w:rsid w:val="008C6AE5"/>
    <w:rsid w:val="008C7B44"/>
    <w:rsid w:val="008D1660"/>
    <w:rsid w:val="008D180B"/>
    <w:rsid w:val="008D1C25"/>
    <w:rsid w:val="008D539F"/>
    <w:rsid w:val="008F0EA7"/>
    <w:rsid w:val="008F17DC"/>
    <w:rsid w:val="008F4334"/>
    <w:rsid w:val="008F553F"/>
    <w:rsid w:val="008F5838"/>
    <w:rsid w:val="008F6705"/>
    <w:rsid w:val="00901213"/>
    <w:rsid w:val="009026A9"/>
    <w:rsid w:val="009037F6"/>
    <w:rsid w:val="00904F32"/>
    <w:rsid w:val="0091143C"/>
    <w:rsid w:val="00917048"/>
    <w:rsid w:val="00920817"/>
    <w:rsid w:val="00922205"/>
    <w:rsid w:val="00923EEF"/>
    <w:rsid w:val="00933E3F"/>
    <w:rsid w:val="009378E3"/>
    <w:rsid w:val="009419F9"/>
    <w:rsid w:val="009450F4"/>
    <w:rsid w:val="0094710A"/>
    <w:rsid w:val="0094744A"/>
    <w:rsid w:val="009500D5"/>
    <w:rsid w:val="0095685E"/>
    <w:rsid w:val="00961B09"/>
    <w:rsid w:val="00963E12"/>
    <w:rsid w:val="00964321"/>
    <w:rsid w:val="00965334"/>
    <w:rsid w:val="0097093E"/>
    <w:rsid w:val="009722DE"/>
    <w:rsid w:val="00982C25"/>
    <w:rsid w:val="00984DB3"/>
    <w:rsid w:val="00992E19"/>
    <w:rsid w:val="00997AFF"/>
    <w:rsid w:val="009A0486"/>
    <w:rsid w:val="009A0DFA"/>
    <w:rsid w:val="009A3A4C"/>
    <w:rsid w:val="009A4D8C"/>
    <w:rsid w:val="009B200B"/>
    <w:rsid w:val="009B28B9"/>
    <w:rsid w:val="009B2D26"/>
    <w:rsid w:val="009B4B7C"/>
    <w:rsid w:val="009C71FA"/>
    <w:rsid w:val="009C72E7"/>
    <w:rsid w:val="009C7F7E"/>
    <w:rsid w:val="009D10AE"/>
    <w:rsid w:val="009D23F2"/>
    <w:rsid w:val="009D3058"/>
    <w:rsid w:val="009E1F28"/>
    <w:rsid w:val="009E6924"/>
    <w:rsid w:val="009E7AED"/>
    <w:rsid w:val="009F3A13"/>
    <w:rsid w:val="009F4B67"/>
    <w:rsid w:val="009F7A6E"/>
    <w:rsid w:val="00A0334B"/>
    <w:rsid w:val="00A0526C"/>
    <w:rsid w:val="00A05BC5"/>
    <w:rsid w:val="00A06E95"/>
    <w:rsid w:val="00A076A6"/>
    <w:rsid w:val="00A122D3"/>
    <w:rsid w:val="00A14468"/>
    <w:rsid w:val="00A17F13"/>
    <w:rsid w:val="00A20739"/>
    <w:rsid w:val="00A23AF9"/>
    <w:rsid w:val="00A31A76"/>
    <w:rsid w:val="00A32D67"/>
    <w:rsid w:val="00A33C78"/>
    <w:rsid w:val="00A53338"/>
    <w:rsid w:val="00A53EB1"/>
    <w:rsid w:val="00A54DC9"/>
    <w:rsid w:val="00A61436"/>
    <w:rsid w:val="00A73F45"/>
    <w:rsid w:val="00A8776C"/>
    <w:rsid w:val="00AA1511"/>
    <w:rsid w:val="00AA1E47"/>
    <w:rsid w:val="00AB0ADB"/>
    <w:rsid w:val="00AB436E"/>
    <w:rsid w:val="00AD173A"/>
    <w:rsid w:val="00AD6FC3"/>
    <w:rsid w:val="00AD7D5F"/>
    <w:rsid w:val="00AE0641"/>
    <w:rsid w:val="00AE1F6E"/>
    <w:rsid w:val="00AE3513"/>
    <w:rsid w:val="00AE5023"/>
    <w:rsid w:val="00AE5DD2"/>
    <w:rsid w:val="00AF5A10"/>
    <w:rsid w:val="00B00C0E"/>
    <w:rsid w:val="00B01B1A"/>
    <w:rsid w:val="00B04DA1"/>
    <w:rsid w:val="00B107DB"/>
    <w:rsid w:val="00B11075"/>
    <w:rsid w:val="00B206B6"/>
    <w:rsid w:val="00B234CF"/>
    <w:rsid w:val="00B35656"/>
    <w:rsid w:val="00B35DDD"/>
    <w:rsid w:val="00B37EB5"/>
    <w:rsid w:val="00B44A47"/>
    <w:rsid w:val="00B54271"/>
    <w:rsid w:val="00B5550F"/>
    <w:rsid w:val="00B6149C"/>
    <w:rsid w:val="00B63FC5"/>
    <w:rsid w:val="00B64484"/>
    <w:rsid w:val="00B71FD5"/>
    <w:rsid w:val="00B72CD3"/>
    <w:rsid w:val="00B72FFF"/>
    <w:rsid w:val="00B74092"/>
    <w:rsid w:val="00B74CF7"/>
    <w:rsid w:val="00B759AB"/>
    <w:rsid w:val="00B95DAC"/>
    <w:rsid w:val="00BA2EB9"/>
    <w:rsid w:val="00BA4084"/>
    <w:rsid w:val="00BA703D"/>
    <w:rsid w:val="00BC330F"/>
    <w:rsid w:val="00BC3D36"/>
    <w:rsid w:val="00BC5D42"/>
    <w:rsid w:val="00BC70CB"/>
    <w:rsid w:val="00BD13AC"/>
    <w:rsid w:val="00BD54A6"/>
    <w:rsid w:val="00BD7F72"/>
    <w:rsid w:val="00BF056C"/>
    <w:rsid w:val="00BF112D"/>
    <w:rsid w:val="00BF3B66"/>
    <w:rsid w:val="00BF5C08"/>
    <w:rsid w:val="00BF7425"/>
    <w:rsid w:val="00C04FB3"/>
    <w:rsid w:val="00C11D8B"/>
    <w:rsid w:val="00C1215D"/>
    <w:rsid w:val="00C1350D"/>
    <w:rsid w:val="00C2359C"/>
    <w:rsid w:val="00C251B0"/>
    <w:rsid w:val="00C330EB"/>
    <w:rsid w:val="00C33F4F"/>
    <w:rsid w:val="00C4112A"/>
    <w:rsid w:val="00C419DF"/>
    <w:rsid w:val="00C45A56"/>
    <w:rsid w:val="00C50D69"/>
    <w:rsid w:val="00C5365C"/>
    <w:rsid w:val="00C619D4"/>
    <w:rsid w:val="00C61D93"/>
    <w:rsid w:val="00C738EE"/>
    <w:rsid w:val="00C7520B"/>
    <w:rsid w:val="00C754BE"/>
    <w:rsid w:val="00C76B1C"/>
    <w:rsid w:val="00C82667"/>
    <w:rsid w:val="00C90C96"/>
    <w:rsid w:val="00C925AC"/>
    <w:rsid w:val="00C94828"/>
    <w:rsid w:val="00C963BE"/>
    <w:rsid w:val="00C96B64"/>
    <w:rsid w:val="00CA2858"/>
    <w:rsid w:val="00CB02F1"/>
    <w:rsid w:val="00CB0829"/>
    <w:rsid w:val="00CB4CE6"/>
    <w:rsid w:val="00CB6357"/>
    <w:rsid w:val="00CB6FF3"/>
    <w:rsid w:val="00CC1B26"/>
    <w:rsid w:val="00CC2F6F"/>
    <w:rsid w:val="00CD47CD"/>
    <w:rsid w:val="00CD4C85"/>
    <w:rsid w:val="00CD4D52"/>
    <w:rsid w:val="00CD7FA1"/>
    <w:rsid w:val="00CE3C1C"/>
    <w:rsid w:val="00CE4026"/>
    <w:rsid w:val="00D05ED6"/>
    <w:rsid w:val="00D06146"/>
    <w:rsid w:val="00D0699E"/>
    <w:rsid w:val="00D1210B"/>
    <w:rsid w:val="00D222C0"/>
    <w:rsid w:val="00D22D2B"/>
    <w:rsid w:val="00D334DD"/>
    <w:rsid w:val="00D34EA3"/>
    <w:rsid w:val="00D361FD"/>
    <w:rsid w:val="00D423A2"/>
    <w:rsid w:val="00D44E26"/>
    <w:rsid w:val="00D51A5D"/>
    <w:rsid w:val="00D520D8"/>
    <w:rsid w:val="00D532D4"/>
    <w:rsid w:val="00D552A0"/>
    <w:rsid w:val="00D56F8A"/>
    <w:rsid w:val="00D62B9C"/>
    <w:rsid w:val="00D63AC2"/>
    <w:rsid w:val="00D64111"/>
    <w:rsid w:val="00D64AFC"/>
    <w:rsid w:val="00D72D0B"/>
    <w:rsid w:val="00D7383B"/>
    <w:rsid w:val="00D73DBD"/>
    <w:rsid w:val="00D7541C"/>
    <w:rsid w:val="00D76E7C"/>
    <w:rsid w:val="00D7788A"/>
    <w:rsid w:val="00D82A30"/>
    <w:rsid w:val="00D85F06"/>
    <w:rsid w:val="00D936A2"/>
    <w:rsid w:val="00DA1F04"/>
    <w:rsid w:val="00DA231B"/>
    <w:rsid w:val="00DB13F4"/>
    <w:rsid w:val="00DB55DA"/>
    <w:rsid w:val="00DB6DDE"/>
    <w:rsid w:val="00DC1EFB"/>
    <w:rsid w:val="00DC39FC"/>
    <w:rsid w:val="00DC7CCB"/>
    <w:rsid w:val="00DE0870"/>
    <w:rsid w:val="00DE18D0"/>
    <w:rsid w:val="00DE6EC3"/>
    <w:rsid w:val="00DE7692"/>
    <w:rsid w:val="00DF5254"/>
    <w:rsid w:val="00E02524"/>
    <w:rsid w:val="00E05E98"/>
    <w:rsid w:val="00E1159D"/>
    <w:rsid w:val="00E1449C"/>
    <w:rsid w:val="00E1451E"/>
    <w:rsid w:val="00E16408"/>
    <w:rsid w:val="00E20894"/>
    <w:rsid w:val="00E22DC2"/>
    <w:rsid w:val="00E23233"/>
    <w:rsid w:val="00E245AB"/>
    <w:rsid w:val="00E27341"/>
    <w:rsid w:val="00E2764C"/>
    <w:rsid w:val="00E27EDD"/>
    <w:rsid w:val="00E27F2E"/>
    <w:rsid w:val="00E306D6"/>
    <w:rsid w:val="00E31225"/>
    <w:rsid w:val="00E501E7"/>
    <w:rsid w:val="00E50AFE"/>
    <w:rsid w:val="00E523D5"/>
    <w:rsid w:val="00E57176"/>
    <w:rsid w:val="00E577E2"/>
    <w:rsid w:val="00E615C4"/>
    <w:rsid w:val="00E71E1B"/>
    <w:rsid w:val="00E75C92"/>
    <w:rsid w:val="00E771DC"/>
    <w:rsid w:val="00E80101"/>
    <w:rsid w:val="00E8772A"/>
    <w:rsid w:val="00E90C80"/>
    <w:rsid w:val="00E90F6B"/>
    <w:rsid w:val="00E91AED"/>
    <w:rsid w:val="00E92C27"/>
    <w:rsid w:val="00E96B5C"/>
    <w:rsid w:val="00EA0E3D"/>
    <w:rsid w:val="00EA0EC9"/>
    <w:rsid w:val="00EA0FBD"/>
    <w:rsid w:val="00EA2DC0"/>
    <w:rsid w:val="00EA426C"/>
    <w:rsid w:val="00EA677F"/>
    <w:rsid w:val="00EB224C"/>
    <w:rsid w:val="00EB7BC0"/>
    <w:rsid w:val="00EC006D"/>
    <w:rsid w:val="00EC0844"/>
    <w:rsid w:val="00EC297F"/>
    <w:rsid w:val="00EC38A7"/>
    <w:rsid w:val="00ED44D6"/>
    <w:rsid w:val="00ED4980"/>
    <w:rsid w:val="00ED5120"/>
    <w:rsid w:val="00EE0E1C"/>
    <w:rsid w:val="00EE1AA8"/>
    <w:rsid w:val="00EE265D"/>
    <w:rsid w:val="00EE3D99"/>
    <w:rsid w:val="00EF1D4F"/>
    <w:rsid w:val="00EF4E4B"/>
    <w:rsid w:val="00EF4E7D"/>
    <w:rsid w:val="00EF5E13"/>
    <w:rsid w:val="00EF647F"/>
    <w:rsid w:val="00F03314"/>
    <w:rsid w:val="00F0580C"/>
    <w:rsid w:val="00F23FEA"/>
    <w:rsid w:val="00F27B7B"/>
    <w:rsid w:val="00F3172F"/>
    <w:rsid w:val="00F31EDC"/>
    <w:rsid w:val="00F34294"/>
    <w:rsid w:val="00F3642F"/>
    <w:rsid w:val="00F462B3"/>
    <w:rsid w:val="00F5664F"/>
    <w:rsid w:val="00F602E0"/>
    <w:rsid w:val="00F666C4"/>
    <w:rsid w:val="00F76AFC"/>
    <w:rsid w:val="00F81BF0"/>
    <w:rsid w:val="00F825DA"/>
    <w:rsid w:val="00F82E88"/>
    <w:rsid w:val="00F85CEC"/>
    <w:rsid w:val="00F86E11"/>
    <w:rsid w:val="00F86E3E"/>
    <w:rsid w:val="00F95C74"/>
    <w:rsid w:val="00FA1B40"/>
    <w:rsid w:val="00FA47C0"/>
    <w:rsid w:val="00FA5FFD"/>
    <w:rsid w:val="00FB33A2"/>
    <w:rsid w:val="00FB5DD1"/>
    <w:rsid w:val="00FC1E72"/>
    <w:rsid w:val="00FC2B5D"/>
    <w:rsid w:val="00FD1DDC"/>
    <w:rsid w:val="00FD2D1F"/>
    <w:rsid w:val="00FD3AD2"/>
    <w:rsid w:val="00FD4AD8"/>
    <w:rsid w:val="00FD59D3"/>
    <w:rsid w:val="00FE79ED"/>
    <w:rsid w:val="00FF1449"/>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41374"/>
  <w15:chartTrackingRefBased/>
  <w15:docId w15:val="{58568B41-9065-4DE9-BFEA-A2F36601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styleId="Mencinsinresolver">
    <w:name w:val="Unresolved Mention"/>
    <w:basedOn w:val="Fuentedeprrafopredeter"/>
    <w:uiPriority w:val="99"/>
    <w:semiHidden/>
    <w:unhideWhenUsed/>
    <w:rsid w:val="00BF112D"/>
    <w:rPr>
      <w:color w:val="605E5C"/>
      <w:shd w:val="clear" w:color="auto" w:fill="E1DFDD"/>
    </w:rPr>
  </w:style>
  <w:style w:type="character" w:customStyle="1" w:styleId="s15">
    <w:name w:val="s15"/>
    <w:basedOn w:val="Fuentedeprrafopredeter"/>
    <w:rsid w:val="00922205"/>
  </w:style>
  <w:style w:type="character" w:customStyle="1" w:styleId="NormalWebCar">
    <w:name w:val="Normal (Web) Car"/>
    <w:link w:val="NormalWeb"/>
    <w:uiPriority w:val="99"/>
    <w:rsid w:val="003D3FF4"/>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40">
      <w:bodyDiv w:val="1"/>
      <w:marLeft w:val="0"/>
      <w:marRight w:val="0"/>
      <w:marTop w:val="0"/>
      <w:marBottom w:val="0"/>
      <w:divBdr>
        <w:top w:val="none" w:sz="0" w:space="0" w:color="auto"/>
        <w:left w:val="none" w:sz="0" w:space="0" w:color="auto"/>
        <w:bottom w:val="none" w:sz="0" w:space="0" w:color="auto"/>
        <w:right w:val="none" w:sz="0" w:space="0" w:color="auto"/>
      </w:divBdr>
      <w:divsChild>
        <w:div w:id="258880311">
          <w:marLeft w:val="0"/>
          <w:marRight w:val="0"/>
          <w:marTop w:val="0"/>
          <w:marBottom w:val="0"/>
          <w:divBdr>
            <w:top w:val="none" w:sz="0" w:space="0" w:color="auto"/>
            <w:left w:val="none" w:sz="0" w:space="0" w:color="auto"/>
            <w:bottom w:val="none" w:sz="0" w:space="0" w:color="auto"/>
            <w:right w:val="none" w:sz="0" w:space="0" w:color="auto"/>
          </w:divBdr>
          <w:divsChild>
            <w:div w:id="1294941058">
              <w:marLeft w:val="0"/>
              <w:marRight w:val="0"/>
              <w:marTop w:val="0"/>
              <w:marBottom w:val="0"/>
              <w:divBdr>
                <w:top w:val="none" w:sz="0" w:space="0" w:color="auto"/>
                <w:left w:val="none" w:sz="0" w:space="0" w:color="auto"/>
                <w:bottom w:val="none" w:sz="0" w:space="0" w:color="auto"/>
                <w:right w:val="none" w:sz="0" w:space="0" w:color="auto"/>
              </w:divBdr>
              <w:divsChild>
                <w:div w:id="337932334">
                  <w:marLeft w:val="0"/>
                  <w:marRight w:val="0"/>
                  <w:marTop w:val="0"/>
                  <w:marBottom w:val="0"/>
                  <w:divBdr>
                    <w:top w:val="none" w:sz="0" w:space="0" w:color="auto"/>
                    <w:left w:val="none" w:sz="0" w:space="0" w:color="auto"/>
                    <w:bottom w:val="none" w:sz="0" w:space="0" w:color="auto"/>
                    <w:right w:val="none" w:sz="0" w:space="0" w:color="auto"/>
                  </w:divBdr>
                  <w:divsChild>
                    <w:div w:id="9084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59191">
          <w:marLeft w:val="0"/>
          <w:marRight w:val="0"/>
          <w:marTop w:val="0"/>
          <w:marBottom w:val="0"/>
          <w:divBdr>
            <w:top w:val="none" w:sz="0" w:space="0" w:color="auto"/>
            <w:left w:val="none" w:sz="0" w:space="0" w:color="auto"/>
            <w:bottom w:val="none" w:sz="0" w:space="0" w:color="auto"/>
            <w:right w:val="none" w:sz="0" w:space="0" w:color="auto"/>
          </w:divBdr>
        </w:div>
      </w:divsChild>
    </w:div>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298808619">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42011055">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1898738708">
      <w:bodyDiv w:val="1"/>
      <w:marLeft w:val="0"/>
      <w:marRight w:val="0"/>
      <w:marTop w:val="0"/>
      <w:marBottom w:val="0"/>
      <w:divBdr>
        <w:top w:val="none" w:sz="0" w:space="0" w:color="auto"/>
        <w:left w:val="none" w:sz="0" w:space="0" w:color="auto"/>
        <w:bottom w:val="none" w:sz="0" w:space="0" w:color="auto"/>
        <w:right w:val="none" w:sz="0" w:space="0" w:color="auto"/>
      </w:divBdr>
    </w:div>
    <w:div w:id="212796031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17AEECD-F7FA-4C5D-9002-6CF481A0E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C319D1-6F87-4601-A8E9-DF150CBA8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16</Pages>
  <Words>4512</Words>
  <Characters>24821</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2026-09-04T02:16:00Z</dcterms:created>
  <dcterms:modified xsi:type="dcterms:W3CDTF">2026-09-16T22:10:00Z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