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C6CDC" w14:textId="77777777" w:rsidR="00D20D84" w:rsidRDefault="00D20D84" w:rsidP="00D20D84">
      <w:pPr>
        <w:spacing w:after="0" w:line="240" w:lineRule="auto"/>
        <w:jc w:val="both"/>
        <w:rPr>
          <w:rFonts w:ascii="Verdana" w:eastAsia="Calibri" w:hAnsi="Verdana" w:cs="Arial"/>
          <w:b/>
          <w:bCs/>
          <w:lang w:eastAsia="es-ES"/>
        </w:rPr>
      </w:pPr>
      <w:bookmarkStart w:id="0" w:name="_Hlk143780582"/>
      <w:r w:rsidRPr="00FF0CA6">
        <w:rPr>
          <w:rFonts w:ascii="Verdana" w:eastAsia="Calibri" w:hAnsi="Verdana" w:cs="Arial"/>
          <w:b/>
          <w:bCs/>
          <w:lang w:eastAsia="es-ES"/>
        </w:rPr>
        <w:t>DECRETO 0287 DE 2026 ‒ Sistema Integral de Preferencias ‒ Contratación pública inclusiva ‒ Personas con discapacidad</w:t>
      </w:r>
    </w:p>
    <w:p w14:paraId="6F98CCEE" w14:textId="77777777" w:rsidR="001D448D" w:rsidRDefault="001D448D" w:rsidP="00D20D84">
      <w:pPr>
        <w:spacing w:after="0" w:line="240" w:lineRule="auto"/>
        <w:jc w:val="both"/>
        <w:rPr>
          <w:rFonts w:ascii="Verdana" w:eastAsia="Calibri" w:hAnsi="Verdana" w:cs="Arial"/>
          <w:b/>
          <w:bCs/>
          <w:lang w:eastAsia="es-ES"/>
        </w:rPr>
      </w:pPr>
    </w:p>
    <w:p w14:paraId="40E93300" w14:textId="77777777" w:rsidR="00D20D84" w:rsidRDefault="00D20D84" w:rsidP="00D20D84">
      <w:pPr>
        <w:spacing w:after="0" w:line="240" w:lineRule="auto"/>
        <w:jc w:val="both"/>
        <w:rPr>
          <w:rFonts w:ascii="Verdana" w:eastAsia="Calibri" w:hAnsi="Verdana" w:cs="Arial"/>
          <w:b/>
          <w:bCs/>
          <w:lang w:eastAsia="es-ES"/>
        </w:rPr>
      </w:pPr>
    </w:p>
    <w:p w14:paraId="4D56633C" w14:textId="77777777" w:rsidR="00D20D84" w:rsidRPr="0029005A" w:rsidRDefault="00D20D84" w:rsidP="00D20D84">
      <w:pPr>
        <w:spacing w:after="0" w:line="240" w:lineRule="auto"/>
        <w:jc w:val="both"/>
        <w:rPr>
          <w:rFonts w:ascii="Verdana" w:hAnsi="Verdana"/>
          <w:sz w:val="21"/>
          <w:szCs w:val="21"/>
        </w:rPr>
      </w:pPr>
      <w:r w:rsidRPr="0029005A">
        <w:rPr>
          <w:rFonts w:ascii="Verdana" w:hAnsi="Verdana"/>
          <w:sz w:val="21"/>
          <w:szCs w:val="21"/>
        </w:rPr>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0629E5A5" w14:textId="77777777" w:rsidR="00D20D84" w:rsidRPr="0029005A" w:rsidRDefault="00D20D84" w:rsidP="00D20D84">
      <w:pPr>
        <w:spacing w:after="0" w:line="240" w:lineRule="auto"/>
        <w:jc w:val="both"/>
        <w:rPr>
          <w:rFonts w:ascii="Verdana" w:hAnsi="Verdana"/>
          <w:sz w:val="21"/>
          <w:szCs w:val="21"/>
        </w:rPr>
      </w:pPr>
    </w:p>
    <w:p w14:paraId="105B8D30" w14:textId="77777777" w:rsidR="00D20D84" w:rsidRPr="0029005A" w:rsidRDefault="00D20D84" w:rsidP="00D20D84">
      <w:pPr>
        <w:spacing w:after="0" w:line="240" w:lineRule="auto"/>
        <w:jc w:val="both"/>
        <w:rPr>
          <w:rFonts w:ascii="Verdana" w:hAnsi="Verdana"/>
          <w:sz w:val="21"/>
          <w:szCs w:val="21"/>
        </w:rPr>
      </w:pPr>
      <w:r w:rsidRPr="0029005A">
        <w:rPr>
          <w:rFonts w:ascii="Verdana" w:hAnsi="Verdana"/>
          <w:sz w:val="21"/>
          <w:szCs w:val="21"/>
        </w:rPr>
        <w:t xml:space="preserve">La insuficiencia del Decreto 392 de 2018 fue constatada judicialmente. La Sección Quinta del Consejo de Estado, mediante sentencia de acción de cumplimiento del 12 de diciembre de 2024, radicación </w:t>
      </w:r>
      <w:proofErr w:type="spellStart"/>
      <w:r w:rsidRPr="0029005A">
        <w:rPr>
          <w:rFonts w:ascii="Verdana" w:hAnsi="Verdana"/>
          <w:sz w:val="21"/>
          <w:szCs w:val="21"/>
        </w:rPr>
        <w:t>n.°</w:t>
      </w:r>
      <w:proofErr w:type="spellEnd"/>
      <w:r w:rsidRPr="0029005A">
        <w:rPr>
          <w:rFonts w:ascii="Verdana" w:hAnsi="Verdana"/>
          <w:sz w:val="21"/>
          <w:szCs w:val="21"/>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23441E4A" w14:textId="77777777" w:rsidR="00D20D84" w:rsidRPr="0029005A" w:rsidRDefault="00D20D84" w:rsidP="00D20D84">
      <w:pPr>
        <w:spacing w:after="0" w:line="240" w:lineRule="auto"/>
        <w:jc w:val="both"/>
        <w:rPr>
          <w:rFonts w:ascii="Verdana" w:hAnsi="Verdana"/>
          <w:sz w:val="21"/>
          <w:szCs w:val="21"/>
        </w:rPr>
      </w:pPr>
    </w:p>
    <w:p w14:paraId="074ACB09" w14:textId="77777777" w:rsidR="00D20D84" w:rsidRDefault="00D20D84" w:rsidP="00D20D84">
      <w:pPr>
        <w:spacing w:after="0" w:line="240" w:lineRule="auto"/>
        <w:jc w:val="both"/>
        <w:rPr>
          <w:rFonts w:ascii="Verdana" w:hAnsi="Verdana"/>
          <w:sz w:val="21"/>
          <w:szCs w:val="21"/>
        </w:rPr>
      </w:pPr>
      <w:r w:rsidRPr="0029005A">
        <w:rPr>
          <w:rFonts w:ascii="Verdana" w:hAnsi="Verdana"/>
          <w:sz w:val="21"/>
          <w:szCs w:val="21"/>
        </w:rPr>
        <w:t xml:space="preserve">En cumplimiento de esa decisión fue expedido el Decreto 0287 de 2026, el cual, como se indicó en la respuesta, establece un Sistema Integral de Preferencias compuesto por cinco medidas afirmativas que actúan en todas las fases del proceso contractual, planeación, selección, adjudicación y ejecución, y que benefician a dos sujetos diferenciados: los emprendimientos y empresas de PcD y los empleadores de PcD. </w:t>
      </w:r>
    </w:p>
    <w:p w14:paraId="0D2B2E46" w14:textId="77777777" w:rsidR="001D448D" w:rsidRPr="0029005A" w:rsidRDefault="001D448D" w:rsidP="00D20D84">
      <w:pPr>
        <w:spacing w:after="0" w:line="240" w:lineRule="auto"/>
        <w:jc w:val="both"/>
        <w:rPr>
          <w:rFonts w:ascii="Verdana" w:eastAsia="Times New Roman" w:hAnsi="Verdana" w:cs="Times New Roman"/>
          <w:sz w:val="21"/>
          <w:szCs w:val="21"/>
        </w:rPr>
      </w:pPr>
    </w:p>
    <w:p w14:paraId="5B5BDD0D" w14:textId="77777777" w:rsidR="00D20D84" w:rsidRDefault="00D20D84" w:rsidP="00D20D84">
      <w:pPr>
        <w:spacing w:after="0" w:line="240" w:lineRule="auto"/>
        <w:rPr>
          <w:rFonts w:ascii="Verdana" w:eastAsia="Geomanist Light" w:hAnsi="Verdana" w:cs="Arial"/>
          <w:color w:val="000000" w:themeColor="text1"/>
          <w:lang w:val="es-MX"/>
        </w:rPr>
      </w:pPr>
    </w:p>
    <w:p w14:paraId="6E3C322F" w14:textId="77777777" w:rsidR="00D20D84" w:rsidRDefault="00D20D84" w:rsidP="00D20D84">
      <w:pPr>
        <w:spacing w:after="0" w:line="240" w:lineRule="auto"/>
        <w:jc w:val="both"/>
        <w:rPr>
          <w:rFonts w:ascii="Verdana" w:eastAsia="Century Gothic" w:hAnsi="Verdana" w:cs="Century Gothic"/>
          <w:b/>
          <w:bCs/>
        </w:rPr>
      </w:pPr>
      <w:r w:rsidRPr="0029005A">
        <w:rPr>
          <w:rFonts w:ascii="Verdana" w:eastAsia="Calibri" w:hAnsi="Verdana" w:cs="Arial"/>
          <w:b/>
          <w:bCs/>
          <w:lang w:eastAsia="es-ES"/>
        </w:rPr>
        <w:t xml:space="preserve">DECRETO 0287 DE 2026 ‒ Antecedentes normativos ‒ Decreto 392 de 2018 ‒ Omisiones reglamentarias ‒ Sentencia de acción de cumplimiento </w:t>
      </w:r>
      <w:r w:rsidRPr="0057670A">
        <w:rPr>
          <w:rFonts w:ascii="Verdana" w:eastAsia="Calibri" w:hAnsi="Verdana" w:cs="Arial"/>
          <w:b/>
          <w:bCs/>
          <w:lang w:val="es-ES" w:eastAsia="es-ES"/>
        </w:rPr>
        <w:t>–</w:t>
      </w:r>
      <w:r w:rsidRPr="0029005A">
        <w:rPr>
          <w:rFonts w:ascii="Verdana" w:eastAsia="Calibri" w:hAnsi="Verdana" w:cs="Arial"/>
          <w:b/>
          <w:bCs/>
          <w:lang w:eastAsia="es-ES"/>
        </w:rPr>
        <w:t xml:space="preserve"> DECRETO 0287 DE 2026 ‒ Sujetos del sistema ‒ Emprendimientos y empresas de personas con discapacidad ‒ Empleadores de personas con discapacidad ‒ Definición y diferenciación </w:t>
      </w:r>
      <w:r w:rsidRPr="0057670A">
        <w:rPr>
          <w:rFonts w:ascii="Verdana" w:eastAsia="Calibri" w:hAnsi="Verdana" w:cs="Arial"/>
          <w:b/>
          <w:bCs/>
          <w:lang w:val="es-ES" w:eastAsia="es-ES"/>
        </w:rPr>
        <w:t>–</w:t>
      </w:r>
      <w:r w:rsidRPr="0029005A">
        <w:rPr>
          <w:rFonts w:ascii="Verdana" w:eastAsia="Century Gothic" w:hAnsi="Verdana" w:cs="Century Gothic"/>
          <w:b/>
          <w:bCs/>
        </w:rPr>
        <w:t xml:space="preserve"> </w:t>
      </w:r>
      <w:r>
        <w:rPr>
          <w:rFonts w:ascii="Verdana" w:eastAsia="Century Gothic" w:hAnsi="Verdana" w:cs="Century Gothic"/>
          <w:b/>
          <w:bCs/>
        </w:rPr>
        <w:t>R</w:t>
      </w:r>
      <w:r w:rsidRPr="0029005A">
        <w:rPr>
          <w:rFonts w:ascii="Verdana" w:eastAsia="Century Gothic" w:hAnsi="Verdana" w:cs="Century Gothic"/>
          <w:b/>
          <w:bCs/>
        </w:rPr>
        <w:t>égimen Legal</w:t>
      </w:r>
    </w:p>
    <w:p w14:paraId="165E1596" w14:textId="77777777" w:rsidR="00D20D84" w:rsidRPr="0029005A" w:rsidRDefault="00D20D84" w:rsidP="00D20D84">
      <w:pPr>
        <w:spacing w:after="0" w:line="240" w:lineRule="auto"/>
        <w:jc w:val="both"/>
        <w:rPr>
          <w:rFonts w:ascii="Verdana" w:eastAsia="Geomanist Light" w:hAnsi="Verdana" w:cs="Arial"/>
          <w:b/>
          <w:bCs/>
          <w:color w:val="000000" w:themeColor="text1"/>
          <w:lang w:val="es-MX"/>
        </w:rPr>
      </w:pPr>
    </w:p>
    <w:p w14:paraId="326ECD2C" w14:textId="77777777" w:rsidR="00D20D84" w:rsidRDefault="00D20D84" w:rsidP="00D20D84">
      <w:pPr>
        <w:spacing w:after="0" w:line="240" w:lineRule="auto"/>
        <w:jc w:val="both"/>
        <w:rPr>
          <w:rFonts w:ascii="Verdana" w:eastAsia="Times New Roman" w:hAnsi="Verdana" w:cs="Times New Roman"/>
          <w:sz w:val="21"/>
          <w:szCs w:val="21"/>
        </w:rPr>
      </w:pPr>
      <w:r w:rsidRPr="0029005A">
        <w:rPr>
          <w:rFonts w:ascii="Verdana" w:eastAsia="Times New Roman" w:hAnsi="Verdana" w:cs="Times New Roman"/>
          <w:sz w:val="21"/>
          <w:szCs w:val="21"/>
        </w:rPr>
        <w:lastRenderedPageBreak/>
        <w:t>En el plano internacional, Colombia es Estado Parte de instrumentos que conforman el Bloque de Constitucionalidad en virtud del artículo 93 superior. La Convención sobre los Derechos de las Personas con Discapacidad de la ONU reconoce el derecho de las PcD a trabajar en igualdad de condiciones y exige programas de acción afirmativa. La Convención Interamericana para la Eliminación de todas las Formas de Discriminación ordena eliminar progresivamente la discriminación en la prestación de servicios, incluido el empleo. El Convenio 159 de la OIT exige medidas orientadas a garantizar la igualdad de oportunidades de todas las categorías de PcD en materia de empleo.</w:t>
      </w:r>
    </w:p>
    <w:p w14:paraId="5FC1D4DE" w14:textId="77777777" w:rsidR="00D20D84" w:rsidRPr="0029005A" w:rsidRDefault="00D20D84" w:rsidP="00D20D84">
      <w:pPr>
        <w:spacing w:after="0" w:line="240" w:lineRule="auto"/>
        <w:jc w:val="both"/>
        <w:rPr>
          <w:rFonts w:ascii="Verdana" w:hAnsi="Verdana"/>
          <w:sz w:val="21"/>
          <w:szCs w:val="21"/>
        </w:rPr>
      </w:pPr>
    </w:p>
    <w:p w14:paraId="2A103838" w14:textId="77777777" w:rsidR="00D20D84" w:rsidRPr="0029005A" w:rsidRDefault="00D20D84" w:rsidP="00D20D84">
      <w:pPr>
        <w:spacing w:after="0" w:line="240" w:lineRule="auto"/>
        <w:jc w:val="both"/>
        <w:rPr>
          <w:rFonts w:ascii="Verdana" w:eastAsia="Times New Roman" w:hAnsi="Verdana" w:cs="Times New Roman"/>
          <w:sz w:val="21"/>
          <w:szCs w:val="21"/>
        </w:rPr>
      </w:pPr>
      <w:r w:rsidRPr="0029005A">
        <w:rPr>
          <w:rFonts w:ascii="Verdana" w:eastAsia="Times New Roman" w:hAnsi="Verdana" w:cs="Times New Roman"/>
          <w:sz w:val="21"/>
          <w:szCs w:val="21"/>
        </w:rPr>
        <w:t>La Ley 361 de 1997 estableció los primeros mecanismos de integración social de las PcD. Su artículo 24 introdujo una preferencia en igualdad de condiciones en licitaciones y adjudicaciones de contratos para los empleadores que tuvieran al menos el 10% de su nómina compuesta por PcD. Esta norma vinculó por primera vez la contratación pública con la inclusión laboral de las PcD, pero su alcance era limitado: una preferencia residual aplicable solo en caso de empate, que beneficiaba únicamente a los empleadores de PcD sin considerar a las propias PcD como proponentes directos.</w:t>
      </w:r>
    </w:p>
    <w:p w14:paraId="4B498194" w14:textId="77777777" w:rsidR="00D20D84" w:rsidRPr="0029005A" w:rsidRDefault="00D20D84" w:rsidP="00D20D84">
      <w:pPr>
        <w:spacing w:after="0" w:line="240" w:lineRule="auto"/>
        <w:jc w:val="both"/>
        <w:rPr>
          <w:rFonts w:ascii="Verdana" w:hAnsi="Verdana"/>
          <w:sz w:val="21"/>
          <w:szCs w:val="21"/>
        </w:rPr>
      </w:pPr>
    </w:p>
    <w:p w14:paraId="5DFCDE4F" w14:textId="77777777" w:rsidR="00D20D84" w:rsidRPr="0029005A" w:rsidRDefault="00D20D84" w:rsidP="00D20D84">
      <w:pPr>
        <w:spacing w:after="0" w:line="240" w:lineRule="auto"/>
        <w:jc w:val="both"/>
        <w:rPr>
          <w:rFonts w:ascii="Verdana" w:eastAsia="Times New Roman" w:hAnsi="Verdana" w:cs="Times New Roman"/>
          <w:sz w:val="21"/>
          <w:szCs w:val="21"/>
        </w:rPr>
      </w:pPr>
      <w:r w:rsidRPr="0029005A">
        <w:rPr>
          <w:rFonts w:ascii="Verdana" w:eastAsia="Times New Roman" w:hAnsi="Verdana" w:cs="Times New Roman"/>
          <w:sz w:val="21"/>
          <w:szCs w:val="21"/>
        </w:rPr>
        <w:t xml:space="preserve">La Ley Estatutaria 1618 de 2013 representó un salto cualitativo en el marco jurídico de protección de las PcD, al definir a estas como </w:t>
      </w:r>
      <w:r w:rsidRPr="0029005A">
        <w:rPr>
          <w:rFonts w:ascii="Verdana" w:eastAsia="Times New Roman" w:hAnsi="Verdana" w:cs="Times New Roman"/>
          <w:i/>
          <w:iCs/>
          <w:sz w:val="21"/>
          <w:szCs w:val="21"/>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9005A">
        <w:rPr>
          <w:rFonts w:ascii="Verdana" w:eastAsia="Times New Roman" w:hAnsi="Verdana" w:cs="Times New Roman"/>
          <w:sz w:val="21"/>
          <w:szCs w:val="21"/>
        </w:rPr>
        <w:t xml:space="preserve">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 Este último mandato fue especialmente significativo porque introdujo el concepto de </w:t>
      </w:r>
      <w:r w:rsidRPr="0029005A">
        <w:rPr>
          <w:rFonts w:ascii="Verdana" w:eastAsia="Times New Roman" w:hAnsi="Verdana" w:cs="Times New Roman"/>
          <w:i/>
          <w:iCs/>
          <w:sz w:val="21"/>
          <w:szCs w:val="21"/>
        </w:rPr>
        <w:t>"sistema de preferencias"</w:t>
      </w:r>
      <w:r w:rsidRPr="0029005A">
        <w:rPr>
          <w:rFonts w:ascii="Verdana" w:eastAsia="Times New Roman" w:hAnsi="Verdana" w:cs="Times New Roman"/>
          <w:sz w:val="21"/>
          <w:szCs w:val="21"/>
        </w:rPr>
        <w:t>, que por definición no puede reducirse a una sola medida sino que implica un conjunto estructurado de instrumentos que actúen en las distintas fases del proceso contractual.</w:t>
      </w:r>
    </w:p>
    <w:p w14:paraId="48E96AD8" w14:textId="77777777" w:rsidR="00D20D84" w:rsidRPr="0029005A" w:rsidRDefault="00D20D84" w:rsidP="00D20D84">
      <w:pPr>
        <w:spacing w:after="0" w:line="240" w:lineRule="auto"/>
        <w:jc w:val="both"/>
        <w:rPr>
          <w:rFonts w:ascii="Verdana" w:hAnsi="Verdana"/>
          <w:sz w:val="21"/>
          <w:szCs w:val="21"/>
        </w:rPr>
      </w:pPr>
    </w:p>
    <w:p w14:paraId="3DB4BAC2" w14:textId="77777777" w:rsidR="00D20D84" w:rsidRPr="0029005A" w:rsidRDefault="00D20D84" w:rsidP="00D20D84">
      <w:pPr>
        <w:spacing w:after="0" w:line="240" w:lineRule="auto"/>
        <w:jc w:val="both"/>
        <w:rPr>
          <w:rFonts w:ascii="Verdana" w:hAnsi="Verdana"/>
          <w:sz w:val="21"/>
          <w:szCs w:val="21"/>
        </w:rPr>
      </w:pPr>
      <w:r w:rsidRPr="0029005A">
        <w:rPr>
          <w:rFonts w:ascii="Verdana" w:hAnsi="Verdana"/>
          <w:sz w:val="21"/>
          <w:szCs w:val="21"/>
        </w:rPr>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w:t>
      </w:r>
      <w:r w:rsidRPr="0029005A">
        <w:rPr>
          <w:rFonts w:ascii="Verdana" w:hAnsi="Verdana"/>
          <w:sz w:val="21"/>
          <w:szCs w:val="21"/>
        </w:rPr>
        <w:lastRenderedPageBreak/>
        <w:t>8, que era precisamente el que ordenaba el sistema de preferencias en favor de las propias PcD como contratistas.</w:t>
      </w:r>
    </w:p>
    <w:p w14:paraId="596D7998" w14:textId="77777777" w:rsidR="00D20D84" w:rsidRPr="0029005A" w:rsidRDefault="00D20D84" w:rsidP="00D20D84">
      <w:pPr>
        <w:spacing w:after="0" w:line="240" w:lineRule="auto"/>
        <w:jc w:val="both"/>
        <w:rPr>
          <w:rFonts w:ascii="Verdana" w:hAnsi="Verdana"/>
          <w:sz w:val="21"/>
          <w:szCs w:val="21"/>
        </w:rPr>
      </w:pPr>
    </w:p>
    <w:p w14:paraId="57DEA33E" w14:textId="77777777" w:rsidR="00D20D84" w:rsidRPr="0029005A" w:rsidRDefault="00D20D84" w:rsidP="00D20D84">
      <w:pPr>
        <w:spacing w:after="0" w:line="240" w:lineRule="auto"/>
        <w:jc w:val="both"/>
        <w:rPr>
          <w:rFonts w:ascii="Verdana" w:hAnsi="Verdana"/>
          <w:sz w:val="21"/>
          <w:szCs w:val="21"/>
        </w:rPr>
      </w:pPr>
      <w:r>
        <w:rPr>
          <w:rFonts w:ascii="Verdana" w:hAnsi="Verdana"/>
          <w:sz w:val="21"/>
          <w:szCs w:val="21"/>
        </w:rPr>
        <w:t>[…]</w:t>
      </w:r>
    </w:p>
    <w:p w14:paraId="1329785D" w14:textId="77777777" w:rsidR="00D20D84" w:rsidRDefault="00D20D84" w:rsidP="00D20D84">
      <w:pPr>
        <w:spacing w:after="0" w:line="240" w:lineRule="auto"/>
        <w:jc w:val="both"/>
        <w:rPr>
          <w:rFonts w:ascii="Verdana" w:eastAsia="Times New Roman" w:hAnsi="Verdana" w:cs="Times New Roman"/>
        </w:rPr>
      </w:pPr>
    </w:p>
    <w:p w14:paraId="38FB3E69" w14:textId="77777777" w:rsidR="00D20D84" w:rsidRDefault="00D20D84" w:rsidP="00D20D84">
      <w:pPr>
        <w:spacing w:after="0" w:line="240" w:lineRule="auto"/>
        <w:jc w:val="both"/>
        <w:rPr>
          <w:rFonts w:ascii="Verdana" w:eastAsia="Calibri" w:hAnsi="Verdana" w:cs="Arial"/>
          <w:b/>
          <w:bCs/>
          <w:lang w:eastAsia="es-ES"/>
        </w:rPr>
      </w:pPr>
      <w:r w:rsidRPr="0029005A">
        <w:rPr>
          <w:rFonts w:ascii="Verdana" w:eastAsia="Calibri" w:hAnsi="Verdana" w:cs="Arial"/>
          <w:b/>
          <w:bCs/>
          <w:lang w:eastAsia="es-ES"/>
        </w:rPr>
        <w:t>DECRETO 0287 DE 2026 – Vigencia – Entrada en Rigor – Implementación</w:t>
      </w:r>
    </w:p>
    <w:p w14:paraId="257C678A" w14:textId="77777777" w:rsidR="001D448D" w:rsidRPr="0029005A" w:rsidRDefault="001D448D" w:rsidP="00D20D84">
      <w:pPr>
        <w:spacing w:after="0" w:line="240" w:lineRule="auto"/>
        <w:jc w:val="both"/>
        <w:rPr>
          <w:rFonts w:ascii="Verdana" w:eastAsia="Geomanist Light" w:hAnsi="Verdana" w:cs="Arial"/>
          <w:b/>
          <w:bCs/>
          <w:color w:val="000000" w:themeColor="text1"/>
        </w:rPr>
      </w:pPr>
    </w:p>
    <w:p w14:paraId="19960595" w14:textId="77777777" w:rsidR="00D20D84" w:rsidRPr="0029005A" w:rsidRDefault="00D20D84" w:rsidP="00D20D84">
      <w:pPr>
        <w:spacing w:before="120" w:after="120" w:line="240" w:lineRule="auto"/>
        <w:jc w:val="both"/>
        <w:rPr>
          <w:rFonts w:ascii="Verdana" w:eastAsia="Calibri" w:hAnsi="Verdana" w:cs="Arial"/>
          <w:sz w:val="21"/>
          <w:szCs w:val="21"/>
        </w:rPr>
      </w:pPr>
      <w:r w:rsidRPr="0029005A">
        <w:rPr>
          <w:rFonts w:ascii="Verdana" w:eastAsia="Calibri" w:hAnsi="Verdana" w:cs="Arial"/>
          <w:sz w:val="21"/>
          <w:szCs w:val="21"/>
        </w:rPr>
        <w:t>Respecto del régimen de transición para la aplicación del Decreto 287 de 2026, se debe tener en cuenta que 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 pero lo señalado en este concepto debe entenderse de acuerdo con la nueva redacción de los artículos enlistados, y no recurrir a la antigua redacción.</w:t>
      </w:r>
    </w:p>
    <w:p w14:paraId="2B60EAE4" w14:textId="77777777" w:rsidR="00D20D84" w:rsidRDefault="00D20D84" w:rsidP="00D20D84">
      <w:pPr>
        <w:spacing w:before="120" w:after="120" w:line="240" w:lineRule="auto"/>
        <w:jc w:val="both"/>
        <w:rPr>
          <w:rFonts w:ascii="Verdana" w:eastAsia="Calibri" w:hAnsi="Verdana" w:cs="Arial"/>
          <w:sz w:val="21"/>
          <w:szCs w:val="21"/>
        </w:rPr>
      </w:pPr>
      <w:r w:rsidRPr="0029005A">
        <w:rPr>
          <w:rFonts w:ascii="Verdana" w:eastAsia="Calibri" w:hAnsi="Verdana" w:cs="Arial"/>
          <w:sz w:val="21"/>
          <w:szCs w:val="21"/>
        </w:rPr>
        <w:t>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ii)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2C2996E0" w14:textId="5363D50A" w:rsidR="001D448D" w:rsidRDefault="00A77DBB" w:rsidP="00D20D84">
      <w:pPr>
        <w:rPr>
          <w:rFonts w:ascii="Verdana" w:eastAsia="Century Gothic" w:hAnsi="Verdana" w:cs="Century Gothic"/>
          <w:b/>
          <w:bCs/>
        </w:rPr>
      </w:pPr>
      <w:r>
        <w:rPr>
          <w:rFonts w:ascii="Verdana" w:eastAsia="Century Gothic" w:hAnsi="Verdana" w:cs="Century Gothic"/>
          <w:b/>
          <w:bCs/>
        </w:rPr>
        <w:t xml:space="preserve"> DECRETO </w:t>
      </w:r>
      <w:r w:rsidR="007A7F6B">
        <w:rPr>
          <w:rFonts w:ascii="Verdana" w:eastAsia="Century Gothic" w:hAnsi="Verdana" w:cs="Century Gothic"/>
          <w:b/>
          <w:bCs/>
        </w:rPr>
        <w:t xml:space="preserve">0287 DE 2026 </w:t>
      </w:r>
      <w:r w:rsidR="00D33A25">
        <w:rPr>
          <w:rFonts w:ascii="Verdana" w:eastAsia="Century Gothic" w:hAnsi="Verdana" w:cs="Century Gothic"/>
          <w:b/>
          <w:bCs/>
        </w:rPr>
        <w:t>–</w:t>
      </w:r>
      <w:r w:rsidR="001D13F0">
        <w:rPr>
          <w:rFonts w:ascii="Verdana" w:eastAsia="Century Gothic" w:hAnsi="Verdana" w:cs="Century Gothic"/>
          <w:b/>
          <w:bCs/>
        </w:rPr>
        <w:t xml:space="preserve"> </w:t>
      </w:r>
      <w:r w:rsidR="00D33A25">
        <w:rPr>
          <w:rFonts w:ascii="Verdana" w:eastAsia="Century Gothic" w:hAnsi="Verdana" w:cs="Century Gothic"/>
          <w:b/>
          <w:bCs/>
        </w:rPr>
        <w:t>Implementación del a</w:t>
      </w:r>
      <w:r w:rsidR="001D13F0" w:rsidRPr="00D33A25">
        <w:rPr>
          <w:rFonts w:ascii="Verdana" w:eastAsia="Century Gothic" w:hAnsi="Verdana" w:cs="Century Gothic"/>
          <w:b/>
          <w:bCs/>
        </w:rPr>
        <w:t>rtículo 2.2.1.2.4.2.6 – Aplicabilidad</w:t>
      </w:r>
    </w:p>
    <w:p w14:paraId="528DC912" w14:textId="77777777" w:rsidR="001D448D" w:rsidRPr="009F2CB4" w:rsidRDefault="001D448D" w:rsidP="001D448D">
      <w:pPr>
        <w:spacing w:before="120" w:after="120" w:line="240" w:lineRule="auto"/>
        <w:jc w:val="both"/>
        <w:rPr>
          <w:rFonts w:ascii="Verdana" w:eastAsia="Calibri" w:hAnsi="Verdana" w:cs="Arial"/>
          <w:sz w:val="21"/>
          <w:szCs w:val="21"/>
        </w:rPr>
      </w:pPr>
      <w:r w:rsidRPr="009F2CB4">
        <w:rPr>
          <w:rFonts w:ascii="Verdana" w:eastAsia="Calibri" w:hAnsi="Verdana" w:cs="Arial"/>
          <w:sz w:val="21"/>
          <w:szCs w:val="21"/>
        </w:rPr>
        <w:t>De la lectura del artículo 2.2.1.2.4.2.6 del Decreto 1082 de 2015, modificado por el Decreto 287 de 2026, se desprende que el requisito de acreditar una antigüedad mínima de un (1) año de vinculación laboral del personal con discapacidad en el nivel directivo exige verificar el tiempo efectivo de permanencia de la relación laboral, sin que la disposición establezca que dicho término deba contabilizarse exclusivamente a partir de la entrada en vigencia del decreto. En consecuencia, para efectos de la acreditación de este requisito, es procedente computar el tiempo de vinculación laboral causado con anterioridad al 19 de marzo de 2026, siempre que la relación laboral haya permanecido vigente y se satisfagan las demás condiciones previstas en la norma, toda vez que el Decreto 287 de 2026 no dispuso una regla de cómputo prospectivo de la antigüedad.</w:t>
      </w:r>
    </w:p>
    <w:p w14:paraId="32FFF133" w14:textId="4B2D83E4" w:rsidR="00E22689" w:rsidRDefault="00E22689" w:rsidP="00D20D84">
      <w:pPr>
        <w:rPr>
          <w:rFonts w:ascii="Verdana" w:eastAsia="Verdana" w:hAnsi="Verdana" w:cs="Verdana"/>
        </w:rPr>
      </w:pPr>
      <w:r>
        <w:rPr>
          <w:rFonts w:ascii="Verdana" w:eastAsia="Verdana" w:hAnsi="Verdana" w:cs="Verdana"/>
        </w:rPr>
        <w:br w:type="page"/>
      </w:r>
    </w:p>
    <w:p w14:paraId="6E21B430" w14:textId="0ADA7319" w:rsidR="00C60C5A" w:rsidRDefault="00804DBA" w:rsidP="30821638">
      <w:pPr>
        <w:spacing w:after="0"/>
        <w:rPr>
          <w:rFonts w:ascii="Verdana" w:eastAsia="Verdana" w:hAnsi="Verdana" w:cs="Verdana"/>
        </w:rPr>
      </w:pPr>
      <w:r w:rsidRPr="00804DBA">
        <w:rPr>
          <w:rFonts w:ascii="Verdana" w:eastAsia="Verdana" w:hAnsi="Verdana" w:cs="Verdana"/>
          <w:noProof/>
        </w:rPr>
        <w:lastRenderedPageBreak/>
        <w:drawing>
          <wp:anchor distT="0" distB="0" distL="114300" distR="114300" simplePos="0" relativeHeight="251660288" behindDoc="1" locked="0" layoutInCell="1" allowOverlap="1" wp14:anchorId="43793EF8" wp14:editId="5E806BF6">
            <wp:simplePos x="0" y="0"/>
            <wp:positionH relativeFrom="column">
              <wp:posOffset>3258185</wp:posOffset>
            </wp:positionH>
            <wp:positionV relativeFrom="paragraph">
              <wp:posOffset>1905</wp:posOffset>
            </wp:positionV>
            <wp:extent cx="2745105" cy="829945"/>
            <wp:effectExtent l="0" t="0" r="0" b="8255"/>
            <wp:wrapTight wrapText="bothSides">
              <wp:wrapPolygon edited="0">
                <wp:start x="0" y="0"/>
                <wp:lineTo x="0" y="21319"/>
                <wp:lineTo x="21435" y="21319"/>
                <wp:lineTo x="21435" y="0"/>
                <wp:lineTo x="0" y="0"/>
              </wp:wrapPolygon>
            </wp:wrapTight>
            <wp:docPr id="85803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510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 xml:space="preserve">7 </w:t>
      </w:r>
      <w:r w:rsidR="001919D3">
        <w:rPr>
          <w:rFonts w:ascii="Verdana" w:eastAsia="Verdana" w:hAnsi="Verdana" w:cs="Verdana"/>
        </w:rPr>
        <w:t>septiembre</w:t>
      </w:r>
      <w:r>
        <w:rPr>
          <w:rFonts w:ascii="Verdana" w:eastAsia="Verdana" w:hAnsi="Verdana" w:cs="Verdana"/>
        </w:rPr>
        <w:t xml:space="preserve"> 2026</w:t>
      </w:r>
    </w:p>
    <w:p w14:paraId="17214612" w14:textId="77777777" w:rsidR="00C60C5A" w:rsidRDefault="00C60C5A" w:rsidP="30821638">
      <w:pPr>
        <w:spacing w:after="0"/>
        <w:rPr>
          <w:rFonts w:ascii="Verdana" w:eastAsia="Verdana" w:hAnsi="Verdana" w:cs="Verdana"/>
        </w:rPr>
      </w:pPr>
    </w:p>
    <w:p w14:paraId="77A98768" w14:textId="77777777" w:rsidR="00C60C5A" w:rsidRDefault="00C60C5A" w:rsidP="30821638">
      <w:pPr>
        <w:spacing w:after="0"/>
        <w:rPr>
          <w:rFonts w:ascii="Verdana" w:eastAsia="Verdana" w:hAnsi="Verdana" w:cs="Verdana"/>
        </w:rPr>
      </w:pPr>
      <w:r>
        <w:rPr>
          <w:rFonts w:ascii="Verdana" w:eastAsia="Verdana" w:hAnsi="Verdana" w:cs="Verdana"/>
        </w:rPr>
        <w:t xml:space="preserve">Señor </w:t>
      </w:r>
    </w:p>
    <w:p w14:paraId="49161E2E" w14:textId="77777777" w:rsidR="003F4065" w:rsidRDefault="003F4065" w:rsidP="30821638">
      <w:pPr>
        <w:spacing w:after="0"/>
        <w:rPr>
          <w:rFonts w:ascii="Verdana" w:eastAsia="Verdana" w:hAnsi="Verdana" w:cs="Verdana"/>
        </w:rPr>
      </w:pPr>
    </w:p>
    <w:p w14:paraId="2BAD98D6" w14:textId="77777777" w:rsidR="00C60C5A" w:rsidRPr="00BF311B" w:rsidRDefault="00C60C5A" w:rsidP="30821638">
      <w:pPr>
        <w:spacing w:after="0"/>
        <w:rPr>
          <w:rFonts w:ascii="Verdana" w:eastAsia="Verdana" w:hAnsi="Verdana" w:cs="Verdana"/>
          <w:b/>
          <w:bCs/>
        </w:rPr>
      </w:pPr>
      <w:r w:rsidRPr="00BF311B">
        <w:rPr>
          <w:rFonts w:ascii="Verdana" w:eastAsia="Verdana" w:hAnsi="Verdana" w:cs="Verdana"/>
          <w:b/>
          <w:bCs/>
        </w:rPr>
        <w:t xml:space="preserve">Jorge Andrés Perdomo Calvo </w:t>
      </w:r>
    </w:p>
    <w:p w14:paraId="524C528E" w14:textId="77777777" w:rsidR="009529C9" w:rsidRPr="003F4065" w:rsidRDefault="009529C9" w:rsidP="30821638">
      <w:pPr>
        <w:spacing w:after="0"/>
        <w:rPr>
          <w:rFonts w:ascii="Verdana" w:hAnsi="Verdana"/>
          <w:b/>
          <w:bCs/>
        </w:rPr>
      </w:pPr>
      <w:r w:rsidRPr="003F4065">
        <w:rPr>
          <w:rFonts w:ascii="Verdana" w:hAnsi="Verdana"/>
          <w:b/>
          <w:bCs/>
        </w:rPr>
        <w:t xml:space="preserve">Representante Legal </w:t>
      </w:r>
    </w:p>
    <w:p w14:paraId="7F81203A" w14:textId="77777777" w:rsidR="003F4065" w:rsidRPr="00ED27A2" w:rsidRDefault="009529C9" w:rsidP="30821638">
      <w:pPr>
        <w:spacing w:after="0"/>
        <w:rPr>
          <w:rFonts w:ascii="Verdana" w:hAnsi="Verdana"/>
          <w:lang w:val="it-IT"/>
        </w:rPr>
      </w:pPr>
      <w:r w:rsidRPr="00ED27A2">
        <w:rPr>
          <w:rFonts w:ascii="Verdana" w:hAnsi="Verdana"/>
          <w:b/>
          <w:bCs/>
          <w:lang w:val="it-IT"/>
        </w:rPr>
        <w:t>INFORM</w:t>
      </w:r>
      <w:r w:rsidR="003F4065" w:rsidRPr="00ED27A2">
        <w:rPr>
          <w:rFonts w:ascii="Verdana" w:hAnsi="Verdana"/>
          <w:b/>
          <w:bCs/>
          <w:lang w:val="it-IT"/>
        </w:rPr>
        <w:t>ETRICS S.A.S</w:t>
      </w:r>
      <w:r w:rsidR="003F4065" w:rsidRPr="00ED27A2">
        <w:rPr>
          <w:rFonts w:ascii="Verdana" w:hAnsi="Verdana"/>
          <w:lang w:val="it-IT"/>
        </w:rPr>
        <w:t xml:space="preserve">. </w:t>
      </w:r>
    </w:p>
    <w:p w14:paraId="6EBD3809" w14:textId="77777777" w:rsidR="00BF311B" w:rsidRPr="00ED27A2" w:rsidRDefault="00BF311B" w:rsidP="30821638">
      <w:pPr>
        <w:spacing w:after="0"/>
        <w:rPr>
          <w:rFonts w:ascii="Verdana" w:hAnsi="Verdana"/>
          <w:lang w:val="it-IT"/>
        </w:rPr>
      </w:pPr>
      <w:hyperlink r:id="rId11" w:history="1">
        <w:r w:rsidRPr="00ED27A2">
          <w:rPr>
            <w:rStyle w:val="Hipervnculo"/>
            <w:rFonts w:ascii="Verdana" w:hAnsi="Verdana"/>
            <w:lang w:val="it-IT"/>
          </w:rPr>
          <w:t>informetrics@europe.com</w:t>
        </w:r>
      </w:hyperlink>
      <w:r w:rsidRPr="00ED27A2">
        <w:rPr>
          <w:rFonts w:ascii="Verdana" w:hAnsi="Verdana"/>
          <w:lang w:val="it-IT"/>
        </w:rPr>
        <w:t xml:space="preserve"> </w:t>
      </w:r>
    </w:p>
    <w:p w14:paraId="6D61F441" w14:textId="77777777" w:rsidR="00F70151" w:rsidRPr="002D45D7" w:rsidRDefault="00BF311B" w:rsidP="00F70151">
      <w:pPr>
        <w:spacing w:after="0" w:line="240" w:lineRule="auto"/>
        <w:rPr>
          <w:rFonts w:ascii="Verdana" w:eastAsia="Calibri" w:hAnsi="Verdana" w:cs="Arial"/>
          <w:b/>
          <w:bCs/>
          <w:lang w:val="es-ES_tradnl" w:eastAsia="es-ES_tradnl"/>
        </w:rPr>
      </w:pPr>
      <w:r>
        <w:rPr>
          <w:rFonts w:ascii="Verdana" w:hAnsi="Verdana"/>
        </w:rPr>
        <w:t>Ciudad</w:t>
      </w:r>
      <w:r w:rsidR="00C15139">
        <w:br/>
      </w:r>
      <w:r w:rsidR="00C15139">
        <w:tab/>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70151" w:rsidRPr="002D45D7" w14:paraId="0408CE52" w14:textId="77777777" w:rsidTr="00583CB8">
        <w:trPr>
          <w:trHeight w:val="884"/>
        </w:trPr>
        <w:tc>
          <w:tcPr>
            <w:tcW w:w="2689" w:type="dxa"/>
          </w:tcPr>
          <w:p w14:paraId="61E455C0" w14:textId="77777777" w:rsidR="00F70151" w:rsidRPr="002D45D7" w:rsidRDefault="00F70151" w:rsidP="00583CB8">
            <w:pPr>
              <w:jc w:val="both"/>
              <w:rPr>
                <w:rFonts w:ascii="Verdana" w:eastAsia="Calibri" w:hAnsi="Verdana" w:cs="Arial"/>
                <w:b/>
                <w:bCs/>
                <w:lang w:val="es-ES_tradnl" w:eastAsia="es-ES_tradnl"/>
              </w:rPr>
            </w:pPr>
          </w:p>
        </w:tc>
        <w:tc>
          <w:tcPr>
            <w:tcW w:w="6100" w:type="dxa"/>
          </w:tcPr>
          <w:p w14:paraId="0FBA9592" w14:textId="4F88CDCD" w:rsidR="00F70151" w:rsidRPr="002D45D7" w:rsidRDefault="00F70151" w:rsidP="00583CB8">
            <w:pPr>
              <w:jc w:val="both"/>
              <w:rPr>
                <w:rFonts w:ascii="Verdana" w:eastAsia="Calibri" w:hAnsi="Verdana" w:cs="Arial"/>
                <w:b/>
                <w:bCs/>
                <w:lang w:val="es-ES" w:eastAsia="es-ES"/>
              </w:rPr>
            </w:pPr>
            <w:r w:rsidRPr="002D45D7">
              <w:rPr>
                <w:rFonts w:ascii="Verdana" w:eastAsia="Calibri" w:hAnsi="Verdana" w:cs="Arial"/>
                <w:b/>
                <w:bCs/>
                <w:lang w:val="es-ES" w:eastAsia="es-ES"/>
              </w:rPr>
              <w:t>Concepto C-1</w:t>
            </w:r>
            <w:r w:rsidR="005E29E3">
              <w:rPr>
                <w:rFonts w:ascii="Verdana" w:eastAsia="Calibri" w:hAnsi="Verdana" w:cs="Arial"/>
                <w:b/>
                <w:bCs/>
                <w:lang w:val="es-ES" w:eastAsia="es-ES"/>
              </w:rPr>
              <w:t>184</w:t>
            </w:r>
            <w:r w:rsidRPr="002D45D7">
              <w:rPr>
                <w:rFonts w:ascii="Verdana" w:eastAsia="Calibri" w:hAnsi="Verdana" w:cs="Arial"/>
                <w:b/>
                <w:bCs/>
                <w:lang w:val="es-ES" w:eastAsia="es-ES"/>
              </w:rPr>
              <w:t xml:space="preserve"> de 202</w:t>
            </w:r>
            <w:r w:rsidR="005E29E3">
              <w:rPr>
                <w:rFonts w:ascii="Verdana" w:eastAsia="Calibri" w:hAnsi="Verdana" w:cs="Arial"/>
                <w:b/>
                <w:bCs/>
                <w:lang w:val="es-ES" w:eastAsia="es-ES"/>
              </w:rPr>
              <w:t>6</w:t>
            </w:r>
          </w:p>
        </w:tc>
      </w:tr>
      <w:tr w:rsidR="00F70151" w:rsidRPr="002D45D7" w14:paraId="50EF129A" w14:textId="77777777" w:rsidTr="00583CB8">
        <w:trPr>
          <w:trHeight w:val="884"/>
        </w:trPr>
        <w:tc>
          <w:tcPr>
            <w:tcW w:w="2689" w:type="dxa"/>
          </w:tcPr>
          <w:p w14:paraId="60DFCFD1" w14:textId="77777777" w:rsidR="00F70151" w:rsidRPr="002D45D7" w:rsidRDefault="00F70151" w:rsidP="00583CB8">
            <w:pPr>
              <w:jc w:val="both"/>
              <w:rPr>
                <w:rFonts w:ascii="Verdana" w:eastAsia="Calibri" w:hAnsi="Verdana" w:cs="Arial"/>
                <w:lang w:val="es-ES_tradnl" w:eastAsia="es-ES_tradnl"/>
              </w:rPr>
            </w:pPr>
            <w:r w:rsidRPr="002D45D7">
              <w:rPr>
                <w:rFonts w:ascii="Verdana" w:eastAsia="Calibri" w:hAnsi="Verdana" w:cs="Arial"/>
                <w:b/>
                <w:lang w:val="es-ES_tradnl" w:eastAsia="es-ES_tradnl"/>
              </w:rPr>
              <w:t>Temas:</w:t>
            </w:r>
            <w:r w:rsidRPr="002D45D7">
              <w:rPr>
                <w:rFonts w:ascii="Verdana" w:eastAsia="Calibri" w:hAnsi="Verdana" w:cs="Arial"/>
                <w:lang w:val="es-ES_tradnl" w:eastAsia="es-ES_tradnl"/>
              </w:rPr>
              <w:t xml:space="preserve">                   </w:t>
            </w:r>
          </w:p>
        </w:tc>
        <w:tc>
          <w:tcPr>
            <w:tcW w:w="6100" w:type="dxa"/>
          </w:tcPr>
          <w:p w14:paraId="05346F54" w14:textId="0D69D09C" w:rsidR="00F70151" w:rsidRPr="002D45D7" w:rsidRDefault="00E22689" w:rsidP="00583CB8">
            <w:pPr>
              <w:spacing w:line="276" w:lineRule="auto"/>
              <w:jc w:val="both"/>
              <w:rPr>
                <w:rFonts w:ascii="Verdana" w:eastAsia="Calibri" w:hAnsi="Verdana" w:cs="Arial"/>
                <w:lang w:val="es-ES" w:eastAsia="es-ES"/>
              </w:rPr>
            </w:pPr>
            <w:r w:rsidRPr="00B762FE">
              <w:rPr>
                <w:rFonts w:ascii="Verdana" w:eastAsia="Calibri" w:hAnsi="Verdana" w:cs="Arial"/>
                <w:lang w:eastAsia="es-ES"/>
              </w:rPr>
              <w:t xml:space="preserve">DECRETO 0287 DE 2026 ‒ Sistema Integral de Preferencias ‒ Contratación pública inclusiva ‒ Personas con discapacidad / DECRETO 0287 DE 2026 ‒ Antecedentes normativos ‒ Decreto 392 de 2018 ‒ Omisiones reglamentarias ‒ Sentencia de acción de cumplimiento / DECRETO 0287 DE 2026 ‒ Sujetos del sistema ‒ Emprendimientos y empresas de personas con discapacidad ‒ Empleadores de personas con discapacidad ‒ Definición y diferenciación </w:t>
            </w:r>
            <w:r w:rsidRPr="00B762FE">
              <w:rPr>
                <w:rFonts w:ascii="Verdana" w:eastAsia="Century Gothic" w:hAnsi="Verdana" w:cs="Century Gothic"/>
              </w:rPr>
              <w:t xml:space="preserve">- régimen Legal - </w:t>
            </w:r>
            <w:r w:rsidRPr="00B762FE">
              <w:rPr>
                <w:rFonts w:ascii="Verdana" w:eastAsia="Calibri" w:hAnsi="Verdana" w:cs="Arial"/>
                <w:lang w:eastAsia="es-ES"/>
              </w:rPr>
              <w:t>DECRETO 0287 DE 2026 – Vigencia – Entrada en Rigor</w:t>
            </w:r>
            <w:r w:rsidR="006E7649">
              <w:rPr>
                <w:rFonts w:ascii="Verdana" w:eastAsia="Calibri" w:hAnsi="Verdana" w:cs="Arial"/>
                <w:lang w:eastAsia="es-ES"/>
              </w:rPr>
              <w:t xml:space="preserve"> </w:t>
            </w:r>
            <w:r w:rsidR="004319A3">
              <w:rPr>
                <w:rFonts w:ascii="Verdana" w:eastAsia="Calibri" w:hAnsi="Verdana" w:cs="Arial"/>
                <w:lang w:eastAsia="es-ES"/>
              </w:rPr>
              <w:t>/ DECRETO 0287 DE 2026</w:t>
            </w:r>
            <w:r w:rsidR="001D13F0">
              <w:rPr>
                <w:rFonts w:ascii="Verdana" w:eastAsia="Calibri" w:hAnsi="Verdana" w:cs="Arial"/>
                <w:lang w:eastAsia="es-ES"/>
              </w:rPr>
              <w:t xml:space="preserve"> -</w:t>
            </w:r>
            <w:r w:rsidR="00D33A25">
              <w:rPr>
                <w:rFonts w:ascii="Verdana" w:eastAsia="Calibri" w:hAnsi="Verdana" w:cs="Arial"/>
                <w:lang w:eastAsia="es-ES"/>
              </w:rPr>
              <w:t xml:space="preserve"> </w:t>
            </w:r>
            <w:r w:rsidR="00D33A25" w:rsidRPr="00B762FE">
              <w:rPr>
                <w:rFonts w:ascii="Verdana" w:eastAsia="Calibri" w:hAnsi="Verdana" w:cs="Arial"/>
                <w:lang w:eastAsia="es-ES"/>
              </w:rPr>
              <w:t>Implementación</w:t>
            </w:r>
            <w:r w:rsidR="00D33A25">
              <w:rPr>
                <w:rFonts w:ascii="Verdana" w:eastAsia="Century Gothic" w:hAnsi="Verdana" w:cs="Century Gothic"/>
              </w:rPr>
              <w:t xml:space="preserve"> del </w:t>
            </w:r>
            <w:r w:rsidR="00522AF1">
              <w:rPr>
                <w:rFonts w:ascii="Verdana" w:eastAsia="Century Gothic" w:hAnsi="Verdana" w:cs="Century Gothic"/>
              </w:rPr>
              <w:t>A</w:t>
            </w:r>
            <w:r w:rsidRPr="00B762FE">
              <w:rPr>
                <w:rFonts w:ascii="Verdana" w:eastAsia="Century Gothic" w:hAnsi="Verdana" w:cs="Century Gothic"/>
              </w:rPr>
              <w:t>rtículo 2.2.1.2.4.2.6 – Aplicabilidad</w:t>
            </w:r>
          </w:p>
          <w:p w14:paraId="479F9A4B" w14:textId="77777777" w:rsidR="00F70151" w:rsidRPr="002D45D7" w:rsidRDefault="00F70151" w:rsidP="00583CB8">
            <w:pPr>
              <w:spacing w:line="276" w:lineRule="auto"/>
              <w:jc w:val="both"/>
              <w:rPr>
                <w:rFonts w:ascii="Verdana" w:eastAsia="Calibri" w:hAnsi="Verdana" w:cs="Arial"/>
                <w:lang w:val="es-ES" w:eastAsia="es-ES"/>
              </w:rPr>
            </w:pPr>
          </w:p>
        </w:tc>
      </w:tr>
      <w:tr w:rsidR="00F70151" w:rsidRPr="002D45D7" w14:paraId="51EF62C8" w14:textId="77777777" w:rsidTr="00583CB8">
        <w:tc>
          <w:tcPr>
            <w:tcW w:w="2689" w:type="dxa"/>
          </w:tcPr>
          <w:p w14:paraId="7EA9723C" w14:textId="77777777" w:rsidR="00F70151" w:rsidRPr="002D45D7" w:rsidRDefault="00F70151" w:rsidP="00583CB8">
            <w:pPr>
              <w:jc w:val="both"/>
              <w:rPr>
                <w:rFonts w:ascii="Verdana" w:eastAsia="Calibri" w:hAnsi="Verdana" w:cs="Arial"/>
                <w:b/>
                <w:lang w:val="es-ES_tradnl" w:eastAsia="es-ES_tradnl"/>
              </w:rPr>
            </w:pPr>
            <w:r w:rsidRPr="002D45D7">
              <w:rPr>
                <w:rFonts w:ascii="Verdana" w:eastAsia="Calibri" w:hAnsi="Verdana" w:cs="Arial"/>
                <w:b/>
                <w:lang w:val="es-ES_tradnl" w:eastAsia="es-ES_tradnl"/>
              </w:rPr>
              <w:t>Radicación:</w:t>
            </w:r>
            <w:r w:rsidRPr="002D45D7">
              <w:rPr>
                <w:rFonts w:ascii="Verdana" w:eastAsia="Calibri" w:hAnsi="Verdana" w:cs="Arial"/>
                <w:lang w:val="es-ES_tradnl" w:eastAsia="es-ES_tradnl"/>
              </w:rPr>
              <w:t xml:space="preserve">               </w:t>
            </w:r>
          </w:p>
        </w:tc>
        <w:tc>
          <w:tcPr>
            <w:tcW w:w="6100" w:type="dxa"/>
          </w:tcPr>
          <w:p w14:paraId="45907543" w14:textId="13C728E6" w:rsidR="00F70151" w:rsidRPr="002D45D7" w:rsidRDefault="00F70151" w:rsidP="00583CB8">
            <w:pPr>
              <w:jc w:val="both"/>
              <w:rPr>
                <w:rFonts w:ascii="Verdana" w:eastAsia="Calibri" w:hAnsi="Verdana" w:cs="Arial"/>
                <w:lang w:val="es-ES_tradnl" w:eastAsia="es-ES_tradnl"/>
              </w:rPr>
            </w:pPr>
            <w:r w:rsidRPr="002D45D7">
              <w:rPr>
                <w:rFonts w:ascii="Verdana" w:eastAsia="Calibri" w:hAnsi="Verdana" w:cs="Arial"/>
                <w:lang w:val="es-ES_tradnl" w:eastAsia="es-ES_tradnl"/>
              </w:rPr>
              <w:t xml:space="preserve">Respuesta a consulta con radicado No. </w:t>
            </w:r>
            <w:r w:rsidR="00F0774B">
              <w:rPr>
                <w:rFonts w:ascii="Verdana" w:eastAsia="Calibri" w:hAnsi="Verdana" w:cs="Arial"/>
                <w:lang w:val="es-ES_tradnl" w:eastAsia="es-ES_tradnl"/>
              </w:rPr>
              <w:t>1_2026_</w:t>
            </w:r>
            <w:r w:rsidR="00514BCE">
              <w:rPr>
                <w:rFonts w:ascii="Verdana" w:eastAsia="Calibri" w:hAnsi="Verdana" w:cs="Arial"/>
                <w:lang w:val="es-ES_tradnl" w:eastAsia="es-ES_tradnl"/>
              </w:rPr>
              <w:t>07_27_</w:t>
            </w:r>
            <w:r w:rsidR="000E7B2F">
              <w:rPr>
                <w:rFonts w:ascii="Verdana" w:eastAsia="Calibri" w:hAnsi="Verdana" w:cs="Arial"/>
                <w:lang w:val="es-ES_tradnl" w:eastAsia="es-ES_tradnl"/>
              </w:rPr>
              <w:t>009866</w:t>
            </w:r>
          </w:p>
        </w:tc>
      </w:tr>
    </w:tbl>
    <w:p w14:paraId="67AD6B85" w14:textId="77777777" w:rsidR="00F70151" w:rsidRPr="002D45D7" w:rsidRDefault="00F70151" w:rsidP="00F70151">
      <w:pPr>
        <w:spacing w:after="0" w:line="240" w:lineRule="auto"/>
        <w:jc w:val="both"/>
        <w:rPr>
          <w:rFonts w:ascii="Verdana" w:eastAsia="Calibri" w:hAnsi="Verdana" w:cs="Arial"/>
          <w:lang w:val="es-ES_tradnl" w:eastAsia="es-ES_tradnl"/>
        </w:rPr>
      </w:pPr>
    </w:p>
    <w:p w14:paraId="0302B77E" w14:textId="77777777" w:rsidR="00F70151" w:rsidRPr="002D45D7" w:rsidRDefault="00F70151" w:rsidP="00F70151">
      <w:pPr>
        <w:spacing w:after="0" w:line="240" w:lineRule="auto"/>
        <w:jc w:val="both"/>
        <w:rPr>
          <w:rFonts w:ascii="Verdana" w:eastAsia="Calibri" w:hAnsi="Verdana" w:cs="Arial"/>
          <w:lang w:val="es-ES_tradnl" w:eastAsia="es-ES_tradnl"/>
        </w:rPr>
      </w:pPr>
    </w:p>
    <w:p w14:paraId="1A461F03" w14:textId="4F1829E7" w:rsidR="00F70151" w:rsidRPr="002D45D7" w:rsidRDefault="00F70151" w:rsidP="00F70151">
      <w:pPr>
        <w:spacing w:after="0" w:line="276" w:lineRule="auto"/>
        <w:jc w:val="both"/>
        <w:rPr>
          <w:rFonts w:ascii="Verdana" w:eastAsia="Calibri" w:hAnsi="Verdana" w:cs="Arial"/>
          <w:lang w:val="es-ES" w:eastAsia="es-ES"/>
        </w:rPr>
      </w:pPr>
      <w:r w:rsidRPr="002D45D7">
        <w:rPr>
          <w:rFonts w:ascii="Verdana" w:eastAsia="Calibri" w:hAnsi="Verdana" w:cs="Arial"/>
          <w:lang w:val="es-ES" w:eastAsia="es-ES"/>
        </w:rPr>
        <w:t>E</w:t>
      </w:r>
      <w:r w:rsidR="00754AD9">
        <w:rPr>
          <w:rFonts w:ascii="Verdana" w:eastAsia="Calibri" w:hAnsi="Verdana" w:cs="Arial"/>
          <w:lang w:val="es-ES" w:eastAsia="es-ES"/>
        </w:rPr>
        <w:t xml:space="preserve">stimado señor Perdomo Calvo: </w:t>
      </w:r>
      <w:r w:rsidRPr="002D45D7">
        <w:rPr>
          <w:rFonts w:ascii="Verdana" w:eastAsia="Calibri" w:hAnsi="Verdana" w:cs="Arial"/>
          <w:lang w:val="es-ES" w:eastAsia="es-ES"/>
        </w:rPr>
        <w:t xml:space="preserve"> </w:t>
      </w:r>
    </w:p>
    <w:p w14:paraId="0F207F73" w14:textId="77777777" w:rsidR="00F70151" w:rsidRPr="002D45D7" w:rsidRDefault="00F70151" w:rsidP="00F70151">
      <w:pPr>
        <w:tabs>
          <w:tab w:val="left" w:pos="3768"/>
        </w:tabs>
        <w:spacing w:after="0" w:line="276" w:lineRule="auto"/>
        <w:jc w:val="both"/>
        <w:rPr>
          <w:rFonts w:ascii="Verdana" w:eastAsia="Calibri" w:hAnsi="Verdana" w:cs="Arial"/>
          <w:lang w:val="es-ES" w:eastAsia="es-ES"/>
        </w:rPr>
      </w:pPr>
      <w:r w:rsidRPr="002D45D7">
        <w:rPr>
          <w:rFonts w:ascii="Verdana" w:eastAsia="Calibri" w:hAnsi="Verdana" w:cs="Arial"/>
          <w:lang w:val="es-ES" w:eastAsia="es-ES"/>
        </w:rPr>
        <w:tab/>
      </w:r>
    </w:p>
    <w:p w14:paraId="6CC62296" w14:textId="5D18F5A3" w:rsidR="00F70151" w:rsidRPr="002D45D7" w:rsidRDefault="00F70151" w:rsidP="00F70151">
      <w:pPr>
        <w:spacing w:after="0" w:line="276" w:lineRule="auto"/>
        <w:jc w:val="both"/>
        <w:rPr>
          <w:rFonts w:ascii="Verdana" w:eastAsia="Calibri" w:hAnsi="Verdana" w:cs="Arial"/>
          <w:lang w:val="es-ES" w:eastAsia="es-ES"/>
        </w:rPr>
      </w:pPr>
      <w:r w:rsidRPr="002D45D7">
        <w:rPr>
          <w:rFonts w:ascii="Verdana" w:eastAsia="Calibri" w:hAnsi="Verdana" w:cs="Arial"/>
          <w:lang w:val="es-ES" w:eastAsia="es-ES"/>
        </w:rPr>
        <w:t>En ejercicio de la competencia otorgada por los artículos 3, numeral 5º, y 11, numeral 8º, del Decreto Ley 4170 de 2011,</w:t>
      </w:r>
      <w:r w:rsidRPr="002D45D7">
        <w:rPr>
          <w:rFonts w:ascii="Verdana" w:eastAsia="Arial MT" w:hAnsi="Verdana" w:cs="Arial MT"/>
          <w:lang w:val="es-ES" w:eastAsia="es-ES"/>
        </w:rPr>
        <w:t xml:space="preserve"> </w:t>
      </w:r>
      <w:r w:rsidRPr="002D45D7">
        <w:rPr>
          <w:rFonts w:ascii="Verdana" w:eastAsia="Aptos" w:hAnsi="Verdana" w:cs="Arial"/>
        </w:rPr>
        <w:t xml:space="preserve">así como lo establecido en el artículo 4 de la Resolución 1707 de 2018 expedida por esta Entidad, </w:t>
      </w:r>
      <w:r w:rsidRPr="002D45D7">
        <w:rPr>
          <w:rFonts w:ascii="Verdana" w:eastAsia="Calibri" w:hAnsi="Verdana" w:cs="Arial"/>
          <w:lang w:val="es-ES" w:eastAsia="es-ES"/>
        </w:rPr>
        <w:t>la Agencia Nacional de Contratación Pública – Colombia Compra Eficiente– responde su solicitud de consulta de fecha del 2</w:t>
      </w:r>
      <w:r w:rsidR="00754AD9">
        <w:rPr>
          <w:rFonts w:ascii="Verdana" w:eastAsia="Calibri" w:hAnsi="Verdana" w:cs="Arial"/>
          <w:lang w:val="es-ES" w:eastAsia="es-ES"/>
        </w:rPr>
        <w:t>7</w:t>
      </w:r>
      <w:r w:rsidRPr="002D45D7">
        <w:rPr>
          <w:rFonts w:ascii="Verdana" w:eastAsia="Calibri" w:hAnsi="Verdana" w:cs="Arial"/>
          <w:lang w:val="es-ES" w:eastAsia="es-ES"/>
        </w:rPr>
        <w:t xml:space="preserve"> de ju</w:t>
      </w:r>
      <w:r w:rsidR="00754AD9">
        <w:rPr>
          <w:rFonts w:ascii="Verdana" w:eastAsia="Calibri" w:hAnsi="Verdana" w:cs="Arial"/>
          <w:lang w:val="es-ES" w:eastAsia="es-ES"/>
        </w:rPr>
        <w:t>l</w:t>
      </w:r>
      <w:r w:rsidRPr="002D45D7">
        <w:rPr>
          <w:rFonts w:ascii="Verdana" w:eastAsia="Calibri" w:hAnsi="Verdana" w:cs="Arial"/>
          <w:lang w:val="es-ES" w:eastAsia="es-ES"/>
        </w:rPr>
        <w:t xml:space="preserve">io de 2025, en la que realiza la siguiente consulta: </w:t>
      </w:r>
    </w:p>
    <w:p w14:paraId="0829BD19" w14:textId="77777777" w:rsidR="00F70151" w:rsidRPr="002D45D7" w:rsidRDefault="00F70151" w:rsidP="00F70151">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2C56D8F7" w14:textId="77777777" w:rsidR="002D461E" w:rsidRPr="008C2A6C" w:rsidRDefault="00F70151" w:rsidP="008C2A6C">
      <w:pPr>
        <w:tabs>
          <w:tab w:val="left" w:pos="709"/>
        </w:tabs>
        <w:spacing w:after="0" w:line="240" w:lineRule="auto"/>
        <w:ind w:left="709" w:right="709"/>
        <w:jc w:val="both"/>
        <w:rPr>
          <w:rFonts w:ascii="Verdana" w:eastAsia="Calibri" w:hAnsi="Verdana" w:cs="Arial"/>
          <w:sz w:val="21"/>
          <w:szCs w:val="21"/>
          <w:lang w:val="es-MX"/>
        </w:rPr>
      </w:pPr>
      <w:r w:rsidRPr="008C2A6C">
        <w:rPr>
          <w:rFonts w:ascii="Verdana" w:eastAsia="Calibri" w:hAnsi="Verdana" w:cs="Arial"/>
          <w:sz w:val="21"/>
          <w:szCs w:val="21"/>
          <w:lang w:val="es-MX"/>
        </w:rPr>
        <w:lastRenderedPageBreak/>
        <w:t>“</w:t>
      </w:r>
      <w:r w:rsidR="002D461E" w:rsidRPr="008C2A6C">
        <w:rPr>
          <w:rFonts w:ascii="Verdana" w:eastAsia="Calibri" w:hAnsi="Verdana" w:cs="Arial"/>
          <w:sz w:val="21"/>
          <w:szCs w:val="21"/>
          <w:lang w:val="es-MX"/>
        </w:rPr>
        <w:t>[…]</w:t>
      </w:r>
    </w:p>
    <w:p w14:paraId="76C16A36" w14:textId="77777777" w:rsidR="002D461E" w:rsidRPr="008C2A6C" w:rsidRDefault="002D461E" w:rsidP="008C2A6C">
      <w:pPr>
        <w:tabs>
          <w:tab w:val="left" w:pos="709"/>
        </w:tabs>
        <w:spacing w:after="0" w:line="240" w:lineRule="auto"/>
        <w:ind w:left="709" w:right="709"/>
        <w:jc w:val="both"/>
        <w:rPr>
          <w:rFonts w:ascii="Verdana" w:eastAsia="Calibri" w:hAnsi="Verdana" w:cs="Arial"/>
          <w:sz w:val="21"/>
          <w:szCs w:val="21"/>
          <w:lang w:val="es-MX"/>
        </w:rPr>
      </w:pPr>
    </w:p>
    <w:p w14:paraId="705ECF1E" w14:textId="102BFC5A" w:rsidR="00F15100" w:rsidRDefault="00594A04" w:rsidP="008C2A6C">
      <w:pPr>
        <w:tabs>
          <w:tab w:val="left" w:pos="709"/>
        </w:tabs>
        <w:spacing w:after="0" w:line="240" w:lineRule="auto"/>
        <w:ind w:left="709" w:right="709"/>
        <w:jc w:val="both"/>
        <w:rPr>
          <w:rFonts w:ascii="Verdana" w:eastAsia="Calibri" w:hAnsi="Verdana" w:cs="Arial"/>
          <w:sz w:val="21"/>
          <w:szCs w:val="21"/>
          <w:lang w:val="es-MX"/>
        </w:rPr>
      </w:pPr>
      <w:r w:rsidRPr="008C2A6C">
        <w:rPr>
          <w:rFonts w:ascii="Verdana" w:eastAsia="Calibri" w:hAnsi="Verdana" w:cs="Arial"/>
          <w:sz w:val="21"/>
          <w:szCs w:val="21"/>
          <w:lang w:val="es-MX"/>
        </w:rPr>
        <w:t xml:space="preserve">1. </w:t>
      </w:r>
      <w:r w:rsidR="00A13894">
        <w:rPr>
          <w:rFonts w:ascii="Verdana" w:eastAsia="Calibri" w:hAnsi="Verdana" w:cs="Arial"/>
          <w:sz w:val="21"/>
          <w:szCs w:val="21"/>
          <w:lang w:val="es-MX"/>
        </w:rPr>
        <w:t xml:space="preserve">¿Debe </w:t>
      </w:r>
      <w:r w:rsidR="00025C25">
        <w:rPr>
          <w:rFonts w:ascii="Verdana" w:eastAsia="Calibri" w:hAnsi="Verdana" w:cs="Arial"/>
          <w:sz w:val="21"/>
          <w:szCs w:val="21"/>
          <w:lang w:val="es-MX"/>
        </w:rPr>
        <w:t xml:space="preserve">interpretarse que el requisito previsto en </w:t>
      </w:r>
      <w:r w:rsidR="0058641B">
        <w:rPr>
          <w:rFonts w:ascii="Verdana" w:eastAsia="Calibri" w:hAnsi="Verdana" w:cs="Arial"/>
          <w:sz w:val="21"/>
          <w:szCs w:val="21"/>
          <w:lang w:val="es-MX"/>
        </w:rPr>
        <w:t>los artículos</w:t>
      </w:r>
      <w:r w:rsidR="00025C25">
        <w:rPr>
          <w:rFonts w:ascii="Verdana" w:eastAsia="Calibri" w:hAnsi="Verdana" w:cs="Arial"/>
          <w:sz w:val="21"/>
          <w:szCs w:val="21"/>
          <w:lang w:val="es-MX"/>
        </w:rPr>
        <w:t xml:space="preserve"> 2.2.1.2</w:t>
      </w:r>
      <w:r w:rsidR="00B33AFC">
        <w:rPr>
          <w:rFonts w:ascii="Verdana" w:eastAsia="Calibri" w:hAnsi="Verdana" w:cs="Arial"/>
          <w:sz w:val="21"/>
          <w:szCs w:val="21"/>
          <w:lang w:val="es-MX"/>
        </w:rPr>
        <w:t>.4.2.6 y 2.2.1.2.4.2.7.4 del Decreto 087 de 2026 es de aplicación estricta para todas las empresas, independientemente del tamaño de su planta de personal?</w:t>
      </w:r>
      <w:r w:rsidR="005F79D9">
        <w:rPr>
          <w:rFonts w:ascii="Verdana" w:eastAsia="Calibri" w:hAnsi="Verdana" w:cs="Arial"/>
          <w:sz w:val="21"/>
          <w:szCs w:val="21"/>
          <w:lang w:val="es-MX"/>
        </w:rPr>
        <w:t xml:space="preserve">   </w:t>
      </w:r>
      <w:r w:rsidR="00F15100" w:rsidRPr="008C2A6C">
        <w:rPr>
          <w:rFonts w:ascii="Verdana" w:eastAsia="Calibri" w:hAnsi="Verdana" w:cs="Arial"/>
          <w:sz w:val="21"/>
          <w:szCs w:val="21"/>
          <w:lang w:val="es-MX"/>
        </w:rPr>
        <w:t xml:space="preserve"> </w:t>
      </w:r>
    </w:p>
    <w:p w14:paraId="0442C0FC" w14:textId="77777777" w:rsidR="00D14CC1" w:rsidRPr="008C2A6C" w:rsidRDefault="00D14CC1" w:rsidP="008C2A6C">
      <w:pPr>
        <w:tabs>
          <w:tab w:val="left" w:pos="709"/>
        </w:tabs>
        <w:spacing w:after="0" w:line="240" w:lineRule="auto"/>
        <w:ind w:left="709" w:right="709"/>
        <w:jc w:val="both"/>
        <w:rPr>
          <w:rFonts w:ascii="Verdana" w:eastAsia="Calibri" w:hAnsi="Verdana" w:cs="Arial"/>
          <w:sz w:val="21"/>
          <w:szCs w:val="21"/>
          <w:lang w:val="es-MX"/>
        </w:rPr>
      </w:pPr>
    </w:p>
    <w:p w14:paraId="44480B13" w14:textId="1AE0AA32" w:rsidR="00F70151" w:rsidRDefault="008C2A6C" w:rsidP="008C2A6C">
      <w:pPr>
        <w:tabs>
          <w:tab w:val="left" w:pos="709"/>
        </w:tabs>
        <w:spacing w:after="0" w:line="240" w:lineRule="auto"/>
        <w:ind w:left="709" w:right="709"/>
        <w:jc w:val="both"/>
        <w:rPr>
          <w:rFonts w:ascii="Verdana" w:eastAsia="Calibri" w:hAnsi="Verdana" w:cs="Arial"/>
          <w:sz w:val="21"/>
          <w:szCs w:val="21"/>
          <w:lang w:val="es-MX"/>
        </w:rPr>
      </w:pPr>
      <w:r w:rsidRPr="008C2A6C">
        <w:rPr>
          <w:rFonts w:ascii="Verdana" w:eastAsia="Calibri" w:hAnsi="Verdana" w:cs="Arial"/>
          <w:sz w:val="21"/>
          <w:szCs w:val="21"/>
          <w:lang w:val="es-MX"/>
        </w:rPr>
        <w:t xml:space="preserve">2. </w:t>
      </w:r>
      <w:r w:rsidR="00731E99" w:rsidRPr="008C2A6C">
        <w:rPr>
          <w:rFonts w:ascii="Verdana" w:eastAsia="Calibri" w:hAnsi="Verdana" w:cs="Arial"/>
          <w:sz w:val="21"/>
          <w:szCs w:val="21"/>
          <w:lang w:val="es-MX"/>
        </w:rPr>
        <w:t>Para una</w:t>
      </w:r>
      <w:r w:rsidR="00731E99">
        <w:rPr>
          <w:rFonts w:ascii="Verdana" w:eastAsia="Calibri" w:hAnsi="Verdana" w:cs="Arial"/>
          <w:sz w:val="21"/>
          <w:szCs w:val="21"/>
          <w:lang w:val="es-MX"/>
        </w:rPr>
        <w:t xml:space="preserve"> empresa que únicamente cuenta con </w:t>
      </w:r>
      <w:r w:rsidR="00325468">
        <w:rPr>
          <w:rFonts w:ascii="Verdana" w:eastAsia="Calibri" w:hAnsi="Verdana" w:cs="Arial"/>
          <w:sz w:val="21"/>
          <w:szCs w:val="21"/>
          <w:lang w:val="es-MX"/>
        </w:rPr>
        <w:t>un (</w:t>
      </w:r>
      <w:r w:rsidR="00731E99">
        <w:rPr>
          <w:rFonts w:ascii="Verdana" w:eastAsia="Calibri" w:hAnsi="Verdana" w:cs="Arial"/>
          <w:sz w:val="21"/>
          <w:szCs w:val="21"/>
          <w:lang w:val="es-MX"/>
        </w:rPr>
        <w:t xml:space="preserve">1) trabajador vinculado laboralmente, ¿es jurídicamente exigible acreditar dos (2) trabajadores con discapacidad para acceder al incentivo previsto en la reglamentación? </w:t>
      </w:r>
    </w:p>
    <w:p w14:paraId="0BB1BCF6" w14:textId="77777777" w:rsidR="00D14CC1" w:rsidRDefault="00D14CC1" w:rsidP="008C2A6C">
      <w:pPr>
        <w:tabs>
          <w:tab w:val="left" w:pos="709"/>
        </w:tabs>
        <w:spacing w:after="0" w:line="240" w:lineRule="auto"/>
        <w:ind w:left="709" w:right="709"/>
        <w:jc w:val="both"/>
        <w:rPr>
          <w:rFonts w:ascii="Verdana" w:eastAsia="Calibri" w:hAnsi="Verdana" w:cs="Arial"/>
          <w:sz w:val="21"/>
          <w:szCs w:val="21"/>
          <w:lang w:val="es-MX"/>
        </w:rPr>
      </w:pPr>
    </w:p>
    <w:p w14:paraId="075796FA" w14:textId="0154C618" w:rsidR="00731E99" w:rsidRDefault="00731E99" w:rsidP="008C2A6C">
      <w:pPr>
        <w:tabs>
          <w:tab w:val="left" w:pos="709"/>
        </w:tabs>
        <w:spacing w:after="0" w:line="240" w:lineRule="auto"/>
        <w:ind w:left="709" w:right="709"/>
        <w:jc w:val="both"/>
        <w:rPr>
          <w:rFonts w:ascii="Verdana" w:eastAsia="Calibri" w:hAnsi="Verdana" w:cs="Arial"/>
          <w:sz w:val="21"/>
          <w:szCs w:val="21"/>
          <w:lang w:val="es-MX"/>
        </w:rPr>
      </w:pPr>
      <w:r>
        <w:rPr>
          <w:rFonts w:ascii="Verdana" w:eastAsia="Calibri" w:hAnsi="Verdana" w:cs="Arial"/>
          <w:sz w:val="21"/>
          <w:szCs w:val="21"/>
          <w:lang w:val="es-MX"/>
        </w:rPr>
        <w:t>3. En caso de que la respuesta sea afirmativa, ¿Cómo armoniza dicha exigencia con los principios constitucionales de razonabilidad, proporci</w:t>
      </w:r>
      <w:r w:rsidR="00116873">
        <w:rPr>
          <w:rFonts w:ascii="Verdana" w:eastAsia="Calibri" w:hAnsi="Verdana" w:cs="Arial"/>
          <w:sz w:val="21"/>
          <w:szCs w:val="21"/>
          <w:lang w:val="es-MX"/>
        </w:rPr>
        <w:t xml:space="preserve">onalidad, igualdad material </w:t>
      </w:r>
      <w:r w:rsidR="00E638B4">
        <w:rPr>
          <w:rFonts w:ascii="Verdana" w:eastAsia="Calibri" w:hAnsi="Verdana" w:cs="Arial"/>
          <w:sz w:val="21"/>
          <w:szCs w:val="21"/>
          <w:lang w:val="es-MX"/>
        </w:rPr>
        <w:t>y con el principio jurídico según el cual nadie está obligado a cumplir obligaciones de impos</w:t>
      </w:r>
      <w:r w:rsidR="003569A0">
        <w:rPr>
          <w:rFonts w:ascii="Verdana" w:eastAsia="Calibri" w:hAnsi="Verdana" w:cs="Arial"/>
          <w:sz w:val="21"/>
          <w:szCs w:val="21"/>
          <w:lang w:val="es-MX"/>
        </w:rPr>
        <w:t>i</w:t>
      </w:r>
      <w:r w:rsidR="00E638B4">
        <w:rPr>
          <w:rFonts w:ascii="Verdana" w:eastAsia="Calibri" w:hAnsi="Verdana" w:cs="Arial"/>
          <w:sz w:val="21"/>
          <w:szCs w:val="21"/>
          <w:lang w:val="es-MX"/>
        </w:rPr>
        <w:t xml:space="preserve">ble ejecución? </w:t>
      </w:r>
    </w:p>
    <w:p w14:paraId="58F1C781" w14:textId="77777777" w:rsidR="00D14CC1" w:rsidRDefault="00D14CC1" w:rsidP="008C2A6C">
      <w:pPr>
        <w:tabs>
          <w:tab w:val="left" w:pos="709"/>
        </w:tabs>
        <w:spacing w:after="0" w:line="240" w:lineRule="auto"/>
        <w:ind w:left="709" w:right="709"/>
        <w:jc w:val="both"/>
        <w:rPr>
          <w:rFonts w:ascii="Verdana" w:eastAsia="Calibri" w:hAnsi="Verdana" w:cs="Arial"/>
          <w:sz w:val="21"/>
          <w:szCs w:val="21"/>
          <w:lang w:val="es-MX"/>
        </w:rPr>
      </w:pPr>
    </w:p>
    <w:p w14:paraId="5E0E07E3" w14:textId="7B6F7E4E" w:rsidR="00E638B4" w:rsidRDefault="00E638B4" w:rsidP="008C2A6C">
      <w:pPr>
        <w:tabs>
          <w:tab w:val="left" w:pos="709"/>
        </w:tabs>
        <w:spacing w:after="0" w:line="240" w:lineRule="auto"/>
        <w:ind w:left="709" w:right="709"/>
        <w:jc w:val="both"/>
        <w:rPr>
          <w:rFonts w:ascii="Verdana" w:eastAsia="Calibri" w:hAnsi="Verdana" w:cs="Arial"/>
          <w:sz w:val="21"/>
          <w:szCs w:val="21"/>
          <w:lang w:val="es-MX"/>
        </w:rPr>
      </w:pPr>
      <w:r w:rsidRPr="6D6DDAC7">
        <w:rPr>
          <w:rFonts w:ascii="Verdana" w:eastAsia="Calibri" w:hAnsi="Verdana" w:cs="Arial"/>
          <w:sz w:val="21"/>
          <w:szCs w:val="21"/>
          <w:lang w:val="es-MX"/>
        </w:rPr>
        <w:t xml:space="preserve">4. </w:t>
      </w:r>
      <w:r w:rsidR="00D14CC1" w:rsidRPr="6D6DDAC7">
        <w:rPr>
          <w:rFonts w:ascii="Verdana" w:eastAsia="Calibri" w:hAnsi="Verdana" w:cs="Arial"/>
          <w:sz w:val="21"/>
          <w:szCs w:val="21"/>
          <w:lang w:val="es-MX"/>
        </w:rPr>
        <w:t xml:space="preserve">¿Consideran Colombia Compra Eficiente y el Ministerio del Trabajo que, tratándose de empresas de un único trabajador, el incumplimiento del requisito debe entenderse satisfecho cuando dicho trabajador corresponde a una persona con discapacidad, atendiendo al principio de interpretación finalista de la norma y al objetivo de promover la inclusión laboral? </w:t>
      </w:r>
    </w:p>
    <w:p w14:paraId="27F47A0F" w14:textId="0E16A12A" w:rsidR="00B33AFC" w:rsidRDefault="00B33AFC" w:rsidP="008C2A6C">
      <w:pPr>
        <w:tabs>
          <w:tab w:val="left" w:pos="709"/>
        </w:tabs>
        <w:spacing w:after="0" w:line="240" w:lineRule="auto"/>
        <w:ind w:left="709" w:right="709"/>
        <w:jc w:val="both"/>
        <w:rPr>
          <w:rFonts w:ascii="Verdana" w:eastAsia="Calibri" w:hAnsi="Verdana" w:cs="Arial"/>
          <w:sz w:val="21"/>
          <w:szCs w:val="21"/>
          <w:lang w:val="es-MX"/>
        </w:rPr>
      </w:pPr>
    </w:p>
    <w:p w14:paraId="166590CA" w14:textId="71B35B90" w:rsidR="00F70151" w:rsidRDefault="00B33AFC" w:rsidP="00CE75E2">
      <w:pPr>
        <w:tabs>
          <w:tab w:val="left" w:pos="709"/>
        </w:tabs>
        <w:spacing w:after="0" w:line="240" w:lineRule="auto"/>
        <w:ind w:left="709" w:right="709"/>
        <w:jc w:val="both"/>
        <w:rPr>
          <w:rFonts w:ascii="Verdana" w:eastAsia="Calibri" w:hAnsi="Verdana" w:cs="Arial"/>
          <w:sz w:val="21"/>
          <w:szCs w:val="21"/>
          <w:lang w:val="es-MX"/>
        </w:rPr>
      </w:pPr>
      <w:r>
        <w:rPr>
          <w:rFonts w:ascii="Verdana" w:eastAsia="Calibri" w:hAnsi="Verdana" w:cs="Arial"/>
          <w:sz w:val="21"/>
          <w:szCs w:val="21"/>
          <w:lang w:val="es-MX"/>
        </w:rPr>
        <w:t xml:space="preserve">5. </w:t>
      </w:r>
      <w:r w:rsidR="001A26A5">
        <w:rPr>
          <w:rFonts w:ascii="Verdana" w:eastAsia="Calibri" w:hAnsi="Verdana" w:cs="Arial"/>
          <w:sz w:val="21"/>
          <w:szCs w:val="21"/>
          <w:lang w:val="es-MX"/>
        </w:rPr>
        <w:t xml:space="preserve">En caso de que la interpretación </w:t>
      </w:r>
      <w:r w:rsidR="00CE75E2">
        <w:rPr>
          <w:rFonts w:ascii="Verdana" w:eastAsia="Calibri" w:hAnsi="Verdana" w:cs="Arial"/>
          <w:sz w:val="21"/>
          <w:szCs w:val="21"/>
          <w:lang w:val="es-MX"/>
        </w:rPr>
        <w:t xml:space="preserve">literal conduzca a excluir a estas empresas del incentivo, ¿se tiene previsto </w:t>
      </w:r>
      <w:r w:rsidR="00033ABC">
        <w:rPr>
          <w:rFonts w:ascii="Verdana" w:eastAsia="Calibri" w:hAnsi="Verdana" w:cs="Arial"/>
          <w:sz w:val="21"/>
          <w:szCs w:val="21"/>
          <w:lang w:val="es-MX"/>
        </w:rPr>
        <w:t xml:space="preserve">expedir lineamientos, circulares o efectuar ajustes regulatorios que permitan garantizar la aplicación equitativa del Decreto 287 de 2026 para </w:t>
      </w:r>
      <w:r w:rsidR="00DE18BC">
        <w:rPr>
          <w:rFonts w:ascii="Verdana" w:eastAsia="Calibri" w:hAnsi="Verdana" w:cs="Arial"/>
          <w:sz w:val="21"/>
          <w:szCs w:val="21"/>
          <w:lang w:val="es-MX"/>
        </w:rPr>
        <w:t>las microempresas y empresas unipersonales?</w:t>
      </w:r>
      <w:r w:rsidR="00477281">
        <w:rPr>
          <w:rFonts w:ascii="Verdana" w:eastAsia="Calibri" w:hAnsi="Verdana" w:cs="Arial"/>
          <w:sz w:val="21"/>
          <w:szCs w:val="21"/>
          <w:lang w:val="es-MX"/>
        </w:rPr>
        <w:t>”.</w:t>
      </w:r>
    </w:p>
    <w:p w14:paraId="4BD992BA" w14:textId="77777777" w:rsidR="00DE18BC" w:rsidRDefault="00DE18BC" w:rsidP="00CE75E2">
      <w:pPr>
        <w:tabs>
          <w:tab w:val="left" w:pos="709"/>
        </w:tabs>
        <w:spacing w:after="0" w:line="240" w:lineRule="auto"/>
        <w:ind w:left="709" w:right="709"/>
        <w:jc w:val="both"/>
        <w:rPr>
          <w:rFonts w:ascii="Verdana" w:eastAsia="Calibri" w:hAnsi="Verdana" w:cs="Arial"/>
          <w:sz w:val="21"/>
          <w:szCs w:val="21"/>
          <w:lang w:val="es-MX"/>
        </w:rPr>
      </w:pPr>
    </w:p>
    <w:p w14:paraId="1EED5C7C" w14:textId="77777777" w:rsidR="00DE18BC" w:rsidRPr="00CE75E2" w:rsidRDefault="00DE18BC" w:rsidP="00CE75E2">
      <w:pPr>
        <w:tabs>
          <w:tab w:val="left" w:pos="709"/>
        </w:tabs>
        <w:spacing w:after="0" w:line="240" w:lineRule="auto"/>
        <w:ind w:left="709" w:right="709"/>
        <w:jc w:val="both"/>
        <w:rPr>
          <w:rFonts w:ascii="Verdana" w:eastAsia="Calibri" w:hAnsi="Verdana" w:cs="Arial"/>
          <w:sz w:val="21"/>
          <w:szCs w:val="21"/>
          <w:lang w:val="es-MX"/>
        </w:rPr>
      </w:pPr>
    </w:p>
    <w:p w14:paraId="51704244" w14:textId="77777777" w:rsidR="00F70151" w:rsidRPr="002D45D7" w:rsidRDefault="00F70151" w:rsidP="00F70151">
      <w:pPr>
        <w:spacing w:after="120" w:line="276" w:lineRule="auto"/>
        <w:ind w:firstLine="709"/>
        <w:jc w:val="both"/>
        <w:rPr>
          <w:rFonts w:ascii="Verdana" w:eastAsia="Calibri" w:hAnsi="Verdana" w:cs="Arial"/>
          <w:szCs w:val="24"/>
          <w:lang w:val="es-ES_tradnl" w:eastAsia="es-ES_tradnl"/>
        </w:rPr>
      </w:pPr>
      <w:r w:rsidRPr="002D45D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2D45D7">
        <w:rPr>
          <w:rFonts w:ascii="Verdana" w:eastAsia="Calibri" w:hAnsi="Verdana" w:cs="Arial"/>
          <w:lang w:val="es-ES" w:eastAsia="es-ES"/>
        </w:rPr>
        <w:lastRenderedPageBreak/>
        <w:t xml:space="preserve">interpretación de normas generales, por definición, no puede extenderse a la resolución de controversias, ni a brindar asesorías sobre casos puntuales. </w:t>
      </w:r>
      <w:r w:rsidRPr="002D45D7">
        <w:rPr>
          <w:rFonts w:ascii="Verdana" w:eastAsia="Calibri" w:hAnsi="Verdana" w:cs="Arial"/>
          <w:szCs w:val="24"/>
          <w:lang w:val="es-ES_tradnl" w:eastAsia="es-ES_tradnl"/>
        </w:rPr>
        <w:tab/>
      </w:r>
    </w:p>
    <w:p w14:paraId="5AAAFCF9" w14:textId="77777777" w:rsidR="00F70151" w:rsidRPr="002D45D7" w:rsidRDefault="00F70151" w:rsidP="00F70151">
      <w:pPr>
        <w:spacing w:after="0" w:line="276" w:lineRule="auto"/>
        <w:ind w:firstLine="709"/>
        <w:jc w:val="both"/>
        <w:rPr>
          <w:rFonts w:ascii="Verdana" w:eastAsia="Calibri" w:hAnsi="Verdana" w:cs="Arial"/>
          <w:lang w:val="es-ES" w:eastAsia="es-ES"/>
        </w:rPr>
      </w:pPr>
      <w:r w:rsidRPr="002D45D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CB7C73A" w14:textId="77777777" w:rsidR="00F70151" w:rsidRPr="002D45D7" w:rsidRDefault="00F70151" w:rsidP="00F70151">
      <w:pPr>
        <w:spacing w:after="0" w:line="276" w:lineRule="auto"/>
        <w:ind w:firstLine="709"/>
        <w:jc w:val="both"/>
        <w:rPr>
          <w:rFonts w:ascii="Verdana" w:eastAsia="Calibri" w:hAnsi="Verdana" w:cs="Arial"/>
          <w:lang w:val="es-ES" w:eastAsia="es-ES"/>
        </w:rPr>
      </w:pPr>
    </w:p>
    <w:p w14:paraId="6162F60D" w14:textId="77777777" w:rsidR="00F70151" w:rsidRDefault="00F70151" w:rsidP="00F70151">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2D45D7">
        <w:rPr>
          <w:rFonts w:ascii="Verdana" w:eastAsia="Arial" w:hAnsi="Verdana" w:cs="Arial"/>
          <w:b/>
          <w:bCs/>
          <w:lang w:val="es-ES"/>
        </w:rPr>
        <w:t>1. Problema planteado:</w:t>
      </w:r>
    </w:p>
    <w:p w14:paraId="04D7D668" w14:textId="77777777" w:rsidR="0059089D" w:rsidRPr="002D45D7" w:rsidRDefault="0059089D" w:rsidP="0059089D">
      <w:pPr>
        <w:tabs>
          <w:tab w:val="left" w:pos="426"/>
        </w:tabs>
        <w:spacing w:after="0" w:line="276" w:lineRule="auto"/>
        <w:jc w:val="both"/>
        <w:rPr>
          <w:rFonts w:ascii="Verdana" w:eastAsia="Century Gothic" w:hAnsi="Verdana" w:cs="Century Gothic"/>
          <w:lang w:val="es-ES"/>
        </w:rPr>
      </w:pPr>
    </w:p>
    <w:p w14:paraId="232C3353" w14:textId="57238481" w:rsidR="00C978F9" w:rsidRPr="00C978F9" w:rsidRDefault="0059089D" w:rsidP="00C978F9">
      <w:pPr>
        <w:widowControl w:val="0"/>
        <w:autoSpaceDE w:val="0"/>
        <w:autoSpaceDN w:val="0"/>
        <w:spacing w:after="0" w:line="276" w:lineRule="auto"/>
        <w:jc w:val="both"/>
        <w:outlineLvl w:val="0"/>
        <w:rPr>
          <w:rFonts w:ascii="Verdana" w:eastAsia="Century Gothic" w:hAnsi="Verdana" w:cs="Century Gothic"/>
        </w:rPr>
      </w:pPr>
      <w:r w:rsidRPr="0059089D">
        <w:rPr>
          <w:rFonts w:ascii="Verdana" w:eastAsia="Century Gothic" w:hAnsi="Verdana" w:cs="Century Gothic"/>
        </w:rPr>
        <w:t>De acuerdo con el contenido de su solicitud, le informamos que la misma ser</w:t>
      </w:r>
      <w:r>
        <w:rPr>
          <w:rFonts w:ascii="Verdana" w:eastAsia="Century Gothic" w:hAnsi="Verdana" w:cs="Century Gothic"/>
        </w:rPr>
        <w:t xml:space="preserve">á </w:t>
      </w:r>
      <w:r w:rsidRPr="0059089D">
        <w:rPr>
          <w:rFonts w:ascii="Verdana" w:eastAsia="Century Gothic" w:hAnsi="Verdana" w:cs="Century Gothic"/>
        </w:rPr>
        <w:t xml:space="preserve">atendida </w:t>
      </w:r>
      <w:r w:rsidR="0037298A">
        <w:rPr>
          <w:rFonts w:ascii="Verdana" w:eastAsia="Century Gothic" w:hAnsi="Verdana" w:cs="Century Gothic"/>
        </w:rPr>
        <w:t>en l</w:t>
      </w:r>
      <w:r w:rsidR="00A477B7">
        <w:rPr>
          <w:rFonts w:ascii="Verdana" w:eastAsia="Century Gothic" w:hAnsi="Verdana" w:cs="Century Gothic"/>
        </w:rPr>
        <w:t>os</w:t>
      </w:r>
      <w:r w:rsidR="0037298A">
        <w:rPr>
          <w:rFonts w:ascii="Verdana" w:eastAsia="Century Gothic" w:hAnsi="Verdana" w:cs="Century Gothic"/>
        </w:rPr>
        <w:t xml:space="preserve"> </w:t>
      </w:r>
      <w:r>
        <w:rPr>
          <w:rFonts w:ascii="Verdana" w:eastAsia="Century Gothic" w:hAnsi="Verdana" w:cs="Century Gothic"/>
        </w:rPr>
        <w:t>siguiente</w:t>
      </w:r>
      <w:r w:rsidR="00A477B7">
        <w:rPr>
          <w:rFonts w:ascii="Verdana" w:eastAsia="Century Gothic" w:hAnsi="Verdana" w:cs="Century Gothic"/>
        </w:rPr>
        <w:t>s</w:t>
      </w:r>
      <w:r w:rsidRPr="0059089D">
        <w:rPr>
          <w:rFonts w:ascii="Verdana" w:eastAsia="Century Gothic" w:hAnsi="Verdana" w:cs="Century Gothic"/>
        </w:rPr>
        <w:t xml:space="preserve"> interrogante</w:t>
      </w:r>
      <w:r w:rsidR="00A477B7">
        <w:rPr>
          <w:rFonts w:ascii="Verdana" w:eastAsia="Century Gothic" w:hAnsi="Verdana" w:cs="Century Gothic"/>
        </w:rPr>
        <w:t>s</w:t>
      </w:r>
      <w:r w:rsidRPr="0059089D">
        <w:rPr>
          <w:rFonts w:ascii="Verdana" w:eastAsia="Century Gothic" w:hAnsi="Verdana" w:cs="Century Gothic"/>
        </w:rPr>
        <w:t>:</w:t>
      </w:r>
      <w:r w:rsidR="00B5721A">
        <w:rPr>
          <w:rFonts w:ascii="Verdana" w:eastAsia="Century Gothic" w:hAnsi="Verdana" w:cs="Century Gothic"/>
        </w:rPr>
        <w:t xml:space="preserve"> i)</w:t>
      </w:r>
      <w:r w:rsidR="00F03193">
        <w:rPr>
          <w:rFonts w:ascii="Verdana" w:eastAsia="Century Gothic" w:hAnsi="Verdana" w:cs="Century Gothic"/>
        </w:rPr>
        <w:t xml:space="preserve"> </w:t>
      </w:r>
      <w:r w:rsidR="00F03193" w:rsidRPr="00206556">
        <w:rPr>
          <w:rFonts w:ascii="Verdana" w:eastAsia="Century Gothic" w:hAnsi="Verdana" w:cs="Century Gothic"/>
        </w:rPr>
        <w:t>¿Cuál es el alcance del Sistema Integral de Preferencias establecido por el Decreto 0287 de 2026 en favor de las personas con discapacidad n la contratación pública,</w:t>
      </w:r>
      <w:r w:rsidR="00B5721A">
        <w:rPr>
          <w:rFonts w:ascii="Verdana" w:eastAsia="Century Gothic" w:hAnsi="Verdana" w:cs="Century Gothic"/>
        </w:rPr>
        <w:t xml:space="preserve"> </w:t>
      </w:r>
      <w:r w:rsidR="003C5DE2">
        <w:rPr>
          <w:rFonts w:ascii="Verdana" w:eastAsia="Century Gothic" w:hAnsi="Verdana" w:cs="Century Gothic"/>
        </w:rPr>
        <w:t>c</w:t>
      </w:r>
      <w:r w:rsidR="00C978F9" w:rsidRPr="00C978F9">
        <w:rPr>
          <w:rFonts w:ascii="Verdana" w:eastAsia="Century Gothic" w:hAnsi="Verdana" w:cs="Century Gothic"/>
        </w:rPr>
        <w:t>uál</w:t>
      </w:r>
      <w:r w:rsidR="00B02078">
        <w:rPr>
          <w:rFonts w:ascii="Verdana" w:eastAsia="Century Gothic" w:hAnsi="Verdana" w:cs="Century Gothic"/>
        </w:rPr>
        <w:t xml:space="preserve"> </w:t>
      </w:r>
      <w:r w:rsidR="00C978F9" w:rsidRPr="00C978F9">
        <w:rPr>
          <w:rFonts w:ascii="Verdana" w:eastAsia="Century Gothic" w:hAnsi="Verdana" w:cs="Century Gothic"/>
        </w:rPr>
        <w:t>es</w:t>
      </w:r>
      <w:r w:rsidR="00B02078">
        <w:rPr>
          <w:rFonts w:ascii="Verdana" w:eastAsia="Century Gothic" w:hAnsi="Verdana" w:cs="Century Gothic"/>
        </w:rPr>
        <w:t xml:space="preserve"> </w:t>
      </w:r>
      <w:r w:rsidR="00545D70" w:rsidRPr="00545D70">
        <w:rPr>
          <w:rFonts w:ascii="Verdana" w:eastAsia="Century Gothic" w:hAnsi="Verdana" w:cs="Century Gothic"/>
        </w:rPr>
        <w:t>el número mínimo de persona</w:t>
      </w:r>
      <w:r w:rsidR="004636ED">
        <w:rPr>
          <w:rFonts w:ascii="Verdana" w:eastAsia="Century Gothic" w:hAnsi="Verdana" w:cs="Century Gothic"/>
        </w:rPr>
        <w:t>s</w:t>
      </w:r>
      <w:r w:rsidR="00545D70" w:rsidRPr="00545D70">
        <w:rPr>
          <w:rFonts w:ascii="Verdana" w:eastAsia="Century Gothic" w:hAnsi="Verdana" w:cs="Century Gothic"/>
        </w:rPr>
        <w:t xml:space="preserve"> con discapacidad que debe acreditar una empresa</w:t>
      </w:r>
      <w:r w:rsidR="004636ED">
        <w:rPr>
          <w:rFonts w:ascii="Verdana" w:eastAsia="Century Gothic" w:hAnsi="Verdana" w:cs="Century Gothic"/>
        </w:rPr>
        <w:t xml:space="preserve"> en la planta de persona</w:t>
      </w:r>
      <w:r w:rsidR="00BD477A">
        <w:rPr>
          <w:rFonts w:ascii="Verdana" w:eastAsia="Century Gothic" w:hAnsi="Verdana" w:cs="Century Gothic"/>
        </w:rPr>
        <w:t>l</w:t>
      </w:r>
      <w:r w:rsidR="00545D70" w:rsidRPr="00545D70">
        <w:rPr>
          <w:rFonts w:ascii="Verdana" w:eastAsia="Century Gothic" w:hAnsi="Verdana" w:cs="Century Gothic"/>
        </w:rPr>
        <w:t xml:space="preserve"> para acceder al puntaje adicional</w:t>
      </w:r>
      <w:r w:rsidR="00255888">
        <w:rPr>
          <w:rFonts w:ascii="Verdana" w:eastAsia="Century Gothic" w:hAnsi="Verdana" w:cs="Century Gothic"/>
        </w:rPr>
        <w:t xml:space="preserve">, </w:t>
      </w:r>
      <w:r w:rsidR="003C5DE2">
        <w:rPr>
          <w:rFonts w:ascii="Verdana" w:eastAsia="Century Gothic" w:hAnsi="Verdana" w:cs="Century Gothic"/>
        </w:rPr>
        <w:t>e</w:t>
      </w:r>
      <w:r w:rsidR="00C978F9" w:rsidRPr="00C978F9">
        <w:rPr>
          <w:rFonts w:ascii="Verdana" w:eastAsia="Century Gothic" w:hAnsi="Verdana" w:cs="Century Gothic"/>
        </w:rPr>
        <w:t>s jurídicamente procedente exceptuar o flexibilizar dicho número mínimo en atención al tamaño de la planta de personal</w:t>
      </w:r>
      <w:r w:rsidR="00C978F9">
        <w:rPr>
          <w:rFonts w:ascii="Verdana" w:eastAsia="Century Gothic" w:hAnsi="Verdana" w:cs="Century Gothic"/>
        </w:rPr>
        <w:t xml:space="preserve">, </w:t>
      </w:r>
      <w:r w:rsidR="003C5DE2">
        <w:rPr>
          <w:rFonts w:ascii="Verdana" w:eastAsia="Century Gothic" w:hAnsi="Verdana" w:cs="Century Gothic"/>
        </w:rPr>
        <w:t>p</w:t>
      </w:r>
      <w:r w:rsidR="00F92D63" w:rsidRPr="00F92D63">
        <w:rPr>
          <w:rFonts w:ascii="Verdana" w:eastAsia="Century Gothic" w:hAnsi="Verdana" w:cs="Century Gothic"/>
        </w:rPr>
        <w:t>uede considerarse cumplido el requisito cuando esa empresa tiene una (1) persona con discapacidad</w:t>
      </w:r>
      <w:r w:rsidR="00F92D63">
        <w:rPr>
          <w:rFonts w:ascii="Verdana" w:eastAsia="Century Gothic" w:hAnsi="Verdana" w:cs="Century Gothic"/>
        </w:rPr>
        <w:t>?</w:t>
      </w:r>
      <w:r w:rsidR="008B1A1F">
        <w:rPr>
          <w:rFonts w:ascii="Verdana" w:eastAsia="Century Gothic" w:hAnsi="Verdana" w:cs="Century Gothic"/>
        </w:rPr>
        <w:t xml:space="preserve"> </w:t>
      </w:r>
      <w:r w:rsidR="002D6E43">
        <w:rPr>
          <w:rFonts w:ascii="Verdana" w:eastAsia="Century Gothic" w:hAnsi="Verdana" w:cs="Century Gothic"/>
        </w:rPr>
        <w:t>i</w:t>
      </w:r>
      <w:r w:rsidR="003C5DE2">
        <w:rPr>
          <w:rFonts w:ascii="Verdana" w:eastAsia="Century Gothic" w:hAnsi="Verdana" w:cs="Century Gothic"/>
        </w:rPr>
        <w:t>ii</w:t>
      </w:r>
      <w:r w:rsidR="008B1A1F">
        <w:rPr>
          <w:rFonts w:ascii="Verdana" w:eastAsia="Century Gothic" w:hAnsi="Verdana" w:cs="Century Gothic"/>
        </w:rPr>
        <w:t>)</w:t>
      </w:r>
      <w:r w:rsidR="006A5BAE">
        <w:rPr>
          <w:rFonts w:ascii="Verdana" w:eastAsia="Century Gothic" w:hAnsi="Verdana" w:cs="Century Gothic"/>
        </w:rPr>
        <w:t xml:space="preserve"> ¿</w:t>
      </w:r>
      <w:r w:rsidR="00462355">
        <w:rPr>
          <w:rFonts w:ascii="Verdana" w:eastAsia="Century Gothic" w:hAnsi="Verdana" w:cs="Century Gothic"/>
        </w:rPr>
        <w:t xml:space="preserve">Es Colombia Compra Eficiente competente para modificar o flexibilizar el número mínimo de trabajadores con discapacidad exigido por el Decreto </w:t>
      </w:r>
      <w:r w:rsidR="00067CA6">
        <w:rPr>
          <w:rFonts w:ascii="Verdana" w:eastAsia="Century Gothic" w:hAnsi="Verdana" w:cs="Century Gothic"/>
        </w:rPr>
        <w:t>287 de 2026?</w:t>
      </w:r>
    </w:p>
    <w:p w14:paraId="1468C46D" w14:textId="71B9CC1E" w:rsidR="00C15139" w:rsidRPr="00C978F9" w:rsidRDefault="00C15139" w:rsidP="008E16B2">
      <w:pPr>
        <w:widowControl w:val="0"/>
        <w:autoSpaceDE w:val="0"/>
        <w:autoSpaceDN w:val="0"/>
        <w:spacing w:after="0" w:line="276" w:lineRule="auto"/>
        <w:jc w:val="both"/>
        <w:outlineLvl w:val="0"/>
        <w:rPr>
          <w:rFonts w:ascii="Verdana" w:eastAsia="Arial" w:hAnsi="Verdana" w:cs="Arial"/>
        </w:rPr>
      </w:pPr>
    </w:p>
    <w:p w14:paraId="1B859E63" w14:textId="153DA863" w:rsidR="004A3FB7" w:rsidRPr="009278B1" w:rsidRDefault="005862BA" w:rsidP="009278B1">
      <w:pPr>
        <w:spacing w:after="0" w:line="240" w:lineRule="auto"/>
        <w:jc w:val="both"/>
        <w:rPr>
          <w:rFonts w:ascii="Verdana" w:eastAsia="Verdana" w:hAnsi="Verdana" w:cs="Verdana"/>
          <w:b/>
          <w:bCs/>
        </w:rPr>
      </w:pPr>
      <w:r w:rsidRPr="003A19ED">
        <w:rPr>
          <w:rFonts w:ascii="Verdana" w:eastAsia="Verdana" w:hAnsi="Verdana" w:cs="Verdana"/>
          <w:b/>
          <w:bCs/>
        </w:rPr>
        <w:t xml:space="preserve">2. Respuesta: </w:t>
      </w:r>
      <w:bookmarkEnd w:id="0"/>
    </w:p>
    <w:p w14:paraId="7019EB8B" w14:textId="77777777" w:rsidR="004A3FB7" w:rsidRPr="00206556" w:rsidRDefault="004A3FB7" w:rsidP="004A3FB7">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3FB7" w:rsidRPr="00206556" w14:paraId="54D7890D" w14:textId="77777777" w:rsidTr="00AC3677">
        <w:tc>
          <w:tcPr>
            <w:tcW w:w="8828" w:type="dxa"/>
          </w:tcPr>
          <w:p w14:paraId="27A0A092" w14:textId="77777777" w:rsidR="00CC041F" w:rsidRPr="00073658" w:rsidRDefault="00D018CA" w:rsidP="00CC041F">
            <w:pPr>
              <w:spacing w:before="120" w:after="120" w:line="276" w:lineRule="auto"/>
              <w:jc w:val="both"/>
              <w:rPr>
                <w:rFonts w:ascii="Verdana" w:eastAsia="Calibri" w:hAnsi="Verdana" w:cs="Arial"/>
              </w:rPr>
            </w:pPr>
            <w:r w:rsidRPr="001C030B">
              <w:rPr>
                <w:rFonts w:ascii="Verdana" w:eastAsia="Calibri" w:hAnsi="Verdana" w:cs="Arial"/>
                <w:color w:val="000000" w:themeColor="text1"/>
                <w:lang w:eastAsia="es-ES"/>
              </w:rPr>
              <w:t>i)</w:t>
            </w:r>
            <w:r w:rsidR="00983B49" w:rsidRPr="001C030B">
              <w:rPr>
                <w:rFonts w:ascii="Verdana" w:eastAsia="Calibri" w:hAnsi="Verdana" w:cs="Arial"/>
                <w:color w:val="000000" w:themeColor="text1"/>
                <w:lang w:eastAsia="es-ES"/>
              </w:rPr>
              <w:t xml:space="preserve"> </w:t>
            </w:r>
            <w:r w:rsidR="00694566">
              <w:rPr>
                <w:rFonts w:ascii="Verdana" w:eastAsia="Calibri" w:hAnsi="Verdana" w:cs="Arial"/>
                <w:color w:val="000000" w:themeColor="text1"/>
                <w:lang w:eastAsia="es-ES"/>
              </w:rPr>
              <w:t>En atención al primer problema jurídico planteado y respecto al alcance del Decreto 0287 de 2026, es necesario indicar que este reglamenta los numerales 1, 7 y 8 del artículo 13 de la Ley 1618 de 2013</w:t>
            </w:r>
            <w:r w:rsidR="00903AF7">
              <w:rPr>
                <w:rFonts w:ascii="Verdana" w:eastAsia="Calibri" w:hAnsi="Verdana" w:cs="Arial"/>
                <w:color w:val="000000" w:themeColor="text1"/>
                <w:lang w:eastAsia="es-ES"/>
              </w:rPr>
              <w:t>, acción que fue ordenada por el Consejo de Estado, Sección Quinta de la Sala de lo Contencioso Administrativo</w:t>
            </w:r>
            <w:r w:rsidR="00BB142A">
              <w:rPr>
                <w:rFonts w:ascii="Verdana" w:eastAsia="Calibri" w:hAnsi="Verdana" w:cs="Arial"/>
                <w:color w:val="000000" w:themeColor="text1"/>
                <w:lang w:eastAsia="es-ES"/>
              </w:rPr>
              <w:t xml:space="preserve">, mediante sentencia de acción de cumplimiento del 12 de septiembre de 2024, radicación N° 05001-23-33-000-2024-00847-01, </w:t>
            </w:r>
            <w:r w:rsidR="00C439AA">
              <w:rPr>
                <w:rFonts w:ascii="Verdana" w:eastAsia="Calibri" w:hAnsi="Verdana" w:cs="Arial"/>
                <w:color w:val="000000" w:themeColor="text1"/>
                <w:lang w:eastAsia="es-ES"/>
              </w:rPr>
              <w:t xml:space="preserve">con ponencia del magistrado Omar Joaquín Barreto Suarez, y establece un Sistema Integral de Preferencias en favor de las personas con discapacidad en la contratación </w:t>
            </w:r>
            <w:r w:rsidR="004779D6">
              <w:rPr>
                <w:rFonts w:ascii="Verdana" w:eastAsia="Calibri" w:hAnsi="Verdana" w:cs="Arial"/>
                <w:color w:val="000000" w:themeColor="text1"/>
                <w:lang w:eastAsia="es-ES"/>
              </w:rPr>
              <w:t xml:space="preserve">pública, entendido como el conjunto estructurado de medidas afirmativas, naturaleza jurídica </w:t>
            </w:r>
            <w:r w:rsidR="00CC041F" w:rsidRPr="00073658">
              <w:rPr>
                <w:rFonts w:ascii="Verdana" w:eastAsia="Calibri" w:hAnsi="Verdana" w:cs="Arial"/>
              </w:rPr>
              <w:t xml:space="preserve">técnica y procedimental, que las entidades estatales deben adoptar en todas las fases del proceso contractual: </w:t>
            </w:r>
            <w:r w:rsidR="00CC041F" w:rsidRPr="00073658">
              <w:rPr>
                <w:rFonts w:ascii="Verdana" w:eastAsia="Calibri" w:hAnsi="Verdana" w:cs="Arial"/>
              </w:rPr>
              <w:lastRenderedPageBreak/>
              <w:t>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sidR="00CC041F">
              <w:rPr>
                <w:rFonts w:ascii="Verdana" w:eastAsia="Calibri" w:hAnsi="Verdana" w:cs="Arial"/>
              </w:rPr>
              <w:t>, irradiando la fase de planeación ya que es allí donde la compra debe plantearse con criterios de accesibilidad</w:t>
            </w:r>
            <w:r w:rsidR="00CC041F" w:rsidRPr="00073658">
              <w:rPr>
                <w:rFonts w:ascii="Verdana" w:eastAsia="Calibri" w:hAnsi="Verdana" w:cs="Arial"/>
              </w:rPr>
              <w:t>.</w:t>
            </w:r>
          </w:p>
          <w:p w14:paraId="583CDA0D" w14:textId="77777777" w:rsidR="00CC041F" w:rsidRPr="00073658" w:rsidRDefault="00CC041F" w:rsidP="00CC041F">
            <w:pPr>
              <w:spacing w:before="120" w:after="120" w:line="276" w:lineRule="auto"/>
              <w:ind w:firstLine="709"/>
              <w:jc w:val="both"/>
              <w:rPr>
                <w:rFonts w:ascii="Verdana" w:eastAsia="Calibri" w:hAnsi="Verdana" w:cs="Arial"/>
              </w:rPr>
            </w:pPr>
            <w:r w:rsidRPr="00073658">
              <w:rPr>
                <w:rFonts w:ascii="Verdana" w:eastAsia="Calibri" w:hAnsi="Verdana" w:cs="Arial"/>
              </w:rPr>
              <w:t>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31861CD5" w14:textId="77777777" w:rsidR="00CC041F" w:rsidRDefault="00CC041F" w:rsidP="00CC041F">
            <w:pPr>
              <w:spacing w:before="120" w:after="120" w:line="276" w:lineRule="auto"/>
              <w:ind w:firstLine="709"/>
              <w:jc w:val="both"/>
              <w:rPr>
                <w:rFonts w:ascii="Verdana" w:eastAsia="Calibri" w:hAnsi="Verdana" w:cs="Arial"/>
              </w:rPr>
            </w:pPr>
            <w:r>
              <w:rPr>
                <w:rFonts w:ascii="Verdana" w:eastAsia="Calibri" w:hAnsi="Verdana" w:cs="Arial"/>
              </w:rPr>
              <w:t>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xml:space="preserve">. El artículo 2.2.1.2.4.2.7.4. del Decreto 0287 de 2026 es explícito al disponer que, aunque el proponente acredite simultáneamente ser emprendimiento o empresa de PcD y ser empleador de PcD, el puntaje máximo a otorgar por este criterio es siempre el 2% del total de los puntos del pliego, sin que las condiciones acreditadas sean sumables para efectos de la evaluación de la </w:t>
            </w:r>
            <w:r w:rsidRPr="00073658">
              <w:rPr>
                <w:rFonts w:ascii="Verdana" w:eastAsia="Calibri" w:hAnsi="Verdana" w:cs="Arial"/>
              </w:rPr>
              <w:lastRenderedPageBreak/>
              <w:t>oferta</w:t>
            </w:r>
            <w:r>
              <w:rPr>
                <w:rFonts w:ascii="Verdana" w:eastAsia="Calibri" w:hAnsi="Verdana" w:cs="Arial"/>
              </w:rPr>
              <w:t>, y tampoco es posible disminuir ese porcentaje de puntos ya que siempre será el 2% como lo establece el decreto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010CF7BE" w14:textId="77777777" w:rsidR="00CC041F" w:rsidRDefault="00CC041F" w:rsidP="00CC041F">
            <w:pPr>
              <w:spacing w:before="120" w:after="120" w:line="276" w:lineRule="auto"/>
              <w:ind w:firstLine="709"/>
              <w:jc w:val="both"/>
              <w:rPr>
                <w:rFonts w:ascii="Verdana" w:eastAsia="Calibri" w:hAnsi="Verdana" w:cs="Arial"/>
              </w:rPr>
            </w:pPr>
            <w:r>
              <w:rPr>
                <w:rFonts w:ascii="Verdana" w:eastAsia="Calibri" w:hAnsi="Verdana" w:cs="Arial"/>
              </w:rPr>
              <w:t xml:space="preserve">La aplicación del puntaje para proponentes plurales </w:t>
            </w:r>
            <w:r w:rsidRPr="00A97194">
              <w:rPr>
                <w:rFonts w:ascii="Verdana" w:eastAsia="Calibri" w:hAnsi="Verdana" w:cs="Arial"/>
              </w:rPr>
              <w:t xml:space="preserve">respecto de los empleadores de PcD no exige un mínimo de experiencia sino una participación mayoritaria en el proponente plural, y a ese miembro será al que se le revise su planta de personal con el fin de determinar si cumple con el número mínimo de PcD contratadas para acceder al puntaje. </w:t>
            </w:r>
          </w:p>
          <w:p w14:paraId="36D01908" w14:textId="6A905A9E" w:rsidR="00D61F92" w:rsidRPr="00700C11" w:rsidRDefault="00706269" w:rsidP="00700C11">
            <w:pPr>
              <w:spacing w:before="120" w:after="120" w:line="276" w:lineRule="auto"/>
              <w:ind w:firstLine="709"/>
              <w:jc w:val="both"/>
              <w:rPr>
                <w:rFonts w:ascii="Verdana" w:eastAsia="Times New Roman" w:hAnsi="Verdana" w:cs="Times New Roman"/>
              </w:rPr>
            </w:pPr>
            <w:r>
              <w:rPr>
                <w:rFonts w:ascii="Verdana" w:eastAsia="Calibri" w:hAnsi="Verdana" w:cs="Arial"/>
              </w:rPr>
              <w:t xml:space="preserve"> ii) </w:t>
            </w:r>
            <w:r w:rsidRPr="00502309">
              <w:rPr>
                <w:rFonts w:ascii="Verdana" w:eastAsia="Times New Roman" w:hAnsi="Verdana" w:cs="Times New Roman"/>
              </w:rPr>
              <w:t xml:space="preserve">Para efectos de determinar el número mínimo de PcD que el proponente debe tener vinculadas en su planta de personal para acceder al puntaje, el artículo 2.2.1.2.4.2.7.4. del Decreto 0287 de 2026 establece </w:t>
            </w:r>
            <w:r>
              <w:rPr>
                <w:rFonts w:ascii="Verdana" w:eastAsia="Times New Roman" w:hAnsi="Verdana" w:cs="Times New Roman"/>
              </w:rPr>
              <w:t>una</w:t>
            </w:r>
            <w:r w:rsidRPr="00502309">
              <w:rPr>
                <w:rFonts w:ascii="Verdana" w:eastAsia="Times New Roman" w:hAnsi="Verdana" w:cs="Times New Roman"/>
              </w:rPr>
              <w:t xml:space="preserve"> tabla, que ya incorpora los mínimos exigidos por la Ley 2466 de 2025 (Reforma Laboral), de modo que el puntaje solo se otorga a quien </w:t>
            </w:r>
            <w:r>
              <w:rPr>
                <w:rFonts w:ascii="Verdana" w:eastAsia="Times New Roman" w:hAnsi="Verdana" w:cs="Times New Roman"/>
              </w:rPr>
              <w:t>cumpla lo indicado en la tabla</w:t>
            </w:r>
            <w:r w:rsidR="00700C11">
              <w:rPr>
                <w:rFonts w:ascii="Verdana" w:eastAsia="Times New Roman" w:hAnsi="Verdana" w:cs="Times New Roman"/>
              </w:rPr>
              <w:t>, e</w:t>
            </w:r>
            <w:r w:rsidR="00D61F92" w:rsidRPr="00D22B7C">
              <w:rPr>
                <w:rFonts w:ascii="Verdana" w:eastAsia="Times New Roman" w:hAnsi="Verdana" w:cs="Times New Roman"/>
              </w:rPr>
              <w:t>l número mínimo de PcD requerido varía según el tamaño de la planta de personal del proponente, conforme a la siguiente tabla:</w:t>
            </w:r>
          </w:p>
          <w:p w14:paraId="685D0A24" w14:textId="77777777" w:rsidR="00D61F92" w:rsidRPr="00D22B7C" w:rsidRDefault="00D61F92" w:rsidP="00D61F92">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D61F92" w:rsidRPr="00D22B7C" w14:paraId="57E26C75" w14:textId="77777777" w:rsidTr="00CE77AF">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45AF6CC" w14:textId="77777777" w:rsidR="00D61F92" w:rsidRPr="00D22B7C" w:rsidRDefault="00D61F92" w:rsidP="00D61F92">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0BAC348" w14:textId="77777777" w:rsidR="00D61F92" w:rsidRPr="00D22B7C" w:rsidRDefault="00D61F92" w:rsidP="00D61F92">
                  <w:pPr>
                    <w:jc w:val="center"/>
                    <w:rPr>
                      <w:rFonts w:ascii="Verdana" w:hAnsi="Verdana"/>
                    </w:rPr>
                  </w:pPr>
                  <w:r w:rsidRPr="00D22B7C">
                    <w:rPr>
                      <w:rFonts w:ascii="Verdana" w:eastAsia="Times New Roman" w:hAnsi="Verdana" w:cs="Times New Roman"/>
                      <w:b/>
                      <w:bCs/>
                    </w:rPr>
                    <w:t>Número mínimo de trabajadores con discapacidad requerido</w:t>
                  </w:r>
                </w:p>
              </w:tc>
            </w:tr>
            <w:tr w:rsidR="00D61F92" w:rsidRPr="00D22B7C" w14:paraId="5209133E" w14:textId="77777777" w:rsidTr="00CE77A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467B366" w14:textId="77777777" w:rsidR="00D61F92" w:rsidRPr="00D22B7C" w:rsidRDefault="00D61F92" w:rsidP="00D61F92">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95A234D" w14:textId="77777777" w:rsidR="00D61F92" w:rsidRPr="00D22B7C" w:rsidRDefault="00D61F92" w:rsidP="00D61F92">
                  <w:pPr>
                    <w:jc w:val="center"/>
                    <w:rPr>
                      <w:rFonts w:ascii="Verdana" w:hAnsi="Verdana"/>
                    </w:rPr>
                  </w:pPr>
                  <w:r w:rsidRPr="00D22B7C">
                    <w:rPr>
                      <w:rFonts w:ascii="Verdana" w:eastAsia="Times New Roman" w:hAnsi="Verdana" w:cs="Times New Roman"/>
                    </w:rPr>
                    <w:t>2</w:t>
                  </w:r>
                </w:p>
              </w:tc>
            </w:tr>
            <w:tr w:rsidR="00D61F92" w:rsidRPr="00D22B7C" w14:paraId="19A19D30" w14:textId="77777777" w:rsidTr="00CE77A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1341C4C" w14:textId="77777777" w:rsidR="00D61F92" w:rsidRPr="00D22B7C" w:rsidRDefault="00D61F92" w:rsidP="00D61F92">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72E633C" w14:textId="77777777" w:rsidR="00D61F92" w:rsidRPr="00D22B7C" w:rsidRDefault="00D61F92" w:rsidP="00D61F92">
                  <w:pPr>
                    <w:jc w:val="center"/>
                    <w:rPr>
                      <w:rFonts w:ascii="Verdana" w:hAnsi="Verdana"/>
                    </w:rPr>
                  </w:pPr>
                  <w:r w:rsidRPr="00D22B7C">
                    <w:rPr>
                      <w:rFonts w:ascii="Verdana" w:eastAsia="Times New Roman" w:hAnsi="Verdana" w:cs="Times New Roman"/>
                    </w:rPr>
                    <w:t>3</w:t>
                  </w:r>
                </w:p>
              </w:tc>
            </w:tr>
            <w:tr w:rsidR="00D61F92" w:rsidRPr="00D22B7C" w14:paraId="335FD6F6" w14:textId="77777777" w:rsidTr="00CE77A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817EA3D" w14:textId="77777777" w:rsidR="00D61F92" w:rsidRPr="00D22B7C" w:rsidRDefault="00D61F92" w:rsidP="00D61F92">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8822203" w14:textId="77777777" w:rsidR="00D61F92" w:rsidRPr="00D22B7C" w:rsidRDefault="00D61F92" w:rsidP="00D61F92">
                  <w:pPr>
                    <w:jc w:val="center"/>
                    <w:rPr>
                      <w:rFonts w:ascii="Verdana" w:hAnsi="Verdana"/>
                    </w:rPr>
                  </w:pPr>
                  <w:r w:rsidRPr="00D22B7C">
                    <w:rPr>
                      <w:rFonts w:ascii="Verdana" w:eastAsia="Times New Roman" w:hAnsi="Verdana" w:cs="Times New Roman"/>
                    </w:rPr>
                    <w:t>4</w:t>
                  </w:r>
                </w:p>
              </w:tc>
            </w:tr>
            <w:tr w:rsidR="00D61F92" w:rsidRPr="00D22B7C" w14:paraId="11B44060" w14:textId="77777777" w:rsidTr="00CE77A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EC6573B" w14:textId="77777777" w:rsidR="00D61F92" w:rsidRPr="00D22B7C" w:rsidRDefault="00D61F92" w:rsidP="00D61F92">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A0D77A9" w14:textId="77777777" w:rsidR="00D61F92" w:rsidRPr="00D22B7C" w:rsidRDefault="00D61F92" w:rsidP="00D61F92">
                  <w:pPr>
                    <w:jc w:val="center"/>
                    <w:rPr>
                      <w:rFonts w:ascii="Verdana" w:hAnsi="Verdana"/>
                    </w:rPr>
                  </w:pPr>
                  <w:r w:rsidRPr="00D22B7C">
                    <w:rPr>
                      <w:rFonts w:ascii="Verdana" w:eastAsia="Times New Roman" w:hAnsi="Verdana" w:cs="Times New Roman"/>
                    </w:rPr>
                    <w:t>5</w:t>
                  </w:r>
                </w:p>
              </w:tc>
            </w:tr>
            <w:tr w:rsidR="00D61F92" w:rsidRPr="00D22B7C" w14:paraId="7EFF78E6" w14:textId="77777777" w:rsidTr="00CE77A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B165C45" w14:textId="77777777" w:rsidR="00D61F92" w:rsidRPr="00D22B7C" w:rsidRDefault="00D61F92" w:rsidP="00D61F92">
                  <w:pPr>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3DEA227" w14:textId="77777777" w:rsidR="00D61F92" w:rsidRPr="00D22B7C" w:rsidRDefault="00D61F92" w:rsidP="00D61F92">
                  <w:pPr>
                    <w:jc w:val="center"/>
                    <w:rPr>
                      <w:rFonts w:ascii="Verdana" w:hAnsi="Verdana"/>
                    </w:rPr>
                  </w:pPr>
                  <w:r w:rsidRPr="00D22B7C">
                    <w:rPr>
                      <w:rFonts w:ascii="Verdana" w:eastAsia="Times New Roman" w:hAnsi="Verdana" w:cs="Times New Roman"/>
                    </w:rPr>
                    <w:t>7</w:t>
                  </w:r>
                </w:p>
              </w:tc>
            </w:tr>
            <w:tr w:rsidR="00D61F92" w:rsidRPr="00D22B7C" w14:paraId="2B3183CE" w14:textId="77777777" w:rsidTr="00CE77A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9CDFB61" w14:textId="77777777" w:rsidR="00D61F92" w:rsidRPr="00D22B7C" w:rsidRDefault="00D61F92" w:rsidP="00D61F92">
                  <w:pPr>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E317A66" w14:textId="77777777" w:rsidR="00D61F92" w:rsidRPr="00D22B7C" w:rsidRDefault="00D61F92" w:rsidP="00D61F92">
                  <w:pPr>
                    <w:jc w:val="center"/>
                    <w:rPr>
                      <w:rFonts w:ascii="Verdana" w:hAnsi="Verdana"/>
                    </w:rPr>
                  </w:pPr>
                  <w:r w:rsidRPr="00D22B7C">
                    <w:rPr>
                      <w:rFonts w:ascii="Verdana" w:eastAsia="Times New Roman" w:hAnsi="Verdana" w:cs="Times New Roman"/>
                    </w:rPr>
                    <w:t>10</w:t>
                  </w:r>
                </w:p>
              </w:tc>
            </w:tr>
            <w:tr w:rsidR="00D61F92" w:rsidRPr="00D22B7C" w14:paraId="7688C46C" w14:textId="77777777" w:rsidTr="00CE77A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59A4D21" w14:textId="77777777" w:rsidR="00D61F92" w:rsidRPr="00D22B7C" w:rsidRDefault="00D61F92" w:rsidP="00D61F92">
                  <w:pPr>
                    <w:jc w:val="center"/>
                    <w:rPr>
                      <w:rFonts w:ascii="Verdana" w:hAnsi="Verdana"/>
                    </w:rPr>
                  </w:pPr>
                  <w:r w:rsidRPr="00D22B7C">
                    <w:rPr>
                      <w:rFonts w:ascii="Verdana" w:eastAsia="Times New Roman" w:hAnsi="Verdana" w:cs="Times New Roman"/>
                    </w:rPr>
                    <w:lastRenderedPageBreak/>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B8DB5EB" w14:textId="77777777" w:rsidR="00D61F92" w:rsidRPr="00D22B7C" w:rsidRDefault="00D61F92" w:rsidP="00D61F92">
                  <w:pPr>
                    <w:jc w:val="center"/>
                    <w:rPr>
                      <w:rFonts w:ascii="Verdana" w:hAnsi="Verdana"/>
                    </w:rPr>
                  </w:pPr>
                  <w:r w:rsidRPr="00D22B7C">
                    <w:rPr>
                      <w:rFonts w:ascii="Verdana" w:eastAsia="Times New Roman" w:hAnsi="Verdana" w:cs="Times New Roman"/>
                    </w:rPr>
                    <w:t>12</w:t>
                  </w:r>
                </w:p>
              </w:tc>
            </w:tr>
            <w:tr w:rsidR="00D61F92" w:rsidRPr="00D22B7C" w14:paraId="76C1A129" w14:textId="77777777" w:rsidTr="00CE77A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7E44B15" w14:textId="77777777" w:rsidR="00D61F92" w:rsidRPr="00D22B7C" w:rsidRDefault="00D61F92" w:rsidP="00D61F92">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C215B8B" w14:textId="77777777" w:rsidR="00D61F92" w:rsidRPr="00D22B7C" w:rsidRDefault="00D61F92" w:rsidP="00D61F92">
                  <w:pPr>
                    <w:jc w:val="center"/>
                    <w:rPr>
                      <w:rFonts w:ascii="Verdana" w:hAnsi="Verdana"/>
                    </w:rPr>
                  </w:pPr>
                  <w:r w:rsidRPr="00D22B7C">
                    <w:rPr>
                      <w:rFonts w:ascii="Verdana" w:eastAsia="Times New Roman" w:hAnsi="Verdana" w:cs="Times New Roman"/>
                    </w:rPr>
                    <w:t>14</w:t>
                  </w:r>
                </w:p>
              </w:tc>
            </w:tr>
            <w:tr w:rsidR="00D61F92" w:rsidRPr="00D22B7C" w14:paraId="41B311DB" w14:textId="77777777" w:rsidTr="00CE77A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D508E8A" w14:textId="77777777" w:rsidR="00D61F92" w:rsidRPr="00D22B7C" w:rsidRDefault="00D61F92" w:rsidP="00D61F92">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6792CA9" w14:textId="77777777" w:rsidR="00D61F92" w:rsidRPr="00D22B7C" w:rsidRDefault="00D61F92" w:rsidP="00D61F92">
                  <w:pPr>
                    <w:jc w:val="center"/>
                    <w:rPr>
                      <w:rFonts w:ascii="Verdana" w:hAnsi="Verdana"/>
                    </w:rPr>
                  </w:pPr>
                  <w:r w:rsidRPr="00D22B7C">
                    <w:rPr>
                      <w:rFonts w:ascii="Verdana" w:eastAsia="Times New Roman" w:hAnsi="Verdana" w:cs="Times New Roman"/>
                    </w:rPr>
                    <w:t>16</w:t>
                  </w:r>
                </w:p>
              </w:tc>
            </w:tr>
            <w:tr w:rsidR="00D61F92" w:rsidRPr="00D22B7C" w14:paraId="5E562A82" w14:textId="77777777" w:rsidTr="00CE77A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DC0DCD2" w14:textId="77777777" w:rsidR="00D61F92" w:rsidRPr="00D22B7C" w:rsidRDefault="00D61F92" w:rsidP="00D61F92">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AE42B19" w14:textId="77777777" w:rsidR="00D61F92" w:rsidRPr="00D22B7C" w:rsidRDefault="00D61F92" w:rsidP="00D61F92">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2AA9A18F" w14:textId="77777777" w:rsidR="00D61F92" w:rsidRPr="00D22B7C" w:rsidRDefault="00D61F92" w:rsidP="00D61F92">
            <w:pPr>
              <w:spacing w:line="276" w:lineRule="auto"/>
              <w:rPr>
                <w:rFonts w:ascii="Verdana" w:hAnsi="Verdana"/>
              </w:rPr>
            </w:pPr>
          </w:p>
          <w:p w14:paraId="40B9E698" w14:textId="642B07B7" w:rsidR="00D61F92" w:rsidRPr="00D61F92" w:rsidRDefault="00D61F92" w:rsidP="00D61F92">
            <w:pPr>
              <w:spacing w:after="120" w:line="276" w:lineRule="auto"/>
              <w:ind w:firstLine="709"/>
              <w:jc w:val="both"/>
              <w:rPr>
                <w:rFonts w:ascii="Verdana" w:hAnsi="Verdana"/>
              </w:rPr>
            </w:pPr>
            <w:r w:rsidRPr="00D22B7C">
              <w:rPr>
                <w:rFonts w:ascii="Verdana" w:eastAsia="Times New Roman" w:hAnsi="Verdana" w:cs="Times New Roman"/>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p>
          <w:p w14:paraId="0C091E2E" w14:textId="6C747CF8" w:rsidR="00EE12BB" w:rsidRPr="00EE12BB" w:rsidRDefault="00DA24F1" w:rsidP="00DB4F60">
            <w:pPr>
              <w:spacing w:before="120" w:after="120" w:line="276" w:lineRule="auto"/>
              <w:ind w:firstLine="709"/>
              <w:jc w:val="both"/>
              <w:rPr>
                <w:rFonts w:ascii="Verdana" w:eastAsia="Calibri" w:hAnsi="Verdana" w:cs="Arial"/>
                <w:color w:val="000000" w:themeColor="text1"/>
                <w:lang w:eastAsia="es-ES"/>
              </w:rPr>
            </w:pPr>
            <w:r>
              <w:rPr>
                <w:rFonts w:ascii="Verdana" w:eastAsia="Times New Roman" w:hAnsi="Verdana" w:cs="Times New Roman"/>
              </w:rPr>
              <w:t xml:space="preserve">iii) </w:t>
            </w:r>
            <w:r w:rsidR="0027569D">
              <w:rPr>
                <w:rFonts w:ascii="Verdana" w:eastAsia="Times New Roman" w:hAnsi="Verdana" w:cs="Times New Roman"/>
              </w:rPr>
              <w:t xml:space="preserve">Ahora bien, tal como se mencionó, </w:t>
            </w:r>
            <w:r w:rsidR="008B3A17" w:rsidRPr="008B3A17">
              <w:rPr>
                <w:rFonts w:ascii="Verdana" w:eastAsia="Times New Roman" w:hAnsi="Verdana" w:cs="Times New Roman"/>
              </w:rPr>
              <w:t>el artículo 2.2.1.2.4.2.7.4. del Decreto 0287 de 2026 establece una tabla</w:t>
            </w:r>
            <w:r w:rsidR="00C45CE3">
              <w:rPr>
                <w:rFonts w:ascii="Verdana" w:eastAsia="Times New Roman" w:hAnsi="Verdana" w:cs="Times New Roman"/>
              </w:rPr>
              <w:t>,</w:t>
            </w:r>
            <w:r w:rsidR="00EC3DA0">
              <w:rPr>
                <w:rFonts w:ascii="Verdana" w:eastAsia="Times New Roman" w:hAnsi="Verdana" w:cs="Times New Roman"/>
              </w:rPr>
              <w:t xml:space="preserve"> para determinar el número mínimo de PcD </w:t>
            </w:r>
            <w:r w:rsidR="00DB4F60">
              <w:rPr>
                <w:rFonts w:ascii="Verdana" w:eastAsia="Times New Roman" w:hAnsi="Verdana" w:cs="Times New Roman"/>
              </w:rPr>
              <w:t>vinculadas a la planta de personal para aplicar el puntaje del 2%, esta interpretación es taxativa</w:t>
            </w:r>
            <w:r w:rsidR="00085F31">
              <w:rPr>
                <w:rFonts w:ascii="Verdana" w:eastAsia="Times New Roman" w:hAnsi="Verdana" w:cs="Times New Roman"/>
              </w:rPr>
              <w:t>,</w:t>
            </w:r>
            <w:r w:rsidR="003D742D">
              <w:rPr>
                <w:rFonts w:ascii="Verdana" w:eastAsia="Times New Roman" w:hAnsi="Verdana" w:cs="Times New Roman"/>
              </w:rPr>
              <w:t xml:space="preserve"> y </w:t>
            </w:r>
            <w:r w:rsidR="003D742D" w:rsidRPr="003D742D">
              <w:rPr>
                <w:rFonts w:ascii="Verdana" w:eastAsia="Times New Roman" w:hAnsi="Verdana" w:cs="Times New Roman"/>
              </w:rPr>
              <w:t>tratándose de un factor de ponderación expresamente regulado, la verificación de su cumplimiento debe efectuarse de manera objetiva y con estricta sujeción a los presupuestos establecidos en la norma</w:t>
            </w:r>
            <w:r w:rsidR="003D742D">
              <w:rPr>
                <w:rFonts w:ascii="Verdana" w:eastAsia="Times New Roman" w:hAnsi="Verdana" w:cs="Times New Roman"/>
              </w:rPr>
              <w:t>. P</w:t>
            </w:r>
            <w:r w:rsidR="00085F31">
              <w:rPr>
                <w:rFonts w:ascii="Verdana" w:eastAsia="Times New Roman" w:hAnsi="Verdana" w:cs="Times New Roman"/>
              </w:rPr>
              <w:t xml:space="preserve">or </w:t>
            </w:r>
            <w:r w:rsidR="002E4041">
              <w:rPr>
                <w:rFonts w:ascii="Verdana" w:eastAsia="Times New Roman" w:hAnsi="Verdana" w:cs="Times New Roman"/>
              </w:rPr>
              <w:t xml:space="preserve">otra parte, </w:t>
            </w:r>
            <w:r w:rsidR="00272761">
              <w:rPr>
                <w:rFonts w:ascii="Verdana" w:eastAsia="Times New Roman" w:hAnsi="Verdana" w:cs="Times New Roman"/>
              </w:rPr>
              <w:t>em ejercicio de las competencias consagradas en</w:t>
            </w:r>
            <w:r w:rsidR="00882F4D">
              <w:rPr>
                <w:rFonts w:ascii="Verdana" w:eastAsia="Times New Roman" w:hAnsi="Verdana" w:cs="Times New Roman"/>
              </w:rPr>
              <w:t xml:space="preserve"> </w:t>
            </w:r>
            <w:r w:rsidR="00272761">
              <w:rPr>
                <w:rFonts w:ascii="Verdana" w:eastAsia="Times New Roman" w:hAnsi="Verdana" w:cs="Times New Roman"/>
              </w:rPr>
              <w:t>los artículo 3, numeral 5, 11, numeral 8, 12</w:t>
            </w:r>
            <w:r w:rsidR="00DC1DFA">
              <w:rPr>
                <w:rFonts w:ascii="Verdana" w:eastAsia="Times New Roman" w:hAnsi="Verdana" w:cs="Times New Roman"/>
              </w:rPr>
              <w:t>, numeral 6, 13, numeral 4, del Decreto 4170 de 2011, la Agencia Nacional de Contratació</w:t>
            </w:r>
            <w:r w:rsidR="00991941">
              <w:rPr>
                <w:rFonts w:ascii="Verdana" w:eastAsia="Times New Roman" w:hAnsi="Verdana" w:cs="Times New Roman"/>
              </w:rPr>
              <w:t xml:space="preserve">n Pública – Colombia Compra Eficiente, </w:t>
            </w:r>
            <w:r w:rsidR="00782370">
              <w:rPr>
                <w:rFonts w:ascii="Verdana" w:eastAsia="Times New Roman" w:hAnsi="Verdana" w:cs="Times New Roman"/>
              </w:rPr>
              <w:t xml:space="preserve">resuelve consultas sobre asuntos de su competencia, </w:t>
            </w:r>
            <w:r w:rsidR="00991941">
              <w:rPr>
                <w:rFonts w:ascii="Verdana" w:eastAsia="Times New Roman" w:hAnsi="Verdana" w:cs="Times New Roman"/>
              </w:rPr>
              <w:t xml:space="preserve"> </w:t>
            </w:r>
            <w:r w:rsidR="004C2EB3">
              <w:rPr>
                <w:rFonts w:ascii="Verdana" w:eastAsia="Times New Roman" w:hAnsi="Verdana" w:cs="Times New Roman"/>
              </w:rPr>
              <w:t xml:space="preserve">razón por la cual esta Agencia, no </w:t>
            </w:r>
            <w:r w:rsidR="00EE7B33">
              <w:rPr>
                <w:rFonts w:ascii="Verdana" w:eastAsia="Times New Roman" w:hAnsi="Verdana" w:cs="Times New Roman"/>
              </w:rPr>
              <w:t xml:space="preserve"> tiene competencia </w:t>
            </w:r>
            <w:r w:rsidR="007B34C7">
              <w:rPr>
                <w:rFonts w:ascii="Verdana" w:eastAsia="Times New Roman" w:hAnsi="Verdana" w:cs="Times New Roman"/>
              </w:rPr>
              <w:t>para modificar, ni flexibilizar el mínimo de personas con discapacidad que e</w:t>
            </w:r>
            <w:r w:rsidR="00EC3A13">
              <w:rPr>
                <w:rFonts w:ascii="Verdana" w:eastAsia="Times New Roman" w:hAnsi="Verdana" w:cs="Times New Roman"/>
              </w:rPr>
              <w:t xml:space="preserve">stablece el Decreto 0287 de 2026, puesto que dicha competencia obedece a </w:t>
            </w:r>
            <w:r w:rsidR="00A6456E">
              <w:rPr>
                <w:rFonts w:ascii="Verdana" w:eastAsia="Times New Roman" w:hAnsi="Verdana" w:cs="Times New Roman"/>
              </w:rPr>
              <w:t xml:space="preserve">la función consultiva </w:t>
            </w:r>
            <w:r w:rsidR="00EC4D09">
              <w:rPr>
                <w:rFonts w:ascii="Verdana" w:eastAsia="Times New Roman" w:hAnsi="Verdana" w:cs="Times New Roman"/>
              </w:rPr>
              <w:t>para interpretar las disposiciones</w:t>
            </w:r>
            <w:r w:rsidR="002A1AD8">
              <w:rPr>
                <w:rFonts w:ascii="Verdana" w:eastAsia="Times New Roman" w:hAnsi="Verdana" w:cs="Times New Roman"/>
              </w:rPr>
              <w:t xml:space="preserve"> que integran </w:t>
            </w:r>
            <w:r w:rsidR="0028678C">
              <w:rPr>
                <w:rFonts w:ascii="Verdana" w:eastAsia="Times New Roman" w:hAnsi="Verdana" w:cs="Times New Roman"/>
              </w:rPr>
              <w:t>el régimen de contratación estatal</w:t>
            </w:r>
            <w:r w:rsidR="004C2EB3">
              <w:rPr>
                <w:rFonts w:ascii="Verdana" w:eastAsia="Times New Roman" w:hAnsi="Verdana" w:cs="Times New Roman"/>
              </w:rPr>
              <w:t>.</w:t>
            </w:r>
            <w:r w:rsidR="0028678C">
              <w:rPr>
                <w:rFonts w:ascii="Verdana" w:eastAsia="Times New Roman" w:hAnsi="Verdana" w:cs="Times New Roman"/>
              </w:rPr>
              <w:t xml:space="preserve"> </w:t>
            </w:r>
          </w:p>
        </w:tc>
      </w:tr>
      <w:tr w:rsidR="002C1490" w:rsidRPr="00206556" w14:paraId="628C9F48" w14:textId="77777777" w:rsidTr="00AC3677">
        <w:tc>
          <w:tcPr>
            <w:tcW w:w="8828" w:type="dxa"/>
          </w:tcPr>
          <w:p w14:paraId="6CD28030" w14:textId="4970832B" w:rsidR="002C1490" w:rsidRPr="002C1490" w:rsidRDefault="002C1490" w:rsidP="002C1490">
            <w:pPr>
              <w:spacing w:after="120" w:line="276" w:lineRule="auto"/>
              <w:jc w:val="both"/>
              <w:rPr>
                <w:rFonts w:ascii="Verdana" w:eastAsia="Calibri" w:hAnsi="Verdana" w:cs="Arial"/>
                <w:color w:val="000000" w:themeColor="text1"/>
                <w:lang w:eastAsia="es-ES"/>
              </w:rPr>
            </w:pPr>
          </w:p>
        </w:tc>
      </w:tr>
    </w:tbl>
    <w:p w14:paraId="36C3416E" w14:textId="77777777" w:rsidR="007114C8" w:rsidRDefault="007114C8" w:rsidP="007A71B5">
      <w:pPr>
        <w:spacing w:after="0" w:line="240" w:lineRule="auto"/>
        <w:textAlignment w:val="baseline"/>
        <w:rPr>
          <w:rFonts w:ascii="Verdana" w:eastAsia="Verdana" w:hAnsi="Verdana" w:cs="Verdana"/>
          <w:b/>
          <w:bCs/>
          <w:lang w:eastAsia="es-CO"/>
        </w:rPr>
      </w:pPr>
    </w:p>
    <w:p w14:paraId="69BC4D14" w14:textId="35D7E6EF" w:rsidR="00C15139" w:rsidRPr="00A1227B" w:rsidRDefault="00A1227B" w:rsidP="007A71B5">
      <w:pPr>
        <w:spacing w:after="0" w:line="240" w:lineRule="auto"/>
        <w:textAlignment w:val="baseline"/>
        <w:rPr>
          <w:rFonts w:ascii="Verdana" w:eastAsia="Verdana" w:hAnsi="Verdana" w:cs="Verdana"/>
          <w:b/>
          <w:bCs/>
          <w:lang w:eastAsia="es-CO"/>
        </w:rPr>
      </w:pPr>
      <w:r w:rsidRPr="00A1227B">
        <w:rPr>
          <w:rFonts w:ascii="Verdana" w:eastAsia="Verdana" w:hAnsi="Verdana" w:cs="Verdana"/>
          <w:b/>
          <w:bCs/>
          <w:lang w:eastAsia="es-CO"/>
        </w:rPr>
        <w:t xml:space="preserve">3. Razones de la respuesta: </w:t>
      </w:r>
    </w:p>
    <w:p w14:paraId="32AEFD96" w14:textId="77777777" w:rsidR="00A1227B" w:rsidRDefault="00A1227B" w:rsidP="007A71B5">
      <w:pPr>
        <w:spacing w:after="0" w:line="240" w:lineRule="auto"/>
        <w:textAlignment w:val="baseline"/>
        <w:rPr>
          <w:rFonts w:ascii="Verdana" w:eastAsia="Verdana" w:hAnsi="Verdana" w:cs="Verdana"/>
          <w:lang w:eastAsia="es-CO"/>
        </w:rPr>
      </w:pPr>
    </w:p>
    <w:p w14:paraId="72A92DAA" w14:textId="6B52140C" w:rsidR="00A1227B" w:rsidRDefault="00A1227B" w:rsidP="007A71B5">
      <w:pPr>
        <w:spacing w:after="0" w:line="240" w:lineRule="auto"/>
        <w:textAlignment w:val="baseline"/>
        <w:rPr>
          <w:rFonts w:ascii="Verdana" w:eastAsia="Verdana" w:hAnsi="Verdana" w:cs="Verdana"/>
          <w:lang w:eastAsia="es-CO"/>
        </w:rPr>
      </w:pPr>
      <w:r>
        <w:rPr>
          <w:rFonts w:ascii="Verdana" w:eastAsia="Verdana" w:hAnsi="Verdana" w:cs="Verdana"/>
          <w:lang w:eastAsia="es-CO"/>
        </w:rPr>
        <w:t xml:space="preserve">Lo anterior se sustenta en las siguientes consideraciones: </w:t>
      </w:r>
    </w:p>
    <w:p w14:paraId="5813702E" w14:textId="77777777" w:rsidR="00F204D5" w:rsidRDefault="00F204D5" w:rsidP="007A71B5">
      <w:pPr>
        <w:spacing w:after="0" w:line="240" w:lineRule="auto"/>
        <w:textAlignment w:val="baseline"/>
        <w:rPr>
          <w:rFonts w:ascii="Verdana" w:eastAsia="Verdana" w:hAnsi="Verdana" w:cs="Verdana"/>
          <w:lang w:eastAsia="es-CO"/>
        </w:rPr>
      </w:pPr>
    </w:p>
    <w:p w14:paraId="73A9BBFB" w14:textId="77777777" w:rsidR="00F204D5" w:rsidRPr="00206556" w:rsidRDefault="00F204D5" w:rsidP="00F204D5">
      <w:pPr>
        <w:spacing w:after="120" w:line="276" w:lineRule="auto"/>
        <w:jc w:val="both"/>
        <w:rPr>
          <w:rFonts w:ascii="Verdana" w:hAnsi="Verdana"/>
        </w:rPr>
      </w:pPr>
      <w:r w:rsidRPr="00206556">
        <w:rPr>
          <w:rFonts w:ascii="Verdana" w:eastAsia="Calibri" w:hAnsi="Verdana" w:cs="Arial"/>
        </w:rPr>
        <w:t xml:space="preserve">Para resolver </w:t>
      </w:r>
      <w:r>
        <w:rPr>
          <w:rFonts w:ascii="Verdana" w:eastAsia="Calibri" w:hAnsi="Verdana" w:cs="Arial"/>
        </w:rPr>
        <w:t>los</w:t>
      </w:r>
      <w:r w:rsidRPr="00206556">
        <w:rPr>
          <w:rFonts w:ascii="Verdana" w:eastAsia="Calibri" w:hAnsi="Verdana" w:cs="Arial"/>
        </w:rPr>
        <w:t xml:space="preserve"> problema</w:t>
      </w:r>
      <w:r>
        <w:rPr>
          <w:rFonts w:ascii="Verdana" w:eastAsia="Calibri" w:hAnsi="Verdana" w:cs="Arial"/>
        </w:rPr>
        <w:t>s</w:t>
      </w:r>
      <w:r w:rsidRPr="00206556">
        <w:rPr>
          <w:rFonts w:ascii="Verdana" w:eastAsia="Calibri" w:hAnsi="Verdana" w:cs="Arial"/>
        </w:rPr>
        <w:t xml:space="preserve"> jurídico</w:t>
      </w:r>
      <w:r>
        <w:rPr>
          <w:rFonts w:ascii="Verdana" w:eastAsia="Calibri" w:hAnsi="Verdana" w:cs="Arial"/>
        </w:rPr>
        <w:t>s</w:t>
      </w:r>
      <w:r w:rsidRPr="00206556">
        <w:rPr>
          <w:rFonts w:ascii="Verdana" w:eastAsia="Calibri" w:hAnsi="Verdana" w:cs="Arial"/>
        </w:rPr>
        <w:t xml:space="preserve"> planteado</w:t>
      </w:r>
      <w:r>
        <w:rPr>
          <w:rFonts w:ascii="Verdana" w:eastAsia="Calibri" w:hAnsi="Verdana" w:cs="Arial"/>
        </w:rPr>
        <w:t>s</w:t>
      </w:r>
      <w:r w:rsidRPr="00206556">
        <w:rPr>
          <w:rFonts w:ascii="Verdana" w:eastAsia="Calibri" w:hAnsi="Verdana" w:cs="Arial"/>
        </w:rPr>
        <w:t xml:space="preserve">,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r w:rsidRPr="00206556">
        <w:rPr>
          <w:rFonts w:ascii="Verdana" w:eastAsia="Times New Roman" w:hAnsi="Verdana" w:cs="Times New Roman"/>
        </w:rPr>
        <w:t>El fundamento del Sistema de Preferencias para PcD en la contratación pública es el principio de igualdad real y efectiva consagrado en el artículo 13 de la Constitución Política de 1991</w:t>
      </w:r>
      <w:r w:rsidRPr="00206556">
        <w:rPr>
          <w:rStyle w:val="Refdenotaalpie"/>
          <w:rFonts w:ascii="Verdana" w:eastAsia="Times New Roman" w:hAnsi="Verdana" w:cs="Times New Roman"/>
        </w:rPr>
        <w:footnoteReference w:id="1"/>
      </w:r>
      <w:r>
        <w:rPr>
          <w:rFonts w:ascii="Verdana" w:eastAsia="Times New Roman" w:hAnsi="Verdana" w:cs="Times New Roman"/>
        </w:rPr>
        <w:t>,</w:t>
      </w:r>
      <w:r w:rsidRPr="00206556">
        <w:rPr>
          <w:rFonts w:ascii="Verdana" w:eastAsia="Times New Roman" w:hAnsi="Verdana" w:cs="Times New Roman"/>
        </w:rPr>
        <w:t xml:space="preserve"> que 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PcD</w:t>
      </w:r>
      <w:r w:rsidRPr="00206556">
        <w:rPr>
          <w:rStyle w:val="Refdenotaalpie"/>
          <w:rFonts w:ascii="Verdana" w:eastAsia="Times New Roman" w:hAnsi="Verdana" w:cs="Times New Roman"/>
        </w:rPr>
        <w:footnoteReference w:id="2"/>
      </w:r>
      <w:r>
        <w:rPr>
          <w:rFonts w:ascii="Verdana" w:eastAsia="Times New Roman" w:hAnsi="Verdana" w:cs="Times New Roman"/>
        </w:rPr>
        <w:t>.</w:t>
      </w:r>
    </w:p>
    <w:p w14:paraId="519D6EB7" w14:textId="77777777" w:rsidR="00F204D5" w:rsidRPr="00206556" w:rsidRDefault="00F204D5" w:rsidP="00F204D5">
      <w:pPr>
        <w:spacing w:after="120" w:line="276" w:lineRule="auto"/>
        <w:ind w:firstLine="708"/>
        <w:jc w:val="both"/>
        <w:rPr>
          <w:rFonts w:ascii="Verdana" w:hAnsi="Verdana"/>
        </w:rPr>
      </w:pPr>
      <w:r w:rsidRPr="00206556">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206556">
        <w:rPr>
          <w:rStyle w:val="Refdenotaalpie"/>
          <w:rFonts w:ascii="Verdana" w:eastAsia="Times New Roman" w:hAnsi="Verdana" w:cs="Times New Roman"/>
        </w:rPr>
        <w:footnoteReference w:id="3"/>
      </w:r>
      <w:r w:rsidRPr="00206556">
        <w:rPr>
          <w:rFonts w:ascii="Verdana" w:eastAsia="Times New Roman" w:hAnsi="Verdana" w:cs="Times New Roman"/>
        </w:rPr>
        <w:t xml:space="preserve"> reconoce el derecho de las PcD a trabajar en igualdad de condiciones y exige programas de acción afirmativa. La Convención Interamericana para la Eliminación de todas las Formas de Discriminación</w:t>
      </w:r>
      <w:r w:rsidRPr="00206556">
        <w:rPr>
          <w:rStyle w:val="Refdenotaalpie"/>
          <w:rFonts w:ascii="Verdana" w:eastAsia="Times New Roman" w:hAnsi="Verdana" w:cs="Times New Roman"/>
        </w:rPr>
        <w:footnoteReference w:id="4"/>
      </w:r>
      <w:r w:rsidRPr="00206556">
        <w:rPr>
          <w:rFonts w:ascii="Verdana" w:eastAsia="Times New Roman" w:hAnsi="Verdana" w:cs="Times New Roman"/>
        </w:rPr>
        <w:t xml:space="preserve"> ordena eliminar </w:t>
      </w:r>
      <w:r w:rsidRPr="00206556">
        <w:rPr>
          <w:rFonts w:ascii="Verdana" w:eastAsia="Times New Roman" w:hAnsi="Verdana" w:cs="Times New Roman"/>
        </w:rPr>
        <w:lastRenderedPageBreak/>
        <w:t>progresivamente la discriminación en la prestación de servicios, incluido el empleo. El Convenio 159 de la OIT</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exige medidas orientadas a garantizar la igualdad de oportunidades de todas las categorías de PcD en materia de empleo.</w:t>
      </w:r>
    </w:p>
    <w:p w14:paraId="1FAD36ED" w14:textId="77777777" w:rsidR="00F204D5" w:rsidRPr="00206556" w:rsidRDefault="00F204D5" w:rsidP="00F204D5">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La Ley 361 de 1997 estableció los primeros mecanismos de integración social de las PcD. Su artículo 24 introdujo una preferencia en igualdad de condiciones en licitaciones y adjudicaciones de contratos para los empleadores que tuvieran al menos el 10% de su nómina compuesta por PcD</w:t>
      </w:r>
      <w:r w:rsidRPr="00206556">
        <w:rPr>
          <w:rStyle w:val="Refdenotaalpie"/>
          <w:rFonts w:ascii="Verdana" w:eastAsia="Times New Roman" w:hAnsi="Verdana" w:cs="Times New Roman"/>
        </w:rPr>
        <w:footnoteReference w:id="6"/>
      </w:r>
      <w:r>
        <w:rPr>
          <w:rFonts w:ascii="Verdana" w:eastAsia="Times New Roman" w:hAnsi="Verdana" w:cs="Times New Roman"/>
        </w:rPr>
        <w:t>.</w:t>
      </w:r>
      <w:r w:rsidRPr="00206556">
        <w:rPr>
          <w:rFonts w:ascii="Verdana" w:eastAsia="Times New Roman" w:hAnsi="Verdana" w:cs="Times New Roman"/>
        </w:rPr>
        <w:t xml:space="preserve"> Esta norma vinculó por primera vez la contratación pública con la inclusión laboral de las PcD, pero su alcance era limitado: una preferencia residual aplicable solo en caso de empate, que beneficiaba únicamente a los empleadores de PcD sin considerar a las propias PcD como proponentes directos.</w:t>
      </w:r>
    </w:p>
    <w:p w14:paraId="5320F0C6" w14:textId="77777777" w:rsidR="00F204D5" w:rsidRPr="00206556" w:rsidRDefault="00F204D5" w:rsidP="00F204D5">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Estatutaria 1618 de 2013 representó un salto cualitativo en el marco jurídico de protección de las PcD, al definir a estas como </w:t>
      </w:r>
      <w:r w:rsidRPr="00206556">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7"/>
      </w:r>
      <w:r>
        <w:rPr>
          <w:rFonts w:ascii="Verdana" w:eastAsia="Times New Roman" w:hAnsi="Verdana" w:cs="Times New Roman"/>
          <w:i/>
          <w:iCs/>
        </w:rPr>
        <w:t>.</w:t>
      </w:r>
      <w:r w:rsidRPr="00206556">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w:t>
      </w:r>
      <w:r w:rsidRPr="00206556">
        <w:rPr>
          <w:rStyle w:val="Refdenotaalpie"/>
          <w:rFonts w:ascii="Verdana" w:eastAsia="Times New Roman" w:hAnsi="Verdana" w:cs="Times New Roman"/>
        </w:rPr>
        <w:footnoteReference w:id="8"/>
      </w:r>
      <w:r>
        <w:rPr>
          <w:rFonts w:ascii="Verdana" w:eastAsia="Times New Roman" w:hAnsi="Verdana" w:cs="Times New Roman"/>
        </w:rPr>
        <w:t>.</w:t>
      </w:r>
      <w:r w:rsidRPr="00206556">
        <w:rPr>
          <w:rFonts w:ascii="Verdana" w:eastAsia="Times New Roman" w:hAnsi="Verdana" w:cs="Times New Roman"/>
        </w:rPr>
        <w:t xml:space="preserve"> Este último mandato fue especialmente significativo porque introdujo el concepto de </w:t>
      </w:r>
      <w:r w:rsidRPr="00206556">
        <w:rPr>
          <w:rFonts w:ascii="Verdana" w:eastAsia="Times New Roman" w:hAnsi="Verdana" w:cs="Times New Roman"/>
          <w:i/>
          <w:iCs/>
        </w:rPr>
        <w:t>"sistema de preferencias"</w:t>
      </w:r>
      <w:r w:rsidRPr="00206556">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31C1AB21" w14:textId="77777777" w:rsidR="00F204D5" w:rsidRPr="00A420A9" w:rsidRDefault="00F204D5" w:rsidP="00F204D5">
      <w:pPr>
        <w:spacing w:after="120" w:line="276" w:lineRule="auto"/>
        <w:ind w:firstLine="709"/>
        <w:jc w:val="both"/>
        <w:rPr>
          <w:rFonts w:ascii="Verdana" w:hAnsi="Verdana"/>
        </w:rPr>
      </w:pPr>
      <w:r w:rsidRPr="00E727F0">
        <w:rPr>
          <w:rFonts w:ascii="Verdana" w:hAnsi="Verdana"/>
        </w:rPr>
        <w:lastRenderedPageBreak/>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w:t>
      </w:r>
      <w:r>
        <w:rPr>
          <w:rFonts w:ascii="Verdana" w:hAnsi="Verdana"/>
        </w:rPr>
        <w:t xml:space="preserve"> </w:t>
      </w:r>
      <w:r w:rsidRPr="00A420A9">
        <w:rPr>
          <w:rFonts w:ascii="Verdana" w:hAnsi="Verdana"/>
        </w:rPr>
        <w:t>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6DCEEA9A" w14:textId="77777777" w:rsidR="00F204D5" w:rsidRDefault="00F204D5" w:rsidP="00F204D5">
      <w:pPr>
        <w:spacing w:after="120" w:line="276" w:lineRule="auto"/>
        <w:ind w:firstLine="709"/>
        <w:jc w:val="both"/>
        <w:rPr>
          <w:rFonts w:ascii="Verdana" w:hAnsi="Verdana"/>
        </w:rPr>
      </w:pPr>
      <w:r w:rsidRPr="00A420A9">
        <w:rPr>
          <w:rFonts w:ascii="Verdana" w:hAnsi="Verdana"/>
        </w:rPr>
        <w:t xml:space="preserve">La insuficiencia del Decreto 392 de 2018 fue constatada judicialmente. La Sección Quinta del Consejo de Estado, mediante sentencia de acción de cumplimiento del 12 de diciembre de 2024, radicación </w:t>
      </w:r>
      <w:proofErr w:type="spellStart"/>
      <w:r w:rsidRPr="00A420A9">
        <w:rPr>
          <w:rFonts w:ascii="Verdana" w:hAnsi="Verdana"/>
        </w:rPr>
        <w:t>n.°</w:t>
      </w:r>
      <w:proofErr w:type="spellEnd"/>
      <w:r w:rsidRPr="00A420A9">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60AF914" w14:textId="77777777" w:rsidR="00F204D5" w:rsidRDefault="00F204D5" w:rsidP="00F204D5">
      <w:pPr>
        <w:spacing w:after="120" w:line="276" w:lineRule="auto"/>
        <w:ind w:firstLine="709"/>
        <w:jc w:val="both"/>
        <w:rPr>
          <w:rFonts w:ascii="Verdana" w:eastAsia="Times New Roman" w:hAnsi="Verdana" w:cs="Times New Roman"/>
        </w:rPr>
      </w:pPr>
      <w:r w:rsidRPr="00E727F0">
        <w:rPr>
          <w:rFonts w:ascii="Verdana" w:hAnsi="Verdana"/>
        </w:rPr>
        <w:t>En cumplimiento de esa decisión fue expedido el Decreto 0287 de 2026, el cual, como se indicó en la respuesta, establece un Sistema Integral de Preferencias compuesto por cinco medidas afirmativas que actúan en todas las fases del proceso contractual</w:t>
      </w:r>
      <w:r>
        <w:rPr>
          <w:rFonts w:ascii="Verdana" w:hAnsi="Verdana"/>
        </w:rPr>
        <w:t xml:space="preserve">, </w:t>
      </w:r>
      <w:r w:rsidRPr="00E727F0">
        <w:rPr>
          <w:rFonts w:ascii="Verdana" w:hAnsi="Verdana"/>
        </w:rPr>
        <w:t>planeación, selección, adjudicación y ejecución</w:t>
      </w:r>
      <w:r>
        <w:rPr>
          <w:rFonts w:ascii="Verdana" w:hAnsi="Verdana"/>
        </w:rPr>
        <w:t xml:space="preserve">, </w:t>
      </w:r>
      <w:r w:rsidRPr="00E727F0">
        <w:rPr>
          <w:rFonts w:ascii="Verdana" w:hAnsi="Verdana"/>
        </w:rPr>
        <w:t xml:space="preserve">y que benefician a dos sujetos diferenciados: los emprendimientos y empresas de PcD y los empleadores de PcD. </w:t>
      </w:r>
    </w:p>
    <w:p w14:paraId="5E0233BA" w14:textId="77777777" w:rsidR="00F204D5" w:rsidRPr="00D851ED" w:rsidRDefault="00F204D5" w:rsidP="00F204D5">
      <w:pPr>
        <w:spacing w:before="120" w:after="120" w:line="276" w:lineRule="auto"/>
        <w:ind w:firstLine="708"/>
        <w:jc w:val="both"/>
        <w:rPr>
          <w:rFonts w:ascii="Verdana" w:eastAsia="Calibri" w:hAnsi="Verdana" w:cs="Arial"/>
        </w:rPr>
      </w:pPr>
      <w:r>
        <w:rPr>
          <w:rFonts w:ascii="Verdana" w:eastAsia="Calibri" w:hAnsi="Verdana" w:cs="Arial"/>
        </w:rPr>
        <w:t xml:space="preserve">Respecto del régimen de transición para la aplicación del Decreto 287 de 2026, se debe tener en cuenta que </w:t>
      </w:r>
      <w:r w:rsidRPr="00D851ED">
        <w:rPr>
          <w:rFonts w:ascii="Verdana" w:eastAsia="Calibri" w:hAnsi="Verdana" w:cs="Arial"/>
        </w:rPr>
        <w:t xml:space="preserve">se expidió el 19 de marzo de 2026, y rige a partir del día siguiente a su publicación en el Diario Oficial, derogando todas las disposiciones contrarias, incluidas las versiones anteriores de los artículos 2.2.1.2.4.2.6., 2.2.1.2.4.2.7. y 2.2.1.2.4.2.8. del Decreto 1082 de 2015. Se </w:t>
      </w:r>
      <w:r w:rsidRPr="00D851ED">
        <w:rPr>
          <w:rFonts w:ascii="Verdana" w:eastAsia="Calibri" w:hAnsi="Verdana" w:cs="Arial"/>
        </w:rPr>
        <w:lastRenderedPageBreak/>
        <w:t>aclara que la numeración del Decreto 392 de 2018 se mantuvo, pero su contenido fue modificado en su integridad, por lo que no hubo derogatoria sino modificación total para conservar la numeración del mencionado decreto</w:t>
      </w:r>
      <w:r>
        <w:rPr>
          <w:rFonts w:ascii="Verdana" w:eastAsia="Calibri" w:hAnsi="Verdana" w:cs="Arial"/>
        </w:rPr>
        <w:t>, pero lo señalado en este concepto debe entenderse de acuerdo con la nueva redacción de los artículos enlistados, y no recurrir a la antigua redacción</w:t>
      </w:r>
      <w:r w:rsidRPr="00D851ED">
        <w:rPr>
          <w:rFonts w:ascii="Verdana" w:eastAsia="Calibri" w:hAnsi="Verdana" w:cs="Arial"/>
        </w:rPr>
        <w:t>.</w:t>
      </w:r>
    </w:p>
    <w:p w14:paraId="15876102" w14:textId="77777777" w:rsidR="00F204D5" w:rsidRPr="00D851ED" w:rsidRDefault="00F204D5" w:rsidP="00F204D5">
      <w:pPr>
        <w:spacing w:before="120" w:after="120" w:line="276" w:lineRule="auto"/>
        <w:ind w:firstLine="709"/>
        <w:jc w:val="both"/>
        <w:rPr>
          <w:rFonts w:ascii="Verdana" w:eastAsia="Calibri" w:hAnsi="Verdana" w:cs="Arial"/>
        </w:rPr>
      </w:pPr>
      <w:r w:rsidRPr="00D851ED">
        <w:rPr>
          <w:rFonts w:ascii="Verdana" w:eastAsia="Calibri" w:hAnsi="Verdana" w:cs="Arial"/>
        </w:rPr>
        <w:t>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ii)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05A13590" w14:textId="77777777" w:rsidR="00F204D5" w:rsidRDefault="00F204D5" w:rsidP="00F204D5">
      <w:pPr>
        <w:spacing w:after="120" w:line="276" w:lineRule="auto"/>
        <w:ind w:firstLine="708"/>
        <w:jc w:val="both"/>
        <w:rPr>
          <w:rFonts w:ascii="Verdana" w:eastAsia="Calibri" w:hAnsi="Verdana" w:cs="Arial"/>
        </w:rPr>
      </w:pPr>
      <w:r w:rsidRPr="00D851ED">
        <w:rPr>
          <w:rFonts w:ascii="Verdana" w:eastAsia="Calibri" w:hAnsi="Verdana" w:cs="Arial"/>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r>
        <w:rPr>
          <w:rFonts w:ascii="Verdana" w:eastAsia="Calibri" w:hAnsi="Verdana" w:cs="Arial"/>
        </w:rPr>
        <w:t>.</w:t>
      </w:r>
    </w:p>
    <w:p w14:paraId="149092C2" w14:textId="77777777" w:rsidR="00F204D5" w:rsidRPr="008335A2" w:rsidRDefault="00F204D5" w:rsidP="00F204D5">
      <w:pPr>
        <w:spacing w:after="120" w:line="276" w:lineRule="auto"/>
        <w:ind w:firstLine="708"/>
        <w:jc w:val="both"/>
        <w:rPr>
          <w:rFonts w:ascii="Verdana" w:eastAsia="Calibri" w:hAnsi="Verdana" w:cs="Arial"/>
        </w:rPr>
      </w:pPr>
      <w:r>
        <w:rPr>
          <w:rFonts w:ascii="Verdana" w:eastAsia="Calibri" w:hAnsi="Verdana" w:cs="Arial"/>
        </w:rPr>
        <w:t xml:space="preserve">ii) </w:t>
      </w:r>
      <w:r w:rsidRPr="008335A2">
        <w:rPr>
          <w:rFonts w:ascii="Verdana" w:eastAsia="Calibri" w:hAnsi="Verdana" w:cs="Arial"/>
        </w:rPr>
        <w:t>El numeral 4 del artículo 2.2.1.2.4.2.6 del Decreto 287 de 2026 establece como una de las modalidades para acreditar la condición de emprendimiento o empresa de personas con discapacidad la existencia de una persona jurídica que tenga vinculada laboralmente, durante al menos el último año anterior a la fecha de cierre del proceso de selección, a una persona con discapacidad en un empleo del nivel directivo.</w:t>
      </w:r>
    </w:p>
    <w:p w14:paraId="095ACDDC" w14:textId="77777777" w:rsidR="00F204D5" w:rsidRPr="008335A2" w:rsidRDefault="00F204D5" w:rsidP="00F204D5">
      <w:pPr>
        <w:spacing w:after="120" w:line="276" w:lineRule="auto"/>
        <w:ind w:firstLine="708"/>
        <w:jc w:val="both"/>
        <w:rPr>
          <w:rFonts w:ascii="Verdana" w:eastAsia="Calibri" w:hAnsi="Verdana" w:cs="Arial"/>
        </w:rPr>
      </w:pPr>
      <w:r w:rsidRPr="008335A2">
        <w:rPr>
          <w:rFonts w:ascii="Verdana" w:eastAsia="Calibri" w:hAnsi="Verdana" w:cs="Arial"/>
        </w:rPr>
        <w:t>De la lectura de la disposición se advierte que su ámbito de aplicación está restringido a las personas jurídicas, toda vez que la norma exige la existencia de una estructura organizacional empresarial que permita identificar cargos del nivel directivo, acreditar una vinculación laboral y demostrar el pago de aportes al sistema de seguridad social por parte del empleador.</w:t>
      </w:r>
    </w:p>
    <w:p w14:paraId="7B9818EE" w14:textId="77777777" w:rsidR="00F204D5" w:rsidRPr="008335A2" w:rsidRDefault="00F204D5" w:rsidP="00F204D5">
      <w:pPr>
        <w:spacing w:after="120" w:line="276" w:lineRule="auto"/>
        <w:ind w:firstLine="708"/>
        <w:jc w:val="both"/>
        <w:rPr>
          <w:rFonts w:ascii="Verdana" w:eastAsia="Calibri" w:hAnsi="Verdana" w:cs="Arial"/>
        </w:rPr>
      </w:pPr>
      <w:r w:rsidRPr="008335A2">
        <w:rPr>
          <w:rFonts w:ascii="Verdana" w:eastAsia="Calibri" w:hAnsi="Verdana" w:cs="Arial"/>
        </w:rPr>
        <w:t xml:space="preserve">En consecuencia, una persona natural no puede acreditar la condición prevista en el numeral 4, dado que este supuesto fue diseñado exclusivamente para personas jurídicas. Para las personas naturales con discapacidad, el mismo </w:t>
      </w:r>
      <w:r w:rsidRPr="008335A2">
        <w:rPr>
          <w:rFonts w:ascii="Verdana" w:eastAsia="Calibri" w:hAnsi="Verdana" w:cs="Arial"/>
        </w:rPr>
        <w:lastRenderedPageBreak/>
        <w:t>artículo contempla mecanismos específicos de acreditación en los numerales 1 y 2, correspondientes a quienes ejercen una profesión liberal o desarrollan actividades comerciales a través de un establecimiento de comercio.</w:t>
      </w:r>
    </w:p>
    <w:p w14:paraId="15016284" w14:textId="77777777" w:rsidR="00F204D5" w:rsidRDefault="00F204D5" w:rsidP="00F204D5">
      <w:pPr>
        <w:spacing w:after="120" w:line="276" w:lineRule="auto"/>
        <w:ind w:firstLine="708"/>
        <w:jc w:val="both"/>
        <w:rPr>
          <w:rFonts w:ascii="Verdana" w:eastAsia="Calibri" w:hAnsi="Verdana" w:cs="Arial"/>
        </w:rPr>
      </w:pPr>
      <w:r w:rsidRPr="008335A2">
        <w:rPr>
          <w:rFonts w:ascii="Verdana" w:eastAsia="Calibri" w:hAnsi="Verdana" w:cs="Arial"/>
        </w:rPr>
        <w:t>Por otra parte, cuando se trate de una persona jurídica que pretenda acreditar el cumplimiento del numeral 4, sí es necesario demostrar la vinculación laboral de al menos una persona con discapacidad que ocupe un cargo del nivel directivo durante el período exigido por la norma. Dicha circunstancia debe acreditarse mediante la certificación correspondiente, acompañada de los documentos de identidad, el certificado de discapacidad, el contrato de trabajo o certificación laboral con funciones, así como los soportes de aportes al sistema de seguridad social del último año.</w:t>
      </w:r>
    </w:p>
    <w:p w14:paraId="712D25C3" w14:textId="77777777" w:rsidR="00F204D5" w:rsidRPr="00374D19" w:rsidRDefault="00F204D5" w:rsidP="00F204D5">
      <w:pPr>
        <w:spacing w:after="120" w:line="276" w:lineRule="auto"/>
        <w:ind w:firstLine="708"/>
        <w:jc w:val="both"/>
        <w:rPr>
          <w:rFonts w:ascii="Verdana" w:eastAsia="Calibri" w:hAnsi="Verdana" w:cs="Arial"/>
        </w:rPr>
      </w:pPr>
      <w:r>
        <w:rPr>
          <w:rFonts w:ascii="Verdana" w:eastAsia="Calibri" w:hAnsi="Verdana" w:cs="Arial"/>
        </w:rPr>
        <w:t>A</w:t>
      </w:r>
      <w:r w:rsidRPr="00374D19">
        <w:rPr>
          <w:rFonts w:ascii="Verdana" w:eastAsia="Calibri" w:hAnsi="Verdana" w:cs="Arial"/>
        </w:rPr>
        <w:t>dicionalmente, la norma establece expresamente qué debe entenderse por empleos del nivel directivo para efectos de la acreditación prevista en el numeral 4 del artículo 2.2.1.2.4.2.6 del Decreto 287 de 2026. En efecto, dispone que son aquellos cargos cuyas funciones se encuentran relacionadas con la dirección de áreas misionales de la empresa y con la adopción de decisiones de carácter estratégico.</w:t>
      </w:r>
    </w:p>
    <w:p w14:paraId="6C0E9270" w14:textId="77777777" w:rsidR="00F204D5" w:rsidRPr="00374D19" w:rsidRDefault="00F204D5" w:rsidP="00F204D5">
      <w:pPr>
        <w:spacing w:after="120" w:line="276" w:lineRule="auto"/>
        <w:ind w:firstLine="708"/>
        <w:jc w:val="both"/>
        <w:rPr>
          <w:rFonts w:ascii="Verdana" w:eastAsia="Calibri" w:hAnsi="Verdana" w:cs="Arial"/>
        </w:rPr>
      </w:pPr>
      <w:r w:rsidRPr="00374D19">
        <w:rPr>
          <w:rFonts w:ascii="Verdana" w:eastAsia="Calibri" w:hAnsi="Verdana" w:cs="Arial"/>
        </w:rPr>
        <w:t>Asimismo, la disposición precisa que tienen la calidad de cargos del nivel directivo aquellos que, dentro de la estructura organizacional de la empresa, se encuentran ubicados en niveles de mando o que, por razón de su jerarquía, ejercen funciones orientadas a la representación del empleador.</w:t>
      </w:r>
    </w:p>
    <w:p w14:paraId="0614C269" w14:textId="77777777" w:rsidR="00F204D5" w:rsidRPr="00374D19" w:rsidRDefault="00F204D5" w:rsidP="00F204D5">
      <w:pPr>
        <w:spacing w:after="120" w:line="276" w:lineRule="auto"/>
        <w:ind w:firstLine="708"/>
        <w:jc w:val="both"/>
        <w:rPr>
          <w:rFonts w:ascii="Verdana" w:eastAsia="Calibri" w:hAnsi="Verdana" w:cs="Arial"/>
        </w:rPr>
      </w:pPr>
      <w:r w:rsidRPr="00374D19">
        <w:rPr>
          <w:rFonts w:ascii="Verdana" w:eastAsia="Calibri" w:hAnsi="Verdana" w:cs="Arial"/>
        </w:rPr>
        <w:t>En consecuencia, la acreditación de este requisito no puede recaer sobre cualquier trabajador vinculado a la empresa, sino únicamente sobre personas con discapacidad que ocupen cargos que, de acuerdo con sus funciones y posición dentro de la organización, tengan facultades de dirección, administración, coordinación estratégica o representación. Por tanto, corresponderá al proponente demostrar, a través de los documentos exigidos por la norma, que el cargo desempeñado por la persona con discapacidad efectivamente corresponde al nivel directivo definido en el Decreto 287 de 2026.</w:t>
      </w:r>
    </w:p>
    <w:p w14:paraId="6572E306" w14:textId="77777777" w:rsidR="00F204D5" w:rsidRPr="00670CFB" w:rsidRDefault="00F204D5" w:rsidP="00F204D5">
      <w:pPr>
        <w:spacing w:line="278" w:lineRule="auto"/>
        <w:ind w:firstLine="708"/>
        <w:jc w:val="both"/>
        <w:rPr>
          <w:rFonts w:ascii="Verdana" w:hAnsi="Verdana"/>
        </w:rPr>
      </w:pPr>
      <w:r w:rsidRPr="00B00AE9">
        <w:rPr>
          <w:rFonts w:ascii="Verdana" w:hAnsi="Verdana"/>
        </w:rPr>
        <w:t xml:space="preserve">Por último, es pertinente señalar que esta Agencia expidió la Circular Externa No. 003 del 12 de mayo de 2026, mediante la cual se impartieron orientaciones para la correcta aplicación del Decreto 287 de 2026, dirigidas a las entidades estatales con independencia de su régimen de contratación, a los patrimonios autónomos constituidos por entidades estatales y a los particulares </w:t>
      </w:r>
      <w:r w:rsidRPr="00B00AE9">
        <w:rPr>
          <w:rFonts w:ascii="Verdana" w:hAnsi="Verdana"/>
        </w:rPr>
        <w:lastRenderedPageBreak/>
        <w:t>que ejecuten recursos públicos. En consecuencia, las consideraciones expuestas en el presente concepto deben entenderse en armonía con los lineamientos contenidos en la referida circular, la cual se encuentra disponible para consulta en el portal institucional de la Agencia Nacional de Contratación Pública – Colombia Compra Eficiente.</w:t>
      </w:r>
    </w:p>
    <w:p w14:paraId="037C55D1" w14:textId="77777777" w:rsidR="00F204D5" w:rsidRPr="00670CFB" w:rsidRDefault="00F204D5" w:rsidP="00F204D5">
      <w:pPr>
        <w:spacing w:after="12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53F4F756" w14:textId="77777777" w:rsidR="00F204D5" w:rsidRPr="00206556" w:rsidRDefault="00F204D5" w:rsidP="00F204D5">
      <w:pPr>
        <w:spacing w:after="0" w:line="276" w:lineRule="auto"/>
        <w:jc w:val="both"/>
        <w:rPr>
          <w:rFonts w:ascii="Verdana" w:eastAsia="Calibri" w:hAnsi="Verdana" w:cs="Arial"/>
          <w:lang w:val="es-ES"/>
        </w:rPr>
      </w:pPr>
    </w:p>
    <w:p w14:paraId="77C171DC" w14:textId="77777777" w:rsidR="00F204D5" w:rsidRPr="00206556" w:rsidRDefault="00F204D5" w:rsidP="00F204D5">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204D5" w:rsidRPr="00206556" w14:paraId="2FBCE540" w14:textId="77777777" w:rsidTr="00413E2C">
        <w:trPr>
          <w:trHeight w:val="297"/>
        </w:trPr>
        <w:tc>
          <w:tcPr>
            <w:tcW w:w="8647" w:type="dxa"/>
          </w:tcPr>
          <w:p w14:paraId="5339FA09" w14:textId="77777777" w:rsidR="00F204D5" w:rsidRPr="00670CFB"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723A0182"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3658DB0D"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09D86143"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4D17EB28"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29A530A1"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414754D3"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688DEF4D"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28225635"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4852050C"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0D987661"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2D0212A0"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43913E1F"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Decreto 392 de 2018. Derogado en lo contrario por el Decreto 0287 </w:t>
            </w:r>
            <w:r w:rsidRPr="00206556">
              <w:rPr>
                <w:rFonts w:ascii="Verdana" w:eastAsia="Arial MT" w:hAnsi="Verdana" w:cs="Arial"/>
                <w:lang w:eastAsia="es-ES" w:bidi="es-ES"/>
              </w:rPr>
              <w:lastRenderedPageBreak/>
              <w:t>de 2026.</w:t>
            </w:r>
          </w:p>
          <w:p w14:paraId="3608F55E"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10B9E347"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4650E340"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0C5D0B">
              <w:rPr>
                <w:rFonts w:ascii="Verdana" w:eastAsia="Arial MT" w:hAnsi="Verdana" w:cs="Arial"/>
                <w:lang w:val="pt-PT" w:eastAsia="es-ES" w:bidi="es-ES"/>
              </w:rPr>
              <w:t xml:space="preserve">Corte Constitucional. Sentencia C-410 de 2001. </w:t>
            </w:r>
            <w:r w:rsidRPr="00206556">
              <w:rPr>
                <w:rFonts w:ascii="Verdana" w:eastAsia="Arial MT" w:hAnsi="Verdana" w:cs="Arial"/>
                <w:lang w:eastAsia="es-ES" w:bidi="es-ES"/>
              </w:rPr>
              <w:t>M.P. Álvaro Tafur Galvis.</w:t>
            </w:r>
          </w:p>
          <w:p w14:paraId="282ADA87"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0F0E4370"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313DE3B9"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2E56075A"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3564C4B0"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75DA683B"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56DD8689"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0B7F0D37"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242AA97C"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13B4BDDC" w14:textId="77777777" w:rsidR="00F204D5" w:rsidRPr="00206556" w:rsidRDefault="00F204D5" w:rsidP="00F204D5">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17E46329" w14:textId="77777777" w:rsidR="00F204D5" w:rsidRPr="00206556" w:rsidRDefault="00F204D5" w:rsidP="00413E2C">
            <w:pPr>
              <w:widowControl w:val="0"/>
              <w:autoSpaceDE w:val="0"/>
              <w:autoSpaceDN w:val="0"/>
              <w:spacing w:line="276" w:lineRule="auto"/>
              <w:jc w:val="both"/>
              <w:rPr>
                <w:rFonts w:ascii="Verdana" w:eastAsia="Arial MT" w:hAnsi="Verdana" w:cs="Arial"/>
                <w:lang w:val="es-ES" w:eastAsia="es-ES" w:bidi="es-ES"/>
              </w:rPr>
            </w:pPr>
          </w:p>
        </w:tc>
      </w:tr>
    </w:tbl>
    <w:p w14:paraId="7CB39B6B" w14:textId="77777777" w:rsidR="00F204D5" w:rsidRPr="00206556" w:rsidRDefault="00F204D5" w:rsidP="00F204D5">
      <w:pPr>
        <w:widowControl w:val="0"/>
        <w:autoSpaceDE w:val="0"/>
        <w:autoSpaceDN w:val="0"/>
        <w:spacing w:after="0" w:line="276" w:lineRule="auto"/>
        <w:jc w:val="both"/>
        <w:rPr>
          <w:rFonts w:ascii="Verdana" w:hAnsi="Verdana" w:cs="Arial"/>
          <w:color w:val="ED7D31" w:themeColor="accent2"/>
          <w:lang w:val="es-ES"/>
        </w:rPr>
      </w:pPr>
    </w:p>
    <w:p w14:paraId="115E498A" w14:textId="77777777" w:rsidR="00F204D5" w:rsidRDefault="00F204D5" w:rsidP="00F204D5">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6937FBBC" w14:textId="77777777" w:rsidR="00F204D5" w:rsidRPr="00670CFB" w:rsidRDefault="00F204D5" w:rsidP="00F204D5">
      <w:pPr>
        <w:tabs>
          <w:tab w:val="left" w:pos="142"/>
          <w:tab w:val="left" w:pos="284"/>
        </w:tabs>
        <w:spacing w:after="0" w:line="276" w:lineRule="auto"/>
        <w:jc w:val="both"/>
        <w:rPr>
          <w:rFonts w:ascii="Verdana" w:eastAsia="Century Gothic" w:hAnsi="Verdana" w:cs="Century Gothic"/>
          <w:b/>
          <w:lang w:val="es-ES"/>
        </w:rPr>
      </w:pPr>
    </w:p>
    <w:p w14:paraId="0B2F25F9" w14:textId="77777777" w:rsidR="00F66787" w:rsidRPr="00C619BA" w:rsidRDefault="00F66787" w:rsidP="00F66787">
      <w:pPr>
        <w:spacing w:after="0" w:line="276" w:lineRule="auto"/>
        <w:jc w:val="both"/>
        <w:rPr>
          <w:rFonts w:ascii="Verdana" w:eastAsia="Calibri" w:hAnsi="Verdana" w:cs="Times New Roman"/>
          <w:color w:val="ED7D31" w:themeColor="accent2"/>
          <w:lang w:val="es-ES"/>
        </w:rPr>
      </w:pPr>
      <w:r w:rsidRPr="00C619BA">
        <w:rPr>
          <w:rFonts w:ascii="Verdana" w:eastAsia="Calibri" w:hAnsi="Verdana" w:cs="Arial"/>
          <w:lang w:val="es-ES"/>
        </w:rPr>
        <w:lastRenderedPageBreak/>
        <w:t xml:space="preserve">La Agencia Nacional de Contratación Pública – Colombia Compra Eficiente se ha referido </w:t>
      </w:r>
      <w:r w:rsidRPr="00C619BA">
        <w:rPr>
          <w:rFonts w:ascii="Verdana" w:eastAsia="Calibri" w:hAnsi="Verdana" w:cs="Arial"/>
          <w:shd w:val="clear" w:color="auto" w:fill="FFFFFF"/>
          <w:lang w:val="es-ES"/>
        </w:rPr>
        <w:t>sobre el alcance del Decreto 0287 de 2026 en los conceptos C-473 del 7 de mayo de 2026, C-498 del 8 de mayo de 2026, C-576 del 19 de mayo de 2026, C-604 del 22 de mayo de 2026, C-686 del 28 de mayo de 2026, C-737 del 29 de mayo de 2026, C-654 del 1 de junio de 2026, C-745 del 2 de junio de 2026, C-672 del 3 de junio de 2026</w:t>
      </w:r>
      <w:r w:rsidRPr="00C619BA">
        <w:rPr>
          <w:rFonts w:ascii="Verdana" w:eastAsia="Calibri" w:hAnsi="Verdana" w:cs="Arial"/>
          <w:lang w:val="es-ES_tradnl" w:eastAsia="es-ES"/>
        </w:rPr>
        <w:t>.</w:t>
      </w:r>
      <w:r w:rsidRPr="00C619BA">
        <w:rPr>
          <w:rFonts w:ascii="Verdana" w:eastAsia="Calibri" w:hAnsi="Verdana" w:cs="Arial"/>
          <w:shd w:val="clear" w:color="auto" w:fill="FFFFFF"/>
          <w:lang w:val="es-ES"/>
        </w:rPr>
        <w:t xml:space="preserve"> Estos</w:t>
      </w:r>
      <w:r w:rsidRPr="00C619BA">
        <w:rPr>
          <w:rFonts w:ascii="Verdana" w:eastAsia="Calibri" w:hAnsi="Verdana" w:cs="Times New Roman"/>
          <w:lang w:val="es-ES"/>
        </w:rPr>
        <w:t xml:space="preserve"> y otros se encuentran disponibles para consulta en el Sistema de relatoría de la Agencia, al cual se puede acceder a través del siguiente enlace:</w:t>
      </w:r>
      <w:r w:rsidRPr="00C619BA">
        <w:rPr>
          <w:rFonts w:ascii="Verdana" w:eastAsia="Calibri" w:hAnsi="Verdana" w:cs="Arial"/>
          <w:shd w:val="clear" w:color="auto" w:fill="FFFFFF"/>
          <w:lang w:val="es-ES"/>
        </w:rPr>
        <w:t xml:space="preserve"> </w:t>
      </w:r>
      <w:hyperlink r:id="rId12" w:history="1">
        <w:r w:rsidRPr="00C619BA">
          <w:rPr>
            <w:rFonts w:ascii="Verdana" w:eastAsia="Calibri" w:hAnsi="Verdana" w:cs="Arial"/>
            <w:color w:val="0000FF"/>
            <w:u w:val="single"/>
            <w:shd w:val="clear" w:color="auto" w:fill="FFFFFF"/>
            <w:lang w:val="es-ES"/>
          </w:rPr>
          <w:t>https://relatoria.colombiacompra.gov.co/busqueda/conceptos</w:t>
        </w:r>
      </w:hyperlink>
    </w:p>
    <w:p w14:paraId="6FB4518F" w14:textId="77777777" w:rsidR="00F204D5" w:rsidRDefault="00F204D5" w:rsidP="007A71B5">
      <w:pPr>
        <w:spacing w:after="0" w:line="240" w:lineRule="auto"/>
        <w:textAlignment w:val="baseline"/>
        <w:rPr>
          <w:rFonts w:ascii="Verdana" w:eastAsia="Verdana" w:hAnsi="Verdana" w:cs="Verdana"/>
          <w:lang w:val="es-ES" w:eastAsia="es-CO"/>
        </w:rPr>
      </w:pPr>
    </w:p>
    <w:p w14:paraId="5A8643C7" w14:textId="77777777" w:rsidR="000438A1" w:rsidRPr="00324CBA" w:rsidRDefault="000438A1" w:rsidP="000438A1">
      <w:pPr>
        <w:jc w:val="both"/>
        <w:rPr>
          <w:rFonts w:ascii="Verdana" w:hAnsi="Verdana"/>
        </w:rPr>
      </w:pPr>
      <w:r w:rsidRPr="00324CBA">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24CBA">
        <w:rPr>
          <w:rFonts w:ascii="Verdana" w:hAnsi="Verdana"/>
          <w:b/>
          <w:bCs/>
        </w:rPr>
        <w:t>Guía para la Exigencia y Constitución de Garantías en los Procesos de Contratación</w:t>
      </w:r>
      <w:r w:rsidRPr="00324CBA">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324CBA">
        <w:rPr>
          <w:rFonts w:ascii="Verdana" w:hAnsi="Verdana"/>
          <w:color w:val="0070C0"/>
        </w:rPr>
        <w:t> </w:t>
      </w:r>
      <w:hyperlink r:id="rId13" w:tgtFrame="_blank" w:tooltip="Dirección URL original: https://www.colombiacompra.gov.co/archivos/manual/guia-de-garantias-en-procesos-de-contratacion. Haga clic o pulse si confía en este vínculo." w:history="1">
        <w:r w:rsidRPr="00324CBA">
          <w:rPr>
            <w:rStyle w:val="Hipervnculo"/>
            <w:rFonts w:ascii="Verdana" w:hAnsi="Verdana"/>
            <w:color w:val="0070C0"/>
          </w:rPr>
          <w:t>https://www.colombiacompra.gov.co/archivos/manual/guia-de-garantias-en-procesos-de-contratacion</w:t>
        </w:r>
      </w:hyperlink>
    </w:p>
    <w:p w14:paraId="6BE31124" w14:textId="77777777" w:rsidR="000438A1" w:rsidRPr="00324CBA" w:rsidRDefault="000438A1" w:rsidP="000438A1">
      <w:pPr>
        <w:jc w:val="both"/>
        <w:rPr>
          <w:rFonts w:ascii="Verdana" w:hAnsi="Verdana"/>
        </w:rPr>
      </w:pPr>
      <w:r w:rsidRPr="00324CBA">
        <w:rPr>
          <w:rFonts w:ascii="Verdana" w:hAnsi="Verdana"/>
        </w:rPr>
        <w:t>De otro lado, te contamos que el Decreto 287 del 19 de marzo de 2026 sustituyó los artículos 2.2.1.2.4.2.6., 2.2.1.2.4.2.7. y 2.2.1.2.4.2.8. del Decreto 1082 de 2015 y estructuró el </w:t>
      </w:r>
      <w:r w:rsidRPr="00324CBA">
        <w:rPr>
          <w:rFonts w:ascii="Verdana" w:hAnsi="Verdana"/>
          <w:b/>
          <w:bCs/>
        </w:rPr>
        <w:t>Sistema Integral de Preferencias en favor de las personas con discapacidad</w:t>
      </w:r>
      <w:r w:rsidRPr="00324CBA">
        <w:rPr>
          <w:rFonts w:ascii="Verdana" w:hAnsi="Verdana"/>
        </w:rPr>
        <w:t>, en cumplimiento del artículo 13 de la Ley Estatutaria 1618 de 2013. Para orientar su aplicación, esta Agencia expidió la </w:t>
      </w:r>
      <w:r w:rsidRPr="00324CBA">
        <w:rPr>
          <w:rFonts w:ascii="Verdana" w:hAnsi="Verdana"/>
          <w:b/>
          <w:bCs/>
        </w:rPr>
        <w:t>Circular Externa 003 del 12 de mayo de 2026, </w:t>
      </w:r>
      <w:r w:rsidRPr="00324CBA">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324CBA">
          <w:rPr>
            <w:rStyle w:val="Hipervnculo"/>
            <w:rFonts w:ascii="Verdana" w:hAnsi="Verdana"/>
            <w:color w:val="0070C0"/>
          </w:rPr>
          <w:t>https://www.colombiacompra.gov.co/archivos/circular/circular-externa-003-de-2026</w:t>
        </w:r>
      </w:hyperlink>
    </w:p>
    <w:p w14:paraId="011588D8" w14:textId="3D1358FA" w:rsidR="000438A1" w:rsidRPr="00324CBA" w:rsidRDefault="000438A1" w:rsidP="000438A1">
      <w:pPr>
        <w:jc w:val="both"/>
        <w:rPr>
          <w:rFonts w:ascii="Verdana" w:hAnsi="Verdana"/>
        </w:rPr>
      </w:pPr>
      <w:r w:rsidRPr="00324CBA">
        <w:rPr>
          <w:rFonts w:ascii="Verdana" w:hAnsi="Verdana"/>
        </w:rPr>
        <w:t>Recuerda también que la</w:t>
      </w:r>
      <w:r w:rsidRPr="00324CBA">
        <w:rPr>
          <w:rFonts w:ascii="Verdana" w:hAnsi="Verdana"/>
          <w:b/>
          <w:bCs/>
        </w:rPr>
        <w:t> información sobre sanciones e inhabilidades </w:t>
      </w:r>
      <w:r w:rsidRPr="00324CBA">
        <w:rPr>
          <w:rFonts w:ascii="Verdana" w:hAnsi="Verdana"/>
        </w:rPr>
        <w:t>solo cumple su función preventiva si llega oportunamente a los registros públicos. Sobre este deber, esta Agencia expidió la </w:t>
      </w:r>
      <w:r w:rsidRPr="00324CBA">
        <w:rPr>
          <w:rFonts w:ascii="Verdana" w:hAnsi="Verdana"/>
          <w:b/>
          <w:bCs/>
        </w:rPr>
        <w:t>Circular Externa 002 del 5 de mayo de 2026,</w:t>
      </w:r>
      <w:r w:rsidRPr="00324CBA">
        <w:rPr>
          <w:rFonts w:ascii="Verdana" w:hAnsi="Verdana"/>
        </w:rPr>
        <w:t xml:space="preserve"> dirigida a todas las entidades del Estado sin distinción de su régimen contractual, en la que reitera la obligatoriedad de reportar caducidades, multas, </w:t>
      </w:r>
      <w:r w:rsidRPr="00324CBA">
        <w:rPr>
          <w:rFonts w:ascii="Verdana" w:hAnsi="Verdana"/>
        </w:rPr>
        <w:lastRenderedPageBreak/>
        <w:t>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324CBA">
          <w:rPr>
            <w:rStyle w:val="Hipervnculo"/>
            <w:rFonts w:ascii="Verdana" w:hAnsi="Verdana"/>
            <w:color w:val="0070C0"/>
          </w:rPr>
          <w:t>https://www.colombiacompra.gov.co/archivos/circular/circular-externa-002-de-2026</w:t>
        </w:r>
      </w:hyperlink>
    </w:p>
    <w:p w14:paraId="322F7633" w14:textId="1F478F54" w:rsidR="000438A1" w:rsidRPr="00324CBA" w:rsidRDefault="000438A1" w:rsidP="000438A1">
      <w:pPr>
        <w:jc w:val="both"/>
        <w:rPr>
          <w:rFonts w:ascii="Verdana" w:hAnsi="Verdana"/>
        </w:rPr>
      </w:pPr>
      <w:r w:rsidRPr="00324CBA">
        <w:rPr>
          <w:rFonts w:ascii="Verdana" w:hAnsi="Verdana"/>
        </w:rPr>
        <w:t>Finalmente, si quieres seguir de cerca la actividad de la Agencia, la tercera edición de 2026 del</w:t>
      </w:r>
      <w:r w:rsidRPr="00324CBA">
        <w:rPr>
          <w:rFonts w:ascii="Verdana" w:hAnsi="Verdana"/>
          <w:b/>
          <w:bCs/>
        </w:rPr>
        <w:t> Radar de la Compra Pública</w:t>
      </w:r>
      <w:r w:rsidRPr="00324CBA">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324CBA">
        <w:rPr>
          <w:rFonts w:ascii="Verdana" w:hAnsi="Verdana"/>
          <w:color w:val="0070C0"/>
        </w:rPr>
        <w:t> </w:t>
      </w:r>
      <w:hyperlink r:id="rId16" w:tgtFrame="_blank" w:tooltip="Dirección URL original: https://www.colombiacompra.gov.co/archivos/boletin/boletin-edicion-n-3-de-2026-radar-de-la-compra-publica. Haga clic o pulse si confía en este vínculo." w:history="1">
        <w:r w:rsidRPr="00324CBA">
          <w:rPr>
            <w:rStyle w:val="Hipervnculo"/>
            <w:rFonts w:ascii="Verdana" w:hAnsi="Verdana"/>
            <w:color w:val="0070C0"/>
          </w:rPr>
          <w:t>https://www.colombiacompra.gov.co/archivos/boletin/boletin-edicion-n-3-de-2026-radar-de-la-compra-publica</w:t>
        </w:r>
      </w:hyperlink>
      <w:r w:rsidRPr="00324CBA">
        <w:rPr>
          <w:rFonts w:ascii="Verdana" w:hAnsi="Verdana"/>
        </w:rPr>
        <w:t>"</w:t>
      </w:r>
    </w:p>
    <w:p w14:paraId="61D6510D" w14:textId="2EE7960F" w:rsidR="000438A1" w:rsidRPr="00284526" w:rsidRDefault="000438A1" w:rsidP="000438A1">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Twitter: </w:t>
      </w:r>
      <w:r w:rsidRPr="00284526">
        <w:rPr>
          <w:rStyle w:val="Hipervnculo"/>
          <w:rFonts w:ascii="Verdana" w:hAnsi="Verdana"/>
          <w:lang w:val="es-ES"/>
        </w:rPr>
        <w:t xml:space="preserve">@colombiacompra </w:t>
      </w:r>
    </w:p>
    <w:p w14:paraId="75F052D9" w14:textId="6DE4F7CF" w:rsidR="000438A1" w:rsidRPr="00284526" w:rsidRDefault="000438A1" w:rsidP="000438A1">
      <w:pPr>
        <w:spacing w:after="0" w:line="276" w:lineRule="auto"/>
        <w:jc w:val="both"/>
        <w:rPr>
          <w:rFonts w:ascii="Verdana" w:hAnsi="Verdana" w:cs="Arial"/>
          <w:shd w:val="clear" w:color="auto" w:fill="FFFFFF"/>
        </w:rPr>
      </w:pPr>
      <w:r w:rsidRPr="00284526">
        <w:rPr>
          <w:rFonts w:ascii="Verdana" w:hAnsi="Verdana" w:cs="Arial"/>
          <w:shd w:val="clear" w:color="auto" w:fill="FFFFFF"/>
        </w:rPr>
        <w:t>Facebook:</w:t>
      </w:r>
      <w:r w:rsidRPr="00284526">
        <w:rPr>
          <w:rStyle w:val="Hipervnculo"/>
          <w:rFonts w:ascii="Verdana" w:hAnsi="Verdana"/>
          <w:color w:val="auto"/>
          <w:lang w:val="es-ES"/>
        </w:rPr>
        <w:t xml:space="preserve"> </w:t>
      </w:r>
      <w:proofErr w:type="spellStart"/>
      <w:r w:rsidRPr="00284526">
        <w:rPr>
          <w:rStyle w:val="Hipervnculo"/>
          <w:rFonts w:ascii="Verdana" w:hAnsi="Verdana"/>
          <w:lang w:val="es-ES"/>
        </w:rPr>
        <w:t>ColombiaCompraEficiente</w:t>
      </w:r>
      <w:proofErr w:type="spellEnd"/>
    </w:p>
    <w:p w14:paraId="1FA73F60" w14:textId="77777777" w:rsidR="000438A1" w:rsidRPr="00284526" w:rsidRDefault="000438A1" w:rsidP="000438A1">
      <w:pPr>
        <w:spacing w:after="0" w:line="276" w:lineRule="auto"/>
        <w:jc w:val="both"/>
        <w:rPr>
          <w:rFonts w:ascii="Verdana" w:hAnsi="Verdana" w:cs="Arial"/>
          <w:color w:val="0000FF"/>
          <w:shd w:val="clear" w:color="auto" w:fill="FFFFFF"/>
        </w:rPr>
      </w:pPr>
      <w:r w:rsidRPr="00284526">
        <w:rPr>
          <w:rFonts w:ascii="Verdana" w:hAnsi="Verdana" w:cs="Arial"/>
          <w:shd w:val="clear" w:color="auto" w:fill="FFFFFF"/>
        </w:rPr>
        <w:t xml:space="preserve">LinkedIn: </w:t>
      </w:r>
      <w:r w:rsidRPr="00284526">
        <w:rPr>
          <w:rStyle w:val="Hipervnculo"/>
          <w:rFonts w:ascii="Verdana" w:hAnsi="Verdana"/>
          <w:lang w:val="es-ES"/>
        </w:rPr>
        <w:t>Agencia Nacional de Contratación Pública - Colombia Compra Eficiente</w:t>
      </w:r>
      <w:r w:rsidRPr="00284526">
        <w:rPr>
          <w:rFonts w:ascii="Verdana" w:hAnsi="Verdana" w:cs="Arial"/>
          <w:color w:val="0000FF"/>
          <w:shd w:val="clear" w:color="auto" w:fill="FFFFFF"/>
        </w:rPr>
        <w:t xml:space="preserve"> </w:t>
      </w:r>
    </w:p>
    <w:p w14:paraId="6E37191E" w14:textId="70118D4A" w:rsidR="000438A1" w:rsidRPr="00284526" w:rsidRDefault="000438A1" w:rsidP="000438A1">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Instagram: </w:t>
      </w:r>
      <w:r w:rsidRPr="00284526">
        <w:rPr>
          <w:rStyle w:val="Hipervnculo"/>
          <w:rFonts w:ascii="Verdana" w:hAnsi="Verdana"/>
          <w:lang w:val="es-ES"/>
        </w:rPr>
        <w:t>@colombiacompraeficiente_cce</w:t>
      </w:r>
    </w:p>
    <w:p w14:paraId="52CB8C88" w14:textId="38BF6E86" w:rsidR="000438A1" w:rsidRPr="00284526" w:rsidRDefault="000438A1" w:rsidP="000438A1">
      <w:pPr>
        <w:widowControl w:val="0"/>
        <w:autoSpaceDE w:val="0"/>
        <w:autoSpaceDN w:val="0"/>
        <w:spacing w:after="0" w:line="276" w:lineRule="auto"/>
        <w:jc w:val="both"/>
        <w:rPr>
          <w:rFonts w:ascii="Verdana" w:hAnsi="Verdana" w:cs="Arial"/>
          <w:lang w:val="es-ES"/>
        </w:rPr>
      </w:pPr>
    </w:p>
    <w:p w14:paraId="65DB2854" w14:textId="1C10520B" w:rsidR="000438A1" w:rsidRPr="00284526" w:rsidRDefault="000438A1" w:rsidP="000438A1">
      <w:pPr>
        <w:widowControl w:val="0"/>
        <w:autoSpaceDE w:val="0"/>
        <w:autoSpaceDN w:val="0"/>
        <w:spacing w:after="0" w:line="276" w:lineRule="auto"/>
        <w:jc w:val="both"/>
        <w:rPr>
          <w:rFonts w:ascii="Verdana" w:hAnsi="Verdana" w:cs="Arial"/>
          <w:lang w:val="es-ES"/>
        </w:rPr>
      </w:pPr>
      <w:r w:rsidRPr="0028452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3A70013" w14:textId="77777777" w:rsidR="000438A1" w:rsidRPr="00116940" w:rsidRDefault="000438A1" w:rsidP="000438A1">
      <w:pPr>
        <w:spacing w:after="0" w:line="276" w:lineRule="auto"/>
        <w:jc w:val="both"/>
        <w:rPr>
          <w:rFonts w:ascii="Verdana" w:eastAsia="Verdana" w:hAnsi="Verdana" w:cs="Verdana"/>
        </w:rPr>
      </w:pPr>
    </w:p>
    <w:p w14:paraId="58BA9F69" w14:textId="352208FB" w:rsidR="000438A1" w:rsidRPr="00116940" w:rsidRDefault="000438A1" w:rsidP="000438A1">
      <w:pPr>
        <w:spacing w:after="0" w:line="276" w:lineRule="auto"/>
        <w:rPr>
          <w:rFonts w:ascii="Verdana" w:eastAsia="Verdana" w:hAnsi="Verdana" w:cs="Verdana"/>
        </w:rPr>
      </w:pPr>
      <w:r w:rsidRPr="30821638">
        <w:rPr>
          <w:rFonts w:ascii="Verdana" w:eastAsia="Verdana" w:hAnsi="Verdana" w:cs="Verdana"/>
        </w:rPr>
        <w:t>Evalúa el servicio que ofrece la Agencia por el canal de atención de PQRSD en el siguiente enlace</w:t>
      </w:r>
      <w:r w:rsidRPr="00C25CDD">
        <w:rPr>
          <w:rFonts w:ascii="Verdana" w:eastAsia="Verdana" w:hAnsi="Verdana" w:cs="Verdana"/>
        </w:rPr>
        <w:t>:</w:t>
      </w:r>
      <w:r>
        <w:rPr>
          <w:rFonts w:ascii="Verdana" w:eastAsia="Verdana" w:hAnsi="Verdana" w:cs="Verdana"/>
        </w:rPr>
        <w:t xml:space="preserve"> </w:t>
      </w:r>
      <w:hyperlink r:id="rId17" w:history="1">
        <w:r w:rsidRPr="00C25CDD">
          <w:rPr>
            <w:rStyle w:val="Hipervnculo"/>
            <w:rFonts w:ascii="Verdana" w:eastAsia="Verdana" w:hAnsi="Verdana" w:cs="Verdana"/>
          </w:rPr>
          <w:t>https://forms.office.com/r/pPHyWVs2SZ</w:t>
        </w:r>
      </w:hyperlink>
      <w:r w:rsidRPr="30821638">
        <w:rPr>
          <w:rFonts w:ascii="Verdana" w:eastAsia="Verdana" w:hAnsi="Verdana" w:cs="Verdana"/>
        </w:rPr>
        <w:t xml:space="preserve"> .¡Ayúdanos a mejorar porque el compromiso es de todos!</w:t>
      </w:r>
    </w:p>
    <w:p w14:paraId="0A825611" w14:textId="1F4C123C" w:rsidR="000438A1" w:rsidRDefault="000438A1" w:rsidP="000438A1">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p>
    <w:p w14:paraId="452C7243" w14:textId="44645A11" w:rsidR="000438A1" w:rsidRPr="00C42171" w:rsidRDefault="00804DBA" w:rsidP="000438A1">
      <w:pPr>
        <w:widowControl w:val="0"/>
        <w:autoSpaceDE w:val="0"/>
        <w:autoSpaceDN w:val="0"/>
        <w:spacing w:after="120" w:line="276" w:lineRule="auto"/>
        <w:jc w:val="both"/>
        <w:rPr>
          <w:rFonts w:ascii="Verdana" w:eastAsia="Aptos" w:hAnsi="Verdana" w:cs="Times New Roman"/>
          <w:color w:val="000000" w:themeColor="text1"/>
          <w:kern w:val="2"/>
          <w14:ligatures w14:val="standardContextual"/>
        </w:rPr>
      </w:pPr>
      <w:r>
        <w:rPr>
          <w:rFonts w:ascii="Verdana" w:eastAsia="Times New Roman" w:hAnsi="Verdana" w:cs="Arial"/>
          <w:noProof/>
          <w:lang w:eastAsia="es-ES"/>
        </w:rPr>
        <w:drawing>
          <wp:anchor distT="0" distB="0" distL="114300" distR="114300" simplePos="0" relativeHeight="251661312" behindDoc="1" locked="0" layoutInCell="1" allowOverlap="1" wp14:anchorId="428C5262" wp14:editId="156FA75C">
            <wp:simplePos x="0" y="0"/>
            <wp:positionH relativeFrom="column">
              <wp:posOffset>1176655</wp:posOffset>
            </wp:positionH>
            <wp:positionV relativeFrom="paragraph">
              <wp:posOffset>142876</wp:posOffset>
            </wp:positionV>
            <wp:extent cx="3639058" cy="1343212"/>
            <wp:effectExtent l="0" t="0" r="0" b="0"/>
            <wp:wrapTight wrapText="bothSides">
              <wp:wrapPolygon edited="0">
                <wp:start x="0" y="0"/>
                <wp:lineTo x="0" y="21140"/>
                <wp:lineTo x="21487" y="21140"/>
                <wp:lineTo x="21487" y="0"/>
                <wp:lineTo x="0" y="0"/>
              </wp:wrapPolygon>
            </wp:wrapTight>
            <wp:docPr id="18957072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0729" name="Imagen 1" descr="Texto&#10;&#10;Descripción generada automáticamente"/>
                    <pic:cNvPicPr/>
                  </pic:nvPicPr>
                  <pic:blipFill>
                    <a:blip r:embed="rId18">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anchor>
        </w:drawing>
      </w:r>
      <w:r w:rsidR="000438A1">
        <w:rPr>
          <w:rFonts w:ascii="Verdana" w:hAnsi="Verdana" w:cs="Arial"/>
          <w:shd w:val="clear" w:color="auto" w:fill="FFFFFF"/>
        </w:rPr>
        <w:t xml:space="preserve">Cordialmente, </w:t>
      </w:r>
    </w:p>
    <w:p w14:paraId="552854FF" w14:textId="79966A8E" w:rsidR="000438A1" w:rsidRDefault="000438A1" w:rsidP="000438A1">
      <w:pPr>
        <w:spacing w:after="0" w:line="276" w:lineRule="auto"/>
        <w:ind w:firstLine="709"/>
        <w:jc w:val="both"/>
        <w:rPr>
          <w:rFonts w:ascii="Verdana" w:eastAsia="Verdana" w:hAnsi="Verdana" w:cs="Verdana"/>
          <w:lang w:val="es-MX"/>
        </w:rPr>
      </w:pPr>
    </w:p>
    <w:p w14:paraId="0751A09E" w14:textId="28D4F633" w:rsidR="000438A1" w:rsidRDefault="000438A1" w:rsidP="000438A1">
      <w:pPr>
        <w:spacing w:after="0" w:line="276" w:lineRule="auto"/>
        <w:jc w:val="both"/>
        <w:rPr>
          <w:rFonts w:ascii="Verdana" w:eastAsia="Century Gothic" w:hAnsi="Verdana" w:cs="Century Gothic"/>
        </w:rPr>
      </w:pPr>
    </w:p>
    <w:p w14:paraId="618B890A" w14:textId="77777777" w:rsidR="000438A1" w:rsidRDefault="000438A1" w:rsidP="000438A1">
      <w:pPr>
        <w:spacing w:after="0" w:line="276" w:lineRule="auto"/>
        <w:jc w:val="both"/>
        <w:rPr>
          <w:rFonts w:ascii="Verdana" w:eastAsia="Century Gothic" w:hAnsi="Verdana" w:cs="Century Gothic"/>
        </w:rPr>
      </w:pPr>
    </w:p>
    <w:p w14:paraId="5AB3E613" w14:textId="690F5104" w:rsidR="000438A1" w:rsidRDefault="000438A1" w:rsidP="000438A1">
      <w:pPr>
        <w:spacing w:after="120" w:line="276" w:lineRule="auto"/>
        <w:contextualSpacing/>
        <w:jc w:val="both"/>
        <w:rPr>
          <w:rFonts w:ascii="Verdana" w:eastAsia="Aptos" w:hAnsi="Verdana" w:cs="Arial"/>
          <w:shd w:val="clear" w:color="auto" w:fill="FFFFFF"/>
          <w:lang w:val="es-ES"/>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0438A1" w:rsidRPr="004C0111" w14:paraId="79F751DE" w14:textId="77777777" w:rsidTr="00413E2C">
        <w:trPr>
          <w:trHeight w:val="622"/>
        </w:trPr>
        <w:tc>
          <w:tcPr>
            <w:tcW w:w="893" w:type="dxa"/>
            <w:vAlign w:val="center"/>
            <w:hideMark/>
          </w:tcPr>
          <w:p w14:paraId="428E58CB" w14:textId="77777777" w:rsidR="000438A1" w:rsidRPr="004C0111" w:rsidRDefault="000438A1" w:rsidP="00413E2C">
            <w:pPr>
              <w:rPr>
                <w:rFonts w:ascii="Verdana" w:eastAsia="Calibri" w:hAnsi="Verdana" w:cs="Arial"/>
                <w:sz w:val="16"/>
                <w:szCs w:val="16"/>
                <w:lang w:val="es-ES_tradnl"/>
              </w:rPr>
            </w:pPr>
            <w:r w:rsidRPr="004C0111">
              <w:rPr>
                <w:rFonts w:ascii="Verdana" w:eastAsia="Calibri" w:hAnsi="Verdana" w:cs="Arial"/>
                <w:sz w:val="16"/>
                <w:szCs w:val="16"/>
                <w:lang w:val="es-ES_tradnl"/>
              </w:rPr>
              <w:lastRenderedPageBreak/>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0438A1" w:rsidRPr="004C0111" w14:paraId="2CD38067" w14:textId="77777777" w:rsidTr="00413E2C">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69F1412E" w14:textId="77777777" w:rsidR="000438A1" w:rsidRPr="004C0111" w:rsidRDefault="000438A1" w:rsidP="00413E2C">
                  <w:pPr>
                    <w:spacing w:after="0" w:line="240" w:lineRule="auto"/>
                    <w:rPr>
                      <w:rFonts w:ascii="Verdana" w:eastAsia="Times New Roman" w:hAnsi="Verdana" w:cs="Arial"/>
                      <w:sz w:val="16"/>
                      <w:szCs w:val="16"/>
                      <w:lang w:val="es-ES" w:eastAsia="es-ES"/>
                    </w:rPr>
                  </w:pPr>
                  <w:r w:rsidRPr="731A4B47">
                    <w:rPr>
                      <w:rFonts w:ascii="Verdana" w:eastAsia="Times New Roman" w:hAnsi="Verdana" w:cs="Arial"/>
                      <w:sz w:val="16"/>
                      <w:szCs w:val="16"/>
                      <w:lang w:val="es-ES" w:eastAsia="es-ES"/>
                    </w:rPr>
                    <w:t>Kelmis Yirama Brugés Alvarado</w:t>
                  </w:r>
                </w:p>
                <w:p w14:paraId="675E6EF4" w14:textId="77777777" w:rsidR="000438A1" w:rsidRPr="004C0111" w:rsidRDefault="000438A1" w:rsidP="00413E2C">
                  <w:pPr>
                    <w:spacing w:after="0" w:line="240" w:lineRule="auto"/>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48F1A943" w14:textId="77777777" w:rsidR="000438A1" w:rsidRPr="004C0111" w:rsidRDefault="000438A1" w:rsidP="00413E2C">
            <w:pPr>
              <w:rPr>
                <w:rFonts w:ascii="Verdana" w:eastAsia="Calibri" w:hAnsi="Verdana" w:cs="Arial"/>
                <w:sz w:val="16"/>
                <w:szCs w:val="16"/>
                <w:lang w:val="es-MX"/>
              </w:rPr>
            </w:pPr>
          </w:p>
        </w:tc>
      </w:tr>
      <w:tr w:rsidR="000438A1" w:rsidRPr="004C0111" w14:paraId="1BD6F9D7" w14:textId="77777777" w:rsidTr="00413E2C">
        <w:trPr>
          <w:trHeight w:val="330"/>
        </w:trPr>
        <w:tc>
          <w:tcPr>
            <w:tcW w:w="893" w:type="dxa"/>
            <w:vAlign w:val="center"/>
            <w:hideMark/>
          </w:tcPr>
          <w:p w14:paraId="200CAC62" w14:textId="77777777" w:rsidR="000438A1" w:rsidRPr="004C0111" w:rsidRDefault="000438A1" w:rsidP="00413E2C">
            <w:pPr>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213DF376" w14:textId="77777777" w:rsidR="000438A1" w:rsidRPr="004C0111" w:rsidRDefault="000438A1" w:rsidP="00413E2C">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Juan David Cárdenas</w:t>
            </w:r>
          </w:p>
          <w:p w14:paraId="60B1B0C2" w14:textId="77777777" w:rsidR="000438A1" w:rsidRPr="004C0111" w:rsidRDefault="000438A1" w:rsidP="00413E2C">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0438A1" w:rsidRPr="004C0111" w14:paraId="4B8E3B5C" w14:textId="77777777" w:rsidTr="00413E2C">
        <w:trPr>
          <w:trHeight w:val="77"/>
        </w:trPr>
        <w:tc>
          <w:tcPr>
            <w:tcW w:w="893" w:type="dxa"/>
            <w:vAlign w:val="center"/>
          </w:tcPr>
          <w:p w14:paraId="213B6E25" w14:textId="77777777" w:rsidR="000438A1" w:rsidRPr="004C0111" w:rsidRDefault="000438A1" w:rsidP="00413E2C">
            <w:pPr>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7FFD4E64" w14:textId="77777777" w:rsidR="000438A1" w:rsidRPr="002F2853" w:rsidRDefault="000438A1" w:rsidP="00413E2C">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33B54113" w14:textId="77777777" w:rsidR="000438A1" w:rsidRPr="004C0111" w:rsidRDefault="000438A1" w:rsidP="00413E2C">
            <w:pPr>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2A8820E0" w14:textId="77777777" w:rsidR="000438A1" w:rsidRPr="00D57982" w:rsidRDefault="000438A1" w:rsidP="000438A1">
      <w:pPr>
        <w:spacing w:after="0" w:line="240" w:lineRule="auto"/>
        <w:textAlignment w:val="baseline"/>
        <w:rPr>
          <w:rFonts w:ascii="Verdana" w:eastAsia="Verdana" w:hAnsi="Verdana" w:cs="Verdana"/>
          <w:lang w:eastAsia="es-CO"/>
        </w:rPr>
      </w:pPr>
    </w:p>
    <w:p w14:paraId="4361ECCB" w14:textId="77777777" w:rsidR="000438A1" w:rsidRDefault="000438A1" w:rsidP="000438A1">
      <w:pPr>
        <w:spacing w:after="0" w:line="240" w:lineRule="auto"/>
        <w:textAlignment w:val="baseline"/>
        <w:rPr>
          <w:rFonts w:ascii="Verdana" w:eastAsia="Verdana" w:hAnsi="Verdana" w:cs="Verdana"/>
          <w:lang w:eastAsia="es-CO"/>
        </w:rPr>
      </w:pPr>
    </w:p>
    <w:p w14:paraId="1EC60329" w14:textId="77777777" w:rsidR="000438A1" w:rsidRPr="000E2B93" w:rsidRDefault="000438A1" w:rsidP="000438A1">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2D740673" w14:textId="77777777" w:rsidR="000438A1" w:rsidRPr="00E02524" w:rsidRDefault="000438A1" w:rsidP="000438A1">
      <w:pPr>
        <w:spacing w:after="0"/>
        <w:jc w:val="both"/>
        <w:rPr>
          <w:rFonts w:ascii="Verdana" w:eastAsia="Verdana" w:hAnsi="Verdana" w:cs="Verdana"/>
          <w:b/>
          <w:bCs/>
          <w:lang w:val="es-MX"/>
        </w:rPr>
      </w:pPr>
    </w:p>
    <w:p w14:paraId="5728395A" w14:textId="77777777" w:rsidR="000438A1" w:rsidRDefault="000438A1" w:rsidP="000438A1"/>
    <w:p w14:paraId="24152702" w14:textId="77777777" w:rsidR="000438A1" w:rsidRPr="000438A1" w:rsidRDefault="000438A1" w:rsidP="007A71B5">
      <w:pPr>
        <w:spacing w:after="0" w:line="240" w:lineRule="auto"/>
        <w:textAlignment w:val="baseline"/>
        <w:rPr>
          <w:rFonts w:ascii="Verdana" w:eastAsia="Verdana" w:hAnsi="Verdana" w:cs="Verdana"/>
          <w:lang w:eastAsia="es-CO"/>
        </w:rPr>
      </w:pPr>
    </w:p>
    <w:p w14:paraId="6B3A6B38" w14:textId="77777777" w:rsidR="00A1227B" w:rsidRDefault="00A1227B" w:rsidP="007A71B5">
      <w:pPr>
        <w:spacing w:after="0" w:line="240" w:lineRule="auto"/>
        <w:textAlignment w:val="baseline"/>
        <w:rPr>
          <w:rFonts w:ascii="Verdana" w:eastAsia="Verdana" w:hAnsi="Verdana" w:cs="Verdana"/>
          <w:lang w:eastAsia="es-CO"/>
        </w:rPr>
      </w:pPr>
    </w:p>
    <w:p w14:paraId="4576C55D" w14:textId="77777777" w:rsidR="00A1227B" w:rsidRDefault="00A1227B" w:rsidP="007A71B5">
      <w:pPr>
        <w:spacing w:after="0" w:line="240" w:lineRule="auto"/>
        <w:textAlignment w:val="baseline"/>
        <w:rPr>
          <w:rFonts w:ascii="Verdana" w:eastAsia="Verdana" w:hAnsi="Verdana" w:cs="Verdana"/>
          <w:lang w:eastAsia="es-CO"/>
        </w:rPr>
      </w:pPr>
    </w:p>
    <w:p w14:paraId="66FAF8EC" w14:textId="77777777" w:rsidR="00A1227B" w:rsidRDefault="00A1227B" w:rsidP="007A71B5">
      <w:pPr>
        <w:spacing w:after="0" w:line="240" w:lineRule="auto"/>
        <w:textAlignment w:val="baseline"/>
        <w:rPr>
          <w:rFonts w:ascii="Verdana" w:eastAsia="Verdana" w:hAnsi="Verdana" w:cs="Verdana"/>
          <w:lang w:eastAsia="es-CO"/>
        </w:rPr>
      </w:pPr>
    </w:p>
    <w:p w14:paraId="51629BA6" w14:textId="77777777" w:rsidR="00A1227B" w:rsidRPr="000E2B93" w:rsidRDefault="00A1227B" w:rsidP="007A71B5">
      <w:pPr>
        <w:spacing w:after="0" w:line="240" w:lineRule="auto"/>
        <w:textAlignment w:val="baseline"/>
        <w:rPr>
          <w:rFonts w:ascii="Verdana" w:eastAsia="Verdana" w:hAnsi="Verdana" w:cs="Verdana"/>
          <w:lang w:eastAsia="es-CO"/>
        </w:rPr>
      </w:pPr>
    </w:p>
    <w:sectPr w:rsidR="00A1227B"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A6725" w14:textId="77777777" w:rsidR="00064EE4" w:rsidRDefault="00064EE4" w:rsidP="004A1847">
      <w:pPr>
        <w:spacing w:after="0" w:line="240" w:lineRule="auto"/>
      </w:pPr>
      <w:r>
        <w:separator/>
      </w:r>
    </w:p>
  </w:endnote>
  <w:endnote w:type="continuationSeparator" w:id="0">
    <w:p w14:paraId="0D0BC213" w14:textId="77777777" w:rsidR="00064EE4" w:rsidRDefault="00064EE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691F4" w14:textId="77777777" w:rsidR="00064EE4" w:rsidRDefault="00064EE4" w:rsidP="004A1847">
      <w:pPr>
        <w:spacing w:after="0" w:line="240" w:lineRule="auto"/>
      </w:pPr>
      <w:r>
        <w:separator/>
      </w:r>
    </w:p>
  </w:footnote>
  <w:footnote w:type="continuationSeparator" w:id="0">
    <w:p w14:paraId="7D59F26E" w14:textId="77777777" w:rsidR="00064EE4" w:rsidRDefault="00064EE4" w:rsidP="004A1847">
      <w:pPr>
        <w:spacing w:after="0" w:line="240" w:lineRule="auto"/>
      </w:pPr>
      <w:r>
        <w:continuationSeparator/>
      </w:r>
    </w:p>
  </w:footnote>
  <w:footnote w:id="1">
    <w:p w14:paraId="4BEE6E86" w14:textId="77777777" w:rsidR="00F204D5" w:rsidRPr="00206556" w:rsidRDefault="00F204D5" w:rsidP="00F204D5">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1512F5D5" w14:textId="77777777" w:rsidR="00F204D5" w:rsidRPr="00206556" w:rsidRDefault="00F204D5" w:rsidP="00F204D5">
      <w:pPr>
        <w:spacing w:after="80" w:line="240" w:lineRule="auto"/>
        <w:ind w:firstLine="708"/>
        <w:jc w:val="both"/>
        <w:rPr>
          <w:rFonts w:ascii="Verdana" w:hAnsi="Verdana"/>
          <w:sz w:val="16"/>
          <w:szCs w:val="16"/>
        </w:rPr>
      </w:pPr>
    </w:p>
  </w:footnote>
  <w:footnote w:id="2">
    <w:p w14:paraId="136D961E" w14:textId="77777777" w:rsidR="00F204D5" w:rsidRPr="00206556" w:rsidRDefault="00F204D5" w:rsidP="00F204D5">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6E24B70A" w14:textId="77777777" w:rsidR="00F204D5" w:rsidRPr="00206556" w:rsidRDefault="00F204D5" w:rsidP="00F204D5">
      <w:pPr>
        <w:pStyle w:val="Textonotapie"/>
        <w:ind w:firstLine="708"/>
        <w:jc w:val="both"/>
        <w:rPr>
          <w:rFonts w:ascii="Verdana" w:hAnsi="Verdana"/>
          <w:sz w:val="16"/>
          <w:szCs w:val="16"/>
          <w:lang w:val="es-ES"/>
        </w:rPr>
      </w:pPr>
    </w:p>
  </w:footnote>
  <w:footnote w:id="3">
    <w:p w14:paraId="118EF90A" w14:textId="77777777" w:rsidR="00F204D5" w:rsidRPr="00206556" w:rsidRDefault="00F204D5" w:rsidP="00F204D5">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34F4B898" w14:textId="77777777" w:rsidR="00F204D5" w:rsidRPr="00206556" w:rsidRDefault="00F204D5" w:rsidP="00F204D5">
      <w:pPr>
        <w:spacing w:after="80" w:line="240" w:lineRule="auto"/>
        <w:ind w:firstLine="708"/>
        <w:jc w:val="both"/>
        <w:rPr>
          <w:rFonts w:ascii="Verdana" w:hAnsi="Verdana"/>
          <w:sz w:val="16"/>
          <w:szCs w:val="16"/>
        </w:rPr>
      </w:pPr>
    </w:p>
  </w:footnote>
  <w:footnote w:id="4">
    <w:p w14:paraId="2B5A6F65" w14:textId="77777777" w:rsidR="00F204D5" w:rsidRPr="00206556" w:rsidRDefault="00F204D5" w:rsidP="00F204D5">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477036CE" w14:textId="77777777" w:rsidR="00F204D5" w:rsidRPr="00206556" w:rsidRDefault="00F204D5" w:rsidP="00F204D5">
      <w:pPr>
        <w:pStyle w:val="Textonotapie"/>
        <w:ind w:firstLine="708"/>
        <w:jc w:val="both"/>
        <w:rPr>
          <w:rFonts w:ascii="Verdana" w:hAnsi="Verdana"/>
          <w:sz w:val="16"/>
          <w:szCs w:val="16"/>
          <w:lang w:val="es-ES"/>
        </w:rPr>
      </w:pPr>
    </w:p>
  </w:footnote>
  <w:footnote w:id="5">
    <w:p w14:paraId="36F350C2" w14:textId="77777777" w:rsidR="00F204D5" w:rsidRPr="00206556" w:rsidRDefault="00F204D5" w:rsidP="00F204D5">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2F6DE6BD" w14:textId="77777777" w:rsidR="00F204D5" w:rsidRPr="00206556" w:rsidRDefault="00F204D5" w:rsidP="00F204D5">
      <w:pPr>
        <w:pStyle w:val="Textonotapie"/>
        <w:ind w:firstLine="708"/>
        <w:jc w:val="both"/>
        <w:rPr>
          <w:rFonts w:ascii="Verdana" w:hAnsi="Verdana"/>
          <w:sz w:val="16"/>
          <w:szCs w:val="16"/>
          <w:lang w:val="es-ES"/>
        </w:rPr>
      </w:pPr>
    </w:p>
  </w:footnote>
  <w:footnote w:id="6">
    <w:p w14:paraId="2639A658" w14:textId="77777777" w:rsidR="00F204D5" w:rsidRPr="00206556" w:rsidRDefault="00F204D5" w:rsidP="00F204D5">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0CAF54F7" w14:textId="77777777" w:rsidR="00F204D5" w:rsidRPr="00206556" w:rsidRDefault="00F204D5" w:rsidP="00F204D5">
      <w:pPr>
        <w:pStyle w:val="Textonotapie"/>
        <w:ind w:firstLine="708"/>
        <w:rPr>
          <w:rFonts w:ascii="Verdana" w:hAnsi="Verdana"/>
          <w:sz w:val="16"/>
          <w:szCs w:val="16"/>
          <w:lang w:val="es-ES"/>
        </w:rPr>
      </w:pPr>
    </w:p>
  </w:footnote>
  <w:footnote w:id="7">
    <w:p w14:paraId="3D5B36C9" w14:textId="77777777" w:rsidR="00F204D5" w:rsidRPr="00206556" w:rsidRDefault="00F204D5" w:rsidP="00F204D5">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6F51998E" w14:textId="77777777" w:rsidR="00F204D5" w:rsidRPr="00206556" w:rsidRDefault="00F204D5" w:rsidP="00F204D5">
      <w:pPr>
        <w:pStyle w:val="Textonotapie"/>
        <w:ind w:firstLine="708"/>
        <w:rPr>
          <w:rFonts w:ascii="Verdana" w:hAnsi="Verdana"/>
          <w:sz w:val="16"/>
          <w:szCs w:val="16"/>
          <w:lang w:val="es-ES"/>
        </w:rPr>
      </w:pPr>
    </w:p>
  </w:footnote>
  <w:footnote w:id="8">
    <w:p w14:paraId="287CC2F1" w14:textId="77777777" w:rsidR="00F204D5" w:rsidRPr="00206556" w:rsidRDefault="00F204D5" w:rsidP="00F204D5">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A21AB8"/>
    <w:multiLevelType w:val="hybridMultilevel"/>
    <w:tmpl w:val="96E0980C"/>
    <w:lvl w:ilvl="0" w:tplc="D42C245E">
      <w:start w:val="1"/>
      <w:numFmt w:val="lowerRoman"/>
      <w:lvlText w:val="%1)"/>
      <w:lvlJc w:val="left"/>
      <w:pPr>
        <w:ind w:left="1080" w:hanging="720"/>
      </w:pPr>
      <w:rPr>
        <w:rFonts w:eastAsia="Calibri" w:cs="Arial"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FB576F"/>
    <w:multiLevelType w:val="hybridMultilevel"/>
    <w:tmpl w:val="C2AA79F2"/>
    <w:lvl w:ilvl="0" w:tplc="84B8EB84">
      <w:start w:val="1"/>
      <w:numFmt w:val="lowerRoman"/>
      <w:lvlText w:val="%1)"/>
      <w:lvlJc w:val="left"/>
      <w:pPr>
        <w:ind w:left="1080" w:hanging="720"/>
      </w:pPr>
      <w:rPr>
        <w:rFonts w:eastAsia="Calibri" w:cs="Arial"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DF5BF9"/>
    <w:multiLevelType w:val="hybridMultilevel"/>
    <w:tmpl w:val="2CDC41DE"/>
    <w:lvl w:ilvl="0" w:tplc="38709748">
      <w:start w:val="1"/>
      <w:numFmt w:val="lowerRoman"/>
      <w:lvlText w:val="%1)"/>
      <w:lvlJc w:val="left"/>
      <w:pPr>
        <w:ind w:left="1080" w:hanging="720"/>
      </w:pPr>
      <w:rPr>
        <w:rFonts w:eastAsia="Calibri" w:cs="Arial"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245649885">
    <w:abstractNumId w:val="1"/>
  </w:num>
  <w:num w:numId="17" w16cid:durableId="1780953416">
    <w:abstractNumId w:val="10"/>
  </w:num>
  <w:num w:numId="18" w16cid:durableId="1086656649">
    <w:abstractNumId w:val="16"/>
  </w:num>
  <w:num w:numId="19" w16cid:durableId="13590879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CD4"/>
    <w:rsid w:val="00013586"/>
    <w:rsid w:val="00016F78"/>
    <w:rsid w:val="00025C25"/>
    <w:rsid w:val="00033ABC"/>
    <w:rsid w:val="000438A1"/>
    <w:rsid w:val="00046945"/>
    <w:rsid w:val="00056D35"/>
    <w:rsid w:val="00061B2A"/>
    <w:rsid w:val="00064EE4"/>
    <w:rsid w:val="00067CA6"/>
    <w:rsid w:val="0007472E"/>
    <w:rsid w:val="00076137"/>
    <w:rsid w:val="000766C9"/>
    <w:rsid w:val="00082362"/>
    <w:rsid w:val="00085F31"/>
    <w:rsid w:val="000951C9"/>
    <w:rsid w:val="00096B37"/>
    <w:rsid w:val="000A0F65"/>
    <w:rsid w:val="000A4F72"/>
    <w:rsid w:val="000A683E"/>
    <w:rsid w:val="000B19B9"/>
    <w:rsid w:val="000B64EE"/>
    <w:rsid w:val="000C3703"/>
    <w:rsid w:val="000C76F6"/>
    <w:rsid w:val="000D0334"/>
    <w:rsid w:val="000D5DA7"/>
    <w:rsid w:val="000E378B"/>
    <w:rsid w:val="000E7B2F"/>
    <w:rsid w:val="000F2F78"/>
    <w:rsid w:val="000F6486"/>
    <w:rsid w:val="00116873"/>
    <w:rsid w:val="00116940"/>
    <w:rsid w:val="00122A1F"/>
    <w:rsid w:val="001247CD"/>
    <w:rsid w:val="00125105"/>
    <w:rsid w:val="00127233"/>
    <w:rsid w:val="00135F57"/>
    <w:rsid w:val="001478DD"/>
    <w:rsid w:val="00151BD6"/>
    <w:rsid w:val="001536FE"/>
    <w:rsid w:val="0015699B"/>
    <w:rsid w:val="00164E3C"/>
    <w:rsid w:val="00183332"/>
    <w:rsid w:val="001864A6"/>
    <w:rsid w:val="001919D3"/>
    <w:rsid w:val="001A26A5"/>
    <w:rsid w:val="001A33BF"/>
    <w:rsid w:val="001B653D"/>
    <w:rsid w:val="001B7AC8"/>
    <w:rsid w:val="001C030B"/>
    <w:rsid w:val="001D13F0"/>
    <w:rsid w:val="001D448D"/>
    <w:rsid w:val="001D5B5C"/>
    <w:rsid w:val="001D7BF0"/>
    <w:rsid w:val="001E4177"/>
    <w:rsid w:val="001F0B24"/>
    <w:rsid w:val="001F43A0"/>
    <w:rsid w:val="001F7DC6"/>
    <w:rsid w:val="0022400B"/>
    <w:rsid w:val="002421BB"/>
    <w:rsid w:val="002448EE"/>
    <w:rsid w:val="0024584A"/>
    <w:rsid w:val="00247739"/>
    <w:rsid w:val="00253295"/>
    <w:rsid w:val="00255888"/>
    <w:rsid w:val="0025796E"/>
    <w:rsid w:val="00270342"/>
    <w:rsid w:val="002707A2"/>
    <w:rsid w:val="00272761"/>
    <w:rsid w:val="00272FCC"/>
    <w:rsid w:val="0027569D"/>
    <w:rsid w:val="0028678C"/>
    <w:rsid w:val="00287D2D"/>
    <w:rsid w:val="002951A0"/>
    <w:rsid w:val="002962BC"/>
    <w:rsid w:val="002A093D"/>
    <w:rsid w:val="002A0DD0"/>
    <w:rsid w:val="002A1AD8"/>
    <w:rsid w:val="002A49AC"/>
    <w:rsid w:val="002A64FD"/>
    <w:rsid w:val="002A6640"/>
    <w:rsid w:val="002C1490"/>
    <w:rsid w:val="002C4923"/>
    <w:rsid w:val="002C7A84"/>
    <w:rsid w:val="002D461E"/>
    <w:rsid w:val="002D6E43"/>
    <w:rsid w:val="002E2BF8"/>
    <w:rsid w:val="002E4041"/>
    <w:rsid w:val="002E4FD9"/>
    <w:rsid w:val="002E5C9A"/>
    <w:rsid w:val="002F7AE0"/>
    <w:rsid w:val="00300612"/>
    <w:rsid w:val="0030657A"/>
    <w:rsid w:val="00320C2D"/>
    <w:rsid w:val="00322A85"/>
    <w:rsid w:val="00322E80"/>
    <w:rsid w:val="00324168"/>
    <w:rsid w:val="00324ACC"/>
    <w:rsid w:val="00325468"/>
    <w:rsid w:val="00327212"/>
    <w:rsid w:val="00330834"/>
    <w:rsid w:val="003448F4"/>
    <w:rsid w:val="00346F63"/>
    <w:rsid w:val="00347A90"/>
    <w:rsid w:val="003569A0"/>
    <w:rsid w:val="0037298A"/>
    <w:rsid w:val="00374F5E"/>
    <w:rsid w:val="0037681B"/>
    <w:rsid w:val="00377E3E"/>
    <w:rsid w:val="003912A1"/>
    <w:rsid w:val="003919ED"/>
    <w:rsid w:val="003A19ED"/>
    <w:rsid w:val="003A662A"/>
    <w:rsid w:val="003A779E"/>
    <w:rsid w:val="003B080A"/>
    <w:rsid w:val="003C5DE2"/>
    <w:rsid w:val="003D0BE5"/>
    <w:rsid w:val="003D0F4D"/>
    <w:rsid w:val="003D4C56"/>
    <w:rsid w:val="003D55F8"/>
    <w:rsid w:val="003D5B0D"/>
    <w:rsid w:val="003D742D"/>
    <w:rsid w:val="003E0499"/>
    <w:rsid w:val="003E4F80"/>
    <w:rsid w:val="003E6439"/>
    <w:rsid w:val="003F3941"/>
    <w:rsid w:val="003F4065"/>
    <w:rsid w:val="003F4361"/>
    <w:rsid w:val="003F6210"/>
    <w:rsid w:val="003F718E"/>
    <w:rsid w:val="00406575"/>
    <w:rsid w:val="00414C74"/>
    <w:rsid w:val="0042722E"/>
    <w:rsid w:val="004319A3"/>
    <w:rsid w:val="00444592"/>
    <w:rsid w:val="0044528D"/>
    <w:rsid w:val="0045121A"/>
    <w:rsid w:val="00462355"/>
    <w:rsid w:val="004636ED"/>
    <w:rsid w:val="00464DA3"/>
    <w:rsid w:val="00466E39"/>
    <w:rsid w:val="00477281"/>
    <w:rsid w:val="004779D6"/>
    <w:rsid w:val="00484450"/>
    <w:rsid w:val="004908AF"/>
    <w:rsid w:val="0049683C"/>
    <w:rsid w:val="004A1847"/>
    <w:rsid w:val="004A305D"/>
    <w:rsid w:val="004A3FB7"/>
    <w:rsid w:val="004A4C47"/>
    <w:rsid w:val="004A5571"/>
    <w:rsid w:val="004B69C2"/>
    <w:rsid w:val="004C2EB3"/>
    <w:rsid w:val="004C3129"/>
    <w:rsid w:val="004F0346"/>
    <w:rsid w:val="004F21C4"/>
    <w:rsid w:val="004F685F"/>
    <w:rsid w:val="00507431"/>
    <w:rsid w:val="00514BCE"/>
    <w:rsid w:val="00517ABB"/>
    <w:rsid w:val="00522AF1"/>
    <w:rsid w:val="00524A58"/>
    <w:rsid w:val="00524B55"/>
    <w:rsid w:val="005269A9"/>
    <w:rsid w:val="0053702F"/>
    <w:rsid w:val="00545D70"/>
    <w:rsid w:val="00547BF9"/>
    <w:rsid w:val="00555370"/>
    <w:rsid w:val="005566E8"/>
    <w:rsid w:val="005628F2"/>
    <w:rsid w:val="00572F29"/>
    <w:rsid w:val="00574867"/>
    <w:rsid w:val="005862BA"/>
    <w:rsid w:val="0058641B"/>
    <w:rsid w:val="0059089D"/>
    <w:rsid w:val="00591460"/>
    <w:rsid w:val="00594A04"/>
    <w:rsid w:val="005A65E0"/>
    <w:rsid w:val="005C3777"/>
    <w:rsid w:val="005C5CDC"/>
    <w:rsid w:val="005D476C"/>
    <w:rsid w:val="005D54EF"/>
    <w:rsid w:val="005E29E3"/>
    <w:rsid w:val="005F79D9"/>
    <w:rsid w:val="00601F67"/>
    <w:rsid w:val="006200BF"/>
    <w:rsid w:val="006219F8"/>
    <w:rsid w:val="006302F7"/>
    <w:rsid w:val="00633A53"/>
    <w:rsid w:val="00646B9F"/>
    <w:rsid w:val="00651466"/>
    <w:rsid w:val="00664E75"/>
    <w:rsid w:val="00665D70"/>
    <w:rsid w:val="00673577"/>
    <w:rsid w:val="00682E11"/>
    <w:rsid w:val="0068625C"/>
    <w:rsid w:val="0068788D"/>
    <w:rsid w:val="006900D9"/>
    <w:rsid w:val="00694566"/>
    <w:rsid w:val="00696404"/>
    <w:rsid w:val="006A5BAE"/>
    <w:rsid w:val="006B06C4"/>
    <w:rsid w:val="006C59EC"/>
    <w:rsid w:val="006C6A71"/>
    <w:rsid w:val="006C6C88"/>
    <w:rsid w:val="006D12E0"/>
    <w:rsid w:val="006E622B"/>
    <w:rsid w:val="006E7649"/>
    <w:rsid w:val="006F09C2"/>
    <w:rsid w:val="006F2135"/>
    <w:rsid w:val="006F35BF"/>
    <w:rsid w:val="00700C11"/>
    <w:rsid w:val="00703B21"/>
    <w:rsid w:val="00706269"/>
    <w:rsid w:val="00706C16"/>
    <w:rsid w:val="007114C8"/>
    <w:rsid w:val="007168AD"/>
    <w:rsid w:val="00721EEF"/>
    <w:rsid w:val="00731E99"/>
    <w:rsid w:val="0073276E"/>
    <w:rsid w:val="007340C3"/>
    <w:rsid w:val="007427E9"/>
    <w:rsid w:val="00750610"/>
    <w:rsid w:val="007517E4"/>
    <w:rsid w:val="0075235A"/>
    <w:rsid w:val="00754AD9"/>
    <w:rsid w:val="00756841"/>
    <w:rsid w:val="00757E20"/>
    <w:rsid w:val="00762C0F"/>
    <w:rsid w:val="007639EC"/>
    <w:rsid w:val="007649AB"/>
    <w:rsid w:val="007659CE"/>
    <w:rsid w:val="00771D0C"/>
    <w:rsid w:val="00782370"/>
    <w:rsid w:val="007833AC"/>
    <w:rsid w:val="00785565"/>
    <w:rsid w:val="007A39EF"/>
    <w:rsid w:val="007A71B5"/>
    <w:rsid w:val="007A7F6B"/>
    <w:rsid w:val="007B268C"/>
    <w:rsid w:val="007B34C7"/>
    <w:rsid w:val="007B3514"/>
    <w:rsid w:val="007B7171"/>
    <w:rsid w:val="007C0C0F"/>
    <w:rsid w:val="007C3DC2"/>
    <w:rsid w:val="007C42F4"/>
    <w:rsid w:val="007D51EE"/>
    <w:rsid w:val="007E5497"/>
    <w:rsid w:val="007F459E"/>
    <w:rsid w:val="007F6ADE"/>
    <w:rsid w:val="0080006B"/>
    <w:rsid w:val="00804DBA"/>
    <w:rsid w:val="00806F5F"/>
    <w:rsid w:val="00810096"/>
    <w:rsid w:val="0081302E"/>
    <w:rsid w:val="00814BF7"/>
    <w:rsid w:val="00820278"/>
    <w:rsid w:val="00822B11"/>
    <w:rsid w:val="008258C9"/>
    <w:rsid w:val="00832965"/>
    <w:rsid w:val="00842FDE"/>
    <w:rsid w:val="00844AE9"/>
    <w:rsid w:val="00850FA8"/>
    <w:rsid w:val="00862303"/>
    <w:rsid w:val="00867F95"/>
    <w:rsid w:val="00882F4D"/>
    <w:rsid w:val="008843B6"/>
    <w:rsid w:val="00891928"/>
    <w:rsid w:val="008A446D"/>
    <w:rsid w:val="008B1A1F"/>
    <w:rsid w:val="008B25F1"/>
    <w:rsid w:val="008B3A17"/>
    <w:rsid w:val="008C230A"/>
    <w:rsid w:val="008C2A6C"/>
    <w:rsid w:val="008C6623"/>
    <w:rsid w:val="008C7E1F"/>
    <w:rsid w:val="008D180B"/>
    <w:rsid w:val="008E16B2"/>
    <w:rsid w:val="008F0EA7"/>
    <w:rsid w:val="00903AF7"/>
    <w:rsid w:val="0092093A"/>
    <w:rsid w:val="00923EEF"/>
    <w:rsid w:val="009278B1"/>
    <w:rsid w:val="00933E3C"/>
    <w:rsid w:val="009419F9"/>
    <w:rsid w:val="009463B0"/>
    <w:rsid w:val="009529C9"/>
    <w:rsid w:val="0095685E"/>
    <w:rsid w:val="00960C17"/>
    <w:rsid w:val="00961B09"/>
    <w:rsid w:val="00965334"/>
    <w:rsid w:val="0097093E"/>
    <w:rsid w:val="00973505"/>
    <w:rsid w:val="00983B49"/>
    <w:rsid w:val="00991941"/>
    <w:rsid w:val="009A0DFA"/>
    <w:rsid w:val="009A1C6F"/>
    <w:rsid w:val="009B2D26"/>
    <w:rsid w:val="009B5AA2"/>
    <w:rsid w:val="009C71FA"/>
    <w:rsid w:val="009C72E7"/>
    <w:rsid w:val="009C7F7E"/>
    <w:rsid w:val="009D0CDB"/>
    <w:rsid w:val="009D3058"/>
    <w:rsid w:val="009F3A13"/>
    <w:rsid w:val="00A1227B"/>
    <w:rsid w:val="00A122D3"/>
    <w:rsid w:val="00A13894"/>
    <w:rsid w:val="00A14468"/>
    <w:rsid w:val="00A17F13"/>
    <w:rsid w:val="00A20739"/>
    <w:rsid w:val="00A23AF9"/>
    <w:rsid w:val="00A304D6"/>
    <w:rsid w:val="00A33C78"/>
    <w:rsid w:val="00A3767D"/>
    <w:rsid w:val="00A477B7"/>
    <w:rsid w:val="00A56E16"/>
    <w:rsid w:val="00A6408F"/>
    <w:rsid w:val="00A6456E"/>
    <w:rsid w:val="00A7064E"/>
    <w:rsid w:val="00A77DBB"/>
    <w:rsid w:val="00AA623B"/>
    <w:rsid w:val="00AA7103"/>
    <w:rsid w:val="00AB0ADB"/>
    <w:rsid w:val="00AB7AA0"/>
    <w:rsid w:val="00AC01A0"/>
    <w:rsid w:val="00AD3831"/>
    <w:rsid w:val="00AD541E"/>
    <w:rsid w:val="00AF33F0"/>
    <w:rsid w:val="00B00C0E"/>
    <w:rsid w:val="00B01B1A"/>
    <w:rsid w:val="00B02078"/>
    <w:rsid w:val="00B0381D"/>
    <w:rsid w:val="00B21349"/>
    <w:rsid w:val="00B267D7"/>
    <w:rsid w:val="00B33AFC"/>
    <w:rsid w:val="00B4256D"/>
    <w:rsid w:val="00B44A47"/>
    <w:rsid w:val="00B558D1"/>
    <w:rsid w:val="00B5721A"/>
    <w:rsid w:val="00B60FCF"/>
    <w:rsid w:val="00B65B34"/>
    <w:rsid w:val="00B71054"/>
    <w:rsid w:val="00B72CD3"/>
    <w:rsid w:val="00B72FFF"/>
    <w:rsid w:val="00B744DB"/>
    <w:rsid w:val="00B83C04"/>
    <w:rsid w:val="00B8676D"/>
    <w:rsid w:val="00B86E63"/>
    <w:rsid w:val="00B90BEC"/>
    <w:rsid w:val="00B93EEA"/>
    <w:rsid w:val="00B959EB"/>
    <w:rsid w:val="00BA3A89"/>
    <w:rsid w:val="00BB142A"/>
    <w:rsid w:val="00BB1553"/>
    <w:rsid w:val="00BC3D36"/>
    <w:rsid w:val="00BC7499"/>
    <w:rsid w:val="00BD060A"/>
    <w:rsid w:val="00BD477A"/>
    <w:rsid w:val="00BD54A6"/>
    <w:rsid w:val="00BD672E"/>
    <w:rsid w:val="00BD7F72"/>
    <w:rsid w:val="00BF311B"/>
    <w:rsid w:val="00BF7425"/>
    <w:rsid w:val="00C04FB3"/>
    <w:rsid w:val="00C11B64"/>
    <w:rsid w:val="00C11D8B"/>
    <w:rsid w:val="00C15139"/>
    <w:rsid w:val="00C330EB"/>
    <w:rsid w:val="00C3412E"/>
    <w:rsid w:val="00C439AA"/>
    <w:rsid w:val="00C43FA8"/>
    <w:rsid w:val="00C44B63"/>
    <w:rsid w:val="00C45CE3"/>
    <w:rsid w:val="00C50D69"/>
    <w:rsid w:val="00C5365C"/>
    <w:rsid w:val="00C60C5A"/>
    <w:rsid w:val="00C61A63"/>
    <w:rsid w:val="00C620CF"/>
    <w:rsid w:val="00C754BE"/>
    <w:rsid w:val="00C76B1C"/>
    <w:rsid w:val="00C82177"/>
    <w:rsid w:val="00C90EC3"/>
    <w:rsid w:val="00C925AC"/>
    <w:rsid w:val="00C978F9"/>
    <w:rsid w:val="00CB6357"/>
    <w:rsid w:val="00CC041F"/>
    <w:rsid w:val="00CC07F8"/>
    <w:rsid w:val="00CC1B26"/>
    <w:rsid w:val="00CC3772"/>
    <w:rsid w:val="00CC5EC6"/>
    <w:rsid w:val="00CD78E2"/>
    <w:rsid w:val="00CE1383"/>
    <w:rsid w:val="00CE43E2"/>
    <w:rsid w:val="00CE75E2"/>
    <w:rsid w:val="00CF4AD0"/>
    <w:rsid w:val="00D018CA"/>
    <w:rsid w:val="00D02038"/>
    <w:rsid w:val="00D149DE"/>
    <w:rsid w:val="00D14CC1"/>
    <w:rsid w:val="00D20D84"/>
    <w:rsid w:val="00D243EF"/>
    <w:rsid w:val="00D24F97"/>
    <w:rsid w:val="00D25FDD"/>
    <w:rsid w:val="00D33A25"/>
    <w:rsid w:val="00D361FD"/>
    <w:rsid w:val="00D423A2"/>
    <w:rsid w:val="00D424BB"/>
    <w:rsid w:val="00D42770"/>
    <w:rsid w:val="00D44E26"/>
    <w:rsid w:val="00D520D8"/>
    <w:rsid w:val="00D57F1C"/>
    <w:rsid w:val="00D61F92"/>
    <w:rsid w:val="00D63AC2"/>
    <w:rsid w:val="00D7069A"/>
    <w:rsid w:val="00D7383B"/>
    <w:rsid w:val="00D76AF1"/>
    <w:rsid w:val="00D7788A"/>
    <w:rsid w:val="00D82C26"/>
    <w:rsid w:val="00D83310"/>
    <w:rsid w:val="00DA1B20"/>
    <w:rsid w:val="00DA231B"/>
    <w:rsid w:val="00DA24F1"/>
    <w:rsid w:val="00DA26EF"/>
    <w:rsid w:val="00DA798D"/>
    <w:rsid w:val="00DB0948"/>
    <w:rsid w:val="00DB4F60"/>
    <w:rsid w:val="00DC1DFA"/>
    <w:rsid w:val="00DC39FC"/>
    <w:rsid w:val="00DC5F38"/>
    <w:rsid w:val="00DC6D2C"/>
    <w:rsid w:val="00DE18BC"/>
    <w:rsid w:val="00DF15AA"/>
    <w:rsid w:val="00DF30FD"/>
    <w:rsid w:val="00DF3E07"/>
    <w:rsid w:val="00DF5254"/>
    <w:rsid w:val="00DF545E"/>
    <w:rsid w:val="00DF7607"/>
    <w:rsid w:val="00E02524"/>
    <w:rsid w:val="00E16408"/>
    <w:rsid w:val="00E201DA"/>
    <w:rsid w:val="00E20894"/>
    <w:rsid w:val="00E225AD"/>
    <w:rsid w:val="00E2266A"/>
    <w:rsid w:val="00E22689"/>
    <w:rsid w:val="00E245AB"/>
    <w:rsid w:val="00E2764C"/>
    <w:rsid w:val="00E27F2E"/>
    <w:rsid w:val="00E503CA"/>
    <w:rsid w:val="00E50AFE"/>
    <w:rsid w:val="00E565D5"/>
    <w:rsid w:val="00E5707E"/>
    <w:rsid w:val="00E638B4"/>
    <w:rsid w:val="00E72F29"/>
    <w:rsid w:val="00E75C90"/>
    <w:rsid w:val="00E75C92"/>
    <w:rsid w:val="00E771DC"/>
    <w:rsid w:val="00E81041"/>
    <w:rsid w:val="00E8772A"/>
    <w:rsid w:val="00E90F6B"/>
    <w:rsid w:val="00E91800"/>
    <w:rsid w:val="00E92C27"/>
    <w:rsid w:val="00EA0E3D"/>
    <w:rsid w:val="00EC0354"/>
    <w:rsid w:val="00EC38A7"/>
    <w:rsid w:val="00EC3A13"/>
    <w:rsid w:val="00EC3DA0"/>
    <w:rsid w:val="00EC4D09"/>
    <w:rsid w:val="00ED27A2"/>
    <w:rsid w:val="00EE12BB"/>
    <w:rsid w:val="00EE1AA8"/>
    <w:rsid w:val="00EE1F04"/>
    <w:rsid w:val="00EE29AD"/>
    <w:rsid w:val="00EE7B33"/>
    <w:rsid w:val="00F03193"/>
    <w:rsid w:val="00F0774B"/>
    <w:rsid w:val="00F07F90"/>
    <w:rsid w:val="00F1052B"/>
    <w:rsid w:val="00F15100"/>
    <w:rsid w:val="00F16FF1"/>
    <w:rsid w:val="00F204D5"/>
    <w:rsid w:val="00F23FEA"/>
    <w:rsid w:val="00F25706"/>
    <w:rsid w:val="00F25B65"/>
    <w:rsid w:val="00F31EDC"/>
    <w:rsid w:val="00F462B3"/>
    <w:rsid w:val="00F53817"/>
    <w:rsid w:val="00F54F57"/>
    <w:rsid w:val="00F5664F"/>
    <w:rsid w:val="00F61D05"/>
    <w:rsid w:val="00F64AB3"/>
    <w:rsid w:val="00F666C4"/>
    <w:rsid w:val="00F66787"/>
    <w:rsid w:val="00F70151"/>
    <w:rsid w:val="00F76AFC"/>
    <w:rsid w:val="00F8348C"/>
    <w:rsid w:val="00F92D63"/>
    <w:rsid w:val="00FA3B56"/>
    <w:rsid w:val="00FA47C0"/>
    <w:rsid w:val="00FB3687"/>
    <w:rsid w:val="00FB3C69"/>
    <w:rsid w:val="00FB5DD1"/>
    <w:rsid w:val="00FC070B"/>
    <w:rsid w:val="00FC2B5D"/>
    <w:rsid w:val="00FC2C61"/>
    <w:rsid w:val="00FD0314"/>
    <w:rsid w:val="00FD31F6"/>
    <w:rsid w:val="00FD53FA"/>
    <w:rsid w:val="00FD5526"/>
    <w:rsid w:val="00FD71B1"/>
    <w:rsid w:val="00FF1449"/>
    <w:rsid w:val="00FF1652"/>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6D6DDAC7"/>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A3FB7"/>
    <w:pPr>
      <w:spacing w:line="240" w:lineRule="exact"/>
    </w:pPr>
    <w:rPr>
      <w:vertAlign w:val="superscript"/>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lmis.bruges%40colombiacompra.gov.co%7C7128555136e04fa6887d08dee99e1b50%7C7b09041e245149d08cb179d5e3d8c1be%7C0%7C0%7C639205062448313260%7CUnknown%7CTWFpbGZsb3d8eyJFbXB0eU1hcGkiOnRydWUsIlYiOiIwLjAuMDAwMCIsIlAiOiJXaW4zMiIsIkFOIjoiTWFpbCIsIldUIjoyfQ%3D%3D%7C0%7C%7C%7C&amp;sdata=PWB8ysTfGANaKDXK6eWlLOU%2BBqiJe%2BINY2KXAKdmwC4%3D&amp;reserved=0"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lmis.bruges%40colombiacompra.gov.co%7C7128555136e04fa6887d08dee99e1b50%7C7b09041e245149d08cb179d5e3d8c1be%7C0%7C0%7C639205062448449606%7CUnknown%7CTWFpbGZsb3d8eyJFbXB0eU1hcGkiOnRydWUsIlYiOiIwLjAuMDAwMCIsIlAiOiJXaW4zMiIsIkFOIjoiTWFpbCIsIldUIjoyfQ%3D%3D%7C0%7C%7C%7C&amp;sdata=T3S9FDtEoS67Wx8P%2FeZ4CtytwM37bW%2FCDD1BDi8JhU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rmetrics@europe.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lmis.bruges%40colombiacompra.gov.co%7C7128555136e04fa6887d08dee99e1b50%7C7b09041e245149d08cb179d5e3d8c1be%7C0%7C0%7C639205062448418483%7CUnknown%7CTWFpbGZsb3d8eyJFbXB0eU1hcGkiOnRydWUsIlYiOiIwLjAuMDAwMCIsIlAiOiJXaW4zMiIsIkFOIjoiTWFpbCIsIldUIjoyfQ%3D%3D%7C0%7C%7C%7C&amp;sdata=Lw88GN50UcFim3kzSl9M8dlsx3kbnb54uQShTOIBvAw%3D&amp;reserved=0" TargetMode="Externa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lmis.bruges%40colombiacompra.gov.co%7C7128555136e04fa6887d08dee99e1b50%7C7b09041e245149d08cb179d5e3d8c1be%7C0%7C0%7C639205062448374558%7CUnknown%7CTWFpbGZsb3d8eyJFbXB0eU1hcGkiOnRydWUsIlYiOiIwLjAuMDAwMCIsIlAiOiJXaW4zMiIsIkFOIjoiTWFpbCIsIldUIjoyfQ%3D%3D%7C0%7C%7C%7C&amp;sdata=r%2FZhRCHF9UzC0eh%2FV6T2oxgPtj8EHPV2B4oylbUVf%2BA%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4ED67B05-DBCE-4A2D-A1DF-CD20BD363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19</Pages>
  <Words>6450</Words>
  <Characters>35481</Characters>
  <Application>Microsoft Office Word</Application>
  <DocSecurity>0</DocSecurity>
  <Lines>295</Lines>
  <Paragraphs>83</Paragraphs>
  <ScaleCrop>false</ScaleCrop>
  <Company/>
  <LinksUpToDate>false</LinksUpToDate>
  <CharactersWithSpaces>41848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2026-09-08T13:00:00Z</dcterms:created>
  <dcterms:modified xsi:type="dcterms:W3CDTF">2026-09-08T19:24:00Z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