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79BE" w14:textId="77777777" w:rsidR="00427F3B" w:rsidRPr="00B774CC" w:rsidRDefault="00427F3B" w:rsidP="00427F3B">
      <w:pPr>
        <w:spacing w:after="0" w:line="276" w:lineRule="auto"/>
        <w:jc w:val="both"/>
        <w:rPr>
          <w:rFonts w:ascii="Verdana" w:eastAsia="Calibri" w:hAnsi="Verdana" w:cs="Arial"/>
          <w:b/>
          <w:bCs/>
          <w:lang w:val="es-ES_tradnl" w:eastAsia="es-MX"/>
        </w:rPr>
      </w:pPr>
      <w:bookmarkStart w:id="0" w:name="_Hlk143780582"/>
      <w:r w:rsidRPr="00B774CC">
        <w:rPr>
          <w:rFonts w:ascii="Verdana" w:eastAsia="Calibri" w:hAnsi="Verdana" w:cs="Arial"/>
          <w:b/>
          <w:bCs/>
          <w:lang w:val="es-ES_tradnl" w:eastAsia="es-MX"/>
        </w:rPr>
        <w:t xml:space="preserve">DOCUMENTOS TIPO – Fundamento normativo – Obligatoriedad </w:t>
      </w:r>
    </w:p>
    <w:p w14:paraId="21A73EF3" w14:textId="77777777" w:rsidR="00427F3B" w:rsidRPr="00B774CC" w:rsidRDefault="00427F3B" w:rsidP="00427F3B">
      <w:pPr>
        <w:spacing w:after="0" w:line="276" w:lineRule="auto"/>
        <w:jc w:val="both"/>
        <w:rPr>
          <w:rFonts w:ascii="Verdana" w:eastAsia="Calibri" w:hAnsi="Verdana" w:cs="Arial"/>
          <w:b/>
          <w:bCs/>
          <w:sz w:val="20"/>
          <w:szCs w:val="20"/>
          <w:lang w:val="es-ES_tradnl" w:eastAsia="es-MX"/>
        </w:rPr>
      </w:pPr>
    </w:p>
    <w:p w14:paraId="2826AA59" w14:textId="77777777" w:rsidR="00427F3B" w:rsidRPr="00B774CC" w:rsidRDefault="00427F3B" w:rsidP="00427F3B">
      <w:pPr>
        <w:tabs>
          <w:tab w:val="left" w:pos="709"/>
        </w:tabs>
        <w:spacing w:after="0" w:line="240" w:lineRule="auto"/>
        <w:jc w:val="both"/>
        <w:rPr>
          <w:rFonts w:ascii="Verdana" w:eastAsia="Calibri" w:hAnsi="Verdana" w:cs="Arial"/>
          <w:sz w:val="20"/>
          <w:szCs w:val="20"/>
          <w:lang w:val="es-ES" w:eastAsia="es-MX"/>
        </w:rPr>
      </w:pPr>
      <w:r w:rsidRPr="00B774CC">
        <w:rPr>
          <w:rFonts w:ascii="Verdana" w:eastAsia="Calibri" w:hAnsi="Verdana" w:cs="Arial"/>
          <w:sz w:val="20"/>
          <w:szCs w:val="20"/>
          <w:lang w:val="es-ES" w:eastAsia="es-MX"/>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6E61E967" w14:textId="77777777" w:rsidR="00427F3B" w:rsidRPr="00B774CC" w:rsidRDefault="00427F3B" w:rsidP="00427F3B">
      <w:pPr>
        <w:spacing w:after="0" w:line="276" w:lineRule="auto"/>
        <w:jc w:val="both"/>
        <w:rPr>
          <w:rFonts w:ascii="Verdana" w:eastAsia="Calibri" w:hAnsi="Verdana" w:cs="Arial"/>
          <w:b/>
          <w:bCs/>
          <w:lang w:val="es-ES_tradnl" w:eastAsia="es-MX"/>
        </w:rPr>
      </w:pPr>
    </w:p>
    <w:p w14:paraId="3D4402CA" w14:textId="77777777" w:rsidR="00427F3B" w:rsidRPr="00B774CC" w:rsidRDefault="00427F3B" w:rsidP="00427F3B">
      <w:pPr>
        <w:widowControl w:val="0"/>
        <w:autoSpaceDE w:val="0"/>
        <w:autoSpaceDN w:val="0"/>
        <w:spacing w:after="0" w:line="276" w:lineRule="auto"/>
        <w:jc w:val="both"/>
        <w:rPr>
          <w:rFonts w:ascii="Verdana" w:eastAsia="Calibri" w:hAnsi="Verdana" w:cs="Times New Roman"/>
          <w:b/>
          <w:bCs/>
          <w:lang w:val="es-ES" w:eastAsia="es-MX"/>
        </w:rPr>
      </w:pPr>
      <w:r w:rsidRPr="00B774CC">
        <w:rPr>
          <w:rFonts w:ascii="Verdana" w:eastAsia="Calibri" w:hAnsi="Verdana" w:cs="Arial"/>
          <w:b/>
          <w:bCs/>
          <w:lang w:val="es-ES_tradnl" w:eastAsia="es-MX"/>
        </w:rPr>
        <w:t>SECTOR SOCIAL</w:t>
      </w:r>
      <w:r w:rsidRPr="00B774CC">
        <w:rPr>
          <w:rFonts w:ascii="Verdana" w:eastAsia="Calibri" w:hAnsi="Verdana" w:cs="Times New Roman"/>
          <w:lang w:val="es-ES" w:eastAsia="es-MX"/>
        </w:rPr>
        <w:t xml:space="preserve"> </w:t>
      </w:r>
      <w:r w:rsidRPr="00B774CC">
        <w:rPr>
          <w:rFonts w:ascii="Verdana" w:eastAsia="Calibri" w:hAnsi="Verdana" w:cs="Times New Roman"/>
          <w:b/>
          <w:bCs/>
          <w:lang w:val="es-ES" w:eastAsia="es-MX"/>
        </w:rPr>
        <w:t>– Documentos tipo – Vigentes</w:t>
      </w:r>
    </w:p>
    <w:p w14:paraId="752BC849" w14:textId="77777777" w:rsidR="00427F3B" w:rsidRPr="00B774CC" w:rsidRDefault="00427F3B" w:rsidP="00427F3B">
      <w:pPr>
        <w:widowControl w:val="0"/>
        <w:autoSpaceDE w:val="0"/>
        <w:autoSpaceDN w:val="0"/>
        <w:spacing w:after="0" w:line="276" w:lineRule="auto"/>
        <w:jc w:val="both"/>
        <w:rPr>
          <w:rFonts w:ascii="Verdana" w:eastAsia="Calibri" w:hAnsi="Verdana" w:cs="Times New Roman"/>
          <w:b/>
          <w:bCs/>
          <w:lang w:val="es-ES" w:eastAsia="es-MX"/>
        </w:rPr>
      </w:pPr>
    </w:p>
    <w:p w14:paraId="2BAF8E9C" w14:textId="77777777" w:rsidR="00427F3B" w:rsidRPr="00B774CC" w:rsidRDefault="00427F3B" w:rsidP="00427F3B">
      <w:pPr>
        <w:widowControl w:val="0"/>
        <w:autoSpaceDE w:val="0"/>
        <w:autoSpaceDN w:val="0"/>
        <w:spacing w:after="0" w:line="240" w:lineRule="auto"/>
        <w:jc w:val="both"/>
        <w:rPr>
          <w:rFonts w:ascii="Verdana" w:eastAsia="Calibri" w:hAnsi="Verdana" w:cs="Times New Roman"/>
          <w:b/>
          <w:bCs/>
          <w:sz w:val="20"/>
          <w:szCs w:val="20"/>
          <w:lang w:val="es-ES" w:eastAsia="es-MX"/>
        </w:rPr>
      </w:pPr>
      <w:r w:rsidRPr="00B774CC">
        <w:rPr>
          <w:rFonts w:ascii="Verdana" w:eastAsia="Aptos" w:hAnsi="Verdana" w:cs="Times New Roman"/>
          <w:sz w:val="20"/>
          <w:szCs w:val="20"/>
          <w:lang w:eastAsia="es-MX"/>
        </w:rPr>
        <w:t xml:space="preserve">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de salud, cultura, recreación y deporte, institucional y vivienda, en los procesos de selección cuyo aviso de convocatoria se publique a partir del 16 de febrero de 2026. </w:t>
      </w:r>
    </w:p>
    <w:p w14:paraId="08FEB457" w14:textId="77777777" w:rsidR="00427F3B" w:rsidRPr="00B774CC" w:rsidRDefault="00427F3B" w:rsidP="00427F3B">
      <w:pPr>
        <w:spacing w:after="0"/>
        <w:rPr>
          <w:rFonts w:ascii="Verdana" w:hAnsi="Verdana"/>
          <w:lang w:val="es-ES"/>
        </w:rPr>
      </w:pPr>
    </w:p>
    <w:p w14:paraId="2E5933E4" w14:textId="77777777" w:rsidR="00427F3B" w:rsidRPr="00B774CC" w:rsidRDefault="00427F3B" w:rsidP="00427F3B">
      <w:pPr>
        <w:spacing w:after="0" w:line="276" w:lineRule="auto"/>
        <w:jc w:val="both"/>
        <w:rPr>
          <w:rFonts w:ascii="Verdana" w:eastAsia="Calibri" w:hAnsi="Verdana" w:cs="Times New Roman"/>
          <w:sz w:val="20"/>
          <w:szCs w:val="20"/>
          <w:lang w:val="es-ES" w:eastAsia="es-MX"/>
        </w:rPr>
      </w:pPr>
      <w:r w:rsidRPr="00B774CC">
        <w:rPr>
          <w:rFonts w:ascii="Verdana" w:eastAsia="Calibri" w:hAnsi="Verdana" w:cs="Times New Roman"/>
          <w:b/>
          <w:bCs/>
          <w:lang w:val="es-ES" w:eastAsia="es-MX"/>
        </w:rPr>
        <w:t xml:space="preserve">DOCUMENTOS TIPO – Aplicación – Matriz de Experiencia </w:t>
      </w:r>
    </w:p>
    <w:p w14:paraId="2F2873D7" w14:textId="77777777" w:rsidR="00427F3B" w:rsidRPr="00B774CC" w:rsidRDefault="00427F3B" w:rsidP="00427F3B">
      <w:pPr>
        <w:spacing w:after="0" w:line="240" w:lineRule="auto"/>
        <w:rPr>
          <w:rFonts w:ascii="Verdana" w:eastAsia="Geomanist Light" w:hAnsi="Verdana" w:cs="Arial"/>
          <w:lang w:val="es-MX" w:eastAsia="es-MX"/>
        </w:rPr>
      </w:pPr>
    </w:p>
    <w:p w14:paraId="3DF0D9EB" w14:textId="77777777" w:rsidR="00427F3B" w:rsidRPr="00B774CC" w:rsidRDefault="00427F3B" w:rsidP="00427F3B">
      <w:pPr>
        <w:widowControl w:val="0"/>
        <w:autoSpaceDE w:val="0"/>
        <w:autoSpaceDN w:val="0"/>
        <w:spacing w:after="0" w:line="240" w:lineRule="auto"/>
        <w:jc w:val="both"/>
        <w:rPr>
          <w:rFonts w:ascii="Verdana" w:eastAsia="Calibri" w:hAnsi="Verdana" w:cs="Times New Roman"/>
          <w:sz w:val="20"/>
          <w:szCs w:val="20"/>
          <w:lang w:val="es-ES" w:eastAsia="es-MX"/>
        </w:rPr>
      </w:pPr>
      <w:r w:rsidRPr="00B774CC">
        <w:rPr>
          <w:rFonts w:ascii="Verdana" w:eastAsia="Calibri" w:hAnsi="Verdana" w:cs="Times New Roman"/>
          <w:sz w:val="20"/>
          <w:szCs w:val="20"/>
          <w:lang w:val="es-ES" w:eastAsia="es-MX"/>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5BE4EBE7" w14:textId="77777777" w:rsidR="00427F3B" w:rsidRPr="00B774CC" w:rsidRDefault="00427F3B" w:rsidP="00427F3B">
      <w:pPr>
        <w:widowControl w:val="0"/>
        <w:autoSpaceDE w:val="0"/>
        <w:autoSpaceDN w:val="0"/>
        <w:spacing w:after="0" w:line="240" w:lineRule="auto"/>
        <w:jc w:val="both"/>
        <w:rPr>
          <w:rFonts w:ascii="Verdana" w:eastAsia="Calibri" w:hAnsi="Verdana" w:cs="Times New Roman"/>
          <w:sz w:val="20"/>
          <w:szCs w:val="20"/>
          <w:lang w:val="es-ES" w:eastAsia="es-MX"/>
        </w:rPr>
      </w:pPr>
    </w:p>
    <w:p w14:paraId="783AED75" w14:textId="77777777" w:rsidR="00427F3B" w:rsidRPr="00B774CC" w:rsidRDefault="00427F3B" w:rsidP="00427F3B">
      <w:pPr>
        <w:widowControl w:val="0"/>
        <w:autoSpaceDE w:val="0"/>
        <w:autoSpaceDN w:val="0"/>
        <w:spacing w:after="0" w:line="240" w:lineRule="auto"/>
        <w:jc w:val="both"/>
        <w:rPr>
          <w:rFonts w:ascii="Verdana" w:eastAsia="Calibri" w:hAnsi="Verdana" w:cs="Times New Roman"/>
          <w:sz w:val="20"/>
          <w:szCs w:val="20"/>
          <w:lang w:val="es-ES" w:eastAsia="es-MX"/>
        </w:rPr>
      </w:pPr>
      <w:r w:rsidRPr="00B774CC">
        <w:rPr>
          <w:rFonts w:ascii="Verdana" w:eastAsia="Calibri" w:hAnsi="Verdana" w:cs="Times New Roman"/>
          <w:sz w:val="20"/>
          <w:szCs w:val="20"/>
          <w:lang w:val="es-ES" w:eastAsia="es-MX"/>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07B49AF7" w14:textId="77777777" w:rsidR="00427F3B" w:rsidRPr="00FD7013" w:rsidRDefault="00427F3B" w:rsidP="00427F3B">
      <w:pPr>
        <w:spacing w:after="0"/>
        <w:rPr>
          <w:rFonts w:ascii="Verdana" w:hAnsi="Verdana"/>
          <w:lang w:val="es-ES"/>
        </w:rPr>
      </w:pPr>
    </w:p>
    <w:p w14:paraId="36A9BA24" w14:textId="77777777" w:rsidR="00427F3B" w:rsidRPr="00FD7013" w:rsidRDefault="00427F3B" w:rsidP="00427F3B">
      <w:pPr>
        <w:spacing w:after="0" w:line="276" w:lineRule="auto"/>
        <w:jc w:val="both"/>
        <w:rPr>
          <w:rFonts w:ascii="Verdana" w:eastAsia="Calibri" w:hAnsi="Verdana" w:cs="Times New Roman"/>
          <w:b/>
          <w:bCs/>
          <w:lang w:val="es-ES" w:eastAsia="es-MX"/>
        </w:rPr>
      </w:pPr>
      <w:r w:rsidRPr="00FD7013">
        <w:rPr>
          <w:rFonts w:ascii="Verdana" w:eastAsia="Calibri" w:hAnsi="Verdana" w:cs="Times New Roman"/>
          <w:b/>
          <w:bCs/>
          <w:lang w:val="es-ES" w:eastAsia="es-MX"/>
        </w:rPr>
        <w:t>DOCUMENTOS TIPO – Infraestructura social - Aplicación – Matriz de Experiencia – Grupo de ocupación institucional</w:t>
      </w:r>
    </w:p>
    <w:p w14:paraId="2856CAB3" w14:textId="77777777" w:rsidR="00427F3B" w:rsidRPr="00FD7013" w:rsidRDefault="00427F3B" w:rsidP="00427F3B">
      <w:pPr>
        <w:spacing w:after="0" w:line="276" w:lineRule="auto"/>
        <w:jc w:val="both"/>
        <w:rPr>
          <w:rFonts w:ascii="Verdana" w:eastAsia="Calibri" w:hAnsi="Verdana" w:cs="Times New Roman"/>
          <w:b/>
          <w:bCs/>
          <w:lang w:val="es-ES" w:eastAsia="es-MX"/>
        </w:rPr>
      </w:pPr>
    </w:p>
    <w:p w14:paraId="24AB03C7" w14:textId="77777777" w:rsidR="00427F3B" w:rsidRPr="00FD7013" w:rsidRDefault="00427F3B" w:rsidP="00427F3B">
      <w:pPr>
        <w:spacing w:after="0" w:line="240" w:lineRule="auto"/>
        <w:jc w:val="both"/>
        <w:rPr>
          <w:rFonts w:ascii="Verdana" w:eastAsia="Calibri" w:hAnsi="Verdana" w:cs="Times New Roman"/>
          <w:sz w:val="20"/>
          <w:szCs w:val="20"/>
          <w:lang w:eastAsia="es-MX"/>
        </w:rPr>
      </w:pPr>
      <w:r w:rsidRPr="00FD7013">
        <w:rPr>
          <w:rFonts w:ascii="Verdana" w:eastAsia="Calibri" w:hAnsi="Verdana" w:cs="Times New Roman"/>
          <w:sz w:val="20"/>
          <w:szCs w:val="20"/>
          <w:lang w:eastAsia="es-MX"/>
        </w:rPr>
        <w:t xml:space="preserve">De acuerdo con lo anterior, la clasificación de una edificación dentro del grupo de ocupación institucional no depende exclusivamente de la naturaleza jurídica de la entidad </w:t>
      </w:r>
      <w:r w:rsidRPr="00FD7013">
        <w:rPr>
          <w:rFonts w:ascii="Verdana" w:eastAsia="Calibri" w:hAnsi="Verdana" w:cs="Times New Roman"/>
          <w:sz w:val="20"/>
          <w:szCs w:val="20"/>
          <w:lang w:eastAsia="es-MX"/>
        </w:rPr>
        <w:lastRenderedPageBreak/>
        <w:t>que adelante el proceso de contratación, sino de la destinación y características de la infraestructura objeto de intervención y de las actividades que en ella se desarrollan. Por consiguiente, para determinar la procedencia de los Documentos Tipo en el caso concreto, deberá establecerse si el objeto contractual y la infraestructura a intervenir corresponden a alguna de las actividades y tipologías comprendidas dentro del ámbito material definido en los respectivos Documentos Tipo.</w:t>
      </w:r>
    </w:p>
    <w:p w14:paraId="4FBCBF76" w14:textId="77777777" w:rsidR="00427F3B" w:rsidRPr="00FD7013" w:rsidRDefault="00427F3B" w:rsidP="00427F3B">
      <w:pPr>
        <w:spacing w:after="0" w:line="240" w:lineRule="auto"/>
        <w:jc w:val="both"/>
        <w:rPr>
          <w:rFonts w:ascii="Verdana" w:eastAsia="Calibri" w:hAnsi="Verdana" w:cs="Times New Roman"/>
          <w:sz w:val="20"/>
          <w:szCs w:val="20"/>
          <w:lang w:eastAsia="es-MX"/>
        </w:rPr>
      </w:pPr>
    </w:p>
    <w:p w14:paraId="1709E75D" w14:textId="77777777" w:rsidR="00427F3B" w:rsidRPr="00FD7013" w:rsidRDefault="00427F3B" w:rsidP="00427F3B">
      <w:pPr>
        <w:spacing w:after="0" w:line="240" w:lineRule="auto"/>
        <w:jc w:val="both"/>
        <w:rPr>
          <w:rFonts w:ascii="Verdana" w:eastAsia="Calibri" w:hAnsi="Verdana" w:cs="Times New Roman"/>
          <w:sz w:val="20"/>
          <w:szCs w:val="20"/>
          <w:lang w:eastAsia="es-MX"/>
        </w:rPr>
      </w:pPr>
      <w:r w:rsidRPr="00FD7013">
        <w:rPr>
          <w:rFonts w:ascii="Verdana" w:eastAsia="Calibri" w:hAnsi="Verdana" w:cs="Times New Roman"/>
          <w:sz w:val="20"/>
          <w:szCs w:val="20"/>
          <w:lang w:eastAsia="es-MX"/>
        </w:rPr>
        <w:t>Adicionalmente, como se precisa, las actividades señaladas recaerían sobre obras en proyectos de infraestructura institucional. De esta forma, para determinar qué abarca este tipo de infraestructura, de conformidad con la norma NSR-10 en el Grupo de Ocupación Institucional (I) –K.2.6– “(…) se clasifican las edificaciones o espacios utilizados para la reclusión de personas que adolecen de limitaciones mentales o están sujetas a castigos penales o correccionales; en el tratamiento o cuidado de personas o en su reunión con propósitos educativos o de instrucción. De igual manera se clasifican dentro de este grupo las edificaciones y espacios indispensables en la atención de emergencias, preservación de la seguridad de personas y</w:t>
      </w:r>
      <w:r w:rsidRPr="00FD7013">
        <w:rPr>
          <w:rFonts w:ascii="Verdana" w:eastAsia="Calibri" w:hAnsi="Verdana" w:cs="Times New Roman"/>
          <w:sz w:val="20"/>
          <w:szCs w:val="20"/>
          <w:u w:val="single"/>
          <w:lang w:eastAsia="es-MX"/>
        </w:rPr>
        <w:t> la prestación de servicios públicos y administrativos necesarios para el buen funcionamiento de las ciudades</w:t>
      </w:r>
      <w:r w:rsidRPr="00FD7013">
        <w:rPr>
          <w:rFonts w:ascii="Verdana" w:eastAsia="Calibri" w:hAnsi="Verdana" w:cs="Times New Roman"/>
          <w:sz w:val="20"/>
          <w:szCs w:val="20"/>
          <w:lang w:eastAsia="es-MX"/>
        </w:rPr>
        <w:t>”. Este Grupo de Ocupación está constituida “(…) por los Subgrupos de Ocupación Institucional de Reclusión (I-1), Institucional de Salud o Incapacidad (I-2), Institucional de Educación (I-3), Institucional de Seguridad Pública (I-4) e Institucional de Servicio Público (I-5)”.</w:t>
      </w:r>
    </w:p>
    <w:p w14:paraId="71FD97ED" w14:textId="77777777" w:rsidR="00427F3B" w:rsidRPr="00FD7013" w:rsidRDefault="00427F3B" w:rsidP="00427F3B">
      <w:pPr>
        <w:spacing w:after="0" w:line="276" w:lineRule="auto"/>
        <w:jc w:val="both"/>
        <w:rPr>
          <w:rFonts w:ascii="Verdana" w:eastAsia="Calibri" w:hAnsi="Verdana" w:cs="Times New Roman"/>
          <w:color w:val="00B0F0"/>
          <w:sz w:val="20"/>
          <w:szCs w:val="20"/>
          <w:lang w:eastAsia="es-MX"/>
        </w:rPr>
      </w:pPr>
    </w:p>
    <w:p w14:paraId="28BA4155" w14:textId="77777777" w:rsidR="00427F3B" w:rsidRPr="00FD7013" w:rsidRDefault="00427F3B" w:rsidP="00427F3B">
      <w:pPr>
        <w:spacing w:after="0"/>
        <w:jc w:val="both"/>
        <w:rPr>
          <w:rFonts w:ascii="Verdana" w:eastAsia="Calibri" w:hAnsi="Verdana" w:cs="Times New Roman"/>
          <w:color w:val="00B0F0"/>
          <w:kern w:val="2"/>
          <w:sz w:val="20"/>
          <w:szCs w:val="20"/>
          <w:lang w:val="es-ES"/>
          <w14:ligatures w14:val="standardContextual"/>
        </w:rPr>
      </w:pPr>
    </w:p>
    <w:p w14:paraId="14A2ED43" w14:textId="77777777" w:rsidR="00102DF6" w:rsidRDefault="00102DF6" w:rsidP="00102DF6">
      <w:pPr>
        <w:spacing w:after="0"/>
        <w:jc w:val="both"/>
        <w:rPr>
          <w:rFonts w:ascii="Verdana" w:hAnsi="Verdana"/>
          <w:color w:val="000000" w:themeColor="text1"/>
          <w:lang w:val="es-ES"/>
        </w:rPr>
      </w:pPr>
    </w:p>
    <w:p w14:paraId="4974D23F" w14:textId="77777777" w:rsidR="00102DF6" w:rsidRDefault="00102DF6" w:rsidP="00102DF6">
      <w:pPr>
        <w:spacing w:after="0"/>
        <w:jc w:val="both"/>
        <w:rPr>
          <w:rFonts w:ascii="Verdana" w:hAnsi="Verdana"/>
          <w:color w:val="000000" w:themeColor="text1"/>
          <w:lang w:val="es-ES"/>
        </w:rPr>
      </w:pPr>
    </w:p>
    <w:p w14:paraId="21B2897D" w14:textId="77777777" w:rsidR="00102DF6" w:rsidRDefault="00102DF6" w:rsidP="00102DF6">
      <w:pPr>
        <w:spacing w:after="0"/>
        <w:jc w:val="both"/>
        <w:rPr>
          <w:rFonts w:ascii="Verdana" w:hAnsi="Verdana"/>
          <w:color w:val="000000" w:themeColor="text1"/>
          <w:lang w:val="es-ES"/>
        </w:rPr>
      </w:pPr>
    </w:p>
    <w:p w14:paraId="595148A4" w14:textId="77777777" w:rsidR="00102DF6" w:rsidRDefault="00102DF6" w:rsidP="00102DF6">
      <w:pPr>
        <w:spacing w:after="0"/>
        <w:jc w:val="both"/>
        <w:rPr>
          <w:rFonts w:ascii="Verdana" w:hAnsi="Verdana"/>
          <w:color w:val="000000" w:themeColor="text1"/>
          <w:lang w:val="es-ES"/>
        </w:rPr>
      </w:pPr>
    </w:p>
    <w:p w14:paraId="1E5C9951" w14:textId="77777777" w:rsidR="00102DF6" w:rsidRDefault="00102DF6" w:rsidP="00102DF6">
      <w:pPr>
        <w:spacing w:after="0"/>
        <w:jc w:val="both"/>
        <w:rPr>
          <w:rFonts w:ascii="Verdana" w:hAnsi="Verdana"/>
          <w:color w:val="000000" w:themeColor="text1"/>
          <w:lang w:val="es-ES"/>
        </w:rPr>
      </w:pPr>
    </w:p>
    <w:p w14:paraId="617274D1" w14:textId="77777777" w:rsidR="00102DF6" w:rsidRDefault="00102DF6" w:rsidP="00102DF6">
      <w:pPr>
        <w:spacing w:after="0"/>
        <w:jc w:val="both"/>
        <w:rPr>
          <w:rFonts w:ascii="Verdana" w:hAnsi="Verdana"/>
          <w:color w:val="000000" w:themeColor="text1"/>
          <w:lang w:val="es-ES"/>
        </w:rPr>
      </w:pPr>
    </w:p>
    <w:p w14:paraId="7EF85F32" w14:textId="77777777" w:rsidR="00102DF6" w:rsidRDefault="00102DF6" w:rsidP="00102DF6">
      <w:pPr>
        <w:spacing w:after="0"/>
        <w:jc w:val="both"/>
        <w:rPr>
          <w:rFonts w:ascii="Verdana" w:hAnsi="Verdana"/>
          <w:color w:val="000000" w:themeColor="text1"/>
          <w:lang w:val="es-ES"/>
        </w:rPr>
      </w:pPr>
    </w:p>
    <w:p w14:paraId="1969093D" w14:textId="77777777" w:rsidR="00102DF6" w:rsidRDefault="00102DF6" w:rsidP="00102DF6">
      <w:pPr>
        <w:spacing w:after="0"/>
        <w:jc w:val="both"/>
        <w:rPr>
          <w:rFonts w:ascii="Verdana" w:hAnsi="Verdana"/>
          <w:color w:val="000000" w:themeColor="text1"/>
          <w:lang w:val="es-ES"/>
        </w:rPr>
      </w:pPr>
    </w:p>
    <w:p w14:paraId="6D94173D" w14:textId="77777777" w:rsidR="00102DF6" w:rsidRDefault="00102DF6" w:rsidP="00102DF6">
      <w:pPr>
        <w:spacing w:after="0"/>
        <w:jc w:val="both"/>
        <w:rPr>
          <w:rFonts w:ascii="Verdana" w:hAnsi="Verdana"/>
          <w:color w:val="000000" w:themeColor="text1"/>
          <w:lang w:val="es-ES"/>
        </w:rPr>
      </w:pPr>
    </w:p>
    <w:p w14:paraId="654C7432" w14:textId="77777777" w:rsidR="00102DF6" w:rsidRDefault="00102DF6" w:rsidP="00102DF6">
      <w:pPr>
        <w:spacing w:after="0"/>
        <w:jc w:val="both"/>
        <w:rPr>
          <w:rFonts w:ascii="Verdana" w:hAnsi="Verdana"/>
          <w:color w:val="000000" w:themeColor="text1"/>
          <w:lang w:val="es-ES"/>
        </w:rPr>
      </w:pPr>
    </w:p>
    <w:p w14:paraId="041814A9" w14:textId="77777777" w:rsidR="00F6263C" w:rsidRDefault="00F6263C" w:rsidP="00102DF6">
      <w:pPr>
        <w:spacing w:after="0"/>
        <w:jc w:val="both"/>
        <w:rPr>
          <w:rFonts w:ascii="Verdana" w:hAnsi="Verdana"/>
          <w:color w:val="000000" w:themeColor="text1"/>
          <w:lang w:val="es-ES"/>
        </w:rPr>
      </w:pPr>
    </w:p>
    <w:p w14:paraId="08C18557" w14:textId="77777777" w:rsidR="00F6263C" w:rsidRDefault="00F6263C" w:rsidP="00102DF6">
      <w:pPr>
        <w:spacing w:after="0"/>
        <w:jc w:val="both"/>
        <w:rPr>
          <w:rFonts w:ascii="Verdana" w:hAnsi="Verdana"/>
          <w:color w:val="000000" w:themeColor="text1"/>
          <w:lang w:val="es-ES"/>
        </w:rPr>
      </w:pPr>
    </w:p>
    <w:p w14:paraId="3F3851B3" w14:textId="77777777" w:rsidR="00F6263C" w:rsidRDefault="00F6263C" w:rsidP="00102DF6">
      <w:pPr>
        <w:spacing w:after="0"/>
        <w:jc w:val="both"/>
        <w:rPr>
          <w:rFonts w:ascii="Verdana" w:hAnsi="Verdana"/>
          <w:color w:val="000000" w:themeColor="text1"/>
          <w:lang w:val="es-ES"/>
        </w:rPr>
      </w:pPr>
    </w:p>
    <w:p w14:paraId="00135A20" w14:textId="77777777" w:rsidR="00F6263C" w:rsidRDefault="00F6263C" w:rsidP="00102DF6">
      <w:pPr>
        <w:spacing w:after="0"/>
        <w:jc w:val="both"/>
        <w:rPr>
          <w:rFonts w:ascii="Verdana" w:hAnsi="Verdana"/>
          <w:color w:val="000000" w:themeColor="text1"/>
          <w:lang w:val="es-ES"/>
        </w:rPr>
      </w:pPr>
    </w:p>
    <w:p w14:paraId="411297E0" w14:textId="77777777" w:rsidR="00102DF6" w:rsidRDefault="00102DF6" w:rsidP="00102DF6">
      <w:pPr>
        <w:spacing w:after="0"/>
        <w:jc w:val="both"/>
        <w:rPr>
          <w:rFonts w:ascii="Verdana" w:hAnsi="Verdana"/>
          <w:color w:val="000000" w:themeColor="text1"/>
          <w:lang w:val="es-ES"/>
        </w:rPr>
      </w:pPr>
    </w:p>
    <w:p w14:paraId="015953EE" w14:textId="77777777" w:rsidR="00102DF6" w:rsidRDefault="00102DF6" w:rsidP="00102DF6">
      <w:pPr>
        <w:spacing w:after="0"/>
        <w:jc w:val="both"/>
        <w:rPr>
          <w:rFonts w:ascii="Verdana" w:hAnsi="Verdana"/>
          <w:color w:val="000000" w:themeColor="text1"/>
          <w:lang w:val="es-ES"/>
        </w:rPr>
      </w:pPr>
    </w:p>
    <w:p w14:paraId="5AF585FC" w14:textId="77777777" w:rsidR="00102DF6" w:rsidRDefault="00102DF6" w:rsidP="00102DF6">
      <w:pPr>
        <w:spacing w:after="0"/>
        <w:jc w:val="both"/>
        <w:rPr>
          <w:rFonts w:ascii="Verdana" w:hAnsi="Verdana"/>
          <w:color w:val="000000" w:themeColor="text1"/>
          <w:lang w:val="es-ES"/>
        </w:rPr>
      </w:pPr>
    </w:p>
    <w:p w14:paraId="1821FB0D" w14:textId="77777777" w:rsidR="00102DF6" w:rsidRDefault="00102DF6" w:rsidP="00102DF6">
      <w:pPr>
        <w:spacing w:after="0"/>
        <w:jc w:val="both"/>
        <w:rPr>
          <w:rFonts w:ascii="Verdana" w:hAnsi="Verdana"/>
          <w:color w:val="000000" w:themeColor="text1"/>
          <w:lang w:val="es-ES"/>
        </w:rPr>
      </w:pPr>
    </w:p>
    <w:p w14:paraId="6AA8F33E" w14:textId="77777777" w:rsidR="00102DF6" w:rsidRDefault="00102DF6" w:rsidP="00102DF6">
      <w:pPr>
        <w:spacing w:after="0"/>
        <w:jc w:val="both"/>
        <w:rPr>
          <w:rFonts w:ascii="Verdana" w:hAnsi="Verdana"/>
          <w:color w:val="000000" w:themeColor="text1"/>
          <w:lang w:val="es-ES"/>
        </w:rPr>
      </w:pPr>
    </w:p>
    <w:p w14:paraId="6E888356" w14:textId="77777777" w:rsidR="00102DF6" w:rsidRPr="00CD7C8A" w:rsidRDefault="00102DF6" w:rsidP="00102DF6">
      <w:pPr>
        <w:spacing w:after="0"/>
        <w:jc w:val="both"/>
        <w:rPr>
          <w:rFonts w:ascii="Verdana" w:hAnsi="Verdana"/>
          <w:color w:val="000000" w:themeColor="text1"/>
          <w:lang w:val="es-ES"/>
        </w:rPr>
      </w:pPr>
    </w:p>
    <w:p w14:paraId="06237714" w14:textId="202B6EE6" w:rsidR="00102DF6" w:rsidRPr="0047619D" w:rsidRDefault="002D35DB" w:rsidP="00102DF6">
      <w:pPr>
        <w:spacing w:after="0"/>
        <w:rPr>
          <w:rFonts w:ascii="Verdana" w:hAnsi="Verdana"/>
        </w:rPr>
      </w:pPr>
      <w:r w:rsidRPr="002D35DB">
        <w:rPr>
          <w:rFonts w:ascii="Verdana" w:eastAsia="Calibri" w:hAnsi="Verdana" w:cs="Arial"/>
          <w:b/>
          <w:bCs/>
          <w:lang w:eastAsia="es-ES"/>
        </w:rPr>
        <w:lastRenderedPageBreak/>
        <w:drawing>
          <wp:anchor distT="0" distB="0" distL="114300" distR="114300" simplePos="0" relativeHeight="251658240" behindDoc="0" locked="0" layoutInCell="1" allowOverlap="1" wp14:anchorId="333860F1" wp14:editId="2E9E7ABF">
            <wp:simplePos x="0" y="0"/>
            <wp:positionH relativeFrom="margin">
              <wp:posOffset>3109595</wp:posOffset>
            </wp:positionH>
            <wp:positionV relativeFrom="margin">
              <wp:posOffset>-5080</wp:posOffset>
            </wp:positionV>
            <wp:extent cx="2901950" cy="837565"/>
            <wp:effectExtent l="0" t="0" r="0" b="635"/>
            <wp:wrapSquare wrapText="bothSides"/>
            <wp:docPr id="7670201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020159" name=""/>
                    <pic:cNvPicPr/>
                  </pic:nvPicPr>
                  <pic:blipFill rotWithShape="1">
                    <a:blip r:embed="rId10">
                      <a:extLst>
                        <a:ext uri="{28A0092B-C50C-407E-A947-70E740481C1C}">
                          <a14:useLocalDpi xmlns:a14="http://schemas.microsoft.com/office/drawing/2010/main" val="0"/>
                        </a:ext>
                      </a:extLst>
                    </a:blip>
                    <a:srcRect l="4843" t="13809"/>
                    <a:stretch>
                      <a:fillRect/>
                    </a:stretch>
                  </pic:blipFill>
                  <pic:spPr bwMode="auto">
                    <a:xfrm>
                      <a:off x="0" y="0"/>
                      <a:ext cx="2901950" cy="837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2DF6" w:rsidRPr="0047619D">
        <w:rPr>
          <w:rFonts w:ascii="Verdana" w:hAnsi="Verdana"/>
        </w:rPr>
        <w:t xml:space="preserve">Bogotá D.C., </w:t>
      </w:r>
      <w:r w:rsidR="00D23A51" w:rsidRPr="00D23A51">
        <w:rPr>
          <w:rFonts w:ascii="Verdana" w:hAnsi="Verdana"/>
        </w:rPr>
        <w:t xml:space="preserve">08 </w:t>
      </w:r>
      <w:proofErr w:type="gramStart"/>
      <w:r w:rsidR="00D23A51" w:rsidRPr="00D23A51">
        <w:rPr>
          <w:rFonts w:ascii="Verdana" w:hAnsi="Verdana"/>
        </w:rPr>
        <w:t>Septiembre</w:t>
      </w:r>
      <w:proofErr w:type="gramEnd"/>
      <w:r w:rsidR="00D23A51" w:rsidRPr="00D23A51">
        <w:rPr>
          <w:rFonts w:ascii="Verdana" w:hAnsi="Verdana"/>
        </w:rPr>
        <w:t xml:space="preserve"> 2026</w:t>
      </w:r>
    </w:p>
    <w:p w14:paraId="199BDF0F" w14:textId="77777777" w:rsidR="00102DF6" w:rsidRPr="00A11AA2" w:rsidRDefault="00102DF6" w:rsidP="00102DF6">
      <w:pPr>
        <w:spacing w:after="0"/>
        <w:rPr>
          <w:rFonts w:ascii="Verdana" w:hAnsi="Verdana"/>
        </w:rPr>
      </w:pPr>
    </w:p>
    <w:p w14:paraId="0BC8FD0C" w14:textId="77777777" w:rsidR="00102DF6" w:rsidRPr="00A11AA2" w:rsidRDefault="00102DF6" w:rsidP="00102DF6">
      <w:pPr>
        <w:spacing w:after="0" w:line="276" w:lineRule="auto"/>
        <w:rPr>
          <w:rFonts w:ascii="Verdana" w:eastAsia="Calibri" w:hAnsi="Verdana" w:cs="Arial"/>
          <w:lang w:val="es-ES" w:eastAsia="es-ES"/>
        </w:rPr>
      </w:pPr>
      <w:r w:rsidRPr="00A11AA2">
        <w:rPr>
          <w:rFonts w:ascii="Verdana" w:eastAsia="Calibri" w:hAnsi="Verdana" w:cs="Arial"/>
          <w:lang w:val="es-ES" w:eastAsia="es-ES"/>
        </w:rPr>
        <w:t>Señor</w:t>
      </w:r>
      <w:r>
        <w:rPr>
          <w:rFonts w:ascii="Verdana" w:eastAsia="Calibri" w:hAnsi="Verdana" w:cs="Arial"/>
          <w:lang w:val="es-ES" w:eastAsia="es-ES"/>
        </w:rPr>
        <w:t xml:space="preserve"> (a)</w:t>
      </w:r>
    </w:p>
    <w:p w14:paraId="38A06A7C" w14:textId="5F008ECD" w:rsidR="00102DF6" w:rsidRPr="00A11AA2" w:rsidRDefault="00102DF6" w:rsidP="00102DF6">
      <w:pPr>
        <w:spacing w:after="0" w:line="276" w:lineRule="auto"/>
        <w:rPr>
          <w:rFonts w:ascii="Verdana" w:eastAsia="Calibri" w:hAnsi="Verdana" w:cs="Arial"/>
          <w:b/>
          <w:bCs/>
          <w:lang w:eastAsia="es-ES"/>
        </w:rPr>
      </w:pPr>
      <w:r>
        <w:rPr>
          <w:rFonts w:ascii="Verdana" w:eastAsia="Calibri" w:hAnsi="Verdana" w:cs="Arial"/>
          <w:b/>
          <w:bCs/>
          <w:lang w:eastAsia="es-ES"/>
        </w:rPr>
        <w:t>Anónimo</w:t>
      </w:r>
    </w:p>
    <w:p w14:paraId="7D21E891" w14:textId="77777777" w:rsidR="00102DF6" w:rsidRPr="00A95844" w:rsidRDefault="00102DF6" w:rsidP="00102DF6">
      <w:pPr>
        <w:spacing w:after="0" w:line="276" w:lineRule="auto"/>
        <w:rPr>
          <w:rFonts w:ascii="Verdana" w:eastAsia="Calibri" w:hAnsi="Verdana" w:cs="Arial"/>
          <w:color w:val="66CCFF"/>
          <w:lang w:val="es-ES_tradnl" w:eastAsia="es-ES_tradnl"/>
        </w:rPr>
      </w:pPr>
      <w:hyperlink r:id="rId11" w:history="1">
        <w:r w:rsidRPr="00A95844">
          <w:rPr>
            <w:rStyle w:val="Hipervnculo"/>
            <w:rFonts w:ascii="Verdana" w:eastAsia="Calibri" w:hAnsi="Verdana" w:cs="Arial"/>
            <w:lang w:val="es-ES_tradnl" w:eastAsia="es-ES_tradnl"/>
          </w:rPr>
          <w:t>ymartinezj@sena.edu.co</w:t>
        </w:r>
      </w:hyperlink>
    </w:p>
    <w:p w14:paraId="18E3F47F" w14:textId="77777777" w:rsidR="00102DF6" w:rsidRPr="007E53B7" w:rsidRDefault="00102DF6" w:rsidP="00102DF6">
      <w:pPr>
        <w:spacing w:after="0" w:line="276" w:lineRule="auto"/>
        <w:rPr>
          <w:rFonts w:ascii="Verdana" w:eastAsia="Calibri" w:hAnsi="Verdana" w:cs="Arial"/>
          <w:b/>
          <w:bCs/>
          <w:color w:val="66CCFF"/>
          <w:lang w:val="es-ES_tradnl" w:eastAsia="es-ES_tradnl"/>
        </w:rPr>
      </w:pPr>
    </w:p>
    <w:tbl>
      <w:tblPr>
        <w:tblStyle w:val="Tablaconcuadrcula1"/>
        <w:tblW w:w="9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114"/>
      </w:tblGrid>
      <w:tr w:rsidR="00102DF6" w:rsidRPr="007E53B7" w14:paraId="555E551A" w14:textId="77777777" w:rsidTr="00310B0E">
        <w:trPr>
          <w:trHeight w:val="488"/>
        </w:trPr>
        <w:tc>
          <w:tcPr>
            <w:tcW w:w="3119" w:type="dxa"/>
          </w:tcPr>
          <w:p w14:paraId="7C275C50" w14:textId="77777777" w:rsidR="00102DF6" w:rsidRPr="007E53B7" w:rsidRDefault="00102DF6" w:rsidP="00310B0E">
            <w:pPr>
              <w:spacing w:line="276" w:lineRule="auto"/>
              <w:jc w:val="both"/>
              <w:rPr>
                <w:rFonts w:ascii="Verdana" w:eastAsia="Calibri" w:hAnsi="Verdana" w:cs="Arial"/>
                <w:b/>
                <w:bCs/>
                <w:color w:val="66CCFF"/>
                <w:lang w:val="es-ES_tradnl" w:eastAsia="es-ES_tradnl"/>
              </w:rPr>
            </w:pPr>
          </w:p>
        </w:tc>
        <w:tc>
          <w:tcPr>
            <w:tcW w:w="6114" w:type="dxa"/>
            <w:hideMark/>
          </w:tcPr>
          <w:p w14:paraId="0D0D6167" w14:textId="77777777" w:rsidR="00102DF6" w:rsidRPr="00DF2EA7" w:rsidRDefault="00102DF6" w:rsidP="00310B0E">
            <w:pPr>
              <w:spacing w:line="276" w:lineRule="auto"/>
              <w:jc w:val="both"/>
              <w:rPr>
                <w:rFonts w:ascii="Verdana" w:eastAsia="Calibri" w:hAnsi="Verdana" w:cs="Arial"/>
                <w:b/>
                <w:bCs/>
                <w:lang w:val="es-ES" w:eastAsia="es-ES"/>
              </w:rPr>
            </w:pPr>
            <w:r w:rsidRPr="00DF2EA7">
              <w:rPr>
                <w:rFonts w:ascii="Verdana" w:eastAsia="Calibri" w:hAnsi="Verdana" w:cs="Arial"/>
                <w:b/>
                <w:bCs/>
                <w:lang w:val="es-ES" w:eastAsia="es-ES"/>
              </w:rPr>
              <w:t xml:space="preserve">Concepto C – </w:t>
            </w:r>
            <w:r>
              <w:rPr>
                <w:rFonts w:ascii="Verdana" w:eastAsia="Calibri" w:hAnsi="Verdana" w:cs="Arial"/>
                <w:b/>
                <w:bCs/>
                <w:lang w:val="es-ES" w:eastAsia="es-ES"/>
              </w:rPr>
              <w:t xml:space="preserve">1185 </w:t>
            </w:r>
            <w:r w:rsidRPr="00DF2EA7">
              <w:rPr>
                <w:rFonts w:ascii="Verdana" w:eastAsia="Calibri" w:hAnsi="Verdana" w:cs="Arial"/>
                <w:b/>
                <w:bCs/>
                <w:lang w:val="es-ES" w:eastAsia="es-ES"/>
              </w:rPr>
              <w:t>de 2026</w:t>
            </w:r>
          </w:p>
        </w:tc>
      </w:tr>
      <w:tr w:rsidR="00102DF6" w:rsidRPr="006069F8" w14:paraId="779C9684" w14:textId="77777777" w:rsidTr="00310B0E">
        <w:trPr>
          <w:trHeight w:val="999"/>
        </w:trPr>
        <w:tc>
          <w:tcPr>
            <w:tcW w:w="3119" w:type="dxa"/>
            <w:hideMark/>
          </w:tcPr>
          <w:p w14:paraId="1EF3B87D" w14:textId="77777777" w:rsidR="00102DF6" w:rsidRPr="00A11AA2" w:rsidRDefault="00102DF6" w:rsidP="00310B0E">
            <w:pPr>
              <w:spacing w:line="276" w:lineRule="auto"/>
              <w:jc w:val="both"/>
              <w:rPr>
                <w:rFonts w:ascii="Verdana" w:eastAsia="Calibri" w:hAnsi="Verdana" w:cs="Arial"/>
                <w:color w:val="66CCFF"/>
                <w:lang w:val="es-ES_tradnl" w:eastAsia="es-ES_tradnl"/>
              </w:rPr>
            </w:pPr>
            <w:r w:rsidRPr="00A11AA2">
              <w:rPr>
                <w:rFonts w:ascii="Verdana" w:eastAsia="Calibri" w:hAnsi="Verdana" w:cs="Arial"/>
                <w:b/>
                <w:lang w:val="es-ES_tradnl" w:eastAsia="es-ES_tradnl"/>
              </w:rPr>
              <w:t>Temas:</w:t>
            </w:r>
            <w:r w:rsidRPr="00A11AA2">
              <w:rPr>
                <w:rFonts w:ascii="Verdana" w:eastAsia="Calibri" w:hAnsi="Verdana" w:cs="Arial"/>
                <w:lang w:val="es-ES_tradnl" w:eastAsia="es-ES_tradnl"/>
              </w:rPr>
              <w:t xml:space="preserve">                   </w:t>
            </w:r>
          </w:p>
        </w:tc>
        <w:tc>
          <w:tcPr>
            <w:tcW w:w="6114" w:type="dxa"/>
          </w:tcPr>
          <w:p w14:paraId="06F9586C" w14:textId="77777777" w:rsidR="00102DF6" w:rsidRPr="006069F8" w:rsidRDefault="00102DF6" w:rsidP="00310B0E">
            <w:pPr>
              <w:jc w:val="both"/>
              <w:rPr>
                <w:rFonts w:ascii="Verdana" w:hAnsi="Verdana"/>
                <w:lang w:val="es-ES"/>
              </w:rPr>
            </w:pPr>
            <w:r w:rsidRPr="006069F8">
              <w:rPr>
                <w:rFonts w:ascii="Verdana" w:eastAsia="Calibri" w:hAnsi="Verdana" w:cs="Arial"/>
                <w:lang w:val="es-ES_tradnl" w:eastAsia="es-MX"/>
              </w:rPr>
              <w:t>DOCUMENTOS TIPO – Fundamento normativo – Obligatoriedad / SECTOR SOCIAL</w:t>
            </w:r>
            <w:r w:rsidRPr="006069F8">
              <w:rPr>
                <w:rFonts w:ascii="Verdana" w:eastAsia="Calibri" w:hAnsi="Verdana" w:cs="Times New Roman"/>
                <w:lang w:val="es-ES" w:eastAsia="es-MX"/>
              </w:rPr>
              <w:t xml:space="preserve"> – Documentos tipo – Vigentes / DOCUMENTOS TIPO – Aplicación – Matriz de Experiencia / DOCUMENTOS TIPO – Infraestructura social - Aplicación – Matriz de Experiencia – Grupo de ocupación institucional</w:t>
            </w:r>
            <w:r>
              <w:rPr>
                <w:rFonts w:ascii="Verdana" w:eastAsia="Calibri" w:hAnsi="Verdana" w:cs="Times New Roman"/>
                <w:lang w:val="es-ES" w:eastAsia="es-MX"/>
              </w:rPr>
              <w:t>.</w:t>
            </w:r>
          </w:p>
          <w:p w14:paraId="26C1E5E0" w14:textId="77777777" w:rsidR="00102DF6" w:rsidRPr="006069F8" w:rsidRDefault="00102DF6" w:rsidP="00310B0E">
            <w:pPr>
              <w:spacing w:line="276" w:lineRule="auto"/>
              <w:jc w:val="both"/>
              <w:rPr>
                <w:rFonts w:ascii="Verdana" w:hAnsi="Verdana" w:cs="Arial"/>
                <w:lang w:val="es-MX" w:eastAsia="es-ES"/>
              </w:rPr>
            </w:pPr>
          </w:p>
        </w:tc>
      </w:tr>
      <w:tr w:rsidR="00102DF6" w:rsidRPr="00724695" w14:paraId="60FA3101" w14:textId="77777777" w:rsidTr="00310B0E">
        <w:trPr>
          <w:trHeight w:val="597"/>
        </w:trPr>
        <w:tc>
          <w:tcPr>
            <w:tcW w:w="3119" w:type="dxa"/>
            <w:hideMark/>
          </w:tcPr>
          <w:p w14:paraId="4D47457B" w14:textId="77777777" w:rsidR="00102DF6" w:rsidRPr="008C5E3B" w:rsidRDefault="00102DF6" w:rsidP="00310B0E">
            <w:pPr>
              <w:spacing w:line="276" w:lineRule="auto"/>
              <w:jc w:val="both"/>
              <w:rPr>
                <w:rFonts w:ascii="Verdana" w:eastAsia="Calibri" w:hAnsi="Verdana" w:cs="Arial"/>
                <w:b/>
                <w:lang w:val="es-ES_tradnl" w:eastAsia="es-ES_tradnl"/>
              </w:rPr>
            </w:pPr>
            <w:r w:rsidRPr="008C5E3B">
              <w:rPr>
                <w:rFonts w:ascii="Verdana" w:eastAsia="Calibri" w:hAnsi="Verdana" w:cs="Arial"/>
                <w:b/>
                <w:lang w:val="es-ES_tradnl" w:eastAsia="es-ES_tradnl"/>
              </w:rPr>
              <w:t xml:space="preserve">Radicación:               </w:t>
            </w:r>
          </w:p>
        </w:tc>
        <w:tc>
          <w:tcPr>
            <w:tcW w:w="6114" w:type="dxa"/>
          </w:tcPr>
          <w:p w14:paraId="42415F84" w14:textId="77777777" w:rsidR="00102DF6" w:rsidRPr="007602A1" w:rsidRDefault="00102DF6" w:rsidP="00310B0E">
            <w:pPr>
              <w:spacing w:line="276" w:lineRule="auto"/>
              <w:jc w:val="both"/>
              <w:rPr>
                <w:rFonts w:ascii="Verdana" w:eastAsia="Calibri" w:hAnsi="Verdana" w:cs="Arial"/>
                <w:bCs/>
                <w:lang w:eastAsia="es-ES_tradnl"/>
              </w:rPr>
            </w:pPr>
            <w:r w:rsidRPr="00724695">
              <w:rPr>
                <w:rFonts w:ascii="Verdana" w:eastAsia="Calibri" w:hAnsi="Verdana" w:cs="Arial"/>
                <w:bCs/>
                <w:lang w:val="es-ES_tradnl" w:eastAsia="es-ES_tradnl"/>
              </w:rPr>
              <w:t xml:space="preserve">Respuesta a consulta con radicado </w:t>
            </w:r>
            <w:proofErr w:type="gramStart"/>
            <w:r w:rsidRPr="00724695">
              <w:rPr>
                <w:rFonts w:ascii="Verdana" w:eastAsia="Calibri" w:hAnsi="Verdana" w:cs="Arial"/>
                <w:bCs/>
                <w:lang w:eastAsia="es-ES_tradnl"/>
              </w:rPr>
              <w:t xml:space="preserve">No. </w:t>
            </w:r>
            <w:r w:rsidRPr="00592E01">
              <w:rPr>
                <w:rFonts w:ascii="Verdana" w:eastAsia="Calibri" w:hAnsi="Verdana" w:cs="Arial"/>
                <w:b/>
                <w:bCs/>
                <w:lang w:eastAsia="es-ES_tradnl"/>
              </w:rPr>
              <w:t> </w:t>
            </w:r>
            <w:r w:rsidRPr="00592E01">
              <w:rPr>
                <w:rFonts w:ascii="Verdana" w:eastAsia="Calibri" w:hAnsi="Verdana" w:cs="Arial"/>
                <w:bCs/>
                <w:lang w:eastAsia="es-ES_tradnl"/>
              </w:rPr>
              <w:t>1</w:t>
            </w:r>
            <w:proofErr w:type="gramEnd"/>
            <w:r w:rsidRPr="00592E01">
              <w:rPr>
                <w:rFonts w:ascii="Verdana" w:eastAsia="Calibri" w:hAnsi="Verdana" w:cs="Arial"/>
                <w:bCs/>
                <w:lang w:eastAsia="es-ES_tradnl"/>
              </w:rPr>
              <w:t>_2026_07_28_009906</w:t>
            </w:r>
          </w:p>
        </w:tc>
      </w:tr>
    </w:tbl>
    <w:p w14:paraId="7936DC56" w14:textId="77777777" w:rsidR="00102DF6" w:rsidRPr="00AB5C52" w:rsidRDefault="00102DF6" w:rsidP="00102DF6">
      <w:pPr>
        <w:spacing w:after="0" w:line="276" w:lineRule="auto"/>
        <w:jc w:val="both"/>
        <w:rPr>
          <w:rFonts w:ascii="Verdana" w:eastAsia="Calibri" w:hAnsi="Verdana" w:cs="Arial"/>
          <w:bCs/>
          <w:lang w:val="es-ES_tradnl" w:eastAsia="es-ES_tradnl"/>
        </w:rPr>
      </w:pPr>
    </w:p>
    <w:p w14:paraId="48AFBB70" w14:textId="77777777" w:rsidR="00102DF6" w:rsidRPr="00AB5C52" w:rsidRDefault="00102DF6" w:rsidP="00102DF6">
      <w:pPr>
        <w:spacing w:after="0" w:line="276" w:lineRule="auto"/>
        <w:jc w:val="both"/>
        <w:rPr>
          <w:rFonts w:ascii="Verdana" w:eastAsia="Calibri" w:hAnsi="Verdana" w:cs="Arial"/>
          <w:bCs/>
          <w:lang w:val="es-ES" w:eastAsia="es-ES"/>
        </w:rPr>
      </w:pPr>
      <w:r w:rsidRPr="00AB5C52">
        <w:rPr>
          <w:rFonts w:ascii="Verdana" w:eastAsia="Calibri" w:hAnsi="Verdana" w:cs="Arial"/>
          <w:bCs/>
          <w:lang w:val="es-ES" w:eastAsia="es-ES"/>
        </w:rPr>
        <w:t xml:space="preserve">Estimada </w:t>
      </w:r>
      <w:r>
        <w:rPr>
          <w:rFonts w:ascii="Verdana" w:eastAsia="Calibri" w:hAnsi="Verdana" w:cs="Arial"/>
          <w:bCs/>
          <w:lang w:val="es-ES" w:eastAsia="es-ES"/>
        </w:rPr>
        <w:t>Señor (a)</w:t>
      </w:r>
      <w:r w:rsidRPr="00AB5C52">
        <w:rPr>
          <w:rFonts w:ascii="Verdana" w:eastAsia="Calibri" w:hAnsi="Verdana" w:cs="Arial"/>
          <w:bCs/>
          <w:lang w:val="es-ES" w:eastAsia="es-ES"/>
        </w:rPr>
        <w:t xml:space="preserve">:  </w:t>
      </w:r>
    </w:p>
    <w:p w14:paraId="18B69C9E" w14:textId="77777777" w:rsidR="00102DF6" w:rsidRPr="00AB5C52" w:rsidRDefault="00102DF6" w:rsidP="00102DF6">
      <w:pPr>
        <w:tabs>
          <w:tab w:val="left" w:pos="3768"/>
        </w:tabs>
        <w:spacing w:after="0" w:line="276" w:lineRule="auto"/>
        <w:jc w:val="both"/>
        <w:rPr>
          <w:rFonts w:ascii="Verdana" w:eastAsia="Calibri" w:hAnsi="Verdana" w:cs="Arial"/>
          <w:bCs/>
          <w:lang w:val="es-ES" w:eastAsia="es-ES"/>
        </w:rPr>
      </w:pPr>
      <w:r w:rsidRPr="00AB5C52">
        <w:rPr>
          <w:rFonts w:ascii="Verdana" w:eastAsia="Calibri" w:hAnsi="Verdana" w:cs="Arial"/>
          <w:bCs/>
          <w:lang w:val="es-ES" w:eastAsia="es-ES"/>
        </w:rPr>
        <w:tab/>
      </w:r>
    </w:p>
    <w:p w14:paraId="30A32693" w14:textId="77777777" w:rsidR="00102DF6" w:rsidRPr="003125D1" w:rsidRDefault="00102DF6" w:rsidP="00102DF6">
      <w:pPr>
        <w:spacing w:after="0" w:line="276" w:lineRule="auto"/>
        <w:jc w:val="both"/>
        <w:rPr>
          <w:rFonts w:ascii="Verdana" w:eastAsia="Calibri" w:hAnsi="Verdana" w:cs="Arial"/>
          <w:lang w:val="es-ES" w:eastAsia="es-ES"/>
        </w:rPr>
      </w:pPr>
      <w:r w:rsidRPr="003125D1">
        <w:rPr>
          <w:rFonts w:ascii="Verdana" w:eastAsia="Calibri" w:hAnsi="Verdana" w:cs="Arial"/>
          <w:lang w:val="es-ES" w:eastAsia="es-ES"/>
        </w:rPr>
        <w:t>En ejercicio de la competencia otorgada por los artículos 3, numeral 5º, y 11, numeral 8º, del Decreto Ley 4170 de 2011,</w:t>
      </w:r>
      <w:r w:rsidRPr="003125D1">
        <w:rPr>
          <w:rFonts w:ascii="Verdana" w:eastAsia="Arial MT" w:hAnsi="Verdana" w:cs="Arial MT"/>
          <w:lang w:val="es-ES" w:eastAsia="es-ES"/>
        </w:rPr>
        <w:t xml:space="preserve"> </w:t>
      </w:r>
      <w:r w:rsidRPr="003125D1">
        <w:rPr>
          <w:rFonts w:ascii="Verdana" w:eastAsia="Calibri" w:hAnsi="Verdana" w:cs="Arial"/>
        </w:rPr>
        <w:t xml:space="preserve">así como lo establecido en el artículo 4 de la Resolución 1707 de 2018 expedida por esta Entidad, </w:t>
      </w:r>
      <w:r w:rsidRPr="003125D1">
        <w:rPr>
          <w:rFonts w:ascii="Verdana" w:eastAsia="Calibri" w:hAnsi="Verdana" w:cs="Arial"/>
          <w:lang w:val="es-ES" w:eastAsia="es-ES"/>
        </w:rPr>
        <w:t xml:space="preserve">la Agencia Nacional de Contratación Pública –Colombia Compra Eficiente– responde su solicitud de consulta de fecha </w:t>
      </w:r>
      <w:r>
        <w:rPr>
          <w:rFonts w:ascii="Verdana" w:eastAsia="Calibri" w:hAnsi="Verdana" w:cs="Arial"/>
          <w:lang w:val="es-ES" w:eastAsia="es-ES"/>
        </w:rPr>
        <w:t xml:space="preserve">28 </w:t>
      </w:r>
      <w:r w:rsidRPr="003125D1">
        <w:rPr>
          <w:rFonts w:ascii="Verdana" w:eastAsia="Calibri" w:hAnsi="Verdana" w:cs="Arial"/>
          <w:lang w:val="es-ES" w:eastAsia="es-ES"/>
        </w:rPr>
        <w:t xml:space="preserve">de </w:t>
      </w:r>
      <w:r>
        <w:rPr>
          <w:rFonts w:ascii="Verdana" w:eastAsia="Calibri" w:hAnsi="Verdana" w:cs="Arial"/>
          <w:lang w:val="es-ES" w:eastAsia="es-ES"/>
        </w:rPr>
        <w:t>julio</w:t>
      </w:r>
      <w:r w:rsidRPr="003125D1">
        <w:rPr>
          <w:rFonts w:ascii="Verdana" w:eastAsia="Calibri" w:hAnsi="Verdana" w:cs="Arial"/>
          <w:lang w:val="es-ES" w:eastAsia="es-ES"/>
        </w:rPr>
        <w:t xml:space="preserve"> de 2026, en la cual manifiesta lo siguiente: </w:t>
      </w:r>
      <w:bookmarkStart w:id="1" w:name="_Hlk95313578"/>
    </w:p>
    <w:p w14:paraId="7E0BB2AF" w14:textId="77777777" w:rsidR="00102DF6" w:rsidRPr="003125D1" w:rsidRDefault="00102DF6" w:rsidP="00102DF6">
      <w:pPr>
        <w:spacing w:after="0" w:line="276" w:lineRule="auto"/>
        <w:jc w:val="both"/>
        <w:rPr>
          <w:rFonts w:ascii="Verdana" w:eastAsia="Calibri" w:hAnsi="Verdana" w:cs="Arial"/>
          <w:bCs/>
          <w:lang w:val="es-ES" w:eastAsia="es-ES"/>
        </w:rPr>
      </w:pPr>
    </w:p>
    <w:bookmarkEnd w:id="1"/>
    <w:p w14:paraId="21D2E940" w14:textId="77777777" w:rsidR="00102DF6" w:rsidRDefault="00102DF6" w:rsidP="00102DF6">
      <w:pPr>
        <w:spacing w:after="0" w:line="240" w:lineRule="auto"/>
        <w:ind w:left="709" w:right="709"/>
        <w:jc w:val="both"/>
        <w:rPr>
          <w:rFonts w:ascii="Verdana" w:eastAsia="Calibri" w:hAnsi="Verdana" w:cs="Arial"/>
          <w:i/>
          <w:iCs/>
          <w:sz w:val="21"/>
          <w:szCs w:val="21"/>
          <w:lang w:val="es-ES" w:eastAsia="es-ES"/>
        </w:rPr>
      </w:pPr>
      <w:r w:rsidRPr="003125D1">
        <w:rPr>
          <w:rFonts w:ascii="Verdana" w:eastAsia="Calibri" w:hAnsi="Verdana" w:cs="Arial"/>
          <w:i/>
          <w:iCs/>
          <w:sz w:val="21"/>
          <w:szCs w:val="21"/>
          <w:lang w:val="es-ES" w:eastAsia="es-ES"/>
        </w:rPr>
        <w:t>“(…)</w:t>
      </w:r>
    </w:p>
    <w:p w14:paraId="334AF186" w14:textId="77777777" w:rsidR="00102DF6" w:rsidRDefault="00102DF6" w:rsidP="00102DF6">
      <w:pPr>
        <w:spacing w:after="0" w:line="240" w:lineRule="auto"/>
        <w:ind w:left="709" w:right="709"/>
        <w:jc w:val="both"/>
        <w:rPr>
          <w:rFonts w:ascii="Verdana" w:eastAsia="Calibri" w:hAnsi="Verdana" w:cs="Arial"/>
          <w:i/>
          <w:iCs/>
          <w:sz w:val="21"/>
          <w:szCs w:val="21"/>
          <w:lang w:val="es-ES" w:eastAsia="es-ES"/>
        </w:rPr>
      </w:pPr>
    </w:p>
    <w:p w14:paraId="5D208123" w14:textId="77777777" w:rsidR="00102DF6" w:rsidRDefault="00102DF6" w:rsidP="00102DF6">
      <w:pPr>
        <w:spacing w:after="0" w:line="240" w:lineRule="auto"/>
        <w:ind w:left="709" w:right="709"/>
        <w:jc w:val="both"/>
        <w:rPr>
          <w:rFonts w:ascii="Verdana" w:eastAsia="Calibri" w:hAnsi="Verdana" w:cs="Arial"/>
          <w:i/>
          <w:iCs/>
          <w:sz w:val="21"/>
          <w:szCs w:val="21"/>
          <w:lang w:eastAsia="es-ES"/>
        </w:rPr>
      </w:pPr>
      <w:r w:rsidRPr="0085191E">
        <w:rPr>
          <w:rFonts w:ascii="Verdana" w:eastAsia="Calibri" w:hAnsi="Verdana" w:cs="Arial"/>
          <w:i/>
          <w:iCs/>
          <w:sz w:val="21"/>
          <w:szCs w:val="21"/>
          <w:lang w:eastAsia="es-ES"/>
        </w:rPr>
        <w:t>¿Resultan aplicables al presente proceso los Documentos Tipo para obra pública de infraestructura social en la modalidad de mínima cuantía expedidos por la Agencia Nacional de Contratación Pública – Colombia Compra Eficiente, teniendo en cuenta que el objeto contractual corresponde a la adecuación de un Punto de Atención al Ciudadano y zonas conexas?</w:t>
      </w:r>
    </w:p>
    <w:p w14:paraId="4307054A" w14:textId="77777777" w:rsidR="00102DF6" w:rsidRDefault="00102DF6" w:rsidP="00102DF6">
      <w:pPr>
        <w:spacing w:after="0" w:line="240" w:lineRule="auto"/>
        <w:ind w:left="709" w:right="709"/>
        <w:jc w:val="both"/>
        <w:rPr>
          <w:rFonts w:ascii="Verdana" w:eastAsia="Calibri" w:hAnsi="Verdana" w:cs="Arial"/>
          <w:i/>
          <w:iCs/>
          <w:sz w:val="21"/>
          <w:szCs w:val="21"/>
          <w:lang w:eastAsia="es-ES"/>
        </w:rPr>
      </w:pPr>
    </w:p>
    <w:p w14:paraId="7F62BF19" w14:textId="77777777" w:rsidR="00102DF6" w:rsidRDefault="00102DF6" w:rsidP="00102DF6">
      <w:pPr>
        <w:spacing w:after="0" w:line="240" w:lineRule="auto"/>
        <w:ind w:left="709" w:right="709"/>
        <w:jc w:val="both"/>
        <w:rPr>
          <w:rFonts w:ascii="Verdana" w:eastAsia="Calibri" w:hAnsi="Verdana" w:cs="Arial"/>
          <w:i/>
          <w:iCs/>
          <w:sz w:val="21"/>
          <w:szCs w:val="21"/>
          <w:lang w:val="es-ES" w:eastAsia="es-ES"/>
        </w:rPr>
      </w:pPr>
      <w:r w:rsidRPr="0085191E">
        <w:rPr>
          <w:rFonts w:ascii="Verdana" w:eastAsia="Calibri" w:hAnsi="Verdana" w:cs="Arial"/>
          <w:i/>
          <w:iCs/>
          <w:sz w:val="21"/>
          <w:szCs w:val="21"/>
          <w:lang w:eastAsia="es-ES"/>
        </w:rPr>
        <w:t xml:space="preserve">Lo anterior, teniendo en cuenta que el SENA es un establecimiento público y que las áreas objeto de intervención corresponden a espacios destinados principalmente a la atención al ciudadano, más no a ambientes de formación o infraestructura educativa. </w:t>
      </w:r>
    </w:p>
    <w:p w14:paraId="0A4A0C69" w14:textId="77777777" w:rsidR="00102DF6" w:rsidRDefault="00102DF6" w:rsidP="00102DF6">
      <w:pPr>
        <w:spacing w:after="0" w:line="240" w:lineRule="auto"/>
        <w:ind w:left="709" w:right="709"/>
        <w:jc w:val="both"/>
        <w:rPr>
          <w:rFonts w:ascii="Verdana" w:eastAsia="Calibri" w:hAnsi="Verdana" w:cs="Arial"/>
          <w:i/>
          <w:iCs/>
          <w:sz w:val="21"/>
          <w:szCs w:val="21"/>
          <w:lang w:val="es-ES" w:eastAsia="es-ES"/>
        </w:rPr>
      </w:pPr>
    </w:p>
    <w:p w14:paraId="55CAC207" w14:textId="77777777" w:rsidR="00102DF6" w:rsidRDefault="00102DF6" w:rsidP="00102DF6">
      <w:pPr>
        <w:spacing w:after="0" w:line="240" w:lineRule="auto"/>
        <w:ind w:left="709" w:right="709"/>
        <w:jc w:val="both"/>
        <w:rPr>
          <w:rFonts w:ascii="Verdana" w:eastAsia="Calibri" w:hAnsi="Verdana" w:cs="Arial"/>
          <w:i/>
          <w:iCs/>
          <w:sz w:val="21"/>
          <w:szCs w:val="21"/>
          <w:lang w:eastAsia="es-ES"/>
        </w:rPr>
      </w:pPr>
      <w:r w:rsidRPr="0085191E">
        <w:rPr>
          <w:rFonts w:ascii="Verdana" w:eastAsia="Calibri" w:hAnsi="Verdana" w:cs="Arial"/>
          <w:i/>
          <w:iCs/>
          <w:sz w:val="21"/>
          <w:szCs w:val="21"/>
          <w:lang w:eastAsia="es-ES"/>
        </w:rPr>
        <w:lastRenderedPageBreak/>
        <w:t xml:space="preserve">En consecuencia, se solicita precisar si el proceso </w:t>
      </w:r>
      <w:proofErr w:type="gramStart"/>
      <w:r w:rsidRPr="0085191E">
        <w:rPr>
          <w:rFonts w:ascii="Verdana" w:eastAsia="Calibri" w:hAnsi="Verdana" w:cs="Arial"/>
          <w:i/>
          <w:iCs/>
          <w:sz w:val="21"/>
          <w:szCs w:val="21"/>
          <w:lang w:eastAsia="es-ES"/>
        </w:rPr>
        <w:t>se enmarca dentro de</w:t>
      </w:r>
      <w:proofErr w:type="gramEnd"/>
      <w:r w:rsidRPr="0085191E">
        <w:rPr>
          <w:rFonts w:ascii="Verdana" w:eastAsia="Calibri" w:hAnsi="Verdana" w:cs="Arial"/>
          <w:i/>
          <w:iCs/>
          <w:sz w:val="21"/>
          <w:szCs w:val="21"/>
          <w:lang w:eastAsia="es-ES"/>
        </w:rPr>
        <w:t xml:space="preserve"> los Documentos Tipo de infraestructura social del sector educación o si, por la naturaleza y destinación de las áreas intervenidas, dichos documentos no resultan aplicables al proceso.</w:t>
      </w:r>
    </w:p>
    <w:p w14:paraId="5E8274FC" w14:textId="77777777" w:rsidR="00102DF6" w:rsidRDefault="00102DF6" w:rsidP="00102DF6">
      <w:pPr>
        <w:spacing w:after="0" w:line="240" w:lineRule="auto"/>
        <w:ind w:left="709" w:right="709"/>
        <w:jc w:val="both"/>
        <w:rPr>
          <w:rFonts w:ascii="Verdana" w:eastAsia="Calibri" w:hAnsi="Verdana" w:cs="Arial"/>
          <w:i/>
          <w:iCs/>
          <w:sz w:val="21"/>
          <w:szCs w:val="21"/>
          <w:lang w:val="es-ES" w:eastAsia="es-ES"/>
        </w:rPr>
      </w:pPr>
    </w:p>
    <w:p w14:paraId="4DCEDDB5" w14:textId="77777777" w:rsidR="00102DF6" w:rsidRPr="003125D1" w:rsidRDefault="00102DF6" w:rsidP="00102DF6">
      <w:pPr>
        <w:spacing w:after="0" w:line="240" w:lineRule="auto"/>
        <w:ind w:left="709" w:right="709"/>
        <w:jc w:val="both"/>
        <w:rPr>
          <w:rFonts w:ascii="Verdana" w:eastAsia="Calibri" w:hAnsi="Verdana" w:cs="Arial"/>
          <w:i/>
          <w:iCs/>
          <w:sz w:val="21"/>
          <w:szCs w:val="21"/>
          <w:lang w:val="es-ES" w:eastAsia="es-ES"/>
        </w:rPr>
      </w:pPr>
      <w:r w:rsidRPr="003125D1">
        <w:rPr>
          <w:rFonts w:ascii="Verdana" w:eastAsia="Calibri" w:hAnsi="Verdana" w:cs="Arial"/>
          <w:i/>
          <w:iCs/>
          <w:sz w:val="21"/>
          <w:szCs w:val="21"/>
          <w:lang w:val="es-ES" w:eastAsia="es-ES"/>
        </w:rPr>
        <w:t>(…)</w:t>
      </w:r>
      <w:r w:rsidRPr="003125D1">
        <w:rPr>
          <w:rFonts w:ascii="Verdana" w:eastAsia="Calibri" w:hAnsi="Verdana" w:cs="Arial"/>
          <w:i/>
          <w:iCs/>
          <w:sz w:val="21"/>
          <w:szCs w:val="21"/>
          <w:lang w:eastAsia="es-ES"/>
        </w:rPr>
        <w:t>”</w:t>
      </w:r>
    </w:p>
    <w:p w14:paraId="141C53C1" w14:textId="77777777" w:rsidR="00102DF6" w:rsidRPr="003125D1" w:rsidRDefault="00102DF6" w:rsidP="00102DF6">
      <w:pPr>
        <w:spacing w:after="0" w:line="276" w:lineRule="auto"/>
        <w:ind w:left="709" w:right="709"/>
        <w:jc w:val="both"/>
        <w:rPr>
          <w:rFonts w:ascii="Verdana" w:eastAsia="Times New Roman" w:hAnsi="Verdana" w:cs="Times New Roman"/>
          <w:lang w:eastAsia="es-CO"/>
        </w:rPr>
      </w:pPr>
    </w:p>
    <w:p w14:paraId="1DC5D547" w14:textId="77777777" w:rsidR="00102DF6" w:rsidRPr="003125D1" w:rsidRDefault="00102DF6" w:rsidP="00102DF6">
      <w:pPr>
        <w:spacing w:after="120" w:line="276" w:lineRule="auto"/>
        <w:ind w:firstLine="709"/>
        <w:jc w:val="both"/>
        <w:rPr>
          <w:rFonts w:ascii="Verdana" w:eastAsia="Calibri" w:hAnsi="Verdana" w:cs="Arial"/>
          <w:lang w:val="es-ES_tradnl" w:eastAsia="es-ES_tradnl"/>
        </w:rPr>
      </w:pPr>
      <w:r w:rsidRPr="003125D1">
        <w:rPr>
          <w:rFonts w:ascii="Verdana" w:eastAsia="Calibri" w:hAnsi="Verdana" w:cs="Arial"/>
          <w:lang w:val="es-ES" w:eastAsia="es-ES"/>
        </w:rPr>
        <w:t xml:space="preserve">De manera preliminar, resulta necesario resaltar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3125D1">
        <w:rPr>
          <w:rFonts w:ascii="Verdana" w:eastAsia="Calibri" w:hAnsi="Verdana" w:cs="Arial"/>
          <w:lang w:val="es-ES_tradnl" w:eastAsia="es-ES_tradnl"/>
        </w:rPr>
        <w:tab/>
      </w:r>
    </w:p>
    <w:p w14:paraId="4993C72E" w14:textId="77777777" w:rsidR="00102DF6" w:rsidRPr="003125D1" w:rsidRDefault="00102DF6" w:rsidP="00102DF6">
      <w:pPr>
        <w:spacing w:after="0" w:line="276" w:lineRule="auto"/>
        <w:ind w:firstLine="708"/>
        <w:jc w:val="both"/>
        <w:rPr>
          <w:rFonts w:ascii="Verdana" w:eastAsia="Calibri" w:hAnsi="Verdana" w:cs="Arial"/>
          <w:lang w:val="es-ES" w:eastAsia="es-ES"/>
        </w:rPr>
      </w:pPr>
      <w:r w:rsidRPr="003125D1">
        <w:rPr>
          <w:rFonts w:ascii="Verdana" w:eastAsia="Calibri" w:hAnsi="Verdana" w:cs="Arial"/>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p>
    <w:p w14:paraId="454D0701" w14:textId="77777777" w:rsidR="00102DF6" w:rsidRPr="003125D1" w:rsidRDefault="00102DF6" w:rsidP="00102DF6">
      <w:pPr>
        <w:spacing w:after="0" w:line="276" w:lineRule="auto"/>
        <w:ind w:firstLine="709"/>
        <w:jc w:val="both"/>
        <w:rPr>
          <w:rFonts w:ascii="Verdana" w:eastAsia="Calibri" w:hAnsi="Verdana" w:cs="Arial"/>
          <w:lang w:val="es-ES" w:eastAsia="es-ES"/>
        </w:rPr>
      </w:pPr>
    </w:p>
    <w:p w14:paraId="37127C4B" w14:textId="77777777" w:rsidR="00102DF6" w:rsidRPr="003125D1" w:rsidRDefault="00102DF6" w:rsidP="00102DF6">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3125D1">
        <w:rPr>
          <w:rFonts w:ascii="Verdana" w:eastAsia="Century Gothic" w:hAnsi="Verdana" w:cs="Century Gothic"/>
          <w:b/>
          <w:bCs/>
          <w:lang w:val="es-ES"/>
        </w:rPr>
        <w:t>Problema planteado:</w:t>
      </w:r>
    </w:p>
    <w:p w14:paraId="5B37154C" w14:textId="77777777" w:rsidR="00102DF6" w:rsidRPr="003125D1" w:rsidRDefault="00102DF6" w:rsidP="00102DF6">
      <w:pPr>
        <w:tabs>
          <w:tab w:val="left" w:pos="426"/>
        </w:tabs>
        <w:spacing w:after="0" w:line="276" w:lineRule="auto"/>
        <w:jc w:val="both"/>
        <w:rPr>
          <w:rFonts w:ascii="Verdana" w:eastAsia="Century Gothic" w:hAnsi="Verdana" w:cs="Century Gothic"/>
          <w:lang w:val="es-ES"/>
        </w:rPr>
      </w:pPr>
    </w:p>
    <w:p w14:paraId="6B38EC75" w14:textId="318DB236" w:rsidR="00102DF6" w:rsidRPr="00C209D9" w:rsidRDefault="00102DF6" w:rsidP="00102DF6">
      <w:pPr>
        <w:spacing w:line="276" w:lineRule="auto"/>
        <w:jc w:val="both"/>
        <w:rPr>
          <w:rFonts w:ascii="Verdana" w:eastAsia="Century Gothic" w:hAnsi="Verdana" w:cs="Century Gothic"/>
        </w:rPr>
      </w:pPr>
      <w:r w:rsidRPr="003125D1">
        <w:rPr>
          <w:rFonts w:ascii="Verdana" w:eastAsia="Century Gothic" w:hAnsi="Verdana" w:cs="Century Gothic"/>
        </w:rPr>
        <w:t>De acuerdo con el contenido de su solicitud, esta Agencia resolverá el siguiente problema jurídico:</w:t>
      </w:r>
      <w:r>
        <w:rPr>
          <w:rFonts w:ascii="Verdana" w:eastAsia="Century Gothic" w:hAnsi="Verdana" w:cs="Century Gothic"/>
        </w:rPr>
        <w:t xml:space="preserve"> I). </w:t>
      </w:r>
      <w:r w:rsidRPr="003A0B63">
        <w:rPr>
          <w:rFonts w:ascii="Verdana" w:eastAsia="Century Gothic" w:hAnsi="Verdana" w:cs="Century Gothic"/>
        </w:rPr>
        <w:t>¿</w:t>
      </w:r>
      <w:r w:rsidR="00A72E30">
        <w:rPr>
          <w:rFonts w:ascii="Verdana" w:eastAsia="Century Gothic" w:hAnsi="Verdana" w:cs="Century Gothic"/>
        </w:rPr>
        <w:t>Son aplicables l</w:t>
      </w:r>
      <w:r w:rsidRPr="003A0B63">
        <w:rPr>
          <w:rFonts w:ascii="Verdana" w:eastAsia="Century Gothic" w:hAnsi="Verdana" w:cs="Century Gothic"/>
        </w:rPr>
        <w:t xml:space="preserve">os Documentos Tipo para </w:t>
      </w:r>
      <w:r w:rsidR="00E071C4">
        <w:rPr>
          <w:rFonts w:ascii="Verdana" w:eastAsia="Century Gothic" w:hAnsi="Verdana" w:cs="Century Gothic"/>
        </w:rPr>
        <w:t>los procesos de selección</w:t>
      </w:r>
      <w:r w:rsidRPr="003A0B63">
        <w:rPr>
          <w:rFonts w:ascii="Verdana" w:eastAsia="Century Gothic" w:hAnsi="Verdana" w:cs="Century Gothic"/>
        </w:rPr>
        <w:t xml:space="preserve"> de obra pública de infraestructura social en la modalidad de mínima cuantía a un proceso cuyo objeto consiste en la adecuación de un Punto de Atención al Ciudadano y zonas conexas de una sede del Servicio Nacional de Aprendizaje – </w:t>
      </w:r>
      <w:proofErr w:type="gramStart"/>
      <w:r w:rsidRPr="003A0B63">
        <w:rPr>
          <w:rFonts w:ascii="Verdana" w:eastAsia="Century Gothic" w:hAnsi="Verdana" w:cs="Century Gothic"/>
        </w:rPr>
        <w:t>SENA, cuando las áreas objeto de intervención están destinadas principalmente a la atención al ciudadano y no al desarrollo de actividades educativas o de formación?</w:t>
      </w:r>
      <w:proofErr w:type="gramEnd"/>
    </w:p>
    <w:p w14:paraId="01D43B45" w14:textId="77777777" w:rsidR="00102DF6" w:rsidRPr="003125D1" w:rsidRDefault="00102DF6" w:rsidP="00102DF6">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3125D1">
        <w:rPr>
          <w:rFonts w:ascii="Verdana" w:eastAsia="Century Gothic" w:hAnsi="Verdana" w:cs="Century Gothic"/>
          <w:b/>
          <w:bCs/>
          <w:lang w:val="es-ES"/>
        </w:rPr>
        <w:t>Respuesta:</w:t>
      </w:r>
    </w:p>
    <w:p w14:paraId="45F275CC" w14:textId="77777777" w:rsidR="00102DF6" w:rsidRPr="00AB496C" w:rsidRDefault="00102DF6" w:rsidP="00102DF6">
      <w:pPr>
        <w:tabs>
          <w:tab w:val="left" w:pos="142"/>
          <w:tab w:val="left" w:pos="284"/>
        </w:tabs>
        <w:spacing w:line="276" w:lineRule="auto"/>
        <w:contextualSpacing/>
        <w:jc w:val="both"/>
        <w:rPr>
          <w:rFonts w:ascii="Verdana" w:eastAsia="Century Gothic" w:hAnsi="Verdana" w:cs="Century Gothic"/>
          <w:b/>
          <w:bCs/>
          <w:lang w:val="es-ES"/>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102DF6" w:rsidRPr="004048FF" w14:paraId="653FE1C5" w14:textId="77777777" w:rsidTr="00310B0E">
        <w:trPr>
          <w:trHeight w:val="1057"/>
        </w:trPr>
        <w:tc>
          <w:tcPr>
            <w:tcW w:w="8828" w:type="dxa"/>
            <w:tcBorders>
              <w:top w:val="dotted" w:sz="4" w:space="0" w:color="auto"/>
              <w:left w:val="dotted" w:sz="4" w:space="0" w:color="auto"/>
              <w:bottom w:val="dotted" w:sz="4" w:space="0" w:color="auto"/>
              <w:right w:val="dotted" w:sz="4" w:space="0" w:color="auto"/>
            </w:tcBorders>
          </w:tcPr>
          <w:p w14:paraId="019DE1A4" w14:textId="77777777" w:rsidR="00102DF6" w:rsidRPr="00AD00D3" w:rsidRDefault="00102DF6" w:rsidP="00310B0E">
            <w:pPr>
              <w:spacing w:before="120" w:after="120" w:line="276" w:lineRule="auto"/>
              <w:jc w:val="both"/>
              <w:textAlignment w:val="baseline"/>
              <w:rPr>
                <w:rFonts w:ascii="Verdana" w:hAnsi="Verdana"/>
              </w:rPr>
            </w:pPr>
            <w:r w:rsidRPr="00AD00D3">
              <w:rPr>
                <w:rFonts w:ascii="Verdana" w:hAnsi="Verdana"/>
              </w:rPr>
              <w:t>Sí. Los Documentos Tipo para la contratación de obra pública de infraestructura social resultan aplicables al proceso cuyo objeto consiste en la “</w:t>
            </w:r>
            <w:r w:rsidRPr="00AD00D3">
              <w:rPr>
                <w:rFonts w:ascii="Verdana" w:hAnsi="Verdana"/>
                <w:i/>
                <w:iCs/>
              </w:rPr>
              <w:t>Adecuación a todo costo de la infraestructura de la Oficina de Atención al Ciudadano y zonas conexas para la sede principal del Centro de Desarrollo Agroempresarial y Turístico del Huila, SENA Regional Huila”</w:t>
            </w:r>
            <w:r w:rsidRPr="00AD00D3">
              <w:rPr>
                <w:rFonts w:ascii="Verdana" w:hAnsi="Verdana"/>
              </w:rPr>
              <w:t>, en la medida en que el objeto contractual, las características de la infraestructura objeto de intervención y la modalidad de selección correspondan al ámbito de aplicación de los respectivos Documentos Tipo vigentes.</w:t>
            </w:r>
          </w:p>
          <w:p w14:paraId="20E6027C" w14:textId="77777777" w:rsidR="00102DF6" w:rsidRPr="00AD00D3" w:rsidRDefault="00102DF6" w:rsidP="00310B0E">
            <w:pPr>
              <w:spacing w:before="120" w:after="120" w:line="276" w:lineRule="auto"/>
              <w:ind w:firstLine="709"/>
              <w:jc w:val="both"/>
              <w:textAlignment w:val="baseline"/>
              <w:rPr>
                <w:rFonts w:ascii="Verdana" w:hAnsi="Verdana"/>
              </w:rPr>
            </w:pPr>
            <w:r w:rsidRPr="00AD00D3">
              <w:rPr>
                <w:rFonts w:ascii="Verdana" w:hAnsi="Verdana"/>
              </w:rPr>
              <w:t>Lo anterior, en primer lugar, porque el Servicio Nacional de Aprendizaje – SENA, en su condición de establecimiento público del orden nacional, se encuentra sometido al Estatuto General de Contratación de la Administración Pública, de conformidad con la Ley 80 de 1993. Por consiguiente, se encuentra directamente sujeto a la aplicación obligatoria de los Documentos Tipo expedidos por la Agencia Nacional de Contratación Pública – Colombia Compra Eficiente, cuando el objeto, la modalidad de selección y las demás condiciones del proceso se encuentren comprendidos dentro de su ámbito de aplicación.</w:t>
            </w:r>
          </w:p>
          <w:p w14:paraId="32FA017A" w14:textId="77777777" w:rsidR="00102DF6" w:rsidRPr="00AD00D3" w:rsidRDefault="00102DF6" w:rsidP="00310B0E">
            <w:pPr>
              <w:spacing w:before="120" w:after="120" w:line="276" w:lineRule="auto"/>
              <w:ind w:firstLine="709"/>
              <w:jc w:val="both"/>
              <w:textAlignment w:val="baseline"/>
              <w:rPr>
                <w:rFonts w:ascii="Verdana" w:hAnsi="Verdana"/>
              </w:rPr>
            </w:pPr>
            <w:r w:rsidRPr="00AD00D3">
              <w:rPr>
                <w:rFonts w:ascii="Verdana" w:hAnsi="Verdana"/>
              </w:rPr>
              <w:t>En segundo lugar, la aplicación de los Documentos Tipo para infraestructura social no está determinada exclusivamente por la naturaleza o finalidad principal de la entidad contratante, sino por las características del proyecto, el tipo de infraestructura objeto de intervención y las actividades que serán ejecutadas. En este sentido, para establecer si un proyecto se encuentra comprendido dentro del ámbito material de los Documentos Tipo, debe acudirse a las definiciones y clasificaciones establecidas en estos instrumentos y, particularmente, a las respectivas matrices de experiencia.</w:t>
            </w:r>
          </w:p>
          <w:p w14:paraId="3C176DAA" w14:textId="77777777" w:rsidR="00F552EC" w:rsidRDefault="00102DF6" w:rsidP="00310B0E">
            <w:pPr>
              <w:spacing w:before="120" w:after="120" w:line="276" w:lineRule="auto"/>
              <w:ind w:firstLine="709"/>
              <w:jc w:val="both"/>
              <w:textAlignment w:val="baseline"/>
              <w:rPr>
                <w:rFonts w:ascii="Verdana" w:hAnsi="Verdana"/>
              </w:rPr>
            </w:pPr>
            <w:r w:rsidRPr="00AD00D3">
              <w:rPr>
                <w:rFonts w:ascii="Verdana" w:hAnsi="Verdana"/>
              </w:rPr>
              <w:t>En el caso analizado, el objeto contractual se dirige a la adecuación de una Oficina de Atención al Ciudadano y de sus zonas conexas, infraestructura destinada principalmente a la atención de usuarios y a la prestación de servicios administrativos al público. Por tanto, el hecho de que la intervención se localice en una sede del SENA no determina, por sí mismo, que la infraestructura deba clasificarse como infraestructura educativa ni que las actividades objeto del contrato deban estar destinadas al desarrollo de procesos de formación o enseñanza</w:t>
            </w:r>
            <w:r w:rsidR="00F552EC">
              <w:rPr>
                <w:rFonts w:ascii="Verdana" w:hAnsi="Verdana"/>
              </w:rPr>
              <w:t>.</w:t>
            </w:r>
          </w:p>
          <w:p w14:paraId="748613A1" w14:textId="77777777" w:rsidR="00102DF6" w:rsidRPr="00AD00D3" w:rsidRDefault="00102DF6" w:rsidP="00310B0E">
            <w:pPr>
              <w:spacing w:before="120" w:after="120" w:line="276" w:lineRule="auto"/>
              <w:ind w:firstLine="709"/>
              <w:jc w:val="both"/>
              <w:textAlignment w:val="baseline"/>
              <w:rPr>
                <w:rFonts w:ascii="Verdana" w:hAnsi="Verdana"/>
              </w:rPr>
            </w:pPr>
            <w:r w:rsidRPr="00AD00D3">
              <w:rPr>
                <w:rFonts w:ascii="Verdana" w:hAnsi="Verdana"/>
              </w:rPr>
              <w:lastRenderedPageBreak/>
              <w:t>Por el contrario, el Anexo 3 – Glosario de los Documentos Tipo contempla dentro del grupo de ocupación institucional las edificaciones o espacios destinados a la prestación de servicios públicos y administrativos necesarios para el funcionamiento de las ciudades. Esta clasificación resulta concordante con la definición contenida en la NSR-10 para el grupo de ocupación Institucional (I), dentro del cual se encuentra el subgrupo de Institucional de Servicio Público (I-5), correspondiente a edificaciones o espacios destinados a funciones administrativas y a la prestación de servicios públicos.</w:t>
            </w:r>
          </w:p>
          <w:p w14:paraId="56AC07FD" w14:textId="77777777" w:rsidR="00102DF6" w:rsidRPr="00AD00D3" w:rsidRDefault="00102DF6" w:rsidP="00310B0E">
            <w:pPr>
              <w:spacing w:before="120" w:after="120" w:line="276" w:lineRule="auto"/>
              <w:ind w:firstLine="709"/>
              <w:jc w:val="both"/>
              <w:textAlignment w:val="baseline"/>
              <w:rPr>
                <w:rFonts w:ascii="Verdana" w:hAnsi="Verdana"/>
              </w:rPr>
            </w:pPr>
            <w:r w:rsidRPr="00AD00D3">
              <w:rPr>
                <w:rFonts w:ascii="Verdana" w:hAnsi="Verdana"/>
              </w:rPr>
              <w:t>En particular, dentro de este subgrupo se contemplan centros administrativos y de servicios municipales, distritales o gubernamentales, así como otras edificaciones o espacios que cumplan una finalidad funcional similar. En consecuencia, la clasificación debe atender a la destinación efectiva y funcional del espacio objeto de intervención, y no exclusivamente a la naturaleza o denominación de la entidad propietaria o usuaria del inmueble.</w:t>
            </w:r>
          </w:p>
          <w:p w14:paraId="20BB6288" w14:textId="77777777" w:rsidR="00102DF6" w:rsidRPr="00AD00D3" w:rsidRDefault="00102DF6" w:rsidP="00310B0E">
            <w:pPr>
              <w:spacing w:before="120" w:after="120" w:line="276" w:lineRule="auto"/>
              <w:ind w:firstLine="709"/>
              <w:jc w:val="both"/>
              <w:textAlignment w:val="baseline"/>
              <w:rPr>
                <w:rFonts w:ascii="Verdana" w:hAnsi="Verdana"/>
              </w:rPr>
            </w:pPr>
            <w:r w:rsidRPr="00AD00D3">
              <w:rPr>
                <w:rFonts w:ascii="Verdana" w:hAnsi="Verdana"/>
              </w:rPr>
              <w:t>Bajo esta perspectiva, una Oficina o Punto de Atención al Ciudadano constituye un espacio destinado a la prestación de servicios de atención y orientación a los usuarios y al desarrollo de funciones administrativas, por lo que presenta correspondencia funcional con la infraestructura institucional de servicio público. Esta conclusión no se modifica por el hecho de que el inmueble haga parte de una sede del SENA o de que, dentro de la misma sede, se desarrollen actividades educativas o de formación, dado que la intervención objeto del proceso recae específicamente sobre espacios destinados a la atención al ciudadano.</w:t>
            </w:r>
          </w:p>
          <w:p w14:paraId="4FBFCB47" w14:textId="36A487B3" w:rsidR="00102DF6" w:rsidRPr="00AD00D3" w:rsidRDefault="00102DF6" w:rsidP="00310B0E">
            <w:pPr>
              <w:spacing w:before="120" w:after="120" w:line="276" w:lineRule="auto"/>
              <w:ind w:firstLine="709"/>
              <w:jc w:val="both"/>
              <w:textAlignment w:val="baseline"/>
              <w:rPr>
                <w:rFonts w:ascii="Verdana" w:hAnsi="Verdana"/>
              </w:rPr>
            </w:pPr>
            <w:r w:rsidRPr="00AD00D3">
              <w:rPr>
                <w:rFonts w:ascii="Verdana" w:hAnsi="Verdana"/>
              </w:rPr>
              <w:t xml:space="preserve">Adicionalmente, la </w:t>
            </w:r>
            <w:r w:rsidR="00263D33">
              <w:rPr>
                <w:rFonts w:ascii="Verdana" w:hAnsi="Verdana"/>
              </w:rPr>
              <w:t>M</w:t>
            </w:r>
            <w:r w:rsidRPr="00AD00D3">
              <w:rPr>
                <w:rFonts w:ascii="Verdana" w:hAnsi="Verdana"/>
              </w:rPr>
              <w:t>atri</w:t>
            </w:r>
            <w:r w:rsidR="00263D33">
              <w:rPr>
                <w:rFonts w:ascii="Verdana" w:hAnsi="Verdana"/>
              </w:rPr>
              <w:t>z 1 - E</w:t>
            </w:r>
            <w:r w:rsidRPr="00AD00D3">
              <w:rPr>
                <w:rFonts w:ascii="Verdana" w:hAnsi="Verdana"/>
              </w:rPr>
              <w:t>xperiencia de los Documentos Tipo contemplan, dentro de las obras en proyectos de infraestructura institucional de servicio público, diferentes actividades de intervención, entre ellas la adecuación, conservación, intervención, instalación, mantenimiento, mejoramiento, modificación u optimización, rehabilitación, remodelación, reposición, reparación locativa, restauración, restitución y terminación de infraestructura de servicio público.</w:t>
            </w:r>
          </w:p>
          <w:p w14:paraId="0BE654C3" w14:textId="77777777" w:rsidR="00102DF6" w:rsidRPr="00AD00D3" w:rsidRDefault="00102DF6" w:rsidP="00310B0E">
            <w:pPr>
              <w:spacing w:before="120" w:after="120" w:line="276" w:lineRule="auto"/>
              <w:ind w:firstLine="709"/>
              <w:jc w:val="both"/>
              <w:textAlignment w:val="baseline"/>
              <w:rPr>
                <w:rFonts w:ascii="Verdana" w:hAnsi="Verdana"/>
              </w:rPr>
            </w:pPr>
            <w:r w:rsidRPr="00AD00D3">
              <w:rPr>
                <w:rFonts w:ascii="Verdana" w:hAnsi="Verdana"/>
              </w:rPr>
              <w:t xml:space="preserve">En consecuencia, la actividad descrita en el objeto contractual —esto es, la adecuación de la infraestructura de la Oficina de Atención al Ciudadano y sus zonas conexas— corresponde a una de las actividades contempladas </w:t>
            </w:r>
            <w:r w:rsidRPr="00AD00D3">
              <w:rPr>
                <w:rFonts w:ascii="Verdana" w:hAnsi="Verdana"/>
              </w:rPr>
              <w:lastRenderedPageBreak/>
              <w:t>dentro de las intervenciones sobre infraestructura institucional de servicio público.</w:t>
            </w:r>
          </w:p>
          <w:p w14:paraId="1E4E7AE2" w14:textId="77777777" w:rsidR="00102DF6" w:rsidRPr="00AD00D3" w:rsidRDefault="00102DF6" w:rsidP="00310B0E">
            <w:pPr>
              <w:spacing w:before="120" w:after="120" w:line="276" w:lineRule="auto"/>
              <w:ind w:firstLine="709"/>
              <w:jc w:val="both"/>
              <w:textAlignment w:val="baseline"/>
              <w:rPr>
                <w:rFonts w:ascii="Verdana" w:hAnsi="Verdana"/>
              </w:rPr>
            </w:pPr>
            <w:r w:rsidRPr="00AD00D3">
              <w:rPr>
                <w:rFonts w:ascii="Verdana" w:hAnsi="Verdana"/>
              </w:rPr>
              <w:t xml:space="preserve">Por tanto, la circunstancia de que las áreas objeto de intervención estén destinadas principalmente a la atención al ciudadano y no al desarrollo de actividades educativas o de formación no constituye una razón para excluir la aplicación de los Documentos Tipo de infraestructura social. Por el contrario, atendiendo a la destinación funcional de los espacios y a las actividades previstas en las correspondientes matrices de experiencia, el proyecto puede </w:t>
            </w:r>
            <w:proofErr w:type="gramStart"/>
            <w:r w:rsidRPr="00AD00D3">
              <w:rPr>
                <w:rFonts w:ascii="Verdana" w:hAnsi="Verdana"/>
              </w:rPr>
              <w:t>enmarcarse dentro de</w:t>
            </w:r>
            <w:proofErr w:type="gramEnd"/>
            <w:r w:rsidRPr="00AD00D3">
              <w:rPr>
                <w:rFonts w:ascii="Verdana" w:hAnsi="Verdana"/>
              </w:rPr>
              <w:t xml:space="preserve"> las obras de infraestructura institucional de servicio público.</w:t>
            </w:r>
          </w:p>
          <w:p w14:paraId="43CCF2DD" w14:textId="77777777" w:rsidR="00102DF6" w:rsidRPr="00981B7C" w:rsidRDefault="00102DF6" w:rsidP="00310B0E">
            <w:pPr>
              <w:spacing w:before="120" w:after="120" w:line="276" w:lineRule="auto"/>
              <w:ind w:right="-67" w:firstLine="709"/>
              <w:jc w:val="both"/>
              <w:textAlignment w:val="baseline"/>
              <w:rPr>
                <w:rFonts w:ascii="Verdana" w:hAnsi="Verdana"/>
              </w:rPr>
            </w:pPr>
            <w:r w:rsidRPr="00AD00D3">
              <w:rPr>
                <w:rFonts w:ascii="Verdana" w:hAnsi="Verdana"/>
              </w:rPr>
              <w:t>Así las cosas, la determinación del Documento Tipo aplicable deberá efectuarse a partir de la concurrencia de los elementos que delimitan su ámbito de aplicación, particularmente la modalidad de selección, el objeto contractual, la tipología de infraestructura y las actividades que serán ejecutadas. Verificados estos elementos, la entidad deberá aplicar el Documento Tipo que corresponda, en los términos y condiciones establecidos por la Agencia Nacio</w:t>
            </w:r>
            <w:r w:rsidRPr="00981B7C">
              <w:rPr>
                <w:rFonts w:ascii="Verdana" w:hAnsi="Verdana"/>
              </w:rPr>
              <w:t>nal de Contratación Pública – Colombia Compra Eficiente.</w:t>
            </w:r>
          </w:p>
          <w:p w14:paraId="2318B075" w14:textId="77777777" w:rsidR="00161593" w:rsidRPr="00981B7C" w:rsidRDefault="00161593" w:rsidP="00161593">
            <w:pPr>
              <w:spacing w:before="120" w:line="276" w:lineRule="auto"/>
              <w:ind w:firstLine="709"/>
              <w:jc w:val="both"/>
              <w:rPr>
                <w:rFonts w:ascii="Verdana" w:eastAsia="Calibri" w:hAnsi="Verdana" w:cs="Times New Roman"/>
                <w:lang w:val="es-ES" w:eastAsia="es-MX"/>
              </w:rPr>
            </w:pPr>
            <w:r w:rsidRPr="00981B7C">
              <w:rPr>
                <w:rFonts w:ascii="Verdana" w:eastAsia="Calibri" w:hAnsi="Verdana" w:cs="Times New Roman"/>
                <w:lang w:val="es-ES" w:eastAsia="es-MX"/>
              </w:rPr>
              <w:t>Por último, debe advertirse que esta conclusión se formula a partir de la información general suministrada sobre el proyecto. La determinación definitiva de la actividad aplicable dependerá de las condiciones concretas previstas en los estudios, diseños, presupuesto, especificaciones técnicas y demás documentos que definan el alcance de la obra.</w:t>
            </w:r>
          </w:p>
          <w:p w14:paraId="05364D54" w14:textId="77777777" w:rsidR="00161593" w:rsidRPr="00981B7C" w:rsidRDefault="00161593" w:rsidP="00161593">
            <w:pPr>
              <w:spacing w:before="120" w:line="276" w:lineRule="auto"/>
              <w:ind w:firstLine="709"/>
              <w:jc w:val="both"/>
              <w:rPr>
                <w:rFonts w:ascii="Verdana" w:eastAsia="Calibri" w:hAnsi="Verdana" w:cs="Times New Roman"/>
                <w:lang w:val="es-ES" w:eastAsia="es-MX"/>
              </w:rPr>
            </w:pPr>
            <w:r w:rsidRPr="00981B7C">
              <w:rPr>
                <w:rFonts w:ascii="Verdana" w:eastAsia="Calibri" w:hAnsi="Verdana" w:cs="Arial"/>
                <w:bCs/>
                <w:kern w:val="2"/>
                <w14:ligatures w14:val="standardContextual"/>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0B5A526C" w14:textId="7391ABBF" w:rsidR="00161593" w:rsidRPr="00981B7C" w:rsidRDefault="00161593" w:rsidP="00161593">
            <w:pPr>
              <w:spacing w:after="120" w:line="276" w:lineRule="auto"/>
              <w:ind w:firstLine="708"/>
              <w:jc w:val="both"/>
              <w:rPr>
                <w:rFonts w:ascii="Verdana" w:eastAsia="Calibri" w:hAnsi="Verdana" w:cs="Arial"/>
                <w:bCs/>
                <w:kern w:val="2"/>
                <w14:ligatures w14:val="standardContextual"/>
              </w:rPr>
            </w:pPr>
            <w:r w:rsidRPr="00981B7C">
              <w:rPr>
                <w:rFonts w:ascii="Verdana" w:eastAsia="Calibri" w:hAnsi="Verdana" w:cs="Arial"/>
                <w:bCs/>
                <w:kern w:val="2"/>
                <w14:ligatures w14:val="standardContextual"/>
              </w:rPr>
              <w:t xml:space="preserve">Dentro de este marco, la entidad contratante definirá en cada caso concreto lo relacionado con el tema objeto de la petición. Al tratarse de un análisis que debe realizarse en el procedimiento contractual específico, la </w:t>
            </w:r>
            <w:r w:rsidRPr="00981B7C">
              <w:rPr>
                <w:rFonts w:ascii="Verdana" w:eastAsia="Calibri" w:hAnsi="Verdana" w:cs="Arial"/>
                <w:bCs/>
                <w:kern w:val="2"/>
                <w14:ligatures w14:val="standardContextual"/>
              </w:rPr>
              <w:lastRenderedPageBreak/>
              <w:t xml:space="preserve">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288DDC0F" w14:textId="77777777" w:rsidR="00102DF6" w:rsidRPr="004048FF" w:rsidRDefault="00102DF6" w:rsidP="00310B0E">
            <w:pPr>
              <w:jc w:val="both"/>
              <w:textAlignment w:val="baseline"/>
              <w:rPr>
                <w:rFonts w:ascii="Verdana" w:hAnsi="Verdana"/>
              </w:rPr>
            </w:pPr>
            <w:r w:rsidRPr="00935778">
              <w:rPr>
                <w:rFonts w:ascii="Verdana" w:hAnsi="Verdana"/>
                <w:color w:val="00B0F0"/>
              </w:rPr>
              <w:t xml:space="preserve"> </w:t>
            </w:r>
          </w:p>
        </w:tc>
      </w:tr>
    </w:tbl>
    <w:p w14:paraId="5EC536DB" w14:textId="77777777" w:rsidR="00102DF6" w:rsidRPr="0010023F" w:rsidRDefault="00102DF6" w:rsidP="00102DF6">
      <w:pPr>
        <w:tabs>
          <w:tab w:val="left" w:pos="142"/>
          <w:tab w:val="left" w:pos="284"/>
        </w:tabs>
        <w:spacing w:after="0" w:line="276" w:lineRule="auto"/>
        <w:ind w:left="142" w:hanging="142"/>
        <w:jc w:val="both"/>
        <w:rPr>
          <w:rFonts w:ascii="Verdana" w:eastAsia="Century Gothic" w:hAnsi="Verdana" w:cs="Century Gothic"/>
          <w:b/>
          <w:bCs/>
          <w:lang w:val="es-ES"/>
        </w:rPr>
      </w:pPr>
    </w:p>
    <w:p w14:paraId="4ED645CD" w14:textId="77777777" w:rsidR="00102DF6" w:rsidRPr="0010023F" w:rsidRDefault="00102DF6" w:rsidP="00102DF6">
      <w:pPr>
        <w:numPr>
          <w:ilvl w:val="0"/>
          <w:numId w:val="16"/>
        </w:numPr>
        <w:tabs>
          <w:tab w:val="left" w:pos="142"/>
          <w:tab w:val="left" w:pos="284"/>
        </w:tabs>
        <w:spacing w:after="0" w:line="276" w:lineRule="auto"/>
        <w:contextualSpacing/>
        <w:jc w:val="both"/>
        <w:rPr>
          <w:rFonts w:ascii="Verdana" w:eastAsia="Calibri" w:hAnsi="Verdana" w:cs="Arial"/>
          <w:lang w:val="es-ES" w:eastAsia="es-MX"/>
        </w:rPr>
      </w:pPr>
      <w:r w:rsidRPr="0010023F">
        <w:rPr>
          <w:rFonts w:ascii="Verdana" w:eastAsia="Century Gothic" w:hAnsi="Verdana" w:cs="Century Gothic"/>
          <w:b/>
          <w:bCs/>
          <w:lang w:val="es-ES"/>
        </w:rPr>
        <w:t>Razones de la respuesta:</w:t>
      </w:r>
    </w:p>
    <w:p w14:paraId="0D40A5F0" w14:textId="77777777" w:rsidR="00102DF6" w:rsidRPr="0010023F" w:rsidRDefault="00102DF6" w:rsidP="00102DF6">
      <w:pPr>
        <w:tabs>
          <w:tab w:val="left" w:pos="142"/>
          <w:tab w:val="left" w:pos="284"/>
        </w:tabs>
        <w:spacing w:after="0" w:line="276" w:lineRule="auto"/>
        <w:contextualSpacing/>
        <w:jc w:val="both"/>
        <w:rPr>
          <w:rFonts w:ascii="Verdana" w:eastAsia="Century Gothic" w:hAnsi="Verdana" w:cs="Century Gothic"/>
          <w:b/>
          <w:bCs/>
          <w:lang w:val="es-ES"/>
        </w:rPr>
      </w:pPr>
    </w:p>
    <w:p w14:paraId="042AA136" w14:textId="77777777" w:rsidR="00102DF6" w:rsidRPr="0010023F" w:rsidRDefault="00102DF6" w:rsidP="00102DF6">
      <w:pPr>
        <w:tabs>
          <w:tab w:val="left" w:pos="142"/>
          <w:tab w:val="left" w:pos="284"/>
        </w:tabs>
        <w:spacing w:after="0" w:line="276" w:lineRule="auto"/>
        <w:contextualSpacing/>
        <w:jc w:val="both"/>
        <w:rPr>
          <w:rFonts w:ascii="Verdana" w:eastAsia="Calibri" w:hAnsi="Verdana" w:cs="Arial"/>
          <w:lang w:val="es-ES" w:eastAsia="es-MX"/>
        </w:rPr>
      </w:pPr>
      <w:r w:rsidRPr="0010023F">
        <w:rPr>
          <w:rFonts w:ascii="Verdana" w:eastAsia="Calibri" w:hAnsi="Verdana" w:cs="Arial"/>
          <w:lang w:val="es-ES" w:eastAsia="es-MX"/>
        </w:rPr>
        <w:t xml:space="preserve">Lo anterior se sustenta en las siguientes consideraciones: </w:t>
      </w:r>
    </w:p>
    <w:p w14:paraId="727750DB" w14:textId="77777777" w:rsidR="00102DF6" w:rsidRPr="0010023F" w:rsidRDefault="00102DF6" w:rsidP="00102DF6">
      <w:pPr>
        <w:spacing w:after="0" w:line="276" w:lineRule="auto"/>
        <w:jc w:val="both"/>
        <w:rPr>
          <w:rFonts w:ascii="Verdana" w:eastAsia="Calibri" w:hAnsi="Verdana" w:cs="Arial"/>
          <w:lang w:val="es-ES" w:eastAsia="es-MX"/>
        </w:rPr>
      </w:pPr>
    </w:p>
    <w:p w14:paraId="6665E342" w14:textId="77777777" w:rsidR="00102DF6" w:rsidRPr="0010023F" w:rsidRDefault="00102DF6" w:rsidP="00102DF6">
      <w:pPr>
        <w:spacing w:after="120" w:line="276" w:lineRule="auto"/>
        <w:jc w:val="both"/>
        <w:rPr>
          <w:rFonts w:ascii="Verdana" w:eastAsia="Aptos" w:hAnsi="Verdana" w:cs="Arial"/>
          <w:lang w:eastAsia="es-MX"/>
        </w:rPr>
      </w:pPr>
      <w:r w:rsidRPr="0010023F">
        <w:rPr>
          <w:rFonts w:ascii="Verdana" w:eastAsia="Aptos" w:hAnsi="Verdana" w:cs="Arial"/>
          <w:lang w:eastAsia="es-MX"/>
        </w:rPr>
        <w:t>I). 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6DCC44FF" w14:textId="77777777" w:rsidR="00102DF6" w:rsidRPr="0010023F" w:rsidRDefault="00102DF6" w:rsidP="00102DF6">
      <w:pPr>
        <w:spacing w:after="120" w:line="276" w:lineRule="auto"/>
        <w:ind w:firstLine="708"/>
        <w:jc w:val="both"/>
        <w:rPr>
          <w:rFonts w:ascii="Verdana" w:eastAsia="Aptos" w:hAnsi="Verdana" w:cs="Arial"/>
          <w:lang w:eastAsia="es-MX"/>
        </w:rPr>
      </w:pPr>
      <w:r w:rsidRPr="0010023F">
        <w:rPr>
          <w:rFonts w:ascii="Verdana" w:eastAsia="Aptos" w:hAnsi="Verdana" w:cs="Arial"/>
          <w:lang w:val="es-ES" w:eastAsia="es-MX"/>
        </w:rPr>
        <w:t>Con sustento en esta competencia, esta Agencia expidió diversos grupos de documentos tipo aplicables principalmente a la contratación de obras públicas de infraestructura de transporte, de agua potable y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14:paraId="507FEBAA" w14:textId="77777777" w:rsidR="00102DF6" w:rsidRPr="0010023F" w:rsidRDefault="00102DF6" w:rsidP="00102DF6">
      <w:pPr>
        <w:spacing w:after="120" w:line="276" w:lineRule="auto"/>
        <w:ind w:firstLine="708"/>
        <w:jc w:val="both"/>
        <w:rPr>
          <w:rFonts w:ascii="Verdana" w:eastAsia="Times New Roman" w:hAnsi="Verdana" w:cs="Times New Roman"/>
          <w:lang w:eastAsia="es-CO"/>
        </w:rPr>
      </w:pPr>
      <w:r w:rsidRPr="0010023F">
        <w:rPr>
          <w:rFonts w:ascii="Verdana" w:eastAsia="Aptos" w:hAnsi="Verdana" w:cs="Arial"/>
          <w:lang w:eastAsia="es-MX"/>
        </w:rPr>
        <w:t xml:space="preserve">En el sector social, </w:t>
      </w:r>
      <w:r w:rsidRPr="0010023F">
        <w:rPr>
          <w:rFonts w:ascii="Verdana" w:eastAsia="Calibri" w:hAnsi="Verdana" w:cs="Arial"/>
          <w:lang w:val="es-MX" w:eastAsia="es-MX"/>
        </w:rPr>
        <w:t xml:space="preserve">la Agencia Nacional de Contratación Pública – Colombia Compra </w:t>
      </w:r>
      <w:r w:rsidRPr="0010023F">
        <w:rPr>
          <w:rFonts w:ascii="Verdana" w:eastAsia="Calibri" w:hAnsi="Verdana" w:cs="Arial"/>
          <w:lang w:eastAsia="es-MX"/>
        </w:rPr>
        <w:t xml:space="preserve">Eficiente </w:t>
      </w:r>
      <w:r w:rsidRPr="0010023F">
        <w:rPr>
          <w:rFonts w:ascii="Verdana" w:eastAsia="Times New Roman" w:hAnsi="Verdana" w:cs="Times New Roman"/>
          <w:lang w:eastAsia="es-CO"/>
        </w:rPr>
        <w:t>en el segundo semestre del año 2025 adoptó las siguientes Resoluciones para contratar obra pública y concurso de méritos:</w:t>
      </w:r>
    </w:p>
    <w:p w14:paraId="5680AA81" w14:textId="77777777" w:rsidR="00102DF6" w:rsidRPr="0010023F" w:rsidRDefault="00102DF6" w:rsidP="00102DF6">
      <w:pPr>
        <w:spacing w:after="120" w:line="276" w:lineRule="auto"/>
        <w:ind w:firstLine="708"/>
        <w:jc w:val="both"/>
        <w:rPr>
          <w:rFonts w:ascii="Verdana" w:eastAsia="Times New Roman" w:hAnsi="Verdana" w:cs="Times New Roman"/>
          <w:lang w:eastAsia="es-CO"/>
        </w:rPr>
      </w:pPr>
      <w:r w:rsidRPr="0010023F">
        <w:rPr>
          <w:rFonts w:ascii="Verdana" w:eastAsia="Times New Roman" w:hAnsi="Verdana" w:cs="Times New Roman"/>
          <w:lang w:eastAsia="es-CO"/>
        </w:rPr>
        <w:t xml:space="preserve">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w:t>
      </w:r>
      <w:r w:rsidRPr="0010023F">
        <w:rPr>
          <w:rFonts w:ascii="Verdana" w:eastAsia="Times New Roman" w:hAnsi="Verdana" w:cs="Times New Roman"/>
          <w:lang w:eastAsia="es-CO"/>
        </w:rPr>
        <w:lastRenderedPageBreak/>
        <w:t>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w:t>
      </w:r>
    </w:p>
    <w:p w14:paraId="2119F739" w14:textId="77777777" w:rsidR="00102DF6" w:rsidRPr="0010023F" w:rsidRDefault="00102DF6" w:rsidP="00102DF6">
      <w:pPr>
        <w:spacing w:after="120" w:line="276" w:lineRule="auto"/>
        <w:ind w:firstLine="708"/>
        <w:jc w:val="both"/>
        <w:rPr>
          <w:rFonts w:ascii="Verdana" w:eastAsia="Times New Roman" w:hAnsi="Verdana" w:cs="Times New Roman"/>
          <w:lang w:eastAsia="es-CO"/>
        </w:rPr>
      </w:pPr>
      <w:r w:rsidRPr="0010023F">
        <w:rPr>
          <w:rFonts w:ascii="Verdana" w:eastAsia="Times New Roman" w:hAnsi="Verdana" w:cs="Times New Roman"/>
          <w:lang w:eastAsia="es-CO"/>
        </w:rPr>
        <w:t xml:space="preserve"> </w:t>
      </w:r>
      <w:proofErr w:type="spellStart"/>
      <w:r w:rsidRPr="0010023F">
        <w:rPr>
          <w:rFonts w:ascii="Verdana" w:eastAsia="Times New Roman" w:hAnsi="Verdana" w:cs="Times New Roman"/>
          <w:lang w:eastAsia="es-CO"/>
        </w:rPr>
        <w:t>ii</w:t>
      </w:r>
      <w:proofErr w:type="spellEnd"/>
      <w:r w:rsidRPr="0010023F">
        <w:rPr>
          <w:rFonts w:ascii="Verdana" w:eastAsia="Times New Roman" w:hAnsi="Verdana" w:cs="Times New Roman"/>
          <w:lang w:eastAsia="es-CO"/>
        </w:rPr>
        <w:t>)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infraestructura social relacionados con los sectores educación, salud, cultura, recreación y deporte, institucional y vivienda".</w:t>
      </w:r>
    </w:p>
    <w:p w14:paraId="7C2E0FCF" w14:textId="77777777" w:rsidR="00102DF6" w:rsidRPr="0010023F" w:rsidRDefault="00102DF6" w:rsidP="00102DF6">
      <w:pPr>
        <w:spacing w:after="120" w:line="276" w:lineRule="auto"/>
        <w:ind w:firstLine="708"/>
        <w:jc w:val="both"/>
        <w:rPr>
          <w:rFonts w:ascii="Verdana" w:eastAsia="Times New Roman" w:hAnsi="Verdana" w:cs="Times New Roman"/>
          <w:lang w:eastAsia="es-CO"/>
        </w:rPr>
      </w:pPr>
      <w:proofErr w:type="spellStart"/>
      <w:r w:rsidRPr="0010023F">
        <w:rPr>
          <w:rFonts w:ascii="Verdana" w:eastAsia="Times New Roman" w:hAnsi="Verdana" w:cs="Times New Roman"/>
          <w:lang w:eastAsia="es-CO"/>
        </w:rPr>
        <w:t>iii</w:t>
      </w:r>
      <w:proofErr w:type="spellEnd"/>
      <w:r w:rsidRPr="0010023F">
        <w:rPr>
          <w:rFonts w:ascii="Verdana" w:eastAsia="Times New Roman" w:hAnsi="Verdana" w:cs="Times New Roman"/>
          <w:lang w:eastAsia="es-CO"/>
        </w:rPr>
        <w:t xml:space="preserve">)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relacionados con los sectores educación, salud, cultura, recreación y deporte, institucional y vivienda”. </w:t>
      </w:r>
    </w:p>
    <w:p w14:paraId="0E216AB1" w14:textId="77777777" w:rsidR="00102DF6" w:rsidRPr="0010023F" w:rsidRDefault="00102DF6" w:rsidP="00102DF6">
      <w:pPr>
        <w:spacing w:after="120" w:line="276" w:lineRule="auto"/>
        <w:ind w:firstLine="708"/>
        <w:jc w:val="both"/>
        <w:rPr>
          <w:rFonts w:ascii="Verdana" w:eastAsia="Times New Roman" w:hAnsi="Verdana" w:cs="Times New Roman"/>
          <w:lang w:eastAsia="es-CO"/>
        </w:rPr>
      </w:pPr>
      <w:proofErr w:type="spellStart"/>
      <w:r w:rsidRPr="0010023F">
        <w:rPr>
          <w:rFonts w:ascii="Verdana" w:eastAsia="Times New Roman" w:hAnsi="Verdana" w:cs="Times New Roman"/>
          <w:lang w:eastAsia="es-CO"/>
        </w:rPr>
        <w:t>iv</w:t>
      </w:r>
      <w:proofErr w:type="spellEnd"/>
      <w:r w:rsidRPr="0010023F">
        <w:rPr>
          <w:rFonts w:ascii="Verdana" w:eastAsia="Times New Roman" w:hAnsi="Verdana" w:cs="Times New Roman"/>
          <w:lang w:eastAsia="es-CO"/>
        </w:rPr>
        <w:t>)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w:t>
      </w:r>
    </w:p>
    <w:p w14:paraId="3306D0C2" w14:textId="77777777" w:rsidR="00102DF6" w:rsidRPr="0010023F" w:rsidRDefault="00102DF6" w:rsidP="00102DF6">
      <w:pPr>
        <w:spacing w:after="120" w:line="276" w:lineRule="auto"/>
        <w:ind w:firstLine="708"/>
        <w:jc w:val="both"/>
        <w:rPr>
          <w:rFonts w:ascii="Verdana" w:eastAsia="Times New Roman" w:hAnsi="Verdana" w:cs="Times New Roman"/>
          <w:lang w:eastAsia="es-CO"/>
        </w:rPr>
      </w:pPr>
      <w:r w:rsidRPr="0010023F">
        <w:rPr>
          <w:rFonts w:ascii="Verdana" w:eastAsia="Times New Roman" w:hAnsi="Verdana" w:cs="Times New Roman"/>
          <w:lang w:eastAsia="es-CO"/>
        </w:rPr>
        <w:t>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w:t>
      </w:r>
      <w:r w:rsidRPr="0010023F">
        <w:rPr>
          <w:rFonts w:ascii="Verdana" w:eastAsia="Aptos" w:hAnsi="Verdana" w:cs="Times New Roman"/>
          <w:lang w:eastAsia="es-MX"/>
        </w:rPr>
        <w:t xml:space="preserve"> </w:t>
      </w:r>
    </w:p>
    <w:p w14:paraId="27836EC1" w14:textId="77777777" w:rsidR="00102DF6" w:rsidRPr="0010023F" w:rsidRDefault="00102DF6" w:rsidP="00102DF6">
      <w:pPr>
        <w:spacing w:after="120" w:line="276" w:lineRule="auto"/>
        <w:ind w:firstLine="708"/>
        <w:jc w:val="both"/>
        <w:textAlignment w:val="baseline"/>
        <w:rPr>
          <w:rFonts w:ascii="Verdana" w:eastAsia="Calibri" w:hAnsi="Verdana" w:cs="Arial"/>
          <w:lang w:eastAsia="es-MX"/>
        </w:rPr>
      </w:pPr>
      <w:r w:rsidRPr="0010023F">
        <w:rPr>
          <w:rFonts w:ascii="Verdana" w:eastAsia="Aptos" w:hAnsi="Verdana" w:cs="Times New Roman"/>
          <w:lang w:eastAsia="es-MX"/>
        </w:rPr>
        <w:t xml:space="preserve">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w:t>
      </w:r>
      <w:r w:rsidRPr="0010023F">
        <w:rPr>
          <w:rFonts w:ascii="Verdana" w:eastAsia="Aptos" w:hAnsi="Verdana" w:cs="Times New Roman"/>
          <w:lang w:eastAsia="es-MX"/>
        </w:rPr>
        <w:lastRenderedPageBreak/>
        <w:t>consultoría enmarcados dentro de los sectores educativo, salud, cultura, recreación y deporte, institucional y vivienda, en los procesos de selección cuyo aviso de convocatoria se publique a partir del 16 de febrero de 2026</w:t>
      </w:r>
      <w:r w:rsidRPr="0010023F">
        <w:rPr>
          <w:rFonts w:ascii="Verdana" w:eastAsia="Calibri" w:hAnsi="Verdana" w:cs="Arial"/>
          <w:vertAlign w:val="superscript"/>
          <w:lang w:eastAsia="es-MX"/>
        </w:rPr>
        <w:footnoteReference w:id="1"/>
      </w:r>
      <w:r w:rsidRPr="0010023F">
        <w:rPr>
          <w:rFonts w:ascii="Verdana" w:eastAsia="Calibri" w:hAnsi="Verdana" w:cs="Arial"/>
          <w:lang w:eastAsia="es-MX"/>
        </w:rPr>
        <w:t>.</w:t>
      </w:r>
    </w:p>
    <w:p w14:paraId="783CB881" w14:textId="77777777" w:rsidR="00102DF6" w:rsidRPr="0010023F" w:rsidRDefault="00102DF6" w:rsidP="00102DF6">
      <w:pPr>
        <w:widowControl w:val="0"/>
        <w:autoSpaceDE w:val="0"/>
        <w:autoSpaceDN w:val="0"/>
        <w:spacing w:after="120" w:line="276" w:lineRule="auto"/>
        <w:ind w:firstLine="708"/>
        <w:jc w:val="both"/>
        <w:rPr>
          <w:rFonts w:ascii="Verdana" w:eastAsia="Calibri" w:hAnsi="Verdana" w:cs="Arial"/>
          <w:kern w:val="2"/>
          <w14:ligatures w14:val="standardContextual"/>
        </w:rPr>
      </w:pPr>
      <w:r w:rsidRPr="0010023F">
        <w:rPr>
          <w:rFonts w:ascii="Verdana" w:eastAsia="Calibri" w:hAnsi="Verdana" w:cs="Arial"/>
          <w:kern w:val="2"/>
          <w14:ligatures w14:val="standardContextual"/>
        </w:rPr>
        <w:t xml:space="preserve">De acuerdo con el artículo tercero de las Resoluciones 539, 540 y 541 del 21 de agosto de 2025, los Documentos Tipo que estas adoptan son de carácter obligatorio en la actividad contractual de las Entidades Estatales sometidas al Estatuto General de Contratación de la Administración Pública. Asimismo, su aplicación es exigible a los patrimonios autónomos y a las personas naturales o jurídicas de derecho público que, por mandato legal, estén obligadas a su implementación. </w:t>
      </w:r>
    </w:p>
    <w:p w14:paraId="4C7F1743" w14:textId="77777777" w:rsidR="00102DF6" w:rsidRDefault="00102DF6" w:rsidP="00102DF6">
      <w:pPr>
        <w:widowControl w:val="0"/>
        <w:autoSpaceDE w:val="0"/>
        <w:autoSpaceDN w:val="0"/>
        <w:spacing w:after="120" w:line="276" w:lineRule="auto"/>
        <w:ind w:firstLine="708"/>
        <w:jc w:val="both"/>
        <w:rPr>
          <w:rFonts w:ascii="Verdana" w:eastAsia="Calibri" w:hAnsi="Verdana" w:cs="Times New Roman"/>
          <w:kern w:val="2"/>
          <w:lang w:val="es-ES"/>
          <w14:ligatures w14:val="standardContextual"/>
        </w:rPr>
      </w:pPr>
      <w:r w:rsidRPr="0010023F">
        <w:rPr>
          <w:rFonts w:ascii="Verdana" w:eastAsia="Calibri" w:hAnsi="Verdana" w:cs="Arial"/>
          <w:kern w:val="2"/>
          <w14:ligatures w14:val="standardContextual"/>
        </w:rPr>
        <w:t xml:space="preserve">En consecuencia, los obligados a su aplicación, al adelantar sus procedimientos de selección, solo podrán modificarlos en los aspectos que los Documentos Tipo lo permitan. </w:t>
      </w:r>
      <w:r w:rsidRPr="0010023F">
        <w:rPr>
          <w:rFonts w:ascii="Verdana" w:eastAsia="Calibri" w:hAnsi="Verdana" w:cs="Times New Roman"/>
          <w:kern w:val="2"/>
          <w:lang w:val="es-ES"/>
          <w14:ligatures w14:val="standardContextual"/>
        </w:rPr>
        <w:t xml:space="preserve">Esto corresponde a aquellos aspectos que se encuentran entre corchetes y resaltados en gris </w:t>
      </w:r>
      <w:r w:rsidRPr="0010023F">
        <w:rPr>
          <w:rFonts w:ascii="Verdana" w:eastAsia="Calibri" w:hAnsi="Verdana" w:cs="Times New Roman"/>
          <w:kern w:val="2"/>
          <w:shd w:val="clear" w:color="auto" w:fill="E8E8E8"/>
          <w:lang w:val="es-ES"/>
          <w14:ligatures w14:val="standardContextual"/>
        </w:rPr>
        <w:t>–[texto]–,</w:t>
      </w:r>
      <w:r w:rsidRPr="0010023F">
        <w:rPr>
          <w:rFonts w:ascii="Verdana" w:eastAsia="Calibri" w:hAnsi="Verdana" w:cs="Times New Roman"/>
          <w:kern w:val="2"/>
          <w:lang w:val="es-ES"/>
          <w14:ligatures w14:val="standardContextual"/>
        </w:rPr>
        <w:t xml:space="preserve"> para lo cual deberán </w:t>
      </w:r>
      <w:r w:rsidRPr="0010023F">
        <w:rPr>
          <w:rFonts w:ascii="Verdana" w:eastAsia="Calibri" w:hAnsi="Verdana" w:cs="Times New Roman"/>
          <w:kern w:val="2"/>
          <w:lang w:val="es-ES"/>
          <w14:ligatures w14:val="standardContextual"/>
        </w:rPr>
        <w:lastRenderedPageBreak/>
        <w:t>observarse las instrucciones contenidas en los mismos para su diligenciamiento.</w:t>
      </w:r>
    </w:p>
    <w:p w14:paraId="42AC3C7B" w14:textId="77777777" w:rsidR="00102DF6" w:rsidRPr="004407B3" w:rsidRDefault="00102DF6" w:rsidP="00102DF6">
      <w:pPr>
        <w:widowControl w:val="0"/>
        <w:autoSpaceDE w:val="0"/>
        <w:autoSpaceDN w:val="0"/>
        <w:spacing w:after="120" w:line="276" w:lineRule="auto"/>
        <w:ind w:firstLine="708"/>
        <w:jc w:val="both"/>
        <w:rPr>
          <w:rFonts w:ascii="Verdana" w:eastAsia="Calibri" w:hAnsi="Verdana" w:cs="Arial"/>
          <w:kern w:val="2"/>
          <w14:ligatures w14:val="standardContextual"/>
        </w:rPr>
      </w:pPr>
      <w:r w:rsidRPr="004407B3">
        <w:rPr>
          <w:rFonts w:ascii="Verdana" w:eastAsia="Calibri" w:hAnsi="Verdana" w:cs="Arial"/>
          <w:kern w:val="2"/>
          <w14:ligatures w14:val="standardContextual"/>
        </w:rPr>
        <w:t>Por lo tanto, cuando los Documentos Tipo no contemplen expresamente la posibilidad de modificación, la entidad deberá incorporar su contenido al proceso de contratación sin alteración alguna, de conformidad con el principio de inalterabilidad que rige su aplicación.</w:t>
      </w:r>
    </w:p>
    <w:p w14:paraId="64991E09" w14:textId="77777777" w:rsidR="00102DF6" w:rsidRPr="004407B3" w:rsidRDefault="00102DF6" w:rsidP="00102DF6">
      <w:pPr>
        <w:widowControl w:val="0"/>
        <w:autoSpaceDE w:val="0"/>
        <w:autoSpaceDN w:val="0"/>
        <w:spacing w:after="120" w:line="276" w:lineRule="auto"/>
        <w:ind w:firstLine="708"/>
        <w:jc w:val="both"/>
        <w:rPr>
          <w:rFonts w:ascii="Verdana" w:eastAsia="Calibri" w:hAnsi="Verdana" w:cs="Arial"/>
          <w:kern w:val="2"/>
          <w14:ligatures w14:val="standardContextual"/>
        </w:rPr>
      </w:pPr>
      <w:r w:rsidRPr="004407B3">
        <w:rPr>
          <w:rFonts w:ascii="Verdana" w:eastAsia="Calibri" w:hAnsi="Verdana" w:cs="Arial"/>
          <w:kern w:val="2"/>
          <w14:ligatures w14:val="standardContextual"/>
        </w:rPr>
        <w:t>Ahora bien, para determinar la aplicación de estos Documentos Tipo al caso objeto de consulta, resulta necesario establecer, en primer lugar, si la entidad contratante se encuentra sometida al Estatuto General de Contratación de la Administración Pública y, en segundo lugar, si el objeto y la modalidad de selección corresponden al ámbito material definido en el respectivo Documento Tipo.</w:t>
      </w:r>
    </w:p>
    <w:p w14:paraId="612239ED" w14:textId="77777777" w:rsidR="00102DF6" w:rsidRPr="004407B3" w:rsidRDefault="00102DF6" w:rsidP="00102DF6">
      <w:pPr>
        <w:widowControl w:val="0"/>
        <w:autoSpaceDE w:val="0"/>
        <w:autoSpaceDN w:val="0"/>
        <w:spacing w:after="120" w:line="276" w:lineRule="auto"/>
        <w:ind w:firstLine="708"/>
        <w:jc w:val="both"/>
        <w:rPr>
          <w:rFonts w:ascii="Verdana" w:eastAsia="Calibri" w:hAnsi="Verdana" w:cs="Arial"/>
          <w:kern w:val="2"/>
          <w14:ligatures w14:val="standardContextual"/>
        </w:rPr>
      </w:pPr>
      <w:r w:rsidRPr="004407B3">
        <w:rPr>
          <w:rFonts w:ascii="Verdana" w:eastAsia="Calibri" w:hAnsi="Verdana" w:cs="Arial"/>
          <w:kern w:val="2"/>
          <w14:ligatures w14:val="standardContextual"/>
        </w:rPr>
        <w:t>En este sentido, el Servicio Nacional de Aprendizaje – SENA es una entidad estatal sometida al Estatuto General de Contratación de la Administración Pública. De conformidad con el artículo 1 de la Ley 119 de 1994, el SENA es un establecimiento público del orden nacional, con personería jurídica, patrimonio propio e independiente y autonomía administrativa.</w:t>
      </w:r>
    </w:p>
    <w:p w14:paraId="79152032" w14:textId="77777777" w:rsidR="00102DF6" w:rsidRPr="004407B3" w:rsidRDefault="00102DF6" w:rsidP="00102DF6">
      <w:pPr>
        <w:widowControl w:val="0"/>
        <w:autoSpaceDE w:val="0"/>
        <w:autoSpaceDN w:val="0"/>
        <w:spacing w:after="120" w:line="276" w:lineRule="auto"/>
        <w:ind w:firstLine="708"/>
        <w:jc w:val="both"/>
        <w:rPr>
          <w:rFonts w:ascii="Verdana" w:eastAsia="Calibri" w:hAnsi="Verdana" w:cs="Arial"/>
          <w:kern w:val="2"/>
          <w14:ligatures w14:val="standardContextual"/>
        </w:rPr>
      </w:pPr>
      <w:r w:rsidRPr="004407B3">
        <w:rPr>
          <w:rFonts w:ascii="Verdana" w:eastAsia="Calibri" w:hAnsi="Verdana" w:cs="Arial"/>
          <w:kern w:val="2"/>
          <w14:ligatures w14:val="standardContextual"/>
        </w:rPr>
        <w:t>A su vez, el artículo 2 de la Ley 80 de 1993 establece el ámbito subjetivo de aplicación del Estatuto General de Contratación de la Administración Pública e incluye expresamente dentro de la definición de entidades estatales a los establecimientos públicos. En consecuencia, el SENA se encuentra comprendido dentro de las entidades sometidas a dicho Estatuto.</w:t>
      </w:r>
    </w:p>
    <w:p w14:paraId="3A811BF8" w14:textId="77777777" w:rsidR="00102DF6" w:rsidRPr="004407B3" w:rsidRDefault="00102DF6" w:rsidP="00102DF6">
      <w:pPr>
        <w:widowControl w:val="0"/>
        <w:autoSpaceDE w:val="0"/>
        <w:autoSpaceDN w:val="0"/>
        <w:spacing w:after="120" w:line="276" w:lineRule="auto"/>
        <w:ind w:firstLine="708"/>
        <w:jc w:val="both"/>
        <w:rPr>
          <w:rFonts w:ascii="Verdana" w:eastAsia="Calibri" w:hAnsi="Verdana" w:cs="Arial"/>
          <w:kern w:val="2"/>
          <w14:ligatures w14:val="standardContextual"/>
        </w:rPr>
      </w:pPr>
      <w:r w:rsidRPr="004407B3">
        <w:rPr>
          <w:rFonts w:ascii="Verdana" w:eastAsia="Calibri" w:hAnsi="Verdana" w:cs="Arial"/>
          <w:kern w:val="2"/>
          <w14:ligatures w14:val="standardContextual"/>
        </w:rPr>
        <w:t>Por lo anterior, en el caso particular del SENA, la obligatoriedad de los Documentos Tipo expedidos por la Agencia Nacional de Contratación Pública – Colombia Compra Eficiente se deriva directamente de su condición de entidad estatal sometida al Estatuto General de Contratación de la Administración Pública, de conformidad con la Ley 80 de 1993 y la Ley 2022 de 2020. En consecuencia, no resulta necesario acudir a las disposiciones que extienden la aplicación de los Documentos Tipo a entidades sometidas a regímenes especiales o exceptuados, toda vez que el SENA se encuentra directamente comprendido dentro del ámbito subjetivo de aplicación del Estatuto General de Contratación de la Administración Pública.</w:t>
      </w:r>
    </w:p>
    <w:p w14:paraId="061AD20A" w14:textId="77777777" w:rsidR="00102DF6" w:rsidRPr="004407B3" w:rsidRDefault="00102DF6" w:rsidP="00102DF6">
      <w:pPr>
        <w:widowControl w:val="0"/>
        <w:autoSpaceDE w:val="0"/>
        <w:autoSpaceDN w:val="0"/>
        <w:spacing w:after="120" w:line="276" w:lineRule="auto"/>
        <w:ind w:firstLine="708"/>
        <w:jc w:val="both"/>
        <w:rPr>
          <w:rFonts w:ascii="Verdana" w:eastAsia="Calibri" w:hAnsi="Verdana" w:cs="Arial"/>
          <w:kern w:val="2"/>
          <w14:ligatures w14:val="standardContextual"/>
        </w:rPr>
      </w:pPr>
      <w:r w:rsidRPr="004407B3">
        <w:rPr>
          <w:rFonts w:ascii="Verdana" w:eastAsia="Calibri" w:hAnsi="Verdana" w:cs="Arial"/>
          <w:kern w:val="2"/>
          <w14:ligatures w14:val="standardContextual"/>
        </w:rPr>
        <w:t xml:space="preserve">En consecuencia, siempre que el SENA adelante un proceso de selección cuyo objeto, modalidad y demás condiciones se encuentren comprendidos dentro del ámbito de aplicación de los Documentos Tipo adoptados por esta </w:t>
      </w:r>
      <w:r w:rsidRPr="004407B3">
        <w:rPr>
          <w:rFonts w:ascii="Verdana" w:eastAsia="Calibri" w:hAnsi="Verdana" w:cs="Arial"/>
          <w:kern w:val="2"/>
          <w14:ligatures w14:val="standardContextual"/>
        </w:rPr>
        <w:lastRenderedPageBreak/>
        <w:t>Agencia, deberá aplicarlos de manera obligatoria, observando las reglas de diligenciamiento y las posibilidades de modificación expresamente previstas en estos.</w:t>
      </w:r>
    </w:p>
    <w:p w14:paraId="4DF86E0C" w14:textId="77777777" w:rsidR="00102DF6" w:rsidRPr="00375041" w:rsidRDefault="00102DF6" w:rsidP="00102DF6">
      <w:pPr>
        <w:widowControl w:val="0"/>
        <w:autoSpaceDE w:val="0"/>
        <w:autoSpaceDN w:val="0"/>
        <w:spacing w:after="120" w:line="276" w:lineRule="auto"/>
        <w:ind w:firstLine="708"/>
        <w:jc w:val="both"/>
        <w:rPr>
          <w:rFonts w:ascii="Verdana" w:eastAsia="Calibri" w:hAnsi="Verdana" w:cs="Arial"/>
          <w:kern w:val="2"/>
          <w14:ligatures w14:val="standardContextual"/>
        </w:rPr>
      </w:pPr>
      <w:r w:rsidRPr="00375041">
        <w:rPr>
          <w:rFonts w:ascii="Verdana" w:eastAsia="Calibri" w:hAnsi="Verdana" w:cs="Arial"/>
          <w:kern w:val="2"/>
          <w14:ligatures w14:val="standardContextual"/>
        </w:rPr>
        <w:t>Ahora bien, teniendo en cuenta el objeto específico de la consulta, resulta pertinente precisar que las resoluciones mediante las cuales se adoptan los Documentos Tipo complementarios para el sector de infraestructura social establecen su ámbito de aplicación de acuerdo con los sectores, modalidades de selección, objetos y actividades definidos en los respectivos documentos. En particular, su aplicación deberá determinarse atendiendo a las condiciones específicas del proceso de contratación y a las actividades previstas en las correspondientes matrices de experiencia.</w:t>
      </w:r>
    </w:p>
    <w:p w14:paraId="4EA2A6D6" w14:textId="77777777" w:rsidR="00102DF6" w:rsidRPr="0010023F" w:rsidRDefault="00102DF6" w:rsidP="00102DF6">
      <w:pPr>
        <w:widowControl w:val="0"/>
        <w:autoSpaceDE w:val="0"/>
        <w:autoSpaceDN w:val="0"/>
        <w:spacing w:after="120" w:line="276" w:lineRule="auto"/>
        <w:ind w:firstLine="708"/>
        <w:jc w:val="both"/>
        <w:rPr>
          <w:rFonts w:ascii="Verdana" w:eastAsia="Calibri" w:hAnsi="Verdana" w:cs="Arial"/>
          <w:kern w:val="2"/>
          <w14:ligatures w14:val="standardContextual"/>
        </w:rPr>
      </w:pPr>
      <w:r w:rsidRPr="00375041">
        <w:rPr>
          <w:rFonts w:ascii="Verdana" w:eastAsia="Calibri" w:hAnsi="Verdana" w:cs="Arial"/>
          <w:kern w:val="2"/>
          <w14:ligatures w14:val="standardContextual"/>
        </w:rPr>
        <w:t>En ese sentido, para establecer si el proceso que pretende adelantar el SENA se encuentra sometido a los Documentos Tipo, además de verificar que se trate de una entidad obligada a su aplicación, es necesario determinar si el objeto y las actividades que serán desarrolladas en el marco del proceso de contratación se encuentran comprendidos dentro del ámbito material de los Documentos Tipo correspondientes. Para ello, deberá atenderse a las condiciones particulares del objeto contractual, la modalidad de selección y las actividades previstas en las matrices de experiencia y demás documentos que delimitan el ámbito de aplicación de los respectivos Documentos Tipo.</w:t>
      </w:r>
    </w:p>
    <w:p w14:paraId="50E74FD6" w14:textId="77777777" w:rsidR="00102DF6" w:rsidRPr="00C76F4E" w:rsidRDefault="00102DF6" w:rsidP="00102DF6">
      <w:pPr>
        <w:widowControl w:val="0"/>
        <w:autoSpaceDE w:val="0"/>
        <w:autoSpaceDN w:val="0"/>
        <w:spacing w:after="120" w:line="276" w:lineRule="auto"/>
        <w:ind w:firstLine="708"/>
        <w:jc w:val="both"/>
        <w:rPr>
          <w:rFonts w:ascii="Verdana" w:eastAsia="Calibri" w:hAnsi="Verdana" w:cs="Times New Roman"/>
          <w:lang w:eastAsia="es-MX"/>
        </w:rPr>
      </w:pPr>
      <w:r w:rsidRPr="00C76F4E">
        <w:rPr>
          <w:rFonts w:ascii="Verdana" w:eastAsia="Calibri" w:hAnsi="Verdana" w:cs="Times New Roman"/>
          <w:lang w:eastAsia="es-MX"/>
        </w:rPr>
        <w:t xml:space="preserve">Bajo este criterio, resulta pertinente acudir a las definiciones contenidas en el Anexo 3 – Glosario de los Documentos Tipo, particularmente en lo relacionado con los grupos de ocupación de las edificaciones. Así, el numeral 2.106 establece la definición correspondiente al </w:t>
      </w:r>
      <w:r w:rsidRPr="00C76F4E">
        <w:rPr>
          <w:rFonts w:ascii="Verdana" w:eastAsia="Calibri" w:hAnsi="Verdana" w:cs="Times New Roman"/>
          <w:b/>
          <w:bCs/>
          <w:lang w:eastAsia="es-MX"/>
        </w:rPr>
        <w:t>grupo de ocupación institucional</w:t>
      </w:r>
      <w:r w:rsidRPr="00C76F4E">
        <w:rPr>
          <w:rFonts w:ascii="Verdana" w:eastAsia="Calibri" w:hAnsi="Verdana" w:cs="Times New Roman"/>
          <w:lang w:eastAsia="es-MX"/>
        </w:rPr>
        <w:t>, en los siguientes términos:</w:t>
      </w:r>
    </w:p>
    <w:p w14:paraId="54EE9464" w14:textId="77777777" w:rsidR="00102DF6" w:rsidRPr="00C76F4E" w:rsidRDefault="00102DF6" w:rsidP="00102DF6">
      <w:pPr>
        <w:widowControl w:val="0"/>
        <w:autoSpaceDE w:val="0"/>
        <w:autoSpaceDN w:val="0"/>
        <w:spacing w:after="120" w:line="240" w:lineRule="auto"/>
        <w:ind w:left="709" w:right="709"/>
        <w:jc w:val="both"/>
        <w:rPr>
          <w:rFonts w:ascii="Verdana" w:eastAsia="Calibri" w:hAnsi="Verdana" w:cs="Times New Roman"/>
          <w:lang w:eastAsia="es-MX"/>
        </w:rPr>
      </w:pPr>
      <w:r w:rsidRPr="00C76F4E">
        <w:rPr>
          <w:rFonts w:ascii="Verdana" w:eastAsia="Calibri" w:hAnsi="Verdana" w:cs="Times New Roman"/>
          <w:lang w:eastAsia="es-MX"/>
        </w:rPr>
        <w:t>“</w:t>
      </w:r>
      <w:r w:rsidRPr="00C76F4E">
        <w:rPr>
          <w:rFonts w:ascii="Verdana" w:eastAsia="Calibri" w:hAnsi="Verdana" w:cs="Times New Roman"/>
          <w:b/>
          <w:bCs/>
          <w:lang w:eastAsia="es-MX"/>
        </w:rPr>
        <w:t>2.106. Grupo de ocupación de Institucional:</w:t>
      </w:r>
      <w:r w:rsidRPr="00C76F4E">
        <w:rPr>
          <w:rFonts w:ascii="Verdana" w:eastAsia="Calibri" w:hAnsi="Verdana" w:cs="Times New Roman"/>
          <w:lang w:eastAsia="es-MX"/>
        </w:rPr>
        <w:t xml:space="preserve"> En el grupo de ocupación institucional se clasifican las edificaciones o espacios utilizados para la reclusión de personas que adolecen de limitaciones mentales o están sujetas a castigos penales o correccionales; en el tratamiento o cuidado de personas o en su reunión con propósitos educativos o de instrucción. De igual manera se clasifican dentro de este grupo las edificaciones y espacios indispensables en la atención de emergencias, preservación de la seguridad de personas y la prestación de servicios públicos y administrativos necesarios para el buen funcionamiento de las ciudades. Entre otras se contemplan para </w:t>
      </w:r>
      <w:r w:rsidRPr="00C76F4E">
        <w:rPr>
          <w:rFonts w:ascii="Verdana" w:eastAsia="Calibri" w:hAnsi="Verdana" w:cs="Times New Roman"/>
          <w:lang w:eastAsia="es-MX"/>
        </w:rPr>
        <w:lastRenderedPageBreak/>
        <w:t>edificaciones de servicio público, centros de comunicación, centros administrativos, municipales, distritales, oficinas de correo, gubernamentales y nacionales, centros administrativos de servicios públicos, juzgados, ministerios, reguladores de servicios y de control, centros de investigación, entidades financieras estatales, otros similares”.</w:t>
      </w:r>
    </w:p>
    <w:p w14:paraId="5FBF9D63" w14:textId="77777777" w:rsidR="00102DF6" w:rsidRDefault="00102DF6" w:rsidP="00102DF6">
      <w:pPr>
        <w:widowControl w:val="0"/>
        <w:autoSpaceDE w:val="0"/>
        <w:autoSpaceDN w:val="0"/>
        <w:spacing w:after="120" w:line="276" w:lineRule="auto"/>
        <w:ind w:firstLine="708"/>
        <w:jc w:val="both"/>
        <w:rPr>
          <w:rFonts w:ascii="Verdana" w:eastAsia="Calibri" w:hAnsi="Verdana" w:cs="Times New Roman"/>
          <w:lang w:eastAsia="es-MX"/>
        </w:rPr>
      </w:pPr>
      <w:r w:rsidRPr="00C76F4E">
        <w:rPr>
          <w:rFonts w:ascii="Verdana" w:eastAsia="Calibri" w:hAnsi="Verdana" w:cs="Times New Roman"/>
          <w:lang w:eastAsia="es-MX"/>
        </w:rPr>
        <w:t>De acuerdo con lo anterior, la clasificación de una edificación dentro del grupo de ocupación institucional no depende exclusivamente de la naturaleza jurídica de la entidad que adelante el proceso de contratación, sino de la destinación y características de la infraestructura objeto de intervención y de las actividades que en ella se desarrollan. Por consiguiente, para determinar la procedencia de los Documentos Tipo en el caso concreto, deberá establecerse si el objeto contractual y la infraestructura a intervenir corresponden a alguna de las actividades y tipologías comprendidas dentro del ámbito material definido en los respectivos Documentos Tipo.</w:t>
      </w:r>
    </w:p>
    <w:p w14:paraId="5AFF20EF" w14:textId="106391A9" w:rsidR="00102DF6" w:rsidRPr="003A2F1B" w:rsidRDefault="00102DF6" w:rsidP="00E367C4">
      <w:pPr>
        <w:widowControl w:val="0"/>
        <w:autoSpaceDE w:val="0"/>
        <w:autoSpaceDN w:val="0"/>
        <w:spacing w:after="120" w:line="276" w:lineRule="auto"/>
        <w:ind w:firstLine="708"/>
        <w:jc w:val="both"/>
        <w:rPr>
          <w:rFonts w:ascii="Verdana" w:eastAsia="Calibri" w:hAnsi="Verdana" w:cs="Times New Roman"/>
          <w:lang w:eastAsia="es-MX"/>
        </w:rPr>
      </w:pPr>
      <w:r w:rsidRPr="003A2F1B">
        <w:rPr>
          <w:rFonts w:ascii="Verdana" w:eastAsia="Calibri" w:hAnsi="Verdana" w:cs="Times New Roman"/>
          <w:lang w:eastAsia="es-MX"/>
        </w:rPr>
        <w:t>Adicionalmente, como se precisa, las actividades señaladas recaerían sobre obras en proyectos de infraestructura institucional. De esta forma, para determinar qué abarca este tipo de infraestructura, de conformidad con la norma NSR-10 en el Grupo de Ocupación Institucional (I) –K.2.6– “(…) se clasifican las edificaciones o espacios utilizados para la reclusión de personas que adolecen de limitaciones mentales o están sujetas a castigos penales o correccionales; en el tratamiento o cuidado de personas o en su reunión con propósitos educativos o de instrucción. De igual manera se clasifican dentro de este grupo las edificaciones y espacios indispensables en la atención de emergencias, preservación de la seguridad de personas y</w:t>
      </w:r>
      <w:r w:rsidRPr="003A2F1B">
        <w:rPr>
          <w:rFonts w:ascii="Verdana" w:eastAsia="Calibri" w:hAnsi="Verdana" w:cs="Times New Roman"/>
          <w:b/>
          <w:bCs/>
          <w:u w:val="single"/>
          <w:lang w:eastAsia="es-MX"/>
        </w:rPr>
        <w:t> la prestación de servicios públicos y administrativos necesarios para el buen funcionamiento de las ciudades</w:t>
      </w:r>
      <w:r w:rsidRPr="003A2F1B">
        <w:rPr>
          <w:rFonts w:ascii="Verdana" w:eastAsia="Calibri" w:hAnsi="Verdana" w:cs="Times New Roman"/>
          <w:lang w:eastAsia="es-MX"/>
        </w:rPr>
        <w:t>”. Este Grupo de Ocupación está constituida “(…) por los Subgrupos de Ocupación Institucional de Reclusión (I-1), Institucional de Salud o Incapacidad (I-2), Institucional de Educación (I-3), Institucional de Seguridad Pública (I-4) e Institucional de Servicio Público (I-5)”.</w:t>
      </w:r>
    </w:p>
    <w:p w14:paraId="089F4F2A" w14:textId="77777777" w:rsidR="00102DF6" w:rsidRPr="003A2F1B" w:rsidRDefault="00102DF6" w:rsidP="00102DF6">
      <w:pPr>
        <w:widowControl w:val="0"/>
        <w:autoSpaceDE w:val="0"/>
        <w:autoSpaceDN w:val="0"/>
        <w:spacing w:after="120" w:line="276" w:lineRule="auto"/>
        <w:ind w:firstLine="708"/>
        <w:jc w:val="both"/>
        <w:rPr>
          <w:rFonts w:ascii="Verdana" w:eastAsia="Calibri" w:hAnsi="Verdana" w:cs="Times New Roman"/>
          <w:lang w:eastAsia="es-MX"/>
        </w:rPr>
      </w:pPr>
      <w:r w:rsidRPr="003A2F1B">
        <w:rPr>
          <w:rFonts w:ascii="Verdana" w:eastAsia="Calibri" w:hAnsi="Verdana" w:cs="Times New Roman"/>
          <w:lang w:eastAsia="es-MX"/>
        </w:rPr>
        <w:t>Así las cosas, la norma NSR-10 en el Subgrupo de Ocupación Institucional de Servicio Público (I-5) indica que en este “se clasifican las edificaciones o espacios destinados a funciones administrativas y prestación de servicios públicos necesarios para el buen funcionamiento de las ciudades”. Entre las edificaciones o espacios que pertenecen a este Subgrupo se encuentran las siguientes: “</w:t>
      </w:r>
      <w:r w:rsidRPr="003A2F1B">
        <w:rPr>
          <w:rFonts w:ascii="Verdana" w:eastAsia="Calibri" w:hAnsi="Verdana" w:cs="Times New Roman"/>
          <w:b/>
          <w:bCs/>
          <w:lang w:eastAsia="es-MX"/>
        </w:rPr>
        <w:t xml:space="preserve">Centros de comunicación o administrativos o administrativos </w:t>
      </w:r>
      <w:r w:rsidRPr="003A2F1B">
        <w:rPr>
          <w:rFonts w:ascii="Verdana" w:eastAsia="Calibri" w:hAnsi="Verdana" w:cs="Times New Roman"/>
          <w:b/>
          <w:bCs/>
          <w:lang w:eastAsia="es-MX"/>
        </w:rPr>
        <w:lastRenderedPageBreak/>
        <w:t>de servicios municipales, distritales o gubernamentales, juzgados y otros similares</w:t>
      </w:r>
      <w:r w:rsidRPr="003A2F1B">
        <w:rPr>
          <w:rFonts w:ascii="Verdana" w:eastAsia="Calibri" w:hAnsi="Verdana" w:cs="Times New Roman"/>
          <w:lang w:eastAsia="es-MX"/>
        </w:rPr>
        <w:t>”.</w:t>
      </w:r>
    </w:p>
    <w:p w14:paraId="62ACA5AB" w14:textId="77777777" w:rsidR="00102DF6" w:rsidRPr="003A2F1B" w:rsidRDefault="00102DF6" w:rsidP="00102DF6">
      <w:pPr>
        <w:widowControl w:val="0"/>
        <w:autoSpaceDE w:val="0"/>
        <w:autoSpaceDN w:val="0"/>
        <w:spacing w:after="120" w:line="276" w:lineRule="auto"/>
        <w:ind w:firstLine="708"/>
        <w:jc w:val="both"/>
        <w:rPr>
          <w:rFonts w:ascii="Verdana" w:eastAsia="Calibri" w:hAnsi="Verdana" w:cs="Times New Roman"/>
          <w:lang w:eastAsia="es-MX"/>
        </w:rPr>
      </w:pPr>
      <w:r w:rsidRPr="003A2F1B">
        <w:rPr>
          <w:rFonts w:ascii="Verdana" w:eastAsia="Calibri" w:hAnsi="Verdana" w:cs="Times New Roman"/>
          <w:lang w:eastAsia="es-MX"/>
        </w:rPr>
        <w:t>La expresión “otros similares”, empleada en los Subgrupos de Ocupación Institucional, debe interpretarse en cada caso de manera restrictiva y funcional, en el sentido de que comprende aquellas edificaciones o espacios que, aunque no estén expresamente mencionados, comparten las características esenciales de la definición y ejemplos de los respectivos subgrupos. En consecuencia, la expresión "otros similares" no habilita una lectura abierta o indeterminada, sino que exige que el establecimiento respectivo comparta la finalidad material y funcional propia de los ejemplos que la norma enuncia, con independencia de su denominación formal.</w:t>
      </w:r>
    </w:p>
    <w:p w14:paraId="145C7FCB" w14:textId="77777777" w:rsidR="00102DF6" w:rsidRDefault="00102DF6" w:rsidP="00102DF6">
      <w:pPr>
        <w:widowControl w:val="0"/>
        <w:autoSpaceDE w:val="0"/>
        <w:autoSpaceDN w:val="0"/>
        <w:spacing w:after="120" w:line="276" w:lineRule="auto"/>
        <w:ind w:firstLine="708"/>
        <w:jc w:val="both"/>
        <w:rPr>
          <w:rFonts w:ascii="Verdana" w:eastAsia="Calibri" w:hAnsi="Verdana" w:cs="Times New Roman"/>
          <w:lang w:eastAsia="es-MX"/>
        </w:rPr>
      </w:pPr>
      <w:r w:rsidRPr="003A2F1B">
        <w:rPr>
          <w:rFonts w:ascii="Verdana" w:eastAsia="Calibri" w:hAnsi="Verdana" w:cs="Times New Roman"/>
          <w:lang w:eastAsia="es-MX"/>
        </w:rPr>
        <w:t xml:space="preserve">En resumen, </w:t>
      </w:r>
      <w:proofErr w:type="gramStart"/>
      <w:r w:rsidRPr="003A2F1B">
        <w:rPr>
          <w:rFonts w:ascii="Verdana" w:eastAsia="Calibri" w:hAnsi="Verdana" w:cs="Times New Roman"/>
          <w:lang w:eastAsia="es-MX"/>
        </w:rPr>
        <w:t>este procesos</w:t>
      </w:r>
      <w:proofErr w:type="gramEnd"/>
      <w:r w:rsidRPr="003A2F1B">
        <w:rPr>
          <w:rFonts w:ascii="Verdana" w:eastAsia="Calibri" w:hAnsi="Verdana" w:cs="Times New Roman"/>
          <w:lang w:eastAsia="es-MX"/>
        </w:rPr>
        <w:t xml:space="preserve"> se enmarca claramente dentro de las diversas actividades contempladas en las matrices de experiencia de la modalidad consultada por usted para contratación de selección abreviada de mínima cuantía, en tipos de intervención como: </w:t>
      </w:r>
    </w:p>
    <w:p w14:paraId="3B9F4D16" w14:textId="77777777" w:rsidR="00102DF6" w:rsidRPr="00731F2C" w:rsidRDefault="00102DF6" w:rsidP="00102DF6">
      <w:pPr>
        <w:widowControl w:val="0"/>
        <w:autoSpaceDE w:val="0"/>
        <w:autoSpaceDN w:val="0"/>
        <w:spacing w:after="120" w:line="240" w:lineRule="auto"/>
        <w:ind w:left="709" w:right="709"/>
        <w:jc w:val="both"/>
        <w:rPr>
          <w:rFonts w:ascii="Verdana" w:eastAsia="Calibri" w:hAnsi="Verdana" w:cs="Times New Roman"/>
          <w:lang w:eastAsia="es-MX"/>
        </w:rPr>
      </w:pPr>
      <w:r w:rsidRPr="00731F2C">
        <w:rPr>
          <w:rFonts w:ascii="Verdana" w:eastAsia="Calibri" w:hAnsi="Verdana" w:cs="Times New Roman"/>
          <w:lang w:eastAsia="es-MX"/>
        </w:rPr>
        <w:t>2. OBRAS EN PROYECTOS DE INFRAESTRUCTURA INSTITUCIONAL DE SERVICIO PUBLICO, que contempla diversas actividades a contratar en las cuales puede enmarcar sus procesos, a saber:</w:t>
      </w:r>
    </w:p>
    <w:p w14:paraId="695D23A0" w14:textId="77777777" w:rsidR="00102DF6" w:rsidRPr="00731F2C" w:rsidRDefault="00102DF6" w:rsidP="00102DF6">
      <w:pPr>
        <w:widowControl w:val="0"/>
        <w:autoSpaceDE w:val="0"/>
        <w:autoSpaceDN w:val="0"/>
        <w:spacing w:after="120" w:line="240" w:lineRule="auto"/>
        <w:ind w:left="709" w:right="709"/>
        <w:jc w:val="both"/>
        <w:rPr>
          <w:rFonts w:ascii="Verdana" w:eastAsia="Calibri" w:hAnsi="Verdana" w:cs="Times New Roman"/>
          <w:lang w:eastAsia="es-MX"/>
        </w:rPr>
      </w:pPr>
    </w:p>
    <w:p w14:paraId="352C9AC6" w14:textId="77777777" w:rsidR="00102DF6" w:rsidRPr="00731F2C" w:rsidRDefault="00102DF6" w:rsidP="00102DF6">
      <w:pPr>
        <w:widowControl w:val="0"/>
        <w:autoSpaceDE w:val="0"/>
        <w:autoSpaceDN w:val="0"/>
        <w:spacing w:after="120" w:line="240" w:lineRule="auto"/>
        <w:ind w:left="709" w:right="709"/>
        <w:jc w:val="both"/>
        <w:rPr>
          <w:rFonts w:ascii="Verdana" w:eastAsia="Calibri" w:hAnsi="Verdana" w:cs="Times New Roman"/>
          <w:lang w:eastAsia="es-MX"/>
        </w:rPr>
      </w:pPr>
      <w:r w:rsidRPr="00731F2C">
        <w:rPr>
          <w:rFonts w:ascii="Verdana" w:eastAsia="Calibri" w:hAnsi="Verdana" w:cs="Times New Roman"/>
          <w:i/>
          <w:iCs/>
          <w:lang w:eastAsia="es-MX"/>
        </w:rPr>
        <w:t xml:space="preserve">"2.1. Proyectos </w:t>
      </w:r>
      <w:proofErr w:type="gramStart"/>
      <w:r w:rsidRPr="00731F2C">
        <w:rPr>
          <w:rFonts w:ascii="Verdana" w:eastAsia="Calibri" w:hAnsi="Verdana" w:cs="Times New Roman"/>
          <w:i/>
          <w:iCs/>
          <w:lang w:eastAsia="es-MX"/>
        </w:rPr>
        <w:t>de  construcción</w:t>
      </w:r>
      <w:proofErr w:type="gramEnd"/>
      <w:r w:rsidRPr="00731F2C">
        <w:rPr>
          <w:rFonts w:ascii="Verdana" w:eastAsia="Calibri" w:hAnsi="Verdana" w:cs="Times New Roman"/>
          <w:i/>
          <w:iCs/>
          <w:lang w:eastAsia="es-MX"/>
        </w:rPr>
        <w:t xml:space="preserve"> y/o ampliación y/o reconstrucción de infraestructura de servicio publico</w:t>
      </w:r>
    </w:p>
    <w:p w14:paraId="0B3A7C1E" w14:textId="77777777" w:rsidR="00102DF6" w:rsidRPr="00731F2C" w:rsidRDefault="00102DF6" w:rsidP="00102DF6">
      <w:pPr>
        <w:widowControl w:val="0"/>
        <w:autoSpaceDE w:val="0"/>
        <w:autoSpaceDN w:val="0"/>
        <w:spacing w:after="120" w:line="240" w:lineRule="auto"/>
        <w:ind w:left="709" w:right="709"/>
        <w:jc w:val="both"/>
        <w:rPr>
          <w:rFonts w:ascii="Verdana" w:eastAsia="Calibri" w:hAnsi="Verdana" w:cs="Times New Roman"/>
          <w:lang w:eastAsia="es-MX"/>
        </w:rPr>
      </w:pPr>
      <w:r w:rsidRPr="00731F2C">
        <w:rPr>
          <w:rFonts w:ascii="Verdana" w:eastAsia="Calibri" w:hAnsi="Verdana" w:cs="Times New Roman"/>
          <w:i/>
          <w:iCs/>
          <w:lang w:eastAsia="es-MX"/>
        </w:rPr>
        <w:t>2.2. Proyectos de </w:t>
      </w:r>
      <w:r w:rsidRPr="00731F2C">
        <w:rPr>
          <w:rFonts w:ascii="Verdana" w:eastAsia="Calibri" w:hAnsi="Verdana" w:cs="Times New Roman"/>
          <w:b/>
          <w:bCs/>
          <w:i/>
          <w:iCs/>
          <w:u w:val="single"/>
          <w:lang w:eastAsia="es-MX"/>
        </w:rPr>
        <w:t>adecuación </w:t>
      </w:r>
      <w:r w:rsidRPr="00731F2C">
        <w:rPr>
          <w:rFonts w:ascii="Verdana" w:eastAsia="Calibri" w:hAnsi="Verdana" w:cs="Times New Roman"/>
          <w:i/>
          <w:iCs/>
          <w:lang w:eastAsia="es-MX"/>
        </w:rPr>
        <w:t>y/o conservación y/o intervención y/o instalación y/o mantenimiento y/o mejoramiento y/o modificación u optimización y/o rehabilitación y/o remodelación y/o reposición y/o reparación locativa y/o restauración y/o restitución y/o terminación de</w:t>
      </w:r>
      <w:r w:rsidRPr="00731F2C">
        <w:rPr>
          <w:rFonts w:ascii="Verdana" w:eastAsia="Calibri" w:hAnsi="Verdana" w:cs="Times New Roman"/>
          <w:b/>
          <w:bCs/>
          <w:i/>
          <w:iCs/>
          <w:u w:val="single"/>
          <w:lang w:eastAsia="es-MX"/>
        </w:rPr>
        <w:t> infraestructura de servicio publico</w:t>
      </w:r>
    </w:p>
    <w:p w14:paraId="5DB84ABC" w14:textId="77777777" w:rsidR="00102DF6" w:rsidRPr="00731F2C" w:rsidRDefault="00102DF6" w:rsidP="00102DF6">
      <w:pPr>
        <w:widowControl w:val="0"/>
        <w:autoSpaceDE w:val="0"/>
        <w:autoSpaceDN w:val="0"/>
        <w:spacing w:after="120" w:line="240" w:lineRule="auto"/>
        <w:ind w:left="709" w:right="709"/>
        <w:jc w:val="both"/>
        <w:rPr>
          <w:rFonts w:ascii="Verdana" w:eastAsia="Calibri" w:hAnsi="Verdana" w:cs="Times New Roman"/>
          <w:lang w:eastAsia="es-MX"/>
        </w:rPr>
      </w:pPr>
      <w:r w:rsidRPr="00731F2C">
        <w:rPr>
          <w:rFonts w:ascii="Verdana" w:eastAsia="Calibri" w:hAnsi="Verdana" w:cs="Times New Roman"/>
          <w:i/>
          <w:iCs/>
          <w:lang w:eastAsia="es-MX"/>
        </w:rPr>
        <w:t>2.3. Proyectos de demolición y/</w:t>
      </w:r>
      <w:proofErr w:type="gramStart"/>
      <w:r w:rsidRPr="00731F2C">
        <w:rPr>
          <w:rFonts w:ascii="Verdana" w:eastAsia="Calibri" w:hAnsi="Verdana" w:cs="Times New Roman"/>
          <w:i/>
          <w:iCs/>
          <w:lang w:eastAsia="es-MX"/>
        </w:rPr>
        <w:t>o  construcción</w:t>
      </w:r>
      <w:proofErr w:type="gramEnd"/>
      <w:r w:rsidRPr="00731F2C">
        <w:rPr>
          <w:rFonts w:ascii="Verdana" w:eastAsia="Calibri" w:hAnsi="Verdana" w:cs="Times New Roman"/>
          <w:i/>
          <w:iCs/>
          <w:lang w:eastAsia="es-MX"/>
        </w:rPr>
        <w:t xml:space="preserve">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cerramiento </w:t>
      </w:r>
      <w:proofErr w:type="gramStart"/>
      <w:r w:rsidRPr="00731F2C">
        <w:rPr>
          <w:rFonts w:ascii="Verdana" w:eastAsia="Calibri" w:hAnsi="Verdana" w:cs="Times New Roman"/>
          <w:i/>
          <w:iCs/>
          <w:lang w:eastAsia="es-MX"/>
        </w:rPr>
        <w:t>para  infraestructura</w:t>
      </w:r>
      <w:proofErr w:type="gramEnd"/>
      <w:r w:rsidRPr="00731F2C">
        <w:rPr>
          <w:rFonts w:ascii="Verdana" w:eastAsia="Calibri" w:hAnsi="Verdana" w:cs="Times New Roman"/>
          <w:i/>
          <w:iCs/>
          <w:lang w:eastAsia="es-MX"/>
        </w:rPr>
        <w:t xml:space="preserve"> de servicio público</w:t>
      </w:r>
    </w:p>
    <w:p w14:paraId="02180536" w14:textId="77777777" w:rsidR="00102DF6" w:rsidRPr="00731F2C" w:rsidRDefault="00102DF6" w:rsidP="00102DF6">
      <w:pPr>
        <w:widowControl w:val="0"/>
        <w:autoSpaceDE w:val="0"/>
        <w:autoSpaceDN w:val="0"/>
        <w:spacing w:after="120" w:line="240" w:lineRule="auto"/>
        <w:ind w:left="709" w:right="709"/>
        <w:jc w:val="both"/>
        <w:rPr>
          <w:rFonts w:ascii="Verdana" w:eastAsia="Calibri" w:hAnsi="Verdana" w:cs="Times New Roman"/>
          <w:lang w:eastAsia="es-MX"/>
        </w:rPr>
      </w:pPr>
      <w:r w:rsidRPr="00731F2C">
        <w:rPr>
          <w:rFonts w:ascii="Verdana" w:eastAsia="Calibri" w:hAnsi="Verdana" w:cs="Times New Roman"/>
          <w:i/>
          <w:iCs/>
          <w:lang w:eastAsia="es-MX"/>
        </w:rPr>
        <w:t>2.4. Proyectos de reforzamiento estructural y/o actualización sísmica y/o repotenciación estructural de infraestructura de servicio publico</w:t>
      </w:r>
    </w:p>
    <w:p w14:paraId="6E8CA635" w14:textId="77777777" w:rsidR="00102DF6" w:rsidRPr="00731F2C" w:rsidRDefault="00102DF6" w:rsidP="00102DF6">
      <w:pPr>
        <w:widowControl w:val="0"/>
        <w:autoSpaceDE w:val="0"/>
        <w:autoSpaceDN w:val="0"/>
        <w:spacing w:after="120" w:line="240" w:lineRule="auto"/>
        <w:ind w:left="709" w:right="709"/>
        <w:jc w:val="both"/>
        <w:rPr>
          <w:rFonts w:ascii="Verdana" w:eastAsia="Calibri" w:hAnsi="Verdana" w:cs="Times New Roman"/>
          <w:lang w:eastAsia="es-MX"/>
        </w:rPr>
      </w:pPr>
      <w:r w:rsidRPr="00731F2C">
        <w:rPr>
          <w:rFonts w:ascii="Verdana" w:eastAsia="Calibri" w:hAnsi="Verdana" w:cs="Times New Roman"/>
          <w:i/>
          <w:iCs/>
          <w:lang w:eastAsia="es-MX"/>
        </w:rPr>
        <w:lastRenderedPageBreak/>
        <w:t>2.5.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y/o reforzamiento estructural y/o actualización sísmica y/o repotenciación estructural de comedores, zonas de almacenamiento y/o zonas de conservación de alimentos y/o zonas de alimentación de infraestructura de servicio publico</w:t>
      </w:r>
    </w:p>
    <w:p w14:paraId="24D124F0" w14:textId="77777777" w:rsidR="00102DF6" w:rsidRPr="00731F2C" w:rsidRDefault="00102DF6" w:rsidP="00102DF6">
      <w:pPr>
        <w:widowControl w:val="0"/>
        <w:autoSpaceDE w:val="0"/>
        <w:autoSpaceDN w:val="0"/>
        <w:spacing w:after="120" w:line="240" w:lineRule="auto"/>
        <w:ind w:left="709" w:right="709"/>
        <w:jc w:val="both"/>
        <w:rPr>
          <w:rFonts w:ascii="Verdana" w:eastAsia="Calibri" w:hAnsi="Verdana" w:cs="Times New Roman"/>
          <w:lang w:eastAsia="es-MX"/>
        </w:rPr>
      </w:pPr>
      <w:r w:rsidRPr="00731F2C">
        <w:rPr>
          <w:rFonts w:ascii="Verdana" w:eastAsia="Calibri" w:hAnsi="Verdana" w:cs="Times New Roman"/>
          <w:i/>
          <w:iCs/>
          <w:lang w:eastAsia="es-MX"/>
        </w:rPr>
        <w:t>2.6. Proyectos de construcción y/o ampliación y/o reconstrucción adecuación y/o conservación y/o intervención y/o instalación y/o mantenimiento y/o mejoramiento y/o modificación u optimización y/o rehabilitación y/o remodelación y/o reposición y/o reparación locativa y/o restauración y/o restitución y/o terminación de baterías sanitarias y/o redes hidrosanitarias y/o tanques de almacenamiento y/o sistemas de bombeo y/o redes contra incendios de infraestructura de servicio publico</w:t>
      </w:r>
    </w:p>
    <w:p w14:paraId="0682C1F7" w14:textId="77777777" w:rsidR="00102DF6" w:rsidRPr="00731F2C" w:rsidRDefault="00102DF6" w:rsidP="00102DF6">
      <w:pPr>
        <w:widowControl w:val="0"/>
        <w:autoSpaceDE w:val="0"/>
        <w:autoSpaceDN w:val="0"/>
        <w:spacing w:after="120" w:line="240" w:lineRule="auto"/>
        <w:ind w:left="709" w:right="709"/>
        <w:jc w:val="both"/>
        <w:rPr>
          <w:rFonts w:ascii="Verdana" w:eastAsia="Calibri" w:hAnsi="Verdana" w:cs="Times New Roman"/>
          <w:lang w:eastAsia="es-MX"/>
        </w:rPr>
      </w:pPr>
      <w:r w:rsidRPr="00731F2C">
        <w:rPr>
          <w:rFonts w:ascii="Verdana" w:eastAsia="Calibri" w:hAnsi="Verdana" w:cs="Times New Roman"/>
          <w:i/>
          <w:iCs/>
          <w:lang w:eastAsia="es-MX"/>
        </w:rPr>
        <w:t>2.7.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y/o reforzamiento estructural y/o actualización sísmica y/o repotenciación estructural de cubiertas de infraestructura de servicio publico</w:t>
      </w:r>
    </w:p>
    <w:p w14:paraId="6157CBBD" w14:textId="77777777" w:rsidR="00102DF6" w:rsidRPr="00731F2C" w:rsidRDefault="00102DF6" w:rsidP="00102DF6">
      <w:pPr>
        <w:widowControl w:val="0"/>
        <w:autoSpaceDE w:val="0"/>
        <w:autoSpaceDN w:val="0"/>
        <w:spacing w:after="120" w:line="240" w:lineRule="auto"/>
        <w:ind w:left="709" w:right="709"/>
        <w:jc w:val="both"/>
        <w:rPr>
          <w:rFonts w:ascii="Verdana" w:eastAsia="Calibri" w:hAnsi="Verdana" w:cs="Times New Roman"/>
          <w:lang w:eastAsia="es-MX"/>
        </w:rPr>
      </w:pPr>
      <w:r w:rsidRPr="00731F2C">
        <w:rPr>
          <w:rFonts w:ascii="Verdana" w:eastAsia="Calibri" w:hAnsi="Verdana" w:cs="Times New Roman"/>
          <w:i/>
          <w:iCs/>
          <w:lang w:eastAsia="es-MX"/>
        </w:rPr>
        <w:t>2.8.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y/o reforzamiento estructural y/o actualización sísmica y/o repotenciación estructural en bienes de interés cultural y/o patrimonial asociados a infraestructura de servicio publico</w:t>
      </w:r>
    </w:p>
    <w:p w14:paraId="002FF58B" w14:textId="77777777" w:rsidR="00102DF6" w:rsidRPr="00731F2C" w:rsidRDefault="00102DF6" w:rsidP="00102DF6">
      <w:pPr>
        <w:widowControl w:val="0"/>
        <w:autoSpaceDE w:val="0"/>
        <w:autoSpaceDN w:val="0"/>
        <w:spacing w:after="120" w:line="240" w:lineRule="auto"/>
        <w:ind w:left="709" w:right="709"/>
        <w:jc w:val="both"/>
        <w:rPr>
          <w:rFonts w:ascii="Verdana" w:eastAsia="Calibri" w:hAnsi="Verdana" w:cs="Times New Roman"/>
          <w:lang w:eastAsia="es-MX"/>
        </w:rPr>
      </w:pPr>
      <w:r w:rsidRPr="00731F2C">
        <w:rPr>
          <w:rFonts w:ascii="Verdana" w:eastAsia="Calibri" w:hAnsi="Verdana" w:cs="Times New Roman"/>
          <w:i/>
          <w:iCs/>
          <w:lang w:eastAsia="es-MX"/>
        </w:rPr>
        <w:t xml:space="preserve">2.9.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redes eléctricas y/o circuitos cerrados de tv y/o sistemas de seguridad y/o circuitos de voz y datos y/o   plantas eléctricas y/o </w:t>
      </w:r>
      <w:r w:rsidRPr="00731F2C">
        <w:rPr>
          <w:rFonts w:ascii="Verdana" w:eastAsia="Calibri" w:hAnsi="Verdana" w:cs="Times New Roman"/>
          <w:i/>
          <w:iCs/>
          <w:lang w:eastAsia="es-MX"/>
        </w:rPr>
        <w:lastRenderedPageBreak/>
        <w:t>subestaciones y/o redes de telemática y/o comunicación y/o sonido y/o telefonía y/o redes o sistemas de iluminación o luminarias interiores o exteriores de infraestructura de servicio publico</w:t>
      </w:r>
    </w:p>
    <w:p w14:paraId="4AEB8DD8" w14:textId="77777777" w:rsidR="00102DF6" w:rsidRPr="00731F2C" w:rsidRDefault="00102DF6" w:rsidP="00102DF6">
      <w:pPr>
        <w:widowControl w:val="0"/>
        <w:autoSpaceDE w:val="0"/>
        <w:autoSpaceDN w:val="0"/>
        <w:spacing w:after="120" w:line="240" w:lineRule="auto"/>
        <w:ind w:left="709" w:right="709"/>
        <w:jc w:val="both"/>
        <w:rPr>
          <w:rFonts w:ascii="Verdana" w:eastAsia="Calibri" w:hAnsi="Verdana" w:cs="Times New Roman"/>
          <w:lang w:eastAsia="es-MX"/>
        </w:rPr>
      </w:pPr>
      <w:r w:rsidRPr="00731F2C">
        <w:rPr>
          <w:rFonts w:ascii="Verdana" w:eastAsia="Calibri" w:hAnsi="Verdana" w:cs="Times New Roman"/>
          <w:i/>
          <w:iCs/>
          <w:lang w:eastAsia="es-MX"/>
        </w:rPr>
        <w:t xml:space="preserve">2.10. Proyectos de construcción y/o habilitación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w:t>
      </w:r>
      <w:proofErr w:type="gramStart"/>
      <w:r w:rsidRPr="00731F2C">
        <w:rPr>
          <w:rFonts w:ascii="Verdana" w:eastAsia="Calibri" w:hAnsi="Verdana" w:cs="Times New Roman"/>
          <w:i/>
          <w:iCs/>
          <w:lang w:eastAsia="es-MX"/>
        </w:rPr>
        <w:t>terminación  de</w:t>
      </w:r>
      <w:proofErr w:type="gramEnd"/>
      <w:r w:rsidRPr="00731F2C">
        <w:rPr>
          <w:rFonts w:ascii="Verdana" w:eastAsia="Calibri" w:hAnsi="Verdana" w:cs="Times New Roman"/>
          <w:i/>
          <w:iCs/>
          <w:lang w:eastAsia="es-MX"/>
        </w:rPr>
        <w:t xml:space="preserve"> zonas verdes, y/o actividades de urbanismo y/o de paisajismo asociada a infraestructura de servicio publico</w:t>
      </w:r>
    </w:p>
    <w:p w14:paraId="49AD61B9" w14:textId="77777777" w:rsidR="00102DF6" w:rsidRPr="00731F2C" w:rsidRDefault="00102DF6" w:rsidP="00102DF6">
      <w:pPr>
        <w:widowControl w:val="0"/>
        <w:autoSpaceDE w:val="0"/>
        <w:autoSpaceDN w:val="0"/>
        <w:spacing w:after="120" w:line="240" w:lineRule="auto"/>
        <w:ind w:left="709" w:right="709"/>
        <w:jc w:val="both"/>
        <w:rPr>
          <w:rFonts w:ascii="Verdana" w:eastAsia="Calibri" w:hAnsi="Verdana" w:cs="Times New Roman"/>
          <w:lang w:eastAsia="es-MX"/>
        </w:rPr>
      </w:pPr>
      <w:r w:rsidRPr="00731F2C">
        <w:rPr>
          <w:rFonts w:ascii="Verdana" w:eastAsia="Calibri" w:hAnsi="Verdana" w:cs="Times New Roman"/>
          <w:i/>
          <w:iCs/>
          <w:lang w:eastAsia="es-MX"/>
        </w:rPr>
        <w:t xml:space="preserve">2.11. Suministro y/o instalación de dotación y/o de </w:t>
      </w:r>
      <w:proofErr w:type="gramStart"/>
      <w:r w:rsidRPr="00731F2C">
        <w:rPr>
          <w:rFonts w:ascii="Verdana" w:eastAsia="Calibri" w:hAnsi="Verdana" w:cs="Times New Roman"/>
          <w:i/>
          <w:iCs/>
          <w:lang w:eastAsia="es-MX"/>
        </w:rPr>
        <w:t>mobiliario  interno</w:t>
      </w:r>
      <w:proofErr w:type="gramEnd"/>
      <w:r w:rsidRPr="00731F2C">
        <w:rPr>
          <w:rFonts w:ascii="Verdana" w:eastAsia="Calibri" w:hAnsi="Verdana" w:cs="Times New Roman"/>
          <w:i/>
          <w:iCs/>
          <w:lang w:eastAsia="es-MX"/>
        </w:rPr>
        <w:t xml:space="preserve"> o externo para infraestructura de servicio publico</w:t>
      </w:r>
    </w:p>
    <w:p w14:paraId="1B8ADEA9" w14:textId="77777777" w:rsidR="00102DF6" w:rsidRPr="00731F2C" w:rsidRDefault="00102DF6" w:rsidP="00102DF6">
      <w:pPr>
        <w:widowControl w:val="0"/>
        <w:autoSpaceDE w:val="0"/>
        <w:autoSpaceDN w:val="0"/>
        <w:spacing w:after="120" w:line="240" w:lineRule="auto"/>
        <w:ind w:left="709" w:right="709"/>
        <w:jc w:val="both"/>
        <w:rPr>
          <w:rFonts w:ascii="Verdana" w:eastAsia="Calibri" w:hAnsi="Verdana" w:cs="Times New Roman"/>
          <w:lang w:eastAsia="es-MX"/>
        </w:rPr>
      </w:pPr>
      <w:r w:rsidRPr="00731F2C">
        <w:rPr>
          <w:rFonts w:ascii="Verdana" w:eastAsia="Calibri" w:hAnsi="Verdana" w:cs="Times New Roman"/>
          <w:i/>
          <w:iCs/>
          <w:lang w:eastAsia="es-MX"/>
        </w:rPr>
        <w:t xml:space="preserve">2.12. Proyectos de suministro y/o instalación de equipos especiales y/o electromecánicos y/o electrónicos y/o maquinaria u otros tipos de equipos </w:t>
      </w:r>
      <w:proofErr w:type="gramStart"/>
      <w:r w:rsidRPr="00731F2C">
        <w:rPr>
          <w:rFonts w:ascii="Verdana" w:eastAsia="Calibri" w:hAnsi="Verdana" w:cs="Times New Roman"/>
          <w:i/>
          <w:iCs/>
          <w:lang w:eastAsia="es-MX"/>
        </w:rPr>
        <w:t>para  infraestructura</w:t>
      </w:r>
      <w:proofErr w:type="gramEnd"/>
      <w:r w:rsidRPr="00731F2C">
        <w:rPr>
          <w:rFonts w:ascii="Verdana" w:eastAsia="Calibri" w:hAnsi="Verdana" w:cs="Times New Roman"/>
          <w:i/>
          <w:iCs/>
          <w:lang w:eastAsia="es-MX"/>
        </w:rPr>
        <w:t xml:space="preserve"> de servicio publico</w:t>
      </w:r>
    </w:p>
    <w:p w14:paraId="398CB4D0" w14:textId="77777777" w:rsidR="00102DF6" w:rsidRPr="00731F2C" w:rsidRDefault="00102DF6" w:rsidP="00102DF6">
      <w:pPr>
        <w:widowControl w:val="0"/>
        <w:autoSpaceDE w:val="0"/>
        <w:autoSpaceDN w:val="0"/>
        <w:spacing w:after="120" w:line="240" w:lineRule="auto"/>
        <w:ind w:left="709" w:right="709"/>
        <w:jc w:val="both"/>
        <w:rPr>
          <w:rFonts w:ascii="Verdana" w:eastAsia="Calibri" w:hAnsi="Verdana" w:cs="Times New Roman"/>
          <w:lang w:eastAsia="es-MX"/>
        </w:rPr>
      </w:pPr>
      <w:r w:rsidRPr="00731F2C">
        <w:rPr>
          <w:rFonts w:ascii="Verdana" w:eastAsia="Calibri" w:hAnsi="Verdana" w:cs="Times New Roman"/>
          <w:i/>
          <w:iCs/>
          <w:lang w:eastAsia="es-MX"/>
        </w:rPr>
        <w:t>2.13.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redes de vapor y/o redes de gases y/o redes de gas natural y/o sistemas de cocción de infraestructura institucional - servicio público</w:t>
      </w:r>
    </w:p>
    <w:p w14:paraId="66016AF9" w14:textId="77777777" w:rsidR="00102DF6" w:rsidRPr="00731F2C" w:rsidRDefault="00102DF6" w:rsidP="00102DF6">
      <w:pPr>
        <w:widowControl w:val="0"/>
        <w:autoSpaceDE w:val="0"/>
        <w:autoSpaceDN w:val="0"/>
        <w:spacing w:after="120" w:line="240" w:lineRule="auto"/>
        <w:ind w:left="709" w:right="709"/>
        <w:jc w:val="both"/>
        <w:rPr>
          <w:rFonts w:ascii="Verdana" w:eastAsia="Calibri" w:hAnsi="Verdana" w:cs="Times New Roman"/>
          <w:lang w:eastAsia="es-MX"/>
        </w:rPr>
      </w:pPr>
      <w:r w:rsidRPr="00731F2C">
        <w:rPr>
          <w:rFonts w:ascii="Verdana" w:eastAsia="Calibri" w:hAnsi="Verdana" w:cs="Times New Roman"/>
          <w:i/>
          <w:iCs/>
          <w:lang w:eastAsia="es-MX"/>
        </w:rPr>
        <w:t xml:space="preserve">2.14. Suministro y/o instalación de sistemas de aires acondicionados o sistemas de ventilación o similares </w:t>
      </w:r>
      <w:proofErr w:type="gramStart"/>
      <w:r w:rsidRPr="00731F2C">
        <w:rPr>
          <w:rFonts w:ascii="Verdana" w:eastAsia="Calibri" w:hAnsi="Verdana" w:cs="Times New Roman"/>
          <w:i/>
          <w:iCs/>
          <w:lang w:eastAsia="es-MX"/>
        </w:rPr>
        <w:t>para  infraestructura</w:t>
      </w:r>
      <w:proofErr w:type="gramEnd"/>
      <w:r w:rsidRPr="00731F2C">
        <w:rPr>
          <w:rFonts w:ascii="Verdana" w:eastAsia="Calibri" w:hAnsi="Verdana" w:cs="Times New Roman"/>
          <w:i/>
          <w:iCs/>
          <w:lang w:eastAsia="es-MX"/>
        </w:rPr>
        <w:t xml:space="preserve"> de servicio </w:t>
      </w:r>
      <w:proofErr w:type="spellStart"/>
      <w:r w:rsidRPr="00731F2C">
        <w:rPr>
          <w:rFonts w:ascii="Verdana" w:eastAsia="Calibri" w:hAnsi="Verdana" w:cs="Times New Roman"/>
          <w:i/>
          <w:iCs/>
          <w:lang w:eastAsia="es-MX"/>
        </w:rPr>
        <w:t>publico</w:t>
      </w:r>
      <w:proofErr w:type="spellEnd"/>
      <w:r w:rsidRPr="00731F2C">
        <w:rPr>
          <w:rFonts w:ascii="Verdana" w:eastAsia="Calibri" w:hAnsi="Verdana" w:cs="Times New Roman"/>
          <w:i/>
          <w:iCs/>
          <w:lang w:eastAsia="es-MX"/>
        </w:rPr>
        <w:t>"</w:t>
      </w:r>
    </w:p>
    <w:p w14:paraId="5F71C35F" w14:textId="77777777" w:rsidR="00102DF6" w:rsidRPr="003A2F1B" w:rsidRDefault="00102DF6" w:rsidP="00102DF6">
      <w:pPr>
        <w:widowControl w:val="0"/>
        <w:autoSpaceDE w:val="0"/>
        <w:autoSpaceDN w:val="0"/>
        <w:spacing w:after="120" w:line="276" w:lineRule="auto"/>
        <w:ind w:firstLine="708"/>
        <w:jc w:val="both"/>
        <w:rPr>
          <w:rFonts w:ascii="Verdana" w:eastAsia="Calibri" w:hAnsi="Verdana" w:cs="Times New Roman"/>
          <w:lang w:eastAsia="es-MX"/>
        </w:rPr>
      </w:pPr>
    </w:p>
    <w:p w14:paraId="2A610973" w14:textId="77777777" w:rsidR="00102DF6" w:rsidRPr="009F6663" w:rsidRDefault="00102DF6" w:rsidP="00102DF6">
      <w:pPr>
        <w:widowControl w:val="0"/>
        <w:autoSpaceDE w:val="0"/>
        <w:autoSpaceDN w:val="0"/>
        <w:spacing w:after="120" w:line="276" w:lineRule="auto"/>
        <w:ind w:firstLine="708"/>
        <w:jc w:val="both"/>
        <w:rPr>
          <w:rFonts w:ascii="Verdana" w:eastAsia="Calibri" w:hAnsi="Verdana" w:cs="Times New Roman"/>
          <w:lang w:eastAsia="es-MX"/>
        </w:rPr>
      </w:pPr>
      <w:r w:rsidRPr="009F6663">
        <w:rPr>
          <w:rFonts w:ascii="Verdana" w:eastAsia="Calibri" w:hAnsi="Verdana" w:cs="Times New Roman"/>
          <w:lang w:eastAsia="es-MX"/>
        </w:rPr>
        <w:t>Así las cosas, se podría recomendar que el proceso se enmarque en la siguiente modalidad de contratación y en la actividad a contratar para:</w:t>
      </w:r>
    </w:p>
    <w:tbl>
      <w:tblPr>
        <w:tblW w:w="0" w:type="auto"/>
        <w:tblCellMar>
          <w:top w:w="15" w:type="dxa"/>
          <w:left w:w="15" w:type="dxa"/>
          <w:bottom w:w="15" w:type="dxa"/>
          <w:right w:w="15" w:type="dxa"/>
        </w:tblCellMar>
        <w:tblLook w:val="04A0" w:firstRow="1" w:lastRow="0" w:firstColumn="1" w:lastColumn="0" w:noHBand="0" w:noVBand="1"/>
      </w:tblPr>
      <w:tblGrid>
        <w:gridCol w:w="2827"/>
        <w:gridCol w:w="2271"/>
        <w:gridCol w:w="3724"/>
      </w:tblGrid>
      <w:tr w:rsidR="00102DF6" w:rsidRPr="009F6663" w14:paraId="36D0C68C" w14:textId="77777777" w:rsidTr="00310B0E">
        <w:trPr>
          <w:trHeight w:val="330"/>
        </w:trPr>
        <w:tc>
          <w:tcPr>
            <w:tcW w:w="2827" w:type="dxa"/>
            <w:tcBorders>
              <w:top w:val="single" w:sz="6" w:space="0" w:color="000000"/>
              <w:left w:val="single" w:sz="6" w:space="0" w:color="000000"/>
              <w:bottom w:val="single" w:sz="6" w:space="0" w:color="000000"/>
              <w:right w:val="single" w:sz="6" w:space="0" w:color="000000"/>
            </w:tcBorders>
            <w:vAlign w:val="center"/>
            <w:hideMark/>
          </w:tcPr>
          <w:p w14:paraId="67B456DE" w14:textId="77777777" w:rsidR="00102DF6" w:rsidRPr="009F6663" w:rsidRDefault="00102DF6" w:rsidP="00310B0E">
            <w:pPr>
              <w:widowControl w:val="0"/>
              <w:autoSpaceDE w:val="0"/>
              <w:autoSpaceDN w:val="0"/>
              <w:spacing w:after="120" w:line="276" w:lineRule="auto"/>
              <w:jc w:val="center"/>
              <w:rPr>
                <w:rFonts w:ascii="Verdana" w:eastAsia="Calibri" w:hAnsi="Verdana" w:cs="Times New Roman"/>
                <w:sz w:val="18"/>
                <w:szCs w:val="18"/>
                <w:lang w:eastAsia="es-MX"/>
              </w:rPr>
            </w:pPr>
            <w:r w:rsidRPr="009F6663">
              <w:rPr>
                <w:rFonts w:ascii="Verdana" w:eastAsia="Calibri" w:hAnsi="Verdana" w:cs="Times New Roman"/>
                <w:b/>
                <w:bCs/>
                <w:sz w:val="18"/>
                <w:szCs w:val="18"/>
                <w:lang w:eastAsia="es-MX"/>
              </w:rPr>
              <w:t>Objeto</w:t>
            </w:r>
          </w:p>
        </w:tc>
        <w:tc>
          <w:tcPr>
            <w:tcW w:w="2271" w:type="dxa"/>
            <w:tcBorders>
              <w:top w:val="single" w:sz="6" w:space="0" w:color="000000"/>
              <w:left w:val="single" w:sz="6" w:space="0" w:color="000000"/>
              <w:bottom w:val="single" w:sz="6" w:space="0" w:color="000000"/>
              <w:right w:val="single" w:sz="6" w:space="0" w:color="000000"/>
            </w:tcBorders>
            <w:vAlign w:val="center"/>
            <w:hideMark/>
          </w:tcPr>
          <w:p w14:paraId="0C75778A" w14:textId="77777777" w:rsidR="00102DF6" w:rsidRPr="009F6663" w:rsidRDefault="00102DF6" w:rsidP="00310B0E">
            <w:pPr>
              <w:widowControl w:val="0"/>
              <w:autoSpaceDE w:val="0"/>
              <w:autoSpaceDN w:val="0"/>
              <w:spacing w:after="120" w:line="276" w:lineRule="auto"/>
              <w:jc w:val="center"/>
              <w:rPr>
                <w:rFonts w:ascii="Verdana" w:eastAsia="Calibri" w:hAnsi="Verdana" w:cs="Times New Roman"/>
                <w:sz w:val="18"/>
                <w:szCs w:val="18"/>
                <w:lang w:eastAsia="es-MX"/>
              </w:rPr>
            </w:pPr>
            <w:r w:rsidRPr="009F6663">
              <w:rPr>
                <w:rFonts w:ascii="Verdana" w:eastAsia="Calibri" w:hAnsi="Verdana" w:cs="Times New Roman"/>
                <w:b/>
                <w:bCs/>
                <w:sz w:val="18"/>
                <w:szCs w:val="18"/>
                <w:lang w:eastAsia="es-MX"/>
              </w:rPr>
              <w:t>Documentos tipo recomendados</w:t>
            </w:r>
          </w:p>
        </w:tc>
        <w:tc>
          <w:tcPr>
            <w:tcW w:w="3724" w:type="dxa"/>
            <w:tcBorders>
              <w:top w:val="single" w:sz="6" w:space="0" w:color="000000"/>
              <w:left w:val="single" w:sz="6" w:space="0" w:color="000000"/>
              <w:bottom w:val="single" w:sz="6" w:space="0" w:color="000000"/>
              <w:right w:val="single" w:sz="6" w:space="0" w:color="000000"/>
            </w:tcBorders>
            <w:vAlign w:val="center"/>
            <w:hideMark/>
          </w:tcPr>
          <w:p w14:paraId="1177AA66" w14:textId="77777777" w:rsidR="00102DF6" w:rsidRPr="009F6663" w:rsidRDefault="00102DF6" w:rsidP="00310B0E">
            <w:pPr>
              <w:widowControl w:val="0"/>
              <w:autoSpaceDE w:val="0"/>
              <w:autoSpaceDN w:val="0"/>
              <w:spacing w:after="120" w:line="276" w:lineRule="auto"/>
              <w:jc w:val="center"/>
              <w:rPr>
                <w:rFonts w:ascii="Verdana" w:eastAsia="Calibri" w:hAnsi="Verdana" w:cs="Times New Roman"/>
                <w:sz w:val="18"/>
                <w:szCs w:val="18"/>
                <w:lang w:eastAsia="es-MX"/>
              </w:rPr>
            </w:pPr>
            <w:r w:rsidRPr="009F6663">
              <w:rPr>
                <w:rFonts w:ascii="Verdana" w:eastAsia="Calibri" w:hAnsi="Verdana" w:cs="Times New Roman"/>
                <w:b/>
                <w:bCs/>
                <w:sz w:val="18"/>
                <w:szCs w:val="18"/>
                <w:lang w:eastAsia="es-MX"/>
              </w:rPr>
              <w:t>Actividad recomendada para enmarcar el proceso</w:t>
            </w:r>
          </w:p>
        </w:tc>
      </w:tr>
      <w:tr w:rsidR="00102DF6" w:rsidRPr="009F6663" w14:paraId="77A2AF36" w14:textId="77777777" w:rsidTr="00310B0E">
        <w:trPr>
          <w:trHeight w:val="330"/>
        </w:trPr>
        <w:tc>
          <w:tcPr>
            <w:tcW w:w="2827" w:type="dxa"/>
            <w:tcBorders>
              <w:top w:val="single" w:sz="6" w:space="0" w:color="000000"/>
              <w:left w:val="single" w:sz="6" w:space="0" w:color="000000"/>
              <w:bottom w:val="single" w:sz="6" w:space="0" w:color="000000"/>
              <w:right w:val="single" w:sz="6" w:space="0" w:color="000000"/>
            </w:tcBorders>
            <w:vAlign w:val="center"/>
            <w:hideMark/>
          </w:tcPr>
          <w:p w14:paraId="025DCB3F" w14:textId="77777777" w:rsidR="00102DF6" w:rsidRPr="009F6663" w:rsidRDefault="00102DF6" w:rsidP="00310B0E">
            <w:pPr>
              <w:widowControl w:val="0"/>
              <w:autoSpaceDE w:val="0"/>
              <w:autoSpaceDN w:val="0"/>
              <w:spacing w:after="120" w:line="276" w:lineRule="auto"/>
              <w:ind w:left="115" w:right="123"/>
              <w:jc w:val="both"/>
              <w:rPr>
                <w:rFonts w:ascii="Verdana" w:eastAsia="Calibri" w:hAnsi="Verdana" w:cs="Times New Roman"/>
                <w:sz w:val="18"/>
                <w:szCs w:val="18"/>
                <w:lang w:eastAsia="es-MX"/>
              </w:rPr>
            </w:pPr>
            <w:r w:rsidRPr="009F6663">
              <w:rPr>
                <w:rFonts w:ascii="Verdana" w:eastAsia="Calibri" w:hAnsi="Verdana" w:cs="Times New Roman"/>
                <w:b/>
                <w:bCs/>
                <w:i/>
                <w:iCs/>
                <w:sz w:val="18"/>
                <w:szCs w:val="18"/>
                <w:lang w:eastAsia="es-MX"/>
              </w:rPr>
              <w:t>Proceso de obra: </w:t>
            </w:r>
            <w:r w:rsidRPr="009F6663">
              <w:rPr>
                <w:rFonts w:ascii="Verdana" w:eastAsia="Calibri" w:hAnsi="Verdana" w:cs="Times New Roman"/>
                <w:sz w:val="18"/>
                <w:szCs w:val="18"/>
                <w:lang w:eastAsia="es-MX"/>
              </w:rPr>
              <w:t xml:space="preserve">Adecuación a todo costo de la infraestructura de la Oficina de Atención al Ciudadano y zonas conexas para la sede principal del </w:t>
            </w:r>
            <w:r w:rsidRPr="009F6663">
              <w:rPr>
                <w:rFonts w:ascii="Verdana" w:eastAsia="Calibri" w:hAnsi="Verdana" w:cs="Times New Roman"/>
                <w:sz w:val="18"/>
                <w:szCs w:val="18"/>
                <w:lang w:eastAsia="es-MX"/>
              </w:rPr>
              <w:lastRenderedPageBreak/>
              <w:t>Centro de Desarrollo Agroempresarial y Turístico del Huila, SENA Regional Huila</w:t>
            </w:r>
            <w:r w:rsidRPr="009F6663">
              <w:rPr>
                <w:rFonts w:ascii="Verdana" w:eastAsia="Calibri" w:hAnsi="Verdana" w:cs="Times New Roman"/>
                <w:i/>
                <w:iCs/>
                <w:sz w:val="18"/>
                <w:szCs w:val="18"/>
                <w:lang w:eastAsia="es-MX"/>
              </w:rPr>
              <w:t>.</w:t>
            </w:r>
          </w:p>
        </w:tc>
        <w:tc>
          <w:tcPr>
            <w:tcW w:w="2271" w:type="dxa"/>
            <w:tcBorders>
              <w:top w:val="single" w:sz="6" w:space="0" w:color="000000"/>
              <w:left w:val="single" w:sz="6" w:space="0" w:color="000000"/>
              <w:bottom w:val="single" w:sz="6" w:space="0" w:color="000000"/>
              <w:right w:val="single" w:sz="6" w:space="0" w:color="000000"/>
            </w:tcBorders>
            <w:vAlign w:val="center"/>
            <w:hideMark/>
          </w:tcPr>
          <w:p w14:paraId="634ACFF4" w14:textId="77777777" w:rsidR="00102DF6" w:rsidRPr="009F6663" w:rsidRDefault="00102DF6" w:rsidP="00310B0E">
            <w:pPr>
              <w:widowControl w:val="0"/>
              <w:autoSpaceDE w:val="0"/>
              <w:autoSpaceDN w:val="0"/>
              <w:spacing w:after="120" w:line="276" w:lineRule="auto"/>
              <w:ind w:left="115" w:right="123"/>
              <w:jc w:val="both"/>
              <w:rPr>
                <w:rFonts w:ascii="Verdana" w:eastAsia="Calibri" w:hAnsi="Verdana" w:cs="Times New Roman"/>
                <w:sz w:val="18"/>
                <w:szCs w:val="18"/>
                <w:lang w:eastAsia="es-MX"/>
              </w:rPr>
            </w:pPr>
            <w:r w:rsidRPr="009F6663">
              <w:rPr>
                <w:rFonts w:ascii="Verdana" w:eastAsia="Calibri" w:hAnsi="Verdana" w:cs="Times New Roman"/>
                <w:sz w:val="18"/>
                <w:szCs w:val="18"/>
                <w:lang w:eastAsia="es-MX"/>
              </w:rPr>
              <w:lastRenderedPageBreak/>
              <w:t>Aplican los DT del sector social para el subsector Institucional en selección abreviada de mínima cuantía</w:t>
            </w:r>
          </w:p>
        </w:tc>
        <w:tc>
          <w:tcPr>
            <w:tcW w:w="3724" w:type="dxa"/>
            <w:tcBorders>
              <w:top w:val="single" w:sz="6" w:space="0" w:color="000000"/>
              <w:left w:val="single" w:sz="6" w:space="0" w:color="000000"/>
              <w:bottom w:val="single" w:sz="6" w:space="0" w:color="000000"/>
              <w:right w:val="single" w:sz="6" w:space="0" w:color="000000"/>
            </w:tcBorders>
            <w:vAlign w:val="center"/>
            <w:hideMark/>
          </w:tcPr>
          <w:p w14:paraId="4818B9F4" w14:textId="77777777" w:rsidR="00102DF6" w:rsidRPr="009F6663" w:rsidRDefault="00102DF6" w:rsidP="00310B0E">
            <w:pPr>
              <w:widowControl w:val="0"/>
              <w:autoSpaceDE w:val="0"/>
              <w:autoSpaceDN w:val="0"/>
              <w:spacing w:after="120" w:line="276" w:lineRule="auto"/>
              <w:ind w:left="115" w:right="123"/>
              <w:jc w:val="both"/>
              <w:rPr>
                <w:rFonts w:ascii="Verdana" w:eastAsia="Calibri" w:hAnsi="Verdana" w:cs="Times New Roman"/>
                <w:sz w:val="18"/>
                <w:szCs w:val="18"/>
                <w:lang w:eastAsia="es-MX"/>
              </w:rPr>
            </w:pPr>
            <w:r w:rsidRPr="009F6663">
              <w:rPr>
                <w:rFonts w:ascii="Verdana" w:eastAsia="Calibri" w:hAnsi="Verdana" w:cs="Times New Roman"/>
                <w:sz w:val="18"/>
                <w:szCs w:val="18"/>
                <w:lang w:eastAsia="es-MX"/>
              </w:rPr>
              <w:t xml:space="preserve">Proyectos de adecuación y/o conservación y/o intervención y/o instalación y/o mantenimiento y/o mejoramiento y/o modificación u optimización y/o rehabilitación y/o remodelación y/o reposición y/o </w:t>
            </w:r>
            <w:r w:rsidRPr="009F6663">
              <w:rPr>
                <w:rFonts w:ascii="Verdana" w:eastAsia="Calibri" w:hAnsi="Verdana" w:cs="Times New Roman"/>
                <w:sz w:val="18"/>
                <w:szCs w:val="18"/>
                <w:lang w:eastAsia="es-MX"/>
              </w:rPr>
              <w:lastRenderedPageBreak/>
              <w:t>reparación locativa y/o restauración y/o restitución y/o terminación de infraestructura de servicio publico</w:t>
            </w:r>
          </w:p>
        </w:tc>
      </w:tr>
    </w:tbl>
    <w:p w14:paraId="3728A833" w14:textId="77777777" w:rsidR="00102DF6" w:rsidRDefault="00102DF6" w:rsidP="00102DF6">
      <w:pPr>
        <w:tabs>
          <w:tab w:val="left" w:pos="142"/>
          <w:tab w:val="left" w:pos="284"/>
        </w:tabs>
        <w:snapToGrid w:val="0"/>
        <w:spacing w:after="0" w:line="276" w:lineRule="auto"/>
        <w:ind w:left="357"/>
        <w:jc w:val="both"/>
        <w:rPr>
          <w:rFonts w:ascii="Verdana" w:eastAsia="Century Gothic" w:hAnsi="Verdana" w:cs="Century Gothic"/>
          <w:b/>
          <w:bCs/>
          <w:lang w:val="es-ES_tradnl"/>
        </w:rPr>
      </w:pPr>
    </w:p>
    <w:p w14:paraId="7A2D28A6" w14:textId="71D6B777" w:rsidR="00981B7C" w:rsidRDefault="00981B7C" w:rsidP="00F807FA">
      <w:pPr>
        <w:pStyle w:val="paragraph"/>
        <w:shd w:val="clear" w:color="auto" w:fill="FFFFFF"/>
        <w:spacing w:before="0" w:beforeAutospacing="0" w:after="0" w:afterAutospacing="0" w:line="276" w:lineRule="auto"/>
        <w:jc w:val="both"/>
        <w:textAlignment w:val="baseline"/>
        <w:rPr>
          <w:rFonts w:ascii="Segoe UI" w:hAnsi="Segoe UI" w:cs="Segoe UI"/>
          <w:sz w:val="18"/>
          <w:szCs w:val="18"/>
        </w:rPr>
      </w:pPr>
    </w:p>
    <w:p w14:paraId="317D6FED" w14:textId="5A65A2FF" w:rsidR="00981B7C" w:rsidRDefault="00F807FA" w:rsidP="00F807FA">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Verdana" w:hAnsi="Verdana" w:cs="Segoe UI"/>
          <w:sz w:val="22"/>
          <w:szCs w:val="22"/>
          <w:lang w:val="es-ES"/>
        </w:rPr>
        <w:t>I</w:t>
      </w:r>
      <w:r w:rsidR="00981B7C">
        <w:rPr>
          <w:rStyle w:val="normaltextrun"/>
          <w:rFonts w:ascii="Verdana" w:hAnsi="Verdana" w:cs="Segoe UI"/>
          <w:sz w:val="22"/>
          <w:szCs w:val="22"/>
          <w:lang w:val="es-ES"/>
        </w:rPr>
        <w:t>II). </w:t>
      </w:r>
      <w:r w:rsidR="00981B7C">
        <w:rPr>
          <w:rStyle w:val="normaltextrun"/>
          <w:rFonts w:ascii="Verdana" w:hAnsi="Verdana" w:cs="Segoe UI"/>
          <w:color w:val="000000"/>
          <w:sz w:val="22"/>
          <w:szCs w:val="22"/>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343BA83F" w14:textId="082AED1A" w:rsidR="00981B7C" w:rsidRDefault="00981B7C" w:rsidP="00F807FA">
      <w:pPr>
        <w:pStyle w:val="paragraph"/>
        <w:spacing w:before="0" w:beforeAutospacing="0" w:after="0" w:afterAutospacing="0" w:line="276" w:lineRule="auto"/>
        <w:ind w:firstLine="705"/>
        <w:jc w:val="both"/>
        <w:textAlignment w:val="baseline"/>
        <w:rPr>
          <w:rFonts w:ascii="Segoe UI" w:hAnsi="Segoe UI" w:cs="Segoe UI"/>
          <w:sz w:val="18"/>
          <w:szCs w:val="18"/>
        </w:rPr>
      </w:pPr>
    </w:p>
    <w:p w14:paraId="6FB247DC" w14:textId="77777777" w:rsidR="00981B7C" w:rsidRDefault="00981B7C" w:rsidP="00F807FA">
      <w:pPr>
        <w:pStyle w:val="paragraph"/>
        <w:spacing w:before="0" w:beforeAutospacing="0" w:after="0" w:afterAutospacing="0" w:line="276" w:lineRule="auto"/>
        <w:ind w:firstLine="705"/>
        <w:jc w:val="both"/>
        <w:textAlignment w:val="baseline"/>
        <w:rPr>
          <w:rFonts w:ascii="Segoe UI" w:hAnsi="Segoe UI" w:cs="Segoe UI"/>
          <w:sz w:val="18"/>
          <w:szCs w:val="18"/>
        </w:rPr>
      </w:pPr>
      <w:r>
        <w:rPr>
          <w:rStyle w:val="normaltextrun"/>
          <w:rFonts w:ascii="Verdana" w:hAnsi="Verdana" w:cs="Segoe UI"/>
          <w:color w:val="000000"/>
          <w:sz w:val="22"/>
          <w:szCs w:val="22"/>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r>
        <w:rPr>
          <w:rStyle w:val="eop"/>
          <w:rFonts w:ascii="Verdana" w:hAnsi="Verdana" w:cs="Segoe UI"/>
          <w:color w:val="000000"/>
          <w:sz w:val="22"/>
          <w:szCs w:val="22"/>
        </w:rPr>
        <w:t> </w:t>
      </w:r>
    </w:p>
    <w:p w14:paraId="3651CC38" w14:textId="77777777" w:rsidR="00981B7C" w:rsidRPr="00981B7C" w:rsidRDefault="00981B7C" w:rsidP="00E367C4">
      <w:pPr>
        <w:tabs>
          <w:tab w:val="left" w:pos="142"/>
          <w:tab w:val="left" w:pos="284"/>
        </w:tabs>
        <w:snapToGrid w:val="0"/>
        <w:spacing w:after="0" w:line="276" w:lineRule="auto"/>
        <w:jc w:val="both"/>
        <w:rPr>
          <w:rFonts w:ascii="Verdana" w:eastAsia="Century Gothic" w:hAnsi="Verdana" w:cs="Century Gothic"/>
          <w:b/>
          <w:bCs/>
        </w:rPr>
      </w:pPr>
    </w:p>
    <w:p w14:paraId="2DC9707D" w14:textId="77777777" w:rsidR="00102DF6" w:rsidRPr="004D7523" w:rsidRDefault="00102DF6" w:rsidP="00102DF6">
      <w:pPr>
        <w:numPr>
          <w:ilvl w:val="0"/>
          <w:numId w:val="18"/>
        </w:numPr>
        <w:tabs>
          <w:tab w:val="left" w:pos="142"/>
          <w:tab w:val="left" w:pos="284"/>
        </w:tabs>
        <w:snapToGrid w:val="0"/>
        <w:spacing w:after="0" w:line="276" w:lineRule="auto"/>
        <w:ind w:left="357" w:hanging="357"/>
        <w:jc w:val="both"/>
        <w:rPr>
          <w:rFonts w:ascii="Verdana" w:eastAsia="Century Gothic" w:hAnsi="Verdana" w:cs="Century Gothic"/>
          <w:b/>
          <w:bCs/>
          <w:lang w:val="es-ES_tradnl"/>
        </w:rPr>
      </w:pPr>
      <w:r w:rsidRPr="004D7523">
        <w:rPr>
          <w:rFonts w:ascii="Verdana" w:eastAsia="Century Gothic" w:hAnsi="Verdana" w:cs="Century Gothic"/>
          <w:b/>
          <w:bCs/>
          <w:lang w:val="es-ES_tradnl"/>
        </w:rPr>
        <w:t>Referencias normativas, jurisprudenciales y otras fuentes:</w:t>
      </w:r>
    </w:p>
    <w:p w14:paraId="23ED3B96" w14:textId="77777777" w:rsidR="00102DF6" w:rsidRPr="004D7523" w:rsidRDefault="00102DF6" w:rsidP="00102DF6">
      <w:pPr>
        <w:tabs>
          <w:tab w:val="left" w:pos="970"/>
        </w:tabs>
        <w:spacing w:after="0" w:line="276" w:lineRule="auto"/>
        <w:ind w:left="-15840"/>
        <w:jc w:val="both"/>
        <w:rPr>
          <w:rFonts w:ascii="Verdana" w:eastAsia="Calibri" w:hAnsi="Verdana" w:cs="Arial"/>
          <w:b/>
          <w:bCs/>
        </w:rPr>
      </w:pPr>
      <w:r w:rsidRPr="004D7523">
        <w:rPr>
          <w:rFonts w:ascii="Verdana" w:eastAsia="Calibri" w:hAnsi="Verdana" w:cs="Arial"/>
          <w:b/>
          <w:bCs/>
        </w:rPr>
        <w:t>4. Referencias normativas, jurisprudenciales y otras fuentes:</w:t>
      </w:r>
      <w:r w:rsidRPr="004D7523">
        <w:rPr>
          <w:rFonts w:ascii="Verdana" w:eastAsia="Calibri" w:hAnsi="Verdana" w:cs="Arial"/>
          <w:b/>
          <w:bCs/>
        </w:rPr>
        <w:tab/>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102DF6" w:rsidRPr="00D56B2A" w14:paraId="11DF7894" w14:textId="77777777" w:rsidTr="00310B0E">
        <w:trPr>
          <w:trHeight w:val="242"/>
        </w:trPr>
        <w:tc>
          <w:tcPr>
            <w:tcW w:w="8647" w:type="dxa"/>
            <w:tcBorders>
              <w:top w:val="dotted" w:sz="4" w:space="0" w:color="auto"/>
              <w:left w:val="dotted" w:sz="4" w:space="0" w:color="auto"/>
              <w:bottom w:val="dotted" w:sz="4" w:space="0" w:color="auto"/>
              <w:right w:val="dotted" w:sz="4" w:space="0" w:color="auto"/>
            </w:tcBorders>
          </w:tcPr>
          <w:p w14:paraId="5F13AA9A" w14:textId="77777777" w:rsidR="00102DF6" w:rsidRPr="00D56B2A" w:rsidRDefault="00102DF6" w:rsidP="00310B0E">
            <w:pPr>
              <w:widowControl w:val="0"/>
              <w:autoSpaceDE w:val="0"/>
              <w:autoSpaceDN w:val="0"/>
              <w:snapToGrid w:val="0"/>
              <w:spacing w:after="120" w:line="276" w:lineRule="auto"/>
              <w:ind w:left="714"/>
              <w:jc w:val="both"/>
              <w:rPr>
                <w:rFonts w:ascii="Verdana" w:eastAsia="Calibri" w:hAnsi="Verdana" w:cs="Arial"/>
                <w:color w:val="3399FF"/>
                <w:lang w:val="es-ES_tradnl"/>
              </w:rPr>
            </w:pPr>
          </w:p>
          <w:p w14:paraId="1084D03B" w14:textId="77777777" w:rsidR="00102DF6" w:rsidRPr="00DA2A79" w:rsidRDefault="00102DF6" w:rsidP="00102DF6">
            <w:pPr>
              <w:widowControl w:val="0"/>
              <w:numPr>
                <w:ilvl w:val="0"/>
                <w:numId w:val="17"/>
              </w:numPr>
              <w:autoSpaceDE w:val="0"/>
              <w:autoSpaceDN w:val="0"/>
              <w:spacing w:after="160" w:line="276" w:lineRule="auto"/>
              <w:ind w:left="714" w:hanging="357"/>
              <w:jc w:val="both"/>
              <w:rPr>
                <w:rFonts w:ascii="Verdana" w:eastAsia="Calibri" w:hAnsi="Verdana" w:cs="Arial"/>
                <w:lang w:val="es-ES_tradnl" w:eastAsia="es-MX"/>
              </w:rPr>
            </w:pPr>
            <w:r w:rsidRPr="00DA2A79">
              <w:rPr>
                <w:rFonts w:ascii="Verdana" w:eastAsia="Calibri" w:hAnsi="Verdana" w:cs="Arial"/>
                <w:lang w:val="es-ES_tradnl" w:eastAsia="es-MX"/>
              </w:rPr>
              <w:t xml:space="preserve">Ley 2022 de 2020, artículo 1. </w:t>
            </w:r>
          </w:p>
          <w:p w14:paraId="52352BB1" w14:textId="77777777" w:rsidR="00102DF6" w:rsidRPr="00DA2A79" w:rsidRDefault="00102DF6" w:rsidP="00102DF6">
            <w:pPr>
              <w:widowControl w:val="0"/>
              <w:numPr>
                <w:ilvl w:val="0"/>
                <w:numId w:val="17"/>
              </w:numPr>
              <w:autoSpaceDE w:val="0"/>
              <w:autoSpaceDN w:val="0"/>
              <w:spacing w:after="160" w:line="276" w:lineRule="auto"/>
              <w:jc w:val="both"/>
              <w:rPr>
                <w:rFonts w:ascii="Verdana" w:eastAsia="Calibri" w:hAnsi="Verdana" w:cs="Arial"/>
                <w:lang w:eastAsia="es-MX"/>
              </w:rPr>
            </w:pPr>
            <w:r w:rsidRPr="00DA2A79">
              <w:rPr>
                <w:rFonts w:ascii="Verdana" w:eastAsia="Calibri" w:hAnsi="Verdana" w:cs="Arial"/>
                <w:lang w:eastAsia="es-MX"/>
              </w:rPr>
              <w:t>Ley 1150 de 2007, artículo 2.</w:t>
            </w:r>
          </w:p>
          <w:p w14:paraId="5CDA1159" w14:textId="77777777" w:rsidR="00102DF6" w:rsidRPr="00D56B2A" w:rsidRDefault="00102DF6" w:rsidP="00102DF6">
            <w:pPr>
              <w:widowControl w:val="0"/>
              <w:numPr>
                <w:ilvl w:val="0"/>
                <w:numId w:val="17"/>
              </w:numPr>
              <w:autoSpaceDE w:val="0"/>
              <w:autoSpaceDN w:val="0"/>
              <w:spacing w:after="120" w:line="276" w:lineRule="auto"/>
              <w:jc w:val="both"/>
              <w:rPr>
                <w:rFonts w:ascii="Verdana" w:hAnsi="Verdana" w:cs="Arial"/>
                <w:color w:val="3399FF"/>
              </w:rPr>
            </w:pPr>
            <w:r w:rsidRPr="00DA2A79">
              <w:rPr>
                <w:rFonts w:ascii="Verdana" w:eastAsia="Calibri" w:hAnsi="Verdana" w:cs="Arial"/>
                <w:lang w:val="es-ES_tradnl" w:eastAsia="es-MX"/>
              </w:rPr>
              <w:t xml:space="preserve">Documentos Tipo. Disponibles en: </w:t>
            </w:r>
            <w:hyperlink r:id="rId12" w:history="1">
              <w:r w:rsidRPr="00DA2A79">
                <w:rPr>
                  <w:rFonts w:ascii="Verdana" w:eastAsia="Calibri" w:hAnsi="Verdana" w:cs="Arial"/>
                  <w:color w:val="0000FF"/>
                  <w:u w:val="single"/>
                  <w:lang w:val="es-ES_tradnl" w:eastAsia="es-MX"/>
                </w:rPr>
                <w:t>https://www.colombiacompra.gov.co/documentos-tipo/documentos-tipo</w:t>
              </w:r>
            </w:hyperlink>
            <w:r w:rsidRPr="00DA2A79">
              <w:rPr>
                <w:rFonts w:ascii="Verdana" w:eastAsia="Calibri" w:hAnsi="Verdana" w:cs="Arial"/>
                <w:lang w:val="es-ES_tradnl" w:eastAsia="es-MX"/>
              </w:rPr>
              <w:t>.</w:t>
            </w:r>
          </w:p>
          <w:p w14:paraId="34D85A53" w14:textId="77777777" w:rsidR="00102DF6" w:rsidRPr="004D7523" w:rsidRDefault="00102DF6" w:rsidP="00102DF6">
            <w:pPr>
              <w:widowControl w:val="0"/>
              <w:numPr>
                <w:ilvl w:val="0"/>
                <w:numId w:val="17"/>
              </w:numPr>
              <w:autoSpaceDE w:val="0"/>
              <w:autoSpaceDN w:val="0"/>
              <w:spacing w:after="120" w:line="276" w:lineRule="auto"/>
              <w:jc w:val="both"/>
              <w:rPr>
                <w:rFonts w:ascii="Verdana" w:hAnsi="Verdana" w:cs="Arial"/>
                <w:color w:val="3399FF"/>
              </w:rPr>
            </w:pPr>
            <w:r w:rsidRPr="003D532C">
              <w:rPr>
                <w:rFonts w:ascii="Verdana" w:hAnsi="Verdana" w:cs="Arial"/>
              </w:rPr>
              <w:lastRenderedPageBreak/>
              <w:t xml:space="preserve">Reglamento Colombiano </w:t>
            </w:r>
            <w:r>
              <w:rPr>
                <w:rFonts w:ascii="Verdana" w:hAnsi="Verdana" w:cs="Arial"/>
              </w:rPr>
              <w:t>d</w:t>
            </w:r>
            <w:r w:rsidRPr="003D532C">
              <w:rPr>
                <w:rFonts w:ascii="Verdana" w:hAnsi="Verdana" w:cs="Arial"/>
              </w:rPr>
              <w:t>e Construcción Sismo Resistente NSR-10</w:t>
            </w:r>
            <w:r>
              <w:rPr>
                <w:rFonts w:ascii="Verdana" w:hAnsi="Verdana" w:cs="Arial"/>
              </w:rPr>
              <w:t>.</w:t>
            </w:r>
          </w:p>
          <w:p w14:paraId="6B0DF791" w14:textId="77777777" w:rsidR="00102DF6" w:rsidRPr="00D56B2A" w:rsidRDefault="00102DF6" w:rsidP="00310B0E">
            <w:pPr>
              <w:widowControl w:val="0"/>
              <w:autoSpaceDE w:val="0"/>
              <w:autoSpaceDN w:val="0"/>
              <w:spacing w:after="120" w:line="276" w:lineRule="auto"/>
              <w:jc w:val="both"/>
              <w:rPr>
                <w:rFonts w:ascii="Verdana" w:hAnsi="Verdana" w:cs="Arial"/>
                <w:color w:val="3399FF"/>
              </w:rPr>
            </w:pPr>
          </w:p>
        </w:tc>
      </w:tr>
    </w:tbl>
    <w:p w14:paraId="452185D4" w14:textId="77777777" w:rsidR="00102DF6" w:rsidRPr="00155CC1" w:rsidRDefault="00102DF6" w:rsidP="00102DF6">
      <w:pPr>
        <w:tabs>
          <w:tab w:val="left" w:pos="142"/>
          <w:tab w:val="left" w:pos="284"/>
        </w:tabs>
        <w:spacing w:after="0" w:line="276" w:lineRule="auto"/>
        <w:jc w:val="both"/>
        <w:rPr>
          <w:rFonts w:ascii="Verdana" w:eastAsia="Calibri" w:hAnsi="Verdana" w:cs="Arial"/>
          <w:color w:val="6699FF"/>
        </w:rPr>
      </w:pPr>
    </w:p>
    <w:p w14:paraId="3217FB78" w14:textId="77777777" w:rsidR="00102DF6" w:rsidRPr="0026211F" w:rsidRDefault="00102DF6" w:rsidP="00102DF6">
      <w:pPr>
        <w:tabs>
          <w:tab w:val="left" w:pos="142"/>
          <w:tab w:val="left" w:pos="284"/>
        </w:tabs>
        <w:spacing w:after="0" w:line="276" w:lineRule="auto"/>
        <w:jc w:val="both"/>
        <w:rPr>
          <w:rFonts w:ascii="Verdana" w:eastAsia="Century Gothic" w:hAnsi="Verdana" w:cs="Century Gothic"/>
          <w:b/>
          <w:bCs/>
          <w:lang w:val="es-ES"/>
        </w:rPr>
      </w:pPr>
      <w:r w:rsidRPr="0026211F">
        <w:rPr>
          <w:rFonts w:ascii="Verdana" w:eastAsia="Calibri" w:hAnsi="Verdana" w:cs="Arial"/>
          <w:b/>
          <w:bCs/>
        </w:rPr>
        <w:t>5</w:t>
      </w:r>
      <w:r w:rsidRPr="0026211F">
        <w:rPr>
          <w:rFonts w:ascii="Verdana" w:eastAsia="Calibri" w:hAnsi="Verdana" w:cs="Arial"/>
        </w:rPr>
        <w:t>.</w:t>
      </w:r>
      <w:r w:rsidRPr="0026211F">
        <w:rPr>
          <w:rFonts w:ascii="Verdana" w:eastAsia="Century Gothic" w:hAnsi="Verdana" w:cs="Century Gothic"/>
          <w:b/>
          <w:bCs/>
          <w:lang w:val="es-ES"/>
        </w:rPr>
        <w:t>Doctrina de la Agencia Nacional de Contratación Pública:</w:t>
      </w:r>
    </w:p>
    <w:p w14:paraId="5D17022F" w14:textId="77777777" w:rsidR="00102DF6" w:rsidRPr="009E1BBA" w:rsidRDefault="00102DF6" w:rsidP="00102DF6">
      <w:pPr>
        <w:widowControl w:val="0"/>
        <w:autoSpaceDE w:val="0"/>
        <w:autoSpaceDN w:val="0"/>
        <w:spacing w:after="0" w:line="276" w:lineRule="auto"/>
        <w:jc w:val="both"/>
        <w:rPr>
          <w:rFonts w:ascii="Verdana" w:eastAsia="Calibri" w:hAnsi="Verdana" w:cs="Arial"/>
          <w:lang w:eastAsia="es-MX"/>
        </w:rPr>
      </w:pPr>
    </w:p>
    <w:p w14:paraId="56BBABE0" w14:textId="77777777" w:rsidR="00102DF6" w:rsidRDefault="00102DF6" w:rsidP="00102DF6">
      <w:pPr>
        <w:spacing w:after="550"/>
        <w:jc w:val="both"/>
        <w:rPr>
          <w:rFonts w:ascii="Verdana" w:eastAsia="Times New Roman" w:hAnsi="Verdana" w:cs="Segoe UI"/>
          <w:color w:val="2B2B2B"/>
          <w:sz w:val="24"/>
          <w:szCs w:val="24"/>
          <w:lang w:val="es-ES" w:eastAsia="es-CO"/>
        </w:rPr>
      </w:pPr>
      <w:r w:rsidRPr="00B65AE3">
        <w:rPr>
          <w:rFonts w:ascii="Verdana" w:eastAsia="Calibri" w:hAnsi="Verdana" w:cs="Arial"/>
          <w:sz w:val="24"/>
          <w:szCs w:val="24"/>
          <w:shd w:val="clear" w:color="auto" w:fill="FFFFFF"/>
          <w:lang w:val="es-ES" w:eastAsia="es-MX"/>
        </w:rPr>
        <w:t>La Agencia Nacional de Contratación Pública – Colombia Compra Eficiente se pronunció</w:t>
      </w:r>
      <w:r w:rsidRPr="00B65AE3">
        <w:rPr>
          <w:rFonts w:ascii="Verdana" w:eastAsia="Calibri" w:hAnsi="Verdana" w:cs="Times New Roman"/>
          <w:sz w:val="24"/>
          <w:szCs w:val="24"/>
          <w:lang w:eastAsia="es-MX"/>
        </w:rPr>
        <w:t xml:space="preserve"> </w:t>
      </w:r>
      <w:r w:rsidRPr="00B65AE3">
        <w:rPr>
          <w:rFonts w:ascii="Verdana" w:eastAsia="Calibri" w:hAnsi="Verdana" w:cs="Arial"/>
          <w:sz w:val="24"/>
          <w:szCs w:val="24"/>
          <w:shd w:val="clear" w:color="auto" w:fill="FFFFFF"/>
          <w:lang w:val="es-ES" w:eastAsia="es-MX"/>
        </w:rPr>
        <w:t>sobre el ámbito de aplicación de los documentos tipo de 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2023,C-231 del 30 de junio de 2023, C-587 del 23 de octubre de 2024,</w:t>
      </w:r>
      <w:r w:rsidRPr="00B65AE3">
        <w:rPr>
          <w:rFonts w:ascii="Verdana" w:eastAsia="Calibri" w:hAnsi="Verdana" w:cs="Arial"/>
          <w:sz w:val="24"/>
          <w:szCs w:val="24"/>
          <w:shd w:val="clear" w:color="auto" w:fill="FFFFFF"/>
          <w:lang w:val="es-ES" w:eastAsia="es-MX"/>
        </w:rPr>
        <w:tab/>
        <w:t xml:space="preserve">C-636 del 1 de noviembre de 2024, C-777 del 9 de diciembre de 2024, C-971 del 21 de enero de 2025, C-1813 del 31 de diciembre de 2025, C-182 del 19 de marzo de 2026, C-246 del 12 de marzo de 2026, C-258 del 19 de marzo de 2026, C-385 del </w:t>
      </w:r>
      <w:r w:rsidRPr="00B65AE3">
        <w:rPr>
          <w:rFonts w:ascii="Verdana" w:eastAsia="Aptos" w:hAnsi="Verdana" w:cs="Times New Roman"/>
          <w:kern w:val="2"/>
          <w:sz w:val="24"/>
          <w:szCs w:val="24"/>
          <w14:ligatures w14:val="standardContextual"/>
        </w:rPr>
        <w:t>15 de abril del 2025, C-453 del 04 de mayo de 2025,</w:t>
      </w:r>
      <w:r w:rsidRPr="00B65AE3">
        <w:rPr>
          <w:rFonts w:ascii="Verdana" w:eastAsia="Calibri" w:hAnsi="Verdana" w:cs="Arial"/>
          <w:sz w:val="24"/>
          <w:szCs w:val="24"/>
          <w:shd w:val="clear" w:color="auto" w:fill="FFFFFF"/>
          <w:lang w:val="es-ES" w:eastAsia="es-MX"/>
        </w:rPr>
        <w:t xml:space="preserve"> </w:t>
      </w:r>
      <w:r w:rsidRPr="00B65AE3">
        <w:rPr>
          <w:rFonts w:ascii="Verdana" w:eastAsia="Times New Roman" w:hAnsi="Verdana" w:cs="Segoe UI"/>
          <w:color w:val="2B2B2B"/>
          <w:sz w:val="24"/>
          <w:szCs w:val="24"/>
          <w:lang w:eastAsia="es-CO"/>
        </w:rPr>
        <w:t>C-1041 del 30 de julio de 2026, C-1041 del 30 de julio de 2026, C-1053 del 13 de agosto de 2026, C-1088 del 20 de agosto de 2</w:t>
      </w:r>
      <w:r>
        <w:rPr>
          <w:rFonts w:ascii="Verdana" w:eastAsia="Times New Roman" w:hAnsi="Verdana" w:cs="Segoe UI"/>
          <w:color w:val="2B2B2B"/>
          <w:sz w:val="24"/>
          <w:szCs w:val="24"/>
          <w:lang w:eastAsia="es-CO"/>
        </w:rPr>
        <w:t>0</w:t>
      </w:r>
      <w:r w:rsidRPr="00B65AE3">
        <w:rPr>
          <w:rFonts w:ascii="Verdana" w:eastAsia="Times New Roman" w:hAnsi="Verdana" w:cs="Segoe UI"/>
          <w:color w:val="2B2B2B"/>
          <w:sz w:val="24"/>
          <w:szCs w:val="24"/>
          <w:lang w:eastAsia="es-CO"/>
        </w:rPr>
        <w:t xml:space="preserve">26. </w:t>
      </w:r>
      <w:r w:rsidRPr="00B65AE3">
        <w:rPr>
          <w:rFonts w:ascii="Verdana" w:eastAsia="Calibri" w:hAnsi="Verdana" w:cs="Arial"/>
          <w:sz w:val="24"/>
          <w:szCs w:val="24"/>
          <w:shd w:val="clear" w:color="auto" w:fill="FFFFFF"/>
          <w:lang w:val="es-ES" w:eastAsia="es-MX"/>
        </w:rPr>
        <w:t xml:space="preserve">entre otros. </w:t>
      </w:r>
    </w:p>
    <w:p w14:paraId="1BA2A3B0" w14:textId="0F7D2B61" w:rsidR="00102DF6" w:rsidRPr="00DA5916" w:rsidRDefault="00102DF6" w:rsidP="00DA5916">
      <w:pPr>
        <w:spacing w:after="550"/>
        <w:jc w:val="both"/>
        <w:rPr>
          <w:rFonts w:ascii="Verdana" w:eastAsia="Times New Roman" w:hAnsi="Verdana" w:cs="Segoe UI"/>
          <w:color w:val="2B2B2B"/>
          <w:sz w:val="24"/>
          <w:szCs w:val="24"/>
          <w:lang w:val="es-ES" w:eastAsia="es-CO"/>
        </w:rPr>
      </w:pPr>
      <w:r w:rsidRPr="00B65AE3">
        <w:rPr>
          <w:rFonts w:ascii="Verdana" w:eastAsia="Calibri" w:hAnsi="Verdana" w:cs="Arial"/>
          <w:sz w:val="24"/>
          <w:szCs w:val="24"/>
        </w:rPr>
        <w:t xml:space="preserve">Estos y otros conceptos se encuentran disponibles para consulta en el Sistema de relatoría de la Agencia, al cual se puede acceder a través del siguiente enlace: </w:t>
      </w:r>
      <w:hyperlink r:id="rId13" w:history="1">
        <w:r w:rsidR="00E367C4" w:rsidRPr="0059537D">
          <w:rPr>
            <w:rStyle w:val="Hipervnculo"/>
            <w:rFonts w:ascii="Verdana" w:eastAsia="Calibri" w:hAnsi="Verdana" w:cs="Arial"/>
            <w:sz w:val="24"/>
            <w:szCs w:val="24"/>
          </w:rPr>
          <w:t>https://relatoria.colombiacompra.gov.co/busqueda/conceptos</w:t>
        </w:r>
      </w:hyperlink>
      <w:r w:rsidRPr="00B65AE3">
        <w:rPr>
          <w:rFonts w:ascii="Verdana" w:eastAsia="Calibri" w:hAnsi="Verdana" w:cs="Arial"/>
          <w:sz w:val="24"/>
          <w:szCs w:val="24"/>
        </w:rPr>
        <w:t>.</w:t>
      </w:r>
    </w:p>
    <w:p w14:paraId="496E5966" w14:textId="77777777" w:rsidR="00102DF6" w:rsidRPr="00A71C0F" w:rsidRDefault="00102DF6" w:rsidP="00102DF6">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r w:rsidRPr="00A71C0F">
        <w:rPr>
          <w:rFonts w:ascii="Verdana" w:eastAsia="Calibri" w:hAnsi="Verdana" w:cs="Arial"/>
          <w:kern w:val="2"/>
          <w:shd w:val="clear" w:color="auto" w:fill="FFFFFF"/>
          <w:lang w:val="es-ES_tradnl"/>
          <w14:ligatures w14:val="standardContextual"/>
        </w:rPr>
        <w:t>La</w:t>
      </w:r>
      <w:r w:rsidRPr="00A71C0F">
        <w:rPr>
          <w:rFonts w:ascii="Verdana" w:eastAsia="Calibri" w:hAnsi="Verdana" w:cs="Arial"/>
          <w:b/>
          <w:bCs/>
          <w:kern w:val="2"/>
          <w:shd w:val="clear" w:color="auto" w:fill="FFFFFF"/>
          <w:lang w:val="es-ES_tradnl"/>
          <w14:ligatures w14:val="standardContextual"/>
        </w:rPr>
        <w:t xml:space="preserve"> Agencia Nacional de Contratación Pública - Colombia Compra Eficiente</w:t>
      </w:r>
      <w:r w:rsidRPr="00A71C0F">
        <w:rPr>
          <w:rFonts w:ascii="Verdana" w:eastAsia="Calibri" w:hAnsi="Verdana" w:cs="Arial"/>
          <w:kern w:val="2"/>
          <w:shd w:val="clear" w:color="auto" w:fill="FFFFFF"/>
          <w:lang w:val="es-ES_tradnl"/>
          <w14:ligatures w14:val="standardContextual"/>
        </w:rPr>
        <w:t> recomienda a todas las entidades públicas, independientemente de su naturaleza, que gestionan recursos públicos, la aplicación de los </w:t>
      </w:r>
      <w:r w:rsidRPr="00A71C0F">
        <w:rPr>
          <w:rFonts w:ascii="Verdana" w:eastAsia="Calibri" w:hAnsi="Verdana" w:cs="Arial"/>
          <w:b/>
          <w:bCs/>
          <w:kern w:val="2"/>
          <w:shd w:val="clear" w:color="auto" w:fill="FFFFFF"/>
          <w:lang w:val="es-ES_tradnl"/>
          <w14:ligatures w14:val="standardContextual"/>
        </w:rPr>
        <w:t>Documentos Tipo</w:t>
      </w:r>
      <w:r w:rsidRPr="00A71C0F">
        <w:rPr>
          <w:rFonts w:ascii="Verdana" w:eastAsia="Calibri" w:hAnsi="Verdana" w:cs="Arial"/>
          <w:kern w:val="2"/>
          <w:shd w:val="clear" w:color="auto" w:fill="FFFFFF"/>
          <w:lang w:val="es-ES_tradnl"/>
          <w14:ligatures w14:val="standardContextual"/>
        </w:rPr>
        <w:t>. Esta recomendación es válida tanto para su uso obligatorio, cuando así lo establezca la normatividad vigente, como para su implementación como una buena práctica. El objetivo es garantizar la </w:t>
      </w:r>
      <w:r w:rsidRPr="00A71C0F">
        <w:rPr>
          <w:rFonts w:ascii="Verdana" w:eastAsia="Calibri" w:hAnsi="Verdana" w:cs="Arial"/>
          <w:b/>
          <w:bCs/>
          <w:kern w:val="2"/>
          <w:shd w:val="clear" w:color="auto" w:fill="FFFFFF"/>
          <w:lang w:val="es-ES_tradnl"/>
          <w14:ligatures w14:val="standardContextual"/>
        </w:rPr>
        <w:t>transparencia</w:t>
      </w:r>
      <w:r w:rsidRPr="00A71C0F">
        <w:rPr>
          <w:rFonts w:ascii="Verdana" w:eastAsia="Calibri" w:hAnsi="Verdana" w:cs="Arial"/>
          <w:kern w:val="2"/>
          <w:shd w:val="clear" w:color="auto" w:fill="FFFFFF"/>
          <w:lang w:val="es-ES_tradnl"/>
          <w14:ligatures w14:val="standardContextual"/>
        </w:rPr>
        <w:t> y promover un proceso de </w:t>
      </w:r>
      <w:r w:rsidRPr="00A71C0F">
        <w:rPr>
          <w:rFonts w:ascii="Verdana" w:eastAsia="Calibri" w:hAnsi="Verdana" w:cs="Arial"/>
          <w:b/>
          <w:bCs/>
          <w:kern w:val="2"/>
          <w:shd w:val="clear" w:color="auto" w:fill="FFFFFF"/>
          <w:lang w:val="es-ES_tradnl"/>
          <w14:ligatures w14:val="standardContextual"/>
        </w:rPr>
        <w:t>selección objetiva</w:t>
      </w:r>
      <w:r w:rsidRPr="00A71C0F">
        <w:rPr>
          <w:rFonts w:ascii="Verdana" w:eastAsia="Calibri" w:hAnsi="Verdana" w:cs="Arial"/>
          <w:kern w:val="2"/>
          <w:shd w:val="clear" w:color="auto" w:fill="FFFFFF"/>
          <w:lang w:val="es-ES_tradnl"/>
          <w14:ligatures w14:val="standardContextual"/>
        </w:rPr>
        <w:t xml:space="preserve"> en la contratación pública, contribuyendo así a </w:t>
      </w:r>
      <w:r w:rsidRPr="00A71C0F">
        <w:rPr>
          <w:rFonts w:ascii="Verdana" w:eastAsia="Calibri" w:hAnsi="Verdana" w:cs="Arial"/>
          <w:kern w:val="2"/>
          <w:shd w:val="clear" w:color="auto" w:fill="FFFFFF"/>
          <w:lang w:val="es-ES_tradnl"/>
          <w14:ligatures w14:val="standardContextual"/>
        </w:rPr>
        <w:lastRenderedPageBreak/>
        <w:t>mejorar la eficiencia, la competencia y la confianza en el manejo de los recursos del Estado.</w:t>
      </w:r>
    </w:p>
    <w:p w14:paraId="29687C51" w14:textId="77777777" w:rsidR="00102DF6" w:rsidRPr="00A71C0F" w:rsidRDefault="00102DF6" w:rsidP="00102DF6">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p>
    <w:p w14:paraId="2875F63C" w14:textId="77777777" w:rsidR="00102DF6" w:rsidRPr="00E071C4" w:rsidRDefault="00102DF6" w:rsidP="00102DF6">
      <w:pPr>
        <w:spacing w:after="0" w:line="276" w:lineRule="auto"/>
        <w:jc w:val="both"/>
        <w:rPr>
          <w:rFonts w:ascii="Verdana" w:eastAsia="Aptos" w:hAnsi="Verdana" w:cs="Times New Roman"/>
          <w:kern w:val="2"/>
          <w:lang w:val="it-IT"/>
          <w14:ligatures w14:val="standardContextual"/>
        </w:rPr>
      </w:pPr>
      <w:r w:rsidRPr="00A71C0F">
        <w:rPr>
          <w:rFonts w:ascii="Verdana" w:eastAsia="Aptos" w:hAnsi="Verdana" w:cs="Times New Roman"/>
          <w:kern w:val="2"/>
          <w14:ligatures w14:val="standardContextual"/>
        </w:rPr>
        <w:t>Las garantías no son un requisito formal: son el instrumento con el que se protege el patrimonio público frente a los riesgos del contrato. Por ello, la Agencia Nacional de Contratación Pública –Colombia Compra Eficiente– le invita a consultar la nueva versión de la </w:t>
      </w:r>
      <w:r w:rsidRPr="00A71C0F">
        <w:rPr>
          <w:rFonts w:ascii="Verdana" w:eastAsia="Aptos" w:hAnsi="Verdana" w:cs="Times New Roman"/>
          <w:b/>
          <w:bCs/>
          <w:kern w:val="2"/>
          <w14:ligatures w14:val="standardContextual"/>
        </w:rPr>
        <w:t>Guía para la Exigencia y Constitución de Garantías en los Procesos de Contratación</w:t>
      </w:r>
      <w:r w:rsidRPr="00A71C0F">
        <w:rPr>
          <w:rFonts w:ascii="Verdana" w:eastAsia="Aptos" w:hAnsi="Verdana" w:cs="Times New Roman"/>
          <w:kern w:val="2"/>
          <w14:ligatures w14:val="standardContextual"/>
        </w:rPr>
        <w:t xml:space="preserve">, dirigida a las entidades sometidas al EGCAP y a las de regímenes exceptuados, así como a proveedores y órganos de control. Encontrará orientaciones sobre las clases de garantías admisibles, la correspondencia entre riesgos asignados y amparos exigidos, su suficiencia y vigencia, y el procedimiento para hacerlas efectivas. </w:t>
      </w:r>
      <w:r w:rsidRPr="00E071C4">
        <w:rPr>
          <w:rFonts w:ascii="Verdana" w:eastAsia="Aptos" w:hAnsi="Verdana" w:cs="Times New Roman"/>
          <w:kern w:val="2"/>
          <w:lang w:val="it-IT"/>
          <w14:ligatures w14:val="standardContextual"/>
        </w:rPr>
        <w:t>Consúltela aquí: </w:t>
      </w:r>
      <w:r>
        <w:fldChar w:fldCharType="begin"/>
      </w:r>
      <w:r>
        <w:instrText>HYPERLINK "https://nam02.safelinks.protection.outlook.com/?url=https%3A%2F%2Fwww.colombiacompra.gov.co%2Farchivos%2Fmanual%2Fguia-de-garantias-en-procesos-de-contratacion&amp;data=05%7C02%7Ckevin.herrera%40colombiacompra.gov.co%7C7128555136e04fa6887d08dee99e1b50%7C7b09041e245149d08cb179d5e3d8c1be%7C0%7C0%7C639205062456125663%7CUnknown%7CTWFpbGZsb3d8eyJFbXB0eU1hcGkiOnRydWUsIlYiOiIwLjAuMDAwMCIsIlAiOiJXaW4zMiIsIkFOIjoiTWFpbCIsIldUIjoyfQ%3D%3D%7C0%7C%7C%7C&amp;sdata=Ldbf5hiM2miaBuoT6GaOxk01ChsdPNYZcsyx%2BC3HcKE%3D&amp;reserved=0" \t "_blank" \o "Original URL: https://www.colombiacompra.gov.co/archivos/manual/guia-de-garantias-en-procesos-de-contratacion. Click or tap if you trust this link."</w:instrText>
      </w:r>
      <w:r>
        <w:fldChar w:fldCharType="separate"/>
      </w:r>
      <w:r w:rsidRPr="00E071C4">
        <w:rPr>
          <w:rFonts w:ascii="Verdana" w:eastAsia="Aptos" w:hAnsi="Verdana" w:cs="Times New Roman"/>
          <w:color w:val="0000FF"/>
          <w:kern w:val="2"/>
          <w:u w:val="single"/>
          <w:lang w:val="it-IT"/>
          <w14:ligatures w14:val="standardContextual"/>
        </w:rPr>
        <w:t>https://www.colombiacompra.gov.co/archivos/manual/guia-de-garantias-en-procesos-de-contratacion</w:t>
      </w:r>
      <w:r>
        <w:fldChar w:fldCharType="end"/>
      </w:r>
    </w:p>
    <w:p w14:paraId="50742839" w14:textId="77777777" w:rsidR="00102DF6" w:rsidRPr="00E071C4" w:rsidRDefault="00102DF6" w:rsidP="00102DF6">
      <w:pPr>
        <w:spacing w:after="0" w:line="276" w:lineRule="auto"/>
        <w:jc w:val="both"/>
        <w:rPr>
          <w:rFonts w:ascii="Verdana" w:eastAsia="Aptos" w:hAnsi="Verdana" w:cs="Times New Roman"/>
          <w:kern w:val="2"/>
          <w:lang w:val="it-IT"/>
          <w14:ligatures w14:val="standardContextual"/>
        </w:rPr>
      </w:pPr>
    </w:p>
    <w:p w14:paraId="1337F70A" w14:textId="77777777" w:rsidR="00102DF6" w:rsidRPr="00E071C4" w:rsidRDefault="00102DF6" w:rsidP="00102DF6">
      <w:pPr>
        <w:spacing w:after="0" w:line="276" w:lineRule="auto"/>
        <w:jc w:val="both"/>
        <w:rPr>
          <w:rFonts w:ascii="Verdana" w:eastAsia="Aptos" w:hAnsi="Verdana" w:cs="Times New Roman"/>
          <w:kern w:val="2"/>
          <w:lang w:val="it-IT"/>
          <w14:ligatures w14:val="standardContextual"/>
        </w:rPr>
      </w:pPr>
      <w:r w:rsidRPr="00A71C0F">
        <w:rPr>
          <w:rFonts w:ascii="Verdana" w:eastAsia="Aptos" w:hAnsi="Verdana" w:cs="Times New Roman"/>
          <w:kern w:val="2"/>
          <w14:ligatures w14:val="standardContextual"/>
        </w:rPr>
        <w:t>De otro lado, le contamos que el Decreto 287 del 19 de marzo de 2026 sustituyó los artículos 2.2.1.2.4.2.6., 2.2.1.2.4.2.7. y 2.2.1.2.4.2.8. del Decreto 1082 de 2015 y estructuró el </w:t>
      </w:r>
      <w:r w:rsidRPr="00A71C0F">
        <w:rPr>
          <w:rFonts w:ascii="Verdana" w:eastAsia="Aptos" w:hAnsi="Verdana" w:cs="Times New Roman"/>
          <w:b/>
          <w:bCs/>
          <w:kern w:val="2"/>
          <w14:ligatures w14:val="standardContextual"/>
        </w:rPr>
        <w:t>Sistema Integral de Preferencias en favor de las personas con discapacidad</w:t>
      </w:r>
      <w:r w:rsidRPr="00A71C0F">
        <w:rPr>
          <w:rFonts w:ascii="Verdana" w:eastAsia="Aptos" w:hAnsi="Verdana" w:cs="Times New Roman"/>
          <w:kern w:val="2"/>
          <w14:ligatures w14:val="standardContextual"/>
        </w:rPr>
        <w:t>, en cumplimiento del artículo 13 de la Ley Estatutaria 1618 de 2013. Para orientar su aplicación, esta Agencia expidió la </w:t>
      </w:r>
      <w:r w:rsidRPr="00A71C0F">
        <w:rPr>
          <w:rFonts w:ascii="Verdana" w:eastAsia="Aptos" w:hAnsi="Verdana" w:cs="Times New Roman"/>
          <w:b/>
          <w:bCs/>
          <w:kern w:val="2"/>
          <w14:ligatures w14:val="standardContextual"/>
        </w:rPr>
        <w:t>Circular Externa 003 del 12 de mayo de 2026, </w:t>
      </w:r>
      <w:r w:rsidRPr="00A71C0F">
        <w:rPr>
          <w:rFonts w:ascii="Verdana" w:eastAsia="Aptos" w:hAnsi="Verdana" w:cs="Times New Roman"/>
          <w:kern w:val="2"/>
          <w14:ligatures w14:val="standardContextual"/>
        </w:rPr>
        <w:t xml:space="preserve">en la que precisa quiénes son los beneficiarios, las cinco medidas que integran el sistema y su obligatoriedad según la modalidad de selección, y el régimen de transición aplicable a los procesos en curso. </w:t>
      </w:r>
      <w:r w:rsidRPr="00E071C4">
        <w:rPr>
          <w:rFonts w:ascii="Verdana" w:eastAsia="Aptos" w:hAnsi="Verdana" w:cs="Times New Roman"/>
          <w:kern w:val="2"/>
          <w:lang w:val="it-IT"/>
          <w14:ligatures w14:val="standardContextual"/>
        </w:rPr>
        <w:t>Consúltela aquí: </w:t>
      </w:r>
      <w:r>
        <w:fldChar w:fldCharType="begin"/>
      </w:r>
      <w:r>
        <w:instrText>HYPERLINK "https://nam02.safelinks.protection.outlook.com/?url=https%3A%2F%2Fwww.colombiacompra.gov.co%2Farchivos%2Fcircular%2Fcircular-externa-003-de-2026&amp;data=05%7C02%7Ckevin.herrera%40colombiacompra.gov.co%7C7128555136e04fa6887d08dee99e1b50%7C7b09041e245149d08cb179d5e3d8c1be%7C0%7C0%7C639205062456152838%7CUnknown%7CTWFpbGZsb3d8eyJFbXB0eU1hcGkiOnRydWUsIlYiOiIwLjAuMDAwMCIsIlAiOiJXaW4zMiIsIkFOIjoiTWFpbCIsIldUIjoyfQ%3D%3D%7C0%7C%7C%7C&amp;sdata=bgDPR1P0CVRLi6mk9%2BWdCPNYTnkaFQJscHNWdb%2FEGkw%3D&amp;reserved=0" \t "_blank" \o "Original URL: https://www.colombiacompra.gov.co/archivos/circular/circular-externa-003-de-2026. Click or tap if you trust this link."</w:instrText>
      </w:r>
      <w:r>
        <w:fldChar w:fldCharType="separate"/>
      </w:r>
      <w:r w:rsidRPr="00E071C4">
        <w:rPr>
          <w:rFonts w:ascii="Verdana" w:eastAsia="Aptos" w:hAnsi="Verdana" w:cs="Times New Roman"/>
          <w:color w:val="0000FF"/>
          <w:kern w:val="2"/>
          <w:u w:val="single"/>
          <w:lang w:val="it-IT"/>
          <w14:ligatures w14:val="standardContextual"/>
        </w:rPr>
        <w:t>https://www.colombiacompra.gov.co/archivos/circular/circular-externa-003-de-2026</w:t>
      </w:r>
      <w:r>
        <w:fldChar w:fldCharType="end"/>
      </w:r>
    </w:p>
    <w:p w14:paraId="650CF66C" w14:textId="77777777" w:rsidR="00102DF6" w:rsidRPr="00E071C4" w:rsidRDefault="00102DF6" w:rsidP="00102DF6">
      <w:pPr>
        <w:spacing w:after="0" w:line="276" w:lineRule="auto"/>
        <w:jc w:val="both"/>
        <w:rPr>
          <w:rFonts w:ascii="Verdana" w:eastAsia="Aptos" w:hAnsi="Verdana" w:cs="Times New Roman"/>
          <w:kern w:val="2"/>
          <w:lang w:val="it-IT"/>
          <w14:ligatures w14:val="standardContextual"/>
        </w:rPr>
      </w:pPr>
    </w:p>
    <w:p w14:paraId="3D568B7D" w14:textId="77777777" w:rsidR="00102DF6" w:rsidRPr="00A71C0F" w:rsidRDefault="00102DF6" w:rsidP="00102DF6">
      <w:pPr>
        <w:spacing w:after="0" w:line="276" w:lineRule="auto"/>
        <w:jc w:val="both"/>
        <w:rPr>
          <w:rFonts w:ascii="Verdana" w:eastAsia="Aptos" w:hAnsi="Verdana" w:cs="Times New Roman"/>
          <w:kern w:val="2"/>
          <w:lang w:val="es-ES_tradnl"/>
          <w14:ligatures w14:val="standardContextual"/>
        </w:rPr>
      </w:pPr>
      <w:r w:rsidRPr="00A71C0F">
        <w:rPr>
          <w:rFonts w:ascii="Verdana" w:eastAsia="Aptos" w:hAnsi="Verdana" w:cs="Times New Roman"/>
          <w:kern w:val="2"/>
          <w14:ligatures w14:val="standardContextual"/>
        </w:rPr>
        <w:t>Recuerde también que la</w:t>
      </w:r>
      <w:r w:rsidRPr="00A71C0F">
        <w:rPr>
          <w:rFonts w:ascii="Verdana" w:eastAsia="Aptos" w:hAnsi="Verdana" w:cs="Times New Roman"/>
          <w:b/>
          <w:bCs/>
          <w:kern w:val="2"/>
          <w14:ligatures w14:val="standardContextual"/>
        </w:rPr>
        <w:t> información sobre sanciones e inhabilidades </w:t>
      </w:r>
      <w:r w:rsidRPr="00A71C0F">
        <w:rPr>
          <w:rFonts w:ascii="Verdana" w:eastAsia="Aptos" w:hAnsi="Verdana" w:cs="Times New Roman"/>
          <w:kern w:val="2"/>
          <w14:ligatures w14:val="standardContextual"/>
        </w:rPr>
        <w:t>solo cumple su función preventiva si llega oportunamente a los registros públicos. Sobre este deber, esta Agencia expidió la </w:t>
      </w:r>
      <w:r w:rsidRPr="00A71C0F">
        <w:rPr>
          <w:rFonts w:ascii="Verdana" w:eastAsia="Aptos" w:hAnsi="Verdana" w:cs="Times New Roman"/>
          <w:b/>
          <w:bCs/>
          <w:kern w:val="2"/>
          <w14:ligatures w14:val="standardContextual"/>
        </w:rPr>
        <w:t>Circular Externa 002 del 5 de mayo de 2026,</w:t>
      </w:r>
      <w:r w:rsidRPr="00A71C0F">
        <w:rPr>
          <w:rFonts w:ascii="Verdana" w:eastAsia="Aptos" w:hAnsi="Verdana" w:cs="Times New Roman"/>
          <w:kern w:val="2"/>
          <w14:ligatures w14:val="standardContextual"/>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w:t>
      </w:r>
      <w:r w:rsidRPr="00A71C0F">
        <w:rPr>
          <w:rFonts w:ascii="Verdana" w:eastAsia="Aptos" w:hAnsi="Verdana" w:cs="Times New Roman"/>
          <w:kern w:val="2"/>
          <w14:ligatures w14:val="standardContextual"/>
        </w:rPr>
        <w:lastRenderedPageBreak/>
        <w:t>aquí: </w:t>
      </w:r>
      <w:hyperlink r:id="rId14" w:tgtFrame="_blank" w:tooltip="Original URL: https://www.colombiacompra.gov.co/archivos/circular/circular-externa-002-de-2026. Click or tap if you trust this link." w:history="1">
        <w:r w:rsidRPr="00A71C0F">
          <w:rPr>
            <w:rFonts w:ascii="Verdana" w:eastAsia="Aptos" w:hAnsi="Verdana" w:cs="Times New Roman"/>
            <w:color w:val="0000FF"/>
            <w:kern w:val="2"/>
            <w:u w:val="single"/>
            <w14:ligatures w14:val="standardContextual"/>
          </w:rPr>
          <w:t>https://www.colombiacompra.gov.co/archivos/circular/circular-externa-002-de-2026</w:t>
        </w:r>
      </w:hyperlink>
    </w:p>
    <w:p w14:paraId="3C3216B9" w14:textId="77777777" w:rsidR="00102DF6" w:rsidRPr="00A71C0F" w:rsidRDefault="00102DF6" w:rsidP="00102DF6">
      <w:pPr>
        <w:spacing w:after="0" w:line="276" w:lineRule="auto"/>
        <w:jc w:val="both"/>
        <w:rPr>
          <w:rFonts w:ascii="Verdana" w:eastAsia="Aptos" w:hAnsi="Verdana" w:cs="Times New Roman"/>
          <w:kern w:val="2"/>
          <w14:ligatures w14:val="standardContextual"/>
        </w:rPr>
      </w:pPr>
    </w:p>
    <w:p w14:paraId="689E88A7" w14:textId="77777777" w:rsidR="00102DF6" w:rsidRPr="00A71C0F" w:rsidRDefault="00102DF6" w:rsidP="00102DF6">
      <w:pPr>
        <w:spacing w:after="0" w:line="276" w:lineRule="auto"/>
        <w:jc w:val="both"/>
        <w:rPr>
          <w:rFonts w:ascii="Verdana" w:eastAsia="Aptos" w:hAnsi="Verdana" w:cs="Times New Roman"/>
          <w:kern w:val="2"/>
          <w14:ligatures w14:val="standardContextual"/>
        </w:rPr>
      </w:pPr>
      <w:r w:rsidRPr="00A71C0F">
        <w:rPr>
          <w:rFonts w:ascii="Verdana" w:eastAsia="Aptos" w:hAnsi="Verdana" w:cs="Times New Roman"/>
          <w:kern w:val="2"/>
          <w14:ligatures w14:val="standardContextual"/>
        </w:rPr>
        <w:t>Finalmente, si quiere seguir de cerca la actividad de la Agencia, la tercera edición de 2026 del</w:t>
      </w:r>
      <w:r w:rsidRPr="00A71C0F">
        <w:rPr>
          <w:rFonts w:ascii="Verdana" w:eastAsia="Aptos" w:hAnsi="Verdana" w:cs="Times New Roman"/>
          <w:b/>
          <w:bCs/>
          <w:kern w:val="2"/>
          <w14:ligatures w14:val="standardContextual"/>
        </w:rPr>
        <w:t> Radar de la Compra Pública</w:t>
      </w:r>
      <w:r w:rsidRPr="00A71C0F">
        <w:rPr>
          <w:rFonts w:ascii="Verdana" w:eastAsia="Aptos" w:hAnsi="Verdana" w:cs="Times New Roman"/>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Descárguelo aquí: </w:t>
      </w:r>
      <w:hyperlink r:id="rId15" w:tgtFrame="_blank" w:tooltip="Original URL: https://www.colombiacompra.gov.co/archivos/boletin/boletin-edicion-n-3-de-2026-radar-de-la-compra-publica. Click or tap if you trust this link." w:history="1">
        <w:r w:rsidRPr="00A71C0F">
          <w:rPr>
            <w:rFonts w:ascii="Verdana" w:eastAsia="Aptos" w:hAnsi="Verdana" w:cs="Times New Roman"/>
            <w:color w:val="0000FF"/>
            <w:kern w:val="2"/>
            <w:u w:val="single"/>
            <w14:ligatures w14:val="standardContextual"/>
          </w:rPr>
          <w:t>https://www.colombiacompra.gov.co/archivos/boletin/boletin-edicion-n-3-de-2026-radar-de-la-compra-publica</w:t>
        </w:r>
      </w:hyperlink>
    </w:p>
    <w:p w14:paraId="24ED5985" w14:textId="77777777" w:rsidR="00102DF6" w:rsidRPr="009552C8" w:rsidRDefault="00102DF6" w:rsidP="00102DF6">
      <w:pPr>
        <w:spacing w:after="0" w:line="240" w:lineRule="auto"/>
        <w:jc w:val="both"/>
        <w:rPr>
          <w:rFonts w:ascii="Verdana" w:eastAsia="Calibri" w:hAnsi="Verdana" w:cs="Times New Roman"/>
          <w:kern w:val="2"/>
          <w14:ligatures w14:val="standardContextual"/>
        </w:rPr>
      </w:pPr>
      <w:r w:rsidRPr="009552C8">
        <w:rPr>
          <w:rFonts w:ascii="Verdana" w:eastAsia="Aptos" w:hAnsi="Verdana" w:cs="Times New Roman"/>
          <w:kern w:val="2"/>
          <w14:ligatures w14:val="standardContextual"/>
        </w:rPr>
        <w:t xml:space="preserve">Por último, lo invitamos a seguirnos en las redes sociales en las cuales se difunde información institucional: </w:t>
      </w:r>
    </w:p>
    <w:p w14:paraId="408FF78B" w14:textId="77777777" w:rsidR="00102DF6" w:rsidRPr="009552C8" w:rsidRDefault="00102DF6" w:rsidP="00102DF6">
      <w:pPr>
        <w:spacing w:after="0" w:line="240" w:lineRule="auto"/>
        <w:jc w:val="both"/>
        <w:rPr>
          <w:rFonts w:ascii="Verdana" w:eastAsia="Aptos" w:hAnsi="Verdana" w:cs="Times New Roman"/>
          <w:kern w:val="2"/>
          <w14:ligatures w14:val="standardContextual"/>
        </w:rPr>
      </w:pPr>
    </w:p>
    <w:p w14:paraId="6E185A1F" w14:textId="77777777" w:rsidR="00102DF6" w:rsidRPr="009552C8" w:rsidRDefault="00102DF6" w:rsidP="00102DF6">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Twitter: </w:t>
      </w:r>
      <w:r w:rsidRPr="007603CE">
        <w:rPr>
          <w:rFonts w:ascii="Verdana" w:eastAsia="Calibri" w:hAnsi="Verdana" w:cs="Times New Roman"/>
          <w:color w:val="0000FF"/>
          <w:kern w:val="2"/>
          <w:u w:val="single"/>
          <w14:ligatures w14:val="standardContextual"/>
        </w:rPr>
        <w:t>@colombiacompra</w:t>
      </w:r>
      <w:r w:rsidRPr="007603CE">
        <w:rPr>
          <w:rFonts w:ascii="Verdana" w:eastAsia="Calibri" w:hAnsi="Verdana" w:cs="Times New Roman"/>
          <w:color w:val="0000FF"/>
          <w:kern w:val="2"/>
          <w14:ligatures w14:val="standardContextual"/>
        </w:rPr>
        <w:t xml:space="preserve"> </w:t>
      </w:r>
    </w:p>
    <w:p w14:paraId="3746542B" w14:textId="77777777" w:rsidR="00102DF6" w:rsidRPr="009552C8" w:rsidRDefault="00102DF6" w:rsidP="00102DF6">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Facebook: </w:t>
      </w:r>
      <w:proofErr w:type="spellStart"/>
      <w:r w:rsidRPr="007603CE">
        <w:rPr>
          <w:rFonts w:ascii="Verdana" w:eastAsia="Calibri" w:hAnsi="Verdana" w:cs="Times New Roman"/>
          <w:color w:val="0000FF"/>
          <w:kern w:val="2"/>
          <w:u w:val="single"/>
          <w14:ligatures w14:val="standardContextual"/>
        </w:rPr>
        <w:t>ColombiaCompraEficiente</w:t>
      </w:r>
      <w:proofErr w:type="spellEnd"/>
    </w:p>
    <w:p w14:paraId="2017C7AB" w14:textId="77777777" w:rsidR="00102DF6" w:rsidRPr="009552C8" w:rsidRDefault="00102DF6" w:rsidP="00102DF6">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LinkedIn: </w:t>
      </w:r>
      <w:r w:rsidRPr="007603CE">
        <w:rPr>
          <w:rFonts w:ascii="Verdana" w:eastAsia="Calibri" w:hAnsi="Verdana" w:cs="Times New Roman"/>
          <w:color w:val="0000FF"/>
          <w:kern w:val="2"/>
          <w:u w:val="single"/>
          <w14:ligatures w14:val="standardContextual"/>
        </w:rPr>
        <w:t>Agencia Nacional de Contratación Pública - Colombia Compra Eficiente</w:t>
      </w:r>
      <w:r w:rsidRPr="007603CE">
        <w:rPr>
          <w:rFonts w:ascii="Verdana" w:eastAsia="Calibri" w:hAnsi="Verdana" w:cs="Times New Roman"/>
          <w:color w:val="0000FF"/>
          <w:kern w:val="2"/>
          <w14:ligatures w14:val="standardContextual"/>
        </w:rPr>
        <w:t xml:space="preserve"> </w:t>
      </w:r>
      <w:r w:rsidRPr="009552C8">
        <w:rPr>
          <w:rFonts w:ascii="Verdana" w:eastAsia="Aptos" w:hAnsi="Verdana" w:cs="Times New Roman"/>
          <w:kern w:val="2"/>
          <w14:ligatures w14:val="standardContextual"/>
        </w:rPr>
        <w:t xml:space="preserve">Instagram: </w:t>
      </w:r>
      <w:r w:rsidRPr="007603CE">
        <w:rPr>
          <w:rFonts w:ascii="Verdana" w:eastAsia="Calibri" w:hAnsi="Verdana" w:cs="Times New Roman"/>
          <w:color w:val="0000FF"/>
          <w:kern w:val="2"/>
          <w:u w:val="single"/>
          <w14:ligatures w14:val="standardContextual"/>
        </w:rPr>
        <w:t>@colombiacompraeficiente_cce</w:t>
      </w:r>
    </w:p>
    <w:p w14:paraId="4B53C0FD" w14:textId="77777777" w:rsidR="00102DF6" w:rsidRPr="005D21BF" w:rsidRDefault="00102DF6" w:rsidP="00102DF6">
      <w:pPr>
        <w:widowControl w:val="0"/>
        <w:autoSpaceDE w:val="0"/>
        <w:autoSpaceDN w:val="0"/>
        <w:spacing w:after="0" w:line="276" w:lineRule="auto"/>
        <w:jc w:val="both"/>
        <w:rPr>
          <w:rFonts w:ascii="Verdana" w:eastAsia="Calibri" w:hAnsi="Verdana" w:cs="Arial"/>
          <w:color w:val="000000" w:themeColor="text1"/>
          <w:kern w:val="2"/>
          <w14:ligatures w14:val="standardContextual"/>
        </w:rPr>
      </w:pPr>
    </w:p>
    <w:p w14:paraId="671F89E4" w14:textId="77777777" w:rsidR="00102DF6" w:rsidRDefault="00102DF6" w:rsidP="00102DF6">
      <w:pPr>
        <w:widowControl w:val="0"/>
        <w:autoSpaceDE w:val="0"/>
        <w:autoSpaceDN w:val="0"/>
        <w:spacing w:after="0" w:line="276" w:lineRule="auto"/>
        <w:jc w:val="both"/>
        <w:rPr>
          <w:rFonts w:ascii="Verdana" w:eastAsia="Calibri" w:hAnsi="Verdana" w:cs="Arial"/>
          <w:color w:val="000000" w:themeColor="text1"/>
          <w:kern w:val="2"/>
          <w:lang w:val="es-ES_tradnl"/>
          <w14:ligatures w14:val="standardContextual"/>
        </w:rPr>
      </w:pPr>
      <w:r w:rsidRPr="00EF54B1">
        <w:rPr>
          <w:rFonts w:ascii="Verdana" w:eastAsia="Calibri" w:hAnsi="Verdana" w:cs="Arial"/>
          <w:color w:val="000000" w:themeColor="text1"/>
          <w:kern w:val="2"/>
          <w:lang w:val="es-ES_tradnl"/>
          <w14:ligatures w14:val="standardContextua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3FF9E3D1" w14:textId="77777777" w:rsidR="00102DF6" w:rsidRPr="00EF54B1" w:rsidRDefault="00102DF6" w:rsidP="00102DF6">
      <w:pPr>
        <w:widowControl w:val="0"/>
        <w:autoSpaceDE w:val="0"/>
        <w:autoSpaceDN w:val="0"/>
        <w:spacing w:after="0" w:line="276" w:lineRule="auto"/>
        <w:jc w:val="both"/>
        <w:rPr>
          <w:rFonts w:ascii="Verdana" w:eastAsia="Calibri" w:hAnsi="Verdana" w:cs="Arial"/>
          <w:color w:val="000000" w:themeColor="text1"/>
        </w:rPr>
      </w:pPr>
    </w:p>
    <w:p w14:paraId="77911BD2" w14:textId="78C2CD6F" w:rsidR="00102DF6" w:rsidRDefault="00102DF6" w:rsidP="00D23A51">
      <w:pPr>
        <w:spacing w:after="0" w:line="240" w:lineRule="auto"/>
        <w:rPr>
          <w:rFonts w:ascii="Verdana" w:eastAsia="Calibri" w:hAnsi="Verdana" w:cs="Arial"/>
          <w:color w:val="000000" w:themeColor="text1"/>
          <w:lang w:eastAsia="es-CO"/>
        </w:rPr>
      </w:pPr>
      <w:r w:rsidRPr="00EF54B1">
        <w:rPr>
          <w:rFonts w:ascii="Verdana" w:eastAsia="Times New Roman" w:hAnsi="Verdana" w:cs="Arial"/>
          <w:color w:val="000000" w:themeColor="text1"/>
          <w:lang w:eastAsia="es-CO"/>
        </w:rPr>
        <w:t>Atentamente,</w:t>
      </w:r>
      <w:r w:rsidRPr="00EF54B1">
        <w:rPr>
          <w:rFonts w:ascii="Verdana" w:eastAsia="Calibri" w:hAnsi="Verdana" w:cs="Arial"/>
          <w:color w:val="000000" w:themeColor="text1"/>
          <w:lang w:eastAsia="es-CO"/>
        </w:rPr>
        <w:t xml:space="preserve"> </w:t>
      </w:r>
    </w:p>
    <w:p w14:paraId="032E3E0A" w14:textId="487F470E" w:rsidR="00D23A51" w:rsidRDefault="00D23A51" w:rsidP="00D23A51">
      <w:pPr>
        <w:spacing w:after="0" w:line="240" w:lineRule="auto"/>
        <w:jc w:val="center"/>
        <w:rPr>
          <w:rFonts w:ascii="Verdana" w:eastAsia="Calibri" w:hAnsi="Verdana" w:cs="Arial"/>
          <w:color w:val="000000" w:themeColor="text1"/>
          <w:lang w:eastAsia="es-CO"/>
        </w:rPr>
      </w:pPr>
      <w:r>
        <w:rPr>
          <w:noProof/>
        </w:rPr>
        <w:drawing>
          <wp:inline distT="0" distB="0" distL="0" distR="0" wp14:anchorId="55D5BAC7" wp14:editId="4AC13BEB">
            <wp:extent cx="2958066" cy="1099595"/>
            <wp:effectExtent l="0" t="0" r="0" b="5715"/>
            <wp:docPr id="13074112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411279" name="Imagen 1307411279"/>
                    <pic:cNvPicPr/>
                  </pic:nvPicPr>
                  <pic:blipFill>
                    <a:blip r:embed="rId16">
                      <a:extLst>
                        <a:ext uri="{28A0092B-C50C-407E-A947-70E740481C1C}">
                          <a14:useLocalDpi xmlns:a14="http://schemas.microsoft.com/office/drawing/2010/main" val="0"/>
                        </a:ext>
                      </a:extLst>
                    </a:blip>
                    <a:stretch>
                      <a:fillRect/>
                    </a:stretch>
                  </pic:blipFill>
                  <pic:spPr>
                    <a:xfrm>
                      <a:off x="0" y="0"/>
                      <a:ext cx="2983185" cy="1108932"/>
                    </a:xfrm>
                    <a:prstGeom prst="rect">
                      <a:avLst/>
                    </a:prstGeom>
                  </pic:spPr>
                </pic:pic>
              </a:graphicData>
            </a:graphic>
          </wp:inline>
        </w:drawing>
      </w:r>
    </w:p>
    <w:p w14:paraId="3C3E2BD3" w14:textId="77777777" w:rsidR="00D23A51" w:rsidRPr="00D23A51" w:rsidRDefault="00D23A51" w:rsidP="00D23A51">
      <w:pPr>
        <w:spacing w:after="0" w:line="240" w:lineRule="auto"/>
        <w:jc w:val="center"/>
        <w:rPr>
          <w:rFonts w:ascii="Verdana" w:eastAsia="Calibri" w:hAnsi="Verdana" w:cs="Arial"/>
          <w:color w:val="000000" w:themeColor="text1"/>
          <w:lang w:eastAsia="es-CO"/>
        </w:rPr>
      </w:pPr>
    </w:p>
    <w:tbl>
      <w:tblPr>
        <w:tblStyle w:val="Tablaconcuadrcula"/>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85"/>
        <w:gridCol w:w="5925"/>
      </w:tblGrid>
      <w:tr w:rsidR="00102DF6" w14:paraId="7A0EB884" w14:textId="77777777" w:rsidTr="00310B0E">
        <w:trPr>
          <w:trHeight w:val="315"/>
        </w:trPr>
        <w:tc>
          <w:tcPr>
            <w:tcW w:w="1185" w:type="dxa"/>
            <w:tcBorders>
              <w:top w:val="nil"/>
              <w:left w:val="nil"/>
              <w:bottom w:val="nil"/>
              <w:right w:val="nil"/>
            </w:tcBorders>
            <w:tcMar>
              <w:left w:w="105" w:type="dxa"/>
              <w:right w:w="105" w:type="dxa"/>
            </w:tcMar>
            <w:vAlign w:val="center"/>
          </w:tcPr>
          <w:p w14:paraId="14E54698" w14:textId="2EF40FF8" w:rsidR="00102DF6" w:rsidRDefault="00102DF6" w:rsidP="00310B0E">
            <w:pPr>
              <w:rPr>
                <w:rFonts w:ascii="Verdana" w:eastAsia="Verdana" w:hAnsi="Verdana" w:cs="Verdana"/>
                <w:sz w:val="16"/>
                <w:szCs w:val="16"/>
              </w:rPr>
            </w:pPr>
            <w:r w:rsidRPr="3F869DD7">
              <w:rPr>
                <w:rFonts w:ascii="Verdana" w:eastAsia="Verdana" w:hAnsi="Verdana" w:cs="Verdana"/>
                <w:sz w:val="16"/>
                <w:szCs w:val="16"/>
              </w:rPr>
              <w:t>Elabor</w:t>
            </w:r>
            <w:r>
              <w:rPr>
                <w:rFonts w:ascii="Verdana" w:eastAsia="Verdana" w:hAnsi="Verdana" w:cs="Verdana"/>
                <w:sz w:val="16"/>
                <w:szCs w:val="16"/>
              </w:rPr>
              <w:t>ó</w:t>
            </w:r>
            <w:r w:rsidRPr="3F869DD7">
              <w:rPr>
                <w:rFonts w:ascii="Verdana" w:eastAsia="Verdana" w:hAnsi="Verdana" w:cs="Verdana"/>
                <w:sz w:val="16"/>
                <w:szCs w:val="16"/>
              </w:rPr>
              <w:t>:</w:t>
            </w:r>
          </w:p>
        </w:tc>
        <w:tc>
          <w:tcPr>
            <w:tcW w:w="5925" w:type="dxa"/>
            <w:tcBorders>
              <w:top w:val="nil"/>
              <w:left w:val="nil"/>
              <w:bottom w:val="dotted" w:sz="4" w:space="0" w:color="7F7F7F" w:themeColor="text1" w:themeTint="80"/>
              <w:right w:val="nil"/>
            </w:tcBorders>
            <w:tcMar>
              <w:left w:w="105" w:type="dxa"/>
              <w:right w:w="105" w:type="dxa"/>
            </w:tcMar>
            <w:vAlign w:val="center"/>
          </w:tcPr>
          <w:p w14:paraId="3AD20013" w14:textId="77777777" w:rsidR="00102DF6" w:rsidRDefault="00102DF6" w:rsidP="00310B0E">
            <w:pPr>
              <w:rPr>
                <w:rFonts w:ascii="Verdana" w:eastAsia="Times New Roman" w:hAnsi="Verdana" w:cs="Segoe UI"/>
                <w:color w:val="000000" w:themeColor="text1"/>
                <w:sz w:val="16"/>
                <w:szCs w:val="16"/>
                <w:lang w:eastAsia="es-ES"/>
              </w:rPr>
            </w:pPr>
            <w:r w:rsidRPr="3F869DD7">
              <w:rPr>
                <w:rFonts w:ascii="Verdana" w:eastAsia="Arial" w:hAnsi="Verdana" w:cs="Arial"/>
                <w:color w:val="000000" w:themeColor="text1"/>
                <w:sz w:val="16"/>
                <w:szCs w:val="16"/>
                <w:lang w:val="es-ES"/>
              </w:rPr>
              <w:t>Denis Andrea Cárdenas Hernández</w:t>
            </w:r>
          </w:p>
          <w:p w14:paraId="2244735F" w14:textId="77777777" w:rsidR="00102DF6" w:rsidRDefault="00102DF6" w:rsidP="00310B0E">
            <w:pPr>
              <w:rPr>
                <w:rFonts w:ascii="Verdana" w:eastAsia="Arial" w:hAnsi="Verdana" w:cs="Arial"/>
                <w:color w:val="000000" w:themeColor="text1"/>
                <w:sz w:val="16"/>
                <w:szCs w:val="16"/>
                <w:lang w:val="es-ES"/>
              </w:rPr>
            </w:pPr>
            <w:r w:rsidRPr="3F869DD7">
              <w:rPr>
                <w:rFonts w:ascii="Verdana" w:eastAsia="Arial" w:hAnsi="Verdana" w:cs="Arial"/>
                <w:color w:val="000000" w:themeColor="text1"/>
                <w:sz w:val="16"/>
                <w:szCs w:val="16"/>
                <w:lang w:val="es-ES"/>
              </w:rPr>
              <w:t>Analista T2-01 de la Subdirección de Gestión Contractual</w:t>
            </w:r>
          </w:p>
          <w:p w14:paraId="5175C995" w14:textId="06C42CB7" w:rsidR="00102DF6" w:rsidRDefault="00102DF6" w:rsidP="00310B0E">
            <w:pPr>
              <w:rPr>
                <w:rFonts w:ascii="Verdana" w:eastAsia="Arial" w:hAnsi="Verdana" w:cs="Arial"/>
                <w:color w:val="000000" w:themeColor="text1"/>
                <w:sz w:val="16"/>
                <w:szCs w:val="16"/>
                <w:lang w:val="es-ES"/>
              </w:rPr>
            </w:pPr>
            <w:r>
              <w:rPr>
                <w:rFonts w:ascii="Verdana" w:eastAsia="Arial" w:hAnsi="Verdana" w:cs="Arial"/>
                <w:color w:val="000000" w:themeColor="text1"/>
                <w:sz w:val="16"/>
                <w:szCs w:val="16"/>
                <w:lang w:val="es-ES"/>
              </w:rPr>
              <w:t>Alexandra Rodríguez Motta</w:t>
            </w:r>
          </w:p>
          <w:p w14:paraId="25599DFD" w14:textId="08A2358A" w:rsidR="00102DF6" w:rsidRDefault="00102DF6" w:rsidP="00310B0E">
            <w:pPr>
              <w:rPr>
                <w:rFonts w:ascii="Verdana" w:eastAsia="Arial" w:hAnsi="Verdana" w:cs="Arial"/>
                <w:color w:val="000000" w:themeColor="text1"/>
                <w:sz w:val="16"/>
                <w:szCs w:val="16"/>
                <w:lang w:val="es-ES"/>
              </w:rPr>
            </w:pPr>
            <w:r>
              <w:rPr>
                <w:rFonts w:ascii="Verdana" w:eastAsia="Arial" w:hAnsi="Verdana" w:cs="Arial"/>
                <w:color w:val="000000" w:themeColor="text1"/>
                <w:sz w:val="16"/>
                <w:szCs w:val="16"/>
                <w:lang w:val="es-ES"/>
              </w:rPr>
              <w:t xml:space="preserve">Contratista de la </w:t>
            </w:r>
            <w:r w:rsidRPr="3F869DD7">
              <w:rPr>
                <w:rFonts w:ascii="Verdana" w:eastAsia="Arial" w:hAnsi="Verdana" w:cs="Arial"/>
                <w:color w:val="000000" w:themeColor="text1"/>
                <w:sz w:val="16"/>
                <w:szCs w:val="16"/>
                <w:lang w:val="es-ES"/>
              </w:rPr>
              <w:t>Subdirección de Gestión Contractual</w:t>
            </w:r>
          </w:p>
        </w:tc>
      </w:tr>
      <w:tr w:rsidR="00102DF6" w14:paraId="352791D2" w14:textId="77777777" w:rsidTr="00310B0E">
        <w:trPr>
          <w:trHeight w:val="315"/>
        </w:trPr>
        <w:tc>
          <w:tcPr>
            <w:tcW w:w="1185" w:type="dxa"/>
            <w:tcBorders>
              <w:top w:val="nil"/>
              <w:left w:val="nil"/>
              <w:bottom w:val="nil"/>
              <w:right w:val="nil"/>
            </w:tcBorders>
            <w:tcMar>
              <w:left w:w="105" w:type="dxa"/>
              <w:right w:w="105" w:type="dxa"/>
            </w:tcMar>
            <w:vAlign w:val="center"/>
          </w:tcPr>
          <w:p w14:paraId="21C99658" w14:textId="77777777" w:rsidR="00102DF6" w:rsidRDefault="00102DF6" w:rsidP="00310B0E">
            <w:pPr>
              <w:rPr>
                <w:rFonts w:ascii="Verdana" w:eastAsia="Verdana" w:hAnsi="Verdana" w:cs="Verdana"/>
                <w:sz w:val="16"/>
                <w:szCs w:val="16"/>
              </w:rPr>
            </w:pPr>
            <w:r w:rsidRPr="3F869DD7">
              <w:rPr>
                <w:rFonts w:ascii="Verdana" w:eastAsia="Verdana" w:hAnsi="Verdana" w:cs="Verdana"/>
                <w:sz w:val="16"/>
                <w:szCs w:val="16"/>
              </w:rPr>
              <w:t>Revisó:</w:t>
            </w:r>
          </w:p>
        </w:tc>
        <w:tc>
          <w:tcPr>
            <w:tcW w:w="5925" w:type="dxa"/>
            <w:tcBorders>
              <w:top w:val="dotted" w:sz="4" w:space="0" w:color="7F7F7F" w:themeColor="text1" w:themeTint="80"/>
              <w:left w:val="nil"/>
              <w:bottom w:val="dotted" w:sz="4" w:space="0" w:color="7F7F7F" w:themeColor="text1" w:themeTint="80"/>
              <w:right w:val="nil"/>
            </w:tcBorders>
            <w:tcMar>
              <w:left w:w="105" w:type="dxa"/>
              <w:right w:w="105" w:type="dxa"/>
            </w:tcMar>
            <w:vAlign w:val="center"/>
          </w:tcPr>
          <w:p w14:paraId="4D996125" w14:textId="77777777" w:rsidR="00102DF6" w:rsidRDefault="00102DF6" w:rsidP="00310B0E">
            <w:pPr>
              <w:rPr>
                <w:rFonts w:ascii="Verdana" w:eastAsia="Verdana" w:hAnsi="Verdana" w:cs="Verdana"/>
                <w:sz w:val="16"/>
                <w:szCs w:val="16"/>
              </w:rPr>
            </w:pPr>
            <w:r>
              <w:rPr>
                <w:rFonts w:ascii="Verdana" w:eastAsia="Verdana" w:hAnsi="Verdana" w:cs="Verdana"/>
                <w:sz w:val="16"/>
                <w:szCs w:val="16"/>
              </w:rPr>
              <w:t>Martha Alicia Romero Vargas</w:t>
            </w:r>
          </w:p>
          <w:p w14:paraId="1030A49B" w14:textId="77777777" w:rsidR="00102DF6" w:rsidRDefault="00102DF6" w:rsidP="00310B0E">
            <w:pPr>
              <w:rPr>
                <w:rFonts w:ascii="Verdana" w:eastAsia="Verdana" w:hAnsi="Verdana" w:cs="Verdana"/>
                <w:sz w:val="16"/>
                <w:szCs w:val="16"/>
              </w:rPr>
            </w:pPr>
            <w:r>
              <w:rPr>
                <w:rFonts w:ascii="Verdana" w:eastAsia="Verdana" w:hAnsi="Verdana" w:cs="Verdana"/>
                <w:sz w:val="16"/>
                <w:szCs w:val="16"/>
              </w:rPr>
              <w:t xml:space="preserve">Gestor T1-15 </w:t>
            </w:r>
            <w:r w:rsidRPr="3F869DD7">
              <w:rPr>
                <w:rFonts w:ascii="Verdana" w:eastAsia="Verdana" w:hAnsi="Verdana" w:cs="Verdana"/>
                <w:sz w:val="16"/>
                <w:szCs w:val="16"/>
              </w:rPr>
              <w:t>de la Subdirección de Gestión Contractual</w:t>
            </w:r>
          </w:p>
        </w:tc>
      </w:tr>
      <w:tr w:rsidR="00102DF6" w14:paraId="6AE12BC2" w14:textId="77777777" w:rsidTr="00310B0E">
        <w:trPr>
          <w:trHeight w:val="300"/>
        </w:trPr>
        <w:tc>
          <w:tcPr>
            <w:tcW w:w="1185" w:type="dxa"/>
            <w:tcBorders>
              <w:top w:val="nil"/>
              <w:left w:val="nil"/>
              <w:bottom w:val="nil"/>
              <w:right w:val="nil"/>
            </w:tcBorders>
            <w:tcMar>
              <w:left w:w="105" w:type="dxa"/>
              <w:right w:w="105" w:type="dxa"/>
            </w:tcMar>
            <w:vAlign w:val="center"/>
          </w:tcPr>
          <w:p w14:paraId="4A11F204" w14:textId="77777777" w:rsidR="00102DF6" w:rsidRDefault="00102DF6" w:rsidP="00310B0E">
            <w:pPr>
              <w:rPr>
                <w:rFonts w:ascii="Verdana" w:eastAsia="Verdana" w:hAnsi="Verdana" w:cs="Verdana"/>
                <w:sz w:val="16"/>
                <w:szCs w:val="16"/>
              </w:rPr>
            </w:pPr>
            <w:r w:rsidRPr="3F869DD7">
              <w:rPr>
                <w:rFonts w:ascii="Verdana" w:eastAsia="Verdana" w:hAnsi="Verdana" w:cs="Verdana"/>
                <w:sz w:val="16"/>
                <w:szCs w:val="16"/>
              </w:rPr>
              <w:t>Aprobó:</w:t>
            </w:r>
          </w:p>
        </w:tc>
        <w:tc>
          <w:tcPr>
            <w:tcW w:w="5925" w:type="dxa"/>
            <w:tcBorders>
              <w:top w:val="dotted" w:sz="4" w:space="0" w:color="7F7F7F" w:themeColor="text1" w:themeTint="80"/>
              <w:left w:val="nil"/>
              <w:bottom w:val="dotted" w:sz="4" w:space="0" w:color="7F7F7F" w:themeColor="text1" w:themeTint="80"/>
              <w:right w:val="nil"/>
            </w:tcBorders>
            <w:tcMar>
              <w:left w:w="105" w:type="dxa"/>
              <w:right w:w="105" w:type="dxa"/>
            </w:tcMar>
            <w:vAlign w:val="center"/>
          </w:tcPr>
          <w:p w14:paraId="2D7E5D4B" w14:textId="77777777" w:rsidR="00102DF6" w:rsidRDefault="00102DF6" w:rsidP="00310B0E">
            <w:pPr>
              <w:rPr>
                <w:rFonts w:ascii="Verdana" w:eastAsia="Verdana" w:hAnsi="Verdana" w:cs="Verdana"/>
                <w:sz w:val="16"/>
                <w:szCs w:val="16"/>
              </w:rPr>
            </w:pPr>
            <w:r w:rsidRPr="3F869DD7">
              <w:rPr>
                <w:rFonts w:ascii="Verdana" w:eastAsia="Verdana" w:hAnsi="Verdana" w:cs="Verdana"/>
                <w:sz w:val="16"/>
                <w:szCs w:val="16"/>
              </w:rPr>
              <w:t>Carolina Quintero Gacharná</w:t>
            </w:r>
          </w:p>
          <w:p w14:paraId="63CDD7EB" w14:textId="77777777" w:rsidR="00102DF6" w:rsidRDefault="00102DF6" w:rsidP="00310B0E">
            <w:pPr>
              <w:rPr>
                <w:rFonts w:ascii="Verdana" w:eastAsia="Verdana" w:hAnsi="Verdana" w:cs="Verdana"/>
                <w:sz w:val="16"/>
                <w:szCs w:val="16"/>
              </w:rPr>
            </w:pPr>
            <w:r w:rsidRPr="3F869DD7">
              <w:rPr>
                <w:rFonts w:ascii="Verdana" w:eastAsia="Verdana" w:hAnsi="Verdana" w:cs="Verdana"/>
                <w:sz w:val="16"/>
                <w:szCs w:val="16"/>
              </w:rPr>
              <w:t>Subdirectora de Gestión Contractual ANCP – CCE</w:t>
            </w:r>
          </w:p>
        </w:tc>
      </w:tr>
      <w:bookmarkEnd w:id="0"/>
    </w:tbl>
    <w:p w14:paraId="0F293BF4" w14:textId="598CEB42" w:rsidR="00127233" w:rsidRPr="0015699B" w:rsidRDefault="00127233" w:rsidP="00102DF6">
      <w:pPr>
        <w:spacing w:after="0" w:line="240" w:lineRule="auto"/>
        <w:textAlignment w:val="baseline"/>
        <w:rPr>
          <w:rFonts w:ascii="Verdana" w:eastAsia="Verdana" w:hAnsi="Verdana" w:cs="Verdana"/>
          <w:lang w:eastAsia="es-CO"/>
        </w:rPr>
      </w:pPr>
    </w:p>
    <w:sectPr w:rsidR="00127233" w:rsidRPr="0015699B"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B7832" w14:textId="77777777" w:rsidR="00197319" w:rsidRDefault="00197319" w:rsidP="004A1847">
      <w:pPr>
        <w:spacing w:after="0" w:line="240" w:lineRule="auto"/>
      </w:pPr>
      <w:r>
        <w:separator/>
      </w:r>
    </w:p>
  </w:endnote>
  <w:endnote w:type="continuationSeparator" w:id="0">
    <w:p w14:paraId="10F76F6D" w14:textId="77777777" w:rsidR="00197319" w:rsidRDefault="00197319"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33F9C" w14:textId="77777777" w:rsidR="00197319" w:rsidRDefault="00197319" w:rsidP="004A1847">
      <w:pPr>
        <w:spacing w:after="0" w:line="240" w:lineRule="auto"/>
      </w:pPr>
      <w:r>
        <w:separator/>
      </w:r>
    </w:p>
  </w:footnote>
  <w:footnote w:type="continuationSeparator" w:id="0">
    <w:p w14:paraId="11E67167" w14:textId="77777777" w:rsidR="00197319" w:rsidRDefault="00197319" w:rsidP="004A1847">
      <w:pPr>
        <w:spacing w:after="0" w:line="240" w:lineRule="auto"/>
      </w:pPr>
      <w:r>
        <w:continuationSeparator/>
      </w:r>
    </w:p>
  </w:footnote>
  <w:footnote w:id="1">
    <w:p w14:paraId="20480AB4" w14:textId="77777777" w:rsidR="00102DF6" w:rsidRPr="00EB1E25" w:rsidRDefault="00102DF6" w:rsidP="00102DF6">
      <w:pPr>
        <w:pStyle w:val="Textonotapie"/>
        <w:ind w:firstLine="708"/>
        <w:jc w:val="both"/>
        <w:rPr>
          <w:rFonts w:ascii="Verdana" w:hAnsi="Verdana"/>
          <w:sz w:val="18"/>
          <w:szCs w:val="18"/>
        </w:rPr>
      </w:pPr>
      <w:r w:rsidRPr="00EB1E25">
        <w:rPr>
          <w:rStyle w:val="Refdenotaalpie"/>
          <w:rFonts w:ascii="Verdana" w:hAnsi="Verdana"/>
          <w:sz w:val="18"/>
          <w:szCs w:val="18"/>
        </w:rPr>
        <w:footnoteRef/>
      </w:r>
      <w:r w:rsidRPr="00EB1E25">
        <w:rPr>
          <w:rFonts w:ascii="Verdana" w:hAnsi="Verdana"/>
          <w:sz w:val="18"/>
          <w:szCs w:val="18"/>
        </w:rPr>
        <w:t xml:space="preserve"> Resolución 539 del 21 de agosto de 2025, artículo 23. “Vigencia. La presente resolución rige a partir de su publicación y aplicará a los procedimientos de selección de licitación de obra pública de infraestructura social en los sectores educación, salud, cultura, recreación y deporte, institucional y vivienda, cuyo aviso de convocatoria sea publicado a partir del 16 de febrero de 2026”.</w:t>
      </w:r>
    </w:p>
    <w:p w14:paraId="06CF6E57" w14:textId="77777777" w:rsidR="00102DF6" w:rsidRPr="00EB1E25" w:rsidRDefault="00102DF6" w:rsidP="00102DF6">
      <w:pPr>
        <w:pStyle w:val="Textonotapie"/>
        <w:ind w:firstLine="708"/>
        <w:jc w:val="both"/>
        <w:rPr>
          <w:rFonts w:ascii="Verdana" w:hAnsi="Verdana"/>
          <w:sz w:val="18"/>
          <w:szCs w:val="18"/>
        </w:rPr>
      </w:pPr>
    </w:p>
    <w:p w14:paraId="5EC8B600" w14:textId="77777777" w:rsidR="00102DF6" w:rsidRPr="00EB1E25" w:rsidRDefault="00102DF6" w:rsidP="00102DF6">
      <w:pPr>
        <w:pStyle w:val="Textonotapie"/>
        <w:ind w:firstLine="708"/>
        <w:jc w:val="both"/>
        <w:rPr>
          <w:rFonts w:ascii="Verdana" w:hAnsi="Verdana"/>
          <w:sz w:val="18"/>
          <w:szCs w:val="18"/>
        </w:rPr>
      </w:pPr>
      <w:r w:rsidRPr="00EB1E25">
        <w:rPr>
          <w:rFonts w:ascii="Verdana" w:hAnsi="Verdana"/>
          <w:sz w:val="18"/>
          <w:szCs w:val="18"/>
        </w:rPr>
        <w:t>Resolución 540 del 21 de agosto de 2025, artículo 22. Vigencia. La presente resolución rige a partir de su publicación y aplicará a los procedimientos de selección abreviada de menor cuantía de obra pública de infraestructura social de los sectores educación, salud, cultura, recreación y deporte, institucional y vivienda, cuyo aviso de convocatoria sea publicado a partir del 16 de febrero de 2026.</w:t>
      </w:r>
    </w:p>
    <w:p w14:paraId="54FB1942" w14:textId="77777777" w:rsidR="00102DF6" w:rsidRPr="00EB1E25" w:rsidRDefault="00102DF6" w:rsidP="00102DF6">
      <w:pPr>
        <w:pStyle w:val="Textonotapie"/>
        <w:ind w:firstLine="708"/>
        <w:jc w:val="both"/>
        <w:rPr>
          <w:rFonts w:ascii="Verdana" w:hAnsi="Verdana"/>
          <w:sz w:val="18"/>
          <w:szCs w:val="18"/>
        </w:rPr>
      </w:pPr>
    </w:p>
    <w:p w14:paraId="4004CB19" w14:textId="77777777" w:rsidR="00102DF6" w:rsidRPr="00EB1E25" w:rsidRDefault="00102DF6" w:rsidP="00102DF6">
      <w:pPr>
        <w:pStyle w:val="Textonotapie"/>
        <w:ind w:firstLine="708"/>
        <w:jc w:val="both"/>
        <w:rPr>
          <w:rFonts w:ascii="Verdana" w:hAnsi="Verdana"/>
          <w:sz w:val="18"/>
          <w:szCs w:val="18"/>
        </w:rPr>
      </w:pPr>
      <w:r w:rsidRPr="00EB1E25">
        <w:rPr>
          <w:rFonts w:ascii="Verdana" w:hAnsi="Verdana"/>
          <w:sz w:val="18"/>
          <w:szCs w:val="18"/>
        </w:rPr>
        <w:t>Resolución 541 del 21 de agosto de 2025, artículo 22. Vigencia. La presente resolución rige a partir de su publicación y aplicará a los procedimientos de mínima cuantía de obra pública de infraestructura de los sectores educación, salud, cultura, recreación y deporte, institucional y vivienda, cuyo aviso de convocatoria sea publicado a partir del 16 de febrero de 2026.</w:t>
      </w:r>
    </w:p>
    <w:p w14:paraId="12F05AEC" w14:textId="77777777" w:rsidR="00102DF6" w:rsidRPr="00EB1E25" w:rsidRDefault="00102DF6" w:rsidP="00102DF6">
      <w:pPr>
        <w:pStyle w:val="Textonotapie"/>
        <w:ind w:firstLine="708"/>
        <w:jc w:val="both"/>
        <w:rPr>
          <w:rFonts w:ascii="Verdana" w:hAnsi="Verdana"/>
          <w:sz w:val="18"/>
          <w:szCs w:val="18"/>
        </w:rPr>
      </w:pPr>
    </w:p>
    <w:p w14:paraId="29DCC53C" w14:textId="77777777" w:rsidR="00102DF6" w:rsidRPr="00EB1E25" w:rsidRDefault="00102DF6" w:rsidP="00102DF6">
      <w:pPr>
        <w:pStyle w:val="Textonotapie"/>
        <w:ind w:firstLine="708"/>
        <w:jc w:val="both"/>
        <w:rPr>
          <w:rFonts w:ascii="Verdana" w:hAnsi="Verdana"/>
          <w:sz w:val="18"/>
          <w:szCs w:val="18"/>
        </w:rPr>
      </w:pPr>
      <w:r w:rsidRPr="00EB1E25">
        <w:rPr>
          <w:rFonts w:ascii="Verdana" w:hAnsi="Verdana"/>
          <w:sz w:val="18"/>
          <w:szCs w:val="18"/>
        </w:rPr>
        <w:t>Resolución 952 del 15 de diciembre de 2025, artículo 22. Vigencia. La presente resolución rige a partir de su publicación, y aplicará para los procesos de selección de concurso de méritos para contratar la consultoría de estudios de ingeniería de infraestructura social en los sectores educación, salud, cultura, recreación y deporte, institucional y vivienda, cuyo aviso de convocatoria se publique a partir del 16 de febrero de 2026.</w:t>
      </w:r>
    </w:p>
    <w:p w14:paraId="15875CCD" w14:textId="77777777" w:rsidR="00102DF6" w:rsidRPr="00EB1E25" w:rsidRDefault="00102DF6" w:rsidP="00102DF6">
      <w:pPr>
        <w:pStyle w:val="Textonotapie"/>
        <w:ind w:firstLine="708"/>
        <w:jc w:val="both"/>
        <w:rPr>
          <w:rFonts w:ascii="Verdana" w:hAnsi="Verdana"/>
          <w:sz w:val="18"/>
          <w:szCs w:val="18"/>
        </w:rPr>
      </w:pPr>
    </w:p>
    <w:p w14:paraId="04FFDB53" w14:textId="77777777" w:rsidR="00102DF6" w:rsidRPr="00EB1E25" w:rsidRDefault="00102DF6" w:rsidP="00102DF6">
      <w:pPr>
        <w:pStyle w:val="Textonotapie"/>
        <w:ind w:firstLine="708"/>
        <w:jc w:val="both"/>
        <w:rPr>
          <w:rFonts w:ascii="Verdana" w:hAnsi="Verdana"/>
          <w:sz w:val="18"/>
          <w:szCs w:val="18"/>
        </w:rPr>
      </w:pPr>
      <w:r w:rsidRPr="00EB1E25">
        <w:rPr>
          <w:rFonts w:ascii="Verdana" w:hAnsi="Verdana"/>
          <w:sz w:val="18"/>
          <w:szCs w:val="18"/>
        </w:rPr>
        <w:t>Resolución 953 del 15 de diciembre de 2025, artículo 22. Vigencia y derogatorias. La presente resolución rige a partir de su publicación, deroga la Resolución 798 del 29 de diciembre de 2023 y sus modificaciones posteriores, y aplicará para los procesos de selección de concurso de méritos para contratar la interventoría de obras públicas de infraestructura social en los sectores educación, salud, cultura, recreación y deporte, institucional y vivienda, cuyo aviso de convocatoria se publique a partir del 16 de febrero de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10.95pt" o:bullet="t">
        <v:imagedata r:id="rId1" o:title="mso1B13"/>
      </v:shape>
    </w:pict>
  </w:numPicBullet>
  <w:abstractNum w:abstractNumId="0" w15:restartNumberingAfterBreak="0">
    <w:nsid w:val="01C06310"/>
    <w:multiLevelType w:val="multilevel"/>
    <w:tmpl w:val="9B2EAF2E"/>
    <w:lvl w:ilvl="0">
      <w:start w:val="1"/>
      <w:numFmt w:val="decimal"/>
      <w:lvlText w:val="%1."/>
      <w:lvlJc w:val="left"/>
      <w:pPr>
        <w:ind w:left="360" w:hanging="360"/>
      </w:pPr>
      <w:rPr>
        <w:b/>
        <w:color w:val="auto"/>
      </w:rPr>
    </w:lvl>
    <w:lvl w:ilvl="1">
      <w:start w:val="2"/>
      <w:numFmt w:val="decimal"/>
      <w:isLgl/>
      <w:lvlText w:val="%1.%2"/>
      <w:lvlJc w:val="left"/>
      <w:pPr>
        <w:ind w:left="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EE8E77B4"/>
    <w:lvl w:ilvl="0" w:tplc="C1D210D2">
      <w:start w:val="1"/>
      <w:numFmt w:val="bullet"/>
      <w:lvlText w:val=""/>
      <w:lvlJc w:val="left"/>
      <w:pPr>
        <w:ind w:left="720" w:hanging="360"/>
      </w:pPr>
      <w:rPr>
        <w:rFonts w:ascii="Symbol" w:hAnsi="Symbol" w:hint="default"/>
        <w:color w:val="auto"/>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69981602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7985604">
    <w:abstractNumId w:val="9"/>
  </w:num>
  <w:num w:numId="18" w16cid:durableId="341274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11CD"/>
    <w:rsid w:val="00016F78"/>
    <w:rsid w:val="00034529"/>
    <w:rsid w:val="00046945"/>
    <w:rsid w:val="00061B2A"/>
    <w:rsid w:val="00067E92"/>
    <w:rsid w:val="00082362"/>
    <w:rsid w:val="00082865"/>
    <w:rsid w:val="000A24C7"/>
    <w:rsid w:val="000A683E"/>
    <w:rsid w:val="000A792F"/>
    <w:rsid w:val="000B19B9"/>
    <w:rsid w:val="000D0334"/>
    <w:rsid w:val="000D5DA7"/>
    <w:rsid w:val="000F6486"/>
    <w:rsid w:val="00102DF6"/>
    <w:rsid w:val="00116940"/>
    <w:rsid w:val="00125105"/>
    <w:rsid w:val="00127233"/>
    <w:rsid w:val="0015166D"/>
    <w:rsid w:val="0015699B"/>
    <w:rsid w:val="00161593"/>
    <w:rsid w:val="00197319"/>
    <w:rsid w:val="001A33BF"/>
    <w:rsid w:val="001E4177"/>
    <w:rsid w:val="001F0B24"/>
    <w:rsid w:val="001F190D"/>
    <w:rsid w:val="001F7DC6"/>
    <w:rsid w:val="0022400B"/>
    <w:rsid w:val="002302B8"/>
    <w:rsid w:val="002421BB"/>
    <w:rsid w:val="0025796E"/>
    <w:rsid w:val="00263D33"/>
    <w:rsid w:val="002707A2"/>
    <w:rsid w:val="002735BC"/>
    <w:rsid w:val="00274E1E"/>
    <w:rsid w:val="002951A0"/>
    <w:rsid w:val="002962BC"/>
    <w:rsid w:val="002A093D"/>
    <w:rsid w:val="002A0DD0"/>
    <w:rsid w:val="002A49AC"/>
    <w:rsid w:val="002A64FD"/>
    <w:rsid w:val="002C7A84"/>
    <w:rsid w:val="002D35DB"/>
    <w:rsid w:val="002E2BF8"/>
    <w:rsid w:val="002E4FD9"/>
    <w:rsid w:val="002F1416"/>
    <w:rsid w:val="0030657A"/>
    <w:rsid w:val="00310B0E"/>
    <w:rsid w:val="00322A85"/>
    <w:rsid w:val="00324168"/>
    <w:rsid w:val="00330834"/>
    <w:rsid w:val="003448F4"/>
    <w:rsid w:val="0036166E"/>
    <w:rsid w:val="00374F5E"/>
    <w:rsid w:val="00377E3E"/>
    <w:rsid w:val="003A779E"/>
    <w:rsid w:val="003D0F4D"/>
    <w:rsid w:val="003D5B0D"/>
    <w:rsid w:val="003E0499"/>
    <w:rsid w:val="003E4F80"/>
    <w:rsid w:val="003E6439"/>
    <w:rsid w:val="003F3941"/>
    <w:rsid w:val="00406575"/>
    <w:rsid w:val="00414C74"/>
    <w:rsid w:val="0042722E"/>
    <w:rsid w:val="00427F3B"/>
    <w:rsid w:val="0044528D"/>
    <w:rsid w:val="0044608B"/>
    <w:rsid w:val="00466E39"/>
    <w:rsid w:val="00486C81"/>
    <w:rsid w:val="004A1847"/>
    <w:rsid w:val="004A305D"/>
    <w:rsid w:val="004F21C4"/>
    <w:rsid w:val="004F685F"/>
    <w:rsid w:val="005121BD"/>
    <w:rsid w:val="005566E8"/>
    <w:rsid w:val="00574867"/>
    <w:rsid w:val="00574E0D"/>
    <w:rsid w:val="00591460"/>
    <w:rsid w:val="005A65E0"/>
    <w:rsid w:val="005B225C"/>
    <w:rsid w:val="005C3777"/>
    <w:rsid w:val="005C5CDC"/>
    <w:rsid w:val="005D476C"/>
    <w:rsid w:val="006164E0"/>
    <w:rsid w:val="006200BF"/>
    <w:rsid w:val="006219F8"/>
    <w:rsid w:val="006302F7"/>
    <w:rsid w:val="00645643"/>
    <w:rsid w:val="00646B9F"/>
    <w:rsid w:val="00665D70"/>
    <w:rsid w:val="006779F1"/>
    <w:rsid w:val="006900D9"/>
    <w:rsid w:val="0069275D"/>
    <w:rsid w:val="006C6406"/>
    <w:rsid w:val="006E6FC6"/>
    <w:rsid w:val="00706C16"/>
    <w:rsid w:val="007340C3"/>
    <w:rsid w:val="0075235A"/>
    <w:rsid w:val="00756841"/>
    <w:rsid w:val="007649AB"/>
    <w:rsid w:val="00765EB5"/>
    <w:rsid w:val="00771D0C"/>
    <w:rsid w:val="007833AC"/>
    <w:rsid w:val="00783D20"/>
    <w:rsid w:val="007B1779"/>
    <w:rsid w:val="007B268C"/>
    <w:rsid w:val="007B7171"/>
    <w:rsid w:val="007C0C0F"/>
    <w:rsid w:val="007C20FE"/>
    <w:rsid w:val="007C3DC2"/>
    <w:rsid w:val="007E5497"/>
    <w:rsid w:val="00806F5F"/>
    <w:rsid w:val="00816B96"/>
    <w:rsid w:val="00820278"/>
    <w:rsid w:val="008258C9"/>
    <w:rsid w:val="00844AE9"/>
    <w:rsid w:val="00867F95"/>
    <w:rsid w:val="008843B6"/>
    <w:rsid w:val="00891928"/>
    <w:rsid w:val="008A446D"/>
    <w:rsid w:val="008B25F1"/>
    <w:rsid w:val="008D180B"/>
    <w:rsid w:val="008D3E3E"/>
    <w:rsid w:val="008F0EA7"/>
    <w:rsid w:val="009163D8"/>
    <w:rsid w:val="00920229"/>
    <w:rsid w:val="00923EEF"/>
    <w:rsid w:val="009419F9"/>
    <w:rsid w:val="0095685E"/>
    <w:rsid w:val="00961B09"/>
    <w:rsid w:val="00962108"/>
    <w:rsid w:val="00965334"/>
    <w:rsid w:val="0097093E"/>
    <w:rsid w:val="00973EAB"/>
    <w:rsid w:val="00981B7C"/>
    <w:rsid w:val="00983634"/>
    <w:rsid w:val="009A0DFA"/>
    <w:rsid w:val="009A1C6F"/>
    <w:rsid w:val="009B2D26"/>
    <w:rsid w:val="009C71FA"/>
    <w:rsid w:val="009C72E7"/>
    <w:rsid w:val="009C7F7E"/>
    <w:rsid w:val="009D3058"/>
    <w:rsid w:val="009E69A6"/>
    <w:rsid w:val="009F3A13"/>
    <w:rsid w:val="00A122D3"/>
    <w:rsid w:val="00A14468"/>
    <w:rsid w:val="00A17F13"/>
    <w:rsid w:val="00A20739"/>
    <w:rsid w:val="00A23AF9"/>
    <w:rsid w:val="00A33C78"/>
    <w:rsid w:val="00A72E30"/>
    <w:rsid w:val="00AB0ADB"/>
    <w:rsid w:val="00AD284C"/>
    <w:rsid w:val="00AF44DA"/>
    <w:rsid w:val="00B00C0E"/>
    <w:rsid w:val="00B01B1A"/>
    <w:rsid w:val="00B0381D"/>
    <w:rsid w:val="00B44A47"/>
    <w:rsid w:val="00B72CD3"/>
    <w:rsid w:val="00B72FFF"/>
    <w:rsid w:val="00BB456E"/>
    <w:rsid w:val="00BC3D36"/>
    <w:rsid w:val="00BD54A6"/>
    <w:rsid w:val="00BD7F72"/>
    <w:rsid w:val="00BE3967"/>
    <w:rsid w:val="00BF60BF"/>
    <w:rsid w:val="00BF7425"/>
    <w:rsid w:val="00C01337"/>
    <w:rsid w:val="00C0458E"/>
    <w:rsid w:val="00C04FB3"/>
    <w:rsid w:val="00C11D8B"/>
    <w:rsid w:val="00C15139"/>
    <w:rsid w:val="00C330EB"/>
    <w:rsid w:val="00C348E0"/>
    <w:rsid w:val="00C50D69"/>
    <w:rsid w:val="00C5365C"/>
    <w:rsid w:val="00C754BE"/>
    <w:rsid w:val="00C76B1C"/>
    <w:rsid w:val="00C925AC"/>
    <w:rsid w:val="00CB6357"/>
    <w:rsid w:val="00CC1B26"/>
    <w:rsid w:val="00D23A51"/>
    <w:rsid w:val="00D361FD"/>
    <w:rsid w:val="00D423A2"/>
    <w:rsid w:val="00D44E26"/>
    <w:rsid w:val="00D520D8"/>
    <w:rsid w:val="00D63AC2"/>
    <w:rsid w:val="00D7383B"/>
    <w:rsid w:val="00D758BC"/>
    <w:rsid w:val="00D7788A"/>
    <w:rsid w:val="00DA231B"/>
    <w:rsid w:val="00DA5916"/>
    <w:rsid w:val="00DC39FC"/>
    <w:rsid w:val="00DD7108"/>
    <w:rsid w:val="00DF5254"/>
    <w:rsid w:val="00E01985"/>
    <w:rsid w:val="00E02524"/>
    <w:rsid w:val="00E071C4"/>
    <w:rsid w:val="00E16408"/>
    <w:rsid w:val="00E20894"/>
    <w:rsid w:val="00E245AB"/>
    <w:rsid w:val="00E2764C"/>
    <w:rsid w:val="00E27F2E"/>
    <w:rsid w:val="00E367C4"/>
    <w:rsid w:val="00E50AFE"/>
    <w:rsid w:val="00E75C92"/>
    <w:rsid w:val="00E771DC"/>
    <w:rsid w:val="00E8772A"/>
    <w:rsid w:val="00E90F6B"/>
    <w:rsid w:val="00E92C27"/>
    <w:rsid w:val="00EA0E3D"/>
    <w:rsid w:val="00EC38A7"/>
    <w:rsid w:val="00EC4BF6"/>
    <w:rsid w:val="00EE1AA8"/>
    <w:rsid w:val="00F05C7D"/>
    <w:rsid w:val="00F23FEA"/>
    <w:rsid w:val="00F31EDC"/>
    <w:rsid w:val="00F462B3"/>
    <w:rsid w:val="00F552EC"/>
    <w:rsid w:val="00F5664F"/>
    <w:rsid w:val="00F6263C"/>
    <w:rsid w:val="00F65442"/>
    <w:rsid w:val="00F666C4"/>
    <w:rsid w:val="00F76AFC"/>
    <w:rsid w:val="00F807FA"/>
    <w:rsid w:val="00FA47C0"/>
    <w:rsid w:val="00FB125C"/>
    <w:rsid w:val="00FB5DD1"/>
    <w:rsid w:val="00FC2B5D"/>
    <w:rsid w:val="00FF1449"/>
    <w:rsid w:val="00FF31F0"/>
    <w:rsid w:val="00FF7963"/>
    <w:rsid w:val="071B8F93"/>
    <w:rsid w:val="07C73DD1"/>
    <w:rsid w:val="08011602"/>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457CAF74-01E1-40B3-A8A4-B555377AD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102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102DF6"/>
    <w:pPr>
      <w:spacing w:line="240" w:lineRule="exact"/>
    </w:pPr>
    <w:rPr>
      <w:vertAlign w:val="superscript"/>
    </w:rPr>
  </w:style>
  <w:style w:type="character" w:styleId="Refdecomentario">
    <w:name w:val="annotation reference"/>
    <w:basedOn w:val="Fuentedeprrafopredeter"/>
    <w:uiPriority w:val="99"/>
    <w:semiHidden/>
    <w:unhideWhenUsed/>
    <w:rsid w:val="007C20FE"/>
    <w:rPr>
      <w:sz w:val="16"/>
      <w:szCs w:val="16"/>
    </w:rPr>
  </w:style>
  <w:style w:type="paragraph" w:styleId="Textocomentario">
    <w:name w:val="annotation text"/>
    <w:basedOn w:val="Normal"/>
    <w:link w:val="TextocomentarioCar"/>
    <w:uiPriority w:val="99"/>
    <w:unhideWhenUsed/>
    <w:rsid w:val="007C20FE"/>
    <w:pPr>
      <w:spacing w:line="240" w:lineRule="auto"/>
    </w:pPr>
    <w:rPr>
      <w:sz w:val="20"/>
      <w:szCs w:val="20"/>
    </w:rPr>
  </w:style>
  <w:style w:type="character" w:customStyle="1" w:styleId="TextocomentarioCar">
    <w:name w:val="Texto comentario Car"/>
    <w:basedOn w:val="Fuentedeprrafopredeter"/>
    <w:link w:val="Textocomentario"/>
    <w:uiPriority w:val="99"/>
    <w:rsid w:val="007C20FE"/>
    <w:rPr>
      <w:sz w:val="20"/>
      <w:szCs w:val="20"/>
    </w:rPr>
  </w:style>
  <w:style w:type="paragraph" w:styleId="Asuntodelcomentario">
    <w:name w:val="annotation subject"/>
    <w:basedOn w:val="Textocomentario"/>
    <w:next w:val="Textocomentario"/>
    <w:link w:val="AsuntodelcomentarioCar"/>
    <w:uiPriority w:val="99"/>
    <w:semiHidden/>
    <w:unhideWhenUsed/>
    <w:rsid w:val="007C20FE"/>
    <w:rPr>
      <w:b/>
      <w:bCs/>
    </w:rPr>
  </w:style>
  <w:style w:type="character" w:customStyle="1" w:styleId="AsuntodelcomentarioCar">
    <w:name w:val="Asunto del comentario Car"/>
    <w:basedOn w:val="TextocomentarioCar"/>
    <w:link w:val="Asuntodelcomentario"/>
    <w:uiPriority w:val="99"/>
    <w:semiHidden/>
    <w:rsid w:val="007C20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olombiacompra.gov.co/documentos-tipo/documentos-tip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ymartinezj@sena.edu.c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boletin%2Fboletin-edicion-n-3-de-2026-radar-de-la-compra-publica&amp;data=05%7C02%7Ckevin.herrera%40colombiacompra.gov.co%7C7128555136e04fa6887d08dee99e1b50%7C7b09041e245149d08cb179d5e3d8c1be%7C0%7C0%7C639205062456193009%7CUnknown%7CTWFpbGZsb3d8eyJFbXB0eU1hcGkiOnRydWUsIlYiOiIwLjAuMDAwMCIsIlAiOiJXaW4zMiIsIkFOIjoiTWFpbCIsIldUIjoyfQ%3D%3D%7C0%7C%7C%7C&amp;sdata=UzfkgEtiaYEyHEetqxt855f8AuP5LYxtk7vvEUZbYA4%3D&amp;reserved=0"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2-de-2026&amp;data=05%7C02%7Ckevin.herrera%40colombiacompra.gov.co%7C7128555136e04fa6887d08dee99e1b50%7C7b09041e245149d08cb179d5e3d8c1be%7C0%7C0%7C639205062456173273%7CUnknown%7CTWFpbGZsb3d8eyJFbXB0eU1hcGkiOnRydWUsIlYiOiIwLjAuMDAwMCIsIlAiOiJXaW4zMiIsIkFOIjoiTWFpbCIsIldUIjoyfQ%3D%3D%7C0%7C%7C%7C&amp;sdata=pFF2weTDwTja7q6Ap9s%2BCx5YiMno7NDP4mFhEzjkVKM%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56D3B3A7-93FE-4598-B5EC-C30DAED9E423}"/>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3</TotalTime>
  <Pages>20</Pages>
  <Words>6966</Words>
  <Characters>38316</Characters>
  <Application>Microsoft Office Word</Application>
  <DocSecurity>0</DocSecurity>
  <Lines>319</Lines>
  <Paragraphs>90</Paragraphs>
  <ScaleCrop>false</ScaleCrop>
  <Company/>
  <LinksUpToDate>false</LinksUpToDate>
  <CharactersWithSpaces>45192</CharactersWithSpaces>
  <SharedDoc>false</SharedDoc>
  <HLinks>
    <vt:vector size="42" baseType="variant">
      <vt:variant>
        <vt:i4>8126526</vt:i4>
      </vt:variant>
      <vt:variant>
        <vt:i4>18</vt:i4>
      </vt:variant>
      <vt:variant>
        <vt:i4>0</vt:i4>
      </vt:variant>
      <vt:variant>
        <vt:i4>5</vt:i4>
      </vt:variant>
      <vt:variant>
        <vt:lpwstr>https://nam02.safelinks.protection.outlook.com/?url=https%3A%2F%2Fwww.colombiacompra.gov.co%2Farchivos%2Fboletin%2Fboletin-edicion-n-3-de-2026-radar-de-la-compra-publica&amp;data=05%7C02%7Ckevin.herrera%40colombiacompra.gov.co%7C7128555136e04fa6887d08dee99e1b50%7C7b09041e245149d08cb179d5e3d8c1be%7C0%7C0%7C639205062456193009%7CUnknown%7CTWFpbGZsb3d8eyJFbXB0eU1hcGkiOnRydWUsIlYiOiIwLjAuMDAwMCIsIlAiOiJXaW4zMiIsIkFOIjoiTWFpbCIsIldUIjoyfQ%3D%3D%7C0%7C%7C%7C&amp;sdata=UzfkgEtiaYEyHEetqxt855f8AuP5LYxtk7vvEUZbYA4%3D&amp;reserved=0</vt:lpwstr>
      </vt:variant>
      <vt:variant>
        <vt:lpwstr/>
      </vt:variant>
      <vt:variant>
        <vt:i4>8060982</vt:i4>
      </vt:variant>
      <vt:variant>
        <vt:i4>15</vt:i4>
      </vt:variant>
      <vt:variant>
        <vt:i4>0</vt:i4>
      </vt:variant>
      <vt:variant>
        <vt:i4>5</vt:i4>
      </vt:variant>
      <vt:variant>
        <vt:lpwstr>https://nam02.safelinks.protection.outlook.com/?url=https%3A%2F%2Fwww.colombiacompra.gov.co%2Farchivos%2Fcircular%2Fcircular-externa-002-de-2026&amp;data=05%7C02%7Ckevin.herrera%40colombiacompra.gov.co%7C7128555136e04fa6887d08dee99e1b50%7C7b09041e245149d08cb179d5e3d8c1be%7C0%7C0%7C639205062456173273%7CUnknown%7CTWFpbGZsb3d8eyJFbXB0eU1hcGkiOnRydWUsIlYiOiIwLjAuMDAwMCIsIlAiOiJXaW4zMiIsIkFOIjoiTWFpbCIsIldUIjoyfQ%3D%3D%7C0%7C%7C%7C&amp;sdata=pFF2weTDwTja7q6Ap9s%2BCx5YiMno7NDP4mFhEzjkVKM%3D&amp;reserved=0</vt:lpwstr>
      </vt:variant>
      <vt:variant>
        <vt:lpwstr/>
      </vt:variant>
      <vt:variant>
        <vt:i4>7995446</vt:i4>
      </vt:variant>
      <vt:variant>
        <vt:i4>12</vt:i4>
      </vt:variant>
      <vt:variant>
        <vt:i4>0</vt:i4>
      </vt:variant>
      <vt:variant>
        <vt:i4>5</vt:i4>
      </vt:variant>
      <vt:variant>
        <vt:lpwstr>https://nam02.safelinks.protection.outlook.com/?url=https%3A%2F%2Fwww.colombiacompra.gov.co%2Farchivos%2Fcircular%2Fcircular-externa-003-de-2026&amp;data=05%7C02%7Ckevin.herrera%40colombiacompra.gov.co%7C7128555136e04fa6887d08dee99e1b50%7C7b09041e245149d08cb179d5e3d8c1be%7C0%7C0%7C639205062456152838%7CUnknown%7CTWFpbGZsb3d8eyJFbXB0eU1hcGkiOnRydWUsIlYiOiIwLjAuMDAwMCIsIlAiOiJXaW4zMiIsIkFOIjoiTWFpbCIsIldUIjoyfQ%3D%3D%7C0%7C%7C%7C&amp;sdata=bgDPR1P0CVRLi6mk9%2BWdCPNYTnkaFQJscHNWdb%2FEGkw%3D&amp;reserved=0</vt:lpwstr>
      </vt:variant>
      <vt:variant>
        <vt:lpwstr/>
      </vt:variant>
      <vt:variant>
        <vt:i4>6815795</vt:i4>
      </vt:variant>
      <vt:variant>
        <vt:i4>9</vt:i4>
      </vt:variant>
      <vt:variant>
        <vt:i4>0</vt:i4>
      </vt:variant>
      <vt:variant>
        <vt:i4>5</vt:i4>
      </vt:variant>
      <vt:variant>
        <vt:lpwstr>https://nam02.safelinks.protection.outlook.com/?url=https%3A%2F%2Fwww.colombiacompra.gov.co%2Farchivos%2Fmanual%2Fguia-de-garantias-en-procesos-de-contratacion&amp;data=05%7C02%7Ckevin.herrera%40colombiacompra.gov.co%7C7128555136e04fa6887d08dee99e1b50%7C7b09041e245149d08cb179d5e3d8c1be%7C0%7C0%7C639205062456125663%7CUnknown%7CTWFpbGZsb3d8eyJFbXB0eU1hcGkiOnRydWUsIlYiOiIwLjAuMDAwMCIsIlAiOiJXaW4zMiIsIkFOIjoiTWFpbCIsIldUIjoyfQ%3D%3D%7C0%7C%7C%7C&amp;sdata=Ldbf5hiM2miaBuoT6GaOxk01ChsdPNYZcsyx%2BC3HcKE%3D&amp;reserved=0</vt:lpwstr>
      </vt:variant>
      <vt:variant>
        <vt:lpwstr/>
      </vt:variant>
      <vt:variant>
        <vt:i4>7471218</vt:i4>
      </vt:variant>
      <vt:variant>
        <vt:i4>6</vt:i4>
      </vt:variant>
      <vt:variant>
        <vt:i4>0</vt:i4>
      </vt:variant>
      <vt:variant>
        <vt:i4>5</vt:i4>
      </vt:variant>
      <vt:variant>
        <vt:lpwstr>https://relatoria.colombiacompra.gov.co/busqueda/conceptos</vt:lpwstr>
      </vt:variant>
      <vt:variant>
        <vt:lpwstr/>
      </vt:variant>
      <vt:variant>
        <vt:i4>4653144</vt:i4>
      </vt:variant>
      <vt:variant>
        <vt:i4>3</vt:i4>
      </vt:variant>
      <vt:variant>
        <vt:i4>0</vt:i4>
      </vt:variant>
      <vt:variant>
        <vt:i4>5</vt:i4>
      </vt:variant>
      <vt:variant>
        <vt:lpwstr>https://www.colombiacompra.gov.co/documentos-tipo/documentos-tipo</vt:lpwstr>
      </vt:variant>
      <vt:variant>
        <vt:lpwstr/>
      </vt:variant>
      <vt:variant>
        <vt:i4>2949194</vt:i4>
      </vt:variant>
      <vt:variant>
        <vt:i4>0</vt:i4>
      </vt:variant>
      <vt:variant>
        <vt:i4>0</vt:i4>
      </vt:variant>
      <vt:variant>
        <vt:i4>5</vt:i4>
      </vt:variant>
      <vt:variant>
        <vt:lpwstr>mailto:ymartinezj@sena.edu.co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Denis Andrea Cárdenas Hernández</cp:lastModifiedBy>
  <cp:revision>5</cp:revision>
  <cp:lastPrinted>2023-01-11T00:18:00Z</cp:lastPrinted>
  <dcterms:created xsi:type="dcterms:W3CDTF">2026-09-08T19:59:00Z</dcterms:created>
  <dcterms:modified xsi:type="dcterms:W3CDTF">2026-09-08T20:02:00Z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