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CDE3A" w14:textId="77777777" w:rsidR="00365E5A" w:rsidRPr="006A13F8" w:rsidRDefault="00365E5A" w:rsidP="00365E5A">
      <w:pPr>
        <w:spacing w:after="0" w:line="276" w:lineRule="auto"/>
        <w:jc w:val="both"/>
        <w:rPr>
          <w:rFonts w:ascii="Verdana" w:eastAsia="Calibri" w:hAnsi="Verdana" w:cs="Arial"/>
          <w:b/>
          <w:bCs/>
          <w:lang w:val="es-ES_tradnl" w:eastAsia="es-MX"/>
        </w:rPr>
      </w:pPr>
      <w:bookmarkStart w:id="0" w:name="_Hlk143780582"/>
      <w:r w:rsidRPr="006A13F8">
        <w:rPr>
          <w:rFonts w:ascii="Verdana" w:eastAsia="Calibri" w:hAnsi="Verdana" w:cs="Arial"/>
          <w:b/>
          <w:bCs/>
          <w:lang w:val="es-ES_tradnl" w:eastAsia="es-MX"/>
        </w:rPr>
        <w:t xml:space="preserve">DOCUMENTOS TIPO – Fundamento normativo – Obligatoriedad </w:t>
      </w:r>
    </w:p>
    <w:p w14:paraId="26164BF6" w14:textId="77777777" w:rsidR="00365E5A" w:rsidRPr="006A13F8" w:rsidRDefault="00365E5A" w:rsidP="00365E5A">
      <w:pPr>
        <w:spacing w:after="0" w:line="276" w:lineRule="auto"/>
        <w:jc w:val="both"/>
        <w:rPr>
          <w:rFonts w:ascii="Verdana" w:eastAsia="Calibri" w:hAnsi="Verdana" w:cs="Arial"/>
          <w:b/>
          <w:bCs/>
          <w:sz w:val="20"/>
          <w:szCs w:val="20"/>
          <w:lang w:val="es-ES_tradnl" w:eastAsia="es-MX"/>
        </w:rPr>
      </w:pPr>
    </w:p>
    <w:p w14:paraId="406CDDA1" w14:textId="77777777" w:rsidR="00365E5A" w:rsidRPr="006A13F8" w:rsidRDefault="00365E5A" w:rsidP="00365E5A">
      <w:pPr>
        <w:tabs>
          <w:tab w:val="left" w:pos="709"/>
        </w:tabs>
        <w:spacing w:after="0" w:line="240" w:lineRule="auto"/>
        <w:jc w:val="both"/>
        <w:rPr>
          <w:rFonts w:ascii="Verdana" w:eastAsia="Calibri" w:hAnsi="Verdana" w:cs="Arial"/>
          <w:sz w:val="20"/>
          <w:szCs w:val="20"/>
          <w:lang w:val="es-ES" w:eastAsia="es-MX"/>
        </w:rPr>
      </w:pPr>
      <w:r w:rsidRPr="006A13F8">
        <w:rPr>
          <w:rFonts w:ascii="Verdana" w:eastAsia="Calibri" w:hAnsi="Verdana" w:cs="Arial"/>
          <w:sz w:val="20"/>
          <w:szCs w:val="20"/>
          <w:lang w:val="es-ES" w:eastAsia="es-MX"/>
        </w:rPr>
        <w:t>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2B7F4B59" w14:textId="77777777" w:rsidR="00365E5A" w:rsidRPr="006A13F8" w:rsidRDefault="00365E5A" w:rsidP="00365E5A">
      <w:pPr>
        <w:spacing w:after="0" w:line="276" w:lineRule="auto"/>
        <w:jc w:val="both"/>
        <w:rPr>
          <w:rFonts w:ascii="Verdana" w:eastAsia="Calibri" w:hAnsi="Verdana" w:cs="Arial"/>
          <w:b/>
          <w:bCs/>
          <w:lang w:val="es-ES_tradnl" w:eastAsia="es-MX"/>
        </w:rPr>
      </w:pPr>
    </w:p>
    <w:p w14:paraId="4D7A5159" w14:textId="77777777" w:rsidR="00365E5A" w:rsidRPr="006A13F8" w:rsidRDefault="00365E5A" w:rsidP="00365E5A">
      <w:pPr>
        <w:widowControl w:val="0"/>
        <w:autoSpaceDE w:val="0"/>
        <w:autoSpaceDN w:val="0"/>
        <w:spacing w:after="0" w:line="276" w:lineRule="auto"/>
        <w:jc w:val="both"/>
        <w:rPr>
          <w:rFonts w:ascii="Verdana" w:eastAsia="Calibri" w:hAnsi="Verdana" w:cs="Times New Roman"/>
          <w:b/>
          <w:bCs/>
          <w:lang w:val="es-ES" w:eastAsia="es-MX"/>
        </w:rPr>
      </w:pPr>
      <w:r w:rsidRPr="006A13F8">
        <w:rPr>
          <w:rFonts w:ascii="Verdana" w:eastAsia="Calibri" w:hAnsi="Verdana" w:cs="Arial"/>
          <w:b/>
          <w:bCs/>
          <w:lang w:val="es-ES_tradnl" w:eastAsia="es-MX"/>
        </w:rPr>
        <w:t>SECTOR SOCIAL</w:t>
      </w:r>
      <w:r w:rsidRPr="006A13F8">
        <w:rPr>
          <w:rFonts w:ascii="Verdana" w:eastAsia="Calibri" w:hAnsi="Verdana" w:cs="Times New Roman"/>
          <w:lang w:val="es-ES" w:eastAsia="es-MX"/>
        </w:rPr>
        <w:t xml:space="preserve"> </w:t>
      </w:r>
      <w:r w:rsidRPr="006A13F8">
        <w:rPr>
          <w:rFonts w:ascii="Verdana" w:eastAsia="Calibri" w:hAnsi="Verdana" w:cs="Times New Roman"/>
          <w:b/>
          <w:bCs/>
          <w:lang w:val="es-ES" w:eastAsia="es-MX"/>
        </w:rPr>
        <w:t>– Documentos tipo – Vigentes</w:t>
      </w:r>
    </w:p>
    <w:p w14:paraId="688FB020" w14:textId="77777777" w:rsidR="00365E5A" w:rsidRPr="006A13F8" w:rsidRDefault="00365E5A" w:rsidP="00365E5A">
      <w:pPr>
        <w:widowControl w:val="0"/>
        <w:autoSpaceDE w:val="0"/>
        <w:autoSpaceDN w:val="0"/>
        <w:spacing w:after="0" w:line="276" w:lineRule="auto"/>
        <w:jc w:val="both"/>
        <w:rPr>
          <w:rFonts w:ascii="Verdana" w:eastAsia="Calibri" w:hAnsi="Verdana" w:cs="Times New Roman"/>
          <w:b/>
          <w:bCs/>
          <w:lang w:val="es-ES" w:eastAsia="es-MX"/>
        </w:rPr>
      </w:pPr>
    </w:p>
    <w:p w14:paraId="6B64B1EF" w14:textId="77777777" w:rsidR="00365E5A" w:rsidRPr="006A13F8" w:rsidRDefault="00365E5A" w:rsidP="00365E5A">
      <w:pPr>
        <w:widowControl w:val="0"/>
        <w:autoSpaceDE w:val="0"/>
        <w:autoSpaceDN w:val="0"/>
        <w:spacing w:after="0" w:line="240" w:lineRule="auto"/>
        <w:jc w:val="both"/>
        <w:rPr>
          <w:rFonts w:ascii="Verdana" w:eastAsia="Calibri" w:hAnsi="Verdana" w:cs="Times New Roman"/>
          <w:b/>
          <w:bCs/>
          <w:sz w:val="20"/>
          <w:szCs w:val="20"/>
          <w:lang w:val="es-ES" w:eastAsia="es-MX"/>
        </w:rPr>
      </w:pPr>
      <w:r w:rsidRPr="006A13F8">
        <w:rPr>
          <w:rFonts w:ascii="Verdana" w:eastAsia="Aptos" w:hAnsi="Verdana" w:cs="Times New Roman"/>
          <w:sz w:val="20"/>
          <w:szCs w:val="20"/>
          <w:lang w:eastAsia="es-MX"/>
        </w:rPr>
        <w:t xml:space="preserve">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consultoría enmarcados dentro de los sectores educativo, de salud, cultura, recreación y deporte, institucional y vivienda, en los procesos de selección cuyo aviso de convocatoria se publique a partir del 16 de febrero de 2026. </w:t>
      </w:r>
    </w:p>
    <w:p w14:paraId="110B16C3" w14:textId="77777777" w:rsidR="00365E5A" w:rsidRPr="006A13F8" w:rsidRDefault="00365E5A" w:rsidP="00365E5A">
      <w:pPr>
        <w:spacing w:after="0"/>
        <w:rPr>
          <w:rFonts w:ascii="Verdana" w:hAnsi="Verdana"/>
          <w:lang w:val="es-ES"/>
        </w:rPr>
      </w:pPr>
    </w:p>
    <w:p w14:paraId="7174F0E8" w14:textId="77777777" w:rsidR="00365E5A" w:rsidRPr="006A13F8" w:rsidRDefault="00365E5A" w:rsidP="00365E5A">
      <w:pPr>
        <w:spacing w:after="0" w:line="276" w:lineRule="auto"/>
        <w:jc w:val="both"/>
        <w:rPr>
          <w:rFonts w:ascii="Verdana" w:eastAsia="Calibri" w:hAnsi="Verdana" w:cs="Times New Roman"/>
          <w:sz w:val="20"/>
          <w:szCs w:val="20"/>
          <w:lang w:val="es-ES" w:eastAsia="es-MX"/>
        </w:rPr>
      </w:pPr>
      <w:r w:rsidRPr="006A13F8">
        <w:rPr>
          <w:rFonts w:ascii="Verdana" w:eastAsia="Calibri" w:hAnsi="Verdana" w:cs="Times New Roman"/>
          <w:b/>
          <w:bCs/>
          <w:lang w:val="es-ES" w:eastAsia="es-MX"/>
        </w:rPr>
        <w:t xml:space="preserve">DOCUMENTOS TIPO – Aplicación – Matriz de Experiencia </w:t>
      </w:r>
    </w:p>
    <w:p w14:paraId="2E4AEBB8" w14:textId="77777777" w:rsidR="00365E5A" w:rsidRPr="006A13F8" w:rsidRDefault="00365E5A" w:rsidP="00365E5A">
      <w:pPr>
        <w:spacing w:after="0" w:line="240" w:lineRule="auto"/>
        <w:rPr>
          <w:rFonts w:ascii="Verdana" w:eastAsia="Geomanist Light" w:hAnsi="Verdana" w:cs="Arial"/>
          <w:lang w:val="es-MX" w:eastAsia="es-MX"/>
        </w:rPr>
      </w:pPr>
    </w:p>
    <w:p w14:paraId="0B41BA01" w14:textId="77777777" w:rsidR="00365E5A" w:rsidRPr="006A13F8" w:rsidRDefault="00365E5A" w:rsidP="00365E5A">
      <w:pPr>
        <w:widowControl w:val="0"/>
        <w:autoSpaceDE w:val="0"/>
        <w:autoSpaceDN w:val="0"/>
        <w:spacing w:after="0" w:line="240" w:lineRule="auto"/>
        <w:jc w:val="both"/>
        <w:rPr>
          <w:rFonts w:ascii="Verdana" w:eastAsia="Calibri" w:hAnsi="Verdana" w:cs="Times New Roman"/>
          <w:sz w:val="20"/>
          <w:szCs w:val="20"/>
          <w:lang w:val="es-ES" w:eastAsia="es-MX"/>
        </w:rPr>
      </w:pPr>
      <w:r w:rsidRPr="006A13F8">
        <w:rPr>
          <w:rFonts w:ascii="Verdana" w:eastAsia="Calibri" w:hAnsi="Verdana" w:cs="Times New Roman"/>
          <w:sz w:val="20"/>
          <w:szCs w:val="20"/>
          <w:lang w:val="es-ES" w:eastAsia="es-MX"/>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738968C4" w14:textId="77777777" w:rsidR="00365E5A" w:rsidRPr="006A13F8" w:rsidRDefault="00365E5A" w:rsidP="00365E5A">
      <w:pPr>
        <w:widowControl w:val="0"/>
        <w:autoSpaceDE w:val="0"/>
        <w:autoSpaceDN w:val="0"/>
        <w:spacing w:after="0" w:line="240" w:lineRule="auto"/>
        <w:jc w:val="both"/>
        <w:rPr>
          <w:rFonts w:ascii="Verdana" w:eastAsia="Calibri" w:hAnsi="Verdana" w:cs="Times New Roman"/>
          <w:sz w:val="20"/>
          <w:szCs w:val="20"/>
          <w:lang w:val="es-ES" w:eastAsia="es-MX"/>
        </w:rPr>
      </w:pPr>
    </w:p>
    <w:p w14:paraId="79850E14" w14:textId="77777777" w:rsidR="00365E5A" w:rsidRPr="006A13F8" w:rsidRDefault="00365E5A" w:rsidP="00365E5A">
      <w:pPr>
        <w:widowControl w:val="0"/>
        <w:autoSpaceDE w:val="0"/>
        <w:autoSpaceDN w:val="0"/>
        <w:spacing w:after="0" w:line="240" w:lineRule="auto"/>
        <w:jc w:val="both"/>
        <w:rPr>
          <w:rFonts w:ascii="Verdana" w:eastAsia="Calibri" w:hAnsi="Verdana" w:cs="Times New Roman"/>
          <w:sz w:val="20"/>
          <w:szCs w:val="20"/>
          <w:lang w:val="es-ES" w:eastAsia="es-MX"/>
        </w:rPr>
      </w:pPr>
      <w:r w:rsidRPr="006A13F8">
        <w:rPr>
          <w:rFonts w:ascii="Verdana" w:eastAsia="Calibri" w:hAnsi="Verdana" w:cs="Times New Roman"/>
          <w:sz w:val="20"/>
          <w:szCs w:val="20"/>
          <w:lang w:val="es-ES" w:eastAsia="es-MX"/>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0079FE3F" w14:textId="77777777" w:rsidR="00365E5A" w:rsidRPr="006A13F8" w:rsidRDefault="00365E5A" w:rsidP="00365E5A">
      <w:pPr>
        <w:spacing w:after="0"/>
        <w:rPr>
          <w:rFonts w:ascii="Verdana" w:hAnsi="Verdana"/>
          <w:lang w:val="es-ES"/>
        </w:rPr>
      </w:pPr>
    </w:p>
    <w:p w14:paraId="631B566E" w14:textId="77777777" w:rsidR="00365E5A" w:rsidRPr="006A13F8" w:rsidRDefault="00365E5A" w:rsidP="00365E5A">
      <w:pPr>
        <w:spacing w:after="0" w:line="276" w:lineRule="auto"/>
        <w:jc w:val="both"/>
        <w:rPr>
          <w:rFonts w:ascii="Verdana" w:eastAsia="Calibri" w:hAnsi="Verdana" w:cs="Times New Roman"/>
          <w:b/>
          <w:bCs/>
          <w:lang w:val="es-ES" w:eastAsia="es-MX"/>
        </w:rPr>
      </w:pPr>
      <w:r w:rsidRPr="006A13F8">
        <w:rPr>
          <w:rFonts w:ascii="Verdana" w:eastAsia="Calibri" w:hAnsi="Verdana" w:cs="Times New Roman"/>
          <w:b/>
          <w:bCs/>
          <w:lang w:val="es-ES" w:eastAsia="es-MX"/>
        </w:rPr>
        <w:t>DOCUMENTOS TIPO – Infraestructura social - Aplicación – Matriz de Experiencia – Sendero peatonal</w:t>
      </w:r>
    </w:p>
    <w:p w14:paraId="2ACFA5DC" w14:textId="77777777" w:rsidR="00365E5A" w:rsidRPr="00C768BA" w:rsidRDefault="00365E5A" w:rsidP="00365E5A">
      <w:pPr>
        <w:spacing w:after="0" w:line="276" w:lineRule="auto"/>
        <w:jc w:val="both"/>
        <w:rPr>
          <w:rFonts w:ascii="Verdana" w:eastAsia="Calibri" w:hAnsi="Verdana" w:cs="Times New Roman"/>
          <w:b/>
          <w:bCs/>
          <w:color w:val="6A87E4"/>
          <w:lang w:val="es-ES" w:eastAsia="es-MX"/>
        </w:rPr>
      </w:pPr>
    </w:p>
    <w:p w14:paraId="7B1ABD70" w14:textId="77777777" w:rsidR="00365E5A" w:rsidRPr="006A13F8" w:rsidRDefault="00365E5A" w:rsidP="00365E5A">
      <w:pPr>
        <w:spacing w:after="0"/>
        <w:jc w:val="both"/>
        <w:rPr>
          <w:rFonts w:ascii="Verdana" w:hAnsi="Verdana"/>
          <w:color w:val="000000" w:themeColor="text1"/>
          <w:sz w:val="20"/>
          <w:szCs w:val="20"/>
          <w:lang w:val="es-ES"/>
        </w:rPr>
      </w:pPr>
      <w:r w:rsidRPr="006A13F8">
        <w:rPr>
          <w:rFonts w:ascii="Verdana" w:hAnsi="Verdana"/>
          <w:color w:val="000000" w:themeColor="text1"/>
          <w:sz w:val="20"/>
          <w:szCs w:val="20"/>
          <w:lang w:val="es-ES"/>
        </w:rPr>
        <w:t xml:space="preserve">Así las cosas, la definición razonable de Sendero Peatonal se entiende como la infraestructura destinada exclusivamente al desplazamiento peatonal, localizada fuera </w:t>
      </w:r>
      <w:r w:rsidRPr="006A13F8">
        <w:rPr>
          <w:rFonts w:ascii="Verdana" w:hAnsi="Verdana"/>
          <w:color w:val="000000" w:themeColor="text1"/>
          <w:sz w:val="20"/>
          <w:szCs w:val="20"/>
          <w:lang w:val="es-ES"/>
        </w:rPr>
        <w:lastRenderedPageBreak/>
        <w:t xml:space="preserve">del perfil vial de carreteras, vías urbanas, vías rurales, vías terciarias, andenes, aceras, separadores, ciclorrutas, alamedas urbanas y demás elementos integrantes del espacio público asociado a la infraestructura de transporte. Se caracteriza por desarrollarse en espacios naturales, rurales, ambientales, recreativos, turísticos, culturales o patrimoniales, y no forma parte funcional de una infraestructura de transporte destinada a la circulación vehicular.  </w:t>
      </w:r>
    </w:p>
    <w:p w14:paraId="4BE26DB2" w14:textId="77777777" w:rsidR="00365E5A" w:rsidRPr="006A13F8" w:rsidRDefault="00365E5A" w:rsidP="00365E5A">
      <w:pPr>
        <w:spacing w:after="0"/>
        <w:jc w:val="both"/>
        <w:rPr>
          <w:rFonts w:ascii="Verdana" w:hAnsi="Verdana"/>
          <w:color w:val="000000" w:themeColor="text1"/>
          <w:sz w:val="20"/>
          <w:szCs w:val="20"/>
          <w:lang w:val="es-ES"/>
        </w:rPr>
      </w:pPr>
    </w:p>
    <w:p w14:paraId="489710D1" w14:textId="77777777" w:rsidR="00365E5A" w:rsidRPr="006A13F8" w:rsidRDefault="00365E5A" w:rsidP="00365E5A">
      <w:pPr>
        <w:spacing w:after="0"/>
        <w:jc w:val="both"/>
        <w:rPr>
          <w:rFonts w:ascii="Verdana" w:hAnsi="Verdana"/>
          <w:color w:val="000000" w:themeColor="text1"/>
          <w:sz w:val="20"/>
          <w:szCs w:val="20"/>
          <w:lang w:val="es-ES"/>
        </w:rPr>
      </w:pPr>
      <w:r w:rsidRPr="006A13F8">
        <w:rPr>
          <w:rFonts w:ascii="Verdana" w:hAnsi="Verdana"/>
          <w:color w:val="000000" w:themeColor="text1"/>
          <w:sz w:val="20"/>
          <w:szCs w:val="20"/>
          <w:lang w:val="es-ES"/>
        </w:rPr>
        <w:t xml:space="preserve">De igual forma un sendero peatonal natural se entendería como una infraestructura destinada exclusivamente al desplazamiento de peatones, desarrolladas en entornos naturales, ambientales, recreativos, turísticos, patrimoniales, culturales o paisajísticos, cuyo trazado es autónomo e independiente de la infraestructura de transporte. Se caracterizan por no formar parte del perfil vial, de la red vial urbana o rural, ni de los elementos constitutivos del espacio público asociado a la infraestructura de transporte. Su función principal es facilitar el acceso, recorrido, contemplación, interpretación ambiental, recreación, integración comunitaria o disfrute del entorno, y no la movilidad propia de corredores de transporte o circulación vehicular. Esta categoría comprende, entre otros, senderos ecológicos, senderos interpretativos, senderos turísticos, senderos ambientales, senderos patrimoniales, caminos históricos peatonales y recorridos de conexión interna en parques naturales, áreas protegidas, espacios recreativos o equipamientos de infraestructura social. Su diseño puede incorporar superficies naturales o mejoradas, mobiliario, señalización, obras de drenaje, pasos elevados, miradores y demás elementos complementarios para la circulación peatonal segura. </w:t>
      </w:r>
    </w:p>
    <w:p w14:paraId="666D02E2" w14:textId="77777777" w:rsidR="00365E5A" w:rsidRDefault="00365E5A" w:rsidP="00365E5A">
      <w:pPr>
        <w:spacing w:after="0"/>
        <w:jc w:val="both"/>
        <w:rPr>
          <w:rFonts w:ascii="Verdana" w:hAnsi="Verdana"/>
          <w:color w:val="000000" w:themeColor="text1"/>
          <w:lang w:val="es-ES"/>
        </w:rPr>
      </w:pPr>
    </w:p>
    <w:p w14:paraId="7F147396" w14:textId="77777777" w:rsidR="00365E5A" w:rsidRDefault="00365E5A" w:rsidP="00365E5A">
      <w:pPr>
        <w:spacing w:after="0"/>
        <w:jc w:val="both"/>
        <w:rPr>
          <w:rFonts w:ascii="Verdana" w:hAnsi="Verdana"/>
          <w:color w:val="000000" w:themeColor="text1"/>
          <w:lang w:val="es-ES"/>
        </w:rPr>
      </w:pPr>
    </w:p>
    <w:p w14:paraId="4EA33960" w14:textId="77777777" w:rsidR="00365E5A" w:rsidRDefault="00365E5A" w:rsidP="00365E5A">
      <w:pPr>
        <w:spacing w:after="0"/>
        <w:jc w:val="both"/>
        <w:rPr>
          <w:rFonts w:ascii="Verdana" w:hAnsi="Verdana"/>
          <w:color w:val="000000" w:themeColor="text1"/>
          <w:lang w:val="es-ES"/>
        </w:rPr>
      </w:pPr>
    </w:p>
    <w:p w14:paraId="66DD09B0" w14:textId="77777777" w:rsidR="00365E5A" w:rsidRDefault="00365E5A" w:rsidP="00365E5A">
      <w:pPr>
        <w:spacing w:after="0"/>
        <w:jc w:val="both"/>
        <w:rPr>
          <w:rFonts w:ascii="Verdana" w:hAnsi="Verdana"/>
          <w:color w:val="000000" w:themeColor="text1"/>
          <w:lang w:val="es-ES"/>
        </w:rPr>
      </w:pPr>
    </w:p>
    <w:p w14:paraId="48C9A1C5" w14:textId="77777777" w:rsidR="00365E5A" w:rsidRDefault="00365E5A" w:rsidP="00365E5A">
      <w:pPr>
        <w:spacing w:after="0"/>
        <w:jc w:val="both"/>
        <w:rPr>
          <w:rFonts w:ascii="Verdana" w:hAnsi="Verdana"/>
          <w:color w:val="000000" w:themeColor="text1"/>
          <w:lang w:val="es-ES"/>
        </w:rPr>
      </w:pPr>
    </w:p>
    <w:p w14:paraId="7A4FCD91" w14:textId="77777777" w:rsidR="00365E5A" w:rsidRDefault="00365E5A" w:rsidP="00365E5A">
      <w:pPr>
        <w:spacing w:after="0"/>
        <w:jc w:val="both"/>
        <w:rPr>
          <w:rFonts w:ascii="Verdana" w:hAnsi="Verdana"/>
          <w:color w:val="000000" w:themeColor="text1"/>
          <w:lang w:val="es-ES"/>
        </w:rPr>
      </w:pPr>
    </w:p>
    <w:p w14:paraId="628E2D0F" w14:textId="77777777" w:rsidR="00365E5A" w:rsidRDefault="00365E5A" w:rsidP="00365E5A">
      <w:pPr>
        <w:spacing w:after="0"/>
        <w:jc w:val="both"/>
        <w:rPr>
          <w:rFonts w:ascii="Verdana" w:hAnsi="Verdana"/>
          <w:color w:val="000000" w:themeColor="text1"/>
          <w:lang w:val="es-ES"/>
        </w:rPr>
      </w:pPr>
    </w:p>
    <w:p w14:paraId="03637C2F" w14:textId="77777777" w:rsidR="00365E5A" w:rsidRDefault="00365E5A" w:rsidP="00365E5A">
      <w:pPr>
        <w:spacing w:after="0"/>
        <w:jc w:val="both"/>
        <w:rPr>
          <w:rFonts w:ascii="Verdana" w:hAnsi="Verdana"/>
          <w:color w:val="000000" w:themeColor="text1"/>
          <w:lang w:val="es-ES"/>
        </w:rPr>
      </w:pPr>
    </w:p>
    <w:p w14:paraId="1A9FC17C" w14:textId="77777777" w:rsidR="00365E5A" w:rsidRDefault="00365E5A" w:rsidP="00365E5A">
      <w:pPr>
        <w:spacing w:after="0"/>
        <w:jc w:val="both"/>
        <w:rPr>
          <w:rFonts w:ascii="Verdana" w:hAnsi="Verdana"/>
          <w:color w:val="000000" w:themeColor="text1"/>
          <w:lang w:val="es-ES"/>
        </w:rPr>
      </w:pPr>
    </w:p>
    <w:p w14:paraId="7DCE848A" w14:textId="77777777" w:rsidR="00365E5A" w:rsidRDefault="00365E5A" w:rsidP="00365E5A">
      <w:pPr>
        <w:spacing w:after="0"/>
        <w:jc w:val="both"/>
        <w:rPr>
          <w:rFonts w:ascii="Verdana" w:hAnsi="Verdana"/>
          <w:color w:val="000000" w:themeColor="text1"/>
          <w:lang w:val="es-ES"/>
        </w:rPr>
      </w:pPr>
    </w:p>
    <w:p w14:paraId="76BFA1CF" w14:textId="77777777" w:rsidR="00365E5A" w:rsidRDefault="00365E5A" w:rsidP="00365E5A">
      <w:pPr>
        <w:spacing w:after="0"/>
        <w:jc w:val="both"/>
        <w:rPr>
          <w:rFonts w:ascii="Verdana" w:hAnsi="Verdana"/>
          <w:color w:val="000000" w:themeColor="text1"/>
          <w:lang w:val="es-ES"/>
        </w:rPr>
      </w:pPr>
    </w:p>
    <w:p w14:paraId="30AF6FD2" w14:textId="77777777" w:rsidR="00365E5A" w:rsidRDefault="00365E5A" w:rsidP="00365E5A">
      <w:pPr>
        <w:spacing w:after="0"/>
        <w:jc w:val="both"/>
        <w:rPr>
          <w:rFonts w:ascii="Verdana" w:hAnsi="Verdana"/>
          <w:color w:val="000000" w:themeColor="text1"/>
          <w:lang w:val="es-ES"/>
        </w:rPr>
      </w:pPr>
    </w:p>
    <w:p w14:paraId="55619B3D" w14:textId="77777777" w:rsidR="00365E5A" w:rsidRDefault="00365E5A" w:rsidP="00365E5A">
      <w:pPr>
        <w:spacing w:after="0"/>
        <w:jc w:val="both"/>
        <w:rPr>
          <w:rFonts w:ascii="Verdana" w:hAnsi="Verdana"/>
          <w:color w:val="000000" w:themeColor="text1"/>
          <w:lang w:val="es-ES"/>
        </w:rPr>
      </w:pPr>
    </w:p>
    <w:p w14:paraId="1C8D45BC" w14:textId="77777777" w:rsidR="00365E5A" w:rsidRDefault="00365E5A" w:rsidP="00365E5A">
      <w:pPr>
        <w:spacing w:after="0"/>
        <w:jc w:val="both"/>
        <w:rPr>
          <w:rFonts w:ascii="Verdana" w:hAnsi="Verdana"/>
          <w:color w:val="000000" w:themeColor="text1"/>
          <w:lang w:val="es-ES"/>
        </w:rPr>
      </w:pPr>
    </w:p>
    <w:p w14:paraId="72B8F737" w14:textId="77777777" w:rsidR="00365E5A" w:rsidRDefault="00365E5A" w:rsidP="00365E5A">
      <w:pPr>
        <w:spacing w:after="0"/>
        <w:jc w:val="both"/>
        <w:rPr>
          <w:rFonts w:ascii="Verdana" w:hAnsi="Verdana"/>
          <w:color w:val="000000" w:themeColor="text1"/>
          <w:lang w:val="es-ES"/>
        </w:rPr>
      </w:pPr>
    </w:p>
    <w:p w14:paraId="3CF0E27B" w14:textId="77777777" w:rsidR="00365E5A" w:rsidRDefault="00365E5A" w:rsidP="00365E5A">
      <w:pPr>
        <w:spacing w:after="0"/>
        <w:jc w:val="both"/>
        <w:rPr>
          <w:rFonts w:ascii="Verdana" w:hAnsi="Verdana"/>
          <w:color w:val="000000" w:themeColor="text1"/>
          <w:lang w:val="es-ES"/>
        </w:rPr>
      </w:pPr>
    </w:p>
    <w:p w14:paraId="002D58F0" w14:textId="77777777" w:rsidR="00365E5A" w:rsidRDefault="00365E5A" w:rsidP="00365E5A">
      <w:pPr>
        <w:spacing w:after="0"/>
        <w:jc w:val="both"/>
        <w:rPr>
          <w:rFonts w:ascii="Verdana" w:hAnsi="Verdana"/>
          <w:color w:val="000000" w:themeColor="text1"/>
          <w:lang w:val="es-ES"/>
        </w:rPr>
      </w:pPr>
    </w:p>
    <w:p w14:paraId="66B990E7" w14:textId="77777777" w:rsidR="00365E5A" w:rsidRDefault="00365E5A" w:rsidP="00365E5A">
      <w:pPr>
        <w:spacing w:after="0"/>
        <w:jc w:val="both"/>
        <w:rPr>
          <w:rFonts w:ascii="Verdana" w:hAnsi="Verdana"/>
          <w:color w:val="000000" w:themeColor="text1"/>
          <w:lang w:val="es-ES"/>
        </w:rPr>
      </w:pPr>
    </w:p>
    <w:p w14:paraId="77F8E414" w14:textId="77777777" w:rsidR="00365E5A" w:rsidRDefault="00365E5A" w:rsidP="00365E5A">
      <w:pPr>
        <w:spacing w:after="0"/>
        <w:jc w:val="both"/>
        <w:rPr>
          <w:rFonts w:ascii="Verdana" w:hAnsi="Verdana"/>
          <w:color w:val="000000" w:themeColor="text1"/>
          <w:lang w:val="es-ES"/>
        </w:rPr>
      </w:pPr>
    </w:p>
    <w:p w14:paraId="5A7C8A0A" w14:textId="5599A341" w:rsidR="00365E5A" w:rsidRDefault="00365E5A" w:rsidP="00365E5A">
      <w:pPr>
        <w:spacing w:after="0"/>
        <w:rPr>
          <w:rFonts w:ascii="Verdana" w:hAnsi="Verdana"/>
        </w:rPr>
      </w:pPr>
      <w:r w:rsidRPr="0047619D">
        <w:rPr>
          <w:rFonts w:ascii="Verdana" w:hAnsi="Verdana"/>
        </w:rPr>
        <w:lastRenderedPageBreak/>
        <w:t xml:space="preserve">Bogotá D.C., </w:t>
      </w:r>
      <w:r w:rsidR="008A42C0" w:rsidRPr="008A42C0">
        <w:rPr>
          <w:rFonts w:ascii="Verdana" w:hAnsi="Verdana"/>
        </w:rPr>
        <w:t>10 Septiembre 2026</w:t>
      </w:r>
    </w:p>
    <w:p w14:paraId="70F1B874" w14:textId="5C19F5A8" w:rsidR="008A42C0" w:rsidRPr="00A11AA2" w:rsidRDefault="008A42C0" w:rsidP="00365E5A">
      <w:pPr>
        <w:spacing w:after="0"/>
        <w:rPr>
          <w:rFonts w:ascii="Verdana" w:hAnsi="Verdana"/>
        </w:rPr>
      </w:pPr>
      <w:r w:rsidRPr="00432B54">
        <w:rPr>
          <w:rFonts w:ascii="Verdana" w:eastAsia="Calibri" w:hAnsi="Verdana" w:cs="Arial"/>
          <w:b/>
          <w:bCs/>
          <w:lang w:val="es-ES" w:eastAsia="es-ES"/>
        </w:rPr>
        <w:drawing>
          <wp:anchor distT="0" distB="0" distL="114300" distR="114300" simplePos="0" relativeHeight="251658240" behindDoc="0" locked="0" layoutInCell="1" allowOverlap="1" wp14:anchorId="37BE52E8" wp14:editId="1531A1AB">
            <wp:simplePos x="0" y="0"/>
            <wp:positionH relativeFrom="margin">
              <wp:posOffset>3115337</wp:posOffset>
            </wp:positionH>
            <wp:positionV relativeFrom="margin">
              <wp:posOffset>214941</wp:posOffset>
            </wp:positionV>
            <wp:extent cx="2533650" cy="714375"/>
            <wp:effectExtent l="0" t="0" r="0" b="9525"/>
            <wp:wrapSquare wrapText="bothSides"/>
            <wp:docPr id="7782213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21339" name=""/>
                    <pic:cNvPicPr/>
                  </pic:nvPicPr>
                  <pic:blipFill>
                    <a:blip r:embed="rId10">
                      <a:extLst>
                        <a:ext uri="{28A0092B-C50C-407E-A947-70E740481C1C}">
                          <a14:useLocalDpi xmlns:a14="http://schemas.microsoft.com/office/drawing/2010/main" val="0"/>
                        </a:ext>
                      </a:extLst>
                    </a:blip>
                    <a:stretch>
                      <a:fillRect/>
                    </a:stretch>
                  </pic:blipFill>
                  <pic:spPr>
                    <a:xfrm>
                      <a:off x="0" y="0"/>
                      <a:ext cx="2533650" cy="714375"/>
                    </a:xfrm>
                    <a:prstGeom prst="rect">
                      <a:avLst/>
                    </a:prstGeom>
                  </pic:spPr>
                </pic:pic>
              </a:graphicData>
            </a:graphic>
          </wp:anchor>
        </w:drawing>
      </w:r>
    </w:p>
    <w:p w14:paraId="76C89A7D" w14:textId="1DAB9FB0" w:rsidR="00365E5A" w:rsidRDefault="00365E5A" w:rsidP="00365E5A">
      <w:pPr>
        <w:spacing w:after="0" w:line="276" w:lineRule="auto"/>
        <w:rPr>
          <w:rFonts w:ascii="Verdana" w:eastAsia="Calibri" w:hAnsi="Verdana" w:cs="Arial"/>
          <w:lang w:val="es-ES" w:eastAsia="es-ES"/>
        </w:rPr>
      </w:pPr>
      <w:r w:rsidRPr="00A11AA2">
        <w:rPr>
          <w:rFonts w:ascii="Verdana" w:eastAsia="Calibri" w:hAnsi="Verdana" w:cs="Arial"/>
          <w:lang w:val="es-ES" w:eastAsia="es-ES"/>
        </w:rPr>
        <w:t>Señor</w:t>
      </w:r>
      <w:r>
        <w:rPr>
          <w:rFonts w:ascii="Verdana" w:eastAsia="Calibri" w:hAnsi="Verdana" w:cs="Arial"/>
          <w:lang w:val="es-ES" w:eastAsia="es-ES"/>
        </w:rPr>
        <w:t xml:space="preserve"> </w:t>
      </w:r>
    </w:p>
    <w:p w14:paraId="08DBAD17" w14:textId="77079906" w:rsidR="00365E5A" w:rsidRPr="00624C9E" w:rsidRDefault="00365E5A" w:rsidP="00365E5A">
      <w:pPr>
        <w:spacing w:after="0" w:line="276" w:lineRule="auto"/>
        <w:rPr>
          <w:rFonts w:ascii="Verdana" w:eastAsia="Calibri" w:hAnsi="Verdana" w:cs="Arial"/>
          <w:b/>
          <w:bCs/>
          <w:lang w:val="es-ES" w:eastAsia="es-ES"/>
        </w:rPr>
      </w:pPr>
      <w:r w:rsidRPr="00624C9E">
        <w:rPr>
          <w:rFonts w:ascii="Verdana" w:eastAsia="Calibri" w:hAnsi="Verdana" w:cs="Arial"/>
          <w:b/>
          <w:bCs/>
          <w:lang w:val="es-ES" w:eastAsia="es-ES"/>
        </w:rPr>
        <w:t>Diego Dorado</w:t>
      </w:r>
    </w:p>
    <w:p w14:paraId="6E8C129C" w14:textId="77777777" w:rsidR="00365E5A" w:rsidRPr="00624C9E" w:rsidRDefault="00365E5A" w:rsidP="00365E5A">
      <w:pPr>
        <w:spacing w:after="0" w:line="276" w:lineRule="auto"/>
        <w:rPr>
          <w:rFonts w:ascii="Verdana" w:hAnsi="Verdana"/>
        </w:rPr>
      </w:pPr>
      <w:hyperlink r:id="rId11" w:history="1">
        <w:r w:rsidRPr="00624C9E">
          <w:rPr>
            <w:rStyle w:val="Hipervnculo"/>
            <w:rFonts w:ascii="Verdana" w:hAnsi="Verdana"/>
          </w:rPr>
          <w:t>didoro@hotmail.com</w:t>
        </w:r>
      </w:hyperlink>
    </w:p>
    <w:p w14:paraId="0EB2E0E9" w14:textId="77777777" w:rsidR="00365E5A" w:rsidRPr="00624C9E" w:rsidRDefault="00365E5A" w:rsidP="00365E5A">
      <w:pPr>
        <w:spacing w:after="0" w:line="276" w:lineRule="auto"/>
        <w:rPr>
          <w:rFonts w:ascii="Verdana" w:eastAsia="Calibri" w:hAnsi="Verdana" w:cs="Arial"/>
          <w:lang w:val="es-ES_tradnl" w:eastAsia="es-ES_tradnl"/>
        </w:rPr>
      </w:pPr>
      <w:r w:rsidRPr="00624C9E">
        <w:rPr>
          <w:rFonts w:ascii="Verdana" w:eastAsia="Calibri" w:hAnsi="Verdana" w:cs="Arial"/>
          <w:lang w:val="es-ES_tradnl" w:eastAsia="es-ES_tradnl"/>
        </w:rPr>
        <w:t>Arauca, Arauca.</w:t>
      </w:r>
    </w:p>
    <w:tbl>
      <w:tblPr>
        <w:tblStyle w:val="Tablaconcuadrcula1"/>
        <w:tblW w:w="9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114"/>
      </w:tblGrid>
      <w:tr w:rsidR="00365E5A" w:rsidRPr="007E53B7" w14:paraId="23B1FAF1" w14:textId="77777777">
        <w:trPr>
          <w:trHeight w:val="488"/>
        </w:trPr>
        <w:tc>
          <w:tcPr>
            <w:tcW w:w="3119" w:type="dxa"/>
          </w:tcPr>
          <w:p w14:paraId="7F6B1665" w14:textId="77777777" w:rsidR="00365E5A" w:rsidRPr="007E53B7" w:rsidRDefault="00365E5A">
            <w:pPr>
              <w:spacing w:line="276" w:lineRule="auto"/>
              <w:jc w:val="both"/>
              <w:rPr>
                <w:rFonts w:ascii="Verdana" w:eastAsia="Calibri" w:hAnsi="Verdana" w:cs="Arial"/>
                <w:b/>
                <w:bCs/>
                <w:color w:val="66CCFF"/>
                <w:lang w:val="es-ES_tradnl" w:eastAsia="es-ES_tradnl"/>
              </w:rPr>
            </w:pPr>
          </w:p>
        </w:tc>
        <w:tc>
          <w:tcPr>
            <w:tcW w:w="6114" w:type="dxa"/>
            <w:hideMark/>
          </w:tcPr>
          <w:p w14:paraId="4A471308" w14:textId="5FE246C2" w:rsidR="00365E5A" w:rsidRPr="00DF2EA7" w:rsidRDefault="00365E5A">
            <w:pPr>
              <w:spacing w:line="276" w:lineRule="auto"/>
              <w:jc w:val="both"/>
              <w:rPr>
                <w:rFonts w:ascii="Verdana" w:eastAsia="Calibri" w:hAnsi="Verdana" w:cs="Arial"/>
                <w:b/>
                <w:bCs/>
                <w:lang w:val="es-ES" w:eastAsia="es-ES"/>
              </w:rPr>
            </w:pPr>
            <w:r w:rsidRPr="00DF2EA7">
              <w:rPr>
                <w:rFonts w:ascii="Verdana" w:eastAsia="Calibri" w:hAnsi="Verdana" w:cs="Arial"/>
                <w:b/>
                <w:bCs/>
                <w:lang w:val="es-ES" w:eastAsia="es-ES"/>
              </w:rPr>
              <w:t xml:space="preserve">Concepto C – </w:t>
            </w:r>
            <w:r>
              <w:rPr>
                <w:rFonts w:ascii="Verdana" w:eastAsia="Calibri" w:hAnsi="Verdana" w:cs="Arial"/>
                <w:b/>
                <w:bCs/>
                <w:lang w:val="es-ES" w:eastAsia="es-ES"/>
              </w:rPr>
              <w:t>1185</w:t>
            </w:r>
            <w:r w:rsidR="00E930BE">
              <w:rPr>
                <w:rFonts w:ascii="Verdana" w:eastAsia="Calibri" w:hAnsi="Verdana" w:cs="Arial"/>
                <w:b/>
                <w:bCs/>
                <w:lang w:val="es-ES" w:eastAsia="es-ES"/>
              </w:rPr>
              <w:t>A</w:t>
            </w:r>
            <w:r>
              <w:rPr>
                <w:rFonts w:ascii="Verdana" w:eastAsia="Calibri" w:hAnsi="Verdana" w:cs="Arial"/>
                <w:b/>
                <w:bCs/>
                <w:lang w:val="es-ES" w:eastAsia="es-ES"/>
              </w:rPr>
              <w:t xml:space="preserve"> </w:t>
            </w:r>
            <w:r w:rsidRPr="00DF2EA7">
              <w:rPr>
                <w:rFonts w:ascii="Verdana" w:eastAsia="Calibri" w:hAnsi="Verdana" w:cs="Arial"/>
                <w:b/>
                <w:bCs/>
                <w:lang w:val="es-ES" w:eastAsia="es-ES"/>
              </w:rPr>
              <w:t>de 2026</w:t>
            </w:r>
          </w:p>
        </w:tc>
      </w:tr>
      <w:tr w:rsidR="00365E5A" w:rsidRPr="006069F8" w14:paraId="1961C9EE" w14:textId="77777777">
        <w:trPr>
          <w:trHeight w:val="999"/>
        </w:trPr>
        <w:tc>
          <w:tcPr>
            <w:tcW w:w="3119" w:type="dxa"/>
            <w:hideMark/>
          </w:tcPr>
          <w:p w14:paraId="7DF4ABA4" w14:textId="77777777" w:rsidR="00365E5A" w:rsidRPr="00A11AA2" w:rsidRDefault="00365E5A">
            <w:pPr>
              <w:spacing w:line="276" w:lineRule="auto"/>
              <w:jc w:val="both"/>
              <w:rPr>
                <w:rFonts w:ascii="Verdana" w:eastAsia="Calibri" w:hAnsi="Verdana" w:cs="Arial"/>
                <w:color w:val="66CCFF"/>
                <w:lang w:val="es-ES_tradnl" w:eastAsia="es-ES_tradnl"/>
              </w:rPr>
            </w:pPr>
            <w:r w:rsidRPr="00A11AA2">
              <w:rPr>
                <w:rFonts w:ascii="Verdana" w:eastAsia="Calibri" w:hAnsi="Verdana" w:cs="Arial"/>
                <w:b/>
                <w:lang w:val="es-ES_tradnl" w:eastAsia="es-ES_tradnl"/>
              </w:rPr>
              <w:t>Temas:</w:t>
            </w:r>
            <w:r w:rsidRPr="00A11AA2">
              <w:rPr>
                <w:rFonts w:ascii="Verdana" w:eastAsia="Calibri" w:hAnsi="Verdana" w:cs="Arial"/>
                <w:lang w:val="es-ES_tradnl" w:eastAsia="es-ES_tradnl"/>
              </w:rPr>
              <w:t xml:space="preserve">                   </w:t>
            </w:r>
          </w:p>
        </w:tc>
        <w:tc>
          <w:tcPr>
            <w:tcW w:w="6114" w:type="dxa"/>
          </w:tcPr>
          <w:p w14:paraId="2E69A658" w14:textId="77777777" w:rsidR="00365E5A" w:rsidRPr="006A13F8" w:rsidRDefault="00365E5A">
            <w:pPr>
              <w:spacing w:line="276" w:lineRule="auto"/>
              <w:jc w:val="both"/>
              <w:rPr>
                <w:rFonts w:ascii="Verdana" w:eastAsia="Calibri" w:hAnsi="Verdana" w:cs="Times New Roman"/>
                <w:lang w:val="es-ES" w:eastAsia="es-MX"/>
              </w:rPr>
            </w:pPr>
            <w:r w:rsidRPr="006A13F8">
              <w:rPr>
                <w:rFonts w:ascii="Verdana" w:eastAsia="Calibri" w:hAnsi="Verdana" w:cs="Arial"/>
                <w:lang w:val="es-ES_tradnl" w:eastAsia="es-MX"/>
              </w:rPr>
              <w:t>DOCUMENTOS TIPO – Fundamento normativo – Obligatoriedad / SECTOR SOCIAL</w:t>
            </w:r>
            <w:r w:rsidRPr="006A13F8">
              <w:rPr>
                <w:rFonts w:ascii="Verdana" w:eastAsia="Calibri" w:hAnsi="Verdana" w:cs="Times New Roman"/>
                <w:lang w:val="es-ES" w:eastAsia="es-MX"/>
              </w:rPr>
              <w:t xml:space="preserve"> – Documentos tipo – Vigentes / DOCUMENTOS TIPO – Aplicación – Matriz de Experiencia / DOCUMENTOS TIPO – Infraestructura social - Aplicación – Matriz de Experiencia – Sendero peatonal</w:t>
            </w:r>
          </w:p>
          <w:p w14:paraId="261F49DF" w14:textId="77777777" w:rsidR="00365E5A" w:rsidRPr="006A13F8" w:rsidRDefault="00365E5A">
            <w:pPr>
              <w:jc w:val="both"/>
              <w:rPr>
                <w:rFonts w:ascii="Verdana" w:hAnsi="Verdana" w:cs="Arial"/>
                <w:lang w:val="es-ES" w:eastAsia="es-ES"/>
              </w:rPr>
            </w:pPr>
          </w:p>
        </w:tc>
      </w:tr>
      <w:tr w:rsidR="00365E5A" w:rsidRPr="00724695" w14:paraId="54C2CD0F" w14:textId="77777777">
        <w:trPr>
          <w:trHeight w:val="597"/>
        </w:trPr>
        <w:tc>
          <w:tcPr>
            <w:tcW w:w="3119" w:type="dxa"/>
            <w:hideMark/>
          </w:tcPr>
          <w:p w14:paraId="578C61BD" w14:textId="77777777" w:rsidR="00365E5A" w:rsidRPr="008C5E3B" w:rsidRDefault="00365E5A">
            <w:pPr>
              <w:spacing w:line="276" w:lineRule="auto"/>
              <w:jc w:val="both"/>
              <w:rPr>
                <w:rFonts w:ascii="Verdana" w:eastAsia="Calibri" w:hAnsi="Verdana" w:cs="Arial"/>
                <w:b/>
                <w:lang w:val="es-ES_tradnl" w:eastAsia="es-ES_tradnl"/>
              </w:rPr>
            </w:pPr>
            <w:r w:rsidRPr="008C5E3B">
              <w:rPr>
                <w:rFonts w:ascii="Verdana" w:eastAsia="Calibri" w:hAnsi="Verdana" w:cs="Arial"/>
                <w:b/>
                <w:lang w:val="es-ES_tradnl" w:eastAsia="es-ES_tradnl"/>
              </w:rPr>
              <w:t xml:space="preserve">Radicación:               </w:t>
            </w:r>
          </w:p>
        </w:tc>
        <w:tc>
          <w:tcPr>
            <w:tcW w:w="6114" w:type="dxa"/>
          </w:tcPr>
          <w:p w14:paraId="3F8E64EE" w14:textId="77777777" w:rsidR="00365E5A" w:rsidRPr="007602A1" w:rsidRDefault="00365E5A">
            <w:pPr>
              <w:spacing w:line="276" w:lineRule="auto"/>
              <w:jc w:val="both"/>
              <w:rPr>
                <w:rFonts w:ascii="Verdana" w:eastAsia="Calibri" w:hAnsi="Verdana" w:cs="Arial"/>
                <w:bCs/>
                <w:lang w:eastAsia="es-ES_tradnl"/>
              </w:rPr>
            </w:pPr>
            <w:r w:rsidRPr="00724695">
              <w:rPr>
                <w:rFonts w:ascii="Verdana" w:eastAsia="Calibri" w:hAnsi="Verdana" w:cs="Arial"/>
                <w:bCs/>
                <w:lang w:val="es-ES_tradnl" w:eastAsia="es-ES_tradnl"/>
              </w:rPr>
              <w:t xml:space="preserve">Respuesta a consulta con radicado </w:t>
            </w:r>
            <w:proofErr w:type="gramStart"/>
            <w:r w:rsidRPr="00724695">
              <w:rPr>
                <w:rFonts w:ascii="Verdana" w:eastAsia="Calibri" w:hAnsi="Verdana" w:cs="Arial"/>
                <w:bCs/>
                <w:lang w:eastAsia="es-ES_tradnl"/>
              </w:rPr>
              <w:t xml:space="preserve">No. </w:t>
            </w:r>
            <w:r w:rsidRPr="00592E01">
              <w:rPr>
                <w:rFonts w:ascii="Verdana" w:eastAsia="Calibri" w:hAnsi="Verdana" w:cs="Arial"/>
                <w:b/>
                <w:bCs/>
                <w:lang w:eastAsia="es-ES_tradnl"/>
              </w:rPr>
              <w:t> </w:t>
            </w:r>
            <w:r w:rsidRPr="009D36F0">
              <w:rPr>
                <w:rFonts w:ascii="Verdana" w:eastAsia="Calibri" w:hAnsi="Verdana" w:cs="Arial"/>
                <w:bCs/>
                <w:lang w:eastAsia="es-ES_tradnl"/>
              </w:rPr>
              <w:t>1</w:t>
            </w:r>
            <w:proofErr w:type="gramEnd"/>
            <w:r w:rsidRPr="009D36F0">
              <w:rPr>
                <w:rFonts w:ascii="Verdana" w:eastAsia="Calibri" w:hAnsi="Verdana" w:cs="Arial"/>
                <w:bCs/>
                <w:lang w:eastAsia="es-ES_tradnl"/>
              </w:rPr>
              <w:t>_2026_07_29_009972</w:t>
            </w:r>
          </w:p>
        </w:tc>
      </w:tr>
    </w:tbl>
    <w:p w14:paraId="5041A70B" w14:textId="77777777" w:rsidR="00365E5A" w:rsidRPr="00AB5C52" w:rsidRDefault="00365E5A" w:rsidP="00365E5A">
      <w:pPr>
        <w:spacing w:after="0" w:line="276" w:lineRule="auto"/>
        <w:jc w:val="both"/>
        <w:rPr>
          <w:rFonts w:ascii="Verdana" w:eastAsia="Calibri" w:hAnsi="Verdana" w:cs="Arial"/>
          <w:bCs/>
          <w:lang w:val="es-ES_tradnl" w:eastAsia="es-ES_tradnl"/>
        </w:rPr>
      </w:pPr>
    </w:p>
    <w:p w14:paraId="01B22EBC" w14:textId="0763D852" w:rsidR="00365E5A" w:rsidRPr="00AB5C52" w:rsidRDefault="00365E5A" w:rsidP="00365E5A">
      <w:pPr>
        <w:spacing w:after="0" w:line="276" w:lineRule="auto"/>
        <w:jc w:val="both"/>
        <w:rPr>
          <w:rFonts w:ascii="Verdana" w:eastAsia="Calibri" w:hAnsi="Verdana" w:cs="Arial"/>
          <w:bCs/>
          <w:lang w:val="es-ES" w:eastAsia="es-ES"/>
        </w:rPr>
      </w:pPr>
      <w:r w:rsidRPr="00AB5C52">
        <w:rPr>
          <w:rFonts w:ascii="Verdana" w:eastAsia="Calibri" w:hAnsi="Verdana" w:cs="Arial"/>
          <w:bCs/>
          <w:lang w:val="es-ES" w:eastAsia="es-ES"/>
        </w:rPr>
        <w:t>Estimad</w:t>
      </w:r>
      <w:r>
        <w:rPr>
          <w:rFonts w:ascii="Verdana" w:eastAsia="Calibri" w:hAnsi="Verdana" w:cs="Arial"/>
          <w:bCs/>
          <w:lang w:val="es-ES" w:eastAsia="es-ES"/>
        </w:rPr>
        <w:t>o</w:t>
      </w:r>
      <w:r w:rsidRPr="00AB5C52">
        <w:rPr>
          <w:rFonts w:ascii="Verdana" w:eastAsia="Calibri" w:hAnsi="Verdana" w:cs="Arial"/>
          <w:bCs/>
          <w:lang w:val="es-ES" w:eastAsia="es-ES"/>
        </w:rPr>
        <w:t xml:space="preserve"> </w:t>
      </w:r>
      <w:r>
        <w:rPr>
          <w:rFonts w:ascii="Verdana" w:eastAsia="Calibri" w:hAnsi="Verdana" w:cs="Arial"/>
          <w:bCs/>
          <w:lang w:val="es-ES" w:eastAsia="es-ES"/>
        </w:rPr>
        <w:t>Señor Diego, cordial saludo</w:t>
      </w:r>
      <w:r w:rsidRPr="00AB5C52">
        <w:rPr>
          <w:rFonts w:ascii="Verdana" w:eastAsia="Calibri" w:hAnsi="Verdana" w:cs="Arial"/>
          <w:bCs/>
          <w:lang w:val="es-ES" w:eastAsia="es-ES"/>
        </w:rPr>
        <w:t xml:space="preserve">:  </w:t>
      </w:r>
    </w:p>
    <w:p w14:paraId="2BB79EB1" w14:textId="77777777" w:rsidR="00365E5A" w:rsidRPr="00AB5C52" w:rsidRDefault="00365E5A" w:rsidP="00365E5A">
      <w:pPr>
        <w:tabs>
          <w:tab w:val="left" w:pos="3768"/>
        </w:tabs>
        <w:spacing w:after="0" w:line="276" w:lineRule="auto"/>
        <w:jc w:val="both"/>
        <w:rPr>
          <w:rFonts w:ascii="Verdana" w:eastAsia="Calibri" w:hAnsi="Verdana" w:cs="Arial"/>
          <w:bCs/>
          <w:lang w:val="es-ES" w:eastAsia="es-ES"/>
        </w:rPr>
      </w:pPr>
      <w:r w:rsidRPr="00AB5C52">
        <w:rPr>
          <w:rFonts w:ascii="Verdana" w:eastAsia="Calibri" w:hAnsi="Verdana" w:cs="Arial"/>
          <w:bCs/>
          <w:lang w:val="es-ES" w:eastAsia="es-ES"/>
        </w:rPr>
        <w:tab/>
      </w:r>
    </w:p>
    <w:p w14:paraId="3E4FAF37" w14:textId="77777777" w:rsidR="00365E5A" w:rsidRPr="003125D1" w:rsidRDefault="00365E5A" w:rsidP="00365E5A">
      <w:pPr>
        <w:spacing w:after="0" w:line="276" w:lineRule="auto"/>
        <w:jc w:val="both"/>
        <w:rPr>
          <w:rFonts w:ascii="Verdana" w:eastAsia="Calibri" w:hAnsi="Verdana" w:cs="Arial"/>
          <w:lang w:val="es-ES" w:eastAsia="es-ES"/>
        </w:rPr>
      </w:pPr>
      <w:r w:rsidRPr="003125D1">
        <w:rPr>
          <w:rFonts w:ascii="Verdana" w:eastAsia="Calibri" w:hAnsi="Verdana" w:cs="Arial"/>
          <w:lang w:val="es-ES" w:eastAsia="es-ES"/>
        </w:rPr>
        <w:t>En ejercicio de la competencia otorgada por los artículos 3, numeral 5º, y 11, numeral 8º, del Decreto Ley 4170 de 2011,</w:t>
      </w:r>
      <w:r w:rsidRPr="003125D1">
        <w:rPr>
          <w:rFonts w:ascii="Verdana" w:eastAsia="Arial MT" w:hAnsi="Verdana" w:cs="Arial MT"/>
          <w:lang w:val="es-ES" w:eastAsia="es-ES"/>
        </w:rPr>
        <w:t xml:space="preserve"> </w:t>
      </w:r>
      <w:r w:rsidRPr="003125D1">
        <w:rPr>
          <w:rFonts w:ascii="Verdana" w:eastAsia="Calibri" w:hAnsi="Verdana" w:cs="Arial"/>
        </w:rPr>
        <w:t xml:space="preserve">así como lo establecido en el artículo 4 de la Resolución 1707 de 2018 expedida por esta Entidad, </w:t>
      </w:r>
      <w:r w:rsidRPr="003125D1">
        <w:rPr>
          <w:rFonts w:ascii="Verdana" w:eastAsia="Calibri" w:hAnsi="Verdana" w:cs="Arial"/>
          <w:lang w:val="es-ES" w:eastAsia="es-ES"/>
        </w:rPr>
        <w:t xml:space="preserve">la Agencia Nacional de Contratación Pública –Colombia Compra Eficiente– responde su solicitud de consulta de fecha </w:t>
      </w:r>
      <w:r>
        <w:rPr>
          <w:rFonts w:ascii="Verdana" w:eastAsia="Calibri" w:hAnsi="Verdana" w:cs="Arial"/>
          <w:lang w:val="es-ES" w:eastAsia="es-ES"/>
        </w:rPr>
        <w:t xml:space="preserve">28 </w:t>
      </w:r>
      <w:r w:rsidRPr="003125D1">
        <w:rPr>
          <w:rFonts w:ascii="Verdana" w:eastAsia="Calibri" w:hAnsi="Verdana" w:cs="Arial"/>
          <w:lang w:val="es-ES" w:eastAsia="es-ES"/>
        </w:rPr>
        <w:t xml:space="preserve">de </w:t>
      </w:r>
      <w:r>
        <w:rPr>
          <w:rFonts w:ascii="Verdana" w:eastAsia="Calibri" w:hAnsi="Verdana" w:cs="Arial"/>
          <w:lang w:val="es-ES" w:eastAsia="es-ES"/>
        </w:rPr>
        <w:t>julio</w:t>
      </w:r>
      <w:r w:rsidRPr="003125D1">
        <w:rPr>
          <w:rFonts w:ascii="Verdana" w:eastAsia="Calibri" w:hAnsi="Verdana" w:cs="Arial"/>
          <w:lang w:val="es-ES" w:eastAsia="es-ES"/>
        </w:rPr>
        <w:t xml:space="preserve"> de 2026, en la cual manifiesta lo siguiente: </w:t>
      </w:r>
      <w:bookmarkStart w:id="1" w:name="_Hlk95313578"/>
    </w:p>
    <w:p w14:paraId="1201A354" w14:textId="77777777" w:rsidR="00365E5A" w:rsidRPr="003125D1" w:rsidRDefault="00365E5A" w:rsidP="00365E5A">
      <w:pPr>
        <w:spacing w:after="0" w:line="276" w:lineRule="auto"/>
        <w:jc w:val="both"/>
        <w:rPr>
          <w:rFonts w:ascii="Verdana" w:eastAsia="Calibri" w:hAnsi="Verdana" w:cs="Arial"/>
          <w:bCs/>
          <w:lang w:val="es-ES" w:eastAsia="es-ES"/>
        </w:rPr>
      </w:pPr>
    </w:p>
    <w:bookmarkEnd w:id="1"/>
    <w:p w14:paraId="63E398E4" w14:textId="77777777" w:rsidR="00365E5A" w:rsidRPr="002B5872" w:rsidRDefault="00365E5A" w:rsidP="00365E5A">
      <w:pPr>
        <w:spacing w:after="0" w:line="240" w:lineRule="auto"/>
        <w:ind w:left="709" w:right="709"/>
        <w:jc w:val="both"/>
        <w:rPr>
          <w:rFonts w:ascii="Verdana" w:eastAsia="Calibri" w:hAnsi="Verdana" w:cs="Arial"/>
          <w:i/>
          <w:iCs/>
          <w:sz w:val="21"/>
          <w:szCs w:val="21"/>
          <w:lang w:val="es-ES" w:eastAsia="es-ES"/>
        </w:rPr>
      </w:pPr>
      <w:r w:rsidRPr="002B5872">
        <w:rPr>
          <w:rFonts w:ascii="Verdana" w:eastAsia="Calibri" w:hAnsi="Verdana" w:cs="Arial"/>
          <w:i/>
          <w:iCs/>
          <w:sz w:val="21"/>
          <w:szCs w:val="21"/>
          <w:lang w:val="es-ES" w:eastAsia="es-ES"/>
        </w:rPr>
        <w:t>“(…)</w:t>
      </w:r>
    </w:p>
    <w:p w14:paraId="2D6D58B1" w14:textId="77777777" w:rsidR="00365E5A" w:rsidRPr="002B5872" w:rsidRDefault="00365E5A" w:rsidP="00365E5A">
      <w:pPr>
        <w:spacing w:after="0" w:line="240" w:lineRule="auto"/>
        <w:ind w:left="709" w:right="709"/>
        <w:jc w:val="both"/>
        <w:rPr>
          <w:rFonts w:ascii="Verdana" w:eastAsia="Calibri" w:hAnsi="Verdana" w:cs="Arial"/>
          <w:i/>
          <w:iCs/>
          <w:sz w:val="21"/>
          <w:szCs w:val="21"/>
          <w:lang w:val="es-ES" w:eastAsia="es-ES"/>
        </w:rPr>
      </w:pPr>
    </w:p>
    <w:p w14:paraId="56F04D6D" w14:textId="77777777" w:rsidR="00365E5A" w:rsidRPr="002B5872" w:rsidRDefault="00365E5A" w:rsidP="00365E5A">
      <w:pPr>
        <w:spacing w:after="0" w:line="240" w:lineRule="auto"/>
        <w:ind w:left="709" w:right="709"/>
        <w:jc w:val="both"/>
        <w:rPr>
          <w:rFonts w:ascii="Verdana" w:eastAsia="Calibri" w:hAnsi="Verdana" w:cs="Arial"/>
          <w:i/>
          <w:iCs/>
          <w:sz w:val="21"/>
          <w:szCs w:val="21"/>
          <w:lang w:eastAsia="es-ES"/>
        </w:rPr>
      </w:pPr>
      <w:r w:rsidRPr="002B5872">
        <w:rPr>
          <w:rFonts w:ascii="Verdana" w:eastAsia="Calibri" w:hAnsi="Verdana" w:cs="Arial"/>
          <w:i/>
          <w:iCs/>
          <w:sz w:val="21"/>
          <w:szCs w:val="21"/>
          <w:lang w:eastAsia="es-ES"/>
        </w:rPr>
        <w:t>¿Resultan aplicables al presente proceso los Documentos Tipo para obra pública de infraestructura social en la modalidad de mínima cuantía expedidos por la Agencia Nacional de Contratación Pública – Colombia Compra Eficiente, teniendo en cuenta que el objeto contractual corresponde a la adecuación de un Punto de Atención al Ciudadano y zonas conexas?</w:t>
      </w:r>
    </w:p>
    <w:p w14:paraId="5BD7213E" w14:textId="77777777" w:rsidR="00365E5A" w:rsidRPr="002B5872" w:rsidRDefault="00365E5A" w:rsidP="00365E5A">
      <w:pPr>
        <w:spacing w:after="0" w:line="240" w:lineRule="auto"/>
        <w:ind w:left="709" w:right="709"/>
        <w:jc w:val="both"/>
        <w:rPr>
          <w:rFonts w:ascii="Verdana" w:eastAsia="Calibri" w:hAnsi="Verdana" w:cs="Arial"/>
          <w:i/>
          <w:iCs/>
          <w:sz w:val="21"/>
          <w:szCs w:val="21"/>
          <w:lang w:eastAsia="es-ES"/>
        </w:rPr>
      </w:pPr>
    </w:p>
    <w:p w14:paraId="67232EC6" w14:textId="77777777" w:rsidR="00365E5A" w:rsidRPr="002B5872" w:rsidRDefault="00365E5A" w:rsidP="00365E5A">
      <w:pPr>
        <w:spacing w:after="0" w:line="240" w:lineRule="auto"/>
        <w:ind w:left="709" w:right="709"/>
        <w:jc w:val="both"/>
        <w:rPr>
          <w:rFonts w:ascii="Verdana" w:eastAsia="Calibri" w:hAnsi="Verdana" w:cs="Arial"/>
          <w:i/>
          <w:iCs/>
          <w:sz w:val="21"/>
          <w:szCs w:val="21"/>
          <w:lang w:val="es-ES" w:eastAsia="es-ES"/>
        </w:rPr>
      </w:pPr>
      <w:r w:rsidRPr="002B5872">
        <w:rPr>
          <w:rFonts w:ascii="Verdana" w:eastAsia="Calibri" w:hAnsi="Verdana" w:cs="Arial"/>
          <w:i/>
          <w:iCs/>
          <w:sz w:val="21"/>
          <w:szCs w:val="21"/>
          <w:lang w:eastAsia="es-ES"/>
        </w:rPr>
        <w:t xml:space="preserve">Lo anterior, teniendo en cuenta que el SENA es un establecimiento público y que las áreas objeto de intervención corresponden a espacios destinados principalmente a la atención al ciudadano, más no a ambientes de formación o infraestructura educativa. </w:t>
      </w:r>
    </w:p>
    <w:p w14:paraId="4BC6474F" w14:textId="77777777" w:rsidR="00365E5A" w:rsidRPr="002B5872" w:rsidRDefault="00365E5A" w:rsidP="00365E5A">
      <w:pPr>
        <w:spacing w:after="0" w:line="240" w:lineRule="auto"/>
        <w:ind w:left="709" w:right="709"/>
        <w:jc w:val="both"/>
        <w:rPr>
          <w:rFonts w:ascii="Verdana" w:eastAsia="Calibri" w:hAnsi="Verdana" w:cs="Arial"/>
          <w:i/>
          <w:iCs/>
          <w:sz w:val="21"/>
          <w:szCs w:val="21"/>
          <w:lang w:val="es-ES" w:eastAsia="es-ES"/>
        </w:rPr>
      </w:pPr>
    </w:p>
    <w:p w14:paraId="10AA7253" w14:textId="77777777" w:rsidR="00365E5A" w:rsidRPr="002B5872" w:rsidRDefault="00365E5A" w:rsidP="00365E5A">
      <w:pPr>
        <w:spacing w:line="240" w:lineRule="auto"/>
        <w:ind w:left="709" w:right="709"/>
        <w:jc w:val="both"/>
        <w:rPr>
          <w:rFonts w:ascii="Verdana" w:hAnsi="Verdana"/>
          <w:sz w:val="21"/>
          <w:szCs w:val="21"/>
        </w:rPr>
      </w:pPr>
      <w:r w:rsidRPr="002B5872">
        <w:rPr>
          <w:rFonts w:ascii="Verdana" w:hAnsi="Verdana"/>
          <w:sz w:val="21"/>
          <w:szCs w:val="21"/>
        </w:rPr>
        <w:t xml:space="preserve">1. ¿Cuál fue el alcance que Colombia Compra Eficiente pretendió otorgar a la actividad denominada "Senderos Peatonales" dentro de la Matriz de Experiencia de los Documentos Tipo de Obra Pública de Infraestructura del Sector Social – Versión 2? </w:t>
      </w:r>
    </w:p>
    <w:p w14:paraId="75F09EB5" w14:textId="77777777" w:rsidR="00365E5A" w:rsidRPr="002B5872" w:rsidRDefault="00365E5A" w:rsidP="00365E5A">
      <w:pPr>
        <w:spacing w:line="240" w:lineRule="auto"/>
        <w:ind w:left="709" w:right="709"/>
        <w:jc w:val="both"/>
        <w:rPr>
          <w:rFonts w:ascii="Verdana" w:hAnsi="Verdana"/>
          <w:sz w:val="21"/>
          <w:szCs w:val="21"/>
        </w:rPr>
      </w:pPr>
      <w:r w:rsidRPr="002B5872">
        <w:rPr>
          <w:rFonts w:ascii="Verdana" w:hAnsi="Verdana"/>
          <w:sz w:val="21"/>
          <w:szCs w:val="21"/>
        </w:rPr>
        <w:t xml:space="preserve">2. ¿Qué debe entenderse, para efectos de los Documentos Tipo, por la expresión "vías de circulación peatonal" contenida en la definición de Franja de Circulación Peatonal del Anexo 5 – Glosario? </w:t>
      </w:r>
    </w:p>
    <w:p w14:paraId="2B058DAD" w14:textId="77777777" w:rsidR="00365E5A" w:rsidRPr="002B5872" w:rsidRDefault="00365E5A" w:rsidP="00365E5A">
      <w:pPr>
        <w:spacing w:line="240" w:lineRule="auto"/>
        <w:ind w:left="709" w:right="709"/>
        <w:jc w:val="both"/>
        <w:rPr>
          <w:rFonts w:ascii="Verdana" w:hAnsi="Verdana"/>
          <w:sz w:val="21"/>
          <w:szCs w:val="21"/>
        </w:rPr>
      </w:pPr>
      <w:r w:rsidRPr="002B5872">
        <w:rPr>
          <w:rFonts w:ascii="Verdana" w:hAnsi="Verdana"/>
          <w:sz w:val="21"/>
          <w:szCs w:val="21"/>
        </w:rPr>
        <w:t xml:space="preserve">3. ¿Es correcta la interpretación según la cual la expresión "zona o sendero de las vías de circulación peatonal" puede comprender zonas peatonales ubicadas dentro del perfil vial, como los andenes o aceras, o la intención de los Documentos Tipo fue referirse exclusivamente a senderos o vías peatonales independientes de la infraestructura de transporte? </w:t>
      </w:r>
    </w:p>
    <w:p w14:paraId="0F18EC82" w14:textId="77777777" w:rsidR="00365E5A" w:rsidRPr="002B5872" w:rsidRDefault="00365E5A" w:rsidP="00365E5A">
      <w:pPr>
        <w:spacing w:line="240" w:lineRule="auto"/>
        <w:ind w:left="709" w:right="709"/>
        <w:jc w:val="both"/>
        <w:rPr>
          <w:rFonts w:ascii="Verdana" w:hAnsi="Verdana"/>
          <w:sz w:val="21"/>
          <w:szCs w:val="21"/>
        </w:rPr>
      </w:pPr>
      <w:r w:rsidRPr="002B5872">
        <w:rPr>
          <w:rFonts w:ascii="Verdana" w:hAnsi="Verdana"/>
          <w:sz w:val="21"/>
          <w:szCs w:val="21"/>
        </w:rPr>
        <w:t xml:space="preserve">4. ¿Cuál es el criterio técnico o jurídico que permite diferenciar un Sendero Peatonal de otras obras destinadas exclusivamente al tránsito peatonal cuando estas hacen parte del espacio público asociado a la infraestructura de transporte? </w:t>
      </w:r>
    </w:p>
    <w:p w14:paraId="5B2B8621" w14:textId="6F62C170" w:rsidR="00365E5A" w:rsidRPr="00365E5A" w:rsidRDefault="00365E5A" w:rsidP="00365E5A">
      <w:pPr>
        <w:spacing w:line="240" w:lineRule="auto"/>
        <w:ind w:left="709" w:right="709"/>
        <w:jc w:val="both"/>
        <w:rPr>
          <w:rFonts w:ascii="Verdana" w:hAnsi="Verdana"/>
          <w:sz w:val="21"/>
          <w:szCs w:val="21"/>
        </w:rPr>
      </w:pPr>
      <w:r w:rsidRPr="002B5872">
        <w:rPr>
          <w:rFonts w:ascii="Verdana" w:hAnsi="Verdana"/>
          <w:sz w:val="21"/>
          <w:szCs w:val="21"/>
        </w:rPr>
        <w:t xml:space="preserve">5. En caso de que la intención de la Nota 1 haya sido excluir toda obra peatonal asociada a la infraestructura de transporte, ¿cuál fue la razón para incorporar expresamente la actividad "Construcción y/o ampliación y/o reconstrucción de Senderos Peatonales" dentro de la experiencia general, sin establecer un criterio objetivo que permita distinguir dicha actividad de otras obras de circulación </w:t>
      </w:r>
      <w:proofErr w:type="gramStart"/>
      <w:r w:rsidRPr="002B5872">
        <w:rPr>
          <w:rFonts w:ascii="Verdana" w:hAnsi="Verdana"/>
          <w:sz w:val="21"/>
          <w:szCs w:val="21"/>
        </w:rPr>
        <w:t>peatonal?</w:t>
      </w:r>
      <w:r w:rsidRPr="003125D1">
        <w:rPr>
          <w:rFonts w:ascii="Verdana" w:eastAsia="Calibri" w:hAnsi="Verdana" w:cs="Arial"/>
          <w:i/>
          <w:iCs/>
          <w:sz w:val="21"/>
          <w:szCs w:val="21"/>
          <w:lang w:val="es-ES" w:eastAsia="es-ES"/>
        </w:rPr>
        <w:t>(</w:t>
      </w:r>
      <w:proofErr w:type="gramEnd"/>
      <w:r w:rsidRPr="003125D1">
        <w:rPr>
          <w:rFonts w:ascii="Verdana" w:eastAsia="Calibri" w:hAnsi="Verdana" w:cs="Arial"/>
          <w:i/>
          <w:iCs/>
          <w:sz w:val="21"/>
          <w:szCs w:val="21"/>
          <w:lang w:val="es-ES" w:eastAsia="es-ES"/>
        </w:rPr>
        <w:t>…)</w:t>
      </w:r>
      <w:r w:rsidRPr="003125D1">
        <w:rPr>
          <w:rFonts w:ascii="Verdana" w:eastAsia="Calibri" w:hAnsi="Verdana" w:cs="Arial"/>
          <w:i/>
          <w:iCs/>
          <w:sz w:val="21"/>
          <w:szCs w:val="21"/>
          <w:lang w:eastAsia="es-ES"/>
        </w:rPr>
        <w:t>”</w:t>
      </w:r>
    </w:p>
    <w:p w14:paraId="2FC57EEC" w14:textId="77777777" w:rsidR="00365E5A" w:rsidRPr="003125D1" w:rsidRDefault="00365E5A" w:rsidP="00365E5A">
      <w:pPr>
        <w:spacing w:after="0" w:line="276" w:lineRule="auto"/>
        <w:ind w:left="709" w:right="709"/>
        <w:jc w:val="both"/>
        <w:rPr>
          <w:rFonts w:ascii="Verdana" w:eastAsia="Times New Roman" w:hAnsi="Verdana" w:cs="Times New Roman"/>
          <w:lang w:eastAsia="es-CO"/>
        </w:rPr>
      </w:pPr>
    </w:p>
    <w:p w14:paraId="46A302E5" w14:textId="77777777" w:rsidR="00365E5A" w:rsidRPr="003125D1" w:rsidRDefault="00365E5A" w:rsidP="00365E5A">
      <w:pPr>
        <w:spacing w:after="120" w:line="276" w:lineRule="auto"/>
        <w:ind w:firstLine="709"/>
        <w:jc w:val="both"/>
        <w:rPr>
          <w:rFonts w:ascii="Verdana" w:eastAsia="Calibri" w:hAnsi="Verdana" w:cs="Arial"/>
          <w:lang w:val="es-ES_tradnl" w:eastAsia="es-ES_tradnl"/>
        </w:rPr>
      </w:pPr>
      <w:r w:rsidRPr="003125D1">
        <w:rPr>
          <w:rFonts w:ascii="Verdana" w:eastAsia="Calibri" w:hAnsi="Verdana" w:cs="Arial"/>
          <w:lang w:val="es-ES" w:eastAsia="es-ES"/>
        </w:rPr>
        <w:t xml:space="preserve">De manera preliminar, resulta necesario resaltar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3125D1">
        <w:rPr>
          <w:rFonts w:ascii="Verdana" w:eastAsia="Calibri" w:hAnsi="Verdana" w:cs="Arial"/>
          <w:lang w:val="es-ES_tradnl" w:eastAsia="es-ES_tradnl"/>
        </w:rPr>
        <w:tab/>
      </w:r>
    </w:p>
    <w:p w14:paraId="76B2D8E4" w14:textId="77777777" w:rsidR="00365E5A" w:rsidRPr="003125D1" w:rsidRDefault="00365E5A" w:rsidP="00365E5A">
      <w:pPr>
        <w:spacing w:after="0" w:line="276" w:lineRule="auto"/>
        <w:ind w:firstLine="708"/>
        <w:jc w:val="both"/>
        <w:rPr>
          <w:rFonts w:ascii="Verdana" w:eastAsia="Calibri" w:hAnsi="Verdana" w:cs="Arial"/>
          <w:lang w:val="es-ES" w:eastAsia="es-ES"/>
        </w:rPr>
      </w:pPr>
      <w:r w:rsidRPr="003125D1">
        <w:rPr>
          <w:rFonts w:ascii="Verdana" w:eastAsia="Calibri" w:hAnsi="Verdana" w:cs="Arial"/>
          <w:lang w:val="es-ES" w:eastAsia="es-ES"/>
        </w:rPr>
        <w:lastRenderedPageBreak/>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w:t>
      </w:r>
    </w:p>
    <w:p w14:paraId="46378A87" w14:textId="77777777" w:rsidR="00365E5A" w:rsidRPr="003125D1" w:rsidRDefault="00365E5A" w:rsidP="00365E5A">
      <w:pPr>
        <w:spacing w:after="0" w:line="276" w:lineRule="auto"/>
        <w:ind w:firstLine="709"/>
        <w:jc w:val="both"/>
        <w:rPr>
          <w:rFonts w:ascii="Verdana" w:eastAsia="Calibri" w:hAnsi="Verdana" w:cs="Arial"/>
          <w:lang w:val="es-ES" w:eastAsia="es-ES"/>
        </w:rPr>
      </w:pPr>
    </w:p>
    <w:p w14:paraId="5BCA45DE" w14:textId="77777777" w:rsidR="00365E5A" w:rsidRDefault="00365E5A" w:rsidP="00365E5A">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3125D1">
        <w:rPr>
          <w:rFonts w:ascii="Verdana" w:eastAsia="Century Gothic" w:hAnsi="Verdana" w:cs="Century Gothic"/>
          <w:b/>
          <w:bCs/>
          <w:lang w:val="es-ES"/>
        </w:rPr>
        <w:t>Problema planteado:</w:t>
      </w:r>
    </w:p>
    <w:p w14:paraId="621D9227" w14:textId="77777777" w:rsidR="00633B84" w:rsidRDefault="00633B84" w:rsidP="00633B84">
      <w:pPr>
        <w:tabs>
          <w:tab w:val="left" w:pos="142"/>
          <w:tab w:val="left" w:pos="284"/>
        </w:tabs>
        <w:spacing w:after="0" w:line="276" w:lineRule="auto"/>
        <w:contextualSpacing/>
        <w:jc w:val="both"/>
        <w:rPr>
          <w:rFonts w:ascii="Verdana" w:eastAsia="Century Gothic" w:hAnsi="Verdana" w:cs="Century Gothic"/>
          <w:b/>
          <w:bCs/>
          <w:lang w:val="es-ES"/>
        </w:rPr>
      </w:pPr>
    </w:p>
    <w:p w14:paraId="74F17C69" w14:textId="264893C9" w:rsidR="004E50F5" w:rsidRPr="004E50F5" w:rsidRDefault="004E50F5" w:rsidP="00633B84">
      <w:pPr>
        <w:tabs>
          <w:tab w:val="left" w:pos="142"/>
          <w:tab w:val="left" w:pos="284"/>
        </w:tabs>
        <w:spacing w:after="0" w:line="276" w:lineRule="auto"/>
        <w:contextualSpacing/>
        <w:jc w:val="both"/>
        <w:rPr>
          <w:rFonts w:ascii="Verdana" w:eastAsia="Century Gothic" w:hAnsi="Verdana" w:cs="Century Gothic"/>
          <w:lang w:val="es-ES"/>
        </w:rPr>
      </w:pPr>
      <w:r w:rsidRPr="004E50F5">
        <w:rPr>
          <w:rFonts w:ascii="Verdana" w:eastAsia="Century Gothic" w:hAnsi="Verdana" w:cs="Century Gothic"/>
        </w:rPr>
        <w:t xml:space="preserve">De acuerdo con el contenido de su solicitud, esta Agencia resolverá el siguiente problema jurídico: I). ¿Cuál es el alcance de la actividad “Construcción y/o ampliación y/o reconstrucción de Senderos Peatonales” prevista en la Matriz 1- Experiencia de los Documentos Tipo de Obra Pública de Infraestructura del Sector Social – Versión 2?, II) ¿Cuáles son los criterios técnicos que permiten diferenciar las obras destinadas a la circulación peatonal de otras obras de infraestructura, particularmente aquellas asociadas a la infraestructura de transporte o que hacen parte del espacio público? III). ¿Cómo debe interpretarse, para efectos de los Documentos Tipo de Obra Pública de Infraestructura del Sector Social – </w:t>
      </w:r>
      <w:proofErr w:type="gramStart"/>
      <w:r w:rsidRPr="004E50F5">
        <w:rPr>
          <w:rFonts w:ascii="Verdana" w:eastAsia="Century Gothic" w:hAnsi="Verdana" w:cs="Century Gothic"/>
        </w:rPr>
        <w:t xml:space="preserve">Versión 2, la expresión “vías de circulación peatonal” contenida en la definición de “Franja de Circulación Peatonal” del Anexo 5 – Glosario, y si dicha expresión comprende las zonas peatonales ubicadas dentro del perfil vial, tales como andenes o aceras, </w:t>
      </w:r>
      <w:r w:rsidR="00B30008">
        <w:rPr>
          <w:rFonts w:ascii="Verdana" w:eastAsia="Century Gothic" w:hAnsi="Verdana" w:cs="Century Gothic"/>
        </w:rPr>
        <w:t>O</w:t>
      </w:r>
      <w:r w:rsidRPr="004E50F5">
        <w:rPr>
          <w:rFonts w:ascii="Verdana" w:eastAsia="Century Gothic" w:hAnsi="Verdana" w:cs="Century Gothic"/>
        </w:rPr>
        <w:t xml:space="preserve"> si se refiere exclusivamente a senderos o vías peatonales independientes de la infraestructura de transporte?</w:t>
      </w:r>
      <w:proofErr w:type="gramEnd"/>
    </w:p>
    <w:p w14:paraId="79E733E8" w14:textId="77777777" w:rsidR="00365E5A" w:rsidRPr="003125D1" w:rsidRDefault="00365E5A" w:rsidP="00365E5A">
      <w:pPr>
        <w:tabs>
          <w:tab w:val="left" w:pos="426"/>
        </w:tabs>
        <w:spacing w:after="0" w:line="276" w:lineRule="auto"/>
        <w:jc w:val="both"/>
        <w:rPr>
          <w:rFonts w:ascii="Verdana" w:eastAsia="Century Gothic" w:hAnsi="Verdana" w:cs="Century Gothic"/>
          <w:lang w:val="es-ES"/>
        </w:rPr>
      </w:pPr>
    </w:p>
    <w:p w14:paraId="03E586A5" w14:textId="77777777" w:rsidR="00365E5A" w:rsidRPr="003125D1" w:rsidRDefault="00365E5A" w:rsidP="00365E5A">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3125D1">
        <w:rPr>
          <w:rFonts w:ascii="Verdana" w:eastAsia="Century Gothic" w:hAnsi="Verdana" w:cs="Century Gothic"/>
          <w:b/>
          <w:bCs/>
          <w:lang w:val="es-ES"/>
        </w:rPr>
        <w:t>Respuesta:</w:t>
      </w:r>
    </w:p>
    <w:p w14:paraId="176B2CE1" w14:textId="77777777" w:rsidR="00365E5A" w:rsidRPr="00AB496C" w:rsidRDefault="00365E5A" w:rsidP="00365E5A">
      <w:pPr>
        <w:tabs>
          <w:tab w:val="left" w:pos="142"/>
          <w:tab w:val="left" w:pos="284"/>
        </w:tabs>
        <w:spacing w:line="276" w:lineRule="auto"/>
        <w:contextualSpacing/>
        <w:jc w:val="both"/>
        <w:rPr>
          <w:rFonts w:ascii="Verdana" w:eastAsia="Century Gothic" w:hAnsi="Verdana" w:cs="Century Gothic"/>
          <w:b/>
          <w:bCs/>
          <w:lang w:val="es-ES"/>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365E5A" w:rsidRPr="004048FF" w14:paraId="639C8158" w14:textId="77777777">
        <w:trPr>
          <w:trHeight w:val="1057"/>
        </w:trPr>
        <w:tc>
          <w:tcPr>
            <w:tcW w:w="8828" w:type="dxa"/>
            <w:tcBorders>
              <w:top w:val="dotted" w:sz="4" w:space="0" w:color="auto"/>
              <w:left w:val="dotted" w:sz="4" w:space="0" w:color="auto"/>
              <w:bottom w:val="dotted" w:sz="4" w:space="0" w:color="auto"/>
              <w:right w:val="dotted" w:sz="4" w:space="0" w:color="auto"/>
            </w:tcBorders>
          </w:tcPr>
          <w:p w14:paraId="05A56B6A" w14:textId="77777777" w:rsidR="00365E5A" w:rsidRPr="00255565" w:rsidRDefault="00365E5A">
            <w:pPr>
              <w:spacing w:before="120" w:after="120" w:line="276" w:lineRule="auto"/>
              <w:jc w:val="both"/>
              <w:textAlignment w:val="baseline"/>
              <w:rPr>
                <w:rFonts w:ascii="Verdana" w:hAnsi="Verdana"/>
              </w:rPr>
            </w:pPr>
            <w:r w:rsidRPr="00255565">
              <w:rPr>
                <w:rFonts w:ascii="Verdana" w:hAnsi="Verdana"/>
              </w:rPr>
              <w:t xml:space="preserve"> I). La actividad “Construcción y/o ampliación y/o reconstrucción de Senderos Peatonales”, prevista en la Matriz 1 – Experiencia de los Documentos Tipo de Obra Pública de Infraestructura Social – Versión 2, debe entenderse en función del ámbito material de aplicación de dichos Documentos Tipo y, particularmente, de la delimitación efectuada respecto del espacio público asociado a la infraestructura de transporte.</w:t>
            </w:r>
          </w:p>
          <w:p w14:paraId="36167369" w14:textId="77777777" w:rsidR="00365E5A" w:rsidRPr="00255565" w:rsidRDefault="00365E5A">
            <w:pPr>
              <w:spacing w:before="120" w:after="120" w:line="276" w:lineRule="auto"/>
              <w:ind w:firstLine="709"/>
              <w:jc w:val="both"/>
              <w:textAlignment w:val="baseline"/>
              <w:rPr>
                <w:rFonts w:ascii="Verdana" w:hAnsi="Verdana"/>
              </w:rPr>
            </w:pPr>
            <w:r w:rsidRPr="00255565">
              <w:rPr>
                <w:rFonts w:ascii="Verdana" w:hAnsi="Verdana"/>
              </w:rPr>
              <w:t xml:space="preserve">En efecto, la actividad 2.1 del tipo de infraestructura “Obras de infraestructura recreo deportivas” comprende, entre otras, la construcción, ampliación o reconstrucción de parques, espacio público, plazas, plazoletas, </w:t>
            </w:r>
            <w:r w:rsidRPr="00255565">
              <w:rPr>
                <w:rFonts w:ascii="Verdana" w:hAnsi="Verdana"/>
              </w:rPr>
              <w:lastRenderedPageBreak/>
              <w:t>plazuelas, alamedas y senderos peatonales. Sin embargo, la Nota 1 establece expresamente que, para efectos de acreditar experiencia en espacio público, se excluye el espacio público asociado a la infraestructura de transporte, salvo las excepciones allí previstas.</w:t>
            </w:r>
          </w:p>
          <w:p w14:paraId="16565BF0" w14:textId="77777777" w:rsidR="00365E5A" w:rsidRPr="00255565" w:rsidRDefault="00365E5A">
            <w:pPr>
              <w:spacing w:before="120" w:after="120" w:line="276" w:lineRule="auto"/>
              <w:ind w:firstLine="709"/>
              <w:jc w:val="both"/>
              <w:textAlignment w:val="baseline"/>
              <w:rPr>
                <w:rFonts w:ascii="Verdana" w:hAnsi="Verdana"/>
              </w:rPr>
            </w:pPr>
            <w:r w:rsidRPr="00255565">
              <w:rPr>
                <w:rFonts w:ascii="Verdana" w:hAnsi="Verdana"/>
              </w:rPr>
              <w:t>Esta delimitación resulta relevante para interpretar el alcance de los “Senderos Peatonales”. Si bien el Glosario no contiene una definición autónoma y específica de dicha expresión, sí define conceptos relacionados que permiten establecer su alcance dentro de los Documentos Tipo. En particular, define la “Franja de Circulación Peatonal” como la “zona o sendero de las vías de circulación peatonal, destinada exclusivamente al tránsito de las personas”, y la “Vía Peatonal” como las áreas o zonas de la ciudad destinadas al tránsito exclusivo de peatones donde está restringida la circulación de vehículos motorizados.</w:t>
            </w:r>
          </w:p>
          <w:p w14:paraId="0A11C308" w14:textId="77777777" w:rsidR="00365E5A" w:rsidRPr="00255565" w:rsidRDefault="00365E5A">
            <w:pPr>
              <w:spacing w:before="120" w:after="120" w:line="276" w:lineRule="auto"/>
              <w:ind w:firstLine="709"/>
              <w:jc w:val="both"/>
              <w:textAlignment w:val="baseline"/>
              <w:rPr>
                <w:rFonts w:ascii="Verdana" w:hAnsi="Verdana"/>
              </w:rPr>
            </w:pPr>
            <w:r w:rsidRPr="00255565">
              <w:rPr>
                <w:rFonts w:ascii="Verdana" w:hAnsi="Verdana"/>
              </w:rPr>
              <w:t>Por consiguiente, la expresión “Senderos Peatonales” no puede interpretarse de manera aislada ni comprender indiscriminadamente cualquier obra destinada al tránsito de peatones. Su alcance debe determinarse atendiendo a la función, localización y relación de la obra con la infraestructura de transporte.</w:t>
            </w:r>
          </w:p>
          <w:p w14:paraId="7F79A140" w14:textId="01D84177" w:rsidR="00B654EC" w:rsidRDefault="00365E5A" w:rsidP="00672B0E">
            <w:pPr>
              <w:spacing w:before="120" w:after="120" w:line="276" w:lineRule="auto"/>
              <w:ind w:firstLine="709"/>
              <w:jc w:val="both"/>
              <w:textAlignment w:val="baseline"/>
              <w:rPr>
                <w:rFonts w:ascii="Verdana" w:hAnsi="Verdana"/>
              </w:rPr>
            </w:pPr>
            <w:r w:rsidRPr="00255565">
              <w:rPr>
                <w:rFonts w:ascii="Verdana" w:hAnsi="Verdana"/>
              </w:rPr>
              <w:t xml:space="preserve">En este sentido, para efectos de la Matriz </w:t>
            </w:r>
            <w:r w:rsidR="00B654EC">
              <w:rPr>
                <w:rFonts w:ascii="Verdana" w:hAnsi="Verdana"/>
              </w:rPr>
              <w:t>1 -</w:t>
            </w:r>
            <w:r w:rsidRPr="00255565">
              <w:rPr>
                <w:rFonts w:ascii="Verdana" w:hAnsi="Verdana"/>
              </w:rPr>
              <w:t xml:space="preserve"> Experiencia, la actividad comprende las obras de construcción, ampliación o reconstrucción de infraestructura destinada primordialmente al desplazamiento peatonal, siempre que se trate de una intervención comprendida dentro del ámbito de la infraestructura social</w:t>
            </w:r>
            <w:r>
              <w:rPr>
                <w:rFonts w:ascii="Verdana" w:hAnsi="Verdana"/>
              </w:rPr>
              <w:t>.</w:t>
            </w:r>
          </w:p>
          <w:p w14:paraId="087A767D" w14:textId="77777777" w:rsidR="003A0B76" w:rsidRPr="00E67D5C" w:rsidRDefault="00365E5A" w:rsidP="003A0B76">
            <w:pPr>
              <w:spacing w:before="120" w:after="120" w:line="276" w:lineRule="auto"/>
              <w:jc w:val="both"/>
              <w:textAlignment w:val="baseline"/>
              <w:rPr>
                <w:rFonts w:ascii="Verdana" w:hAnsi="Verdana"/>
              </w:rPr>
            </w:pPr>
            <w:r>
              <w:rPr>
                <w:rFonts w:ascii="Verdana" w:hAnsi="Verdana"/>
              </w:rPr>
              <w:t>II).</w:t>
            </w:r>
            <w:r w:rsidR="00A802A9" w:rsidRPr="00A802A9">
              <w:rPr>
                <w:rFonts w:ascii="Times New Roman" w:eastAsia="Times New Roman" w:hAnsi="Times New Roman" w:cs="Times New Roman"/>
                <w:sz w:val="24"/>
                <w:szCs w:val="24"/>
                <w:lang w:eastAsia="es-CO"/>
              </w:rPr>
              <w:t xml:space="preserve"> </w:t>
            </w:r>
            <w:r w:rsidR="003A0B76" w:rsidRPr="00E67D5C">
              <w:rPr>
                <w:rFonts w:ascii="Verdana" w:hAnsi="Verdana"/>
              </w:rPr>
              <w:t>Para determinar si una obra destinada a la circulación peatonal corresponde a un “Sendero Peatonal” o, por el contrario, constituye un elemento de la infraestructura de transporte o del espacio público asociado a esta, es necesario considerar, de manera conjunta, sus características técnicas, la función que cumple y el marco jurídico aplicable a su clasificación.</w:t>
            </w:r>
          </w:p>
          <w:p w14:paraId="5D204491" w14:textId="77777777" w:rsidR="003A0B76" w:rsidRPr="00E67D5C" w:rsidRDefault="003A0B76" w:rsidP="003A0B76">
            <w:pPr>
              <w:spacing w:before="120" w:after="120" w:line="276" w:lineRule="auto"/>
              <w:jc w:val="both"/>
              <w:textAlignment w:val="baseline"/>
              <w:rPr>
                <w:rFonts w:ascii="Verdana" w:hAnsi="Verdana"/>
              </w:rPr>
            </w:pPr>
            <w:r w:rsidRPr="00E67D5C">
              <w:rPr>
                <w:rFonts w:ascii="Verdana" w:hAnsi="Verdana"/>
              </w:rPr>
              <w:t>Bajo estos parámetros, la diferenciación puede efectuarse a partir de tres criterios: (i) la función de la infraestructura; (</w:t>
            </w:r>
            <w:proofErr w:type="spellStart"/>
            <w:r w:rsidRPr="00E67D5C">
              <w:rPr>
                <w:rFonts w:ascii="Verdana" w:hAnsi="Verdana"/>
              </w:rPr>
              <w:t>ii</w:t>
            </w:r>
            <w:proofErr w:type="spellEnd"/>
            <w:r w:rsidRPr="00E67D5C">
              <w:rPr>
                <w:rFonts w:ascii="Verdana" w:hAnsi="Verdana"/>
              </w:rPr>
              <w:t>) su relación física y funcional con la infraestructura de transporte; y (</w:t>
            </w:r>
            <w:proofErr w:type="spellStart"/>
            <w:r w:rsidRPr="00E67D5C">
              <w:rPr>
                <w:rFonts w:ascii="Verdana" w:hAnsi="Verdana"/>
              </w:rPr>
              <w:t>iii</w:t>
            </w:r>
            <w:proofErr w:type="spellEnd"/>
            <w:r w:rsidRPr="00E67D5C">
              <w:rPr>
                <w:rFonts w:ascii="Verdana" w:hAnsi="Verdana"/>
              </w:rPr>
              <w:t>) su ubicación y clasificación dentro de los elementos que integran el espacio público asociado a dicha infraestructura.</w:t>
            </w:r>
          </w:p>
          <w:p w14:paraId="7CF3D543" w14:textId="39F3607E" w:rsidR="00365E5A" w:rsidRPr="005248E6" w:rsidRDefault="00365E5A">
            <w:pPr>
              <w:spacing w:before="120" w:after="120" w:line="276" w:lineRule="auto"/>
              <w:ind w:firstLine="709"/>
              <w:jc w:val="both"/>
              <w:textAlignment w:val="baseline"/>
              <w:rPr>
                <w:rFonts w:ascii="Verdana" w:hAnsi="Verdana"/>
              </w:rPr>
            </w:pPr>
            <w:r w:rsidRPr="005248E6">
              <w:rPr>
                <w:rFonts w:ascii="Verdana" w:hAnsi="Verdana"/>
              </w:rPr>
              <w:lastRenderedPageBreak/>
              <w:t>Desde el punto de vista funcional, debe determinarse cuál es la finalidad principal de la obra. Cuando la infraestructura peatonal constituye un componente destinado a garantizar la movilidad, conectividad, seguridad u operación de un sistema de transporte, se encuentra vinculada a la infraestructura de transporte. Por el contrario, cuando su finalidad principal corresponde al acceso, recorrido, recreación, contemplación, disfrute o conexión interna de espacios destinados al uso social, recreativo, cultural, ambiental o paisajístico, puede corresponder a un sendero peatonal comprendido dentro de la actividad prevista en la Matriz de Experiencia.</w:t>
            </w:r>
          </w:p>
          <w:p w14:paraId="3149719D" w14:textId="77777777" w:rsidR="00365E5A" w:rsidRPr="005248E6" w:rsidRDefault="00365E5A">
            <w:pPr>
              <w:spacing w:before="120" w:after="120" w:line="276" w:lineRule="auto"/>
              <w:ind w:firstLine="709"/>
              <w:jc w:val="both"/>
              <w:textAlignment w:val="baseline"/>
              <w:rPr>
                <w:rFonts w:ascii="Verdana" w:hAnsi="Verdana"/>
              </w:rPr>
            </w:pPr>
            <w:r w:rsidRPr="005248E6">
              <w:rPr>
                <w:rFonts w:ascii="Verdana" w:hAnsi="Verdana"/>
              </w:rPr>
              <w:t>Desde el punto de vista jurídico, debe atenderse a la definición de “Espacio Público Asociado a la Infraestructura de Transporte” contenida en el numeral 2.88 del Glosario, que incluye expresamente, entre otros elementos, los componentes de los perfiles viales peatonal y vehicular, tales como andenes, alamedas, rampas, sardineles, separadores, ciclovías y demás elementos allí relacionados.</w:t>
            </w:r>
          </w:p>
          <w:p w14:paraId="69985AB1" w14:textId="77777777" w:rsidR="00365E5A" w:rsidRPr="005248E6" w:rsidRDefault="00365E5A">
            <w:pPr>
              <w:spacing w:before="120" w:after="120" w:line="276" w:lineRule="auto"/>
              <w:ind w:firstLine="709"/>
              <w:jc w:val="both"/>
              <w:textAlignment w:val="baseline"/>
              <w:rPr>
                <w:rFonts w:ascii="Verdana" w:hAnsi="Verdana"/>
              </w:rPr>
            </w:pPr>
            <w:r w:rsidRPr="005248E6">
              <w:rPr>
                <w:rFonts w:ascii="Verdana" w:hAnsi="Verdana"/>
              </w:rPr>
              <w:t>De esta manera, cuando una obra de circulación peatonal constituye uno de esos elementos y se encuentra asociada o vinculada funcionalmente a una infraestructura de transporte, queda comprendida dentro de la categoría de espacio público asociado a dicha infraestructura y, por tanto, se encuentra sometida a la exclusión prevista en la Nota 1.</w:t>
            </w:r>
          </w:p>
          <w:p w14:paraId="14DC1D28" w14:textId="77777777" w:rsidR="00365E5A" w:rsidRPr="005248E6" w:rsidRDefault="00365E5A">
            <w:pPr>
              <w:spacing w:before="120" w:after="120" w:line="276" w:lineRule="auto"/>
              <w:ind w:firstLine="709"/>
              <w:jc w:val="both"/>
              <w:textAlignment w:val="baseline"/>
              <w:rPr>
                <w:rFonts w:ascii="Verdana" w:hAnsi="Verdana"/>
              </w:rPr>
            </w:pPr>
            <w:r w:rsidRPr="005248E6">
              <w:rPr>
                <w:rFonts w:ascii="Verdana" w:hAnsi="Verdana"/>
              </w:rPr>
              <w:t>En consecuencia, la destinación exclusiva al tránsito peatonal no es, por sí sola, un criterio suficiente para considerar una obra como “Sendero Peatonal” para efectos de la Matriz de Experiencia. También debe verificarse su relación con la infraestructura de transporte y la función que cumple dentro del espacio intervenido.</w:t>
            </w:r>
          </w:p>
          <w:p w14:paraId="5B574DBD" w14:textId="77777777" w:rsidR="00365E5A" w:rsidRPr="005248E6" w:rsidRDefault="00365E5A">
            <w:pPr>
              <w:spacing w:before="120" w:after="120" w:line="276" w:lineRule="auto"/>
              <w:ind w:firstLine="709"/>
              <w:jc w:val="both"/>
              <w:textAlignment w:val="baseline"/>
              <w:rPr>
                <w:rFonts w:ascii="Verdana" w:hAnsi="Verdana"/>
              </w:rPr>
            </w:pPr>
            <w:r w:rsidRPr="005248E6">
              <w:rPr>
                <w:rFonts w:ascii="Verdana" w:hAnsi="Verdana"/>
              </w:rPr>
              <w:t>Así, un andén o acera puede estar destinado exclusivamente al tránsito de peatones, pero ello no determina que deba ser considerado un “Sendero Peatonal” para efectos de la experiencia exigida por los Documentos Tipo, pues el propio Glosario los identifica como componentes del espacio público asociado a la infraestructura de transporte.</w:t>
            </w:r>
          </w:p>
          <w:p w14:paraId="3F4E2D11" w14:textId="77777777" w:rsidR="00365E5A" w:rsidRPr="000A678F" w:rsidRDefault="00365E5A">
            <w:pPr>
              <w:spacing w:before="120" w:after="120" w:line="276" w:lineRule="auto"/>
              <w:jc w:val="both"/>
              <w:textAlignment w:val="baseline"/>
              <w:rPr>
                <w:rFonts w:ascii="Verdana" w:hAnsi="Verdana"/>
              </w:rPr>
            </w:pPr>
            <w:r>
              <w:rPr>
                <w:rFonts w:ascii="Verdana" w:hAnsi="Verdana"/>
              </w:rPr>
              <w:t xml:space="preserve">III). </w:t>
            </w:r>
            <w:r w:rsidRPr="000A678F">
              <w:rPr>
                <w:rFonts w:ascii="Verdana" w:hAnsi="Verdana"/>
              </w:rPr>
              <w:t>La expresión “vías de circulación peatonal” contenida en la definición de “Franja de Circulación Peatonal” debe interpretarse de manera sistemática con las demás disposiciones del Glosario y con la delimitación efectuada en la Matriz de Experiencia.</w:t>
            </w:r>
          </w:p>
          <w:p w14:paraId="3523C41C" w14:textId="77777777" w:rsidR="00365E5A" w:rsidRPr="000A678F" w:rsidRDefault="00365E5A">
            <w:pPr>
              <w:spacing w:before="120" w:after="120" w:line="276" w:lineRule="auto"/>
              <w:ind w:firstLine="709"/>
              <w:jc w:val="both"/>
              <w:textAlignment w:val="baseline"/>
              <w:rPr>
                <w:rFonts w:ascii="Verdana" w:hAnsi="Verdana"/>
              </w:rPr>
            </w:pPr>
            <w:r w:rsidRPr="000A678F">
              <w:rPr>
                <w:rFonts w:ascii="Verdana" w:hAnsi="Verdana"/>
              </w:rPr>
              <w:lastRenderedPageBreak/>
              <w:t>En consecuencia, dicha expresión no puede entenderse como equivalente a cualquier infraestructura destinada al tránsito peatonal, ni permite concluir que toda zona peatonal constituye un “Sendero Peatonal” para efectos de acreditar experiencia.</w:t>
            </w:r>
          </w:p>
          <w:p w14:paraId="38274555" w14:textId="77777777" w:rsidR="00365E5A" w:rsidRPr="000A678F" w:rsidRDefault="00365E5A">
            <w:pPr>
              <w:spacing w:before="120" w:after="120" w:line="276" w:lineRule="auto"/>
              <w:ind w:firstLine="709"/>
              <w:jc w:val="both"/>
              <w:textAlignment w:val="baseline"/>
              <w:rPr>
                <w:rFonts w:ascii="Verdana" w:hAnsi="Verdana"/>
              </w:rPr>
            </w:pPr>
            <w:r w:rsidRPr="000A678F">
              <w:rPr>
                <w:rFonts w:ascii="Verdana" w:hAnsi="Verdana"/>
              </w:rPr>
              <w:t>En particular, los andenes, aceras y demás zonas de circulación peatonal que integran el perfil vial pueden encontrarse comprendidos dentro del “Espacio Público Asociado a la Infraestructura de Transporte”, de conformidad con el numeral 2.88 del Glosario. Por ello, aunque materialmente constituyan espacios destinados exclusivamente al tránsito de personas, su vinculación funcional con la infraestructura de transporte determina que se encuentren dentro de la exclusión establecida en la Nota 1.</w:t>
            </w:r>
          </w:p>
          <w:p w14:paraId="559B9B94" w14:textId="77777777" w:rsidR="00365E5A" w:rsidRPr="000A678F" w:rsidRDefault="00365E5A">
            <w:pPr>
              <w:spacing w:before="120" w:after="120" w:line="276" w:lineRule="auto"/>
              <w:ind w:firstLine="709"/>
              <w:jc w:val="both"/>
              <w:textAlignment w:val="baseline"/>
              <w:rPr>
                <w:rFonts w:ascii="Verdana" w:hAnsi="Verdana"/>
              </w:rPr>
            </w:pPr>
            <w:r w:rsidRPr="000A678F">
              <w:rPr>
                <w:rFonts w:ascii="Verdana" w:hAnsi="Verdana"/>
              </w:rPr>
              <w:t>Por tanto, para efectos de los Documentos Tipo, la expresión “vías de circulación peatonal” debe entenderse atendiendo a su contexto y no como una categoría que, por sí misma, incorpore todas las obras peatonales existentes en el espacio público. La determinación de si una obra puede ser acreditada como “Sendero Peatonal” exige verificar, además de su destinación al tránsito de peatones, que no corresponda a uno de los elementos que el propio Glosario identifica como integrantes del espacio público asociado a la infraestructura de transporte.</w:t>
            </w:r>
          </w:p>
          <w:p w14:paraId="4DAC6477" w14:textId="77777777" w:rsidR="00365E5A" w:rsidRPr="000A678F" w:rsidRDefault="00365E5A">
            <w:pPr>
              <w:spacing w:before="120" w:after="120" w:line="276" w:lineRule="auto"/>
              <w:ind w:firstLine="709"/>
              <w:jc w:val="both"/>
              <w:textAlignment w:val="baseline"/>
              <w:rPr>
                <w:rFonts w:ascii="Verdana" w:hAnsi="Verdana"/>
              </w:rPr>
            </w:pPr>
            <w:r w:rsidRPr="000A678F">
              <w:rPr>
                <w:rFonts w:ascii="Verdana" w:hAnsi="Verdana"/>
              </w:rPr>
              <w:t>En este sentido, los andenes y aceras ubicados dentro del perfil vial no deben ser considerados, por ese solo hecho, como “Senderos Peatonales” para efectos de la Matriz de Experiencia, pues su naturaleza como componentes del espacio público asociado a la infraestructura de transporte prevalece para efectos de la aplicación de la Nota 1.</w:t>
            </w:r>
          </w:p>
          <w:p w14:paraId="6997120E" w14:textId="77777777" w:rsidR="00365E5A" w:rsidRPr="004048FF" w:rsidRDefault="00365E5A">
            <w:pPr>
              <w:spacing w:before="120" w:after="120" w:line="276" w:lineRule="auto"/>
              <w:ind w:firstLine="709"/>
              <w:jc w:val="both"/>
              <w:textAlignment w:val="baseline"/>
              <w:rPr>
                <w:rFonts w:ascii="Verdana" w:hAnsi="Verdana"/>
              </w:rPr>
            </w:pPr>
            <w:r w:rsidRPr="000A678F">
              <w:rPr>
                <w:rFonts w:ascii="Verdana" w:hAnsi="Verdana"/>
              </w:rPr>
              <w:t>En conclusión, el alcance de la actividad “Construcción y/o ampliación y/o reconstrucción de Senderos Peatonales” debe determinarse a partir de una interpretación sistemática de la Matriz de Experiencia y del Anexo 5 – Glosario. La categoría no comprende indiscriminadamente toda obra destinada a la circulación peatonal, sino aquellas intervenciones que, por su función y vinculación con el proyecto, correspondan a senderos peatonales propios de la infraestructura social y que no se encuentren comprendidos dentro del espacio público asociado a la infraestructura de transporte expresamente excluido por la Nota 1.</w:t>
            </w:r>
          </w:p>
        </w:tc>
      </w:tr>
    </w:tbl>
    <w:p w14:paraId="061AFA25" w14:textId="77777777" w:rsidR="00365E5A" w:rsidRPr="0010023F" w:rsidRDefault="00365E5A" w:rsidP="00365E5A">
      <w:pPr>
        <w:tabs>
          <w:tab w:val="left" w:pos="142"/>
          <w:tab w:val="left" w:pos="284"/>
        </w:tabs>
        <w:spacing w:after="0" w:line="276" w:lineRule="auto"/>
        <w:ind w:left="142" w:hanging="142"/>
        <w:jc w:val="both"/>
        <w:rPr>
          <w:rFonts w:ascii="Verdana" w:eastAsia="Century Gothic" w:hAnsi="Verdana" w:cs="Century Gothic"/>
          <w:b/>
          <w:bCs/>
          <w:lang w:val="es-ES"/>
        </w:rPr>
      </w:pPr>
    </w:p>
    <w:p w14:paraId="53FB0381" w14:textId="77777777" w:rsidR="00365E5A" w:rsidRPr="0010023F" w:rsidRDefault="00365E5A" w:rsidP="00365E5A">
      <w:pPr>
        <w:numPr>
          <w:ilvl w:val="0"/>
          <w:numId w:val="16"/>
        </w:numPr>
        <w:tabs>
          <w:tab w:val="left" w:pos="142"/>
          <w:tab w:val="left" w:pos="284"/>
        </w:tabs>
        <w:spacing w:after="0" w:line="276" w:lineRule="auto"/>
        <w:contextualSpacing/>
        <w:jc w:val="both"/>
        <w:rPr>
          <w:rFonts w:ascii="Verdana" w:eastAsia="Calibri" w:hAnsi="Verdana" w:cs="Arial"/>
          <w:lang w:val="es-ES" w:eastAsia="es-MX"/>
        </w:rPr>
      </w:pPr>
      <w:r w:rsidRPr="0010023F">
        <w:rPr>
          <w:rFonts w:ascii="Verdana" w:eastAsia="Century Gothic" w:hAnsi="Verdana" w:cs="Century Gothic"/>
          <w:b/>
          <w:bCs/>
          <w:lang w:val="es-ES"/>
        </w:rPr>
        <w:lastRenderedPageBreak/>
        <w:t>Razones de la respuesta:</w:t>
      </w:r>
    </w:p>
    <w:p w14:paraId="5FC25031" w14:textId="77777777" w:rsidR="00365E5A" w:rsidRPr="0010023F" w:rsidRDefault="00365E5A" w:rsidP="00365E5A">
      <w:pPr>
        <w:tabs>
          <w:tab w:val="left" w:pos="142"/>
          <w:tab w:val="left" w:pos="284"/>
        </w:tabs>
        <w:spacing w:after="0" w:line="276" w:lineRule="auto"/>
        <w:contextualSpacing/>
        <w:jc w:val="both"/>
        <w:rPr>
          <w:rFonts w:ascii="Verdana" w:eastAsia="Century Gothic" w:hAnsi="Verdana" w:cs="Century Gothic"/>
          <w:b/>
          <w:bCs/>
          <w:lang w:val="es-ES"/>
        </w:rPr>
      </w:pPr>
    </w:p>
    <w:p w14:paraId="3C8B49F5" w14:textId="77777777" w:rsidR="00365E5A" w:rsidRPr="00B55D3E" w:rsidRDefault="00365E5A" w:rsidP="00365E5A">
      <w:pPr>
        <w:tabs>
          <w:tab w:val="left" w:pos="142"/>
          <w:tab w:val="left" w:pos="284"/>
        </w:tabs>
        <w:spacing w:after="0" w:line="276" w:lineRule="auto"/>
        <w:contextualSpacing/>
        <w:jc w:val="both"/>
        <w:rPr>
          <w:rFonts w:ascii="Verdana" w:eastAsia="Calibri" w:hAnsi="Verdana" w:cs="Arial"/>
          <w:lang w:val="es-ES" w:eastAsia="es-MX"/>
        </w:rPr>
      </w:pPr>
      <w:r w:rsidRPr="00B55D3E">
        <w:rPr>
          <w:rFonts w:ascii="Verdana" w:eastAsia="Calibri" w:hAnsi="Verdana" w:cs="Arial"/>
          <w:lang w:val="es-ES" w:eastAsia="es-MX"/>
        </w:rPr>
        <w:t xml:space="preserve">Lo anterior se sustenta en las siguientes consideraciones: </w:t>
      </w:r>
    </w:p>
    <w:p w14:paraId="46A113E5" w14:textId="77777777" w:rsidR="00365E5A" w:rsidRPr="00B55D3E" w:rsidRDefault="00365E5A" w:rsidP="00365E5A">
      <w:pPr>
        <w:spacing w:after="0" w:line="276" w:lineRule="auto"/>
        <w:jc w:val="both"/>
        <w:rPr>
          <w:rFonts w:ascii="Verdana" w:eastAsia="Calibri" w:hAnsi="Verdana" w:cs="Arial"/>
          <w:lang w:val="es-ES" w:eastAsia="es-MX"/>
        </w:rPr>
      </w:pPr>
    </w:p>
    <w:p w14:paraId="2C851481" w14:textId="77777777" w:rsidR="00365E5A" w:rsidRPr="00B55D3E" w:rsidRDefault="00365E5A" w:rsidP="00365E5A">
      <w:pPr>
        <w:spacing w:after="120" w:line="276" w:lineRule="auto"/>
        <w:jc w:val="both"/>
        <w:rPr>
          <w:rFonts w:ascii="Verdana" w:eastAsia="Aptos" w:hAnsi="Verdana" w:cs="Arial"/>
          <w:lang w:eastAsia="es-MX"/>
        </w:rPr>
      </w:pPr>
      <w:r w:rsidRPr="00B55D3E">
        <w:rPr>
          <w:rFonts w:ascii="Verdana" w:eastAsia="Aptos" w:hAnsi="Verdana" w:cs="Arial"/>
          <w:lang w:eastAsia="es-MX"/>
        </w:rPr>
        <w:t>I). 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08706A50" w14:textId="77777777" w:rsidR="00365E5A" w:rsidRPr="00B55D3E" w:rsidRDefault="00365E5A" w:rsidP="00365E5A">
      <w:pPr>
        <w:spacing w:after="120" w:line="276" w:lineRule="auto"/>
        <w:ind w:firstLine="708"/>
        <w:jc w:val="both"/>
        <w:rPr>
          <w:rFonts w:ascii="Verdana" w:eastAsia="Aptos" w:hAnsi="Verdana" w:cs="Arial"/>
          <w:lang w:eastAsia="es-MX"/>
        </w:rPr>
      </w:pPr>
      <w:r w:rsidRPr="00B55D3E">
        <w:rPr>
          <w:rFonts w:ascii="Verdana" w:eastAsia="Aptos" w:hAnsi="Verdana" w:cs="Arial"/>
          <w:lang w:val="es-ES" w:eastAsia="es-MX"/>
        </w:rPr>
        <w:t>Con sustento en esta competencia, esta Agencia expidió diversos grupos de documentos tipo aplicables principalmente a la contratación de obras públicas de infraestructura de transporte, de agua potable y saneamiento básico y social, para interventoría y consultoría de estudios de ingeniería, pero también, para la celebración de convenios solidarios con Juntas de Acción Comunal y para los procesos de gestión catastral con enfoque multipropósito. De conformidad con las modalidades de selección establecidas en el artículo 2 de la Ley 1150 de 2007, estos documentos tipo se han expedido para las modalidades de selección de licitación pública, selección abreviada de menor cuantía, mínima cuantía, concurso de méritos y contratación directa.</w:t>
      </w:r>
    </w:p>
    <w:p w14:paraId="5BAB438C" w14:textId="77777777" w:rsidR="00365E5A" w:rsidRPr="00B55D3E" w:rsidRDefault="00365E5A" w:rsidP="00365E5A">
      <w:pPr>
        <w:spacing w:after="120" w:line="276" w:lineRule="auto"/>
        <w:ind w:firstLine="708"/>
        <w:jc w:val="both"/>
        <w:rPr>
          <w:rFonts w:ascii="Verdana" w:eastAsia="Times New Roman" w:hAnsi="Verdana" w:cs="Times New Roman"/>
          <w:lang w:eastAsia="es-CO"/>
        </w:rPr>
      </w:pPr>
      <w:r w:rsidRPr="00B55D3E">
        <w:rPr>
          <w:rFonts w:ascii="Verdana" w:eastAsia="Aptos" w:hAnsi="Verdana" w:cs="Arial"/>
          <w:lang w:eastAsia="es-MX"/>
        </w:rPr>
        <w:t xml:space="preserve">En el sector social, </w:t>
      </w:r>
      <w:r w:rsidRPr="00B55D3E">
        <w:rPr>
          <w:rFonts w:ascii="Verdana" w:eastAsia="Calibri" w:hAnsi="Verdana" w:cs="Arial"/>
          <w:lang w:val="es-MX" w:eastAsia="es-MX"/>
        </w:rPr>
        <w:t xml:space="preserve">la Agencia Nacional de Contratación Pública – Colombia Compra </w:t>
      </w:r>
      <w:r w:rsidRPr="00B55D3E">
        <w:rPr>
          <w:rFonts w:ascii="Verdana" w:eastAsia="Calibri" w:hAnsi="Verdana" w:cs="Arial"/>
          <w:lang w:eastAsia="es-MX"/>
        </w:rPr>
        <w:t xml:space="preserve">Eficiente </w:t>
      </w:r>
      <w:r w:rsidRPr="00B55D3E">
        <w:rPr>
          <w:rFonts w:ascii="Verdana" w:eastAsia="Times New Roman" w:hAnsi="Verdana" w:cs="Times New Roman"/>
          <w:lang w:eastAsia="es-CO"/>
        </w:rPr>
        <w:t>en el segundo semestre del año 2025 adoptó las siguientes Resoluciones para contratar obra pública y concurso de méritos:</w:t>
      </w:r>
    </w:p>
    <w:p w14:paraId="544B2C72" w14:textId="77777777" w:rsidR="00365E5A" w:rsidRPr="00B55D3E" w:rsidRDefault="00365E5A" w:rsidP="00365E5A">
      <w:pPr>
        <w:spacing w:after="120" w:line="276" w:lineRule="auto"/>
        <w:ind w:firstLine="708"/>
        <w:jc w:val="both"/>
        <w:rPr>
          <w:rFonts w:ascii="Verdana" w:eastAsia="Times New Roman" w:hAnsi="Verdana" w:cs="Times New Roman"/>
          <w:lang w:eastAsia="es-CO"/>
        </w:rPr>
      </w:pPr>
      <w:r w:rsidRPr="00B55D3E">
        <w:rPr>
          <w:rFonts w:ascii="Verdana" w:eastAsia="Times New Roman" w:hAnsi="Verdana" w:cs="Times New Roman"/>
          <w:lang w:eastAsia="es-CO"/>
        </w:rPr>
        <w:t>i) Resolución 539 del 21 de agosto de 2015 "Por la cual se adopta la versión -2- de los documentos tipo para los procesos de selección de licitación de obra pública del sector de infraestructura social y se deroga la Resolución 219 de 2021; se adoptan los documentos tipo complementarios para los procesos de licitación de obra pública de infraestructura social relacionados con los sectores de educación, salud, cultura, recreación y deporte - versión 2 y se derogan las Resoluciones 220, 392 у 454 de 2021; y se adoptan los documentos tipo complementarios para los procesos de licitación de obra pública de infraestructura social relacionados con los sectores institucional y vivienda".</w:t>
      </w:r>
    </w:p>
    <w:p w14:paraId="62F50267" w14:textId="77777777" w:rsidR="00365E5A" w:rsidRPr="00B55D3E" w:rsidRDefault="00365E5A" w:rsidP="00365E5A">
      <w:pPr>
        <w:spacing w:after="120" w:line="276" w:lineRule="auto"/>
        <w:ind w:firstLine="708"/>
        <w:jc w:val="both"/>
        <w:rPr>
          <w:rFonts w:ascii="Verdana" w:eastAsia="Times New Roman" w:hAnsi="Verdana" w:cs="Times New Roman"/>
          <w:lang w:eastAsia="es-CO"/>
        </w:rPr>
      </w:pPr>
      <w:r w:rsidRPr="00B55D3E">
        <w:rPr>
          <w:rFonts w:ascii="Verdana" w:eastAsia="Times New Roman" w:hAnsi="Verdana" w:cs="Times New Roman"/>
          <w:lang w:eastAsia="es-CO"/>
        </w:rPr>
        <w:t xml:space="preserve"> </w:t>
      </w:r>
      <w:proofErr w:type="spellStart"/>
      <w:r w:rsidRPr="00B55D3E">
        <w:rPr>
          <w:rFonts w:ascii="Verdana" w:eastAsia="Times New Roman" w:hAnsi="Verdana" w:cs="Times New Roman"/>
          <w:lang w:eastAsia="es-CO"/>
        </w:rPr>
        <w:t>ii</w:t>
      </w:r>
      <w:proofErr w:type="spellEnd"/>
      <w:r w:rsidRPr="00B55D3E">
        <w:rPr>
          <w:rFonts w:ascii="Verdana" w:eastAsia="Times New Roman" w:hAnsi="Verdana" w:cs="Times New Roman"/>
          <w:lang w:eastAsia="es-CO"/>
        </w:rPr>
        <w:t xml:space="preserve">) Resolución 540 del 21 de agosto de 2025 "Por la cual se adoptan los Documentos Tipo para los procesos de selección abreviada de menor cuantía de obra pública de infraestructura social; y los Documentos Tipo complementarios </w:t>
      </w:r>
      <w:r w:rsidRPr="00B55D3E">
        <w:rPr>
          <w:rFonts w:ascii="Verdana" w:eastAsia="Times New Roman" w:hAnsi="Verdana" w:cs="Times New Roman"/>
          <w:lang w:eastAsia="es-CO"/>
        </w:rPr>
        <w:lastRenderedPageBreak/>
        <w:t>para los procesos de selección abreviada de menor cuantía de obra pública de infraestructura social relacionados con los sectores educación, salud, cultura, recreación y deporte, institucional y vivienda".</w:t>
      </w:r>
    </w:p>
    <w:p w14:paraId="6C6A2652" w14:textId="77777777" w:rsidR="00365E5A" w:rsidRPr="00B55D3E" w:rsidRDefault="00365E5A" w:rsidP="00365E5A">
      <w:pPr>
        <w:spacing w:after="120" w:line="276" w:lineRule="auto"/>
        <w:ind w:firstLine="708"/>
        <w:jc w:val="both"/>
        <w:rPr>
          <w:rFonts w:ascii="Verdana" w:eastAsia="Times New Roman" w:hAnsi="Verdana" w:cs="Times New Roman"/>
          <w:lang w:eastAsia="es-CO"/>
        </w:rPr>
      </w:pPr>
      <w:proofErr w:type="spellStart"/>
      <w:r w:rsidRPr="00B55D3E">
        <w:rPr>
          <w:rFonts w:ascii="Verdana" w:eastAsia="Times New Roman" w:hAnsi="Verdana" w:cs="Times New Roman"/>
          <w:lang w:eastAsia="es-CO"/>
        </w:rPr>
        <w:t>iii</w:t>
      </w:r>
      <w:proofErr w:type="spellEnd"/>
      <w:r w:rsidRPr="00B55D3E">
        <w:rPr>
          <w:rFonts w:ascii="Verdana" w:eastAsia="Times New Roman" w:hAnsi="Verdana" w:cs="Times New Roman"/>
          <w:lang w:eastAsia="es-CO"/>
        </w:rPr>
        <w:t xml:space="preserve">) Resolución 541 del 21 de agosto de 2025 “Por la cual se adoptan los documentos tipo para los procesos de mínima cuantía de obra pública de infraestructura social; y los documentos tipo complementarios para los procesos de mínima cuantía de obra pública de infraestructura social relacionados con los sectores educación, salud, cultura, recreación y deporte, institucional y vivienda”. </w:t>
      </w:r>
    </w:p>
    <w:p w14:paraId="3F4D1020" w14:textId="77777777" w:rsidR="00365E5A" w:rsidRPr="00B55D3E" w:rsidRDefault="00365E5A" w:rsidP="00365E5A">
      <w:pPr>
        <w:spacing w:after="120" w:line="276" w:lineRule="auto"/>
        <w:ind w:firstLine="708"/>
        <w:jc w:val="both"/>
        <w:rPr>
          <w:rFonts w:ascii="Verdana" w:eastAsia="Times New Roman" w:hAnsi="Verdana" w:cs="Times New Roman"/>
          <w:lang w:eastAsia="es-CO"/>
        </w:rPr>
      </w:pPr>
      <w:proofErr w:type="spellStart"/>
      <w:r w:rsidRPr="00B55D3E">
        <w:rPr>
          <w:rFonts w:ascii="Verdana" w:eastAsia="Times New Roman" w:hAnsi="Verdana" w:cs="Times New Roman"/>
          <w:lang w:eastAsia="es-CO"/>
        </w:rPr>
        <w:t>iv</w:t>
      </w:r>
      <w:proofErr w:type="spellEnd"/>
      <w:r w:rsidRPr="00B55D3E">
        <w:rPr>
          <w:rFonts w:ascii="Verdana" w:eastAsia="Times New Roman" w:hAnsi="Verdana" w:cs="Times New Roman"/>
          <w:lang w:eastAsia="es-CO"/>
        </w:rPr>
        <w:t>) Resolución 952 del 15 de diciembre de 2025 “Por la cual se adoptan los documentos tipo para los procesos de selección de concurso de méritos, para contratar la consultoría de estudios de ingeniería de infraestructura social; que agrupa los sectores de educación, salud, cultura, recreación y deporte, institucional y vivienda”.</w:t>
      </w:r>
    </w:p>
    <w:p w14:paraId="0A706AAE" w14:textId="77777777" w:rsidR="00365E5A" w:rsidRPr="00B55D3E" w:rsidRDefault="00365E5A" w:rsidP="00365E5A">
      <w:pPr>
        <w:spacing w:after="120" w:line="276" w:lineRule="auto"/>
        <w:ind w:firstLine="708"/>
        <w:jc w:val="both"/>
        <w:rPr>
          <w:rFonts w:ascii="Verdana" w:eastAsia="Times New Roman" w:hAnsi="Verdana" w:cs="Times New Roman"/>
          <w:lang w:eastAsia="es-CO"/>
        </w:rPr>
      </w:pPr>
      <w:r w:rsidRPr="00B55D3E">
        <w:rPr>
          <w:rFonts w:ascii="Verdana" w:eastAsia="Times New Roman" w:hAnsi="Verdana" w:cs="Times New Roman"/>
          <w:lang w:eastAsia="es-CO"/>
        </w:rPr>
        <w:t>v) Resolución 953 del 15 de diciembre de 2025 “Por la cual se adopta la versión - 2 de los documentos tipo transversales para los procesos de concurso de méritos para contratar la interventoría de obras públicas de infraestructura social, los documentos tipo complementarios para los procesos de concurso de méritos para contratar la interventoría de obras públicas de infraestructura social relacionados con el sector educación, salud, cultura, recreación y deporte, institucional y vivienda y se deroga la Resolución 798 del 29 de diciembre de 2023".</w:t>
      </w:r>
      <w:r w:rsidRPr="00B55D3E">
        <w:rPr>
          <w:rFonts w:ascii="Verdana" w:eastAsia="Aptos" w:hAnsi="Verdana" w:cs="Times New Roman"/>
          <w:lang w:eastAsia="es-MX"/>
        </w:rPr>
        <w:t xml:space="preserve"> </w:t>
      </w:r>
    </w:p>
    <w:p w14:paraId="15B93A87" w14:textId="77777777" w:rsidR="00365E5A" w:rsidRPr="00B55D3E" w:rsidRDefault="00365E5A" w:rsidP="00365E5A">
      <w:pPr>
        <w:spacing w:after="120" w:line="276" w:lineRule="auto"/>
        <w:ind w:firstLine="708"/>
        <w:jc w:val="both"/>
        <w:textAlignment w:val="baseline"/>
        <w:rPr>
          <w:rFonts w:ascii="Verdana" w:eastAsia="Calibri" w:hAnsi="Verdana" w:cs="Arial"/>
          <w:lang w:eastAsia="es-MX"/>
        </w:rPr>
      </w:pPr>
      <w:r w:rsidRPr="00B55D3E">
        <w:rPr>
          <w:rFonts w:ascii="Verdana" w:eastAsia="Aptos" w:hAnsi="Verdana" w:cs="Times New Roman"/>
          <w:lang w:eastAsia="es-MX"/>
        </w:rPr>
        <w:t>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consultoría enmarcados dentro de los sectores educativo, salud, cultura, recreación y deporte, institucional y vivienda, en los procesos de selección cuyo aviso de convocatoria se publique a partir del 16 de febrero de 2026</w:t>
      </w:r>
      <w:r w:rsidRPr="00B55D3E">
        <w:rPr>
          <w:rFonts w:ascii="Verdana" w:eastAsia="Calibri" w:hAnsi="Verdana" w:cs="Arial"/>
          <w:vertAlign w:val="superscript"/>
          <w:lang w:eastAsia="es-MX"/>
        </w:rPr>
        <w:footnoteReference w:id="1"/>
      </w:r>
      <w:r w:rsidRPr="00B55D3E">
        <w:rPr>
          <w:rFonts w:ascii="Verdana" w:eastAsia="Calibri" w:hAnsi="Verdana" w:cs="Arial"/>
          <w:lang w:eastAsia="es-MX"/>
        </w:rPr>
        <w:t>.</w:t>
      </w:r>
    </w:p>
    <w:p w14:paraId="7E07120C" w14:textId="77777777" w:rsidR="00365E5A" w:rsidRPr="00B55D3E" w:rsidRDefault="00365E5A" w:rsidP="00365E5A">
      <w:pPr>
        <w:widowControl w:val="0"/>
        <w:autoSpaceDE w:val="0"/>
        <w:autoSpaceDN w:val="0"/>
        <w:spacing w:after="120" w:line="276" w:lineRule="auto"/>
        <w:ind w:firstLine="708"/>
        <w:jc w:val="both"/>
        <w:rPr>
          <w:rFonts w:ascii="Verdana" w:eastAsia="Calibri" w:hAnsi="Verdana" w:cs="Arial"/>
          <w:kern w:val="2"/>
          <w14:ligatures w14:val="standardContextual"/>
        </w:rPr>
      </w:pPr>
      <w:r w:rsidRPr="00B55D3E">
        <w:rPr>
          <w:rFonts w:ascii="Verdana" w:eastAsia="Calibri" w:hAnsi="Verdana" w:cs="Arial"/>
          <w:kern w:val="2"/>
          <w14:ligatures w14:val="standardContextual"/>
        </w:rPr>
        <w:lastRenderedPageBreak/>
        <w:t xml:space="preserve">De acuerdo con el artículo tercero de las Resoluciones 539, 540 y 541 del 21 de agosto de 2025, los Documentos Tipo que estas adoptan son de carácter obligatorio en la actividad contractual de las Entidades Estatales sometidas al Estatuto General de Contratación de la Administración Pública. Asimismo, su aplicación es exigible a los patrimonios autónomos y a las personas naturales o jurídicas de derecho público que, por mandato legal, estén obligadas a su implementación. </w:t>
      </w:r>
    </w:p>
    <w:p w14:paraId="704C61B9" w14:textId="77777777" w:rsidR="00365E5A" w:rsidRPr="00B55D3E" w:rsidRDefault="00365E5A" w:rsidP="00365E5A">
      <w:pPr>
        <w:widowControl w:val="0"/>
        <w:autoSpaceDE w:val="0"/>
        <w:autoSpaceDN w:val="0"/>
        <w:spacing w:after="120" w:line="276" w:lineRule="auto"/>
        <w:ind w:firstLine="708"/>
        <w:jc w:val="both"/>
        <w:rPr>
          <w:rFonts w:ascii="Verdana" w:eastAsia="Calibri" w:hAnsi="Verdana" w:cs="Times New Roman"/>
          <w:kern w:val="2"/>
          <w:lang w:val="es-ES"/>
          <w14:ligatures w14:val="standardContextual"/>
        </w:rPr>
      </w:pPr>
      <w:r w:rsidRPr="00B55D3E">
        <w:rPr>
          <w:rFonts w:ascii="Verdana" w:eastAsia="Calibri" w:hAnsi="Verdana" w:cs="Arial"/>
          <w:kern w:val="2"/>
          <w14:ligatures w14:val="standardContextual"/>
        </w:rPr>
        <w:t xml:space="preserve">En consecuencia, los obligados a su aplicación, al adelantar sus procedimientos de selección, solo podrán modificarlos en los aspectos que los Documentos Tipo lo permitan. </w:t>
      </w:r>
      <w:r w:rsidRPr="00B55D3E">
        <w:rPr>
          <w:rFonts w:ascii="Verdana" w:eastAsia="Calibri" w:hAnsi="Verdana" w:cs="Times New Roman"/>
          <w:kern w:val="2"/>
          <w:lang w:val="es-ES"/>
          <w14:ligatures w14:val="standardContextual"/>
        </w:rPr>
        <w:t xml:space="preserve">Esto corresponde a aquellos aspectos que se encuentran entre corchetes y resaltados en gris </w:t>
      </w:r>
      <w:r w:rsidRPr="00B55D3E">
        <w:rPr>
          <w:rFonts w:ascii="Verdana" w:eastAsia="Calibri" w:hAnsi="Verdana" w:cs="Times New Roman"/>
          <w:kern w:val="2"/>
          <w:shd w:val="clear" w:color="auto" w:fill="E8E8E8"/>
          <w:lang w:val="es-ES"/>
          <w14:ligatures w14:val="standardContextual"/>
        </w:rPr>
        <w:t>–[texto]–,</w:t>
      </w:r>
      <w:r w:rsidRPr="00B55D3E">
        <w:rPr>
          <w:rFonts w:ascii="Verdana" w:eastAsia="Calibri" w:hAnsi="Verdana" w:cs="Times New Roman"/>
          <w:kern w:val="2"/>
          <w:lang w:val="es-ES"/>
          <w14:ligatures w14:val="standardContextual"/>
        </w:rPr>
        <w:t xml:space="preserve"> para lo cual deberán observarse las instrucciones contenidas en los mismos para su diligenciamiento.</w:t>
      </w:r>
    </w:p>
    <w:p w14:paraId="3D4DF0B7" w14:textId="77777777" w:rsidR="00365E5A" w:rsidRPr="00B55D3E" w:rsidRDefault="00365E5A" w:rsidP="00365E5A">
      <w:pPr>
        <w:widowControl w:val="0"/>
        <w:autoSpaceDE w:val="0"/>
        <w:autoSpaceDN w:val="0"/>
        <w:spacing w:after="120" w:line="276" w:lineRule="auto"/>
        <w:ind w:firstLine="708"/>
        <w:jc w:val="both"/>
        <w:rPr>
          <w:rFonts w:ascii="Verdana" w:eastAsia="Calibri" w:hAnsi="Verdana" w:cs="Arial"/>
          <w:kern w:val="2"/>
          <w14:ligatures w14:val="standardContextual"/>
        </w:rPr>
      </w:pPr>
      <w:r w:rsidRPr="00B55D3E">
        <w:rPr>
          <w:rFonts w:ascii="Verdana" w:eastAsia="Calibri" w:hAnsi="Verdana" w:cs="Arial"/>
          <w:kern w:val="2"/>
          <w14:ligatures w14:val="standardContextual"/>
        </w:rPr>
        <w:t>Por lo tanto, cuando los Documentos Tipo no contemplen expresamente la posibilidad de modificación, la entidad deberá incorporar su contenido al proceso de contratación sin alteración alguna, de conformidad con el principio de inalterabilidad que rige su aplicación.</w:t>
      </w:r>
    </w:p>
    <w:p w14:paraId="721875B8" w14:textId="77777777" w:rsidR="00365E5A" w:rsidRPr="00B55D3E" w:rsidRDefault="00365E5A" w:rsidP="00365E5A">
      <w:pPr>
        <w:widowControl w:val="0"/>
        <w:autoSpaceDE w:val="0"/>
        <w:autoSpaceDN w:val="0"/>
        <w:spacing w:after="120" w:line="276" w:lineRule="auto"/>
        <w:ind w:firstLine="708"/>
        <w:jc w:val="both"/>
        <w:rPr>
          <w:rFonts w:ascii="Verdana" w:eastAsia="Calibri" w:hAnsi="Verdana" w:cs="Arial"/>
          <w:kern w:val="2"/>
          <w:lang w:val="es-ES"/>
          <w14:ligatures w14:val="standardContextual"/>
        </w:rPr>
      </w:pPr>
      <w:r w:rsidRPr="00B55D3E">
        <w:rPr>
          <w:rFonts w:ascii="Verdana" w:eastAsia="Calibri" w:hAnsi="Verdana" w:cs="Arial"/>
          <w:kern w:val="2"/>
          <w:lang w:val="es-ES"/>
          <w14:ligatures w14:val="standardContextual"/>
        </w:rPr>
        <w:t xml:space="preserve">Para establecer si determinado objeto contractual se encuentra cobijado o no por los documentos tipo, es necesario determinar si el mismo se enmarca </w:t>
      </w:r>
      <w:r w:rsidRPr="00B55D3E">
        <w:rPr>
          <w:rFonts w:ascii="Verdana" w:eastAsia="Calibri" w:hAnsi="Verdana" w:cs="Arial"/>
          <w:kern w:val="2"/>
          <w:lang w:val="es-ES"/>
          <w14:ligatures w14:val="standardContextual"/>
        </w:rPr>
        <w:lastRenderedPageBreak/>
        <w:t>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2F68FA7F" w14:textId="77777777" w:rsidR="00365E5A" w:rsidRPr="00B55D3E" w:rsidRDefault="00365E5A" w:rsidP="00365E5A">
      <w:pPr>
        <w:widowControl w:val="0"/>
        <w:autoSpaceDE w:val="0"/>
        <w:autoSpaceDN w:val="0"/>
        <w:spacing w:after="120" w:line="276" w:lineRule="auto"/>
        <w:ind w:firstLine="708"/>
        <w:jc w:val="both"/>
        <w:rPr>
          <w:rFonts w:ascii="Verdana" w:eastAsia="Calibri" w:hAnsi="Verdana" w:cs="Arial"/>
          <w:kern w:val="2"/>
          <w:lang w:val="es-ES"/>
          <w14:ligatures w14:val="standardContextual"/>
        </w:rPr>
      </w:pPr>
      <w:r w:rsidRPr="00B55D3E">
        <w:rPr>
          <w:rFonts w:ascii="Verdana" w:eastAsia="Calibri" w:hAnsi="Verdana" w:cs="Arial"/>
          <w:kern w:val="2"/>
          <w:lang w:val="es-ES"/>
          <w14:ligatures w14:val="standardContextual"/>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695EAE47" w14:textId="77777777" w:rsidR="00365E5A" w:rsidRPr="00B55D3E" w:rsidRDefault="00365E5A" w:rsidP="00365E5A">
      <w:pPr>
        <w:widowControl w:val="0"/>
        <w:autoSpaceDE w:val="0"/>
        <w:autoSpaceDN w:val="0"/>
        <w:spacing w:after="120" w:line="276" w:lineRule="auto"/>
        <w:ind w:firstLine="708"/>
        <w:jc w:val="both"/>
        <w:rPr>
          <w:rFonts w:ascii="Verdana" w:eastAsia="Calibri" w:hAnsi="Verdana" w:cs="Arial"/>
          <w:kern w:val="2"/>
          <w:lang w:val="es-ES"/>
          <w14:ligatures w14:val="standardContextual"/>
        </w:rPr>
      </w:pPr>
      <w:r w:rsidRPr="00B55D3E">
        <w:rPr>
          <w:rFonts w:ascii="Verdana" w:eastAsia="Calibri" w:hAnsi="Verdana" w:cs="Arial"/>
          <w:kern w:val="2"/>
          <w:lang w:val="es-ES"/>
          <w14:ligatures w14:val="standardContextual"/>
        </w:rPr>
        <w:t>La Matriz – Experiencia, cumple una doble función: Por un lado, sirve para estandarizar las condiciones de experiencia, conforme al parágrafo 7 del artículo 2 de la Ley 1150 de 2007. De otro lado, dicha matriz permite determinar el ámbito de aplicación de los documentos tipo respecto de objetos contractuales asociados, ya que son las actividades descritas en esta las que, obligatoriamente, deben contratarse aplicando documentos tipo.</w:t>
      </w:r>
    </w:p>
    <w:p w14:paraId="7050D951" w14:textId="77777777" w:rsidR="00365E5A" w:rsidRPr="00B55D3E" w:rsidRDefault="00365E5A" w:rsidP="00365E5A">
      <w:pPr>
        <w:widowControl w:val="0"/>
        <w:autoSpaceDE w:val="0"/>
        <w:autoSpaceDN w:val="0"/>
        <w:spacing w:after="120" w:line="276" w:lineRule="auto"/>
        <w:ind w:firstLine="708"/>
        <w:jc w:val="both"/>
        <w:rPr>
          <w:rFonts w:ascii="Verdana" w:eastAsia="Calibri" w:hAnsi="Verdana" w:cs="Arial"/>
          <w:kern w:val="2"/>
          <w:lang w:val="es-ES"/>
          <w14:ligatures w14:val="standardContextual"/>
        </w:rPr>
      </w:pPr>
      <w:r w:rsidRPr="00B55D3E">
        <w:rPr>
          <w:rFonts w:ascii="Verdana" w:eastAsia="Calibri" w:hAnsi="Verdana" w:cs="Arial"/>
          <w:kern w:val="2"/>
          <w:lang w:val="es-ES"/>
          <w14:ligatures w14:val="standardContextual"/>
        </w:rPr>
        <w:t>De esta manera, para saber a qué actividades deben aplicarse los documentos tipo de licitación de obra pública de infraestructura social expedidos por esta Agencia, la entidad debe verificar que estos apliquen para la modalidad de selección en la que debe celebrarse el proceso, subsumiendo el objeto a contratar en los tipos de proyectos de infraestructura a contratarse. Por tanto, si el objeto contractual a ejecutar se encuadra materialmente dentro de alguno de los tipos actividades concretas señaladas en cada una de las matrices de experiencia, se tendrán que aplicar estos documentos tipo para los mencionados sectores −según corresponda−, mientras que en el caso contrario no será forzosa su aplicación.</w:t>
      </w:r>
    </w:p>
    <w:p w14:paraId="68ADFE78" w14:textId="77777777" w:rsidR="00365E5A" w:rsidRPr="00B55D3E" w:rsidRDefault="00365E5A" w:rsidP="00365E5A">
      <w:pPr>
        <w:widowControl w:val="0"/>
        <w:autoSpaceDE w:val="0"/>
        <w:autoSpaceDN w:val="0"/>
        <w:spacing w:after="120" w:line="276" w:lineRule="auto"/>
        <w:ind w:firstLine="708"/>
        <w:jc w:val="both"/>
        <w:rPr>
          <w:rFonts w:ascii="Verdana" w:eastAsia="Calibri" w:hAnsi="Verdana" w:cs="Arial"/>
          <w:kern w:val="2"/>
          <w:lang w:val="es-ES"/>
          <w14:ligatures w14:val="standardContextual"/>
        </w:rPr>
      </w:pPr>
      <w:r w:rsidRPr="00B55D3E">
        <w:rPr>
          <w:rFonts w:ascii="Verdana" w:eastAsia="Calibri" w:hAnsi="Verdana" w:cs="Times New Roman"/>
          <w:lang w:val="es-ES" w:eastAsia="es-MX"/>
        </w:rPr>
        <w:t xml:space="preserve">En los documentos tipo complementarios del sector cultura, recreación y deporte, en la modalidad de licitación pública, selección abreviada de menor cuantía y mínima cuantía, en la Matriz 1 se encuentran los siguientes tipos de infraestructura: 1. Obras de infraestructura cultural, 2. Obras de infraestructura recreo deportivas, 3. Obras en infraestructura del sector cultura, recreación y </w:t>
      </w:r>
      <w:r w:rsidRPr="00B55D3E">
        <w:rPr>
          <w:rFonts w:ascii="Verdana" w:eastAsia="Calibri" w:hAnsi="Verdana" w:cs="Times New Roman"/>
          <w:lang w:val="es-ES" w:eastAsia="es-MX"/>
        </w:rPr>
        <w:lastRenderedPageBreak/>
        <w:t>deporte, 4. Obras en bibliotecas públicas, y 5. obras para atención, prevención o mitigación de emergencias diferentes a contratación directa para el sector cultura, recreación y deporte.</w:t>
      </w:r>
    </w:p>
    <w:p w14:paraId="76084025" w14:textId="77777777" w:rsidR="00365E5A" w:rsidRPr="00B55D3E" w:rsidRDefault="00365E5A" w:rsidP="00365E5A">
      <w:pPr>
        <w:widowControl w:val="0"/>
        <w:autoSpaceDE w:val="0"/>
        <w:autoSpaceDN w:val="0"/>
        <w:spacing w:after="120" w:line="276" w:lineRule="auto"/>
        <w:ind w:firstLine="708"/>
        <w:jc w:val="both"/>
        <w:rPr>
          <w:rFonts w:ascii="Verdana" w:eastAsia="Calibri" w:hAnsi="Verdana" w:cs="Arial"/>
          <w:kern w:val="2"/>
          <w:lang w:val="es-ES"/>
          <w14:ligatures w14:val="standardContextual"/>
        </w:rPr>
      </w:pPr>
      <w:r w:rsidRPr="00B55D3E">
        <w:rPr>
          <w:rFonts w:ascii="Verdana" w:eastAsia="Calibri" w:hAnsi="Verdana" w:cs="Arial"/>
          <w:lang w:val="es-ES_tradnl" w:eastAsia="es-MX"/>
        </w:rPr>
        <w:t>En este contexto, dentro del tipo de Infraestructura 2</w:t>
      </w:r>
      <w:r w:rsidRPr="00B55D3E">
        <w:rPr>
          <w:rFonts w:ascii="Verdana" w:eastAsia="Calibri" w:hAnsi="Verdana" w:cs="Times New Roman"/>
          <w:lang w:val="es-ES" w:eastAsia="es-MX"/>
        </w:rPr>
        <w:t xml:space="preserve"> de Obras de infraestructura recreo deportivas, se encuentra </w:t>
      </w:r>
      <w:r w:rsidRPr="00B55D3E">
        <w:rPr>
          <w:rFonts w:ascii="Verdana" w:eastAsia="Calibri" w:hAnsi="Verdana" w:cs="Arial"/>
          <w:lang w:val="es-ES_tradnl" w:eastAsia="es-MX"/>
        </w:rPr>
        <w:t xml:space="preserve">la actividad 2.1 “PROYECTOS DE CONSTRUCCIÓN Y/O AMPLIACIÓN Y/O RECONSTRUCCIÓN DE PARQUES </w:t>
      </w:r>
      <w:r w:rsidRPr="00B55D3E">
        <w:rPr>
          <w:rFonts w:ascii="Verdana" w:eastAsia="Calibri" w:hAnsi="Verdana" w:cs="Arial"/>
          <w:b/>
          <w:bCs/>
          <w:lang w:val="es-ES_tradnl" w:eastAsia="es-MX"/>
        </w:rPr>
        <w:t>Y/O ESPACIO PÚBLICO</w:t>
      </w:r>
      <w:r w:rsidRPr="00B55D3E">
        <w:rPr>
          <w:rFonts w:ascii="Verdana" w:eastAsia="Calibri" w:hAnsi="Verdana" w:cs="Arial"/>
          <w:lang w:val="es-ES_tradnl" w:eastAsia="es-MX"/>
        </w:rPr>
        <w:t xml:space="preserve"> Y/O ALAMEDAS” como parte de la Matriz 1 – Experiencia </w:t>
      </w:r>
      <w:r w:rsidRPr="00B55D3E">
        <w:rPr>
          <w:rFonts w:ascii="Verdana" w:eastAsia="Calibri" w:hAnsi="Verdana" w:cs="Times New Roman"/>
          <w:lang w:eastAsia="es-MX"/>
        </w:rPr>
        <w:t>de los documentos tipo del sector cultura, recreación y deporte, que</w:t>
      </w:r>
      <w:r w:rsidRPr="00B55D3E">
        <w:rPr>
          <w:rFonts w:ascii="Verdana" w:eastAsia="Calibri" w:hAnsi="Verdana" w:cs="Arial"/>
          <w:lang w:eastAsia="es-MX"/>
        </w:rPr>
        <w:t xml:space="preserve"> contempla la siguiente nota: </w:t>
      </w:r>
    </w:p>
    <w:p w14:paraId="3591C3A1" w14:textId="77777777" w:rsidR="00365E5A" w:rsidRPr="00B55D3E" w:rsidRDefault="00365E5A" w:rsidP="00365E5A">
      <w:pPr>
        <w:spacing w:after="0" w:line="240" w:lineRule="auto"/>
        <w:jc w:val="both"/>
        <w:rPr>
          <w:rFonts w:ascii="Verdana" w:eastAsia="Calibri" w:hAnsi="Verdana" w:cs="Arial"/>
          <w:lang w:eastAsia="es-MX"/>
        </w:rPr>
      </w:pPr>
    </w:p>
    <w:p w14:paraId="340AB874" w14:textId="77777777" w:rsidR="00365E5A" w:rsidRPr="00DF13B8" w:rsidRDefault="00365E5A" w:rsidP="00365E5A">
      <w:pPr>
        <w:spacing w:after="0" w:line="240" w:lineRule="auto"/>
        <w:ind w:left="708" w:right="758"/>
        <w:jc w:val="both"/>
        <w:rPr>
          <w:rFonts w:ascii="Verdana" w:eastAsia="Calibri" w:hAnsi="Verdana" w:cs="Arial"/>
          <w:sz w:val="21"/>
          <w:szCs w:val="21"/>
          <w:lang w:val="es-ES_tradnl" w:eastAsia="es-MX"/>
        </w:rPr>
      </w:pPr>
      <w:r w:rsidRPr="00DF13B8">
        <w:rPr>
          <w:rFonts w:ascii="Verdana" w:eastAsia="Calibri" w:hAnsi="Verdana" w:cs="Arial"/>
          <w:sz w:val="21"/>
          <w:szCs w:val="21"/>
          <w:lang w:val="es-ES_tradnl" w:eastAsia="es-MX"/>
        </w:rPr>
        <w:t xml:space="preserve">“(…) </w:t>
      </w:r>
      <w:r w:rsidRPr="00DF13B8">
        <w:rPr>
          <w:rFonts w:ascii="Verdana" w:eastAsia="Calibri" w:hAnsi="Verdana" w:cs="Times New Roman"/>
          <w:b/>
          <w:bCs/>
          <w:i/>
          <w:iCs/>
          <w:sz w:val="21"/>
          <w:szCs w:val="21"/>
          <w:lang w:eastAsia="es-MX"/>
        </w:rPr>
        <w:t>Nota 1:</w:t>
      </w:r>
      <w:r w:rsidRPr="00DF13B8">
        <w:rPr>
          <w:rFonts w:ascii="Verdana" w:eastAsia="Calibri" w:hAnsi="Verdana" w:cs="Times New Roman"/>
          <w:i/>
          <w:iCs/>
          <w:sz w:val="21"/>
          <w:szCs w:val="21"/>
          <w:lang w:eastAsia="es-MX"/>
        </w:rPr>
        <w:t xml:space="preserve"> Para el caso de experiencia de ESPACIO PÚBLICO se excluyen de estos el espacio público Asociado a la Infraestructura de Transporte, salvo que el Proceso de Contratación implique el mantenimiento de vías de circulación internas, así como la conservación o preservación de playas marítimas. </w:t>
      </w:r>
      <w:r w:rsidRPr="00DF13B8">
        <w:rPr>
          <w:rFonts w:ascii="Verdana" w:eastAsia="Calibri" w:hAnsi="Verdana" w:cs="Arial"/>
          <w:sz w:val="21"/>
          <w:szCs w:val="21"/>
          <w:lang w:val="es-ES_tradnl" w:eastAsia="es-MX"/>
        </w:rPr>
        <w:t xml:space="preserve">(…)”. </w:t>
      </w:r>
    </w:p>
    <w:p w14:paraId="1A530020" w14:textId="77777777" w:rsidR="00365E5A" w:rsidRPr="00B55D3E" w:rsidRDefault="00365E5A" w:rsidP="00365E5A">
      <w:pPr>
        <w:spacing w:after="0" w:line="240" w:lineRule="auto"/>
        <w:jc w:val="both"/>
        <w:rPr>
          <w:rFonts w:ascii="Verdana" w:eastAsia="Calibri" w:hAnsi="Verdana" w:cs="Arial"/>
          <w:lang w:val="es-ES_tradnl" w:eastAsia="es-MX"/>
        </w:rPr>
      </w:pPr>
    </w:p>
    <w:p w14:paraId="7D389820" w14:textId="77777777" w:rsidR="00365E5A" w:rsidRPr="00B55D3E" w:rsidRDefault="00365E5A" w:rsidP="00365E5A">
      <w:pPr>
        <w:spacing w:after="0" w:line="240" w:lineRule="auto"/>
        <w:ind w:firstLine="708"/>
        <w:jc w:val="both"/>
        <w:rPr>
          <w:rFonts w:ascii="Verdana" w:eastAsia="Calibri" w:hAnsi="Verdana" w:cs="Arial"/>
          <w:lang w:val="es-ES_tradnl" w:eastAsia="es-MX"/>
        </w:rPr>
      </w:pPr>
      <w:r w:rsidRPr="00B55D3E">
        <w:rPr>
          <w:rFonts w:ascii="Verdana" w:eastAsia="Calibri" w:hAnsi="Verdana" w:cs="Arial"/>
          <w:lang w:val="es-ES_tradnl" w:eastAsia="es-MX"/>
        </w:rPr>
        <w:t xml:space="preserve">En consecuencia, de acuerdo con la nota, se excluirían los elementos que corresponden al espacio público asociado a la infraestructura de transporte, cuya descripción se encuentra descrita tanto en el numeral 2.88 como en el numeral 1.38 del mismo Glosario, así: </w:t>
      </w:r>
    </w:p>
    <w:p w14:paraId="7F30EEEB" w14:textId="77777777" w:rsidR="00365E5A" w:rsidRPr="00B55D3E" w:rsidRDefault="00365E5A" w:rsidP="00365E5A">
      <w:pPr>
        <w:spacing w:after="0" w:line="240" w:lineRule="auto"/>
        <w:jc w:val="both"/>
        <w:rPr>
          <w:rFonts w:ascii="Verdana" w:eastAsia="Calibri" w:hAnsi="Verdana" w:cs="Arial"/>
          <w:lang w:val="es-ES_tradnl" w:eastAsia="es-MX"/>
        </w:rPr>
      </w:pPr>
    </w:p>
    <w:p w14:paraId="134AB1C6" w14:textId="77777777" w:rsidR="00365E5A" w:rsidRPr="00DF13B8" w:rsidRDefault="00365E5A" w:rsidP="00365E5A">
      <w:pPr>
        <w:spacing w:after="0" w:line="240" w:lineRule="auto"/>
        <w:ind w:left="708" w:right="758"/>
        <w:jc w:val="both"/>
        <w:rPr>
          <w:rFonts w:ascii="Verdana" w:eastAsia="Calibri" w:hAnsi="Verdana" w:cs="Arial"/>
          <w:i/>
          <w:iCs/>
          <w:sz w:val="21"/>
          <w:szCs w:val="21"/>
          <w:lang w:val="es-ES_tradnl" w:eastAsia="es-MX"/>
        </w:rPr>
      </w:pPr>
      <w:r w:rsidRPr="00DF13B8">
        <w:rPr>
          <w:rFonts w:ascii="Verdana" w:eastAsia="Calibri" w:hAnsi="Verdana" w:cs="Arial"/>
          <w:b/>
          <w:bCs/>
          <w:i/>
          <w:iCs/>
          <w:sz w:val="21"/>
          <w:szCs w:val="21"/>
          <w:lang w:val="es-ES_tradnl" w:eastAsia="es-MX"/>
        </w:rPr>
        <w:t xml:space="preserve">“2.88. Espacio Público Asociado a la Infraestructura de Transporte: </w:t>
      </w:r>
      <w:r w:rsidRPr="00DF13B8">
        <w:rPr>
          <w:rFonts w:ascii="Verdana" w:eastAsia="Calibri" w:hAnsi="Verdana" w:cs="Arial"/>
          <w:i/>
          <w:iCs/>
          <w:sz w:val="21"/>
          <w:szCs w:val="21"/>
          <w:lang w:val="es-ES_tradnl" w:eastAsia="es-MX"/>
        </w:rPr>
        <w:t xml:space="preserve">Elementos constitutivos artificiales o construidos, tales como:  </w:t>
      </w:r>
    </w:p>
    <w:p w14:paraId="3392AAE8" w14:textId="77777777" w:rsidR="00365E5A" w:rsidRPr="00DF13B8" w:rsidRDefault="00365E5A" w:rsidP="00365E5A">
      <w:pPr>
        <w:spacing w:after="0" w:line="240" w:lineRule="auto"/>
        <w:ind w:left="708" w:right="758"/>
        <w:jc w:val="both"/>
        <w:rPr>
          <w:rFonts w:ascii="Verdana" w:eastAsia="Calibri" w:hAnsi="Verdana" w:cs="Arial"/>
          <w:i/>
          <w:iCs/>
          <w:sz w:val="21"/>
          <w:szCs w:val="21"/>
          <w:lang w:val="es-ES_tradnl" w:eastAsia="es-MX"/>
        </w:rPr>
      </w:pPr>
    </w:p>
    <w:p w14:paraId="1CB3660B" w14:textId="77777777" w:rsidR="00365E5A" w:rsidRPr="00DF13B8" w:rsidRDefault="00365E5A" w:rsidP="00365E5A">
      <w:pPr>
        <w:spacing w:after="0" w:line="240" w:lineRule="auto"/>
        <w:ind w:left="708" w:right="758"/>
        <w:jc w:val="both"/>
        <w:rPr>
          <w:rFonts w:ascii="Verdana" w:eastAsia="Calibri" w:hAnsi="Verdana" w:cs="Arial"/>
          <w:i/>
          <w:iCs/>
          <w:sz w:val="21"/>
          <w:szCs w:val="21"/>
          <w:lang w:val="es-ES_tradnl" w:eastAsia="es-MX"/>
        </w:rPr>
      </w:pPr>
      <w:r w:rsidRPr="00DF13B8">
        <w:rPr>
          <w:rFonts w:ascii="Verdana" w:eastAsia="Calibri" w:hAnsi="Verdana" w:cs="Arial"/>
          <w:i/>
          <w:iCs/>
          <w:sz w:val="21"/>
          <w:szCs w:val="21"/>
          <w:lang w:val="es-ES_tradnl" w:eastAsia="es-MX"/>
        </w:rPr>
        <w:t xml:space="preserve">Áreas integrantes de los </w:t>
      </w:r>
      <w:r w:rsidRPr="00DF13B8">
        <w:rPr>
          <w:rFonts w:ascii="Verdana" w:eastAsia="Calibri" w:hAnsi="Verdana" w:cs="Arial"/>
          <w:b/>
          <w:bCs/>
          <w:i/>
          <w:iCs/>
          <w:sz w:val="21"/>
          <w:szCs w:val="21"/>
          <w:lang w:val="es-ES_tradnl" w:eastAsia="es-MX"/>
        </w:rPr>
        <w:t>perfiles viales peatonal</w:t>
      </w:r>
      <w:r w:rsidRPr="00DF13B8">
        <w:rPr>
          <w:rFonts w:ascii="Verdana" w:eastAsia="Calibri" w:hAnsi="Verdana" w:cs="Arial"/>
          <w:i/>
          <w:iCs/>
          <w:sz w:val="21"/>
          <w:szCs w:val="21"/>
          <w:lang w:val="es-ES_tradnl" w:eastAsia="es-MX"/>
        </w:rPr>
        <w:t xml:space="preserve"> y vehicular, constituidas por: </w:t>
      </w:r>
    </w:p>
    <w:p w14:paraId="295E6CB8" w14:textId="77777777" w:rsidR="00365E5A" w:rsidRPr="00DF13B8" w:rsidRDefault="00365E5A" w:rsidP="00365E5A">
      <w:pPr>
        <w:spacing w:after="0" w:line="240" w:lineRule="auto"/>
        <w:ind w:left="708" w:right="758"/>
        <w:jc w:val="both"/>
        <w:rPr>
          <w:rFonts w:ascii="Verdana" w:eastAsia="Calibri" w:hAnsi="Verdana" w:cs="Arial"/>
          <w:i/>
          <w:iCs/>
          <w:sz w:val="21"/>
          <w:szCs w:val="21"/>
          <w:lang w:val="es-ES_tradnl" w:eastAsia="es-MX"/>
        </w:rPr>
      </w:pPr>
    </w:p>
    <w:p w14:paraId="267D9594" w14:textId="77777777" w:rsidR="00365E5A" w:rsidRPr="00DF13B8" w:rsidRDefault="00365E5A" w:rsidP="00365E5A">
      <w:pPr>
        <w:spacing w:after="0" w:line="240" w:lineRule="auto"/>
        <w:ind w:left="708" w:right="758"/>
        <w:jc w:val="both"/>
        <w:rPr>
          <w:rFonts w:ascii="Verdana" w:eastAsia="Calibri" w:hAnsi="Verdana" w:cs="Arial"/>
          <w:i/>
          <w:iCs/>
          <w:sz w:val="21"/>
          <w:szCs w:val="21"/>
          <w:lang w:val="es-ES_tradnl" w:eastAsia="es-MX"/>
        </w:rPr>
      </w:pPr>
      <w:r w:rsidRPr="00DF13B8">
        <w:rPr>
          <w:rFonts w:ascii="Verdana" w:eastAsia="Calibri" w:hAnsi="Verdana" w:cs="Arial"/>
          <w:i/>
          <w:iCs/>
          <w:sz w:val="21"/>
          <w:szCs w:val="21"/>
          <w:lang w:val="es-ES_tradnl" w:eastAsia="es-MX"/>
        </w:rPr>
        <w:t xml:space="preserve">Los componentes de los perfiles viales tales como: áreas de control ambiental, zonas de mobiliario urbano y señalización, cárcamos y ductos, túneles peatonales, puentes peatonales, escalinatas, bulevares, alamedas, rampas para discapacitados, andenes, malecones, paseos marítimos, camellones, sardineles, cunetas, ciclo pistas, ciclovías, estacionamiento para bicicletas, estacionamiento para motocicletas, estacionamiento bajo espacio público, zonas azules, bahías de estacionamiento, bermas, separadores, reductores de velocidad, calzadas, carriles. </w:t>
      </w:r>
    </w:p>
    <w:p w14:paraId="3AE0143A" w14:textId="77777777" w:rsidR="00365E5A" w:rsidRPr="00DF13B8" w:rsidRDefault="00365E5A" w:rsidP="00365E5A">
      <w:pPr>
        <w:spacing w:after="0" w:line="240" w:lineRule="auto"/>
        <w:ind w:left="708" w:right="758"/>
        <w:jc w:val="both"/>
        <w:rPr>
          <w:rFonts w:ascii="Verdana" w:eastAsia="Calibri" w:hAnsi="Verdana" w:cs="Arial"/>
          <w:i/>
          <w:iCs/>
          <w:sz w:val="21"/>
          <w:szCs w:val="21"/>
          <w:lang w:val="es-ES_tradnl" w:eastAsia="es-MX"/>
        </w:rPr>
      </w:pPr>
    </w:p>
    <w:p w14:paraId="4174B728" w14:textId="77777777" w:rsidR="00365E5A" w:rsidRPr="00DF13B8" w:rsidRDefault="00365E5A" w:rsidP="00365E5A">
      <w:pPr>
        <w:spacing w:after="0" w:line="240" w:lineRule="auto"/>
        <w:ind w:left="708" w:right="758"/>
        <w:jc w:val="both"/>
        <w:rPr>
          <w:rFonts w:ascii="Verdana" w:eastAsia="Calibri" w:hAnsi="Verdana" w:cs="Arial"/>
          <w:i/>
          <w:iCs/>
          <w:sz w:val="21"/>
          <w:szCs w:val="21"/>
          <w:lang w:val="es-ES_tradnl" w:eastAsia="es-MX"/>
        </w:rPr>
      </w:pPr>
      <w:r w:rsidRPr="00DF13B8">
        <w:rPr>
          <w:rFonts w:ascii="Verdana" w:eastAsia="Calibri" w:hAnsi="Verdana" w:cs="Arial"/>
          <w:i/>
          <w:iCs/>
          <w:sz w:val="21"/>
          <w:szCs w:val="21"/>
          <w:lang w:val="es-ES_tradnl" w:eastAsia="es-MX"/>
        </w:rPr>
        <w:t xml:space="preserve">Los componentes de los cruces o intersecciones, tales como: esquinas, glorietas, orejas, puentes vehiculares, túneles y viaductos. Las </w:t>
      </w:r>
      <w:r w:rsidRPr="00DF13B8">
        <w:rPr>
          <w:rFonts w:ascii="Verdana" w:eastAsia="Calibri" w:hAnsi="Verdana" w:cs="Arial"/>
          <w:i/>
          <w:iCs/>
          <w:sz w:val="21"/>
          <w:szCs w:val="21"/>
          <w:lang w:val="es-ES_tradnl" w:eastAsia="es-MX"/>
        </w:rPr>
        <w:lastRenderedPageBreak/>
        <w:t>actividades de puentes, túneles y viaductos, siempre que, en ellas, estén asociadas obras de espacio público. </w:t>
      </w:r>
    </w:p>
    <w:p w14:paraId="35A35B50" w14:textId="77777777" w:rsidR="00365E5A" w:rsidRPr="00DF13B8" w:rsidRDefault="00365E5A" w:rsidP="00365E5A">
      <w:pPr>
        <w:spacing w:after="0" w:line="240" w:lineRule="auto"/>
        <w:ind w:left="708" w:right="758"/>
        <w:jc w:val="both"/>
        <w:rPr>
          <w:rFonts w:ascii="Verdana" w:eastAsia="Calibri" w:hAnsi="Verdana" w:cs="Arial"/>
          <w:i/>
          <w:iCs/>
          <w:sz w:val="21"/>
          <w:szCs w:val="21"/>
          <w:lang w:val="es-ES_tradnl" w:eastAsia="es-MX"/>
        </w:rPr>
      </w:pPr>
    </w:p>
    <w:p w14:paraId="56F2E779" w14:textId="77777777" w:rsidR="00365E5A" w:rsidRPr="00DF13B8" w:rsidRDefault="00365E5A" w:rsidP="00365E5A">
      <w:pPr>
        <w:spacing w:after="0" w:line="240" w:lineRule="auto"/>
        <w:ind w:left="708" w:right="758"/>
        <w:jc w:val="both"/>
        <w:rPr>
          <w:rFonts w:ascii="Verdana" w:eastAsia="Calibri" w:hAnsi="Verdana" w:cs="Arial"/>
          <w:i/>
          <w:iCs/>
          <w:sz w:val="21"/>
          <w:szCs w:val="21"/>
          <w:lang w:val="es-ES_tradnl" w:eastAsia="es-MX"/>
        </w:rPr>
      </w:pPr>
      <w:r w:rsidRPr="00DF13B8">
        <w:rPr>
          <w:rFonts w:ascii="Verdana" w:eastAsia="Calibri" w:hAnsi="Verdana" w:cs="Arial"/>
          <w:i/>
          <w:iCs/>
          <w:sz w:val="21"/>
          <w:szCs w:val="21"/>
          <w:lang w:val="es-ES_tradnl" w:eastAsia="es-MX"/>
        </w:rPr>
        <w:t xml:space="preserve">Para los fines de los Documentos Tipo se entiende que estos elementos del Espacio Público deberán estar asociados o vinculados a una infraestructura social. </w:t>
      </w:r>
    </w:p>
    <w:p w14:paraId="3FA6FDE0" w14:textId="77777777" w:rsidR="00365E5A" w:rsidRPr="00DF13B8" w:rsidRDefault="00365E5A" w:rsidP="00365E5A">
      <w:pPr>
        <w:spacing w:after="0" w:line="240" w:lineRule="auto"/>
        <w:ind w:left="708" w:right="758"/>
        <w:jc w:val="both"/>
        <w:rPr>
          <w:rFonts w:ascii="Verdana" w:eastAsia="Calibri" w:hAnsi="Verdana" w:cs="Arial"/>
          <w:i/>
          <w:iCs/>
          <w:sz w:val="21"/>
          <w:szCs w:val="21"/>
          <w:lang w:val="es-ES_tradnl" w:eastAsia="es-MX"/>
        </w:rPr>
      </w:pPr>
    </w:p>
    <w:p w14:paraId="046649F4" w14:textId="77777777" w:rsidR="00365E5A" w:rsidRPr="00DF13B8" w:rsidRDefault="00365E5A" w:rsidP="00365E5A">
      <w:pPr>
        <w:spacing w:after="0" w:line="240" w:lineRule="auto"/>
        <w:ind w:left="708" w:right="758"/>
        <w:jc w:val="both"/>
        <w:rPr>
          <w:rFonts w:ascii="Verdana" w:eastAsia="Calibri" w:hAnsi="Verdana" w:cs="Arial"/>
          <w:i/>
          <w:iCs/>
          <w:sz w:val="21"/>
          <w:szCs w:val="21"/>
          <w:lang w:val="es-ES_tradnl" w:eastAsia="es-MX"/>
        </w:rPr>
      </w:pPr>
      <w:r w:rsidRPr="00DF13B8">
        <w:rPr>
          <w:rFonts w:ascii="Verdana" w:eastAsia="Calibri" w:hAnsi="Verdana" w:cs="Arial"/>
          <w:b/>
          <w:bCs/>
          <w:i/>
          <w:iCs/>
          <w:sz w:val="21"/>
          <w:szCs w:val="21"/>
          <w:lang w:val="es-ES_tradnl" w:eastAsia="es-MX"/>
        </w:rPr>
        <w:t>1.38 Infraestructura del Transporte</w:t>
      </w:r>
      <w:r w:rsidRPr="00DF13B8">
        <w:rPr>
          <w:rFonts w:ascii="Verdana" w:eastAsia="Calibri" w:hAnsi="Verdana" w:cs="Arial"/>
          <w:i/>
          <w:iCs/>
          <w:sz w:val="21"/>
          <w:szCs w:val="21"/>
          <w:lang w:val="es-ES_tradnl" w:eastAsia="es-MX"/>
        </w:rPr>
        <w:t>: Sistema de movilidad integrado por un conjunto de bienes tangibles, intangibles y aquellos que se encuentren relacionados con este, el cual está bajo la vigilancia y control del Estado y se organiza de manera estable para permitir el traslado de las personas, los bienes y los servicios, el acceso y la integración de las diferentes zonas del país y que propende por el crecimiento, competitividad y mejora de la calidad de la vida de los ciudadanos</w:t>
      </w:r>
      <w:r w:rsidRPr="00DF13B8">
        <w:rPr>
          <w:rFonts w:ascii="Verdana" w:eastAsia="Calibri" w:hAnsi="Verdana" w:cs="Arial"/>
          <w:i/>
          <w:iCs/>
          <w:sz w:val="21"/>
          <w:szCs w:val="21"/>
          <w:vertAlign w:val="superscript"/>
          <w:lang w:val="es-ES_tradnl" w:eastAsia="es-MX"/>
        </w:rPr>
        <w:footnoteReference w:id="2"/>
      </w:r>
      <w:r w:rsidRPr="00DF13B8">
        <w:rPr>
          <w:rFonts w:ascii="Verdana" w:eastAsia="Calibri" w:hAnsi="Verdana" w:cs="Arial"/>
          <w:i/>
          <w:iCs/>
          <w:sz w:val="21"/>
          <w:szCs w:val="21"/>
          <w:lang w:val="es-ES_tradnl" w:eastAsia="es-MX"/>
        </w:rPr>
        <w:t>.</w:t>
      </w:r>
    </w:p>
    <w:p w14:paraId="632FC55E" w14:textId="77777777" w:rsidR="00365E5A" w:rsidRPr="00DF13B8" w:rsidRDefault="00365E5A" w:rsidP="00365E5A">
      <w:pPr>
        <w:spacing w:after="0" w:line="240" w:lineRule="auto"/>
        <w:ind w:left="708" w:right="758"/>
        <w:jc w:val="both"/>
        <w:rPr>
          <w:rFonts w:ascii="Verdana" w:eastAsia="Calibri" w:hAnsi="Verdana" w:cs="Arial"/>
          <w:i/>
          <w:iCs/>
          <w:sz w:val="21"/>
          <w:szCs w:val="21"/>
          <w:lang w:val="es-ES_tradnl" w:eastAsia="es-MX"/>
        </w:rPr>
      </w:pPr>
    </w:p>
    <w:p w14:paraId="3AB39C0A" w14:textId="77777777" w:rsidR="00365E5A" w:rsidRPr="00DF13B8" w:rsidRDefault="00365E5A" w:rsidP="00365E5A">
      <w:pPr>
        <w:spacing w:after="0" w:line="240" w:lineRule="auto"/>
        <w:ind w:left="708" w:right="758"/>
        <w:jc w:val="both"/>
        <w:rPr>
          <w:rFonts w:ascii="Verdana" w:eastAsia="Calibri" w:hAnsi="Verdana" w:cs="Arial"/>
          <w:i/>
          <w:iCs/>
          <w:sz w:val="21"/>
          <w:szCs w:val="21"/>
          <w:lang w:val="es-ES_tradnl" w:eastAsia="es-MX"/>
        </w:rPr>
      </w:pPr>
      <w:r w:rsidRPr="00DF13B8">
        <w:rPr>
          <w:rFonts w:ascii="Verdana" w:eastAsia="Calibri" w:hAnsi="Verdana" w:cs="Arial"/>
          <w:i/>
          <w:iCs/>
          <w:sz w:val="21"/>
          <w:szCs w:val="21"/>
          <w:lang w:val="es-ES_tradnl" w:eastAsia="es-MX"/>
        </w:rPr>
        <w:t>Son las obras realizadas en: </w:t>
      </w:r>
    </w:p>
    <w:p w14:paraId="1775ECE6" w14:textId="77777777" w:rsidR="00365E5A" w:rsidRPr="00DF13B8" w:rsidRDefault="00365E5A" w:rsidP="00365E5A">
      <w:pPr>
        <w:spacing w:after="0" w:line="240" w:lineRule="auto"/>
        <w:ind w:left="708" w:right="758"/>
        <w:jc w:val="both"/>
        <w:rPr>
          <w:rFonts w:ascii="Verdana" w:eastAsia="Calibri" w:hAnsi="Verdana" w:cs="Arial"/>
          <w:i/>
          <w:iCs/>
          <w:sz w:val="21"/>
          <w:szCs w:val="21"/>
          <w:lang w:val="es-ES_tradnl" w:eastAsia="es-MX"/>
        </w:rPr>
      </w:pPr>
    </w:p>
    <w:p w14:paraId="220DEF0D" w14:textId="77777777" w:rsidR="00365E5A" w:rsidRPr="00DF13B8" w:rsidRDefault="00365E5A" w:rsidP="00365E5A">
      <w:pPr>
        <w:pStyle w:val="Prrafodelista"/>
        <w:numPr>
          <w:ilvl w:val="0"/>
          <w:numId w:val="22"/>
        </w:numPr>
        <w:spacing w:after="0" w:line="240" w:lineRule="auto"/>
        <w:ind w:right="758"/>
        <w:jc w:val="both"/>
        <w:rPr>
          <w:rFonts w:ascii="Verdana" w:eastAsia="Calibri" w:hAnsi="Verdana" w:cs="Arial"/>
          <w:i/>
          <w:iCs/>
          <w:sz w:val="21"/>
          <w:szCs w:val="21"/>
          <w:lang w:val="es-ES_tradnl" w:eastAsia="es-MX"/>
        </w:rPr>
      </w:pPr>
      <w:r w:rsidRPr="00DF13B8">
        <w:rPr>
          <w:rFonts w:ascii="Verdana" w:eastAsia="Calibri" w:hAnsi="Verdana" w:cs="Arial"/>
          <w:i/>
          <w:iCs/>
          <w:sz w:val="21"/>
          <w:szCs w:val="21"/>
          <w:lang w:val="es-ES_tradnl" w:eastAsia="es-MX"/>
        </w:rPr>
        <w:t>Vías primarias y secundarias</w:t>
      </w:r>
    </w:p>
    <w:p w14:paraId="0B9881BE" w14:textId="77777777" w:rsidR="00365E5A" w:rsidRPr="00DF13B8" w:rsidRDefault="00365E5A" w:rsidP="00365E5A">
      <w:pPr>
        <w:pStyle w:val="Prrafodelista"/>
        <w:numPr>
          <w:ilvl w:val="0"/>
          <w:numId w:val="22"/>
        </w:numPr>
        <w:spacing w:after="0" w:line="240" w:lineRule="auto"/>
        <w:ind w:right="758"/>
        <w:jc w:val="both"/>
        <w:rPr>
          <w:rFonts w:ascii="Verdana" w:eastAsia="Calibri" w:hAnsi="Verdana" w:cs="Arial"/>
          <w:i/>
          <w:iCs/>
          <w:sz w:val="21"/>
          <w:szCs w:val="21"/>
          <w:lang w:val="es-ES_tradnl" w:eastAsia="es-MX"/>
        </w:rPr>
      </w:pPr>
      <w:r w:rsidRPr="00DF13B8">
        <w:rPr>
          <w:rFonts w:ascii="Verdana" w:eastAsia="Calibri" w:hAnsi="Verdana" w:cs="Arial"/>
          <w:i/>
          <w:iCs/>
          <w:sz w:val="21"/>
          <w:szCs w:val="21"/>
          <w:lang w:val="es-ES_tradnl" w:eastAsia="es-MX"/>
        </w:rPr>
        <w:t>Vías terciarias</w:t>
      </w:r>
    </w:p>
    <w:p w14:paraId="74B61C74" w14:textId="77777777" w:rsidR="00365E5A" w:rsidRPr="00DF13B8" w:rsidRDefault="00365E5A" w:rsidP="00365E5A">
      <w:pPr>
        <w:pStyle w:val="Prrafodelista"/>
        <w:numPr>
          <w:ilvl w:val="0"/>
          <w:numId w:val="22"/>
        </w:numPr>
        <w:spacing w:after="0" w:line="240" w:lineRule="auto"/>
        <w:ind w:right="758"/>
        <w:jc w:val="both"/>
        <w:rPr>
          <w:rFonts w:ascii="Verdana" w:eastAsia="Calibri" w:hAnsi="Verdana" w:cs="Arial"/>
          <w:i/>
          <w:iCs/>
          <w:sz w:val="21"/>
          <w:szCs w:val="21"/>
          <w:lang w:val="es-ES_tradnl" w:eastAsia="es-MX"/>
        </w:rPr>
      </w:pPr>
      <w:r w:rsidRPr="00DF13B8">
        <w:rPr>
          <w:rFonts w:ascii="Verdana" w:eastAsia="Calibri" w:hAnsi="Verdana" w:cs="Arial"/>
          <w:i/>
          <w:iCs/>
          <w:sz w:val="21"/>
          <w:szCs w:val="21"/>
          <w:lang w:val="es-ES_tradnl" w:eastAsia="es-MX"/>
        </w:rPr>
        <w:t>Infraestructuras marítimas y fluviales</w:t>
      </w:r>
    </w:p>
    <w:p w14:paraId="096E8475" w14:textId="77777777" w:rsidR="00365E5A" w:rsidRPr="00DF13B8" w:rsidRDefault="00365E5A" w:rsidP="00365E5A">
      <w:pPr>
        <w:pStyle w:val="Prrafodelista"/>
        <w:numPr>
          <w:ilvl w:val="0"/>
          <w:numId w:val="22"/>
        </w:numPr>
        <w:spacing w:after="0" w:line="240" w:lineRule="auto"/>
        <w:ind w:right="758"/>
        <w:jc w:val="both"/>
        <w:rPr>
          <w:rFonts w:ascii="Verdana" w:eastAsia="Calibri" w:hAnsi="Verdana" w:cs="Arial"/>
          <w:i/>
          <w:iCs/>
          <w:sz w:val="21"/>
          <w:szCs w:val="21"/>
          <w:lang w:val="es-ES_tradnl" w:eastAsia="es-MX"/>
        </w:rPr>
      </w:pPr>
      <w:r w:rsidRPr="00DF13B8">
        <w:rPr>
          <w:rFonts w:ascii="Verdana" w:eastAsia="Calibri" w:hAnsi="Verdana" w:cs="Arial"/>
          <w:i/>
          <w:iCs/>
          <w:sz w:val="21"/>
          <w:szCs w:val="21"/>
          <w:lang w:val="es-ES_tradnl" w:eastAsia="es-MX"/>
        </w:rPr>
        <w:t>Vías primarias, secundarias o terciarias para atención a emergencias diferentes a contratación directa </w:t>
      </w:r>
    </w:p>
    <w:p w14:paraId="6FDC28C9" w14:textId="77777777" w:rsidR="00365E5A" w:rsidRPr="00DF13B8" w:rsidRDefault="00365E5A" w:rsidP="00365E5A">
      <w:pPr>
        <w:pStyle w:val="Prrafodelista"/>
        <w:numPr>
          <w:ilvl w:val="0"/>
          <w:numId w:val="22"/>
        </w:numPr>
        <w:spacing w:after="0" w:line="240" w:lineRule="auto"/>
        <w:ind w:right="758"/>
        <w:jc w:val="both"/>
        <w:rPr>
          <w:rFonts w:ascii="Verdana" w:eastAsia="Calibri" w:hAnsi="Verdana" w:cs="Arial"/>
          <w:i/>
          <w:iCs/>
          <w:sz w:val="21"/>
          <w:szCs w:val="21"/>
          <w:lang w:val="es-ES_tradnl" w:eastAsia="es-MX"/>
        </w:rPr>
      </w:pPr>
      <w:r w:rsidRPr="00DF13B8">
        <w:rPr>
          <w:rFonts w:ascii="Verdana" w:eastAsia="Calibri" w:hAnsi="Verdana" w:cs="Arial"/>
          <w:i/>
          <w:iCs/>
          <w:sz w:val="21"/>
          <w:szCs w:val="21"/>
          <w:lang w:val="es-ES_tradnl" w:eastAsia="es-MX"/>
        </w:rPr>
        <w:t>Infraestructura férrea </w:t>
      </w:r>
    </w:p>
    <w:p w14:paraId="6C158E45" w14:textId="77777777" w:rsidR="00365E5A" w:rsidRPr="00DF13B8" w:rsidRDefault="00365E5A" w:rsidP="00365E5A">
      <w:pPr>
        <w:pStyle w:val="Prrafodelista"/>
        <w:numPr>
          <w:ilvl w:val="0"/>
          <w:numId w:val="22"/>
        </w:numPr>
        <w:spacing w:after="0" w:line="240" w:lineRule="auto"/>
        <w:ind w:right="758"/>
        <w:jc w:val="both"/>
        <w:rPr>
          <w:rFonts w:ascii="Verdana" w:eastAsia="Calibri" w:hAnsi="Verdana" w:cs="Arial"/>
          <w:i/>
          <w:iCs/>
          <w:sz w:val="21"/>
          <w:szCs w:val="21"/>
          <w:lang w:val="es-ES_tradnl" w:eastAsia="es-MX"/>
        </w:rPr>
      </w:pPr>
      <w:r w:rsidRPr="00DF13B8">
        <w:rPr>
          <w:rFonts w:ascii="Verdana" w:eastAsia="Calibri" w:hAnsi="Verdana" w:cs="Arial"/>
          <w:i/>
          <w:iCs/>
          <w:sz w:val="21"/>
          <w:szCs w:val="21"/>
          <w:lang w:val="es-ES_tradnl" w:eastAsia="es-MX"/>
        </w:rPr>
        <w:t>Infraestructura vial urbana </w:t>
      </w:r>
    </w:p>
    <w:p w14:paraId="11FFD299" w14:textId="77777777" w:rsidR="00365E5A" w:rsidRPr="00DF13B8" w:rsidRDefault="00365E5A" w:rsidP="00365E5A">
      <w:pPr>
        <w:pStyle w:val="Prrafodelista"/>
        <w:numPr>
          <w:ilvl w:val="0"/>
          <w:numId w:val="22"/>
        </w:numPr>
        <w:spacing w:after="0" w:line="240" w:lineRule="auto"/>
        <w:ind w:right="758"/>
        <w:jc w:val="both"/>
        <w:rPr>
          <w:rFonts w:ascii="Verdana" w:eastAsia="Calibri" w:hAnsi="Verdana" w:cs="Arial"/>
          <w:i/>
          <w:iCs/>
          <w:sz w:val="21"/>
          <w:szCs w:val="21"/>
          <w:lang w:val="es-ES_tradnl" w:eastAsia="es-MX"/>
        </w:rPr>
      </w:pPr>
      <w:r w:rsidRPr="00DF13B8">
        <w:rPr>
          <w:rFonts w:ascii="Verdana" w:eastAsia="Calibri" w:hAnsi="Verdana" w:cs="Arial"/>
          <w:i/>
          <w:iCs/>
          <w:sz w:val="21"/>
          <w:szCs w:val="21"/>
          <w:lang w:val="es-ES_tradnl" w:eastAsia="es-MX"/>
        </w:rPr>
        <w:t>Puentes </w:t>
      </w:r>
    </w:p>
    <w:p w14:paraId="1E3EEFDB" w14:textId="77777777" w:rsidR="00365E5A" w:rsidRPr="00DF13B8" w:rsidRDefault="00365E5A" w:rsidP="00365E5A">
      <w:pPr>
        <w:pStyle w:val="Prrafodelista"/>
        <w:numPr>
          <w:ilvl w:val="0"/>
          <w:numId w:val="22"/>
        </w:numPr>
        <w:spacing w:after="0" w:line="240" w:lineRule="auto"/>
        <w:ind w:right="758"/>
        <w:jc w:val="both"/>
        <w:rPr>
          <w:rFonts w:ascii="Verdana" w:eastAsia="Calibri" w:hAnsi="Verdana" w:cs="Arial"/>
          <w:i/>
          <w:iCs/>
          <w:sz w:val="21"/>
          <w:szCs w:val="21"/>
          <w:lang w:val="es-ES_tradnl" w:eastAsia="es-MX"/>
        </w:rPr>
      </w:pPr>
      <w:r w:rsidRPr="00DF13B8">
        <w:rPr>
          <w:rFonts w:ascii="Verdana" w:eastAsia="Calibri" w:hAnsi="Verdana" w:cs="Arial"/>
          <w:i/>
          <w:iCs/>
          <w:sz w:val="21"/>
          <w:szCs w:val="21"/>
          <w:lang w:val="es-ES_tradnl" w:eastAsia="es-MX"/>
        </w:rPr>
        <w:t>Infraestructura Aeroportuaria”</w:t>
      </w:r>
    </w:p>
    <w:p w14:paraId="6F8467D7" w14:textId="77777777" w:rsidR="00365E5A" w:rsidRPr="00B55D3E" w:rsidRDefault="00365E5A" w:rsidP="00365E5A">
      <w:pPr>
        <w:spacing w:after="0" w:line="240" w:lineRule="auto"/>
        <w:jc w:val="both"/>
        <w:rPr>
          <w:rFonts w:ascii="Verdana" w:eastAsia="Calibri" w:hAnsi="Verdana" w:cs="Arial"/>
          <w:lang w:val="es-ES_tradnl" w:eastAsia="es-MX"/>
        </w:rPr>
      </w:pPr>
    </w:p>
    <w:p w14:paraId="4590A7A7" w14:textId="77777777" w:rsidR="00365E5A" w:rsidRPr="00B55D3E" w:rsidRDefault="00365E5A" w:rsidP="00365E5A">
      <w:pPr>
        <w:spacing w:after="0" w:line="240" w:lineRule="auto"/>
        <w:jc w:val="both"/>
        <w:rPr>
          <w:rFonts w:ascii="Verdana" w:eastAsia="Calibri" w:hAnsi="Verdana" w:cs="Arial"/>
          <w:lang w:eastAsia="es-MX"/>
        </w:rPr>
      </w:pPr>
      <w:r w:rsidRPr="00B55D3E">
        <w:rPr>
          <w:rFonts w:ascii="Verdana" w:eastAsia="Calibri" w:hAnsi="Verdana" w:cs="Arial"/>
          <w:lang w:eastAsia="es-MX"/>
        </w:rPr>
        <w:t xml:space="preserve">Por su parte, en la actividad 2.1. también </w:t>
      </w:r>
      <w:r w:rsidRPr="00B55D3E">
        <w:rPr>
          <w:rFonts w:ascii="Verdana" w:eastAsia="Calibri" w:hAnsi="Verdana" w:cs="Arial"/>
          <w:lang w:val="es-ES_tradnl" w:eastAsia="es-MX"/>
        </w:rPr>
        <w:t xml:space="preserve">se hace referencia al </w:t>
      </w:r>
      <w:r w:rsidRPr="00B55D3E">
        <w:rPr>
          <w:rFonts w:ascii="Verdana" w:eastAsia="Calibri" w:hAnsi="Verdana" w:cs="Arial"/>
          <w:i/>
          <w:iCs/>
          <w:lang w:val="es-ES_tradnl" w:eastAsia="es-MX"/>
        </w:rPr>
        <w:t>“espacio público”</w:t>
      </w:r>
      <w:r w:rsidRPr="00B55D3E">
        <w:rPr>
          <w:rFonts w:ascii="Verdana" w:eastAsia="Calibri" w:hAnsi="Verdana" w:cs="Arial"/>
          <w:lang w:val="es-ES_tradnl" w:eastAsia="es-MX"/>
        </w:rPr>
        <w:t xml:space="preserve"> cuya definición se encuentra dentro de</w:t>
      </w:r>
      <w:r w:rsidRPr="00B55D3E">
        <w:rPr>
          <w:rFonts w:ascii="Verdana" w:eastAsia="Calibri" w:hAnsi="Verdana" w:cs="Arial"/>
          <w:lang w:val="es-ES" w:eastAsia="es-MX"/>
        </w:rPr>
        <w:t>l Anexo 5 Glosario de los Documentos Tipo (Cultura, Recreación y Deporte) y define en su numeral 2.87 la noción de Espacio Público de la siguiente manera:  </w:t>
      </w:r>
      <w:r w:rsidRPr="00B55D3E">
        <w:rPr>
          <w:rFonts w:ascii="Verdana" w:eastAsia="Calibri" w:hAnsi="Verdana" w:cs="Arial"/>
          <w:lang w:eastAsia="es-MX"/>
        </w:rPr>
        <w:t> </w:t>
      </w:r>
    </w:p>
    <w:p w14:paraId="597C97F2" w14:textId="77777777" w:rsidR="00365E5A" w:rsidRPr="00B55D3E" w:rsidRDefault="00365E5A" w:rsidP="00365E5A">
      <w:pPr>
        <w:spacing w:after="0" w:line="240" w:lineRule="auto"/>
        <w:jc w:val="both"/>
        <w:rPr>
          <w:rFonts w:ascii="Verdana" w:eastAsia="Calibri" w:hAnsi="Verdana" w:cs="Arial"/>
          <w:lang w:eastAsia="es-MX"/>
        </w:rPr>
      </w:pPr>
      <w:r w:rsidRPr="00B55D3E">
        <w:rPr>
          <w:rFonts w:ascii="Verdana" w:eastAsia="Calibri" w:hAnsi="Verdana" w:cs="Arial"/>
          <w:lang w:val="es-ES" w:eastAsia="es-MX"/>
        </w:rPr>
        <w:t> </w:t>
      </w:r>
      <w:r w:rsidRPr="00B55D3E">
        <w:rPr>
          <w:rFonts w:ascii="Verdana" w:eastAsia="Calibri" w:hAnsi="Verdana" w:cs="Arial"/>
          <w:lang w:eastAsia="es-MX"/>
        </w:rPr>
        <w:t> </w:t>
      </w:r>
    </w:p>
    <w:p w14:paraId="1BDDF66F" w14:textId="77777777" w:rsidR="00365E5A" w:rsidRPr="008C689E" w:rsidRDefault="00365E5A" w:rsidP="00365E5A">
      <w:pPr>
        <w:spacing w:after="0" w:line="240" w:lineRule="auto"/>
        <w:ind w:left="708" w:right="758"/>
        <w:jc w:val="both"/>
        <w:rPr>
          <w:rFonts w:ascii="Verdana" w:eastAsia="Calibri" w:hAnsi="Verdana" w:cs="Arial"/>
          <w:sz w:val="21"/>
          <w:szCs w:val="21"/>
          <w:lang w:eastAsia="es-MX"/>
        </w:rPr>
      </w:pPr>
      <w:r w:rsidRPr="008C689E">
        <w:rPr>
          <w:rFonts w:ascii="Verdana" w:eastAsia="Calibri" w:hAnsi="Verdana" w:cs="Arial"/>
          <w:b/>
          <w:bCs/>
          <w:i/>
          <w:iCs/>
          <w:sz w:val="21"/>
          <w:szCs w:val="21"/>
          <w:lang w:val="es-ES" w:eastAsia="es-MX"/>
        </w:rPr>
        <w:t>“2.87.</w:t>
      </w:r>
      <w:r w:rsidRPr="008C689E">
        <w:rPr>
          <w:rFonts w:ascii="Verdana" w:eastAsia="Calibri" w:hAnsi="Verdana" w:cs="Arial"/>
          <w:b/>
          <w:bCs/>
          <w:sz w:val="21"/>
          <w:szCs w:val="21"/>
          <w:lang w:eastAsia="es-MX"/>
        </w:rPr>
        <w:tab/>
      </w:r>
      <w:r w:rsidRPr="008C689E">
        <w:rPr>
          <w:rFonts w:ascii="Verdana" w:eastAsia="Calibri" w:hAnsi="Verdana" w:cs="Arial"/>
          <w:b/>
          <w:bCs/>
          <w:i/>
          <w:iCs/>
          <w:sz w:val="21"/>
          <w:szCs w:val="21"/>
          <w:lang w:val="es-ES" w:eastAsia="es-MX"/>
        </w:rPr>
        <w:t>Espacio Público: </w:t>
      </w:r>
      <w:r w:rsidRPr="008C689E">
        <w:rPr>
          <w:rFonts w:ascii="Verdana" w:eastAsia="Calibri" w:hAnsi="Verdana" w:cs="Arial"/>
          <w:i/>
          <w:iCs/>
          <w:sz w:val="21"/>
          <w:szCs w:val="21"/>
          <w:lang w:val="es-ES" w:eastAsia="es-MX"/>
        </w:rPr>
        <w:t>Conjunto de inmuebles públicos y los elementos arquitectónicos y naturales de los inmuebles privados destinados por naturaleza, usos o afectación a la satisfacción de necesidades urbanas colectivas que transcienden los límites de los intereses individuales de los habitantes.  </w:t>
      </w:r>
      <w:r w:rsidRPr="008C689E">
        <w:rPr>
          <w:rFonts w:ascii="Verdana" w:eastAsia="Calibri" w:hAnsi="Verdana" w:cs="Arial"/>
          <w:sz w:val="21"/>
          <w:szCs w:val="21"/>
          <w:lang w:eastAsia="es-MX"/>
        </w:rPr>
        <w:t> </w:t>
      </w:r>
    </w:p>
    <w:p w14:paraId="2D43B9CC" w14:textId="77777777" w:rsidR="00365E5A" w:rsidRPr="008C689E" w:rsidRDefault="00365E5A" w:rsidP="00365E5A">
      <w:pPr>
        <w:spacing w:after="0" w:line="240" w:lineRule="auto"/>
        <w:ind w:left="708" w:right="758"/>
        <w:jc w:val="both"/>
        <w:rPr>
          <w:rFonts w:ascii="Verdana" w:eastAsia="Calibri" w:hAnsi="Verdana" w:cs="Arial"/>
          <w:sz w:val="21"/>
          <w:szCs w:val="21"/>
          <w:lang w:eastAsia="es-MX"/>
        </w:rPr>
      </w:pPr>
      <w:r w:rsidRPr="008C689E">
        <w:rPr>
          <w:rFonts w:ascii="Verdana" w:eastAsia="Calibri" w:hAnsi="Verdana" w:cs="Arial"/>
          <w:i/>
          <w:iCs/>
          <w:sz w:val="21"/>
          <w:szCs w:val="21"/>
          <w:lang w:val="es-ES" w:eastAsia="es-MX"/>
        </w:rPr>
        <w:t> </w:t>
      </w:r>
      <w:r w:rsidRPr="008C689E">
        <w:rPr>
          <w:rFonts w:ascii="Verdana" w:eastAsia="Calibri" w:hAnsi="Verdana" w:cs="Arial"/>
          <w:sz w:val="21"/>
          <w:szCs w:val="21"/>
          <w:lang w:eastAsia="es-MX"/>
        </w:rPr>
        <w:t> </w:t>
      </w:r>
    </w:p>
    <w:p w14:paraId="1A3B86CD" w14:textId="77777777" w:rsidR="00365E5A" w:rsidRPr="008C689E" w:rsidRDefault="00365E5A" w:rsidP="00365E5A">
      <w:pPr>
        <w:spacing w:after="0" w:line="240" w:lineRule="auto"/>
        <w:ind w:left="708" w:right="758"/>
        <w:jc w:val="both"/>
        <w:rPr>
          <w:rFonts w:ascii="Verdana" w:eastAsia="Calibri" w:hAnsi="Verdana" w:cs="Arial"/>
          <w:sz w:val="21"/>
          <w:szCs w:val="21"/>
          <w:lang w:eastAsia="es-MX"/>
        </w:rPr>
      </w:pPr>
      <w:r w:rsidRPr="008C689E">
        <w:rPr>
          <w:rFonts w:ascii="Verdana" w:eastAsia="Calibri" w:hAnsi="Verdana" w:cs="Arial"/>
          <w:i/>
          <w:iCs/>
          <w:sz w:val="21"/>
          <w:szCs w:val="21"/>
          <w:lang w:val="es-ES" w:eastAsia="es-MX"/>
        </w:rPr>
        <w:t>El espacio público comprende, entre otros, los siguientes aspectos:  </w:t>
      </w:r>
      <w:r w:rsidRPr="008C689E">
        <w:rPr>
          <w:rFonts w:ascii="Verdana" w:eastAsia="Calibri" w:hAnsi="Verdana" w:cs="Arial"/>
          <w:sz w:val="21"/>
          <w:szCs w:val="21"/>
          <w:lang w:eastAsia="es-MX"/>
        </w:rPr>
        <w:t> </w:t>
      </w:r>
    </w:p>
    <w:p w14:paraId="78AF2915" w14:textId="77777777" w:rsidR="00365E5A" w:rsidRPr="008C689E" w:rsidRDefault="00365E5A" w:rsidP="00365E5A">
      <w:pPr>
        <w:spacing w:after="0" w:line="240" w:lineRule="auto"/>
        <w:ind w:left="708" w:right="758"/>
        <w:jc w:val="both"/>
        <w:rPr>
          <w:rFonts w:ascii="Verdana" w:eastAsia="Calibri" w:hAnsi="Verdana" w:cs="Arial"/>
          <w:sz w:val="21"/>
          <w:szCs w:val="21"/>
          <w:lang w:eastAsia="es-MX"/>
        </w:rPr>
      </w:pPr>
      <w:r w:rsidRPr="008C689E">
        <w:rPr>
          <w:rFonts w:ascii="Verdana" w:eastAsia="Calibri" w:hAnsi="Verdana" w:cs="Arial"/>
          <w:sz w:val="21"/>
          <w:szCs w:val="21"/>
          <w:lang w:eastAsia="es-MX"/>
        </w:rPr>
        <w:t> </w:t>
      </w:r>
    </w:p>
    <w:p w14:paraId="72C7F6D3" w14:textId="77777777" w:rsidR="00365E5A" w:rsidRPr="008C689E" w:rsidRDefault="00365E5A" w:rsidP="00365E5A">
      <w:pPr>
        <w:spacing w:after="0" w:line="240" w:lineRule="auto"/>
        <w:ind w:left="708" w:right="758"/>
        <w:jc w:val="both"/>
        <w:rPr>
          <w:rFonts w:ascii="Verdana" w:eastAsia="Calibri" w:hAnsi="Verdana" w:cs="Arial"/>
          <w:sz w:val="21"/>
          <w:szCs w:val="21"/>
          <w:lang w:eastAsia="es-MX"/>
        </w:rPr>
      </w:pPr>
      <w:r w:rsidRPr="008C689E">
        <w:rPr>
          <w:rFonts w:ascii="Verdana" w:eastAsia="Calibri" w:hAnsi="Verdana" w:cs="Arial"/>
          <w:i/>
          <w:iCs/>
          <w:sz w:val="21"/>
          <w:szCs w:val="21"/>
          <w:lang w:val="es-ES" w:eastAsia="es-MX"/>
        </w:rPr>
        <w:lastRenderedPageBreak/>
        <w:t>a. Los bienes de uso público, es decir, aquellos inmuebles de dominio público cuyo uso pertenece a todos los habitantes del territorio nacional, destinados al uso o disfrute colectivo;  </w:t>
      </w:r>
      <w:r w:rsidRPr="008C689E">
        <w:rPr>
          <w:rFonts w:ascii="Verdana" w:eastAsia="Calibri" w:hAnsi="Verdana" w:cs="Arial"/>
          <w:sz w:val="21"/>
          <w:szCs w:val="21"/>
          <w:lang w:eastAsia="es-MX"/>
        </w:rPr>
        <w:t> </w:t>
      </w:r>
    </w:p>
    <w:p w14:paraId="7C54E194" w14:textId="77777777" w:rsidR="00365E5A" w:rsidRDefault="00365E5A" w:rsidP="00365E5A">
      <w:pPr>
        <w:spacing w:after="0" w:line="240" w:lineRule="auto"/>
        <w:ind w:left="708" w:right="758"/>
        <w:jc w:val="both"/>
        <w:rPr>
          <w:rFonts w:ascii="Verdana" w:eastAsia="Calibri" w:hAnsi="Verdana" w:cs="Arial"/>
          <w:sz w:val="21"/>
          <w:szCs w:val="21"/>
          <w:lang w:eastAsia="es-MX"/>
        </w:rPr>
      </w:pPr>
      <w:r w:rsidRPr="008C689E">
        <w:rPr>
          <w:rFonts w:ascii="Verdana" w:eastAsia="Calibri" w:hAnsi="Verdana" w:cs="Arial"/>
          <w:i/>
          <w:iCs/>
          <w:sz w:val="21"/>
          <w:szCs w:val="21"/>
          <w:lang w:val="es-ES" w:eastAsia="es-MX"/>
        </w:rPr>
        <w:t>b. Los elementos arquitectónicos, espaciales y naturales de los inmuebles de propiedad privada que por su naturaleza, uso o afectación satisfacen necesidades de uso público;  </w:t>
      </w:r>
      <w:r w:rsidRPr="008C689E">
        <w:rPr>
          <w:rFonts w:ascii="Verdana" w:eastAsia="Calibri" w:hAnsi="Verdana" w:cs="Arial"/>
          <w:sz w:val="21"/>
          <w:szCs w:val="21"/>
          <w:lang w:eastAsia="es-MX"/>
        </w:rPr>
        <w:t> </w:t>
      </w:r>
    </w:p>
    <w:p w14:paraId="5F5EDE61" w14:textId="77777777" w:rsidR="00365E5A" w:rsidRPr="008C689E" w:rsidRDefault="00365E5A" w:rsidP="00365E5A">
      <w:pPr>
        <w:spacing w:after="0" w:line="240" w:lineRule="auto"/>
        <w:ind w:left="708" w:right="758"/>
        <w:jc w:val="both"/>
        <w:rPr>
          <w:rFonts w:ascii="Verdana" w:eastAsia="Calibri" w:hAnsi="Verdana" w:cs="Arial"/>
          <w:sz w:val="21"/>
          <w:szCs w:val="21"/>
          <w:lang w:eastAsia="es-MX"/>
        </w:rPr>
      </w:pPr>
    </w:p>
    <w:p w14:paraId="55861391" w14:textId="77777777" w:rsidR="00365E5A" w:rsidRPr="008C689E" w:rsidRDefault="00365E5A" w:rsidP="00365E5A">
      <w:pPr>
        <w:spacing w:after="0" w:line="240" w:lineRule="auto"/>
        <w:ind w:left="708" w:right="758"/>
        <w:jc w:val="both"/>
        <w:rPr>
          <w:rFonts w:ascii="Verdana" w:eastAsia="Calibri" w:hAnsi="Verdana" w:cs="Arial"/>
          <w:sz w:val="21"/>
          <w:szCs w:val="21"/>
          <w:lang w:eastAsia="es-MX"/>
        </w:rPr>
      </w:pPr>
      <w:r w:rsidRPr="008C689E">
        <w:rPr>
          <w:rFonts w:ascii="Verdana" w:eastAsia="Calibri" w:hAnsi="Verdana" w:cs="Arial"/>
          <w:i/>
          <w:iCs/>
          <w:sz w:val="21"/>
          <w:szCs w:val="21"/>
          <w:lang w:val="es-ES" w:eastAsia="es-MX"/>
        </w:rPr>
        <w:t>c. Las áreas requeridas para la conformación del sistema de espacio público en los términos establecidos en el Decreto 1504 de 1998 compilado en el Decreto 1077 de 2015 o la norma que la reemplace, complemente o modifique.” </w:t>
      </w:r>
      <w:r w:rsidRPr="008C689E">
        <w:rPr>
          <w:rFonts w:ascii="Verdana" w:eastAsia="Calibri" w:hAnsi="Verdana" w:cs="Arial"/>
          <w:sz w:val="21"/>
          <w:szCs w:val="21"/>
          <w:lang w:eastAsia="es-MX"/>
        </w:rPr>
        <w:t> </w:t>
      </w:r>
    </w:p>
    <w:p w14:paraId="13A983D6" w14:textId="77777777" w:rsidR="00365E5A" w:rsidRPr="00B55D3E" w:rsidRDefault="00365E5A" w:rsidP="00365E5A">
      <w:pPr>
        <w:spacing w:after="0" w:line="240" w:lineRule="auto"/>
        <w:jc w:val="both"/>
        <w:rPr>
          <w:rFonts w:ascii="Verdana" w:eastAsia="Calibri" w:hAnsi="Verdana" w:cs="Arial"/>
          <w:lang w:eastAsia="es-MX"/>
        </w:rPr>
      </w:pPr>
      <w:r w:rsidRPr="00B55D3E">
        <w:rPr>
          <w:rFonts w:ascii="Verdana" w:eastAsia="Calibri" w:hAnsi="Verdana" w:cs="Arial"/>
          <w:lang w:val="es-ES" w:eastAsia="es-MX"/>
        </w:rPr>
        <w:t> </w:t>
      </w:r>
      <w:r w:rsidRPr="00B55D3E">
        <w:rPr>
          <w:rFonts w:ascii="Verdana" w:eastAsia="Calibri" w:hAnsi="Verdana" w:cs="Arial"/>
          <w:lang w:eastAsia="es-MX"/>
        </w:rPr>
        <w:t> </w:t>
      </w:r>
    </w:p>
    <w:p w14:paraId="69335A45" w14:textId="77777777" w:rsidR="00365E5A" w:rsidRPr="00B55D3E" w:rsidRDefault="00365E5A" w:rsidP="00365E5A">
      <w:pPr>
        <w:spacing w:after="0" w:line="240" w:lineRule="auto"/>
        <w:jc w:val="both"/>
        <w:rPr>
          <w:rFonts w:ascii="Verdana" w:eastAsia="Calibri" w:hAnsi="Verdana" w:cs="Arial"/>
          <w:lang w:eastAsia="es-MX"/>
        </w:rPr>
      </w:pPr>
      <w:r w:rsidRPr="00B55D3E">
        <w:rPr>
          <w:rFonts w:ascii="Verdana" w:eastAsia="Calibri" w:hAnsi="Verdana" w:cs="Arial"/>
          <w:lang w:val="es-ES" w:eastAsia="es-MX"/>
        </w:rPr>
        <w:t>En ese sentido, el Decreto 1077 de 2015, Decreto Único Reglamentario del Sector Vivienda, Ciudad y Territorio, en su artículo 2.2.3.1.1 y siguientes, desarrolla la definición, los componentes y los elementos del espacio público.</w:t>
      </w:r>
      <w:r w:rsidRPr="00B55D3E">
        <w:rPr>
          <w:rFonts w:ascii="Verdana" w:eastAsia="Calibri" w:hAnsi="Verdana" w:cs="Arial"/>
          <w:lang w:eastAsia="es-MX"/>
        </w:rPr>
        <w:t> </w:t>
      </w:r>
    </w:p>
    <w:p w14:paraId="721AE560" w14:textId="77777777" w:rsidR="00365E5A" w:rsidRPr="00B55D3E" w:rsidRDefault="00365E5A" w:rsidP="00365E5A">
      <w:pPr>
        <w:spacing w:after="0" w:line="240" w:lineRule="auto"/>
        <w:jc w:val="both"/>
        <w:rPr>
          <w:rFonts w:ascii="Verdana" w:eastAsia="Calibri" w:hAnsi="Verdana" w:cs="Arial"/>
          <w:lang w:eastAsia="es-MX"/>
        </w:rPr>
      </w:pPr>
      <w:r w:rsidRPr="00B55D3E">
        <w:rPr>
          <w:rFonts w:ascii="Verdana" w:eastAsia="Calibri" w:hAnsi="Verdana" w:cs="Arial"/>
          <w:lang w:eastAsia="es-MX"/>
        </w:rPr>
        <w:t> </w:t>
      </w:r>
    </w:p>
    <w:p w14:paraId="0CDE8BB0" w14:textId="77777777" w:rsidR="00365E5A" w:rsidRPr="00B55D3E" w:rsidRDefault="00365E5A" w:rsidP="00365E5A">
      <w:pPr>
        <w:numPr>
          <w:ilvl w:val="0"/>
          <w:numId w:val="19"/>
        </w:numPr>
        <w:spacing w:after="0" w:line="240" w:lineRule="auto"/>
        <w:jc w:val="both"/>
        <w:rPr>
          <w:rFonts w:ascii="Verdana" w:eastAsia="Calibri" w:hAnsi="Verdana" w:cs="Arial"/>
          <w:lang w:eastAsia="es-MX"/>
        </w:rPr>
      </w:pPr>
      <w:r w:rsidRPr="00B55D3E">
        <w:rPr>
          <w:rFonts w:ascii="Verdana" w:eastAsia="Calibri" w:hAnsi="Verdana" w:cs="Arial"/>
          <w:lang w:val="es-ES" w:eastAsia="es-MX"/>
        </w:rPr>
        <w:t>Definición espacio público  </w:t>
      </w:r>
      <w:r w:rsidRPr="00B55D3E">
        <w:rPr>
          <w:rFonts w:ascii="Verdana" w:eastAsia="Calibri" w:hAnsi="Verdana" w:cs="Arial"/>
          <w:lang w:eastAsia="es-MX"/>
        </w:rPr>
        <w:t> </w:t>
      </w:r>
    </w:p>
    <w:p w14:paraId="50A1A37F" w14:textId="77777777" w:rsidR="00365E5A" w:rsidRPr="00B55D3E" w:rsidRDefault="00365E5A" w:rsidP="00365E5A">
      <w:pPr>
        <w:numPr>
          <w:ilvl w:val="0"/>
          <w:numId w:val="20"/>
        </w:numPr>
        <w:spacing w:after="0" w:line="240" w:lineRule="auto"/>
        <w:jc w:val="both"/>
        <w:rPr>
          <w:rFonts w:ascii="Verdana" w:eastAsia="Calibri" w:hAnsi="Verdana" w:cs="Arial"/>
          <w:lang w:eastAsia="es-MX"/>
        </w:rPr>
      </w:pPr>
      <w:r w:rsidRPr="00B55D3E">
        <w:rPr>
          <w:rFonts w:ascii="Verdana" w:eastAsia="Calibri" w:hAnsi="Verdana" w:cs="Arial"/>
          <w:lang w:val="es-ES" w:eastAsia="es-MX"/>
        </w:rPr>
        <w:t>Componentes del espacio público  </w:t>
      </w:r>
      <w:r w:rsidRPr="00B55D3E">
        <w:rPr>
          <w:rFonts w:ascii="Verdana" w:eastAsia="Calibri" w:hAnsi="Verdana" w:cs="Arial"/>
          <w:lang w:eastAsia="es-MX"/>
        </w:rPr>
        <w:t> </w:t>
      </w:r>
    </w:p>
    <w:p w14:paraId="640A20B1" w14:textId="77777777" w:rsidR="00365E5A" w:rsidRPr="00B55D3E" w:rsidRDefault="00365E5A" w:rsidP="00365E5A">
      <w:pPr>
        <w:numPr>
          <w:ilvl w:val="0"/>
          <w:numId w:val="21"/>
        </w:numPr>
        <w:spacing w:after="0" w:line="240" w:lineRule="auto"/>
        <w:jc w:val="both"/>
        <w:rPr>
          <w:rFonts w:ascii="Verdana" w:eastAsia="Calibri" w:hAnsi="Verdana" w:cs="Arial"/>
          <w:lang w:eastAsia="es-MX"/>
        </w:rPr>
      </w:pPr>
      <w:r w:rsidRPr="00B55D3E">
        <w:rPr>
          <w:rFonts w:ascii="Verdana" w:eastAsia="Calibri" w:hAnsi="Verdana" w:cs="Arial"/>
          <w:lang w:val="es-ES" w:eastAsia="es-MX"/>
        </w:rPr>
        <w:t>Elementos del espacio público  </w:t>
      </w:r>
      <w:r w:rsidRPr="00B55D3E">
        <w:rPr>
          <w:rFonts w:ascii="Verdana" w:eastAsia="Calibri" w:hAnsi="Verdana" w:cs="Arial"/>
          <w:lang w:eastAsia="es-MX"/>
        </w:rPr>
        <w:t> </w:t>
      </w:r>
    </w:p>
    <w:p w14:paraId="7395132B" w14:textId="77777777" w:rsidR="00365E5A" w:rsidRPr="00B55D3E" w:rsidRDefault="00365E5A" w:rsidP="00365E5A">
      <w:pPr>
        <w:spacing w:after="0" w:line="240" w:lineRule="auto"/>
        <w:jc w:val="both"/>
        <w:rPr>
          <w:rFonts w:ascii="Verdana" w:eastAsia="Calibri" w:hAnsi="Verdana" w:cs="Arial"/>
          <w:lang w:val="es-ES_tradnl" w:eastAsia="es-MX"/>
        </w:rPr>
      </w:pPr>
    </w:p>
    <w:p w14:paraId="390D55E7" w14:textId="77777777" w:rsidR="00365E5A" w:rsidRPr="00B55D3E" w:rsidRDefault="00365E5A" w:rsidP="00365E5A">
      <w:pPr>
        <w:spacing w:after="0" w:line="240" w:lineRule="auto"/>
        <w:jc w:val="both"/>
        <w:rPr>
          <w:rFonts w:ascii="Verdana" w:eastAsia="Calibri" w:hAnsi="Verdana" w:cs="Arial"/>
          <w:lang w:eastAsia="es-MX"/>
        </w:rPr>
      </w:pPr>
      <w:r w:rsidRPr="00B55D3E">
        <w:rPr>
          <w:rFonts w:ascii="Verdana" w:eastAsia="Calibri" w:hAnsi="Verdana" w:cs="Arial"/>
          <w:lang w:val="es-ES" w:eastAsia="es-MX"/>
        </w:rPr>
        <w:t xml:space="preserve">Así mismo la actividad 2.1 también contemplan parques y alamedas, que dentro del glosario podemos encontrar como: </w:t>
      </w:r>
    </w:p>
    <w:p w14:paraId="4FA54D5E" w14:textId="77777777" w:rsidR="00365E5A" w:rsidRPr="00B55D3E" w:rsidRDefault="00365E5A" w:rsidP="00365E5A">
      <w:pPr>
        <w:spacing w:after="0" w:line="240" w:lineRule="auto"/>
        <w:jc w:val="both"/>
        <w:rPr>
          <w:rFonts w:ascii="Verdana" w:eastAsia="Calibri" w:hAnsi="Verdana" w:cs="Arial"/>
          <w:lang w:eastAsia="es-MX"/>
        </w:rPr>
      </w:pPr>
      <w:r w:rsidRPr="00B55D3E">
        <w:rPr>
          <w:rFonts w:ascii="Verdana" w:eastAsia="Calibri" w:hAnsi="Verdana" w:cs="Arial"/>
          <w:lang w:eastAsia="es-MX"/>
        </w:rPr>
        <w:t> </w:t>
      </w:r>
    </w:p>
    <w:p w14:paraId="1395EFCF" w14:textId="77777777" w:rsidR="00365E5A" w:rsidRPr="00642836" w:rsidRDefault="00365E5A" w:rsidP="00365E5A">
      <w:pPr>
        <w:spacing w:after="0" w:line="240" w:lineRule="auto"/>
        <w:ind w:left="708" w:right="758"/>
        <w:jc w:val="both"/>
        <w:rPr>
          <w:rFonts w:ascii="Verdana" w:eastAsia="Calibri" w:hAnsi="Verdana" w:cs="Arial"/>
          <w:sz w:val="21"/>
          <w:szCs w:val="21"/>
          <w:lang w:eastAsia="es-MX"/>
        </w:rPr>
      </w:pPr>
      <w:r w:rsidRPr="00642836">
        <w:rPr>
          <w:rFonts w:ascii="Verdana" w:eastAsia="Calibri" w:hAnsi="Verdana" w:cs="Arial"/>
          <w:b/>
          <w:bCs/>
          <w:i/>
          <w:iCs/>
          <w:sz w:val="21"/>
          <w:szCs w:val="21"/>
          <w:lang w:val="es-ES" w:eastAsia="es-MX"/>
        </w:rPr>
        <w:t>“3.84. Parques:</w:t>
      </w:r>
      <w:r w:rsidRPr="00642836">
        <w:rPr>
          <w:rFonts w:ascii="Verdana" w:eastAsia="Calibri" w:hAnsi="Verdana" w:cs="Arial"/>
          <w:i/>
          <w:iCs/>
          <w:sz w:val="21"/>
          <w:szCs w:val="21"/>
          <w:lang w:val="es-ES" w:eastAsia="es-MX"/>
        </w:rPr>
        <w:t> Áreas libres públicas, predominantemente arborizadas y/o ajardinadas que se encuentran localizadas en suelo urbano, y se haya destinada a la recreación, esparcimiento y el ocio, así como a la generación y preservación de los valores paisajísticos ambientales. </w:t>
      </w:r>
      <w:r w:rsidRPr="00642836">
        <w:rPr>
          <w:rFonts w:ascii="Verdana" w:eastAsia="Calibri" w:hAnsi="Verdana" w:cs="Arial"/>
          <w:sz w:val="21"/>
          <w:szCs w:val="21"/>
          <w:lang w:eastAsia="es-MX"/>
        </w:rPr>
        <w:t> </w:t>
      </w:r>
    </w:p>
    <w:p w14:paraId="7A1D97CF" w14:textId="77777777" w:rsidR="00365E5A" w:rsidRPr="00642836" w:rsidRDefault="00365E5A" w:rsidP="00365E5A">
      <w:pPr>
        <w:spacing w:after="0" w:line="240" w:lineRule="auto"/>
        <w:ind w:left="708" w:right="758"/>
        <w:jc w:val="both"/>
        <w:rPr>
          <w:rFonts w:ascii="Verdana" w:eastAsia="Calibri" w:hAnsi="Verdana" w:cs="Arial"/>
          <w:sz w:val="21"/>
          <w:szCs w:val="21"/>
          <w:lang w:eastAsia="es-MX"/>
        </w:rPr>
      </w:pPr>
      <w:r w:rsidRPr="00642836">
        <w:rPr>
          <w:rFonts w:ascii="Verdana" w:eastAsia="Calibri" w:hAnsi="Verdana" w:cs="Arial"/>
          <w:i/>
          <w:iCs/>
          <w:sz w:val="21"/>
          <w:szCs w:val="21"/>
          <w:lang w:val="es-ES" w:eastAsia="es-MX"/>
        </w:rPr>
        <w:t> </w:t>
      </w:r>
      <w:r w:rsidRPr="00642836">
        <w:rPr>
          <w:rFonts w:ascii="Verdana" w:eastAsia="Calibri" w:hAnsi="Verdana" w:cs="Arial"/>
          <w:sz w:val="21"/>
          <w:szCs w:val="21"/>
          <w:lang w:eastAsia="es-MX"/>
        </w:rPr>
        <w:t> </w:t>
      </w:r>
    </w:p>
    <w:p w14:paraId="5C55E891" w14:textId="77777777" w:rsidR="00365E5A" w:rsidRPr="00642836" w:rsidRDefault="00365E5A" w:rsidP="00365E5A">
      <w:pPr>
        <w:spacing w:after="0" w:line="240" w:lineRule="auto"/>
        <w:ind w:left="708" w:right="758"/>
        <w:jc w:val="both"/>
        <w:rPr>
          <w:rFonts w:ascii="Verdana" w:eastAsia="Calibri" w:hAnsi="Verdana" w:cs="Arial"/>
          <w:sz w:val="21"/>
          <w:szCs w:val="21"/>
          <w:lang w:eastAsia="es-MX"/>
        </w:rPr>
      </w:pPr>
      <w:r w:rsidRPr="00642836">
        <w:rPr>
          <w:rFonts w:ascii="Verdana" w:eastAsia="Calibri" w:hAnsi="Verdana" w:cs="Arial"/>
          <w:b/>
          <w:bCs/>
          <w:i/>
          <w:iCs/>
          <w:sz w:val="21"/>
          <w:szCs w:val="21"/>
          <w:lang w:val="es-ES" w:eastAsia="es-MX"/>
        </w:rPr>
        <w:t>3.85. Parques de Recreación Activa</w:t>
      </w:r>
      <w:r w:rsidRPr="00642836">
        <w:rPr>
          <w:rFonts w:ascii="Verdana" w:eastAsia="Calibri" w:hAnsi="Verdana" w:cs="Arial"/>
          <w:i/>
          <w:iCs/>
          <w:sz w:val="21"/>
          <w:szCs w:val="21"/>
          <w:lang w:val="es-ES" w:eastAsia="es-MX"/>
        </w:rPr>
        <w:t>: Parques en donde el área destinada a la recreación activa es superior al 30%, o en los que, por sus condiciones topográficas, el área libre no es apta para la recreación pasiva. Son, por lo general, parques con un índice de ocupación alto y en los cuales la cantidad de áreas verdes es reducida.</w:t>
      </w:r>
      <w:r w:rsidRPr="00642836">
        <w:rPr>
          <w:rFonts w:ascii="Verdana" w:eastAsia="Calibri" w:hAnsi="Verdana" w:cs="Arial"/>
          <w:sz w:val="21"/>
          <w:szCs w:val="21"/>
          <w:lang w:eastAsia="es-MX"/>
        </w:rPr>
        <w:t> </w:t>
      </w:r>
    </w:p>
    <w:p w14:paraId="66C7F2FE" w14:textId="77777777" w:rsidR="00365E5A" w:rsidRPr="00642836" w:rsidRDefault="00365E5A" w:rsidP="00365E5A">
      <w:pPr>
        <w:spacing w:after="0" w:line="240" w:lineRule="auto"/>
        <w:ind w:left="708" w:right="758"/>
        <w:jc w:val="both"/>
        <w:rPr>
          <w:rFonts w:ascii="Verdana" w:eastAsia="Calibri" w:hAnsi="Verdana" w:cs="Arial"/>
          <w:sz w:val="21"/>
          <w:szCs w:val="21"/>
          <w:lang w:eastAsia="es-MX"/>
        </w:rPr>
      </w:pPr>
      <w:r w:rsidRPr="00642836">
        <w:rPr>
          <w:rFonts w:ascii="Verdana" w:eastAsia="Calibri" w:hAnsi="Verdana" w:cs="Arial"/>
          <w:i/>
          <w:iCs/>
          <w:sz w:val="21"/>
          <w:szCs w:val="21"/>
          <w:lang w:val="es-ES" w:eastAsia="es-MX"/>
        </w:rPr>
        <w:t> </w:t>
      </w:r>
      <w:r w:rsidRPr="00642836">
        <w:rPr>
          <w:rFonts w:ascii="Verdana" w:eastAsia="Calibri" w:hAnsi="Verdana" w:cs="Arial"/>
          <w:sz w:val="21"/>
          <w:szCs w:val="21"/>
          <w:lang w:eastAsia="es-MX"/>
        </w:rPr>
        <w:t> </w:t>
      </w:r>
    </w:p>
    <w:p w14:paraId="1FC1DED4" w14:textId="77777777" w:rsidR="00365E5A" w:rsidRPr="00642836" w:rsidRDefault="00365E5A" w:rsidP="00365E5A">
      <w:pPr>
        <w:spacing w:after="0" w:line="240" w:lineRule="auto"/>
        <w:ind w:left="708" w:right="758"/>
        <w:jc w:val="both"/>
        <w:rPr>
          <w:rFonts w:ascii="Verdana" w:eastAsia="Calibri" w:hAnsi="Verdana" w:cs="Arial"/>
          <w:sz w:val="21"/>
          <w:szCs w:val="21"/>
          <w:lang w:eastAsia="es-MX"/>
        </w:rPr>
      </w:pPr>
      <w:r w:rsidRPr="00642836">
        <w:rPr>
          <w:rFonts w:ascii="Verdana" w:eastAsia="Calibri" w:hAnsi="Verdana" w:cs="Arial"/>
          <w:b/>
          <w:bCs/>
          <w:i/>
          <w:iCs/>
          <w:sz w:val="21"/>
          <w:szCs w:val="21"/>
          <w:lang w:val="es-ES" w:eastAsia="es-MX"/>
        </w:rPr>
        <w:t>3.86. Parques de Recreación Pasiva: </w:t>
      </w:r>
      <w:r w:rsidRPr="00642836">
        <w:rPr>
          <w:rFonts w:ascii="Verdana" w:eastAsia="Calibri" w:hAnsi="Verdana" w:cs="Arial"/>
          <w:i/>
          <w:iCs/>
          <w:sz w:val="21"/>
          <w:szCs w:val="21"/>
          <w:lang w:val="es-ES" w:eastAsia="es-MX"/>
        </w:rPr>
        <w:t>Parques destinados en su totalidad a la recreación pasiva y contemplativa, adecuados como áreas verdes, áreas de tratamiento paisajístico o áreas duras arborizadas, son espacios vitales pues contribuyen con el equilibrio ambiental. Pueden contener zonas de juegos infantiles.</w:t>
      </w:r>
      <w:r w:rsidRPr="00642836">
        <w:rPr>
          <w:rFonts w:ascii="Verdana" w:eastAsia="Calibri" w:hAnsi="Verdana" w:cs="Arial"/>
          <w:sz w:val="21"/>
          <w:szCs w:val="21"/>
          <w:lang w:eastAsia="es-MX"/>
        </w:rPr>
        <w:t> </w:t>
      </w:r>
    </w:p>
    <w:p w14:paraId="6B8E3BB6" w14:textId="77777777" w:rsidR="00365E5A" w:rsidRPr="00642836" w:rsidRDefault="00365E5A" w:rsidP="00365E5A">
      <w:pPr>
        <w:spacing w:after="0" w:line="240" w:lineRule="auto"/>
        <w:ind w:left="708" w:right="758"/>
        <w:jc w:val="both"/>
        <w:rPr>
          <w:rFonts w:ascii="Verdana" w:eastAsia="Calibri" w:hAnsi="Verdana" w:cs="Arial"/>
          <w:sz w:val="21"/>
          <w:szCs w:val="21"/>
          <w:lang w:eastAsia="es-MX"/>
        </w:rPr>
      </w:pPr>
      <w:r w:rsidRPr="00642836">
        <w:rPr>
          <w:rFonts w:ascii="Verdana" w:eastAsia="Calibri" w:hAnsi="Verdana" w:cs="Arial"/>
          <w:i/>
          <w:iCs/>
          <w:sz w:val="21"/>
          <w:szCs w:val="21"/>
          <w:lang w:val="es-ES" w:eastAsia="es-MX"/>
        </w:rPr>
        <w:t> </w:t>
      </w:r>
      <w:r w:rsidRPr="00642836">
        <w:rPr>
          <w:rFonts w:ascii="Verdana" w:eastAsia="Calibri" w:hAnsi="Verdana" w:cs="Arial"/>
          <w:sz w:val="21"/>
          <w:szCs w:val="21"/>
          <w:lang w:eastAsia="es-MX"/>
        </w:rPr>
        <w:t> </w:t>
      </w:r>
    </w:p>
    <w:p w14:paraId="4A95A702" w14:textId="77777777" w:rsidR="00365E5A" w:rsidRPr="00642836" w:rsidRDefault="00365E5A" w:rsidP="00365E5A">
      <w:pPr>
        <w:spacing w:after="0" w:line="240" w:lineRule="auto"/>
        <w:ind w:left="708" w:right="758"/>
        <w:jc w:val="both"/>
        <w:rPr>
          <w:rFonts w:ascii="Verdana" w:eastAsia="Calibri" w:hAnsi="Verdana" w:cs="Arial"/>
          <w:sz w:val="21"/>
          <w:szCs w:val="21"/>
          <w:lang w:eastAsia="es-MX"/>
        </w:rPr>
      </w:pPr>
      <w:r w:rsidRPr="00642836">
        <w:rPr>
          <w:rFonts w:ascii="Verdana" w:eastAsia="Calibri" w:hAnsi="Verdana" w:cs="Arial"/>
          <w:b/>
          <w:bCs/>
          <w:i/>
          <w:iCs/>
          <w:sz w:val="21"/>
          <w:szCs w:val="21"/>
          <w:lang w:val="es-ES" w:eastAsia="es-MX"/>
        </w:rPr>
        <w:t>3.87. Parques con vocación mixta o combinada: </w:t>
      </w:r>
      <w:r w:rsidRPr="00642836">
        <w:rPr>
          <w:rFonts w:ascii="Verdana" w:eastAsia="Calibri" w:hAnsi="Verdana" w:cs="Arial"/>
          <w:i/>
          <w:iCs/>
          <w:sz w:val="21"/>
          <w:szCs w:val="21"/>
          <w:lang w:val="es-ES" w:eastAsia="es-MX"/>
        </w:rPr>
        <w:t xml:space="preserve">Parques en los que entre el 1% y el 30% de área está destinada a la recreación activa, </w:t>
      </w:r>
      <w:r w:rsidRPr="00642836">
        <w:rPr>
          <w:rFonts w:ascii="Verdana" w:eastAsia="Calibri" w:hAnsi="Verdana" w:cs="Arial"/>
          <w:i/>
          <w:iCs/>
          <w:sz w:val="21"/>
          <w:szCs w:val="21"/>
          <w:lang w:val="es-ES" w:eastAsia="es-MX"/>
        </w:rPr>
        <w:lastRenderedPageBreak/>
        <w:t>permitiendo la especialización de usos y configurando áreas verdes o áreas duras arborizadas aptas para el desarrollo de la recreación pasiva. Estos parques ejemplifican la proporción óptima entre las áreas destinadas a la recreación activa y pasiva, permitiendo la especialización de usos.</w:t>
      </w:r>
      <w:r w:rsidRPr="00642836">
        <w:rPr>
          <w:rFonts w:ascii="Verdana" w:eastAsia="Calibri" w:hAnsi="Verdana" w:cs="Arial"/>
          <w:sz w:val="21"/>
          <w:szCs w:val="21"/>
          <w:lang w:eastAsia="es-MX"/>
        </w:rPr>
        <w:t> </w:t>
      </w:r>
    </w:p>
    <w:p w14:paraId="6A34D529" w14:textId="77777777" w:rsidR="00365E5A" w:rsidRPr="00642836" w:rsidRDefault="00365E5A" w:rsidP="00365E5A">
      <w:pPr>
        <w:spacing w:after="0" w:line="240" w:lineRule="auto"/>
        <w:jc w:val="both"/>
        <w:rPr>
          <w:rFonts w:ascii="Verdana" w:eastAsia="Calibri" w:hAnsi="Verdana" w:cs="Arial"/>
          <w:sz w:val="21"/>
          <w:szCs w:val="21"/>
          <w:lang w:eastAsia="es-MX"/>
        </w:rPr>
      </w:pPr>
      <w:r w:rsidRPr="00642836">
        <w:rPr>
          <w:rFonts w:ascii="Verdana" w:eastAsia="Calibri" w:hAnsi="Verdana" w:cs="Arial"/>
          <w:sz w:val="21"/>
          <w:szCs w:val="21"/>
          <w:lang w:val="es-ES" w:eastAsia="es-MX"/>
        </w:rPr>
        <w:t> </w:t>
      </w:r>
      <w:r w:rsidRPr="00642836">
        <w:rPr>
          <w:rFonts w:ascii="Verdana" w:eastAsia="Calibri" w:hAnsi="Verdana" w:cs="Arial"/>
          <w:sz w:val="21"/>
          <w:szCs w:val="21"/>
          <w:lang w:eastAsia="es-MX"/>
        </w:rPr>
        <w:t> </w:t>
      </w:r>
    </w:p>
    <w:p w14:paraId="07E27325" w14:textId="77777777" w:rsidR="00365E5A" w:rsidRPr="00642836" w:rsidRDefault="00365E5A" w:rsidP="00365E5A">
      <w:pPr>
        <w:tabs>
          <w:tab w:val="num" w:pos="720"/>
        </w:tabs>
        <w:spacing w:after="0" w:line="240" w:lineRule="auto"/>
        <w:ind w:left="708" w:right="758"/>
        <w:jc w:val="both"/>
        <w:rPr>
          <w:rFonts w:ascii="Verdana" w:eastAsia="Calibri" w:hAnsi="Verdana" w:cs="Arial"/>
          <w:b/>
          <w:bCs/>
          <w:i/>
          <w:iCs/>
          <w:sz w:val="21"/>
          <w:szCs w:val="21"/>
          <w:lang w:val="es-ES" w:eastAsia="es-MX"/>
        </w:rPr>
      </w:pPr>
      <w:r w:rsidRPr="00642836">
        <w:rPr>
          <w:rFonts w:ascii="Verdana" w:eastAsia="Calibri" w:hAnsi="Verdana" w:cs="Arial"/>
          <w:b/>
          <w:bCs/>
          <w:i/>
          <w:iCs/>
          <w:sz w:val="21"/>
          <w:szCs w:val="21"/>
          <w:lang w:val="es-ES" w:eastAsia="es-MX"/>
        </w:rPr>
        <w:t>2.11. Alameda: </w:t>
      </w:r>
      <w:r w:rsidRPr="00642836">
        <w:rPr>
          <w:rFonts w:ascii="Verdana" w:eastAsia="Calibri" w:hAnsi="Verdana" w:cs="Arial"/>
          <w:i/>
          <w:iCs/>
          <w:sz w:val="21"/>
          <w:szCs w:val="21"/>
          <w:lang w:val="es-ES" w:eastAsia="es-MX"/>
        </w:rPr>
        <w:t>Espacios constituidos por los bienes de uso público destinados al desplazamiento, uso y goce de los peatones y por los elementos arquitectónicos y naturales de los inmuebles de propiedad privada que se integran visualmente para conformar el espacio urbano. Tiene como soporte la red de andenes, cuya función principal es la conexión peatonal de los elementos simbólicos y representativos de la estructura urbana.</w:t>
      </w:r>
      <w:r w:rsidRPr="00642836">
        <w:rPr>
          <w:rFonts w:ascii="Verdana" w:eastAsia="Calibri" w:hAnsi="Verdana" w:cs="Arial"/>
          <w:b/>
          <w:bCs/>
          <w:i/>
          <w:iCs/>
          <w:sz w:val="21"/>
          <w:szCs w:val="21"/>
          <w:lang w:val="es-ES" w:eastAsia="es-MX"/>
        </w:rPr>
        <w:t>” </w:t>
      </w:r>
    </w:p>
    <w:p w14:paraId="1567FF7A" w14:textId="77777777" w:rsidR="00365E5A" w:rsidRPr="00B55D3E" w:rsidRDefault="00365E5A" w:rsidP="00365E5A">
      <w:pPr>
        <w:spacing w:after="0" w:line="240" w:lineRule="auto"/>
        <w:jc w:val="both"/>
        <w:rPr>
          <w:rFonts w:ascii="Verdana" w:eastAsia="Calibri" w:hAnsi="Verdana" w:cs="Arial"/>
          <w:lang w:eastAsia="es-MX"/>
        </w:rPr>
      </w:pPr>
      <w:r w:rsidRPr="00B55D3E">
        <w:rPr>
          <w:rFonts w:ascii="Verdana" w:eastAsia="Calibri" w:hAnsi="Verdana" w:cs="Arial"/>
          <w:lang w:eastAsia="es-MX"/>
        </w:rPr>
        <w:t> </w:t>
      </w:r>
    </w:p>
    <w:p w14:paraId="51C0A52A" w14:textId="77777777" w:rsidR="00365E5A" w:rsidRPr="00B55D3E" w:rsidRDefault="00365E5A" w:rsidP="00365E5A">
      <w:pPr>
        <w:spacing w:after="0" w:line="240" w:lineRule="auto"/>
        <w:ind w:firstLine="709"/>
        <w:jc w:val="both"/>
        <w:rPr>
          <w:rFonts w:ascii="Verdana" w:eastAsia="Arial" w:hAnsi="Verdana" w:cs="Arial"/>
          <w:lang w:val="es-ES" w:eastAsia="es-ES_tradnl"/>
        </w:rPr>
      </w:pPr>
      <w:r w:rsidRPr="00B55D3E">
        <w:rPr>
          <w:rFonts w:ascii="Verdana" w:eastAsia="Calibri" w:hAnsi="Verdana" w:cs="Arial"/>
          <w:lang w:val="es-ES_tradnl" w:eastAsia="es-MX"/>
        </w:rPr>
        <w:t xml:space="preserve">Como experiencia general la actividad 2.1 puede ser acreditada mediante proyectos que correspondan o hayan contenido una o algunas de las siguientes actividades de construcción y/o ampliación y/o reconstrucción de parques, espacio público, plazas, plazoletas y/o plazuelas, alamedas o senderos peatonales.  </w:t>
      </w:r>
      <w:r w:rsidRPr="00B55D3E">
        <w:rPr>
          <w:rFonts w:ascii="Verdana" w:eastAsia="Arial" w:hAnsi="Verdana" w:cs="Arial"/>
          <w:lang w:val="es-ES" w:eastAsia="es-ES_tradnl"/>
        </w:rPr>
        <w:t xml:space="preserve">En consecuencia, lo establecido en la nota uno (1) de la actividad 2.1 no obedece a una divergencia conceptual entre senderos peatonales, </w:t>
      </w:r>
      <w:r w:rsidRPr="00B55D3E">
        <w:rPr>
          <w:rFonts w:ascii="Verdana" w:hAnsi="Verdana"/>
        </w:rPr>
        <w:t>vías de circulación peatonal zonas peatonales ubicadas dentro del perfil vial, como los andenes o aceras, que no esté determinado dentro del mismo Documento Tipo, como ya se evidenció, adicionalmente el mismo Glosario determina en sus numerales 2.96, 2.194 y 2.218 la definición tanto de Franja de Circulación Peatonal: como de Vía Peatonal:</w:t>
      </w:r>
    </w:p>
    <w:p w14:paraId="668D1EC9" w14:textId="77777777" w:rsidR="00365E5A" w:rsidRPr="00B55D3E" w:rsidRDefault="00365E5A" w:rsidP="00365E5A">
      <w:pPr>
        <w:spacing w:after="0" w:line="240" w:lineRule="auto"/>
        <w:jc w:val="both"/>
        <w:rPr>
          <w:rFonts w:ascii="Verdana" w:eastAsia="Arial" w:hAnsi="Verdana" w:cs="Arial"/>
          <w:lang w:val="es-ES" w:eastAsia="es-ES_tradnl"/>
        </w:rPr>
      </w:pPr>
    </w:p>
    <w:p w14:paraId="4EE2FFC0" w14:textId="77777777" w:rsidR="00365E5A" w:rsidRDefault="00365E5A" w:rsidP="00365E5A">
      <w:pPr>
        <w:tabs>
          <w:tab w:val="num" w:pos="720"/>
        </w:tabs>
        <w:spacing w:after="0" w:line="240" w:lineRule="auto"/>
        <w:ind w:left="708" w:right="758"/>
        <w:jc w:val="both"/>
        <w:rPr>
          <w:rFonts w:ascii="Verdana" w:eastAsia="Calibri" w:hAnsi="Verdana" w:cs="Arial"/>
          <w:i/>
          <w:iCs/>
          <w:sz w:val="21"/>
          <w:szCs w:val="21"/>
          <w:lang w:val="es-ES" w:eastAsia="es-MX"/>
        </w:rPr>
      </w:pPr>
      <w:r w:rsidRPr="00642836">
        <w:rPr>
          <w:rFonts w:ascii="Verdana" w:eastAsia="Calibri" w:hAnsi="Verdana" w:cs="Arial"/>
          <w:b/>
          <w:bCs/>
          <w:i/>
          <w:iCs/>
          <w:sz w:val="21"/>
          <w:szCs w:val="21"/>
          <w:lang w:val="es-ES" w:eastAsia="es-MX"/>
        </w:rPr>
        <w:t xml:space="preserve">“2.96. Franja de Circulación Peatonal: </w:t>
      </w:r>
      <w:r w:rsidRPr="00642836">
        <w:rPr>
          <w:rFonts w:ascii="Verdana" w:eastAsia="Calibri" w:hAnsi="Verdana" w:cs="Arial"/>
          <w:i/>
          <w:iCs/>
          <w:sz w:val="21"/>
          <w:szCs w:val="21"/>
          <w:lang w:val="es-ES" w:eastAsia="es-MX"/>
        </w:rPr>
        <w:t xml:space="preserve">Zona o sendero de las vías de circulación peatonal, destinada exclusivamente al tránsito de las personas.  </w:t>
      </w:r>
    </w:p>
    <w:p w14:paraId="757A56D1" w14:textId="77777777" w:rsidR="00365E5A" w:rsidRPr="00642836" w:rsidRDefault="00365E5A" w:rsidP="00365E5A">
      <w:pPr>
        <w:tabs>
          <w:tab w:val="num" w:pos="720"/>
        </w:tabs>
        <w:spacing w:after="0" w:line="240" w:lineRule="auto"/>
        <w:ind w:left="708" w:right="758"/>
        <w:jc w:val="both"/>
        <w:rPr>
          <w:rFonts w:ascii="Verdana" w:eastAsia="Calibri" w:hAnsi="Verdana" w:cs="Arial"/>
          <w:i/>
          <w:iCs/>
          <w:sz w:val="21"/>
          <w:szCs w:val="21"/>
          <w:lang w:val="es-ES" w:eastAsia="es-MX"/>
        </w:rPr>
      </w:pPr>
    </w:p>
    <w:p w14:paraId="7161899B" w14:textId="77777777" w:rsidR="00365E5A" w:rsidRDefault="00365E5A" w:rsidP="00365E5A">
      <w:pPr>
        <w:tabs>
          <w:tab w:val="num" w:pos="720"/>
        </w:tabs>
        <w:spacing w:after="0" w:line="240" w:lineRule="auto"/>
        <w:ind w:left="708" w:right="758"/>
        <w:jc w:val="both"/>
        <w:rPr>
          <w:rFonts w:ascii="Verdana" w:eastAsia="Calibri" w:hAnsi="Verdana" w:cs="Arial"/>
          <w:i/>
          <w:iCs/>
          <w:sz w:val="21"/>
          <w:szCs w:val="21"/>
          <w:lang w:val="es-ES" w:eastAsia="es-MX"/>
        </w:rPr>
      </w:pPr>
      <w:r w:rsidRPr="00642836">
        <w:rPr>
          <w:rFonts w:ascii="Verdana" w:eastAsia="Calibri" w:hAnsi="Verdana" w:cs="Arial"/>
          <w:b/>
          <w:bCs/>
          <w:i/>
          <w:iCs/>
          <w:sz w:val="21"/>
          <w:szCs w:val="21"/>
          <w:lang w:val="es-ES" w:eastAsia="es-MX"/>
        </w:rPr>
        <w:t xml:space="preserve">2.194. Sendero: </w:t>
      </w:r>
      <w:r w:rsidRPr="00642836">
        <w:rPr>
          <w:rFonts w:ascii="Verdana" w:eastAsia="Calibri" w:hAnsi="Verdana" w:cs="Arial"/>
          <w:i/>
          <w:iCs/>
          <w:sz w:val="21"/>
          <w:szCs w:val="21"/>
          <w:lang w:val="es-ES" w:eastAsia="es-MX"/>
        </w:rPr>
        <w:t>Camino trazado a través de un espacio natural con variada topografía, sin repetir el trazo, con un punto de inicio y otro de llegada.</w:t>
      </w:r>
    </w:p>
    <w:p w14:paraId="45E8FEE9" w14:textId="77777777" w:rsidR="00365E5A" w:rsidRPr="00642836" w:rsidRDefault="00365E5A" w:rsidP="00365E5A">
      <w:pPr>
        <w:tabs>
          <w:tab w:val="num" w:pos="720"/>
        </w:tabs>
        <w:spacing w:after="0" w:line="240" w:lineRule="auto"/>
        <w:ind w:left="708" w:right="758"/>
        <w:jc w:val="both"/>
        <w:rPr>
          <w:rFonts w:ascii="Verdana" w:eastAsia="Calibri" w:hAnsi="Verdana" w:cs="Arial"/>
          <w:b/>
          <w:bCs/>
          <w:i/>
          <w:iCs/>
          <w:sz w:val="21"/>
          <w:szCs w:val="21"/>
          <w:lang w:val="es-ES" w:eastAsia="es-MX"/>
        </w:rPr>
      </w:pPr>
    </w:p>
    <w:p w14:paraId="16881760" w14:textId="77777777" w:rsidR="00365E5A" w:rsidRPr="00642836" w:rsidRDefault="00365E5A" w:rsidP="00365E5A">
      <w:pPr>
        <w:tabs>
          <w:tab w:val="num" w:pos="720"/>
        </w:tabs>
        <w:spacing w:after="0" w:line="240" w:lineRule="auto"/>
        <w:ind w:left="708" w:right="758"/>
        <w:jc w:val="both"/>
        <w:rPr>
          <w:rFonts w:ascii="Verdana" w:eastAsia="Calibri" w:hAnsi="Verdana" w:cs="Arial"/>
          <w:i/>
          <w:iCs/>
          <w:sz w:val="21"/>
          <w:szCs w:val="21"/>
          <w:lang w:val="es-ES" w:eastAsia="es-MX"/>
        </w:rPr>
      </w:pPr>
      <w:r w:rsidRPr="00642836">
        <w:rPr>
          <w:rFonts w:ascii="Verdana" w:eastAsia="Calibri" w:hAnsi="Verdana" w:cs="Arial"/>
          <w:b/>
          <w:bCs/>
          <w:i/>
          <w:iCs/>
          <w:sz w:val="21"/>
          <w:szCs w:val="21"/>
          <w:lang w:val="es-ES" w:eastAsia="es-MX"/>
        </w:rPr>
        <w:t xml:space="preserve">2.218. Vía Peatonal: </w:t>
      </w:r>
      <w:r w:rsidRPr="00642836">
        <w:rPr>
          <w:rFonts w:ascii="Verdana" w:eastAsia="Calibri" w:hAnsi="Verdana" w:cs="Arial"/>
          <w:i/>
          <w:iCs/>
          <w:sz w:val="21"/>
          <w:szCs w:val="21"/>
          <w:lang w:val="es-ES" w:eastAsia="es-MX"/>
        </w:rPr>
        <w:t>Áreas o zonas de la ciudad destinadas para el tránsito exclusivo de peatones donde está restringida la circulación de vehículos motorizados.”</w:t>
      </w:r>
    </w:p>
    <w:p w14:paraId="7DF57279" w14:textId="77777777" w:rsidR="00365E5A" w:rsidRPr="00B55D3E" w:rsidRDefault="00365E5A" w:rsidP="00365E5A">
      <w:pPr>
        <w:spacing w:after="0" w:line="240" w:lineRule="auto"/>
        <w:ind w:firstLine="709"/>
        <w:jc w:val="both"/>
        <w:rPr>
          <w:rFonts w:ascii="Verdana" w:eastAsia="Arial" w:hAnsi="Verdana" w:cs="Arial"/>
          <w:lang w:val="es-ES" w:eastAsia="es-ES_tradnl"/>
        </w:rPr>
      </w:pPr>
    </w:p>
    <w:p w14:paraId="4C35796D" w14:textId="77777777" w:rsidR="00365E5A" w:rsidRPr="00B55D3E" w:rsidRDefault="00365E5A" w:rsidP="00365E5A">
      <w:pPr>
        <w:spacing w:after="0" w:line="240" w:lineRule="auto"/>
        <w:ind w:firstLine="709"/>
        <w:jc w:val="both"/>
        <w:rPr>
          <w:rFonts w:ascii="Verdana" w:hAnsi="Verdana"/>
          <w:lang w:val="es-ES"/>
        </w:rPr>
      </w:pPr>
      <w:r w:rsidRPr="00B55D3E">
        <w:rPr>
          <w:rFonts w:ascii="Verdana" w:hAnsi="Verdana"/>
          <w:lang w:val="es-ES"/>
        </w:rPr>
        <w:t xml:space="preserve">Así las cosas, la definición razonable de Sendero Peatonal se entiende como la infraestructura destinada exclusivamente al desplazamiento peatonal, localizada fuera del perfil vial de carreteras, vías urbanas, vías rurales, vías terciarias, andenes, aceras, separadores, ciclorrutas, alamedas urbanas y demás elementos integrantes del espacio público asociado a la infraestructura de </w:t>
      </w:r>
      <w:r w:rsidRPr="00B55D3E">
        <w:rPr>
          <w:rFonts w:ascii="Verdana" w:hAnsi="Verdana"/>
          <w:lang w:val="es-ES"/>
        </w:rPr>
        <w:lastRenderedPageBreak/>
        <w:t>transporte. Se caracteriza por desarrollarse en espacios naturales, rurales, ambientales, recreativos, turísticos, culturales o patrimoniales, y no forma parte funcional de una infraestructura de transporte destinada a la circulación vehicular.  </w:t>
      </w:r>
    </w:p>
    <w:p w14:paraId="3A8032F9" w14:textId="77777777" w:rsidR="00365E5A" w:rsidRPr="00B55D3E" w:rsidRDefault="00365E5A" w:rsidP="00365E5A">
      <w:pPr>
        <w:spacing w:after="0" w:line="240" w:lineRule="auto"/>
        <w:ind w:firstLine="709"/>
        <w:jc w:val="both"/>
        <w:rPr>
          <w:rFonts w:ascii="Verdana" w:hAnsi="Verdana"/>
          <w:b/>
          <w:bCs/>
          <w:lang w:val="es-ES"/>
        </w:rPr>
      </w:pPr>
    </w:p>
    <w:p w14:paraId="63305545" w14:textId="77777777" w:rsidR="00365E5A" w:rsidRDefault="00365E5A" w:rsidP="00365E5A">
      <w:pPr>
        <w:spacing w:after="0" w:line="240" w:lineRule="auto"/>
        <w:ind w:firstLine="709"/>
        <w:jc w:val="both"/>
        <w:rPr>
          <w:rFonts w:ascii="Verdana" w:hAnsi="Verdana"/>
          <w:lang w:val="es-ES"/>
        </w:rPr>
      </w:pPr>
      <w:r w:rsidRPr="00B55D3E">
        <w:rPr>
          <w:rFonts w:ascii="Verdana" w:hAnsi="Verdana"/>
          <w:lang w:val="es-ES"/>
        </w:rPr>
        <w:t>De igual forma un sendero peatonal natural se entendería como una infraestructura destinada exclusivamente al desplazamiento de peatones, desarrolladas en entornos naturales, ambientales, recreativos, turísticos, patrimoniales, culturales o paisajísticos, cuyo trazado es autónomo e independiente de la infraestructura de transporte. Se caracterizan por no formar parte del perfil vial, de la red vial urbana o rural, ni de los elementos constitutivos del espacio público asociado a la infraestructura de transporte. Su función principal es facilitar el acceso, recorrido, contemplación, interpretación ambiental, recreación, integración comunitaria o disfrute del entorno, y no la movilidad propia de corredores de transporte o circulación vehicular. Esta categoría comprende, entre otros, senderos ecológicos, senderos interpretativos, senderos turísticos, senderos ambientales, senderos patrimoniales, caminos históricos peatonales y recorridos de conexión interna en parques naturales, áreas protegidas, espacios recreativos o equipamientos de infraestructura social. Su diseño puede incorporar superficies naturales o mejoradas, mobiliario, señalización, obras de drenaje, pasos elevados, miradores y demás elementos complementarios para la circulación peatonal segura. </w:t>
      </w:r>
    </w:p>
    <w:p w14:paraId="50441799" w14:textId="77777777" w:rsidR="00365E5A" w:rsidRPr="00B55D3E" w:rsidRDefault="00365E5A" w:rsidP="00365E5A">
      <w:pPr>
        <w:spacing w:after="0" w:line="240" w:lineRule="auto"/>
        <w:ind w:firstLine="709"/>
        <w:jc w:val="both"/>
        <w:rPr>
          <w:rFonts w:ascii="Verdana" w:hAnsi="Verdana"/>
          <w:lang w:val="es-ES"/>
        </w:rPr>
      </w:pPr>
    </w:p>
    <w:p w14:paraId="5F4A391F" w14:textId="77777777" w:rsidR="00365E5A" w:rsidRPr="00B55D3E" w:rsidRDefault="00365E5A" w:rsidP="00365E5A">
      <w:pPr>
        <w:spacing w:after="0" w:line="240" w:lineRule="auto"/>
        <w:ind w:firstLine="709"/>
        <w:jc w:val="both"/>
        <w:rPr>
          <w:rFonts w:ascii="Verdana" w:eastAsia="Arial" w:hAnsi="Verdana" w:cs="Arial"/>
          <w:lang w:val="es-ES" w:eastAsia="es-ES_tradnl"/>
        </w:rPr>
      </w:pPr>
      <w:r w:rsidRPr="00B55D3E">
        <w:rPr>
          <w:rFonts w:ascii="Verdana" w:hAnsi="Verdana"/>
        </w:rPr>
        <w:t xml:space="preserve">La experiencia solicitada dentro del sector social, esta delimitada de acuerdo con las necesidades del sector que </w:t>
      </w:r>
      <w:r w:rsidRPr="00B55D3E">
        <w:rPr>
          <w:rFonts w:ascii="Verdana" w:eastAsia="Arial" w:hAnsi="Verdana" w:cs="Arial"/>
          <w:lang w:val="es-ES" w:eastAsia="es-ES_tradnl"/>
        </w:rPr>
        <w:t xml:space="preserve">mantiene una definición unitaria e integral, debida a una distinción funcional. En efecto, el espacio público asociado a la infraestructura de transporte se configura como un subsistema orientado primordialmente a garantizar movilidad y la conectividad, en el que los elementos que lo componen están diseñados para facilitar el tránsito de personas y bienes. </w:t>
      </w:r>
    </w:p>
    <w:p w14:paraId="3D7E53B9" w14:textId="77777777" w:rsidR="00365E5A" w:rsidRPr="00B55D3E" w:rsidRDefault="00365E5A" w:rsidP="00365E5A">
      <w:pPr>
        <w:spacing w:after="0" w:line="240" w:lineRule="auto"/>
        <w:ind w:firstLine="709"/>
        <w:jc w:val="both"/>
        <w:rPr>
          <w:rFonts w:ascii="Verdana" w:eastAsia="Arial" w:hAnsi="Verdana" w:cs="Arial"/>
          <w:lang w:val="es-ES" w:eastAsia="es-ES_tradnl"/>
        </w:rPr>
      </w:pPr>
    </w:p>
    <w:p w14:paraId="325EA48B" w14:textId="77777777" w:rsidR="00365E5A" w:rsidRPr="00B55D3E" w:rsidRDefault="00365E5A" w:rsidP="00365E5A">
      <w:pPr>
        <w:spacing w:after="0" w:line="240" w:lineRule="auto"/>
        <w:ind w:firstLine="709"/>
        <w:jc w:val="both"/>
        <w:rPr>
          <w:rFonts w:ascii="Verdana" w:eastAsia="Arial" w:hAnsi="Verdana" w:cs="Arial"/>
          <w:lang w:val="es-ES" w:eastAsia="es-ES_tradnl"/>
        </w:rPr>
      </w:pPr>
      <w:r w:rsidRPr="00B55D3E">
        <w:rPr>
          <w:rFonts w:ascii="Verdana" w:eastAsia="Arial" w:hAnsi="Verdana" w:cs="Arial"/>
          <w:lang w:val="es-ES" w:eastAsia="es-ES_tradnl"/>
        </w:rPr>
        <w:t xml:space="preserve">Esta finalidad funcional implica que su valoración en términos de experiencia contractual corresponda a criterios técnicos vinculados al tránsito, la seguridad vial y la operación del sistema de transporte, lo cual, justifica su exclusión dentro de la nota uno (1) de la experiencia general de la actividad 2.2 de la Matriz 1 – Experiencia sector cultura, recreación y deporte. </w:t>
      </w:r>
    </w:p>
    <w:p w14:paraId="73DB3525" w14:textId="77777777" w:rsidR="00365E5A" w:rsidRPr="00B55D3E" w:rsidRDefault="00365E5A" w:rsidP="00365E5A">
      <w:pPr>
        <w:spacing w:after="0" w:line="240" w:lineRule="auto"/>
        <w:ind w:firstLine="709"/>
        <w:jc w:val="both"/>
        <w:rPr>
          <w:rFonts w:ascii="Verdana" w:eastAsia="Arial" w:hAnsi="Verdana" w:cs="Arial"/>
          <w:lang w:val="es-ES" w:eastAsia="es-ES_tradnl"/>
        </w:rPr>
      </w:pPr>
    </w:p>
    <w:p w14:paraId="3B92C5AD" w14:textId="77777777" w:rsidR="00365E5A" w:rsidRPr="00B55D3E" w:rsidRDefault="00365E5A" w:rsidP="00365E5A">
      <w:pPr>
        <w:spacing w:after="0" w:line="240" w:lineRule="auto"/>
        <w:ind w:firstLine="709"/>
        <w:jc w:val="both"/>
        <w:rPr>
          <w:rFonts w:ascii="Verdana" w:eastAsia="Arial" w:hAnsi="Verdana" w:cs="Arial"/>
          <w:lang w:val="es-ES" w:eastAsia="es-ES_tradnl"/>
        </w:rPr>
      </w:pPr>
      <w:r w:rsidRPr="00B55D3E">
        <w:rPr>
          <w:rFonts w:ascii="Verdana" w:eastAsia="Arial" w:hAnsi="Verdana" w:cs="Arial"/>
          <w:lang w:val="es-ES" w:eastAsia="es-ES_tradnl"/>
        </w:rPr>
        <w:t xml:space="preserve">Por su parte, el “espacio público” al que se refiere la actividad 2.1. se enmarca en una lógica urbana distinta, centrada en la permanencia, el encuentro y el disfrute colectivo, como ocurre en espacio tales como parques, plazas, plazoletas y demás áreas articuladoras. Ahora bien, aunque estos también </w:t>
      </w:r>
      <w:r w:rsidRPr="00B55D3E">
        <w:rPr>
          <w:rFonts w:ascii="Verdana" w:eastAsia="Arial" w:hAnsi="Verdana" w:cs="Arial"/>
          <w:lang w:val="es-ES" w:eastAsia="es-ES_tradnl"/>
        </w:rPr>
        <w:lastRenderedPageBreak/>
        <w:t xml:space="preserve">forman parte de los elementos constitutivos del espacio público definidos normativamente, su finalidad está asociada a la calidad de vida, la integración social y el uso recreativo y cultural en el territorio. </w:t>
      </w:r>
    </w:p>
    <w:p w14:paraId="08B653CB" w14:textId="77777777" w:rsidR="00365E5A" w:rsidRPr="003A6372" w:rsidRDefault="00365E5A" w:rsidP="00365E5A">
      <w:pPr>
        <w:widowControl w:val="0"/>
        <w:autoSpaceDE w:val="0"/>
        <w:autoSpaceDN w:val="0"/>
        <w:spacing w:after="120" w:line="276" w:lineRule="auto"/>
        <w:jc w:val="both"/>
        <w:rPr>
          <w:rFonts w:ascii="Verdana" w:eastAsia="Calibri" w:hAnsi="Verdana" w:cs="Arial"/>
          <w:kern w:val="2"/>
          <w14:ligatures w14:val="standardContextual"/>
        </w:rPr>
      </w:pPr>
    </w:p>
    <w:p w14:paraId="55B95355" w14:textId="77777777" w:rsidR="00365E5A" w:rsidRPr="004D7523" w:rsidRDefault="00365E5A" w:rsidP="00365E5A">
      <w:pPr>
        <w:numPr>
          <w:ilvl w:val="0"/>
          <w:numId w:val="18"/>
        </w:numPr>
        <w:tabs>
          <w:tab w:val="left" w:pos="142"/>
          <w:tab w:val="left" w:pos="284"/>
        </w:tabs>
        <w:snapToGrid w:val="0"/>
        <w:spacing w:after="0" w:line="276" w:lineRule="auto"/>
        <w:ind w:left="357" w:hanging="357"/>
        <w:jc w:val="both"/>
        <w:rPr>
          <w:rFonts w:ascii="Verdana" w:eastAsia="Century Gothic" w:hAnsi="Verdana" w:cs="Century Gothic"/>
          <w:b/>
          <w:bCs/>
          <w:lang w:val="es-ES_tradnl"/>
        </w:rPr>
      </w:pPr>
      <w:r w:rsidRPr="004D7523">
        <w:rPr>
          <w:rFonts w:ascii="Verdana" w:eastAsia="Century Gothic" w:hAnsi="Verdana" w:cs="Century Gothic"/>
          <w:b/>
          <w:bCs/>
          <w:lang w:val="es-ES_tradnl"/>
        </w:rPr>
        <w:t>Referencias normativas, jurisprudenciales y otras fuentes:</w:t>
      </w:r>
    </w:p>
    <w:p w14:paraId="41BED3BF" w14:textId="77777777" w:rsidR="00365E5A" w:rsidRPr="004D7523" w:rsidRDefault="00365E5A" w:rsidP="00365E5A">
      <w:pPr>
        <w:tabs>
          <w:tab w:val="left" w:pos="970"/>
        </w:tabs>
        <w:spacing w:after="0" w:line="276" w:lineRule="auto"/>
        <w:ind w:left="-15840"/>
        <w:jc w:val="both"/>
        <w:rPr>
          <w:rFonts w:ascii="Verdana" w:eastAsia="Calibri" w:hAnsi="Verdana" w:cs="Arial"/>
          <w:b/>
          <w:bCs/>
        </w:rPr>
      </w:pPr>
      <w:r w:rsidRPr="004D7523">
        <w:rPr>
          <w:rFonts w:ascii="Verdana" w:eastAsia="Calibri" w:hAnsi="Verdana" w:cs="Arial"/>
          <w:b/>
          <w:bCs/>
        </w:rPr>
        <w:t>4. Referencias normativas, jurisprudenciales y otras fuentes:</w:t>
      </w:r>
      <w:r w:rsidRPr="004D7523">
        <w:rPr>
          <w:rFonts w:ascii="Verdana" w:eastAsia="Calibri" w:hAnsi="Verdana" w:cs="Arial"/>
          <w:b/>
          <w:bCs/>
        </w:rPr>
        <w:tab/>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365E5A" w:rsidRPr="00D56B2A" w14:paraId="1EC58EEB" w14:textId="77777777">
        <w:trPr>
          <w:trHeight w:val="242"/>
        </w:trPr>
        <w:tc>
          <w:tcPr>
            <w:tcW w:w="8647" w:type="dxa"/>
            <w:tcBorders>
              <w:top w:val="dotted" w:sz="4" w:space="0" w:color="auto"/>
              <w:left w:val="dotted" w:sz="4" w:space="0" w:color="auto"/>
              <w:bottom w:val="dotted" w:sz="4" w:space="0" w:color="auto"/>
              <w:right w:val="dotted" w:sz="4" w:space="0" w:color="auto"/>
            </w:tcBorders>
          </w:tcPr>
          <w:p w14:paraId="50CE277E" w14:textId="77777777" w:rsidR="00365E5A" w:rsidRPr="00D56B2A" w:rsidRDefault="00365E5A">
            <w:pPr>
              <w:widowControl w:val="0"/>
              <w:autoSpaceDE w:val="0"/>
              <w:autoSpaceDN w:val="0"/>
              <w:snapToGrid w:val="0"/>
              <w:spacing w:after="120" w:line="276" w:lineRule="auto"/>
              <w:ind w:left="714"/>
              <w:jc w:val="both"/>
              <w:rPr>
                <w:rFonts w:ascii="Verdana" w:eastAsia="Calibri" w:hAnsi="Verdana" w:cs="Arial"/>
                <w:color w:val="3399FF"/>
                <w:lang w:val="es-ES_tradnl"/>
              </w:rPr>
            </w:pPr>
          </w:p>
          <w:p w14:paraId="0FCDF633" w14:textId="77777777" w:rsidR="00365E5A" w:rsidRPr="00DA2A79" w:rsidRDefault="00365E5A" w:rsidP="00365E5A">
            <w:pPr>
              <w:widowControl w:val="0"/>
              <w:numPr>
                <w:ilvl w:val="0"/>
                <w:numId w:val="17"/>
              </w:numPr>
              <w:autoSpaceDE w:val="0"/>
              <w:autoSpaceDN w:val="0"/>
              <w:spacing w:after="160" w:line="276" w:lineRule="auto"/>
              <w:ind w:left="714" w:hanging="357"/>
              <w:jc w:val="both"/>
              <w:rPr>
                <w:rFonts w:ascii="Verdana" w:eastAsia="Calibri" w:hAnsi="Verdana" w:cs="Arial"/>
                <w:lang w:val="es-ES_tradnl" w:eastAsia="es-MX"/>
              </w:rPr>
            </w:pPr>
            <w:r w:rsidRPr="00DA2A79">
              <w:rPr>
                <w:rFonts w:ascii="Verdana" w:eastAsia="Calibri" w:hAnsi="Verdana" w:cs="Arial"/>
                <w:lang w:val="es-ES_tradnl" w:eastAsia="es-MX"/>
              </w:rPr>
              <w:t xml:space="preserve">Ley 2022 de 2020, artículo 1. </w:t>
            </w:r>
          </w:p>
          <w:p w14:paraId="6B6ACBCE" w14:textId="77777777" w:rsidR="00365E5A" w:rsidRPr="00DA2A79" w:rsidRDefault="00365E5A" w:rsidP="00365E5A">
            <w:pPr>
              <w:widowControl w:val="0"/>
              <w:numPr>
                <w:ilvl w:val="0"/>
                <w:numId w:val="17"/>
              </w:numPr>
              <w:autoSpaceDE w:val="0"/>
              <w:autoSpaceDN w:val="0"/>
              <w:spacing w:after="160" w:line="276" w:lineRule="auto"/>
              <w:jc w:val="both"/>
              <w:rPr>
                <w:rFonts w:ascii="Verdana" w:eastAsia="Calibri" w:hAnsi="Verdana" w:cs="Arial"/>
                <w:lang w:eastAsia="es-MX"/>
              </w:rPr>
            </w:pPr>
            <w:r w:rsidRPr="00DA2A79">
              <w:rPr>
                <w:rFonts w:ascii="Verdana" w:eastAsia="Calibri" w:hAnsi="Verdana" w:cs="Arial"/>
                <w:lang w:eastAsia="es-MX"/>
              </w:rPr>
              <w:t>Ley 1150 de 2007, artículo 2.</w:t>
            </w:r>
          </w:p>
          <w:p w14:paraId="7B199066" w14:textId="77777777" w:rsidR="00365E5A" w:rsidRPr="003A6372" w:rsidRDefault="00365E5A" w:rsidP="00365E5A">
            <w:pPr>
              <w:widowControl w:val="0"/>
              <w:numPr>
                <w:ilvl w:val="0"/>
                <w:numId w:val="17"/>
              </w:numPr>
              <w:autoSpaceDE w:val="0"/>
              <w:autoSpaceDN w:val="0"/>
              <w:spacing w:after="120" w:line="276" w:lineRule="auto"/>
              <w:jc w:val="both"/>
              <w:rPr>
                <w:rFonts w:ascii="Verdana" w:hAnsi="Verdana" w:cs="Arial"/>
                <w:color w:val="3399FF"/>
              </w:rPr>
            </w:pPr>
            <w:r w:rsidRPr="00DA2A79">
              <w:rPr>
                <w:rFonts w:ascii="Verdana" w:eastAsia="Calibri" w:hAnsi="Verdana" w:cs="Arial"/>
                <w:lang w:val="es-ES_tradnl" w:eastAsia="es-MX"/>
              </w:rPr>
              <w:t xml:space="preserve">Documentos Tipo. Disponibles en: </w:t>
            </w:r>
            <w:hyperlink r:id="rId12" w:history="1">
              <w:r w:rsidRPr="00DA2A79">
                <w:rPr>
                  <w:rFonts w:ascii="Verdana" w:eastAsia="Calibri" w:hAnsi="Verdana" w:cs="Arial"/>
                  <w:color w:val="0000FF"/>
                  <w:u w:val="single"/>
                  <w:lang w:val="es-ES_tradnl" w:eastAsia="es-MX"/>
                </w:rPr>
                <w:t>https://www.colombiacompra.gov.co/documentos-tipo/documentos-tipo</w:t>
              </w:r>
            </w:hyperlink>
            <w:r w:rsidRPr="00DA2A79">
              <w:rPr>
                <w:rFonts w:ascii="Verdana" w:eastAsia="Calibri" w:hAnsi="Verdana" w:cs="Arial"/>
                <w:lang w:val="es-ES_tradnl" w:eastAsia="es-MX"/>
              </w:rPr>
              <w:t>.</w:t>
            </w:r>
          </w:p>
        </w:tc>
      </w:tr>
    </w:tbl>
    <w:p w14:paraId="1C089C93" w14:textId="77777777" w:rsidR="00365E5A" w:rsidRPr="00155CC1" w:rsidRDefault="00365E5A" w:rsidP="00365E5A">
      <w:pPr>
        <w:tabs>
          <w:tab w:val="left" w:pos="142"/>
          <w:tab w:val="left" w:pos="284"/>
        </w:tabs>
        <w:spacing w:after="0" w:line="276" w:lineRule="auto"/>
        <w:jc w:val="both"/>
        <w:rPr>
          <w:rFonts w:ascii="Verdana" w:eastAsia="Calibri" w:hAnsi="Verdana" w:cs="Arial"/>
          <w:color w:val="6699FF"/>
        </w:rPr>
      </w:pPr>
    </w:p>
    <w:p w14:paraId="116B66A8" w14:textId="77777777" w:rsidR="00365E5A" w:rsidRPr="0026211F" w:rsidRDefault="00365E5A" w:rsidP="00365E5A">
      <w:pPr>
        <w:tabs>
          <w:tab w:val="left" w:pos="142"/>
          <w:tab w:val="left" w:pos="284"/>
        </w:tabs>
        <w:spacing w:after="0" w:line="276" w:lineRule="auto"/>
        <w:jc w:val="both"/>
        <w:rPr>
          <w:rFonts w:ascii="Verdana" w:eastAsia="Century Gothic" w:hAnsi="Verdana" w:cs="Century Gothic"/>
          <w:b/>
          <w:bCs/>
          <w:lang w:val="es-ES"/>
        </w:rPr>
      </w:pPr>
      <w:r w:rsidRPr="0026211F">
        <w:rPr>
          <w:rFonts w:ascii="Verdana" w:eastAsia="Calibri" w:hAnsi="Verdana" w:cs="Arial"/>
          <w:b/>
          <w:bCs/>
        </w:rPr>
        <w:t>5</w:t>
      </w:r>
      <w:r w:rsidRPr="0026211F">
        <w:rPr>
          <w:rFonts w:ascii="Verdana" w:eastAsia="Calibri" w:hAnsi="Verdana" w:cs="Arial"/>
        </w:rPr>
        <w:t>.</w:t>
      </w:r>
      <w:r w:rsidRPr="0026211F">
        <w:rPr>
          <w:rFonts w:ascii="Verdana" w:eastAsia="Century Gothic" w:hAnsi="Verdana" w:cs="Century Gothic"/>
          <w:b/>
          <w:bCs/>
          <w:lang w:val="es-ES"/>
        </w:rPr>
        <w:t>Doctrina de la Agencia Nacional de Contratación Pública:</w:t>
      </w:r>
    </w:p>
    <w:p w14:paraId="604DF7CC" w14:textId="77777777" w:rsidR="00365E5A" w:rsidRPr="009E1BBA" w:rsidRDefault="00365E5A" w:rsidP="00365E5A">
      <w:pPr>
        <w:widowControl w:val="0"/>
        <w:autoSpaceDE w:val="0"/>
        <w:autoSpaceDN w:val="0"/>
        <w:spacing w:after="0" w:line="276" w:lineRule="auto"/>
        <w:jc w:val="both"/>
        <w:rPr>
          <w:rFonts w:ascii="Verdana" w:eastAsia="Calibri" w:hAnsi="Verdana" w:cs="Arial"/>
          <w:lang w:eastAsia="es-MX"/>
        </w:rPr>
      </w:pPr>
    </w:p>
    <w:p w14:paraId="418BCBD9" w14:textId="77777777" w:rsidR="00365E5A" w:rsidRDefault="00365E5A" w:rsidP="0069528E">
      <w:pPr>
        <w:spacing w:after="0"/>
        <w:jc w:val="both"/>
        <w:rPr>
          <w:rFonts w:ascii="Verdana" w:eastAsia="Times New Roman" w:hAnsi="Verdana" w:cs="Segoe UI"/>
          <w:color w:val="2B2B2B"/>
          <w:lang w:val="es-ES" w:eastAsia="es-CO"/>
        </w:rPr>
      </w:pPr>
      <w:r w:rsidRPr="00B55D3E">
        <w:rPr>
          <w:rFonts w:ascii="Verdana" w:eastAsia="Calibri" w:hAnsi="Verdana" w:cs="Arial"/>
          <w:shd w:val="clear" w:color="auto" w:fill="FFFFFF"/>
          <w:lang w:val="es-ES" w:eastAsia="es-MX"/>
        </w:rPr>
        <w:t>La Agencia Nacional de Contratación Pública – Colombia Compra Eficiente se pronunció</w:t>
      </w:r>
      <w:r w:rsidRPr="00B55D3E">
        <w:rPr>
          <w:rFonts w:ascii="Verdana" w:eastAsia="Calibri" w:hAnsi="Verdana" w:cs="Times New Roman"/>
          <w:lang w:eastAsia="es-MX"/>
        </w:rPr>
        <w:t xml:space="preserve"> </w:t>
      </w:r>
      <w:r w:rsidRPr="00B55D3E">
        <w:rPr>
          <w:rFonts w:ascii="Verdana" w:eastAsia="Calibri" w:hAnsi="Verdana" w:cs="Arial"/>
          <w:shd w:val="clear" w:color="auto" w:fill="FFFFFF"/>
          <w:lang w:val="es-ES" w:eastAsia="es-MX"/>
        </w:rPr>
        <w:t>sobre el ámbito de aplicación de los documentos tipo de infraestructura social, en los conceptos C-375 del 27 de septiembre de 2021, C-536 del 29 de septiembre de 2021, P20210826007696 del 6 de octubre de 2021, C-729 del 24 de enero de 2022, C-090 del 16 de marzo de 2022, C-287 del 11 de mayo de 2022, C-334 del 25 de mayo de 2022, C-344 del 9 de junio de 2022, C-436 del 6 de julio de 2022, C-951 del 18 enero de 2023,C-231 del 30 de junio de 2023, C-587 del 23 de octubre de 2024,</w:t>
      </w:r>
      <w:r w:rsidRPr="00B55D3E">
        <w:rPr>
          <w:rFonts w:ascii="Verdana" w:eastAsia="Calibri" w:hAnsi="Verdana" w:cs="Arial"/>
          <w:shd w:val="clear" w:color="auto" w:fill="FFFFFF"/>
          <w:lang w:val="es-ES" w:eastAsia="es-MX"/>
        </w:rPr>
        <w:tab/>
        <w:t xml:space="preserve">C-636 del 1 de noviembre de 2024, C-777 del 9 de diciembre de 2024, C-971 del 21 de enero de 2025, C-1813 del 31 de diciembre de 2025, C-182 del 19 de marzo de 2026, C-246 del 12 de marzo de 2026, C-258 del 19 de marzo de 2026, C-385 del </w:t>
      </w:r>
      <w:r w:rsidRPr="00B55D3E">
        <w:rPr>
          <w:rFonts w:ascii="Verdana" w:eastAsia="Aptos" w:hAnsi="Verdana" w:cs="Times New Roman"/>
          <w:kern w:val="2"/>
          <w14:ligatures w14:val="standardContextual"/>
        </w:rPr>
        <w:t>15 de abril del 2025, C-453 del 04 de mayo de 2025,</w:t>
      </w:r>
      <w:r w:rsidRPr="00B55D3E">
        <w:rPr>
          <w:rFonts w:ascii="Verdana" w:eastAsia="Calibri" w:hAnsi="Verdana" w:cs="Arial"/>
          <w:shd w:val="clear" w:color="auto" w:fill="FFFFFF"/>
          <w:lang w:val="es-ES" w:eastAsia="es-MX"/>
        </w:rPr>
        <w:t xml:space="preserve"> </w:t>
      </w:r>
      <w:r w:rsidRPr="00B55D3E">
        <w:rPr>
          <w:rFonts w:ascii="Verdana" w:eastAsia="Times New Roman" w:hAnsi="Verdana" w:cs="Segoe UI"/>
          <w:color w:val="2B2B2B"/>
          <w:lang w:eastAsia="es-CO"/>
        </w:rPr>
        <w:t xml:space="preserve">C-1041 del 30 de julio de 2026, C-1041 del 30 de julio de 2026, C-1053 del 13 de agosto de 2026, C-1088 del 20 de agosto de 2026. </w:t>
      </w:r>
      <w:r w:rsidRPr="00B55D3E">
        <w:rPr>
          <w:rFonts w:ascii="Verdana" w:eastAsia="Calibri" w:hAnsi="Verdana" w:cs="Arial"/>
          <w:shd w:val="clear" w:color="auto" w:fill="FFFFFF"/>
          <w:lang w:val="es-ES" w:eastAsia="es-MX"/>
        </w:rPr>
        <w:t>entre otros.</w:t>
      </w:r>
      <w:r>
        <w:rPr>
          <w:rFonts w:ascii="Verdana" w:eastAsia="Times New Roman" w:hAnsi="Verdana" w:cs="Segoe UI"/>
          <w:color w:val="2B2B2B"/>
          <w:lang w:val="es-ES" w:eastAsia="es-CO"/>
        </w:rPr>
        <w:t xml:space="preserve"> </w:t>
      </w:r>
      <w:r w:rsidRPr="00B55D3E">
        <w:rPr>
          <w:rFonts w:ascii="Verdana" w:eastAsia="Calibri" w:hAnsi="Verdana" w:cs="Arial"/>
        </w:rPr>
        <w:t xml:space="preserve">Estos y otros conceptos se encuentran disponibles para consulta en el Sistema de relatoría de la Agencia, al cual se puede acceder a través del siguiente enlace: </w:t>
      </w:r>
      <w:hyperlink r:id="rId13" w:history="1">
        <w:r w:rsidRPr="00B55D3E">
          <w:rPr>
            <w:rStyle w:val="Hipervnculo"/>
            <w:rFonts w:ascii="Verdana" w:eastAsia="Calibri" w:hAnsi="Verdana" w:cs="Arial"/>
          </w:rPr>
          <w:t>https://relatoria.colombiacompra.gov.co/busqueda/conceptos</w:t>
        </w:r>
      </w:hyperlink>
      <w:r w:rsidRPr="00B55D3E">
        <w:rPr>
          <w:rFonts w:ascii="Verdana" w:eastAsia="Calibri" w:hAnsi="Verdana" w:cs="Arial"/>
        </w:rPr>
        <w:t>.</w:t>
      </w:r>
    </w:p>
    <w:p w14:paraId="2B235601" w14:textId="4EC70D60" w:rsidR="00365E5A" w:rsidRDefault="00365E5A" w:rsidP="0069528E">
      <w:pPr>
        <w:spacing w:before="120" w:after="0"/>
        <w:jc w:val="both"/>
        <w:rPr>
          <w:rFonts w:ascii="Verdana" w:eastAsia="Calibri" w:hAnsi="Verdana" w:cs="Arial"/>
          <w:kern w:val="2"/>
          <w:shd w:val="clear" w:color="auto" w:fill="FFFFFF"/>
          <w:lang w:val="es-ES_tradnl"/>
          <w14:ligatures w14:val="standardContextual"/>
        </w:rPr>
      </w:pPr>
      <w:r w:rsidRPr="00B55D3E">
        <w:rPr>
          <w:rFonts w:ascii="Verdana" w:eastAsia="Calibri" w:hAnsi="Verdana" w:cs="Arial"/>
          <w:kern w:val="2"/>
          <w:shd w:val="clear" w:color="auto" w:fill="FFFFFF"/>
          <w:lang w:val="es-ES_tradnl"/>
          <w14:ligatures w14:val="standardContextual"/>
        </w:rPr>
        <w:t>La</w:t>
      </w:r>
      <w:r w:rsidRPr="00B55D3E">
        <w:rPr>
          <w:rFonts w:ascii="Verdana" w:eastAsia="Calibri" w:hAnsi="Verdana" w:cs="Arial"/>
          <w:b/>
          <w:bCs/>
          <w:kern w:val="2"/>
          <w:shd w:val="clear" w:color="auto" w:fill="FFFFFF"/>
          <w:lang w:val="es-ES_tradnl"/>
          <w14:ligatures w14:val="standardContextual"/>
        </w:rPr>
        <w:t xml:space="preserve"> Agencia Nacional de Contratación Pública - Colombia Compra Eficiente</w:t>
      </w:r>
      <w:r w:rsidRPr="00B55D3E">
        <w:rPr>
          <w:rFonts w:ascii="Verdana" w:eastAsia="Calibri" w:hAnsi="Verdana" w:cs="Arial"/>
          <w:kern w:val="2"/>
          <w:shd w:val="clear" w:color="auto" w:fill="FFFFFF"/>
          <w:lang w:val="es-ES_tradnl"/>
          <w14:ligatures w14:val="standardContextual"/>
        </w:rPr>
        <w:t> recomienda a todas las entidades públicas, independientemente de su naturaleza, que gestionan recursos públicos, la aplicación de los </w:t>
      </w:r>
      <w:r w:rsidRPr="00B55D3E">
        <w:rPr>
          <w:rFonts w:ascii="Verdana" w:eastAsia="Calibri" w:hAnsi="Verdana" w:cs="Arial"/>
          <w:b/>
          <w:bCs/>
          <w:kern w:val="2"/>
          <w:shd w:val="clear" w:color="auto" w:fill="FFFFFF"/>
          <w:lang w:val="es-ES_tradnl"/>
          <w14:ligatures w14:val="standardContextual"/>
        </w:rPr>
        <w:t xml:space="preserve">Documentos </w:t>
      </w:r>
      <w:r w:rsidRPr="00B55D3E">
        <w:rPr>
          <w:rFonts w:ascii="Verdana" w:eastAsia="Calibri" w:hAnsi="Verdana" w:cs="Arial"/>
          <w:b/>
          <w:bCs/>
          <w:kern w:val="2"/>
          <w:shd w:val="clear" w:color="auto" w:fill="FFFFFF"/>
          <w:lang w:val="es-ES_tradnl"/>
          <w14:ligatures w14:val="standardContextual"/>
        </w:rPr>
        <w:lastRenderedPageBreak/>
        <w:t>Tipo</w:t>
      </w:r>
      <w:r w:rsidRPr="00B55D3E">
        <w:rPr>
          <w:rFonts w:ascii="Verdana" w:eastAsia="Calibri" w:hAnsi="Verdana" w:cs="Arial"/>
          <w:kern w:val="2"/>
          <w:shd w:val="clear" w:color="auto" w:fill="FFFFFF"/>
          <w:lang w:val="es-ES_tradnl"/>
          <w14:ligatures w14:val="standardContextual"/>
        </w:rPr>
        <w:t>. Esta recomendación es válida tanto para su uso obligatorio, cuando así lo establezca la normatividad vigente, como para su implementación como una buena práctica. El objetivo es garantizar la </w:t>
      </w:r>
      <w:r w:rsidRPr="00B55D3E">
        <w:rPr>
          <w:rFonts w:ascii="Verdana" w:eastAsia="Calibri" w:hAnsi="Verdana" w:cs="Arial"/>
          <w:b/>
          <w:bCs/>
          <w:kern w:val="2"/>
          <w:shd w:val="clear" w:color="auto" w:fill="FFFFFF"/>
          <w:lang w:val="es-ES_tradnl"/>
          <w14:ligatures w14:val="standardContextual"/>
        </w:rPr>
        <w:t>transparencia</w:t>
      </w:r>
      <w:r w:rsidRPr="00B55D3E">
        <w:rPr>
          <w:rFonts w:ascii="Verdana" w:eastAsia="Calibri" w:hAnsi="Verdana" w:cs="Arial"/>
          <w:kern w:val="2"/>
          <w:shd w:val="clear" w:color="auto" w:fill="FFFFFF"/>
          <w:lang w:val="es-ES_tradnl"/>
          <w14:ligatures w14:val="standardContextual"/>
        </w:rPr>
        <w:t> y promover un proceso de </w:t>
      </w:r>
      <w:r w:rsidRPr="00B55D3E">
        <w:rPr>
          <w:rFonts w:ascii="Verdana" w:eastAsia="Calibri" w:hAnsi="Verdana" w:cs="Arial"/>
          <w:b/>
          <w:bCs/>
          <w:kern w:val="2"/>
          <w:shd w:val="clear" w:color="auto" w:fill="FFFFFF"/>
          <w:lang w:val="es-ES_tradnl"/>
          <w14:ligatures w14:val="standardContextual"/>
        </w:rPr>
        <w:t>selección objetiva</w:t>
      </w:r>
      <w:r w:rsidRPr="00B55D3E">
        <w:rPr>
          <w:rFonts w:ascii="Verdana" w:eastAsia="Calibri" w:hAnsi="Verdana" w:cs="Arial"/>
          <w:kern w:val="2"/>
          <w:shd w:val="clear" w:color="auto" w:fill="FFFFFF"/>
          <w:lang w:val="es-ES_tradnl"/>
          <w14:ligatures w14:val="standardContextual"/>
        </w:rPr>
        <w:t> en la contratación pública, contribuyendo así a mejorar la eficiencia, la competencia y la confianza en el manejo de los recursos del Estado</w:t>
      </w:r>
      <w:r>
        <w:rPr>
          <w:rFonts w:ascii="Verdana" w:eastAsia="Calibri" w:hAnsi="Verdana" w:cs="Arial"/>
          <w:kern w:val="2"/>
          <w:shd w:val="clear" w:color="auto" w:fill="FFFFFF"/>
          <w:lang w:val="es-ES_tradnl"/>
          <w14:ligatures w14:val="standardContextual"/>
        </w:rPr>
        <w:t>.</w:t>
      </w:r>
    </w:p>
    <w:p w14:paraId="0B521EB7" w14:textId="77777777" w:rsidR="00365E5A" w:rsidRPr="004B358F" w:rsidRDefault="00365E5A" w:rsidP="0069528E">
      <w:pPr>
        <w:spacing w:before="120" w:after="0"/>
        <w:jc w:val="both"/>
        <w:rPr>
          <w:rFonts w:ascii="Verdana" w:eastAsia="Calibri" w:hAnsi="Verdana" w:cs="Arial"/>
          <w:kern w:val="2"/>
          <w:shd w:val="clear" w:color="auto" w:fill="FFFFFF"/>
          <w:lang w:val="it-IT"/>
          <w14:ligatures w14:val="standardContextual"/>
        </w:rPr>
      </w:pPr>
      <w:r w:rsidRPr="00B55D3E">
        <w:rPr>
          <w:rFonts w:ascii="Verdana" w:eastAsia="Aptos" w:hAnsi="Verdana" w:cs="Times New Roman"/>
          <w:kern w:val="2"/>
          <w14:ligatures w14:val="standardContextual"/>
        </w:rPr>
        <w:t>Las garantías no son un requisito formal: son el instrumento con el que se protege el patrimonio público frente a los riesgos del contrato. Por ello, la Agencia Nacional de Contratación Pública –Colombia Compra Eficiente– le invita a consultar la nueva versión de la </w:t>
      </w:r>
      <w:r w:rsidRPr="00B55D3E">
        <w:rPr>
          <w:rFonts w:ascii="Verdana" w:eastAsia="Aptos" w:hAnsi="Verdana" w:cs="Times New Roman"/>
          <w:b/>
          <w:bCs/>
          <w:kern w:val="2"/>
          <w14:ligatures w14:val="standardContextual"/>
        </w:rPr>
        <w:t>Guía para la Exigencia y Constitución de Garantías en los Procesos de Contratación</w:t>
      </w:r>
      <w:r w:rsidRPr="00B55D3E">
        <w:rPr>
          <w:rFonts w:ascii="Verdana" w:eastAsia="Aptos" w:hAnsi="Verdana" w:cs="Times New Roman"/>
          <w:kern w:val="2"/>
          <w14:ligatures w14:val="standardContextual"/>
        </w:rPr>
        <w:t xml:space="preserve">, dirigida a las entidades sometidas al EGCAP y a las de regímenes exceptuados, así como a proveedores y órganos de control. Encontrará orientaciones sobre las clases de garantías admisibles, la correspondencia entre riesgos asignados y amparos exigidos, su suficiencia y vigencia, y el procedimiento para hacerlas efectivas. </w:t>
      </w:r>
      <w:r w:rsidRPr="004B358F">
        <w:rPr>
          <w:rFonts w:ascii="Verdana" w:eastAsia="Aptos" w:hAnsi="Verdana" w:cs="Times New Roman"/>
          <w:kern w:val="2"/>
          <w:lang w:val="it-IT"/>
          <w14:ligatures w14:val="standardContextual"/>
        </w:rPr>
        <w:t>Consúltela aquí: </w:t>
      </w:r>
      <w:r>
        <w:fldChar w:fldCharType="begin"/>
      </w:r>
      <w:r w:rsidRPr="00B654EC">
        <w:rPr>
          <w:lang w:val="it-IT"/>
        </w:rPr>
        <w:instrText>HYPERLINK "https://nam02.safelinks.protection.outlook.com/?url=https%3A%2F%2Fwww.colombiacompra.gov.co%2Farchivos%2Fmanual%2Fguia-de-garantias-en-procesos-de-contratacion&amp;data=05%7C02%7Ckevin.herrera%40colombiacompra.gov.co%7C7128555136e04fa6887d08dee99e1b50%7C7b09041e245149d08cb179d5e3d8c1be%7C0%7C0%7C639205062456125663%7CUnknown%7CTWFpbGZsb3d8eyJFbXB0eU1hcGkiOnRydWUsIlYiOiIwLjAuMDAwMCIsIlAiOiJXaW4zMiIsIkFOIjoiTWFpbCIsIldUIjoyfQ%3D%3D%7C0%7C%7C%7C&amp;sdata=Ldbf5hiM2miaBuoT6GaOxk01ChsdPNYZcsyx%2BC3HcKE%3D&amp;reserved=0" \t "_blank" \o "Original URL: https://www.colombiacompra.gov.co/archivos/manual/guia-de-garantias-en-procesos-de-contratacion. Click or tap if you trust this link."</w:instrText>
      </w:r>
      <w:r>
        <w:fldChar w:fldCharType="separate"/>
      </w:r>
      <w:r w:rsidRPr="004B358F">
        <w:rPr>
          <w:rFonts w:ascii="Verdana" w:eastAsia="Aptos" w:hAnsi="Verdana" w:cs="Times New Roman"/>
          <w:color w:val="0000FF"/>
          <w:kern w:val="2"/>
          <w:u w:val="single"/>
          <w:lang w:val="it-IT"/>
          <w14:ligatures w14:val="standardContextual"/>
        </w:rPr>
        <w:t>https://www.colombiacompra.gov.co/archivos/manual/guia-de-garantias-en-procesos-de-contratacion</w:t>
      </w:r>
      <w:r>
        <w:fldChar w:fldCharType="end"/>
      </w:r>
    </w:p>
    <w:p w14:paraId="367FA2FC" w14:textId="7D24E42A" w:rsidR="00365E5A" w:rsidRPr="004B358F" w:rsidRDefault="00365E5A" w:rsidP="0069528E">
      <w:pPr>
        <w:spacing w:before="120" w:after="0"/>
        <w:jc w:val="both"/>
        <w:rPr>
          <w:rFonts w:ascii="Verdana" w:eastAsia="Calibri" w:hAnsi="Verdana" w:cs="Arial"/>
          <w:kern w:val="2"/>
          <w:shd w:val="clear" w:color="auto" w:fill="FFFFFF"/>
          <w:lang w:val="it-IT"/>
          <w14:ligatures w14:val="standardContextual"/>
        </w:rPr>
      </w:pPr>
      <w:r w:rsidRPr="00B55D3E">
        <w:rPr>
          <w:rFonts w:ascii="Verdana" w:eastAsia="Aptos" w:hAnsi="Verdana" w:cs="Times New Roman"/>
          <w:kern w:val="2"/>
          <w14:ligatures w14:val="standardContextual"/>
        </w:rPr>
        <w:t>De otro lado, le contamos que el Decreto 287 del 19 de marzo de 2026 sustituyó los artículos 2.2.1.2.4.2.6., 2.2.1.2.4.2.7. y 2.2.1.2.4.2.8. del Decreto 1082 de 2015 y estructuró el </w:t>
      </w:r>
      <w:r w:rsidRPr="00B55D3E">
        <w:rPr>
          <w:rFonts w:ascii="Verdana" w:eastAsia="Aptos" w:hAnsi="Verdana" w:cs="Times New Roman"/>
          <w:b/>
          <w:bCs/>
          <w:kern w:val="2"/>
          <w14:ligatures w14:val="standardContextual"/>
        </w:rPr>
        <w:t>Sistema Integral de Preferencias en favor de las personas con discapacidad</w:t>
      </w:r>
      <w:r w:rsidRPr="00B55D3E">
        <w:rPr>
          <w:rFonts w:ascii="Verdana" w:eastAsia="Aptos" w:hAnsi="Verdana" w:cs="Times New Roman"/>
          <w:kern w:val="2"/>
          <w14:ligatures w14:val="standardContextual"/>
        </w:rPr>
        <w:t>, en cumplimiento del artículo 13 de la Ley Estatutaria 1618 de 2013. Para orientar su aplicación, esta Agencia expidió la </w:t>
      </w:r>
      <w:r w:rsidRPr="00B55D3E">
        <w:rPr>
          <w:rFonts w:ascii="Verdana" w:eastAsia="Aptos" w:hAnsi="Verdana" w:cs="Times New Roman"/>
          <w:b/>
          <w:bCs/>
          <w:kern w:val="2"/>
          <w14:ligatures w14:val="standardContextual"/>
        </w:rPr>
        <w:t>Circular Externa 003 del 12 de mayo de 2026, </w:t>
      </w:r>
      <w:r w:rsidRPr="00B55D3E">
        <w:rPr>
          <w:rFonts w:ascii="Verdana" w:eastAsia="Aptos" w:hAnsi="Verdana" w:cs="Times New Roman"/>
          <w:kern w:val="2"/>
          <w14:ligatures w14:val="standardContextual"/>
        </w:rPr>
        <w:t xml:space="preserve">en la que precisa quiénes son los beneficiarios, las cinco medidas que integran el sistema y su obligatoriedad según la modalidad de selección, y el régimen de transición aplicable a los procesos en curso. </w:t>
      </w:r>
      <w:r w:rsidRPr="004B358F">
        <w:rPr>
          <w:rFonts w:ascii="Verdana" w:eastAsia="Aptos" w:hAnsi="Verdana" w:cs="Times New Roman"/>
          <w:kern w:val="2"/>
          <w:lang w:val="it-IT"/>
          <w14:ligatures w14:val="standardContextual"/>
        </w:rPr>
        <w:t>Consúltela aquí: </w:t>
      </w:r>
      <w:r>
        <w:fldChar w:fldCharType="begin"/>
      </w:r>
      <w:r w:rsidRPr="00B654EC">
        <w:rPr>
          <w:lang w:val="it-IT"/>
        </w:rPr>
        <w:instrText>HYPERLINK "https://nam02.safelinks.protection.outlook.com/?url=https%3A%2F%2Fwww.colombiacompra.gov.co%2Farchivos%2Fcircular%2Fcircular-externa-003-de-2026&amp;data=05%7C02%7Ckevin.herrera%40colombiacompra.gov.co%7C7128555136e04fa6887d08dee99e1b50%7C7b09041e245149d08cb179d5e3d8c1be%7C0%7C0%7C639205062456152838%7CUnknown%7CTWFpbGZsb3d8eyJFbXB0eU1hcGkiOnRydWUsIlYiOiIwLjAuMDAwMCIsIlAiOiJXaW4zMiIsIkFOIjoiTWFpbCIsIldUIjoyfQ%3D%3D%7C0%7C%7C%7C&amp;sdata=bgDPR1P0CVRLi6mk9%2BWdCPNYTnkaFQJscHNWdb%2FEGkw%3D&amp;reserved=0" \t "_blank" \o "Original URL: https://www.colombiacompra.gov.co/archivos/circular/circular-externa-003-de-2026. Click or tap if you trust this link."</w:instrText>
      </w:r>
      <w:r>
        <w:fldChar w:fldCharType="separate"/>
      </w:r>
      <w:r w:rsidRPr="004B358F">
        <w:rPr>
          <w:rFonts w:ascii="Verdana" w:eastAsia="Aptos" w:hAnsi="Verdana" w:cs="Times New Roman"/>
          <w:color w:val="0000FF"/>
          <w:kern w:val="2"/>
          <w:u w:val="single"/>
          <w:lang w:val="it-IT"/>
          <w14:ligatures w14:val="standardContextual"/>
        </w:rPr>
        <w:t>https://www.colombiacompra.gov.co/archivos/circular/circular-externa-003-de-2026</w:t>
      </w:r>
      <w:r>
        <w:fldChar w:fldCharType="end"/>
      </w:r>
    </w:p>
    <w:p w14:paraId="615AF11F" w14:textId="01763DFA" w:rsidR="00365E5A" w:rsidRPr="00365E5A" w:rsidRDefault="00365E5A" w:rsidP="000210A0">
      <w:pPr>
        <w:spacing w:before="120" w:after="0" w:line="276" w:lineRule="auto"/>
        <w:jc w:val="both"/>
        <w:rPr>
          <w:rFonts w:ascii="Verdana" w:eastAsia="Aptos" w:hAnsi="Verdana" w:cs="Times New Roman"/>
          <w:kern w:val="2"/>
          <w:lang w:val="es-ES_tradnl"/>
          <w14:ligatures w14:val="standardContextual"/>
        </w:rPr>
      </w:pPr>
      <w:r w:rsidRPr="00B55D3E">
        <w:rPr>
          <w:rFonts w:ascii="Verdana" w:eastAsia="Aptos" w:hAnsi="Verdana" w:cs="Times New Roman"/>
          <w:kern w:val="2"/>
          <w14:ligatures w14:val="standardContextual"/>
        </w:rPr>
        <w:t>Recuerde también que la</w:t>
      </w:r>
      <w:r w:rsidRPr="00B55D3E">
        <w:rPr>
          <w:rFonts w:ascii="Verdana" w:eastAsia="Aptos" w:hAnsi="Verdana" w:cs="Times New Roman"/>
          <w:b/>
          <w:bCs/>
          <w:kern w:val="2"/>
          <w14:ligatures w14:val="standardContextual"/>
        </w:rPr>
        <w:t> información sobre sanciones e inhabilidades </w:t>
      </w:r>
      <w:r w:rsidRPr="00B55D3E">
        <w:rPr>
          <w:rFonts w:ascii="Verdana" w:eastAsia="Aptos" w:hAnsi="Verdana" w:cs="Times New Roman"/>
          <w:kern w:val="2"/>
          <w14:ligatures w14:val="standardContextual"/>
        </w:rPr>
        <w:t>solo cumple su función preventiva si llega oportunamente a los registros públicos. Sobre este deber, esta Agencia expidió la </w:t>
      </w:r>
      <w:r w:rsidRPr="00B55D3E">
        <w:rPr>
          <w:rFonts w:ascii="Verdana" w:eastAsia="Aptos" w:hAnsi="Verdana" w:cs="Times New Roman"/>
          <w:b/>
          <w:bCs/>
          <w:kern w:val="2"/>
          <w14:ligatures w14:val="standardContextual"/>
        </w:rPr>
        <w:t>Circular Externa 002 del 5 de mayo de 2026,</w:t>
      </w:r>
      <w:r w:rsidRPr="00B55D3E">
        <w:rPr>
          <w:rFonts w:ascii="Verdana" w:eastAsia="Aptos" w:hAnsi="Verdana" w:cs="Times New Roman"/>
          <w:kern w:val="2"/>
          <w14:ligatures w14:val="standardContextual"/>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w:t>
      </w:r>
      <w:r w:rsidRPr="00B55D3E">
        <w:rPr>
          <w:rFonts w:ascii="Verdana" w:eastAsia="Aptos" w:hAnsi="Verdana" w:cs="Times New Roman"/>
          <w:kern w:val="2"/>
          <w14:ligatures w14:val="standardContextual"/>
        </w:rPr>
        <w:lastRenderedPageBreak/>
        <w:t>aquí: </w:t>
      </w:r>
      <w:hyperlink r:id="rId14" w:tgtFrame="_blank" w:tooltip="Original URL: https://www.colombiacompra.gov.co/archivos/circular/circular-externa-002-de-2026. Click or tap if you trust this link." w:history="1">
        <w:r w:rsidRPr="00B55D3E">
          <w:rPr>
            <w:rFonts w:ascii="Verdana" w:eastAsia="Aptos" w:hAnsi="Verdana" w:cs="Times New Roman"/>
            <w:color w:val="0000FF"/>
            <w:kern w:val="2"/>
            <w:u w:val="single"/>
            <w14:ligatures w14:val="standardContextual"/>
          </w:rPr>
          <w:t>https://www.colombiacompra.gov.co/archivos/circular/circular-externa-002-de-2026</w:t>
        </w:r>
      </w:hyperlink>
    </w:p>
    <w:p w14:paraId="78E10CD9" w14:textId="77777777" w:rsidR="00365E5A" w:rsidRPr="00B55D3E" w:rsidRDefault="00365E5A" w:rsidP="000210A0">
      <w:pPr>
        <w:spacing w:before="120" w:after="0" w:line="276" w:lineRule="auto"/>
        <w:jc w:val="both"/>
        <w:rPr>
          <w:rFonts w:ascii="Verdana" w:eastAsia="Aptos" w:hAnsi="Verdana" w:cs="Times New Roman"/>
          <w:kern w:val="2"/>
          <w14:ligatures w14:val="standardContextual"/>
        </w:rPr>
      </w:pPr>
      <w:r w:rsidRPr="00B55D3E">
        <w:rPr>
          <w:rFonts w:ascii="Verdana" w:eastAsia="Aptos" w:hAnsi="Verdana" w:cs="Times New Roman"/>
          <w:kern w:val="2"/>
          <w14:ligatures w14:val="standardContextual"/>
        </w:rPr>
        <w:t>Finalmente, si quiere seguir de cerca la actividad de la Agencia, la tercera edición de 2026 del</w:t>
      </w:r>
      <w:r w:rsidRPr="00B55D3E">
        <w:rPr>
          <w:rFonts w:ascii="Verdana" w:eastAsia="Aptos" w:hAnsi="Verdana" w:cs="Times New Roman"/>
          <w:b/>
          <w:bCs/>
          <w:kern w:val="2"/>
          <w14:ligatures w14:val="standardContextual"/>
        </w:rPr>
        <w:t> Radar de la Compra Pública</w:t>
      </w:r>
      <w:r w:rsidRPr="00B55D3E">
        <w:rPr>
          <w:rFonts w:ascii="Verdana" w:eastAsia="Aptos" w:hAnsi="Verdana" w:cs="Times New Roman"/>
          <w:kern w:val="2"/>
          <w14:ligatures w14:val="standardContextu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Descárguelo aquí: </w:t>
      </w:r>
      <w:hyperlink r:id="rId15" w:tgtFrame="_blank" w:tooltip="Original URL: https://www.colombiacompra.gov.co/archivos/boletin/boletin-edicion-n-3-de-2026-radar-de-la-compra-publica. Click or tap if you trust this link." w:history="1">
        <w:r w:rsidRPr="00B55D3E">
          <w:rPr>
            <w:rFonts w:ascii="Verdana" w:eastAsia="Aptos" w:hAnsi="Verdana" w:cs="Times New Roman"/>
            <w:color w:val="0000FF"/>
            <w:kern w:val="2"/>
            <w:u w:val="single"/>
            <w14:ligatures w14:val="standardContextual"/>
          </w:rPr>
          <w:t>https://www.colombiacompra.gov.co/archivos/boletin/boletin-edicion-n-3-de-2026-radar-de-la-compra-publica</w:t>
        </w:r>
      </w:hyperlink>
    </w:p>
    <w:p w14:paraId="2685FACE" w14:textId="03046A7E" w:rsidR="00365E5A" w:rsidRDefault="00365E5A" w:rsidP="000210A0">
      <w:pPr>
        <w:spacing w:after="0" w:line="240" w:lineRule="auto"/>
        <w:jc w:val="both"/>
        <w:rPr>
          <w:rFonts w:ascii="Verdana" w:eastAsia="Aptos" w:hAnsi="Verdana" w:cs="Times New Roman"/>
          <w:kern w:val="2"/>
          <w14:ligatures w14:val="standardContextual"/>
        </w:rPr>
      </w:pPr>
      <w:r w:rsidRPr="00B55D3E">
        <w:rPr>
          <w:rFonts w:ascii="Verdana" w:eastAsia="Aptos" w:hAnsi="Verdana" w:cs="Times New Roman"/>
          <w:kern w:val="2"/>
          <w14:ligatures w14:val="standardContextual"/>
        </w:rPr>
        <w:t>Por último, lo invitamos a seguirnos en las redes sociales en las cuales se difunde información institucional:</w:t>
      </w:r>
    </w:p>
    <w:p w14:paraId="566FEA36" w14:textId="1C19D826" w:rsidR="00365E5A" w:rsidRPr="00B55D3E" w:rsidRDefault="00365E5A" w:rsidP="000210A0">
      <w:pPr>
        <w:spacing w:after="0" w:line="240" w:lineRule="auto"/>
        <w:jc w:val="both"/>
        <w:rPr>
          <w:rFonts w:ascii="Verdana" w:eastAsia="Aptos" w:hAnsi="Verdana" w:cs="Times New Roman"/>
          <w:kern w:val="2"/>
          <w14:ligatures w14:val="standardContextual"/>
        </w:rPr>
      </w:pPr>
      <w:r w:rsidRPr="00B55D3E">
        <w:rPr>
          <w:rFonts w:ascii="Verdana" w:eastAsia="Aptos" w:hAnsi="Verdana" w:cs="Times New Roman"/>
          <w:kern w:val="2"/>
          <w14:ligatures w14:val="standardContextual"/>
        </w:rPr>
        <w:t xml:space="preserve">Twitter: </w:t>
      </w:r>
      <w:r w:rsidRPr="00B55D3E">
        <w:rPr>
          <w:rFonts w:ascii="Verdana" w:eastAsia="Calibri" w:hAnsi="Verdana" w:cs="Times New Roman"/>
          <w:color w:val="0000FF"/>
          <w:kern w:val="2"/>
          <w:u w:val="single"/>
          <w14:ligatures w14:val="standardContextual"/>
        </w:rPr>
        <w:t>@colombiacompra</w:t>
      </w:r>
      <w:r w:rsidRPr="00B55D3E">
        <w:rPr>
          <w:rFonts w:ascii="Verdana" w:eastAsia="Calibri" w:hAnsi="Verdana" w:cs="Times New Roman"/>
          <w:color w:val="0000FF"/>
          <w:kern w:val="2"/>
          <w14:ligatures w14:val="standardContextual"/>
        </w:rPr>
        <w:t xml:space="preserve"> </w:t>
      </w:r>
    </w:p>
    <w:p w14:paraId="1E78EF7D" w14:textId="77777777" w:rsidR="00365E5A" w:rsidRPr="00B55D3E" w:rsidRDefault="00365E5A" w:rsidP="000210A0">
      <w:pPr>
        <w:spacing w:after="0" w:line="240" w:lineRule="auto"/>
        <w:jc w:val="both"/>
        <w:rPr>
          <w:rFonts w:ascii="Verdana" w:eastAsia="Aptos" w:hAnsi="Verdana" w:cs="Times New Roman"/>
          <w:kern w:val="2"/>
          <w14:ligatures w14:val="standardContextual"/>
        </w:rPr>
      </w:pPr>
      <w:r w:rsidRPr="00B55D3E">
        <w:rPr>
          <w:rFonts w:ascii="Verdana" w:eastAsia="Aptos" w:hAnsi="Verdana" w:cs="Times New Roman"/>
          <w:kern w:val="2"/>
          <w14:ligatures w14:val="standardContextual"/>
        </w:rPr>
        <w:t xml:space="preserve">Facebook: </w:t>
      </w:r>
      <w:proofErr w:type="spellStart"/>
      <w:r w:rsidRPr="00B55D3E">
        <w:rPr>
          <w:rFonts w:ascii="Verdana" w:eastAsia="Calibri" w:hAnsi="Verdana" w:cs="Times New Roman"/>
          <w:color w:val="0000FF"/>
          <w:kern w:val="2"/>
          <w:u w:val="single"/>
          <w14:ligatures w14:val="standardContextual"/>
        </w:rPr>
        <w:t>ColombiaCompraEficiente</w:t>
      </w:r>
      <w:proofErr w:type="spellEnd"/>
    </w:p>
    <w:p w14:paraId="20884808" w14:textId="77777777" w:rsidR="00365E5A" w:rsidRPr="00B55D3E" w:rsidRDefault="00365E5A" w:rsidP="000210A0">
      <w:pPr>
        <w:spacing w:after="0" w:line="240" w:lineRule="auto"/>
        <w:jc w:val="both"/>
        <w:rPr>
          <w:rFonts w:ascii="Verdana" w:eastAsia="Aptos" w:hAnsi="Verdana" w:cs="Times New Roman"/>
          <w:kern w:val="2"/>
          <w14:ligatures w14:val="standardContextual"/>
        </w:rPr>
      </w:pPr>
      <w:r w:rsidRPr="00B55D3E">
        <w:rPr>
          <w:rFonts w:ascii="Verdana" w:eastAsia="Aptos" w:hAnsi="Verdana" w:cs="Times New Roman"/>
          <w:kern w:val="2"/>
          <w14:ligatures w14:val="standardContextual"/>
        </w:rPr>
        <w:t xml:space="preserve">LinkedIn: </w:t>
      </w:r>
      <w:r w:rsidRPr="00B55D3E">
        <w:rPr>
          <w:rFonts w:ascii="Verdana" w:eastAsia="Calibri" w:hAnsi="Verdana" w:cs="Times New Roman"/>
          <w:color w:val="0000FF"/>
          <w:kern w:val="2"/>
          <w:u w:val="single"/>
          <w14:ligatures w14:val="standardContextual"/>
        </w:rPr>
        <w:t>Agencia Nacional de Contratación Pública - Colombia Compra Eficiente</w:t>
      </w:r>
      <w:r w:rsidRPr="00B55D3E">
        <w:rPr>
          <w:rFonts w:ascii="Verdana" w:eastAsia="Calibri" w:hAnsi="Verdana" w:cs="Times New Roman"/>
          <w:color w:val="0000FF"/>
          <w:kern w:val="2"/>
          <w14:ligatures w14:val="standardContextual"/>
        </w:rPr>
        <w:t xml:space="preserve"> </w:t>
      </w:r>
      <w:r w:rsidRPr="00B55D3E">
        <w:rPr>
          <w:rFonts w:ascii="Verdana" w:eastAsia="Aptos" w:hAnsi="Verdana" w:cs="Times New Roman"/>
          <w:kern w:val="2"/>
          <w14:ligatures w14:val="standardContextual"/>
        </w:rPr>
        <w:t xml:space="preserve">Instagram: </w:t>
      </w:r>
      <w:r w:rsidRPr="00B55D3E">
        <w:rPr>
          <w:rFonts w:ascii="Verdana" w:eastAsia="Calibri" w:hAnsi="Verdana" w:cs="Times New Roman"/>
          <w:color w:val="0000FF"/>
          <w:kern w:val="2"/>
          <w:u w:val="single"/>
          <w14:ligatures w14:val="standardContextual"/>
        </w:rPr>
        <w:t>@colombiacompraeficiente_cce</w:t>
      </w:r>
    </w:p>
    <w:p w14:paraId="27402889" w14:textId="77777777" w:rsidR="00365E5A" w:rsidRPr="00B55D3E" w:rsidRDefault="00365E5A" w:rsidP="00365E5A">
      <w:pPr>
        <w:widowControl w:val="0"/>
        <w:autoSpaceDE w:val="0"/>
        <w:autoSpaceDN w:val="0"/>
        <w:spacing w:after="0" w:line="276" w:lineRule="auto"/>
        <w:jc w:val="both"/>
        <w:rPr>
          <w:rFonts w:ascii="Verdana" w:eastAsia="Calibri" w:hAnsi="Verdana" w:cs="Arial"/>
          <w:color w:val="000000" w:themeColor="text1"/>
          <w:kern w:val="2"/>
          <w14:ligatures w14:val="standardContextual"/>
        </w:rPr>
      </w:pPr>
    </w:p>
    <w:p w14:paraId="635FCA23" w14:textId="77777777" w:rsidR="00365E5A" w:rsidRPr="00B55D3E" w:rsidRDefault="00365E5A" w:rsidP="00365E5A">
      <w:pPr>
        <w:widowControl w:val="0"/>
        <w:autoSpaceDE w:val="0"/>
        <w:autoSpaceDN w:val="0"/>
        <w:spacing w:after="0" w:line="276" w:lineRule="auto"/>
        <w:jc w:val="both"/>
        <w:rPr>
          <w:rFonts w:ascii="Verdana" w:eastAsia="Calibri" w:hAnsi="Verdana" w:cs="Arial"/>
          <w:color w:val="000000" w:themeColor="text1"/>
          <w:kern w:val="2"/>
          <w:lang w:val="es-ES_tradnl"/>
          <w14:ligatures w14:val="standardContextual"/>
        </w:rPr>
      </w:pPr>
      <w:r w:rsidRPr="00B55D3E">
        <w:rPr>
          <w:rFonts w:ascii="Verdana" w:eastAsia="Calibri" w:hAnsi="Verdana" w:cs="Arial"/>
          <w:color w:val="000000" w:themeColor="text1"/>
          <w:kern w:val="2"/>
          <w:lang w:val="es-ES_tradnl"/>
          <w14:ligatures w14:val="standardContextua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6CDA8DA8" w14:textId="77777777" w:rsidR="00365E5A" w:rsidRPr="00B55D3E" w:rsidRDefault="00365E5A" w:rsidP="00365E5A">
      <w:pPr>
        <w:widowControl w:val="0"/>
        <w:autoSpaceDE w:val="0"/>
        <w:autoSpaceDN w:val="0"/>
        <w:spacing w:after="0" w:line="276" w:lineRule="auto"/>
        <w:jc w:val="both"/>
        <w:rPr>
          <w:rFonts w:ascii="Verdana" w:eastAsia="Calibri" w:hAnsi="Verdana" w:cs="Arial"/>
          <w:color w:val="000000" w:themeColor="text1"/>
        </w:rPr>
      </w:pPr>
    </w:p>
    <w:p w14:paraId="167FE06F" w14:textId="39E69AFF" w:rsidR="0069528E" w:rsidRPr="00B30008" w:rsidRDefault="00365E5A" w:rsidP="00B30008">
      <w:pPr>
        <w:spacing w:after="0" w:line="240" w:lineRule="auto"/>
        <w:rPr>
          <w:rFonts w:ascii="Verdana" w:eastAsia="Calibri" w:hAnsi="Verdana" w:cs="Arial"/>
          <w:color w:val="000000" w:themeColor="text1"/>
          <w:lang w:eastAsia="es-CO"/>
        </w:rPr>
      </w:pPr>
      <w:r w:rsidRPr="00B55D3E">
        <w:rPr>
          <w:rFonts w:ascii="Verdana" w:eastAsia="Times New Roman" w:hAnsi="Verdana" w:cs="Arial"/>
          <w:color w:val="000000" w:themeColor="text1"/>
          <w:lang w:eastAsia="es-CO"/>
        </w:rPr>
        <w:t>Atentamente,</w:t>
      </w:r>
      <w:r w:rsidRPr="00B55D3E">
        <w:rPr>
          <w:rFonts w:ascii="Verdana" w:eastAsia="Calibri" w:hAnsi="Verdana" w:cs="Arial"/>
          <w:color w:val="000000" w:themeColor="text1"/>
          <w:lang w:eastAsia="es-CO"/>
        </w:rPr>
        <w:t xml:space="preserve"> </w:t>
      </w:r>
    </w:p>
    <w:p w14:paraId="053EE8A2" w14:textId="3953B847" w:rsidR="0069528E" w:rsidRDefault="0069528E" w:rsidP="0069528E">
      <w:pPr>
        <w:tabs>
          <w:tab w:val="left" w:pos="1320"/>
        </w:tabs>
        <w:jc w:val="center"/>
        <w:rPr>
          <w:noProof/>
        </w:rPr>
      </w:pPr>
    </w:p>
    <w:p w14:paraId="05D25BEE" w14:textId="566409EC" w:rsidR="00B30008" w:rsidRPr="00837D76" w:rsidRDefault="00B30008" w:rsidP="0069528E">
      <w:pPr>
        <w:tabs>
          <w:tab w:val="left" w:pos="1320"/>
        </w:tabs>
        <w:jc w:val="center"/>
        <w:rPr>
          <w:noProof/>
        </w:rPr>
      </w:pPr>
      <w:r>
        <w:rPr>
          <w:noProof/>
        </w:rPr>
        <w:drawing>
          <wp:inline distT="0" distB="0" distL="0" distR="0" wp14:anchorId="56DD78AD" wp14:editId="0932E8AC">
            <wp:extent cx="3136580" cy="1165954"/>
            <wp:effectExtent l="0" t="0" r="6985" b="0"/>
            <wp:docPr id="197350413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504139" name="Imagen 1973504139"/>
                    <pic:cNvPicPr/>
                  </pic:nvPicPr>
                  <pic:blipFill>
                    <a:blip r:embed="rId16">
                      <a:extLst>
                        <a:ext uri="{28A0092B-C50C-407E-A947-70E740481C1C}">
                          <a14:useLocalDpi xmlns:a14="http://schemas.microsoft.com/office/drawing/2010/main" val="0"/>
                        </a:ext>
                      </a:extLst>
                    </a:blip>
                    <a:stretch>
                      <a:fillRect/>
                    </a:stretch>
                  </pic:blipFill>
                  <pic:spPr>
                    <a:xfrm>
                      <a:off x="0" y="0"/>
                      <a:ext cx="3145894" cy="1169416"/>
                    </a:xfrm>
                    <a:prstGeom prst="rect">
                      <a:avLst/>
                    </a:prstGeom>
                  </pic:spPr>
                </pic:pic>
              </a:graphicData>
            </a:graphic>
          </wp:inline>
        </w:drawing>
      </w:r>
    </w:p>
    <w:tbl>
      <w:tblPr>
        <w:tblStyle w:val="Tablaconcuadrcula"/>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85"/>
        <w:gridCol w:w="5925"/>
      </w:tblGrid>
      <w:tr w:rsidR="00365E5A" w14:paraId="45B18F5A" w14:textId="77777777" w:rsidTr="0054091F">
        <w:trPr>
          <w:trHeight w:val="179"/>
        </w:trPr>
        <w:tc>
          <w:tcPr>
            <w:tcW w:w="1185" w:type="dxa"/>
            <w:tcBorders>
              <w:top w:val="nil"/>
              <w:left w:val="nil"/>
              <w:bottom w:val="nil"/>
              <w:right w:val="nil"/>
            </w:tcBorders>
            <w:tcMar>
              <w:left w:w="105" w:type="dxa"/>
              <w:right w:w="105" w:type="dxa"/>
            </w:tcMar>
            <w:vAlign w:val="center"/>
          </w:tcPr>
          <w:p w14:paraId="573E6F9C" w14:textId="77777777" w:rsidR="00365E5A" w:rsidRDefault="00365E5A">
            <w:pPr>
              <w:rPr>
                <w:rFonts w:ascii="Verdana" w:eastAsia="Verdana" w:hAnsi="Verdana" w:cs="Verdana"/>
                <w:sz w:val="16"/>
                <w:szCs w:val="16"/>
              </w:rPr>
            </w:pPr>
            <w:r w:rsidRPr="3F869DD7">
              <w:rPr>
                <w:rFonts w:ascii="Verdana" w:eastAsia="Verdana" w:hAnsi="Verdana" w:cs="Verdana"/>
                <w:sz w:val="16"/>
                <w:szCs w:val="16"/>
              </w:rPr>
              <w:t>Elabor</w:t>
            </w:r>
            <w:r>
              <w:rPr>
                <w:rFonts w:ascii="Verdana" w:eastAsia="Verdana" w:hAnsi="Verdana" w:cs="Verdana"/>
                <w:sz w:val="16"/>
                <w:szCs w:val="16"/>
              </w:rPr>
              <w:t>ó</w:t>
            </w:r>
            <w:r w:rsidRPr="3F869DD7">
              <w:rPr>
                <w:rFonts w:ascii="Verdana" w:eastAsia="Verdana" w:hAnsi="Verdana" w:cs="Verdana"/>
                <w:sz w:val="16"/>
                <w:szCs w:val="16"/>
              </w:rPr>
              <w:t>:</w:t>
            </w:r>
          </w:p>
        </w:tc>
        <w:tc>
          <w:tcPr>
            <w:tcW w:w="5925" w:type="dxa"/>
            <w:tcBorders>
              <w:top w:val="nil"/>
              <w:left w:val="nil"/>
              <w:bottom w:val="dotted" w:sz="4" w:space="0" w:color="7F7F7F" w:themeColor="text1" w:themeTint="80"/>
              <w:right w:val="nil"/>
            </w:tcBorders>
            <w:tcMar>
              <w:left w:w="105" w:type="dxa"/>
              <w:right w:w="105" w:type="dxa"/>
            </w:tcMar>
            <w:vAlign w:val="center"/>
          </w:tcPr>
          <w:p w14:paraId="114CA7D0" w14:textId="77777777" w:rsidR="00365E5A" w:rsidRDefault="00365E5A">
            <w:pPr>
              <w:rPr>
                <w:rFonts w:ascii="Verdana" w:eastAsia="Times New Roman" w:hAnsi="Verdana" w:cs="Segoe UI"/>
                <w:color w:val="000000" w:themeColor="text1"/>
                <w:sz w:val="16"/>
                <w:szCs w:val="16"/>
                <w:lang w:eastAsia="es-ES"/>
              </w:rPr>
            </w:pPr>
            <w:r w:rsidRPr="3F869DD7">
              <w:rPr>
                <w:rFonts w:ascii="Verdana" w:eastAsia="Arial" w:hAnsi="Verdana" w:cs="Arial"/>
                <w:color w:val="000000" w:themeColor="text1"/>
                <w:sz w:val="16"/>
                <w:szCs w:val="16"/>
                <w:lang w:val="es-ES"/>
              </w:rPr>
              <w:t>Denis Andrea Cárdenas Hernández</w:t>
            </w:r>
          </w:p>
          <w:p w14:paraId="2C8A12CD" w14:textId="77777777" w:rsidR="00365E5A" w:rsidRDefault="00365E5A">
            <w:pPr>
              <w:rPr>
                <w:rFonts w:ascii="Verdana" w:eastAsia="Arial" w:hAnsi="Verdana" w:cs="Arial"/>
                <w:color w:val="000000" w:themeColor="text1"/>
                <w:sz w:val="16"/>
                <w:szCs w:val="16"/>
                <w:lang w:val="es-ES"/>
              </w:rPr>
            </w:pPr>
            <w:r w:rsidRPr="3F869DD7">
              <w:rPr>
                <w:rFonts w:ascii="Verdana" w:eastAsia="Arial" w:hAnsi="Verdana" w:cs="Arial"/>
                <w:color w:val="000000" w:themeColor="text1"/>
                <w:sz w:val="16"/>
                <w:szCs w:val="16"/>
                <w:lang w:val="es-ES"/>
              </w:rPr>
              <w:t>Analista T2-01 de la Subdirección de Gestión Contractual</w:t>
            </w:r>
          </w:p>
          <w:p w14:paraId="35E765A1" w14:textId="438A24D4" w:rsidR="0054091F" w:rsidRDefault="0054091F">
            <w:pPr>
              <w:rPr>
                <w:rFonts w:ascii="Verdana" w:eastAsia="Arial" w:hAnsi="Verdana" w:cs="Arial"/>
                <w:color w:val="000000" w:themeColor="text1"/>
                <w:sz w:val="16"/>
                <w:szCs w:val="16"/>
                <w:lang w:val="es-ES"/>
              </w:rPr>
            </w:pPr>
            <w:r>
              <w:rPr>
                <w:rFonts w:ascii="Verdana" w:eastAsia="Arial" w:hAnsi="Verdana" w:cs="Arial"/>
                <w:color w:val="000000" w:themeColor="text1"/>
                <w:sz w:val="16"/>
                <w:szCs w:val="16"/>
                <w:lang w:val="es-ES"/>
              </w:rPr>
              <w:t>Alexandra Rodríguez Motta</w:t>
            </w:r>
          </w:p>
          <w:p w14:paraId="44CE9EDE" w14:textId="1847C3E8" w:rsidR="0054091F" w:rsidRDefault="0054091F">
            <w:pPr>
              <w:rPr>
                <w:rFonts w:ascii="Verdana" w:eastAsia="Arial" w:hAnsi="Verdana" w:cs="Arial"/>
                <w:color w:val="000000" w:themeColor="text1"/>
                <w:sz w:val="16"/>
                <w:szCs w:val="16"/>
                <w:lang w:val="es-ES"/>
              </w:rPr>
            </w:pPr>
            <w:r>
              <w:rPr>
                <w:rFonts w:ascii="Verdana" w:eastAsia="Arial" w:hAnsi="Verdana" w:cs="Arial"/>
                <w:color w:val="000000" w:themeColor="text1"/>
                <w:sz w:val="16"/>
                <w:szCs w:val="16"/>
                <w:lang w:val="es-ES"/>
              </w:rPr>
              <w:t xml:space="preserve">Contratista de </w:t>
            </w:r>
            <w:r w:rsidRPr="3F869DD7">
              <w:rPr>
                <w:rFonts w:ascii="Verdana" w:eastAsia="Arial" w:hAnsi="Verdana" w:cs="Arial"/>
                <w:color w:val="000000" w:themeColor="text1"/>
                <w:sz w:val="16"/>
                <w:szCs w:val="16"/>
                <w:lang w:val="es-ES"/>
              </w:rPr>
              <w:t>la Subdirección de Gestión Contractua</w:t>
            </w:r>
            <w:r>
              <w:rPr>
                <w:rFonts w:ascii="Verdana" w:eastAsia="Arial" w:hAnsi="Verdana" w:cs="Arial"/>
                <w:color w:val="000000" w:themeColor="text1"/>
                <w:sz w:val="16"/>
                <w:szCs w:val="16"/>
                <w:lang w:val="es-ES"/>
              </w:rPr>
              <w:t>l</w:t>
            </w:r>
          </w:p>
        </w:tc>
      </w:tr>
      <w:tr w:rsidR="00365E5A" w14:paraId="39C9C041" w14:textId="77777777">
        <w:trPr>
          <w:trHeight w:val="315"/>
        </w:trPr>
        <w:tc>
          <w:tcPr>
            <w:tcW w:w="1185" w:type="dxa"/>
            <w:tcBorders>
              <w:top w:val="nil"/>
              <w:left w:val="nil"/>
              <w:bottom w:val="nil"/>
              <w:right w:val="nil"/>
            </w:tcBorders>
            <w:tcMar>
              <w:left w:w="105" w:type="dxa"/>
              <w:right w:w="105" w:type="dxa"/>
            </w:tcMar>
            <w:vAlign w:val="center"/>
          </w:tcPr>
          <w:p w14:paraId="47D54E54" w14:textId="77777777" w:rsidR="00365E5A" w:rsidRDefault="00365E5A">
            <w:pPr>
              <w:rPr>
                <w:rFonts w:ascii="Verdana" w:eastAsia="Verdana" w:hAnsi="Verdana" w:cs="Verdana"/>
                <w:sz w:val="16"/>
                <w:szCs w:val="16"/>
              </w:rPr>
            </w:pPr>
            <w:r w:rsidRPr="3F869DD7">
              <w:rPr>
                <w:rFonts w:ascii="Verdana" w:eastAsia="Verdana" w:hAnsi="Verdana" w:cs="Verdana"/>
                <w:sz w:val="16"/>
                <w:szCs w:val="16"/>
              </w:rPr>
              <w:t>Revisó:</w:t>
            </w:r>
          </w:p>
        </w:tc>
        <w:tc>
          <w:tcPr>
            <w:tcW w:w="5925" w:type="dxa"/>
            <w:tcBorders>
              <w:top w:val="dotted" w:sz="4" w:space="0" w:color="7F7F7F" w:themeColor="text1" w:themeTint="80"/>
              <w:left w:val="nil"/>
              <w:bottom w:val="dotted" w:sz="4" w:space="0" w:color="7F7F7F" w:themeColor="text1" w:themeTint="80"/>
              <w:right w:val="nil"/>
            </w:tcBorders>
            <w:tcMar>
              <w:left w:w="105" w:type="dxa"/>
              <w:right w:w="105" w:type="dxa"/>
            </w:tcMar>
            <w:vAlign w:val="center"/>
          </w:tcPr>
          <w:p w14:paraId="5D2AD62A" w14:textId="77777777" w:rsidR="00365E5A" w:rsidRDefault="00365E5A">
            <w:pPr>
              <w:rPr>
                <w:rFonts w:ascii="Verdana" w:eastAsia="Verdana" w:hAnsi="Verdana" w:cs="Verdana"/>
                <w:sz w:val="16"/>
                <w:szCs w:val="16"/>
              </w:rPr>
            </w:pPr>
            <w:r>
              <w:rPr>
                <w:rFonts w:ascii="Verdana" w:eastAsia="Verdana" w:hAnsi="Verdana" w:cs="Verdana"/>
                <w:sz w:val="16"/>
                <w:szCs w:val="16"/>
              </w:rPr>
              <w:t>Martha Alicia Romero Vargas</w:t>
            </w:r>
          </w:p>
          <w:p w14:paraId="4F66E771" w14:textId="77777777" w:rsidR="00365E5A" w:rsidRDefault="00365E5A">
            <w:pPr>
              <w:rPr>
                <w:rFonts w:ascii="Verdana" w:eastAsia="Verdana" w:hAnsi="Verdana" w:cs="Verdana"/>
                <w:sz w:val="16"/>
                <w:szCs w:val="16"/>
              </w:rPr>
            </w:pPr>
            <w:r>
              <w:rPr>
                <w:rFonts w:ascii="Verdana" w:eastAsia="Verdana" w:hAnsi="Verdana" w:cs="Verdana"/>
                <w:sz w:val="16"/>
                <w:szCs w:val="16"/>
              </w:rPr>
              <w:t xml:space="preserve">Gestor T1-15 </w:t>
            </w:r>
            <w:r w:rsidRPr="3F869DD7">
              <w:rPr>
                <w:rFonts w:ascii="Verdana" w:eastAsia="Verdana" w:hAnsi="Verdana" w:cs="Verdana"/>
                <w:sz w:val="16"/>
                <w:szCs w:val="16"/>
              </w:rPr>
              <w:t>de la Subdirección de Gestión Contractual</w:t>
            </w:r>
          </w:p>
        </w:tc>
      </w:tr>
      <w:tr w:rsidR="00365E5A" w14:paraId="098BB7BA" w14:textId="77777777">
        <w:trPr>
          <w:trHeight w:val="300"/>
        </w:trPr>
        <w:tc>
          <w:tcPr>
            <w:tcW w:w="1185" w:type="dxa"/>
            <w:tcBorders>
              <w:top w:val="nil"/>
              <w:left w:val="nil"/>
              <w:bottom w:val="nil"/>
              <w:right w:val="nil"/>
            </w:tcBorders>
            <w:tcMar>
              <w:left w:w="105" w:type="dxa"/>
              <w:right w:w="105" w:type="dxa"/>
            </w:tcMar>
            <w:vAlign w:val="center"/>
          </w:tcPr>
          <w:p w14:paraId="0BE14E2A" w14:textId="77777777" w:rsidR="00365E5A" w:rsidRDefault="00365E5A">
            <w:pPr>
              <w:rPr>
                <w:rFonts w:ascii="Verdana" w:eastAsia="Verdana" w:hAnsi="Verdana" w:cs="Verdana"/>
                <w:sz w:val="16"/>
                <w:szCs w:val="16"/>
              </w:rPr>
            </w:pPr>
            <w:r w:rsidRPr="3F869DD7">
              <w:rPr>
                <w:rFonts w:ascii="Verdana" w:eastAsia="Verdana" w:hAnsi="Verdana" w:cs="Verdana"/>
                <w:sz w:val="16"/>
                <w:szCs w:val="16"/>
              </w:rPr>
              <w:t>Aprobó:</w:t>
            </w:r>
          </w:p>
        </w:tc>
        <w:tc>
          <w:tcPr>
            <w:tcW w:w="5925" w:type="dxa"/>
            <w:tcBorders>
              <w:top w:val="dotted" w:sz="4" w:space="0" w:color="7F7F7F" w:themeColor="text1" w:themeTint="80"/>
              <w:left w:val="nil"/>
              <w:bottom w:val="dotted" w:sz="4" w:space="0" w:color="7F7F7F" w:themeColor="text1" w:themeTint="80"/>
              <w:right w:val="nil"/>
            </w:tcBorders>
            <w:tcMar>
              <w:left w:w="105" w:type="dxa"/>
              <w:right w:w="105" w:type="dxa"/>
            </w:tcMar>
            <w:vAlign w:val="center"/>
          </w:tcPr>
          <w:p w14:paraId="5D805ED9" w14:textId="77777777" w:rsidR="00365E5A" w:rsidRDefault="00365E5A">
            <w:pPr>
              <w:rPr>
                <w:rFonts w:ascii="Verdana" w:eastAsia="Verdana" w:hAnsi="Verdana" w:cs="Verdana"/>
                <w:sz w:val="16"/>
                <w:szCs w:val="16"/>
              </w:rPr>
            </w:pPr>
            <w:r w:rsidRPr="3F869DD7">
              <w:rPr>
                <w:rFonts w:ascii="Verdana" w:eastAsia="Verdana" w:hAnsi="Verdana" w:cs="Verdana"/>
                <w:sz w:val="16"/>
                <w:szCs w:val="16"/>
              </w:rPr>
              <w:t>Carolina Quintero Gacharná</w:t>
            </w:r>
          </w:p>
          <w:p w14:paraId="20C39083" w14:textId="77777777" w:rsidR="00365E5A" w:rsidRDefault="00365E5A">
            <w:pPr>
              <w:rPr>
                <w:rFonts w:ascii="Verdana" w:eastAsia="Verdana" w:hAnsi="Verdana" w:cs="Verdana"/>
                <w:sz w:val="16"/>
                <w:szCs w:val="16"/>
              </w:rPr>
            </w:pPr>
            <w:r w:rsidRPr="3F869DD7">
              <w:rPr>
                <w:rFonts w:ascii="Verdana" w:eastAsia="Verdana" w:hAnsi="Verdana" w:cs="Verdana"/>
                <w:sz w:val="16"/>
                <w:szCs w:val="16"/>
              </w:rPr>
              <w:t>Subdirectora de Gestión Contractual ANCP – CCE</w:t>
            </w:r>
          </w:p>
        </w:tc>
      </w:tr>
      <w:bookmarkEnd w:id="0"/>
    </w:tbl>
    <w:p w14:paraId="69BC4D14" w14:textId="1D8315F4" w:rsidR="00C15139" w:rsidRPr="000E2B93" w:rsidRDefault="00C15139" w:rsidP="30821638">
      <w:pPr>
        <w:spacing w:after="0" w:line="240" w:lineRule="auto"/>
        <w:textAlignment w:val="baseline"/>
        <w:rPr>
          <w:rFonts w:ascii="Verdana" w:eastAsia="Verdana" w:hAnsi="Verdana" w:cs="Verdana"/>
          <w:lang w:eastAsia="es-CO"/>
        </w:rPr>
      </w:pPr>
    </w:p>
    <w:sectPr w:rsidR="00C15139" w:rsidRPr="000E2B93" w:rsidSect="007C0C0F">
      <w:headerReference w:type="default" r:id="rId17"/>
      <w:footerReference w:type="default" r:id="rId18"/>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EB33E" w14:textId="77777777" w:rsidR="004301DE" w:rsidRDefault="004301DE" w:rsidP="004A1847">
      <w:pPr>
        <w:spacing w:after="0" w:line="240" w:lineRule="auto"/>
      </w:pPr>
      <w:r>
        <w:separator/>
      </w:r>
    </w:p>
  </w:endnote>
  <w:endnote w:type="continuationSeparator" w:id="0">
    <w:p w14:paraId="54B5F399" w14:textId="77777777" w:rsidR="004301DE" w:rsidRDefault="004301DE"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B5662" w14:textId="77777777" w:rsidR="004301DE" w:rsidRDefault="004301DE" w:rsidP="004A1847">
      <w:pPr>
        <w:spacing w:after="0" w:line="240" w:lineRule="auto"/>
      </w:pPr>
      <w:r>
        <w:separator/>
      </w:r>
    </w:p>
  </w:footnote>
  <w:footnote w:type="continuationSeparator" w:id="0">
    <w:p w14:paraId="00D01D00" w14:textId="77777777" w:rsidR="004301DE" w:rsidRDefault="004301DE" w:rsidP="004A1847">
      <w:pPr>
        <w:spacing w:after="0" w:line="240" w:lineRule="auto"/>
      </w:pPr>
      <w:r>
        <w:continuationSeparator/>
      </w:r>
    </w:p>
  </w:footnote>
  <w:footnote w:id="1">
    <w:p w14:paraId="1EA2B457" w14:textId="77777777" w:rsidR="00365E5A" w:rsidRPr="00EB1E25" w:rsidRDefault="00365E5A" w:rsidP="00365E5A">
      <w:pPr>
        <w:pStyle w:val="Textonotapie"/>
        <w:ind w:firstLine="708"/>
        <w:jc w:val="both"/>
        <w:rPr>
          <w:rFonts w:ascii="Verdana" w:hAnsi="Verdana"/>
          <w:sz w:val="18"/>
          <w:szCs w:val="18"/>
        </w:rPr>
      </w:pPr>
      <w:r w:rsidRPr="00EB1E25">
        <w:rPr>
          <w:rStyle w:val="Refdenotaalpie"/>
          <w:rFonts w:ascii="Verdana" w:hAnsi="Verdana"/>
          <w:sz w:val="18"/>
          <w:szCs w:val="18"/>
        </w:rPr>
        <w:footnoteRef/>
      </w:r>
      <w:r w:rsidRPr="00EB1E25">
        <w:rPr>
          <w:rFonts w:ascii="Verdana" w:hAnsi="Verdana"/>
          <w:sz w:val="18"/>
          <w:szCs w:val="18"/>
        </w:rPr>
        <w:t xml:space="preserve"> Resolución 539 del 21 de agosto de 2025, artículo 23. “Vigencia. La presente resolución rige a partir de su publicación y aplicará a los procedimientos de selección de licitación de obra pública de infraestructura social en los sectores educación, salud, cultura, recreación y deporte, institucional y vivienda, cuyo aviso de convocatoria sea publicado a partir del 16 de febrero de 2026”.</w:t>
      </w:r>
    </w:p>
    <w:p w14:paraId="62ED39CE" w14:textId="77777777" w:rsidR="00365E5A" w:rsidRPr="00EB1E25" w:rsidRDefault="00365E5A" w:rsidP="00365E5A">
      <w:pPr>
        <w:pStyle w:val="Textonotapie"/>
        <w:ind w:firstLine="708"/>
        <w:jc w:val="both"/>
        <w:rPr>
          <w:rFonts w:ascii="Verdana" w:hAnsi="Verdana"/>
          <w:sz w:val="18"/>
          <w:szCs w:val="18"/>
        </w:rPr>
      </w:pPr>
    </w:p>
    <w:p w14:paraId="41CF89A0" w14:textId="77777777" w:rsidR="00365E5A" w:rsidRPr="00EB1E25" w:rsidRDefault="00365E5A" w:rsidP="00365E5A">
      <w:pPr>
        <w:pStyle w:val="Textonotapie"/>
        <w:ind w:firstLine="708"/>
        <w:jc w:val="both"/>
        <w:rPr>
          <w:rFonts w:ascii="Verdana" w:hAnsi="Verdana"/>
          <w:sz w:val="18"/>
          <w:szCs w:val="18"/>
        </w:rPr>
      </w:pPr>
      <w:r w:rsidRPr="00EB1E25">
        <w:rPr>
          <w:rFonts w:ascii="Verdana" w:hAnsi="Verdana"/>
          <w:sz w:val="18"/>
          <w:szCs w:val="18"/>
        </w:rPr>
        <w:t>Resolución 540 del 21 de agosto de 2025, artículo 22. Vigencia. La presente resolución rige a partir de su publicación y aplicará a los procedimientos de selección abreviada de menor cuantía de obra pública de infraestructura social de los sectores educación, salud, cultura, recreación y deporte, institucional y vivienda, cuyo aviso de convocatoria sea publicado a partir del 16 de febrero de 2026.</w:t>
      </w:r>
    </w:p>
    <w:p w14:paraId="51DF8748" w14:textId="77777777" w:rsidR="00365E5A" w:rsidRPr="00EB1E25" w:rsidRDefault="00365E5A" w:rsidP="00365E5A">
      <w:pPr>
        <w:pStyle w:val="Textonotapie"/>
        <w:ind w:firstLine="708"/>
        <w:jc w:val="both"/>
        <w:rPr>
          <w:rFonts w:ascii="Verdana" w:hAnsi="Verdana"/>
          <w:sz w:val="18"/>
          <w:szCs w:val="18"/>
        </w:rPr>
      </w:pPr>
    </w:p>
    <w:p w14:paraId="0755ABED" w14:textId="77777777" w:rsidR="00365E5A" w:rsidRPr="00EB1E25" w:rsidRDefault="00365E5A" w:rsidP="00365E5A">
      <w:pPr>
        <w:pStyle w:val="Textonotapie"/>
        <w:ind w:firstLine="708"/>
        <w:jc w:val="both"/>
        <w:rPr>
          <w:rFonts w:ascii="Verdana" w:hAnsi="Verdana"/>
          <w:sz w:val="18"/>
          <w:szCs w:val="18"/>
        </w:rPr>
      </w:pPr>
      <w:r w:rsidRPr="00EB1E25">
        <w:rPr>
          <w:rFonts w:ascii="Verdana" w:hAnsi="Verdana"/>
          <w:sz w:val="18"/>
          <w:szCs w:val="18"/>
        </w:rPr>
        <w:t>Resolución 541 del 21 de agosto de 2025, artículo 22. Vigencia. La presente resolución rige a partir de su publicación y aplicará a los procedimientos de mínima cuantía de obra pública de infraestructura de los sectores educación, salud, cultura, recreación y deporte, institucional y vivienda, cuyo aviso de convocatoria sea publicado a partir del 16 de febrero de 2026.</w:t>
      </w:r>
    </w:p>
    <w:p w14:paraId="7CB1639C" w14:textId="77777777" w:rsidR="00365E5A" w:rsidRPr="00EB1E25" w:rsidRDefault="00365E5A" w:rsidP="00365E5A">
      <w:pPr>
        <w:pStyle w:val="Textonotapie"/>
        <w:ind w:firstLine="708"/>
        <w:jc w:val="both"/>
        <w:rPr>
          <w:rFonts w:ascii="Verdana" w:hAnsi="Verdana"/>
          <w:sz w:val="18"/>
          <w:szCs w:val="18"/>
        </w:rPr>
      </w:pPr>
    </w:p>
    <w:p w14:paraId="3C474092" w14:textId="77777777" w:rsidR="00365E5A" w:rsidRPr="00EB1E25" w:rsidRDefault="00365E5A" w:rsidP="00365E5A">
      <w:pPr>
        <w:pStyle w:val="Textonotapie"/>
        <w:ind w:firstLine="708"/>
        <w:jc w:val="both"/>
        <w:rPr>
          <w:rFonts w:ascii="Verdana" w:hAnsi="Verdana"/>
          <w:sz w:val="18"/>
          <w:szCs w:val="18"/>
        </w:rPr>
      </w:pPr>
      <w:r w:rsidRPr="00EB1E25">
        <w:rPr>
          <w:rFonts w:ascii="Verdana" w:hAnsi="Verdana"/>
          <w:sz w:val="18"/>
          <w:szCs w:val="18"/>
        </w:rPr>
        <w:t>Resolución 952 del 15 de diciembre de 2025, artículo 22. Vigencia. La presente resolución rige a partir de su publicación, y aplicará para los procesos de selección de concurso de méritos para contratar la consultoría de estudios de ingeniería de infraestructura social en los sectores educación, salud, cultura, recreación y deporte, institucional y vivienda, cuyo aviso de convocatoria se publique a partir del 16 de febrero de 2026.</w:t>
      </w:r>
    </w:p>
    <w:p w14:paraId="14850645" w14:textId="77777777" w:rsidR="00365E5A" w:rsidRPr="00EB1E25" w:rsidRDefault="00365E5A" w:rsidP="00365E5A">
      <w:pPr>
        <w:pStyle w:val="Textonotapie"/>
        <w:ind w:firstLine="708"/>
        <w:jc w:val="both"/>
        <w:rPr>
          <w:rFonts w:ascii="Verdana" w:hAnsi="Verdana"/>
          <w:sz w:val="18"/>
          <w:szCs w:val="18"/>
        </w:rPr>
      </w:pPr>
    </w:p>
    <w:p w14:paraId="4E4E47C1" w14:textId="77777777" w:rsidR="00365E5A" w:rsidRPr="00EB1E25" w:rsidRDefault="00365E5A" w:rsidP="00365E5A">
      <w:pPr>
        <w:pStyle w:val="Textonotapie"/>
        <w:ind w:firstLine="708"/>
        <w:jc w:val="both"/>
        <w:rPr>
          <w:rFonts w:ascii="Verdana" w:hAnsi="Verdana"/>
          <w:sz w:val="18"/>
          <w:szCs w:val="18"/>
        </w:rPr>
      </w:pPr>
      <w:r w:rsidRPr="00EB1E25">
        <w:rPr>
          <w:rFonts w:ascii="Verdana" w:hAnsi="Verdana"/>
          <w:sz w:val="18"/>
          <w:szCs w:val="18"/>
        </w:rPr>
        <w:t>Resolución 953 del 15 de diciembre de 2025, artículo 22. Vigencia y derogatorias. La presente resolución rige a partir de su publicación, deroga la Resolución 798 del 29 de diciembre de 2023 y sus modificaciones posteriores, y aplicará para los procesos de selección de concurso de méritos para contratar la interventoría de obras públicas de infraestructura social en los sectores educación, salud, cultura, recreación y deporte, institucional y vivienda, cuyo aviso de convocatoria se publique a partir del 16 de febrero de 2026.</w:t>
      </w:r>
    </w:p>
  </w:footnote>
  <w:footnote w:id="2">
    <w:p w14:paraId="2C2383EB" w14:textId="77777777" w:rsidR="00365E5A" w:rsidRPr="00FA119E" w:rsidRDefault="00365E5A" w:rsidP="00365E5A">
      <w:pPr>
        <w:pStyle w:val="Textonotapie"/>
        <w:rPr>
          <w:rFonts w:cstheme="minorHAnsi"/>
          <w:sz w:val="16"/>
          <w:szCs w:val="16"/>
        </w:rPr>
      </w:pPr>
      <w:r w:rsidRPr="00FA119E">
        <w:rPr>
          <w:rStyle w:val="Refdenotaalpie"/>
          <w:rFonts w:cstheme="minorHAnsi"/>
          <w:sz w:val="16"/>
          <w:szCs w:val="16"/>
        </w:rPr>
        <w:footnoteRef/>
      </w:r>
      <w:r w:rsidRPr="00FA119E">
        <w:rPr>
          <w:rFonts w:cstheme="minorHAnsi"/>
          <w:sz w:val="16"/>
          <w:szCs w:val="16"/>
        </w:rPr>
        <w:t xml:space="preserve"> Ley 1682 de 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 o:bullet="t">
        <v:imagedata r:id="rId1" o:title="mso1B13"/>
      </v:shape>
    </w:pict>
  </w:numPicBullet>
  <w:abstractNum w:abstractNumId="0" w15:restartNumberingAfterBreak="0">
    <w:nsid w:val="01C06310"/>
    <w:multiLevelType w:val="multilevel"/>
    <w:tmpl w:val="9B2EAF2E"/>
    <w:lvl w:ilvl="0">
      <w:start w:val="1"/>
      <w:numFmt w:val="decimal"/>
      <w:lvlText w:val="%1."/>
      <w:lvlJc w:val="left"/>
      <w:pPr>
        <w:ind w:left="360" w:hanging="360"/>
      </w:pPr>
      <w:rPr>
        <w:b/>
        <w:color w:val="auto"/>
      </w:rPr>
    </w:lvl>
    <w:lvl w:ilvl="1">
      <w:start w:val="2"/>
      <w:numFmt w:val="decimal"/>
      <w:isLgl/>
      <w:lvlText w:val="%1.%2"/>
      <w:lvlJc w:val="left"/>
      <w:pPr>
        <w:ind w:left="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DB63AE3"/>
    <w:multiLevelType w:val="multilevel"/>
    <w:tmpl w:val="F1D87C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9E4184"/>
    <w:multiLevelType w:val="multilevel"/>
    <w:tmpl w:val="5E3CA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D726F5"/>
    <w:multiLevelType w:val="hybridMultilevel"/>
    <w:tmpl w:val="EE8E77B4"/>
    <w:lvl w:ilvl="0" w:tplc="C1D210D2">
      <w:start w:val="1"/>
      <w:numFmt w:val="bullet"/>
      <w:lvlText w:val=""/>
      <w:lvlJc w:val="left"/>
      <w:pPr>
        <w:ind w:left="720" w:hanging="360"/>
      </w:pPr>
      <w:rPr>
        <w:rFonts w:ascii="Symbol" w:hAnsi="Symbol" w:hint="default"/>
        <w:color w:val="auto"/>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2" w15:restartNumberingAfterBreak="0">
    <w:nsid w:val="3ECF4E3A"/>
    <w:multiLevelType w:val="multilevel"/>
    <w:tmpl w:val="ADD8B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4"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50A4CEC"/>
    <w:multiLevelType w:val="hybridMultilevel"/>
    <w:tmpl w:val="60C0FE6E"/>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num w:numId="1" w16cid:durableId="948779781">
    <w:abstractNumId w:val="8"/>
  </w:num>
  <w:num w:numId="2" w16cid:durableId="19822139">
    <w:abstractNumId w:val="2"/>
  </w:num>
  <w:num w:numId="3" w16cid:durableId="876742304">
    <w:abstractNumId w:val="6"/>
  </w:num>
  <w:num w:numId="4" w16cid:durableId="2451864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6"/>
  </w:num>
  <w:num w:numId="7" w16cid:durableId="1946422806">
    <w:abstractNumId w:val="7"/>
  </w:num>
  <w:num w:numId="8" w16cid:durableId="152644682">
    <w:abstractNumId w:val="15"/>
  </w:num>
  <w:num w:numId="9" w16cid:durableId="1317221377">
    <w:abstractNumId w:val="9"/>
  </w:num>
  <w:num w:numId="10" w16cid:durableId="1471245386">
    <w:abstractNumId w:val="14"/>
  </w:num>
  <w:num w:numId="11" w16cid:durableId="289172385">
    <w:abstractNumId w:val="10"/>
  </w:num>
  <w:num w:numId="12" w16cid:durableId="1470781324">
    <w:abstractNumId w:val="1"/>
  </w:num>
  <w:num w:numId="13" w16cid:durableId="1512908409">
    <w:abstractNumId w:val="5"/>
  </w:num>
  <w:num w:numId="14" w16cid:durableId="895897244">
    <w:abstractNumId w:val="17"/>
  </w:num>
  <w:num w:numId="15" w16cid:durableId="390349800">
    <w:abstractNumId w:val="13"/>
  </w:num>
  <w:num w:numId="16" w16cid:durableId="1699816028">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7985604">
    <w:abstractNumId w:val="11"/>
  </w:num>
  <w:num w:numId="18" w16cid:durableId="341274352">
    <w:abstractNumId w:val="0"/>
  </w:num>
  <w:num w:numId="19" w16cid:durableId="1201091280">
    <w:abstractNumId w:val="4"/>
  </w:num>
  <w:num w:numId="20" w16cid:durableId="951671707">
    <w:abstractNumId w:val="3"/>
  </w:num>
  <w:num w:numId="21" w16cid:durableId="258685988">
    <w:abstractNumId w:val="12"/>
  </w:num>
  <w:num w:numId="22" w16cid:durableId="1845572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12AB"/>
    <w:rsid w:val="00016F78"/>
    <w:rsid w:val="000210A0"/>
    <w:rsid w:val="0002756A"/>
    <w:rsid w:val="000316C9"/>
    <w:rsid w:val="00036417"/>
    <w:rsid w:val="00046945"/>
    <w:rsid w:val="000572C8"/>
    <w:rsid w:val="00061B2A"/>
    <w:rsid w:val="00082362"/>
    <w:rsid w:val="00096A3F"/>
    <w:rsid w:val="000A683E"/>
    <w:rsid w:val="000B19B9"/>
    <w:rsid w:val="000D0334"/>
    <w:rsid w:val="000D5DA7"/>
    <w:rsid w:val="000F6486"/>
    <w:rsid w:val="00116940"/>
    <w:rsid w:val="00125105"/>
    <w:rsid w:val="00127233"/>
    <w:rsid w:val="0015699B"/>
    <w:rsid w:val="001A33BF"/>
    <w:rsid w:val="001E4177"/>
    <w:rsid w:val="001F0B24"/>
    <w:rsid w:val="001F7DC6"/>
    <w:rsid w:val="0022400B"/>
    <w:rsid w:val="002421BB"/>
    <w:rsid w:val="0025796E"/>
    <w:rsid w:val="002707A2"/>
    <w:rsid w:val="00292E62"/>
    <w:rsid w:val="002951A0"/>
    <w:rsid w:val="00295B24"/>
    <w:rsid w:val="002962BC"/>
    <w:rsid w:val="002A093D"/>
    <w:rsid w:val="002A0DD0"/>
    <w:rsid w:val="002A49AC"/>
    <w:rsid w:val="002A64FD"/>
    <w:rsid w:val="002B55D1"/>
    <w:rsid w:val="002C7A84"/>
    <w:rsid w:val="002E2BF8"/>
    <w:rsid w:val="002E4FD9"/>
    <w:rsid w:val="0030657A"/>
    <w:rsid w:val="00322A85"/>
    <w:rsid w:val="00324168"/>
    <w:rsid w:val="00330834"/>
    <w:rsid w:val="003448F4"/>
    <w:rsid w:val="00365E5A"/>
    <w:rsid w:val="00370522"/>
    <w:rsid w:val="00374F5E"/>
    <w:rsid w:val="00377E3E"/>
    <w:rsid w:val="003802C2"/>
    <w:rsid w:val="003A0B76"/>
    <w:rsid w:val="003A779E"/>
    <w:rsid w:val="003B2C54"/>
    <w:rsid w:val="003D0F4D"/>
    <w:rsid w:val="003D5B0D"/>
    <w:rsid w:val="003E0499"/>
    <w:rsid w:val="003E2489"/>
    <w:rsid w:val="003E4F80"/>
    <w:rsid w:val="003E6439"/>
    <w:rsid w:val="003F3941"/>
    <w:rsid w:val="003F7034"/>
    <w:rsid w:val="00406575"/>
    <w:rsid w:val="00414C74"/>
    <w:rsid w:val="0042722E"/>
    <w:rsid w:val="004301DE"/>
    <w:rsid w:val="00432B54"/>
    <w:rsid w:val="0044528D"/>
    <w:rsid w:val="00466E39"/>
    <w:rsid w:val="004978D2"/>
    <w:rsid w:val="004A1847"/>
    <w:rsid w:val="004A305D"/>
    <w:rsid w:val="004B358F"/>
    <w:rsid w:val="004E50F5"/>
    <w:rsid w:val="004F21C4"/>
    <w:rsid w:val="004F685F"/>
    <w:rsid w:val="0054091F"/>
    <w:rsid w:val="005566E8"/>
    <w:rsid w:val="00572E60"/>
    <w:rsid w:val="00574867"/>
    <w:rsid w:val="00574DBC"/>
    <w:rsid w:val="00591460"/>
    <w:rsid w:val="005A65E0"/>
    <w:rsid w:val="005C3777"/>
    <w:rsid w:val="005C5CDC"/>
    <w:rsid w:val="005D476C"/>
    <w:rsid w:val="005E7BE7"/>
    <w:rsid w:val="00615D12"/>
    <w:rsid w:val="006200BF"/>
    <w:rsid w:val="006219F8"/>
    <w:rsid w:val="006302F7"/>
    <w:rsid w:val="00633B84"/>
    <w:rsid w:val="00646B9F"/>
    <w:rsid w:val="00665D70"/>
    <w:rsid w:val="00672B0E"/>
    <w:rsid w:val="00677732"/>
    <w:rsid w:val="006900D9"/>
    <w:rsid w:val="0069528E"/>
    <w:rsid w:val="00706C16"/>
    <w:rsid w:val="00717BFE"/>
    <w:rsid w:val="007340C3"/>
    <w:rsid w:val="00742830"/>
    <w:rsid w:val="0075235A"/>
    <w:rsid w:val="00756841"/>
    <w:rsid w:val="007649AB"/>
    <w:rsid w:val="00765EB5"/>
    <w:rsid w:val="00771D0C"/>
    <w:rsid w:val="007833AC"/>
    <w:rsid w:val="007877BA"/>
    <w:rsid w:val="007B268C"/>
    <w:rsid w:val="007B7171"/>
    <w:rsid w:val="007C0C0F"/>
    <w:rsid w:val="007C3DC2"/>
    <w:rsid w:val="007E5497"/>
    <w:rsid w:val="00806F5F"/>
    <w:rsid w:val="00820278"/>
    <w:rsid w:val="008258C9"/>
    <w:rsid w:val="00834791"/>
    <w:rsid w:val="00844AE9"/>
    <w:rsid w:val="00867F95"/>
    <w:rsid w:val="008843B6"/>
    <w:rsid w:val="00891928"/>
    <w:rsid w:val="008A42C0"/>
    <w:rsid w:val="008A446D"/>
    <w:rsid w:val="008B25F1"/>
    <w:rsid w:val="008D180B"/>
    <w:rsid w:val="008E137E"/>
    <w:rsid w:val="008F0EA7"/>
    <w:rsid w:val="00923EEF"/>
    <w:rsid w:val="009379F4"/>
    <w:rsid w:val="009419F9"/>
    <w:rsid w:val="009439EA"/>
    <w:rsid w:val="0095685E"/>
    <w:rsid w:val="00961B09"/>
    <w:rsid w:val="00965334"/>
    <w:rsid w:val="0097093E"/>
    <w:rsid w:val="009A0DFA"/>
    <w:rsid w:val="009A1C6F"/>
    <w:rsid w:val="009A6731"/>
    <w:rsid w:val="009B2D26"/>
    <w:rsid w:val="009C71FA"/>
    <w:rsid w:val="009C72E7"/>
    <w:rsid w:val="009C7F7E"/>
    <w:rsid w:val="009D0E13"/>
    <w:rsid w:val="009D3058"/>
    <w:rsid w:val="009F2D97"/>
    <w:rsid w:val="009F3A13"/>
    <w:rsid w:val="00A0256B"/>
    <w:rsid w:val="00A122D3"/>
    <w:rsid w:val="00A14468"/>
    <w:rsid w:val="00A17F13"/>
    <w:rsid w:val="00A20739"/>
    <w:rsid w:val="00A23AF9"/>
    <w:rsid w:val="00A33C78"/>
    <w:rsid w:val="00A40F94"/>
    <w:rsid w:val="00A71511"/>
    <w:rsid w:val="00A802A9"/>
    <w:rsid w:val="00AB0ADB"/>
    <w:rsid w:val="00B00C0E"/>
    <w:rsid w:val="00B01B1A"/>
    <w:rsid w:val="00B0381D"/>
    <w:rsid w:val="00B10054"/>
    <w:rsid w:val="00B1458F"/>
    <w:rsid w:val="00B30008"/>
    <w:rsid w:val="00B44A47"/>
    <w:rsid w:val="00B654EC"/>
    <w:rsid w:val="00B72CD3"/>
    <w:rsid w:val="00B72FFF"/>
    <w:rsid w:val="00BA10EF"/>
    <w:rsid w:val="00BC3D36"/>
    <w:rsid w:val="00BD54A6"/>
    <w:rsid w:val="00BD7F72"/>
    <w:rsid w:val="00BE3549"/>
    <w:rsid w:val="00BF7425"/>
    <w:rsid w:val="00C04FB3"/>
    <w:rsid w:val="00C11D8B"/>
    <w:rsid w:val="00C15139"/>
    <w:rsid w:val="00C330EB"/>
    <w:rsid w:val="00C34A18"/>
    <w:rsid w:val="00C372D9"/>
    <w:rsid w:val="00C50D69"/>
    <w:rsid w:val="00C5365C"/>
    <w:rsid w:val="00C754BE"/>
    <w:rsid w:val="00C76B1C"/>
    <w:rsid w:val="00C925AC"/>
    <w:rsid w:val="00CB6357"/>
    <w:rsid w:val="00CC1B26"/>
    <w:rsid w:val="00CD65AD"/>
    <w:rsid w:val="00CD73F8"/>
    <w:rsid w:val="00D35A6E"/>
    <w:rsid w:val="00D361FD"/>
    <w:rsid w:val="00D423A2"/>
    <w:rsid w:val="00D445F7"/>
    <w:rsid w:val="00D44E26"/>
    <w:rsid w:val="00D520D8"/>
    <w:rsid w:val="00D63AC2"/>
    <w:rsid w:val="00D6426E"/>
    <w:rsid w:val="00D7383B"/>
    <w:rsid w:val="00D7788A"/>
    <w:rsid w:val="00DA231B"/>
    <w:rsid w:val="00DC39FC"/>
    <w:rsid w:val="00DD7E90"/>
    <w:rsid w:val="00DE1F7A"/>
    <w:rsid w:val="00DF5254"/>
    <w:rsid w:val="00E02524"/>
    <w:rsid w:val="00E16408"/>
    <w:rsid w:val="00E20894"/>
    <w:rsid w:val="00E245AB"/>
    <w:rsid w:val="00E2764C"/>
    <w:rsid w:val="00E27F2E"/>
    <w:rsid w:val="00E50AFE"/>
    <w:rsid w:val="00E62494"/>
    <w:rsid w:val="00E6476B"/>
    <w:rsid w:val="00E67D5C"/>
    <w:rsid w:val="00E75C92"/>
    <w:rsid w:val="00E771DC"/>
    <w:rsid w:val="00E8772A"/>
    <w:rsid w:val="00E90F6B"/>
    <w:rsid w:val="00E92C27"/>
    <w:rsid w:val="00E930BE"/>
    <w:rsid w:val="00EA0E3D"/>
    <w:rsid w:val="00EC0A30"/>
    <w:rsid w:val="00EC38A7"/>
    <w:rsid w:val="00EE0E35"/>
    <w:rsid w:val="00EE1AA8"/>
    <w:rsid w:val="00F05C7D"/>
    <w:rsid w:val="00F23FEA"/>
    <w:rsid w:val="00F31EDC"/>
    <w:rsid w:val="00F350FA"/>
    <w:rsid w:val="00F462B3"/>
    <w:rsid w:val="00F5065B"/>
    <w:rsid w:val="00F5664F"/>
    <w:rsid w:val="00F666C4"/>
    <w:rsid w:val="00F76AFC"/>
    <w:rsid w:val="00FA47C0"/>
    <w:rsid w:val="00FA6ECA"/>
    <w:rsid w:val="00FB5DD1"/>
    <w:rsid w:val="00FC2B5D"/>
    <w:rsid w:val="00FD65CC"/>
    <w:rsid w:val="00FF1449"/>
    <w:rsid w:val="00FF4B8A"/>
    <w:rsid w:val="00FF7963"/>
    <w:rsid w:val="071B8F93"/>
    <w:rsid w:val="07C73DD1"/>
    <w:rsid w:val="09908A09"/>
    <w:rsid w:val="0E0AF0F4"/>
    <w:rsid w:val="0EFE6349"/>
    <w:rsid w:val="0FF4CCA8"/>
    <w:rsid w:val="135D1D52"/>
    <w:rsid w:val="13CFC91B"/>
    <w:rsid w:val="19A2EC2C"/>
    <w:rsid w:val="21779BE6"/>
    <w:rsid w:val="2859CA1B"/>
    <w:rsid w:val="2C4D2425"/>
    <w:rsid w:val="2EE1E026"/>
    <w:rsid w:val="2F44F38F"/>
    <w:rsid w:val="30821638"/>
    <w:rsid w:val="32A4F9CF"/>
    <w:rsid w:val="33A1FF93"/>
    <w:rsid w:val="346A1D4E"/>
    <w:rsid w:val="356CEDFD"/>
    <w:rsid w:val="3C591AFD"/>
    <w:rsid w:val="42183F0A"/>
    <w:rsid w:val="49466289"/>
    <w:rsid w:val="49F7FF14"/>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0ADA8134-1A8C-4B21-B794-1BD504BFA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91F"/>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365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365E5A"/>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365E5A"/>
    <w:rPr>
      <w:rFonts w:ascii="Geomanist Light" w:hAnsi="Geomanist Light"/>
      <w:lang w:val="es-ES"/>
    </w:rPr>
  </w:style>
  <w:style w:type="character" w:styleId="Refdecomentario">
    <w:name w:val="annotation reference"/>
    <w:basedOn w:val="Fuentedeprrafopredeter"/>
    <w:uiPriority w:val="99"/>
    <w:semiHidden/>
    <w:unhideWhenUsed/>
    <w:rsid w:val="00742830"/>
    <w:rPr>
      <w:sz w:val="16"/>
      <w:szCs w:val="16"/>
    </w:rPr>
  </w:style>
  <w:style w:type="paragraph" w:styleId="Textocomentario">
    <w:name w:val="annotation text"/>
    <w:basedOn w:val="Normal"/>
    <w:link w:val="TextocomentarioCar"/>
    <w:uiPriority w:val="99"/>
    <w:unhideWhenUsed/>
    <w:rsid w:val="00742830"/>
    <w:pPr>
      <w:spacing w:line="240" w:lineRule="auto"/>
    </w:pPr>
    <w:rPr>
      <w:sz w:val="20"/>
      <w:szCs w:val="20"/>
    </w:rPr>
  </w:style>
  <w:style w:type="character" w:customStyle="1" w:styleId="TextocomentarioCar">
    <w:name w:val="Texto comentario Car"/>
    <w:basedOn w:val="Fuentedeprrafopredeter"/>
    <w:link w:val="Textocomentario"/>
    <w:uiPriority w:val="99"/>
    <w:rsid w:val="00742830"/>
    <w:rPr>
      <w:sz w:val="20"/>
      <w:szCs w:val="20"/>
    </w:rPr>
  </w:style>
  <w:style w:type="paragraph" w:styleId="Asuntodelcomentario">
    <w:name w:val="annotation subject"/>
    <w:basedOn w:val="Textocomentario"/>
    <w:next w:val="Textocomentario"/>
    <w:link w:val="AsuntodelcomentarioCar"/>
    <w:uiPriority w:val="99"/>
    <w:semiHidden/>
    <w:unhideWhenUsed/>
    <w:rsid w:val="00742830"/>
    <w:rPr>
      <w:b/>
      <w:bCs/>
    </w:rPr>
  </w:style>
  <w:style w:type="character" w:customStyle="1" w:styleId="AsuntodelcomentarioCar">
    <w:name w:val="Asunto del comentario Car"/>
    <w:basedOn w:val="TextocomentarioCar"/>
    <w:link w:val="Asuntodelcomentario"/>
    <w:uiPriority w:val="99"/>
    <w:semiHidden/>
    <w:rsid w:val="007428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olombiacompra.gov.co/documentos-tipo/documentos-tip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idoro@hotmail.com"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boletin%2Fboletin-edicion-n-3-de-2026-radar-de-la-compra-publica&amp;data=05%7C02%7Ckevin.herrera%40colombiacompra.gov.co%7C7128555136e04fa6887d08dee99e1b50%7C7b09041e245149d08cb179d5e3d8c1be%7C0%7C0%7C639205062456193009%7CUnknown%7CTWFpbGZsb3d8eyJFbXB0eU1hcGkiOnRydWUsIlYiOiIwLjAuMDAwMCIsIlAiOiJXaW4zMiIsIkFOIjoiTWFpbCIsIldUIjoyfQ%3D%3D%7C0%7C%7C%7C&amp;sdata=UzfkgEtiaYEyHEetqxt855f8AuP5LYxtk7vvEUZbYA4%3D&amp;reserved=0"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2-de-2026&amp;data=05%7C02%7Ckevin.herrera%40colombiacompra.gov.co%7C7128555136e04fa6887d08dee99e1b50%7C7b09041e245149d08cb179d5e3d8c1be%7C0%7C0%7C639205062456173273%7CUnknown%7CTWFpbGZsb3d8eyJFbXB0eU1hcGkiOnRydWUsIlYiOiIwLjAuMDAwMCIsIlAiOiJXaW4zMiIsIkFOIjoiTWFpbCIsIldUIjoyfQ%3D%3D%7C0%7C%7C%7C&amp;sdata=pFF2weTDwTja7q6Ap9s%2BCx5YiMno7NDP4mFhEzjkVKM%3D&amp;reserved=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F5D644-7A6E-4A2A-8916-7F3EE30CC614}"/>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7</TotalTime>
  <Pages>20</Pages>
  <Words>6982</Words>
  <Characters>38401</Characters>
  <Application>Microsoft Office Word</Application>
  <DocSecurity>0</DocSecurity>
  <Lines>320</Lines>
  <Paragraphs>90</Paragraphs>
  <ScaleCrop>false</ScaleCrop>
  <Company/>
  <LinksUpToDate>false</LinksUpToDate>
  <CharactersWithSpaces>45293</CharactersWithSpaces>
  <SharedDoc>false</SharedDoc>
  <HLinks>
    <vt:vector size="42" baseType="variant">
      <vt:variant>
        <vt:i4>8126526</vt:i4>
      </vt:variant>
      <vt:variant>
        <vt:i4>18</vt:i4>
      </vt:variant>
      <vt:variant>
        <vt:i4>0</vt:i4>
      </vt:variant>
      <vt:variant>
        <vt:i4>5</vt:i4>
      </vt:variant>
      <vt:variant>
        <vt:lpwstr>https://nam02.safelinks.protection.outlook.com/?url=https%3A%2F%2Fwww.colombiacompra.gov.co%2Farchivos%2Fboletin%2Fboletin-edicion-n-3-de-2026-radar-de-la-compra-publica&amp;data=05%7C02%7Ckevin.herrera%40colombiacompra.gov.co%7C7128555136e04fa6887d08dee99e1b50%7C7b09041e245149d08cb179d5e3d8c1be%7C0%7C0%7C639205062456193009%7CUnknown%7CTWFpbGZsb3d8eyJFbXB0eU1hcGkiOnRydWUsIlYiOiIwLjAuMDAwMCIsIlAiOiJXaW4zMiIsIkFOIjoiTWFpbCIsIldUIjoyfQ%3D%3D%7C0%7C%7C%7C&amp;sdata=UzfkgEtiaYEyHEetqxt855f8AuP5LYxtk7vvEUZbYA4%3D&amp;reserved=0</vt:lpwstr>
      </vt:variant>
      <vt:variant>
        <vt:lpwstr/>
      </vt:variant>
      <vt:variant>
        <vt:i4>8060982</vt:i4>
      </vt:variant>
      <vt:variant>
        <vt:i4>15</vt:i4>
      </vt:variant>
      <vt:variant>
        <vt:i4>0</vt:i4>
      </vt:variant>
      <vt:variant>
        <vt:i4>5</vt:i4>
      </vt:variant>
      <vt:variant>
        <vt:lpwstr>https://nam02.safelinks.protection.outlook.com/?url=https%3A%2F%2Fwww.colombiacompra.gov.co%2Farchivos%2Fcircular%2Fcircular-externa-002-de-2026&amp;data=05%7C02%7Ckevin.herrera%40colombiacompra.gov.co%7C7128555136e04fa6887d08dee99e1b50%7C7b09041e245149d08cb179d5e3d8c1be%7C0%7C0%7C639205062456173273%7CUnknown%7CTWFpbGZsb3d8eyJFbXB0eU1hcGkiOnRydWUsIlYiOiIwLjAuMDAwMCIsIlAiOiJXaW4zMiIsIkFOIjoiTWFpbCIsIldUIjoyfQ%3D%3D%7C0%7C%7C%7C&amp;sdata=pFF2weTDwTja7q6Ap9s%2BCx5YiMno7NDP4mFhEzjkVKM%3D&amp;reserved=0</vt:lpwstr>
      </vt:variant>
      <vt:variant>
        <vt:lpwstr/>
      </vt:variant>
      <vt:variant>
        <vt:i4>7995446</vt:i4>
      </vt:variant>
      <vt:variant>
        <vt:i4>12</vt:i4>
      </vt:variant>
      <vt:variant>
        <vt:i4>0</vt:i4>
      </vt:variant>
      <vt:variant>
        <vt:i4>5</vt:i4>
      </vt:variant>
      <vt:variant>
        <vt:lpwstr>https://nam02.safelinks.protection.outlook.com/?url=https%3A%2F%2Fwww.colombiacompra.gov.co%2Farchivos%2Fcircular%2Fcircular-externa-003-de-2026&amp;data=05%7C02%7Ckevin.herrera%40colombiacompra.gov.co%7C7128555136e04fa6887d08dee99e1b50%7C7b09041e245149d08cb179d5e3d8c1be%7C0%7C0%7C639205062456152838%7CUnknown%7CTWFpbGZsb3d8eyJFbXB0eU1hcGkiOnRydWUsIlYiOiIwLjAuMDAwMCIsIlAiOiJXaW4zMiIsIkFOIjoiTWFpbCIsIldUIjoyfQ%3D%3D%7C0%7C%7C%7C&amp;sdata=bgDPR1P0CVRLi6mk9%2BWdCPNYTnkaFQJscHNWdb%2FEGkw%3D&amp;reserved=0</vt:lpwstr>
      </vt:variant>
      <vt:variant>
        <vt:lpwstr/>
      </vt:variant>
      <vt:variant>
        <vt:i4>6815795</vt:i4>
      </vt:variant>
      <vt:variant>
        <vt:i4>9</vt:i4>
      </vt:variant>
      <vt:variant>
        <vt:i4>0</vt:i4>
      </vt:variant>
      <vt:variant>
        <vt:i4>5</vt:i4>
      </vt:variant>
      <vt:variant>
        <vt:lpwstr>https://nam02.safelinks.protection.outlook.com/?url=https%3A%2F%2Fwww.colombiacompra.gov.co%2Farchivos%2Fmanual%2Fguia-de-garantias-en-procesos-de-contratacion&amp;data=05%7C02%7Ckevin.herrera%40colombiacompra.gov.co%7C7128555136e04fa6887d08dee99e1b50%7C7b09041e245149d08cb179d5e3d8c1be%7C0%7C0%7C639205062456125663%7CUnknown%7CTWFpbGZsb3d8eyJFbXB0eU1hcGkiOnRydWUsIlYiOiIwLjAuMDAwMCIsIlAiOiJXaW4zMiIsIkFOIjoiTWFpbCIsIldUIjoyfQ%3D%3D%7C0%7C%7C%7C&amp;sdata=Ldbf5hiM2miaBuoT6GaOxk01ChsdPNYZcsyx%2BC3HcKE%3D&amp;reserved=0</vt:lpwstr>
      </vt:variant>
      <vt:variant>
        <vt:lpwstr/>
      </vt:variant>
      <vt:variant>
        <vt:i4>7471218</vt:i4>
      </vt:variant>
      <vt:variant>
        <vt:i4>6</vt:i4>
      </vt:variant>
      <vt:variant>
        <vt:i4>0</vt:i4>
      </vt:variant>
      <vt:variant>
        <vt:i4>5</vt:i4>
      </vt:variant>
      <vt:variant>
        <vt:lpwstr>https://relatoria.colombiacompra.gov.co/busqueda/conceptos</vt:lpwstr>
      </vt:variant>
      <vt:variant>
        <vt:lpwstr/>
      </vt:variant>
      <vt:variant>
        <vt:i4>4653144</vt:i4>
      </vt:variant>
      <vt:variant>
        <vt:i4>3</vt:i4>
      </vt:variant>
      <vt:variant>
        <vt:i4>0</vt:i4>
      </vt:variant>
      <vt:variant>
        <vt:i4>5</vt:i4>
      </vt:variant>
      <vt:variant>
        <vt:lpwstr>https://www.colombiacompra.gov.co/documentos-tipo/documentos-tipo</vt:lpwstr>
      </vt:variant>
      <vt:variant>
        <vt:lpwstr/>
      </vt:variant>
      <vt:variant>
        <vt:i4>7995473</vt:i4>
      </vt:variant>
      <vt:variant>
        <vt:i4>0</vt:i4>
      </vt:variant>
      <vt:variant>
        <vt:i4>0</vt:i4>
      </vt:variant>
      <vt:variant>
        <vt:i4>5</vt:i4>
      </vt:variant>
      <vt:variant>
        <vt:lpwstr>mailto:didoro@hotmail.com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Denis Andrea Cárdenas Hernández</cp:lastModifiedBy>
  <cp:revision>9</cp:revision>
  <cp:lastPrinted>2023-01-10T21:18:00Z</cp:lastPrinted>
  <dcterms:created xsi:type="dcterms:W3CDTF">2026-09-14T15:50:00Z</dcterms:created>
  <dcterms:modified xsi:type="dcterms:W3CDTF">2026-09-14T15:56:00Z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