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67E84" w14:textId="77777777" w:rsidR="00437E4C" w:rsidRDefault="00D02EE0" w:rsidP="00437E4C">
      <w:pPr>
        <w:spacing w:after="0" w:line="240" w:lineRule="auto"/>
        <w:rPr>
          <w:rFonts w:ascii="Verdana" w:eastAsia="Verdana" w:hAnsi="Verdana" w:cs="Verdana"/>
          <w:sz w:val="24"/>
          <w:szCs w:val="24"/>
        </w:rPr>
      </w:pPr>
      <w:bookmarkStart w:id="0" w:name="_Hlk143780582"/>
      <w:r w:rsidRPr="00437E4C">
        <w:rPr>
          <w:rFonts w:ascii="Verdana" w:eastAsia="Verdana" w:hAnsi="Verdana" w:cs="Verdana"/>
          <w:sz w:val="24"/>
          <w:szCs w:val="24"/>
        </w:rPr>
        <w:t xml:space="preserve">                                                                                                                                   </w:t>
      </w:r>
      <w:r w:rsidR="002100CC" w:rsidRPr="00437E4C">
        <w:rPr>
          <w:rFonts w:ascii="Verdana" w:eastAsia="Verdana" w:hAnsi="Verdana" w:cs="Verdana"/>
          <w:b/>
          <w:bCs/>
        </w:rPr>
        <w:t xml:space="preserve">CONTRATO DE SUMINISTRO – Definición – Naturaleza </w:t>
      </w:r>
    </w:p>
    <w:p w14:paraId="372600CB" w14:textId="77777777" w:rsidR="00437E4C" w:rsidRDefault="00437E4C" w:rsidP="00437E4C">
      <w:pPr>
        <w:spacing w:after="0" w:line="240" w:lineRule="auto"/>
        <w:rPr>
          <w:rFonts w:ascii="Verdana" w:eastAsia="Verdana" w:hAnsi="Verdana" w:cs="Verdana"/>
          <w:sz w:val="24"/>
          <w:szCs w:val="24"/>
        </w:rPr>
      </w:pPr>
    </w:p>
    <w:p w14:paraId="272E22D5" w14:textId="1A909161" w:rsidR="002100CC" w:rsidRPr="00437E4C" w:rsidRDefault="002100CC" w:rsidP="00437E4C">
      <w:pPr>
        <w:spacing w:after="0" w:line="240" w:lineRule="auto"/>
        <w:jc w:val="both"/>
        <w:rPr>
          <w:rFonts w:ascii="Verdana" w:eastAsia="Verdana" w:hAnsi="Verdana" w:cs="Verdana"/>
          <w:sz w:val="24"/>
          <w:szCs w:val="24"/>
        </w:rPr>
      </w:pPr>
      <w:r w:rsidRPr="002100CC">
        <w:rPr>
          <w:rFonts w:ascii="Verdana" w:eastAsia="Verdana" w:hAnsi="Verdana" w:cs="Verdana"/>
          <w:sz w:val="20"/>
          <w:szCs w:val="20"/>
        </w:rPr>
        <w:t>Actualmente, el contrato de suministro tiene una función económica importante, sirviendo como instrumento para que un proveedor pueda proyectar su actividad comercial, planificar su producción y las ventas, brindando certeza sobre el abastecimiento periódico de materias primas, bienes o servicios que el primero necesita del segundo, a cambio de una correlativa remuneración.</w:t>
      </w:r>
    </w:p>
    <w:p w14:paraId="3F658EE2" w14:textId="77777777" w:rsidR="00437E4C" w:rsidRDefault="00437E4C" w:rsidP="00437E4C">
      <w:pPr>
        <w:spacing w:line="240" w:lineRule="auto"/>
        <w:jc w:val="both"/>
        <w:rPr>
          <w:rFonts w:ascii="Verdana" w:eastAsia="Verdana" w:hAnsi="Verdana" w:cs="Verdana"/>
          <w:sz w:val="20"/>
          <w:szCs w:val="20"/>
        </w:rPr>
      </w:pPr>
    </w:p>
    <w:p w14:paraId="4DB0529F" w14:textId="47F93B52" w:rsidR="002100CC" w:rsidRPr="002100CC" w:rsidRDefault="002100CC" w:rsidP="00437E4C">
      <w:pPr>
        <w:spacing w:line="240" w:lineRule="auto"/>
        <w:jc w:val="both"/>
        <w:rPr>
          <w:rFonts w:ascii="Verdana" w:eastAsia="Verdana" w:hAnsi="Verdana" w:cs="Verdana"/>
          <w:sz w:val="20"/>
          <w:szCs w:val="20"/>
        </w:rPr>
      </w:pPr>
      <w:r w:rsidRPr="002100CC">
        <w:rPr>
          <w:rFonts w:ascii="Verdana" w:eastAsia="Verdana" w:hAnsi="Verdana" w:cs="Verdana"/>
          <w:sz w:val="20"/>
          <w:szCs w:val="20"/>
        </w:rPr>
        <w:t>En el ordenamiento jurídico colombiano este está definido en el artículo 968 del Código de Comercio como el negocio jurídico “por el cual una parte se obliga, a cambio de una contraprestación, a cumplir en favor de otra, en forma independiente, prestaciones periódicas o continuadas de cosas o servicios”</w:t>
      </w:r>
    </w:p>
    <w:p w14:paraId="449A8F8C" w14:textId="7037FDCF" w:rsidR="002100CC" w:rsidRPr="00437E4C" w:rsidRDefault="002100CC" w:rsidP="00437E4C">
      <w:pPr>
        <w:spacing w:line="240" w:lineRule="auto"/>
        <w:jc w:val="both"/>
        <w:rPr>
          <w:rFonts w:ascii="Verdana" w:eastAsia="Verdana" w:hAnsi="Verdana" w:cs="Verdana"/>
          <w:b/>
          <w:bCs/>
        </w:rPr>
      </w:pPr>
      <w:r w:rsidRPr="00437E4C">
        <w:rPr>
          <w:rFonts w:ascii="Verdana" w:eastAsia="Verdana" w:hAnsi="Verdana" w:cs="Verdana"/>
          <w:b/>
          <w:bCs/>
        </w:rPr>
        <w:t xml:space="preserve">CONTRATO DE PRESTACIÓN DE SERVICIOS – Naturaleza – Características </w:t>
      </w:r>
    </w:p>
    <w:p w14:paraId="24BD4AC3" w14:textId="50F96EB2" w:rsidR="002100CC" w:rsidRPr="002100CC" w:rsidRDefault="002100CC" w:rsidP="00437E4C">
      <w:pPr>
        <w:spacing w:line="240" w:lineRule="auto"/>
        <w:jc w:val="both"/>
        <w:rPr>
          <w:rFonts w:ascii="Verdana" w:eastAsia="Verdana" w:hAnsi="Verdana" w:cs="Verdana"/>
          <w:sz w:val="20"/>
          <w:szCs w:val="20"/>
        </w:rPr>
      </w:pPr>
      <w:r w:rsidRPr="002100CC">
        <w:rPr>
          <w:rFonts w:ascii="Verdana" w:eastAsia="Verdana" w:hAnsi="Verdana" w:cs="Verdana"/>
          <w:sz w:val="20"/>
          <w:szCs w:val="20"/>
        </w:rPr>
        <w:t>[…] Se trata de un contrato típico, ya que está definido en la Ley, puntualmente en el numeral 3º del artículo 32 de la Ley 80 de 1993, el cual establece lo siguiente: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02DBB13D" w14:textId="0DD8C219" w:rsidR="002100CC" w:rsidRPr="002100CC" w:rsidRDefault="002100CC" w:rsidP="00437E4C">
      <w:pPr>
        <w:spacing w:line="240" w:lineRule="auto"/>
        <w:jc w:val="both"/>
        <w:rPr>
          <w:rFonts w:ascii="Verdana" w:eastAsia="Verdana" w:hAnsi="Verdana" w:cs="Verdana"/>
          <w:sz w:val="20"/>
          <w:szCs w:val="20"/>
        </w:rPr>
      </w:pPr>
      <w:r w:rsidRPr="002100CC">
        <w:rPr>
          <w:rFonts w:ascii="Verdana" w:eastAsia="Verdana" w:hAnsi="Verdana" w:cs="Verdana"/>
          <w:sz w:val="20"/>
          <w:szCs w:val="20"/>
        </w:rPr>
        <w:t>[…]</w:t>
      </w:r>
    </w:p>
    <w:p w14:paraId="412B119B" w14:textId="77777777" w:rsidR="002100CC" w:rsidRPr="002100CC" w:rsidRDefault="002100CC" w:rsidP="00437E4C">
      <w:pPr>
        <w:spacing w:line="240" w:lineRule="auto"/>
        <w:jc w:val="both"/>
        <w:rPr>
          <w:rFonts w:ascii="Verdana" w:eastAsia="Verdana" w:hAnsi="Verdana" w:cs="Verdana"/>
          <w:sz w:val="20"/>
          <w:szCs w:val="20"/>
        </w:rPr>
      </w:pPr>
      <w:r w:rsidRPr="002100CC">
        <w:rPr>
          <w:rFonts w:ascii="Verdana" w:eastAsia="Verdana" w:hAnsi="Verdana" w:cs="Verdana"/>
          <w:sz w:val="20"/>
          <w:szCs w:val="20"/>
        </w:rPr>
        <w:t>A partir de estos enunciados normativos de carácter legal y reglamentario que complementan su regulación y de los pronunciamientos jurisprudenciales más destacados sobre la materia, es factible identificar una serie de características del contrato de prestación de servicios:</w:t>
      </w:r>
    </w:p>
    <w:p w14:paraId="7580AEA0" w14:textId="77777777" w:rsidR="002100CC" w:rsidRPr="002100CC" w:rsidRDefault="002100CC" w:rsidP="00437E4C">
      <w:pPr>
        <w:spacing w:line="240" w:lineRule="auto"/>
        <w:jc w:val="both"/>
        <w:rPr>
          <w:rFonts w:ascii="Verdana" w:eastAsia="Verdana" w:hAnsi="Verdana" w:cs="Verdana"/>
          <w:sz w:val="20"/>
          <w:szCs w:val="20"/>
        </w:rPr>
      </w:pPr>
      <w:r w:rsidRPr="002100CC">
        <w:rPr>
          <w:rFonts w:ascii="Verdana" w:eastAsia="Verdana" w:hAnsi="Verdana" w:cs="Verdana"/>
          <w:sz w:val="20"/>
          <w:szCs w:val="20"/>
        </w:rPr>
        <w:t>1. Solo puede celebrarse para realizar “actividades relacionadas con la administración o funcionamiento de la entidad”, es decir, que hagan parte de su giro ordinario o quehacer cotidiano.</w:t>
      </w:r>
    </w:p>
    <w:p w14:paraId="64B82F93" w14:textId="77777777" w:rsidR="002100CC" w:rsidRPr="002100CC" w:rsidRDefault="002100CC" w:rsidP="00437E4C">
      <w:pPr>
        <w:spacing w:line="240" w:lineRule="auto"/>
        <w:jc w:val="both"/>
        <w:rPr>
          <w:rFonts w:ascii="Verdana" w:eastAsia="Verdana" w:hAnsi="Verdana" w:cs="Verdana"/>
          <w:sz w:val="20"/>
          <w:szCs w:val="20"/>
        </w:rPr>
      </w:pPr>
      <w:r w:rsidRPr="002100CC">
        <w:rPr>
          <w:rFonts w:ascii="Verdana" w:eastAsia="Verdana" w:hAnsi="Verdana" w:cs="Verdana"/>
          <w:sz w:val="20"/>
          <w:szCs w:val="20"/>
        </w:rPr>
        <w:t>2.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0906198F" w14:textId="77777777" w:rsidR="002100CC" w:rsidRPr="002100CC" w:rsidRDefault="002100CC" w:rsidP="00437E4C">
      <w:pPr>
        <w:spacing w:line="240" w:lineRule="auto"/>
        <w:jc w:val="both"/>
        <w:rPr>
          <w:rFonts w:ascii="Verdana" w:eastAsia="Verdana" w:hAnsi="Verdana" w:cs="Verdana"/>
          <w:sz w:val="20"/>
          <w:szCs w:val="20"/>
        </w:rPr>
      </w:pPr>
      <w:r w:rsidRPr="002100CC">
        <w:rPr>
          <w:rFonts w:ascii="Verdana" w:eastAsia="Verdana" w:hAnsi="Verdana" w:cs="Verdana"/>
          <w:sz w:val="20"/>
          <w:szCs w:val="20"/>
        </w:rPr>
        <w:lastRenderedPageBreak/>
        <w:t>3. Si bien se celebran para obtener la prestación personal de un servicio, se diferencian del contrato de trabajo en que quien celebra el contrato de prestación de servicios profesionales debe mantener autonomía e independencia en la ejecución de la labor, lo que significa que no puede existir la *subordinación y dependencia*, que es uno de los elementos constitutivos del vínculo laboral. Por ello el artículo 32, numeral 3º, de la Ley 80 de 1993 establece que “En ningún caso estos contratos generan relación laboral ni prestaciones sociales”.</w:t>
      </w:r>
    </w:p>
    <w:p w14:paraId="4A0F3FCA" w14:textId="06690FD0" w:rsidR="002100CC" w:rsidRPr="002100CC" w:rsidRDefault="002100CC" w:rsidP="00437E4C">
      <w:pPr>
        <w:spacing w:line="240" w:lineRule="auto"/>
        <w:jc w:val="both"/>
        <w:rPr>
          <w:rFonts w:ascii="Verdana" w:eastAsia="Verdana" w:hAnsi="Verdana" w:cs="Verdana"/>
          <w:sz w:val="20"/>
          <w:szCs w:val="20"/>
        </w:rPr>
      </w:pPr>
      <w:r w:rsidRPr="002100CC">
        <w:rPr>
          <w:rFonts w:ascii="Verdana" w:eastAsia="Verdana" w:hAnsi="Verdana" w:cs="Verdana"/>
          <w:sz w:val="20"/>
          <w:szCs w:val="20"/>
        </w:rPr>
        <w:t>4. Deben ser temporales. El Consejo de Estado, en sentencia de unificación jurisprudencial del 9 de septiembre de 2021 se pronunció respecto de los criterios para identificar la existencia de una relación laboral encubierta o subyacente por contratos de prestación de servicios y definió tres (3) reglas para el efecto.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460F151B" w14:textId="4DBBEDD5" w:rsidR="002100CC" w:rsidRPr="002100CC" w:rsidRDefault="002100CC" w:rsidP="00437E4C">
      <w:pPr>
        <w:spacing w:line="240" w:lineRule="auto"/>
        <w:jc w:val="both"/>
        <w:rPr>
          <w:rFonts w:ascii="Verdana" w:eastAsia="Verdana" w:hAnsi="Verdana" w:cs="Verdana"/>
          <w:sz w:val="20"/>
          <w:szCs w:val="20"/>
        </w:rPr>
      </w:pPr>
      <w:r w:rsidRPr="002100CC">
        <w:rPr>
          <w:rFonts w:ascii="Verdana" w:eastAsia="Verdana" w:hAnsi="Verdana" w:cs="Verdana"/>
          <w:sz w:val="20"/>
          <w:szCs w:val="20"/>
        </w:rPr>
        <w:t xml:space="preserve">5. Los contratos de prestación de servicios constituyen un género que incluye, como especies, los contratos de prestación de servicios profesionales, los contratos de prestación de servicios de apoyo a la gestión y los contratos de prestación de servicios artísticos que solo pueden encomendarse a determinadas personas naturales. La diferencia entre el contrato de prestación de servicios </w:t>
      </w:r>
      <w:r w:rsidR="00860721" w:rsidRPr="002100CC">
        <w:rPr>
          <w:rFonts w:ascii="Verdana" w:eastAsia="Verdana" w:hAnsi="Verdana" w:cs="Verdana"/>
          <w:sz w:val="20"/>
          <w:szCs w:val="20"/>
        </w:rPr>
        <w:t>profesionales con</w:t>
      </w:r>
      <w:r w:rsidRPr="002100CC">
        <w:rPr>
          <w:rFonts w:ascii="Verdana" w:eastAsia="Verdana" w:hAnsi="Verdana" w:cs="Verdana"/>
          <w:sz w:val="20"/>
          <w:szCs w:val="20"/>
        </w:rPr>
        <w:t xml:space="preserve"> las otras dos especies del género en el cual se ubican radica en su contenido intelectual intangible y, al mismo tiempo, en la formación profesional que se exige para desempeñar la labor</w:t>
      </w:r>
    </w:p>
    <w:p w14:paraId="4BA975CA" w14:textId="77777777" w:rsidR="002100CC" w:rsidRPr="002100CC" w:rsidRDefault="002100CC" w:rsidP="00437E4C">
      <w:pPr>
        <w:spacing w:line="240" w:lineRule="auto"/>
        <w:jc w:val="both"/>
        <w:rPr>
          <w:rFonts w:ascii="Verdana" w:eastAsia="Verdana" w:hAnsi="Verdana" w:cs="Verdana"/>
          <w:sz w:val="20"/>
          <w:szCs w:val="20"/>
        </w:rPr>
      </w:pPr>
      <w:r w:rsidRPr="002100CC">
        <w:rPr>
          <w:rFonts w:ascii="Verdana" w:eastAsia="Verdana" w:hAnsi="Verdana" w:cs="Verdana"/>
          <w:sz w:val="20"/>
          <w:szCs w:val="20"/>
        </w:rPr>
        <w:t>6. Su celebración debe realizarse a través de la modalidad de contratación directa, independientemente de la cuantía y del tipo de servicio profesional, siempre que este no ingrese dentro del objeto del contrato de consultoría.</w:t>
      </w:r>
    </w:p>
    <w:p w14:paraId="3F189D13" w14:textId="77777777" w:rsidR="002100CC" w:rsidRPr="002100CC" w:rsidRDefault="002100CC" w:rsidP="00437E4C">
      <w:pPr>
        <w:spacing w:line="240" w:lineRule="auto"/>
        <w:jc w:val="both"/>
        <w:rPr>
          <w:rFonts w:ascii="Verdana" w:eastAsia="Verdana" w:hAnsi="Verdana" w:cs="Verdana"/>
          <w:sz w:val="20"/>
          <w:szCs w:val="20"/>
        </w:rPr>
      </w:pPr>
      <w:r w:rsidRPr="002100CC">
        <w:rPr>
          <w:rFonts w:ascii="Verdana" w:eastAsia="Verdana" w:hAnsi="Verdana" w:cs="Verdana"/>
          <w:sz w:val="20"/>
          <w:szCs w:val="20"/>
        </w:rPr>
        <w:t>7. Para su celebración no se requiere la expedición del acto administrativo de justificación de la contratación directa.</w:t>
      </w:r>
    </w:p>
    <w:p w14:paraId="2E4EC1D0" w14:textId="77777777" w:rsidR="002100CC" w:rsidRPr="002100CC" w:rsidRDefault="002100CC" w:rsidP="00437E4C">
      <w:pPr>
        <w:spacing w:line="240" w:lineRule="auto"/>
        <w:jc w:val="both"/>
        <w:rPr>
          <w:rFonts w:ascii="Verdana" w:eastAsia="Verdana" w:hAnsi="Verdana" w:cs="Verdana"/>
          <w:sz w:val="20"/>
          <w:szCs w:val="20"/>
        </w:rPr>
      </w:pPr>
      <w:r w:rsidRPr="002100CC">
        <w:rPr>
          <w:rFonts w:ascii="Verdana" w:eastAsia="Verdana" w:hAnsi="Verdana" w:cs="Verdana"/>
          <w:sz w:val="20"/>
          <w:szCs w:val="20"/>
        </w:rPr>
        <w:t>8. Admiten el pacto de cláusulas excepcionales. Es decir, en los contratos de prestación de servicios puede pactarse la caducidad, así como la modificación, interpretación o terminación unilaterales, como acuerdos o elementos accidentales. O sea que para que puedan ejercerse dichas exorbitancias han debido quedar incluidas expresamente en el contrato, ya que no se entienden pactadas por naturaleza. Así se infiere del artículo 14°, numeral 2º, de la Ley 80 de 1993.</w:t>
      </w:r>
    </w:p>
    <w:p w14:paraId="1E6E0F39" w14:textId="0DBC3714" w:rsidR="002100CC" w:rsidRPr="002100CC" w:rsidRDefault="002100CC" w:rsidP="00437E4C">
      <w:pPr>
        <w:spacing w:line="240" w:lineRule="auto"/>
        <w:jc w:val="both"/>
        <w:rPr>
          <w:rFonts w:ascii="Verdana" w:eastAsia="Verdana" w:hAnsi="Verdana" w:cs="Verdana"/>
          <w:sz w:val="20"/>
          <w:szCs w:val="20"/>
        </w:rPr>
      </w:pPr>
      <w:r w:rsidRPr="002100CC">
        <w:rPr>
          <w:rFonts w:ascii="Verdana" w:eastAsia="Verdana" w:hAnsi="Verdana" w:cs="Verdana"/>
          <w:sz w:val="20"/>
          <w:szCs w:val="20"/>
        </w:rPr>
        <w:t xml:space="preserve">9. En ellos no es obligatoria la liquidación, pues así lo estableció el artículo 217 del Decreto 019 de 2012, que modificó el artículo 60 de la Ley 80 de </w:t>
      </w:r>
      <w:r w:rsidR="00860721" w:rsidRPr="002100CC">
        <w:rPr>
          <w:rFonts w:ascii="Verdana" w:eastAsia="Verdana" w:hAnsi="Verdana" w:cs="Verdana"/>
          <w:sz w:val="20"/>
          <w:szCs w:val="20"/>
        </w:rPr>
        <w:t>1993, refiriéndose</w:t>
      </w:r>
      <w:r w:rsidRPr="002100CC">
        <w:rPr>
          <w:rFonts w:ascii="Verdana" w:eastAsia="Verdana" w:hAnsi="Verdana" w:cs="Verdana"/>
          <w:sz w:val="20"/>
          <w:szCs w:val="20"/>
        </w:rPr>
        <w:t xml:space="preserve"> expresamente a los contratos de prestación de servicios profesionales y de apoyo a la gestión.</w:t>
      </w:r>
    </w:p>
    <w:p w14:paraId="7F4ABC32" w14:textId="77777777" w:rsidR="002100CC" w:rsidRPr="002100CC" w:rsidRDefault="002100CC" w:rsidP="00437E4C">
      <w:pPr>
        <w:spacing w:line="240" w:lineRule="auto"/>
        <w:jc w:val="both"/>
        <w:rPr>
          <w:rFonts w:ascii="Verdana" w:eastAsia="Verdana" w:hAnsi="Verdana" w:cs="Verdana"/>
          <w:sz w:val="20"/>
          <w:szCs w:val="20"/>
        </w:rPr>
      </w:pPr>
      <w:r w:rsidRPr="002100CC">
        <w:rPr>
          <w:rFonts w:ascii="Verdana" w:eastAsia="Verdana" w:hAnsi="Verdana" w:cs="Verdana"/>
          <w:sz w:val="20"/>
          <w:szCs w:val="20"/>
        </w:rPr>
        <w:lastRenderedPageBreak/>
        <w:t xml:space="preserve">10. Para su celebración no se requiere inscripción en el Registro Único de Proponentes (RUP), según lo prevé el artículo 6 de la Ley 1150 de 2007. </w:t>
      </w:r>
    </w:p>
    <w:p w14:paraId="7122B6BC" w14:textId="77777777" w:rsidR="002100CC" w:rsidRPr="002100CC" w:rsidRDefault="002100CC" w:rsidP="00437E4C">
      <w:pPr>
        <w:spacing w:line="240" w:lineRule="auto"/>
        <w:jc w:val="both"/>
        <w:rPr>
          <w:rFonts w:ascii="Verdana" w:eastAsia="Verdana" w:hAnsi="Verdana" w:cs="Verdana"/>
          <w:sz w:val="20"/>
          <w:szCs w:val="20"/>
        </w:rPr>
      </w:pPr>
      <w:r w:rsidRPr="002100CC">
        <w:rPr>
          <w:rFonts w:ascii="Verdana" w:eastAsia="Verdana" w:hAnsi="Verdana" w:cs="Verdana"/>
          <w:sz w:val="20"/>
          <w:szCs w:val="20"/>
        </w:rPr>
        <w:t>11. En ellos no son necesarias las garantías</w:t>
      </w:r>
    </w:p>
    <w:p w14:paraId="7B9DD412" w14:textId="3884B9B1" w:rsidR="002100CC" w:rsidRPr="00437E4C" w:rsidRDefault="002100CC" w:rsidP="00437E4C">
      <w:pPr>
        <w:spacing w:line="240" w:lineRule="auto"/>
        <w:jc w:val="both"/>
        <w:rPr>
          <w:rFonts w:ascii="Verdana" w:eastAsia="Verdana" w:hAnsi="Verdana" w:cs="Verdana"/>
          <w:b/>
          <w:bCs/>
        </w:rPr>
      </w:pPr>
      <w:r w:rsidRPr="00437E4C">
        <w:rPr>
          <w:rFonts w:ascii="Verdana" w:eastAsia="Verdana" w:hAnsi="Verdana" w:cs="Verdana"/>
          <w:b/>
          <w:bCs/>
        </w:rPr>
        <w:t>DIFERENCIACIÓN – Contrato de prestación de servicios y Contrato de suministro</w:t>
      </w:r>
    </w:p>
    <w:p w14:paraId="02570431" w14:textId="56D49FC7" w:rsidR="002100CC" w:rsidRPr="002100CC" w:rsidRDefault="002100CC" w:rsidP="00437E4C">
      <w:pPr>
        <w:spacing w:line="240" w:lineRule="auto"/>
        <w:jc w:val="both"/>
        <w:rPr>
          <w:rFonts w:ascii="Verdana" w:eastAsia="Verdana" w:hAnsi="Verdana" w:cs="Verdana"/>
          <w:sz w:val="20"/>
          <w:szCs w:val="20"/>
        </w:rPr>
      </w:pPr>
      <w:r w:rsidRPr="002100CC">
        <w:rPr>
          <w:rFonts w:ascii="Verdana" w:eastAsia="Verdana" w:hAnsi="Verdana" w:cs="Verdana"/>
          <w:sz w:val="20"/>
          <w:szCs w:val="20"/>
        </w:rPr>
        <w:t xml:space="preserve">[…] es posible señalar varios elementos que permiten diferenciar de manera clara las dos tipologías contractuales. El primero es el objeto: el suministro tiende a recaer sobre bienes que se entregan en cantidades determinadas o determinables, mientras la prestación de servicios recae sobre una actividad humana, intelectual o técnica que no se traduce necesariamente en una cosa. La segunda es la temporalidad: la periodicidad o continuidad es de la esencia del suministro —una entrega única sería una compraventa—, mientras la prestación de servicios admite tanto la ejecución instantánea como la sucesiva. La tercera es la relevancia de la persona del contratista, que es central en los servicios profesionales y por eso restringe la cesión y la subcontratación, y bastante secundaria en el suministro, donde interesa el aprovisionamiento y no quién lo materializa. La cuarta es el tipo de obligación: el suministro genera típicamente obligaciones de resultado, con régimen de garantía de calidad, vicios ocultos; servicios profesionales suelen generar obligaciones de medio, evaluadas conforme a la lex </w:t>
      </w:r>
      <w:proofErr w:type="spellStart"/>
      <w:r w:rsidRPr="002100CC">
        <w:rPr>
          <w:rFonts w:ascii="Verdana" w:eastAsia="Verdana" w:hAnsi="Verdana" w:cs="Verdana"/>
          <w:sz w:val="20"/>
          <w:szCs w:val="20"/>
        </w:rPr>
        <w:t>artis</w:t>
      </w:r>
      <w:proofErr w:type="spellEnd"/>
      <w:r w:rsidRPr="002100CC">
        <w:rPr>
          <w:rFonts w:ascii="Verdana" w:eastAsia="Verdana" w:hAnsi="Verdana" w:cs="Verdana"/>
          <w:sz w:val="20"/>
          <w:szCs w:val="20"/>
        </w:rPr>
        <w:t>. Y la quinta, decisiva en la contratación estatal, es la modalidad de selección: los servicios profesionales y de apoyo a la gestión se contratan de forma directa, mientras el suministro de bienes normalmente exige licitación, selección abreviada —incluso subasta inversa cuando se trata de bienes de características técnicas uniformes— o mínima cuantía según el valor.</w:t>
      </w:r>
    </w:p>
    <w:p w14:paraId="2F5434A6" w14:textId="4E3E3DDA" w:rsidR="00692A9F" w:rsidRDefault="002100CC" w:rsidP="00437E4C">
      <w:pPr>
        <w:spacing w:line="240" w:lineRule="auto"/>
        <w:jc w:val="both"/>
        <w:rPr>
          <w:rFonts w:ascii="Verdana" w:eastAsia="Verdana" w:hAnsi="Verdana" w:cs="Verdana"/>
        </w:rPr>
      </w:pPr>
      <w:r w:rsidRPr="002100CC">
        <w:rPr>
          <w:rFonts w:ascii="Verdana" w:eastAsia="Verdana" w:hAnsi="Verdana" w:cs="Verdana"/>
          <w:sz w:val="20"/>
          <w:szCs w:val="20"/>
        </w:rPr>
        <w:t>Finalmente, respecto a la procedencia de cada figura contractual, la regla práctica es preguntarse qué necesidades busca suplir la entidad estatal.  […]</w:t>
      </w:r>
      <w:r w:rsidR="00692A9F">
        <w:rPr>
          <w:rFonts w:ascii="Verdana" w:eastAsia="Verdana" w:hAnsi="Verdana" w:cs="Verdana"/>
        </w:rPr>
        <w:br w:type="page"/>
      </w:r>
    </w:p>
    <w:p w14:paraId="7C9026E2" w14:textId="363CB439" w:rsidR="002A0DD0" w:rsidRDefault="00C15139" w:rsidP="002B7ECD">
      <w:pPr>
        <w:spacing w:after="0"/>
        <w:rPr>
          <w:rFonts w:ascii="Verdana" w:eastAsia="Verdana" w:hAnsi="Verdana" w:cs="Verdana"/>
          <w:lang w:val="es-MX"/>
        </w:rPr>
      </w:pPr>
      <w:r w:rsidRPr="30821638">
        <w:rPr>
          <w:rFonts w:ascii="Verdana" w:eastAsia="Verdana" w:hAnsi="Verdana" w:cs="Verdana"/>
        </w:rPr>
        <w:lastRenderedPageBreak/>
        <w:t>Bogotá D.C.,</w:t>
      </w:r>
      <w:r w:rsidR="00942F04">
        <w:rPr>
          <w:rFonts w:ascii="Verdana" w:eastAsia="Verdana" w:hAnsi="Verdana" w:cs="Verdana"/>
        </w:rPr>
        <w:t xml:space="preserve"> </w:t>
      </w:r>
      <w:r w:rsidR="003465CC">
        <w:rPr>
          <w:rFonts w:ascii="Verdana" w:eastAsia="Times New Roman" w:hAnsi="Verdana" w:cs="Arial"/>
          <w:lang w:val="es-ES" w:eastAsia="es-ES"/>
        </w:rPr>
        <w:t xml:space="preserve">07 </w:t>
      </w:r>
      <w:r w:rsidR="00437E4C">
        <w:rPr>
          <w:rFonts w:ascii="Verdana" w:eastAsia="Times New Roman" w:hAnsi="Verdana" w:cs="Arial"/>
          <w:lang w:val="es-ES" w:eastAsia="es-ES"/>
        </w:rPr>
        <w:t>de septiembre</w:t>
      </w:r>
      <w:r w:rsidR="003465CC">
        <w:rPr>
          <w:rFonts w:ascii="Verdana" w:eastAsia="Times New Roman" w:hAnsi="Verdana" w:cs="Arial"/>
          <w:lang w:val="es-ES" w:eastAsia="es-ES"/>
        </w:rPr>
        <w:t xml:space="preserve"> </w:t>
      </w:r>
      <w:r w:rsidR="00437E4C">
        <w:rPr>
          <w:rFonts w:ascii="Verdana" w:eastAsia="Times New Roman" w:hAnsi="Verdana" w:cs="Arial"/>
          <w:lang w:val="es-ES" w:eastAsia="es-ES"/>
        </w:rPr>
        <w:t xml:space="preserve">de </w:t>
      </w:r>
      <w:r w:rsidR="003465CC">
        <w:rPr>
          <w:rFonts w:ascii="Verdana" w:eastAsia="Times New Roman" w:hAnsi="Verdana" w:cs="Arial"/>
          <w:lang w:val="es-ES" w:eastAsia="es-ES"/>
        </w:rPr>
        <w:t>2026</w:t>
      </w:r>
      <w:r>
        <w:tab/>
      </w:r>
    </w:p>
    <w:p w14:paraId="7F1C988F" w14:textId="7C628C66" w:rsidR="00A575B5" w:rsidRPr="005979D9" w:rsidRDefault="00A575B5" w:rsidP="00A575B5">
      <w:pPr>
        <w:spacing w:after="0" w:line="240" w:lineRule="auto"/>
        <w:jc w:val="right"/>
        <w:rPr>
          <w:rFonts w:ascii="Verdana" w:eastAsia="Calibri" w:hAnsi="Verdana" w:cs="Arial"/>
          <w:b/>
          <w:bCs/>
          <w:lang w:val="es-ES" w:eastAsia="es-ES"/>
        </w:rPr>
      </w:pPr>
    </w:p>
    <w:bookmarkEnd w:id="0"/>
    <w:p w14:paraId="4604A4F5" w14:textId="4B6127C0" w:rsidR="0072479E" w:rsidRPr="00D75231" w:rsidRDefault="00437E4C" w:rsidP="0072479E">
      <w:pPr>
        <w:spacing w:after="0" w:line="240" w:lineRule="auto"/>
        <w:jc w:val="both"/>
        <w:rPr>
          <w:rFonts w:ascii="Verdana" w:eastAsia="Calibri" w:hAnsi="Verdana" w:cs="Arial"/>
          <w:lang w:val="es-ES" w:eastAsia="es-ES"/>
        </w:rPr>
      </w:pPr>
      <w:r w:rsidRPr="004D5250">
        <w:rPr>
          <w:rFonts w:ascii="Verdana" w:eastAsia="Calibri" w:hAnsi="Verdana" w:cs="Arial"/>
          <w:b/>
          <w:bCs/>
          <w:noProof/>
          <w:color w:val="000000"/>
          <w:lang w:val="es-ES_tradnl" w:eastAsia="es-ES_tradnl"/>
        </w:rPr>
        <w:drawing>
          <wp:anchor distT="0" distB="0" distL="114300" distR="114300" simplePos="0" relativeHeight="251658240" behindDoc="0" locked="0" layoutInCell="1" allowOverlap="1" wp14:anchorId="3F7FCADE" wp14:editId="3E21625B">
            <wp:simplePos x="0" y="0"/>
            <wp:positionH relativeFrom="margin">
              <wp:align>right</wp:align>
            </wp:positionH>
            <wp:positionV relativeFrom="paragraph">
              <wp:posOffset>5798</wp:posOffset>
            </wp:positionV>
            <wp:extent cx="2384425" cy="890270"/>
            <wp:effectExtent l="0" t="0" r="0" b="5080"/>
            <wp:wrapSquare wrapText="bothSides"/>
            <wp:docPr id="20446048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604889" name=""/>
                    <pic:cNvPicPr/>
                  </pic:nvPicPr>
                  <pic:blipFill>
                    <a:blip r:embed="rId11">
                      <a:extLst>
                        <a:ext uri="{28A0092B-C50C-407E-A947-70E740481C1C}">
                          <a14:useLocalDpi xmlns:a14="http://schemas.microsoft.com/office/drawing/2010/main" val="0"/>
                        </a:ext>
                      </a:extLst>
                    </a:blip>
                    <a:stretch>
                      <a:fillRect/>
                    </a:stretch>
                  </pic:blipFill>
                  <pic:spPr>
                    <a:xfrm>
                      <a:off x="0" y="0"/>
                      <a:ext cx="2386969" cy="891496"/>
                    </a:xfrm>
                    <a:prstGeom prst="rect">
                      <a:avLst/>
                    </a:prstGeom>
                  </pic:spPr>
                </pic:pic>
              </a:graphicData>
            </a:graphic>
            <wp14:sizeRelH relativeFrom="margin">
              <wp14:pctWidth>0</wp14:pctWidth>
            </wp14:sizeRelH>
            <wp14:sizeRelV relativeFrom="margin">
              <wp14:pctHeight>0</wp14:pctHeight>
            </wp14:sizeRelV>
          </wp:anchor>
        </w:drawing>
      </w:r>
      <w:r w:rsidR="0072479E" w:rsidRPr="00D75231">
        <w:rPr>
          <w:rFonts w:ascii="Verdana" w:eastAsia="Calibri" w:hAnsi="Verdana" w:cs="Arial"/>
          <w:lang w:val="es-ES" w:eastAsia="es-ES"/>
        </w:rPr>
        <w:t>Señora</w:t>
      </w:r>
    </w:p>
    <w:p w14:paraId="3B391E53" w14:textId="73D94E8C" w:rsidR="0072479E" w:rsidRPr="00D75231" w:rsidRDefault="0072479E" w:rsidP="0072479E">
      <w:pPr>
        <w:spacing w:after="0" w:line="240" w:lineRule="auto"/>
        <w:jc w:val="both"/>
        <w:rPr>
          <w:rFonts w:ascii="Verdana" w:eastAsia="Calibri" w:hAnsi="Verdana" w:cs="Arial"/>
          <w:b/>
          <w:bCs/>
          <w:lang w:val="es-ES" w:eastAsia="es-ES"/>
        </w:rPr>
      </w:pPr>
      <w:r w:rsidRPr="00D75231">
        <w:rPr>
          <w:rFonts w:ascii="Verdana" w:eastAsia="Calibri" w:hAnsi="Verdana" w:cs="Arial"/>
          <w:b/>
          <w:bCs/>
          <w:lang w:val="es-ES" w:eastAsia="es-ES"/>
        </w:rPr>
        <w:t xml:space="preserve">Alba Inés Ospina Montoya </w:t>
      </w:r>
    </w:p>
    <w:p w14:paraId="194D2F65" w14:textId="77777777" w:rsidR="0072479E" w:rsidRPr="00D75231" w:rsidRDefault="0072479E" w:rsidP="0072479E">
      <w:pPr>
        <w:spacing w:after="0" w:line="240" w:lineRule="auto"/>
        <w:jc w:val="both"/>
        <w:rPr>
          <w:rFonts w:ascii="Verdana" w:eastAsia="Calibri" w:hAnsi="Verdana" w:cs="Arial"/>
          <w:lang w:val="es-ES" w:eastAsia="es-ES"/>
        </w:rPr>
      </w:pPr>
      <w:r w:rsidRPr="00D75231">
        <w:rPr>
          <w:rFonts w:ascii="Verdana" w:eastAsia="Calibri" w:hAnsi="Verdana" w:cs="Arial"/>
          <w:lang w:val="es-ES" w:eastAsia="es-ES"/>
        </w:rPr>
        <w:t xml:space="preserve">Profesional universitario </w:t>
      </w:r>
    </w:p>
    <w:p w14:paraId="411FF5FB" w14:textId="2B582167" w:rsidR="0072479E" w:rsidRPr="00D75231" w:rsidRDefault="0072479E" w:rsidP="0072479E">
      <w:pPr>
        <w:spacing w:after="0" w:line="240" w:lineRule="auto"/>
        <w:jc w:val="both"/>
        <w:rPr>
          <w:rFonts w:ascii="Verdana" w:eastAsia="Calibri" w:hAnsi="Verdana" w:cs="Arial"/>
          <w:b/>
          <w:bCs/>
          <w:lang w:val="es-ES" w:eastAsia="es-ES"/>
        </w:rPr>
      </w:pPr>
      <w:r w:rsidRPr="00D75231">
        <w:rPr>
          <w:rFonts w:ascii="Verdana" w:eastAsia="Calibri" w:hAnsi="Verdana" w:cs="Arial"/>
          <w:b/>
          <w:bCs/>
          <w:lang w:val="es-ES" w:eastAsia="es-ES"/>
        </w:rPr>
        <w:t xml:space="preserve">Contraloría de Itagüí </w:t>
      </w:r>
    </w:p>
    <w:p w14:paraId="022C722F" w14:textId="77777777" w:rsidR="0072479E" w:rsidRPr="00D75231" w:rsidRDefault="0072479E" w:rsidP="0072479E">
      <w:pPr>
        <w:spacing w:after="0" w:line="240" w:lineRule="auto"/>
        <w:jc w:val="both"/>
        <w:rPr>
          <w:rFonts w:ascii="Verdana" w:eastAsia="Calibri" w:hAnsi="Verdana" w:cs="Arial"/>
          <w:b/>
          <w:bCs/>
          <w:lang w:val="es-ES" w:eastAsia="es-ES"/>
        </w:rPr>
      </w:pPr>
      <w:hyperlink r:id="rId12" w:history="1">
        <w:r w:rsidRPr="00D75231">
          <w:rPr>
            <w:rStyle w:val="Hipervnculo"/>
            <w:rFonts w:ascii="Verdana" w:eastAsia="Calibri" w:hAnsi="Verdana" w:cs="Arial"/>
            <w:b/>
            <w:bCs/>
            <w:lang w:val="es-ES" w:eastAsia="es-ES"/>
          </w:rPr>
          <w:t>aospina@contraloriadeitagui.gov.co</w:t>
        </w:r>
      </w:hyperlink>
      <w:r w:rsidRPr="00D75231">
        <w:rPr>
          <w:rFonts w:ascii="Verdana" w:eastAsia="Calibri" w:hAnsi="Verdana" w:cs="Arial"/>
          <w:b/>
          <w:bCs/>
          <w:lang w:val="es-ES" w:eastAsia="es-ES"/>
        </w:rPr>
        <w:t xml:space="preserve"> </w:t>
      </w:r>
    </w:p>
    <w:p w14:paraId="7E2519EF" w14:textId="21C6FFF9" w:rsidR="0072479E" w:rsidRPr="00D75231" w:rsidRDefault="0072479E" w:rsidP="0072479E">
      <w:pPr>
        <w:spacing w:after="0" w:line="240" w:lineRule="auto"/>
        <w:jc w:val="both"/>
        <w:rPr>
          <w:rFonts w:ascii="Verdana" w:eastAsia="Calibri" w:hAnsi="Verdana" w:cs="Arial"/>
          <w:b/>
          <w:bCs/>
          <w:lang w:val="es-ES" w:eastAsia="es-ES"/>
        </w:rPr>
      </w:pPr>
      <w:r w:rsidRPr="00D75231">
        <w:rPr>
          <w:rFonts w:ascii="Verdana" w:eastAsia="Calibri" w:hAnsi="Verdana" w:cs="Arial"/>
          <w:lang w:val="es-ES" w:eastAsia="es-ES"/>
        </w:rPr>
        <w:t>Itagüí, Antioquia</w:t>
      </w:r>
    </w:p>
    <w:p w14:paraId="7060F41D" w14:textId="77777777" w:rsidR="0072479E" w:rsidRPr="00D75231" w:rsidRDefault="0072479E" w:rsidP="0072479E">
      <w:pPr>
        <w:spacing w:after="0" w:line="240" w:lineRule="auto"/>
        <w:rPr>
          <w:rFonts w:ascii="Verdana" w:eastAsia="Calibri" w:hAnsi="Verdana" w:cs="Arial"/>
          <w:b/>
          <w:bCs/>
          <w:color w:val="000000"/>
          <w:lang w:val="es-ES_tradnl" w:eastAsia="es-ES_tradnl"/>
        </w:rPr>
      </w:pPr>
    </w:p>
    <w:p w14:paraId="5281EAE7" w14:textId="52F63BCE" w:rsidR="0072479E" w:rsidRPr="00D75231" w:rsidRDefault="0072479E" w:rsidP="003465CC">
      <w:pPr>
        <w:spacing w:after="0" w:line="240" w:lineRule="auto"/>
        <w:jc w:val="right"/>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2479E" w:rsidRPr="00D75231" w14:paraId="5107C661" w14:textId="77777777" w:rsidTr="00A005C1">
        <w:trPr>
          <w:trHeight w:val="142"/>
        </w:trPr>
        <w:tc>
          <w:tcPr>
            <w:tcW w:w="2689" w:type="dxa"/>
          </w:tcPr>
          <w:p w14:paraId="5D1D8F2F" w14:textId="77777777" w:rsidR="0072479E" w:rsidRPr="00D75231" w:rsidRDefault="0072479E" w:rsidP="00A005C1">
            <w:pPr>
              <w:jc w:val="both"/>
              <w:rPr>
                <w:rFonts w:ascii="Verdana" w:eastAsia="Calibri" w:hAnsi="Verdana" w:cs="Arial"/>
                <w:b/>
                <w:bCs/>
                <w:color w:val="7030A0"/>
                <w:lang w:val="es-ES_tradnl" w:eastAsia="es-ES_tradnl"/>
              </w:rPr>
            </w:pPr>
          </w:p>
        </w:tc>
        <w:tc>
          <w:tcPr>
            <w:tcW w:w="6100" w:type="dxa"/>
          </w:tcPr>
          <w:p w14:paraId="520AF429" w14:textId="77777777" w:rsidR="0072479E" w:rsidRPr="00D75231" w:rsidRDefault="0072479E" w:rsidP="00A005C1">
            <w:pPr>
              <w:jc w:val="both"/>
              <w:rPr>
                <w:rFonts w:ascii="Verdana" w:eastAsia="Calibri" w:hAnsi="Verdana" w:cs="Arial"/>
                <w:b/>
                <w:bCs/>
                <w:lang w:val="es-ES" w:eastAsia="es-ES"/>
              </w:rPr>
            </w:pPr>
            <w:r w:rsidRPr="00D75231">
              <w:rPr>
                <w:rFonts w:ascii="Verdana" w:eastAsia="Calibri" w:hAnsi="Verdana" w:cs="Arial"/>
                <w:b/>
                <w:bCs/>
                <w:lang w:val="es-ES" w:eastAsia="es-ES"/>
              </w:rPr>
              <w:t xml:space="preserve"> Concepto </w:t>
            </w:r>
            <w:r w:rsidRPr="00D75231">
              <w:rPr>
                <w:rFonts w:ascii="Verdana" w:eastAsia="Calibri" w:hAnsi="Verdana" w:cs="Arial"/>
                <w:b/>
                <w:bCs/>
                <w:lang w:eastAsia="es-ES"/>
              </w:rPr>
              <w:t xml:space="preserve">C-1186 </w:t>
            </w:r>
            <w:r w:rsidRPr="00D75231">
              <w:rPr>
                <w:rFonts w:ascii="Verdana" w:eastAsia="Calibri" w:hAnsi="Verdana" w:cs="Arial"/>
                <w:b/>
                <w:bCs/>
                <w:lang w:val="es-ES" w:eastAsia="es-ES"/>
              </w:rPr>
              <w:t xml:space="preserve">de 2026 </w:t>
            </w:r>
          </w:p>
          <w:p w14:paraId="0945ACED" w14:textId="77777777" w:rsidR="0072479E" w:rsidRPr="00D75231" w:rsidRDefault="0072479E" w:rsidP="00A005C1">
            <w:pPr>
              <w:jc w:val="both"/>
              <w:rPr>
                <w:rFonts w:ascii="Verdana" w:eastAsia="Calibri" w:hAnsi="Verdana" w:cs="Arial"/>
                <w:b/>
                <w:bCs/>
                <w:lang w:val="es-ES" w:eastAsia="es-ES"/>
              </w:rPr>
            </w:pPr>
          </w:p>
        </w:tc>
      </w:tr>
      <w:tr w:rsidR="0072479E" w:rsidRPr="00D75231" w14:paraId="64713853" w14:textId="77777777" w:rsidTr="00A005C1">
        <w:trPr>
          <w:trHeight w:val="1074"/>
        </w:trPr>
        <w:tc>
          <w:tcPr>
            <w:tcW w:w="2689" w:type="dxa"/>
          </w:tcPr>
          <w:p w14:paraId="32525F9D" w14:textId="77777777" w:rsidR="0072479E" w:rsidRPr="00D75231" w:rsidRDefault="0072479E" w:rsidP="00A005C1">
            <w:pPr>
              <w:jc w:val="both"/>
              <w:rPr>
                <w:rFonts w:ascii="Verdana" w:eastAsia="Calibri" w:hAnsi="Verdana" w:cs="Arial"/>
                <w:color w:val="000000"/>
                <w:lang w:val="es-ES_tradnl" w:eastAsia="es-ES_tradnl"/>
              </w:rPr>
            </w:pPr>
            <w:r w:rsidRPr="00D75231">
              <w:rPr>
                <w:rFonts w:ascii="Verdana" w:eastAsia="Calibri" w:hAnsi="Verdana" w:cs="Arial"/>
                <w:b/>
                <w:color w:val="000000"/>
                <w:lang w:val="es-ES_tradnl" w:eastAsia="es-ES_tradnl"/>
              </w:rPr>
              <w:t>Temas:</w:t>
            </w:r>
            <w:r w:rsidRPr="00D75231">
              <w:rPr>
                <w:rFonts w:ascii="Verdana" w:eastAsia="Calibri" w:hAnsi="Verdana" w:cs="Arial"/>
                <w:color w:val="000000"/>
                <w:lang w:val="es-ES_tradnl" w:eastAsia="es-ES_tradnl"/>
              </w:rPr>
              <w:t xml:space="preserve">                   </w:t>
            </w:r>
          </w:p>
        </w:tc>
        <w:tc>
          <w:tcPr>
            <w:tcW w:w="6100" w:type="dxa"/>
          </w:tcPr>
          <w:p w14:paraId="1D2AE4DA" w14:textId="77777777" w:rsidR="0072479E" w:rsidRPr="00D75231" w:rsidRDefault="0072479E" w:rsidP="00A005C1">
            <w:pPr>
              <w:jc w:val="both"/>
              <w:rPr>
                <w:rFonts w:ascii="Verdana" w:eastAsia="Calibri" w:hAnsi="Verdana"/>
                <w:lang w:eastAsia="es-ES"/>
              </w:rPr>
            </w:pPr>
            <w:r w:rsidRPr="00D75231">
              <w:rPr>
                <w:rFonts w:ascii="Verdana" w:eastAsia="Calibri" w:hAnsi="Verdana"/>
                <w:lang w:eastAsia="es-ES"/>
              </w:rPr>
              <w:t xml:space="preserve">CONTRATO DE SUMINISTRO – Definición – Naturaleza / CONTRATO DE PRESTACIÓN DE SERVICIOS – </w:t>
            </w:r>
            <w:r>
              <w:rPr>
                <w:rFonts w:ascii="Verdana" w:eastAsia="Calibri" w:hAnsi="Verdana"/>
                <w:lang w:eastAsia="es-ES"/>
              </w:rPr>
              <w:t xml:space="preserve">Naturaleza – </w:t>
            </w:r>
            <w:r w:rsidRPr="00D75231">
              <w:rPr>
                <w:rFonts w:ascii="Verdana" w:eastAsia="Calibri" w:hAnsi="Verdana"/>
                <w:lang w:eastAsia="es-ES"/>
              </w:rPr>
              <w:t>Características / DIFERENCIACIÓN – Contrato de prestación de servicios y Contrato de suministro</w:t>
            </w:r>
          </w:p>
          <w:p w14:paraId="119A385E" w14:textId="77777777" w:rsidR="0072479E" w:rsidRPr="00D75231" w:rsidRDefault="0072479E" w:rsidP="00A005C1">
            <w:pPr>
              <w:jc w:val="both"/>
              <w:rPr>
                <w:rFonts w:ascii="Verdana" w:eastAsia="Calibri" w:hAnsi="Verdana"/>
                <w:lang w:eastAsia="es-ES"/>
              </w:rPr>
            </w:pPr>
          </w:p>
        </w:tc>
      </w:tr>
      <w:tr w:rsidR="0072479E" w:rsidRPr="00D75231" w14:paraId="01970B35" w14:textId="77777777" w:rsidTr="00A005C1">
        <w:trPr>
          <w:trHeight w:val="328"/>
        </w:trPr>
        <w:tc>
          <w:tcPr>
            <w:tcW w:w="2689" w:type="dxa"/>
          </w:tcPr>
          <w:p w14:paraId="668AC19C" w14:textId="77777777" w:rsidR="0072479E" w:rsidRPr="00D75231" w:rsidRDefault="0072479E" w:rsidP="00A005C1">
            <w:pPr>
              <w:jc w:val="both"/>
              <w:rPr>
                <w:rFonts w:ascii="Verdana" w:eastAsia="Calibri" w:hAnsi="Verdana" w:cs="Arial"/>
                <w:b/>
                <w:lang w:val="es-ES_tradnl" w:eastAsia="es-ES_tradnl"/>
              </w:rPr>
            </w:pPr>
            <w:r w:rsidRPr="00D75231">
              <w:rPr>
                <w:rFonts w:ascii="Verdana" w:eastAsia="Calibri" w:hAnsi="Verdana" w:cs="Arial"/>
                <w:b/>
                <w:lang w:val="es-ES_tradnl" w:eastAsia="es-ES_tradnl"/>
              </w:rPr>
              <w:t xml:space="preserve">Radicación:               </w:t>
            </w:r>
          </w:p>
        </w:tc>
        <w:tc>
          <w:tcPr>
            <w:tcW w:w="6100" w:type="dxa"/>
          </w:tcPr>
          <w:p w14:paraId="7432685E" w14:textId="77777777" w:rsidR="0072479E" w:rsidRPr="00D75231" w:rsidRDefault="0072479E" w:rsidP="00A005C1">
            <w:pPr>
              <w:jc w:val="both"/>
              <w:rPr>
                <w:rFonts w:ascii="Verdana" w:hAnsi="Verdana"/>
                <w:bCs/>
              </w:rPr>
            </w:pPr>
            <w:r w:rsidRPr="00D75231">
              <w:rPr>
                <w:rFonts w:ascii="Verdana" w:eastAsia="Calibri" w:hAnsi="Verdana" w:cs="Arial"/>
                <w:bCs/>
                <w:lang w:val="es-ES_tradnl" w:eastAsia="es-ES_tradnl"/>
              </w:rPr>
              <w:t>Respuesta a consulta con radicado No. 1_2026_07_28_009928</w:t>
            </w:r>
          </w:p>
          <w:p w14:paraId="4CDAD12A" w14:textId="77777777" w:rsidR="0072479E" w:rsidRPr="00D75231" w:rsidRDefault="0072479E" w:rsidP="00A005C1">
            <w:pPr>
              <w:jc w:val="both"/>
              <w:rPr>
                <w:rFonts w:ascii="Verdana" w:eastAsia="Calibri" w:hAnsi="Verdana" w:cs="Arial"/>
                <w:bCs/>
                <w:lang w:val="es-ES_tradnl" w:eastAsia="es-ES_tradnl"/>
              </w:rPr>
            </w:pPr>
            <w:r w:rsidRPr="00D75231">
              <w:rPr>
                <w:rFonts w:ascii="Verdana" w:hAnsi="Verdana"/>
                <w:bCs/>
              </w:rPr>
              <w:t xml:space="preserve"> </w:t>
            </w:r>
          </w:p>
        </w:tc>
      </w:tr>
    </w:tbl>
    <w:p w14:paraId="1A95A6A8" w14:textId="77777777" w:rsidR="0072479E" w:rsidRPr="00D75231" w:rsidRDefault="0072479E" w:rsidP="0072479E">
      <w:pPr>
        <w:spacing w:after="0" w:line="240" w:lineRule="auto"/>
        <w:jc w:val="both"/>
        <w:rPr>
          <w:rFonts w:ascii="Verdana" w:eastAsia="Calibri" w:hAnsi="Verdana" w:cs="Arial"/>
          <w:lang w:val="es-ES_tradnl" w:eastAsia="es-ES_tradnl"/>
        </w:rPr>
      </w:pPr>
    </w:p>
    <w:p w14:paraId="7A27298F" w14:textId="77777777" w:rsidR="0072479E" w:rsidRPr="005979D9" w:rsidRDefault="0072479E" w:rsidP="0072479E">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Estimada Señora Ospina, </w:t>
      </w:r>
      <w:r w:rsidRPr="005979D9">
        <w:rPr>
          <w:rFonts w:ascii="Verdana" w:eastAsia="Calibri" w:hAnsi="Verdana" w:cs="Arial"/>
          <w:color w:val="000000" w:themeColor="text1"/>
          <w:lang w:val="es-ES" w:eastAsia="es-ES"/>
        </w:rPr>
        <w:t xml:space="preserve">cordial saludo, </w:t>
      </w:r>
    </w:p>
    <w:p w14:paraId="4B7256EF" w14:textId="77777777" w:rsidR="0072479E" w:rsidRPr="005979D9" w:rsidRDefault="0072479E" w:rsidP="0072479E">
      <w:pPr>
        <w:spacing w:after="0" w:line="276" w:lineRule="auto"/>
        <w:jc w:val="both"/>
        <w:rPr>
          <w:rFonts w:ascii="Verdana" w:eastAsia="Calibri" w:hAnsi="Verdana" w:cs="Arial"/>
          <w:color w:val="000000" w:themeColor="text1"/>
          <w:lang w:val="es-ES" w:eastAsia="es-ES"/>
        </w:rPr>
      </w:pPr>
    </w:p>
    <w:p w14:paraId="7C7DFA58" w14:textId="77777777" w:rsidR="0072479E" w:rsidRDefault="0072479E" w:rsidP="0072479E">
      <w:pPr>
        <w:spacing w:after="0" w:line="276" w:lineRule="auto"/>
        <w:jc w:val="both"/>
        <w:rPr>
          <w:rFonts w:ascii="Verdana" w:eastAsia="Calibri" w:hAnsi="Verdana" w:cs="Arial"/>
          <w:lang w:val="es-ES" w:eastAsia="es-ES"/>
        </w:rPr>
      </w:pPr>
      <w:r w:rsidRPr="005979D9">
        <w:rPr>
          <w:rFonts w:ascii="Verdana" w:eastAsia="Calibri" w:hAnsi="Verdana" w:cs="Arial"/>
          <w:color w:val="000000" w:themeColor="text1"/>
          <w:lang w:val="es-ES" w:eastAsia="es-ES"/>
        </w:rPr>
        <w:t>En ejercicio de la competencia otorgada por los artículos 3, numeral 5º, y 11, numeral 8º, del Decreto Ley 4170 de 2011,</w:t>
      </w:r>
      <w:r w:rsidRPr="005979D9">
        <w:rPr>
          <w:rFonts w:ascii="Verdana" w:eastAsia="Arial MT" w:hAnsi="Verdana" w:cs="Arial MT"/>
          <w:lang w:val="es-ES" w:eastAsia="es-ES"/>
        </w:rPr>
        <w:t xml:space="preserve"> </w:t>
      </w:r>
      <w:r w:rsidRPr="005979D9">
        <w:rPr>
          <w:rFonts w:ascii="Verdana" w:hAnsi="Verdana" w:cs="Arial"/>
        </w:rPr>
        <w:t xml:space="preserve">así como lo establecido la </w:t>
      </w:r>
      <w:r w:rsidRPr="005979D9">
        <w:rPr>
          <w:rFonts w:ascii="Verdana" w:eastAsia="Verdana" w:hAnsi="Verdana" w:cs="Verdana"/>
          <w:color w:val="000000" w:themeColor="text1"/>
        </w:rPr>
        <w:t>Resolución 469 de 2025</w:t>
      </w:r>
      <w:r w:rsidRPr="005979D9">
        <w:rPr>
          <w:rFonts w:ascii="Verdana" w:hAnsi="Verdana" w:cs="Arial"/>
        </w:rPr>
        <w:t xml:space="preserve"> expedida por esta Entidad, </w:t>
      </w:r>
      <w:r w:rsidRPr="005979D9">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28</w:t>
      </w:r>
      <w:r w:rsidRPr="005979D9">
        <w:rPr>
          <w:rFonts w:ascii="Verdana" w:eastAsia="Calibri" w:hAnsi="Verdana" w:cs="Arial"/>
          <w:lang w:val="es-ES" w:eastAsia="es-ES"/>
        </w:rPr>
        <w:t xml:space="preserve"> de julio de 2026, en la cual manifiesta lo siguiente: </w:t>
      </w:r>
    </w:p>
    <w:p w14:paraId="07F9F4EA" w14:textId="77777777" w:rsidR="0072479E" w:rsidRPr="005979D9" w:rsidRDefault="0072479E" w:rsidP="0072479E">
      <w:pPr>
        <w:spacing w:after="0" w:line="276" w:lineRule="auto"/>
        <w:jc w:val="both"/>
        <w:rPr>
          <w:rFonts w:ascii="Verdana" w:eastAsia="Calibri" w:hAnsi="Verdana" w:cs="Arial"/>
          <w:color w:val="7030A0"/>
          <w:lang w:val="es-ES" w:eastAsia="es-ES"/>
        </w:rPr>
      </w:pPr>
    </w:p>
    <w:p w14:paraId="1B355AB3" w14:textId="77777777" w:rsidR="0072479E" w:rsidRDefault="0072479E" w:rsidP="0072479E">
      <w:pPr>
        <w:pStyle w:val="Prrafodelista"/>
        <w:spacing w:after="0" w:line="240" w:lineRule="auto"/>
        <w:ind w:left="709" w:right="709"/>
        <w:jc w:val="both"/>
        <w:rPr>
          <w:rFonts w:ascii="Verdana" w:eastAsia="Calibri" w:hAnsi="Verdana" w:cs="Arial"/>
          <w:i/>
          <w:color w:val="000000"/>
          <w:sz w:val="20"/>
          <w:szCs w:val="20"/>
          <w:lang w:eastAsia="es-ES"/>
        </w:rPr>
      </w:pPr>
      <w:r>
        <w:rPr>
          <w:rFonts w:ascii="Verdana" w:eastAsia="Calibri" w:hAnsi="Verdana" w:cs="Arial"/>
          <w:i/>
          <w:color w:val="000000"/>
          <w:sz w:val="20"/>
          <w:szCs w:val="20"/>
          <w:lang w:eastAsia="es-ES"/>
        </w:rPr>
        <w:t xml:space="preserve">“porfa tengo un contrato para la elaboración e impresión de diplomas, carpetas, menciones, tarjetas, placas, medallas, todo marcado con logo institucional y medidas específicas. </w:t>
      </w:r>
      <w:proofErr w:type="gramStart"/>
      <w:r>
        <w:rPr>
          <w:rFonts w:ascii="Verdana" w:eastAsia="Calibri" w:hAnsi="Verdana" w:cs="Arial"/>
          <w:i/>
          <w:color w:val="000000"/>
          <w:sz w:val="20"/>
          <w:szCs w:val="20"/>
          <w:lang w:eastAsia="es-ES"/>
        </w:rPr>
        <w:t>Es prestación de servicios o compra y suministro?</w:t>
      </w:r>
      <w:proofErr w:type="gramEnd"/>
    </w:p>
    <w:p w14:paraId="68E54683" w14:textId="77777777" w:rsidR="0072479E" w:rsidRDefault="0072479E" w:rsidP="0072479E">
      <w:pPr>
        <w:pStyle w:val="Prrafodelista"/>
        <w:spacing w:after="0" w:line="240" w:lineRule="auto"/>
        <w:ind w:left="709" w:right="709"/>
        <w:jc w:val="both"/>
        <w:rPr>
          <w:rFonts w:ascii="Verdana" w:eastAsia="Calibri" w:hAnsi="Verdana" w:cs="Arial"/>
          <w:i/>
          <w:color w:val="000000"/>
          <w:sz w:val="20"/>
          <w:szCs w:val="20"/>
          <w:lang w:eastAsia="es-ES"/>
        </w:rPr>
      </w:pPr>
      <w:proofErr w:type="gramStart"/>
      <w:r>
        <w:rPr>
          <w:rFonts w:ascii="Verdana" w:eastAsia="Calibri" w:hAnsi="Verdana" w:cs="Arial"/>
          <w:i/>
          <w:color w:val="000000"/>
          <w:sz w:val="20"/>
          <w:szCs w:val="20"/>
          <w:lang w:eastAsia="es-ES"/>
        </w:rPr>
        <w:t>Igual si me hacen banderas institucionales con logo y de la institución, es prestación de servicios o compra???</w:t>
      </w:r>
      <w:proofErr w:type="gramEnd"/>
    </w:p>
    <w:p w14:paraId="3ECF065A" w14:textId="77777777" w:rsidR="0072479E" w:rsidRDefault="0072479E" w:rsidP="0072479E">
      <w:pPr>
        <w:pStyle w:val="Prrafodelista"/>
        <w:spacing w:after="0" w:line="240" w:lineRule="auto"/>
        <w:ind w:left="709" w:right="709"/>
        <w:jc w:val="both"/>
        <w:rPr>
          <w:rFonts w:ascii="Verdana" w:eastAsia="Calibri" w:hAnsi="Verdana" w:cs="Arial"/>
          <w:i/>
          <w:color w:val="000000"/>
          <w:sz w:val="20"/>
          <w:szCs w:val="20"/>
          <w:lang w:eastAsia="es-ES"/>
        </w:rPr>
      </w:pPr>
      <w:r>
        <w:rPr>
          <w:rFonts w:ascii="Verdana" w:eastAsia="Calibri" w:hAnsi="Verdana" w:cs="Arial"/>
          <w:i/>
          <w:color w:val="000000"/>
          <w:sz w:val="20"/>
          <w:szCs w:val="20"/>
          <w:lang w:eastAsia="es-ES"/>
        </w:rPr>
        <w:t>Gracias”</w:t>
      </w:r>
    </w:p>
    <w:p w14:paraId="273380B7" w14:textId="77777777" w:rsidR="0072479E" w:rsidRPr="00C851CB" w:rsidRDefault="0072479E" w:rsidP="0072479E">
      <w:pPr>
        <w:pStyle w:val="Prrafodelista"/>
        <w:spacing w:after="0" w:line="276" w:lineRule="auto"/>
        <w:ind w:left="1069" w:right="709"/>
        <w:jc w:val="both"/>
        <w:rPr>
          <w:rFonts w:ascii="Verdana" w:eastAsia="Calibri" w:hAnsi="Verdana" w:cs="Arial"/>
          <w:i/>
          <w:color w:val="000000"/>
          <w:lang w:eastAsia="es-ES"/>
        </w:rPr>
      </w:pPr>
    </w:p>
    <w:p w14:paraId="7DDDB409" w14:textId="77777777" w:rsidR="0072479E" w:rsidRPr="000B3888" w:rsidRDefault="0072479E" w:rsidP="0072479E">
      <w:pPr>
        <w:pStyle w:val="Prrafodelista"/>
        <w:spacing w:after="0" w:line="240" w:lineRule="auto"/>
        <w:ind w:left="1069" w:right="709"/>
        <w:jc w:val="both"/>
        <w:rPr>
          <w:rFonts w:ascii="Verdana" w:eastAsia="Calibri" w:hAnsi="Verdana" w:cs="Arial"/>
          <w:i/>
          <w:color w:val="000000"/>
          <w:sz w:val="20"/>
          <w:szCs w:val="20"/>
          <w:lang w:eastAsia="es-ES"/>
        </w:rPr>
      </w:pPr>
    </w:p>
    <w:p w14:paraId="3D50A904" w14:textId="77777777" w:rsidR="0072479E" w:rsidRPr="005979D9" w:rsidRDefault="0072479E" w:rsidP="0072479E">
      <w:pPr>
        <w:spacing w:after="120" w:line="276" w:lineRule="auto"/>
        <w:ind w:firstLine="709"/>
        <w:jc w:val="both"/>
        <w:rPr>
          <w:rFonts w:ascii="Verdana" w:eastAsia="Calibri" w:hAnsi="Verdana" w:cs="Arial"/>
          <w:color w:val="000000"/>
          <w:szCs w:val="24"/>
          <w:lang w:val="es-ES_tradnl" w:eastAsia="es-ES_tradnl"/>
        </w:rPr>
      </w:pPr>
      <w:r w:rsidRPr="005979D9">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5979D9">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79D9">
        <w:rPr>
          <w:rFonts w:ascii="Verdana" w:eastAsia="Calibri" w:hAnsi="Verdana" w:cs="Arial"/>
          <w:color w:val="000000"/>
          <w:szCs w:val="24"/>
          <w:lang w:val="es-ES_tradnl" w:eastAsia="es-ES_tradnl"/>
        </w:rPr>
        <w:tab/>
      </w:r>
    </w:p>
    <w:p w14:paraId="5A70E015" w14:textId="77777777" w:rsidR="0072479E" w:rsidRPr="00844A08" w:rsidRDefault="0072479E" w:rsidP="0072479E">
      <w:pPr>
        <w:spacing w:after="0" w:line="276" w:lineRule="auto"/>
        <w:ind w:firstLine="709"/>
        <w:jc w:val="both"/>
        <w:rPr>
          <w:rFonts w:ascii="Verdana" w:eastAsia="Calibri" w:hAnsi="Verdana" w:cs="Arial"/>
          <w:color w:val="000000"/>
          <w:lang w:val="es-ES" w:eastAsia="es-ES"/>
        </w:rPr>
      </w:pPr>
      <w:r w:rsidRPr="005979D9">
        <w:rPr>
          <w:rFonts w:ascii="Verdana" w:eastAsia="Calibri" w:hAnsi="Verdana" w:cs="Arial"/>
          <w:color w:val="000000"/>
          <w:lang w:val="es-ES" w:eastAsia="es-ES"/>
        </w:rPr>
        <w:t xml:space="preserve">Conforme lo expuesto, en aras de satisfacer el derecho fundamental de </w:t>
      </w:r>
      <w:r w:rsidRPr="00844A08">
        <w:rPr>
          <w:rFonts w:ascii="Verdana" w:eastAsia="Calibri" w:hAnsi="Verdana" w:cs="Arial"/>
          <w:color w:val="000000"/>
          <w:lang w:val="es-ES" w:eastAsia="es-ES"/>
        </w:rPr>
        <w:t xml:space="preserve">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w:t>
      </w:r>
      <w:r w:rsidRPr="00844A08">
        <w:rPr>
          <w:rFonts w:ascii="Verdana" w:eastAsia="Calibri" w:hAnsi="Verdana" w:cs="Arial"/>
          <w:lang w:val="es-ES" w:eastAsia="es-ES"/>
        </w:rPr>
        <w:t xml:space="preserve">el problema </w:t>
      </w:r>
      <w:r w:rsidRPr="00844A08">
        <w:rPr>
          <w:rFonts w:ascii="Verdana" w:eastAsia="Calibri" w:hAnsi="Verdana" w:cs="Arial"/>
          <w:color w:val="000000"/>
          <w:lang w:val="es-ES" w:eastAsia="es-ES"/>
        </w:rPr>
        <w:t xml:space="preserve">jurídico de su consulta. </w:t>
      </w:r>
    </w:p>
    <w:p w14:paraId="37517978" w14:textId="77777777" w:rsidR="0072479E" w:rsidRPr="00844A08" w:rsidRDefault="0072479E" w:rsidP="0072479E">
      <w:pPr>
        <w:spacing w:after="0" w:line="276" w:lineRule="auto"/>
        <w:jc w:val="both"/>
        <w:rPr>
          <w:rFonts w:ascii="Verdana" w:eastAsia="Calibri" w:hAnsi="Verdana" w:cs="Arial"/>
          <w:color w:val="000000"/>
          <w:lang w:val="es-ES" w:eastAsia="es-ES"/>
        </w:rPr>
      </w:pPr>
    </w:p>
    <w:p w14:paraId="4BADC364" w14:textId="77777777" w:rsidR="0072479E" w:rsidRPr="00844A08" w:rsidRDefault="0072479E" w:rsidP="0072479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44A08">
        <w:rPr>
          <w:rFonts w:ascii="Verdana" w:eastAsia="Century Gothic" w:hAnsi="Verdana" w:cs="Century Gothic"/>
          <w:b/>
          <w:bCs/>
        </w:rPr>
        <w:t>Problema planteado:</w:t>
      </w:r>
    </w:p>
    <w:p w14:paraId="642DA227" w14:textId="77777777" w:rsidR="0072479E" w:rsidRPr="00844A08" w:rsidRDefault="0072479E" w:rsidP="0072479E">
      <w:pPr>
        <w:spacing w:after="0" w:line="276" w:lineRule="auto"/>
        <w:jc w:val="both"/>
        <w:rPr>
          <w:rFonts w:ascii="Verdana" w:eastAsia="Century Gothic" w:hAnsi="Verdana" w:cs="Century Gothic"/>
        </w:rPr>
      </w:pPr>
    </w:p>
    <w:p w14:paraId="45B28F4E" w14:textId="77777777" w:rsidR="0072479E" w:rsidRPr="00844A08" w:rsidRDefault="0072479E" w:rsidP="0072479E">
      <w:pPr>
        <w:spacing w:after="0" w:line="276" w:lineRule="auto"/>
        <w:jc w:val="both"/>
        <w:rPr>
          <w:rFonts w:ascii="Verdana" w:eastAsia="Century Gothic" w:hAnsi="Verdana" w:cs="Century Gothic"/>
        </w:rPr>
      </w:pPr>
      <w:r w:rsidRPr="00844A08">
        <w:rPr>
          <w:rFonts w:ascii="Verdana" w:eastAsia="Century Gothic" w:hAnsi="Verdana" w:cs="Century Gothic"/>
        </w:rPr>
        <w:t xml:space="preserve">De acuerdo con el contenido de su solicitud, esta Agencia abordará el siguiente problema jurídico: </w:t>
      </w:r>
      <w:r>
        <w:rPr>
          <w:rFonts w:ascii="Verdana" w:eastAsia="Century Gothic" w:hAnsi="Verdana" w:cs="Century Gothic"/>
        </w:rPr>
        <w:t>¿Cuál es la naturaleza jurídica del contrato</w:t>
      </w:r>
      <w:r w:rsidRPr="007D3999">
        <w:rPr>
          <w:rFonts w:ascii="Verdana" w:eastAsia="Century Gothic" w:hAnsi="Verdana" w:cs="Century Gothic"/>
        </w:rPr>
        <w:t xml:space="preserve"> cuyo objeto co</w:t>
      </w:r>
      <w:r>
        <w:rPr>
          <w:rFonts w:ascii="Verdana" w:eastAsia="Century Gothic" w:hAnsi="Verdana" w:cs="Century Gothic"/>
        </w:rPr>
        <w:t>nsiste en</w:t>
      </w:r>
      <w:r w:rsidRPr="007D3999">
        <w:rPr>
          <w:rFonts w:ascii="Verdana" w:eastAsia="Century Gothic" w:hAnsi="Verdana" w:cs="Century Gothic"/>
        </w:rPr>
        <w:t xml:space="preserve"> la elaboración y entrega de bienes personalizados de acuerdo con las características, medidas y especificaciones técnicas definidas por una entidad estatal, tales como diplomas, carpetas, menciones, tarjetas, placas, medallas y banderas institucionales</w:t>
      </w:r>
      <w:r>
        <w:rPr>
          <w:rFonts w:ascii="Verdana" w:eastAsia="Century Gothic" w:hAnsi="Verdana" w:cs="Century Gothic"/>
        </w:rPr>
        <w:t>? En otras palabras</w:t>
      </w:r>
      <w:r w:rsidRPr="007D3999">
        <w:rPr>
          <w:rFonts w:ascii="Verdana" w:eastAsia="Century Gothic" w:hAnsi="Verdana" w:cs="Century Gothic"/>
        </w:rPr>
        <w:t xml:space="preserve"> </w:t>
      </w:r>
      <w:r>
        <w:rPr>
          <w:rFonts w:ascii="Verdana" w:eastAsia="Century Gothic" w:hAnsi="Verdana" w:cs="Century Gothic"/>
        </w:rPr>
        <w:t>¿C</w:t>
      </w:r>
      <w:r w:rsidRPr="007D3999">
        <w:rPr>
          <w:rFonts w:ascii="Verdana" w:eastAsia="Century Gothic" w:hAnsi="Verdana" w:cs="Century Gothic"/>
        </w:rPr>
        <w:t>orresponde jurídicamente a un contrato de prestación de servicios o de suministro?</w:t>
      </w:r>
    </w:p>
    <w:p w14:paraId="6E3074B5" w14:textId="77777777" w:rsidR="0072479E" w:rsidRPr="00844A08" w:rsidRDefault="0072479E" w:rsidP="0072479E">
      <w:pPr>
        <w:spacing w:after="0" w:line="276" w:lineRule="auto"/>
        <w:jc w:val="both"/>
        <w:rPr>
          <w:rFonts w:ascii="Verdana" w:eastAsia="Century Gothic" w:hAnsi="Verdana" w:cs="Century Gothic"/>
        </w:rPr>
      </w:pPr>
    </w:p>
    <w:p w14:paraId="53FA27A2" w14:textId="77777777" w:rsidR="0072479E" w:rsidRPr="005C356C" w:rsidRDefault="0072479E" w:rsidP="0072479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C356C">
        <w:rPr>
          <w:rFonts w:ascii="Verdana" w:eastAsia="Century Gothic" w:hAnsi="Verdana" w:cs="Century Gothic"/>
          <w:b/>
          <w:bCs/>
        </w:rPr>
        <w:t>Respuesta:</w:t>
      </w:r>
    </w:p>
    <w:p w14:paraId="3ECF50A3" w14:textId="77777777" w:rsidR="0072479E" w:rsidRPr="005979D9" w:rsidRDefault="0072479E" w:rsidP="0072479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2479E" w:rsidRPr="005979D9" w14:paraId="1B4D197B" w14:textId="77777777" w:rsidTr="00A005C1">
        <w:tc>
          <w:tcPr>
            <w:tcW w:w="8828" w:type="dxa"/>
          </w:tcPr>
          <w:p w14:paraId="32554E70" w14:textId="77777777" w:rsidR="0072479E" w:rsidRDefault="0072479E" w:rsidP="00A005C1">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En primer lugar, vale aclarar que, en el evento en el que alguna de las Entidades Estatales a las que se refiere el Estatuto General de Contratación de la Administración Pública – en adelante EGCAP – celebre un contrato de suministro o de prestación de servicios tendrá calidad de contrato estatal, por el criterio orgánico con el que se consideran los contratos estatales, el cual deberá someterse a las disposiciones comerciales y civiles pertinentes, salvo en las materias específicas que regule el EGCAP, de conformidad con los </w:t>
            </w:r>
            <w:r>
              <w:rPr>
                <w:rFonts w:ascii="Verdana" w:eastAsia="Calibri" w:hAnsi="Verdana" w:cs="Arial"/>
                <w:color w:val="000000" w:themeColor="text1"/>
              </w:rPr>
              <w:lastRenderedPageBreak/>
              <w:t xml:space="preserve">artículos 13 y 40 </w:t>
            </w:r>
            <w:proofErr w:type="spellStart"/>
            <w:r>
              <w:rPr>
                <w:rFonts w:ascii="Verdana" w:eastAsia="Calibri" w:hAnsi="Verdana" w:cs="Arial"/>
                <w:color w:val="000000" w:themeColor="text1"/>
              </w:rPr>
              <w:t>ibídem</w:t>
            </w:r>
            <w:proofErr w:type="spellEnd"/>
            <w:r>
              <w:rPr>
                <w:rFonts w:ascii="Verdana" w:eastAsia="Calibri" w:hAnsi="Verdana" w:cs="Arial"/>
                <w:color w:val="000000" w:themeColor="text1"/>
              </w:rPr>
              <w:t xml:space="preserve">. Precisado esto, conviene diferenciar las dos tipologías contractuales a las que se refiere en su consulta. </w:t>
            </w:r>
          </w:p>
          <w:p w14:paraId="0DAEF4A2" w14:textId="77777777" w:rsidR="0072479E" w:rsidRDefault="0072479E" w:rsidP="00A005C1">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Por un lado, el contrato de suministro es sustancialmente distinto del contrato de prestación de servicios, </w:t>
            </w:r>
            <w:r w:rsidRPr="004644EE">
              <w:rPr>
                <w:rFonts w:ascii="Verdana" w:eastAsia="Calibri" w:hAnsi="Verdana" w:cs="Arial"/>
                <w:color w:val="000000" w:themeColor="text1"/>
              </w:rPr>
              <w:t>por cuanto aquel no hace parte de las especies del segundo, dado que cada una de estas tipologías contractuales tienen como origen disposiciones normativas diferentes y sus elementos esenciales son disímiles.</w:t>
            </w:r>
          </w:p>
          <w:p w14:paraId="0BEBAB71" w14:textId="77777777" w:rsidR="0072479E" w:rsidRDefault="0072479E" w:rsidP="00A005C1">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Ahora bien, en materia de contratación estatal, aunque el contrato de suministro no hace parte de aquellos que fueron </w:t>
            </w:r>
            <w:proofErr w:type="spellStart"/>
            <w:r>
              <w:rPr>
                <w:rFonts w:ascii="Verdana" w:eastAsia="Calibri" w:hAnsi="Verdana" w:cs="Arial"/>
                <w:color w:val="000000" w:themeColor="text1"/>
              </w:rPr>
              <w:t>enunciados</w:t>
            </w:r>
            <w:proofErr w:type="spellEnd"/>
            <w:r>
              <w:rPr>
                <w:rFonts w:ascii="Verdana" w:eastAsia="Calibri" w:hAnsi="Verdana" w:cs="Arial"/>
                <w:color w:val="000000" w:themeColor="text1"/>
              </w:rPr>
              <w:t xml:space="preserve"> por el legislador en el artículo 32 de la Ley 80 de 1993</w:t>
            </w:r>
            <w:r>
              <w:rPr>
                <w:rStyle w:val="Refdenotaalpie"/>
                <w:rFonts w:ascii="Verdana" w:eastAsia="Calibri" w:hAnsi="Verdana" w:cs="Arial"/>
                <w:color w:val="000000" w:themeColor="text1"/>
              </w:rPr>
              <w:footnoteReference w:id="1"/>
            </w:r>
            <w:r>
              <w:rPr>
                <w:rFonts w:ascii="Verdana" w:eastAsia="Calibri" w:hAnsi="Verdana" w:cs="Arial"/>
                <w:color w:val="000000" w:themeColor="text1"/>
              </w:rPr>
              <w:t xml:space="preserve">, si cuenta con regulación legal en los artículos 968 y subsiguientes del Código de Comercio, es definido como el negocio jurídico a partir del cual </w:t>
            </w:r>
            <w:r w:rsidRPr="00F332E4">
              <w:rPr>
                <w:rFonts w:ascii="Verdana" w:eastAsia="Calibri" w:hAnsi="Verdana" w:cs="Arial"/>
                <w:color w:val="000000" w:themeColor="text1"/>
              </w:rPr>
              <w:t>“[…] una parte se obliga, a cambio de una contraprestación, a cumplir en favor de otra, en forma independiente, prestaciones periódicas o continuadas de cosas o servicios”, teniendo como característica identificadora la periodicidad o continuidad de la ejecución independiente de las prestaciones de cosas o servicios a cargo del proveedor.</w:t>
            </w:r>
          </w:p>
          <w:p w14:paraId="6B1CD78E" w14:textId="77777777" w:rsidR="0072479E" w:rsidRDefault="0072479E" w:rsidP="00A005C1">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Por otro lado, el contrato de prestación de servicios está consagrado en el numeral 3 del artículo 32 de la Ley 80 de 1993 y su característica fundamental es que permite a las Entidades Estatales el desarrollo de actividades relacionadas con su administración o funcionamiento. Ténganse en cuenta que las </w:t>
            </w:r>
            <w:r>
              <w:rPr>
                <w:rFonts w:ascii="Verdana" w:eastAsia="Calibri" w:hAnsi="Verdana" w:cs="Arial"/>
                <w:i/>
                <w:iCs/>
                <w:color w:val="000000" w:themeColor="text1"/>
              </w:rPr>
              <w:t xml:space="preserve">especies </w:t>
            </w:r>
            <w:r>
              <w:rPr>
                <w:rFonts w:ascii="Verdana" w:eastAsia="Calibri" w:hAnsi="Verdana" w:cs="Arial"/>
                <w:color w:val="000000" w:themeColor="text1"/>
              </w:rPr>
              <w:t xml:space="preserve">en el contrato de prestación de servicios son: i) contratos de prestación de servicios profesionales, </w:t>
            </w:r>
            <w:proofErr w:type="spellStart"/>
            <w:r>
              <w:rPr>
                <w:rFonts w:ascii="Verdana" w:eastAsia="Calibri" w:hAnsi="Verdana" w:cs="Arial"/>
                <w:color w:val="000000" w:themeColor="text1"/>
              </w:rPr>
              <w:t>ii</w:t>
            </w:r>
            <w:proofErr w:type="spellEnd"/>
            <w:r>
              <w:rPr>
                <w:rFonts w:ascii="Verdana" w:eastAsia="Calibri" w:hAnsi="Verdana" w:cs="Arial"/>
                <w:color w:val="000000" w:themeColor="text1"/>
              </w:rPr>
              <w:t xml:space="preserve">) contratos de prestación de servicios de apoyo a la gestión y </w:t>
            </w:r>
            <w:proofErr w:type="spellStart"/>
            <w:r>
              <w:rPr>
                <w:rFonts w:ascii="Verdana" w:eastAsia="Calibri" w:hAnsi="Verdana" w:cs="Arial"/>
                <w:color w:val="000000" w:themeColor="text1"/>
              </w:rPr>
              <w:t>iii</w:t>
            </w:r>
            <w:proofErr w:type="spellEnd"/>
            <w:r>
              <w:rPr>
                <w:rFonts w:ascii="Verdana" w:eastAsia="Calibri" w:hAnsi="Verdana" w:cs="Arial"/>
                <w:color w:val="000000" w:themeColor="text1"/>
              </w:rPr>
              <w:t xml:space="preserve">) contratos de prestación de servicios artísticos, los cuales solo pueden encomendarse a determinadas personas naturales. </w:t>
            </w:r>
          </w:p>
          <w:p w14:paraId="4C8643B1" w14:textId="77777777" w:rsidR="0072479E" w:rsidRDefault="0072479E" w:rsidP="00A005C1">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Teniendo en cuenta lo anterior, puede ocurrir que en la práctica exista alguna confusión que equipare los dos tipos de contratos y que su diferenciación no resulte un ejercicio claro. Sobre </w:t>
            </w:r>
            <w:proofErr w:type="gramStart"/>
            <w:r>
              <w:rPr>
                <w:rFonts w:ascii="Verdana" w:eastAsia="Calibri" w:hAnsi="Verdana" w:cs="Arial"/>
                <w:color w:val="000000" w:themeColor="text1"/>
              </w:rPr>
              <w:t>todo</w:t>
            </w:r>
            <w:proofErr w:type="gramEnd"/>
            <w:r>
              <w:rPr>
                <w:rFonts w:ascii="Verdana" w:eastAsia="Calibri" w:hAnsi="Verdana" w:cs="Arial"/>
                <w:color w:val="000000" w:themeColor="text1"/>
              </w:rPr>
              <w:t xml:space="preserve"> porque a través del contrato de suministro, una Entidad Estatal podría contratar servicios, como también ocurre en el contrato de prestación de servicios (en cualquiera de sus </w:t>
            </w:r>
            <w:r>
              <w:rPr>
                <w:rFonts w:ascii="Verdana" w:eastAsia="Calibri" w:hAnsi="Verdana" w:cs="Arial"/>
                <w:i/>
                <w:iCs/>
                <w:color w:val="000000" w:themeColor="text1"/>
              </w:rPr>
              <w:lastRenderedPageBreak/>
              <w:t>especies</w:t>
            </w:r>
            <w:r>
              <w:rPr>
                <w:rFonts w:ascii="Verdana" w:eastAsia="Calibri" w:hAnsi="Verdana" w:cs="Arial"/>
                <w:color w:val="000000" w:themeColor="text1"/>
              </w:rPr>
              <w:t xml:space="preserve">). No obstante, para establecer a qué tipo de contrato responde un negocio jurídico en particular, será necesario hacer un análisis de cada uno de los elementos de aquel, su objeto contractual y la naturaleza de las obligaciones contraídas. </w:t>
            </w:r>
          </w:p>
          <w:p w14:paraId="55DFC6B9" w14:textId="77777777" w:rsidR="0072479E" w:rsidRPr="002A7877" w:rsidRDefault="0072479E" w:rsidP="00A005C1">
            <w:pPr>
              <w:spacing w:after="120" w:line="276" w:lineRule="auto"/>
              <w:ind w:firstLine="709"/>
              <w:jc w:val="both"/>
              <w:rPr>
                <w:rFonts w:ascii="Verdana" w:eastAsia="Calibri" w:hAnsi="Verdana" w:cs="Arial"/>
                <w:color w:val="000000" w:themeColor="text1"/>
              </w:rPr>
            </w:pPr>
            <w:r>
              <w:rPr>
                <w:rFonts w:ascii="Verdana" w:eastAsia="Calibri" w:hAnsi="Verdana" w:cs="Arial"/>
                <w:bCs/>
                <w:color w:val="000000" w:themeColor="text1"/>
              </w:rPr>
              <w:t xml:space="preserve">Es </w:t>
            </w:r>
            <w:proofErr w:type="gramStart"/>
            <w:r>
              <w:rPr>
                <w:rFonts w:ascii="Verdana" w:eastAsia="Calibri" w:hAnsi="Verdana" w:cs="Arial"/>
                <w:bCs/>
                <w:color w:val="000000" w:themeColor="text1"/>
              </w:rPr>
              <w:t>posible  señalar</w:t>
            </w:r>
            <w:proofErr w:type="gramEnd"/>
            <w:r>
              <w:rPr>
                <w:rFonts w:ascii="Verdana" w:eastAsia="Calibri" w:hAnsi="Verdana" w:cs="Arial"/>
                <w:bCs/>
                <w:color w:val="000000" w:themeColor="text1"/>
              </w:rPr>
              <w:t xml:space="preserve"> varios elementos que permiten diferenciar de manera clara las dos tipologías contractuales. El primero</w:t>
            </w:r>
            <w:r w:rsidRPr="004D340B">
              <w:rPr>
                <w:rFonts w:ascii="Verdana" w:eastAsia="Calibri" w:hAnsi="Verdana" w:cs="Arial"/>
                <w:bCs/>
                <w:color w:val="000000" w:themeColor="text1"/>
              </w:rPr>
              <w:t xml:space="preserve"> es el objeto: el suministro tiende a recaer sobre bienes que se entregan en cantidades determinadas o determinables, mientras la prestación de servicios recae sobre una actividad humana, intelectual o técnica que no se traduce necesariamente en una cosa. La segunda es la temporalidad: la periodicidad o continuidad es de la esencia del suministro —una entrega única sería una compraventa—, mientras la prestación de servicios admite tanto la ejecución instantánea como la sucesiva. La tercera es la relevancia de la persona del contratista, que es central en los servicios profesionales y por eso restringe la cesión y la subcontratación, y bastante secundaria en el suministro, donde interesa el aprovisionamiento y no quién lo materializa. La cuarta es el tipo de obligación: el suministro genera típicamente obligaciones de resultado, con régimen de garantía de calidad, vicios ocultos</w:t>
            </w:r>
            <w:r>
              <w:rPr>
                <w:rFonts w:ascii="Verdana" w:eastAsia="Calibri" w:hAnsi="Verdana" w:cs="Arial"/>
                <w:bCs/>
                <w:color w:val="000000" w:themeColor="text1"/>
              </w:rPr>
              <w:t xml:space="preserve">; </w:t>
            </w:r>
            <w:r w:rsidRPr="004D340B">
              <w:rPr>
                <w:rFonts w:ascii="Verdana" w:eastAsia="Calibri" w:hAnsi="Verdana" w:cs="Arial"/>
                <w:bCs/>
                <w:color w:val="000000" w:themeColor="text1"/>
              </w:rPr>
              <w:t xml:space="preserve">servicios profesionales suelen generar obligaciones de medio, evaluadas conforme a la lex </w:t>
            </w:r>
            <w:proofErr w:type="spellStart"/>
            <w:r w:rsidRPr="004D340B">
              <w:rPr>
                <w:rFonts w:ascii="Verdana" w:eastAsia="Calibri" w:hAnsi="Verdana" w:cs="Arial"/>
                <w:bCs/>
                <w:color w:val="000000" w:themeColor="text1"/>
              </w:rPr>
              <w:t>artis</w:t>
            </w:r>
            <w:proofErr w:type="spellEnd"/>
            <w:r w:rsidRPr="004D340B">
              <w:rPr>
                <w:rFonts w:ascii="Verdana" w:eastAsia="Calibri" w:hAnsi="Verdana" w:cs="Arial"/>
                <w:bCs/>
                <w:color w:val="000000" w:themeColor="text1"/>
              </w:rPr>
              <w:t xml:space="preserve">. Y la quinta, decisiva en </w:t>
            </w:r>
            <w:r>
              <w:rPr>
                <w:rFonts w:ascii="Verdana" w:eastAsia="Calibri" w:hAnsi="Verdana" w:cs="Arial"/>
                <w:bCs/>
                <w:color w:val="000000" w:themeColor="text1"/>
              </w:rPr>
              <w:t>la contratación estatal</w:t>
            </w:r>
            <w:r w:rsidRPr="004D340B">
              <w:rPr>
                <w:rFonts w:ascii="Verdana" w:eastAsia="Calibri" w:hAnsi="Verdana" w:cs="Arial"/>
                <w:bCs/>
                <w:color w:val="000000" w:themeColor="text1"/>
              </w:rPr>
              <w:t>, es la modalidad de selección: los servicios profesionales y de apoyo a la gestión se contratan de forma directa, mientras el suministro de bienes normalmente exige licitación, selección abreviada —incluso subasta inversa cuando se trata de bienes de características técnicas uniformes— o mínima cuantía según el valor.</w:t>
            </w:r>
          </w:p>
          <w:p w14:paraId="04D796DB" w14:textId="77777777" w:rsidR="0072479E" w:rsidRPr="002A7877" w:rsidRDefault="0072479E" w:rsidP="00A005C1">
            <w:pPr>
              <w:widowControl w:val="0"/>
              <w:autoSpaceDE w:val="0"/>
              <w:autoSpaceDN w:val="0"/>
              <w:spacing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 xml:space="preserve">Finalmente, respecto a la procedencia de cada figura contractual, la regla práctica es preguntarse qué necesidades busca suplir la entidad estatal. Si se relaciona con bienes que consumen de manera recurrente tal como papelería, combustible, medicamentos, alimentos o de un servicio prestado </w:t>
            </w:r>
            <w:r w:rsidRPr="00861CA3">
              <w:rPr>
                <w:rFonts w:ascii="Verdana" w:eastAsia="Calibri" w:hAnsi="Verdana" w:cs="Arial"/>
                <w:bCs/>
                <w:color w:val="000000" w:themeColor="text1"/>
              </w:rPr>
              <w:t>de forma continuada y masificada por una empresa</w:t>
            </w:r>
            <w:r>
              <w:rPr>
                <w:rFonts w:ascii="Verdana" w:eastAsia="Calibri" w:hAnsi="Verdana" w:cs="Arial"/>
                <w:bCs/>
                <w:color w:val="000000" w:themeColor="text1"/>
              </w:rPr>
              <w:t>, lo procedente es el suministro. Por el contrario, si lo que se requiere es una actividad intelectual, técnica o profesional de alguien en particular, por un término definido y para una tarea que no puede ser asumida por el personal de planta, entonces corresponde hacer uso de la figura contractual de prestación de servicios.</w:t>
            </w:r>
          </w:p>
          <w:p w14:paraId="5DC2F565" w14:textId="77777777" w:rsidR="0072479E" w:rsidRPr="005C146F" w:rsidRDefault="0072479E" w:rsidP="00A005C1">
            <w:pPr>
              <w:spacing w:after="120" w:line="276" w:lineRule="auto"/>
              <w:ind w:firstLine="709"/>
              <w:jc w:val="both"/>
              <w:rPr>
                <w:rFonts w:ascii="Verdana" w:eastAsia="Calibri" w:hAnsi="Verdana" w:cs="Arial"/>
                <w:color w:val="000000" w:themeColor="text1"/>
              </w:rPr>
            </w:pPr>
            <w:r w:rsidRPr="00D36A54">
              <w:rPr>
                <w:rFonts w:ascii="Verdana" w:eastAsia="Calibri" w:hAnsi="Verdana" w:cs="Arial"/>
                <w:color w:val="000000" w:themeColor="text1"/>
              </w:rPr>
              <w:t xml:space="preserve">Al margen de la explicación precedente debe advertirse que el análisis requerido para resolver problemas específicos en torno a la gestión contractual </w:t>
            </w:r>
            <w:r w:rsidRPr="00D36A54">
              <w:rPr>
                <w:rFonts w:ascii="Verdana" w:eastAsia="Calibri" w:hAnsi="Verdana" w:cs="Arial"/>
                <w:color w:val="000000" w:themeColor="text1"/>
              </w:rPr>
              <w:lastRenderedPageBreak/>
              <w:t>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F60ADA">
              <w:rPr>
                <w:rFonts w:ascii="Verdana" w:eastAsia="Calibri" w:hAnsi="Verdana" w:cs="Arial"/>
                <w:bCs/>
                <w:color w:val="000000" w:themeColor="text1"/>
              </w:rPr>
              <w:t xml:space="preserve"> Así, cada entidad definirá la forma de adelantar su gestión contractual dentro del marco de sus competencias, sin que corresponda a Colombia Compra Eficiente validar o avalar sus actuaciones.</w:t>
            </w:r>
          </w:p>
        </w:tc>
      </w:tr>
    </w:tbl>
    <w:p w14:paraId="77D74BD6" w14:textId="77777777" w:rsidR="0072479E" w:rsidRPr="005979D9" w:rsidRDefault="0072479E" w:rsidP="0072479E">
      <w:pPr>
        <w:tabs>
          <w:tab w:val="left" w:pos="142"/>
          <w:tab w:val="left" w:pos="284"/>
        </w:tabs>
        <w:spacing w:after="0" w:line="276" w:lineRule="auto"/>
        <w:jc w:val="both"/>
        <w:rPr>
          <w:rFonts w:ascii="Verdana" w:eastAsia="Century Gothic" w:hAnsi="Verdana" w:cs="Century Gothic"/>
          <w:b/>
          <w:bCs/>
          <w:lang w:val="es-ES"/>
        </w:rPr>
      </w:pPr>
    </w:p>
    <w:p w14:paraId="19854DE0" w14:textId="77777777" w:rsidR="0072479E" w:rsidRPr="005979D9" w:rsidRDefault="0072479E" w:rsidP="0072479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79D9">
        <w:rPr>
          <w:rFonts w:ascii="Verdana" w:eastAsia="Century Gothic" w:hAnsi="Verdana" w:cs="Century Gothic"/>
          <w:b/>
          <w:bCs/>
        </w:rPr>
        <w:t>Razones de la respuesta:</w:t>
      </w:r>
    </w:p>
    <w:p w14:paraId="2A094B0A" w14:textId="77777777" w:rsidR="0072479E" w:rsidRPr="005979D9" w:rsidRDefault="0072479E" w:rsidP="0072479E">
      <w:pPr>
        <w:spacing w:after="0" w:line="276" w:lineRule="auto"/>
        <w:jc w:val="both"/>
        <w:rPr>
          <w:rFonts w:ascii="Verdana" w:eastAsia="Calibri" w:hAnsi="Verdana" w:cs="Arial"/>
          <w:color w:val="7030A0"/>
          <w:lang w:val="es-ES"/>
        </w:rPr>
      </w:pPr>
    </w:p>
    <w:p w14:paraId="41908F1B" w14:textId="77777777" w:rsidR="0072479E" w:rsidRDefault="0072479E" w:rsidP="0072479E">
      <w:pPr>
        <w:spacing w:after="0" w:line="276" w:lineRule="auto"/>
        <w:jc w:val="both"/>
        <w:rPr>
          <w:rFonts w:ascii="Verdana" w:eastAsia="Calibri" w:hAnsi="Verdana" w:cs="Arial"/>
          <w:lang w:val="es-ES"/>
        </w:rPr>
      </w:pPr>
      <w:r w:rsidRPr="005979D9">
        <w:rPr>
          <w:rFonts w:ascii="Verdana" w:eastAsia="Calibri" w:hAnsi="Verdana" w:cs="Arial"/>
          <w:lang w:val="es-ES"/>
        </w:rPr>
        <w:t>Lo anterior se sustenta en las siguientes consideraciones:</w:t>
      </w:r>
    </w:p>
    <w:p w14:paraId="61CEDBCB" w14:textId="77777777" w:rsidR="0072479E" w:rsidRPr="00380F95" w:rsidRDefault="0072479E" w:rsidP="0072479E">
      <w:pPr>
        <w:spacing w:after="0" w:line="276" w:lineRule="auto"/>
        <w:jc w:val="both"/>
        <w:rPr>
          <w:rFonts w:ascii="Verdana" w:eastAsia="Calibri" w:hAnsi="Verdana" w:cs="Arial"/>
          <w:lang w:val="es-ES"/>
        </w:rPr>
      </w:pPr>
    </w:p>
    <w:p w14:paraId="57D2E48B" w14:textId="77777777" w:rsidR="0072479E" w:rsidRDefault="0072479E" w:rsidP="0072479E">
      <w:pPr>
        <w:spacing w:after="120" w:line="276" w:lineRule="auto"/>
        <w:jc w:val="both"/>
        <w:rPr>
          <w:rFonts w:ascii="Verdana" w:eastAsia="Calibri" w:hAnsi="Verdana" w:cs="Arial"/>
          <w:color w:val="000000" w:themeColor="text1"/>
        </w:rPr>
      </w:pPr>
      <w:r>
        <w:rPr>
          <w:rFonts w:ascii="Verdana" w:eastAsia="Calibri" w:hAnsi="Verdana" w:cs="Arial"/>
          <w:b/>
          <w:bCs/>
          <w:color w:val="000000" w:themeColor="text1"/>
        </w:rPr>
        <w:t xml:space="preserve">i. </w:t>
      </w:r>
      <w:r>
        <w:rPr>
          <w:rFonts w:ascii="Verdana" w:eastAsia="Calibri" w:hAnsi="Verdana" w:cs="Arial"/>
          <w:color w:val="000000" w:themeColor="text1"/>
        </w:rPr>
        <w:t>De conformidad con el artículo 40 de la Ley 80 de 1993, las estipulaciones de los contratos serán las que, de acuerdo con la normatividad civil y comercial, correspondan a su esencia y naturaleza. En ese sentido para resolver el problema jurídico planteado, vale la pena examinar el término suministro</w:t>
      </w:r>
      <w:r>
        <w:rPr>
          <w:rFonts w:ascii="Verdana" w:eastAsia="Calibri" w:hAnsi="Verdana" w:cs="Arial"/>
          <w:i/>
          <w:iCs/>
          <w:color w:val="000000" w:themeColor="text1"/>
        </w:rPr>
        <w:t xml:space="preserve">, </w:t>
      </w:r>
      <w:r>
        <w:rPr>
          <w:rFonts w:ascii="Verdana" w:eastAsia="Calibri" w:hAnsi="Verdana" w:cs="Arial"/>
          <w:color w:val="000000" w:themeColor="text1"/>
        </w:rPr>
        <w:t xml:space="preserve">el cual proviene del latín </w:t>
      </w:r>
      <w:r>
        <w:rPr>
          <w:rFonts w:ascii="Verdana" w:eastAsia="Calibri" w:hAnsi="Verdana" w:cs="Arial"/>
          <w:i/>
          <w:iCs/>
          <w:color w:val="000000" w:themeColor="text1"/>
        </w:rPr>
        <w:t xml:space="preserve">subministrare </w:t>
      </w:r>
      <w:r>
        <w:rPr>
          <w:rFonts w:ascii="Verdana" w:eastAsia="Calibri" w:hAnsi="Verdana" w:cs="Arial"/>
          <w:color w:val="000000" w:themeColor="text1"/>
        </w:rPr>
        <w:t xml:space="preserve">que significa proveer a uno algo que necesita. Actualmente, el contrato de suministro tiene una función económica importante, sirviendo como instrumento para que un proveedor pueda proyectar su actividad comercial, planificar su producción y las ventas, brindando certeza sobre el abastecimiento periódico de materias primas, bienes o servicios que el primero necesita del segundo, a cambio de una correlativa remuneración. </w:t>
      </w:r>
    </w:p>
    <w:p w14:paraId="5096949E" w14:textId="77777777" w:rsidR="0072479E" w:rsidRDefault="0072479E" w:rsidP="0072479E">
      <w:pPr>
        <w:widowControl w:val="0"/>
        <w:autoSpaceDE w:val="0"/>
        <w:autoSpaceDN w:val="0"/>
        <w:spacing w:after="120" w:line="276" w:lineRule="auto"/>
        <w:ind w:firstLine="708"/>
        <w:jc w:val="both"/>
        <w:rPr>
          <w:rFonts w:ascii="Verdana" w:eastAsia="Calibri" w:hAnsi="Verdana" w:cs="Arial"/>
          <w:bCs/>
          <w:lang w:eastAsia="es-ES_tradnl"/>
        </w:rPr>
      </w:pPr>
      <w:r>
        <w:rPr>
          <w:rFonts w:ascii="Verdana" w:eastAsia="Calibri" w:hAnsi="Verdana" w:cs="Arial"/>
          <w:color w:val="000000" w:themeColor="text1"/>
        </w:rPr>
        <w:t xml:space="preserve">En el ordenamiento jurídico colombiano este está definido en el artículo 968 del Código de Comercio como </w:t>
      </w:r>
      <w:r w:rsidRPr="00F549F7">
        <w:rPr>
          <w:rFonts w:ascii="Verdana" w:eastAsia="Calibri" w:hAnsi="Verdana" w:cs="Arial"/>
          <w:bCs/>
          <w:lang w:eastAsia="es-ES_tradnl"/>
        </w:rPr>
        <w:t xml:space="preserve">el negocio jurídico </w:t>
      </w:r>
      <w:r w:rsidRPr="0063082D">
        <w:rPr>
          <w:rFonts w:ascii="Verdana" w:eastAsia="Calibri" w:hAnsi="Verdana" w:cs="Arial"/>
          <w:bCs/>
          <w:lang w:eastAsia="es-ES_tradnl"/>
        </w:rPr>
        <w:t>“</w:t>
      </w:r>
      <w:r w:rsidRPr="0063082D">
        <w:rPr>
          <w:rFonts w:ascii="Verdana" w:eastAsia="Calibri" w:hAnsi="Verdana" w:cs="Arial"/>
          <w:bCs/>
          <w:i/>
          <w:iCs/>
          <w:lang w:eastAsia="es-ES_tradnl"/>
        </w:rPr>
        <w:t>por el cual una parte se obliga, a cambio de una contraprestación, a cumplir en favor de otra, en forma independiente, prestaciones periódicas o continuadas de cosas o servicios”.</w:t>
      </w:r>
      <w:r w:rsidRPr="00F549F7">
        <w:rPr>
          <w:rFonts w:ascii="Verdana" w:eastAsia="Calibri" w:hAnsi="Verdana" w:cs="Arial"/>
          <w:bCs/>
          <w:lang w:eastAsia="es-ES_tradnl"/>
        </w:rPr>
        <w:t xml:space="preserve"> </w:t>
      </w:r>
      <w:r>
        <w:rPr>
          <w:rFonts w:ascii="Verdana" w:eastAsia="Calibri" w:hAnsi="Verdana" w:cs="Arial"/>
          <w:bCs/>
          <w:lang w:eastAsia="es-ES_tradnl"/>
        </w:rPr>
        <w:t xml:space="preserve">De la norma precitada se extrae que, el contrato de suministro reúne las siguientes características: </w:t>
      </w:r>
      <w:r w:rsidRPr="00380F95">
        <w:rPr>
          <w:rFonts w:ascii="Verdana" w:eastAsia="Calibri" w:hAnsi="Verdana" w:cs="Arial"/>
          <w:bCs/>
          <w:lang w:eastAsia="es-ES_tradnl"/>
        </w:rPr>
        <w:t xml:space="preserve">i) es bilateral y conmutativo, ya que crea obligaciones recíprocas para las dos partes del contrato llamadas a reportar beneficios equivalentes para ambos; </w:t>
      </w:r>
      <w:proofErr w:type="spellStart"/>
      <w:r w:rsidRPr="00380F95">
        <w:rPr>
          <w:rFonts w:ascii="Verdana" w:eastAsia="Calibri" w:hAnsi="Verdana" w:cs="Arial"/>
          <w:bCs/>
          <w:lang w:eastAsia="es-ES_tradnl"/>
        </w:rPr>
        <w:t>ii</w:t>
      </w:r>
      <w:proofErr w:type="spellEnd"/>
      <w:r w:rsidRPr="00380F95">
        <w:rPr>
          <w:rFonts w:ascii="Verdana" w:eastAsia="Calibri" w:hAnsi="Verdana" w:cs="Arial"/>
          <w:bCs/>
          <w:lang w:eastAsia="es-ES_tradnl"/>
        </w:rPr>
        <w:t xml:space="preserve">) es oneroso, pues genera un lucro, utilidad o beneficio para ambas partes; </w:t>
      </w:r>
      <w:proofErr w:type="spellStart"/>
      <w:r w:rsidRPr="00380F95">
        <w:rPr>
          <w:rFonts w:ascii="Verdana" w:eastAsia="Calibri" w:hAnsi="Verdana" w:cs="Arial"/>
          <w:bCs/>
          <w:lang w:eastAsia="es-ES_tradnl"/>
        </w:rPr>
        <w:t>iii</w:t>
      </w:r>
      <w:proofErr w:type="spellEnd"/>
      <w:r w:rsidRPr="00380F95">
        <w:rPr>
          <w:rFonts w:ascii="Verdana" w:eastAsia="Calibri" w:hAnsi="Verdana" w:cs="Arial"/>
          <w:bCs/>
          <w:lang w:eastAsia="es-ES_tradnl"/>
        </w:rPr>
        <w:t xml:space="preserve">) es por regla general consensual, dado que en derecho privado nace </w:t>
      </w:r>
      <w:r w:rsidRPr="00380F95">
        <w:rPr>
          <w:rFonts w:ascii="Verdana" w:eastAsia="Calibri" w:hAnsi="Verdana" w:cs="Arial"/>
          <w:bCs/>
          <w:lang w:eastAsia="es-ES_tradnl"/>
        </w:rPr>
        <w:lastRenderedPageBreak/>
        <w:t xml:space="preserve">con el solo acuerdo de voluntades sobre el objeto –no lo es en contratación estatal, donde es solemne–; </w:t>
      </w:r>
      <w:proofErr w:type="spellStart"/>
      <w:r w:rsidRPr="00380F95">
        <w:rPr>
          <w:rFonts w:ascii="Verdana" w:eastAsia="Calibri" w:hAnsi="Verdana" w:cs="Arial"/>
          <w:bCs/>
          <w:lang w:eastAsia="es-ES_tradnl"/>
        </w:rPr>
        <w:t>iv</w:t>
      </w:r>
      <w:proofErr w:type="spellEnd"/>
      <w:r w:rsidRPr="00380F95">
        <w:rPr>
          <w:rFonts w:ascii="Verdana" w:eastAsia="Calibri" w:hAnsi="Verdana" w:cs="Arial"/>
          <w:bCs/>
          <w:lang w:eastAsia="es-ES_tradnl"/>
        </w:rPr>
        <w:t xml:space="preserve">) es de tracto sucesivo, porque la ejecución de las prestaciones se realiza de manera periódica o continua a través del tiempo; v) es principal, porque existe por sí solo independientemente de otros contratos; vi) es nominado y típico, dado que cuenta con definición  y regulación legal en los artículos 968 y siguientes del Código de Comercio; y </w:t>
      </w:r>
      <w:proofErr w:type="spellStart"/>
      <w:r w:rsidRPr="00380F95">
        <w:rPr>
          <w:rFonts w:ascii="Verdana" w:eastAsia="Calibri" w:hAnsi="Verdana" w:cs="Arial"/>
          <w:bCs/>
          <w:lang w:eastAsia="es-ES_tradnl"/>
        </w:rPr>
        <w:t>vii</w:t>
      </w:r>
      <w:proofErr w:type="spellEnd"/>
      <w:r w:rsidRPr="00380F95">
        <w:rPr>
          <w:rFonts w:ascii="Verdana" w:eastAsia="Calibri" w:hAnsi="Verdana" w:cs="Arial"/>
          <w:bCs/>
          <w:lang w:eastAsia="es-ES_tradnl"/>
        </w:rPr>
        <w:t>) en estos contratos estatales es potestativa la inclusión de cláusulas excepcionales, de conformidad con el artículo 14 de la Ley 80 de 1993.</w:t>
      </w:r>
    </w:p>
    <w:p w14:paraId="3BD04F5C" w14:textId="77777777" w:rsidR="0072479E" w:rsidRDefault="0072479E" w:rsidP="0072479E">
      <w:pPr>
        <w:widowControl w:val="0"/>
        <w:autoSpaceDE w:val="0"/>
        <w:autoSpaceDN w:val="0"/>
        <w:spacing w:after="0" w:line="276" w:lineRule="auto"/>
        <w:ind w:firstLine="708"/>
        <w:jc w:val="both"/>
        <w:rPr>
          <w:rFonts w:ascii="Verdana" w:eastAsia="Calibri" w:hAnsi="Verdana" w:cs="Arial"/>
          <w:bCs/>
          <w:i/>
          <w:iCs/>
          <w:lang w:eastAsia="es-ES_tradnl"/>
        </w:rPr>
      </w:pPr>
      <w:r>
        <w:rPr>
          <w:rFonts w:ascii="Verdana" w:eastAsia="Calibri" w:hAnsi="Verdana" w:cs="Arial"/>
          <w:bCs/>
          <w:lang w:eastAsia="es-ES_tradnl"/>
        </w:rPr>
        <w:t xml:space="preserve">Además, en el suministro la persona que se obliga de forma independiente a ejecutar las prestaciones – por lo general prestaciones inmateriales provenientes del esfuerzo humano – de forma periódica o continua, se denomina </w:t>
      </w:r>
      <w:r>
        <w:rPr>
          <w:rFonts w:ascii="Verdana" w:eastAsia="Calibri" w:hAnsi="Verdana" w:cs="Arial"/>
          <w:bCs/>
          <w:i/>
          <w:iCs/>
          <w:lang w:eastAsia="es-ES_tradnl"/>
        </w:rPr>
        <w:t>PROVEEDOR o</w:t>
      </w:r>
      <w:r>
        <w:rPr>
          <w:rFonts w:ascii="Verdana" w:eastAsia="Calibri" w:hAnsi="Verdana" w:cs="Arial"/>
          <w:bCs/>
          <w:lang w:eastAsia="es-ES_tradnl"/>
        </w:rPr>
        <w:t xml:space="preserve"> </w:t>
      </w:r>
      <w:r>
        <w:rPr>
          <w:rFonts w:ascii="Verdana" w:eastAsia="Calibri" w:hAnsi="Verdana" w:cs="Arial"/>
          <w:bCs/>
          <w:i/>
          <w:iCs/>
          <w:lang w:eastAsia="es-ES_tradnl"/>
        </w:rPr>
        <w:t xml:space="preserve">SUMINISTRANTE. </w:t>
      </w:r>
      <w:r>
        <w:rPr>
          <w:rFonts w:ascii="Verdana" w:eastAsia="Calibri" w:hAnsi="Verdana" w:cs="Arial"/>
          <w:bCs/>
          <w:lang w:eastAsia="es-ES_tradnl"/>
        </w:rPr>
        <w:t xml:space="preserve">Mientras quien se beneficia de las prestaciones ejecutadas y queda a cambio obligado a pagar el precio se denomina </w:t>
      </w:r>
      <w:r>
        <w:rPr>
          <w:rFonts w:ascii="Verdana" w:eastAsia="Calibri" w:hAnsi="Verdana" w:cs="Arial"/>
          <w:bCs/>
          <w:i/>
          <w:iCs/>
          <w:lang w:eastAsia="es-ES_tradnl"/>
        </w:rPr>
        <w:t xml:space="preserve">CONSUMIDOR, SUMISTRADO, BENEFICIARIO </w:t>
      </w:r>
      <w:r>
        <w:rPr>
          <w:rFonts w:ascii="Verdana" w:eastAsia="Calibri" w:hAnsi="Verdana" w:cs="Arial"/>
          <w:bCs/>
          <w:lang w:eastAsia="es-ES_tradnl"/>
        </w:rPr>
        <w:t xml:space="preserve">o </w:t>
      </w:r>
      <w:r>
        <w:rPr>
          <w:rFonts w:ascii="Verdana" w:eastAsia="Calibri" w:hAnsi="Verdana" w:cs="Arial"/>
          <w:bCs/>
          <w:i/>
          <w:iCs/>
          <w:lang w:eastAsia="es-ES_tradnl"/>
        </w:rPr>
        <w:t xml:space="preserve">CLIENTE. </w:t>
      </w:r>
      <w:r>
        <w:rPr>
          <w:rFonts w:ascii="Verdana" w:eastAsia="Calibri" w:hAnsi="Verdana" w:cs="Arial"/>
          <w:bCs/>
          <w:lang w:eastAsia="es-ES_tradnl"/>
        </w:rPr>
        <w:t xml:space="preserve">Ahora bien, aunque en la práctica este contrato guarda cercanía con otros tipos contractuales, su característica identificadora es la periodicidad o continuidad de la ejecución, independiente de las prestaciones de cosas o servicios a cargo del proveedor. Por lo anterior, la doctrina reconoce que </w:t>
      </w:r>
      <w:r>
        <w:rPr>
          <w:rFonts w:ascii="Verdana" w:eastAsia="Calibri" w:hAnsi="Verdana" w:cs="Arial"/>
          <w:bCs/>
          <w:i/>
          <w:iCs/>
          <w:lang w:eastAsia="es-ES_tradnl"/>
        </w:rPr>
        <w:t>debe tenerse en cuenta entonces la posibilidad de que en el contrato de suministro también se apliquen las reglas relativas a otros contratos que le sean compatibles, como lo son los de compraventa, transporte, obra, etc., particularmente en lo relacionado con la prestación periódica individualmente considerada</w:t>
      </w:r>
      <w:r>
        <w:rPr>
          <w:rStyle w:val="Refdenotaalpie"/>
          <w:rFonts w:ascii="Verdana" w:eastAsia="Calibri" w:hAnsi="Verdana" w:cs="Arial"/>
          <w:bCs/>
          <w:i/>
          <w:iCs/>
          <w:lang w:eastAsia="es-ES_tradnl"/>
        </w:rPr>
        <w:footnoteReference w:id="2"/>
      </w:r>
      <w:r>
        <w:rPr>
          <w:rFonts w:ascii="Verdana" w:eastAsia="Calibri" w:hAnsi="Verdana" w:cs="Arial"/>
          <w:bCs/>
          <w:i/>
          <w:iCs/>
          <w:lang w:eastAsia="es-ES_tradnl"/>
        </w:rPr>
        <w:t xml:space="preserve">. </w:t>
      </w:r>
    </w:p>
    <w:p w14:paraId="41814DB8" w14:textId="77777777" w:rsidR="0072479E" w:rsidRDefault="0072479E" w:rsidP="0072479E">
      <w:pPr>
        <w:widowControl w:val="0"/>
        <w:autoSpaceDE w:val="0"/>
        <w:autoSpaceDN w:val="0"/>
        <w:spacing w:after="0" w:line="276" w:lineRule="auto"/>
        <w:jc w:val="both"/>
        <w:rPr>
          <w:rFonts w:ascii="Verdana" w:eastAsia="Calibri" w:hAnsi="Verdana" w:cs="Arial"/>
          <w:b/>
          <w:lang w:eastAsia="es-ES_tradnl"/>
        </w:rPr>
      </w:pPr>
    </w:p>
    <w:p w14:paraId="188F68C2" w14:textId="77777777" w:rsidR="0072479E" w:rsidRDefault="0072479E" w:rsidP="0072479E">
      <w:pPr>
        <w:widowControl w:val="0"/>
        <w:autoSpaceDE w:val="0"/>
        <w:autoSpaceDN w:val="0"/>
        <w:spacing w:after="0" w:line="276" w:lineRule="auto"/>
        <w:jc w:val="both"/>
        <w:rPr>
          <w:rFonts w:ascii="Verdana" w:eastAsia="Calibri" w:hAnsi="Verdana" w:cs="Arial"/>
          <w:bCs/>
          <w:lang w:eastAsia="es-ES_tradnl"/>
        </w:rPr>
      </w:pPr>
      <w:proofErr w:type="spellStart"/>
      <w:r w:rsidRPr="00736CAD">
        <w:rPr>
          <w:rFonts w:ascii="Verdana" w:eastAsia="Calibri" w:hAnsi="Verdana" w:cs="Arial"/>
          <w:b/>
          <w:lang w:eastAsia="es-ES_tradnl"/>
        </w:rPr>
        <w:t>ii</w:t>
      </w:r>
      <w:proofErr w:type="spellEnd"/>
      <w:r w:rsidRPr="00736CAD">
        <w:rPr>
          <w:rFonts w:ascii="Verdana" w:eastAsia="Calibri" w:hAnsi="Verdana" w:cs="Arial"/>
          <w:b/>
          <w:lang w:eastAsia="es-ES_tradnl"/>
        </w:rPr>
        <w:t>.</w:t>
      </w:r>
      <w:r>
        <w:rPr>
          <w:rFonts w:ascii="Verdana" w:eastAsia="Calibri" w:hAnsi="Verdana" w:cs="Arial"/>
          <w:bCs/>
          <w:lang w:eastAsia="es-ES_tradnl"/>
        </w:rPr>
        <w:t xml:space="preserve"> Por otro lado se encuentra el contrato de prestación de servicios como uno de los tipos contractuales consagrados en el EGCAP que pueden celebrar las Entidades Estatales. Se trata de un contrato típico, ya que está definido en la Ley, puntualmente en el numeral 3º del artículo 32 de la Ley 80 de 1993, el cual establece lo siguiente:</w:t>
      </w:r>
    </w:p>
    <w:p w14:paraId="50B296F1" w14:textId="77777777" w:rsidR="0072479E" w:rsidRDefault="0072479E" w:rsidP="0072479E">
      <w:pPr>
        <w:widowControl w:val="0"/>
        <w:autoSpaceDE w:val="0"/>
        <w:autoSpaceDN w:val="0"/>
        <w:spacing w:after="0" w:line="276" w:lineRule="auto"/>
        <w:jc w:val="both"/>
        <w:rPr>
          <w:rFonts w:ascii="Verdana" w:eastAsia="Calibri" w:hAnsi="Verdana" w:cs="Arial"/>
          <w:bCs/>
          <w:lang w:eastAsia="es-ES_tradnl"/>
        </w:rPr>
      </w:pPr>
      <w:r>
        <w:rPr>
          <w:rFonts w:ascii="Verdana" w:eastAsia="Calibri" w:hAnsi="Verdana" w:cs="Arial"/>
          <w:bCs/>
          <w:lang w:eastAsia="es-ES_tradnl"/>
        </w:rPr>
        <w:t xml:space="preserve"> </w:t>
      </w:r>
    </w:p>
    <w:p w14:paraId="6E558BCA" w14:textId="77777777" w:rsidR="0072479E" w:rsidRDefault="0072479E" w:rsidP="0072479E">
      <w:pPr>
        <w:widowControl w:val="0"/>
        <w:autoSpaceDE w:val="0"/>
        <w:autoSpaceDN w:val="0"/>
        <w:spacing w:after="0" w:line="276" w:lineRule="auto"/>
        <w:ind w:left="709" w:right="709"/>
        <w:jc w:val="both"/>
        <w:rPr>
          <w:rFonts w:ascii="Verdana" w:eastAsia="Calibri" w:hAnsi="Verdana" w:cs="Arial"/>
          <w:bCs/>
          <w:sz w:val="20"/>
          <w:szCs w:val="20"/>
          <w:lang w:eastAsia="es-ES_tradnl"/>
        </w:rPr>
      </w:pPr>
      <w:r w:rsidRPr="00E20E5A">
        <w:rPr>
          <w:rFonts w:ascii="Verdana" w:eastAsia="Calibri" w:hAnsi="Verdana" w:cs="Arial"/>
          <w:bCs/>
          <w:sz w:val="20"/>
          <w:szCs w:val="20"/>
          <w:lang w:eastAsia="es-ES_tradnl"/>
        </w:rPr>
        <w:t xml:space="preserve">“Son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w:t>
      </w:r>
      <w:r w:rsidRPr="00E20E5A">
        <w:rPr>
          <w:rFonts w:ascii="Verdana" w:eastAsia="Calibri" w:hAnsi="Verdana" w:cs="Arial"/>
          <w:bCs/>
          <w:sz w:val="20"/>
          <w:szCs w:val="20"/>
          <w:lang w:eastAsia="es-ES_tradnl"/>
        </w:rPr>
        <w:lastRenderedPageBreak/>
        <w:t>caso estos contratos generan relación laboral ni prestaciones sociales y se celebrarán por el término estrictamente indispensable.”</w:t>
      </w:r>
    </w:p>
    <w:p w14:paraId="62E0C854" w14:textId="77777777" w:rsidR="0072479E" w:rsidRPr="00E20E5A" w:rsidRDefault="0072479E" w:rsidP="0072479E">
      <w:pPr>
        <w:widowControl w:val="0"/>
        <w:autoSpaceDE w:val="0"/>
        <w:autoSpaceDN w:val="0"/>
        <w:spacing w:after="0" w:line="276" w:lineRule="auto"/>
        <w:ind w:left="-363" w:right="709"/>
        <w:jc w:val="both"/>
        <w:rPr>
          <w:rFonts w:ascii="Verdana" w:eastAsia="Calibri" w:hAnsi="Verdana" w:cs="Arial"/>
          <w:bCs/>
          <w:sz w:val="20"/>
          <w:szCs w:val="20"/>
          <w:lang w:eastAsia="es-ES_tradnl"/>
        </w:rPr>
      </w:pPr>
    </w:p>
    <w:p w14:paraId="647239C5" w14:textId="77777777" w:rsidR="0072479E" w:rsidRDefault="0072479E" w:rsidP="0072479E">
      <w:pPr>
        <w:widowControl w:val="0"/>
        <w:autoSpaceDE w:val="0"/>
        <w:autoSpaceDN w:val="0"/>
        <w:spacing w:after="0" w:line="276" w:lineRule="auto"/>
        <w:ind w:left="-363" w:firstLine="708"/>
        <w:jc w:val="both"/>
        <w:rPr>
          <w:rFonts w:ascii="Verdana" w:eastAsia="Calibri" w:hAnsi="Verdana" w:cs="Arial"/>
          <w:bCs/>
          <w:lang w:eastAsia="es-ES_tradnl"/>
        </w:rPr>
      </w:pPr>
      <w:r>
        <w:rPr>
          <w:rFonts w:ascii="Verdana" w:eastAsia="Calibri" w:hAnsi="Verdana" w:cs="Arial"/>
          <w:bCs/>
          <w:lang w:eastAsia="es-ES_tradnl"/>
        </w:rPr>
        <w:t>Asimismo, la celebración de dicho contrato debe efectuarse a través de la modalidad de contratación directa. Así lo prevé el artículo 2, numeral 4º literal h) de la Ley 1150 de 2007, que dispone:</w:t>
      </w:r>
    </w:p>
    <w:p w14:paraId="0D1F330E" w14:textId="77777777" w:rsidR="0072479E" w:rsidRDefault="0072479E" w:rsidP="0072479E">
      <w:pPr>
        <w:widowControl w:val="0"/>
        <w:autoSpaceDE w:val="0"/>
        <w:autoSpaceDN w:val="0"/>
        <w:spacing w:after="0" w:line="276" w:lineRule="auto"/>
        <w:ind w:left="-363" w:firstLine="708"/>
        <w:jc w:val="both"/>
        <w:rPr>
          <w:rFonts w:ascii="Verdana" w:eastAsia="Calibri" w:hAnsi="Verdana" w:cs="Arial"/>
          <w:bCs/>
          <w:lang w:eastAsia="es-ES_tradnl"/>
        </w:rPr>
      </w:pPr>
    </w:p>
    <w:p w14:paraId="00F65690" w14:textId="77777777" w:rsidR="0072479E" w:rsidRPr="00CC04F3" w:rsidRDefault="0072479E" w:rsidP="0072479E">
      <w:pPr>
        <w:spacing w:after="0" w:line="240" w:lineRule="auto"/>
        <w:ind w:left="709" w:right="709"/>
        <w:jc w:val="both"/>
        <w:rPr>
          <w:rFonts w:ascii="Verdana" w:eastAsia="Calibri" w:hAnsi="Verdana" w:cs="Arial"/>
          <w:color w:val="000000"/>
          <w:sz w:val="20"/>
          <w:szCs w:val="20"/>
          <w:lang w:val="es-ES_tradnl" w:eastAsia="es-ES_tradnl"/>
        </w:rPr>
      </w:pPr>
      <w:r w:rsidRPr="00CC04F3">
        <w:rPr>
          <w:rFonts w:ascii="Verdana" w:eastAsia="Calibri" w:hAnsi="Verdana" w:cs="Arial"/>
          <w:color w:val="000000"/>
          <w:sz w:val="20"/>
          <w:szCs w:val="20"/>
          <w:lang w:val="es-ES_tradnl" w:eastAsia="es-ES_tradnl"/>
        </w:rPr>
        <w:t xml:space="preserve">“[…] </w:t>
      </w:r>
      <w:r w:rsidRPr="00CC04F3">
        <w:rPr>
          <w:rFonts w:ascii="Verdana" w:eastAsia="Calibri" w:hAnsi="Verdana" w:cs="Arial"/>
          <w:color w:val="000000" w:themeColor="text1"/>
          <w:sz w:val="20"/>
          <w:szCs w:val="20"/>
          <w:lang w:val="es-ES" w:eastAsia="es-ES"/>
        </w:rPr>
        <w:t>Contratación directa. La modalidad de selección de contratación directa solamente procederá en los siguientes casos:</w:t>
      </w:r>
      <w:r w:rsidRPr="00CC04F3">
        <w:rPr>
          <w:rFonts w:ascii="Verdana" w:eastAsia="Calibri" w:hAnsi="Verdana" w:cs="Arial"/>
          <w:color w:val="000000"/>
          <w:sz w:val="20"/>
          <w:szCs w:val="20"/>
          <w:lang w:val="es-ES_tradnl" w:eastAsia="es-ES_tradnl"/>
        </w:rPr>
        <w:t xml:space="preserve"> […] h) Para la prestación de servicios profesionales y de apoyo a la gestión, o para la ejecución de trabajos artísticos que sólo puedan encomendarse a determinadas personas naturales; […]”.</w:t>
      </w:r>
    </w:p>
    <w:p w14:paraId="056387D1" w14:textId="77777777" w:rsidR="0072479E" w:rsidRDefault="0072479E" w:rsidP="0072479E">
      <w:pPr>
        <w:widowControl w:val="0"/>
        <w:autoSpaceDE w:val="0"/>
        <w:autoSpaceDN w:val="0"/>
        <w:spacing w:after="0" w:line="276" w:lineRule="auto"/>
        <w:ind w:firstLine="708"/>
        <w:jc w:val="both"/>
        <w:rPr>
          <w:rFonts w:ascii="Verdana" w:eastAsia="Calibri" w:hAnsi="Verdana" w:cs="Arial"/>
          <w:bCs/>
          <w:lang w:eastAsia="es-ES_tradnl"/>
        </w:rPr>
      </w:pPr>
    </w:p>
    <w:p w14:paraId="565E0490" w14:textId="77777777" w:rsidR="0072479E" w:rsidRDefault="0072479E" w:rsidP="0072479E">
      <w:pPr>
        <w:spacing w:after="0" w:line="276" w:lineRule="auto"/>
        <w:ind w:firstLine="709"/>
        <w:jc w:val="both"/>
        <w:rPr>
          <w:rFonts w:ascii="Verdana" w:eastAsia="Arial" w:hAnsi="Verdana" w:cs="Arial"/>
          <w:bCs/>
          <w:color w:val="000000" w:themeColor="text1"/>
        </w:rPr>
      </w:pPr>
      <w:r>
        <w:rPr>
          <w:rFonts w:ascii="Verdana" w:eastAsia="Arial" w:hAnsi="Verdana" w:cs="Arial"/>
          <w:bCs/>
          <w:color w:val="000000" w:themeColor="text1"/>
        </w:rPr>
        <w:t>A partir de estos enunciados normativos de carácter legal y reglamentario que complementan su regulación y de los pronunciamientos jurisprudenciales más destacados sobre la materia, es factible identificar una serie de características del contrato de prestación de servicios:</w:t>
      </w:r>
    </w:p>
    <w:p w14:paraId="6FE1F104" w14:textId="77777777" w:rsidR="0072479E" w:rsidRDefault="0072479E" w:rsidP="0072479E">
      <w:pPr>
        <w:spacing w:after="0" w:line="276" w:lineRule="auto"/>
        <w:ind w:firstLine="709"/>
        <w:jc w:val="both"/>
        <w:rPr>
          <w:rFonts w:ascii="Verdana" w:eastAsia="Arial" w:hAnsi="Verdana" w:cs="Arial"/>
          <w:bCs/>
          <w:color w:val="000000" w:themeColor="text1"/>
        </w:rPr>
      </w:pPr>
    </w:p>
    <w:p w14:paraId="49E82C33" w14:textId="77777777" w:rsidR="0072479E" w:rsidRDefault="0072479E" w:rsidP="0072479E">
      <w:pPr>
        <w:pStyle w:val="Prrafodelista"/>
        <w:numPr>
          <w:ilvl w:val="0"/>
          <w:numId w:val="17"/>
        </w:numPr>
        <w:spacing w:after="0" w:line="276" w:lineRule="auto"/>
        <w:ind w:left="360"/>
        <w:jc w:val="both"/>
        <w:rPr>
          <w:rFonts w:ascii="Verdana" w:eastAsia="Calibri" w:hAnsi="Verdana" w:cs="Arial"/>
        </w:rPr>
      </w:pPr>
      <w:r w:rsidRPr="00080F61">
        <w:rPr>
          <w:rFonts w:ascii="Verdana" w:eastAsia="Calibri" w:hAnsi="Verdana" w:cs="Arial"/>
        </w:rPr>
        <w:t>Solo puede celebrarse para realizar “actividades relacionadas con la administración o funcionamiento de la entidad”, es decir, que hagan parte de su giro ordinario o quehacer cotidiano</w:t>
      </w:r>
      <w:r>
        <w:rPr>
          <w:rFonts w:ascii="Verdana" w:hAnsi="Verdana" w:cs="Arial"/>
          <w:noProof/>
          <w:lang w:val="es-ES_tradnl"/>
        </w:rPr>
        <w:t>.</w:t>
      </w:r>
      <w:r w:rsidRPr="00080F61">
        <w:rPr>
          <w:rFonts w:ascii="Verdana" w:eastAsia="Calibri" w:hAnsi="Verdana" w:cs="Arial"/>
        </w:rPr>
        <w:t xml:space="preserve"> </w:t>
      </w:r>
    </w:p>
    <w:p w14:paraId="6AF48335" w14:textId="77777777" w:rsidR="0072479E" w:rsidRPr="00080F61" w:rsidRDefault="0072479E" w:rsidP="0072479E">
      <w:pPr>
        <w:pStyle w:val="Prrafodelista"/>
        <w:spacing w:after="0" w:line="276" w:lineRule="auto"/>
        <w:ind w:left="0"/>
        <w:jc w:val="both"/>
        <w:rPr>
          <w:rFonts w:ascii="Verdana" w:eastAsia="Calibri" w:hAnsi="Verdana" w:cs="Arial"/>
        </w:rPr>
      </w:pPr>
    </w:p>
    <w:p w14:paraId="415A6A8F" w14:textId="77777777" w:rsidR="0072479E" w:rsidRPr="000E6A74" w:rsidRDefault="0072479E" w:rsidP="0072479E">
      <w:pPr>
        <w:pStyle w:val="Prrafodelista"/>
        <w:numPr>
          <w:ilvl w:val="0"/>
          <w:numId w:val="17"/>
        </w:numPr>
        <w:spacing w:after="0" w:line="276" w:lineRule="auto"/>
        <w:ind w:left="360"/>
        <w:jc w:val="both"/>
        <w:rPr>
          <w:rFonts w:ascii="Verdana" w:eastAsia="Arial" w:hAnsi="Verdana" w:cs="Arial"/>
          <w:bCs/>
          <w:color w:val="000000" w:themeColor="text1"/>
        </w:rPr>
      </w:pPr>
      <w:r w:rsidRPr="00D2247B">
        <w:rPr>
          <w:rFonts w:ascii="Verdana" w:eastAsia="Calibri" w:hAnsi="Verdana" w:cs="Arial"/>
        </w:rPr>
        <w:t xml:space="preserve"> Admite que se suscriba tanto con personas naturales, como con personas jurídicas. Sin embargo, cuando pretenda celebrarse con una persona natural, la </w:t>
      </w:r>
      <w:r>
        <w:rPr>
          <w:rFonts w:ascii="Verdana" w:eastAsia="Calibri" w:hAnsi="Verdana" w:cs="Arial"/>
        </w:rPr>
        <w:t>E</w:t>
      </w:r>
      <w:r w:rsidRPr="00D2247B">
        <w:rPr>
          <w:rFonts w:ascii="Verdana" w:eastAsia="Calibri" w:hAnsi="Verdana" w:cs="Arial"/>
        </w:rPr>
        <w:t xml:space="preserve">ntidad </w:t>
      </w:r>
      <w:r>
        <w:rPr>
          <w:rFonts w:ascii="Verdana" w:eastAsia="Calibri" w:hAnsi="Verdana" w:cs="Arial"/>
        </w:rPr>
        <w:t>E</w:t>
      </w:r>
      <w:r w:rsidRPr="00D2247B">
        <w:rPr>
          <w:rFonts w:ascii="Verdana" w:eastAsia="Calibri" w:hAnsi="Verdana" w:cs="Arial"/>
        </w:rPr>
        <w:t>statal debe justificar</w:t>
      </w:r>
      <w:r>
        <w:rPr>
          <w:rFonts w:ascii="Verdana" w:eastAsia="Calibri" w:hAnsi="Verdana" w:cs="Arial"/>
        </w:rPr>
        <w:t>,</w:t>
      </w:r>
      <w:r w:rsidRPr="00D2247B">
        <w:rPr>
          <w:rFonts w:ascii="Verdana" w:eastAsia="Calibri" w:hAnsi="Verdana" w:cs="Arial"/>
        </w:rPr>
        <w:t xml:space="preserve"> en los estudios previos</w:t>
      </w:r>
      <w:r>
        <w:rPr>
          <w:rFonts w:ascii="Verdana" w:eastAsia="Calibri" w:hAnsi="Verdana" w:cs="Arial"/>
        </w:rPr>
        <w:t>,</w:t>
      </w:r>
      <w:r w:rsidRPr="00D2247B">
        <w:rPr>
          <w:rFonts w:ascii="Verdana" w:eastAsia="Calibri" w:hAnsi="Verdana" w:cs="Arial"/>
        </w:rPr>
        <w:t xml:space="preserve"> que las actividades que buscan encomendarse a aquella “no puedan realizarse con personal de planta o requieran conocimientos especializados”. Esto puede suceder en varios eventos,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w:t>
      </w:r>
      <w:r w:rsidRPr="00BE7986">
        <w:rPr>
          <w:rFonts w:ascii="Verdana" w:eastAsia="Calibri" w:hAnsi="Verdana" w:cs="Arial"/>
        </w:rPr>
        <w:t>tema.</w:t>
      </w:r>
    </w:p>
    <w:p w14:paraId="44B6D5C7" w14:textId="77777777" w:rsidR="0072479E" w:rsidRPr="009272FD" w:rsidRDefault="0072479E" w:rsidP="0072479E">
      <w:pPr>
        <w:pStyle w:val="Prrafodelista"/>
        <w:spacing w:after="0" w:line="276" w:lineRule="auto"/>
        <w:ind w:left="0"/>
        <w:jc w:val="both"/>
        <w:rPr>
          <w:rFonts w:ascii="Verdana" w:eastAsia="Arial" w:hAnsi="Verdana" w:cs="Arial"/>
          <w:bCs/>
          <w:color w:val="000000" w:themeColor="text1"/>
        </w:rPr>
      </w:pPr>
    </w:p>
    <w:p w14:paraId="3534075D" w14:textId="77777777" w:rsidR="0072479E" w:rsidRDefault="0072479E" w:rsidP="0072479E">
      <w:pPr>
        <w:pStyle w:val="Prrafodelista"/>
        <w:numPr>
          <w:ilvl w:val="0"/>
          <w:numId w:val="17"/>
        </w:numPr>
        <w:spacing w:after="120" w:line="276" w:lineRule="auto"/>
        <w:ind w:left="360"/>
        <w:jc w:val="both"/>
        <w:rPr>
          <w:rFonts w:ascii="Verdana" w:eastAsia="Calibri" w:hAnsi="Verdana" w:cs="Arial"/>
        </w:rPr>
      </w:pPr>
      <w:r w:rsidRPr="009272FD">
        <w:rPr>
          <w:rFonts w:ascii="Verdana" w:eastAsia="Calibri" w:hAnsi="Verdana" w:cs="Arial"/>
        </w:rPr>
        <w:lastRenderedPageBreak/>
        <w:t>Si bien se celebran para obtener la prestación personal de un servicio, se diferencian del contrato de trabajo</w:t>
      </w:r>
      <w:r w:rsidRPr="00BE7986">
        <w:rPr>
          <w:vertAlign w:val="superscript"/>
        </w:rPr>
        <w:footnoteReference w:id="3"/>
      </w:r>
      <w:r w:rsidRPr="009272FD">
        <w:rPr>
          <w:rFonts w:ascii="Verdana" w:eastAsia="Calibri" w:hAnsi="Verdana" w:cs="Arial"/>
        </w:rPr>
        <w:t xml:space="preserve"> en que quien celebra el contrato de prestación de servicios profesionales debe mantener autonomía e independencia en la ejecución de la labor, lo que significa que no puede existir la </w:t>
      </w:r>
      <w:r w:rsidRPr="009272FD">
        <w:rPr>
          <w:rFonts w:ascii="Verdana" w:eastAsia="Calibri" w:hAnsi="Verdana" w:cs="Arial"/>
          <w:i/>
        </w:rPr>
        <w:t>subordinación y dependencia</w:t>
      </w:r>
      <w:r w:rsidRPr="009272FD">
        <w:rPr>
          <w:rFonts w:ascii="Verdana" w:eastAsia="Calibri" w:hAnsi="Verdana" w:cs="Arial"/>
          <w:iCs/>
        </w:rPr>
        <w:t>,</w:t>
      </w:r>
      <w:r w:rsidRPr="009272FD">
        <w:rPr>
          <w:rFonts w:ascii="Verdana" w:eastAsia="Calibri" w:hAnsi="Verdana" w:cs="Arial"/>
        </w:rPr>
        <w:t xml:space="preserve"> que es uno de los elementos constitutivos del vínculo laboral. Por ello </w:t>
      </w:r>
      <w:r w:rsidRPr="001304BF">
        <w:rPr>
          <w:rFonts w:ascii="Verdana" w:eastAsia="Calibri" w:hAnsi="Verdana" w:cs="Arial"/>
        </w:rPr>
        <w:t>el artículo 32, numeral 3º, de la Ley 80 de 1993</w:t>
      </w:r>
      <w:r w:rsidRPr="009272FD">
        <w:rPr>
          <w:rFonts w:ascii="Verdana" w:eastAsia="Calibri" w:hAnsi="Verdana" w:cs="Arial"/>
        </w:rPr>
        <w:t xml:space="preserve"> establece que “En ningún caso estos contratos generan relación laboral ni prestaciones sociales”. </w:t>
      </w:r>
    </w:p>
    <w:p w14:paraId="280B4CFC" w14:textId="77777777" w:rsidR="0072479E" w:rsidRPr="000E6A74" w:rsidRDefault="0072479E" w:rsidP="0072479E">
      <w:pPr>
        <w:pStyle w:val="Prrafodelista"/>
        <w:spacing w:after="120" w:line="276" w:lineRule="auto"/>
        <w:ind w:left="0"/>
        <w:jc w:val="both"/>
        <w:rPr>
          <w:rFonts w:ascii="Verdana" w:eastAsia="Calibri" w:hAnsi="Verdana" w:cs="Arial"/>
        </w:rPr>
      </w:pPr>
    </w:p>
    <w:p w14:paraId="54951CFD" w14:textId="77777777" w:rsidR="0072479E" w:rsidRPr="0010054E" w:rsidRDefault="0072479E" w:rsidP="0072479E">
      <w:pPr>
        <w:pStyle w:val="Prrafodelista"/>
        <w:numPr>
          <w:ilvl w:val="0"/>
          <w:numId w:val="17"/>
        </w:numPr>
        <w:spacing w:after="0" w:line="276" w:lineRule="auto"/>
        <w:ind w:left="360"/>
        <w:jc w:val="both"/>
        <w:rPr>
          <w:rFonts w:ascii="Verdana" w:eastAsia="Calibri" w:hAnsi="Verdana" w:cs="Arial"/>
        </w:rPr>
      </w:pPr>
      <w:r w:rsidRPr="000E6A74">
        <w:rPr>
          <w:rFonts w:ascii="Verdana" w:eastAsia="Calibri" w:hAnsi="Verdana" w:cs="Arial"/>
        </w:rPr>
        <w:t xml:space="preserve">Deben ser temporales. </w:t>
      </w:r>
      <w:r w:rsidRPr="000E6A74">
        <w:rPr>
          <w:rFonts w:ascii="Verdana" w:hAnsi="Verdana" w:cs="Arial"/>
          <w:noProof/>
          <w:lang w:val="es-ES_tradnl"/>
        </w:rPr>
        <w:t>El Consejo de Estado, en sentencia de unificación jurisprudencial del 9 de septiembre de 2021</w:t>
      </w:r>
      <w:r>
        <w:rPr>
          <w:rStyle w:val="Refdenotaalpie"/>
          <w:rFonts w:ascii="Verdana" w:hAnsi="Verdana" w:cs="Arial"/>
          <w:noProof/>
          <w:lang w:val="es-ES_tradnl"/>
        </w:rPr>
        <w:footnoteReference w:id="4"/>
      </w:r>
      <w:r w:rsidRPr="000E6A74">
        <w:rPr>
          <w:rFonts w:ascii="Verdana" w:hAnsi="Verdana" w:cs="Arial"/>
          <w:noProof/>
          <w:lang w:val="es-ES_tradnl"/>
        </w:rPr>
        <w:t xml:space="preserve"> se pronunció respecto de los criterios para identificar la existencia de una relación laboral encubierta o subyacente por contratos de prestación de servicios y definó tres </w:t>
      </w:r>
      <w:r>
        <w:rPr>
          <w:rFonts w:ascii="Verdana" w:hAnsi="Verdana" w:cs="Arial"/>
          <w:noProof/>
          <w:lang w:val="es-ES_tradnl"/>
        </w:rPr>
        <w:t xml:space="preserve">(3) </w:t>
      </w:r>
      <w:r w:rsidRPr="000E6A74">
        <w:rPr>
          <w:rFonts w:ascii="Verdana" w:hAnsi="Verdana" w:cs="Arial"/>
          <w:noProof/>
          <w:lang w:val="es-ES_tradnl"/>
        </w:rPr>
        <w:t xml:space="preserve">reglas para el efecto.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w:t>
      </w:r>
      <w:r w:rsidRPr="000E6A74">
        <w:rPr>
          <w:rFonts w:ascii="Verdana" w:hAnsi="Verdana" w:cs="Arial"/>
          <w:noProof/>
          <w:lang w:val="es-ES_tradnl"/>
        </w:rPr>
        <w:lastRenderedPageBreak/>
        <w:t>perjuicio de las prórrogas excepcionales que puedan acordarse para garantizar su cumplimiento”.</w:t>
      </w:r>
      <w:r w:rsidRPr="000E6A74">
        <w:rPr>
          <w:rFonts w:ascii="Verdana" w:hAnsi="Verdana" w:cs="Arial"/>
        </w:rPr>
        <w:t xml:space="preserve"> </w:t>
      </w:r>
    </w:p>
    <w:p w14:paraId="7785EDA6" w14:textId="77777777" w:rsidR="0072479E" w:rsidRPr="00027F95" w:rsidRDefault="0072479E" w:rsidP="0072479E">
      <w:pPr>
        <w:spacing w:after="0" w:line="276" w:lineRule="auto"/>
        <w:jc w:val="both"/>
        <w:rPr>
          <w:rFonts w:ascii="Verdana" w:eastAsia="Calibri" w:hAnsi="Verdana" w:cs="Arial"/>
        </w:rPr>
      </w:pPr>
    </w:p>
    <w:p w14:paraId="67FAEE0A" w14:textId="77777777" w:rsidR="0072479E" w:rsidRDefault="0072479E" w:rsidP="0072479E">
      <w:pPr>
        <w:pStyle w:val="Prrafodelista"/>
        <w:numPr>
          <w:ilvl w:val="0"/>
          <w:numId w:val="17"/>
        </w:numPr>
        <w:spacing w:after="120" w:line="276" w:lineRule="auto"/>
        <w:ind w:left="360"/>
        <w:jc w:val="both"/>
        <w:rPr>
          <w:rFonts w:ascii="Verdana" w:eastAsia="Calibri" w:hAnsi="Verdana" w:cs="Arial"/>
          <w:lang w:eastAsia="es-ES"/>
        </w:rPr>
      </w:pPr>
      <w:r w:rsidRPr="00780417">
        <w:rPr>
          <w:rFonts w:ascii="Verdana" w:eastAsia="Calibri" w:hAnsi="Verdana" w:cs="Arial"/>
          <w:lang w:eastAsia="es-ES"/>
        </w:rPr>
        <w:t xml:space="preserve">Los contratos de prestación de servicios constituyen un </w:t>
      </w:r>
      <w:r w:rsidRPr="00780417">
        <w:rPr>
          <w:rFonts w:ascii="Verdana" w:eastAsia="Calibri" w:hAnsi="Verdana" w:cs="Arial"/>
          <w:i/>
          <w:iCs/>
          <w:lang w:eastAsia="es-ES"/>
        </w:rPr>
        <w:t>género</w:t>
      </w:r>
      <w:r w:rsidRPr="00780417">
        <w:rPr>
          <w:rFonts w:ascii="Verdana" w:eastAsia="Calibri" w:hAnsi="Verdana" w:cs="Arial"/>
          <w:lang w:eastAsia="es-ES"/>
        </w:rPr>
        <w:t xml:space="preserve"> que incluye, como </w:t>
      </w:r>
      <w:r w:rsidRPr="00780417">
        <w:rPr>
          <w:rFonts w:ascii="Verdana" w:eastAsia="Calibri" w:hAnsi="Verdana" w:cs="Arial"/>
          <w:i/>
          <w:iCs/>
          <w:lang w:eastAsia="es-ES"/>
        </w:rPr>
        <w:t>especies</w:t>
      </w:r>
      <w:r w:rsidRPr="00780417">
        <w:rPr>
          <w:rFonts w:ascii="Verdana" w:eastAsia="Calibri" w:hAnsi="Verdana" w:cs="Arial"/>
          <w:lang w:eastAsia="es-ES"/>
        </w:rPr>
        <w:t>, los contratos de prestación de servicios profesionales, los contratos de prestación de servicios de apoyo a la gestión y los contratos de prestación de servicios artísticos que solo pueden encomendarse a determinadas personas naturales</w:t>
      </w:r>
      <w:r w:rsidRPr="00780417">
        <w:rPr>
          <w:rFonts w:ascii="Verdana" w:eastAsia="Calibri" w:hAnsi="Verdana" w:cs="Arial"/>
          <w:vertAlign w:val="superscript"/>
          <w:lang w:eastAsia="es-ES"/>
        </w:rPr>
        <w:footnoteReference w:id="5"/>
      </w:r>
      <w:r w:rsidRPr="00780417">
        <w:rPr>
          <w:rFonts w:ascii="Verdana" w:eastAsia="Calibri" w:hAnsi="Verdana" w:cs="Arial"/>
          <w:lang w:eastAsia="es-ES"/>
        </w:rPr>
        <w:t xml:space="preserve">. La diferencia entre el contrato de prestación de servicios </w:t>
      </w:r>
      <w:r w:rsidRPr="00780417">
        <w:rPr>
          <w:rFonts w:ascii="Verdana" w:eastAsia="Calibri" w:hAnsi="Verdana" w:cs="Arial"/>
          <w:i/>
          <w:iCs/>
          <w:lang w:eastAsia="es-ES"/>
        </w:rPr>
        <w:t>profesionales</w:t>
      </w:r>
      <w:r w:rsidRPr="00780417">
        <w:rPr>
          <w:rFonts w:ascii="Verdana" w:eastAsia="Calibri" w:hAnsi="Verdana" w:cs="Arial"/>
          <w:lang w:eastAsia="es-ES"/>
        </w:rPr>
        <w:t xml:space="preserve"> con las otras dos especies del género en el cual se ubican radica</w:t>
      </w:r>
      <w:r>
        <w:rPr>
          <w:rFonts w:ascii="Verdana" w:eastAsia="Calibri" w:hAnsi="Verdana" w:cs="Arial"/>
          <w:lang w:eastAsia="es-ES"/>
        </w:rPr>
        <w:t xml:space="preserve"> </w:t>
      </w:r>
      <w:r w:rsidRPr="00780417">
        <w:rPr>
          <w:rFonts w:ascii="Verdana" w:eastAsia="Calibri" w:hAnsi="Verdana" w:cs="Arial"/>
          <w:lang w:eastAsia="es-ES"/>
        </w:rPr>
        <w:t>en su contenido intelectual intangible y, al mismo tiempo, en la formación profesional que se exige para desempeñar la labor</w:t>
      </w:r>
      <w:r w:rsidRPr="00780417">
        <w:rPr>
          <w:rFonts w:ascii="Verdana" w:eastAsia="Calibri" w:hAnsi="Verdana" w:cs="Arial"/>
          <w:vertAlign w:val="superscript"/>
          <w:lang w:eastAsia="es-ES"/>
        </w:rPr>
        <w:footnoteReference w:id="6"/>
      </w:r>
      <w:r w:rsidRPr="00780417">
        <w:rPr>
          <w:rFonts w:ascii="Verdana" w:eastAsia="Calibri" w:hAnsi="Verdana" w:cs="Arial"/>
          <w:lang w:eastAsia="es-ES"/>
        </w:rPr>
        <w:t>.</w:t>
      </w:r>
    </w:p>
    <w:p w14:paraId="208AF5D6" w14:textId="77777777" w:rsidR="0072479E" w:rsidRDefault="0072479E" w:rsidP="0072479E">
      <w:pPr>
        <w:pStyle w:val="Prrafodelista"/>
        <w:spacing w:after="120" w:line="276" w:lineRule="auto"/>
        <w:ind w:left="0"/>
        <w:jc w:val="both"/>
        <w:rPr>
          <w:rFonts w:ascii="Verdana" w:eastAsia="Calibri" w:hAnsi="Verdana" w:cs="Arial"/>
          <w:lang w:eastAsia="es-ES"/>
        </w:rPr>
      </w:pPr>
    </w:p>
    <w:p w14:paraId="0E05E46B" w14:textId="77777777" w:rsidR="0072479E" w:rsidRDefault="0072479E" w:rsidP="0072479E">
      <w:pPr>
        <w:pStyle w:val="Prrafodelista"/>
        <w:numPr>
          <w:ilvl w:val="0"/>
          <w:numId w:val="17"/>
        </w:numPr>
        <w:spacing w:after="120" w:line="276" w:lineRule="auto"/>
        <w:ind w:left="360"/>
        <w:jc w:val="both"/>
        <w:rPr>
          <w:rFonts w:ascii="Verdana" w:eastAsia="Calibri" w:hAnsi="Verdana" w:cs="Arial"/>
        </w:rPr>
      </w:pPr>
      <w:r w:rsidRPr="009D6505">
        <w:rPr>
          <w:rFonts w:ascii="Verdana" w:eastAsia="Calibri" w:hAnsi="Verdana" w:cs="Arial"/>
        </w:rPr>
        <w:t>Su celebración debe realizarse a través de la modalidad de contratación directa, independientemente de la cuantía y del tipo de servicio profesional, siempre que este no ingrese dentro del objeto del contrato de consultoría</w:t>
      </w:r>
      <w:r>
        <w:rPr>
          <w:rFonts w:ascii="Verdana" w:eastAsia="Calibri" w:hAnsi="Verdana" w:cs="Arial"/>
        </w:rPr>
        <w:t>.</w:t>
      </w:r>
    </w:p>
    <w:p w14:paraId="13188FE6" w14:textId="77777777" w:rsidR="0072479E" w:rsidRPr="006A6AF9" w:rsidRDefault="0072479E" w:rsidP="0072479E">
      <w:pPr>
        <w:pStyle w:val="Prrafodelista"/>
        <w:ind w:left="0"/>
        <w:rPr>
          <w:rFonts w:ascii="Verdana" w:eastAsia="Calibri" w:hAnsi="Verdana" w:cs="Arial"/>
        </w:rPr>
      </w:pPr>
    </w:p>
    <w:p w14:paraId="305538C8" w14:textId="77777777" w:rsidR="0072479E" w:rsidRDefault="0072479E" w:rsidP="0072479E">
      <w:pPr>
        <w:pStyle w:val="Prrafodelista"/>
        <w:numPr>
          <w:ilvl w:val="0"/>
          <w:numId w:val="17"/>
        </w:numPr>
        <w:spacing w:after="0" w:line="276" w:lineRule="auto"/>
        <w:ind w:left="360"/>
        <w:jc w:val="both"/>
        <w:rPr>
          <w:rFonts w:ascii="Verdana" w:eastAsia="Calibri" w:hAnsi="Verdana" w:cs="Arial"/>
        </w:rPr>
      </w:pPr>
      <w:r>
        <w:rPr>
          <w:rFonts w:ascii="Verdana" w:eastAsia="Calibri" w:hAnsi="Verdana" w:cs="Arial"/>
        </w:rPr>
        <w:t>P</w:t>
      </w:r>
      <w:r w:rsidRPr="006A6AF9">
        <w:rPr>
          <w:rFonts w:ascii="Verdana" w:eastAsia="Calibri" w:hAnsi="Verdana" w:cs="Arial"/>
        </w:rPr>
        <w:t>ara su celebración no se requiere la expedición del acto administrativo de justificación de la contratación directa</w:t>
      </w:r>
      <w:r w:rsidRPr="0050628A">
        <w:rPr>
          <w:vertAlign w:val="superscript"/>
        </w:rPr>
        <w:footnoteReference w:id="7"/>
      </w:r>
      <w:r w:rsidRPr="006A6AF9">
        <w:rPr>
          <w:rFonts w:ascii="Verdana" w:eastAsia="Calibri" w:hAnsi="Verdana" w:cs="Arial"/>
        </w:rPr>
        <w:t xml:space="preserve">. </w:t>
      </w:r>
    </w:p>
    <w:p w14:paraId="50701C68" w14:textId="77777777" w:rsidR="0072479E" w:rsidRPr="00614E34" w:rsidRDefault="0072479E" w:rsidP="0072479E">
      <w:pPr>
        <w:spacing w:after="0" w:line="276" w:lineRule="auto"/>
        <w:jc w:val="both"/>
        <w:rPr>
          <w:rFonts w:ascii="Verdana" w:eastAsia="Calibri" w:hAnsi="Verdana" w:cs="Arial"/>
        </w:rPr>
      </w:pPr>
    </w:p>
    <w:p w14:paraId="77FEB41E" w14:textId="77777777" w:rsidR="0072479E" w:rsidRDefault="0072479E" w:rsidP="0072479E">
      <w:pPr>
        <w:pStyle w:val="Prrafodelista"/>
        <w:numPr>
          <w:ilvl w:val="0"/>
          <w:numId w:val="17"/>
        </w:numPr>
        <w:spacing w:after="0" w:line="276" w:lineRule="auto"/>
        <w:ind w:left="360"/>
        <w:jc w:val="both"/>
        <w:rPr>
          <w:rFonts w:ascii="Verdana" w:eastAsia="Calibri" w:hAnsi="Verdana" w:cs="Arial"/>
        </w:rPr>
      </w:pPr>
      <w:r w:rsidRPr="0050628A">
        <w:rPr>
          <w:rFonts w:ascii="Verdana" w:eastAsia="Calibri" w:hAnsi="Verdana" w:cs="Arial"/>
        </w:rPr>
        <w:t xml:space="preserve">Admiten el pacto de cláusulas excepcionales. Es decir, en los contratos de prestación de servicios puede </w:t>
      </w:r>
      <w:r>
        <w:rPr>
          <w:rFonts w:ascii="Verdana" w:eastAsia="Calibri" w:hAnsi="Verdana" w:cs="Arial"/>
        </w:rPr>
        <w:t>pactar</w:t>
      </w:r>
      <w:r w:rsidRPr="0050628A">
        <w:rPr>
          <w:rFonts w:ascii="Verdana" w:eastAsia="Calibri" w:hAnsi="Verdana" w:cs="Arial"/>
        </w:rPr>
        <w:t>se la caducidad, así como la modificación, interpretación o terminación unilaterales, como</w:t>
      </w:r>
      <w:r>
        <w:rPr>
          <w:rFonts w:ascii="Verdana" w:eastAsia="Calibri" w:hAnsi="Verdana" w:cs="Arial"/>
        </w:rPr>
        <w:t xml:space="preserve"> acuerdos o</w:t>
      </w:r>
      <w:r w:rsidRPr="0050628A">
        <w:rPr>
          <w:rFonts w:ascii="Verdana" w:eastAsia="Calibri" w:hAnsi="Verdana" w:cs="Arial"/>
        </w:rPr>
        <w:t xml:space="preserve"> elementos</w:t>
      </w:r>
      <w:r>
        <w:rPr>
          <w:rFonts w:ascii="Verdana" w:eastAsia="Calibri" w:hAnsi="Verdana" w:cs="Arial"/>
        </w:rPr>
        <w:t xml:space="preserve"> </w:t>
      </w:r>
      <w:r w:rsidRPr="0050628A">
        <w:rPr>
          <w:rFonts w:ascii="Verdana" w:eastAsia="Calibri" w:hAnsi="Verdana" w:cs="Arial"/>
        </w:rPr>
        <w:t>accidentales</w:t>
      </w:r>
      <w:r>
        <w:rPr>
          <w:rFonts w:ascii="Verdana" w:eastAsia="Calibri" w:hAnsi="Verdana" w:cs="Arial"/>
        </w:rPr>
        <w:t>. O</w:t>
      </w:r>
      <w:r w:rsidRPr="0050628A">
        <w:rPr>
          <w:rFonts w:ascii="Verdana" w:eastAsia="Calibri" w:hAnsi="Verdana" w:cs="Arial"/>
        </w:rPr>
        <w:t xml:space="preserve"> sea que para que puedan ejercerse dichas exorbitancias han debido quedar incluidas expresamente en el contrato, </w:t>
      </w:r>
      <w:r w:rsidRPr="00DD2C46">
        <w:rPr>
          <w:rFonts w:ascii="Verdana" w:eastAsia="Calibri" w:hAnsi="Verdana" w:cs="Arial"/>
        </w:rPr>
        <w:t>ya que no se entienden pactadas por naturaleza. Así se infiere del artículo 14°, numeral 2º, de la Ley 80 de 1993</w:t>
      </w:r>
      <w:r w:rsidRPr="00DD2C46">
        <w:rPr>
          <w:rFonts w:ascii="Verdana" w:eastAsia="Calibri" w:hAnsi="Verdana" w:cs="Arial"/>
          <w:vertAlign w:val="superscript"/>
        </w:rPr>
        <w:footnoteReference w:id="8"/>
      </w:r>
      <w:r w:rsidRPr="00DD2C46">
        <w:rPr>
          <w:rFonts w:ascii="Verdana" w:eastAsia="Calibri" w:hAnsi="Verdana" w:cs="Arial"/>
        </w:rPr>
        <w:t>.</w:t>
      </w:r>
    </w:p>
    <w:p w14:paraId="0150EA26" w14:textId="77777777" w:rsidR="0072479E" w:rsidRPr="00027F95" w:rsidRDefault="0072479E" w:rsidP="0072479E">
      <w:pPr>
        <w:spacing w:after="0" w:line="276" w:lineRule="auto"/>
        <w:jc w:val="both"/>
        <w:rPr>
          <w:rFonts w:ascii="Verdana" w:eastAsia="Calibri" w:hAnsi="Verdana" w:cs="Arial"/>
        </w:rPr>
      </w:pPr>
    </w:p>
    <w:p w14:paraId="1833620A" w14:textId="77777777" w:rsidR="0072479E" w:rsidRDefault="0072479E" w:rsidP="0072479E">
      <w:pPr>
        <w:pStyle w:val="Prrafodelista"/>
        <w:numPr>
          <w:ilvl w:val="0"/>
          <w:numId w:val="17"/>
        </w:numPr>
        <w:spacing w:after="0" w:line="276" w:lineRule="auto"/>
        <w:ind w:left="360"/>
        <w:jc w:val="both"/>
        <w:rPr>
          <w:rFonts w:ascii="Verdana" w:eastAsia="Calibri" w:hAnsi="Verdana" w:cs="Arial"/>
        </w:rPr>
      </w:pPr>
      <w:r w:rsidRPr="007A6EE5">
        <w:rPr>
          <w:rFonts w:ascii="Verdana" w:eastAsia="Calibri" w:hAnsi="Verdana" w:cs="Arial"/>
        </w:rPr>
        <w:t>En ellos no es obligatoria la liquidación, pues así lo estableció el artículo 217 del Decreto 019 de 2012, que modificó el artículo 60 de la Ley 80 de 1993</w:t>
      </w:r>
      <w:r w:rsidRPr="007A6EE5">
        <w:rPr>
          <w:rFonts w:ascii="Verdana" w:eastAsia="Calibri" w:hAnsi="Verdana" w:cs="Arial"/>
          <w:vertAlign w:val="superscript"/>
        </w:rPr>
        <w:footnoteReference w:id="9"/>
      </w:r>
      <w:r w:rsidRPr="007A6EE5">
        <w:rPr>
          <w:rFonts w:ascii="Verdana" w:eastAsia="Calibri" w:hAnsi="Verdana" w:cs="Arial"/>
        </w:rPr>
        <w:t xml:space="preserve">, </w:t>
      </w:r>
      <w:r w:rsidRPr="007A6EE5">
        <w:rPr>
          <w:rFonts w:ascii="Verdana" w:eastAsia="Calibri" w:hAnsi="Verdana" w:cs="Arial"/>
          <w:lang w:eastAsia="es-ES"/>
        </w:rPr>
        <w:t>refiriéndose expresamente a los contratos de prestación de servicios profesionales y de apoyo a la gestión</w:t>
      </w:r>
      <w:r>
        <w:rPr>
          <w:rFonts w:ascii="Verdana" w:eastAsia="Calibri" w:hAnsi="Verdana" w:cs="Arial"/>
          <w:lang w:eastAsia="es-ES"/>
        </w:rPr>
        <w:t>.</w:t>
      </w:r>
    </w:p>
    <w:p w14:paraId="0644CFE3" w14:textId="77777777" w:rsidR="0072479E" w:rsidRPr="00027F95" w:rsidRDefault="0072479E" w:rsidP="0072479E">
      <w:pPr>
        <w:spacing w:after="0" w:line="276" w:lineRule="auto"/>
        <w:jc w:val="both"/>
        <w:rPr>
          <w:rFonts w:ascii="Verdana" w:eastAsia="Calibri" w:hAnsi="Verdana" w:cs="Arial"/>
        </w:rPr>
      </w:pPr>
    </w:p>
    <w:p w14:paraId="18E7E390" w14:textId="77777777" w:rsidR="0072479E" w:rsidRDefault="0072479E" w:rsidP="0072479E">
      <w:pPr>
        <w:pStyle w:val="Prrafodelista"/>
        <w:numPr>
          <w:ilvl w:val="0"/>
          <w:numId w:val="17"/>
        </w:numPr>
        <w:spacing w:after="0" w:line="276" w:lineRule="auto"/>
        <w:ind w:left="360"/>
        <w:jc w:val="both"/>
        <w:rPr>
          <w:rFonts w:ascii="Verdana" w:eastAsia="Calibri" w:hAnsi="Verdana" w:cs="Arial"/>
        </w:rPr>
      </w:pPr>
      <w:r w:rsidRPr="00077FA6">
        <w:rPr>
          <w:rFonts w:ascii="Verdana" w:eastAsia="Calibri" w:hAnsi="Verdana" w:cs="Arial"/>
        </w:rPr>
        <w:t>Para su celebración no se requiere inscripción en el Registro Único de Proponentes (RUP), según lo prevé el artículo 6 de la Ley 1150 de 2007</w:t>
      </w:r>
      <w:r w:rsidRPr="007A6EE5">
        <w:rPr>
          <w:vertAlign w:val="superscript"/>
        </w:rPr>
        <w:footnoteReference w:id="10"/>
      </w:r>
      <w:r w:rsidRPr="00077FA6">
        <w:rPr>
          <w:rFonts w:ascii="Verdana" w:eastAsia="Calibri" w:hAnsi="Verdana" w:cs="Arial"/>
        </w:rPr>
        <w:t>.</w:t>
      </w:r>
    </w:p>
    <w:p w14:paraId="1311CDF7" w14:textId="77777777" w:rsidR="0072479E" w:rsidRDefault="0072479E" w:rsidP="0072479E">
      <w:pPr>
        <w:pStyle w:val="Prrafodelista"/>
        <w:spacing w:after="0" w:line="276" w:lineRule="auto"/>
        <w:ind w:left="0"/>
        <w:jc w:val="both"/>
        <w:rPr>
          <w:rFonts w:ascii="Verdana" w:eastAsia="Calibri" w:hAnsi="Verdana" w:cs="Arial"/>
        </w:rPr>
      </w:pPr>
    </w:p>
    <w:p w14:paraId="2D1732DE" w14:textId="77777777" w:rsidR="0072479E" w:rsidRPr="00077FA6" w:rsidRDefault="0072479E" w:rsidP="0072479E">
      <w:pPr>
        <w:pStyle w:val="Prrafodelista"/>
        <w:numPr>
          <w:ilvl w:val="0"/>
          <w:numId w:val="17"/>
        </w:numPr>
        <w:spacing w:after="0" w:line="276" w:lineRule="auto"/>
        <w:ind w:left="360"/>
        <w:jc w:val="both"/>
        <w:rPr>
          <w:rFonts w:ascii="Verdana" w:eastAsia="Calibri" w:hAnsi="Verdana" w:cs="Arial"/>
        </w:rPr>
      </w:pPr>
      <w:r w:rsidRPr="007A6EE5">
        <w:rPr>
          <w:rFonts w:ascii="Verdana" w:eastAsia="Calibri" w:hAnsi="Verdana" w:cs="Arial"/>
        </w:rPr>
        <w:t>En ellos no son necesarias las garantías</w:t>
      </w:r>
      <w:r w:rsidRPr="007A6EE5">
        <w:rPr>
          <w:rFonts w:ascii="Verdana" w:eastAsia="Calibri" w:hAnsi="Verdana" w:cs="Arial"/>
          <w:vertAlign w:val="superscript"/>
        </w:rPr>
        <w:footnoteReference w:id="11"/>
      </w:r>
      <w:r w:rsidRPr="007A6EE5">
        <w:rPr>
          <w:rFonts w:ascii="Verdana" w:eastAsia="Calibri" w:hAnsi="Verdana" w:cs="Arial"/>
        </w:rPr>
        <w:t>.</w:t>
      </w:r>
    </w:p>
    <w:p w14:paraId="6E073E55" w14:textId="77777777" w:rsidR="0072479E" w:rsidRDefault="0072479E" w:rsidP="0072479E">
      <w:pPr>
        <w:widowControl w:val="0"/>
        <w:autoSpaceDE w:val="0"/>
        <w:autoSpaceDN w:val="0"/>
        <w:spacing w:after="0" w:line="276" w:lineRule="auto"/>
        <w:jc w:val="both"/>
        <w:rPr>
          <w:rFonts w:ascii="Verdana" w:eastAsia="Calibri" w:hAnsi="Verdana" w:cs="Arial"/>
          <w:bCs/>
          <w:lang w:eastAsia="es-ES_tradnl"/>
        </w:rPr>
      </w:pPr>
    </w:p>
    <w:p w14:paraId="26EF369C" w14:textId="77777777" w:rsidR="0072479E" w:rsidRDefault="0072479E" w:rsidP="0072479E">
      <w:pPr>
        <w:widowControl w:val="0"/>
        <w:autoSpaceDE w:val="0"/>
        <w:autoSpaceDN w:val="0"/>
        <w:spacing w:after="120" w:line="276" w:lineRule="auto"/>
        <w:jc w:val="both"/>
        <w:rPr>
          <w:rFonts w:ascii="Verdana" w:eastAsia="Calibri" w:hAnsi="Verdana" w:cs="Arial"/>
          <w:bCs/>
          <w:color w:val="000000" w:themeColor="text1"/>
        </w:rPr>
      </w:pPr>
      <w:proofErr w:type="spellStart"/>
      <w:r w:rsidRPr="00E50B85">
        <w:rPr>
          <w:rFonts w:ascii="Verdana" w:eastAsia="Calibri" w:hAnsi="Verdana" w:cs="Arial"/>
          <w:b/>
          <w:lang w:eastAsia="es-ES_tradnl"/>
        </w:rPr>
        <w:t>iii</w:t>
      </w:r>
      <w:proofErr w:type="spellEnd"/>
      <w:r w:rsidRPr="00E50B85">
        <w:rPr>
          <w:rFonts w:ascii="Verdana" w:eastAsia="Calibri" w:hAnsi="Verdana" w:cs="Arial"/>
          <w:b/>
          <w:lang w:eastAsia="es-ES_tradnl"/>
        </w:rPr>
        <w:t>.</w:t>
      </w:r>
      <w:r>
        <w:rPr>
          <w:rFonts w:ascii="Verdana" w:eastAsia="Calibri" w:hAnsi="Verdana" w:cs="Arial"/>
          <w:bCs/>
          <w:lang w:eastAsia="es-ES_tradnl"/>
        </w:rPr>
        <w:t xml:space="preserve"> </w:t>
      </w:r>
      <w:r w:rsidRPr="001546A5">
        <w:rPr>
          <w:rFonts w:ascii="Verdana" w:eastAsia="Calibri" w:hAnsi="Verdana" w:cs="Arial"/>
          <w:bCs/>
          <w:color w:val="000000" w:themeColor="text1"/>
        </w:rPr>
        <w:t>Trasladadas las anteriores consideraciones al supuesto de la consulta</w:t>
      </w:r>
      <w:r>
        <w:rPr>
          <w:rFonts w:ascii="Verdana" w:eastAsia="Calibri" w:hAnsi="Verdana" w:cs="Arial"/>
          <w:bCs/>
          <w:color w:val="000000" w:themeColor="text1"/>
        </w:rPr>
        <w:t xml:space="preserve">, es </w:t>
      </w:r>
      <w:proofErr w:type="gramStart"/>
      <w:r>
        <w:rPr>
          <w:rFonts w:ascii="Verdana" w:eastAsia="Calibri" w:hAnsi="Verdana" w:cs="Arial"/>
          <w:bCs/>
          <w:color w:val="000000" w:themeColor="text1"/>
        </w:rPr>
        <w:t>posible  señalar</w:t>
      </w:r>
      <w:proofErr w:type="gramEnd"/>
      <w:r>
        <w:rPr>
          <w:rFonts w:ascii="Verdana" w:eastAsia="Calibri" w:hAnsi="Verdana" w:cs="Arial"/>
          <w:bCs/>
          <w:color w:val="000000" w:themeColor="text1"/>
        </w:rPr>
        <w:t xml:space="preserve"> varios elementos que permiten diferenciar de manera clara las dos tipologías contractuales. El primero</w:t>
      </w:r>
      <w:r w:rsidRPr="004D340B">
        <w:rPr>
          <w:rFonts w:ascii="Verdana" w:eastAsia="Calibri" w:hAnsi="Verdana" w:cs="Arial"/>
          <w:bCs/>
          <w:color w:val="000000" w:themeColor="text1"/>
        </w:rPr>
        <w:t xml:space="preserve"> es el objeto: el suministro tiende a recaer sobre bienes que se entregan en cantidades determinadas o determinables, mientras la prestación de servicios recae sobre una actividad humana, intelectual o técnica que no se traduce necesariamente en una cosa. La segunda es la temporalidad: la periodicidad o continuidad es de la esencia del suministro —una entrega única sería una compraventa—, mientras la prestación de servicios admite tanto la ejecución instantánea como la sucesiva. La tercera es la relevancia de la persona del contratista, que es central en los servicios profesionales y por eso restringe la cesión y la subcontratación, y bastante secundaria en el suministro, donde interesa el aprovisionamiento y no quién lo materializa. La cuarta es el tipo de obligación: el suministro genera típicamente obligaciones de resultado, con régimen de garantía de calidad, vicios ocultos</w:t>
      </w:r>
      <w:r>
        <w:rPr>
          <w:rFonts w:ascii="Verdana" w:eastAsia="Calibri" w:hAnsi="Verdana" w:cs="Arial"/>
          <w:bCs/>
          <w:color w:val="000000" w:themeColor="text1"/>
        </w:rPr>
        <w:t xml:space="preserve">; </w:t>
      </w:r>
      <w:r w:rsidRPr="004D340B">
        <w:rPr>
          <w:rFonts w:ascii="Verdana" w:eastAsia="Calibri" w:hAnsi="Verdana" w:cs="Arial"/>
          <w:bCs/>
          <w:color w:val="000000" w:themeColor="text1"/>
        </w:rPr>
        <w:t xml:space="preserve">servicios profesionales suelen generar obligaciones de medio, evaluadas conforme a la lex </w:t>
      </w:r>
      <w:proofErr w:type="spellStart"/>
      <w:r w:rsidRPr="004D340B">
        <w:rPr>
          <w:rFonts w:ascii="Verdana" w:eastAsia="Calibri" w:hAnsi="Verdana" w:cs="Arial"/>
          <w:bCs/>
          <w:color w:val="000000" w:themeColor="text1"/>
        </w:rPr>
        <w:t>artis</w:t>
      </w:r>
      <w:proofErr w:type="spellEnd"/>
      <w:r w:rsidRPr="004D340B">
        <w:rPr>
          <w:rFonts w:ascii="Verdana" w:eastAsia="Calibri" w:hAnsi="Verdana" w:cs="Arial"/>
          <w:bCs/>
          <w:color w:val="000000" w:themeColor="text1"/>
        </w:rPr>
        <w:t xml:space="preserve">. Y la quinta, decisiva en </w:t>
      </w:r>
      <w:r>
        <w:rPr>
          <w:rFonts w:ascii="Verdana" w:eastAsia="Calibri" w:hAnsi="Verdana" w:cs="Arial"/>
          <w:bCs/>
          <w:color w:val="000000" w:themeColor="text1"/>
        </w:rPr>
        <w:t>la contratación estatal</w:t>
      </w:r>
      <w:r w:rsidRPr="004D340B">
        <w:rPr>
          <w:rFonts w:ascii="Verdana" w:eastAsia="Calibri" w:hAnsi="Verdana" w:cs="Arial"/>
          <w:bCs/>
          <w:color w:val="000000" w:themeColor="text1"/>
        </w:rPr>
        <w:t>, es la modalidad de selección: los servicios profesionales y de apoyo a la gestión se contratan de forma directa, mientras el suministro de bienes normalmente exige licitación, selección abreviada —incluso subasta inversa cuando se trata de bienes de características técnicas uniformes— o mínima cuantía según el valor.</w:t>
      </w:r>
    </w:p>
    <w:p w14:paraId="420EB3F2" w14:textId="77777777" w:rsidR="0072479E" w:rsidRPr="007D3999" w:rsidRDefault="0072479E" w:rsidP="0072479E">
      <w:pPr>
        <w:widowControl w:val="0"/>
        <w:autoSpaceDE w:val="0"/>
        <w:autoSpaceDN w:val="0"/>
        <w:spacing w:after="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 xml:space="preserve">Finalmente, respecto a la procedencia de cada figura contractual, la regla práctica es preguntarse qué necesidades busca suplir la entidad estatal. Si se relaciona con bienes que consumen de manera recurrente tal como papelería, combustible, medicamentos, alimentos o de un servicio prestado </w:t>
      </w:r>
      <w:r w:rsidRPr="00861CA3">
        <w:rPr>
          <w:rFonts w:ascii="Verdana" w:eastAsia="Calibri" w:hAnsi="Verdana" w:cs="Arial"/>
          <w:bCs/>
          <w:color w:val="000000" w:themeColor="text1"/>
        </w:rPr>
        <w:t>de forma continuada y masificada por una empresa</w:t>
      </w:r>
      <w:r>
        <w:rPr>
          <w:rFonts w:ascii="Verdana" w:eastAsia="Calibri" w:hAnsi="Verdana" w:cs="Arial"/>
          <w:bCs/>
          <w:color w:val="000000" w:themeColor="text1"/>
        </w:rPr>
        <w:t>, lo procedente es el suministro. Por el contrario, si lo que se requiere es una actividad intelectual, técnica o profesional de alguien en particular, por un término definido y para una tarea que no puede ser asumida por el personal de planta, entonces corresponde hacer uso de la figura contractual de prestación de servicios.</w:t>
      </w:r>
    </w:p>
    <w:p w14:paraId="491A2A5F" w14:textId="77777777" w:rsidR="0072479E" w:rsidRDefault="0072479E" w:rsidP="0072479E">
      <w:pPr>
        <w:spacing w:after="0" w:line="276" w:lineRule="auto"/>
        <w:jc w:val="both"/>
        <w:rPr>
          <w:rFonts w:ascii="Verdana" w:eastAsia="Calibri" w:hAnsi="Verdana" w:cs="Arial"/>
          <w:b/>
          <w:bCs/>
          <w:color w:val="000000" w:themeColor="text1"/>
        </w:rPr>
      </w:pPr>
    </w:p>
    <w:p w14:paraId="0BD86817" w14:textId="77777777" w:rsidR="0072479E" w:rsidRPr="005979D9" w:rsidRDefault="0072479E" w:rsidP="0072479E">
      <w:pPr>
        <w:spacing w:after="120" w:line="276" w:lineRule="auto"/>
        <w:jc w:val="both"/>
        <w:rPr>
          <w:rFonts w:ascii="Verdana" w:eastAsia="Calibri" w:hAnsi="Verdana" w:cs="Arial"/>
          <w:bCs/>
          <w:color w:val="000000" w:themeColor="text1"/>
        </w:rPr>
      </w:pPr>
      <w:proofErr w:type="spellStart"/>
      <w:r w:rsidRPr="001F247C">
        <w:rPr>
          <w:rFonts w:ascii="Verdana" w:eastAsia="Calibri" w:hAnsi="Verdana" w:cs="Arial"/>
          <w:b/>
          <w:bCs/>
          <w:color w:val="000000" w:themeColor="text1"/>
        </w:rPr>
        <w:t>i</w:t>
      </w:r>
      <w:r>
        <w:rPr>
          <w:rFonts w:ascii="Verdana" w:eastAsia="Calibri" w:hAnsi="Verdana" w:cs="Arial"/>
          <w:b/>
          <w:bCs/>
          <w:color w:val="000000" w:themeColor="text1"/>
        </w:rPr>
        <w:t>v</w:t>
      </w:r>
      <w:proofErr w:type="spellEnd"/>
      <w:r w:rsidRPr="001F247C">
        <w:rPr>
          <w:rFonts w:ascii="Verdana" w:eastAsia="Calibri" w:hAnsi="Verdana" w:cs="Arial"/>
          <w:b/>
          <w:bCs/>
          <w:color w:val="000000" w:themeColor="text1"/>
        </w:rPr>
        <w:t>.</w:t>
      </w:r>
      <w:r w:rsidRPr="005979D9">
        <w:rPr>
          <w:rFonts w:ascii="Verdana" w:eastAsia="Calibri" w:hAnsi="Verdana" w:cs="Arial"/>
          <w:bCs/>
          <w:color w:val="000000" w:themeColor="text1"/>
        </w:rPr>
        <w:t xml:space="preserve"> </w:t>
      </w:r>
      <w:r w:rsidRPr="00BE69DB">
        <w:rPr>
          <w:rFonts w:ascii="Verdana" w:eastAsia="Calibri" w:hAnsi="Verdana" w:cs="Arial"/>
          <w:bCs/>
          <w:color w:val="000000" w:themeColor="text1"/>
        </w:rPr>
        <w:t>Al margen de la explicación precedente</w:t>
      </w:r>
      <w:r>
        <w:rPr>
          <w:rFonts w:ascii="Verdana" w:eastAsia="Calibri" w:hAnsi="Verdana" w:cs="Arial"/>
          <w:bCs/>
          <w:color w:val="000000" w:themeColor="text1"/>
        </w:rPr>
        <w:t xml:space="preserve"> </w:t>
      </w:r>
      <w:r w:rsidRPr="004E60CB">
        <w:rPr>
          <w:rFonts w:ascii="Verdana" w:eastAsia="Calibri" w:hAnsi="Verdana" w:cs="Arial"/>
          <w:bCs/>
          <w:color w:val="000000" w:themeColor="text1"/>
        </w:rPr>
        <w:t>debe advertirse que el análisis requerido para resolver problemas específicos</w:t>
      </w:r>
      <w:r>
        <w:rPr>
          <w:rFonts w:ascii="Verdana" w:eastAsia="Calibri" w:hAnsi="Verdana" w:cs="Arial"/>
          <w:bCs/>
          <w:color w:val="000000" w:themeColor="text1"/>
        </w:rPr>
        <w:t xml:space="preserve"> </w:t>
      </w:r>
      <w:r w:rsidRPr="005979D9">
        <w:rPr>
          <w:rFonts w:ascii="Verdana" w:eastAsia="Calibri" w:hAnsi="Verdana" w:cs="Arial"/>
          <w:bCs/>
          <w:color w:val="000000" w:themeColor="text1"/>
        </w:rPr>
        <w:t xml:space="preserve">en torno a la gestión contractual de las entidades públicas debe ser realizado por quienes tengan interés en ello, </w:t>
      </w:r>
      <w:r w:rsidRPr="005979D9">
        <w:rPr>
          <w:rFonts w:ascii="Verdana" w:eastAsia="Calibri" w:hAnsi="Verdana" w:cs="Arial"/>
          <w:bCs/>
          <w:color w:val="000000" w:themeColor="text1"/>
        </w:rPr>
        <w:lastRenderedPageBreak/>
        <w:t>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81DEB36" w14:textId="77777777" w:rsidR="0072479E" w:rsidRPr="005979D9" w:rsidRDefault="0072479E" w:rsidP="0072479E">
      <w:pPr>
        <w:spacing w:after="0" w:line="276" w:lineRule="auto"/>
        <w:ind w:firstLine="708"/>
        <w:jc w:val="both"/>
        <w:rPr>
          <w:rFonts w:ascii="Verdana" w:eastAsia="Calibri" w:hAnsi="Verdana" w:cs="Arial"/>
          <w:bCs/>
          <w:color w:val="000000" w:themeColor="text1"/>
        </w:rPr>
      </w:pPr>
      <w:r w:rsidRPr="005979D9">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ED53A93" w14:textId="77777777" w:rsidR="0072479E" w:rsidRPr="005979D9" w:rsidRDefault="0072479E" w:rsidP="0072479E">
      <w:pPr>
        <w:spacing w:after="0" w:line="276" w:lineRule="auto"/>
        <w:ind w:firstLine="708"/>
        <w:jc w:val="both"/>
        <w:rPr>
          <w:rFonts w:ascii="Verdana" w:eastAsia="Calibri" w:hAnsi="Verdana" w:cs="Arial"/>
          <w:bCs/>
          <w:color w:val="000000" w:themeColor="text1"/>
        </w:rPr>
      </w:pPr>
    </w:p>
    <w:p w14:paraId="55350FF0" w14:textId="77777777" w:rsidR="0072479E" w:rsidRPr="005979D9" w:rsidRDefault="0072479E" w:rsidP="0072479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79D9">
        <w:rPr>
          <w:rFonts w:ascii="Verdana" w:eastAsia="Century Gothic" w:hAnsi="Verdana" w:cs="Century Gothic"/>
          <w:b/>
          <w:bCs/>
        </w:rPr>
        <w:t>Referencias normativas, jurisprudenciales y otras fuentes:</w:t>
      </w:r>
    </w:p>
    <w:p w14:paraId="6FB151D0" w14:textId="77777777" w:rsidR="0072479E" w:rsidRPr="005979D9" w:rsidRDefault="0072479E" w:rsidP="0072479E">
      <w:pPr>
        <w:pStyle w:val="Prrafodelista"/>
        <w:tabs>
          <w:tab w:val="left" w:pos="142"/>
          <w:tab w:val="left" w:pos="284"/>
        </w:tabs>
        <w:spacing w:after="0" w:line="276" w:lineRule="auto"/>
        <w:ind w:left="0"/>
        <w:contextualSpacing w:val="0"/>
        <w:jc w:val="both"/>
        <w:rPr>
          <w:rFonts w:ascii="Verdana" w:eastAsia="Century Gothic" w:hAnsi="Verdana" w:cs="Century Gothic"/>
          <w:b/>
          <w:bCs/>
          <w:sz w:val="20"/>
          <w:szCs w:val="2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2479E" w:rsidRPr="005979D9" w14:paraId="23D8F499" w14:textId="77777777" w:rsidTr="00A005C1">
        <w:trPr>
          <w:trHeight w:val="716"/>
        </w:trPr>
        <w:tc>
          <w:tcPr>
            <w:tcW w:w="8647" w:type="dxa"/>
          </w:tcPr>
          <w:p w14:paraId="009C7A6C" w14:textId="77777777" w:rsidR="0072479E" w:rsidRPr="00256219" w:rsidRDefault="0072479E" w:rsidP="00A005C1">
            <w:pPr>
              <w:numPr>
                <w:ilvl w:val="0"/>
                <w:numId w:val="18"/>
              </w:numPr>
              <w:tabs>
                <w:tab w:val="num" w:pos="720"/>
              </w:tabs>
              <w:spacing w:before="100" w:beforeAutospacing="1" w:after="100" w:afterAutospacing="1"/>
              <w:jc w:val="both"/>
              <w:rPr>
                <w:rFonts w:ascii="Verdana" w:eastAsia="Times New Roman" w:hAnsi="Verdana" w:cs="Times New Roman"/>
                <w:lang w:eastAsia="es-CO"/>
              </w:rPr>
            </w:pPr>
            <w:r w:rsidRPr="00256219">
              <w:rPr>
                <w:rFonts w:ascii="Verdana" w:eastAsia="Times New Roman" w:hAnsi="Verdana" w:cs="Times New Roman"/>
                <w:lang w:eastAsia="es-CO"/>
              </w:rPr>
              <w:t>Ley 80 de 1993, artículos 32, 40</w:t>
            </w:r>
          </w:p>
          <w:p w14:paraId="0E113D68" w14:textId="77777777" w:rsidR="0072479E" w:rsidRPr="00256219" w:rsidRDefault="0072479E" w:rsidP="00A005C1">
            <w:pPr>
              <w:numPr>
                <w:ilvl w:val="0"/>
                <w:numId w:val="18"/>
              </w:numPr>
              <w:tabs>
                <w:tab w:val="num" w:pos="720"/>
              </w:tabs>
              <w:spacing w:before="100" w:beforeAutospacing="1" w:after="100" w:afterAutospacing="1"/>
              <w:jc w:val="both"/>
              <w:rPr>
                <w:rFonts w:ascii="Verdana" w:eastAsia="Times New Roman" w:hAnsi="Verdana" w:cs="Times New Roman"/>
                <w:lang w:eastAsia="es-CO"/>
              </w:rPr>
            </w:pPr>
            <w:r w:rsidRPr="00256219">
              <w:rPr>
                <w:rFonts w:ascii="Verdana" w:eastAsia="Times New Roman" w:hAnsi="Verdana" w:cs="Times New Roman"/>
                <w:lang w:eastAsia="es-CO"/>
              </w:rPr>
              <w:t>Código de Comercio, artículo 968.</w:t>
            </w:r>
          </w:p>
          <w:p w14:paraId="466D6CCA" w14:textId="6526B1A9" w:rsidR="0072479E" w:rsidRPr="00256219" w:rsidRDefault="0072479E" w:rsidP="00A005C1">
            <w:pPr>
              <w:numPr>
                <w:ilvl w:val="0"/>
                <w:numId w:val="18"/>
              </w:numPr>
              <w:tabs>
                <w:tab w:val="num" w:pos="720"/>
              </w:tabs>
              <w:spacing w:before="100" w:beforeAutospacing="1" w:after="100" w:afterAutospacing="1"/>
              <w:jc w:val="both"/>
              <w:rPr>
                <w:rFonts w:ascii="Verdana" w:eastAsia="Times New Roman" w:hAnsi="Verdana" w:cs="Times New Roman"/>
                <w:lang w:eastAsia="es-CO"/>
              </w:rPr>
            </w:pPr>
            <w:r w:rsidRPr="00256219">
              <w:rPr>
                <w:rFonts w:ascii="Verdana" w:eastAsia="Times New Roman" w:hAnsi="Verdana" w:cs="Times New Roman"/>
                <w:lang w:eastAsia="es-CO"/>
              </w:rPr>
              <w:t>LAFONT PIANETTA, Pedro</w:t>
            </w:r>
            <w:r>
              <w:rPr>
                <w:rFonts w:ascii="Verdana" w:eastAsia="Times New Roman" w:hAnsi="Verdana" w:cs="Times New Roman"/>
                <w:lang w:eastAsia="es-CO"/>
              </w:rPr>
              <w:t xml:space="preserve">. </w:t>
            </w:r>
            <w:r w:rsidRPr="00256219">
              <w:rPr>
                <w:rFonts w:ascii="Verdana" w:eastAsia="Times New Roman" w:hAnsi="Verdana" w:cs="Times New Roman"/>
                <w:lang w:eastAsia="es-CO"/>
              </w:rPr>
              <w:t>Manual de contratos, Tomo I, Ediciones Librería del Profesional, 1 Ed, 2001, p.110.</w:t>
            </w:r>
          </w:p>
          <w:p w14:paraId="6EF35497" w14:textId="77777777" w:rsidR="0072479E" w:rsidRPr="00256219" w:rsidRDefault="0072479E" w:rsidP="00A005C1">
            <w:pPr>
              <w:numPr>
                <w:ilvl w:val="0"/>
                <w:numId w:val="18"/>
              </w:numPr>
              <w:tabs>
                <w:tab w:val="num" w:pos="720"/>
              </w:tabs>
              <w:spacing w:before="100" w:beforeAutospacing="1" w:after="100" w:afterAutospacing="1"/>
              <w:jc w:val="both"/>
              <w:rPr>
                <w:rFonts w:ascii="Verdana" w:eastAsia="Times New Roman" w:hAnsi="Verdana" w:cs="Times New Roman"/>
                <w:lang w:eastAsia="es-CO"/>
              </w:rPr>
            </w:pPr>
            <w:r w:rsidRPr="00256219">
              <w:rPr>
                <w:rFonts w:ascii="Verdana" w:eastAsia="Times New Roman" w:hAnsi="Verdana" w:cs="Times New Roman"/>
                <w:lang w:eastAsia="es-CO"/>
              </w:rPr>
              <w:t>Ley 1150 de 2007, articulo 2, numeral 4, literal h.</w:t>
            </w:r>
          </w:p>
          <w:p w14:paraId="080106DE" w14:textId="77777777" w:rsidR="0072479E" w:rsidRPr="00256219" w:rsidRDefault="0072479E" w:rsidP="00A005C1">
            <w:pPr>
              <w:numPr>
                <w:ilvl w:val="0"/>
                <w:numId w:val="18"/>
              </w:numPr>
              <w:tabs>
                <w:tab w:val="num" w:pos="720"/>
              </w:tabs>
              <w:spacing w:before="100" w:beforeAutospacing="1" w:after="100" w:afterAutospacing="1"/>
              <w:jc w:val="both"/>
              <w:rPr>
                <w:rFonts w:ascii="Verdana" w:eastAsia="Times New Roman" w:hAnsi="Verdana" w:cs="Times New Roman"/>
                <w:lang w:eastAsia="es-CO"/>
              </w:rPr>
            </w:pPr>
            <w:r w:rsidRPr="00256219">
              <w:rPr>
                <w:rFonts w:ascii="Verdana" w:eastAsia="Times New Roman" w:hAnsi="Verdana" w:cs="Times New Roman"/>
                <w:lang w:eastAsia="es-CO"/>
              </w:rPr>
              <w:t>Código Sustantivo del Trabajo, artículo 22.</w:t>
            </w:r>
          </w:p>
          <w:p w14:paraId="2A71163E" w14:textId="77777777" w:rsidR="0072479E" w:rsidRPr="00256219" w:rsidRDefault="0072479E" w:rsidP="00A005C1">
            <w:pPr>
              <w:numPr>
                <w:ilvl w:val="0"/>
                <w:numId w:val="18"/>
              </w:numPr>
              <w:tabs>
                <w:tab w:val="num" w:pos="720"/>
              </w:tabs>
              <w:spacing w:before="100" w:beforeAutospacing="1" w:after="100" w:afterAutospacing="1"/>
              <w:jc w:val="both"/>
              <w:rPr>
                <w:rFonts w:ascii="Verdana" w:eastAsia="Times New Roman" w:hAnsi="Verdana" w:cs="Times New Roman"/>
                <w:lang w:eastAsia="es-CO"/>
              </w:rPr>
            </w:pPr>
            <w:r w:rsidRPr="00256219">
              <w:rPr>
                <w:rFonts w:ascii="Verdana" w:eastAsia="Times New Roman" w:hAnsi="Verdana" w:cs="Times New Roman"/>
                <w:lang w:eastAsia="es-CO"/>
              </w:rPr>
              <w:t>Consejo de Estado. Sección Segunda. Sentencia de Unificación Jurisprudencial SUJ-025-CE-S2-2021. Radicado (1317-2016).</w:t>
            </w:r>
          </w:p>
          <w:p w14:paraId="4F6F06B7" w14:textId="77777777" w:rsidR="0072479E" w:rsidRPr="00256219" w:rsidRDefault="0072479E" w:rsidP="00A005C1">
            <w:pPr>
              <w:numPr>
                <w:ilvl w:val="0"/>
                <w:numId w:val="18"/>
              </w:numPr>
              <w:tabs>
                <w:tab w:val="num" w:pos="720"/>
              </w:tabs>
              <w:spacing w:before="100" w:beforeAutospacing="1" w:after="100" w:afterAutospacing="1"/>
              <w:jc w:val="both"/>
              <w:rPr>
                <w:rFonts w:ascii="Verdana" w:eastAsia="Times New Roman" w:hAnsi="Verdana" w:cs="Times New Roman"/>
                <w:lang w:eastAsia="es-CO"/>
              </w:rPr>
            </w:pPr>
            <w:r w:rsidRPr="00256219">
              <w:rPr>
                <w:rFonts w:ascii="Verdana" w:eastAsia="Times New Roman" w:hAnsi="Verdana" w:cs="Times New Roman"/>
                <w:lang w:eastAsia="es-CO"/>
              </w:rPr>
              <w:t>Decreto 1082 de 2015, artículo 2.2.1.2.1.4.9, 2.2.1.2.1.4.1, 2.2.1.2.1.4.5,</w:t>
            </w:r>
          </w:p>
          <w:p w14:paraId="71616B2D" w14:textId="77777777" w:rsidR="0072479E" w:rsidRPr="00256219" w:rsidRDefault="0072479E" w:rsidP="00A005C1">
            <w:pPr>
              <w:numPr>
                <w:ilvl w:val="0"/>
                <w:numId w:val="18"/>
              </w:numPr>
              <w:tabs>
                <w:tab w:val="num" w:pos="720"/>
              </w:tabs>
              <w:spacing w:before="100" w:beforeAutospacing="1" w:after="100" w:afterAutospacing="1"/>
              <w:jc w:val="both"/>
              <w:rPr>
                <w:rFonts w:ascii="Verdana" w:eastAsia="Times New Roman" w:hAnsi="Verdana" w:cs="Times New Roman"/>
                <w:lang w:eastAsia="es-CO"/>
              </w:rPr>
            </w:pPr>
            <w:r w:rsidRPr="00256219">
              <w:rPr>
                <w:rFonts w:ascii="Verdana" w:eastAsia="Times New Roman" w:hAnsi="Verdana" w:cs="Times New Roman"/>
                <w:lang w:eastAsia="es-CO"/>
              </w:rPr>
              <w:t xml:space="preserve">Consejo de Estado. Sección Tercera. Subsección C. Sentencia del 2 de diciembre de 2013. </w:t>
            </w:r>
            <w:proofErr w:type="spellStart"/>
            <w:r w:rsidRPr="00256219">
              <w:rPr>
                <w:rFonts w:ascii="Verdana" w:eastAsia="Times New Roman" w:hAnsi="Verdana" w:cs="Times New Roman"/>
                <w:lang w:eastAsia="es-CO"/>
              </w:rPr>
              <w:t>Exp</w:t>
            </w:r>
            <w:proofErr w:type="spellEnd"/>
            <w:r w:rsidRPr="00256219">
              <w:rPr>
                <w:rFonts w:ascii="Verdana" w:eastAsia="Times New Roman" w:hAnsi="Verdana" w:cs="Times New Roman"/>
                <w:lang w:eastAsia="es-CO"/>
              </w:rPr>
              <w:t>. 41719. C.P. Jaime Orlando Santofimio Gamboa.</w:t>
            </w:r>
          </w:p>
          <w:p w14:paraId="41598F3D" w14:textId="77777777" w:rsidR="0072479E" w:rsidRPr="00256219" w:rsidRDefault="0072479E" w:rsidP="00A005C1">
            <w:pPr>
              <w:numPr>
                <w:ilvl w:val="0"/>
                <w:numId w:val="18"/>
              </w:numPr>
              <w:tabs>
                <w:tab w:val="num" w:pos="720"/>
              </w:tabs>
              <w:spacing w:before="100" w:beforeAutospacing="1" w:after="100" w:afterAutospacing="1"/>
              <w:jc w:val="both"/>
              <w:rPr>
                <w:rFonts w:ascii="Verdana" w:eastAsia="Times New Roman" w:hAnsi="Verdana" w:cs="Times New Roman"/>
                <w:lang w:eastAsia="es-CO"/>
              </w:rPr>
            </w:pPr>
            <w:r w:rsidRPr="00256219">
              <w:rPr>
                <w:rFonts w:ascii="Verdana" w:eastAsia="Times New Roman" w:hAnsi="Verdana" w:cs="Times New Roman"/>
                <w:lang w:eastAsia="es-CO"/>
              </w:rPr>
              <w:t xml:space="preserve">Decreto 019 de 2012, artículo 217. </w:t>
            </w:r>
          </w:p>
        </w:tc>
      </w:tr>
    </w:tbl>
    <w:p w14:paraId="552C5877" w14:textId="77777777" w:rsidR="0072479E" w:rsidRPr="005979D9" w:rsidRDefault="0072479E" w:rsidP="0072479E">
      <w:pPr>
        <w:widowControl w:val="0"/>
        <w:autoSpaceDE w:val="0"/>
        <w:autoSpaceDN w:val="0"/>
        <w:spacing w:after="0" w:line="276" w:lineRule="auto"/>
        <w:jc w:val="both"/>
        <w:rPr>
          <w:rFonts w:ascii="Verdana" w:hAnsi="Verdana" w:cs="Arial"/>
        </w:rPr>
      </w:pPr>
    </w:p>
    <w:p w14:paraId="214AA0A1" w14:textId="77777777" w:rsidR="0072479E" w:rsidRPr="005979D9" w:rsidRDefault="0072479E" w:rsidP="0072479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79D9">
        <w:rPr>
          <w:rFonts w:ascii="Verdana" w:eastAsia="Century Gothic" w:hAnsi="Verdana" w:cs="Century Gothic"/>
          <w:b/>
          <w:bCs/>
        </w:rPr>
        <w:t>Doctrina de la Agencia Nacional de Contratación Pública:</w:t>
      </w:r>
    </w:p>
    <w:p w14:paraId="4700FA55" w14:textId="77777777" w:rsidR="0072479E" w:rsidRPr="005979D9" w:rsidRDefault="0072479E" w:rsidP="0072479E">
      <w:pPr>
        <w:widowControl w:val="0"/>
        <w:autoSpaceDE w:val="0"/>
        <w:autoSpaceDN w:val="0"/>
        <w:spacing w:after="0" w:line="276" w:lineRule="auto"/>
        <w:jc w:val="both"/>
        <w:rPr>
          <w:rFonts w:ascii="Verdana" w:hAnsi="Verdana" w:cs="Arial"/>
        </w:rPr>
      </w:pPr>
    </w:p>
    <w:p w14:paraId="0B90716A" w14:textId="77777777" w:rsidR="0072479E" w:rsidRPr="00B52E6D" w:rsidRDefault="0072479E" w:rsidP="0072479E">
      <w:pPr>
        <w:spacing w:after="0" w:line="276" w:lineRule="auto"/>
        <w:jc w:val="both"/>
        <w:rPr>
          <w:rFonts w:ascii="Verdana" w:hAnsi="Verdana" w:cs="Arial"/>
          <w:color w:val="EE0000"/>
          <w:shd w:val="clear" w:color="auto" w:fill="FFFFFF"/>
          <w:lang w:val="es-ES"/>
        </w:rPr>
      </w:pPr>
      <w:r w:rsidRPr="00255E89">
        <w:rPr>
          <w:rFonts w:ascii="Verdana" w:eastAsia="Calibri" w:hAnsi="Verdana" w:cs="Arial"/>
          <w:lang w:val="es-ES"/>
        </w:rPr>
        <w:lastRenderedPageBreak/>
        <w:t xml:space="preserve">La Agencia Nacional de Contratación Pública – Colombia Compra Eficiente se ha referido </w:t>
      </w:r>
      <w:r w:rsidRPr="00064773">
        <w:rPr>
          <w:rFonts w:ascii="Verdana" w:hAnsi="Verdana" w:cs="Arial"/>
          <w:shd w:val="clear" w:color="auto" w:fill="FFFFFF"/>
          <w:lang w:val="es-ES"/>
        </w:rPr>
        <w:t xml:space="preserve">sobre </w:t>
      </w:r>
      <w:r w:rsidRPr="00B52E6D">
        <w:rPr>
          <w:rFonts w:ascii="Verdana" w:hAnsi="Verdana" w:cs="Arial"/>
          <w:shd w:val="clear" w:color="auto" w:fill="FFFFFF"/>
          <w:lang w:val="es-ES"/>
        </w:rPr>
        <w:t>los contratos de prestación de servicios, así como los requisitos para su celebración en los conceptos con radicado C-414 del 30 de junio de 2020,C-661 del 17 de noviembre de 2020 C−685 del 18 de diciembre de 2020, C-004 del 12 de febrero de 2021, C-106 del 7 de abril de 2021, C-181 del 07 de abril de 2022, C-214 del 22 de abril de 2022, C-491 de 01 de agosto de 2022, C-008 del 20 de febrero de 2023, C-009 del 20 de febrero de 2023, C-286 del 2023, C-351 del 30 de agosto de 2024, C-372 del 26 de Agosto 2024, C-904 del 9 de diciembre de 2024 , C-363 del 15 de abril de 2025, C-652 del 04 de julio de 2025 , C-706 del 15 de julio de 2025 y C-749 del 14 de agosto de 2025, entre otros</w:t>
      </w:r>
      <w:r>
        <w:rPr>
          <w:rFonts w:ascii="Verdana" w:eastAsia="Aptos" w:hAnsi="Verdana" w:cs="Segoe UI"/>
          <w:kern w:val="2"/>
          <w14:ligatures w14:val="standardContextual"/>
        </w:rPr>
        <w:t xml:space="preserve"> que pueden ser consultados en el siguiente enlace:</w:t>
      </w:r>
    </w:p>
    <w:p w14:paraId="3F5B9D84" w14:textId="77777777" w:rsidR="0072479E" w:rsidRPr="00B03F9C" w:rsidRDefault="0072479E" w:rsidP="0072479E">
      <w:pPr>
        <w:spacing w:after="0" w:line="276" w:lineRule="auto"/>
        <w:jc w:val="both"/>
        <w:rPr>
          <w:rStyle w:val="normaltextrun"/>
          <w:rFonts w:ascii="Geomanist Light" w:eastAsia="Calibri" w:hAnsi="Geomanist Light" w:cs="Arial"/>
          <w:b/>
          <w:lang w:eastAsia="es-ES_tradnl"/>
        </w:rPr>
      </w:pPr>
      <w:hyperlink r:id="rId13" w:history="1">
        <w:r w:rsidRPr="005979D9">
          <w:rPr>
            <w:rStyle w:val="Hipervnculo"/>
            <w:rFonts w:ascii="Verdana" w:hAnsi="Verdana" w:cs="Arial"/>
            <w:shd w:val="clear" w:color="auto" w:fill="FFFFFF"/>
            <w:lang w:val="es-ES"/>
          </w:rPr>
          <w:t>https://relatoria.colombiacompra.gov.co/busqueda/conceptos</w:t>
        </w:r>
      </w:hyperlink>
      <w:r w:rsidRPr="005979D9">
        <w:rPr>
          <w:rStyle w:val="normaltextrun"/>
          <w:rFonts w:ascii="Verdana" w:hAnsi="Verdana" w:cs="Arial"/>
          <w:color w:val="FF0000"/>
          <w:shd w:val="clear" w:color="auto" w:fill="FFFFFF"/>
          <w:lang w:val="es-ES"/>
        </w:rPr>
        <w:t xml:space="preserve"> </w:t>
      </w:r>
    </w:p>
    <w:p w14:paraId="38B698A9" w14:textId="77777777" w:rsidR="0072479E" w:rsidRPr="005979D9" w:rsidRDefault="0072479E" w:rsidP="0072479E">
      <w:pPr>
        <w:widowControl w:val="0"/>
        <w:autoSpaceDE w:val="0"/>
        <w:autoSpaceDN w:val="0"/>
        <w:spacing w:after="0" w:line="276" w:lineRule="auto"/>
        <w:jc w:val="both"/>
        <w:rPr>
          <w:rFonts w:ascii="Verdana" w:hAnsi="Verdana" w:cs="Arial"/>
          <w:color w:val="FF0000"/>
          <w:shd w:val="clear" w:color="auto" w:fill="FFFFFF"/>
          <w:lang w:val="es-ES"/>
        </w:rPr>
      </w:pPr>
    </w:p>
    <w:p w14:paraId="500B5EB7" w14:textId="77777777" w:rsidR="0072479E" w:rsidRPr="005979D9" w:rsidRDefault="0072479E" w:rsidP="0072479E">
      <w:pPr>
        <w:spacing w:after="0" w:line="276" w:lineRule="auto"/>
        <w:jc w:val="both"/>
        <w:rPr>
          <w:rFonts w:ascii="Verdana" w:hAnsi="Verdana"/>
        </w:rPr>
      </w:pPr>
      <w:r w:rsidRPr="005979D9">
        <w:rPr>
          <w:rFonts w:ascii="Verdana" w:hAnsi="Verdana"/>
        </w:rPr>
        <w:t xml:space="preserve">Por último, lo invitamos a seguirnos en las redes sociales en las cuales se difunde información institucional: </w:t>
      </w:r>
    </w:p>
    <w:p w14:paraId="5F3D6BB8" w14:textId="77777777" w:rsidR="0072479E" w:rsidRPr="005979D9" w:rsidRDefault="0072479E" w:rsidP="0072479E">
      <w:pPr>
        <w:spacing w:after="0" w:line="276" w:lineRule="auto"/>
        <w:jc w:val="both"/>
        <w:rPr>
          <w:rFonts w:ascii="Verdana" w:hAnsi="Verdana"/>
        </w:rPr>
      </w:pPr>
    </w:p>
    <w:p w14:paraId="525A587F" w14:textId="77777777" w:rsidR="0072479E" w:rsidRPr="005979D9" w:rsidRDefault="0072479E" w:rsidP="0072479E">
      <w:pPr>
        <w:spacing w:after="0" w:line="276" w:lineRule="auto"/>
        <w:jc w:val="both"/>
        <w:rPr>
          <w:rFonts w:ascii="Verdana" w:hAnsi="Verdana"/>
        </w:rPr>
      </w:pPr>
      <w:r w:rsidRPr="005979D9">
        <w:rPr>
          <w:rFonts w:ascii="Verdana" w:hAnsi="Verdana"/>
        </w:rPr>
        <w:t xml:space="preserve">Twitter: </w:t>
      </w:r>
      <w:r w:rsidRPr="005979D9">
        <w:rPr>
          <w:rStyle w:val="Hipervnculo"/>
          <w:rFonts w:ascii="Verdana" w:hAnsi="Verdana"/>
        </w:rPr>
        <w:t>@colombiacompra</w:t>
      </w:r>
      <w:r w:rsidRPr="005979D9">
        <w:rPr>
          <w:rFonts w:ascii="Verdana" w:hAnsi="Verdana"/>
          <w:color w:val="0000FF"/>
        </w:rPr>
        <w:t xml:space="preserve"> </w:t>
      </w:r>
    </w:p>
    <w:p w14:paraId="6F01D421" w14:textId="77777777" w:rsidR="0072479E" w:rsidRPr="005979D9" w:rsidRDefault="0072479E" w:rsidP="0072479E">
      <w:pPr>
        <w:spacing w:after="0" w:line="276" w:lineRule="auto"/>
        <w:jc w:val="both"/>
        <w:rPr>
          <w:rFonts w:ascii="Verdana" w:hAnsi="Verdana"/>
        </w:rPr>
      </w:pPr>
      <w:r w:rsidRPr="005979D9">
        <w:rPr>
          <w:rFonts w:ascii="Verdana" w:hAnsi="Verdana"/>
        </w:rPr>
        <w:t xml:space="preserve">Facebook: </w:t>
      </w:r>
      <w:proofErr w:type="spellStart"/>
      <w:r w:rsidRPr="005979D9">
        <w:rPr>
          <w:rStyle w:val="Hipervnculo"/>
          <w:rFonts w:ascii="Verdana" w:hAnsi="Verdana"/>
        </w:rPr>
        <w:t>ColombiaCompraEficiente</w:t>
      </w:r>
      <w:proofErr w:type="spellEnd"/>
    </w:p>
    <w:p w14:paraId="3433E795" w14:textId="77777777" w:rsidR="0072479E" w:rsidRPr="005979D9" w:rsidRDefault="0072479E" w:rsidP="0072479E">
      <w:pPr>
        <w:spacing w:after="0" w:line="276" w:lineRule="auto"/>
        <w:jc w:val="both"/>
        <w:rPr>
          <w:rFonts w:ascii="Verdana" w:hAnsi="Verdana"/>
        </w:rPr>
      </w:pPr>
      <w:r w:rsidRPr="005979D9">
        <w:rPr>
          <w:rFonts w:ascii="Verdana" w:hAnsi="Verdana"/>
        </w:rPr>
        <w:t xml:space="preserve">LinkedIn: </w:t>
      </w:r>
      <w:r w:rsidRPr="005979D9">
        <w:rPr>
          <w:rStyle w:val="Hipervnculo"/>
          <w:rFonts w:ascii="Verdana" w:hAnsi="Verdana"/>
        </w:rPr>
        <w:t>Agencia Nacional de Contratación Pública - Colombia Compra Eficiente</w:t>
      </w:r>
      <w:r w:rsidRPr="005979D9">
        <w:rPr>
          <w:rFonts w:ascii="Verdana" w:hAnsi="Verdana"/>
          <w:color w:val="0000FF"/>
        </w:rPr>
        <w:t xml:space="preserve"> </w:t>
      </w:r>
      <w:r w:rsidRPr="005979D9">
        <w:rPr>
          <w:rFonts w:ascii="Verdana" w:hAnsi="Verdana"/>
        </w:rPr>
        <w:t xml:space="preserve">Instagram: </w:t>
      </w:r>
      <w:r w:rsidRPr="005979D9">
        <w:rPr>
          <w:rStyle w:val="Hipervnculo"/>
          <w:rFonts w:ascii="Verdana" w:hAnsi="Verdana"/>
        </w:rPr>
        <w:t>@colombiacompraeficiente_cce</w:t>
      </w:r>
    </w:p>
    <w:p w14:paraId="464800B1" w14:textId="77777777" w:rsidR="0072479E" w:rsidRPr="005979D9" w:rsidRDefault="0072479E" w:rsidP="0072479E">
      <w:pPr>
        <w:widowControl w:val="0"/>
        <w:autoSpaceDE w:val="0"/>
        <w:autoSpaceDN w:val="0"/>
        <w:spacing w:after="0" w:line="276" w:lineRule="auto"/>
        <w:jc w:val="both"/>
        <w:rPr>
          <w:rFonts w:ascii="Verdana" w:hAnsi="Verdana" w:cs="Arial"/>
        </w:rPr>
      </w:pPr>
    </w:p>
    <w:p w14:paraId="534F5DAB" w14:textId="77777777" w:rsidR="0072479E" w:rsidRPr="005979D9" w:rsidRDefault="0072479E" w:rsidP="0072479E">
      <w:pPr>
        <w:widowControl w:val="0"/>
        <w:autoSpaceDE w:val="0"/>
        <w:autoSpaceDN w:val="0"/>
        <w:spacing w:after="0" w:line="276" w:lineRule="auto"/>
        <w:jc w:val="both"/>
        <w:rPr>
          <w:rFonts w:ascii="Verdana" w:hAnsi="Verdana" w:cs="Arial"/>
          <w:lang w:val="es-ES_tradnl"/>
        </w:rPr>
      </w:pPr>
      <w:r w:rsidRPr="005979D9">
        <w:rPr>
          <w:rFonts w:ascii="Verdana" w:hAnsi="Verdana" w:cs="Arial"/>
        </w:rPr>
        <w:t xml:space="preserve">Este concepto tiene el alcance previsto en el artículo 28 del Código de Procedimiento Administrativo y de lo Contencioso Administrativo </w:t>
      </w:r>
      <w:r w:rsidRPr="005979D9">
        <w:rPr>
          <w:rFonts w:ascii="Verdana" w:hAnsi="Verdana" w:cs="Arial"/>
          <w:lang w:val="es-ES_tradnl"/>
        </w:rPr>
        <w:t>y las expresiones aquí utilizadas con mayúscula inicial deben ser entendidas con el significado que les otorga el artículo 2.2.1.1.1.3.1. del Decreto 1082 de 2015.</w:t>
      </w:r>
    </w:p>
    <w:p w14:paraId="26C93B05" w14:textId="77777777" w:rsidR="0072479E" w:rsidRPr="005979D9" w:rsidRDefault="0072479E" w:rsidP="0072479E">
      <w:pPr>
        <w:widowControl w:val="0"/>
        <w:autoSpaceDE w:val="0"/>
        <w:autoSpaceDN w:val="0"/>
        <w:spacing w:after="0" w:line="276" w:lineRule="auto"/>
        <w:jc w:val="both"/>
        <w:rPr>
          <w:rFonts w:ascii="Verdana" w:hAnsi="Verdana" w:cs="Arial"/>
        </w:rPr>
      </w:pPr>
    </w:p>
    <w:p w14:paraId="10E9F6C0" w14:textId="77777777" w:rsidR="0072479E" w:rsidRPr="005979D9" w:rsidRDefault="0072479E" w:rsidP="0072479E">
      <w:pPr>
        <w:spacing w:after="0" w:line="276" w:lineRule="auto"/>
        <w:rPr>
          <w:rFonts w:ascii="Verdana" w:hAnsi="Verdana" w:cs="Arial"/>
          <w:lang w:eastAsia="es-CO"/>
        </w:rPr>
      </w:pPr>
      <w:r w:rsidRPr="005979D9">
        <w:rPr>
          <w:rFonts w:ascii="Verdana" w:eastAsia="Times New Roman" w:hAnsi="Verdana" w:cs="Arial"/>
          <w:lang w:eastAsia="es-CO"/>
        </w:rPr>
        <w:t>Atentamente,</w:t>
      </w:r>
      <w:r w:rsidRPr="005979D9">
        <w:rPr>
          <w:rFonts w:ascii="Verdana" w:hAnsi="Verdana" w:cs="Arial"/>
          <w:lang w:eastAsia="es-CO"/>
        </w:rPr>
        <w:t xml:space="preserve"> </w:t>
      </w:r>
    </w:p>
    <w:p w14:paraId="73ACBA95" w14:textId="328250ED" w:rsidR="00AA1FE4" w:rsidRPr="00AA1FE4" w:rsidRDefault="00AA1FE4" w:rsidP="00AA1FE4">
      <w:pPr>
        <w:spacing w:line="276" w:lineRule="auto"/>
        <w:jc w:val="center"/>
        <w:rPr>
          <w:rFonts w:ascii="Verdana" w:hAnsi="Verdana" w:cs="Arial"/>
          <w:color w:val="000000"/>
          <w:lang w:eastAsia="es-CO"/>
        </w:rPr>
      </w:pPr>
      <w:r w:rsidRPr="00AA1FE4">
        <w:rPr>
          <w:rFonts w:ascii="Verdana" w:hAnsi="Verdana" w:cs="Arial"/>
          <w:noProof/>
          <w:color w:val="000000"/>
          <w:lang w:eastAsia="es-CO"/>
        </w:rPr>
        <w:drawing>
          <wp:inline distT="0" distB="0" distL="0" distR="0" wp14:anchorId="08E927E9" wp14:editId="492BF3E1">
            <wp:extent cx="3168060" cy="1254269"/>
            <wp:effectExtent l="0" t="0" r="0" b="3175"/>
            <wp:docPr id="178136525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86043" cy="1261389"/>
                    </a:xfrm>
                    <a:prstGeom prst="rect">
                      <a:avLst/>
                    </a:prstGeom>
                    <a:noFill/>
                    <a:ln>
                      <a:noFill/>
                    </a:ln>
                  </pic:spPr>
                </pic:pic>
              </a:graphicData>
            </a:graphic>
          </wp:inline>
        </w:drawing>
      </w:r>
    </w:p>
    <w:p w14:paraId="7AABE59C" w14:textId="775B847E" w:rsidR="0072479E" w:rsidRPr="005C170B" w:rsidRDefault="0072479E" w:rsidP="0072479E">
      <w:pPr>
        <w:spacing w:line="276" w:lineRule="auto"/>
        <w:jc w:val="center"/>
        <w:rPr>
          <w:rFonts w:ascii="Verdana" w:hAnsi="Verdana" w:cs="Arial"/>
          <w:color w:val="000000"/>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2479E" w:rsidRPr="005C170B" w14:paraId="33A5B5D4" w14:textId="77777777" w:rsidTr="00A005C1">
        <w:trPr>
          <w:trHeight w:val="315"/>
        </w:trPr>
        <w:tc>
          <w:tcPr>
            <w:tcW w:w="893" w:type="dxa"/>
            <w:vAlign w:val="center"/>
            <w:hideMark/>
          </w:tcPr>
          <w:p w14:paraId="2F9484EA" w14:textId="77777777" w:rsidR="0072479E" w:rsidRPr="005C170B" w:rsidRDefault="0072479E" w:rsidP="00A005C1">
            <w:pPr>
              <w:contextualSpacing/>
              <w:rPr>
                <w:rFonts w:ascii="Verdana" w:hAnsi="Verdana" w:cs="Arial"/>
                <w:sz w:val="16"/>
                <w:szCs w:val="16"/>
                <w:lang w:val="es-ES" w:eastAsia="es-ES"/>
              </w:rPr>
            </w:pPr>
            <w:r w:rsidRPr="005C170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FBBC691" w14:textId="77777777" w:rsidR="0072479E" w:rsidRPr="005C170B" w:rsidRDefault="0072479E" w:rsidP="00A005C1">
            <w:pPr>
              <w:contextualSpacing/>
              <w:rPr>
                <w:rFonts w:ascii="Verdana" w:eastAsia="Arial" w:hAnsi="Verdana" w:cs="Arial"/>
                <w:sz w:val="16"/>
                <w:szCs w:val="16"/>
              </w:rPr>
            </w:pPr>
            <w:r w:rsidRPr="005C170B">
              <w:rPr>
                <w:rFonts w:ascii="Verdana" w:eastAsia="Arial" w:hAnsi="Verdana" w:cs="Arial"/>
                <w:sz w:val="16"/>
                <w:szCs w:val="16"/>
              </w:rPr>
              <w:t>Andrea Camila Polo Paz</w:t>
            </w:r>
          </w:p>
          <w:p w14:paraId="11BDA669" w14:textId="77777777" w:rsidR="0072479E" w:rsidRPr="005C170B" w:rsidRDefault="0072479E" w:rsidP="00A005C1">
            <w:pPr>
              <w:contextualSpacing/>
              <w:rPr>
                <w:rFonts w:ascii="Verdana" w:eastAsia="Arial" w:hAnsi="Verdana" w:cs="Arial"/>
                <w:sz w:val="16"/>
                <w:szCs w:val="16"/>
              </w:rPr>
            </w:pPr>
            <w:r w:rsidRPr="005C170B">
              <w:rPr>
                <w:rStyle w:val="normaltextrun"/>
                <w:rFonts w:ascii="Verdana" w:eastAsia="Arial" w:hAnsi="Verdana" w:cs="Arial"/>
                <w:sz w:val="16"/>
                <w:szCs w:val="16"/>
              </w:rPr>
              <w:lastRenderedPageBreak/>
              <w:t>Analista T02-1 de la Subdirección de Gestión Contractual</w:t>
            </w:r>
          </w:p>
        </w:tc>
      </w:tr>
      <w:tr w:rsidR="0072479E" w:rsidRPr="005C170B" w14:paraId="33FA7801" w14:textId="77777777" w:rsidTr="00A005C1">
        <w:trPr>
          <w:trHeight w:val="330"/>
        </w:trPr>
        <w:tc>
          <w:tcPr>
            <w:tcW w:w="893" w:type="dxa"/>
            <w:vAlign w:val="center"/>
            <w:hideMark/>
          </w:tcPr>
          <w:p w14:paraId="773D5BE1" w14:textId="77777777" w:rsidR="0072479E" w:rsidRPr="005C170B" w:rsidRDefault="0072479E" w:rsidP="00A005C1">
            <w:pPr>
              <w:contextualSpacing/>
              <w:rPr>
                <w:rFonts w:ascii="Verdana" w:hAnsi="Verdana" w:cs="Arial"/>
                <w:sz w:val="16"/>
                <w:szCs w:val="16"/>
                <w:lang w:val="es-ES" w:eastAsia="es-ES"/>
              </w:rPr>
            </w:pPr>
            <w:r w:rsidRPr="005C170B">
              <w:rPr>
                <w:rFonts w:ascii="Verdana"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7FACD17" w14:textId="77777777" w:rsidR="0072479E" w:rsidRPr="005C170B" w:rsidRDefault="0072479E" w:rsidP="00A005C1">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Diana Lucía Saavedra</w:t>
            </w:r>
          </w:p>
          <w:p w14:paraId="3B9A92B2" w14:textId="77777777" w:rsidR="0072479E" w:rsidRPr="005C170B" w:rsidRDefault="0072479E" w:rsidP="00A005C1">
            <w:pPr>
              <w:pStyle w:val="paragraph"/>
              <w:spacing w:before="0" w:beforeAutospacing="0" w:after="0" w:afterAutospacing="0"/>
              <w:contextualSpacing/>
              <w:textAlignment w:val="baseline"/>
              <w:rPr>
                <w:rFonts w:ascii="Verdana" w:hAnsi="Verdana" w:cs="Arial"/>
                <w:sz w:val="16"/>
                <w:szCs w:val="16"/>
                <w:lang w:val="es-ES"/>
              </w:rPr>
            </w:pPr>
            <w:r>
              <w:rPr>
                <w:rStyle w:val="normaltextrun"/>
                <w:rFonts w:ascii="Verdana" w:hAnsi="Verdana" w:cs="Arial"/>
                <w:sz w:val="16"/>
                <w:szCs w:val="16"/>
                <w:lang w:val="es-ES"/>
              </w:rPr>
              <w:t>Contratista</w:t>
            </w:r>
            <w:r w:rsidRPr="005C170B">
              <w:rPr>
                <w:rStyle w:val="normaltextrun"/>
                <w:rFonts w:ascii="Verdana" w:hAnsi="Verdana" w:cs="Arial"/>
                <w:sz w:val="16"/>
                <w:szCs w:val="16"/>
                <w:lang w:val="es-ES"/>
              </w:rPr>
              <w:t xml:space="preserve"> de la Subdirección de Gestión Contractual</w:t>
            </w:r>
            <w:r w:rsidRPr="005C170B">
              <w:rPr>
                <w:rStyle w:val="eop"/>
                <w:rFonts w:ascii="Verdana" w:hAnsi="Verdana" w:cs="Arial"/>
                <w:sz w:val="16"/>
                <w:szCs w:val="16"/>
              </w:rPr>
              <w:t> </w:t>
            </w:r>
          </w:p>
        </w:tc>
      </w:tr>
      <w:tr w:rsidR="0072479E" w:rsidRPr="005C170B" w14:paraId="5135155A" w14:textId="77777777" w:rsidTr="00A005C1">
        <w:trPr>
          <w:trHeight w:val="300"/>
        </w:trPr>
        <w:tc>
          <w:tcPr>
            <w:tcW w:w="893" w:type="dxa"/>
            <w:vAlign w:val="center"/>
          </w:tcPr>
          <w:p w14:paraId="2ADA80D4" w14:textId="77777777" w:rsidR="0072479E" w:rsidRPr="005C170B" w:rsidRDefault="0072479E" w:rsidP="00A005C1">
            <w:pPr>
              <w:contextualSpacing/>
              <w:rPr>
                <w:rFonts w:ascii="Verdana" w:hAnsi="Verdana" w:cs="Arial"/>
                <w:sz w:val="16"/>
                <w:szCs w:val="16"/>
                <w:lang w:val="es-ES" w:eastAsia="es-ES"/>
              </w:rPr>
            </w:pPr>
            <w:r w:rsidRPr="005C170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B8CFCEA" w14:textId="77777777" w:rsidR="0072479E" w:rsidRPr="005C170B" w:rsidRDefault="0072479E" w:rsidP="00A005C1">
            <w:pPr>
              <w:contextualSpacing/>
              <w:rPr>
                <w:rFonts w:ascii="Verdana" w:eastAsia="Calibri" w:hAnsi="Verdana" w:cs="Arial"/>
                <w:sz w:val="16"/>
                <w:szCs w:val="16"/>
                <w:lang w:val="pt-BR" w:eastAsia="es-ES"/>
              </w:rPr>
            </w:pPr>
            <w:r w:rsidRPr="005C170B">
              <w:rPr>
                <w:rFonts w:ascii="Verdana" w:eastAsia="Calibri" w:hAnsi="Verdana" w:cs="Arial"/>
                <w:sz w:val="16"/>
                <w:szCs w:val="16"/>
                <w:lang w:val="pt-BR" w:eastAsia="es-ES"/>
              </w:rPr>
              <w:t xml:space="preserve">Carolina Quintero </w:t>
            </w:r>
            <w:proofErr w:type="spellStart"/>
            <w:r w:rsidRPr="005C170B">
              <w:rPr>
                <w:rFonts w:ascii="Verdana" w:eastAsia="Calibri" w:hAnsi="Verdana" w:cs="Arial"/>
                <w:sz w:val="16"/>
                <w:szCs w:val="16"/>
                <w:lang w:val="pt-BR" w:eastAsia="es-ES"/>
              </w:rPr>
              <w:t>Gacharná</w:t>
            </w:r>
            <w:proofErr w:type="spellEnd"/>
          </w:p>
          <w:p w14:paraId="0ACF63D2" w14:textId="77777777" w:rsidR="0072479E" w:rsidRPr="005C170B" w:rsidRDefault="0072479E" w:rsidP="00A005C1">
            <w:pPr>
              <w:contextualSpacing/>
              <w:rPr>
                <w:rFonts w:ascii="Verdana" w:eastAsia="Calibri" w:hAnsi="Verdana" w:cs="Arial"/>
                <w:sz w:val="16"/>
                <w:szCs w:val="16"/>
                <w:lang w:val="pt-BR" w:eastAsia="es-ES"/>
              </w:rPr>
            </w:pPr>
            <w:r w:rsidRPr="005C170B">
              <w:rPr>
                <w:rFonts w:ascii="Verdana" w:eastAsia="Calibri" w:hAnsi="Verdana" w:cs="Arial"/>
                <w:sz w:val="16"/>
                <w:szCs w:val="16"/>
                <w:lang w:eastAsia="es-ES"/>
              </w:rPr>
              <w:t>Subdirectora</w:t>
            </w:r>
            <w:r w:rsidRPr="005C170B">
              <w:rPr>
                <w:rFonts w:ascii="Verdana" w:eastAsia="Calibri" w:hAnsi="Verdana" w:cs="Arial"/>
                <w:sz w:val="16"/>
                <w:szCs w:val="16"/>
                <w:lang w:val="pt-BR" w:eastAsia="es-ES"/>
              </w:rPr>
              <w:t xml:space="preserve"> de Gestión </w:t>
            </w:r>
            <w:proofErr w:type="spellStart"/>
            <w:r w:rsidRPr="005C170B">
              <w:rPr>
                <w:rFonts w:ascii="Verdana" w:eastAsia="Calibri" w:hAnsi="Verdana" w:cs="Arial"/>
                <w:sz w:val="16"/>
                <w:szCs w:val="16"/>
                <w:lang w:val="pt-BR" w:eastAsia="es-ES"/>
              </w:rPr>
              <w:t>Contractual</w:t>
            </w:r>
            <w:proofErr w:type="spellEnd"/>
            <w:r w:rsidRPr="005C170B">
              <w:rPr>
                <w:rFonts w:ascii="Verdana" w:eastAsia="Calibri" w:hAnsi="Verdana" w:cs="Arial"/>
                <w:sz w:val="16"/>
                <w:szCs w:val="16"/>
                <w:lang w:val="pt-BR" w:eastAsia="es-ES"/>
              </w:rPr>
              <w:t xml:space="preserve"> ANCP – CCE</w:t>
            </w:r>
          </w:p>
        </w:tc>
      </w:tr>
    </w:tbl>
    <w:p w14:paraId="7C810205" w14:textId="77777777" w:rsidR="0072479E" w:rsidRPr="000E2B93" w:rsidRDefault="0072479E" w:rsidP="0072479E">
      <w:pPr>
        <w:spacing w:after="0" w:line="240" w:lineRule="auto"/>
        <w:jc w:val="both"/>
        <w:textAlignment w:val="baseline"/>
        <w:rPr>
          <w:rFonts w:ascii="Verdana" w:eastAsia="Verdana" w:hAnsi="Verdana" w:cs="Verdana"/>
          <w:lang w:eastAsia="es-CO"/>
        </w:rPr>
      </w:pPr>
    </w:p>
    <w:p w14:paraId="619345CA" w14:textId="77777777" w:rsidR="0090675F" w:rsidRPr="000E2B93" w:rsidRDefault="0090675F" w:rsidP="0090675F">
      <w:pPr>
        <w:spacing w:after="0" w:line="240" w:lineRule="auto"/>
        <w:jc w:val="both"/>
        <w:textAlignment w:val="baseline"/>
        <w:rPr>
          <w:rFonts w:ascii="Verdana" w:eastAsia="Verdana" w:hAnsi="Verdana" w:cs="Verdana"/>
          <w:lang w:eastAsia="es-CO"/>
        </w:rPr>
      </w:pPr>
    </w:p>
    <w:p w14:paraId="0F293BF4" w14:textId="5A9A9539" w:rsidR="00127233" w:rsidRPr="0015699B" w:rsidRDefault="00127233" w:rsidP="0001337E">
      <w:pPr>
        <w:spacing w:after="0" w:line="240" w:lineRule="auto"/>
        <w:textAlignment w:val="baseline"/>
        <w:rPr>
          <w:rFonts w:ascii="Verdana" w:eastAsia="Verdana" w:hAnsi="Verdana" w:cs="Verdana"/>
          <w:lang w:eastAsia="es-CO"/>
        </w:rPr>
      </w:pPr>
    </w:p>
    <w:sectPr w:rsidR="00127233" w:rsidRPr="0015699B"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85FCB" w14:textId="77777777" w:rsidR="00C7150F" w:rsidRDefault="00C7150F" w:rsidP="004A1847">
      <w:pPr>
        <w:spacing w:after="0" w:line="240" w:lineRule="auto"/>
      </w:pPr>
      <w:r>
        <w:separator/>
      </w:r>
    </w:p>
  </w:endnote>
  <w:endnote w:type="continuationSeparator" w:id="0">
    <w:p w14:paraId="7B827BEC" w14:textId="77777777" w:rsidR="00C7150F" w:rsidRDefault="00C7150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72CEB" w14:textId="77777777" w:rsidR="00C7150F" w:rsidRDefault="00C7150F" w:rsidP="004A1847">
      <w:pPr>
        <w:spacing w:after="0" w:line="240" w:lineRule="auto"/>
      </w:pPr>
      <w:r>
        <w:separator/>
      </w:r>
    </w:p>
  </w:footnote>
  <w:footnote w:type="continuationSeparator" w:id="0">
    <w:p w14:paraId="511ED3F3" w14:textId="77777777" w:rsidR="00C7150F" w:rsidRDefault="00C7150F" w:rsidP="004A1847">
      <w:pPr>
        <w:spacing w:after="0" w:line="240" w:lineRule="auto"/>
      </w:pPr>
      <w:r>
        <w:continuationSeparator/>
      </w:r>
    </w:p>
  </w:footnote>
  <w:footnote w:id="1">
    <w:p w14:paraId="45C1B57B" w14:textId="77777777" w:rsidR="0072479E" w:rsidRPr="002A7877" w:rsidRDefault="0072479E" w:rsidP="0072479E">
      <w:pPr>
        <w:pStyle w:val="Textonotapie"/>
        <w:ind w:firstLine="709"/>
        <w:jc w:val="both"/>
        <w:rPr>
          <w:rFonts w:ascii="Verdana" w:hAnsi="Verdana"/>
          <w:sz w:val="16"/>
          <w:szCs w:val="16"/>
          <w:lang w:val="es-CO"/>
        </w:rPr>
      </w:pPr>
      <w:r w:rsidRPr="00542634">
        <w:rPr>
          <w:rStyle w:val="Refdenotaalpie"/>
          <w:rFonts w:ascii="Verdana" w:hAnsi="Verdana"/>
          <w:sz w:val="16"/>
          <w:szCs w:val="16"/>
        </w:rPr>
        <w:footnoteRef/>
      </w:r>
      <w:r w:rsidRPr="00542634">
        <w:rPr>
          <w:rFonts w:ascii="Verdana" w:hAnsi="Verdana"/>
          <w:sz w:val="16"/>
          <w:szCs w:val="16"/>
        </w:rPr>
        <w:t xml:space="preserve"> </w:t>
      </w:r>
      <w:r w:rsidRPr="00940FA5">
        <w:rPr>
          <w:rFonts w:ascii="Verdana" w:hAnsi="Verdana"/>
          <w:sz w:val="16"/>
          <w:szCs w:val="16"/>
        </w:rPr>
        <w:t xml:space="preserve">El artículo 32 de la Ley 80 de 1993 hace referencia a los contratos estatales, indica que son </w:t>
      </w:r>
      <w:r w:rsidRPr="00940FA5">
        <w:rPr>
          <w:rFonts w:ascii="Verdana" w:hAnsi="Verdana"/>
          <w:sz w:val="16"/>
          <w:szCs w:val="16"/>
          <w:lang w:val="es-CO"/>
        </w:rPr>
        <w:t xml:space="preserve">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contrato de obra, contrato de consultoría, contrato de prestación de servicios, contrato de concesión, encargos fiduciarios </w:t>
      </w:r>
      <w:r w:rsidRPr="002A7877">
        <w:rPr>
          <w:rFonts w:ascii="Verdana" w:hAnsi="Verdana"/>
          <w:sz w:val="16"/>
          <w:szCs w:val="16"/>
          <w:lang w:val="es-CO"/>
        </w:rPr>
        <w:t>y fiducia pública.</w:t>
      </w:r>
    </w:p>
    <w:p w14:paraId="335BFFEF" w14:textId="77777777" w:rsidR="0072479E" w:rsidRPr="00542634" w:rsidRDefault="0072479E" w:rsidP="0072479E">
      <w:pPr>
        <w:pStyle w:val="Textonotapie"/>
        <w:ind w:firstLine="709"/>
        <w:jc w:val="both"/>
        <w:rPr>
          <w:rFonts w:ascii="Verdana" w:hAnsi="Verdana"/>
          <w:sz w:val="16"/>
          <w:szCs w:val="16"/>
        </w:rPr>
      </w:pPr>
    </w:p>
  </w:footnote>
  <w:footnote w:id="2">
    <w:p w14:paraId="6B763BE7" w14:textId="77777777" w:rsidR="0072479E" w:rsidRPr="00542634" w:rsidRDefault="0072479E" w:rsidP="0072479E">
      <w:pPr>
        <w:pStyle w:val="Textonotapie"/>
        <w:ind w:firstLine="709"/>
        <w:jc w:val="both"/>
        <w:rPr>
          <w:rFonts w:ascii="Verdana" w:hAnsi="Verdana"/>
          <w:sz w:val="16"/>
          <w:szCs w:val="16"/>
        </w:rPr>
      </w:pPr>
      <w:r w:rsidRPr="00542634">
        <w:rPr>
          <w:rStyle w:val="Refdenotaalpie"/>
          <w:rFonts w:ascii="Verdana" w:hAnsi="Verdana"/>
          <w:sz w:val="16"/>
          <w:szCs w:val="16"/>
        </w:rPr>
        <w:footnoteRef/>
      </w:r>
      <w:r w:rsidRPr="00542634">
        <w:rPr>
          <w:rFonts w:ascii="Verdana" w:hAnsi="Verdana"/>
          <w:sz w:val="16"/>
          <w:szCs w:val="16"/>
        </w:rPr>
        <w:t xml:space="preserve"> </w:t>
      </w:r>
      <w:r w:rsidRPr="00940FA5">
        <w:rPr>
          <w:rFonts w:ascii="Verdana" w:hAnsi="Verdana" w:cs="Arial"/>
          <w:iCs/>
          <w:color w:val="000000" w:themeColor="text1"/>
          <w:sz w:val="16"/>
          <w:szCs w:val="16"/>
        </w:rPr>
        <w:t>LAFONT PIANETTA, Pedro. Manual de contratos, Tomo I, Ediciones Librería del Profesional, 1 Ed, 2001, p.110</w:t>
      </w:r>
      <w:r w:rsidRPr="002A7877">
        <w:rPr>
          <w:rFonts w:ascii="Verdana" w:hAnsi="Verdana" w:cs="Arial"/>
          <w:iCs/>
          <w:color w:val="000000" w:themeColor="text1"/>
          <w:sz w:val="16"/>
          <w:szCs w:val="16"/>
        </w:rPr>
        <w:t>.</w:t>
      </w:r>
    </w:p>
  </w:footnote>
  <w:footnote w:id="3">
    <w:p w14:paraId="31E50315" w14:textId="77777777" w:rsidR="0072479E" w:rsidRPr="00940FA5" w:rsidRDefault="0072479E" w:rsidP="0072479E">
      <w:pPr>
        <w:pStyle w:val="Textonotapie"/>
        <w:ind w:firstLine="709"/>
        <w:jc w:val="both"/>
        <w:rPr>
          <w:rFonts w:ascii="Verdana" w:hAnsi="Verdana" w:cs="Arial"/>
          <w:color w:val="000000"/>
          <w:sz w:val="16"/>
          <w:szCs w:val="16"/>
          <w:lang w:val="es-ES"/>
        </w:rPr>
      </w:pPr>
      <w:r w:rsidRPr="002A7877">
        <w:rPr>
          <w:rStyle w:val="Refdenotaalpie"/>
          <w:rFonts w:ascii="Verdana" w:hAnsi="Verdana"/>
          <w:sz w:val="16"/>
          <w:szCs w:val="16"/>
        </w:rPr>
        <w:footnoteRef/>
      </w:r>
      <w:r w:rsidRPr="002A7877">
        <w:rPr>
          <w:rFonts w:ascii="Verdana" w:hAnsi="Verdana"/>
          <w:sz w:val="16"/>
          <w:szCs w:val="16"/>
        </w:rPr>
        <w:t xml:space="preserve"> </w:t>
      </w:r>
      <w:r w:rsidRPr="002A7877">
        <w:rPr>
          <w:rFonts w:ascii="Verdana" w:hAnsi="Verdana" w:cs="Arial"/>
          <w:color w:val="000000"/>
          <w:sz w:val="16"/>
          <w:szCs w:val="16"/>
          <w:lang w:val="es-ES"/>
        </w:rPr>
        <w:t xml:space="preserve">El artículo 22 del Código Sustantivo del Trabajo establece: “1. Contrato de trabajo es aquel por el cual una persona natural se obliga a </w:t>
      </w:r>
      <w:r w:rsidRPr="00940FA5">
        <w:rPr>
          <w:rFonts w:ascii="Verdana" w:hAnsi="Verdana" w:cs="Arial"/>
          <w:color w:val="000000"/>
          <w:sz w:val="16"/>
          <w:szCs w:val="16"/>
          <w:lang w:val="es-ES"/>
        </w:rPr>
        <w:t>prestar un servicio personal a otra persona, natural o jurídica, bajo la continuada dependencia o subordinación de la segunda y mediante remuneración. Quien presta el servicio se denomina trabajador, quien lo recibe y remunera, empleador, y la remuneración, cualquiera que sea su forma, salario”.</w:t>
      </w:r>
    </w:p>
    <w:p w14:paraId="39B40157" w14:textId="77777777" w:rsidR="0072479E" w:rsidRPr="00940FA5" w:rsidRDefault="0072479E" w:rsidP="0072479E">
      <w:pPr>
        <w:pStyle w:val="Textonotapie"/>
        <w:ind w:firstLine="709"/>
        <w:jc w:val="both"/>
        <w:rPr>
          <w:rFonts w:ascii="Verdana" w:hAnsi="Verdana" w:cs="Arial"/>
          <w:color w:val="000000"/>
          <w:sz w:val="16"/>
          <w:szCs w:val="16"/>
          <w:lang w:val="es-ES"/>
        </w:rPr>
      </w:pPr>
    </w:p>
  </w:footnote>
  <w:footnote w:id="4">
    <w:p w14:paraId="49A42FBC" w14:textId="77777777" w:rsidR="0072479E" w:rsidRPr="00940FA5" w:rsidRDefault="0072479E" w:rsidP="0072479E">
      <w:pPr>
        <w:pStyle w:val="Textonotapie"/>
        <w:ind w:firstLine="709"/>
        <w:jc w:val="both"/>
        <w:rPr>
          <w:rFonts w:ascii="Verdana" w:hAnsi="Verdana"/>
          <w:sz w:val="16"/>
          <w:szCs w:val="16"/>
        </w:rPr>
      </w:pPr>
      <w:r w:rsidRPr="00542634">
        <w:rPr>
          <w:rStyle w:val="Refdenotaalpie"/>
          <w:rFonts w:ascii="Verdana" w:hAnsi="Verdana"/>
          <w:sz w:val="16"/>
          <w:szCs w:val="16"/>
        </w:rPr>
        <w:footnoteRef/>
      </w:r>
      <w:r w:rsidRPr="00542634">
        <w:rPr>
          <w:rFonts w:ascii="Verdana" w:hAnsi="Verdana"/>
          <w:sz w:val="16"/>
          <w:szCs w:val="16"/>
        </w:rPr>
        <w:t xml:space="preserve"> </w:t>
      </w:r>
      <w:r w:rsidRPr="002A7877">
        <w:rPr>
          <w:rFonts w:ascii="Verdana" w:hAnsi="Verdana"/>
          <w:sz w:val="16"/>
          <w:szCs w:val="16"/>
        </w:rPr>
        <w:t>Consejo de Estado. Sección Segunda. Sentencia de Unificación Jurisprudencial SUJ-025-CE-S2-2021. Radicado (1317-2016).</w:t>
      </w:r>
      <w:r w:rsidRPr="00940FA5">
        <w:rPr>
          <w:rFonts w:ascii="Verdana" w:hAnsi="Verdana"/>
          <w:sz w:val="16"/>
          <w:szCs w:val="16"/>
        </w:rPr>
        <w:t xml:space="preserve"> El numeral primero de la parte resolutiva de la sentencia señala lo siguiente: “Unificar la jurisprudencia de la Sección Segunda del Consejo de Estado, en el sentido de precisar las siguientes reglas en las relaciones laborales encubiertas o subyacentes: </w:t>
      </w:r>
    </w:p>
    <w:p w14:paraId="3AC823ED" w14:textId="77777777" w:rsidR="0072479E" w:rsidRPr="00940FA5" w:rsidRDefault="0072479E" w:rsidP="0072479E">
      <w:pPr>
        <w:pStyle w:val="Textonotapie"/>
        <w:ind w:firstLine="709"/>
        <w:jc w:val="both"/>
        <w:rPr>
          <w:rFonts w:ascii="Verdana" w:hAnsi="Verdana"/>
          <w:sz w:val="16"/>
          <w:szCs w:val="16"/>
        </w:rPr>
      </w:pPr>
      <w:r w:rsidRPr="00940FA5">
        <w:rPr>
          <w:rFonts w:ascii="Verdana" w:hAnsi="Verdana"/>
          <w:sz w:val="16"/>
          <w:szCs w:val="16"/>
        </w:rPr>
        <w:t xml:space="preserve">(i) La primera regla define que el concepto de “término estrictamente indispensable”, al que alude el numeral 3.º del artículo 32 de la Ley 80 de 1993, es el señalado en los estudios previos y en el objeto del contrato, el cual, de acuerdo con el principio de planeación, tiene que estar justificado en la necesidad de la prestación del servicio a favor de la Administración, de forma esencialmente temporal y, de ninguna manera, con ánimo de permanencia. </w:t>
      </w:r>
    </w:p>
    <w:p w14:paraId="2B1712C4" w14:textId="77777777" w:rsidR="0072479E" w:rsidRPr="00940FA5" w:rsidRDefault="0072479E" w:rsidP="0072479E">
      <w:pPr>
        <w:pStyle w:val="Textonotapie"/>
        <w:ind w:firstLine="709"/>
        <w:jc w:val="both"/>
        <w:rPr>
          <w:rFonts w:ascii="Verdana" w:hAnsi="Verdana"/>
          <w:sz w:val="16"/>
          <w:szCs w:val="16"/>
        </w:rPr>
      </w:pPr>
      <w:r w:rsidRPr="00940FA5">
        <w:rPr>
          <w:rFonts w:ascii="Verdana" w:hAnsi="Verdana"/>
          <w:sz w:val="16"/>
          <w:szCs w:val="16"/>
        </w:rPr>
        <w:t xml:space="preserve">(ii)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2F37B09C" w14:textId="77777777" w:rsidR="0072479E" w:rsidRPr="00940FA5" w:rsidRDefault="0072479E" w:rsidP="0072479E">
      <w:pPr>
        <w:pStyle w:val="Textonotapie"/>
        <w:ind w:firstLine="709"/>
        <w:jc w:val="both"/>
        <w:rPr>
          <w:rFonts w:ascii="Verdana" w:hAnsi="Verdana"/>
          <w:sz w:val="16"/>
          <w:szCs w:val="16"/>
        </w:rPr>
      </w:pPr>
      <w:r w:rsidRPr="00940FA5">
        <w:rPr>
          <w:rFonts w:ascii="Verdana" w:hAnsi="Verdana"/>
          <w:sz w:val="16"/>
          <w:szCs w:val="16"/>
        </w:rPr>
        <w:t>(iii) La tercera regla determina que frente a la no afiliación al sistema de la Seguridad Social en salud, por parte de la Administración, es improcedente la devolución de los valores que el contratista hubiese asumido de más, en tanto se recaudaron como recursos de naturaleza parafiscal”.</w:t>
      </w:r>
    </w:p>
    <w:p w14:paraId="067F2E7C" w14:textId="77777777" w:rsidR="0072479E" w:rsidRPr="00542634" w:rsidRDefault="0072479E" w:rsidP="0072479E">
      <w:pPr>
        <w:pStyle w:val="Textonotapie"/>
        <w:ind w:firstLine="709"/>
        <w:jc w:val="both"/>
        <w:rPr>
          <w:rFonts w:ascii="Verdana" w:hAnsi="Verdana"/>
          <w:sz w:val="16"/>
          <w:szCs w:val="16"/>
        </w:rPr>
      </w:pPr>
    </w:p>
  </w:footnote>
  <w:footnote w:id="5">
    <w:p w14:paraId="58270E68" w14:textId="77777777" w:rsidR="0072479E" w:rsidRPr="00940FA5" w:rsidRDefault="0072479E" w:rsidP="0072479E">
      <w:pPr>
        <w:pStyle w:val="Textonotapie"/>
        <w:ind w:firstLine="709"/>
        <w:jc w:val="both"/>
        <w:rPr>
          <w:rFonts w:ascii="Verdana" w:hAnsi="Verdana" w:cs="Arial"/>
          <w:color w:val="000000"/>
          <w:sz w:val="16"/>
          <w:szCs w:val="16"/>
          <w:lang w:val="es-ES"/>
        </w:rPr>
      </w:pPr>
      <w:r w:rsidRPr="002A7877">
        <w:rPr>
          <w:rStyle w:val="Refdenotaalpie"/>
          <w:rFonts w:ascii="Verdana" w:hAnsi="Verdana" w:cs="Arial"/>
          <w:color w:val="000000"/>
          <w:sz w:val="16"/>
          <w:szCs w:val="16"/>
        </w:rPr>
        <w:footnoteRef/>
      </w:r>
      <w:r w:rsidRPr="002A7877">
        <w:rPr>
          <w:rFonts w:ascii="Verdana" w:hAnsi="Verdana" w:cs="Arial"/>
          <w:color w:val="000000"/>
          <w:sz w:val="16"/>
          <w:szCs w:val="16"/>
        </w:rPr>
        <w:t xml:space="preserve"> </w:t>
      </w:r>
      <w:r w:rsidRPr="002A7877">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w:t>
      </w:r>
      <w:r w:rsidRPr="00940FA5">
        <w:rPr>
          <w:rFonts w:ascii="Verdana" w:hAnsi="Verdana" w:cs="Arial"/>
          <w:color w:val="000000"/>
          <w:sz w:val="16"/>
          <w:szCs w:val="16"/>
          <w:lang w:val="es-ES"/>
        </w:rPr>
        <w:t xml:space="preserve">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w:t>
      </w:r>
    </w:p>
    <w:p w14:paraId="6D6090EF" w14:textId="77777777" w:rsidR="0072479E" w:rsidRPr="00940FA5" w:rsidRDefault="0072479E" w:rsidP="0072479E">
      <w:pPr>
        <w:pStyle w:val="Textonotapie"/>
        <w:ind w:firstLine="709"/>
        <w:jc w:val="both"/>
        <w:rPr>
          <w:rFonts w:ascii="Verdana" w:hAnsi="Verdana" w:cs="Arial"/>
          <w:color w:val="000000" w:themeColor="text1"/>
          <w:sz w:val="16"/>
          <w:szCs w:val="16"/>
          <w:lang w:val="es-ES"/>
        </w:rPr>
      </w:pPr>
      <w:r w:rsidRPr="00940FA5">
        <w:rPr>
          <w:rFonts w:ascii="Verdana" w:hAnsi="Verdana" w:cs="Arial"/>
          <w:color w:val="000000"/>
          <w:sz w:val="16"/>
          <w:szCs w:val="16"/>
          <w:lang w:val="es-ES"/>
        </w:rPr>
        <w:t xml:space="preserve"> En este caso, no es necesario que la Entidad Estatal haya obtenido previamente varias ofertas, de lo cual el ordenador del gasto debe dejar constancia escrita. </w:t>
      </w:r>
      <w:r w:rsidRPr="00940FA5">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r w:rsidRPr="00940FA5">
        <w:rPr>
          <w:rFonts w:ascii="Verdana" w:hAnsi="Verdana" w:cs="Arial"/>
          <w:color w:val="000000"/>
          <w:sz w:val="16"/>
          <w:szCs w:val="16"/>
          <w:lang w:val="es-ES"/>
        </w:rPr>
        <w:t xml:space="preserve"> </w:t>
      </w:r>
      <w:r w:rsidRPr="00940FA5">
        <w:rPr>
          <w:rFonts w:ascii="Verdana" w:hAnsi="Verdana" w:cs="Arial"/>
          <w:color w:val="000000" w:themeColor="text1"/>
          <w:sz w:val="16"/>
          <w:szCs w:val="16"/>
          <w:lang w:val="es-ES"/>
        </w:rPr>
        <w:t>La Entidad Estatal, para la contratación de trabajos artísticos que solamente puedan en­comendarse a determinadas personas naturales, debe justificar esta situación en los estudios y documentos previos”.</w:t>
      </w:r>
    </w:p>
    <w:p w14:paraId="2CA502E8" w14:textId="77777777" w:rsidR="0072479E" w:rsidRPr="00940FA5" w:rsidRDefault="0072479E" w:rsidP="0072479E">
      <w:pPr>
        <w:pStyle w:val="Textonotapie"/>
        <w:ind w:firstLine="709"/>
        <w:jc w:val="both"/>
        <w:rPr>
          <w:rFonts w:ascii="Verdana" w:hAnsi="Verdana" w:cs="Arial"/>
          <w:color w:val="000000"/>
          <w:sz w:val="16"/>
          <w:szCs w:val="16"/>
          <w:lang w:val="es-ES"/>
        </w:rPr>
      </w:pPr>
    </w:p>
  </w:footnote>
  <w:footnote w:id="6">
    <w:p w14:paraId="516D4F47" w14:textId="77777777" w:rsidR="0072479E" w:rsidRPr="00940FA5" w:rsidRDefault="0072479E" w:rsidP="0072479E">
      <w:pPr>
        <w:pStyle w:val="Textonotapie"/>
        <w:ind w:firstLine="709"/>
        <w:jc w:val="both"/>
        <w:rPr>
          <w:rFonts w:ascii="Verdana" w:hAnsi="Verdana" w:cs="Arial"/>
          <w:color w:val="000000"/>
          <w:sz w:val="16"/>
          <w:szCs w:val="16"/>
          <w:lang w:val="es-ES"/>
        </w:rPr>
      </w:pPr>
      <w:r w:rsidRPr="002A7877">
        <w:rPr>
          <w:rStyle w:val="Refdenotaalpie"/>
          <w:rFonts w:ascii="Verdana" w:hAnsi="Verdana" w:cs="Arial"/>
          <w:color w:val="000000"/>
          <w:sz w:val="16"/>
          <w:szCs w:val="16"/>
        </w:rPr>
        <w:footnoteRef/>
      </w:r>
      <w:r w:rsidRPr="002A7877">
        <w:rPr>
          <w:rFonts w:ascii="Verdana" w:hAnsi="Verdana" w:cs="Arial"/>
          <w:color w:val="000000"/>
          <w:sz w:val="16"/>
          <w:szCs w:val="16"/>
        </w:rPr>
        <w:t xml:space="preserve"> </w:t>
      </w:r>
      <w:r w:rsidRPr="002A7877">
        <w:rPr>
          <w:rFonts w:ascii="Verdana" w:hAnsi="Verdana" w:cs="Arial"/>
          <w:color w:val="000000"/>
          <w:sz w:val="16"/>
          <w:szCs w:val="16"/>
          <w:lang w:val="es-ES"/>
        </w:rPr>
        <w:t>Consejo de Estado. Sección Tercera. Subsección C. Sentencia del 2 de diciembre de 2013. Exp. 41719. C.P. Jaime Orlando Santofimio Gamboa.</w:t>
      </w:r>
    </w:p>
    <w:p w14:paraId="69873E31" w14:textId="77777777" w:rsidR="0072479E" w:rsidRPr="00940FA5" w:rsidDel="00A37FEF" w:rsidRDefault="0072479E" w:rsidP="0072479E">
      <w:pPr>
        <w:pStyle w:val="Textonotapie"/>
        <w:ind w:firstLine="709"/>
        <w:jc w:val="both"/>
        <w:rPr>
          <w:rFonts w:ascii="Verdana" w:hAnsi="Verdana" w:cs="Arial"/>
          <w:color w:val="000000"/>
          <w:sz w:val="16"/>
          <w:szCs w:val="16"/>
          <w:lang w:val="es-ES"/>
        </w:rPr>
      </w:pPr>
    </w:p>
  </w:footnote>
  <w:footnote w:id="7">
    <w:p w14:paraId="0469D11F" w14:textId="77777777" w:rsidR="0072479E" w:rsidRPr="00940FA5" w:rsidRDefault="0072479E" w:rsidP="0072479E">
      <w:pPr>
        <w:pStyle w:val="Textonotapie"/>
        <w:ind w:firstLine="709"/>
        <w:jc w:val="both"/>
        <w:rPr>
          <w:rFonts w:ascii="Verdana" w:hAnsi="Verdana" w:cs="Arial"/>
          <w:color w:val="000000"/>
          <w:sz w:val="16"/>
          <w:szCs w:val="16"/>
          <w:lang w:val="es-ES"/>
        </w:rPr>
      </w:pPr>
      <w:r w:rsidRPr="002A7877">
        <w:rPr>
          <w:rStyle w:val="Refdenotaalpie"/>
          <w:rFonts w:ascii="Verdana" w:hAnsi="Verdana"/>
          <w:sz w:val="16"/>
          <w:szCs w:val="16"/>
        </w:rPr>
        <w:footnoteRef/>
      </w:r>
      <w:r w:rsidRPr="002A7877">
        <w:rPr>
          <w:rFonts w:ascii="Verdana" w:hAnsi="Verdana"/>
          <w:sz w:val="16"/>
          <w:szCs w:val="16"/>
        </w:rPr>
        <w:t xml:space="preserve"> </w:t>
      </w:r>
      <w:r w:rsidRPr="002A7877">
        <w:rPr>
          <w:rFonts w:ascii="Verdana" w:hAnsi="Verdana" w:cs="Arial"/>
          <w:color w:val="000000"/>
          <w:sz w:val="16"/>
          <w:szCs w:val="16"/>
          <w:lang w:val="es-ES"/>
        </w:rPr>
        <w:t xml:space="preserve">Así lo prevé el artículo 2.2.1.2.1.4.1. del Decreto 1082 de 2015: “La Entidad Estatal debe señalar en un acto </w:t>
      </w:r>
      <w:r w:rsidRPr="00940FA5">
        <w:rPr>
          <w:rFonts w:ascii="Verdana" w:hAnsi="Verdana" w:cs="Arial"/>
          <w:color w:val="000000"/>
          <w:sz w:val="16"/>
          <w:szCs w:val="16"/>
          <w:lang w:val="es-ES"/>
        </w:rPr>
        <w:t>administrativo la justificación para contratar bajo la modalidad de contratación directa, el cual debe contener:</w:t>
      </w:r>
    </w:p>
    <w:p w14:paraId="6A883447" w14:textId="77777777" w:rsidR="0072479E" w:rsidRPr="00940FA5" w:rsidRDefault="0072479E" w:rsidP="0072479E">
      <w:pPr>
        <w:pStyle w:val="Textonotapie"/>
        <w:ind w:firstLine="709"/>
        <w:jc w:val="both"/>
        <w:rPr>
          <w:rFonts w:ascii="Verdana" w:hAnsi="Verdana" w:cs="Arial"/>
          <w:color w:val="000000"/>
          <w:sz w:val="16"/>
          <w:szCs w:val="16"/>
          <w:lang w:val="es-ES"/>
        </w:rPr>
      </w:pPr>
      <w:r w:rsidRPr="00940FA5">
        <w:rPr>
          <w:rFonts w:ascii="Verdana" w:hAnsi="Verdana" w:cs="Arial"/>
          <w:color w:val="000000"/>
          <w:sz w:val="16"/>
          <w:szCs w:val="16"/>
          <w:lang w:val="es-ES"/>
        </w:rPr>
        <w:t>1. La causal que invoca para contratar directamente.</w:t>
      </w:r>
    </w:p>
    <w:p w14:paraId="064A7378" w14:textId="77777777" w:rsidR="0072479E" w:rsidRPr="00940FA5" w:rsidRDefault="0072479E" w:rsidP="0072479E">
      <w:pPr>
        <w:pStyle w:val="Textonotapie"/>
        <w:ind w:firstLine="709"/>
        <w:jc w:val="both"/>
        <w:rPr>
          <w:rFonts w:ascii="Verdana" w:hAnsi="Verdana" w:cs="Arial"/>
          <w:color w:val="000000"/>
          <w:sz w:val="16"/>
          <w:szCs w:val="16"/>
          <w:lang w:val="es-ES"/>
        </w:rPr>
      </w:pPr>
      <w:r w:rsidRPr="00940FA5">
        <w:rPr>
          <w:rFonts w:ascii="Verdana" w:hAnsi="Verdana" w:cs="Arial"/>
          <w:color w:val="000000"/>
          <w:sz w:val="16"/>
          <w:szCs w:val="16"/>
          <w:lang w:val="es-ES"/>
        </w:rPr>
        <w:t>2. El objeto del contrato.</w:t>
      </w:r>
    </w:p>
    <w:p w14:paraId="713C76BE" w14:textId="77777777" w:rsidR="0072479E" w:rsidRPr="00940FA5" w:rsidRDefault="0072479E" w:rsidP="0072479E">
      <w:pPr>
        <w:pStyle w:val="Textonotapie"/>
        <w:ind w:firstLine="709"/>
        <w:jc w:val="both"/>
        <w:rPr>
          <w:rFonts w:ascii="Verdana" w:hAnsi="Verdana" w:cs="Arial"/>
          <w:color w:val="000000"/>
          <w:sz w:val="16"/>
          <w:szCs w:val="16"/>
          <w:lang w:val="es-ES"/>
        </w:rPr>
      </w:pPr>
      <w:r w:rsidRPr="00940FA5">
        <w:rPr>
          <w:rFonts w:ascii="Verdana" w:hAnsi="Verdana" w:cs="Arial"/>
          <w:color w:val="000000"/>
          <w:sz w:val="16"/>
          <w:szCs w:val="16"/>
          <w:lang w:val="es-ES"/>
        </w:rPr>
        <w:t>3. El presupuesto para la contratación y las condiciones que exigirá al contratista.</w:t>
      </w:r>
    </w:p>
    <w:p w14:paraId="37A4410C" w14:textId="77777777" w:rsidR="0072479E" w:rsidRPr="00940FA5" w:rsidRDefault="0072479E" w:rsidP="0072479E">
      <w:pPr>
        <w:pStyle w:val="Textonotapie"/>
        <w:ind w:firstLine="709"/>
        <w:jc w:val="both"/>
        <w:rPr>
          <w:rFonts w:ascii="Verdana" w:hAnsi="Verdana" w:cs="Arial"/>
          <w:color w:val="000000"/>
          <w:sz w:val="16"/>
          <w:szCs w:val="16"/>
          <w:lang w:val="es-ES"/>
        </w:rPr>
      </w:pPr>
      <w:r w:rsidRPr="00940FA5">
        <w:rPr>
          <w:rFonts w:ascii="Verdana" w:hAnsi="Verdana" w:cs="Arial"/>
          <w:color w:val="000000"/>
          <w:sz w:val="16"/>
          <w:szCs w:val="16"/>
          <w:lang w:val="es-ES"/>
        </w:rPr>
        <w:t>4. El lugar en el cual los interesados pueden consultar los estudios y documentos previos.</w:t>
      </w:r>
    </w:p>
    <w:p w14:paraId="33604419" w14:textId="77777777" w:rsidR="0072479E" w:rsidRPr="00940FA5" w:rsidRDefault="0072479E" w:rsidP="0072479E">
      <w:pPr>
        <w:pStyle w:val="Textonotapie"/>
        <w:ind w:firstLine="709"/>
        <w:jc w:val="both"/>
        <w:rPr>
          <w:rFonts w:ascii="Verdana" w:hAnsi="Verdana" w:cs="Arial"/>
          <w:color w:val="000000"/>
          <w:sz w:val="16"/>
          <w:szCs w:val="16"/>
          <w:lang w:val="es-ES"/>
        </w:rPr>
      </w:pPr>
      <w:r w:rsidRPr="00940FA5">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0F214BA7" w14:textId="77777777" w:rsidR="0072479E" w:rsidRPr="00940FA5" w:rsidRDefault="0072479E" w:rsidP="0072479E">
      <w:pPr>
        <w:pStyle w:val="Textonotapie"/>
        <w:ind w:firstLine="709"/>
        <w:jc w:val="both"/>
        <w:rPr>
          <w:rFonts w:ascii="Verdana" w:hAnsi="Verdana" w:cs="Arial"/>
          <w:color w:val="000000"/>
          <w:sz w:val="16"/>
          <w:szCs w:val="16"/>
          <w:lang w:val="es-ES"/>
        </w:rPr>
      </w:pPr>
    </w:p>
  </w:footnote>
  <w:footnote w:id="8">
    <w:p w14:paraId="0B5FED9C" w14:textId="77777777" w:rsidR="0072479E" w:rsidRPr="00940FA5" w:rsidRDefault="0072479E" w:rsidP="0072479E">
      <w:pPr>
        <w:pStyle w:val="Textonotapie"/>
        <w:ind w:firstLine="709"/>
        <w:jc w:val="both"/>
        <w:rPr>
          <w:rFonts w:ascii="Verdana" w:hAnsi="Verdana" w:cs="Arial"/>
          <w:color w:val="000000"/>
          <w:sz w:val="16"/>
          <w:szCs w:val="16"/>
          <w:lang w:val="es-ES"/>
        </w:rPr>
      </w:pPr>
      <w:r w:rsidRPr="002A7877">
        <w:rPr>
          <w:rStyle w:val="Refdenotaalpie"/>
          <w:rFonts w:ascii="Verdana" w:hAnsi="Verdana"/>
          <w:sz w:val="16"/>
          <w:szCs w:val="16"/>
        </w:rPr>
        <w:footnoteRef/>
      </w:r>
      <w:r w:rsidRPr="002A7877">
        <w:rPr>
          <w:rFonts w:ascii="Verdana" w:hAnsi="Verdana"/>
          <w:sz w:val="16"/>
          <w:szCs w:val="16"/>
        </w:rPr>
        <w:t xml:space="preserve"> </w:t>
      </w:r>
      <w:r w:rsidRPr="002A7877">
        <w:rPr>
          <w:rFonts w:ascii="Verdana" w:hAnsi="Verdana" w:cs="Arial"/>
          <w:color w:val="000000"/>
          <w:sz w:val="16"/>
          <w:szCs w:val="16"/>
          <w:lang w:val="es-ES"/>
        </w:rPr>
        <w:t>Esta norma expresa: “</w:t>
      </w:r>
      <w:r w:rsidRPr="002A7877">
        <w:rPr>
          <w:rFonts w:ascii="Verdana" w:hAnsi="Verdana" w:cs="Arial"/>
          <w:color w:val="000000"/>
          <w:sz w:val="16"/>
          <w:szCs w:val="16"/>
        </w:rPr>
        <w:t>P</w:t>
      </w:r>
      <w:r w:rsidRPr="002A7877">
        <w:rPr>
          <w:rFonts w:ascii="Verdana" w:hAnsi="Verdana" w:cs="Arial"/>
          <w:color w:val="000000"/>
          <w:sz w:val="16"/>
          <w:szCs w:val="16"/>
          <w:lang w:val="es-ES"/>
        </w:rPr>
        <w:t>ara el cumplimiento de los fines de la contratación, las entidades estatales al celebrar un contrato:</w:t>
      </w:r>
      <w:r w:rsidRPr="00940FA5">
        <w:rPr>
          <w:rFonts w:ascii="Verdana" w:hAnsi="Verdana" w:cs="Arial"/>
          <w:color w:val="000000"/>
          <w:sz w:val="16"/>
          <w:szCs w:val="16"/>
          <w:lang w:val="es-ES"/>
        </w:rPr>
        <w:t xml:space="preserve"> […] 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A2B2607" w14:textId="77777777" w:rsidR="0072479E" w:rsidRPr="00940FA5" w:rsidRDefault="0072479E" w:rsidP="0072479E">
      <w:pPr>
        <w:pStyle w:val="Textonotapie"/>
        <w:ind w:firstLine="709"/>
        <w:jc w:val="both"/>
        <w:rPr>
          <w:rFonts w:ascii="Verdana" w:hAnsi="Verdana" w:cs="Arial"/>
          <w:color w:val="000000"/>
          <w:sz w:val="16"/>
          <w:szCs w:val="16"/>
          <w:lang w:val="es-ES"/>
        </w:rPr>
      </w:pPr>
      <w:r w:rsidRPr="00940FA5">
        <w:rPr>
          <w:rFonts w:ascii="Verdana" w:hAnsi="Verdana" w:cs="Arial"/>
          <w:color w:val="000000"/>
          <w:sz w:val="16"/>
          <w:szCs w:val="16"/>
          <w:lang w:val="es-ES"/>
        </w:rPr>
        <w:t>Las entidades estatales podrán pactar estas cláusulas en los contratos de suministro y de prestación de servicios. […]”.</w:t>
      </w:r>
    </w:p>
    <w:p w14:paraId="645EC8C3" w14:textId="77777777" w:rsidR="0072479E" w:rsidRPr="00940FA5" w:rsidRDefault="0072479E" w:rsidP="0072479E">
      <w:pPr>
        <w:pStyle w:val="Textonotapie"/>
        <w:ind w:firstLine="709"/>
        <w:jc w:val="both"/>
        <w:rPr>
          <w:rFonts w:ascii="Verdana" w:hAnsi="Verdana" w:cs="Arial"/>
          <w:color w:val="000000"/>
          <w:sz w:val="16"/>
          <w:szCs w:val="16"/>
          <w:lang w:val="es-ES"/>
        </w:rPr>
      </w:pPr>
    </w:p>
  </w:footnote>
  <w:footnote w:id="9">
    <w:p w14:paraId="2348C22C" w14:textId="77777777" w:rsidR="0072479E" w:rsidRPr="00940FA5" w:rsidRDefault="0072479E" w:rsidP="0072479E">
      <w:pPr>
        <w:pStyle w:val="Textonotapie"/>
        <w:ind w:firstLine="709"/>
        <w:jc w:val="both"/>
        <w:rPr>
          <w:rFonts w:ascii="Verdana" w:hAnsi="Verdana" w:cs="Arial"/>
          <w:color w:val="000000"/>
          <w:sz w:val="16"/>
          <w:szCs w:val="16"/>
          <w:lang w:val="es-ES"/>
        </w:rPr>
      </w:pPr>
      <w:r w:rsidRPr="002A7877">
        <w:rPr>
          <w:rStyle w:val="Refdenotaalpie"/>
          <w:rFonts w:ascii="Verdana" w:hAnsi="Verdana"/>
          <w:sz w:val="16"/>
          <w:szCs w:val="16"/>
        </w:rPr>
        <w:footnoteRef/>
      </w:r>
      <w:r w:rsidRPr="002A7877">
        <w:rPr>
          <w:rFonts w:ascii="Verdana" w:hAnsi="Verdana"/>
          <w:sz w:val="16"/>
          <w:szCs w:val="16"/>
        </w:rPr>
        <w:t xml:space="preserve"> </w:t>
      </w:r>
      <w:r w:rsidRPr="002A7877">
        <w:rPr>
          <w:rFonts w:ascii="Verdana" w:hAnsi="Verdana" w:cs="Arial"/>
          <w:color w:val="000000"/>
          <w:sz w:val="16"/>
          <w:szCs w:val="16"/>
          <w:lang w:val="es-ES"/>
        </w:rPr>
        <w:t>La norma dispone: “La liquidación a que se refiere el presente artículo no será obligatoria en los contratos de prestación de servicios profesionale</w:t>
      </w:r>
      <w:r w:rsidRPr="00940FA5">
        <w:rPr>
          <w:rFonts w:ascii="Verdana" w:hAnsi="Verdana" w:cs="Arial"/>
          <w:color w:val="000000"/>
          <w:sz w:val="16"/>
          <w:szCs w:val="16"/>
          <w:lang w:val="es-ES"/>
        </w:rPr>
        <w:t>s y de apoyo a la gestión”.</w:t>
      </w:r>
    </w:p>
    <w:p w14:paraId="394DE9F3" w14:textId="77777777" w:rsidR="0072479E" w:rsidRPr="00940FA5" w:rsidRDefault="0072479E" w:rsidP="0072479E">
      <w:pPr>
        <w:pStyle w:val="Textonotapie"/>
        <w:ind w:firstLine="709"/>
        <w:jc w:val="both"/>
        <w:rPr>
          <w:rFonts w:ascii="Verdana" w:hAnsi="Verdana" w:cs="Arial"/>
          <w:color w:val="000000"/>
          <w:sz w:val="16"/>
          <w:szCs w:val="16"/>
          <w:lang w:val="es-ES"/>
        </w:rPr>
      </w:pPr>
    </w:p>
  </w:footnote>
  <w:footnote w:id="10">
    <w:p w14:paraId="7D14F28E" w14:textId="77777777" w:rsidR="0072479E" w:rsidRPr="00940FA5" w:rsidRDefault="0072479E" w:rsidP="0072479E">
      <w:pPr>
        <w:pStyle w:val="Textonotapie"/>
        <w:ind w:firstLine="709"/>
        <w:jc w:val="both"/>
        <w:rPr>
          <w:rFonts w:ascii="Verdana" w:hAnsi="Verdana" w:cs="Arial"/>
          <w:color w:val="000000"/>
          <w:sz w:val="16"/>
          <w:szCs w:val="16"/>
        </w:rPr>
      </w:pPr>
      <w:r w:rsidRPr="002A7877">
        <w:rPr>
          <w:rStyle w:val="Refdenotaalpie"/>
          <w:rFonts w:ascii="Verdana" w:hAnsi="Verdana"/>
          <w:sz w:val="16"/>
          <w:szCs w:val="16"/>
        </w:rPr>
        <w:footnoteRef/>
      </w:r>
      <w:r w:rsidRPr="002A7877">
        <w:rPr>
          <w:rFonts w:ascii="Verdana" w:hAnsi="Verdana"/>
          <w:sz w:val="16"/>
          <w:szCs w:val="16"/>
        </w:rPr>
        <w:t xml:space="preserve"> </w:t>
      </w:r>
      <w:r w:rsidRPr="002A7877">
        <w:rPr>
          <w:rFonts w:ascii="Verdana" w:hAnsi="Verdana" w:cs="Arial"/>
          <w:color w:val="000000"/>
          <w:sz w:val="16"/>
          <w:szCs w:val="16"/>
        </w:rPr>
        <w:t>Según dicho artículo “Todas las personas naturales o jurídicas nacionales o extranjeras domiciliadas o con sucursal en Colombia, que aspiren a celebrar contratos con las entidades estatales, se inscribirán en el Registro Únic</w:t>
      </w:r>
      <w:r w:rsidRPr="00940FA5">
        <w:rPr>
          <w:rFonts w:ascii="Verdana" w:hAnsi="Verdana" w:cs="Arial"/>
          <w:color w:val="000000"/>
          <w:sz w:val="16"/>
          <w:szCs w:val="16"/>
        </w:rPr>
        <w:t>o de Proponentes del Registro Único Empresarial de la Cámara de Comercio con jurisdicción en su domicilio principal. 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27AA2547" w14:textId="77777777" w:rsidR="0072479E" w:rsidRPr="00940FA5" w:rsidRDefault="0072479E" w:rsidP="0072479E">
      <w:pPr>
        <w:pStyle w:val="Textonotapie"/>
        <w:ind w:firstLine="709"/>
        <w:jc w:val="both"/>
        <w:rPr>
          <w:rFonts w:ascii="Verdana" w:hAnsi="Verdana" w:cs="Arial"/>
          <w:color w:val="000000"/>
          <w:sz w:val="16"/>
          <w:szCs w:val="16"/>
        </w:rPr>
      </w:pPr>
    </w:p>
  </w:footnote>
  <w:footnote w:id="11">
    <w:p w14:paraId="4564D9A7" w14:textId="77777777" w:rsidR="0072479E" w:rsidRPr="00940FA5" w:rsidRDefault="0072479E" w:rsidP="0072479E">
      <w:pPr>
        <w:pStyle w:val="Textonotapie"/>
        <w:ind w:firstLine="709"/>
        <w:jc w:val="both"/>
        <w:rPr>
          <w:rFonts w:ascii="Verdana" w:hAnsi="Verdana" w:cs="Arial"/>
          <w:color w:val="000000"/>
          <w:sz w:val="16"/>
          <w:szCs w:val="16"/>
          <w:lang w:val="es-ES"/>
        </w:rPr>
      </w:pPr>
      <w:r w:rsidRPr="002A7877">
        <w:rPr>
          <w:rStyle w:val="Refdenotaalpie"/>
          <w:rFonts w:ascii="Verdana" w:hAnsi="Verdana"/>
          <w:sz w:val="16"/>
          <w:szCs w:val="16"/>
        </w:rPr>
        <w:footnoteRef/>
      </w:r>
      <w:r w:rsidRPr="002A7877">
        <w:rPr>
          <w:rFonts w:ascii="Verdana" w:hAnsi="Verdana"/>
          <w:sz w:val="16"/>
          <w:szCs w:val="16"/>
        </w:rPr>
        <w:t xml:space="preserve"> </w:t>
      </w:r>
      <w:r w:rsidRPr="002A7877">
        <w:rPr>
          <w:rFonts w:ascii="Verdana" w:hAnsi="Verdana" w:cs="Arial"/>
          <w:color w:val="000000"/>
          <w:sz w:val="16"/>
          <w:szCs w:val="16"/>
          <w:lang w:val="es-ES"/>
        </w:rPr>
        <w:t>Es esto lo que establece el Decreto 1082 de 2015: “Artículo 2.2.1.2.1.4.5. No obligatoriedad de garantías. En la contratación dire</w:t>
      </w:r>
      <w:r w:rsidRPr="00940FA5">
        <w:rPr>
          <w:rFonts w:ascii="Verdana" w:hAnsi="Verdana" w:cs="Arial"/>
          <w:color w:val="000000"/>
          <w:sz w:val="16"/>
          <w:szCs w:val="16"/>
          <w:lang w:val="es-ES"/>
        </w:rPr>
        <w:t>cta la exigencia de garantías establecidas en la Sección 3, que comprende los artículos 2.2.1.2.3.1.1 al 2.2.1.2.3.5.1.del presente decreto no es obligatoria y la justificación para exigirlas o no debe estar en los estudios y documentos previos”.</w:t>
      </w:r>
    </w:p>
    <w:p w14:paraId="48FEB2BC" w14:textId="77777777" w:rsidR="0072479E" w:rsidRPr="00940FA5" w:rsidRDefault="0072479E" w:rsidP="0072479E">
      <w:pPr>
        <w:pStyle w:val="Textonotapie"/>
        <w:ind w:firstLine="709"/>
        <w:jc w:val="both"/>
        <w:rPr>
          <w:rFonts w:ascii="Verdana" w:hAnsi="Verdana" w:cs="Arial"/>
          <w:color w:val="000000"/>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759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1B781E"/>
    <w:multiLevelType w:val="hybridMultilevel"/>
    <w:tmpl w:val="6DCCB7D2"/>
    <w:lvl w:ilvl="0" w:tplc="62B67DC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95F4281"/>
    <w:multiLevelType w:val="hybridMultilevel"/>
    <w:tmpl w:val="381CECEE"/>
    <w:lvl w:ilvl="0" w:tplc="F3362482">
      <w:start w:val="1"/>
      <w:numFmt w:val="decimal"/>
      <w:lvlText w:val="%1."/>
      <w:lvlJc w:val="left"/>
      <w:pPr>
        <w:ind w:left="1069" w:hanging="360"/>
      </w:pPr>
      <w:rPr>
        <w:rFonts w:hint="default"/>
        <w:i w:val="0"/>
        <w:iCs w:val="0"/>
        <w:sz w:val="18"/>
        <w:szCs w:val="18"/>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0E3A713D"/>
    <w:multiLevelType w:val="hybridMultilevel"/>
    <w:tmpl w:val="25522004"/>
    <w:lvl w:ilvl="0" w:tplc="CF48BA1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6" w15:restartNumberingAfterBreak="0">
    <w:nsid w:val="1CA3503D"/>
    <w:multiLevelType w:val="hybridMultilevel"/>
    <w:tmpl w:val="B8C87EB2"/>
    <w:lvl w:ilvl="0" w:tplc="8DD0EDD6">
      <w:start w:val="1"/>
      <w:numFmt w:val="decimal"/>
      <w:lvlText w:val="%1-"/>
      <w:lvlJc w:val="left"/>
      <w:pPr>
        <w:ind w:left="1429" w:hanging="36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7" w15:restartNumberingAfterBreak="0">
    <w:nsid w:val="22EA1896"/>
    <w:multiLevelType w:val="multilevel"/>
    <w:tmpl w:val="F020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3E407F"/>
    <w:multiLevelType w:val="hybridMultilevel"/>
    <w:tmpl w:val="3BD84504"/>
    <w:lvl w:ilvl="0" w:tplc="97F8AF00">
      <w:start w:val="1"/>
      <w:numFmt w:val="decimal"/>
      <w:lvlText w:val="%1."/>
      <w:lvlJc w:val="left"/>
      <w:pPr>
        <w:ind w:left="1429" w:hanging="36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0" w15:restartNumberingAfterBreak="0">
    <w:nsid w:val="2B273EF8"/>
    <w:multiLevelType w:val="multilevel"/>
    <w:tmpl w:val="CC50B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4F31B4"/>
    <w:multiLevelType w:val="hybridMultilevel"/>
    <w:tmpl w:val="5E6CCB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F7B3982"/>
    <w:multiLevelType w:val="multilevel"/>
    <w:tmpl w:val="C76C1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45A0C93"/>
    <w:multiLevelType w:val="multilevel"/>
    <w:tmpl w:val="21E6C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DB07C5"/>
    <w:multiLevelType w:val="hybridMultilevel"/>
    <w:tmpl w:val="7C5EB6F4"/>
    <w:lvl w:ilvl="0" w:tplc="B4CC97FE">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47401C1B"/>
    <w:multiLevelType w:val="hybridMultilevel"/>
    <w:tmpl w:val="E7B6B368"/>
    <w:lvl w:ilvl="0" w:tplc="D546897C">
      <w:start w:val="1"/>
      <w:numFmt w:val="lowerRoman"/>
      <w:lvlText w:val="%1."/>
      <w:lvlJc w:val="left"/>
      <w:pPr>
        <w:ind w:left="720" w:hanging="72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1" w15:restartNumberingAfterBreak="0">
    <w:nsid w:val="4C493EA9"/>
    <w:multiLevelType w:val="hybridMultilevel"/>
    <w:tmpl w:val="A55A14FA"/>
    <w:lvl w:ilvl="0" w:tplc="B6E885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52A36B3F"/>
    <w:multiLevelType w:val="hybridMultilevel"/>
    <w:tmpl w:val="7BE6BF8A"/>
    <w:lvl w:ilvl="0" w:tplc="AFE0C0FA">
      <w:start w:val="1"/>
      <w:numFmt w:val="lowerRoman"/>
      <w:lvlText w:val="%1."/>
      <w:lvlJc w:val="left"/>
      <w:pPr>
        <w:ind w:left="1429" w:hanging="720"/>
      </w:pPr>
      <w:rPr>
        <w:rFonts w:hint="default"/>
        <w:b/>
        <w:bCs w:val="0"/>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562F1C37"/>
    <w:multiLevelType w:val="hybridMultilevel"/>
    <w:tmpl w:val="21F624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0EB6657"/>
    <w:multiLevelType w:val="multilevel"/>
    <w:tmpl w:val="BA446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071440"/>
    <w:multiLevelType w:val="hybridMultilevel"/>
    <w:tmpl w:val="23E8CFD2"/>
    <w:lvl w:ilvl="0" w:tplc="1C08DDA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26D1F44"/>
    <w:multiLevelType w:val="hybridMultilevel"/>
    <w:tmpl w:val="38ACA4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30C755D"/>
    <w:multiLevelType w:val="hybridMultilevel"/>
    <w:tmpl w:val="12B0297C"/>
    <w:lvl w:ilvl="0" w:tplc="E68C2B30">
      <w:start w:val="1"/>
      <w:numFmt w:val="lowerLetter"/>
      <w:lvlText w:val="%1."/>
      <w:lvlJc w:val="left"/>
      <w:pPr>
        <w:ind w:left="720" w:hanging="360"/>
      </w:pPr>
      <w:rPr>
        <w:rFonts w:ascii="Verdana" w:eastAsiaTheme="minorEastAsia" w:hAnsi="Verdana"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9630B40"/>
    <w:multiLevelType w:val="hybridMultilevel"/>
    <w:tmpl w:val="376459FA"/>
    <w:lvl w:ilvl="0" w:tplc="9536ACF8">
      <w:numFmt w:val="bullet"/>
      <w:lvlText w:val="-"/>
      <w:lvlJc w:val="left"/>
      <w:pPr>
        <w:ind w:left="1429" w:hanging="360"/>
      </w:pPr>
      <w:rPr>
        <w:rFonts w:ascii="Verdana" w:eastAsia="Calibri" w:hAnsi="Verdana" w:cs="Aria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num w:numId="1" w16cid:durableId="948779781">
    <w:abstractNumId w:val="15"/>
  </w:num>
  <w:num w:numId="2" w16cid:durableId="19822139">
    <w:abstractNumId w:val="3"/>
  </w:num>
  <w:num w:numId="3" w16cid:durableId="876742304">
    <w:abstractNumId w:val="13"/>
  </w:num>
  <w:num w:numId="4" w16cid:durableId="2451864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29"/>
  </w:num>
  <w:num w:numId="7" w16cid:durableId="1946422806">
    <w:abstractNumId w:val="14"/>
  </w:num>
  <w:num w:numId="8" w16cid:durableId="152644682">
    <w:abstractNumId w:val="28"/>
  </w:num>
  <w:num w:numId="9" w16cid:durableId="1317221377">
    <w:abstractNumId w:val="17"/>
  </w:num>
  <w:num w:numId="10" w16cid:durableId="1471245386">
    <w:abstractNumId w:val="27"/>
  </w:num>
  <w:num w:numId="11" w16cid:durableId="289172385">
    <w:abstractNumId w:val="18"/>
  </w:num>
  <w:num w:numId="12" w16cid:durableId="1470781324">
    <w:abstractNumId w:val="1"/>
  </w:num>
  <w:num w:numId="13" w16cid:durableId="1512908409">
    <w:abstractNumId w:val="8"/>
  </w:num>
  <w:num w:numId="14" w16cid:durableId="895897244">
    <w:abstractNumId w:val="30"/>
  </w:num>
  <w:num w:numId="15" w16cid:durableId="390349800">
    <w:abstractNumId w:val="26"/>
  </w:num>
  <w:num w:numId="16" w16cid:durableId="1227110730">
    <w:abstractNumId w:val="0"/>
  </w:num>
  <w:num w:numId="17" w16cid:durableId="2068841316">
    <w:abstractNumId w:val="4"/>
  </w:num>
  <w:num w:numId="18" w16cid:durableId="1144280152">
    <w:abstractNumId w:val="31"/>
  </w:num>
  <w:num w:numId="19" w16cid:durableId="1602300139">
    <w:abstractNumId w:val="5"/>
  </w:num>
  <w:num w:numId="20" w16cid:durableId="1397629488">
    <w:abstractNumId w:val="23"/>
  </w:num>
  <w:num w:numId="21" w16cid:durableId="861283267">
    <w:abstractNumId w:val="11"/>
  </w:num>
  <w:num w:numId="22" w16cid:durableId="1235579301">
    <w:abstractNumId w:val="10"/>
  </w:num>
  <w:num w:numId="23" w16cid:durableId="545802288">
    <w:abstractNumId w:val="25"/>
  </w:num>
  <w:num w:numId="24" w16cid:durableId="784346637">
    <w:abstractNumId w:val="21"/>
  </w:num>
  <w:num w:numId="25" w16cid:durableId="54940666">
    <w:abstractNumId w:val="20"/>
  </w:num>
  <w:num w:numId="26" w16cid:durableId="828255882">
    <w:abstractNumId w:val="12"/>
  </w:num>
  <w:num w:numId="27" w16cid:durableId="838082249">
    <w:abstractNumId w:val="6"/>
  </w:num>
  <w:num w:numId="28" w16cid:durableId="713697127">
    <w:abstractNumId w:val="9"/>
  </w:num>
  <w:num w:numId="29" w16cid:durableId="2010978719">
    <w:abstractNumId w:val="22"/>
  </w:num>
  <w:num w:numId="30" w16cid:durableId="1070083242">
    <w:abstractNumId w:val="2"/>
  </w:num>
  <w:num w:numId="31" w16cid:durableId="1869291622">
    <w:abstractNumId w:val="7"/>
  </w:num>
  <w:num w:numId="32" w16cid:durableId="539585464">
    <w:abstractNumId w:val="33"/>
  </w:num>
  <w:num w:numId="33" w16cid:durableId="1648050763">
    <w:abstractNumId w:val="16"/>
  </w:num>
  <w:num w:numId="34" w16cid:durableId="341902732">
    <w:abstractNumId w:val="32"/>
  </w:num>
  <w:num w:numId="35" w16cid:durableId="388266874">
    <w:abstractNumId w:val="19"/>
  </w:num>
  <w:num w:numId="36" w16cid:durableId="2051997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320"/>
    <w:rsid w:val="00003541"/>
    <w:rsid w:val="00006513"/>
    <w:rsid w:val="00006CF5"/>
    <w:rsid w:val="0001041A"/>
    <w:rsid w:val="00011CDF"/>
    <w:rsid w:val="00012F97"/>
    <w:rsid w:val="0001337E"/>
    <w:rsid w:val="00015BF9"/>
    <w:rsid w:val="00016D6A"/>
    <w:rsid w:val="00016F78"/>
    <w:rsid w:val="00017468"/>
    <w:rsid w:val="0001755B"/>
    <w:rsid w:val="000208DF"/>
    <w:rsid w:val="00021918"/>
    <w:rsid w:val="00024220"/>
    <w:rsid w:val="000271E3"/>
    <w:rsid w:val="0002754A"/>
    <w:rsid w:val="00027585"/>
    <w:rsid w:val="00027F95"/>
    <w:rsid w:val="00034FE9"/>
    <w:rsid w:val="000355EC"/>
    <w:rsid w:val="00043D21"/>
    <w:rsid w:val="0004498F"/>
    <w:rsid w:val="00044F37"/>
    <w:rsid w:val="00045A4D"/>
    <w:rsid w:val="00045EDD"/>
    <w:rsid w:val="00046945"/>
    <w:rsid w:val="0005058E"/>
    <w:rsid w:val="00050D7F"/>
    <w:rsid w:val="000516C9"/>
    <w:rsid w:val="0005460B"/>
    <w:rsid w:val="00054748"/>
    <w:rsid w:val="000551B1"/>
    <w:rsid w:val="00055826"/>
    <w:rsid w:val="000559A6"/>
    <w:rsid w:val="0005798A"/>
    <w:rsid w:val="000612FD"/>
    <w:rsid w:val="00061B2A"/>
    <w:rsid w:val="00061F0A"/>
    <w:rsid w:val="00063B8B"/>
    <w:rsid w:val="000642C7"/>
    <w:rsid w:val="00064366"/>
    <w:rsid w:val="00065BE6"/>
    <w:rsid w:val="000661E9"/>
    <w:rsid w:val="00066A56"/>
    <w:rsid w:val="000675E2"/>
    <w:rsid w:val="0006788D"/>
    <w:rsid w:val="00071AD1"/>
    <w:rsid w:val="000720DF"/>
    <w:rsid w:val="000748DD"/>
    <w:rsid w:val="00081AA3"/>
    <w:rsid w:val="00081F35"/>
    <w:rsid w:val="00082362"/>
    <w:rsid w:val="00082625"/>
    <w:rsid w:val="00083164"/>
    <w:rsid w:val="00085500"/>
    <w:rsid w:val="00085661"/>
    <w:rsid w:val="00086CF8"/>
    <w:rsid w:val="000905F3"/>
    <w:rsid w:val="00093C32"/>
    <w:rsid w:val="0009482E"/>
    <w:rsid w:val="0009582C"/>
    <w:rsid w:val="000A0B60"/>
    <w:rsid w:val="000A2CDF"/>
    <w:rsid w:val="000A683E"/>
    <w:rsid w:val="000A6D0D"/>
    <w:rsid w:val="000B1665"/>
    <w:rsid w:val="000B19B9"/>
    <w:rsid w:val="000B2CAB"/>
    <w:rsid w:val="000B3888"/>
    <w:rsid w:val="000B4761"/>
    <w:rsid w:val="000C3226"/>
    <w:rsid w:val="000C6236"/>
    <w:rsid w:val="000D0334"/>
    <w:rsid w:val="000D241D"/>
    <w:rsid w:val="000D3858"/>
    <w:rsid w:val="000D5DA7"/>
    <w:rsid w:val="000D606C"/>
    <w:rsid w:val="000E036B"/>
    <w:rsid w:val="000E06D3"/>
    <w:rsid w:val="000E0836"/>
    <w:rsid w:val="000E115D"/>
    <w:rsid w:val="000F3503"/>
    <w:rsid w:val="000F3573"/>
    <w:rsid w:val="000F6486"/>
    <w:rsid w:val="000F77CB"/>
    <w:rsid w:val="0010054E"/>
    <w:rsid w:val="0010084B"/>
    <w:rsid w:val="00100876"/>
    <w:rsid w:val="00100A83"/>
    <w:rsid w:val="00100D82"/>
    <w:rsid w:val="00101496"/>
    <w:rsid w:val="00102C27"/>
    <w:rsid w:val="0010594F"/>
    <w:rsid w:val="00110B91"/>
    <w:rsid w:val="00111A3D"/>
    <w:rsid w:val="00114EDD"/>
    <w:rsid w:val="001160B5"/>
    <w:rsid w:val="00116491"/>
    <w:rsid w:val="00116940"/>
    <w:rsid w:val="00116E26"/>
    <w:rsid w:val="001200E6"/>
    <w:rsid w:val="00121A4F"/>
    <w:rsid w:val="00122859"/>
    <w:rsid w:val="00122AE8"/>
    <w:rsid w:val="00122C77"/>
    <w:rsid w:val="001235F9"/>
    <w:rsid w:val="001239F0"/>
    <w:rsid w:val="0012459F"/>
    <w:rsid w:val="001249F9"/>
    <w:rsid w:val="00125105"/>
    <w:rsid w:val="001268C0"/>
    <w:rsid w:val="001268C9"/>
    <w:rsid w:val="00127233"/>
    <w:rsid w:val="001279A7"/>
    <w:rsid w:val="00131B48"/>
    <w:rsid w:val="00132271"/>
    <w:rsid w:val="00132EC2"/>
    <w:rsid w:val="00135D88"/>
    <w:rsid w:val="00136760"/>
    <w:rsid w:val="001425B2"/>
    <w:rsid w:val="00144EB9"/>
    <w:rsid w:val="00144F0A"/>
    <w:rsid w:val="001508C2"/>
    <w:rsid w:val="0015091A"/>
    <w:rsid w:val="00153AA8"/>
    <w:rsid w:val="00155C47"/>
    <w:rsid w:val="0015699B"/>
    <w:rsid w:val="00161259"/>
    <w:rsid w:val="0016152E"/>
    <w:rsid w:val="00162602"/>
    <w:rsid w:val="00163847"/>
    <w:rsid w:val="00163859"/>
    <w:rsid w:val="00164BED"/>
    <w:rsid w:val="00165403"/>
    <w:rsid w:val="001662E9"/>
    <w:rsid w:val="00166D3E"/>
    <w:rsid w:val="0017097B"/>
    <w:rsid w:val="00175917"/>
    <w:rsid w:val="0017657C"/>
    <w:rsid w:val="001773E2"/>
    <w:rsid w:val="00180C54"/>
    <w:rsid w:val="0018173F"/>
    <w:rsid w:val="00182FF0"/>
    <w:rsid w:val="00185005"/>
    <w:rsid w:val="00185D58"/>
    <w:rsid w:val="001921BC"/>
    <w:rsid w:val="00192F16"/>
    <w:rsid w:val="00193637"/>
    <w:rsid w:val="00194792"/>
    <w:rsid w:val="00195DF6"/>
    <w:rsid w:val="00197C7C"/>
    <w:rsid w:val="00197C83"/>
    <w:rsid w:val="001A05CA"/>
    <w:rsid w:val="001A1C4B"/>
    <w:rsid w:val="001A33BF"/>
    <w:rsid w:val="001A3B14"/>
    <w:rsid w:val="001A4606"/>
    <w:rsid w:val="001A4678"/>
    <w:rsid w:val="001A48E6"/>
    <w:rsid w:val="001B3B12"/>
    <w:rsid w:val="001B5B2E"/>
    <w:rsid w:val="001B797F"/>
    <w:rsid w:val="001B7BFE"/>
    <w:rsid w:val="001C0D62"/>
    <w:rsid w:val="001C1E35"/>
    <w:rsid w:val="001C2183"/>
    <w:rsid w:val="001C3D92"/>
    <w:rsid w:val="001C4E7B"/>
    <w:rsid w:val="001C7C9D"/>
    <w:rsid w:val="001D0189"/>
    <w:rsid w:val="001D035F"/>
    <w:rsid w:val="001D113F"/>
    <w:rsid w:val="001D2F32"/>
    <w:rsid w:val="001D5365"/>
    <w:rsid w:val="001D5A4E"/>
    <w:rsid w:val="001D5D34"/>
    <w:rsid w:val="001D638B"/>
    <w:rsid w:val="001D6AE3"/>
    <w:rsid w:val="001E0D84"/>
    <w:rsid w:val="001E136F"/>
    <w:rsid w:val="001E17F3"/>
    <w:rsid w:val="001E2A7A"/>
    <w:rsid w:val="001E406C"/>
    <w:rsid w:val="001E4177"/>
    <w:rsid w:val="001E5022"/>
    <w:rsid w:val="001E6873"/>
    <w:rsid w:val="001F0B24"/>
    <w:rsid w:val="001F0FE6"/>
    <w:rsid w:val="001F18D9"/>
    <w:rsid w:val="001F247C"/>
    <w:rsid w:val="001F4AF4"/>
    <w:rsid w:val="001F7DC6"/>
    <w:rsid w:val="0020050D"/>
    <w:rsid w:val="0020549B"/>
    <w:rsid w:val="002100CC"/>
    <w:rsid w:val="00210F23"/>
    <w:rsid w:val="00211AE1"/>
    <w:rsid w:val="002137F4"/>
    <w:rsid w:val="00213EDE"/>
    <w:rsid w:val="002144E5"/>
    <w:rsid w:val="002222AC"/>
    <w:rsid w:val="0022400B"/>
    <w:rsid w:val="0022405D"/>
    <w:rsid w:val="002276D8"/>
    <w:rsid w:val="0023261B"/>
    <w:rsid w:val="00233874"/>
    <w:rsid w:val="00233CB5"/>
    <w:rsid w:val="00236CD9"/>
    <w:rsid w:val="00241F9B"/>
    <w:rsid w:val="002421BB"/>
    <w:rsid w:val="00242295"/>
    <w:rsid w:val="002422E4"/>
    <w:rsid w:val="00243DE9"/>
    <w:rsid w:val="00244D68"/>
    <w:rsid w:val="002518AD"/>
    <w:rsid w:val="00252165"/>
    <w:rsid w:val="00254014"/>
    <w:rsid w:val="00254843"/>
    <w:rsid w:val="00256219"/>
    <w:rsid w:val="002576DC"/>
    <w:rsid w:val="0025796E"/>
    <w:rsid w:val="002601DE"/>
    <w:rsid w:val="00263AC8"/>
    <w:rsid w:val="002649A5"/>
    <w:rsid w:val="00267882"/>
    <w:rsid w:val="002707A2"/>
    <w:rsid w:val="00270C1A"/>
    <w:rsid w:val="00274519"/>
    <w:rsid w:val="00275543"/>
    <w:rsid w:val="00275671"/>
    <w:rsid w:val="00275975"/>
    <w:rsid w:val="00277DDC"/>
    <w:rsid w:val="00282002"/>
    <w:rsid w:val="00282862"/>
    <w:rsid w:val="00282D17"/>
    <w:rsid w:val="0028359F"/>
    <w:rsid w:val="0028468B"/>
    <w:rsid w:val="002851EA"/>
    <w:rsid w:val="00286ABC"/>
    <w:rsid w:val="002873C7"/>
    <w:rsid w:val="00293084"/>
    <w:rsid w:val="002930FD"/>
    <w:rsid w:val="002951A0"/>
    <w:rsid w:val="002962BC"/>
    <w:rsid w:val="002963B3"/>
    <w:rsid w:val="00296783"/>
    <w:rsid w:val="002A015E"/>
    <w:rsid w:val="002A0856"/>
    <w:rsid w:val="002A093D"/>
    <w:rsid w:val="002A0DD0"/>
    <w:rsid w:val="002A1B48"/>
    <w:rsid w:val="002A49AC"/>
    <w:rsid w:val="002A6016"/>
    <w:rsid w:val="002A6158"/>
    <w:rsid w:val="002A64FD"/>
    <w:rsid w:val="002A7A13"/>
    <w:rsid w:val="002A7D0D"/>
    <w:rsid w:val="002B1D63"/>
    <w:rsid w:val="002B2D20"/>
    <w:rsid w:val="002B2EFB"/>
    <w:rsid w:val="002B4237"/>
    <w:rsid w:val="002B4500"/>
    <w:rsid w:val="002B5B71"/>
    <w:rsid w:val="002B6AB0"/>
    <w:rsid w:val="002B7BBB"/>
    <w:rsid w:val="002B7ECD"/>
    <w:rsid w:val="002C0C9D"/>
    <w:rsid w:val="002C1D40"/>
    <w:rsid w:val="002C2DF2"/>
    <w:rsid w:val="002C376B"/>
    <w:rsid w:val="002C3C40"/>
    <w:rsid w:val="002C4290"/>
    <w:rsid w:val="002C7A84"/>
    <w:rsid w:val="002D3148"/>
    <w:rsid w:val="002D321C"/>
    <w:rsid w:val="002D3B15"/>
    <w:rsid w:val="002E2BF8"/>
    <w:rsid w:val="002E37B2"/>
    <w:rsid w:val="002E38C5"/>
    <w:rsid w:val="002E4FD9"/>
    <w:rsid w:val="002E58E6"/>
    <w:rsid w:val="002E5CCD"/>
    <w:rsid w:val="002E6369"/>
    <w:rsid w:val="002E71DA"/>
    <w:rsid w:val="002F0D8C"/>
    <w:rsid w:val="002F4067"/>
    <w:rsid w:val="002F6DF7"/>
    <w:rsid w:val="002F7C68"/>
    <w:rsid w:val="00301B67"/>
    <w:rsid w:val="00301B8A"/>
    <w:rsid w:val="003049E8"/>
    <w:rsid w:val="0030657A"/>
    <w:rsid w:val="00310057"/>
    <w:rsid w:val="00312FB8"/>
    <w:rsid w:val="00313696"/>
    <w:rsid w:val="003144F7"/>
    <w:rsid w:val="003148E3"/>
    <w:rsid w:val="00315308"/>
    <w:rsid w:val="003201DF"/>
    <w:rsid w:val="00321155"/>
    <w:rsid w:val="00321D63"/>
    <w:rsid w:val="0032243C"/>
    <w:rsid w:val="003224F9"/>
    <w:rsid w:val="00322A85"/>
    <w:rsid w:val="00324168"/>
    <w:rsid w:val="00325AE0"/>
    <w:rsid w:val="00327136"/>
    <w:rsid w:val="00330754"/>
    <w:rsid w:val="00330834"/>
    <w:rsid w:val="00331CC4"/>
    <w:rsid w:val="00332110"/>
    <w:rsid w:val="00340F52"/>
    <w:rsid w:val="00342395"/>
    <w:rsid w:val="00342BE5"/>
    <w:rsid w:val="003448F4"/>
    <w:rsid w:val="00344D47"/>
    <w:rsid w:val="00345B76"/>
    <w:rsid w:val="003465CC"/>
    <w:rsid w:val="003474E8"/>
    <w:rsid w:val="00354BAB"/>
    <w:rsid w:val="003568BE"/>
    <w:rsid w:val="00361D7C"/>
    <w:rsid w:val="00363E43"/>
    <w:rsid w:val="003652FF"/>
    <w:rsid w:val="003657DA"/>
    <w:rsid w:val="00371445"/>
    <w:rsid w:val="00371B8B"/>
    <w:rsid w:val="00373C2A"/>
    <w:rsid w:val="00373DB2"/>
    <w:rsid w:val="00374810"/>
    <w:rsid w:val="00374F5E"/>
    <w:rsid w:val="0037516C"/>
    <w:rsid w:val="00377E3E"/>
    <w:rsid w:val="00380880"/>
    <w:rsid w:val="00380C16"/>
    <w:rsid w:val="00380F95"/>
    <w:rsid w:val="00381124"/>
    <w:rsid w:val="00381802"/>
    <w:rsid w:val="00383059"/>
    <w:rsid w:val="00387A19"/>
    <w:rsid w:val="00387E62"/>
    <w:rsid w:val="00392002"/>
    <w:rsid w:val="0039200C"/>
    <w:rsid w:val="00395D79"/>
    <w:rsid w:val="00396780"/>
    <w:rsid w:val="0039743D"/>
    <w:rsid w:val="003A15AD"/>
    <w:rsid w:val="003A27B6"/>
    <w:rsid w:val="003A6587"/>
    <w:rsid w:val="003A779E"/>
    <w:rsid w:val="003B0C59"/>
    <w:rsid w:val="003B3478"/>
    <w:rsid w:val="003B5ABB"/>
    <w:rsid w:val="003B68D9"/>
    <w:rsid w:val="003B76B6"/>
    <w:rsid w:val="003C1DE4"/>
    <w:rsid w:val="003C20F3"/>
    <w:rsid w:val="003C2ECA"/>
    <w:rsid w:val="003C3853"/>
    <w:rsid w:val="003D0F4D"/>
    <w:rsid w:val="003D14FF"/>
    <w:rsid w:val="003D1F47"/>
    <w:rsid w:val="003D2711"/>
    <w:rsid w:val="003D32EF"/>
    <w:rsid w:val="003D5025"/>
    <w:rsid w:val="003D5B0D"/>
    <w:rsid w:val="003E0499"/>
    <w:rsid w:val="003E17D1"/>
    <w:rsid w:val="003E187F"/>
    <w:rsid w:val="003E4F80"/>
    <w:rsid w:val="003E5254"/>
    <w:rsid w:val="003E5686"/>
    <w:rsid w:val="003E5BE4"/>
    <w:rsid w:val="003E641E"/>
    <w:rsid w:val="003E6439"/>
    <w:rsid w:val="003E76AD"/>
    <w:rsid w:val="003E7CF4"/>
    <w:rsid w:val="003F1839"/>
    <w:rsid w:val="003F1BCC"/>
    <w:rsid w:val="003F236B"/>
    <w:rsid w:val="003F3941"/>
    <w:rsid w:val="003F39A2"/>
    <w:rsid w:val="003F47D7"/>
    <w:rsid w:val="003F6E33"/>
    <w:rsid w:val="004012F3"/>
    <w:rsid w:val="00401A84"/>
    <w:rsid w:val="00402F6A"/>
    <w:rsid w:val="00403964"/>
    <w:rsid w:val="00406424"/>
    <w:rsid w:val="00406575"/>
    <w:rsid w:val="00411024"/>
    <w:rsid w:val="00414C74"/>
    <w:rsid w:val="00416F20"/>
    <w:rsid w:val="00420C6E"/>
    <w:rsid w:val="00421102"/>
    <w:rsid w:val="00421A81"/>
    <w:rsid w:val="00424572"/>
    <w:rsid w:val="00424940"/>
    <w:rsid w:val="00425D4E"/>
    <w:rsid w:val="0042722E"/>
    <w:rsid w:val="00427DE5"/>
    <w:rsid w:val="004300DB"/>
    <w:rsid w:val="0043641A"/>
    <w:rsid w:val="004373B4"/>
    <w:rsid w:val="00437E4C"/>
    <w:rsid w:val="0044043F"/>
    <w:rsid w:val="004409D0"/>
    <w:rsid w:val="00441E4A"/>
    <w:rsid w:val="004426E1"/>
    <w:rsid w:val="004443F7"/>
    <w:rsid w:val="00444E8A"/>
    <w:rsid w:val="0044528D"/>
    <w:rsid w:val="0044555D"/>
    <w:rsid w:val="004526B7"/>
    <w:rsid w:val="00452E00"/>
    <w:rsid w:val="00453025"/>
    <w:rsid w:val="004532D8"/>
    <w:rsid w:val="00454DD3"/>
    <w:rsid w:val="00456399"/>
    <w:rsid w:val="00457A70"/>
    <w:rsid w:val="00461976"/>
    <w:rsid w:val="00461A0A"/>
    <w:rsid w:val="00461DB7"/>
    <w:rsid w:val="004630E5"/>
    <w:rsid w:val="004644EE"/>
    <w:rsid w:val="00466A1C"/>
    <w:rsid w:val="00466E39"/>
    <w:rsid w:val="00470576"/>
    <w:rsid w:val="00471DAE"/>
    <w:rsid w:val="00474C55"/>
    <w:rsid w:val="004761A4"/>
    <w:rsid w:val="00477A70"/>
    <w:rsid w:val="004819DB"/>
    <w:rsid w:val="00481C55"/>
    <w:rsid w:val="00482B87"/>
    <w:rsid w:val="00483C5B"/>
    <w:rsid w:val="00483D74"/>
    <w:rsid w:val="00485994"/>
    <w:rsid w:val="00487DA9"/>
    <w:rsid w:val="004900D5"/>
    <w:rsid w:val="00495476"/>
    <w:rsid w:val="004A1847"/>
    <w:rsid w:val="004A2494"/>
    <w:rsid w:val="004A305D"/>
    <w:rsid w:val="004A5086"/>
    <w:rsid w:val="004A5E22"/>
    <w:rsid w:val="004B0070"/>
    <w:rsid w:val="004B0599"/>
    <w:rsid w:val="004B3B71"/>
    <w:rsid w:val="004B4BBB"/>
    <w:rsid w:val="004B4F6B"/>
    <w:rsid w:val="004B7CBF"/>
    <w:rsid w:val="004C1F3D"/>
    <w:rsid w:val="004C22C6"/>
    <w:rsid w:val="004C4B36"/>
    <w:rsid w:val="004C52B7"/>
    <w:rsid w:val="004C5AC4"/>
    <w:rsid w:val="004C749E"/>
    <w:rsid w:val="004D24AB"/>
    <w:rsid w:val="004D340B"/>
    <w:rsid w:val="004D3D1B"/>
    <w:rsid w:val="004D51EE"/>
    <w:rsid w:val="004D5250"/>
    <w:rsid w:val="004D75BE"/>
    <w:rsid w:val="004E5211"/>
    <w:rsid w:val="004E61A2"/>
    <w:rsid w:val="004E68DE"/>
    <w:rsid w:val="004F0E7A"/>
    <w:rsid w:val="004F1C23"/>
    <w:rsid w:val="004F21C4"/>
    <w:rsid w:val="004F518D"/>
    <w:rsid w:val="004F6083"/>
    <w:rsid w:val="004F685F"/>
    <w:rsid w:val="0050261D"/>
    <w:rsid w:val="00503E8D"/>
    <w:rsid w:val="0051099C"/>
    <w:rsid w:val="00514008"/>
    <w:rsid w:val="005239B3"/>
    <w:rsid w:val="00524052"/>
    <w:rsid w:val="005243F7"/>
    <w:rsid w:val="0052473B"/>
    <w:rsid w:val="00526744"/>
    <w:rsid w:val="00526B11"/>
    <w:rsid w:val="00527383"/>
    <w:rsid w:val="00527D60"/>
    <w:rsid w:val="005339DB"/>
    <w:rsid w:val="0054008D"/>
    <w:rsid w:val="00544E93"/>
    <w:rsid w:val="00545F5A"/>
    <w:rsid w:val="00546EF2"/>
    <w:rsid w:val="00547502"/>
    <w:rsid w:val="005521FA"/>
    <w:rsid w:val="0055254C"/>
    <w:rsid w:val="00554615"/>
    <w:rsid w:val="005566E8"/>
    <w:rsid w:val="005567B6"/>
    <w:rsid w:val="0055795B"/>
    <w:rsid w:val="0056224E"/>
    <w:rsid w:val="00564599"/>
    <w:rsid w:val="00570B99"/>
    <w:rsid w:val="005712D7"/>
    <w:rsid w:val="00574867"/>
    <w:rsid w:val="005756AF"/>
    <w:rsid w:val="00575C7B"/>
    <w:rsid w:val="00580776"/>
    <w:rsid w:val="00584894"/>
    <w:rsid w:val="00584910"/>
    <w:rsid w:val="005877F8"/>
    <w:rsid w:val="00591460"/>
    <w:rsid w:val="005930DC"/>
    <w:rsid w:val="00593A2E"/>
    <w:rsid w:val="005968E3"/>
    <w:rsid w:val="005979D9"/>
    <w:rsid w:val="005A02AB"/>
    <w:rsid w:val="005A2B76"/>
    <w:rsid w:val="005A2F25"/>
    <w:rsid w:val="005A65E0"/>
    <w:rsid w:val="005A6C25"/>
    <w:rsid w:val="005A7E77"/>
    <w:rsid w:val="005B0A81"/>
    <w:rsid w:val="005B2D44"/>
    <w:rsid w:val="005B4C54"/>
    <w:rsid w:val="005B5E1E"/>
    <w:rsid w:val="005B5E23"/>
    <w:rsid w:val="005B5FE4"/>
    <w:rsid w:val="005B758B"/>
    <w:rsid w:val="005C0FBC"/>
    <w:rsid w:val="005C146F"/>
    <w:rsid w:val="005C1C2A"/>
    <w:rsid w:val="005C2AE6"/>
    <w:rsid w:val="005C2D83"/>
    <w:rsid w:val="005C3512"/>
    <w:rsid w:val="005C356C"/>
    <w:rsid w:val="005C3777"/>
    <w:rsid w:val="005C3AE5"/>
    <w:rsid w:val="005C598D"/>
    <w:rsid w:val="005C5CDC"/>
    <w:rsid w:val="005C6FAB"/>
    <w:rsid w:val="005C79E1"/>
    <w:rsid w:val="005D0AA9"/>
    <w:rsid w:val="005D476C"/>
    <w:rsid w:val="005D56F2"/>
    <w:rsid w:val="005D5CAE"/>
    <w:rsid w:val="005E1F8F"/>
    <w:rsid w:val="005E247F"/>
    <w:rsid w:val="005E3AD2"/>
    <w:rsid w:val="005E650C"/>
    <w:rsid w:val="005E701A"/>
    <w:rsid w:val="005F3D0B"/>
    <w:rsid w:val="005F3F7B"/>
    <w:rsid w:val="005F4F85"/>
    <w:rsid w:val="005F6C64"/>
    <w:rsid w:val="005F7FC5"/>
    <w:rsid w:val="00600BBB"/>
    <w:rsid w:val="00601412"/>
    <w:rsid w:val="006015F9"/>
    <w:rsid w:val="006021E3"/>
    <w:rsid w:val="00605A65"/>
    <w:rsid w:val="00606F06"/>
    <w:rsid w:val="00613205"/>
    <w:rsid w:val="0061342E"/>
    <w:rsid w:val="00613EC1"/>
    <w:rsid w:val="00616FA1"/>
    <w:rsid w:val="00617596"/>
    <w:rsid w:val="00617CDD"/>
    <w:rsid w:val="006200BF"/>
    <w:rsid w:val="00621037"/>
    <w:rsid w:val="00621157"/>
    <w:rsid w:val="006219F8"/>
    <w:rsid w:val="00624E3E"/>
    <w:rsid w:val="00625A4E"/>
    <w:rsid w:val="00625F39"/>
    <w:rsid w:val="006266D7"/>
    <w:rsid w:val="00627DD0"/>
    <w:rsid w:val="006302F7"/>
    <w:rsid w:val="0063082D"/>
    <w:rsid w:val="00635CDF"/>
    <w:rsid w:val="00637F06"/>
    <w:rsid w:val="00640E35"/>
    <w:rsid w:val="00643F93"/>
    <w:rsid w:val="006446CE"/>
    <w:rsid w:val="006454C8"/>
    <w:rsid w:val="00646B9F"/>
    <w:rsid w:val="00652ADB"/>
    <w:rsid w:val="00653382"/>
    <w:rsid w:val="00657665"/>
    <w:rsid w:val="006615FE"/>
    <w:rsid w:val="006650A3"/>
    <w:rsid w:val="00665D70"/>
    <w:rsid w:val="00670E33"/>
    <w:rsid w:val="006724F0"/>
    <w:rsid w:val="006725D0"/>
    <w:rsid w:val="00673B27"/>
    <w:rsid w:val="00675EAB"/>
    <w:rsid w:val="006809A8"/>
    <w:rsid w:val="00683739"/>
    <w:rsid w:val="006900D9"/>
    <w:rsid w:val="00692779"/>
    <w:rsid w:val="00692A9F"/>
    <w:rsid w:val="00695D4C"/>
    <w:rsid w:val="00697429"/>
    <w:rsid w:val="006A193A"/>
    <w:rsid w:val="006A35A8"/>
    <w:rsid w:val="006A3B3C"/>
    <w:rsid w:val="006A5D7B"/>
    <w:rsid w:val="006A5F94"/>
    <w:rsid w:val="006B0207"/>
    <w:rsid w:val="006B0734"/>
    <w:rsid w:val="006B0BB9"/>
    <w:rsid w:val="006B4AB2"/>
    <w:rsid w:val="006C08D1"/>
    <w:rsid w:val="006C18B6"/>
    <w:rsid w:val="006C35D8"/>
    <w:rsid w:val="006C6AAE"/>
    <w:rsid w:val="006C7B31"/>
    <w:rsid w:val="006D4CFA"/>
    <w:rsid w:val="006D6332"/>
    <w:rsid w:val="006D7341"/>
    <w:rsid w:val="006E05CA"/>
    <w:rsid w:val="006E2FD3"/>
    <w:rsid w:val="006E3A2D"/>
    <w:rsid w:val="006E3CD9"/>
    <w:rsid w:val="006E4594"/>
    <w:rsid w:val="006E4791"/>
    <w:rsid w:val="006E4C10"/>
    <w:rsid w:val="006E57E3"/>
    <w:rsid w:val="006E64D4"/>
    <w:rsid w:val="006F133B"/>
    <w:rsid w:val="006F6686"/>
    <w:rsid w:val="006F6E5F"/>
    <w:rsid w:val="00702D26"/>
    <w:rsid w:val="007068D9"/>
    <w:rsid w:val="00706C16"/>
    <w:rsid w:val="00716BB2"/>
    <w:rsid w:val="007227D2"/>
    <w:rsid w:val="00722ECC"/>
    <w:rsid w:val="0072479E"/>
    <w:rsid w:val="00724C4B"/>
    <w:rsid w:val="00724D03"/>
    <w:rsid w:val="00727928"/>
    <w:rsid w:val="007334CB"/>
    <w:rsid w:val="00733684"/>
    <w:rsid w:val="007336A5"/>
    <w:rsid w:val="007340C3"/>
    <w:rsid w:val="00736CAD"/>
    <w:rsid w:val="00740F02"/>
    <w:rsid w:val="00743301"/>
    <w:rsid w:val="00743CA3"/>
    <w:rsid w:val="00746C57"/>
    <w:rsid w:val="00750CAE"/>
    <w:rsid w:val="00751E4C"/>
    <w:rsid w:val="00752103"/>
    <w:rsid w:val="0075235A"/>
    <w:rsid w:val="00754994"/>
    <w:rsid w:val="00754A7B"/>
    <w:rsid w:val="00756009"/>
    <w:rsid w:val="00756841"/>
    <w:rsid w:val="00757A07"/>
    <w:rsid w:val="00761CC9"/>
    <w:rsid w:val="007622DD"/>
    <w:rsid w:val="007649AB"/>
    <w:rsid w:val="00765B95"/>
    <w:rsid w:val="007706DC"/>
    <w:rsid w:val="007712AC"/>
    <w:rsid w:val="00771D0C"/>
    <w:rsid w:val="00772878"/>
    <w:rsid w:val="00775501"/>
    <w:rsid w:val="00775C16"/>
    <w:rsid w:val="007760AB"/>
    <w:rsid w:val="00776E55"/>
    <w:rsid w:val="007802F0"/>
    <w:rsid w:val="00780601"/>
    <w:rsid w:val="00781ECB"/>
    <w:rsid w:val="007833AC"/>
    <w:rsid w:val="00783E3C"/>
    <w:rsid w:val="00784AAC"/>
    <w:rsid w:val="00787E3D"/>
    <w:rsid w:val="007937B7"/>
    <w:rsid w:val="007975D0"/>
    <w:rsid w:val="007A059E"/>
    <w:rsid w:val="007B17D0"/>
    <w:rsid w:val="007B268C"/>
    <w:rsid w:val="007B3388"/>
    <w:rsid w:val="007B4834"/>
    <w:rsid w:val="007B5340"/>
    <w:rsid w:val="007B7171"/>
    <w:rsid w:val="007B7B08"/>
    <w:rsid w:val="007C0118"/>
    <w:rsid w:val="007C0C0F"/>
    <w:rsid w:val="007C3C01"/>
    <w:rsid w:val="007C3D3B"/>
    <w:rsid w:val="007C3DC2"/>
    <w:rsid w:val="007C62BA"/>
    <w:rsid w:val="007D1369"/>
    <w:rsid w:val="007D307B"/>
    <w:rsid w:val="007D3999"/>
    <w:rsid w:val="007D63B5"/>
    <w:rsid w:val="007D63CC"/>
    <w:rsid w:val="007D6933"/>
    <w:rsid w:val="007E1A66"/>
    <w:rsid w:val="007E5019"/>
    <w:rsid w:val="007E52A1"/>
    <w:rsid w:val="007E5497"/>
    <w:rsid w:val="007E58D9"/>
    <w:rsid w:val="007E6E6B"/>
    <w:rsid w:val="007E70DA"/>
    <w:rsid w:val="007E756B"/>
    <w:rsid w:val="007E7855"/>
    <w:rsid w:val="007F00B5"/>
    <w:rsid w:val="007F0574"/>
    <w:rsid w:val="007F230E"/>
    <w:rsid w:val="007F765B"/>
    <w:rsid w:val="007F7759"/>
    <w:rsid w:val="007F77A0"/>
    <w:rsid w:val="008006C5"/>
    <w:rsid w:val="008047AC"/>
    <w:rsid w:val="00806537"/>
    <w:rsid w:val="00806F5F"/>
    <w:rsid w:val="00810EBA"/>
    <w:rsid w:val="00820278"/>
    <w:rsid w:val="00820937"/>
    <w:rsid w:val="00820FAD"/>
    <w:rsid w:val="008218C2"/>
    <w:rsid w:val="0082340A"/>
    <w:rsid w:val="0082513D"/>
    <w:rsid w:val="008258C9"/>
    <w:rsid w:val="008309C6"/>
    <w:rsid w:val="0083506B"/>
    <w:rsid w:val="00835F22"/>
    <w:rsid w:val="0083635B"/>
    <w:rsid w:val="00843EB6"/>
    <w:rsid w:val="00844464"/>
    <w:rsid w:val="008446EF"/>
    <w:rsid w:val="00844A08"/>
    <w:rsid w:val="00844A6B"/>
    <w:rsid w:val="00844AE9"/>
    <w:rsid w:val="00845206"/>
    <w:rsid w:val="00845882"/>
    <w:rsid w:val="0084609E"/>
    <w:rsid w:val="00847BC0"/>
    <w:rsid w:val="00847FC0"/>
    <w:rsid w:val="0085196C"/>
    <w:rsid w:val="00856545"/>
    <w:rsid w:val="00856E3E"/>
    <w:rsid w:val="008576E2"/>
    <w:rsid w:val="0086043A"/>
    <w:rsid w:val="00860721"/>
    <w:rsid w:val="00861CA3"/>
    <w:rsid w:val="00862FC1"/>
    <w:rsid w:val="0086480A"/>
    <w:rsid w:val="00864B05"/>
    <w:rsid w:val="00865247"/>
    <w:rsid w:val="00867CB5"/>
    <w:rsid w:val="00867F95"/>
    <w:rsid w:val="0087048D"/>
    <w:rsid w:val="008813A3"/>
    <w:rsid w:val="00881FAE"/>
    <w:rsid w:val="008843B6"/>
    <w:rsid w:val="00887CA3"/>
    <w:rsid w:val="00891928"/>
    <w:rsid w:val="00893FEB"/>
    <w:rsid w:val="008A08C2"/>
    <w:rsid w:val="008A446D"/>
    <w:rsid w:val="008A618B"/>
    <w:rsid w:val="008A7784"/>
    <w:rsid w:val="008B08F1"/>
    <w:rsid w:val="008B25F1"/>
    <w:rsid w:val="008B3A06"/>
    <w:rsid w:val="008B5A0C"/>
    <w:rsid w:val="008C017D"/>
    <w:rsid w:val="008C0348"/>
    <w:rsid w:val="008C13C8"/>
    <w:rsid w:val="008C15C0"/>
    <w:rsid w:val="008C1D74"/>
    <w:rsid w:val="008C2148"/>
    <w:rsid w:val="008C522F"/>
    <w:rsid w:val="008D1068"/>
    <w:rsid w:val="008D180B"/>
    <w:rsid w:val="008D1C1D"/>
    <w:rsid w:val="008D34F2"/>
    <w:rsid w:val="008D35DD"/>
    <w:rsid w:val="008D533E"/>
    <w:rsid w:val="008E06C4"/>
    <w:rsid w:val="008E0B6F"/>
    <w:rsid w:val="008E1905"/>
    <w:rsid w:val="008E318F"/>
    <w:rsid w:val="008E4B11"/>
    <w:rsid w:val="008E73E1"/>
    <w:rsid w:val="008F0EA7"/>
    <w:rsid w:val="008F297F"/>
    <w:rsid w:val="008F5E43"/>
    <w:rsid w:val="008F6CB9"/>
    <w:rsid w:val="008F7DFC"/>
    <w:rsid w:val="00901378"/>
    <w:rsid w:val="00904F2B"/>
    <w:rsid w:val="0090675F"/>
    <w:rsid w:val="009103B3"/>
    <w:rsid w:val="00912EA0"/>
    <w:rsid w:val="00914E0D"/>
    <w:rsid w:val="009157FB"/>
    <w:rsid w:val="00916CF5"/>
    <w:rsid w:val="00917D08"/>
    <w:rsid w:val="00917D7C"/>
    <w:rsid w:val="00920683"/>
    <w:rsid w:val="00923EEF"/>
    <w:rsid w:val="00924558"/>
    <w:rsid w:val="00926AFB"/>
    <w:rsid w:val="00933F65"/>
    <w:rsid w:val="009347E9"/>
    <w:rsid w:val="00934B3C"/>
    <w:rsid w:val="0093642D"/>
    <w:rsid w:val="009419F9"/>
    <w:rsid w:val="00942F04"/>
    <w:rsid w:val="009435AC"/>
    <w:rsid w:val="00947432"/>
    <w:rsid w:val="00947764"/>
    <w:rsid w:val="00952228"/>
    <w:rsid w:val="0095685E"/>
    <w:rsid w:val="00957681"/>
    <w:rsid w:val="0095799F"/>
    <w:rsid w:val="00961B09"/>
    <w:rsid w:val="00962B17"/>
    <w:rsid w:val="00963A43"/>
    <w:rsid w:val="00965334"/>
    <w:rsid w:val="0096783E"/>
    <w:rsid w:val="00967D67"/>
    <w:rsid w:val="00967DE3"/>
    <w:rsid w:val="0097093E"/>
    <w:rsid w:val="009712CF"/>
    <w:rsid w:val="0097530E"/>
    <w:rsid w:val="009754CF"/>
    <w:rsid w:val="00975D9C"/>
    <w:rsid w:val="00976CEB"/>
    <w:rsid w:val="0098061E"/>
    <w:rsid w:val="00980D0A"/>
    <w:rsid w:val="0098514C"/>
    <w:rsid w:val="00993FF1"/>
    <w:rsid w:val="00996FCF"/>
    <w:rsid w:val="009A0DFA"/>
    <w:rsid w:val="009A1C6F"/>
    <w:rsid w:val="009A2C7A"/>
    <w:rsid w:val="009A46DF"/>
    <w:rsid w:val="009A63B1"/>
    <w:rsid w:val="009A6D45"/>
    <w:rsid w:val="009A7CA2"/>
    <w:rsid w:val="009B0163"/>
    <w:rsid w:val="009B2D26"/>
    <w:rsid w:val="009C1939"/>
    <w:rsid w:val="009C20F9"/>
    <w:rsid w:val="009C4DE6"/>
    <w:rsid w:val="009C5ADB"/>
    <w:rsid w:val="009C71FA"/>
    <w:rsid w:val="009C72E7"/>
    <w:rsid w:val="009C7F7E"/>
    <w:rsid w:val="009D2A2F"/>
    <w:rsid w:val="009D3058"/>
    <w:rsid w:val="009E04BE"/>
    <w:rsid w:val="009E28AD"/>
    <w:rsid w:val="009E2C70"/>
    <w:rsid w:val="009E4DE7"/>
    <w:rsid w:val="009E75C5"/>
    <w:rsid w:val="009E763C"/>
    <w:rsid w:val="009F0380"/>
    <w:rsid w:val="009F1284"/>
    <w:rsid w:val="009F3A13"/>
    <w:rsid w:val="009F4095"/>
    <w:rsid w:val="009F6918"/>
    <w:rsid w:val="009F6C21"/>
    <w:rsid w:val="00A009AF"/>
    <w:rsid w:val="00A03AF3"/>
    <w:rsid w:val="00A06FFF"/>
    <w:rsid w:val="00A10174"/>
    <w:rsid w:val="00A122D3"/>
    <w:rsid w:val="00A1233B"/>
    <w:rsid w:val="00A134A4"/>
    <w:rsid w:val="00A14468"/>
    <w:rsid w:val="00A17406"/>
    <w:rsid w:val="00A17F13"/>
    <w:rsid w:val="00A20145"/>
    <w:rsid w:val="00A20739"/>
    <w:rsid w:val="00A21A2E"/>
    <w:rsid w:val="00A23AF9"/>
    <w:rsid w:val="00A27052"/>
    <w:rsid w:val="00A310A0"/>
    <w:rsid w:val="00A314D0"/>
    <w:rsid w:val="00A31B65"/>
    <w:rsid w:val="00A33C78"/>
    <w:rsid w:val="00A345DD"/>
    <w:rsid w:val="00A42E16"/>
    <w:rsid w:val="00A50128"/>
    <w:rsid w:val="00A50B12"/>
    <w:rsid w:val="00A51A78"/>
    <w:rsid w:val="00A54A64"/>
    <w:rsid w:val="00A56D60"/>
    <w:rsid w:val="00A575B5"/>
    <w:rsid w:val="00A57A60"/>
    <w:rsid w:val="00A6016B"/>
    <w:rsid w:val="00A604D4"/>
    <w:rsid w:val="00A6650D"/>
    <w:rsid w:val="00A67369"/>
    <w:rsid w:val="00A70219"/>
    <w:rsid w:val="00A72101"/>
    <w:rsid w:val="00A72A63"/>
    <w:rsid w:val="00A72F4B"/>
    <w:rsid w:val="00A744AA"/>
    <w:rsid w:val="00A75061"/>
    <w:rsid w:val="00A751E5"/>
    <w:rsid w:val="00A76340"/>
    <w:rsid w:val="00A8192E"/>
    <w:rsid w:val="00A822FD"/>
    <w:rsid w:val="00A82DB0"/>
    <w:rsid w:val="00A83154"/>
    <w:rsid w:val="00A851F8"/>
    <w:rsid w:val="00A858CF"/>
    <w:rsid w:val="00A859B6"/>
    <w:rsid w:val="00A92D03"/>
    <w:rsid w:val="00A93345"/>
    <w:rsid w:val="00A95F32"/>
    <w:rsid w:val="00A97A39"/>
    <w:rsid w:val="00AA02B7"/>
    <w:rsid w:val="00AA1FE4"/>
    <w:rsid w:val="00AA3482"/>
    <w:rsid w:val="00AA3D82"/>
    <w:rsid w:val="00AA6777"/>
    <w:rsid w:val="00AB0ADB"/>
    <w:rsid w:val="00AB1FF8"/>
    <w:rsid w:val="00AB24C2"/>
    <w:rsid w:val="00AB600A"/>
    <w:rsid w:val="00AB6E30"/>
    <w:rsid w:val="00AB7520"/>
    <w:rsid w:val="00AB7876"/>
    <w:rsid w:val="00AC1693"/>
    <w:rsid w:val="00AC353D"/>
    <w:rsid w:val="00AC5DA8"/>
    <w:rsid w:val="00AD2ACC"/>
    <w:rsid w:val="00AD55D9"/>
    <w:rsid w:val="00AD6163"/>
    <w:rsid w:val="00AE17D2"/>
    <w:rsid w:val="00AE189B"/>
    <w:rsid w:val="00AE329C"/>
    <w:rsid w:val="00AE45AC"/>
    <w:rsid w:val="00AE574C"/>
    <w:rsid w:val="00AE595A"/>
    <w:rsid w:val="00AE6D51"/>
    <w:rsid w:val="00AE7395"/>
    <w:rsid w:val="00AF047A"/>
    <w:rsid w:val="00AF09D6"/>
    <w:rsid w:val="00AF247C"/>
    <w:rsid w:val="00AF3A3E"/>
    <w:rsid w:val="00AF6CBA"/>
    <w:rsid w:val="00B00C0E"/>
    <w:rsid w:val="00B01B1A"/>
    <w:rsid w:val="00B021AC"/>
    <w:rsid w:val="00B0381D"/>
    <w:rsid w:val="00B03D3C"/>
    <w:rsid w:val="00B03F9C"/>
    <w:rsid w:val="00B04C46"/>
    <w:rsid w:val="00B07447"/>
    <w:rsid w:val="00B07EE8"/>
    <w:rsid w:val="00B10634"/>
    <w:rsid w:val="00B11F11"/>
    <w:rsid w:val="00B121F7"/>
    <w:rsid w:val="00B13E5A"/>
    <w:rsid w:val="00B13E8D"/>
    <w:rsid w:val="00B147A4"/>
    <w:rsid w:val="00B14EED"/>
    <w:rsid w:val="00B17102"/>
    <w:rsid w:val="00B218A9"/>
    <w:rsid w:val="00B224F8"/>
    <w:rsid w:val="00B22BDC"/>
    <w:rsid w:val="00B23EE7"/>
    <w:rsid w:val="00B25047"/>
    <w:rsid w:val="00B25613"/>
    <w:rsid w:val="00B257CB"/>
    <w:rsid w:val="00B304AF"/>
    <w:rsid w:val="00B30E7B"/>
    <w:rsid w:val="00B33ED6"/>
    <w:rsid w:val="00B36AF7"/>
    <w:rsid w:val="00B36E41"/>
    <w:rsid w:val="00B37401"/>
    <w:rsid w:val="00B3763A"/>
    <w:rsid w:val="00B37CC1"/>
    <w:rsid w:val="00B37F8C"/>
    <w:rsid w:val="00B439AA"/>
    <w:rsid w:val="00B43F8B"/>
    <w:rsid w:val="00B44A47"/>
    <w:rsid w:val="00B44E76"/>
    <w:rsid w:val="00B45D54"/>
    <w:rsid w:val="00B4691A"/>
    <w:rsid w:val="00B5246B"/>
    <w:rsid w:val="00B524C9"/>
    <w:rsid w:val="00B52710"/>
    <w:rsid w:val="00B53E33"/>
    <w:rsid w:val="00B55864"/>
    <w:rsid w:val="00B56A6D"/>
    <w:rsid w:val="00B5789D"/>
    <w:rsid w:val="00B57B01"/>
    <w:rsid w:val="00B63C39"/>
    <w:rsid w:val="00B66AA8"/>
    <w:rsid w:val="00B66E67"/>
    <w:rsid w:val="00B70323"/>
    <w:rsid w:val="00B72CD3"/>
    <w:rsid w:val="00B72FFF"/>
    <w:rsid w:val="00B73CF4"/>
    <w:rsid w:val="00B75769"/>
    <w:rsid w:val="00B76D46"/>
    <w:rsid w:val="00B76FAE"/>
    <w:rsid w:val="00B81959"/>
    <w:rsid w:val="00B83594"/>
    <w:rsid w:val="00B8490B"/>
    <w:rsid w:val="00B87283"/>
    <w:rsid w:val="00B9186D"/>
    <w:rsid w:val="00B92050"/>
    <w:rsid w:val="00B93F50"/>
    <w:rsid w:val="00B96118"/>
    <w:rsid w:val="00B9760C"/>
    <w:rsid w:val="00BA0F7F"/>
    <w:rsid w:val="00BA2001"/>
    <w:rsid w:val="00BA310B"/>
    <w:rsid w:val="00BA67CE"/>
    <w:rsid w:val="00BA69B1"/>
    <w:rsid w:val="00BB3C1F"/>
    <w:rsid w:val="00BB7178"/>
    <w:rsid w:val="00BC3A61"/>
    <w:rsid w:val="00BC3D36"/>
    <w:rsid w:val="00BC4D68"/>
    <w:rsid w:val="00BC5F0F"/>
    <w:rsid w:val="00BC7C12"/>
    <w:rsid w:val="00BD0376"/>
    <w:rsid w:val="00BD0BDC"/>
    <w:rsid w:val="00BD262C"/>
    <w:rsid w:val="00BD54A6"/>
    <w:rsid w:val="00BD5710"/>
    <w:rsid w:val="00BD6409"/>
    <w:rsid w:val="00BD6EA3"/>
    <w:rsid w:val="00BD7F72"/>
    <w:rsid w:val="00BE2378"/>
    <w:rsid w:val="00BE2793"/>
    <w:rsid w:val="00BE4DF7"/>
    <w:rsid w:val="00BE53C6"/>
    <w:rsid w:val="00BE58F0"/>
    <w:rsid w:val="00BE68E7"/>
    <w:rsid w:val="00BE6D2E"/>
    <w:rsid w:val="00BE7FDF"/>
    <w:rsid w:val="00BF3773"/>
    <w:rsid w:val="00BF4440"/>
    <w:rsid w:val="00BF590D"/>
    <w:rsid w:val="00BF7425"/>
    <w:rsid w:val="00BF7FD2"/>
    <w:rsid w:val="00C00584"/>
    <w:rsid w:val="00C01FD7"/>
    <w:rsid w:val="00C037FD"/>
    <w:rsid w:val="00C03868"/>
    <w:rsid w:val="00C04B2B"/>
    <w:rsid w:val="00C04FB3"/>
    <w:rsid w:val="00C05F2E"/>
    <w:rsid w:val="00C07ACF"/>
    <w:rsid w:val="00C10BC3"/>
    <w:rsid w:val="00C11D8B"/>
    <w:rsid w:val="00C138F9"/>
    <w:rsid w:val="00C15139"/>
    <w:rsid w:val="00C16EAC"/>
    <w:rsid w:val="00C174DD"/>
    <w:rsid w:val="00C24347"/>
    <w:rsid w:val="00C25563"/>
    <w:rsid w:val="00C26510"/>
    <w:rsid w:val="00C270A3"/>
    <w:rsid w:val="00C27470"/>
    <w:rsid w:val="00C308D2"/>
    <w:rsid w:val="00C309C9"/>
    <w:rsid w:val="00C30E23"/>
    <w:rsid w:val="00C31D52"/>
    <w:rsid w:val="00C330EB"/>
    <w:rsid w:val="00C35F41"/>
    <w:rsid w:val="00C400A9"/>
    <w:rsid w:val="00C40E96"/>
    <w:rsid w:val="00C416B1"/>
    <w:rsid w:val="00C4302D"/>
    <w:rsid w:val="00C45A9E"/>
    <w:rsid w:val="00C4752A"/>
    <w:rsid w:val="00C5070A"/>
    <w:rsid w:val="00C50D69"/>
    <w:rsid w:val="00C50E70"/>
    <w:rsid w:val="00C5287E"/>
    <w:rsid w:val="00C531CB"/>
    <w:rsid w:val="00C5365C"/>
    <w:rsid w:val="00C55450"/>
    <w:rsid w:val="00C645F4"/>
    <w:rsid w:val="00C67E80"/>
    <w:rsid w:val="00C70581"/>
    <w:rsid w:val="00C7150F"/>
    <w:rsid w:val="00C71D88"/>
    <w:rsid w:val="00C752D5"/>
    <w:rsid w:val="00C754BE"/>
    <w:rsid w:val="00C76786"/>
    <w:rsid w:val="00C76B1C"/>
    <w:rsid w:val="00C82AEE"/>
    <w:rsid w:val="00C85433"/>
    <w:rsid w:val="00C90617"/>
    <w:rsid w:val="00C925AC"/>
    <w:rsid w:val="00C93CE4"/>
    <w:rsid w:val="00C95EB7"/>
    <w:rsid w:val="00CA2A60"/>
    <w:rsid w:val="00CA3A63"/>
    <w:rsid w:val="00CA3EED"/>
    <w:rsid w:val="00CA77CB"/>
    <w:rsid w:val="00CB2DFB"/>
    <w:rsid w:val="00CB4038"/>
    <w:rsid w:val="00CB496F"/>
    <w:rsid w:val="00CB4E73"/>
    <w:rsid w:val="00CB6357"/>
    <w:rsid w:val="00CB69A0"/>
    <w:rsid w:val="00CB6C86"/>
    <w:rsid w:val="00CC028B"/>
    <w:rsid w:val="00CC04F3"/>
    <w:rsid w:val="00CC0DB5"/>
    <w:rsid w:val="00CC1B26"/>
    <w:rsid w:val="00CC2530"/>
    <w:rsid w:val="00CC424E"/>
    <w:rsid w:val="00CC55E8"/>
    <w:rsid w:val="00CC6EA4"/>
    <w:rsid w:val="00CC703E"/>
    <w:rsid w:val="00CD09A7"/>
    <w:rsid w:val="00CD12FA"/>
    <w:rsid w:val="00CD184C"/>
    <w:rsid w:val="00CD7E83"/>
    <w:rsid w:val="00CE0226"/>
    <w:rsid w:val="00CE5193"/>
    <w:rsid w:val="00CF0A77"/>
    <w:rsid w:val="00CF55CF"/>
    <w:rsid w:val="00D02950"/>
    <w:rsid w:val="00D02EE0"/>
    <w:rsid w:val="00D05962"/>
    <w:rsid w:val="00D10991"/>
    <w:rsid w:val="00D161BE"/>
    <w:rsid w:val="00D16223"/>
    <w:rsid w:val="00D166B2"/>
    <w:rsid w:val="00D20E76"/>
    <w:rsid w:val="00D231AD"/>
    <w:rsid w:val="00D24123"/>
    <w:rsid w:val="00D24D67"/>
    <w:rsid w:val="00D26F18"/>
    <w:rsid w:val="00D34887"/>
    <w:rsid w:val="00D361FD"/>
    <w:rsid w:val="00D36581"/>
    <w:rsid w:val="00D36F1B"/>
    <w:rsid w:val="00D375A2"/>
    <w:rsid w:val="00D40244"/>
    <w:rsid w:val="00D423A2"/>
    <w:rsid w:val="00D42565"/>
    <w:rsid w:val="00D44E26"/>
    <w:rsid w:val="00D47A94"/>
    <w:rsid w:val="00D47E0F"/>
    <w:rsid w:val="00D50A51"/>
    <w:rsid w:val="00D51480"/>
    <w:rsid w:val="00D520D8"/>
    <w:rsid w:val="00D52A6D"/>
    <w:rsid w:val="00D5525A"/>
    <w:rsid w:val="00D55781"/>
    <w:rsid w:val="00D57FE8"/>
    <w:rsid w:val="00D6057E"/>
    <w:rsid w:val="00D60B0B"/>
    <w:rsid w:val="00D62A30"/>
    <w:rsid w:val="00D63AC2"/>
    <w:rsid w:val="00D64BE0"/>
    <w:rsid w:val="00D67C2C"/>
    <w:rsid w:val="00D72446"/>
    <w:rsid w:val="00D72B1D"/>
    <w:rsid w:val="00D7383B"/>
    <w:rsid w:val="00D75B26"/>
    <w:rsid w:val="00D7788A"/>
    <w:rsid w:val="00D8568F"/>
    <w:rsid w:val="00D87A02"/>
    <w:rsid w:val="00D9012C"/>
    <w:rsid w:val="00D91B3F"/>
    <w:rsid w:val="00D92711"/>
    <w:rsid w:val="00D92DDB"/>
    <w:rsid w:val="00D93290"/>
    <w:rsid w:val="00D93CAF"/>
    <w:rsid w:val="00DA0544"/>
    <w:rsid w:val="00DA0612"/>
    <w:rsid w:val="00DA231B"/>
    <w:rsid w:val="00DA37C5"/>
    <w:rsid w:val="00DA4941"/>
    <w:rsid w:val="00DA5E65"/>
    <w:rsid w:val="00DB094E"/>
    <w:rsid w:val="00DB2934"/>
    <w:rsid w:val="00DB5EC7"/>
    <w:rsid w:val="00DB6161"/>
    <w:rsid w:val="00DB62F2"/>
    <w:rsid w:val="00DC06A4"/>
    <w:rsid w:val="00DC39FC"/>
    <w:rsid w:val="00DC4016"/>
    <w:rsid w:val="00DD41FA"/>
    <w:rsid w:val="00DE0061"/>
    <w:rsid w:val="00DE05DD"/>
    <w:rsid w:val="00DE0B58"/>
    <w:rsid w:val="00DE4DA1"/>
    <w:rsid w:val="00DE5F1D"/>
    <w:rsid w:val="00DF24E4"/>
    <w:rsid w:val="00DF4613"/>
    <w:rsid w:val="00DF51B8"/>
    <w:rsid w:val="00DF5254"/>
    <w:rsid w:val="00DF645C"/>
    <w:rsid w:val="00E000C6"/>
    <w:rsid w:val="00E0055C"/>
    <w:rsid w:val="00E00EC8"/>
    <w:rsid w:val="00E010FA"/>
    <w:rsid w:val="00E02524"/>
    <w:rsid w:val="00E03BB4"/>
    <w:rsid w:val="00E12F1D"/>
    <w:rsid w:val="00E1378A"/>
    <w:rsid w:val="00E14270"/>
    <w:rsid w:val="00E14486"/>
    <w:rsid w:val="00E16408"/>
    <w:rsid w:val="00E17CA3"/>
    <w:rsid w:val="00E20894"/>
    <w:rsid w:val="00E20A34"/>
    <w:rsid w:val="00E20E5A"/>
    <w:rsid w:val="00E22A31"/>
    <w:rsid w:val="00E23D03"/>
    <w:rsid w:val="00E245AB"/>
    <w:rsid w:val="00E248AD"/>
    <w:rsid w:val="00E26C46"/>
    <w:rsid w:val="00E2764C"/>
    <w:rsid w:val="00E27F2E"/>
    <w:rsid w:val="00E30F08"/>
    <w:rsid w:val="00E313CE"/>
    <w:rsid w:val="00E33E17"/>
    <w:rsid w:val="00E35D1B"/>
    <w:rsid w:val="00E372B8"/>
    <w:rsid w:val="00E37D67"/>
    <w:rsid w:val="00E41A71"/>
    <w:rsid w:val="00E45963"/>
    <w:rsid w:val="00E50AFE"/>
    <w:rsid w:val="00E50B85"/>
    <w:rsid w:val="00E56386"/>
    <w:rsid w:val="00E574F5"/>
    <w:rsid w:val="00E60756"/>
    <w:rsid w:val="00E62D85"/>
    <w:rsid w:val="00E63A4C"/>
    <w:rsid w:val="00E6428D"/>
    <w:rsid w:val="00E65011"/>
    <w:rsid w:val="00E65215"/>
    <w:rsid w:val="00E65592"/>
    <w:rsid w:val="00E7036C"/>
    <w:rsid w:val="00E70407"/>
    <w:rsid w:val="00E70587"/>
    <w:rsid w:val="00E716AF"/>
    <w:rsid w:val="00E75C89"/>
    <w:rsid w:val="00E75C92"/>
    <w:rsid w:val="00E771DC"/>
    <w:rsid w:val="00E80EBB"/>
    <w:rsid w:val="00E84424"/>
    <w:rsid w:val="00E863A3"/>
    <w:rsid w:val="00E8772A"/>
    <w:rsid w:val="00E87AE9"/>
    <w:rsid w:val="00E90F6B"/>
    <w:rsid w:val="00E91CA9"/>
    <w:rsid w:val="00E924C0"/>
    <w:rsid w:val="00E92C27"/>
    <w:rsid w:val="00E93B3A"/>
    <w:rsid w:val="00E961CC"/>
    <w:rsid w:val="00E96B22"/>
    <w:rsid w:val="00EA0E3D"/>
    <w:rsid w:val="00EA1411"/>
    <w:rsid w:val="00EA5D64"/>
    <w:rsid w:val="00EA71F6"/>
    <w:rsid w:val="00EA74F9"/>
    <w:rsid w:val="00EB1C21"/>
    <w:rsid w:val="00EB22ED"/>
    <w:rsid w:val="00EB2E75"/>
    <w:rsid w:val="00EC1784"/>
    <w:rsid w:val="00EC1BC2"/>
    <w:rsid w:val="00EC2EAD"/>
    <w:rsid w:val="00EC38A7"/>
    <w:rsid w:val="00EC3DCF"/>
    <w:rsid w:val="00EC65F9"/>
    <w:rsid w:val="00ED1F31"/>
    <w:rsid w:val="00ED2182"/>
    <w:rsid w:val="00ED2AFA"/>
    <w:rsid w:val="00EE093F"/>
    <w:rsid w:val="00EE0C24"/>
    <w:rsid w:val="00EE1AA8"/>
    <w:rsid w:val="00EE2ECC"/>
    <w:rsid w:val="00EE4660"/>
    <w:rsid w:val="00EE4810"/>
    <w:rsid w:val="00EE6152"/>
    <w:rsid w:val="00EF0894"/>
    <w:rsid w:val="00EF335D"/>
    <w:rsid w:val="00EF3663"/>
    <w:rsid w:val="00EF6F7E"/>
    <w:rsid w:val="00EF74EA"/>
    <w:rsid w:val="00EF77B5"/>
    <w:rsid w:val="00F01300"/>
    <w:rsid w:val="00F039DE"/>
    <w:rsid w:val="00F05A4A"/>
    <w:rsid w:val="00F072DC"/>
    <w:rsid w:val="00F10ACB"/>
    <w:rsid w:val="00F10D2A"/>
    <w:rsid w:val="00F14A34"/>
    <w:rsid w:val="00F151FA"/>
    <w:rsid w:val="00F17503"/>
    <w:rsid w:val="00F17579"/>
    <w:rsid w:val="00F229F4"/>
    <w:rsid w:val="00F23FEA"/>
    <w:rsid w:val="00F26749"/>
    <w:rsid w:val="00F27F25"/>
    <w:rsid w:val="00F30BA5"/>
    <w:rsid w:val="00F31166"/>
    <w:rsid w:val="00F31EDC"/>
    <w:rsid w:val="00F332E4"/>
    <w:rsid w:val="00F33AC4"/>
    <w:rsid w:val="00F415FC"/>
    <w:rsid w:val="00F4564D"/>
    <w:rsid w:val="00F462B3"/>
    <w:rsid w:val="00F52B54"/>
    <w:rsid w:val="00F53CF9"/>
    <w:rsid w:val="00F5664F"/>
    <w:rsid w:val="00F57E2E"/>
    <w:rsid w:val="00F633BE"/>
    <w:rsid w:val="00F63CDC"/>
    <w:rsid w:val="00F640B9"/>
    <w:rsid w:val="00F666C4"/>
    <w:rsid w:val="00F66A43"/>
    <w:rsid w:val="00F66A92"/>
    <w:rsid w:val="00F7349B"/>
    <w:rsid w:val="00F74D7D"/>
    <w:rsid w:val="00F76AFC"/>
    <w:rsid w:val="00F770C2"/>
    <w:rsid w:val="00F8282B"/>
    <w:rsid w:val="00F82EBA"/>
    <w:rsid w:val="00F833DB"/>
    <w:rsid w:val="00F83A33"/>
    <w:rsid w:val="00F83CC9"/>
    <w:rsid w:val="00F8463E"/>
    <w:rsid w:val="00F84F44"/>
    <w:rsid w:val="00F853D3"/>
    <w:rsid w:val="00F862FA"/>
    <w:rsid w:val="00F90A20"/>
    <w:rsid w:val="00F91FFA"/>
    <w:rsid w:val="00F96570"/>
    <w:rsid w:val="00F97702"/>
    <w:rsid w:val="00FA1A18"/>
    <w:rsid w:val="00FA2CDA"/>
    <w:rsid w:val="00FA47C0"/>
    <w:rsid w:val="00FA55F4"/>
    <w:rsid w:val="00FA5B39"/>
    <w:rsid w:val="00FA740D"/>
    <w:rsid w:val="00FA7E97"/>
    <w:rsid w:val="00FB0273"/>
    <w:rsid w:val="00FB44C9"/>
    <w:rsid w:val="00FB5DD1"/>
    <w:rsid w:val="00FB69EF"/>
    <w:rsid w:val="00FB7209"/>
    <w:rsid w:val="00FC021D"/>
    <w:rsid w:val="00FC285E"/>
    <w:rsid w:val="00FC2B5D"/>
    <w:rsid w:val="00FC63F8"/>
    <w:rsid w:val="00FC7F7A"/>
    <w:rsid w:val="00FD0113"/>
    <w:rsid w:val="00FD5E64"/>
    <w:rsid w:val="00FE029B"/>
    <w:rsid w:val="00FE1C78"/>
    <w:rsid w:val="00FE58BB"/>
    <w:rsid w:val="00FE6ECA"/>
    <w:rsid w:val="00FF021F"/>
    <w:rsid w:val="00FF1116"/>
    <w:rsid w:val="00FF1449"/>
    <w:rsid w:val="00FF2E7A"/>
    <w:rsid w:val="00FF358C"/>
    <w:rsid w:val="00FF48ED"/>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5474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54748"/>
    <w:rPr>
      <w:rFonts w:ascii="Geomanist Light" w:hAnsi="Geomanist Light"/>
      <w:lang w:val="es-ES"/>
    </w:rPr>
  </w:style>
  <w:style w:type="paragraph" w:styleId="Lista2">
    <w:name w:val="List 2"/>
    <w:basedOn w:val="Normal"/>
    <w:uiPriority w:val="99"/>
    <w:unhideWhenUsed/>
    <w:rsid w:val="005A6C25"/>
    <w:pPr>
      <w:ind w:left="566" w:hanging="283"/>
      <w:contextualSpacing/>
    </w:pPr>
  </w:style>
  <w:style w:type="paragraph" w:styleId="Saludo">
    <w:name w:val="Salutation"/>
    <w:basedOn w:val="Normal"/>
    <w:next w:val="Normal"/>
    <w:link w:val="SaludoCar"/>
    <w:uiPriority w:val="99"/>
    <w:unhideWhenUsed/>
    <w:rsid w:val="005A6C25"/>
  </w:style>
  <w:style w:type="character" w:customStyle="1" w:styleId="SaludoCar">
    <w:name w:val="Saludo Car"/>
    <w:basedOn w:val="Fuentedeprrafopredeter"/>
    <w:link w:val="Saludo"/>
    <w:uiPriority w:val="99"/>
    <w:rsid w:val="005A6C25"/>
  </w:style>
  <w:style w:type="paragraph" w:styleId="Cierre">
    <w:name w:val="Closing"/>
    <w:basedOn w:val="Normal"/>
    <w:link w:val="CierreCar"/>
    <w:uiPriority w:val="99"/>
    <w:unhideWhenUsed/>
    <w:rsid w:val="005A6C25"/>
    <w:pPr>
      <w:spacing w:after="0" w:line="240" w:lineRule="auto"/>
      <w:ind w:left="4252"/>
    </w:pPr>
  </w:style>
  <w:style w:type="character" w:customStyle="1" w:styleId="CierreCar">
    <w:name w:val="Cierre Car"/>
    <w:basedOn w:val="Fuentedeprrafopredeter"/>
    <w:link w:val="Cierre"/>
    <w:uiPriority w:val="99"/>
    <w:rsid w:val="005A6C25"/>
  </w:style>
  <w:style w:type="paragraph" w:styleId="Continuarlista">
    <w:name w:val="List Continue"/>
    <w:basedOn w:val="Normal"/>
    <w:uiPriority w:val="99"/>
    <w:unhideWhenUsed/>
    <w:rsid w:val="005A6C25"/>
    <w:pPr>
      <w:spacing w:after="120"/>
      <w:ind w:left="283"/>
      <w:contextualSpacing/>
    </w:pPr>
  </w:style>
  <w:style w:type="paragraph" w:styleId="Textoindependiente">
    <w:name w:val="Body Text"/>
    <w:basedOn w:val="Normal"/>
    <w:link w:val="TextoindependienteCar"/>
    <w:uiPriority w:val="99"/>
    <w:unhideWhenUsed/>
    <w:rsid w:val="005A6C25"/>
    <w:pPr>
      <w:spacing w:after="120"/>
    </w:pPr>
  </w:style>
  <w:style w:type="character" w:customStyle="1" w:styleId="TextoindependienteCar">
    <w:name w:val="Texto independiente Car"/>
    <w:basedOn w:val="Fuentedeprrafopredeter"/>
    <w:link w:val="Textoindependiente"/>
    <w:uiPriority w:val="99"/>
    <w:rsid w:val="005A6C25"/>
  </w:style>
  <w:style w:type="paragraph" w:styleId="Textoindependienteprimerasangra">
    <w:name w:val="Body Text First Indent"/>
    <w:basedOn w:val="Textoindependiente"/>
    <w:link w:val="TextoindependienteprimerasangraCar"/>
    <w:uiPriority w:val="99"/>
    <w:unhideWhenUsed/>
    <w:rsid w:val="005A6C25"/>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5A6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78854459">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ospina@contraloriadeitagui.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51008D5D-A1AF-4FEC-993D-20EC983388BB}">
  <ds:schemaRefs>
    <ds:schemaRef ds:uri="http://schemas.openxmlformats.org/officeDocument/2006/bibliography"/>
  </ds:schemaRefs>
</ds:datastoreItem>
</file>

<file path=customXml/itemProps4.xml><?xml version="1.0" encoding="utf-8"?>
<ds:datastoreItem xmlns:ds="http://schemas.openxmlformats.org/officeDocument/2006/customXml" ds:itemID="{0FB03293-14DB-4195-A16B-FF92F73CD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3861</TotalTime>
  <Pages>17</Pages>
  <Words>5020</Words>
  <Characters>27615</Characters>
  <Application>Microsoft Office Word</Application>
  <DocSecurity>0</DocSecurity>
  <Lines>230</Lines>
  <Paragraphs>65</Paragraphs>
  <ScaleCrop>false</ScaleCrop>
  <Company/>
  <LinksUpToDate>false</LinksUpToDate>
  <CharactersWithSpaces>32570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1116</cp:revision>
  <cp:lastPrinted>2023-01-10T21:18:00Z</cp:lastPrinted>
  <dcterms:created xsi:type="dcterms:W3CDTF">2026-05-25T13:41:00Z</dcterms:created>
  <dcterms:modified xsi:type="dcterms:W3CDTF">2026-09-08T14:05:00Z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