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40581" w14:textId="77777777" w:rsidR="00E71868" w:rsidRPr="00E71868" w:rsidRDefault="00E71868" w:rsidP="00E71868">
      <w:pPr>
        <w:spacing w:after="0" w:line="276" w:lineRule="auto"/>
        <w:jc w:val="both"/>
        <w:rPr>
          <w:rFonts w:ascii="Verdana" w:eastAsia="Calibri" w:hAnsi="Verdana" w:cs="Arial"/>
          <w:b/>
          <w:bCs/>
          <w:lang w:val="es-ES_tradnl" w:eastAsia="es-MX"/>
        </w:rPr>
      </w:pPr>
      <w:bookmarkStart w:id="0" w:name="_Hlk143780582"/>
      <w:r w:rsidRPr="00E71868">
        <w:rPr>
          <w:rFonts w:ascii="Verdana" w:eastAsia="Calibri" w:hAnsi="Verdana" w:cs="Arial"/>
          <w:b/>
          <w:bCs/>
          <w:lang w:val="es-ES_tradnl" w:eastAsia="es-MX"/>
        </w:rPr>
        <w:t xml:space="preserve">DOCUMENTOS TIPO – Fundamento normativo – Obligatoriedad </w:t>
      </w:r>
    </w:p>
    <w:p w14:paraId="7D240A57" w14:textId="77777777" w:rsidR="00E71868" w:rsidRPr="00E71868" w:rsidRDefault="00E71868" w:rsidP="00E71868">
      <w:pPr>
        <w:spacing w:after="0" w:line="276" w:lineRule="auto"/>
        <w:jc w:val="both"/>
        <w:rPr>
          <w:rFonts w:ascii="Verdana" w:eastAsia="Calibri" w:hAnsi="Verdana" w:cs="Arial"/>
          <w:b/>
          <w:bCs/>
          <w:sz w:val="20"/>
          <w:szCs w:val="20"/>
          <w:lang w:val="es-ES_tradnl" w:eastAsia="es-MX"/>
        </w:rPr>
      </w:pPr>
    </w:p>
    <w:p w14:paraId="6AAD9BB2" w14:textId="77777777" w:rsidR="00E71868" w:rsidRPr="00E71868" w:rsidRDefault="00E71868" w:rsidP="00E71868">
      <w:pPr>
        <w:tabs>
          <w:tab w:val="left" w:pos="709"/>
        </w:tabs>
        <w:spacing w:after="0" w:line="240" w:lineRule="auto"/>
        <w:jc w:val="both"/>
        <w:rPr>
          <w:rFonts w:ascii="Verdana" w:eastAsia="Calibri" w:hAnsi="Verdana" w:cs="Arial"/>
          <w:sz w:val="20"/>
          <w:szCs w:val="20"/>
          <w:lang w:val="es-ES" w:eastAsia="es-MX"/>
        </w:rPr>
      </w:pPr>
      <w:r w:rsidRPr="00E71868">
        <w:rPr>
          <w:rFonts w:ascii="Verdana" w:eastAsia="Calibri" w:hAnsi="Verdana" w:cs="Arial"/>
          <w:sz w:val="20"/>
          <w:szCs w:val="20"/>
          <w:lang w:val="es-ES" w:eastAsia="es-MX"/>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213AF1AE" w14:textId="77777777" w:rsidR="00E71868" w:rsidRPr="00E71868" w:rsidRDefault="00E71868" w:rsidP="00E71868">
      <w:pPr>
        <w:spacing w:after="0" w:line="276" w:lineRule="auto"/>
        <w:jc w:val="both"/>
        <w:rPr>
          <w:rFonts w:ascii="Verdana" w:eastAsia="Calibri" w:hAnsi="Verdana" w:cs="Arial"/>
          <w:b/>
          <w:bCs/>
          <w:lang w:val="es-ES_tradnl" w:eastAsia="es-MX"/>
        </w:rPr>
      </w:pPr>
    </w:p>
    <w:p w14:paraId="6D5656E8" w14:textId="77777777" w:rsidR="00E71868" w:rsidRPr="00E71868" w:rsidRDefault="00E71868" w:rsidP="00E71868">
      <w:pPr>
        <w:widowControl w:val="0"/>
        <w:autoSpaceDE w:val="0"/>
        <w:autoSpaceDN w:val="0"/>
        <w:spacing w:after="0" w:line="276" w:lineRule="auto"/>
        <w:jc w:val="both"/>
        <w:rPr>
          <w:rFonts w:ascii="Verdana" w:eastAsia="Calibri" w:hAnsi="Verdana" w:cs="Times New Roman"/>
          <w:b/>
          <w:bCs/>
          <w:lang w:val="es-ES" w:eastAsia="es-MX"/>
        </w:rPr>
      </w:pPr>
      <w:r w:rsidRPr="00E71868">
        <w:rPr>
          <w:rFonts w:ascii="Verdana" w:eastAsia="Calibri" w:hAnsi="Verdana" w:cs="Arial"/>
          <w:b/>
          <w:bCs/>
          <w:lang w:val="es-ES_tradnl" w:eastAsia="es-MX"/>
        </w:rPr>
        <w:t>SECTOR SOCIAL</w:t>
      </w:r>
      <w:r w:rsidRPr="00E71868">
        <w:rPr>
          <w:rFonts w:ascii="Verdana" w:eastAsia="Calibri" w:hAnsi="Verdana" w:cs="Times New Roman"/>
          <w:lang w:val="es-ES" w:eastAsia="es-MX"/>
        </w:rPr>
        <w:t xml:space="preserve"> </w:t>
      </w:r>
      <w:r w:rsidRPr="00E71868">
        <w:rPr>
          <w:rFonts w:ascii="Verdana" w:eastAsia="Calibri" w:hAnsi="Verdana" w:cs="Times New Roman"/>
          <w:b/>
          <w:bCs/>
          <w:lang w:val="es-ES" w:eastAsia="es-MX"/>
        </w:rPr>
        <w:t>– Documentos tipo – Vigentes</w:t>
      </w:r>
    </w:p>
    <w:p w14:paraId="2450F30D" w14:textId="77777777" w:rsidR="00E71868" w:rsidRPr="00E71868" w:rsidRDefault="00E71868" w:rsidP="00E71868">
      <w:pPr>
        <w:widowControl w:val="0"/>
        <w:autoSpaceDE w:val="0"/>
        <w:autoSpaceDN w:val="0"/>
        <w:spacing w:after="0" w:line="276" w:lineRule="auto"/>
        <w:jc w:val="both"/>
        <w:rPr>
          <w:rFonts w:ascii="Verdana" w:eastAsia="Calibri" w:hAnsi="Verdana" w:cs="Times New Roman"/>
          <w:b/>
          <w:bCs/>
          <w:lang w:val="es-ES" w:eastAsia="es-MX"/>
        </w:rPr>
      </w:pPr>
    </w:p>
    <w:p w14:paraId="5088FB6F" w14:textId="77777777" w:rsidR="00E71868" w:rsidRPr="00E71868" w:rsidRDefault="00E71868" w:rsidP="00E71868">
      <w:pPr>
        <w:widowControl w:val="0"/>
        <w:autoSpaceDE w:val="0"/>
        <w:autoSpaceDN w:val="0"/>
        <w:spacing w:after="0" w:line="240" w:lineRule="auto"/>
        <w:jc w:val="both"/>
        <w:rPr>
          <w:rFonts w:ascii="Verdana" w:eastAsia="Calibri" w:hAnsi="Verdana" w:cs="Times New Roman"/>
          <w:b/>
          <w:bCs/>
          <w:sz w:val="20"/>
          <w:szCs w:val="20"/>
          <w:lang w:val="es-ES" w:eastAsia="es-MX"/>
        </w:rPr>
      </w:pPr>
      <w:r w:rsidRPr="00E71868">
        <w:rPr>
          <w:rFonts w:ascii="Verdana" w:eastAsia="Aptos" w:hAnsi="Verdana" w:cs="Times New Roman"/>
          <w:sz w:val="20"/>
          <w:szCs w:val="20"/>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de salud, cultura, recreación y deporte, institucional y vivienda, en los procesos de selección cuyo aviso de convocatoria se publique a partir del 16 de febrero de 2026. </w:t>
      </w:r>
    </w:p>
    <w:p w14:paraId="3222B6A1" w14:textId="77777777" w:rsidR="00E71868" w:rsidRPr="00E71868" w:rsidRDefault="00E71868" w:rsidP="00E71868">
      <w:pPr>
        <w:widowControl w:val="0"/>
        <w:autoSpaceDE w:val="0"/>
        <w:autoSpaceDN w:val="0"/>
        <w:spacing w:after="0" w:line="276" w:lineRule="auto"/>
        <w:jc w:val="both"/>
        <w:rPr>
          <w:rFonts w:ascii="Verdana" w:eastAsia="Calibri" w:hAnsi="Verdana" w:cs="Times New Roman"/>
          <w:lang w:val="es-ES" w:eastAsia="es-MX"/>
        </w:rPr>
      </w:pPr>
    </w:p>
    <w:p w14:paraId="78C50824" w14:textId="77777777" w:rsidR="00E71868" w:rsidRPr="00E71868" w:rsidRDefault="00E71868" w:rsidP="00E71868">
      <w:pPr>
        <w:spacing w:after="0" w:line="276" w:lineRule="auto"/>
        <w:jc w:val="both"/>
        <w:rPr>
          <w:rFonts w:ascii="Verdana" w:eastAsia="Calibri" w:hAnsi="Verdana" w:cs="Times New Roman"/>
          <w:sz w:val="20"/>
          <w:szCs w:val="20"/>
          <w:lang w:val="es-ES" w:eastAsia="es-MX"/>
        </w:rPr>
      </w:pPr>
      <w:r w:rsidRPr="00E71868">
        <w:rPr>
          <w:rFonts w:ascii="Verdana" w:eastAsia="Calibri" w:hAnsi="Verdana" w:cs="Times New Roman"/>
          <w:b/>
          <w:bCs/>
          <w:lang w:val="es-ES" w:eastAsia="es-MX"/>
        </w:rPr>
        <w:t xml:space="preserve">DOCUMENTOS TIPO – Aplicación – Matriz de Experiencia </w:t>
      </w:r>
    </w:p>
    <w:p w14:paraId="39D63C1F" w14:textId="77777777" w:rsidR="00E71868" w:rsidRPr="00E71868" w:rsidRDefault="00E71868" w:rsidP="00E71868">
      <w:pPr>
        <w:spacing w:after="0" w:line="240" w:lineRule="auto"/>
        <w:rPr>
          <w:rFonts w:ascii="Verdana" w:eastAsia="Geomanist Light" w:hAnsi="Verdana" w:cs="Arial"/>
          <w:lang w:val="es-MX" w:eastAsia="es-MX"/>
        </w:rPr>
      </w:pPr>
    </w:p>
    <w:p w14:paraId="6ACD5271" w14:textId="77777777" w:rsidR="00E71868" w:rsidRPr="00E71868" w:rsidRDefault="00E71868" w:rsidP="00E71868">
      <w:pPr>
        <w:widowControl w:val="0"/>
        <w:autoSpaceDE w:val="0"/>
        <w:autoSpaceDN w:val="0"/>
        <w:spacing w:after="0" w:line="240" w:lineRule="auto"/>
        <w:jc w:val="both"/>
        <w:rPr>
          <w:rFonts w:ascii="Verdana" w:eastAsia="Calibri" w:hAnsi="Verdana" w:cs="Times New Roman"/>
          <w:sz w:val="20"/>
          <w:szCs w:val="20"/>
          <w:lang w:val="es-ES" w:eastAsia="es-MX"/>
        </w:rPr>
      </w:pPr>
      <w:r w:rsidRPr="00E71868">
        <w:rPr>
          <w:rFonts w:ascii="Verdana" w:eastAsia="Calibri" w:hAnsi="Verdana" w:cs="Times New Roman"/>
          <w:sz w:val="20"/>
          <w:szCs w:val="20"/>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61E0A971" w14:textId="77777777" w:rsidR="00E71868" w:rsidRPr="00E71868" w:rsidRDefault="00E71868" w:rsidP="00E71868">
      <w:pPr>
        <w:widowControl w:val="0"/>
        <w:autoSpaceDE w:val="0"/>
        <w:autoSpaceDN w:val="0"/>
        <w:spacing w:after="0" w:line="240" w:lineRule="auto"/>
        <w:jc w:val="both"/>
        <w:rPr>
          <w:rFonts w:ascii="Verdana" w:eastAsia="Calibri" w:hAnsi="Verdana" w:cs="Times New Roman"/>
          <w:sz w:val="20"/>
          <w:szCs w:val="20"/>
          <w:lang w:val="es-ES" w:eastAsia="es-MX"/>
        </w:rPr>
      </w:pPr>
    </w:p>
    <w:p w14:paraId="02D13F94" w14:textId="77777777" w:rsidR="00E71868" w:rsidRPr="00E71868" w:rsidRDefault="00E71868" w:rsidP="00E71868">
      <w:pPr>
        <w:widowControl w:val="0"/>
        <w:autoSpaceDE w:val="0"/>
        <w:autoSpaceDN w:val="0"/>
        <w:spacing w:after="0" w:line="240" w:lineRule="auto"/>
        <w:jc w:val="both"/>
        <w:rPr>
          <w:rFonts w:ascii="Verdana" w:eastAsia="Calibri" w:hAnsi="Verdana" w:cs="Times New Roman"/>
          <w:sz w:val="20"/>
          <w:szCs w:val="20"/>
          <w:lang w:val="es-ES" w:eastAsia="es-MX"/>
        </w:rPr>
      </w:pPr>
      <w:r w:rsidRPr="00E71868">
        <w:rPr>
          <w:rFonts w:ascii="Verdana" w:eastAsia="Calibri" w:hAnsi="Verdana" w:cs="Times New Roman"/>
          <w:sz w:val="20"/>
          <w:szCs w:val="20"/>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3080B6FB" w14:textId="77777777" w:rsidR="00E71868" w:rsidRPr="00E71868" w:rsidRDefault="00E71868" w:rsidP="00E71868">
      <w:pPr>
        <w:widowControl w:val="0"/>
        <w:autoSpaceDE w:val="0"/>
        <w:autoSpaceDN w:val="0"/>
        <w:spacing w:after="0" w:line="240" w:lineRule="auto"/>
        <w:jc w:val="both"/>
        <w:rPr>
          <w:rFonts w:ascii="Verdana" w:eastAsia="Calibri" w:hAnsi="Verdana" w:cs="Times New Roman"/>
          <w:sz w:val="20"/>
          <w:szCs w:val="20"/>
          <w:lang w:val="es-ES" w:eastAsia="es-MX"/>
        </w:rPr>
      </w:pPr>
    </w:p>
    <w:p w14:paraId="54F88716" w14:textId="77777777" w:rsidR="00E71868" w:rsidRPr="00E71868" w:rsidRDefault="00E71868" w:rsidP="00E71868">
      <w:pPr>
        <w:widowControl w:val="0"/>
        <w:autoSpaceDE w:val="0"/>
        <w:autoSpaceDN w:val="0"/>
        <w:spacing w:after="0" w:line="240" w:lineRule="auto"/>
        <w:jc w:val="both"/>
        <w:rPr>
          <w:rFonts w:ascii="Verdana" w:eastAsia="Calibri" w:hAnsi="Verdana" w:cs="Times New Roman"/>
          <w:b/>
          <w:bCs/>
          <w:lang w:val="es-ES" w:eastAsia="es-MX"/>
        </w:rPr>
      </w:pPr>
      <w:r w:rsidRPr="00E71868">
        <w:rPr>
          <w:rFonts w:ascii="Verdana" w:eastAsia="Calibri" w:hAnsi="Verdana" w:cs="Times New Roman"/>
          <w:b/>
          <w:bCs/>
          <w:lang w:val="es-ES" w:eastAsia="es-MX"/>
        </w:rPr>
        <w:t>DOCUMENTOS TIPO – Sector social – Infraestructura Institucional – NSR-10</w:t>
      </w:r>
    </w:p>
    <w:p w14:paraId="5D6347E8" w14:textId="77777777" w:rsidR="00E71868" w:rsidRPr="00E71868" w:rsidRDefault="00E71868" w:rsidP="00E71868">
      <w:pPr>
        <w:widowControl w:val="0"/>
        <w:autoSpaceDE w:val="0"/>
        <w:autoSpaceDN w:val="0"/>
        <w:spacing w:after="0" w:line="240" w:lineRule="auto"/>
        <w:jc w:val="both"/>
        <w:rPr>
          <w:rFonts w:ascii="Verdana" w:eastAsia="Calibri" w:hAnsi="Verdana" w:cs="Times New Roman"/>
          <w:b/>
          <w:bCs/>
          <w:sz w:val="20"/>
          <w:szCs w:val="20"/>
          <w:lang w:val="es-ES" w:eastAsia="es-MX"/>
        </w:rPr>
      </w:pPr>
    </w:p>
    <w:p w14:paraId="44CA8538" w14:textId="77777777" w:rsidR="00E71868" w:rsidRPr="00E71868" w:rsidRDefault="00E71868" w:rsidP="00E71868">
      <w:pPr>
        <w:spacing w:after="0" w:line="240" w:lineRule="auto"/>
        <w:jc w:val="both"/>
        <w:rPr>
          <w:rFonts w:ascii="Verdana" w:eastAsia="Aptos" w:hAnsi="Verdana" w:cs="Times New Roman"/>
          <w:kern w:val="2"/>
          <w:sz w:val="20"/>
          <w:szCs w:val="20"/>
          <w14:ligatures w14:val="standardContextual"/>
        </w:rPr>
      </w:pPr>
      <w:r w:rsidRPr="00E71868">
        <w:rPr>
          <w:rFonts w:ascii="Verdana" w:eastAsia="Calibri" w:hAnsi="Verdana" w:cs="Arial"/>
          <w:sz w:val="20"/>
          <w:szCs w:val="20"/>
          <w:lang w:val="es-ES_tradnl" w:eastAsia="es-MX"/>
        </w:rPr>
        <w:t xml:space="preserve">Ahora bien, como se precisó las actividades señaladas recaen sobre </w:t>
      </w:r>
      <w:r w:rsidRPr="00E71868">
        <w:rPr>
          <w:rFonts w:ascii="Verdana" w:eastAsia="Times New Roman" w:hAnsi="Verdana" w:cs="Calibri"/>
          <w:sz w:val="20"/>
          <w:szCs w:val="20"/>
          <w:lang w:eastAsia="es-MX"/>
        </w:rPr>
        <w:t xml:space="preserve">obras en proyectos de infraestructura institucional. De esta forma, para determinar qué abarca este tipo de infraestructura, de conformidad con la norma </w:t>
      </w:r>
      <w:r w:rsidRPr="00E71868">
        <w:rPr>
          <w:rFonts w:ascii="Verdana" w:eastAsia="Calibri" w:hAnsi="Verdana" w:cs="Arial"/>
          <w:color w:val="0D0D0D"/>
          <w:sz w:val="20"/>
          <w:szCs w:val="20"/>
          <w:lang w:eastAsia="es-MX"/>
        </w:rPr>
        <w:t xml:space="preserve">NSR-10 en el Grupo de Ocupación </w:t>
      </w:r>
      <w:r w:rsidRPr="00E71868">
        <w:rPr>
          <w:rFonts w:ascii="Verdana" w:eastAsia="Calibri" w:hAnsi="Verdana" w:cs="Arial"/>
          <w:color w:val="0D0D0D"/>
          <w:sz w:val="20"/>
          <w:szCs w:val="20"/>
          <w:lang w:eastAsia="es-MX"/>
        </w:rPr>
        <w:lastRenderedPageBreak/>
        <w:t xml:space="preserve">Institucional (I) –K.2.6– “(…) </w:t>
      </w:r>
      <w:r w:rsidRPr="00E71868">
        <w:rPr>
          <w:rFonts w:ascii="Verdana" w:eastAsia="Aptos" w:hAnsi="Verdana" w:cs="Times New Roman"/>
          <w:i/>
          <w:iCs/>
          <w:kern w:val="2"/>
          <w:sz w:val="20"/>
          <w:szCs w:val="20"/>
          <w14:ligatures w14:val="standardContextual"/>
        </w:rPr>
        <w:t>se clasifican las edificaciones o espacios utilizados para la reclusión de personas que adolecen de limitaciones mentales o están sujetas a castigos penales o correccionales; en el tratamiento o cuidado de personas o en su reunión con propósitos educativos o de instrucción. De igual manera se clasifican dentro de este grupo las edificaciones y espacios indispensables en la atención de emergencias, preservación de la seguridad de personas y la prestación de servicios públicos y administrativos necesarios para el buen funcionamiento de las ciudades</w:t>
      </w:r>
      <w:r w:rsidRPr="00E71868">
        <w:rPr>
          <w:rFonts w:ascii="Verdana" w:eastAsia="Calibri" w:hAnsi="Verdana" w:cs="Arial"/>
          <w:color w:val="0D0D0D"/>
          <w:sz w:val="20"/>
          <w:szCs w:val="20"/>
          <w:lang w:eastAsia="es-MX"/>
        </w:rPr>
        <w:t xml:space="preserve">”. Este Grupo de Ocupación está constituida </w:t>
      </w:r>
      <w:r w:rsidRPr="00E71868">
        <w:rPr>
          <w:rFonts w:ascii="Verdana" w:eastAsia="Calibri" w:hAnsi="Verdana" w:cs="Arial"/>
          <w:i/>
          <w:iCs/>
          <w:color w:val="0D0D0D"/>
          <w:sz w:val="20"/>
          <w:szCs w:val="20"/>
          <w:lang w:eastAsia="es-MX"/>
        </w:rPr>
        <w:t xml:space="preserve">“(…) </w:t>
      </w:r>
      <w:r w:rsidRPr="00E71868">
        <w:rPr>
          <w:rFonts w:ascii="Verdana" w:eastAsia="Aptos" w:hAnsi="Verdana" w:cs="Times New Roman"/>
          <w:i/>
          <w:iCs/>
          <w:kern w:val="2"/>
          <w:sz w:val="20"/>
          <w:szCs w:val="20"/>
          <w14:ligatures w14:val="standardContextual"/>
        </w:rPr>
        <w:t>por los Subgrupos de Ocupación Institucional de Reclusión (I-1), Institucional de Salud o Incapacidad (I-2), Institucional de Educación (I-3), Institucional de Seguridad Pública (I-4) e Institucional de Servicio Público (I-5)</w:t>
      </w:r>
      <w:r w:rsidRPr="00E71868">
        <w:rPr>
          <w:rFonts w:ascii="Verdana" w:eastAsia="Aptos" w:hAnsi="Verdana" w:cs="Times New Roman"/>
          <w:kern w:val="2"/>
          <w:sz w:val="20"/>
          <w:szCs w:val="20"/>
          <w14:ligatures w14:val="standardContextual"/>
        </w:rPr>
        <w:t>”.</w:t>
      </w:r>
    </w:p>
    <w:p w14:paraId="28658B70" w14:textId="77777777" w:rsidR="00E71868" w:rsidRPr="00E71868" w:rsidRDefault="00E71868" w:rsidP="00E71868">
      <w:pPr>
        <w:spacing w:after="0" w:line="240" w:lineRule="auto"/>
        <w:jc w:val="both"/>
        <w:rPr>
          <w:rFonts w:ascii="Verdana" w:eastAsia="Aptos" w:hAnsi="Verdana" w:cs="Times New Roman"/>
          <w:kern w:val="2"/>
          <w:sz w:val="20"/>
          <w:szCs w:val="20"/>
          <w14:ligatures w14:val="standardContextual"/>
        </w:rPr>
      </w:pPr>
    </w:p>
    <w:p w14:paraId="5AA31636" w14:textId="77777777" w:rsidR="00E71868" w:rsidRPr="00E71868" w:rsidRDefault="00E71868" w:rsidP="00E71868">
      <w:pPr>
        <w:widowControl w:val="0"/>
        <w:autoSpaceDE w:val="0"/>
        <w:autoSpaceDN w:val="0"/>
        <w:spacing w:after="0" w:line="240" w:lineRule="auto"/>
        <w:jc w:val="both"/>
        <w:rPr>
          <w:rFonts w:ascii="Verdana" w:eastAsia="Calibri" w:hAnsi="Verdana" w:cs="Times New Roman"/>
          <w:b/>
          <w:bCs/>
          <w:lang w:val="es-ES" w:eastAsia="es-MX"/>
        </w:rPr>
      </w:pPr>
      <w:r w:rsidRPr="00E71868">
        <w:rPr>
          <w:rFonts w:ascii="Verdana" w:eastAsia="Calibri" w:hAnsi="Verdana" w:cs="Arial"/>
          <w:b/>
          <w:bCs/>
          <w:color w:val="0D0D0D"/>
          <w:kern w:val="2"/>
          <w:lang w:eastAsia="es-MX"/>
          <w14:ligatures w14:val="standardContextual"/>
        </w:rPr>
        <w:t>SUBGRUPO DE OCUPACIÓN INSTITUCIONAL DE RECLUSIÓN</w:t>
      </w:r>
      <w:r w:rsidRPr="00E71868">
        <w:rPr>
          <w:rFonts w:ascii="Verdana" w:eastAsia="Calibri" w:hAnsi="Verdana" w:cs="Times New Roman"/>
          <w:b/>
          <w:bCs/>
          <w:lang w:val="es-ES" w:eastAsia="es-MX"/>
        </w:rPr>
        <w:t xml:space="preserve"> Documentos tipo – Sector social – NSR-10</w:t>
      </w:r>
    </w:p>
    <w:p w14:paraId="3D97FD3E" w14:textId="77777777" w:rsidR="00E71868" w:rsidRPr="00E71868" w:rsidRDefault="00E71868" w:rsidP="00E71868">
      <w:pPr>
        <w:spacing w:after="0" w:line="240" w:lineRule="auto"/>
        <w:jc w:val="both"/>
        <w:rPr>
          <w:rFonts w:ascii="Verdana" w:eastAsia="Calibri" w:hAnsi="Verdana" w:cs="Arial"/>
          <w:kern w:val="2"/>
          <w:sz w:val="20"/>
          <w:szCs w:val="20"/>
          <w14:ligatures w14:val="standardContextual"/>
        </w:rPr>
      </w:pPr>
    </w:p>
    <w:p w14:paraId="0ADB1562" w14:textId="77777777" w:rsidR="00E71868" w:rsidRPr="00E71868" w:rsidRDefault="00E71868" w:rsidP="00E71868">
      <w:pPr>
        <w:spacing w:after="0" w:line="240" w:lineRule="auto"/>
        <w:jc w:val="both"/>
        <w:rPr>
          <w:rFonts w:ascii="Verdana" w:eastAsia="Calibri" w:hAnsi="Verdana" w:cs="Arial"/>
          <w:color w:val="0D0D0D"/>
          <w:kern w:val="2"/>
          <w:sz w:val="20"/>
          <w:szCs w:val="20"/>
          <w:lang w:eastAsia="es-MX"/>
          <w14:ligatures w14:val="standardContextual"/>
        </w:rPr>
      </w:pPr>
      <w:r w:rsidRPr="00E71868">
        <w:rPr>
          <w:rFonts w:ascii="Verdana" w:eastAsia="Calibri" w:hAnsi="Verdana" w:cs="Arial"/>
          <w:kern w:val="2"/>
          <w:sz w:val="20"/>
          <w:szCs w:val="20"/>
          <w14:ligatures w14:val="standardContextual"/>
        </w:rPr>
        <w:t xml:space="preserve">La norma </w:t>
      </w:r>
      <w:r w:rsidRPr="00E71868">
        <w:rPr>
          <w:rFonts w:ascii="Verdana" w:eastAsia="Calibri" w:hAnsi="Verdana" w:cs="Arial"/>
          <w:color w:val="0D0D0D"/>
          <w:kern w:val="2"/>
          <w:sz w:val="20"/>
          <w:szCs w:val="20"/>
          <w14:ligatures w14:val="standardContextual"/>
        </w:rPr>
        <w:t xml:space="preserve">NSR-10 indica que, </w:t>
      </w:r>
      <w:r w:rsidRPr="00E71868">
        <w:rPr>
          <w:rFonts w:ascii="Verdana" w:eastAsia="Calibri" w:hAnsi="Verdana" w:cs="Arial"/>
          <w:color w:val="0D0D0D"/>
          <w:kern w:val="2"/>
          <w:sz w:val="20"/>
          <w:szCs w:val="20"/>
          <w:lang w:eastAsia="es-MX"/>
          <w14:ligatures w14:val="standardContextual"/>
        </w:rPr>
        <w:t>en el Subgrupo de Ocupación Institucional de Reclusión (I-1) “</w:t>
      </w:r>
      <w:r w:rsidRPr="00E71868">
        <w:rPr>
          <w:rFonts w:ascii="Verdana" w:eastAsia="Times New Roman" w:hAnsi="Verdana" w:cs="Times New Roman"/>
          <w:kern w:val="2"/>
          <w:sz w:val="20"/>
          <w:szCs w:val="20"/>
          <w:lang w:eastAsia="es-MX"/>
          <w14:ligatures w14:val="standardContextual"/>
        </w:rPr>
        <w:t>se clasifican las edificaciones o espacios empleados en la reclusión de personas con libertad restringida por razones penales, correccionales o de limitación mental.</w:t>
      </w:r>
      <w:r w:rsidRPr="00E71868">
        <w:rPr>
          <w:rFonts w:ascii="Verdana" w:eastAsia="Calibri" w:hAnsi="Verdana" w:cs="Arial"/>
          <w:color w:val="0D0D0D"/>
          <w:kern w:val="2"/>
          <w:sz w:val="20"/>
          <w:szCs w:val="20"/>
          <w:lang w:eastAsia="es-MX"/>
          <w14:ligatures w14:val="standardContextual"/>
        </w:rPr>
        <w:t xml:space="preserve">”. Entre las edificaciones o espacios que pertenecen a este Subgrupo se encuentran las siguientes: “presiones, reformatorios, cárceles, manicomios, asilos y otros similares”. </w:t>
      </w:r>
    </w:p>
    <w:p w14:paraId="11D00C9F" w14:textId="77777777" w:rsidR="00E71868" w:rsidRPr="00E71868" w:rsidRDefault="00E71868" w:rsidP="00E71868">
      <w:pPr>
        <w:spacing w:after="0" w:line="240" w:lineRule="auto"/>
        <w:jc w:val="both"/>
        <w:rPr>
          <w:rFonts w:ascii="Verdana" w:eastAsia="Calibri" w:hAnsi="Verdana" w:cs="Arial"/>
          <w:kern w:val="2"/>
          <w:sz w:val="20"/>
          <w:szCs w:val="20"/>
          <w14:ligatures w14:val="standardContextual"/>
        </w:rPr>
      </w:pPr>
    </w:p>
    <w:p w14:paraId="7580F631" w14:textId="77777777" w:rsidR="00E71868" w:rsidRPr="00E71868" w:rsidRDefault="00E71868" w:rsidP="00E71868">
      <w:pPr>
        <w:widowControl w:val="0"/>
        <w:autoSpaceDE w:val="0"/>
        <w:autoSpaceDN w:val="0"/>
        <w:spacing w:after="0" w:line="240" w:lineRule="auto"/>
        <w:jc w:val="both"/>
        <w:rPr>
          <w:rFonts w:ascii="Verdana" w:eastAsia="Calibri" w:hAnsi="Verdana" w:cs="Times New Roman"/>
          <w:b/>
          <w:bCs/>
          <w:lang w:val="es-ES" w:eastAsia="es-MX"/>
        </w:rPr>
      </w:pPr>
      <w:r w:rsidRPr="00E71868">
        <w:rPr>
          <w:rFonts w:ascii="Verdana" w:eastAsia="Calibri" w:hAnsi="Verdana" w:cs="Arial"/>
          <w:b/>
          <w:bCs/>
          <w:kern w:val="2"/>
          <w14:ligatures w14:val="standardContextual"/>
        </w:rPr>
        <w:t>SUBGRUPO DE OCUPACIÓN INSTITUCIONAL DE SEGURIDAD PÚBLICA –</w:t>
      </w:r>
      <w:r w:rsidRPr="00E71868">
        <w:rPr>
          <w:rFonts w:ascii="Verdana" w:eastAsia="Calibri" w:hAnsi="Verdana" w:cs="Arial"/>
          <w:kern w:val="2"/>
          <w:sz w:val="20"/>
          <w:szCs w:val="20"/>
          <w14:ligatures w14:val="standardContextual"/>
        </w:rPr>
        <w:t xml:space="preserve"> </w:t>
      </w:r>
      <w:r w:rsidRPr="00E71868">
        <w:rPr>
          <w:rFonts w:ascii="Verdana" w:eastAsia="Calibri" w:hAnsi="Verdana" w:cs="Times New Roman"/>
          <w:b/>
          <w:bCs/>
          <w:lang w:val="es-ES" w:eastAsia="es-MX"/>
        </w:rPr>
        <w:t>Documentos tipo – Sector social – NSR-10</w:t>
      </w:r>
    </w:p>
    <w:p w14:paraId="6F71AC1C" w14:textId="77777777" w:rsidR="00E71868" w:rsidRPr="00E71868" w:rsidRDefault="00E71868" w:rsidP="00E71868">
      <w:pPr>
        <w:spacing w:after="0" w:line="240" w:lineRule="auto"/>
        <w:jc w:val="both"/>
        <w:rPr>
          <w:rFonts w:ascii="Verdana" w:eastAsia="Calibri" w:hAnsi="Verdana" w:cs="Arial"/>
          <w:kern w:val="2"/>
          <w:sz w:val="20"/>
          <w:szCs w:val="20"/>
          <w:lang w:val="es-ES"/>
          <w14:ligatures w14:val="standardContextual"/>
        </w:rPr>
      </w:pPr>
    </w:p>
    <w:p w14:paraId="76E4A72E" w14:textId="77777777" w:rsidR="00E71868" w:rsidRPr="00E71868" w:rsidRDefault="00E71868" w:rsidP="00E71868">
      <w:pPr>
        <w:spacing w:after="0" w:line="240" w:lineRule="auto"/>
        <w:jc w:val="both"/>
        <w:rPr>
          <w:rFonts w:ascii="Verdana" w:eastAsia="Calibri" w:hAnsi="Verdana" w:cs="Arial"/>
          <w:kern w:val="2"/>
          <w:sz w:val="20"/>
          <w:szCs w:val="20"/>
          <w14:ligatures w14:val="standardContextual"/>
        </w:rPr>
      </w:pPr>
      <w:r w:rsidRPr="00E71868">
        <w:rPr>
          <w:rFonts w:ascii="Verdana" w:eastAsia="Calibri" w:hAnsi="Verdana" w:cs="Arial"/>
          <w:kern w:val="2"/>
          <w:sz w:val="20"/>
          <w:szCs w:val="20"/>
          <w14:ligatures w14:val="standardContextual"/>
        </w:rPr>
        <w:t>Por su parte, de acuerdo con la norma NSR-10, en el Subgrupo de Ocupación Institucional de Seguridad Pública (I-4) “se clasifican las edificaciones o espacios indispensables para atender emergencias y preservar el orden público y la seguridad de las personas”. En este subgrupo se encuentran: “estaciones de policía, estaciones de bomberos, estaciones de defensa civil, instituciones y otros similares”.</w:t>
      </w:r>
    </w:p>
    <w:p w14:paraId="3CEE770A" w14:textId="77777777" w:rsidR="00E71868" w:rsidRPr="00E71868" w:rsidRDefault="00E71868" w:rsidP="00E71868">
      <w:pPr>
        <w:spacing w:after="0" w:line="240" w:lineRule="auto"/>
        <w:jc w:val="both"/>
        <w:rPr>
          <w:rFonts w:ascii="Verdana" w:eastAsia="Calibri" w:hAnsi="Verdana" w:cs="Arial"/>
          <w:kern w:val="2"/>
          <w:sz w:val="20"/>
          <w:szCs w:val="20"/>
          <w14:ligatures w14:val="standardContextual"/>
        </w:rPr>
      </w:pPr>
    </w:p>
    <w:p w14:paraId="235980B1" w14:textId="77777777" w:rsidR="00E71868" w:rsidRPr="00E71868" w:rsidRDefault="00E71868" w:rsidP="00E71868">
      <w:pPr>
        <w:widowControl w:val="0"/>
        <w:autoSpaceDE w:val="0"/>
        <w:autoSpaceDN w:val="0"/>
        <w:spacing w:after="0" w:line="240" w:lineRule="auto"/>
        <w:jc w:val="both"/>
        <w:rPr>
          <w:rFonts w:ascii="Verdana" w:eastAsia="Calibri" w:hAnsi="Verdana" w:cs="Times New Roman"/>
          <w:b/>
          <w:bCs/>
          <w:lang w:val="es-ES" w:eastAsia="es-MX"/>
        </w:rPr>
      </w:pPr>
      <w:r w:rsidRPr="00E71868">
        <w:rPr>
          <w:rFonts w:ascii="Verdana" w:eastAsia="Calibri" w:hAnsi="Verdana" w:cs="Arial"/>
          <w:b/>
          <w:bCs/>
          <w:color w:val="0D0D0D"/>
          <w:kern w:val="2"/>
          <w:lang w:eastAsia="es-MX"/>
          <w14:ligatures w14:val="standardContextual"/>
        </w:rPr>
        <w:t>SUBGRUPO DE OCUPACIÓN INSTITUCIONAL DE SERVICIO PÚBLICO</w:t>
      </w:r>
      <w:r w:rsidRPr="00E71868">
        <w:rPr>
          <w:rFonts w:ascii="Verdana" w:eastAsia="Calibri" w:hAnsi="Verdana" w:cs="Arial"/>
          <w:b/>
          <w:bCs/>
          <w:kern w:val="2"/>
          <w14:ligatures w14:val="standardContextual"/>
        </w:rPr>
        <w:t xml:space="preserve"> –</w:t>
      </w:r>
      <w:r w:rsidRPr="00E71868">
        <w:rPr>
          <w:rFonts w:ascii="Verdana" w:eastAsia="Calibri" w:hAnsi="Verdana" w:cs="Arial"/>
          <w:kern w:val="2"/>
          <w:sz w:val="20"/>
          <w:szCs w:val="20"/>
          <w14:ligatures w14:val="standardContextual"/>
        </w:rPr>
        <w:t xml:space="preserve"> </w:t>
      </w:r>
      <w:r w:rsidRPr="00E71868">
        <w:rPr>
          <w:rFonts w:ascii="Verdana" w:eastAsia="Calibri" w:hAnsi="Verdana" w:cs="Times New Roman"/>
          <w:b/>
          <w:bCs/>
          <w:lang w:val="es-ES" w:eastAsia="es-MX"/>
        </w:rPr>
        <w:t>Documentos tipo – Sector social – NSR-10</w:t>
      </w:r>
    </w:p>
    <w:p w14:paraId="3BAAD9C6" w14:textId="77777777" w:rsidR="00E71868" w:rsidRPr="00E71868" w:rsidRDefault="00E71868" w:rsidP="00E71868">
      <w:pPr>
        <w:spacing w:after="0" w:line="240" w:lineRule="auto"/>
        <w:jc w:val="both"/>
        <w:rPr>
          <w:rFonts w:ascii="Verdana" w:eastAsia="Times New Roman" w:hAnsi="Verdana" w:cs="Calibri"/>
          <w:kern w:val="2"/>
          <w:sz w:val="20"/>
          <w:szCs w:val="20"/>
          <w:lang w:val="es-ES" w:eastAsia="es-MX"/>
          <w14:ligatures w14:val="standardContextual"/>
        </w:rPr>
      </w:pPr>
    </w:p>
    <w:p w14:paraId="247141BF" w14:textId="77777777" w:rsidR="00E71868" w:rsidRPr="00E71868" w:rsidRDefault="00E71868" w:rsidP="00E71868">
      <w:pPr>
        <w:spacing w:after="0" w:line="240" w:lineRule="auto"/>
        <w:jc w:val="both"/>
        <w:rPr>
          <w:rFonts w:ascii="Verdana" w:eastAsia="Calibri" w:hAnsi="Verdana" w:cs="Arial"/>
          <w:color w:val="0D0D0D"/>
          <w:kern w:val="2"/>
          <w:sz w:val="20"/>
          <w:szCs w:val="20"/>
          <w:lang w:eastAsia="es-MX"/>
          <w14:ligatures w14:val="standardContextual"/>
        </w:rPr>
      </w:pPr>
      <w:r w:rsidRPr="00E71868">
        <w:rPr>
          <w:rFonts w:ascii="Verdana" w:eastAsia="Times New Roman" w:hAnsi="Verdana" w:cs="Calibri"/>
          <w:kern w:val="2"/>
          <w:sz w:val="20"/>
          <w:szCs w:val="20"/>
          <w:lang w:eastAsia="es-MX"/>
          <w14:ligatures w14:val="standardContextual"/>
        </w:rPr>
        <w:t xml:space="preserve">Asimismo, la norma </w:t>
      </w:r>
      <w:r w:rsidRPr="00E71868">
        <w:rPr>
          <w:rFonts w:ascii="Verdana" w:eastAsia="Calibri" w:hAnsi="Verdana" w:cs="Arial"/>
          <w:color w:val="0D0D0D"/>
          <w:kern w:val="2"/>
          <w:sz w:val="20"/>
          <w:szCs w:val="20"/>
          <w:lang w:eastAsia="es-MX"/>
          <w14:ligatures w14:val="standardContextual"/>
        </w:rPr>
        <w:t>NSR-10 en el Subgrupo de Ocupación Institucional de Servicio Público (I-5) indica que en este “se clasifican las edificaciones o espacios destinados a funciones administrativas y prestación de servicios públicos necesarios para el buen funcionamiento de las ciudades”. Entre las edificaciones o espacios que pertenecen a este Subgrupo se encuentran las siguientes: “Centros de comunicación o administrativos o administrativos de servicios municipales, distritales o gubernamentales, juzgados y otros similares”.</w:t>
      </w:r>
    </w:p>
    <w:p w14:paraId="27F3F46F" w14:textId="77777777" w:rsidR="00E71868" w:rsidRPr="00E71868" w:rsidRDefault="00E71868" w:rsidP="00E71868">
      <w:pPr>
        <w:spacing w:after="0" w:line="240" w:lineRule="auto"/>
        <w:jc w:val="both"/>
        <w:rPr>
          <w:rFonts w:ascii="Verdana" w:eastAsia="Calibri" w:hAnsi="Verdana" w:cs="Arial"/>
          <w:color w:val="0D0D0D"/>
          <w:kern w:val="2"/>
          <w:sz w:val="20"/>
          <w:szCs w:val="20"/>
          <w:lang w:eastAsia="es-MX"/>
          <w14:ligatures w14:val="standardContextual"/>
        </w:rPr>
      </w:pPr>
    </w:p>
    <w:p w14:paraId="54F51B11" w14:textId="77777777" w:rsidR="00E71868" w:rsidRPr="00E71868" w:rsidRDefault="00E71868" w:rsidP="00E71868">
      <w:pPr>
        <w:snapToGrid w:val="0"/>
        <w:spacing w:after="0" w:line="240" w:lineRule="auto"/>
        <w:jc w:val="both"/>
        <w:rPr>
          <w:rFonts w:ascii="Verdana" w:eastAsia="Aptos" w:hAnsi="Verdana" w:cs="Times New Roman"/>
          <w:kern w:val="2"/>
          <w:sz w:val="20"/>
          <w:szCs w:val="20"/>
          <w14:ligatures w14:val="standardContextual"/>
        </w:rPr>
      </w:pPr>
    </w:p>
    <w:p w14:paraId="5A1C45B9" w14:textId="77777777" w:rsidR="00E71868" w:rsidRPr="00E71868" w:rsidRDefault="00E71868" w:rsidP="00E71868">
      <w:pPr>
        <w:snapToGrid w:val="0"/>
        <w:spacing w:after="0" w:line="240" w:lineRule="auto"/>
        <w:jc w:val="both"/>
        <w:rPr>
          <w:rFonts w:ascii="Verdana" w:eastAsia="Calibri" w:hAnsi="Verdana" w:cs="Arial"/>
          <w:color w:val="0D0D0D"/>
          <w:sz w:val="20"/>
          <w:szCs w:val="20"/>
          <w:lang w:eastAsia="es-MX"/>
        </w:rPr>
      </w:pPr>
    </w:p>
    <w:p w14:paraId="09ABAF4A" w14:textId="77777777" w:rsidR="00E71868" w:rsidRPr="00E71868" w:rsidRDefault="00E71868" w:rsidP="00E71868">
      <w:pPr>
        <w:snapToGrid w:val="0"/>
        <w:spacing w:after="0" w:line="240" w:lineRule="auto"/>
        <w:jc w:val="both"/>
        <w:rPr>
          <w:rFonts w:ascii="Verdana" w:eastAsia="Calibri" w:hAnsi="Verdana" w:cs="Arial"/>
          <w:color w:val="0D0D0D"/>
          <w:sz w:val="20"/>
          <w:szCs w:val="20"/>
          <w:lang w:eastAsia="es-MX"/>
        </w:rPr>
      </w:pPr>
    </w:p>
    <w:p w14:paraId="1A705EA3" w14:textId="77777777" w:rsidR="00E71868" w:rsidRPr="00E71868" w:rsidRDefault="00E71868" w:rsidP="00E71868">
      <w:pPr>
        <w:spacing w:after="0" w:line="278" w:lineRule="auto"/>
        <w:rPr>
          <w:rFonts w:ascii="Verdana" w:eastAsia="Calibri" w:hAnsi="Verdana" w:cs="Arial"/>
          <w:color w:val="0D0D0D"/>
          <w:sz w:val="20"/>
          <w:szCs w:val="20"/>
          <w:lang w:eastAsia="es-MX"/>
        </w:rPr>
      </w:pPr>
    </w:p>
    <w:p w14:paraId="21FCA6A8" w14:textId="77777777" w:rsidR="00EA00AF" w:rsidRDefault="00EA00AF" w:rsidP="00E71868">
      <w:pPr>
        <w:spacing w:after="0" w:line="278" w:lineRule="auto"/>
        <w:rPr>
          <w:rFonts w:ascii="Verdana" w:eastAsia="Verdana" w:hAnsi="Verdana" w:cs="Verdana"/>
          <w:kern w:val="2"/>
          <w14:ligatures w14:val="standardContextual"/>
        </w:rPr>
      </w:pPr>
    </w:p>
    <w:p w14:paraId="63EB41E5" w14:textId="2DBB8624" w:rsidR="00E71868" w:rsidRDefault="00E71868" w:rsidP="00E71868">
      <w:pPr>
        <w:spacing w:after="0" w:line="278" w:lineRule="auto"/>
        <w:rPr>
          <w:rFonts w:ascii="Verdana" w:eastAsia="Verdana" w:hAnsi="Verdana" w:cs="Verdana"/>
          <w:kern w:val="2"/>
          <w14:ligatures w14:val="standardContextual"/>
        </w:rPr>
      </w:pPr>
      <w:r w:rsidRPr="00E71868">
        <w:rPr>
          <w:rFonts w:ascii="Verdana" w:eastAsia="Verdana" w:hAnsi="Verdana" w:cs="Verdana"/>
          <w:kern w:val="2"/>
          <w14:ligatures w14:val="standardContextual"/>
        </w:rPr>
        <w:lastRenderedPageBreak/>
        <w:t xml:space="preserve">Bogotá D.C., </w:t>
      </w:r>
      <w:r w:rsidR="00D67366">
        <w:rPr>
          <w:rFonts w:ascii="Verdana" w:eastAsia="Verdana" w:hAnsi="Verdana" w:cs="Verdana"/>
          <w:kern w:val="2"/>
          <w14:ligatures w14:val="standardContextual"/>
        </w:rPr>
        <w:t>9 de septiembre de 2026</w:t>
      </w:r>
    </w:p>
    <w:p w14:paraId="10EF049A" w14:textId="75C7E079" w:rsidR="00D67366" w:rsidRDefault="00D67366" w:rsidP="00E71868">
      <w:pPr>
        <w:spacing w:after="0" w:line="278" w:lineRule="auto"/>
        <w:rPr>
          <w:rFonts w:ascii="Verdana" w:eastAsia="Verdana" w:hAnsi="Verdana" w:cs="Verdana"/>
          <w:kern w:val="2"/>
          <w14:ligatures w14:val="standardContextual"/>
        </w:rPr>
      </w:pPr>
    </w:p>
    <w:p w14:paraId="03501AE7" w14:textId="717C7445" w:rsidR="00D67366" w:rsidRPr="00E71868" w:rsidRDefault="00EA00AF" w:rsidP="00E71868">
      <w:pPr>
        <w:spacing w:after="0" w:line="278" w:lineRule="auto"/>
        <w:rPr>
          <w:rFonts w:ascii="Verdana" w:eastAsia="Verdana" w:hAnsi="Verdana" w:cs="Verdana"/>
          <w:kern w:val="2"/>
          <w14:ligatures w14:val="standardContextual"/>
        </w:rPr>
      </w:pPr>
      <w:r w:rsidRPr="00D67366">
        <w:rPr>
          <w:rFonts w:ascii="Verdana" w:eastAsia="Verdana" w:hAnsi="Verdana" w:cs="Verdana"/>
          <w:noProof/>
          <w:kern w:val="2"/>
          <w14:ligatures w14:val="standardContextual"/>
        </w:rPr>
        <w:drawing>
          <wp:anchor distT="0" distB="0" distL="114300" distR="114300" simplePos="0" relativeHeight="251658240" behindDoc="0" locked="0" layoutInCell="1" allowOverlap="1" wp14:anchorId="791ED046" wp14:editId="4E857D37">
            <wp:simplePos x="0" y="0"/>
            <wp:positionH relativeFrom="margin">
              <wp:align>right</wp:align>
            </wp:positionH>
            <wp:positionV relativeFrom="paragraph">
              <wp:posOffset>5052</wp:posOffset>
            </wp:positionV>
            <wp:extent cx="2620645" cy="1009650"/>
            <wp:effectExtent l="0" t="0" r="8255" b="0"/>
            <wp:wrapSquare wrapText="bothSides"/>
            <wp:docPr id="7993744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7440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0645" cy="1009650"/>
                    </a:xfrm>
                    <a:prstGeom prst="rect">
                      <a:avLst/>
                    </a:prstGeom>
                  </pic:spPr>
                </pic:pic>
              </a:graphicData>
            </a:graphic>
            <wp14:sizeRelH relativeFrom="page">
              <wp14:pctWidth>0</wp14:pctWidth>
            </wp14:sizeRelH>
            <wp14:sizeRelV relativeFrom="page">
              <wp14:pctHeight>0</wp14:pctHeight>
            </wp14:sizeRelV>
          </wp:anchor>
        </w:drawing>
      </w:r>
    </w:p>
    <w:p w14:paraId="1E3441D9" w14:textId="54CDAD41" w:rsidR="00E71868" w:rsidRPr="00EA00AF" w:rsidRDefault="00E71868" w:rsidP="00EA00AF">
      <w:pPr>
        <w:spacing w:after="0" w:line="278" w:lineRule="auto"/>
        <w:rPr>
          <w:rFonts w:ascii="Verdana" w:eastAsia="Aptos" w:hAnsi="Verdana" w:cs="Times New Roman"/>
          <w:kern w:val="2"/>
          <w14:ligatures w14:val="standardContextual"/>
        </w:rPr>
      </w:pPr>
      <w:r w:rsidRPr="00E71868">
        <w:rPr>
          <w:rFonts w:ascii="Verdana" w:eastAsia="Calibri" w:hAnsi="Verdana" w:cs="Arial"/>
          <w:lang w:val="es-ES" w:eastAsia="es-ES"/>
        </w:rPr>
        <w:t>Señora</w:t>
      </w:r>
    </w:p>
    <w:p w14:paraId="55CED814" w14:textId="77777777" w:rsidR="00E71868" w:rsidRPr="00E71868" w:rsidRDefault="00E71868" w:rsidP="00E71868">
      <w:pPr>
        <w:spacing w:after="0" w:line="240" w:lineRule="auto"/>
        <w:rPr>
          <w:rFonts w:ascii="Verdana" w:eastAsia="Aptos" w:hAnsi="Verdana" w:cs="Times New Roman"/>
          <w:b/>
          <w:bCs/>
          <w:kern w:val="2"/>
          <w14:ligatures w14:val="standardContextual"/>
        </w:rPr>
      </w:pPr>
      <w:r w:rsidRPr="00E71868">
        <w:rPr>
          <w:rFonts w:ascii="Verdana" w:eastAsia="Aptos" w:hAnsi="Verdana" w:cs="Times New Roman"/>
          <w:b/>
          <w:bCs/>
          <w:kern w:val="2"/>
          <w14:ligatures w14:val="standardContextual"/>
        </w:rPr>
        <w:t>Stefany Sánchez Oviedo</w:t>
      </w:r>
    </w:p>
    <w:p w14:paraId="7B446495" w14:textId="77777777" w:rsidR="00E71868" w:rsidRPr="00E71868" w:rsidRDefault="00E71868" w:rsidP="00E71868">
      <w:pPr>
        <w:spacing w:after="0" w:line="240" w:lineRule="auto"/>
        <w:rPr>
          <w:rFonts w:ascii="Verdana" w:eastAsia="Calibri" w:hAnsi="Verdana" w:cs="Arial"/>
          <w:b/>
          <w:bCs/>
          <w:lang w:val="es-ES_tradnl" w:eastAsia="es-ES_tradnl"/>
        </w:rPr>
      </w:pPr>
      <w:r w:rsidRPr="00E71868">
        <w:rPr>
          <w:rFonts w:ascii="Verdana" w:eastAsia="Aptos" w:hAnsi="Verdana" w:cs="Times New Roman"/>
          <w:lang w:eastAsia="es-MX"/>
        </w:rPr>
        <w:t>Pereira, Risaralda</w:t>
      </w:r>
    </w:p>
    <w:p w14:paraId="09D3A8DC" w14:textId="77777777" w:rsidR="00E71868" w:rsidRPr="00E71868" w:rsidRDefault="00E71868" w:rsidP="00E71868">
      <w:pPr>
        <w:spacing w:after="0" w:line="240" w:lineRule="auto"/>
        <w:rPr>
          <w:rFonts w:ascii="Verdana" w:eastAsia="Calibri" w:hAnsi="Verdana" w:cs="Arial"/>
          <w:b/>
          <w:bCs/>
          <w:lang w:val="es-ES_tradnl" w:eastAsia="es-ES_tradnl"/>
        </w:rPr>
      </w:pPr>
    </w:p>
    <w:tbl>
      <w:tblPr>
        <w:tblStyle w:val="Tablaconcuadrcula"/>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6100"/>
      </w:tblGrid>
      <w:tr w:rsidR="00E71868" w:rsidRPr="00E71868" w14:paraId="5F7F0C0A" w14:textId="77777777" w:rsidTr="005672E7">
        <w:trPr>
          <w:trHeight w:val="229"/>
        </w:trPr>
        <w:tc>
          <w:tcPr>
            <w:tcW w:w="2268" w:type="dxa"/>
          </w:tcPr>
          <w:p w14:paraId="1801B5A6" w14:textId="77777777" w:rsidR="00E71868" w:rsidRPr="00E71868" w:rsidRDefault="00E71868" w:rsidP="00E71868">
            <w:pPr>
              <w:jc w:val="both"/>
              <w:rPr>
                <w:rFonts w:ascii="Verdana" w:eastAsia="Calibri" w:hAnsi="Verdana" w:cs="Arial"/>
                <w:b/>
                <w:bCs/>
                <w:lang w:val="es-ES_tradnl" w:eastAsia="es-ES_tradnl"/>
              </w:rPr>
            </w:pPr>
          </w:p>
        </w:tc>
        <w:tc>
          <w:tcPr>
            <w:tcW w:w="6100" w:type="dxa"/>
          </w:tcPr>
          <w:p w14:paraId="14A25DDA" w14:textId="77777777" w:rsidR="00E71868" w:rsidRPr="00E71868" w:rsidRDefault="00E71868" w:rsidP="00E71868">
            <w:pPr>
              <w:jc w:val="both"/>
              <w:rPr>
                <w:rFonts w:ascii="Verdana" w:eastAsia="Calibri" w:hAnsi="Verdana" w:cs="Arial"/>
                <w:b/>
                <w:bCs/>
                <w:lang w:val="es-ES" w:eastAsia="es-ES"/>
              </w:rPr>
            </w:pPr>
            <w:r w:rsidRPr="00E71868">
              <w:rPr>
                <w:rFonts w:ascii="Verdana" w:eastAsia="Calibri" w:hAnsi="Verdana" w:cs="Arial"/>
                <w:b/>
                <w:bCs/>
                <w:lang w:val="es-ES" w:eastAsia="es-ES"/>
              </w:rPr>
              <w:t xml:space="preserve">Concepto </w:t>
            </w:r>
            <w:bookmarkStart w:id="1" w:name="OLE_LINK1"/>
            <w:r w:rsidRPr="00E71868">
              <w:rPr>
                <w:rFonts w:ascii="Verdana" w:eastAsia="Calibri" w:hAnsi="Verdana" w:cs="Arial"/>
                <w:b/>
                <w:bCs/>
                <w:lang w:val="es-ES" w:eastAsia="es-ES"/>
              </w:rPr>
              <w:t>C-1187 de 2026</w:t>
            </w:r>
            <w:bookmarkEnd w:id="1"/>
          </w:p>
          <w:p w14:paraId="33F71EAE" w14:textId="77777777" w:rsidR="00E71868" w:rsidRPr="00E71868" w:rsidRDefault="00E71868" w:rsidP="00E71868">
            <w:pPr>
              <w:jc w:val="both"/>
              <w:rPr>
                <w:rFonts w:ascii="Verdana" w:eastAsia="Calibri" w:hAnsi="Verdana" w:cs="Arial"/>
                <w:b/>
                <w:bCs/>
                <w:lang w:val="es-ES" w:eastAsia="es-ES"/>
              </w:rPr>
            </w:pPr>
          </w:p>
          <w:p w14:paraId="2A60D2AD" w14:textId="77777777" w:rsidR="00E71868" w:rsidRPr="00E71868" w:rsidRDefault="00E71868" w:rsidP="00E71868">
            <w:pPr>
              <w:jc w:val="both"/>
              <w:rPr>
                <w:rFonts w:ascii="Verdana" w:eastAsia="Calibri" w:hAnsi="Verdana" w:cs="Arial"/>
                <w:b/>
                <w:bCs/>
                <w:lang w:val="es-ES" w:eastAsia="es-ES"/>
              </w:rPr>
            </w:pPr>
          </w:p>
        </w:tc>
      </w:tr>
      <w:tr w:rsidR="00E71868" w:rsidRPr="00E71868" w14:paraId="09D39583" w14:textId="77777777" w:rsidTr="005672E7">
        <w:trPr>
          <w:trHeight w:val="884"/>
        </w:trPr>
        <w:tc>
          <w:tcPr>
            <w:tcW w:w="2268" w:type="dxa"/>
          </w:tcPr>
          <w:p w14:paraId="27FDC9A1" w14:textId="77777777" w:rsidR="00E71868" w:rsidRPr="00E71868" w:rsidRDefault="00E71868" w:rsidP="00E71868">
            <w:pPr>
              <w:jc w:val="both"/>
              <w:rPr>
                <w:rFonts w:ascii="Verdana" w:eastAsia="Calibri" w:hAnsi="Verdana" w:cs="Arial"/>
                <w:lang w:val="es-ES_tradnl" w:eastAsia="es-ES_tradnl"/>
              </w:rPr>
            </w:pPr>
            <w:r w:rsidRPr="00E71868">
              <w:rPr>
                <w:rFonts w:ascii="Verdana" w:eastAsia="Calibri" w:hAnsi="Verdana" w:cs="Arial"/>
                <w:b/>
                <w:lang w:val="es-ES_tradnl" w:eastAsia="es-ES_tradnl"/>
              </w:rPr>
              <w:t>Temas:</w:t>
            </w:r>
            <w:r w:rsidRPr="00E71868">
              <w:rPr>
                <w:rFonts w:ascii="Verdana" w:eastAsia="Calibri" w:hAnsi="Verdana" w:cs="Arial"/>
                <w:lang w:val="es-ES_tradnl" w:eastAsia="es-ES_tradnl"/>
              </w:rPr>
              <w:t xml:space="preserve">                   </w:t>
            </w:r>
          </w:p>
        </w:tc>
        <w:tc>
          <w:tcPr>
            <w:tcW w:w="6100" w:type="dxa"/>
          </w:tcPr>
          <w:p w14:paraId="4E2CF1D7" w14:textId="77777777" w:rsidR="00E71868" w:rsidRPr="00E71868" w:rsidRDefault="00E71868" w:rsidP="00E71868">
            <w:pPr>
              <w:widowControl w:val="0"/>
              <w:autoSpaceDE w:val="0"/>
              <w:autoSpaceDN w:val="0"/>
              <w:jc w:val="both"/>
              <w:rPr>
                <w:rFonts w:ascii="Verdana" w:eastAsia="Calibri" w:hAnsi="Verdana" w:cs="Times New Roman"/>
                <w:lang w:val="es-ES" w:eastAsia="es-MX"/>
              </w:rPr>
            </w:pPr>
            <w:r w:rsidRPr="00E71868">
              <w:rPr>
                <w:rFonts w:ascii="Verdana" w:eastAsia="Calibri" w:hAnsi="Verdana" w:cs="Arial"/>
                <w:lang w:val="es-ES_tradnl" w:eastAsia="es-MX"/>
              </w:rPr>
              <w:t>DOCUMENTOS TIPO – Fundamento normativo – Obligatoriedad / SECTOR SOCIAL</w:t>
            </w:r>
            <w:r w:rsidRPr="00E71868">
              <w:rPr>
                <w:rFonts w:ascii="Verdana" w:eastAsia="Calibri" w:hAnsi="Verdana" w:cs="Times New Roman"/>
                <w:lang w:val="es-ES" w:eastAsia="es-MX"/>
              </w:rPr>
              <w:t xml:space="preserve"> – Documentos tipo – Vigentes / DOCUMENTOS TIPO – Aplicación – Matriz de Experiencia </w:t>
            </w:r>
            <w:r w:rsidRPr="00E71868">
              <w:rPr>
                <w:rFonts w:ascii="Verdana" w:eastAsia="Calibri" w:hAnsi="Verdana" w:cs="Times New Roman"/>
                <w:sz w:val="20"/>
                <w:szCs w:val="20"/>
                <w:lang w:val="es-ES" w:eastAsia="es-MX"/>
              </w:rPr>
              <w:t xml:space="preserve">/ </w:t>
            </w:r>
            <w:r w:rsidRPr="00E71868">
              <w:rPr>
                <w:rFonts w:ascii="Verdana" w:eastAsia="Calibri" w:hAnsi="Verdana" w:cs="Times New Roman"/>
                <w:lang w:val="es-ES" w:eastAsia="es-MX"/>
              </w:rPr>
              <w:t xml:space="preserve">DOCUMENTOS TIPO – Sector social – Infraestructura Institucional – NSR-10 / </w:t>
            </w:r>
            <w:r w:rsidRPr="00E71868">
              <w:rPr>
                <w:rFonts w:ascii="Verdana" w:eastAsia="Calibri" w:hAnsi="Verdana" w:cs="Arial"/>
                <w:color w:val="0D0D0D"/>
                <w:lang w:eastAsia="es-MX"/>
              </w:rPr>
              <w:t>SUBGRUPO DE OCUPACIÓN INSTITUCIONAL DE RECLUSIÓN</w:t>
            </w:r>
            <w:r w:rsidRPr="00E71868">
              <w:rPr>
                <w:rFonts w:ascii="Verdana" w:eastAsia="Calibri" w:hAnsi="Verdana" w:cs="Times New Roman"/>
                <w:lang w:val="es-ES" w:eastAsia="es-MX"/>
              </w:rPr>
              <w:t xml:space="preserve"> Documentos tipo – Sector social – NSR-10 / </w:t>
            </w:r>
            <w:r w:rsidRPr="00E71868">
              <w:rPr>
                <w:rFonts w:ascii="Verdana" w:eastAsia="Calibri" w:hAnsi="Verdana" w:cs="Arial"/>
              </w:rPr>
              <w:t>SUBGRUPO DE OCUPACIÓN INSTITUCIONAL DE SEGURIDAD PÚBLICA –</w:t>
            </w:r>
            <w:r w:rsidRPr="00E71868">
              <w:rPr>
                <w:rFonts w:ascii="Verdana" w:eastAsia="Calibri" w:hAnsi="Verdana" w:cs="Arial"/>
                <w:sz w:val="20"/>
                <w:szCs w:val="20"/>
              </w:rPr>
              <w:t xml:space="preserve"> </w:t>
            </w:r>
            <w:r w:rsidRPr="00E71868">
              <w:rPr>
                <w:rFonts w:ascii="Verdana" w:eastAsia="Calibri" w:hAnsi="Verdana" w:cs="Times New Roman"/>
                <w:lang w:val="es-ES" w:eastAsia="es-MX"/>
              </w:rPr>
              <w:t xml:space="preserve">Documentos tipo – Sector social – NSR-10 / </w:t>
            </w:r>
            <w:r w:rsidRPr="00E71868">
              <w:rPr>
                <w:rFonts w:ascii="Verdana" w:eastAsia="Calibri" w:hAnsi="Verdana" w:cs="Arial"/>
                <w:color w:val="0D0D0D"/>
                <w:lang w:eastAsia="es-MX"/>
              </w:rPr>
              <w:t>SUBGRUPO DE OCUPACIÓN INSTITUCIONAL DE SERVICIO PÚBLICO</w:t>
            </w:r>
            <w:r w:rsidRPr="00E71868">
              <w:rPr>
                <w:rFonts w:ascii="Verdana" w:eastAsia="Calibri" w:hAnsi="Verdana" w:cs="Arial"/>
              </w:rPr>
              <w:t xml:space="preserve"> –</w:t>
            </w:r>
            <w:r w:rsidRPr="00E71868">
              <w:rPr>
                <w:rFonts w:ascii="Verdana" w:eastAsia="Calibri" w:hAnsi="Verdana" w:cs="Arial"/>
                <w:sz w:val="20"/>
                <w:szCs w:val="20"/>
              </w:rPr>
              <w:t xml:space="preserve"> </w:t>
            </w:r>
            <w:r w:rsidRPr="00E71868">
              <w:rPr>
                <w:rFonts w:ascii="Verdana" w:eastAsia="Calibri" w:hAnsi="Verdana" w:cs="Times New Roman"/>
                <w:lang w:val="es-ES" w:eastAsia="es-MX"/>
              </w:rPr>
              <w:t>Documentos tipo – Sector social – NSR-10</w:t>
            </w:r>
          </w:p>
          <w:p w14:paraId="2D46A278" w14:textId="77777777" w:rsidR="00E71868" w:rsidRPr="00E71868" w:rsidRDefault="00E71868" w:rsidP="00E71868">
            <w:pPr>
              <w:jc w:val="both"/>
              <w:rPr>
                <w:rFonts w:ascii="Verdana" w:eastAsia="Calibri" w:hAnsi="Verdana" w:cs="Arial"/>
                <w:color w:val="0D0D0D"/>
                <w:sz w:val="20"/>
                <w:szCs w:val="20"/>
                <w:lang w:eastAsia="es-MX"/>
              </w:rPr>
            </w:pPr>
          </w:p>
        </w:tc>
      </w:tr>
      <w:tr w:rsidR="00E71868" w:rsidRPr="00E71868" w14:paraId="69B91BA5" w14:textId="77777777" w:rsidTr="005672E7">
        <w:tc>
          <w:tcPr>
            <w:tcW w:w="2268" w:type="dxa"/>
          </w:tcPr>
          <w:p w14:paraId="151B73BF" w14:textId="77777777" w:rsidR="00E71868" w:rsidRPr="00E71868" w:rsidRDefault="00E71868" w:rsidP="00E71868">
            <w:pPr>
              <w:jc w:val="both"/>
              <w:rPr>
                <w:rFonts w:ascii="Verdana" w:eastAsia="Calibri" w:hAnsi="Verdana" w:cs="Arial"/>
                <w:b/>
                <w:lang w:val="es-ES_tradnl" w:eastAsia="es-ES_tradnl"/>
              </w:rPr>
            </w:pPr>
            <w:r w:rsidRPr="00E71868">
              <w:rPr>
                <w:rFonts w:ascii="Verdana" w:eastAsia="Calibri" w:hAnsi="Verdana" w:cs="Arial"/>
                <w:b/>
                <w:lang w:val="es-ES_tradnl" w:eastAsia="es-ES_tradnl"/>
              </w:rPr>
              <w:t>Radicación:</w:t>
            </w:r>
            <w:r w:rsidRPr="00E71868">
              <w:rPr>
                <w:rFonts w:ascii="Verdana" w:eastAsia="Calibri" w:hAnsi="Verdana" w:cs="Arial"/>
                <w:lang w:val="es-ES_tradnl" w:eastAsia="es-ES_tradnl"/>
              </w:rPr>
              <w:t xml:space="preserve">               </w:t>
            </w:r>
          </w:p>
        </w:tc>
        <w:tc>
          <w:tcPr>
            <w:tcW w:w="6100" w:type="dxa"/>
          </w:tcPr>
          <w:p w14:paraId="59341FDB" w14:textId="6C7D308C" w:rsidR="00E71868" w:rsidRPr="00E71868" w:rsidRDefault="00E71868" w:rsidP="00E71868">
            <w:pPr>
              <w:ind w:left="3" w:hanging="3"/>
              <w:jc w:val="both"/>
              <w:rPr>
                <w:rFonts w:ascii="Verdana" w:eastAsia="Calibri" w:hAnsi="Verdana" w:cs="Arial"/>
                <w:lang w:val="es-ES_tradnl" w:eastAsia="es-ES_tradnl"/>
              </w:rPr>
            </w:pPr>
            <w:r w:rsidRPr="00E71868">
              <w:rPr>
                <w:rFonts w:ascii="Verdana" w:eastAsia="Calibri" w:hAnsi="Verdana" w:cs="Arial"/>
                <w:lang w:val="es-ES_tradnl" w:eastAsia="es-ES_tradnl"/>
              </w:rPr>
              <w:t xml:space="preserve">Respuesta a consulta con radicado No. </w:t>
            </w:r>
            <w:r w:rsidRPr="00E71868">
              <w:rPr>
                <w:rFonts w:ascii="Verdana" w:eastAsia="Aptos" w:hAnsi="Verdana" w:cs="Calibri"/>
                <w:color w:val="242424"/>
              </w:rPr>
              <w:t>1_2026_07_28_009938</w:t>
            </w:r>
            <w:r w:rsidR="003D2360">
              <w:rPr>
                <w:rFonts w:ascii="Verdana" w:eastAsia="Aptos" w:hAnsi="Verdana" w:cs="Calibri"/>
                <w:color w:val="242424"/>
              </w:rPr>
              <w:t xml:space="preserve"> y </w:t>
            </w:r>
            <w:r w:rsidR="003D2360" w:rsidRPr="003D2360">
              <w:rPr>
                <w:rFonts w:ascii="Verdana" w:eastAsia="Aptos" w:hAnsi="Verdana" w:cs="Calibri"/>
                <w:color w:val="242424"/>
              </w:rPr>
              <w:t>1_2026_07_29_009984</w:t>
            </w:r>
          </w:p>
          <w:p w14:paraId="3FB6FA9C" w14:textId="77777777" w:rsidR="00E71868" w:rsidRPr="00E71868" w:rsidRDefault="00E71868" w:rsidP="00E71868">
            <w:pPr>
              <w:ind w:left="3" w:hanging="3"/>
              <w:jc w:val="both"/>
              <w:rPr>
                <w:rFonts w:ascii="Verdana" w:eastAsia="Calibri" w:hAnsi="Verdana" w:cs="Arial"/>
                <w:lang w:val="es-ES_tradnl" w:eastAsia="es-ES_tradnl"/>
              </w:rPr>
            </w:pPr>
          </w:p>
        </w:tc>
      </w:tr>
    </w:tbl>
    <w:p w14:paraId="7D667522" w14:textId="77777777" w:rsidR="00E71868" w:rsidRPr="00E71868" w:rsidRDefault="00E71868" w:rsidP="00E71868">
      <w:pPr>
        <w:spacing w:after="0" w:line="240" w:lineRule="auto"/>
        <w:rPr>
          <w:rFonts w:ascii="Verdana" w:eastAsia="Aptos" w:hAnsi="Verdana" w:cs="Times New Roman"/>
          <w:b/>
          <w:bCs/>
          <w:kern w:val="2"/>
          <w14:ligatures w14:val="standardContextual"/>
        </w:rPr>
      </w:pPr>
      <w:r w:rsidRPr="00E71868">
        <w:rPr>
          <w:rFonts w:ascii="Verdana" w:eastAsia="Calibri" w:hAnsi="Verdana" w:cs="Arial"/>
          <w:lang w:val="es-ES" w:eastAsia="es-ES"/>
        </w:rPr>
        <w:t xml:space="preserve">Estimada señora </w:t>
      </w:r>
      <w:r w:rsidRPr="00E71868">
        <w:rPr>
          <w:rFonts w:ascii="Verdana" w:eastAsia="Aptos" w:hAnsi="Verdana" w:cs="Times New Roman"/>
          <w:kern w:val="2"/>
          <w14:ligatures w14:val="standardContextual"/>
        </w:rPr>
        <w:t>Sánchez Oviedo</w:t>
      </w:r>
      <w:r w:rsidRPr="00E71868">
        <w:rPr>
          <w:rFonts w:ascii="Verdana" w:eastAsia="Calibri" w:hAnsi="Verdana" w:cs="Arial"/>
          <w:lang w:val="es-ES" w:eastAsia="es-ES"/>
        </w:rPr>
        <w:t xml:space="preserve">: </w:t>
      </w:r>
    </w:p>
    <w:p w14:paraId="5EA8A4A4" w14:textId="77777777" w:rsidR="00E71868" w:rsidRPr="00E71868" w:rsidRDefault="00E71868" w:rsidP="00E71868">
      <w:pPr>
        <w:tabs>
          <w:tab w:val="left" w:pos="3768"/>
        </w:tabs>
        <w:spacing w:after="0" w:line="276" w:lineRule="auto"/>
        <w:jc w:val="both"/>
        <w:rPr>
          <w:rFonts w:ascii="Verdana" w:eastAsia="Calibri" w:hAnsi="Verdana" w:cs="Arial"/>
          <w:lang w:val="es-ES" w:eastAsia="es-ES"/>
        </w:rPr>
      </w:pPr>
      <w:r w:rsidRPr="00E71868">
        <w:rPr>
          <w:rFonts w:ascii="Verdana" w:eastAsia="Calibri" w:hAnsi="Verdana" w:cs="Arial"/>
          <w:lang w:val="es-ES" w:eastAsia="es-ES"/>
        </w:rPr>
        <w:tab/>
      </w:r>
    </w:p>
    <w:p w14:paraId="06C11B32" w14:textId="775D5484" w:rsidR="00E71868" w:rsidRPr="00E71868" w:rsidRDefault="00E71868" w:rsidP="00E71868">
      <w:pPr>
        <w:spacing w:after="0" w:line="276" w:lineRule="auto"/>
        <w:jc w:val="both"/>
        <w:rPr>
          <w:rFonts w:ascii="Verdana" w:eastAsia="Calibri" w:hAnsi="Verdana" w:cs="Arial"/>
          <w:lang w:val="es-ES" w:eastAsia="es-ES"/>
        </w:rPr>
      </w:pPr>
      <w:r w:rsidRPr="00E71868">
        <w:rPr>
          <w:rFonts w:ascii="Verdana" w:eastAsia="Calibri" w:hAnsi="Verdana" w:cs="Arial"/>
          <w:lang w:val="es-ES" w:eastAsia="es-ES"/>
        </w:rPr>
        <w:t>En ejercicio de la competencia otorgada por los artículos 3, numeral 5º, y 11, numeral 8º, del Decreto Ley 4170 de 2011,</w:t>
      </w:r>
      <w:r w:rsidRPr="00E71868">
        <w:rPr>
          <w:rFonts w:ascii="Verdana" w:eastAsia="Arial MT" w:hAnsi="Verdana" w:cs="Arial MT"/>
          <w:lang w:val="es-ES" w:eastAsia="es-ES"/>
        </w:rPr>
        <w:t xml:space="preserve"> </w:t>
      </w:r>
      <w:r w:rsidRPr="00E71868">
        <w:rPr>
          <w:rFonts w:ascii="Verdana" w:eastAsia="Calibri" w:hAnsi="Verdana" w:cs="Arial"/>
          <w:lang w:eastAsia="es-MX"/>
        </w:rPr>
        <w:t xml:space="preserve">así como lo establecido por la </w:t>
      </w:r>
      <w:r w:rsidRPr="00E71868">
        <w:rPr>
          <w:rFonts w:ascii="Verdana" w:eastAsia="Aptos" w:hAnsi="Verdana" w:cs="Arial"/>
          <w:bCs/>
          <w:lang w:eastAsia="es-ES" w:bidi="es-ES"/>
        </w:rPr>
        <w:t>Resolución 469 de 2025 expedida por esta Entidad</w:t>
      </w:r>
      <w:r w:rsidRPr="00E71868">
        <w:rPr>
          <w:rFonts w:ascii="Verdana" w:eastAsia="Calibri" w:hAnsi="Verdana" w:cs="Arial"/>
          <w:lang w:eastAsia="es-MX"/>
        </w:rPr>
        <w:t xml:space="preserve">, </w:t>
      </w:r>
      <w:r w:rsidRPr="00E71868">
        <w:rPr>
          <w:rFonts w:ascii="Verdana" w:eastAsia="Calibri" w:hAnsi="Verdana" w:cs="Arial"/>
          <w:lang w:val="es-ES" w:eastAsia="es-ES"/>
        </w:rPr>
        <w:t>la Agencia Nacional de Contratación Pública – Colombia Compra Eficiente– responde su</w:t>
      </w:r>
      <w:r w:rsidR="003D2360">
        <w:rPr>
          <w:rFonts w:ascii="Verdana" w:eastAsia="Calibri" w:hAnsi="Verdana" w:cs="Arial"/>
          <w:lang w:val="es-ES" w:eastAsia="es-ES"/>
        </w:rPr>
        <w:t>s</w:t>
      </w:r>
      <w:r w:rsidRPr="00E71868">
        <w:rPr>
          <w:rFonts w:ascii="Verdana" w:eastAsia="Calibri" w:hAnsi="Verdana" w:cs="Arial"/>
          <w:lang w:val="es-ES" w:eastAsia="es-ES"/>
        </w:rPr>
        <w:t xml:space="preserve"> solicitud</w:t>
      </w:r>
      <w:r w:rsidR="003D2360">
        <w:rPr>
          <w:rFonts w:ascii="Verdana" w:eastAsia="Calibri" w:hAnsi="Verdana" w:cs="Arial"/>
          <w:lang w:val="es-ES" w:eastAsia="es-ES"/>
        </w:rPr>
        <w:t>es</w:t>
      </w:r>
      <w:r w:rsidRPr="00E71868">
        <w:rPr>
          <w:rFonts w:ascii="Verdana" w:eastAsia="Calibri" w:hAnsi="Verdana" w:cs="Arial"/>
          <w:lang w:val="es-ES" w:eastAsia="es-ES"/>
        </w:rPr>
        <w:t xml:space="preserve"> de consulta del 28 </w:t>
      </w:r>
      <w:r w:rsidR="00A26428">
        <w:rPr>
          <w:rFonts w:ascii="Verdana" w:eastAsia="Calibri" w:hAnsi="Verdana" w:cs="Arial"/>
          <w:lang w:val="es-ES" w:eastAsia="es-ES"/>
        </w:rPr>
        <w:t xml:space="preserve">y 29 </w:t>
      </w:r>
      <w:r w:rsidRPr="00E71868">
        <w:rPr>
          <w:rFonts w:ascii="Verdana" w:eastAsia="Calibri" w:hAnsi="Verdana" w:cs="Arial"/>
          <w:lang w:val="es-ES" w:eastAsia="es-ES"/>
        </w:rPr>
        <w:t>de julio de 2026, en la</w:t>
      </w:r>
      <w:r w:rsidR="00576CAE">
        <w:rPr>
          <w:rFonts w:ascii="Verdana" w:eastAsia="Calibri" w:hAnsi="Verdana" w:cs="Arial"/>
          <w:lang w:val="es-ES" w:eastAsia="es-ES"/>
        </w:rPr>
        <w:t>s</w:t>
      </w:r>
      <w:r w:rsidRPr="00E71868">
        <w:rPr>
          <w:rFonts w:ascii="Verdana" w:eastAsia="Calibri" w:hAnsi="Verdana" w:cs="Arial"/>
          <w:lang w:val="es-ES" w:eastAsia="es-ES"/>
        </w:rPr>
        <w:t xml:space="preserve"> cual</w:t>
      </w:r>
      <w:r w:rsidR="00576CAE">
        <w:rPr>
          <w:rFonts w:ascii="Verdana" w:eastAsia="Calibri" w:hAnsi="Verdana" w:cs="Arial"/>
          <w:lang w:val="es-ES" w:eastAsia="es-ES"/>
        </w:rPr>
        <w:t>es</w:t>
      </w:r>
      <w:r w:rsidRPr="00E71868">
        <w:rPr>
          <w:rFonts w:ascii="Verdana" w:eastAsia="Calibri" w:hAnsi="Verdana" w:cs="Arial"/>
          <w:lang w:val="es-ES" w:eastAsia="es-ES"/>
        </w:rPr>
        <w:t xml:space="preserve"> manifiesta lo siguiente: </w:t>
      </w:r>
    </w:p>
    <w:p w14:paraId="393D0B0E" w14:textId="77777777" w:rsidR="00E71868" w:rsidRPr="00E71868" w:rsidRDefault="00E71868" w:rsidP="00E71868">
      <w:pPr>
        <w:tabs>
          <w:tab w:val="left" w:pos="142"/>
          <w:tab w:val="left" w:pos="284"/>
        </w:tabs>
        <w:spacing w:after="0" w:line="276" w:lineRule="auto"/>
        <w:ind w:left="709" w:right="709"/>
        <w:jc w:val="both"/>
        <w:rPr>
          <w:rFonts w:ascii="Verdana" w:eastAsia="Century Gothic" w:hAnsi="Verdana" w:cs="Century Gothic"/>
          <w:b/>
          <w:bCs/>
          <w:lang w:val="es-ES" w:eastAsia="es-MX"/>
        </w:rPr>
      </w:pPr>
    </w:p>
    <w:p w14:paraId="75DDF345" w14:textId="77777777" w:rsidR="00E71868" w:rsidRPr="00E71868" w:rsidRDefault="00E71868" w:rsidP="00E71868">
      <w:pPr>
        <w:spacing w:after="120" w:line="240" w:lineRule="auto"/>
        <w:ind w:left="709" w:right="709"/>
        <w:jc w:val="both"/>
        <w:rPr>
          <w:rFonts w:ascii="Verdana" w:eastAsia="Times New Roman" w:hAnsi="Verdana" w:cs="Times New Roman"/>
          <w:color w:val="303030"/>
          <w:sz w:val="20"/>
          <w:szCs w:val="20"/>
          <w:lang w:eastAsia="es-MX"/>
        </w:rPr>
      </w:pPr>
      <w:r w:rsidRPr="00E71868">
        <w:rPr>
          <w:rFonts w:ascii="Verdana" w:eastAsia="Times New Roman" w:hAnsi="Verdana" w:cs="Times New Roman"/>
          <w:color w:val="242424"/>
          <w:sz w:val="20"/>
          <w:szCs w:val="20"/>
          <w:lang w:eastAsia="es-MX"/>
        </w:rPr>
        <w:t>“</w:t>
      </w:r>
      <w:r w:rsidRPr="00E71868">
        <w:rPr>
          <w:rFonts w:ascii="Verdana" w:eastAsia="Times New Roman" w:hAnsi="Verdana" w:cs="Times New Roman"/>
          <w:b/>
          <w:bCs/>
          <w:color w:val="303030"/>
          <w:sz w:val="20"/>
          <w:szCs w:val="20"/>
          <w:lang w:eastAsia="es-MX"/>
        </w:rPr>
        <w:t>Antecedentes y Análisis Jurídico:</w:t>
      </w:r>
    </w:p>
    <w:p w14:paraId="5ECAA071" w14:textId="77777777" w:rsidR="00E71868" w:rsidRPr="00E71868" w:rsidRDefault="00E71868" w:rsidP="00E71868">
      <w:pPr>
        <w:numPr>
          <w:ilvl w:val="0"/>
          <w:numId w:val="19"/>
        </w:numPr>
        <w:shd w:val="clear" w:color="auto" w:fill="FFFFFF"/>
        <w:spacing w:before="100" w:beforeAutospacing="1" w:after="120" w:line="240" w:lineRule="auto"/>
        <w:ind w:left="1069" w:right="709"/>
        <w:jc w:val="both"/>
        <w:rPr>
          <w:rFonts w:ascii="Verdana" w:eastAsia="Times New Roman" w:hAnsi="Verdana" w:cs="Times New Roman"/>
          <w:color w:val="303030"/>
          <w:sz w:val="20"/>
          <w:szCs w:val="20"/>
          <w:lang w:eastAsia="es-MX"/>
        </w:rPr>
      </w:pPr>
      <w:r w:rsidRPr="00E71868">
        <w:rPr>
          <w:rFonts w:ascii="Verdana" w:eastAsia="Times New Roman" w:hAnsi="Verdana" w:cs="Times New Roman"/>
          <w:color w:val="303030"/>
          <w:sz w:val="20"/>
          <w:szCs w:val="20"/>
          <w:lang w:eastAsia="es-MX"/>
        </w:rPr>
        <w:t>Mediante las Resoluciones 539, 540 y 541 de 2025, Colombia Compra Eficiente adoptó los Documentos Tipo complementarios aplicables a los proyectos de infraestructura social enmarcados dentro del sector Institucional.</w:t>
      </w:r>
    </w:p>
    <w:p w14:paraId="1E79EAFD" w14:textId="77777777" w:rsidR="00E71868" w:rsidRPr="00E71868" w:rsidRDefault="00E71868" w:rsidP="00E71868">
      <w:pPr>
        <w:numPr>
          <w:ilvl w:val="0"/>
          <w:numId w:val="19"/>
        </w:numPr>
        <w:shd w:val="clear" w:color="auto" w:fill="FFFFFF"/>
        <w:spacing w:before="100" w:beforeAutospacing="1" w:after="120" w:line="240" w:lineRule="auto"/>
        <w:ind w:left="1069" w:right="709"/>
        <w:jc w:val="both"/>
        <w:rPr>
          <w:rFonts w:ascii="Verdana" w:eastAsia="Times New Roman" w:hAnsi="Verdana" w:cs="Times New Roman"/>
          <w:color w:val="303030"/>
          <w:sz w:val="20"/>
          <w:szCs w:val="20"/>
          <w:lang w:eastAsia="es-MX"/>
        </w:rPr>
      </w:pPr>
      <w:r w:rsidRPr="00E71868">
        <w:rPr>
          <w:rFonts w:ascii="Verdana" w:eastAsia="Times New Roman" w:hAnsi="Verdana" w:cs="Times New Roman"/>
          <w:color w:val="303030"/>
          <w:sz w:val="20"/>
          <w:szCs w:val="20"/>
          <w:lang w:eastAsia="es-MX"/>
        </w:rPr>
        <w:lastRenderedPageBreak/>
        <w:t xml:space="preserve">Al revisar la "Matriz 1 - Experiencia" del Sector Institucional, se observa que el Grupo 5 clasifica las </w:t>
      </w:r>
      <w:r w:rsidRPr="00E71868">
        <w:rPr>
          <w:rFonts w:ascii="Verdana" w:eastAsia="Times New Roman" w:hAnsi="Verdana" w:cs="Times New Roman"/>
          <w:b/>
          <w:bCs/>
          <w:color w:val="303030"/>
          <w:sz w:val="20"/>
          <w:szCs w:val="20"/>
          <w:lang w:eastAsia="es-MX"/>
        </w:rPr>
        <w:t>"Obras para atención, prevención o mitigación de emergencias diferentes a contratación directa para el sector institucional"</w:t>
      </w:r>
      <w:r w:rsidRPr="00E71868">
        <w:rPr>
          <w:rFonts w:ascii="Verdana" w:eastAsia="Times New Roman" w:hAnsi="Verdana" w:cs="Times New Roman"/>
          <w:color w:val="303030"/>
          <w:sz w:val="20"/>
          <w:szCs w:val="20"/>
          <w:lang w:eastAsia="es-MX"/>
        </w:rPr>
        <w:t>.</w:t>
      </w:r>
    </w:p>
    <w:p w14:paraId="4638C0E1" w14:textId="77777777" w:rsidR="00E71868" w:rsidRPr="00E71868" w:rsidRDefault="00E71868" w:rsidP="00E71868">
      <w:pPr>
        <w:numPr>
          <w:ilvl w:val="0"/>
          <w:numId w:val="19"/>
        </w:numPr>
        <w:shd w:val="clear" w:color="auto" w:fill="FFFFFF"/>
        <w:spacing w:before="100" w:beforeAutospacing="1" w:after="120" w:line="240" w:lineRule="auto"/>
        <w:ind w:left="1069" w:right="709"/>
        <w:jc w:val="both"/>
        <w:rPr>
          <w:rFonts w:ascii="Verdana" w:eastAsia="Times New Roman" w:hAnsi="Verdana" w:cs="Times New Roman"/>
          <w:color w:val="303030"/>
          <w:sz w:val="20"/>
          <w:szCs w:val="20"/>
          <w:lang w:eastAsia="es-MX"/>
        </w:rPr>
      </w:pPr>
      <w:r w:rsidRPr="00E71868">
        <w:rPr>
          <w:rFonts w:ascii="Verdana" w:eastAsia="Times New Roman" w:hAnsi="Verdana" w:cs="Times New Roman"/>
          <w:color w:val="303030"/>
          <w:sz w:val="20"/>
          <w:szCs w:val="20"/>
          <w:lang w:eastAsia="es-MX"/>
        </w:rPr>
        <w:t xml:space="preserve">Dentro de dicho grupo, actividades como la 5.2 (estabilización de taludes) y la 5.4 (inundaciones y obras hidráulicas) finalizan explícitamente con la condición de que deben realizarse </w:t>
      </w:r>
      <w:r w:rsidRPr="00E71868">
        <w:rPr>
          <w:rFonts w:ascii="Verdana" w:eastAsia="Times New Roman" w:hAnsi="Verdana" w:cs="Times New Roman"/>
          <w:b/>
          <w:bCs/>
          <w:color w:val="303030"/>
          <w:sz w:val="20"/>
          <w:szCs w:val="20"/>
          <w:lang w:eastAsia="es-MX"/>
        </w:rPr>
        <w:t>"en el ámbito del sector institucional"</w:t>
      </w:r>
      <w:r w:rsidRPr="00E71868">
        <w:rPr>
          <w:rFonts w:ascii="Verdana" w:eastAsia="Times New Roman" w:hAnsi="Verdana" w:cs="Times New Roman"/>
          <w:color w:val="303030"/>
          <w:sz w:val="20"/>
          <w:szCs w:val="20"/>
          <w:lang w:eastAsia="es-MX"/>
        </w:rPr>
        <w:t>.</w:t>
      </w:r>
    </w:p>
    <w:p w14:paraId="0A4C50D5" w14:textId="77777777" w:rsidR="00E71868" w:rsidRPr="00E71868" w:rsidRDefault="00E71868" w:rsidP="00E71868">
      <w:pPr>
        <w:numPr>
          <w:ilvl w:val="0"/>
          <w:numId w:val="19"/>
        </w:numPr>
        <w:shd w:val="clear" w:color="auto" w:fill="FFFFFF"/>
        <w:spacing w:before="100" w:beforeAutospacing="1" w:after="120" w:line="240" w:lineRule="auto"/>
        <w:ind w:left="1069" w:right="709"/>
        <w:jc w:val="both"/>
        <w:rPr>
          <w:rFonts w:ascii="Verdana" w:eastAsia="Times New Roman" w:hAnsi="Verdana" w:cs="Times New Roman"/>
          <w:color w:val="303030"/>
          <w:sz w:val="20"/>
          <w:szCs w:val="20"/>
          <w:lang w:eastAsia="es-MX"/>
        </w:rPr>
      </w:pPr>
      <w:r w:rsidRPr="00E71868">
        <w:rPr>
          <w:rFonts w:ascii="Verdana" w:eastAsia="Times New Roman" w:hAnsi="Verdana" w:cs="Times New Roman"/>
          <w:color w:val="303030"/>
          <w:sz w:val="20"/>
          <w:szCs w:val="20"/>
          <w:lang w:eastAsia="es-MX"/>
        </w:rPr>
        <w:t>La Nota General 1 de esta Matriz de Experiencia y el numeral 1.10 del Documento Base establecen de manera taxativa que los términos utilizados deben entenderse e interpretarse de acuerdo con las definiciones del Reglamento Colombiano de Construcción Sismo Resistente (NSR-10).</w:t>
      </w:r>
    </w:p>
    <w:p w14:paraId="2CC5ADBB" w14:textId="77777777" w:rsidR="00E71868" w:rsidRPr="00E71868" w:rsidRDefault="00E71868" w:rsidP="00E71868">
      <w:pPr>
        <w:numPr>
          <w:ilvl w:val="0"/>
          <w:numId w:val="19"/>
        </w:numPr>
        <w:shd w:val="clear" w:color="auto" w:fill="FFFFFF"/>
        <w:spacing w:before="100" w:beforeAutospacing="1" w:after="120" w:line="240" w:lineRule="auto"/>
        <w:ind w:left="1069" w:right="709"/>
        <w:jc w:val="both"/>
        <w:rPr>
          <w:rFonts w:ascii="Verdana" w:eastAsia="Times New Roman" w:hAnsi="Verdana" w:cs="Times New Roman"/>
          <w:color w:val="303030"/>
          <w:sz w:val="20"/>
          <w:szCs w:val="20"/>
          <w:lang w:eastAsia="es-MX"/>
        </w:rPr>
      </w:pPr>
      <w:r w:rsidRPr="00E71868">
        <w:rPr>
          <w:rFonts w:ascii="Verdana" w:eastAsia="Times New Roman" w:hAnsi="Verdana" w:cs="Times New Roman"/>
          <w:color w:val="303030"/>
          <w:sz w:val="20"/>
          <w:szCs w:val="20"/>
          <w:lang w:eastAsia="es-MX"/>
        </w:rPr>
        <w:t xml:space="preserve">Sin embargo, al remitirnos a la norma sismorresistente (NSR-10) y al glosario aplicable, el "Grupo de Ocupación Institucional" clasifica exclusivamente a </w:t>
      </w:r>
      <w:r w:rsidRPr="00E71868">
        <w:rPr>
          <w:rFonts w:ascii="Verdana" w:eastAsia="Times New Roman" w:hAnsi="Verdana" w:cs="Times New Roman"/>
          <w:b/>
          <w:bCs/>
          <w:color w:val="303030"/>
          <w:sz w:val="20"/>
          <w:szCs w:val="20"/>
          <w:lang w:eastAsia="es-MX"/>
        </w:rPr>
        <w:t>las edificaciones o espacios</w:t>
      </w:r>
      <w:r w:rsidRPr="00E71868">
        <w:rPr>
          <w:rFonts w:ascii="Verdana" w:eastAsia="Times New Roman" w:hAnsi="Verdana" w:cs="Times New Roman"/>
          <w:color w:val="303030"/>
          <w:sz w:val="20"/>
          <w:szCs w:val="20"/>
          <w:lang w:eastAsia="es-MX"/>
        </w:rPr>
        <w:t xml:space="preserve"> destinados a reclusión, salud, educación, seguridad pública y servicio público. A su vez, la NSR-10 define una "Edificación" como una construcción cuyo uso primordial es la habitación u ocupación por seres humanos.</w:t>
      </w:r>
    </w:p>
    <w:p w14:paraId="36A6BB2C" w14:textId="77777777" w:rsidR="00E71868" w:rsidRPr="00E71868" w:rsidRDefault="00E71868" w:rsidP="00E71868">
      <w:pPr>
        <w:numPr>
          <w:ilvl w:val="0"/>
          <w:numId w:val="19"/>
        </w:numPr>
        <w:shd w:val="clear" w:color="auto" w:fill="FFFFFF"/>
        <w:snapToGrid w:val="0"/>
        <w:spacing w:before="100" w:beforeAutospacing="1" w:after="120" w:line="240" w:lineRule="auto"/>
        <w:ind w:left="1072" w:right="709"/>
        <w:jc w:val="both"/>
        <w:rPr>
          <w:rFonts w:ascii="Verdana" w:eastAsia="Times New Roman" w:hAnsi="Verdana" w:cs="Times New Roman"/>
          <w:color w:val="303030"/>
          <w:sz w:val="20"/>
          <w:szCs w:val="20"/>
          <w:lang w:eastAsia="es-MX"/>
        </w:rPr>
      </w:pPr>
      <w:r w:rsidRPr="00E71868">
        <w:rPr>
          <w:rFonts w:ascii="Verdana" w:eastAsia="Times New Roman" w:hAnsi="Verdana" w:cs="Times New Roman"/>
          <w:color w:val="303030"/>
          <w:sz w:val="20"/>
          <w:szCs w:val="20"/>
          <w:lang w:eastAsia="es-MX"/>
        </w:rPr>
        <w:t xml:space="preserve">Como ciudadana, advierto una profunda ambigüedad técnica y jurídica que afecta la claridad de la contratación pública: mientras la Matriz estandariza obras civiles e hidráulicas abiertas (como control de inundaciones en ríos o estabilización de cuencas), la coletilla </w:t>
      </w:r>
      <w:r w:rsidRPr="00E71868">
        <w:rPr>
          <w:rFonts w:ascii="Verdana" w:eastAsia="Times New Roman" w:hAnsi="Verdana" w:cs="Times New Roman"/>
          <w:b/>
          <w:bCs/>
          <w:color w:val="303030"/>
          <w:sz w:val="20"/>
          <w:szCs w:val="20"/>
          <w:lang w:eastAsia="es-MX"/>
        </w:rPr>
        <w:t>"en el ámbito del sector institucional"</w:t>
      </w:r>
      <w:r w:rsidRPr="00E71868">
        <w:rPr>
          <w:rFonts w:ascii="Verdana" w:eastAsia="Times New Roman" w:hAnsi="Verdana" w:cs="Times New Roman"/>
          <w:color w:val="303030"/>
          <w:sz w:val="20"/>
          <w:szCs w:val="20"/>
          <w:lang w:eastAsia="es-MX"/>
        </w:rPr>
        <w:t xml:space="preserve"> obligaría a que estas obras cumplan con el concepto de la NSR-10, el cual está restringido a edificaciones o construcciones confinadas (hospitales, alcaldías, cárceles, etc.).</w:t>
      </w:r>
    </w:p>
    <w:p w14:paraId="35675177" w14:textId="77777777" w:rsidR="00E71868" w:rsidRPr="00E71868" w:rsidRDefault="00E71868" w:rsidP="00E71868">
      <w:pPr>
        <w:snapToGrid w:val="0"/>
        <w:spacing w:after="120" w:line="240" w:lineRule="auto"/>
        <w:ind w:left="1072" w:right="709"/>
        <w:jc w:val="both"/>
        <w:rPr>
          <w:rFonts w:ascii="Verdana" w:eastAsia="Times New Roman" w:hAnsi="Verdana" w:cs="Times New Roman"/>
          <w:color w:val="303030"/>
          <w:sz w:val="20"/>
          <w:szCs w:val="20"/>
          <w:lang w:eastAsia="es-MX"/>
        </w:rPr>
      </w:pPr>
      <w:r w:rsidRPr="00E71868">
        <w:rPr>
          <w:rFonts w:ascii="Verdana" w:eastAsia="Times New Roman" w:hAnsi="Verdana" w:cs="Times New Roman"/>
          <w:b/>
          <w:bCs/>
          <w:color w:val="303030"/>
          <w:sz w:val="20"/>
          <w:szCs w:val="20"/>
          <w:lang w:eastAsia="es-MX"/>
        </w:rPr>
        <w:t>Consulta:</w:t>
      </w:r>
      <w:r w:rsidRPr="00E71868">
        <w:rPr>
          <w:rFonts w:ascii="Verdana" w:eastAsia="Times New Roman" w:hAnsi="Verdana" w:cs="Times New Roman"/>
          <w:color w:val="303030"/>
          <w:sz w:val="20"/>
          <w:szCs w:val="20"/>
          <w:lang w:eastAsia="es-MX"/>
        </w:rPr>
        <w:t xml:space="preserve"> Con fundamento en la ambigüedad expuesta, solicito a Colombia Compra Eficiente emitir concepto jurídico resolviendo los siguientes interrogantes generales:</w:t>
      </w:r>
    </w:p>
    <w:p w14:paraId="57AD0AD6" w14:textId="77777777" w:rsidR="00E71868" w:rsidRPr="00E71868" w:rsidRDefault="00E71868" w:rsidP="00E71868">
      <w:pPr>
        <w:numPr>
          <w:ilvl w:val="0"/>
          <w:numId w:val="20"/>
        </w:numPr>
        <w:shd w:val="clear" w:color="auto" w:fill="FFFFFF"/>
        <w:snapToGrid w:val="0"/>
        <w:spacing w:before="100" w:beforeAutospacing="1" w:after="120" w:line="240" w:lineRule="auto"/>
        <w:ind w:left="1072" w:right="709"/>
        <w:jc w:val="both"/>
        <w:rPr>
          <w:rFonts w:ascii="Verdana" w:eastAsia="Times New Roman" w:hAnsi="Verdana" w:cs="Times New Roman"/>
          <w:color w:val="303030"/>
          <w:sz w:val="20"/>
          <w:szCs w:val="20"/>
          <w:lang w:eastAsia="es-MX"/>
        </w:rPr>
      </w:pPr>
      <w:r w:rsidRPr="00E71868">
        <w:rPr>
          <w:rFonts w:ascii="Verdana" w:eastAsia="Times New Roman" w:hAnsi="Verdana" w:cs="Times New Roman"/>
          <w:b/>
          <w:bCs/>
          <w:color w:val="303030"/>
          <w:sz w:val="20"/>
          <w:szCs w:val="20"/>
          <w:lang w:eastAsia="es-MX"/>
        </w:rPr>
        <w:t>PRIMERA:</w:t>
      </w:r>
      <w:r w:rsidRPr="00E71868">
        <w:rPr>
          <w:rFonts w:ascii="Verdana" w:eastAsia="Times New Roman" w:hAnsi="Verdana" w:cs="Times New Roman"/>
          <w:color w:val="303030"/>
          <w:sz w:val="20"/>
          <w:szCs w:val="20"/>
          <w:lang w:eastAsia="es-MX"/>
        </w:rPr>
        <w:t xml:space="preserve"> Teniendo en cuenta que el Documento Base ordena interpretar los términos conforme a la NSR-10, ¿cómo se debe interpretar técnica y jurídicamente la exigencia final </w:t>
      </w:r>
      <w:r w:rsidRPr="00E71868">
        <w:rPr>
          <w:rFonts w:ascii="Verdana" w:eastAsia="Times New Roman" w:hAnsi="Verdana" w:cs="Times New Roman"/>
          <w:b/>
          <w:bCs/>
          <w:color w:val="303030"/>
          <w:sz w:val="20"/>
          <w:szCs w:val="20"/>
          <w:lang w:eastAsia="es-MX"/>
        </w:rPr>
        <w:t>"en el ámbito del sector institucional"</w:t>
      </w:r>
      <w:r w:rsidRPr="00E71868">
        <w:rPr>
          <w:rFonts w:ascii="Verdana" w:eastAsia="Times New Roman" w:hAnsi="Verdana" w:cs="Times New Roman"/>
          <w:color w:val="303030"/>
          <w:sz w:val="20"/>
          <w:szCs w:val="20"/>
          <w:lang w:eastAsia="es-MX"/>
        </w:rPr>
        <w:t xml:space="preserve"> contenida en las actividades del Grupo 5 de la Matriz de Experiencia (ej. actividades 5.2 y 5.4), si la NSR-10 dirige lo "institucional" exclusivamente a edificaciones destinadas a servicios públicos, salud, educación o reclusión?</w:t>
      </w:r>
    </w:p>
    <w:p w14:paraId="24858DF5" w14:textId="77777777" w:rsidR="00E71868" w:rsidRPr="00E71868" w:rsidRDefault="00E71868" w:rsidP="00E71868">
      <w:pPr>
        <w:numPr>
          <w:ilvl w:val="0"/>
          <w:numId w:val="20"/>
        </w:numPr>
        <w:shd w:val="clear" w:color="auto" w:fill="FFFFFF"/>
        <w:snapToGrid w:val="0"/>
        <w:spacing w:before="100" w:beforeAutospacing="1" w:after="120" w:line="240" w:lineRule="auto"/>
        <w:ind w:left="1072" w:right="709"/>
        <w:jc w:val="both"/>
        <w:rPr>
          <w:rFonts w:ascii="Verdana" w:eastAsia="Times New Roman" w:hAnsi="Verdana" w:cs="Times New Roman"/>
          <w:color w:val="303030"/>
          <w:sz w:val="20"/>
          <w:szCs w:val="20"/>
          <w:lang w:eastAsia="es-MX"/>
        </w:rPr>
      </w:pPr>
      <w:r w:rsidRPr="00E71868">
        <w:rPr>
          <w:rFonts w:ascii="Verdana" w:eastAsia="Times New Roman" w:hAnsi="Verdana" w:cs="Times New Roman"/>
          <w:b/>
          <w:bCs/>
          <w:color w:val="303030"/>
          <w:sz w:val="20"/>
          <w:szCs w:val="20"/>
          <w:lang w:eastAsia="es-MX"/>
        </w:rPr>
        <w:t>SEGUNDA:</w:t>
      </w:r>
      <w:r w:rsidRPr="00E71868">
        <w:rPr>
          <w:rFonts w:ascii="Verdana" w:eastAsia="Times New Roman" w:hAnsi="Verdana" w:cs="Times New Roman"/>
          <w:color w:val="303030"/>
          <w:sz w:val="20"/>
          <w:szCs w:val="20"/>
          <w:lang w:eastAsia="es-MX"/>
        </w:rPr>
        <w:t xml:space="preserve"> En virtud de la limitación del Reglamento NSR-10, ¿se sirvan explicar e indicar </w:t>
      </w:r>
      <w:r w:rsidRPr="00E71868">
        <w:rPr>
          <w:rFonts w:ascii="Verdana" w:eastAsia="Times New Roman" w:hAnsi="Verdana" w:cs="Times New Roman"/>
          <w:b/>
          <w:bCs/>
          <w:color w:val="303030"/>
          <w:sz w:val="20"/>
          <w:szCs w:val="20"/>
          <w:lang w:eastAsia="es-MX"/>
        </w:rPr>
        <w:t>en qué casos específicos y concretos aplicaría</w:t>
      </w:r>
      <w:r w:rsidRPr="00E71868">
        <w:rPr>
          <w:rFonts w:ascii="Verdana" w:eastAsia="Times New Roman" w:hAnsi="Verdana" w:cs="Times New Roman"/>
          <w:color w:val="303030"/>
          <w:sz w:val="20"/>
          <w:szCs w:val="20"/>
          <w:lang w:eastAsia="es-MX"/>
        </w:rPr>
        <w:t xml:space="preserve"> la ejecución de obras hidráulicas para el manejo de inundaciones (Actividad 5.4) o recuperación de drenajes </w:t>
      </w:r>
      <w:r w:rsidRPr="00E71868">
        <w:rPr>
          <w:rFonts w:ascii="Verdana" w:eastAsia="Times New Roman" w:hAnsi="Verdana" w:cs="Times New Roman"/>
          <w:b/>
          <w:bCs/>
          <w:color w:val="303030"/>
          <w:sz w:val="20"/>
          <w:szCs w:val="20"/>
          <w:lang w:eastAsia="es-MX"/>
        </w:rPr>
        <w:t>dentro del "ámbito institucional"</w:t>
      </w:r>
      <w:r w:rsidRPr="00E71868">
        <w:rPr>
          <w:rFonts w:ascii="Verdana" w:eastAsia="Times New Roman" w:hAnsi="Verdana" w:cs="Times New Roman"/>
          <w:color w:val="303030"/>
          <w:sz w:val="20"/>
          <w:szCs w:val="20"/>
          <w:lang w:eastAsia="es-MX"/>
        </w:rPr>
        <w:t xml:space="preserve">? ¿Debe entenderse que estas obras civiles </w:t>
      </w:r>
      <w:r w:rsidRPr="00E71868">
        <w:rPr>
          <w:rFonts w:ascii="Verdana" w:eastAsia="Times New Roman" w:hAnsi="Verdana" w:cs="Times New Roman"/>
          <w:color w:val="303030"/>
          <w:sz w:val="20"/>
          <w:szCs w:val="20"/>
          <w:lang w:eastAsia="es-MX"/>
        </w:rPr>
        <w:lastRenderedPageBreak/>
        <w:t>solo aplican si se ejecutan estrictamente dentro del predio de una edificación institucional (ej. protegiendo una alcaldía o un hospital), o abarcan obras civiles abiertas a lo largo de un municipio?</w:t>
      </w:r>
    </w:p>
    <w:p w14:paraId="32A3BE28" w14:textId="77777777" w:rsidR="00E71868" w:rsidRPr="00E71868" w:rsidRDefault="00E71868" w:rsidP="00E71868">
      <w:pPr>
        <w:numPr>
          <w:ilvl w:val="0"/>
          <w:numId w:val="20"/>
        </w:numPr>
        <w:shd w:val="clear" w:color="auto" w:fill="FFFFFF"/>
        <w:spacing w:after="0" w:line="240" w:lineRule="auto"/>
        <w:ind w:left="1069" w:right="709"/>
        <w:jc w:val="both"/>
        <w:rPr>
          <w:rFonts w:ascii="Verdana" w:eastAsia="Times New Roman" w:hAnsi="Verdana" w:cs="Times New Roman"/>
          <w:color w:val="303030"/>
          <w:sz w:val="20"/>
          <w:szCs w:val="20"/>
          <w:lang w:eastAsia="es-MX"/>
        </w:rPr>
      </w:pPr>
      <w:r w:rsidRPr="00E71868">
        <w:rPr>
          <w:rFonts w:ascii="Verdana" w:eastAsia="Times New Roman" w:hAnsi="Verdana" w:cs="Times New Roman"/>
          <w:b/>
          <w:bCs/>
          <w:color w:val="303030"/>
          <w:sz w:val="20"/>
          <w:szCs w:val="20"/>
          <w:lang w:eastAsia="es-MX"/>
        </w:rPr>
        <w:t>TERCERA:</w:t>
      </w:r>
      <w:r w:rsidRPr="00E71868">
        <w:rPr>
          <w:rFonts w:ascii="Verdana" w:eastAsia="Times New Roman" w:hAnsi="Verdana" w:cs="Times New Roman"/>
          <w:color w:val="303030"/>
          <w:sz w:val="20"/>
          <w:szCs w:val="20"/>
          <w:lang w:eastAsia="es-MX"/>
        </w:rPr>
        <w:t xml:space="preserve"> Ante la evidente contradicción normativa, si una Entidad Estatal requiere contratar la construcción de obras civiles abiertas para el control de vertimientos, recuperación de drenajes y manejo de inundaciones en un municipio (que materialmente no constituyen una "edificación" habitacional), ¿está en la obligación ineludible de aplicar los Documentos Tipo del Sector Institucional, o esta ambigüedad frente a la NSR-10 la faculta para estructurar un pliego de condiciones propio bajo las reglas generales de la Ley 80 de 1993 y la Ley 1150 de 2007?</w:t>
      </w:r>
      <w:r w:rsidRPr="00E71868">
        <w:rPr>
          <w:rFonts w:ascii="Verdana" w:eastAsia="Aptos" w:hAnsi="Verdana" w:cs="Times New Roman"/>
          <w:kern w:val="2"/>
          <w:sz w:val="20"/>
          <w:szCs w:val="20"/>
          <w14:ligatures w14:val="standardContextual"/>
        </w:rPr>
        <w:t>”.</w:t>
      </w:r>
    </w:p>
    <w:p w14:paraId="4EC2C951" w14:textId="77777777" w:rsidR="00E71868" w:rsidRPr="00E71868" w:rsidRDefault="00E71868" w:rsidP="00E71868">
      <w:pPr>
        <w:spacing w:after="0" w:line="240" w:lineRule="auto"/>
        <w:ind w:left="708" w:right="709"/>
        <w:jc w:val="both"/>
        <w:rPr>
          <w:rFonts w:ascii="Verdana" w:eastAsia="Aptos" w:hAnsi="Verdana" w:cs="Times New Roman"/>
          <w:kern w:val="2"/>
          <w:sz w:val="20"/>
          <w:szCs w:val="20"/>
          <w14:ligatures w14:val="standardContextual"/>
        </w:rPr>
      </w:pPr>
    </w:p>
    <w:p w14:paraId="21B1F887" w14:textId="77777777" w:rsidR="00E71868" w:rsidRPr="00E71868" w:rsidRDefault="00E71868" w:rsidP="00E71868">
      <w:pPr>
        <w:spacing w:after="120" w:line="276" w:lineRule="auto"/>
        <w:ind w:firstLine="709"/>
        <w:jc w:val="both"/>
        <w:rPr>
          <w:rFonts w:ascii="Verdana" w:eastAsia="Calibri" w:hAnsi="Verdana" w:cs="Arial"/>
          <w:color w:val="000000"/>
          <w:lang w:val="es-ES" w:eastAsia="es-ES"/>
        </w:rPr>
      </w:pPr>
      <w:r w:rsidRPr="00E71868">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E71868">
        <w:rPr>
          <w:rFonts w:ascii="Verdana" w:eastAsia="Calibri" w:hAnsi="Verdana" w:cs="Arial"/>
          <w:color w:val="000000"/>
          <w:lang w:val="es-ES_tradnl" w:eastAsia="es-ES_tradnl"/>
        </w:rPr>
        <w:tab/>
      </w:r>
    </w:p>
    <w:p w14:paraId="43980D30" w14:textId="77777777" w:rsidR="00E71868" w:rsidRPr="00E71868" w:rsidRDefault="00E71868" w:rsidP="00E71868">
      <w:pPr>
        <w:spacing w:after="0" w:line="276" w:lineRule="auto"/>
        <w:ind w:firstLine="709"/>
        <w:jc w:val="both"/>
        <w:rPr>
          <w:rFonts w:ascii="Verdana" w:eastAsia="Calibri" w:hAnsi="Verdana" w:cs="Arial"/>
          <w:color w:val="000000"/>
          <w:lang w:val="es-ES" w:eastAsia="es-ES"/>
        </w:rPr>
      </w:pPr>
      <w:r w:rsidRPr="00E71868">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E71868">
        <w:rPr>
          <w:rFonts w:ascii="Verdana" w:eastAsia="Calibri" w:hAnsi="Verdana" w:cs="Arial"/>
          <w:color w:val="7030A0"/>
          <w:lang w:val="es-ES" w:eastAsia="es-ES"/>
        </w:rPr>
        <w:t xml:space="preserve"> </w:t>
      </w:r>
      <w:r w:rsidRPr="00E71868">
        <w:rPr>
          <w:rFonts w:ascii="Verdana" w:eastAsia="Calibri" w:hAnsi="Verdana" w:cs="Arial"/>
          <w:color w:val="000000"/>
          <w:lang w:val="es-ES" w:eastAsia="es-ES"/>
        </w:rPr>
        <w:t>problema</w:t>
      </w:r>
      <w:r w:rsidRPr="00E71868">
        <w:rPr>
          <w:rFonts w:ascii="Verdana" w:eastAsia="Calibri" w:hAnsi="Verdana" w:cs="Arial"/>
          <w:color w:val="7030A0"/>
          <w:lang w:val="es-ES" w:eastAsia="es-ES"/>
        </w:rPr>
        <w:t xml:space="preserve"> </w:t>
      </w:r>
      <w:r w:rsidRPr="00E71868">
        <w:rPr>
          <w:rFonts w:ascii="Verdana" w:eastAsia="Calibri" w:hAnsi="Verdana" w:cs="Arial"/>
          <w:color w:val="000000"/>
          <w:lang w:val="es-ES" w:eastAsia="es-ES"/>
        </w:rPr>
        <w:t>jurídico</w:t>
      </w:r>
      <w:r w:rsidRPr="00E71868">
        <w:rPr>
          <w:rFonts w:ascii="Verdana" w:eastAsia="Calibri" w:hAnsi="Verdana" w:cs="Arial"/>
          <w:color w:val="7030A0"/>
          <w:lang w:val="es-ES" w:eastAsia="es-ES"/>
        </w:rPr>
        <w:t xml:space="preserve"> </w:t>
      </w:r>
      <w:r w:rsidRPr="00E71868">
        <w:rPr>
          <w:rFonts w:ascii="Verdana" w:eastAsia="Calibri" w:hAnsi="Verdana" w:cs="Arial"/>
          <w:color w:val="000000"/>
          <w:lang w:val="es-ES" w:eastAsia="es-ES"/>
        </w:rPr>
        <w:t xml:space="preserve">de su consulta. </w:t>
      </w:r>
    </w:p>
    <w:p w14:paraId="3B3EC27B" w14:textId="77777777" w:rsidR="00E71868" w:rsidRPr="00E71868" w:rsidRDefault="00E71868" w:rsidP="00E71868">
      <w:pPr>
        <w:spacing w:after="0" w:line="276" w:lineRule="auto"/>
        <w:jc w:val="both"/>
        <w:rPr>
          <w:rFonts w:ascii="Verdana" w:eastAsia="Calibri" w:hAnsi="Verdana" w:cs="Arial"/>
          <w:lang w:val="es-ES" w:eastAsia="es-ES"/>
        </w:rPr>
      </w:pPr>
    </w:p>
    <w:p w14:paraId="71B7AC91" w14:textId="77777777" w:rsidR="00E71868" w:rsidRPr="00E71868" w:rsidRDefault="00E71868" w:rsidP="00E71868">
      <w:pPr>
        <w:numPr>
          <w:ilvl w:val="0"/>
          <w:numId w:val="17"/>
        </w:numPr>
        <w:tabs>
          <w:tab w:val="left" w:pos="142"/>
          <w:tab w:val="left" w:pos="284"/>
        </w:tabs>
        <w:spacing w:after="0" w:line="276" w:lineRule="auto"/>
        <w:jc w:val="both"/>
        <w:rPr>
          <w:rFonts w:ascii="Verdana" w:eastAsia="Century Gothic" w:hAnsi="Verdana" w:cs="Century Gothic"/>
          <w:b/>
          <w:bCs/>
          <w:lang w:eastAsia="es-MX"/>
        </w:rPr>
      </w:pPr>
      <w:r w:rsidRPr="00E71868">
        <w:rPr>
          <w:rFonts w:ascii="Verdana" w:eastAsia="Century Gothic" w:hAnsi="Verdana" w:cs="Century Gothic"/>
          <w:b/>
          <w:bCs/>
          <w:lang w:eastAsia="es-MX"/>
        </w:rPr>
        <w:t>Problema planteado:</w:t>
      </w:r>
    </w:p>
    <w:p w14:paraId="2E64263F" w14:textId="77777777" w:rsidR="00E71868" w:rsidRPr="00E71868" w:rsidRDefault="00E71868" w:rsidP="00E71868">
      <w:pPr>
        <w:tabs>
          <w:tab w:val="left" w:pos="426"/>
        </w:tabs>
        <w:spacing w:after="0" w:line="276" w:lineRule="auto"/>
        <w:jc w:val="both"/>
        <w:rPr>
          <w:rFonts w:ascii="Verdana" w:eastAsia="Century Gothic" w:hAnsi="Verdana" w:cs="Century Gothic"/>
          <w:lang w:val="es-ES" w:eastAsia="es-MX"/>
        </w:rPr>
      </w:pPr>
    </w:p>
    <w:p w14:paraId="38245C1C" w14:textId="09D4DE14" w:rsidR="003F6761" w:rsidRPr="00F732C9" w:rsidRDefault="00E71868" w:rsidP="00F732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Verdana" w:hAnsi="Verdana" w:cs="Helvetica Neue"/>
          <w:color w:val="000000"/>
          <w:lang w:val="es-MX"/>
        </w:rPr>
      </w:pPr>
      <w:r w:rsidRPr="003F6761">
        <w:rPr>
          <w:rFonts w:ascii="Verdana" w:eastAsia="Times New Roman" w:hAnsi="Verdana" w:cs="Times New Roman"/>
          <w:lang w:eastAsia="es-MX"/>
        </w:rPr>
        <w:t xml:space="preserve">De acuerdo con el contenido de su solicitud, la Agencia Nacional de Contratación Pública – Colombia Compra Eficiente responderá los siguientes problemas jurídicos: </w:t>
      </w:r>
      <w:r w:rsidR="003F0A71" w:rsidRPr="003F6761">
        <w:rPr>
          <w:rFonts w:ascii="Verdana" w:eastAsia="Times New Roman" w:hAnsi="Verdana" w:cs="Times New Roman"/>
          <w:lang w:eastAsia="es-MX"/>
        </w:rPr>
        <w:t>i)</w:t>
      </w:r>
      <w:r w:rsidR="003F0A71" w:rsidRPr="00F732C9">
        <w:rPr>
          <w:rFonts w:ascii="Verdana" w:hAnsi="Verdana" w:cs="Helvetica Neue"/>
          <w:color w:val="000000"/>
          <w:lang w:val="es-MX"/>
        </w:rPr>
        <w:t xml:space="preserve"> </w:t>
      </w:r>
      <w:r w:rsidR="003F0A71" w:rsidRPr="003F6761">
        <w:rPr>
          <w:rFonts w:ascii="Verdana" w:hAnsi="Verdana" w:cs="Helvetica Neue"/>
          <w:color w:val="000000"/>
          <w:lang w:val="es-MX"/>
        </w:rPr>
        <w:t>¿Cómo debe interpretarse, para efectos de determinar el ámbito de aplicación de los Documentos Tipo de infraestructura social – sector institucional, la expresión “en el ámbito del sector institucional” contenida en las actividades del capítulo 5 de la Matriz 1 – Experiencia?,</w:t>
      </w:r>
      <w:r w:rsidR="003F0A71" w:rsidRPr="003F6761">
        <w:rPr>
          <w:rFonts w:ascii="Verdana" w:eastAsia="Times New Roman" w:hAnsi="Verdana" w:cs="Times New Roman"/>
          <w:lang w:eastAsia="es-MX"/>
        </w:rPr>
        <w:t xml:space="preserve"> </w:t>
      </w:r>
      <w:proofErr w:type="spellStart"/>
      <w:r w:rsidRPr="003F6761">
        <w:rPr>
          <w:rFonts w:ascii="Verdana" w:eastAsia="Aptos" w:hAnsi="Verdana" w:cs="Times New Roman"/>
          <w:kern w:val="2"/>
          <w14:ligatures w14:val="standardContextual"/>
        </w:rPr>
        <w:t>i</w:t>
      </w:r>
      <w:r w:rsidR="003F0A71" w:rsidRPr="003F6761">
        <w:rPr>
          <w:rFonts w:ascii="Verdana" w:eastAsia="Aptos" w:hAnsi="Verdana" w:cs="Times New Roman"/>
          <w:kern w:val="2"/>
          <w14:ligatures w14:val="standardContextual"/>
        </w:rPr>
        <w:t>i</w:t>
      </w:r>
      <w:proofErr w:type="spellEnd"/>
      <w:r w:rsidRPr="003F6761">
        <w:rPr>
          <w:rFonts w:ascii="Verdana" w:eastAsia="Aptos" w:hAnsi="Verdana" w:cs="Times New Roman"/>
          <w:kern w:val="2"/>
          <w14:ligatures w14:val="standardContextual"/>
        </w:rPr>
        <w:t xml:space="preserve">) ¿Cuál es el alcance del capítulo 5 </w:t>
      </w:r>
      <w:r w:rsidRPr="003F6761">
        <w:rPr>
          <w:rFonts w:ascii="Verdana" w:eastAsia="Aptos" w:hAnsi="Verdana" w:cs="Times New Roman"/>
          <w:kern w:val="2"/>
          <w14:ligatures w14:val="standardContextual"/>
        </w:rPr>
        <w:lastRenderedPageBreak/>
        <w:t>“</w:t>
      </w:r>
      <w:r w:rsidRPr="003F6761">
        <w:rPr>
          <w:rFonts w:ascii="Verdana" w:eastAsia="Arial" w:hAnsi="Verdana" w:cs="Aptos"/>
          <w:lang w:eastAsia="es-ES"/>
        </w:rPr>
        <w:t xml:space="preserve">Obras para atención, prevención o mitigación de emergencias diferentes a contratación directa para el sector institucional” contenido en la Matriz 1 – Experiencia Sector Institucional, de los documentos tipo de obra pública de infraestructura social -en sus diferentes modalidades de selección adoptados–?, </w:t>
      </w:r>
      <w:r w:rsidR="009B7096">
        <w:rPr>
          <w:rFonts w:ascii="Verdana" w:eastAsia="Arial" w:hAnsi="Verdana" w:cs="Aptos"/>
          <w:lang w:eastAsia="es-ES"/>
        </w:rPr>
        <w:t xml:space="preserve">y </w:t>
      </w:r>
      <w:proofErr w:type="spellStart"/>
      <w:r w:rsidRPr="003F6761">
        <w:rPr>
          <w:rFonts w:ascii="Verdana" w:eastAsia="Arial" w:hAnsi="Verdana" w:cs="Aptos"/>
          <w:lang w:eastAsia="es-ES"/>
        </w:rPr>
        <w:t>ii</w:t>
      </w:r>
      <w:r w:rsidR="004136D1" w:rsidRPr="003F6761">
        <w:rPr>
          <w:rFonts w:ascii="Verdana" w:eastAsia="Arial" w:hAnsi="Verdana" w:cs="Aptos"/>
          <w:lang w:eastAsia="es-ES"/>
        </w:rPr>
        <w:t>i</w:t>
      </w:r>
      <w:proofErr w:type="spellEnd"/>
      <w:r w:rsidRPr="003F6761">
        <w:rPr>
          <w:rFonts w:ascii="Verdana" w:eastAsia="Arial" w:hAnsi="Verdana" w:cs="Aptos"/>
          <w:lang w:eastAsia="es-ES"/>
        </w:rPr>
        <w:t xml:space="preserve">) ¿Cuál es el alcance de las </w:t>
      </w:r>
      <w:r w:rsidRPr="003F6761">
        <w:rPr>
          <w:rFonts w:ascii="Verdana" w:eastAsia="Aptos" w:hAnsi="Verdana" w:cs="Times New Roman"/>
          <w:kern w:val="2"/>
          <w14:ligatures w14:val="standardContextual"/>
        </w:rPr>
        <w:t xml:space="preserve">actividades –5.2 y 5.4– contenida en el capítulo 5 de </w:t>
      </w:r>
      <w:r w:rsidRPr="003F6761">
        <w:rPr>
          <w:rFonts w:ascii="Verdana" w:eastAsia="Arial" w:hAnsi="Verdana" w:cs="Aptos"/>
          <w:lang w:eastAsia="es-ES"/>
        </w:rPr>
        <w:t>la Matriz 1 – Experiencia Sector Institucional, de los documentos tipo de obra pública de infraestructura social -en sus diferentes modalidades de selección adoptados–?</w:t>
      </w:r>
    </w:p>
    <w:p w14:paraId="74D9CCAD" w14:textId="77777777" w:rsidR="00E71868" w:rsidRPr="00E71868" w:rsidRDefault="00E71868" w:rsidP="00E71868">
      <w:pPr>
        <w:spacing w:after="0" w:line="240" w:lineRule="auto"/>
        <w:rPr>
          <w:rFonts w:ascii="Times New Roman" w:eastAsia="Times New Roman" w:hAnsi="Times New Roman" w:cs="Times New Roman"/>
          <w:sz w:val="24"/>
          <w:szCs w:val="24"/>
          <w:lang w:eastAsia="es-MX"/>
        </w:rPr>
      </w:pPr>
    </w:p>
    <w:p w14:paraId="628DF2DF" w14:textId="77777777" w:rsidR="00E71868" w:rsidRPr="00E71868" w:rsidRDefault="00E71868" w:rsidP="00E71868">
      <w:pPr>
        <w:tabs>
          <w:tab w:val="left" w:pos="142"/>
          <w:tab w:val="left" w:pos="284"/>
        </w:tabs>
        <w:spacing w:after="0" w:line="276" w:lineRule="auto"/>
        <w:contextualSpacing/>
        <w:jc w:val="both"/>
        <w:rPr>
          <w:rFonts w:ascii="Verdana" w:eastAsia="Century Gothic" w:hAnsi="Verdana" w:cs="Century Gothic"/>
          <w:b/>
          <w:bCs/>
          <w:lang w:val="es-ES" w:eastAsia="es-MX"/>
        </w:rPr>
      </w:pPr>
      <w:r w:rsidRPr="00E71868">
        <w:rPr>
          <w:rFonts w:ascii="Verdana" w:eastAsia="Century Gothic" w:hAnsi="Verdana" w:cs="Century Gothic"/>
          <w:b/>
          <w:bCs/>
          <w:lang w:val="es-ES" w:eastAsia="es-MX"/>
        </w:rPr>
        <w:t>2. Respuestas:</w:t>
      </w:r>
    </w:p>
    <w:p w14:paraId="7AAB2FBF" w14:textId="77777777" w:rsidR="00E71868" w:rsidRPr="00E71868" w:rsidRDefault="00E71868" w:rsidP="00E71868">
      <w:pPr>
        <w:tabs>
          <w:tab w:val="left" w:pos="142"/>
          <w:tab w:val="left" w:pos="284"/>
        </w:tabs>
        <w:spacing w:after="0" w:line="276" w:lineRule="auto"/>
        <w:contextualSpacing/>
        <w:jc w:val="both"/>
        <w:rPr>
          <w:rFonts w:ascii="Verdana" w:eastAsia="Century Gothic" w:hAnsi="Verdana" w:cs="Century Gothic"/>
          <w:b/>
          <w:bCs/>
          <w:lang w:val="es-ES"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71868" w:rsidRPr="00E71868" w14:paraId="2B726051" w14:textId="77777777" w:rsidTr="4C55CED2">
        <w:trPr>
          <w:trHeight w:val="40"/>
        </w:trPr>
        <w:tc>
          <w:tcPr>
            <w:tcW w:w="8828" w:type="dxa"/>
            <w:tcBorders>
              <w:top w:val="dotted" w:sz="4" w:space="0" w:color="auto"/>
              <w:left w:val="dotted" w:sz="4" w:space="0" w:color="auto"/>
              <w:bottom w:val="dotted" w:sz="4" w:space="0" w:color="auto"/>
              <w:right w:val="dotted" w:sz="4" w:space="0" w:color="auto"/>
            </w:tcBorders>
          </w:tcPr>
          <w:p w14:paraId="57A174A5" w14:textId="5073A31B" w:rsidR="003F0A71" w:rsidRDefault="003F0A71" w:rsidP="00E71868">
            <w:pPr>
              <w:spacing w:after="120" w:line="276" w:lineRule="auto"/>
              <w:jc w:val="both"/>
              <w:rPr>
                <w:rFonts w:ascii="Verdana" w:eastAsia="Calibri" w:hAnsi="Verdana" w:cs="Times New Roman"/>
                <w:lang w:val="es-ES" w:eastAsia="es-MX"/>
              </w:rPr>
            </w:pPr>
            <w:r>
              <w:rPr>
                <w:rFonts w:ascii="Verdana" w:eastAsia="Calibri" w:hAnsi="Verdana" w:cs="Times New Roman"/>
                <w:lang w:val="es-ES" w:eastAsia="es-MX"/>
              </w:rPr>
              <w:t>Por unidad de materia, los problemas jurídicos uno (i) y dos (</w:t>
            </w:r>
            <w:proofErr w:type="spellStart"/>
            <w:r>
              <w:rPr>
                <w:rFonts w:ascii="Verdana" w:eastAsia="Calibri" w:hAnsi="Verdana" w:cs="Times New Roman"/>
                <w:lang w:val="es-ES" w:eastAsia="es-MX"/>
              </w:rPr>
              <w:t>ii</w:t>
            </w:r>
            <w:proofErr w:type="spellEnd"/>
            <w:r>
              <w:rPr>
                <w:rFonts w:ascii="Verdana" w:eastAsia="Calibri" w:hAnsi="Verdana" w:cs="Times New Roman"/>
                <w:lang w:val="es-ES" w:eastAsia="es-MX"/>
              </w:rPr>
              <w:t>) se responderán de forma conjunta en los siguientes términos:</w:t>
            </w:r>
          </w:p>
          <w:p w14:paraId="1453B151" w14:textId="2C6FAF95" w:rsidR="00E71868" w:rsidRPr="00E71868" w:rsidRDefault="00E71868" w:rsidP="00E71868">
            <w:pPr>
              <w:spacing w:after="120" w:line="276" w:lineRule="auto"/>
              <w:jc w:val="both"/>
              <w:rPr>
                <w:rFonts w:ascii="Verdana" w:eastAsia="Calibri" w:hAnsi="Verdana" w:cs="Times New Roman"/>
                <w:lang w:val="es-ES" w:eastAsia="es-MX"/>
              </w:rPr>
            </w:pPr>
            <w:r w:rsidRPr="00E71868">
              <w:rPr>
                <w:rFonts w:ascii="Verdana" w:eastAsia="Calibri" w:hAnsi="Verdana" w:cs="Times New Roman"/>
                <w:lang w:val="es-ES" w:eastAsia="es-MX"/>
              </w:rPr>
              <w:t>i.</w:t>
            </w:r>
            <w:r w:rsidR="003F0A71">
              <w:rPr>
                <w:rFonts w:ascii="Verdana" w:eastAsia="Calibri" w:hAnsi="Verdana" w:cs="Times New Roman"/>
                <w:lang w:val="es-ES" w:eastAsia="es-MX"/>
              </w:rPr>
              <w:t xml:space="preserve"> y </w:t>
            </w:r>
            <w:proofErr w:type="spellStart"/>
            <w:r w:rsidR="003F0A71">
              <w:rPr>
                <w:rFonts w:ascii="Verdana" w:eastAsia="Calibri" w:hAnsi="Verdana" w:cs="Times New Roman"/>
                <w:lang w:val="es-ES" w:eastAsia="es-MX"/>
              </w:rPr>
              <w:t>ii</w:t>
            </w:r>
            <w:proofErr w:type="spellEnd"/>
            <w:r w:rsidR="003F0A71">
              <w:rPr>
                <w:rFonts w:ascii="Verdana" w:eastAsia="Calibri" w:hAnsi="Verdana" w:cs="Times New Roman"/>
                <w:lang w:val="es-ES" w:eastAsia="es-MX"/>
              </w:rPr>
              <w:t>.</w:t>
            </w:r>
            <w:r w:rsidRPr="00E71868">
              <w:rPr>
                <w:rFonts w:ascii="Verdana" w:eastAsia="Calibri" w:hAnsi="Verdana" w:cs="Times New Roman"/>
                <w:lang w:val="es-ES" w:eastAsia="es-MX"/>
              </w:rPr>
              <w:t xml:space="preserve"> El artículo 17 de la Resolución 539 de 2025 adoptó los documentos tipo complementarios para los procesos de licitación de obra pública de infraestructura social relacionados con el sector Institucional. Por su parte, mediante el artículo 16 de la Resolución 540 de 2025, se acogieron los documentos tipo complementarios para los procesos de selección abreviada de menor cuantía de obra pública de infraestructura social relacionados con el sector Institucional. Lo propio se hizo mediante el artículo 16 de la Resolución 541 de 2025, a través del cual se adoptó los documentos tipo complementarios para los procesos de mínima cuantía de obra pública de infraestructura social relacionados con el sector Institucional. </w:t>
            </w:r>
          </w:p>
          <w:p w14:paraId="69C63EB9" w14:textId="77777777" w:rsidR="00E71868" w:rsidRPr="00E71868" w:rsidRDefault="00E71868" w:rsidP="00E71868">
            <w:pPr>
              <w:spacing w:after="120" w:line="276" w:lineRule="auto"/>
              <w:jc w:val="both"/>
              <w:rPr>
                <w:rFonts w:ascii="Verdana" w:eastAsia="Calibri" w:hAnsi="Verdana" w:cs="Times New Roman"/>
                <w:lang w:val="es-ES" w:eastAsia="es-MX"/>
              </w:rPr>
            </w:pPr>
            <w:r w:rsidRPr="00E71868">
              <w:rPr>
                <w:rFonts w:ascii="Verdana" w:eastAsia="Calibri" w:hAnsi="Verdana" w:cs="Times New Roman"/>
                <w:lang w:val="es-ES" w:eastAsia="es-MX"/>
              </w:rPr>
              <w:tab/>
              <w:t xml:space="preserve">De acuerdo con los artículos 17 y 16 –respectivamente, de las resoluciones señaladas–, los documentos tipo que estas adoptan contienen parámetros obligatorios para las entidades estatales que realicen procedimientos de licitación pública, selección abreviada de menor cuantía o mínima cuantía, para celebrar contratos de obra relacionados con infraestructura institucional, cuando las actividades que pretendan contratar se encuentren contenidas en la Matriz – Experiencia Sector Institucional. </w:t>
            </w:r>
          </w:p>
          <w:p w14:paraId="7561384A" w14:textId="588836D2" w:rsidR="00E71868" w:rsidRPr="00E71868" w:rsidRDefault="00E71868" w:rsidP="00E71868">
            <w:pPr>
              <w:spacing w:line="276" w:lineRule="auto"/>
              <w:ind w:firstLine="708"/>
              <w:jc w:val="both"/>
              <w:rPr>
                <w:rFonts w:ascii="Verdana" w:eastAsia="Calibri" w:hAnsi="Verdana" w:cs="Times New Roman"/>
                <w:lang w:eastAsia="es-MX"/>
              </w:rPr>
            </w:pPr>
            <w:r w:rsidRPr="4C55CED2">
              <w:rPr>
                <w:rFonts w:ascii="Verdana" w:eastAsia="Times New Roman" w:hAnsi="Verdana" w:cs="Times New Roman"/>
                <w:color w:val="000000" w:themeColor="text1"/>
                <w:lang w:eastAsia="es-CO"/>
              </w:rPr>
              <w:t>En los documentos tipo complementarios del sector Institucional, en la modalidad de licitación pública, selección abreviada de menor cuantía y mínima cuantía, en la Matriz 1 se encuentran los siguientes tipos de infraestructura:</w:t>
            </w:r>
            <w:r w:rsidRPr="4C55CED2">
              <w:rPr>
                <w:rFonts w:ascii="Times New Roman" w:eastAsia="Arial" w:hAnsi="Times New Roman" w:cs="Aptos"/>
                <w:lang w:eastAsia="es-ES"/>
              </w:rPr>
              <w:t xml:space="preserve"> </w:t>
            </w:r>
            <w:r w:rsidRPr="4C55CED2">
              <w:rPr>
                <w:rFonts w:ascii="Verdana" w:eastAsia="Arial" w:hAnsi="Verdana" w:cs="Aptos"/>
                <w:lang w:eastAsia="es-ES"/>
              </w:rPr>
              <w:t xml:space="preserve">“1) OBRAS EN PROYECTOS DE INFRAESTRUCTURA INSTITUCIONAL DE SEGURIDAD PUBLICA, 2) OBRAS EN PROYECTOS DE INFRAESTRUCTURA INSTITUCIONAL DE SERVICIO PÚBLICO, 3) OBRAS EN </w:t>
            </w:r>
            <w:r w:rsidRPr="4C55CED2">
              <w:rPr>
                <w:rFonts w:ascii="Verdana" w:eastAsia="Arial" w:hAnsi="Verdana" w:cs="Aptos"/>
                <w:lang w:eastAsia="es-ES"/>
              </w:rPr>
              <w:lastRenderedPageBreak/>
              <w:t>PROYECTOS DE INFRAESTRUCTURA INSTITUCIONAL - SITIOS DE RECLUSIÓN, 4) OBRAS EN VÍAS DE ACCESO O PARQUEADEROS O ZONAS DE CIRCULACIÓN (VEHICULAR O PEATONAL) O PLAZUELAS O PLAZAS O PLAZUELAS EN EDIFICACIONES INSTITUCIONALES, y 5) OBRAS PARA ATENCIÓN, PREVENCIÓN O MITIGACIÓN DE EMERGENCIAS DIFERENTES A CONTRATACIÓN DIRECTA PARA EL SECTOR INSTITUCIONAL”</w:t>
            </w:r>
            <w:r w:rsidRPr="4C55CED2">
              <w:rPr>
                <w:rFonts w:ascii="Verdana" w:eastAsia="Times New Roman" w:hAnsi="Verdana" w:cs="Arial"/>
                <w:lang w:eastAsia="es-MX"/>
              </w:rPr>
              <w:t>.</w:t>
            </w:r>
            <w:r w:rsidRPr="4C55CED2">
              <w:rPr>
                <w:rFonts w:ascii="Verdana" w:eastAsia="Calibri" w:hAnsi="Verdana" w:cs="Times New Roman"/>
                <w:lang w:eastAsia="es-MX"/>
              </w:rPr>
              <w:t xml:space="preserve"> Particularmente, en relación con los problemas jurídicos planteados en este concepto, en el Capítulo cinco (5) “</w:t>
            </w:r>
            <w:r w:rsidRPr="4C55CED2">
              <w:rPr>
                <w:rFonts w:ascii="Verdana" w:eastAsia="Arial" w:hAnsi="Verdana" w:cs="Aptos"/>
                <w:lang w:eastAsia="es-ES"/>
              </w:rPr>
              <w:t>Obras para atención, prevención o mitigación de emergencias diferentes a contratación directa para el sector institucional”,</w:t>
            </w:r>
            <w:r w:rsidRPr="4C55CED2">
              <w:rPr>
                <w:rFonts w:ascii="Verdana" w:eastAsia="Calibri" w:hAnsi="Verdana" w:cs="Times New Roman"/>
                <w:lang w:eastAsia="es-MX"/>
              </w:rPr>
              <w:t xml:space="preserve"> se incluyen las siguientes actividades sobre las que recaen estos documentos tipo:  </w:t>
            </w:r>
          </w:p>
          <w:p w14:paraId="2DB95D1B" w14:textId="77777777" w:rsidR="00E71868" w:rsidRPr="00E71868" w:rsidRDefault="00E71868" w:rsidP="00E71868">
            <w:pPr>
              <w:spacing w:line="276" w:lineRule="auto"/>
              <w:ind w:firstLine="708"/>
              <w:jc w:val="both"/>
              <w:rPr>
                <w:rFonts w:ascii="Verdana" w:eastAsia="Calibri" w:hAnsi="Verdana" w:cs="Times New Roman"/>
                <w:lang w:eastAsia="es-MX"/>
              </w:rPr>
            </w:pPr>
          </w:p>
          <w:p w14:paraId="3B358FC7" w14:textId="77777777" w:rsidR="00E71868" w:rsidRPr="00E71868" w:rsidRDefault="00E71868" w:rsidP="00E71868">
            <w:pPr>
              <w:snapToGrid w:val="0"/>
              <w:spacing w:after="120"/>
              <w:ind w:left="709" w:right="709"/>
              <w:jc w:val="both"/>
              <w:rPr>
                <w:rFonts w:ascii="Verdana" w:eastAsia="Calibri" w:hAnsi="Verdana" w:cs="Times New Roman"/>
                <w:sz w:val="21"/>
                <w:szCs w:val="21"/>
                <w:lang w:eastAsia="es-MX"/>
              </w:rPr>
            </w:pPr>
            <w:r w:rsidRPr="00E71868">
              <w:rPr>
                <w:rFonts w:ascii="Verdana" w:eastAsia="Calibri" w:hAnsi="Verdana" w:cs="Times New Roman"/>
                <w:sz w:val="21"/>
                <w:szCs w:val="21"/>
                <w:lang w:eastAsia="es-MX"/>
              </w:rPr>
              <w:t>“5.1. PROYECTOS DE ATENCIÓN Y/O PREVENCIÓN Y/O MITIGACIÓN DE OBRAS DE EMERGENCIAS POR EVENTOS Y/O FENÓMENOS DE ORIGEN NATURAL U ORIGEN SOCIO NATURAL U ORIGEN BIOSANITARIO U ORIGEN HUMANO NO INTENCIONAL Y/O POR EVENTOS CLIMÁTICOS Y/O ATMOSFÉRICOS Y/O HIDROLÓGICOS Y/O TECNOLÓGICO Y/O SÍSMICOS Y/O POR FALLAS ESTRUCTURALES Y/O TÉCNICAS Y/O FUGAS DE GAS Y/O INCENDIOS Y/O EXPLOSIÓN EN EL ÁMBITO DEL SECTOR INSTITUCIONAL</w:t>
            </w:r>
          </w:p>
          <w:p w14:paraId="10D99D43" w14:textId="77777777" w:rsidR="00E71868" w:rsidRPr="00E71868" w:rsidRDefault="00E71868" w:rsidP="00E71868">
            <w:pPr>
              <w:snapToGrid w:val="0"/>
              <w:spacing w:after="120"/>
              <w:ind w:left="709" w:right="709"/>
              <w:jc w:val="both"/>
              <w:rPr>
                <w:rFonts w:ascii="Verdana" w:eastAsia="Arial" w:hAnsi="Verdana" w:cs="Aptos"/>
                <w:sz w:val="21"/>
                <w:szCs w:val="21"/>
                <w:lang w:eastAsia="es-ES"/>
              </w:rPr>
            </w:pPr>
            <w:r w:rsidRPr="00E71868">
              <w:rPr>
                <w:rFonts w:ascii="Verdana" w:eastAsia="Arial" w:hAnsi="Verdana" w:cs="Aptos"/>
                <w:sz w:val="21"/>
                <w:szCs w:val="21"/>
                <w:lang w:eastAsia="es-ES"/>
              </w:rPr>
              <w:t>5.2. PROYECTOS DE ATENCIÓN, PREVENCIÓN Y/O MITIGACIÓN DE OBRAS DE EMERGENCIAS MEDIANTE OBRAS DE ESTABILIZACIÓN DE TALUDES Y/O RECUPERACIÓN DE BANCA EN EL ÁMBITO DEL SECTOR INSTITUCIONAL</w:t>
            </w:r>
          </w:p>
          <w:p w14:paraId="0772D043" w14:textId="77777777" w:rsidR="00E71868" w:rsidRPr="00E71868" w:rsidRDefault="00E71868" w:rsidP="00E71868">
            <w:pPr>
              <w:snapToGrid w:val="0"/>
              <w:spacing w:after="120"/>
              <w:ind w:left="709" w:right="709"/>
              <w:jc w:val="both"/>
              <w:rPr>
                <w:rFonts w:ascii="Verdana" w:eastAsia="Arial" w:hAnsi="Verdana" w:cs="Aptos"/>
                <w:sz w:val="21"/>
                <w:szCs w:val="21"/>
                <w:lang w:eastAsia="es-ES"/>
              </w:rPr>
            </w:pPr>
            <w:r w:rsidRPr="00E71868">
              <w:rPr>
                <w:rFonts w:ascii="Verdana" w:eastAsia="Arial" w:hAnsi="Verdana" w:cs="Aptos"/>
                <w:sz w:val="21"/>
                <w:szCs w:val="21"/>
                <w:lang w:eastAsia="es-ES"/>
              </w:rPr>
              <w:t>5.3. PROYECTOS DE ATENCIÓN, PREVENCIÓN Y/O MITIGACIÓN DE OBRAS DE EMERGENCIAS MEDIANTE OBRAS DE REMOCIÓN DE DERRUMBES Y/O MOVIMIENTOS EN MASA EN EL ÁMBITO DEL SECTOR INSTITUCIONAL</w:t>
            </w:r>
          </w:p>
          <w:p w14:paraId="5AAC414D" w14:textId="77777777" w:rsidR="00E71868" w:rsidRPr="00E71868" w:rsidRDefault="00E71868" w:rsidP="00E71868">
            <w:pPr>
              <w:snapToGrid w:val="0"/>
              <w:ind w:left="709" w:right="709"/>
              <w:jc w:val="both"/>
              <w:rPr>
                <w:rFonts w:ascii="Verdana" w:eastAsia="Arial" w:hAnsi="Verdana" w:cs="Aptos"/>
                <w:sz w:val="21"/>
                <w:szCs w:val="21"/>
                <w:lang w:eastAsia="es-ES"/>
              </w:rPr>
            </w:pPr>
            <w:r w:rsidRPr="00E71868">
              <w:rPr>
                <w:rFonts w:ascii="Verdana" w:eastAsia="Arial" w:hAnsi="Verdana" w:cs="Aptos"/>
                <w:sz w:val="21"/>
                <w:szCs w:val="21"/>
                <w:lang w:eastAsia="es-ES"/>
              </w:rPr>
              <w:t>5.4. PROYECTOS DE ATENCIÓN Y/O PREVENCIÓN Y/O MITIGACIÓN DE OBRAS DE EMERGENCIAS DE INUNDACIONES, Y/O HELADAS Y/O VENDAVALES Y/O SEQUIAS Y/O DESBORDAMIENTOS Y/O AVENIDAS TORRENCIALES MEDIANTE OBRAS HIDRÁULICAS EN EL ÁMBITO DEL SECTOR INSTITUCIONAL”.</w:t>
            </w:r>
          </w:p>
          <w:p w14:paraId="1D521233" w14:textId="77777777" w:rsidR="00E71868" w:rsidRPr="00E71868" w:rsidRDefault="00E71868" w:rsidP="00E71868">
            <w:pPr>
              <w:spacing w:line="276" w:lineRule="auto"/>
              <w:ind w:firstLine="708"/>
              <w:jc w:val="both"/>
              <w:rPr>
                <w:rFonts w:ascii="Verdana" w:eastAsia="Calibri" w:hAnsi="Verdana" w:cs="Times New Roman"/>
                <w:lang w:eastAsia="es-MX"/>
              </w:rPr>
            </w:pPr>
          </w:p>
          <w:p w14:paraId="7090DF3A" w14:textId="77777777" w:rsidR="00E71868" w:rsidRPr="00E71868" w:rsidRDefault="00E71868" w:rsidP="00E71868">
            <w:pPr>
              <w:spacing w:after="120" w:line="276" w:lineRule="auto"/>
              <w:ind w:firstLine="708"/>
              <w:jc w:val="both"/>
              <w:rPr>
                <w:rFonts w:ascii="Verdana" w:eastAsia="Aptos" w:hAnsi="Verdana" w:cs="Times New Roman"/>
                <w:i/>
                <w:iCs/>
              </w:rPr>
            </w:pPr>
            <w:r w:rsidRPr="00E71868">
              <w:rPr>
                <w:rFonts w:ascii="Verdana" w:eastAsia="Aptos" w:hAnsi="Verdana" w:cs="Times New Roman"/>
              </w:rPr>
              <w:t>Las actividades señaladas, contenidas en el capítulo de “</w:t>
            </w:r>
            <w:r w:rsidRPr="00E71868">
              <w:rPr>
                <w:rFonts w:ascii="Verdana" w:eastAsia="Arial" w:hAnsi="Verdana" w:cs="Aptos"/>
                <w:lang w:eastAsia="es-ES"/>
              </w:rPr>
              <w:t>Obras para atención, prevención o mitigación de emergencias diferentes a contratación directa para el sector institucional</w:t>
            </w:r>
            <w:r w:rsidRPr="00E71868">
              <w:rPr>
                <w:rFonts w:ascii="Verdana" w:eastAsia="Aptos" w:hAnsi="Verdana" w:cs="Times New Roman"/>
              </w:rPr>
              <w:t xml:space="preserve">” de los documentos tipo del sector institucional en las modalidades de selección de licitación pública, selección </w:t>
            </w:r>
            <w:r w:rsidRPr="00E71868">
              <w:rPr>
                <w:rFonts w:ascii="Verdana" w:eastAsia="Aptos" w:hAnsi="Verdana" w:cs="Times New Roman"/>
              </w:rPr>
              <w:lastRenderedPageBreak/>
              <w:t>abreviada de menor cuantía y mínima cuantía, corresponden, de manera general a las siguientes: proyectos de atención y/o prevención y/o mitigación de obras de emergencias por eventos y/o fenómenos de origen natural u origen socio natural u origen biosanitario u origen humano no intencional y/o por eventos climáticos y/o atmosféricos y/o hidrológicos y/o tecnológicos y/o sísmicos y/o por fallas estructurales y/o técnicas y/o fugas de gas y/o incendios y/o explosión; proyectos de atención, prevención y/o mitigación de obras de emergencias mediante obras de estabilización de taludes y/o recuperación de banca; proyectos de atención, prevención y/o mitigación de obras de emergencias mediante obras de remoción de derrumbes y/o movimientos en masa; y proyectos de atención y/o prevención y/o mitigación de obras de emergencias de inundaciones, y/o heladas y/o vendavales y/o sequías y/o desbordamientos y/o avenidas torrenciales mediante obras hidráulicas; todas estas asociadas a proyectos sobre infraestructura del sector institucional</w:t>
            </w:r>
            <w:r w:rsidRPr="00E71868">
              <w:rPr>
                <w:rFonts w:ascii="Verdana" w:eastAsia="Aptos" w:hAnsi="Verdana" w:cs="Times New Roman"/>
                <w:i/>
                <w:iCs/>
              </w:rPr>
              <w:t>.</w:t>
            </w:r>
          </w:p>
          <w:p w14:paraId="00D0B6D3" w14:textId="77777777" w:rsidR="00E71868" w:rsidRPr="00E71868" w:rsidRDefault="00E71868" w:rsidP="00E71868">
            <w:pPr>
              <w:spacing w:after="120" w:line="276" w:lineRule="auto"/>
              <w:ind w:firstLine="708"/>
              <w:jc w:val="both"/>
              <w:rPr>
                <w:rFonts w:ascii="Verdana" w:eastAsia="Aptos" w:hAnsi="Verdana" w:cs="Times New Roman"/>
              </w:rPr>
            </w:pPr>
            <w:r w:rsidRPr="00E71868">
              <w:rPr>
                <w:rFonts w:ascii="Verdana" w:eastAsia="Aptos" w:hAnsi="Verdana" w:cs="Times New Roman"/>
              </w:rPr>
              <w:t>De acuerdo con el documento “ANÁLISIS SECTORIAL PARA LA ACTUALIZACIÓN DEL DOCUMENTO TIPO INFRAESTRUCTURA SOCIAL EN LAS MODALIDADES DE SELECCIÓN LICITACIÓN PÚBLICA, SELECCIÓN ABREVIADA DE MENOR CUANTÍA Y MÍNIMA CUANTÍA 2025”, el capítulo sobre  “</w:t>
            </w:r>
            <w:r w:rsidRPr="00E71868">
              <w:rPr>
                <w:rFonts w:ascii="Verdana" w:eastAsia="Arial" w:hAnsi="Verdana" w:cs="Aptos"/>
                <w:lang w:eastAsia="es-ES"/>
              </w:rPr>
              <w:t>Obras para atención, prevención o mitigación de emergencias diferentes a contratación directa para el sector institucional</w:t>
            </w:r>
            <w:r w:rsidRPr="00E71868">
              <w:rPr>
                <w:rFonts w:ascii="Verdana" w:eastAsia="Aptos" w:hAnsi="Verdana" w:cs="Times New Roman"/>
              </w:rPr>
              <w:t>”, se incluyó porque, en el marco de la actualización que se realizó sobre los documentos tipo del sector de infraestructura social en el año 2025 –y la adopción de los nuevos documentos tipo del sector institucional–, la Agencia acogió el resultado de un diagnóstico</w:t>
            </w:r>
            <w:r w:rsidRPr="00E71868">
              <w:rPr>
                <w:rFonts w:ascii="Verdana" w:eastAsia="Aptos" w:hAnsi="Verdana" w:cs="Times New Roman"/>
                <w:b/>
                <w:bCs/>
              </w:rPr>
              <w:t xml:space="preserve"> </w:t>
            </w:r>
            <w:r w:rsidRPr="00E71868">
              <w:rPr>
                <w:rFonts w:ascii="Verdana" w:eastAsia="Aptos" w:hAnsi="Verdana" w:cs="Times New Roman"/>
              </w:rPr>
              <w:t xml:space="preserve">sectorial de gestión del riesgo de desastres adelantado por la Unidad Nacional de Gestión del Riesgo de Desastre – UNGRD, –cuyo propósito era verificar si los sectores de cultura, salud y educación agrupados bajo el “Sector Social”– tenían incorporados lineamientos de gestión del riesgo y adaptación al cambio climático en sus procesos de contratación. </w:t>
            </w:r>
          </w:p>
          <w:p w14:paraId="62026EC7" w14:textId="77777777" w:rsidR="00E71868" w:rsidRPr="00E71868" w:rsidRDefault="00E71868" w:rsidP="00E71868">
            <w:pPr>
              <w:spacing w:after="120" w:line="276" w:lineRule="auto"/>
              <w:ind w:firstLine="708"/>
              <w:jc w:val="both"/>
              <w:rPr>
                <w:rFonts w:ascii="Verdana" w:eastAsia="Aptos" w:hAnsi="Verdana" w:cs="Times New Roman"/>
                <w:i/>
                <w:iCs/>
              </w:rPr>
            </w:pPr>
            <w:r w:rsidRPr="00E71868">
              <w:rPr>
                <w:rFonts w:ascii="Verdana" w:eastAsia="Aptos" w:hAnsi="Verdana" w:cs="Times New Roman"/>
              </w:rPr>
              <w:t xml:space="preserve">Como resultado de ese diagnóstico, y para dar coherencia con el Plan Nacional de Gestión del Riesgo de Desastres – PNGRD vigente y sus tres procesos –conocimiento del riesgo, reducción del riesgo y manejo de desastres–, se decidió incorporar un nuevo capítulo específico en las matrices de actividades de los documentos tipo indicados, dedicado a las obras de atención, prevención y mitigación de emergencias, de manera que estos </w:t>
            </w:r>
            <w:r w:rsidRPr="00E71868">
              <w:rPr>
                <w:rFonts w:ascii="Verdana" w:eastAsia="Aptos" w:hAnsi="Verdana" w:cs="Times New Roman"/>
              </w:rPr>
              <w:lastRenderedPageBreak/>
              <w:t xml:space="preserve">sectores puedan reflejar formalmente su aporte al Sistema Nacional de Gestión del Riesgo de Desastre – SNGRD dentro de los procesos que se adelanten utilizando esos documentos. </w:t>
            </w:r>
          </w:p>
          <w:p w14:paraId="1260B5FE" w14:textId="77777777" w:rsidR="00E71868" w:rsidRPr="00E71868" w:rsidRDefault="00E71868" w:rsidP="00E71868">
            <w:pPr>
              <w:spacing w:after="120" w:line="276" w:lineRule="auto"/>
              <w:ind w:firstLine="708"/>
              <w:jc w:val="both"/>
              <w:rPr>
                <w:rFonts w:ascii="Verdana" w:eastAsia="Times New Roman" w:hAnsi="Verdana" w:cs="Aptos"/>
                <w:lang w:eastAsia="es-MX"/>
              </w:rPr>
            </w:pPr>
            <w:r w:rsidRPr="00E71868">
              <w:rPr>
                <w:rFonts w:ascii="Verdana" w:eastAsia="Times New Roman" w:hAnsi="Verdana" w:cs="Aptos"/>
                <w:lang w:eastAsia="es-MX"/>
              </w:rPr>
              <w:t>Bajo el marco señalado, debe indicarse que, para interpretar el alcance del tipo de infraestructura del sector institucional, sobre el que recaen las actividades de o</w:t>
            </w:r>
            <w:r w:rsidRPr="00E71868">
              <w:rPr>
                <w:rFonts w:ascii="Verdana" w:eastAsia="Arial" w:hAnsi="Verdana" w:cs="Aptos"/>
                <w:lang w:eastAsia="es-ES"/>
              </w:rPr>
              <w:t xml:space="preserve">bras para atención, prevención o mitigación de emergencias, </w:t>
            </w:r>
            <w:r w:rsidRPr="00E71868">
              <w:rPr>
                <w:rFonts w:ascii="Verdana" w:eastAsia="Times New Roman" w:hAnsi="Verdana" w:cs="Aptos"/>
                <w:lang w:eastAsia="es-MX"/>
              </w:rPr>
              <w:t>se debe tener en cuenta la nota general 1 de la Matriz 1– Experiencia del Sector Institucional, en las distintas modalidades de selección de los documentos tipo adoptados por esta Agencia. En esta se indica que “(l)as definiciones contenidas en esta Matriz deben enmarcarse en la normativa vigente en la materia, así como en la NSR 10 o aquellas que los modifiquen, adicionen o sustituyan, así como a las definiciones contenidas en el "Anexo - Glosario del Sector Social””.</w:t>
            </w:r>
          </w:p>
          <w:p w14:paraId="23328D38" w14:textId="77777777" w:rsidR="00E71868" w:rsidRPr="00E71868" w:rsidRDefault="00E71868" w:rsidP="00E71868">
            <w:pPr>
              <w:spacing w:after="120" w:line="276" w:lineRule="auto"/>
              <w:ind w:firstLine="708"/>
              <w:jc w:val="both"/>
              <w:rPr>
                <w:rFonts w:ascii="Verdana" w:eastAsia="Times New Roman" w:hAnsi="Verdana" w:cs="Aptos"/>
                <w:lang w:eastAsia="es-MX"/>
              </w:rPr>
            </w:pPr>
            <w:r w:rsidRPr="00E71868">
              <w:rPr>
                <w:rFonts w:ascii="Verdana" w:eastAsia="Times New Roman" w:hAnsi="Verdana" w:cs="Aptos"/>
                <w:lang w:eastAsia="es-MX"/>
              </w:rPr>
              <w:t>La nota general 1 contenida en la Matriz 1 – Experiencia de los documentos tipo indicados, es congruente con el numeral 1.10 del documento base que dispone que: “[p]ara los fines de este Pliego de Condiciones, a menos que expresamente se estipule de otra manera, los términos deben entenderse de acuerdo con la definición contenida en el artículo 2.2.1.1.1.3.1 del Decreto 1082 de 2015, el glosario aplicable a la obra pública de infraestructura social y demás normas, decretos reglamentarios y legislación aplicable en la materia”.</w:t>
            </w:r>
          </w:p>
          <w:p w14:paraId="65605CCE" w14:textId="77777777" w:rsidR="00E71868" w:rsidRPr="00E71868" w:rsidRDefault="00E71868" w:rsidP="00E71868">
            <w:pPr>
              <w:spacing w:after="120" w:line="276" w:lineRule="auto"/>
              <w:ind w:firstLine="708"/>
              <w:jc w:val="both"/>
              <w:rPr>
                <w:rFonts w:ascii="Verdana" w:eastAsia="Aptos" w:hAnsi="Verdana" w:cs="Times New Roman"/>
              </w:rPr>
            </w:pPr>
            <w:r w:rsidRPr="00E71868">
              <w:rPr>
                <w:rFonts w:ascii="Verdana" w:eastAsia="Calibri" w:hAnsi="Verdana" w:cs="Arial"/>
                <w:lang w:val="es-ES_tradnl" w:eastAsia="es-MX"/>
              </w:rPr>
              <w:t xml:space="preserve">Ahora bien, como se precisó las actividades señaladas recaen sobre </w:t>
            </w:r>
            <w:r w:rsidRPr="00E71868">
              <w:rPr>
                <w:rFonts w:ascii="Verdana" w:eastAsia="Times New Roman" w:hAnsi="Verdana" w:cs="Calibri"/>
                <w:lang w:eastAsia="es-MX"/>
              </w:rPr>
              <w:t xml:space="preserve">obras en proyectos de infraestructura institucional. De esta forma, para determinar qué abarca este tipo de infraestructura, de conformidad con la norma </w:t>
            </w:r>
            <w:r w:rsidRPr="00E71868">
              <w:rPr>
                <w:rFonts w:ascii="Verdana" w:eastAsia="Calibri" w:hAnsi="Verdana" w:cs="Arial"/>
                <w:color w:val="0D0D0D"/>
                <w:lang w:eastAsia="es-MX"/>
              </w:rPr>
              <w:t xml:space="preserve">NSR-10 en el Grupo de Ocupación Institucional (I) –K.2.6– “(…) </w:t>
            </w:r>
            <w:r w:rsidRPr="00E71868">
              <w:rPr>
                <w:rFonts w:ascii="Verdana" w:eastAsia="Aptos" w:hAnsi="Verdana" w:cs="Times New Roman"/>
                <w:i/>
                <w:iCs/>
              </w:rPr>
              <w:t xml:space="preserve">se clasifican las edificaciones o espacios utilizados para la reclusión de personas que adolecen de limitaciones mentales o están sujetas a castigos penales o correccionales; en el tratamiento o cuidado de personas o en su reunión con propósitos educativos o de instrucción. De igual manera se clasifican dentro de este grupo las edificaciones y espacios indispensables en la atención de emergencias, preservación de la seguridad de personas y la prestación de servicios públicos y administrativos necesarios para el buen funcionamiento </w:t>
            </w:r>
            <w:r w:rsidRPr="00E71868">
              <w:rPr>
                <w:rFonts w:ascii="Verdana" w:eastAsia="Aptos" w:hAnsi="Verdana" w:cs="Times New Roman"/>
                <w:i/>
                <w:iCs/>
              </w:rPr>
              <w:lastRenderedPageBreak/>
              <w:t>de las ciudades</w:t>
            </w:r>
            <w:r w:rsidRPr="00E71868">
              <w:rPr>
                <w:rFonts w:ascii="Verdana" w:eastAsia="Calibri" w:hAnsi="Verdana" w:cs="Arial"/>
                <w:color w:val="0D0D0D"/>
                <w:lang w:eastAsia="es-MX"/>
              </w:rPr>
              <w:t>”</w:t>
            </w:r>
            <w:r w:rsidRPr="00E71868">
              <w:rPr>
                <w:rFonts w:ascii="Verdana" w:eastAsia="Calibri" w:hAnsi="Verdana" w:cs="Arial"/>
                <w:color w:val="0D0D0D"/>
                <w:vertAlign w:val="superscript"/>
                <w:lang w:eastAsia="es-MX"/>
              </w:rPr>
              <w:footnoteReference w:id="2"/>
            </w:r>
            <w:r w:rsidRPr="00E71868">
              <w:rPr>
                <w:rFonts w:ascii="Verdana" w:eastAsia="Calibri" w:hAnsi="Verdana" w:cs="Arial"/>
                <w:color w:val="0D0D0D"/>
                <w:lang w:eastAsia="es-MX"/>
              </w:rPr>
              <w:t xml:space="preserve">. Este Grupo de Ocupación está constituida </w:t>
            </w:r>
            <w:r w:rsidRPr="00E71868">
              <w:rPr>
                <w:rFonts w:ascii="Verdana" w:eastAsia="Calibri" w:hAnsi="Verdana" w:cs="Arial"/>
                <w:i/>
                <w:iCs/>
                <w:color w:val="0D0D0D"/>
                <w:lang w:eastAsia="es-MX"/>
              </w:rPr>
              <w:t xml:space="preserve">“(…) </w:t>
            </w:r>
            <w:r w:rsidRPr="00E71868">
              <w:rPr>
                <w:rFonts w:ascii="Verdana" w:eastAsia="Aptos" w:hAnsi="Verdana" w:cs="Times New Roman"/>
                <w:i/>
                <w:iCs/>
              </w:rPr>
              <w:t>por los Subgrupos de Ocupación Institucional de Reclusión (I-1), Institucional de Salud o Incapacidad (I-2), Institucional de Educación (I-3), Institucional de Seguridad Pública (I-4) e Institucional de Servicio Público (I-5)</w:t>
            </w:r>
            <w:r w:rsidRPr="00E71868">
              <w:rPr>
                <w:rFonts w:ascii="Verdana" w:eastAsia="Aptos" w:hAnsi="Verdana" w:cs="Times New Roman"/>
              </w:rPr>
              <w:t>”</w:t>
            </w:r>
            <w:r w:rsidRPr="00E71868">
              <w:rPr>
                <w:rFonts w:ascii="Verdana" w:eastAsia="Aptos" w:hAnsi="Verdana" w:cs="Times New Roman"/>
                <w:vertAlign w:val="superscript"/>
              </w:rPr>
              <w:footnoteReference w:id="3"/>
            </w:r>
            <w:r w:rsidRPr="00E71868">
              <w:rPr>
                <w:rFonts w:ascii="Verdana" w:eastAsia="Aptos" w:hAnsi="Verdana" w:cs="Times New Roman"/>
              </w:rPr>
              <w:t>.</w:t>
            </w:r>
          </w:p>
          <w:p w14:paraId="3CD54545" w14:textId="77777777" w:rsidR="00E71868" w:rsidRPr="00E71868" w:rsidRDefault="00E71868" w:rsidP="00E71868">
            <w:pPr>
              <w:spacing w:after="120" w:line="276" w:lineRule="auto"/>
              <w:ind w:firstLine="708"/>
              <w:jc w:val="both"/>
              <w:rPr>
                <w:rFonts w:ascii="Verdana" w:eastAsia="Aptos" w:hAnsi="Verdana" w:cs="Times New Roman"/>
              </w:rPr>
            </w:pPr>
            <w:r w:rsidRPr="00E71868">
              <w:rPr>
                <w:rFonts w:ascii="Verdana" w:eastAsia="Aptos" w:hAnsi="Verdana" w:cs="Times New Roman"/>
              </w:rPr>
              <w:t xml:space="preserve">Particularmente, los documentos tipo del sector Institucional, recaen sobre los Subgrupos de Ocupación: i) Institucional de Seguridad Pública, </w:t>
            </w:r>
            <w:proofErr w:type="spellStart"/>
            <w:r w:rsidRPr="00E71868">
              <w:rPr>
                <w:rFonts w:ascii="Verdana" w:eastAsia="Aptos" w:hAnsi="Verdana" w:cs="Times New Roman"/>
              </w:rPr>
              <w:t>ii</w:t>
            </w:r>
            <w:proofErr w:type="spellEnd"/>
            <w:r w:rsidRPr="00E71868">
              <w:rPr>
                <w:rFonts w:ascii="Verdana" w:eastAsia="Aptos" w:hAnsi="Verdana" w:cs="Times New Roman"/>
              </w:rPr>
              <w:t xml:space="preserve">) Institucional de Servicio Público y </w:t>
            </w:r>
            <w:proofErr w:type="spellStart"/>
            <w:r w:rsidRPr="00E71868">
              <w:rPr>
                <w:rFonts w:ascii="Verdana" w:eastAsia="Aptos" w:hAnsi="Verdana" w:cs="Times New Roman"/>
              </w:rPr>
              <w:t>iii</w:t>
            </w:r>
            <w:proofErr w:type="spellEnd"/>
            <w:r w:rsidRPr="00E71868">
              <w:rPr>
                <w:rFonts w:ascii="Verdana" w:eastAsia="Aptos" w:hAnsi="Verdana" w:cs="Times New Roman"/>
              </w:rPr>
              <w:t xml:space="preserve">) Institucional de Reclusión. Es por esto que los capítulos uno (1), dos (2) y tres (3) contenidos en la Matriz 1 – Experiencia de Sector Institucional, en las modalidades de selección de licitación pública, selección abreviada de menor cuantía y mínima cuantía disponen –respectivamente– el tipo de obra: 1. OBRAS EN PROYECTOS DE INFRAESTRUCTURA INSTITUCIONAL DE SEGURIDAD PUBLICA, 2. OBRAS EN PROYECTOS DE INFRAESTRUCTURA INSTITUCIONAL DE SERVICIO PUBLICO y 3. OBRAS EN PROYECTOS DE INFRAESTRUCTURA INSTITUCIONAL - SITIOS DE RECLUSIÓN. </w:t>
            </w:r>
          </w:p>
          <w:p w14:paraId="5CCF3A43" w14:textId="77777777" w:rsidR="00E71868" w:rsidRPr="00E71868" w:rsidRDefault="00E71868" w:rsidP="00E71868">
            <w:pPr>
              <w:spacing w:after="120" w:line="276" w:lineRule="auto"/>
              <w:ind w:firstLine="708"/>
              <w:jc w:val="both"/>
              <w:rPr>
                <w:rFonts w:ascii="Verdana" w:eastAsia="Aptos" w:hAnsi="Verdana" w:cs="Times New Roman"/>
              </w:rPr>
            </w:pPr>
            <w:r w:rsidRPr="00E71868">
              <w:rPr>
                <w:rFonts w:ascii="Verdana" w:eastAsia="Aptos" w:hAnsi="Verdana" w:cs="Times New Roman"/>
              </w:rPr>
              <w:t>En este sentido, el capítulo cinco (5) “</w:t>
            </w:r>
            <w:r w:rsidRPr="00E71868">
              <w:rPr>
                <w:rFonts w:ascii="Verdana" w:eastAsia="Arial" w:hAnsi="Verdana" w:cs="Aptos"/>
                <w:lang w:eastAsia="es-ES"/>
              </w:rPr>
              <w:t>Obras para atención, prevención o mitigación de emergencias diferentes a contratación directa para el sector institucional</w:t>
            </w:r>
            <w:r w:rsidRPr="00E71868">
              <w:rPr>
                <w:rFonts w:ascii="Verdana" w:eastAsia="Aptos" w:hAnsi="Verdana" w:cs="Times New Roman"/>
              </w:rPr>
              <w:t>” contenidos en la Matriz 1 – Experiencia Sector Institucional, recae sobre los tres (3) tipos de infraestructura indicados en el párrafo precedente, esto es los subgrupos de Seguridad Pública, Servicio Público y Reclusión</w:t>
            </w:r>
            <w:r w:rsidRPr="00E71868">
              <w:rPr>
                <w:rFonts w:ascii="Verdana" w:eastAsia="Aptos" w:hAnsi="Verdana" w:cs="Times New Roman"/>
                <w:vertAlign w:val="superscript"/>
              </w:rPr>
              <w:footnoteReference w:id="4"/>
            </w:r>
            <w:r w:rsidRPr="00E71868">
              <w:rPr>
                <w:rFonts w:ascii="Verdana" w:eastAsia="Aptos" w:hAnsi="Verdana" w:cs="Times New Roman"/>
              </w:rPr>
              <w:t xml:space="preserve">. </w:t>
            </w:r>
          </w:p>
          <w:p w14:paraId="14FB0026" w14:textId="77777777" w:rsidR="00E71868" w:rsidRPr="00E71868" w:rsidRDefault="00E71868" w:rsidP="00E71868">
            <w:pPr>
              <w:spacing w:after="120" w:line="276" w:lineRule="auto"/>
              <w:ind w:firstLine="708"/>
              <w:jc w:val="both"/>
              <w:rPr>
                <w:rFonts w:ascii="Verdana" w:eastAsia="Calibri" w:hAnsi="Verdana" w:cs="Arial"/>
                <w:color w:val="0D0D0D"/>
                <w:lang w:eastAsia="es-MX"/>
              </w:rPr>
            </w:pPr>
            <w:r w:rsidRPr="00E71868">
              <w:rPr>
                <w:rFonts w:ascii="Verdana" w:eastAsia="Calibri" w:hAnsi="Verdana" w:cs="Arial"/>
              </w:rPr>
              <w:t xml:space="preserve">La norma </w:t>
            </w:r>
            <w:r w:rsidRPr="00E71868">
              <w:rPr>
                <w:rFonts w:ascii="Verdana" w:eastAsia="Calibri" w:hAnsi="Verdana" w:cs="Arial"/>
                <w:color w:val="0D0D0D"/>
              </w:rPr>
              <w:t xml:space="preserve">NSR-10 indica que, </w:t>
            </w:r>
            <w:r w:rsidRPr="00E71868">
              <w:rPr>
                <w:rFonts w:ascii="Verdana" w:eastAsia="Calibri" w:hAnsi="Verdana" w:cs="Arial"/>
                <w:color w:val="0D0D0D"/>
                <w:lang w:eastAsia="es-MX"/>
              </w:rPr>
              <w:t>en el Subgrupo de Ocupación Institucional de Reclusión (I-1) “</w:t>
            </w:r>
            <w:r w:rsidRPr="00E71868">
              <w:rPr>
                <w:rFonts w:ascii="Verdana" w:eastAsia="Times New Roman" w:hAnsi="Verdana" w:cs="Times New Roman"/>
                <w:lang w:eastAsia="es-MX"/>
              </w:rPr>
              <w:t>se clasifican las edificaciones o espacios empleados en la reclusión de personas con libertad restringida por razones penales, correccionales o de limitación mental.</w:t>
            </w:r>
            <w:r w:rsidRPr="00E71868">
              <w:rPr>
                <w:rFonts w:ascii="Verdana" w:eastAsia="Calibri" w:hAnsi="Verdana" w:cs="Arial"/>
                <w:color w:val="0D0D0D"/>
                <w:lang w:eastAsia="es-MX"/>
              </w:rPr>
              <w:t>”</w:t>
            </w:r>
            <w:r w:rsidRPr="00E71868">
              <w:rPr>
                <w:rFonts w:ascii="Verdana" w:eastAsia="Calibri" w:hAnsi="Verdana" w:cs="Arial"/>
                <w:color w:val="0D0D0D"/>
                <w:vertAlign w:val="superscript"/>
                <w:lang w:eastAsia="es-MX"/>
              </w:rPr>
              <w:footnoteReference w:id="5"/>
            </w:r>
            <w:r w:rsidRPr="00E71868">
              <w:rPr>
                <w:rFonts w:ascii="Verdana" w:eastAsia="Calibri" w:hAnsi="Verdana" w:cs="Arial"/>
                <w:color w:val="0D0D0D"/>
                <w:lang w:eastAsia="es-MX"/>
              </w:rPr>
              <w:t xml:space="preserve">. Entre las edificaciones o espacios que </w:t>
            </w:r>
            <w:r w:rsidRPr="00E71868">
              <w:rPr>
                <w:rFonts w:ascii="Verdana" w:eastAsia="Calibri" w:hAnsi="Verdana" w:cs="Arial"/>
                <w:color w:val="0D0D0D"/>
                <w:lang w:eastAsia="es-MX"/>
              </w:rPr>
              <w:lastRenderedPageBreak/>
              <w:t>pertenecen a este Subgrupo se encuentran las siguientes: “presiones, reformatorios, cárceles, manicomios, asilos y otros similares”</w:t>
            </w:r>
            <w:r w:rsidRPr="00E71868">
              <w:rPr>
                <w:rFonts w:ascii="Verdana" w:eastAsia="Calibri" w:hAnsi="Verdana" w:cs="Arial"/>
                <w:color w:val="0D0D0D"/>
                <w:vertAlign w:val="superscript"/>
                <w:lang w:eastAsia="es-MX"/>
              </w:rPr>
              <w:footnoteReference w:id="6"/>
            </w:r>
            <w:r w:rsidRPr="00E71868">
              <w:rPr>
                <w:rFonts w:ascii="Verdana" w:eastAsia="Calibri" w:hAnsi="Verdana" w:cs="Arial"/>
                <w:color w:val="0D0D0D"/>
                <w:lang w:eastAsia="es-MX"/>
              </w:rPr>
              <w:t xml:space="preserve">. </w:t>
            </w:r>
          </w:p>
          <w:p w14:paraId="7C41632E" w14:textId="77777777" w:rsidR="00E71868" w:rsidRPr="00E71868" w:rsidRDefault="00E71868" w:rsidP="00E71868">
            <w:pPr>
              <w:spacing w:after="120" w:line="276" w:lineRule="auto"/>
              <w:ind w:firstLine="708"/>
              <w:jc w:val="both"/>
              <w:rPr>
                <w:rFonts w:ascii="Verdana" w:eastAsia="Calibri" w:hAnsi="Verdana" w:cs="Arial"/>
              </w:rPr>
            </w:pPr>
            <w:r w:rsidRPr="00E71868">
              <w:rPr>
                <w:rFonts w:ascii="Verdana" w:eastAsia="Calibri" w:hAnsi="Verdana" w:cs="Arial"/>
              </w:rPr>
              <w:t>Por su parte, de acuerdo con la norma NSR-10, en el Subgrupo de Ocupación Institucional de Seguridad Pública (I-4) “se clasifican las edificaciones o espacios indispensables para atender emergencias y preservar el orden público y la seguridad de las personas”. En este subgrupo se encuentran: “estaciones de policía, estaciones de bomberos, estaciones de defensa civil, instituciones y otros similares”.</w:t>
            </w:r>
          </w:p>
          <w:p w14:paraId="7386D072" w14:textId="77777777" w:rsidR="00E71868" w:rsidRPr="00E71868" w:rsidRDefault="00E71868" w:rsidP="00E71868">
            <w:pPr>
              <w:spacing w:after="120" w:line="276" w:lineRule="auto"/>
              <w:ind w:firstLine="708"/>
              <w:jc w:val="both"/>
              <w:rPr>
                <w:rFonts w:ascii="Verdana" w:eastAsia="Calibri" w:hAnsi="Verdana" w:cs="Arial"/>
                <w:color w:val="0D0D0D"/>
                <w:lang w:eastAsia="es-MX"/>
              </w:rPr>
            </w:pPr>
            <w:r w:rsidRPr="00E71868">
              <w:rPr>
                <w:rFonts w:ascii="Verdana" w:eastAsia="Times New Roman" w:hAnsi="Verdana" w:cs="Calibri"/>
                <w:lang w:eastAsia="es-MX"/>
              </w:rPr>
              <w:t xml:space="preserve">Asimismo, la norma </w:t>
            </w:r>
            <w:r w:rsidRPr="00E71868">
              <w:rPr>
                <w:rFonts w:ascii="Verdana" w:eastAsia="Calibri" w:hAnsi="Verdana" w:cs="Arial"/>
                <w:color w:val="0D0D0D"/>
                <w:lang w:eastAsia="es-MX"/>
              </w:rPr>
              <w:t>NSR-10 en el Subgrupo de Ocupación Institucional de Servicio Público (I-5) indica que en este “se clasifican las edificaciones o espacios destinados a funciones administrativas y prestación de servicios públicos necesarios para el buen funcionamiento de las ciudades”</w:t>
            </w:r>
            <w:r w:rsidRPr="00E71868">
              <w:rPr>
                <w:rFonts w:ascii="Verdana" w:eastAsia="Calibri" w:hAnsi="Verdana" w:cs="Arial"/>
                <w:color w:val="0D0D0D"/>
                <w:vertAlign w:val="superscript"/>
                <w:lang w:eastAsia="es-MX"/>
              </w:rPr>
              <w:footnoteReference w:id="7"/>
            </w:r>
            <w:r w:rsidRPr="00E71868">
              <w:rPr>
                <w:rFonts w:ascii="Verdana" w:eastAsia="Calibri" w:hAnsi="Verdana" w:cs="Arial"/>
                <w:color w:val="0D0D0D"/>
                <w:lang w:eastAsia="es-MX"/>
              </w:rPr>
              <w:t>. Entre las edificaciones o espacios que pertenecen a este Subgrupo se encuentran las siguientes: “Centros de comunicación o administrativos o administrativos de servicios municipales, distritales o gubernamentales, juzgados y otros similares”</w:t>
            </w:r>
            <w:r w:rsidRPr="00E71868">
              <w:rPr>
                <w:rFonts w:ascii="Verdana" w:eastAsia="Calibri" w:hAnsi="Verdana" w:cs="Arial"/>
                <w:color w:val="0D0D0D"/>
                <w:vertAlign w:val="superscript"/>
                <w:lang w:eastAsia="es-MX"/>
              </w:rPr>
              <w:footnoteReference w:id="8"/>
            </w:r>
            <w:r w:rsidRPr="00E71868">
              <w:rPr>
                <w:rFonts w:ascii="Verdana" w:eastAsia="Calibri" w:hAnsi="Verdana" w:cs="Arial"/>
                <w:color w:val="0D0D0D"/>
                <w:lang w:eastAsia="es-MX"/>
              </w:rPr>
              <w:t>.</w:t>
            </w:r>
          </w:p>
          <w:p w14:paraId="15F7A578" w14:textId="1C443856" w:rsidR="00E71868" w:rsidRPr="00E71868" w:rsidRDefault="00E71868" w:rsidP="00E71868">
            <w:pPr>
              <w:spacing w:line="276" w:lineRule="auto"/>
              <w:ind w:firstLine="708"/>
              <w:jc w:val="both"/>
              <w:rPr>
                <w:rFonts w:ascii="Verdana" w:eastAsia="Aptos" w:hAnsi="Verdana" w:cs="Times New Roman"/>
              </w:rPr>
            </w:pPr>
            <w:r w:rsidRPr="00E71868">
              <w:rPr>
                <w:rFonts w:ascii="Verdana" w:eastAsia="Calibri" w:hAnsi="Verdana" w:cs="Arial"/>
                <w:color w:val="0D0D0D"/>
                <w:lang w:eastAsia="es-MX"/>
              </w:rPr>
              <w:t xml:space="preserve">La expresión “otros similares”, empleada en los Subgrupos de Ocupación Institucional de Reclusión (I-1), Seguridad Pública (I-4) y Servicio Público (I-5) de la NSR-10, debe interpretarse en cada caso de manera restrictiva y funcional, en el sentido de que comprende aquellas edificaciones o espacios que, aunque no estén expresamente mencionados, comparten las características esenciales de la definición y ejemplos de los respectivos subgrupos. </w:t>
            </w:r>
            <w:r w:rsidRPr="00E71868">
              <w:rPr>
                <w:rFonts w:ascii="Verdana" w:eastAsia="Aptos" w:hAnsi="Verdana" w:cs="Times New Roman"/>
              </w:rPr>
              <w:t xml:space="preserve">En consecuencia, en los tres subgrupos, la expresión </w:t>
            </w:r>
            <w:r w:rsidR="008566CE">
              <w:rPr>
                <w:rFonts w:ascii="Verdana" w:eastAsia="Aptos" w:hAnsi="Verdana" w:cs="Times New Roman"/>
              </w:rPr>
              <w:t>“</w:t>
            </w:r>
            <w:r w:rsidRPr="00E71868">
              <w:rPr>
                <w:rFonts w:ascii="Verdana" w:eastAsia="Aptos" w:hAnsi="Verdana" w:cs="Times New Roman"/>
              </w:rPr>
              <w:t>otros similares</w:t>
            </w:r>
            <w:r w:rsidR="008566CE">
              <w:rPr>
                <w:rFonts w:ascii="Verdana" w:eastAsia="Aptos" w:hAnsi="Verdana" w:cs="Times New Roman"/>
              </w:rPr>
              <w:t>”</w:t>
            </w:r>
            <w:r w:rsidRPr="00E71868">
              <w:rPr>
                <w:rFonts w:ascii="Verdana" w:eastAsia="Aptos" w:hAnsi="Verdana" w:cs="Times New Roman"/>
              </w:rPr>
              <w:t xml:space="preserve"> no habilita una lectura abierta o indeterminada, sino que exige que el establecimiento respectivo comparta la finalidad material y funcional propia de los ejemplos que la norma enuncia, con independencia de su denominación formal.</w:t>
            </w:r>
          </w:p>
          <w:p w14:paraId="5893B067" w14:textId="77777777" w:rsidR="00E71868" w:rsidRPr="00E71868" w:rsidRDefault="00E71868" w:rsidP="00E71868">
            <w:pPr>
              <w:spacing w:line="276" w:lineRule="auto"/>
              <w:ind w:firstLine="708"/>
              <w:jc w:val="both"/>
              <w:rPr>
                <w:rFonts w:ascii="Verdana" w:eastAsia="Aptos" w:hAnsi="Verdana" w:cs="Times New Roman"/>
              </w:rPr>
            </w:pPr>
          </w:p>
          <w:p w14:paraId="34E34805" w14:textId="2FF9C18E" w:rsidR="00E71868" w:rsidRPr="00E71868" w:rsidRDefault="00E71868" w:rsidP="00E71868">
            <w:pPr>
              <w:snapToGrid w:val="0"/>
              <w:spacing w:line="276" w:lineRule="auto"/>
              <w:jc w:val="both"/>
              <w:rPr>
                <w:rFonts w:ascii="Verdana" w:eastAsia="Times New Roman" w:hAnsi="Verdana" w:cs="Times New Roman"/>
                <w:lang w:eastAsia="es-MX"/>
              </w:rPr>
            </w:pPr>
            <w:proofErr w:type="spellStart"/>
            <w:r w:rsidRPr="00E71868">
              <w:rPr>
                <w:rFonts w:ascii="Verdana" w:eastAsia="Times New Roman" w:hAnsi="Verdana" w:cs="Times New Roman"/>
                <w:lang w:eastAsia="es-MX"/>
              </w:rPr>
              <w:t>ii</w:t>
            </w:r>
            <w:r w:rsidR="003F6761">
              <w:rPr>
                <w:rFonts w:ascii="Verdana" w:eastAsia="Times New Roman" w:hAnsi="Verdana" w:cs="Times New Roman"/>
                <w:lang w:eastAsia="es-MX"/>
              </w:rPr>
              <w:t>i</w:t>
            </w:r>
            <w:proofErr w:type="spellEnd"/>
            <w:r w:rsidRPr="00E71868">
              <w:rPr>
                <w:rFonts w:ascii="Verdana" w:eastAsia="Times New Roman" w:hAnsi="Verdana" w:cs="Times New Roman"/>
                <w:lang w:eastAsia="es-MX"/>
              </w:rPr>
              <w:t xml:space="preserve">. En relación con la aparente contradicción que la peticionaria indica que existe entre la Nota General 1 de la Matriz de Experiencia y la naturaleza de </w:t>
            </w:r>
            <w:r w:rsidRPr="00E71868">
              <w:rPr>
                <w:rFonts w:ascii="Verdana" w:eastAsia="Times New Roman" w:hAnsi="Verdana" w:cs="Times New Roman"/>
                <w:lang w:eastAsia="es-MX"/>
              </w:rPr>
              <w:lastRenderedPageBreak/>
              <w:t>las obras de contención de taludes y obras hidráulicas contenidas en las actividades 5.2 y 5.4 –señaladas en el punto dos (</w:t>
            </w:r>
            <w:proofErr w:type="spellStart"/>
            <w:r w:rsidRPr="00E71868">
              <w:rPr>
                <w:rFonts w:ascii="Verdana" w:eastAsia="Times New Roman" w:hAnsi="Verdana" w:cs="Times New Roman"/>
                <w:lang w:eastAsia="es-MX"/>
              </w:rPr>
              <w:t>ii</w:t>
            </w:r>
            <w:proofErr w:type="spellEnd"/>
            <w:r w:rsidRPr="00E71868">
              <w:rPr>
                <w:rFonts w:ascii="Verdana" w:eastAsia="Times New Roman" w:hAnsi="Verdana" w:cs="Times New Roman"/>
                <w:lang w:eastAsia="es-MX"/>
              </w:rPr>
              <w:t xml:space="preserve">) de este concepto–, esta se disuelve al advertir que la remisión a la NSR-10 no tiene por objeto exigir que las obras de estabilización de taludes, recuperación de banca o manejo de inundaciones sean, en sí mismas, </w:t>
            </w:r>
            <w:r w:rsidR="004E1195">
              <w:rPr>
                <w:rFonts w:ascii="Verdana" w:eastAsia="Times New Roman" w:hAnsi="Verdana" w:cs="Times New Roman"/>
                <w:lang w:eastAsia="es-MX"/>
              </w:rPr>
              <w:t>“</w:t>
            </w:r>
            <w:r w:rsidRPr="00E71868">
              <w:rPr>
                <w:rFonts w:ascii="Verdana" w:eastAsia="Times New Roman" w:hAnsi="Verdana" w:cs="Times New Roman"/>
                <w:lang w:eastAsia="es-MX"/>
              </w:rPr>
              <w:t>edificaciones</w:t>
            </w:r>
            <w:r w:rsidR="004E1195">
              <w:rPr>
                <w:rFonts w:ascii="Verdana" w:eastAsia="Times New Roman" w:hAnsi="Verdana" w:cs="Times New Roman"/>
                <w:lang w:eastAsia="es-MX"/>
              </w:rPr>
              <w:t>”</w:t>
            </w:r>
            <w:r w:rsidRPr="00E71868">
              <w:rPr>
                <w:rFonts w:ascii="Verdana" w:eastAsia="Times New Roman" w:hAnsi="Verdana" w:cs="Times New Roman"/>
                <w:lang w:eastAsia="es-MX"/>
              </w:rPr>
              <w:t xml:space="preserve"> en los términos del artículo 4 de la Ley 400 de 1997. Precisamente, la propia NSR-10 define la edificación, en el numeral A.1.2.4 del Título A, como aquella construcción “(…) cuyo uso primordial es la habitación u ocupación por seres humanos”, y a partir de esa definición excluye expresamente, en el numeral A.1.2.4.1, “el diseño y construcción de estructuras especiales tales como puentes, torres de transmisión, torres y equipos industriales, muelles, estructuras hidráulicas y todas aquellas construcciones diferentes de edificaciones”. </w:t>
            </w:r>
          </w:p>
          <w:p w14:paraId="0E4EB12D" w14:textId="77777777" w:rsidR="00E71868" w:rsidRPr="00E71868" w:rsidRDefault="00E71868" w:rsidP="00E71868">
            <w:pPr>
              <w:snapToGrid w:val="0"/>
              <w:spacing w:before="120" w:after="120" w:line="276" w:lineRule="auto"/>
              <w:ind w:firstLine="708"/>
              <w:jc w:val="both"/>
              <w:rPr>
                <w:rFonts w:ascii="Verdana" w:eastAsia="Times New Roman" w:hAnsi="Verdana" w:cs="Times New Roman"/>
                <w:lang w:eastAsia="es-MX"/>
              </w:rPr>
            </w:pPr>
            <w:r w:rsidRPr="00E71868">
              <w:rPr>
                <w:rFonts w:ascii="Verdana" w:eastAsia="Times New Roman" w:hAnsi="Verdana" w:cs="Times New Roman"/>
                <w:lang w:eastAsia="es-MX"/>
              </w:rPr>
              <w:t>De lo anterior se sigue que la propia norma reconoce que las obras hidráulicas no son, ni pretenden ser, “edificaciones” en sentido técnico, por lo que mal podría entenderse que la Nota General 1 exige que dichas obras cumplan, ellas mismas, con la clasificación por grupos de ocupación prevista para las edificaciones. En consecuencia, la remisión de la Nota General 1 a la NSR-10 no busca encuadrar la obra hidráulica dentro de un grupo de ocupación, sino delimitar qué se entiende por “infraestructura institucional”, esto es, el bien o activo que dicha obra protege, mitiga o atiende ante una emergencia.</w:t>
            </w:r>
          </w:p>
          <w:p w14:paraId="7BEFB827" w14:textId="77777777" w:rsidR="00E71868" w:rsidRPr="00E71868" w:rsidRDefault="00E71868" w:rsidP="00E71868">
            <w:pPr>
              <w:snapToGrid w:val="0"/>
              <w:spacing w:before="120" w:after="120" w:line="276" w:lineRule="auto"/>
              <w:ind w:firstLine="708"/>
              <w:jc w:val="both"/>
              <w:rPr>
                <w:rFonts w:ascii="Verdana" w:eastAsia="Times New Roman" w:hAnsi="Verdana" w:cs="Times New Roman"/>
                <w:lang w:eastAsia="es-MX"/>
              </w:rPr>
            </w:pPr>
            <w:r w:rsidRPr="00E71868">
              <w:rPr>
                <w:rFonts w:ascii="Verdana" w:eastAsia="Times New Roman" w:hAnsi="Verdana" w:cs="Times New Roman"/>
                <w:lang w:eastAsia="es-MX"/>
              </w:rPr>
              <w:t xml:space="preserve">Ahora bien, la propia NSR-10 no limita su ámbito de regulación a la “edificación” entendida en sentido estricto como construcción cerrada, sino que de manera reiterada se refiere a “edificaciones o espacios”. Así lo reflejan tanto el numeral K.2.1.2 del Título K, que dispone que “toda edificación o espacio que se construya o altere debe clasificarse (…) en uno de los Grupos de Ocupación”, como la definición misma del Grupo de Ocupación Institucional en el numeral K.2.6.1, que clasifica dentro de dicho grupo “las edificaciones o espacios utilizados para (…)” los fines allí descritos y, de manera puntual, “las edificaciones y espacios indispensables en la atención de emergencias, preservación de la seguridad de personas y la prestación de servicios públicos y administrativos”. </w:t>
            </w:r>
          </w:p>
          <w:p w14:paraId="3678A1D6" w14:textId="77777777" w:rsidR="00E71868" w:rsidRPr="00E71868" w:rsidRDefault="00E71868" w:rsidP="00E71868">
            <w:pPr>
              <w:snapToGrid w:val="0"/>
              <w:spacing w:before="120" w:after="120" w:line="276" w:lineRule="auto"/>
              <w:ind w:firstLine="708"/>
              <w:jc w:val="both"/>
              <w:rPr>
                <w:rFonts w:ascii="Verdana" w:eastAsia="Times New Roman" w:hAnsi="Verdana" w:cs="Times New Roman"/>
                <w:lang w:eastAsia="es-MX"/>
              </w:rPr>
            </w:pPr>
            <w:r w:rsidRPr="00E71868">
              <w:rPr>
                <w:rFonts w:ascii="Verdana" w:eastAsia="Times New Roman" w:hAnsi="Verdana" w:cs="Times New Roman"/>
                <w:lang w:eastAsia="es-MX"/>
              </w:rPr>
              <w:t xml:space="preserve">Esta dualidad no es accidental: permite que la norma cubra no solo la construcción confinada en sí, sino también aquellas áreas, zonas o instalaciones que, sin constituir una edificación en sentido estricto, resultan </w:t>
            </w:r>
            <w:r w:rsidRPr="00E71868">
              <w:rPr>
                <w:rFonts w:ascii="Verdana" w:eastAsia="Times New Roman" w:hAnsi="Verdana" w:cs="Times New Roman"/>
                <w:lang w:eastAsia="es-MX"/>
              </w:rPr>
              <w:lastRenderedPageBreak/>
              <w:t>indispensables para el funcionamiento, la seguridad o la operación continua de la infraestructura institucional. En esa medida, el concepto de espacio es el que permite extender la protección de la NSR-10, y por remisión el alcance del capítulo 5 de la Matriz de Experiencia, más allá de los muros de la edificación, hacia aquellas áreas circundantes o funcionalmente conexas cuya afectación comprometería la operación de la sede institucional, como ocurriría con el cauce que bordea el perímetro de un centro administrativo.</w:t>
            </w:r>
          </w:p>
          <w:p w14:paraId="4CE55759" w14:textId="1BCDE611" w:rsidR="00E71868" w:rsidRPr="00E71868" w:rsidRDefault="00E71868" w:rsidP="00E71868">
            <w:pPr>
              <w:snapToGrid w:val="0"/>
              <w:spacing w:before="120" w:after="120" w:line="276" w:lineRule="auto"/>
              <w:ind w:firstLine="708"/>
              <w:jc w:val="both"/>
              <w:rPr>
                <w:rFonts w:ascii="Verdana" w:eastAsia="Times New Roman" w:hAnsi="Verdana" w:cs="Times New Roman"/>
                <w:lang w:eastAsia="es-MX"/>
              </w:rPr>
            </w:pPr>
            <w:r w:rsidRPr="00E71868">
              <w:rPr>
                <w:rFonts w:ascii="Verdana" w:eastAsia="Times New Roman" w:hAnsi="Verdana" w:cs="Times New Roman"/>
                <w:lang w:eastAsia="es-MX"/>
              </w:rPr>
              <w:t>Conforme con lo anterior, la expresión “en el ámbito del sector institucional” que cierra las actividades 5.1 a 5.4 debe leerse como un criterio de vinculación funcional y no como una exigencia de que la obra misma adopte la forma de una edificación o se realice sobre esta. Las obras de estabilización de taludes, remoción de derrumbes u obras hidráulicas para el manejo de inundaciones estarán comprendidas en el capítulo 5 de la Matriz cuando su ejecución esté orientada a la atención, prevención o mitigación de una emergencia que afecte, comprometa o ponga en riesgo la operación, la infraestructura física, los espacios funcionalmente conexos o la continuidad del servicio de una edificación o espacio clasificado dentro de los Subgrupos de Ocupación Institucional de Reclusión, Seguridad Pública o Servicio Público, esto es, cárceles, estaciones de policía o de bomberos, sedes administrativas, juzgados, centros de comunicación y demás edificaciones o espacios asimilables bajo el criterio restrictivo y funcional ya expuesto para la expresión “otros similares”.</w:t>
            </w:r>
          </w:p>
          <w:p w14:paraId="1554CB8C" w14:textId="77777777" w:rsidR="00E71868" w:rsidRPr="00E71868" w:rsidRDefault="00E71868" w:rsidP="00E71868">
            <w:pPr>
              <w:snapToGrid w:val="0"/>
              <w:spacing w:before="120" w:after="120" w:line="276" w:lineRule="auto"/>
              <w:ind w:firstLine="708"/>
              <w:jc w:val="both"/>
              <w:rPr>
                <w:rFonts w:ascii="Verdana" w:eastAsia="Times New Roman" w:hAnsi="Verdana" w:cs="Times New Roman"/>
                <w:lang w:eastAsia="es-MX"/>
              </w:rPr>
            </w:pPr>
            <w:r w:rsidRPr="00E71868">
              <w:rPr>
                <w:rFonts w:ascii="Verdana" w:eastAsia="Times New Roman" w:hAnsi="Verdana" w:cs="Times New Roman"/>
                <w:lang w:eastAsia="es-MX"/>
              </w:rPr>
              <w:t xml:space="preserve">De lo anterior se sigue que no resulta indispensable que la obra se ejecute estrictamente dentro de la edificación institucional, pero sí que exista una relación de destinación o de protección directa hacia esa infraestructura o hacia los espacios indispensables para su funcionamiento. Por ejemplo, la construcción de obras hidráulicas para contener el desbordamiento de una fuente hídrica que amenace la sede de una estación de bomberos, o la estabilización de un talud que compromete el acceso o la estructura de un centro administrativo municipal, encajarían dentro del alcance de las actividades 5.2 y 5.4. </w:t>
            </w:r>
          </w:p>
          <w:p w14:paraId="71118802" w14:textId="77777777" w:rsidR="00E71868" w:rsidRPr="00E71868" w:rsidRDefault="00E71868" w:rsidP="00E71868">
            <w:pPr>
              <w:snapToGrid w:val="0"/>
              <w:spacing w:before="120" w:after="120" w:line="276" w:lineRule="auto"/>
              <w:ind w:firstLine="708"/>
              <w:jc w:val="both"/>
              <w:rPr>
                <w:rFonts w:ascii="Verdana" w:eastAsia="Times New Roman" w:hAnsi="Verdana" w:cs="Times New Roman"/>
                <w:lang w:eastAsia="es-MX"/>
              </w:rPr>
            </w:pPr>
            <w:r w:rsidRPr="00E71868">
              <w:rPr>
                <w:rFonts w:ascii="Verdana" w:eastAsia="Times New Roman" w:hAnsi="Verdana" w:cs="Times New Roman"/>
                <w:lang w:eastAsia="es-MX"/>
              </w:rPr>
              <w:t xml:space="preserve">Por el contrario, aquellas obras civiles abiertas de carácter general, tales como el control de vertimientos, la recuperación de drenajes o el manejo de inundaciones concebidas como infraestructura de servicio público a escala municipal, sin conexión funcional con una edificación o espacio institucional </w:t>
            </w:r>
            <w:r w:rsidRPr="00E71868">
              <w:rPr>
                <w:rFonts w:ascii="Verdana" w:eastAsia="Times New Roman" w:hAnsi="Verdana" w:cs="Times New Roman"/>
                <w:lang w:eastAsia="es-MX"/>
              </w:rPr>
              <w:lastRenderedPageBreak/>
              <w:t>específico, no encuentran fundamento en el capítulo 5 de la Matriz 1 – Experiencia Sector Institucional, en la medida en que su objeto excede el propósito para el cual fue incorporado dicho capítulo, esto es, dar cumplimiento al diagnóstico sectorial de gestión del riesgo adelantado por la UNGRD respecto de los sectores agrupados bajo el sector institucional, y no la atención genérica de la gestión del riesgo de desastres a nivel territorial.</w:t>
            </w:r>
          </w:p>
          <w:p w14:paraId="489B9FE0" w14:textId="77777777" w:rsidR="00E71868" w:rsidRPr="00E71868" w:rsidRDefault="00E71868" w:rsidP="00E71868">
            <w:pPr>
              <w:spacing w:before="120" w:after="120" w:line="276" w:lineRule="auto"/>
              <w:ind w:firstLine="708"/>
              <w:jc w:val="both"/>
              <w:rPr>
                <w:rFonts w:ascii="Verdana" w:eastAsia="Times New Roman" w:hAnsi="Verdana" w:cs="Times New Roman"/>
                <w:lang w:eastAsia="es-MX"/>
              </w:rPr>
            </w:pPr>
            <w:r w:rsidRPr="00E71868">
              <w:rPr>
                <w:rFonts w:ascii="Verdana" w:eastAsia="Times New Roman" w:hAnsi="Verdana" w:cs="Times New Roman"/>
                <w:lang w:eastAsia="es-MX"/>
              </w:rPr>
              <w:t>En ese escenario, si la necesidad de contratación de la Entidad Estatal corresponde a obras civiles abiertas sin vinculación funcional a una infraestructura o espacio institucional en los términos señalados, dicha necesidad no se encuentra cubierta por el ámbito de aplicación de los documentos tipo del Sector Institucional, por lo que la Entidad deberá verificar si dicha necesidad se enmarca en algún otro documento tipo cuya adopción sea obligatoria de acuerdo con su objeto –considerando los parámetros establecidos en el punto uno (i) de este concepto–, y solo en ausencia de un documento tipo aplicable podrá estructurar su propio pliego de condiciones conforme a las reglas generales previstas en la Ley 80 de 1993 y la Ley 1150 de 2007.</w:t>
            </w:r>
          </w:p>
          <w:p w14:paraId="1551247A" w14:textId="77777777" w:rsidR="00E71868" w:rsidRPr="00E71868" w:rsidRDefault="00E71868" w:rsidP="00E71868">
            <w:pPr>
              <w:spacing w:line="276" w:lineRule="auto"/>
              <w:ind w:firstLine="708"/>
              <w:jc w:val="both"/>
              <w:rPr>
                <w:rFonts w:ascii="Verdana" w:eastAsia="Calibri" w:hAnsi="Verdana" w:cs="Arial"/>
                <w:color w:val="0D0D0D"/>
                <w:lang w:eastAsia="es-MX"/>
              </w:rPr>
            </w:pPr>
            <w:r w:rsidRPr="00E71868">
              <w:rPr>
                <w:rFonts w:ascii="Verdana" w:eastAsia="Calibri" w:hAnsi="Verdana" w:cs="Arial"/>
                <w:lang w:val="es-ES" w:eastAsia="es-MX"/>
              </w:rPr>
              <w:t xml:space="preserve">Por lo anterior, la Agencia Nacional de Contratación Pública – Colombia Compra Eficiente indica que, a partir del 16 de febrero de 2026, si una entidad de aquellas obligadas a utilizar los documentos tipo expedidos por esta Entidad adelanta un proceso que tenga por objeto la(s) actividad(es) contenidas en el capítulo “5. </w:t>
            </w:r>
            <w:r w:rsidRPr="00E71868">
              <w:rPr>
                <w:rFonts w:ascii="Verdana" w:eastAsia="Arial" w:hAnsi="Verdana" w:cs="Aptos"/>
                <w:lang w:eastAsia="es-ES"/>
              </w:rPr>
              <w:t>Obras para atención, prevención o mitigación de emergencias diferentes a contratación directa para el sector institucional</w:t>
            </w:r>
            <w:r w:rsidRPr="00E71868">
              <w:rPr>
                <w:rFonts w:ascii="Verdana" w:eastAsia="Calibri" w:hAnsi="Verdana" w:cs="Arial"/>
                <w:lang w:val="es-ES" w:eastAsia="es-MX"/>
              </w:rPr>
              <w:t>” de la Matriz 1 – Experiencia Sector Institucional</w:t>
            </w:r>
            <w:r w:rsidRPr="00E71868">
              <w:rPr>
                <w:rFonts w:ascii="Verdana" w:eastAsia="Times New Roman" w:hAnsi="Verdana" w:cs="Aptos"/>
                <w:lang w:eastAsia="es-MX"/>
              </w:rPr>
              <w:t xml:space="preserve">, </w:t>
            </w:r>
            <w:r w:rsidRPr="00E71868">
              <w:rPr>
                <w:rFonts w:ascii="Verdana" w:eastAsia="Calibri" w:hAnsi="Verdana" w:cs="Arial"/>
                <w:lang w:val="es-ES" w:eastAsia="es-MX"/>
              </w:rPr>
              <w:t xml:space="preserve">deberá implementar los </w:t>
            </w:r>
            <w:r w:rsidRPr="00E71868">
              <w:rPr>
                <w:rFonts w:ascii="Verdana" w:eastAsia="Calibri" w:hAnsi="Verdana" w:cs="Arial"/>
                <w:color w:val="0D0D0D"/>
                <w:lang w:eastAsia="es-MX"/>
              </w:rPr>
              <w:t>documentos tipo acogidos mediante las Resoluciones 539, 540 o 541 de 2025, según el proyecto se adelante por la modalidad de licitación de obra pública, selección abreviada de menor cuantía o mínima cuantía.</w:t>
            </w:r>
          </w:p>
          <w:p w14:paraId="64F11676" w14:textId="77777777" w:rsidR="00E71868" w:rsidRPr="00E71868" w:rsidRDefault="00E71868" w:rsidP="00E71868">
            <w:pPr>
              <w:spacing w:line="276" w:lineRule="auto"/>
              <w:jc w:val="both"/>
              <w:rPr>
                <w:rFonts w:ascii="Verdana" w:eastAsia="Calibri" w:hAnsi="Verdana" w:cs="Times New Roman"/>
                <w:lang w:val="es-ES" w:eastAsia="es-MX"/>
              </w:rPr>
            </w:pPr>
          </w:p>
          <w:p w14:paraId="0FF7AB46" w14:textId="44FFD61E" w:rsidR="00E71868" w:rsidRPr="00E71868" w:rsidRDefault="00E71868" w:rsidP="00E71868">
            <w:pPr>
              <w:spacing w:line="276" w:lineRule="auto"/>
              <w:jc w:val="both"/>
              <w:rPr>
                <w:rFonts w:ascii="Verdana" w:eastAsia="Aptos" w:hAnsi="Verdana" w:cs="Aptos"/>
              </w:rPr>
            </w:pPr>
            <w:r w:rsidRPr="00E71868">
              <w:rPr>
                <w:rFonts w:ascii="Verdana" w:eastAsia="Aptos" w:hAnsi="Verdana" w:cs="Aptos"/>
              </w:rPr>
              <w:t xml:space="preserve">Sin perjuicio de las aclaraciones anteriores, debe advertirse que es la entidad contratante, al momento de adelantar sus actividades de planeación de cada proceso contractual, quien debe determinar si de acuerdo con las particularidades del contrato a ejecutar, este encaja o no dentro de alguna de las actividades de la matriz 1 de cada documento tipo, y si en consecuencia deben aplicarse o no determinados documentos tipo, conforme a los parámetros indicados en este concepto. Lo anterior sin que pueda apartarse </w:t>
            </w:r>
            <w:r w:rsidRPr="00E71868">
              <w:rPr>
                <w:rFonts w:ascii="Verdana" w:eastAsia="Aptos" w:hAnsi="Verdana" w:cs="Aptos"/>
              </w:rPr>
              <w:lastRenderedPageBreak/>
              <w:t xml:space="preserve">de su aplicación cuando materialmente el objeto a contratar corresponde con alguna actividad de contemplada en dicha matriz.  </w:t>
            </w:r>
            <w:r w:rsidRPr="00E71868">
              <w:rPr>
                <w:rFonts w:ascii="Verdana" w:eastAsia="Calibri" w:hAnsi="Verdana" w:cs="Arial"/>
                <w:bCs/>
                <w:color w:val="000000"/>
                <w:lang w:eastAsia="es-MX"/>
              </w:rPr>
              <w:t xml:space="preserve"> </w:t>
            </w:r>
          </w:p>
        </w:tc>
      </w:tr>
    </w:tbl>
    <w:p w14:paraId="5DE5CCA1" w14:textId="77777777" w:rsidR="00E71868" w:rsidRPr="00E71868" w:rsidRDefault="00E71868" w:rsidP="00E71868">
      <w:pPr>
        <w:tabs>
          <w:tab w:val="left" w:pos="142"/>
          <w:tab w:val="left" w:pos="284"/>
        </w:tabs>
        <w:spacing w:after="0" w:line="276" w:lineRule="auto"/>
        <w:jc w:val="both"/>
        <w:rPr>
          <w:rFonts w:ascii="Verdana" w:eastAsia="Century Gothic" w:hAnsi="Verdana" w:cs="Century Gothic"/>
          <w:b/>
          <w:bCs/>
          <w:lang w:val="es-ES" w:eastAsia="es-MX"/>
        </w:rPr>
      </w:pPr>
    </w:p>
    <w:p w14:paraId="53E82816" w14:textId="77777777" w:rsidR="00E71868" w:rsidRPr="00E71868" w:rsidRDefault="00E71868" w:rsidP="00E71868">
      <w:pPr>
        <w:tabs>
          <w:tab w:val="left" w:pos="142"/>
          <w:tab w:val="left" w:pos="284"/>
        </w:tabs>
        <w:spacing w:after="0" w:line="276" w:lineRule="auto"/>
        <w:jc w:val="both"/>
        <w:rPr>
          <w:rFonts w:ascii="Verdana" w:eastAsia="Century Gothic" w:hAnsi="Verdana" w:cs="Century Gothic"/>
          <w:b/>
          <w:bCs/>
          <w:lang w:val="es-ES" w:eastAsia="es-MX"/>
        </w:rPr>
      </w:pPr>
      <w:r w:rsidRPr="00E71868">
        <w:rPr>
          <w:rFonts w:ascii="Verdana" w:eastAsia="Century Gothic" w:hAnsi="Verdana" w:cs="Century Gothic"/>
          <w:b/>
          <w:bCs/>
          <w:lang w:val="es-ES" w:eastAsia="es-MX"/>
        </w:rPr>
        <w:t>3. Razones de la respuesta:</w:t>
      </w:r>
    </w:p>
    <w:p w14:paraId="0C56A78A" w14:textId="77777777" w:rsidR="00E71868" w:rsidRPr="00E71868" w:rsidRDefault="00E71868" w:rsidP="00E71868">
      <w:pPr>
        <w:spacing w:after="0" w:line="276" w:lineRule="auto"/>
        <w:jc w:val="both"/>
        <w:rPr>
          <w:rFonts w:ascii="Verdana" w:eastAsia="Calibri" w:hAnsi="Verdana" w:cs="Arial"/>
          <w:lang w:val="es-ES" w:eastAsia="es-MX"/>
        </w:rPr>
      </w:pPr>
    </w:p>
    <w:p w14:paraId="736620E9" w14:textId="77777777" w:rsidR="00E71868" w:rsidRPr="00E71868" w:rsidRDefault="00E71868" w:rsidP="00E71868">
      <w:pPr>
        <w:spacing w:after="0" w:line="276" w:lineRule="auto"/>
        <w:jc w:val="both"/>
        <w:rPr>
          <w:rFonts w:ascii="Verdana" w:eastAsia="Calibri" w:hAnsi="Verdana" w:cs="Arial"/>
          <w:lang w:val="es-ES" w:eastAsia="es-MX"/>
        </w:rPr>
      </w:pPr>
      <w:r w:rsidRPr="00E71868">
        <w:rPr>
          <w:rFonts w:ascii="Verdana" w:eastAsia="Calibri" w:hAnsi="Verdana" w:cs="Arial"/>
          <w:lang w:val="es-ES" w:eastAsia="es-MX"/>
        </w:rPr>
        <w:t xml:space="preserve">Lo anterior se sustenta en las siguientes consideraciones: </w:t>
      </w:r>
    </w:p>
    <w:p w14:paraId="30098B4C" w14:textId="77777777" w:rsidR="00E71868" w:rsidRPr="00E71868" w:rsidRDefault="00E71868" w:rsidP="00E71868">
      <w:pPr>
        <w:spacing w:after="0" w:line="276" w:lineRule="auto"/>
        <w:jc w:val="both"/>
        <w:rPr>
          <w:rFonts w:ascii="Verdana" w:eastAsia="Calibri" w:hAnsi="Verdana" w:cs="Arial"/>
          <w:lang w:val="es-ES" w:eastAsia="es-MX"/>
        </w:rPr>
      </w:pPr>
    </w:p>
    <w:p w14:paraId="7931B7CD" w14:textId="77777777" w:rsidR="00E71868" w:rsidRPr="00E71868" w:rsidRDefault="00E71868" w:rsidP="00E71868">
      <w:pPr>
        <w:snapToGrid w:val="0"/>
        <w:spacing w:after="120" w:line="276" w:lineRule="auto"/>
        <w:jc w:val="both"/>
        <w:rPr>
          <w:rFonts w:ascii="Verdana" w:eastAsia="Aptos" w:hAnsi="Verdana" w:cs="Arial"/>
          <w:lang w:eastAsia="es-MX"/>
        </w:rPr>
      </w:pPr>
      <w:r w:rsidRPr="00E71868">
        <w:rPr>
          <w:rFonts w:ascii="Verdana" w:eastAsia="Aptos" w:hAnsi="Verdana" w:cs="Arial"/>
          <w:lang w:eastAsia="es-MX"/>
        </w:rPr>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03652179" w14:textId="77777777" w:rsidR="00E71868" w:rsidRPr="00E71868" w:rsidRDefault="00E71868" w:rsidP="00E71868">
      <w:pPr>
        <w:snapToGrid w:val="0"/>
        <w:spacing w:after="120" w:line="276" w:lineRule="auto"/>
        <w:ind w:firstLine="708"/>
        <w:jc w:val="both"/>
        <w:rPr>
          <w:rFonts w:ascii="Verdana" w:eastAsia="Aptos" w:hAnsi="Verdana" w:cs="Arial"/>
          <w:lang w:eastAsia="es-MX"/>
        </w:rPr>
      </w:pPr>
      <w:r w:rsidRPr="00E71868">
        <w:rPr>
          <w:rFonts w:ascii="Verdana" w:eastAsia="Aptos" w:hAnsi="Verdana" w:cs="Arial"/>
          <w:lang w:val="es-ES" w:eastAsia="es-MX"/>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59C1C4F2" w14:textId="77777777" w:rsidR="00E71868" w:rsidRPr="00E71868" w:rsidRDefault="00E71868" w:rsidP="00E71868">
      <w:pPr>
        <w:spacing w:after="120" w:line="276" w:lineRule="auto"/>
        <w:ind w:firstLine="708"/>
        <w:jc w:val="both"/>
        <w:rPr>
          <w:rFonts w:ascii="Verdana" w:eastAsia="Times New Roman" w:hAnsi="Verdana" w:cs="Times New Roman"/>
          <w:color w:val="000000"/>
          <w:lang w:eastAsia="es-CO"/>
        </w:rPr>
      </w:pPr>
      <w:r w:rsidRPr="00E71868">
        <w:rPr>
          <w:rFonts w:ascii="Verdana" w:eastAsia="Aptos" w:hAnsi="Verdana" w:cs="Arial"/>
          <w:lang w:eastAsia="es-MX"/>
        </w:rPr>
        <w:t xml:space="preserve">En el sector social, </w:t>
      </w:r>
      <w:r w:rsidRPr="00E71868">
        <w:rPr>
          <w:rFonts w:ascii="Verdana" w:eastAsia="Calibri" w:hAnsi="Verdana" w:cs="Arial"/>
          <w:lang w:val="es-MX" w:eastAsia="es-MX"/>
        </w:rPr>
        <w:t xml:space="preserve">la Agencia Nacional de Contratación Pública – Colombia Compra </w:t>
      </w:r>
      <w:r w:rsidRPr="00E71868">
        <w:rPr>
          <w:rFonts w:ascii="Verdana" w:eastAsia="Calibri" w:hAnsi="Verdana" w:cs="Arial"/>
          <w:lang w:eastAsia="es-MX"/>
        </w:rPr>
        <w:t xml:space="preserve">Eficiente </w:t>
      </w:r>
      <w:r w:rsidRPr="00E71868">
        <w:rPr>
          <w:rFonts w:ascii="Verdana" w:eastAsia="Times New Roman" w:hAnsi="Verdana" w:cs="Times New Roman"/>
          <w:color w:val="000000"/>
          <w:lang w:eastAsia="es-CO"/>
        </w:rPr>
        <w:t>en el segundo semestre del año 2025 adoptó las siguientes Resoluciones para contratar obra pública y concursos de méritos:</w:t>
      </w:r>
    </w:p>
    <w:p w14:paraId="79AD5546" w14:textId="77777777" w:rsidR="00E71868" w:rsidRPr="00E71868" w:rsidRDefault="00E71868" w:rsidP="00E71868">
      <w:pPr>
        <w:spacing w:after="120" w:line="276" w:lineRule="auto"/>
        <w:ind w:firstLine="708"/>
        <w:jc w:val="both"/>
        <w:rPr>
          <w:rFonts w:ascii="Verdana" w:eastAsia="Times New Roman" w:hAnsi="Verdana" w:cs="Times New Roman"/>
          <w:color w:val="000000"/>
          <w:lang w:eastAsia="es-CO"/>
        </w:rPr>
      </w:pPr>
      <w:r w:rsidRPr="00E71868">
        <w:rPr>
          <w:rFonts w:ascii="Verdana" w:eastAsia="Times New Roman" w:hAnsi="Verdana" w:cs="Times New Roman"/>
          <w:color w:val="000000"/>
          <w:lang w:eastAsia="es-CO"/>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09AD44B6" w14:textId="77777777" w:rsidR="00E71868" w:rsidRPr="00E71868" w:rsidRDefault="00E71868" w:rsidP="00E71868">
      <w:pPr>
        <w:spacing w:after="120" w:line="276" w:lineRule="auto"/>
        <w:ind w:firstLine="708"/>
        <w:jc w:val="both"/>
        <w:rPr>
          <w:rFonts w:ascii="Verdana" w:eastAsia="Times New Roman" w:hAnsi="Verdana" w:cs="Times New Roman"/>
          <w:color w:val="000000"/>
          <w:lang w:eastAsia="es-CO"/>
        </w:rPr>
      </w:pPr>
      <w:r w:rsidRPr="00E71868">
        <w:rPr>
          <w:rFonts w:ascii="Verdana" w:eastAsia="Times New Roman" w:hAnsi="Verdana" w:cs="Times New Roman"/>
          <w:color w:val="000000"/>
          <w:lang w:eastAsia="es-CO"/>
        </w:rPr>
        <w:lastRenderedPageBreak/>
        <w:t xml:space="preserve"> </w:t>
      </w:r>
      <w:proofErr w:type="spellStart"/>
      <w:r w:rsidRPr="00E71868">
        <w:rPr>
          <w:rFonts w:ascii="Verdana" w:eastAsia="Times New Roman" w:hAnsi="Verdana" w:cs="Times New Roman"/>
          <w:color w:val="000000"/>
          <w:lang w:eastAsia="es-CO"/>
        </w:rPr>
        <w:t>ii</w:t>
      </w:r>
      <w:proofErr w:type="spellEnd"/>
      <w:r w:rsidRPr="00E71868">
        <w:rPr>
          <w:rFonts w:ascii="Verdana" w:eastAsia="Times New Roman" w:hAnsi="Verdana" w:cs="Times New Roman"/>
          <w:color w:val="000000"/>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5731AB58" w14:textId="77777777" w:rsidR="00E71868" w:rsidRPr="00E71868" w:rsidRDefault="00E71868" w:rsidP="00E71868">
      <w:pPr>
        <w:spacing w:after="120" w:line="276" w:lineRule="auto"/>
        <w:ind w:firstLine="708"/>
        <w:jc w:val="both"/>
        <w:rPr>
          <w:rFonts w:ascii="Verdana" w:eastAsia="Times New Roman" w:hAnsi="Verdana" w:cs="Times New Roman"/>
          <w:color w:val="000000"/>
          <w:lang w:eastAsia="es-CO"/>
        </w:rPr>
      </w:pPr>
      <w:proofErr w:type="spellStart"/>
      <w:r w:rsidRPr="00E71868">
        <w:rPr>
          <w:rFonts w:ascii="Verdana" w:eastAsia="Times New Roman" w:hAnsi="Verdana" w:cs="Times New Roman"/>
          <w:color w:val="000000"/>
          <w:lang w:eastAsia="es-CO"/>
        </w:rPr>
        <w:t>iii</w:t>
      </w:r>
      <w:proofErr w:type="spellEnd"/>
      <w:r w:rsidRPr="00E71868">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278735C6" w14:textId="77777777" w:rsidR="00E71868" w:rsidRPr="00E71868" w:rsidRDefault="00E71868" w:rsidP="00E71868">
      <w:pPr>
        <w:spacing w:after="120" w:line="276" w:lineRule="auto"/>
        <w:ind w:firstLine="708"/>
        <w:jc w:val="both"/>
        <w:rPr>
          <w:rFonts w:ascii="Verdana" w:eastAsia="Times New Roman" w:hAnsi="Verdana" w:cs="Times New Roman"/>
          <w:color w:val="000000"/>
          <w:lang w:eastAsia="es-CO"/>
        </w:rPr>
      </w:pPr>
      <w:proofErr w:type="spellStart"/>
      <w:r w:rsidRPr="00E71868">
        <w:rPr>
          <w:rFonts w:ascii="Verdana" w:eastAsia="Times New Roman" w:hAnsi="Verdana" w:cs="Times New Roman"/>
          <w:color w:val="000000"/>
          <w:lang w:eastAsia="es-CO"/>
        </w:rPr>
        <w:t>iv</w:t>
      </w:r>
      <w:proofErr w:type="spellEnd"/>
      <w:r w:rsidRPr="00E71868">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0926A880" w14:textId="77777777" w:rsidR="00E71868" w:rsidRPr="00E71868" w:rsidRDefault="00E71868" w:rsidP="00E71868">
      <w:pPr>
        <w:spacing w:after="120" w:line="276" w:lineRule="auto"/>
        <w:ind w:firstLine="708"/>
        <w:jc w:val="both"/>
        <w:rPr>
          <w:rFonts w:ascii="Verdana" w:eastAsia="Times New Roman" w:hAnsi="Verdana" w:cs="Times New Roman"/>
          <w:color w:val="000000"/>
          <w:lang w:eastAsia="es-CO"/>
        </w:rPr>
      </w:pPr>
      <w:r w:rsidRPr="00E71868">
        <w:rPr>
          <w:rFonts w:ascii="Verdana" w:eastAsia="Times New Roman" w:hAnsi="Verdana" w:cs="Times New Roman"/>
          <w:color w:val="000000"/>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E71868">
        <w:rPr>
          <w:rFonts w:ascii="Verdana" w:eastAsia="Aptos" w:hAnsi="Verdana" w:cs="Times New Roman"/>
          <w:lang w:eastAsia="es-MX"/>
        </w:rPr>
        <w:t xml:space="preserve"> </w:t>
      </w:r>
    </w:p>
    <w:p w14:paraId="2B1AF97D" w14:textId="77777777" w:rsidR="00E71868" w:rsidRPr="00E71868" w:rsidRDefault="00E71868" w:rsidP="00E71868">
      <w:pPr>
        <w:widowControl w:val="0"/>
        <w:autoSpaceDE w:val="0"/>
        <w:autoSpaceDN w:val="0"/>
        <w:spacing w:after="120" w:line="276" w:lineRule="auto"/>
        <w:ind w:firstLine="708"/>
        <w:jc w:val="both"/>
        <w:rPr>
          <w:rFonts w:ascii="Verdana" w:eastAsia="Aptos" w:hAnsi="Verdana" w:cs="Times New Roman"/>
          <w:lang w:eastAsia="es-MX"/>
        </w:rPr>
      </w:pPr>
      <w:r w:rsidRPr="00E71868">
        <w:rPr>
          <w:rFonts w:ascii="Verdana" w:eastAsia="Aptos" w:hAnsi="Verdana" w:cs="Times New Roman"/>
          <w:lang w:eastAsia="es-MX"/>
        </w:rPr>
        <w:t>De acuerdo con el artículo tercero de las Resoluciones 539, 540, 541, 952 y 953 de 2025, los documentos tipo que estas adoptan son de carácter obligatorio en la actividad contractual de las Entidades Estatales sometidas al Estatuto General de Contratación de la Administración Pública. Asimismo, su aplicación es exigible a los patrimonios autónomos y a las personas naturales o jurídicas de derecho público que, por mandato legal, estén obligadas a su implementación.</w:t>
      </w:r>
    </w:p>
    <w:p w14:paraId="44E1F2B9" w14:textId="77777777" w:rsidR="00E71868" w:rsidRPr="00E71868" w:rsidRDefault="00E71868" w:rsidP="00E71868">
      <w:pPr>
        <w:spacing w:after="120" w:line="276" w:lineRule="auto"/>
        <w:ind w:firstLine="708"/>
        <w:jc w:val="both"/>
        <w:textAlignment w:val="baseline"/>
        <w:rPr>
          <w:rFonts w:ascii="Verdana" w:eastAsia="Calibri" w:hAnsi="Verdana" w:cs="Arial"/>
          <w:lang w:eastAsia="es-MX"/>
        </w:rPr>
      </w:pPr>
      <w:r w:rsidRPr="00E71868">
        <w:rPr>
          <w:rFonts w:ascii="Verdana" w:eastAsia="Aptos" w:hAnsi="Verdana" w:cs="Times New Roman"/>
          <w:lang w:eastAsia="es-MX"/>
        </w:rPr>
        <w:t xml:space="preserve">Las Resoluciones 539, 540 y 541 del 21 de agosto de 2025, así como las Resoluciones 952 y 953 del 15 de diciembre de 2025, adoptadas en el sector de </w:t>
      </w:r>
      <w:r w:rsidRPr="00E71868">
        <w:rPr>
          <w:rFonts w:ascii="Verdana" w:eastAsia="Aptos" w:hAnsi="Verdana" w:cs="Times New Roman"/>
          <w:lang w:eastAsia="es-MX"/>
        </w:rPr>
        <w:lastRenderedPageBreak/>
        <w:t>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r w:rsidRPr="00E71868">
        <w:rPr>
          <w:rFonts w:ascii="Verdana" w:eastAsia="Calibri" w:hAnsi="Verdana" w:cs="Arial"/>
          <w:vertAlign w:val="superscript"/>
          <w:lang w:eastAsia="es-MX"/>
        </w:rPr>
        <w:footnoteReference w:id="9"/>
      </w:r>
      <w:r w:rsidRPr="00E71868">
        <w:rPr>
          <w:rFonts w:ascii="Verdana" w:eastAsia="Calibri" w:hAnsi="Verdana" w:cs="Arial"/>
          <w:lang w:eastAsia="es-MX"/>
        </w:rPr>
        <w:t>.</w:t>
      </w:r>
    </w:p>
    <w:p w14:paraId="2B297388" w14:textId="77777777" w:rsidR="00E71868" w:rsidRPr="00E71868" w:rsidRDefault="00E71868" w:rsidP="00E71868">
      <w:pPr>
        <w:widowControl w:val="0"/>
        <w:autoSpaceDE w:val="0"/>
        <w:autoSpaceDN w:val="0"/>
        <w:spacing w:after="120" w:line="276" w:lineRule="auto"/>
        <w:ind w:firstLine="708"/>
        <w:jc w:val="both"/>
        <w:rPr>
          <w:rFonts w:ascii="Verdana" w:eastAsia="Calibri" w:hAnsi="Verdana" w:cs="Times New Roman"/>
          <w:lang w:val="es-ES" w:eastAsia="es-MX"/>
        </w:rPr>
      </w:pPr>
      <w:r w:rsidRPr="00E71868">
        <w:rPr>
          <w:rFonts w:ascii="Verdana" w:eastAsia="Calibri" w:hAnsi="Verdana" w:cs="Times New Roman"/>
          <w:lang w:val="es-ES" w:eastAsia="es-MX"/>
        </w:rPr>
        <w:t xml:space="preserve">Es importante resaltar que, en virtud de la regla de inalterabilidad, los documentos tipo solo pueden ser modificados en los aspectos en que estos lo permitan. Esto corresponde a aquellos que se encuentran entre corchetes y resaltados en gris </w:t>
      </w:r>
      <w:r w:rsidRPr="00E71868">
        <w:rPr>
          <w:rFonts w:ascii="Verdana" w:eastAsia="Calibri" w:hAnsi="Verdana" w:cs="Times New Roman"/>
          <w:shd w:val="clear" w:color="auto" w:fill="E8E8E8"/>
          <w:lang w:val="es-ES" w:eastAsia="es-MX"/>
        </w:rPr>
        <w:t>–[texto]–,</w:t>
      </w:r>
      <w:r w:rsidRPr="00E71868">
        <w:rPr>
          <w:rFonts w:ascii="Verdana" w:eastAsia="Calibri" w:hAnsi="Verdana" w:cs="Times New Roman"/>
          <w:lang w:val="es-ES" w:eastAsia="es-MX"/>
        </w:rPr>
        <w:t xml:space="preserve"> para lo cual deberán observarse las instrucciones contenidas en los mismos para su diligenciamiento.</w:t>
      </w:r>
    </w:p>
    <w:p w14:paraId="7041F774" w14:textId="77777777" w:rsidR="00E71868" w:rsidRPr="00E71868" w:rsidRDefault="00E71868" w:rsidP="00E71868">
      <w:pPr>
        <w:widowControl w:val="0"/>
        <w:autoSpaceDE w:val="0"/>
        <w:autoSpaceDN w:val="0"/>
        <w:spacing w:after="120" w:line="276" w:lineRule="auto"/>
        <w:ind w:firstLine="708"/>
        <w:jc w:val="both"/>
        <w:rPr>
          <w:rFonts w:ascii="Verdana" w:eastAsia="Calibri" w:hAnsi="Verdana" w:cs="Times New Roman"/>
          <w:lang w:val="es-ES" w:eastAsia="es-MX"/>
        </w:rPr>
      </w:pPr>
      <w:r w:rsidRPr="00E71868">
        <w:rPr>
          <w:rFonts w:ascii="Verdana" w:eastAsia="Calibri" w:hAnsi="Verdana" w:cs="Times New Roman"/>
          <w:lang w:val="es-ES" w:eastAsia="es-MX"/>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w:t>
      </w:r>
      <w:r w:rsidRPr="00E71868">
        <w:rPr>
          <w:rFonts w:ascii="Verdana" w:eastAsia="Calibri" w:hAnsi="Verdana" w:cs="Times New Roman"/>
          <w:lang w:val="es-ES" w:eastAsia="es-MX"/>
        </w:rPr>
        <w:lastRenderedPageBreak/>
        <w:t xml:space="preserve">alteración. </w:t>
      </w:r>
    </w:p>
    <w:p w14:paraId="2DBF0F2F" w14:textId="77777777" w:rsidR="00E71868" w:rsidRPr="00E71868" w:rsidRDefault="00E71868" w:rsidP="00E71868">
      <w:pPr>
        <w:widowControl w:val="0"/>
        <w:autoSpaceDE w:val="0"/>
        <w:autoSpaceDN w:val="0"/>
        <w:spacing w:after="120" w:line="276" w:lineRule="auto"/>
        <w:ind w:firstLine="708"/>
        <w:jc w:val="both"/>
        <w:rPr>
          <w:rFonts w:ascii="Verdana" w:eastAsia="Calibri" w:hAnsi="Verdana" w:cs="Times New Roman"/>
          <w:lang w:val="es-ES" w:eastAsia="es-MX"/>
        </w:rPr>
      </w:pPr>
      <w:r w:rsidRPr="00E71868">
        <w:rPr>
          <w:rFonts w:ascii="Verdana" w:eastAsia="Calibri" w:hAnsi="Verdana" w:cs="Times New Roman"/>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15B64316" w14:textId="77777777" w:rsidR="00E71868" w:rsidRPr="00E71868" w:rsidRDefault="00E71868" w:rsidP="00E71868">
      <w:pPr>
        <w:widowControl w:val="0"/>
        <w:autoSpaceDE w:val="0"/>
        <w:autoSpaceDN w:val="0"/>
        <w:spacing w:after="120" w:line="276" w:lineRule="auto"/>
        <w:ind w:firstLine="708"/>
        <w:jc w:val="both"/>
        <w:rPr>
          <w:rFonts w:ascii="Verdana" w:eastAsia="Calibri" w:hAnsi="Verdana" w:cs="Times New Roman"/>
          <w:lang w:val="es-ES" w:eastAsia="es-MX"/>
        </w:rPr>
      </w:pPr>
      <w:r w:rsidRPr="00E71868">
        <w:rPr>
          <w:rFonts w:ascii="Verdana" w:eastAsia="Calibri" w:hAnsi="Verdana" w:cs="Times New Roman"/>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0C3861A3" w14:textId="77777777" w:rsidR="00E71868" w:rsidRPr="00E71868" w:rsidRDefault="00E71868" w:rsidP="00E71868">
      <w:pPr>
        <w:widowControl w:val="0"/>
        <w:autoSpaceDE w:val="0"/>
        <w:autoSpaceDN w:val="0"/>
        <w:spacing w:after="120" w:line="276" w:lineRule="auto"/>
        <w:ind w:firstLine="708"/>
        <w:jc w:val="both"/>
        <w:rPr>
          <w:rFonts w:ascii="Verdana" w:eastAsia="Calibri" w:hAnsi="Verdana" w:cs="Times New Roman"/>
          <w:lang w:val="es-ES" w:eastAsia="es-MX"/>
        </w:rPr>
      </w:pPr>
      <w:r w:rsidRPr="00E71868">
        <w:rPr>
          <w:rFonts w:ascii="Verdana" w:eastAsia="Calibri" w:hAnsi="Verdana" w:cs="Times New Roman"/>
          <w:lang w:val="es-ES" w:eastAsia="es-MX"/>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6A0657FE" w14:textId="77777777" w:rsidR="00E71868" w:rsidRPr="00E71868" w:rsidRDefault="00E71868" w:rsidP="00E71868">
      <w:pPr>
        <w:widowControl w:val="0"/>
        <w:autoSpaceDE w:val="0"/>
        <w:autoSpaceDN w:val="0"/>
        <w:spacing w:after="0" w:line="276" w:lineRule="auto"/>
        <w:ind w:firstLine="708"/>
        <w:jc w:val="both"/>
        <w:rPr>
          <w:rFonts w:ascii="Verdana" w:eastAsia="Calibri" w:hAnsi="Verdana" w:cs="Times New Roman"/>
          <w:lang w:val="es-ES" w:eastAsia="es-MX"/>
        </w:rPr>
      </w:pPr>
      <w:r w:rsidRPr="00E71868">
        <w:rPr>
          <w:rFonts w:ascii="Verdana" w:eastAsia="Calibri" w:hAnsi="Verdana" w:cs="Times New Roman"/>
          <w:lang w:val="es-ES" w:eastAsia="es-MX"/>
        </w:rPr>
        <w:t>De esta manera, para saber a qué actividades deben aplicarse los documentos tipo de licitación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106AAACE" w14:textId="77777777" w:rsidR="00E71868" w:rsidRPr="00E71868" w:rsidRDefault="00E71868" w:rsidP="00E71868">
      <w:pPr>
        <w:widowControl w:val="0"/>
        <w:autoSpaceDE w:val="0"/>
        <w:autoSpaceDN w:val="0"/>
        <w:spacing w:after="0" w:line="276" w:lineRule="auto"/>
        <w:ind w:firstLine="708"/>
        <w:jc w:val="both"/>
        <w:rPr>
          <w:rFonts w:ascii="Verdana" w:eastAsia="Calibri" w:hAnsi="Verdana" w:cs="Times New Roman"/>
          <w:lang w:val="es-ES" w:eastAsia="es-MX"/>
        </w:rPr>
      </w:pPr>
    </w:p>
    <w:p w14:paraId="67275A27" w14:textId="77777777" w:rsidR="00E71868" w:rsidRPr="00E71868" w:rsidRDefault="00E71868" w:rsidP="00E71868">
      <w:pPr>
        <w:spacing w:after="0" w:line="276" w:lineRule="auto"/>
        <w:jc w:val="both"/>
        <w:rPr>
          <w:rFonts w:ascii="Verdana" w:eastAsia="Calibri" w:hAnsi="Verdana" w:cs="Times New Roman"/>
          <w:lang w:val="es-ES" w:eastAsia="es-MX"/>
        </w:rPr>
      </w:pPr>
      <w:proofErr w:type="spellStart"/>
      <w:r w:rsidRPr="00E71868">
        <w:rPr>
          <w:rFonts w:ascii="Verdana" w:eastAsia="Calibri" w:hAnsi="Verdana" w:cs="Times New Roman"/>
          <w:lang w:val="es-ES" w:eastAsia="es-MX"/>
        </w:rPr>
        <w:lastRenderedPageBreak/>
        <w:t>ii</w:t>
      </w:r>
      <w:proofErr w:type="spellEnd"/>
      <w:r w:rsidRPr="00E71868">
        <w:rPr>
          <w:rFonts w:ascii="Verdana" w:eastAsia="Calibri" w:hAnsi="Verdana" w:cs="Times New Roman"/>
          <w:lang w:val="es-ES" w:eastAsia="es-MX"/>
        </w:rPr>
        <w:t xml:space="preserve">. El artículo 17 de la Resolución 539 de 2025 adoptó los documentos tipo complementarios para los procesos de licitación de obra pública de infraestructura social relacionados con el sector Institucional. Por su parte, mediante el artículo 16 de la Resolución 540 de 2025, se acogieron los documentos tipo complementarios para los procesos de selección abreviada de menor cuantía de obra pública de infraestructura social relacionados con el sector Institucional. Lo propio se hizo mediante el artículo 16 de la Resolución 541 de 2025, a través del cual se adoptó los documentos tipo complementarios para los procesos de mínima cuantía de obra pública de infraestructura social relacionados con el sector Institucional. </w:t>
      </w:r>
    </w:p>
    <w:p w14:paraId="6BBA88A5" w14:textId="77777777" w:rsidR="00E71868" w:rsidRPr="00E71868" w:rsidRDefault="00E71868" w:rsidP="00E71868">
      <w:pPr>
        <w:spacing w:after="120" w:line="276" w:lineRule="auto"/>
        <w:jc w:val="both"/>
        <w:rPr>
          <w:rFonts w:ascii="Verdana" w:eastAsia="Calibri" w:hAnsi="Verdana" w:cs="Times New Roman"/>
          <w:lang w:val="es-ES" w:eastAsia="es-MX"/>
        </w:rPr>
      </w:pPr>
      <w:r w:rsidRPr="00E71868">
        <w:rPr>
          <w:rFonts w:ascii="Verdana" w:eastAsia="Calibri" w:hAnsi="Verdana" w:cs="Times New Roman"/>
          <w:lang w:val="es-ES" w:eastAsia="es-MX"/>
        </w:rPr>
        <w:tab/>
        <w:t xml:space="preserve">De acuerdo con los artículos 17 y 16 –respectivamente, de las resoluciones señaladas–, los documentos tipo que estas adoptan contienen parámetros obligatorios para las entidades estatales que realicen procedimientos de licitación pública, selección abreviada de menor cuantía o mínima cuantía, para celebrar contratos de obra relacionados con infraestructura institucional, cuando las actividades que pretendan contratar se encuentren contenidas en la Matriz – Experiencia Sector Institucional. </w:t>
      </w:r>
    </w:p>
    <w:p w14:paraId="6E191328" w14:textId="77777777" w:rsidR="00E71868" w:rsidRPr="00E71868" w:rsidRDefault="00E71868" w:rsidP="00E71868">
      <w:pPr>
        <w:spacing w:after="0" w:line="276" w:lineRule="auto"/>
        <w:ind w:firstLine="708"/>
        <w:jc w:val="both"/>
        <w:rPr>
          <w:rFonts w:ascii="Verdana" w:eastAsia="Calibri" w:hAnsi="Verdana" w:cs="Times New Roman"/>
          <w:lang w:eastAsia="es-MX"/>
        </w:rPr>
      </w:pPr>
      <w:r w:rsidRPr="00E71868">
        <w:rPr>
          <w:rFonts w:ascii="Verdana" w:eastAsia="Times New Roman" w:hAnsi="Verdana" w:cs="Times New Roman"/>
          <w:color w:val="000000"/>
          <w:lang w:eastAsia="es-CO"/>
        </w:rPr>
        <w:t>En los documentos tipo complementarios del sector Institucional, en la modalidad de licitación pública, selección abreviada de menor cuantía y mínima cuantía, en la Matriz 1 se encuentran los siguientes tipos de infraestructura:</w:t>
      </w:r>
      <w:r w:rsidRPr="00E71868">
        <w:rPr>
          <w:rFonts w:ascii="Times New Roman" w:eastAsia="Arial" w:hAnsi="Times New Roman" w:cs="Aptos"/>
          <w:lang w:eastAsia="es-ES"/>
        </w:rPr>
        <w:t xml:space="preserve"> </w:t>
      </w:r>
      <w:r w:rsidRPr="00E71868">
        <w:rPr>
          <w:rFonts w:ascii="Verdana" w:eastAsia="Arial" w:hAnsi="Verdana" w:cs="Aptos"/>
          <w:lang w:eastAsia="es-ES"/>
        </w:rPr>
        <w:t>“1) OBRAS EN PROYECTOS DE INFRAESTRUCTURA INSTITUCIONAL DE SEGURIDAD PUBLICA, 2) OBRAS EN PROYECTOS DE INFRAESTRUCTURA INSTITUCIONAL DE SERVICIO PÚBLICO, 3) OBRAS EN PROYECTOS DE INFRAESTRUCTURA INSTITUCIONAL - SITIOS DE RECLUSIÓN, 4) OBRAS EN VÍAS DE ACCESO O PARQUEADEROS O ZONAS DE CIRCULACIÓN (VEHICULAR O PEATONAL) O PLAZUELAS O PLAZAS O PLAZUELAS EN EDIFICACIONES INSTITUCIONALES, y 5) OBRAS PARA ATENCIÓN, PREVENCIÓN O MITIGACIÓN DE EMERGENCIAS DIFERENTES A CONTRATACIÓN DIRECTA PARA EL SECTOR INSTITUCIONAL”</w:t>
      </w:r>
      <w:r w:rsidRPr="00E71868">
        <w:rPr>
          <w:rFonts w:ascii="Verdana" w:eastAsia="Times New Roman" w:hAnsi="Verdana" w:cs="Arial"/>
          <w:lang w:eastAsia="es-MX"/>
        </w:rPr>
        <w:t>.</w:t>
      </w:r>
      <w:r w:rsidRPr="00E71868">
        <w:rPr>
          <w:rFonts w:ascii="Verdana" w:eastAsia="Calibri" w:hAnsi="Verdana" w:cs="Times New Roman"/>
          <w:lang w:eastAsia="es-MX"/>
        </w:rPr>
        <w:t xml:space="preserve"> Particularmente, en relación con los problemas jurídicos planteados en este concepto, en el Capítulo cinco (5)  “</w:t>
      </w:r>
      <w:r w:rsidRPr="00E71868">
        <w:rPr>
          <w:rFonts w:ascii="Verdana" w:eastAsia="Arial" w:hAnsi="Verdana" w:cs="Aptos"/>
          <w:lang w:eastAsia="es-ES"/>
        </w:rPr>
        <w:t>Obras para atención, prevención o mitigación de emergencias diferentes a contratación directa para el sector institucional”,</w:t>
      </w:r>
      <w:r w:rsidRPr="00E71868">
        <w:rPr>
          <w:rFonts w:ascii="Verdana" w:eastAsia="Calibri" w:hAnsi="Verdana" w:cs="Times New Roman"/>
          <w:lang w:eastAsia="es-MX"/>
        </w:rPr>
        <w:t xml:space="preserve"> se incluyen las siguientes actividades sobre las que recaen estos documentos tipo:  </w:t>
      </w:r>
    </w:p>
    <w:p w14:paraId="5300D10D" w14:textId="77777777" w:rsidR="00E71868" w:rsidRPr="00E71868" w:rsidRDefault="00E71868" w:rsidP="00E71868">
      <w:pPr>
        <w:spacing w:after="0" w:line="276" w:lineRule="auto"/>
        <w:ind w:firstLine="708"/>
        <w:jc w:val="both"/>
        <w:rPr>
          <w:rFonts w:ascii="Verdana" w:eastAsia="Calibri" w:hAnsi="Verdana" w:cs="Times New Roman"/>
          <w:lang w:eastAsia="es-MX"/>
        </w:rPr>
      </w:pPr>
    </w:p>
    <w:p w14:paraId="6160D2BC" w14:textId="77777777" w:rsidR="00E71868" w:rsidRPr="00E71868" w:rsidRDefault="00E71868" w:rsidP="00E71868">
      <w:pPr>
        <w:snapToGrid w:val="0"/>
        <w:spacing w:after="120" w:line="240" w:lineRule="auto"/>
        <w:ind w:left="709" w:right="709"/>
        <w:jc w:val="both"/>
        <w:rPr>
          <w:rFonts w:ascii="Verdana" w:eastAsia="Calibri" w:hAnsi="Verdana" w:cs="Times New Roman"/>
          <w:sz w:val="21"/>
          <w:szCs w:val="21"/>
          <w:lang w:eastAsia="es-MX"/>
        </w:rPr>
      </w:pPr>
      <w:r w:rsidRPr="00E71868">
        <w:rPr>
          <w:rFonts w:ascii="Verdana" w:eastAsia="Calibri" w:hAnsi="Verdana" w:cs="Times New Roman"/>
          <w:sz w:val="21"/>
          <w:szCs w:val="21"/>
          <w:lang w:eastAsia="es-MX"/>
        </w:rPr>
        <w:t xml:space="preserve">“5.1. PROYECTOS DE ATENCIÓN Y/O PREVENCIÓN Y/O MITIGACIÓN DE OBRAS DE EMERGENCIAS POR EVENTOS Y/O FENÓMENOS DE ORIGEN NATURAL U ORIGEN SOCIO NATURAL U ORIGEN </w:t>
      </w:r>
      <w:r w:rsidRPr="00E71868">
        <w:rPr>
          <w:rFonts w:ascii="Verdana" w:eastAsia="Calibri" w:hAnsi="Verdana" w:cs="Times New Roman"/>
          <w:sz w:val="21"/>
          <w:szCs w:val="21"/>
          <w:lang w:eastAsia="es-MX"/>
        </w:rPr>
        <w:lastRenderedPageBreak/>
        <w:t>BIOSANITARIO U ORIGEN HUMANO NO INTENCIONAL Y/O POR EVENTOS CLIMÁTICOS Y/O ATMOSFÉRICOS Y/O HIDROLÓGICOS Y/O TECNOLÓGICO Y/O SÍSMICOS Y/O POR FALLAS ESTRUCTURALES Y/O TÉCNICAS Y/O FUGAS DE GAS Y/O INCENDIOS Y/O EXPLOSIÓN EN EL ÁMBITO DEL SECTOR INSTITUCIONAL</w:t>
      </w:r>
    </w:p>
    <w:p w14:paraId="5A816F88" w14:textId="77777777" w:rsidR="00E71868" w:rsidRPr="00E71868" w:rsidRDefault="00E71868" w:rsidP="00E71868">
      <w:pPr>
        <w:snapToGrid w:val="0"/>
        <w:spacing w:after="120" w:line="240" w:lineRule="auto"/>
        <w:ind w:left="709" w:right="709"/>
        <w:jc w:val="both"/>
        <w:rPr>
          <w:rFonts w:ascii="Verdana" w:eastAsia="Arial" w:hAnsi="Verdana" w:cs="Aptos"/>
          <w:sz w:val="21"/>
          <w:szCs w:val="21"/>
          <w:lang w:eastAsia="es-ES"/>
        </w:rPr>
      </w:pPr>
      <w:r w:rsidRPr="00E71868">
        <w:rPr>
          <w:rFonts w:ascii="Verdana" w:eastAsia="Arial" w:hAnsi="Verdana" w:cs="Aptos"/>
          <w:sz w:val="21"/>
          <w:szCs w:val="21"/>
          <w:lang w:eastAsia="es-ES"/>
        </w:rPr>
        <w:t>5.2. PROYECTOS DE ATENCIÓN, PREVENCIÓN Y/O MITIGACIÓN DE OBRAS DE EMERGENCIAS MEDIANTE OBRAS DE ESTABILIZACIÓN DE TALUDES Y/O RECUPERACIÓN DE BANCA EN EL ÁMBITO DEL SECTOR INSTITUCIONAL</w:t>
      </w:r>
    </w:p>
    <w:p w14:paraId="32A08A33" w14:textId="77777777" w:rsidR="00E71868" w:rsidRPr="00E71868" w:rsidRDefault="00E71868" w:rsidP="00E71868">
      <w:pPr>
        <w:snapToGrid w:val="0"/>
        <w:spacing w:after="120" w:line="240" w:lineRule="auto"/>
        <w:ind w:left="709" w:right="709"/>
        <w:jc w:val="both"/>
        <w:rPr>
          <w:rFonts w:ascii="Verdana" w:eastAsia="Arial" w:hAnsi="Verdana" w:cs="Aptos"/>
          <w:sz w:val="21"/>
          <w:szCs w:val="21"/>
          <w:lang w:eastAsia="es-ES"/>
        </w:rPr>
      </w:pPr>
      <w:r w:rsidRPr="00E71868">
        <w:rPr>
          <w:rFonts w:ascii="Verdana" w:eastAsia="Arial" w:hAnsi="Verdana" w:cs="Aptos"/>
          <w:sz w:val="21"/>
          <w:szCs w:val="21"/>
          <w:lang w:eastAsia="es-ES"/>
        </w:rPr>
        <w:t>5.3. PROYECTOS DE ATENCIÓN, PREVENCIÓN Y/O MITIGACIÓN DE OBRAS DE EMERGENCIAS MEDIANTE OBRAS DE REMOCIÓN DE DERRUMBES Y/O MOVIMIENTOS EN MASA EN EL ÁMBITO DEL SECTOR INSTITUCIONAL</w:t>
      </w:r>
    </w:p>
    <w:p w14:paraId="53E29F8B" w14:textId="77777777" w:rsidR="00E71868" w:rsidRPr="00E71868" w:rsidRDefault="00E71868" w:rsidP="00E71868">
      <w:pPr>
        <w:snapToGrid w:val="0"/>
        <w:spacing w:after="0" w:line="240" w:lineRule="auto"/>
        <w:ind w:left="709" w:right="709"/>
        <w:jc w:val="both"/>
        <w:rPr>
          <w:rFonts w:ascii="Verdana" w:eastAsia="Arial" w:hAnsi="Verdana" w:cs="Aptos"/>
          <w:sz w:val="21"/>
          <w:szCs w:val="21"/>
          <w:lang w:eastAsia="es-ES"/>
        </w:rPr>
      </w:pPr>
      <w:r w:rsidRPr="00E71868">
        <w:rPr>
          <w:rFonts w:ascii="Verdana" w:eastAsia="Arial" w:hAnsi="Verdana" w:cs="Aptos"/>
          <w:sz w:val="21"/>
          <w:szCs w:val="21"/>
          <w:lang w:eastAsia="es-ES"/>
        </w:rPr>
        <w:t>5.4. PROYECTOS DE ATENCIÓN Y/O PREVENCIÓN Y/O MITIGACIÓN DE OBRAS DE EMERGENCIAS DE INUNDACIONES, Y/O HELADAS Y/O VENDAVALES Y/O SEQUIAS Y/O DESBORDAMIENTOS Y/O AVENIDAS TORRENCIALES MEDIANTE OBRAS HIDRÁULICAS EN EL ÁMBITO DEL SECTOR INSTITUCIONAL”.</w:t>
      </w:r>
    </w:p>
    <w:p w14:paraId="380F693E" w14:textId="77777777" w:rsidR="00E71868" w:rsidRPr="00E71868" w:rsidRDefault="00E71868" w:rsidP="00E71868">
      <w:pPr>
        <w:spacing w:after="0" w:line="276" w:lineRule="auto"/>
        <w:ind w:firstLine="708"/>
        <w:jc w:val="both"/>
        <w:rPr>
          <w:rFonts w:ascii="Verdana" w:eastAsia="Calibri" w:hAnsi="Verdana" w:cs="Times New Roman"/>
          <w:lang w:eastAsia="es-MX"/>
        </w:rPr>
      </w:pPr>
    </w:p>
    <w:p w14:paraId="42454FE2" w14:textId="77777777" w:rsidR="00E71868" w:rsidRPr="00E71868" w:rsidRDefault="00E71868" w:rsidP="00E71868">
      <w:pPr>
        <w:spacing w:after="120" w:line="276" w:lineRule="auto"/>
        <w:ind w:firstLine="708"/>
        <w:jc w:val="both"/>
        <w:rPr>
          <w:rFonts w:ascii="Verdana" w:eastAsia="Aptos" w:hAnsi="Verdana" w:cs="Times New Roman"/>
          <w:i/>
          <w:iCs/>
          <w:kern w:val="2"/>
          <w14:ligatures w14:val="standardContextual"/>
        </w:rPr>
      </w:pPr>
      <w:r w:rsidRPr="00E71868">
        <w:rPr>
          <w:rFonts w:ascii="Verdana" w:eastAsia="Aptos" w:hAnsi="Verdana" w:cs="Times New Roman"/>
          <w:kern w:val="2"/>
          <w14:ligatures w14:val="standardContextual"/>
        </w:rPr>
        <w:t>Las actividades señaladas, contenidas en el capítulo de “</w:t>
      </w:r>
      <w:r w:rsidRPr="00E71868">
        <w:rPr>
          <w:rFonts w:ascii="Verdana" w:eastAsia="Arial" w:hAnsi="Verdana" w:cs="Aptos"/>
          <w:lang w:eastAsia="es-ES"/>
        </w:rPr>
        <w:t>Obras para atención, prevención o mitigación de emergencias diferentes a contratación directa para el sector institucional</w:t>
      </w:r>
      <w:r w:rsidRPr="00E71868">
        <w:rPr>
          <w:rFonts w:ascii="Verdana" w:eastAsia="Aptos" w:hAnsi="Verdana" w:cs="Times New Roman"/>
          <w:kern w:val="2"/>
          <w14:ligatures w14:val="standardContextual"/>
        </w:rPr>
        <w:t>” de los documentos tipo del sector institucional en las modalidades de selección de licitación pública, selección abreviada de menor cuantía y mínima cuantía, corresponden, de manera general a las siguientes: proyectos de atención y/o prevención y/o mitigación de obras de emergencias por eventos y/o fenómenos de origen natural u origen socio natural u origen biosanitario u origen humano no intencional y/o por eventos climáticos y/o atmosféricos y/o hidrológicos y/o tecnológicos y/o sísmicos y/o por fallas estructurales y/o técnicas y/o fugas de gas y/o incendios y/o explosión; proyectos de atención, prevención y/o mitigación de obras de emergencias mediante obras de estabilización de taludes y/o recuperación de banca; proyectos de atención, prevención y/o mitigación de obras de emergencias mediante obras de remoción de derrumbes y/o movimientos en masa; y proyectos de atención y/o prevención y/o mitigación de obras de emergencias de inundaciones, y/o heladas y/o vendavales y/o sequías y/o desbordamientos y/o avenidas torrenciales mediante obras hidráulicas; todas estas asociadas a proyectos sobre infraestructura del sector institucional</w:t>
      </w:r>
      <w:r w:rsidRPr="00E71868">
        <w:rPr>
          <w:rFonts w:ascii="Verdana" w:eastAsia="Aptos" w:hAnsi="Verdana" w:cs="Times New Roman"/>
          <w:i/>
          <w:iCs/>
          <w:kern w:val="2"/>
          <w14:ligatures w14:val="standardContextual"/>
        </w:rPr>
        <w:t>.</w:t>
      </w:r>
    </w:p>
    <w:p w14:paraId="78165B34" w14:textId="77777777" w:rsidR="00E71868" w:rsidRPr="00E71868" w:rsidRDefault="00E71868" w:rsidP="00E71868">
      <w:pPr>
        <w:spacing w:after="120" w:line="276" w:lineRule="auto"/>
        <w:ind w:firstLine="708"/>
        <w:jc w:val="both"/>
        <w:rPr>
          <w:rFonts w:ascii="Verdana" w:eastAsia="Aptos" w:hAnsi="Verdana" w:cs="Times New Roman"/>
          <w:kern w:val="2"/>
          <w14:ligatures w14:val="standardContextual"/>
        </w:rPr>
      </w:pPr>
      <w:r w:rsidRPr="00E71868">
        <w:rPr>
          <w:rFonts w:ascii="Verdana" w:eastAsia="Aptos" w:hAnsi="Verdana" w:cs="Times New Roman"/>
          <w:kern w:val="2"/>
          <w14:ligatures w14:val="standardContextual"/>
        </w:rPr>
        <w:lastRenderedPageBreak/>
        <w:t>De acuerdo con el documento “ANÁLISIS SECTORIAL PARA LA ACTUALIZACIÓN DEL DOCUMENTO TIPO INFRAESTRUCTURA SOCIAL EN LAS MODALIDADES DE SELECCIÓN LICITACIÓN PÚBLICA, SELECCIÓN ABREVIADA DE MENOR CUANTÍA Y MÍNIMA CUANTÍA 2025”, el capítulo sobre  “</w:t>
      </w:r>
      <w:r w:rsidRPr="00E71868">
        <w:rPr>
          <w:rFonts w:ascii="Verdana" w:eastAsia="Arial" w:hAnsi="Verdana" w:cs="Aptos"/>
          <w:lang w:eastAsia="es-ES"/>
        </w:rPr>
        <w:t>Obras para atención, prevención o mitigación de emergencias diferentes a contratación directa para el sector institucional</w:t>
      </w:r>
      <w:r w:rsidRPr="00E71868">
        <w:rPr>
          <w:rFonts w:ascii="Verdana" w:eastAsia="Aptos" w:hAnsi="Verdana" w:cs="Times New Roman"/>
          <w:kern w:val="2"/>
          <w14:ligatures w14:val="standardContextual"/>
        </w:rPr>
        <w:t>”, se incluyó porque, en el marco de la actualización que se realizó sobre los documentos tipo del sector de infraestructura social en el año 2025 –y la adopción de los nuevos documentos tipo del sector institucional–, la Agencia acogió el resultado de un diagnóstico</w:t>
      </w:r>
      <w:r w:rsidRPr="00E71868">
        <w:rPr>
          <w:rFonts w:ascii="Verdana" w:eastAsia="Aptos" w:hAnsi="Verdana" w:cs="Times New Roman"/>
          <w:b/>
          <w:bCs/>
          <w:kern w:val="2"/>
          <w14:ligatures w14:val="standardContextual"/>
        </w:rPr>
        <w:t xml:space="preserve"> </w:t>
      </w:r>
      <w:r w:rsidRPr="00E71868">
        <w:rPr>
          <w:rFonts w:ascii="Verdana" w:eastAsia="Aptos" w:hAnsi="Verdana" w:cs="Times New Roman"/>
          <w:kern w:val="2"/>
          <w14:ligatures w14:val="standardContextual"/>
        </w:rPr>
        <w:t xml:space="preserve">sectorial de gestión del riesgo de desastres adelantado por la Unidad Nacional de Gestión del Riesgo de Desastre – UNGRD, –cuyo propósito era verificar si los sectores de cultura, salud y educación agrupados bajo el “Sector Social”– tenían incorporados lineamientos de gestión del riesgo y adaptación al cambio climático en sus procesos de contratación. </w:t>
      </w:r>
    </w:p>
    <w:p w14:paraId="0CB5CC62" w14:textId="77777777" w:rsidR="00E71868" w:rsidRPr="00E71868" w:rsidRDefault="00E71868" w:rsidP="00E71868">
      <w:pPr>
        <w:spacing w:after="120" w:line="276" w:lineRule="auto"/>
        <w:ind w:firstLine="708"/>
        <w:jc w:val="both"/>
        <w:rPr>
          <w:rFonts w:ascii="Verdana" w:eastAsia="Aptos" w:hAnsi="Verdana" w:cs="Times New Roman"/>
          <w:i/>
          <w:iCs/>
          <w:kern w:val="2"/>
          <w14:ligatures w14:val="standardContextual"/>
        </w:rPr>
      </w:pPr>
      <w:r w:rsidRPr="00E71868">
        <w:rPr>
          <w:rFonts w:ascii="Verdana" w:eastAsia="Aptos" w:hAnsi="Verdana" w:cs="Times New Roman"/>
          <w:kern w:val="2"/>
          <w14:ligatures w14:val="standardContextual"/>
        </w:rPr>
        <w:t xml:space="preserve">Como resultado de ese diagnóstico, y para dar coherencia con el Plan Nacional de Gestión del Riesgo de Desastres – PNGRD vigente y sus tres procesos –conocimiento del riesgo, reducción del riesgo y manejo de desastres–, se decidió incorporar un nuevo capítulo específico en las matrices de actividades de los documentos tipo indicados, dedicado a las obras de atención, prevención y mitigación de emergencias, de manera que estos sectores puedan reflejar formalmente su aporte al Sistema Nacional de Gestión del Riesgo de Desastre – SNGRD dentro de los procesos que se adelanten utilizando esos documentos. </w:t>
      </w:r>
    </w:p>
    <w:p w14:paraId="356E940F" w14:textId="77777777" w:rsidR="00E71868" w:rsidRPr="00E71868" w:rsidRDefault="00E71868" w:rsidP="00E71868">
      <w:pPr>
        <w:spacing w:after="120" w:line="278" w:lineRule="auto"/>
        <w:ind w:firstLine="708"/>
        <w:jc w:val="both"/>
        <w:rPr>
          <w:rFonts w:ascii="Verdana" w:eastAsia="Times New Roman" w:hAnsi="Verdana" w:cs="Aptos"/>
          <w:lang w:eastAsia="es-MX"/>
        </w:rPr>
      </w:pPr>
      <w:r w:rsidRPr="00E71868">
        <w:rPr>
          <w:rFonts w:ascii="Verdana" w:eastAsia="Times New Roman" w:hAnsi="Verdana" w:cs="Aptos"/>
          <w:lang w:eastAsia="es-MX"/>
        </w:rPr>
        <w:t>Bajo el marco señalado, debe indicarse que, para interpretar el alcance del tipo de infraestructura del sector institucional, sobre el que recaen las actividades de o</w:t>
      </w:r>
      <w:r w:rsidRPr="00E71868">
        <w:rPr>
          <w:rFonts w:ascii="Verdana" w:eastAsia="Arial" w:hAnsi="Verdana" w:cs="Aptos"/>
          <w:lang w:eastAsia="es-ES"/>
        </w:rPr>
        <w:t xml:space="preserve">bras para atención, prevención o mitigación de emergencias, </w:t>
      </w:r>
      <w:r w:rsidRPr="00E71868">
        <w:rPr>
          <w:rFonts w:ascii="Verdana" w:eastAsia="Times New Roman" w:hAnsi="Verdana" w:cs="Aptos"/>
          <w:lang w:eastAsia="es-MX"/>
        </w:rPr>
        <w:t>se debe tener en cuenta la nota general 1 de la Matriz 1– Experiencia del Sector Institucional, en las distintas modalidades de selección de los documentos tipo adoptados por esta Agencia. En esta se indica que “(l)as definiciones contenidas en esta Matriz deben enmarcarse en la normativa vigente en la materia, así como en la NSR 10 o aquellas que los modifiquen, adicionen o sustituyan, así como a las definiciones contenidas en el "Anexo - Glosario del Sector Social””.</w:t>
      </w:r>
    </w:p>
    <w:p w14:paraId="6E32CFB9" w14:textId="77777777" w:rsidR="00E71868" w:rsidRPr="00E71868" w:rsidRDefault="00E71868" w:rsidP="00E71868">
      <w:pPr>
        <w:spacing w:after="120" w:line="278" w:lineRule="auto"/>
        <w:ind w:firstLine="708"/>
        <w:jc w:val="both"/>
        <w:rPr>
          <w:rFonts w:ascii="Verdana" w:eastAsia="Times New Roman" w:hAnsi="Verdana" w:cs="Aptos"/>
          <w:lang w:eastAsia="es-MX"/>
        </w:rPr>
      </w:pPr>
      <w:r w:rsidRPr="00E71868">
        <w:rPr>
          <w:rFonts w:ascii="Verdana" w:eastAsia="Times New Roman" w:hAnsi="Verdana" w:cs="Aptos"/>
          <w:lang w:eastAsia="es-MX"/>
        </w:rPr>
        <w:t xml:space="preserve">La nota general 1 contenida en la Matriz 1 – Experiencia de los documentos tipo indicados, es congruente con el numeral 1.10 del documento base que dispone que: “[p]ara los fines de este Pliego de Condiciones, a menos </w:t>
      </w:r>
      <w:r w:rsidRPr="00E71868">
        <w:rPr>
          <w:rFonts w:ascii="Verdana" w:eastAsia="Times New Roman" w:hAnsi="Verdana" w:cs="Aptos"/>
          <w:lang w:eastAsia="es-MX"/>
        </w:rPr>
        <w:lastRenderedPageBreak/>
        <w:t>que expresamente se estipule de otra manera, los términos deben entenderse de acuerdo con la definición contenida en el artículo 2.2.1.1.1.3.1 del Decreto 1082 de 2015, el glosario aplicable a la obra pública de infraestructura social y demás normas, decretos reglamentarios y legislación aplicable en la materia”.</w:t>
      </w:r>
    </w:p>
    <w:p w14:paraId="2E57E8F7" w14:textId="77777777" w:rsidR="00E71868" w:rsidRPr="00E71868" w:rsidRDefault="00E71868" w:rsidP="00E71868">
      <w:pPr>
        <w:spacing w:after="120" w:line="276" w:lineRule="auto"/>
        <w:ind w:firstLine="708"/>
        <w:jc w:val="both"/>
        <w:rPr>
          <w:rFonts w:ascii="Verdana" w:eastAsia="Aptos" w:hAnsi="Verdana" w:cs="Times New Roman"/>
          <w:kern w:val="2"/>
          <w14:ligatures w14:val="standardContextual"/>
        </w:rPr>
      </w:pPr>
      <w:r w:rsidRPr="00E71868">
        <w:rPr>
          <w:rFonts w:ascii="Verdana" w:eastAsia="Calibri" w:hAnsi="Verdana" w:cs="Arial"/>
          <w:lang w:val="es-ES_tradnl" w:eastAsia="es-MX"/>
        </w:rPr>
        <w:t xml:space="preserve">Ahora bien, como se precisó las actividades señaladas recaen sobre </w:t>
      </w:r>
      <w:r w:rsidRPr="00E71868">
        <w:rPr>
          <w:rFonts w:ascii="Verdana" w:eastAsia="Times New Roman" w:hAnsi="Verdana" w:cs="Calibri"/>
          <w:lang w:eastAsia="es-MX"/>
        </w:rPr>
        <w:t xml:space="preserve">obras en proyectos de infraestructura institucional. De esta forma, para determinar qué abarca este tipo de infraestructura, de conformidad con la norma </w:t>
      </w:r>
      <w:r w:rsidRPr="00E71868">
        <w:rPr>
          <w:rFonts w:ascii="Verdana" w:eastAsia="Calibri" w:hAnsi="Verdana" w:cs="Arial"/>
          <w:color w:val="0D0D0D"/>
          <w:lang w:eastAsia="es-MX"/>
        </w:rPr>
        <w:t xml:space="preserve">NSR-10 en el Grupo de Ocupación Institucional (I) –K.2.6– “(…) </w:t>
      </w:r>
      <w:r w:rsidRPr="00E71868">
        <w:rPr>
          <w:rFonts w:ascii="Verdana" w:eastAsia="Aptos" w:hAnsi="Verdana" w:cs="Times New Roman"/>
          <w:i/>
          <w:iCs/>
          <w:kern w:val="2"/>
          <w14:ligatures w14:val="standardContextual"/>
        </w:rPr>
        <w:t>se clasifican las edificaciones o espacios utilizados para la reclusión de personas que adolecen de limitaciones mentales o están sujetas a castigos penales o correccionales; en el tratamiento o cuidado de personas o en su reunión con propósitos educativos o de instrucción. De igual manera se clasifican dentro de este grupo las edificaciones y espacios indispensables en la atención de emergencias, preservación de la seguridad de personas y la prestación de servicios públicos y administrativos necesarios para el buen funcionamiento de las ciudades</w:t>
      </w:r>
      <w:r w:rsidRPr="00E71868">
        <w:rPr>
          <w:rFonts w:ascii="Verdana" w:eastAsia="Calibri" w:hAnsi="Verdana" w:cs="Arial"/>
          <w:color w:val="0D0D0D"/>
          <w:lang w:eastAsia="es-MX"/>
        </w:rPr>
        <w:t>”</w:t>
      </w:r>
      <w:r w:rsidRPr="00E71868">
        <w:rPr>
          <w:rFonts w:ascii="Verdana" w:eastAsia="Calibri" w:hAnsi="Verdana" w:cs="Arial"/>
          <w:color w:val="0D0D0D"/>
          <w:vertAlign w:val="superscript"/>
          <w:lang w:eastAsia="es-MX"/>
        </w:rPr>
        <w:footnoteReference w:id="10"/>
      </w:r>
      <w:r w:rsidRPr="00E71868">
        <w:rPr>
          <w:rFonts w:ascii="Verdana" w:eastAsia="Calibri" w:hAnsi="Verdana" w:cs="Arial"/>
          <w:color w:val="0D0D0D"/>
          <w:lang w:eastAsia="es-MX"/>
        </w:rPr>
        <w:t xml:space="preserve">. Este Grupo de Ocupación está constituida </w:t>
      </w:r>
      <w:r w:rsidRPr="00E71868">
        <w:rPr>
          <w:rFonts w:ascii="Verdana" w:eastAsia="Calibri" w:hAnsi="Verdana" w:cs="Arial"/>
          <w:i/>
          <w:iCs/>
          <w:color w:val="0D0D0D"/>
          <w:lang w:eastAsia="es-MX"/>
        </w:rPr>
        <w:t xml:space="preserve">“(…) </w:t>
      </w:r>
      <w:r w:rsidRPr="00E71868">
        <w:rPr>
          <w:rFonts w:ascii="Verdana" w:eastAsia="Aptos" w:hAnsi="Verdana" w:cs="Times New Roman"/>
          <w:i/>
          <w:iCs/>
          <w:kern w:val="2"/>
          <w14:ligatures w14:val="standardContextual"/>
        </w:rPr>
        <w:t>por los Subgrupos de Ocupación Institucional de Reclusión (I-1), Institucional de Salud o Incapacidad (I-2), Institucional de Educación (I-3), Institucional de Seguridad Pública (I-4) e Institucional de Servicio Público (I-5)</w:t>
      </w:r>
      <w:r w:rsidRPr="00E71868">
        <w:rPr>
          <w:rFonts w:ascii="Verdana" w:eastAsia="Aptos" w:hAnsi="Verdana" w:cs="Times New Roman"/>
          <w:kern w:val="2"/>
          <w14:ligatures w14:val="standardContextual"/>
        </w:rPr>
        <w:t>”</w:t>
      </w:r>
      <w:r w:rsidRPr="00E71868">
        <w:rPr>
          <w:rFonts w:ascii="Verdana" w:eastAsia="Aptos" w:hAnsi="Verdana" w:cs="Times New Roman"/>
          <w:kern w:val="2"/>
          <w:vertAlign w:val="superscript"/>
          <w14:ligatures w14:val="standardContextual"/>
        </w:rPr>
        <w:footnoteReference w:id="11"/>
      </w:r>
      <w:r w:rsidRPr="00E71868">
        <w:rPr>
          <w:rFonts w:ascii="Verdana" w:eastAsia="Aptos" w:hAnsi="Verdana" w:cs="Times New Roman"/>
          <w:kern w:val="2"/>
          <w14:ligatures w14:val="standardContextual"/>
        </w:rPr>
        <w:t>.</w:t>
      </w:r>
    </w:p>
    <w:p w14:paraId="7D910FD6" w14:textId="77777777" w:rsidR="00E71868" w:rsidRPr="00E71868" w:rsidRDefault="00E71868" w:rsidP="00E71868">
      <w:pPr>
        <w:spacing w:after="120" w:line="276" w:lineRule="auto"/>
        <w:ind w:firstLine="708"/>
        <w:jc w:val="both"/>
        <w:rPr>
          <w:rFonts w:ascii="Verdana" w:eastAsia="Aptos" w:hAnsi="Verdana" w:cs="Times New Roman"/>
          <w:kern w:val="2"/>
          <w14:ligatures w14:val="standardContextual"/>
        </w:rPr>
      </w:pPr>
      <w:r w:rsidRPr="00E71868">
        <w:rPr>
          <w:rFonts w:ascii="Verdana" w:eastAsia="Aptos" w:hAnsi="Verdana" w:cs="Times New Roman"/>
          <w:kern w:val="2"/>
          <w14:ligatures w14:val="standardContextual"/>
        </w:rPr>
        <w:t xml:space="preserve">Particularmente, los documentos tipo del sector Institucional, recaen sobre los Subgrupos de Ocupación: i) Institucional de Seguridad Pública, </w:t>
      </w:r>
      <w:proofErr w:type="spellStart"/>
      <w:r w:rsidRPr="00E71868">
        <w:rPr>
          <w:rFonts w:ascii="Verdana" w:eastAsia="Aptos" w:hAnsi="Verdana" w:cs="Times New Roman"/>
          <w:kern w:val="2"/>
          <w14:ligatures w14:val="standardContextual"/>
        </w:rPr>
        <w:t>ii</w:t>
      </w:r>
      <w:proofErr w:type="spellEnd"/>
      <w:r w:rsidRPr="00E71868">
        <w:rPr>
          <w:rFonts w:ascii="Verdana" w:eastAsia="Aptos" w:hAnsi="Verdana" w:cs="Times New Roman"/>
          <w:kern w:val="2"/>
          <w14:ligatures w14:val="standardContextual"/>
        </w:rPr>
        <w:t xml:space="preserve">) Institucional de Servicio Público y </w:t>
      </w:r>
      <w:proofErr w:type="spellStart"/>
      <w:r w:rsidRPr="00E71868">
        <w:rPr>
          <w:rFonts w:ascii="Verdana" w:eastAsia="Aptos" w:hAnsi="Verdana" w:cs="Times New Roman"/>
          <w:kern w:val="2"/>
          <w14:ligatures w14:val="standardContextual"/>
        </w:rPr>
        <w:t>iii</w:t>
      </w:r>
      <w:proofErr w:type="spellEnd"/>
      <w:r w:rsidRPr="00E71868">
        <w:rPr>
          <w:rFonts w:ascii="Verdana" w:eastAsia="Aptos" w:hAnsi="Verdana" w:cs="Times New Roman"/>
          <w:kern w:val="2"/>
          <w14:ligatures w14:val="standardContextual"/>
        </w:rPr>
        <w:t xml:space="preserve">) Institucional de Reclusión. Es por esto que los capítulos uno (1), dos (2) y tres (3) contenidos en la Matriz 1 – Experiencia de Sector Institucional, en las modalidades de selección de licitación pública, selección abreviada de menor cuantía y mínima cuantía disponen –respectivamente– el tipo de obra: 1. OBRAS EN PROYECTOS DE INFRAESTRUCTURA INSTITUCIONAL DE SEGURIDAD PUBLICA, 2. OBRAS EN PROYECTOS DE INFRAESTRUCTURA INSTITUCIONAL DE SERVICIO PUBLICO y 3. OBRAS EN PROYECTOS DE INFRAESTRUCTURA INSTITUCIONAL - SITIOS DE RECLUSIÓN. </w:t>
      </w:r>
    </w:p>
    <w:p w14:paraId="41198937" w14:textId="77777777" w:rsidR="00E71868" w:rsidRPr="00E71868" w:rsidRDefault="00E71868" w:rsidP="00E71868">
      <w:pPr>
        <w:spacing w:after="120" w:line="276" w:lineRule="auto"/>
        <w:ind w:firstLine="708"/>
        <w:jc w:val="both"/>
        <w:rPr>
          <w:rFonts w:ascii="Verdana" w:eastAsia="Aptos" w:hAnsi="Verdana" w:cs="Times New Roman"/>
          <w:kern w:val="2"/>
          <w14:ligatures w14:val="standardContextual"/>
        </w:rPr>
      </w:pPr>
      <w:r w:rsidRPr="00E71868">
        <w:rPr>
          <w:rFonts w:ascii="Verdana" w:eastAsia="Aptos" w:hAnsi="Verdana" w:cs="Times New Roman"/>
          <w:kern w:val="2"/>
          <w14:ligatures w14:val="standardContextual"/>
        </w:rPr>
        <w:lastRenderedPageBreak/>
        <w:t>En este sentido, el capítulo cinco (5) “</w:t>
      </w:r>
      <w:r w:rsidRPr="00E71868">
        <w:rPr>
          <w:rFonts w:ascii="Verdana" w:eastAsia="Arial" w:hAnsi="Verdana" w:cs="Aptos"/>
          <w:lang w:eastAsia="es-ES"/>
        </w:rPr>
        <w:t>Obras para atención, prevención o mitigación de emergencias diferentes a contratación directa para el sector institucional</w:t>
      </w:r>
      <w:r w:rsidRPr="00E71868">
        <w:rPr>
          <w:rFonts w:ascii="Verdana" w:eastAsia="Aptos" w:hAnsi="Verdana" w:cs="Times New Roman"/>
          <w:kern w:val="2"/>
          <w14:ligatures w14:val="standardContextual"/>
        </w:rPr>
        <w:t>” contenidos en la Matriz 1 – Experiencia Sector Institucional, recae sobre los tres (3) tipos de infraestructura indicados en el párrafo precedente, esto es los subgrupos de Seguridad Pública, Servicio Público y Reclusión</w:t>
      </w:r>
      <w:r w:rsidRPr="00E71868">
        <w:rPr>
          <w:rFonts w:ascii="Verdana" w:eastAsia="Aptos" w:hAnsi="Verdana" w:cs="Times New Roman"/>
          <w:kern w:val="2"/>
          <w:vertAlign w:val="superscript"/>
          <w14:ligatures w14:val="standardContextual"/>
        </w:rPr>
        <w:footnoteReference w:id="12"/>
      </w:r>
      <w:r w:rsidRPr="00E71868">
        <w:rPr>
          <w:rFonts w:ascii="Verdana" w:eastAsia="Aptos" w:hAnsi="Verdana" w:cs="Times New Roman"/>
          <w:kern w:val="2"/>
          <w14:ligatures w14:val="standardContextual"/>
        </w:rPr>
        <w:t xml:space="preserve">. </w:t>
      </w:r>
    </w:p>
    <w:p w14:paraId="0BB1E238" w14:textId="77777777" w:rsidR="00E71868" w:rsidRPr="00E71868" w:rsidRDefault="00E71868" w:rsidP="00E71868">
      <w:pPr>
        <w:spacing w:after="120" w:line="276" w:lineRule="auto"/>
        <w:ind w:firstLine="708"/>
        <w:jc w:val="both"/>
        <w:rPr>
          <w:rFonts w:ascii="Verdana" w:eastAsia="Calibri" w:hAnsi="Verdana" w:cs="Arial"/>
          <w:color w:val="0D0D0D"/>
          <w:kern w:val="2"/>
          <w:lang w:eastAsia="es-MX"/>
          <w14:ligatures w14:val="standardContextual"/>
        </w:rPr>
      </w:pPr>
      <w:r w:rsidRPr="00E71868">
        <w:rPr>
          <w:rFonts w:ascii="Verdana" w:eastAsia="Calibri" w:hAnsi="Verdana" w:cs="Arial"/>
          <w:kern w:val="2"/>
          <w14:ligatures w14:val="standardContextual"/>
        </w:rPr>
        <w:t xml:space="preserve">La norma </w:t>
      </w:r>
      <w:r w:rsidRPr="00E71868">
        <w:rPr>
          <w:rFonts w:ascii="Verdana" w:eastAsia="Calibri" w:hAnsi="Verdana" w:cs="Arial"/>
          <w:color w:val="0D0D0D"/>
          <w:kern w:val="2"/>
          <w14:ligatures w14:val="standardContextual"/>
        </w:rPr>
        <w:t xml:space="preserve">NSR-10 indica que, </w:t>
      </w:r>
      <w:r w:rsidRPr="00E71868">
        <w:rPr>
          <w:rFonts w:ascii="Verdana" w:eastAsia="Calibri" w:hAnsi="Verdana" w:cs="Arial"/>
          <w:color w:val="0D0D0D"/>
          <w:kern w:val="2"/>
          <w:lang w:eastAsia="es-MX"/>
          <w14:ligatures w14:val="standardContextual"/>
        </w:rPr>
        <w:t>en el Subgrupo de Ocupación Institucional de Reclusión (I-1) “</w:t>
      </w:r>
      <w:r w:rsidRPr="00E71868">
        <w:rPr>
          <w:rFonts w:ascii="Verdana" w:eastAsia="Times New Roman" w:hAnsi="Verdana" w:cs="Times New Roman"/>
          <w:kern w:val="2"/>
          <w:lang w:eastAsia="es-MX"/>
          <w14:ligatures w14:val="standardContextual"/>
        </w:rPr>
        <w:t>se clasifican las edificaciones o espacios empleados en la reclusión de personas con libertad restringida por razones penales, correccionales o de limitación mental.</w:t>
      </w:r>
      <w:r w:rsidRPr="00E71868">
        <w:rPr>
          <w:rFonts w:ascii="Verdana" w:eastAsia="Calibri" w:hAnsi="Verdana" w:cs="Arial"/>
          <w:color w:val="0D0D0D"/>
          <w:kern w:val="2"/>
          <w:lang w:eastAsia="es-MX"/>
          <w14:ligatures w14:val="standardContextual"/>
        </w:rPr>
        <w:t>”</w:t>
      </w:r>
      <w:r w:rsidRPr="00E71868">
        <w:rPr>
          <w:rFonts w:ascii="Verdana" w:eastAsia="Calibri" w:hAnsi="Verdana" w:cs="Arial"/>
          <w:color w:val="0D0D0D"/>
          <w:kern w:val="2"/>
          <w:vertAlign w:val="superscript"/>
          <w:lang w:eastAsia="es-MX"/>
          <w14:ligatures w14:val="standardContextual"/>
        </w:rPr>
        <w:footnoteReference w:id="13"/>
      </w:r>
      <w:r w:rsidRPr="00E71868">
        <w:rPr>
          <w:rFonts w:ascii="Verdana" w:eastAsia="Calibri" w:hAnsi="Verdana" w:cs="Arial"/>
          <w:color w:val="0D0D0D"/>
          <w:kern w:val="2"/>
          <w:lang w:eastAsia="es-MX"/>
          <w14:ligatures w14:val="standardContextual"/>
        </w:rPr>
        <w:t>. Entre las edificaciones o espacios que pertenecen a este Subgrupo se encuentran las siguientes: “presiones, reformatorios, cárceles, manicomios, asilos y otros similares”</w:t>
      </w:r>
      <w:r w:rsidRPr="00E71868">
        <w:rPr>
          <w:rFonts w:ascii="Verdana" w:eastAsia="Calibri" w:hAnsi="Verdana" w:cs="Arial"/>
          <w:color w:val="0D0D0D"/>
          <w:kern w:val="2"/>
          <w:vertAlign w:val="superscript"/>
          <w:lang w:eastAsia="es-MX"/>
          <w14:ligatures w14:val="standardContextual"/>
        </w:rPr>
        <w:footnoteReference w:id="14"/>
      </w:r>
      <w:r w:rsidRPr="00E71868">
        <w:rPr>
          <w:rFonts w:ascii="Verdana" w:eastAsia="Calibri" w:hAnsi="Verdana" w:cs="Arial"/>
          <w:color w:val="0D0D0D"/>
          <w:kern w:val="2"/>
          <w:lang w:eastAsia="es-MX"/>
          <w14:ligatures w14:val="standardContextual"/>
        </w:rPr>
        <w:t xml:space="preserve">. </w:t>
      </w:r>
    </w:p>
    <w:p w14:paraId="42402CA6" w14:textId="77777777" w:rsidR="00E71868" w:rsidRPr="00E71868" w:rsidRDefault="00E71868" w:rsidP="00E71868">
      <w:pPr>
        <w:spacing w:after="120" w:line="276" w:lineRule="auto"/>
        <w:ind w:firstLine="708"/>
        <w:jc w:val="both"/>
        <w:rPr>
          <w:rFonts w:ascii="Verdana" w:eastAsia="Calibri" w:hAnsi="Verdana" w:cs="Arial"/>
          <w:kern w:val="2"/>
          <w14:ligatures w14:val="standardContextual"/>
        </w:rPr>
      </w:pPr>
      <w:r w:rsidRPr="00E71868">
        <w:rPr>
          <w:rFonts w:ascii="Verdana" w:eastAsia="Calibri" w:hAnsi="Verdana" w:cs="Arial"/>
          <w:kern w:val="2"/>
          <w14:ligatures w14:val="standardContextual"/>
        </w:rPr>
        <w:t>Por su parte, de acuerdo con la norma NSR-10, en el Subgrupo de Ocupación Institucional de Seguridad Pública (I-4) “se clasifican las edificaciones o espacios indispensables para atender emergencias y preservar el orden público y la seguridad de las personas”. En este subgrupo se encuentran: “estaciones de policía, estaciones de bomberos, estaciones de defensa civil, instituciones y otros similares”.</w:t>
      </w:r>
    </w:p>
    <w:p w14:paraId="32FDBFE3" w14:textId="77777777" w:rsidR="00E71868" w:rsidRPr="00E71868" w:rsidRDefault="00E71868" w:rsidP="00E71868">
      <w:pPr>
        <w:spacing w:after="120" w:line="276" w:lineRule="auto"/>
        <w:ind w:firstLine="708"/>
        <w:jc w:val="both"/>
        <w:rPr>
          <w:rFonts w:ascii="Verdana" w:eastAsia="Calibri" w:hAnsi="Verdana" w:cs="Arial"/>
          <w:color w:val="0D0D0D"/>
          <w:kern w:val="2"/>
          <w:lang w:eastAsia="es-MX"/>
          <w14:ligatures w14:val="standardContextual"/>
        </w:rPr>
      </w:pPr>
      <w:r w:rsidRPr="00E71868">
        <w:rPr>
          <w:rFonts w:ascii="Verdana" w:eastAsia="Times New Roman" w:hAnsi="Verdana" w:cs="Calibri"/>
          <w:kern w:val="2"/>
          <w:lang w:eastAsia="es-MX"/>
          <w14:ligatures w14:val="standardContextual"/>
        </w:rPr>
        <w:t xml:space="preserve">Asimismo, la norma </w:t>
      </w:r>
      <w:r w:rsidRPr="00E71868">
        <w:rPr>
          <w:rFonts w:ascii="Verdana" w:eastAsia="Calibri" w:hAnsi="Verdana" w:cs="Arial"/>
          <w:color w:val="0D0D0D"/>
          <w:kern w:val="2"/>
          <w:lang w:eastAsia="es-MX"/>
          <w14:ligatures w14:val="standardContextual"/>
        </w:rPr>
        <w:t>NSR-10 en el Subgrupo de Ocupación Institucional de Servicio Público (I-5) indica que en este “se clasifican las edificaciones o espacios destinados a funciones administrativas y prestación de servicios públicos necesarios para el buen funcionamiento de las ciudades”</w:t>
      </w:r>
      <w:r w:rsidRPr="00E71868">
        <w:rPr>
          <w:rFonts w:ascii="Verdana" w:eastAsia="Calibri" w:hAnsi="Verdana" w:cs="Arial"/>
          <w:color w:val="0D0D0D"/>
          <w:kern w:val="2"/>
          <w:vertAlign w:val="superscript"/>
          <w:lang w:eastAsia="es-MX"/>
          <w14:ligatures w14:val="standardContextual"/>
        </w:rPr>
        <w:footnoteReference w:id="15"/>
      </w:r>
      <w:r w:rsidRPr="00E71868">
        <w:rPr>
          <w:rFonts w:ascii="Verdana" w:eastAsia="Calibri" w:hAnsi="Verdana" w:cs="Arial"/>
          <w:color w:val="0D0D0D"/>
          <w:kern w:val="2"/>
          <w:lang w:eastAsia="es-MX"/>
          <w14:ligatures w14:val="standardContextual"/>
        </w:rPr>
        <w:t>. Entre las edificaciones o espacios que pertenecen a este Subgrupo se encuentran las siguientes: “Centros de comunicación o administrativos o administrativos de servicios municipales, distritales o gubernamentales, juzgados y otros similares”</w:t>
      </w:r>
      <w:r w:rsidRPr="00E71868">
        <w:rPr>
          <w:rFonts w:ascii="Verdana" w:eastAsia="Calibri" w:hAnsi="Verdana" w:cs="Arial"/>
          <w:color w:val="0D0D0D"/>
          <w:kern w:val="2"/>
          <w:vertAlign w:val="superscript"/>
          <w:lang w:eastAsia="es-MX"/>
          <w14:ligatures w14:val="standardContextual"/>
        </w:rPr>
        <w:footnoteReference w:id="16"/>
      </w:r>
      <w:r w:rsidRPr="00E71868">
        <w:rPr>
          <w:rFonts w:ascii="Verdana" w:eastAsia="Calibri" w:hAnsi="Verdana" w:cs="Arial"/>
          <w:color w:val="0D0D0D"/>
          <w:kern w:val="2"/>
          <w:lang w:eastAsia="es-MX"/>
          <w14:ligatures w14:val="standardContextual"/>
        </w:rPr>
        <w:t>.</w:t>
      </w:r>
    </w:p>
    <w:p w14:paraId="4BB72A4D" w14:textId="77777777" w:rsidR="00E71868" w:rsidRPr="00E71868" w:rsidRDefault="00E71868" w:rsidP="00E71868">
      <w:pPr>
        <w:spacing w:after="0" w:line="276" w:lineRule="auto"/>
        <w:ind w:firstLine="708"/>
        <w:jc w:val="both"/>
        <w:rPr>
          <w:rFonts w:ascii="Verdana" w:eastAsia="Aptos" w:hAnsi="Verdana" w:cs="Times New Roman"/>
          <w:kern w:val="2"/>
          <w14:ligatures w14:val="standardContextual"/>
        </w:rPr>
      </w:pPr>
      <w:r w:rsidRPr="00E71868">
        <w:rPr>
          <w:rFonts w:ascii="Verdana" w:eastAsia="Calibri" w:hAnsi="Verdana" w:cs="Arial"/>
          <w:color w:val="0D0D0D"/>
          <w:kern w:val="2"/>
          <w:lang w:eastAsia="es-MX"/>
          <w14:ligatures w14:val="standardContextual"/>
        </w:rPr>
        <w:lastRenderedPageBreak/>
        <w:t xml:space="preserve">La expresión “otros similares”, empleada en los Subgrupos de Ocupación Institucional de Reclusión (I-1), Seguridad Pública (I-4) y Servicio Público (I-5) de la NSR-10, debe interpretarse en cada caso de manera restrictiva y funcional, en el sentido de que comprende aquellas edificaciones o espacios que, aunque no estén expresamente mencionados, comparten las características esenciales de la definición y ejemplos de los respectivos subgrupos. </w:t>
      </w:r>
      <w:r w:rsidRPr="00E71868">
        <w:rPr>
          <w:rFonts w:ascii="Verdana" w:eastAsia="Aptos" w:hAnsi="Verdana" w:cs="Times New Roman"/>
          <w:kern w:val="2"/>
          <w14:ligatures w14:val="standardContextual"/>
        </w:rPr>
        <w:t>En consecuencia, en los tres subgrupos, la expresión "otros similares" no habilita una lectura abierta o indeterminada, sino que exige que el establecimiento respectivo comparta la finalidad material y funcional propia de los ejemplos que la norma enuncia, con independencia de su denominación formal.</w:t>
      </w:r>
    </w:p>
    <w:p w14:paraId="4CDEA6B6" w14:textId="77777777" w:rsidR="00E71868" w:rsidRPr="00E71868" w:rsidRDefault="00E71868" w:rsidP="00E71868">
      <w:pPr>
        <w:spacing w:after="0" w:line="276" w:lineRule="auto"/>
        <w:ind w:firstLine="708"/>
        <w:jc w:val="both"/>
        <w:rPr>
          <w:rFonts w:ascii="Verdana" w:eastAsia="Aptos" w:hAnsi="Verdana" w:cs="Times New Roman"/>
          <w:kern w:val="2"/>
          <w14:ligatures w14:val="standardContextual"/>
        </w:rPr>
      </w:pPr>
    </w:p>
    <w:p w14:paraId="14AE6CAF" w14:textId="77777777" w:rsidR="00E71868" w:rsidRPr="00E71868" w:rsidRDefault="00E71868" w:rsidP="00E71868">
      <w:pPr>
        <w:snapToGrid w:val="0"/>
        <w:spacing w:before="120" w:after="120" w:line="276" w:lineRule="auto"/>
        <w:jc w:val="both"/>
        <w:rPr>
          <w:rFonts w:ascii="Verdana" w:eastAsia="Times New Roman" w:hAnsi="Verdana" w:cs="Times New Roman"/>
          <w:lang w:eastAsia="es-MX"/>
        </w:rPr>
      </w:pPr>
      <w:proofErr w:type="spellStart"/>
      <w:r w:rsidRPr="00E71868">
        <w:rPr>
          <w:rFonts w:ascii="Verdana" w:eastAsia="Times New Roman" w:hAnsi="Verdana" w:cs="Times New Roman"/>
          <w:lang w:eastAsia="es-MX"/>
        </w:rPr>
        <w:t>iii</w:t>
      </w:r>
      <w:proofErr w:type="spellEnd"/>
      <w:r w:rsidRPr="00E71868">
        <w:rPr>
          <w:rFonts w:ascii="Verdana" w:eastAsia="Times New Roman" w:hAnsi="Verdana" w:cs="Times New Roman"/>
          <w:lang w:eastAsia="es-MX"/>
        </w:rPr>
        <w:t>. En relación con la aparente contradicción que la peticionaria indica que existe entre la Nota General 1 de la Matriz de Experiencia y la naturaleza de las obras de contención de taludes y obras hidráulicas contenidas en las actividades 5.2 y 5.4 –señaladas en el punto dos (</w:t>
      </w:r>
      <w:proofErr w:type="spellStart"/>
      <w:r w:rsidRPr="00E71868">
        <w:rPr>
          <w:rFonts w:ascii="Verdana" w:eastAsia="Times New Roman" w:hAnsi="Verdana" w:cs="Times New Roman"/>
          <w:lang w:eastAsia="es-MX"/>
        </w:rPr>
        <w:t>ii</w:t>
      </w:r>
      <w:proofErr w:type="spellEnd"/>
      <w:r w:rsidRPr="00E71868">
        <w:rPr>
          <w:rFonts w:ascii="Verdana" w:eastAsia="Times New Roman" w:hAnsi="Verdana" w:cs="Times New Roman"/>
          <w:lang w:eastAsia="es-MX"/>
        </w:rPr>
        <w:t xml:space="preserve">) de este concepto–, esta se disuelve al advertir que la remisión a la NSR-10 no tiene por objeto exigir que las obras de estabilización de taludes, recuperación de banca o manejo de inundaciones sean, en sí mismas, "edificaciones" en los términos del artículo 4 de la Ley 400 de 1997. Precisamente, la propia NSR-10 define la edificación, en el numeral A.1.2.4 del Título A, como aquella construcción “(…) cuyo uso primordial es la habitación u ocupación por seres humanos”, y a partir de esa definición excluye expresamente, en el numeral A.1.2.4.1, “el diseño y construcción de estructuras especiales tales como puentes, torres de transmisión, torres y equipos industriales, muelles, estructuras hidráulicas y todas aquellas construcciones diferentes de edificaciones”. </w:t>
      </w:r>
    </w:p>
    <w:p w14:paraId="028C43E1" w14:textId="77777777" w:rsidR="00E71868" w:rsidRPr="00E71868" w:rsidRDefault="00E71868" w:rsidP="00E71868">
      <w:pPr>
        <w:snapToGrid w:val="0"/>
        <w:spacing w:before="120" w:after="120" w:line="276" w:lineRule="auto"/>
        <w:ind w:firstLine="708"/>
        <w:jc w:val="both"/>
        <w:rPr>
          <w:rFonts w:ascii="Verdana" w:eastAsia="Times New Roman" w:hAnsi="Verdana" w:cs="Times New Roman"/>
          <w:lang w:eastAsia="es-MX"/>
        </w:rPr>
      </w:pPr>
      <w:r w:rsidRPr="00E71868">
        <w:rPr>
          <w:rFonts w:ascii="Verdana" w:eastAsia="Times New Roman" w:hAnsi="Verdana" w:cs="Times New Roman"/>
          <w:lang w:eastAsia="es-MX"/>
        </w:rPr>
        <w:t>De lo anterior se sigue que la propia norma reconoce que las obras hidráulicas no son, ni pretenden ser, “edificaciones” en sentido técnico, por lo que mal podría entenderse que la Nota General 1 exige que dichas obras cumplan, ellas mismas, con la clasificación por grupos de ocupación prevista para las edificaciones. En consecuencia, la remisión de la Nota General 1 a la NSR-10 no busca encuadrar la obra hidráulica dentro de un grupo de ocupación, sino delimitar qué se entiende por “infraestructura institucional”, esto es, el bien o activo que dicha obra protege, mitiga o atiende ante una emergencia.</w:t>
      </w:r>
    </w:p>
    <w:p w14:paraId="5A14BB18" w14:textId="77777777" w:rsidR="00E71868" w:rsidRPr="00E71868" w:rsidRDefault="00E71868" w:rsidP="00E71868">
      <w:pPr>
        <w:snapToGrid w:val="0"/>
        <w:spacing w:before="120" w:after="120" w:line="276" w:lineRule="auto"/>
        <w:ind w:firstLine="708"/>
        <w:jc w:val="both"/>
        <w:rPr>
          <w:rFonts w:ascii="Verdana" w:eastAsia="Times New Roman" w:hAnsi="Verdana" w:cs="Times New Roman"/>
          <w:lang w:eastAsia="es-MX"/>
        </w:rPr>
      </w:pPr>
      <w:r w:rsidRPr="00E71868">
        <w:rPr>
          <w:rFonts w:ascii="Verdana" w:eastAsia="Times New Roman" w:hAnsi="Verdana" w:cs="Times New Roman"/>
          <w:lang w:eastAsia="es-MX"/>
        </w:rPr>
        <w:t xml:space="preserve">Ahora bien, la propia NSR-10 no limita su ámbito de regulación a la “edificación” entendida en sentido estricto como construcción cerrada, sino que </w:t>
      </w:r>
      <w:r w:rsidRPr="00E71868">
        <w:rPr>
          <w:rFonts w:ascii="Verdana" w:eastAsia="Times New Roman" w:hAnsi="Verdana" w:cs="Times New Roman"/>
          <w:lang w:eastAsia="es-MX"/>
        </w:rPr>
        <w:lastRenderedPageBreak/>
        <w:t xml:space="preserve">de manera reiterada se refiere a “edificaciones o espacios”. Así lo reflejan tanto el numeral K.2.1.2 del Título K, que dispone que “toda edificación o espacio que se construya o altere debe clasificarse (…) en uno de los Grupos de Ocupación”, como la definición misma del Grupo de Ocupación Institucional en el numeral K.2.6.1, que clasifica dentro de dicho grupo “las edificaciones o espacios utilizados para (…)” los fines allí descritos y, de manera puntual, “las edificaciones y espacios indispensables en la atención de emergencias, preservación de la seguridad de personas y la prestación de servicios públicos y administrativos”. </w:t>
      </w:r>
    </w:p>
    <w:p w14:paraId="685A75F0" w14:textId="77777777" w:rsidR="00E71868" w:rsidRPr="00E71868" w:rsidRDefault="00E71868" w:rsidP="00E71868">
      <w:pPr>
        <w:snapToGrid w:val="0"/>
        <w:spacing w:before="120" w:after="120" w:line="276" w:lineRule="auto"/>
        <w:ind w:firstLine="708"/>
        <w:jc w:val="both"/>
        <w:rPr>
          <w:rFonts w:ascii="Verdana" w:eastAsia="Times New Roman" w:hAnsi="Verdana" w:cs="Times New Roman"/>
          <w:lang w:eastAsia="es-MX"/>
        </w:rPr>
      </w:pPr>
      <w:r w:rsidRPr="00E71868">
        <w:rPr>
          <w:rFonts w:ascii="Verdana" w:eastAsia="Times New Roman" w:hAnsi="Verdana" w:cs="Times New Roman"/>
          <w:lang w:eastAsia="es-MX"/>
        </w:rPr>
        <w:t>Esta dualidad no es accidental: permite que la norma cubra no solo la construcción confinada en sí, sino también aquellas áreas, zonas o instalaciones que, sin constituir una edificación en sentido estricto, resultan indispensables para el funcionamiento, la seguridad o la operación continua de la infraestructura institucional. En esa medida, el concepto de espacio es el que permite extender la protección de la NSR-10, y por remisión el alcance del capítulo 5 de la Matriz de Experiencia, más allá de los muros de la edificación, hacia aquellas áreas circundantes o funcionalmente conexas cuya afectación comprometería la operación de la sede institucional, como ocurriría con el cauce que bordea el perímetro de un centro administrativo.</w:t>
      </w:r>
    </w:p>
    <w:p w14:paraId="716B7072" w14:textId="77777777" w:rsidR="00E71868" w:rsidRPr="00E71868" w:rsidRDefault="00E71868" w:rsidP="00E71868">
      <w:pPr>
        <w:snapToGrid w:val="0"/>
        <w:spacing w:before="120" w:after="120" w:line="276" w:lineRule="auto"/>
        <w:ind w:firstLine="708"/>
        <w:jc w:val="both"/>
        <w:rPr>
          <w:rFonts w:ascii="Verdana" w:eastAsia="Times New Roman" w:hAnsi="Verdana" w:cs="Times New Roman"/>
          <w:lang w:eastAsia="es-MX"/>
        </w:rPr>
      </w:pPr>
      <w:r w:rsidRPr="00E71868">
        <w:rPr>
          <w:rFonts w:ascii="Verdana" w:eastAsia="Times New Roman" w:hAnsi="Verdana" w:cs="Times New Roman"/>
          <w:lang w:eastAsia="es-MX"/>
        </w:rPr>
        <w:t>Conforme con lo anterior, la expresión “en el ámbito del sector institucional” que cierra las actividades 5.1 a 5.4 debe leerse como un criterio de vinculación funcional y no como una exigencia de que la obra misma adopte la forma de una edificación o se realice sobre esta. Las obras de estabilización de taludes, remoción de derrumbes u obras hidráulicas para el manejo de inundaciones estarán comprendidas en el capítulo 5 de la Matriz cuando su ejecución esté orientada a la atención, prevención o mitigación de una emergencia que afecte, comprometa o ponga en riesgo la operación, la infraestructura física, los espacios funcionalmente conexos o la continuidad del servicio de una edificación o espacio clasificado dentro de los Subgrupos de Ocupación Institucional de Reclusión, Seguridad Pública o Servicio Público, esto es, cárceles, estaciones de policía o de bomberos, sedes administrativas, juzgados, centros de comunicación y demás edificaciones o espacios asimilables bajo el criterio restrictivo y funcional ya expuesto para la expresión “otros similares”.</w:t>
      </w:r>
    </w:p>
    <w:p w14:paraId="41C5B3B5" w14:textId="77777777" w:rsidR="00E71868" w:rsidRPr="00E71868" w:rsidRDefault="00E71868" w:rsidP="00E71868">
      <w:pPr>
        <w:snapToGrid w:val="0"/>
        <w:spacing w:before="120" w:after="120" w:line="276" w:lineRule="auto"/>
        <w:ind w:firstLine="708"/>
        <w:jc w:val="both"/>
        <w:rPr>
          <w:rFonts w:ascii="Verdana" w:eastAsia="Times New Roman" w:hAnsi="Verdana" w:cs="Times New Roman"/>
          <w:lang w:eastAsia="es-MX"/>
        </w:rPr>
      </w:pPr>
      <w:r w:rsidRPr="00E71868">
        <w:rPr>
          <w:rFonts w:ascii="Verdana" w:eastAsia="Times New Roman" w:hAnsi="Verdana" w:cs="Times New Roman"/>
          <w:lang w:eastAsia="es-MX"/>
        </w:rPr>
        <w:lastRenderedPageBreak/>
        <w:t xml:space="preserve">De lo anterior se sigue que no resulta indispensable que la obra se ejecute estrictamente dentro de la edificación institucional, pero sí que exista una relación de destinación o de protección directa hacia esa infraestructura o hacia los espacios indispensables para su funcionamiento. Por ejemplo, la construcción de obras hidráulicas para contener el desbordamiento de una fuente hídrica que amenace la sede de una estación de bomberos, o la estabilización de un talud que compromete el acceso o la estructura de un centro administrativo municipal, encajarían dentro del alcance de las actividades 5.2 y 5.4. </w:t>
      </w:r>
    </w:p>
    <w:p w14:paraId="588C0EFA" w14:textId="77777777" w:rsidR="00E71868" w:rsidRPr="00E71868" w:rsidRDefault="00E71868" w:rsidP="00E71868">
      <w:pPr>
        <w:snapToGrid w:val="0"/>
        <w:spacing w:before="120" w:after="120" w:line="276" w:lineRule="auto"/>
        <w:ind w:firstLine="708"/>
        <w:jc w:val="both"/>
        <w:rPr>
          <w:rFonts w:ascii="Verdana" w:eastAsia="Times New Roman" w:hAnsi="Verdana" w:cs="Times New Roman"/>
          <w:lang w:eastAsia="es-MX"/>
        </w:rPr>
      </w:pPr>
      <w:r w:rsidRPr="00E71868">
        <w:rPr>
          <w:rFonts w:ascii="Verdana" w:eastAsia="Times New Roman" w:hAnsi="Verdana" w:cs="Times New Roman"/>
          <w:lang w:eastAsia="es-MX"/>
        </w:rPr>
        <w:t>Por el contrario, aquellas obras civiles abiertas de carácter general, tales como el control de vertimientos, la recuperación de drenajes o el manejo de inundaciones concebidas como infraestructura de servicio público a escala municipal, sin conexión funcional con una edificación o espacio institucional específico, no encuentran fundamento en el capítulo 5 de la Matriz 1 – Experiencia Sector Institucional, en la medida en que su objeto excede el propósito para el cual fue incorporado dicho capítulo, esto es, dar cumplimiento al diagnóstico sectorial de gestión del riesgo adelantado por la UNGRD respecto de los sectores agrupados bajo el sector institucional, y no la atención genérica de la gestión del riesgo de desastres a nivel territorial.</w:t>
      </w:r>
    </w:p>
    <w:p w14:paraId="10278010" w14:textId="77777777" w:rsidR="00E71868" w:rsidRPr="00E71868" w:rsidRDefault="00E71868" w:rsidP="00E71868">
      <w:pPr>
        <w:spacing w:before="120" w:after="120" w:line="276" w:lineRule="auto"/>
        <w:ind w:firstLine="708"/>
        <w:jc w:val="both"/>
        <w:rPr>
          <w:rFonts w:ascii="Verdana" w:eastAsia="Times New Roman" w:hAnsi="Verdana" w:cs="Times New Roman"/>
          <w:lang w:eastAsia="es-MX"/>
        </w:rPr>
      </w:pPr>
      <w:r w:rsidRPr="00E71868">
        <w:rPr>
          <w:rFonts w:ascii="Verdana" w:eastAsia="Times New Roman" w:hAnsi="Verdana" w:cs="Times New Roman"/>
          <w:lang w:eastAsia="es-MX"/>
        </w:rPr>
        <w:t>En ese escenario, si la necesidad de contratación de la Entidad Estatal corresponde a obras civiles abiertas sin vinculación funcional a una infraestructura o espacio institucional en los términos señalados, dicha necesidad no se encuentra cubierta por el ámbito de aplicación de los documentos tipo del Sector Institucional, por lo que la Entidad deberá verificar si dicha necesidad se enmarca en algún otro documento tipo cuya adopción sea obligatoria de acuerdo con su objeto –considerando los parámetros establecidos en el punto uno (i) de este concepto–, y solo en ausencia de un documento tipo aplicable podrá estructurar su propio pliego de condiciones conforme a las reglas generales previstas en la Ley 80 de 1993 y la Ley 1150 de 2007.</w:t>
      </w:r>
    </w:p>
    <w:p w14:paraId="5668A739" w14:textId="77777777" w:rsidR="00E71868" w:rsidRPr="00E71868" w:rsidRDefault="00E71868" w:rsidP="00E71868">
      <w:pPr>
        <w:spacing w:after="0" w:line="276" w:lineRule="auto"/>
        <w:ind w:firstLine="708"/>
        <w:jc w:val="both"/>
        <w:rPr>
          <w:rFonts w:ascii="Verdana" w:eastAsia="Calibri" w:hAnsi="Verdana" w:cs="Arial"/>
          <w:color w:val="0D0D0D"/>
          <w:lang w:eastAsia="es-MX"/>
        </w:rPr>
      </w:pPr>
      <w:r w:rsidRPr="00E71868">
        <w:rPr>
          <w:rFonts w:ascii="Verdana" w:eastAsia="Calibri" w:hAnsi="Verdana" w:cs="Arial"/>
          <w:lang w:val="es-ES" w:eastAsia="es-MX"/>
        </w:rPr>
        <w:t xml:space="preserve">Por lo anterior, la Agencia Nacional de Contratación Pública – Colombia Compra Eficiente indica que, a partir del 16 de febrero de 2026, si una entidad de aquellas obligadas a utilizar los documentos tipo expedidos por esta Entidad adelanta un proceso que tenga por objeto la(s) actividad(es) contenidas en el capítulo “5. </w:t>
      </w:r>
      <w:r w:rsidRPr="00E71868">
        <w:rPr>
          <w:rFonts w:ascii="Verdana" w:eastAsia="Arial" w:hAnsi="Verdana" w:cs="Aptos"/>
          <w:lang w:eastAsia="es-ES"/>
        </w:rPr>
        <w:t>Obras para atención, prevención o mitigación de emergencias diferentes a contratación directa para el sector institucional</w:t>
      </w:r>
      <w:r w:rsidRPr="00E71868">
        <w:rPr>
          <w:rFonts w:ascii="Verdana" w:eastAsia="Calibri" w:hAnsi="Verdana" w:cs="Arial"/>
          <w:lang w:val="es-ES" w:eastAsia="es-MX"/>
        </w:rPr>
        <w:t>” de la Matriz 1 – Experiencia Sector Institucional</w:t>
      </w:r>
      <w:r w:rsidRPr="00E71868">
        <w:rPr>
          <w:rFonts w:ascii="Verdana" w:eastAsia="Times New Roman" w:hAnsi="Verdana" w:cs="Aptos"/>
          <w:lang w:eastAsia="es-MX"/>
        </w:rPr>
        <w:t xml:space="preserve">, </w:t>
      </w:r>
      <w:r w:rsidRPr="00E71868">
        <w:rPr>
          <w:rFonts w:ascii="Verdana" w:eastAsia="Calibri" w:hAnsi="Verdana" w:cs="Arial"/>
          <w:lang w:val="es-ES" w:eastAsia="es-MX"/>
        </w:rPr>
        <w:t xml:space="preserve">deberá implementar los </w:t>
      </w:r>
      <w:r w:rsidRPr="00E71868">
        <w:rPr>
          <w:rFonts w:ascii="Verdana" w:eastAsia="Calibri" w:hAnsi="Verdana" w:cs="Arial"/>
          <w:color w:val="0D0D0D"/>
          <w:lang w:eastAsia="es-MX"/>
        </w:rPr>
        <w:t xml:space="preserve">documentos tipo </w:t>
      </w:r>
      <w:r w:rsidRPr="00E71868">
        <w:rPr>
          <w:rFonts w:ascii="Verdana" w:eastAsia="Calibri" w:hAnsi="Verdana" w:cs="Arial"/>
          <w:color w:val="0D0D0D"/>
          <w:lang w:eastAsia="es-MX"/>
        </w:rPr>
        <w:lastRenderedPageBreak/>
        <w:t>acogidos mediante las Resoluciones 539, 540 o 541 de 2025, según el proyecto se adelante por la modalidad de licitación de obra pública, selección abreviada de menor cuantía o mínima cuantía.</w:t>
      </w:r>
    </w:p>
    <w:p w14:paraId="07E42581" w14:textId="77777777" w:rsidR="00E71868" w:rsidRPr="00E71868" w:rsidRDefault="00E71868" w:rsidP="00E71868">
      <w:pPr>
        <w:spacing w:after="0" w:line="276" w:lineRule="auto"/>
        <w:ind w:firstLine="708"/>
        <w:jc w:val="both"/>
        <w:rPr>
          <w:rFonts w:ascii="Verdana" w:eastAsia="Calibri" w:hAnsi="Verdana" w:cs="Arial"/>
          <w:color w:val="0D0D0D"/>
          <w:lang w:eastAsia="es-MX"/>
        </w:rPr>
      </w:pPr>
    </w:p>
    <w:p w14:paraId="567F79A3" w14:textId="77777777" w:rsidR="00E71868" w:rsidRPr="00E71868" w:rsidRDefault="00E71868" w:rsidP="00E71868">
      <w:pPr>
        <w:spacing w:after="120" w:line="276" w:lineRule="auto"/>
        <w:jc w:val="both"/>
        <w:rPr>
          <w:rFonts w:ascii="Verdana" w:eastAsia="Times New Roman" w:hAnsi="Verdana" w:cs="Times New Roman"/>
          <w:kern w:val="2"/>
          <w:lang w:eastAsia="es-MX"/>
          <w14:ligatures w14:val="standardContextual"/>
        </w:rPr>
      </w:pPr>
      <w:proofErr w:type="spellStart"/>
      <w:r w:rsidRPr="00E71868">
        <w:rPr>
          <w:rFonts w:ascii="Verdana" w:eastAsia="Calibri" w:hAnsi="Verdana" w:cs="Arial"/>
          <w:kern w:val="2"/>
          <w:lang w:eastAsia="es-MX"/>
          <w14:ligatures w14:val="standardContextual"/>
        </w:rPr>
        <w:t>iv</w:t>
      </w:r>
      <w:proofErr w:type="spellEnd"/>
      <w:r w:rsidRPr="00E71868">
        <w:rPr>
          <w:rFonts w:ascii="Verdana" w:eastAsia="Calibri" w:hAnsi="Verdana" w:cs="Arial"/>
          <w:kern w:val="2"/>
          <w:lang w:eastAsia="es-MX"/>
          <w14:ligatures w14:val="standardContextual"/>
        </w:rPr>
        <w:t xml:space="preserve">. </w:t>
      </w:r>
      <w:r w:rsidRPr="00E71868">
        <w:rPr>
          <w:rFonts w:ascii="Verdana" w:eastAsia="Calibri" w:hAnsi="Verdana" w:cs="Arial"/>
          <w:bCs/>
          <w:color w:val="000000"/>
          <w:kern w:val="2"/>
          <w:lang w:eastAsia="es-MX"/>
          <w14:ligatures w14:val="standardContextual"/>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736A4FC2" w14:textId="77777777" w:rsidR="00E71868" w:rsidRPr="00E71868" w:rsidRDefault="00E71868" w:rsidP="00E71868">
      <w:pPr>
        <w:spacing w:after="0" w:line="276" w:lineRule="auto"/>
        <w:ind w:firstLine="708"/>
        <w:jc w:val="both"/>
        <w:rPr>
          <w:rFonts w:ascii="Verdana" w:eastAsia="Calibri" w:hAnsi="Verdana" w:cs="Arial"/>
          <w:bCs/>
          <w:color w:val="000000"/>
          <w:kern w:val="2"/>
          <w:lang w:eastAsia="es-MX"/>
          <w14:ligatures w14:val="standardContextual"/>
        </w:rPr>
      </w:pPr>
      <w:r w:rsidRPr="00E71868">
        <w:rPr>
          <w:rFonts w:ascii="Verdana" w:eastAsia="Calibri" w:hAnsi="Verdana" w:cs="Arial"/>
          <w:bCs/>
          <w:color w:val="000000"/>
          <w:kern w:val="2"/>
          <w:lang w:eastAsia="es-MX"/>
          <w14:ligatures w14:val="standardContextual"/>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5082B4BF" w14:textId="77777777" w:rsidR="00E71868" w:rsidRPr="00E71868" w:rsidRDefault="00E71868" w:rsidP="00E71868">
      <w:pPr>
        <w:spacing w:after="0" w:line="276" w:lineRule="auto"/>
        <w:jc w:val="both"/>
        <w:rPr>
          <w:rFonts w:ascii="Verdana" w:eastAsia="Calibri" w:hAnsi="Verdana" w:cs="Times New Roman"/>
          <w:lang w:eastAsia="es-MX"/>
        </w:rPr>
      </w:pPr>
    </w:p>
    <w:p w14:paraId="415CD330" w14:textId="77777777" w:rsidR="00E71868" w:rsidRPr="00E71868" w:rsidRDefault="00E71868" w:rsidP="00E71868">
      <w:pPr>
        <w:tabs>
          <w:tab w:val="left" w:pos="142"/>
          <w:tab w:val="left" w:pos="284"/>
        </w:tabs>
        <w:spacing w:after="0" w:line="276" w:lineRule="auto"/>
        <w:jc w:val="both"/>
        <w:rPr>
          <w:rFonts w:ascii="Verdana" w:eastAsia="Century Gothic" w:hAnsi="Verdana" w:cs="Century Gothic"/>
          <w:b/>
          <w:bCs/>
          <w:lang w:val="es-ES_tradnl" w:eastAsia="es-MX"/>
        </w:rPr>
      </w:pPr>
      <w:r w:rsidRPr="00E71868">
        <w:rPr>
          <w:rFonts w:ascii="Verdana" w:eastAsia="Century Gothic" w:hAnsi="Verdana" w:cs="Century Gothic"/>
          <w:b/>
          <w:bCs/>
          <w:lang w:val="es-ES_tradnl" w:eastAsia="es-MX"/>
        </w:rPr>
        <w:t>4. Referencias normativas, jurisprudenciales y otras fuentes:</w:t>
      </w:r>
    </w:p>
    <w:p w14:paraId="211E9D13" w14:textId="77777777" w:rsidR="00E71868" w:rsidRPr="00E71868" w:rsidRDefault="00E71868" w:rsidP="00E71868">
      <w:pPr>
        <w:spacing w:after="0"/>
        <w:ind w:left="-15840"/>
        <w:jc w:val="both"/>
        <w:rPr>
          <w:rFonts w:ascii="Verdana" w:eastAsia="Calibri" w:hAnsi="Verdana" w:cs="Arial"/>
          <w:b/>
          <w:bCs/>
          <w:lang w:eastAsia="es-MX"/>
        </w:rPr>
      </w:pPr>
      <w:r w:rsidRPr="00E71868">
        <w:rPr>
          <w:rFonts w:ascii="Verdana" w:eastAsia="Calibri" w:hAnsi="Verdana" w:cs="Arial"/>
          <w:b/>
          <w:bCs/>
          <w:lang w:eastAsia="es-MX"/>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E71868" w:rsidRPr="00E71868" w14:paraId="3BEC0E15" w14:textId="77777777" w:rsidTr="005672E7">
        <w:trPr>
          <w:trHeight w:val="870"/>
        </w:trPr>
        <w:tc>
          <w:tcPr>
            <w:tcW w:w="8647" w:type="dxa"/>
            <w:tcBorders>
              <w:top w:val="dotted" w:sz="4" w:space="0" w:color="auto"/>
              <w:left w:val="dotted" w:sz="4" w:space="0" w:color="auto"/>
              <w:bottom w:val="dotted" w:sz="4" w:space="0" w:color="auto"/>
              <w:right w:val="dotted" w:sz="4" w:space="0" w:color="auto"/>
            </w:tcBorders>
          </w:tcPr>
          <w:p w14:paraId="2E7CA411" w14:textId="77777777" w:rsidR="00E71868" w:rsidRPr="00E71868" w:rsidRDefault="00E71868" w:rsidP="00E71868">
            <w:pPr>
              <w:widowControl w:val="0"/>
              <w:numPr>
                <w:ilvl w:val="0"/>
                <w:numId w:val="18"/>
              </w:numPr>
              <w:autoSpaceDE w:val="0"/>
              <w:autoSpaceDN w:val="0"/>
              <w:spacing w:line="276" w:lineRule="auto"/>
              <w:contextualSpacing/>
              <w:jc w:val="both"/>
              <w:rPr>
                <w:rFonts w:ascii="Verdana" w:eastAsia="Calibri" w:hAnsi="Verdana" w:cs="Arial"/>
                <w:lang w:val="es-ES_tradnl" w:eastAsia="es-MX"/>
              </w:rPr>
            </w:pPr>
            <w:r w:rsidRPr="00E71868">
              <w:rPr>
                <w:rFonts w:ascii="Verdana" w:eastAsia="Calibri" w:hAnsi="Verdana" w:cs="Arial"/>
                <w:lang w:val="es-ES_tradnl" w:eastAsia="es-MX"/>
              </w:rPr>
              <w:t xml:space="preserve">Ley 2022 de 2020, artículo 1. </w:t>
            </w:r>
          </w:p>
          <w:p w14:paraId="7EAEE28F" w14:textId="77777777" w:rsidR="00E71868" w:rsidRPr="00E71868" w:rsidRDefault="00E71868" w:rsidP="00E71868">
            <w:pPr>
              <w:widowControl w:val="0"/>
              <w:numPr>
                <w:ilvl w:val="0"/>
                <w:numId w:val="16"/>
              </w:numPr>
              <w:autoSpaceDE w:val="0"/>
              <w:autoSpaceDN w:val="0"/>
              <w:spacing w:line="276" w:lineRule="auto"/>
              <w:jc w:val="both"/>
              <w:rPr>
                <w:rFonts w:ascii="Verdana" w:eastAsia="Calibri" w:hAnsi="Verdana" w:cs="Arial"/>
                <w:lang w:eastAsia="es-MX"/>
              </w:rPr>
            </w:pPr>
            <w:r w:rsidRPr="00E71868">
              <w:rPr>
                <w:rFonts w:ascii="Verdana" w:eastAsia="Calibri" w:hAnsi="Verdana" w:cs="Arial"/>
                <w:lang w:eastAsia="es-MX"/>
              </w:rPr>
              <w:t>Ley 1150 de 2007, artículo 2.</w:t>
            </w:r>
          </w:p>
          <w:p w14:paraId="1636859B" w14:textId="77777777" w:rsidR="00E71868" w:rsidRPr="00E71868" w:rsidRDefault="00E71868" w:rsidP="00E71868">
            <w:pPr>
              <w:widowControl w:val="0"/>
              <w:numPr>
                <w:ilvl w:val="0"/>
                <w:numId w:val="16"/>
              </w:numPr>
              <w:autoSpaceDE w:val="0"/>
              <w:autoSpaceDN w:val="0"/>
              <w:spacing w:line="276" w:lineRule="auto"/>
              <w:contextualSpacing/>
              <w:jc w:val="both"/>
              <w:rPr>
                <w:rFonts w:ascii="Verdana" w:eastAsia="Calibri" w:hAnsi="Verdana" w:cs="Arial"/>
                <w:lang w:eastAsia="es-MX"/>
              </w:rPr>
            </w:pPr>
            <w:r w:rsidRPr="00E71868">
              <w:rPr>
                <w:rFonts w:ascii="Verdana" w:eastAsia="Calibri" w:hAnsi="Verdana" w:cs="Arial"/>
                <w:lang w:val="es-ES_tradnl" w:eastAsia="es-MX"/>
              </w:rPr>
              <w:t xml:space="preserve">Documentos Tipo. Disponibles en: </w:t>
            </w:r>
            <w:hyperlink r:id="rId11" w:history="1">
              <w:r w:rsidRPr="00E71868">
                <w:rPr>
                  <w:rFonts w:ascii="Verdana" w:eastAsia="Calibri" w:hAnsi="Verdana" w:cs="Arial"/>
                  <w:color w:val="0000FF"/>
                  <w:u w:val="single"/>
                  <w:lang w:val="es-ES_tradnl" w:eastAsia="es-MX"/>
                </w:rPr>
                <w:t>https://www.colombiacompra.gov.co/documentos-tipo/documentos-tipo</w:t>
              </w:r>
            </w:hyperlink>
            <w:r w:rsidRPr="00E71868">
              <w:rPr>
                <w:rFonts w:ascii="Verdana" w:eastAsia="Calibri" w:hAnsi="Verdana" w:cs="Arial"/>
                <w:lang w:val="es-ES_tradnl" w:eastAsia="es-MX"/>
              </w:rPr>
              <w:t>.</w:t>
            </w:r>
          </w:p>
          <w:p w14:paraId="44B05650" w14:textId="77777777" w:rsidR="00E71868" w:rsidRPr="00E71868" w:rsidRDefault="00E71868" w:rsidP="00E71868">
            <w:pPr>
              <w:widowControl w:val="0"/>
              <w:numPr>
                <w:ilvl w:val="0"/>
                <w:numId w:val="16"/>
              </w:numPr>
              <w:autoSpaceDE w:val="0"/>
              <w:autoSpaceDN w:val="0"/>
              <w:spacing w:line="276" w:lineRule="auto"/>
              <w:contextualSpacing/>
              <w:jc w:val="both"/>
              <w:rPr>
                <w:rFonts w:ascii="Verdana" w:eastAsia="Calibri" w:hAnsi="Verdana" w:cs="Arial"/>
                <w:lang w:eastAsia="es-MX"/>
              </w:rPr>
            </w:pPr>
            <w:r w:rsidRPr="00E71868">
              <w:rPr>
                <w:rFonts w:ascii="Verdana" w:eastAsia="Calibri" w:hAnsi="Verdana" w:cs="Arial"/>
                <w:lang w:val="es-ES_tradnl" w:eastAsia="es-MX"/>
              </w:rPr>
              <w:t>Reglamento Colombiano de Construcción Sismo Resistente NSR-10</w:t>
            </w:r>
            <w:r w:rsidRPr="00E71868">
              <w:rPr>
                <w:rFonts w:ascii="Verdana" w:eastAsia="Aptos" w:hAnsi="Verdana" w:cs="Arial"/>
              </w:rPr>
              <w:t xml:space="preserve"> </w:t>
            </w:r>
          </w:p>
        </w:tc>
      </w:tr>
    </w:tbl>
    <w:p w14:paraId="69E51F5B" w14:textId="77777777" w:rsidR="00E71868" w:rsidRPr="00E71868" w:rsidRDefault="00E71868" w:rsidP="00E71868">
      <w:pPr>
        <w:tabs>
          <w:tab w:val="left" w:pos="142"/>
          <w:tab w:val="left" w:pos="284"/>
        </w:tabs>
        <w:spacing w:after="0" w:line="276" w:lineRule="auto"/>
        <w:jc w:val="both"/>
        <w:rPr>
          <w:rFonts w:ascii="Verdana" w:eastAsia="Calibri" w:hAnsi="Verdana" w:cs="Arial"/>
          <w:lang w:eastAsia="es-MX"/>
        </w:rPr>
      </w:pPr>
    </w:p>
    <w:p w14:paraId="15F0DD33" w14:textId="77777777" w:rsidR="00E71868" w:rsidRPr="00E71868" w:rsidRDefault="00E71868" w:rsidP="00E71868">
      <w:pPr>
        <w:tabs>
          <w:tab w:val="left" w:pos="142"/>
          <w:tab w:val="left" w:pos="284"/>
        </w:tabs>
        <w:spacing w:after="0" w:line="276" w:lineRule="auto"/>
        <w:jc w:val="both"/>
        <w:rPr>
          <w:rFonts w:ascii="Verdana" w:eastAsia="Century Gothic" w:hAnsi="Verdana" w:cs="Century Gothic"/>
          <w:b/>
          <w:bCs/>
          <w:lang w:val="es-ES" w:eastAsia="es-MX"/>
        </w:rPr>
      </w:pPr>
      <w:r w:rsidRPr="00E71868">
        <w:rPr>
          <w:rFonts w:ascii="Verdana" w:eastAsia="Calibri" w:hAnsi="Verdana" w:cs="Arial"/>
          <w:b/>
          <w:bCs/>
          <w:lang w:eastAsia="es-MX"/>
        </w:rPr>
        <w:t>5</w:t>
      </w:r>
      <w:r w:rsidRPr="00E71868">
        <w:rPr>
          <w:rFonts w:ascii="Verdana" w:eastAsia="Calibri" w:hAnsi="Verdana" w:cs="Arial"/>
          <w:lang w:eastAsia="es-MX"/>
        </w:rPr>
        <w:t>.</w:t>
      </w:r>
      <w:r w:rsidRPr="00E71868">
        <w:rPr>
          <w:rFonts w:ascii="Verdana" w:eastAsia="Century Gothic" w:hAnsi="Verdana" w:cs="Century Gothic"/>
          <w:b/>
          <w:bCs/>
          <w:lang w:val="es-ES" w:eastAsia="es-MX"/>
        </w:rPr>
        <w:t>Doctrina de la Agencia Nacional de Contratación Pública:</w:t>
      </w:r>
    </w:p>
    <w:p w14:paraId="546299A9" w14:textId="77777777" w:rsidR="00E71868" w:rsidRPr="00E71868" w:rsidRDefault="00E71868" w:rsidP="00E71868">
      <w:pPr>
        <w:widowControl w:val="0"/>
        <w:autoSpaceDE w:val="0"/>
        <w:autoSpaceDN w:val="0"/>
        <w:spacing w:after="0" w:line="276" w:lineRule="auto"/>
        <w:jc w:val="both"/>
        <w:rPr>
          <w:rFonts w:ascii="Verdana" w:eastAsia="Calibri" w:hAnsi="Verdana" w:cs="Arial"/>
          <w:lang w:eastAsia="es-MX"/>
        </w:rPr>
      </w:pPr>
    </w:p>
    <w:p w14:paraId="65ADC1B5" w14:textId="77777777" w:rsidR="00E71868" w:rsidRPr="00E71868" w:rsidRDefault="00E71868" w:rsidP="00E71868">
      <w:pPr>
        <w:spacing w:after="0" w:line="276" w:lineRule="auto"/>
        <w:jc w:val="both"/>
        <w:rPr>
          <w:rFonts w:ascii="Verdana" w:eastAsia="Calibri" w:hAnsi="Verdana" w:cs="Arial"/>
          <w:shd w:val="clear" w:color="auto" w:fill="FFFFFF"/>
          <w:lang w:val="es-ES" w:eastAsia="es-MX"/>
        </w:rPr>
      </w:pPr>
      <w:r w:rsidRPr="00E71868">
        <w:rPr>
          <w:rFonts w:ascii="Verdana" w:eastAsia="Calibri" w:hAnsi="Verdana" w:cs="Arial"/>
          <w:shd w:val="clear" w:color="auto" w:fill="FFFFFF"/>
          <w:lang w:val="es-ES" w:eastAsia="es-MX"/>
        </w:rPr>
        <w:lastRenderedPageBreak/>
        <w:t>La Agencia Nacional de Contratación Pública – Colombia Compra Eficiente se pronunció</w:t>
      </w:r>
      <w:r w:rsidRPr="00E71868">
        <w:rPr>
          <w:rFonts w:ascii="Verdana" w:eastAsia="Calibri" w:hAnsi="Verdana" w:cs="Times New Roman"/>
          <w:lang w:eastAsia="es-MX"/>
        </w:rPr>
        <w:t xml:space="preserve"> </w:t>
      </w:r>
      <w:r w:rsidRPr="00E71868">
        <w:rPr>
          <w:rFonts w:ascii="Verdana" w:eastAsia="Calibri" w:hAnsi="Verdana" w:cs="Arial"/>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E71868">
        <w:rPr>
          <w:rFonts w:ascii="Verdana" w:eastAsia="Calibri" w:hAnsi="Verdana" w:cs="Arial"/>
          <w:shd w:val="clear" w:color="auto" w:fill="FFFFFF"/>
          <w:lang w:val="es-ES" w:eastAsia="es-MX"/>
        </w:rPr>
        <w:tab/>
        <w:t xml:space="preserve">C-636 del 1 de noviembre de 2024, C-777 del 9 de diciembre de 2024, C-971 del 21 de enero de 2025, C-1813 del 31 de diciembre de 2025, C-186 del 16 de marzo de 2026, C-258 del 19 de marzo de 2026, C-392 del 20 de abril de 2026, C-386 del 23 de abril de 2026, C-475 del 23 de abril de 2026, C-452 del 4 de mayo de 2026, C-583 del 8 de mayo de 2026, C-682 del 22 de mayo de 2026, C-754 del 17 de junio de 2026, C-1048 del 5 de agosto de 2026 entre otros. </w:t>
      </w:r>
    </w:p>
    <w:p w14:paraId="55ED2A5F" w14:textId="77777777" w:rsidR="00E71868" w:rsidRPr="00E71868" w:rsidRDefault="00E71868" w:rsidP="00E71868">
      <w:pPr>
        <w:spacing w:after="0" w:line="240" w:lineRule="auto"/>
        <w:jc w:val="both"/>
        <w:rPr>
          <w:rFonts w:ascii="Verdana" w:eastAsia="Calibri" w:hAnsi="Verdana" w:cs="Arial"/>
          <w:color w:val="000000"/>
          <w:shd w:val="clear" w:color="auto" w:fill="FFFFFF"/>
          <w:lang w:val="es-ES" w:eastAsia="es-MX"/>
        </w:rPr>
      </w:pPr>
    </w:p>
    <w:p w14:paraId="067F74C1" w14:textId="77777777" w:rsidR="00E71868" w:rsidRPr="00E71868" w:rsidRDefault="00E71868" w:rsidP="00E71868">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r w:rsidRPr="00E71868">
        <w:rPr>
          <w:rFonts w:ascii="Verdana" w:eastAsia="Calibri" w:hAnsi="Verdana" w:cs="Arial"/>
          <w:color w:val="000000"/>
          <w:shd w:val="clear" w:color="auto" w:fill="FFFFFF"/>
          <w:lang w:eastAsia="es-MX"/>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tgtFrame="_blank" w:tooltip="Dirección URL original: https://relatoria.colombiacompra.gov.co/. Haga clic o pulse si confía en este vínculo." w:history="1">
        <w:r w:rsidRPr="00E71868">
          <w:rPr>
            <w:rFonts w:ascii="Verdana" w:eastAsia="Calibri" w:hAnsi="Verdana" w:cs="Arial"/>
            <w:color w:val="0000FF"/>
            <w:u w:val="single"/>
            <w:shd w:val="clear" w:color="auto" w:fill="FFFFFF"/>
            <w:lang w:eastAsia="es-MX"/>
          </w:rPr>
          <w:t>https://relatoria.colombiacompra.gov.co/</w:t>
        </w:r>
      </w:hyperlink>
      <w:r w:rsidRPr="00E71868">
        <w:rPr>
          <w:rFonts w:ascii="Verdana" w:eastAsia="Calibri" w:hAnsi="Verdana" w:cs="Arial"/>
          <w:color w:val="0000FF"/>
          <w:u w:val="single"/>
          <w:shd w:val="clear" w:color="auto" w:fill="FFFFFF"/>
          <w:lang w:eastAsia="es-MX"/>
        </w:rPr>
        <w:t> .</w:t>
      </w:r>
    </w:p>
    <w:p w14:paraId="62AEB55A" w14:textId="77777777" w:rsidR="00E71868" w:rsidRPr="00E71868" w:rsidRDefault="00E71868" w:rsidP="00E71868">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p>
    <w:p w14:paraId="63702219" w14:textId="77777777" w:rsidR="00E71868" w:rsidRPr="00E71868" w:rsidRDefault="00E71868" w:rsidP="00E71868">
      <w:pPr>
        <w:spacing w:after="0" w:line="276" w:lineRule="auto"/>
        <w:jc w:val="both"/>
        <w:rPr>
          <w:rFonts w:ascii="Verdana" w:eastAsia="Aptos" w:hAnsi="Verdana" w:cs="Times New Roman"/>
          <w:kern w:val="2"/>
          <w14:ligatures w14:val="standardContextual"/>
        </w:rPr>
      </w:pPr>
      <w:r w:rsidRPr="00E71868">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E71868">
        <w:rPr>
          <w:rFonts w:ascii="Verdana" w:eastAsia="Aptos" w:hAnsi="Verdana" w:cs="Times New Roman"/>
          <w:b/>
          <w:bCs/>
          <w:color w:val="000000"/>
          <w:kern w:val="2"/>
          <w14:ligatures w14:val="standardContextual"/>
        </w:rPr>
        <w:t>Guía para la Exigencia y Constitución de Garantías en los Procesos de Contratación</w:t>
      </w:r>
      <w:r w:rsidRPr="00E71868">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https://nam02.safelinks.protection.outlook.com/?url=https%3A%2F%2Fwww.colombiacompra.gov.co%2Farchivos%2Fmanual%2Fguia-de-garantias-en-procesos-de-contratacion&amp;data=05%7C02%7Ccarlos.castrillon%40colombiacompra.gov.co%7C7128555136e04fa6887d08dee99e1b50%7C7b0904" w:history="1">
        <w:r w:rsidRPr="00E71868">
          <w:rPr>
            <w:rFonts w:ascii="Verdana" w:eastAsia="Aptos" w:hAnsi="Verdana" w:cs="Times New Roman"/>
            <w:color w:val="0078D7"/>
            <w:kern w:val="2"/>
            <w:u w:val="single"/>
            <w14:ligatures w14:val="standardContextual"/>
          </w:rPr>
          <w:t>https://www.colombiacompra.gov.co/archivos/manual/guia-de-garantias-en-procesos-de-contratacion</w:t>
        </w:r>
      </w:hyperlink>
    </w:p>
    <w:p w14:paraId="5FD90234" w14:textId="77777777" w:rsidR="00E71868" w:rsidRPr="00E71868" w:rsidRDefault="00E71868" w:rsidP="00E71868">
      <w:pPr>
        <w:spacing w:after="0" w:line="276" w:lineRule="auto"/>
        <w:jc w:val="both"/>
        <w:rPr>
          <w:rFonts w:ascii="Verdana" w:eastAsia="Aptos" w:hAnsi="Verdana" w:cs="Times New Roman"/>
          <w:kern w:val="2"/>
          <w14:ligatures w14:val="standardContextual"/>
        </w:rPr>
      </w:pPr>
    </w:p>
    <w:p w14:paraId="23367F07" w14:textId="77777777" w:rsidR="00E71868" w:rsidRPr="00E71868" w:rsidRDefault="00E71868" w:rsidP="00E71868">
      <w:pPr>
        <w:spacing w:after="0" w:line="276" w:lineRule="auto"/>
        <w:jc w:val="both"/>
        <w:rPr>
          <w:rFonts w:ascii="Verdana" w:eastAsia="Aptos" w:hAnsi="Verdana" w:cs="Times New Roman"/>
          <w:kern w:val="2"/>
          <w14:ligatures w14:val="standardContextual"/>
        </w:rPr>
      </w:pPr>
      <w:r w:rsidRPr="00E71868">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E71868">
        <w:rPr>
          <w:rFonts w:ascii="Verdana" w:eastAsia="Aptos" w:hAnsi="Verdana" w:cs="Times New Roman"/>
          <w:b/>
          <w:bCs/>
          <w:color w:val="000000"/>
          <w:kern w:val="2"/>
          <w14:ligatures w14:val="standardContextual"/>
        </w:rPr>
        <w:t xml:space="preserve">Sistema Integral de Preferencias en favor de las </w:t>
      </w:r>
      <w:r w:rsidRPr="00E71868">
        <w:rPr>
          <w:rFonts w:ascii="Verdana" w:eastAsia="Aptos" w:hAnsi="Verdana" w:cs="Times New Roman"/>
          <w:b/>
          <w:bCs/>
          <w:color w:val="000000"/>
          <w:kern w:val="2"/>
          <w14:ligatures w14:val="standardContextual"/>
        </w:rPr>
        <w:lastRenderedPageBreak/>
        <w:t>personas con discapacidad</w:t>
      </w:r>
      <w:r w:rsidRPr="00E71868">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E71868">
        <w:rPr>
          <w:rFonts w:ascii="Verdana" w:eastAsia="Aptos" w:hAnsi="Verdana" w:cs="Times New Roman"/>
          <w:b/>
          <w:bCs/>
          <w:color w:val="000000"/>
          <w:kern w:val="2"/>
          <w14:ligatures w14:val="standardContextual"/>
        </w:rPr>
        <w:t>Circular Externa 003 del 12 de mayo de 2026, </w:t>
      </w:r>
      <w:r w:rsidRPr="00E71868">
        <w:rPr>
          <w:rFonts w:ascii="Verdana" w:eastAsia="Aptos" w:hAnsi="Verdana" w:cs="Times New Roman"/>
          <w:color w:val="000000"/>
          <w:kern w:val="2"/>
          <w14:ligatures w14:val="standardContextual"/>
        </w:rPr>
        <w:t>en la que precisa quiénes son los beneficiarios, las cinco medidas que integran el sistema y su obligatoriedad según la modalidad de selección, y el régimen de transición aplicable a los procesos en curso. Consúltala aquí: </w:t>
      </w:r>
      <w:hyperlink r:id="rId14" w:tooltip="https://nam02.safelinks.protection.outlook.com/?url=https%3A%2F%2Fwww.colombiacompra.gov.co%2Farchivos%2Fcircular%2Fcircular-externa-003-de-2026&amp;data=05%7C02%7Ccarlos.castrillon%40colombiacompra.gov.co%7C7128555136e04fa6887d08dee99e1b50%7C7b09041e245149d08cb17" w:history="1">
        <w:r w:rsidRPr="00E71868">
          <w:rPr>
            <w:rFonts w:ascii="Verdana" w:eastAsia="Aptos" w:hAnsi="Verdana" w:cs="Times New Roman"/>
            <w:color w:val="0078D7"/>
            <w:kern w:val="2"/>
            <w:u w:val="single"/>
            <w14:ligatures w14:val="standardContextual"/>
          </w:rPr>
          <w:t>https://www.colombiacompra.gov.co/archivos/circular/circular-externa-003-de-2026</w:t>
        </w:r>
      </w:hyperlink>
    </w:p>
    <w:p w14:paraId="7CB3E5DD" w14:textId="77777777" w:rsidR="00E71868" w:rsidRPr="00E71868" w:rsidRDefault="00E71868" w:rsidP="00E71868">
      <w:pPr>
        <w:spacing w:after="0" w:line="276" w:lineRule="auto"/>
        <w:jc w:val="both"/>
        <w:rPr>
          <w:rFonts w:ascii="Verdana" w:eastAsia="Aptos" w:hAnsi="Verdana" w:cs="Times New Roman"/>
          <w:color w:val="000000"/>
          <w:kern w:val="2"/>
          <w14:ligatures w14:val="standardContextual"/>
        </w:rPr>
      </w:pPr>
    </w:p>
    <w:p w14:paraId="1C864394" w14:textId="77777777" w:rsidR="00E71868" w:rsidRPr="00E71868" w:rsidRDefault="00E71868" w:rsidP="00E71868">
      <w:pPr>
        <w:spacing w:after="0" w:line="276" w:lineRule="auto"/>
        <w:jc w:val="both"/>
        <w:rPr>
          <w:rFonts w:ascii="Verdana" w:eastAsia="Aptos" w:hAnsi="Verdana" w:cs="Times New Roman"/>
          <w:kern w:val="2"/>
          <w14:ligatures w14:val="standardContextual"/>
        </w:rPr>
      </w:pPr>
      <w:r w:rsidRPr="00E71868">
        <w:rPr>
          <w:rFonts w:ascii="Verdana" w:eastAsia="Aptos" w:hAnsi="Verdana" w:cs="Times New Roman"/>
          <w:color w:val="000000"/>
          <w:kern w:val="2"/>
          <w14:ligatures w14:val="standardContextual"/>
        </w:rPr>
        <w:t>Recuerda también que la</w:t>
      </w:r>
      <w:r w:rsidRPr="00E71868">
        <w:rPr>
          <w:rFonts w:ascii="Verdana" w:eastAsia="Aptos" w:hAnsi="Verdana" w:cs="Times New Roman"/>
          <w:b/>
          <w:bCs/>
          <w:color w:val="000000"/>
          <w:kern w:val="2"/>
          <w14:ligatures w14:val="standardContextual"/>
        </w:rPr>
        <w:t> información sobre sanciones e inhabilidades </w:t>
      </w:r>
      <w:r w:rsidRPr="00E71868">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E71868">
        <w:rPr>
          <w:rFonts w:ascii="Verdana" w:eastAsia="Aptos" w:hAnsi="Verdana" w:cs="Times New Roman"/>
          <w:b/>
          <w:bCs/>
          <w:color w:val="000000"/>
          <w:kern w:val="2"/>
          <w14:ligatures w14:val="standardContextual"/>
        </w:rPr>
        <w:t>Circular Externa 002 del 5 de mayo de 2026,</w:t>
      </w:r>
      <w:r w:rsidRPr="00E71868">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https://nam02.safelinks.protection.outlook.com/?url=https%3A%2F%2Fwww.colombiacompra.gov.co%2Farchivos%2Fcircular%2Fcircular-externa-002-de-2026&amp;data=05%7C02%7Ccarlos.castrillon%40colombiacompra.gov.co%7C7128555136e04fa6887d08dee99e1b50%7C7b09041e245149d08cb17" w:history="1">
        <w:r w:rsidRPr="00E71868">
          <w:rPr>
            <w:rFonts w:ascii="Verdana" w:eastAsia="Aptos" w:hAnsi="Verdana" w:cs="Times New Roman"/>
            <w:color w:val="0078D7"/>
            <w:kern w:val="2"/>
            <w:u w:val="single"/>
            <w14:ligatures w14:val="standardContextual"/>
          </w:rPr>
          <w:t>https://www.colombiacompra.gov.co/archivos/circular/circular-externa-002-de-2026</w:t>
        </w:r>
      </w:hyperlink>
    </w:p>
    <w:p w14:paraId="65DB34A5" w14:textId="77777777" w:rsidR="00E71868" w:rsidRPr="00E71868" w:rsidRDefault="00E71868" w:rsidP="00E71868">
      <w:pPr>
        <w:spacing w:after="0" w:line="276" w:lineRule="auto"/>
        <w:jc w:val="both"/>
        <w:rPr>
          <w:rFonts w:ascii="Verdana" w:eastAsia="Aptos" w:hAnsi="Verdana" w:cs="Times New Roman"/>
          <w:color w:val="000000"/>
          <w:kern w:val="2"/>
          <w14:ligatures w14:val="standardContextual"/>
        </w:rPr>
      </w:pPr>
    </w:p>
    <w:p w14:paraId="257F7A68" w14:textId="77777777" w:rsidR="00E71868" w:rsidRPr="00E71868" w:rsidRDefault="00E71868" w:rsidP="00E71868">
      <w:pPr>
        <w:spacing w:after="0" w:line="276" w:lineRule="auto"/>
        <w:jc w:val="both"/>
        <w:rPr>
          <w:rFonts w:ascii="Verdana" w:eastAsia="Aptos" w:hAnsi="Verdana" w:cs="Times New Roman"/>
          <w:color w:val="000000"/>
          <w:kern w:val="2"/>
          <w14:ligatures w14:val="standardContextual"/>
        </w:rPr>
      </w:pPr>
      <w:r w:rsidRPr="00E71868">
        <w:rPr>
          <w:rFonts w:ascii="Verdana" w:eastAsia="Aptos" w:hAnsi="Verdana" w:cs="Times New Roman"/>
          <w:color w:val="000000"/>
          <w:kern w:val="2"/>
          <w14:ligatures w14:val="standardContextual"/>
        </w:rPr>
        <w:t>Finalmente, si quieres seguir de cerca la actividad de la Agencia, la tercera edición de 2026 del</w:t>
      </w:r>
      <w:r w:rsidRPr="00E71868">
        <w:rPr>
          <w:rFonts w:ascii="Verdana" w:eastAsia="Aptos" w:hAnsi="Verdana" w:cs="Times New Roman"/>
          <w:b/>
          <w:bCs/>
          <w:color w:val="000000"/>
          <w:kern w:val="2"/>
          <w14:ligatures w14:val="standardContextual"/>
        </w:rPr>
        <w:t> Radar de la Compra Pública</w:t>
      </w:r>
      <w:r w:rsidRPr="00E71868">
        <w:rPr>
          <w:rFonts w:ascii="Verdana" w:eastAsia="Aptos" w:hAnsi="Verdana" w:cs="Times New Roman"/>
          <w:color w:val="000000"/>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https://nam02.safelinks.protection.outlook.com/?url=https%3A%2F%2Fwww.colombiacompra.gov.co%2Farchivos%2Fboletin%2Fboletin-edicion-n-3-de-2026-radar-de-la-compra-publica&amp;data=05%7C02%7Ccarlos.castrillon%40colombiacompra.gov.co%7C7128555136e04fa6887d08dee99e1b5" w:history="1">
        <w:r w:rsidRPr="00E71868">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E71868">
        <w:rPr>
          <w:rFonts w:ascii="Verdana" w:eastAsia="Aptos" w:hAnsi="Verdana" w:cs="Times New Roman"/>
          <w:color w:val="000000"/>
          <w:kern w:val="2"/>
          <w14:ligatures w14:val="standardContextual"/>
        </w:rPr>
        <w:t>"</w:t>
      </w:r>
    </w:p>
    <w:p w14:paraId="2687A0CE" w14:textId="77777777" w:rsidR="00E71868" w:rsidRPr="00E71868" w:rsidRDefault="00E71868" w:rsidP="00E71868">
      <w:pPr>
        <w:spacing w:after="0" w:line="276" w:lineRule="auto"/>
        <w:jc w:val="both"/>
        <w:rPr>
          <w:rFonts w:ascii="Verdana" w:eastAsia="Aptos" w:hAnsi="Verdana" w:cs="Times New Roman"/>
          <w:color w:val="000000"/>
          <w:kern w:val="2"/>
          <w14:ligatures w14:val="standardContextual"/>
        </w:rPr>
      </w:pPr>
    </w:p>
    <w:p w14:paraId="3C30BB14" w14:textId="77777777" w:rsidR="00E71868" w:rsidRPr="00E71868" w:rsidRDefault="00E71868" w:rsidP="00E71868">
      <w:pPr>
        <w:spacing w:after="0" w:line="276" w:lineRule="auto"/>
        <w:jc w:val="both"/>
        <w:rPr>
          <w:rFonts w:ascii="Verdana" w:eastAsia="Aptos" w:hAnsi="Verdana" w:cs="Times New Roman"/>
          <w:lang w:eastAsia="es-MX"/>
        </w:rPr>
      </w:pPr>
      <w:r w:rsidRPr="00E71868">
        <w:rPr>
          <w:rFonts w:ascii="Verdana" w:eastAsia="Aptos" w:hAnsi="Verdana" w:cs="Times New Roman"/>
          <w:lang w:eastAsia="es-MX"/>
        </w:rPr>
        <w:t xml:space="preserve">Por último, lo invitamos a seguirnos en las redes sociales en las cuales se difunde información institucional: </w:t>
      </w:r>
    </w:p>
    <w:p w14:paraId="3485C99B" w14:textId="77777777" w:rsidR="00E71868" w:rsidRPr="00E71868" w:rsidRDefault="00E71868" w:rsidP="00E71868">
      <w:pPr>
        <w:spacing w:after="0" w:line="276" w:lineRule="auto"/>
        <w:jc w:val="both"/>
        <w:rPr>
          <w:rFonts w:ascii="Verdana" w:eastAsia="Calibri" w:hAnsi="Verdana" w:cs="Times New Roman"/>
          <w:lang w:eastAsia="es-MX"/>
        </w:rPr>
      </w:pPr>
    </w:p>
    <w:p w14:paraId="0B9402E6" w14:textId="77777777" w:rsidR="00E71868" w:rsidRPr="00E71868" w:rsidRDefault="00E71868" w:rsidP="00E71868">
      <w:pPr>
        <w:spacing w:after="0" w:line="276" w:lineRule="auto"/>
        <w:jc w:val="both"/>
        <w:rPr>
          <w:rFonts w:ascii="Verdana" w:eastAsia="Aptos" w:hAnsi="Verdana" w:cs="Times New Roman"/>
          <w:lang w:eastAsia="es-MX"/>
        </w:rPr>
      </w:pPr>
      <w:r w:rsidRPr="00E71868">
        <w:rPr>
          <w:rFonts w:ascii="Verdana" w:eastAsia="Aptos" w:hAnsi="Verdana" w:cs="Times New Roman"/>
          <w:lang w:eastAsia="es-MX"/>
        </w:rPr>
        <w:t xml:space="preserve">Twitter: </w:t>
      </w:r>
      <w:r w:rsidRPr="00E71868">
        <w:rPr>
          <w:rFonts w:ascii="Verdana" w:eastAsia="Calibri" w:hAnsi="Verdana" w:cs="Times New Roman"/>
          <w:color w:val="156082"/>
          <w:u w:val="single"/>
          <w:lang w:eastAsia="es-MX"/>
        </w:rPr>
        <w:t>@colombiacompra</w:t>
      </w:r>
      <w:r w:rsidRPr="00E71868">
        <w:rPr>
          <w:rFonts w:ascii="Verdana" w:eastAsia="Calibri" w:hAnsi="Verdana" w:cs="Times New Roman"/>
          <w:color w:val="156082"/>
          <w:lang w:eastAsia="es-MX"/>
        </w:rPr>
        <w:t xml:space="preserve"> </w:t>
      </w:r>
    </w:p>
    <w:p w14:paraId="483FDEE3" w14:textId="77777777" w:rsidR="00E71868" w:rsidRPr="00E71868" w:rsidRDefault="00E71868" w:rsidP="00E71868">
      <w:pPr>
        <w:spacing w:after="0" w:line="276" w:lineRule="auto"/>
        <w:jc w:val="both"/>
        <w:rPr>
          <w:rFonts w:ascii="Verdana" w:eastAsia="Aptos" w:hAnsi="Verdana" w:cs="Times New Roman"/>
          <w:lang w:eastAsia="es-MX"/>
        </w:rPr>
      </w:pPr>
      <w:r w:rsidRPr="00E71868">
        <w:rPr>
          <w:rFonts w:ascii="Verdana" w:eastAsia="Aptos" w:hAnsi="Verdana" w:cs="Times New Roman"/>
          <w:lang w:eastAsia="es-MX"/>
        </w:rPr>
        <w:t xml:space="preserve">Facebook: </w:t>
      </w:r>
      <w:proofErr w:type="spellStart"/>
      <w:r w:rsidRPr="00E71868">
        <w:rPr>
          <w:rFonts w:ascii="Verdana" w:eastAsia="Calibri" w:hAnsi="Verdana" w:cs="Times New Roman"/>
          <w:color w:val="156082"/>
          <w:u w:val="single"/>
          <w:lang w:eastAsia="es-MX"/>
        </w:rPr>
        <w:t>ColombiaCompraEficiente</w:t>
      </w:r>
      <w:proofErr w:type="spellEnd"/>
    </w:p>
    <w:p w14:paraId="5556802F" w14:textId="77777777" w:rsidR="00E71868" w:rsidRPr="00E71868" w:rsidRDefault="00E71868" w:rsidP="00E71868">
      <w:pPr>
        <w:spacing w:after="0" w:line="276" w:lineRule="auto"/>
        <w:jc w:val="both"/>
        <w:rPr>
          <w:rFonts w:ascii="Verdana" w:eastAsia="Aptos" w:hAnsi="Verdana" w:cs="Times New Roman"/>
          <w:lang w:eastAsia="es-MX"/>
        </w:rPr>
      </w:pPr>
      <w:r w:rsidRPr="00E71868">
        <w:rPr>
          <w:rFonts w:ascii="Verdana" w:eastAsia="Aptos" w:hAnsi="Verdana" w:cs="Times New Roman"/>
          <w:lang w:eastAsia="es-MX"/>
        </w:rPr>
        <w:lastRenderedPageBreak/>
        <w:t xml:space="preserve">LinkedIn: </w:t>
      </w:r>
      <w:r w:rsidRPr="00E71868">
        <w:rPr>
          <w:rFonts w:ascii="Verdana" w:eastAsia="Calibri" w:hAnsi="Verdana" w:cs="Times New Roman"/>
          <w:color w:val="156082"/>
          <w:u w:val="single"/>
          <w:lang w:eastAsia="es-MX"/>
        </w:rPr>
        <w:t>Agencia Nacional de Contratación Pública - Colombia Compra Eficiente</w:t>
      </w:r>
      <w:r w:rsidRPr="00E71868">
        <w:rPr>
          <w:rFonts w:ascii="Verdana" w:eastAsia="Calibri" w:hAnsi="Verdana" w:cs="Times New Roman"/>
          <w:color w:val="156082"/>
          <w:lang w:eastAsia="es-MX"/>
        </w:rPr>
        <w:t xml:space="preserve"> </w:t>
      </w:r>
      <w:r w:rsidRPr="00E71868">
        <w:rPr>
          <w:rFonts w:ascii="Verdana" w:eastAsia="Aptos" w:hAnsi="Verdana" w:cs="Times New Roman"/>
          <w:lang w:eastAsia="es-MX"/>
        </w:rPr>
        <w:t xml:space="preserve">Instagram: </w:t>
      </w:r>
      <w:r w:rsidRPr="00E71868">
        <w:rPr>
          <w:rFonts w:ascii="Verdana" w:eastAsia="Calibri" w:hAnsi="Verdana" w:cs="Times New Roman"/>
          <w:color w:val="156082"/>
          <w:u w:val="single"/>
          <w:lang w:eastAsia="es-MX"/>
        </w:rPr>
        <w:t>@colombiacompraeficiente_cce</w:t>
      </w:r>
    </w:p>
    <w:p w14:paraId="72805D1E" w14:textId="77777777" w:rsidR="00E71868" w:rsidRPr="00E71868" w:rsidRDefault="00E71868" w:rsidP="00E71868">
      <w:pPr>
        <w:spacing w:after="0" w:line="276" w:lineRule="auto"/>
        <w:jc w:val="both"/>
        <w:rPr>
          <w:rFonts w:ascii="Verdana" w:eastAsia="Aptos" w:hAnsi="Verdana" w:cs="Times New Roman"/>
          <w:lang w:eastAsia="es-MX"/>
        </w:rPr>
      </w:pPr>
    </w:p>
    <w:p w14:paraId="41814421" w14:textId="77777777" w:rsidR="00E71868" w:rsidRPr="00E71868" w:rsidRDefault="00E71868" w:rsidP="00E71868">
      <w:pPr>
        <w:spacing w:after="0" w:line="276" w:lineRule="auto"/>
        <w:jc w:val="both"/>
        <w:rPr>
          <w:rFonts w:ascii="Verdana" w:eastAsia="Calibri" w:hAnsi="Verdana" w:cs="Times New Roman"/>
          <w:bCs/>
          <w:lang w:val="es-ES_tradnl" w:eastAsia="es-MX"/>
        </w:rPr>
      </w:pPr>
      <w:r w:rsidRPr="00E71868">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171F85F9" w14:textId="77777777" w:rsidR="00E71868" w:rsidRPr="00E71868" w:rsidRDefault="00E71868" w:rsidP="00E71868">
      <w:pPr>
        <w:spacing w:after="0" w:line="276" w:lineRule="auto"/>
        <w:jc w:val="both"/>
        <w:rPr>
          <w:rFonts w:ascii="Verdana" w:eastAsia="Calibri" w:hAnsi="Verdana" w:cs="Times New Roman"/>
          <w:lang w:eastAsia="es-MX"/>
        </w:rPr>
      </w:pPr>
    </w:p>
    <w:p w14:paraId="2F636F16" w14:textId="77777777" w:rsidR="00E71868" w:rsidRPr="00E71868" w:rsidRDefault="00E71868" w:rsidP="00E71868">
      <w:pPr>
        <w:spacing w:after="0" w:line="276" w:lineRule="auto"/>
        <w:jc w:val="both"/>
        <w:rPr>
          <w:rFonts w:ascii="Verdana" w:eastAsia="Calibri" w:hAnsi="Verdana" w:cs="Times New Roman"/>
          <w:lang w:eastAsia="es-MX"/>
        </w:rPr>
      </w:pPr>
      <w:r w:rsidRPr="00E71868">
        <w:rPr>
          <w:rFonts w:ascii="Verdana" w:eastAsia="Calibri" w:hAnsi="Verdana" w:cs="Times New Roman"/>
          <w:lang w:eastAsia="es-MX"/>
        </w:rPr>
        <w:t>Atentamente,</w:t>
      </w:r>
    </w:p>
    <w:p w14:paraId="3FD60B5E" w14:textId="574F151E" w:rsidR="00E71868" w:rsidRPr="00E71868" w:rsidRDefault="000D4B2C" w:rsidP="000D4B2C">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35ADE53E" wp14:editId="6B4054C3">
            <wp:extent cx="2629225" cy="1128741"/>
            <wp:effectExtent l="0" t="0" r="0" b="190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2696757" cy="1157733"/>
                    </a:xfrm>
                    <a:prstGeom prst="rect">
                      <a:avLst/>
                    </a:prstGeom>
                  </pic:spPr>
                </pic:pic>
              </a:graphicData>
            </a:graphic>
          </wp:inline>
        </w:drawing>
      </w: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E71868" w:rsidRPr="00E71868" w14:paraId="772AA42C" w14:textId="77777777" w:rsidTr="005672E7">
        <w:trPr>
          <w:trHeight w:val="323"/>
        </w:trPr>
        <w:tc>
          <w:tcPr>
            <w:tcW w:w="1041" w:type="dxa"/>
            <w:vAlign w:val="center"/>
            <w:hideMark/>
          </w:tcPr>
          <w:p w14:paraId="117EF309" w14:textId="77777777" w:rsidR="00E71868" w:rsidRPr="00E71868" w:rsidRDefault="00E71868" w:rsidP="00E71868">
            <w:pPr>
              <w:rPr>
                <w:rFonts w:ascii="Verdana" w:eastAsia="Calibri" w:hAnsi="Verdana" w:cs="Arial"/>
                <w:sz w:val="16"/>
                <w:szCs w:val="16"/>
                <w:lang w:val="es-ES_tradnl" w:eastAsia="es-ES"/>
              </w:rPr>
            </w:pPr>
            <w:r w:rsidRPr="00E71868">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4E3E6A99" w14:textId="77777777" w:rsidR="00E71868" w:rsidRPr="00E71868" w:rsidRDefault="00E71868" w:rsidP="00E71868">
            <w:pPr>
              <w:rPr>
                <w:rFonts w:ascii="Verdana" w:eastAsia="Arial" w:hAnsi="Verdana" w:cs="Arial"/>
                <w:sz w:val="16"/>
                <w:szCs w:val="16"/>
                <w:lang w:val="es-ES" w:eastAsia="es-MX"/>
              </w:rPr>
            </w:pPr>
            <w:r w:rsidRPr="00E71868">
              <w:rPr>
                <w:rFonts w:ascii="Verdana" w:eastAsia="Arial" w:hAnsi="Verdana" w:cs="Arial"/>
                <w:sz w:val="16"/>
                <w:szCs w:val="16"/>
                <w:lang w:val="es-ES" w:eastAsia="es-MX"/>
              </w:rPr>
              <w:t xml:space="preserve">Carlos Mario Castrillón Endo </w:t>
            </w:r>
          </w:p>
          <w:p w14:paraId="4B8C509D" w14:textId="77777777" w:rsidR="00E71868" w:rsidRPr="00E71868" w:rsidRDefault="00E71868" w:rsidP="00E71868">
            <w:pPr>
              <w:rPr>
                <w:rFonts w:ascii="Verdana" w:eastAsia="Arial" w:hAnsi="Verdana" w:cs="Arial"/>
                <w:sz w:val="16"/>
                <w:szCs w:val="16"/>
                <w:lang w:val="es-ES_tradnl" w:eastAsia="es-MX"/>
              </w:rPr>
            </w:pPr>
            <w:r w:rsidRPr="00E71868">
              <w:rPr>
                <w:rFonts w:ascii="Verdana" w:eastAsia="Arial" w:hAnsi="Verdana" w:cs="Arial"/>
                <w:sz w:val="16"/>
                <w:szCs w:val="16"/>
                <w:lang w:val="es-ES_tradnl" w:eastAsia="es-MX"/>
              </w:rPr>
              <w:t>Contratista de la Subdirección de Gestión Contractual</w:t>
            </w:r>
          </w:p>
          <w:p w14:paraId="60FD797D" w14:textId="77777777" w:rsidR="00E71868" w:rsidRPr="00E71868" w:rsidRDefault="00E71868" w:rsidP="00E71868">
            <w:pPr>
              <w:rPr>
                <w:rFonts w:ascii="Verdana" w:eastAsia="Arial" w:hAnsi="Verdana" w:cs="Arial"/>
                <w:sz w:val="16"/>
                <w:szCs w:val="16"/>
                <w:lang w:val="es-ES_tradnl" w:eastAsia="es-MX"/>
              </w:rPr>
            </w:pPr>
          </w:p>
        </w:tc>
      </w:tr>
      <w:tr w:rsidR="00E71868" w:rsidRPr="00E71868" w14:paraId="0C9A3DF1" w14:textId="77777777" w:rsidTr="005672E7">
        <w:trPr>
          <w:trHeight w:val="338"/>
        </w:trPr>
        <w:tc>
          <w:tcPr>
            <w:tcW w:w="1041" w:type="dxa"/>
            <w:vAlign w:val="center"/>
            <w:hideMark/>
          </w:tcPr>
          <w:p w14:paraId="39E91E2D" w14:textId="77777777" w:rsidR="00E71868" w:rsidRPr="00E71868" w:rsidRDefault="00E71868" w:rsidP="00E71868">
            <w:pPr>
              <w:rPr>
                <w:rFonts w:ascii="Verdana" w:eastAsia="Calibri" w:hAnsi="Verdana" w:cs="Arial"/>
                <w:sz w:val="16"/>
                <w:szCs w:val="16"/>
                <w:lang w:val="es-ES_tradnl" w:eastAsia="es-ES"/>
              </w:rPr>
            </w:pPr>
            <w:r w:rsidRPr="00E71868">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3F37774B" w14:textId="77777777" w:rsidR="00E71868" w:rsidRPr="00E71868" w:rsidRDefault="00E71868" w:rsidP="00E71868">
            <w:pPr>
              <w:rPr>
                <w:rFonts w:ascii="Verdana" w:eastAsia="Arial" w:hAnsi="Verdana" w:cs="Arial"/>
                <w:sz w:val="16"/>
                <w:szCs w:val="16"/>
                <w:lang w:val="es-ES_tradnl" w:eastAsia="es-MX"/>
              </w:rPr>
            </w:pPr>
            <w:r w:rsidRPr="00E71868">
              <w:rPr>
                <w:rFonts w:ascii="Verdana" w:eastAsia="Arial" w:hAnsi="Verdana" w:cs="Arial"/>
                <w:sz w:val="16"/>
                <w:szCs w:val="16"/>
                <w:lang w:val="es-ES_tradnl" w:eastAsia="es-MX"/>
              </w:rPr>
              <w:t>Alexandra Rodríguez Motta</w:t>
            </w:r>
          </w:p>
          <w:p w14:paraId="4DE85502" w14:textId="77777777" w:rsidR="00E71868" w:rsidRPr="00E71868" w:rsidRDefault="00E71868" w:rsidP="00E71868">
            <w:pPr>
              <w:rPr>
                <w:rFonts w:ascii="Verdana" w:eastAsia="Arial" w:hAnsi="Verdana" w:cs="Arial"/>
                <w:sz w:val="16"/>
                <w:szCs w:val="16"/>
                <w:lang w:val="es-ES_tradnl" w:eastAsia="es-MX"/>
              </w:rPr>
            </w:pPr>
            <w:r w:rsidRPr="00E71868">
              <w:rPr>
                <w:rFonts w:ascii="Verdana" w:eastAsia="Arial" w:hAnsi="Verdana" w:cs="Arial"/>
                <w:sz w:val="16"/>
                <w:szCs w:val="16"/>
                <w:lang w:val="es-ES_tradnl" w:eastAsia="es-MX"/>
              </w:rPr>
              <w:t>Contratista de la Subdirección de Gestión Contractual</w:t>
            </w:r>
          </w:p>
          <w:p w14:paraId="6512029E" w14:textId="77777777" w:rsidR="00E71868" w:rsidRPr="00E71868" w:rsidRDefault="00E71868" w:rsidP="00E71868">
            <w:pPr>
              <w:rPr>
                <w:rFonts w:ascii="Verdana" w:eastAsia="Arial" w:hAnsi="Verdana" w:cs="Arial"/>
                <w:sz w:val="16"/>
                <w:szCs w:val="16"/>
                <w:lang w:val="es-ES_tradnl" w:eastAsia="es-MX"/>
              </w:rPr>
            </w:pPr>
            <w:r w:rsidRPr="00E71868">
              <w:rPr>
                <w:rFonts w:ascii="Verdana" w:eastAsia="Arial" w:hAnsi="Verdana" w:cs="Arial"/>
                <w:sz w:val="16"/>
                <w:szCs w:val="16"/>
                <w:lang w:val="es-ES_tradnl" w:eastAsia="es-MX"/>
              </w:rPr>
              <w:t>Adriana Katherine López Rodriguéz</w:t>
            </w:r>
          </w:p>
          <w:p w14:paraId="7EFB5FE1" w14:textId="77777777" w:rsidR="00E71868" w:rsidRPr="00E71868" w:rsidRDefault="00E71868" w:rsidP="00E71868">
            <w:pPr>
              <w:rPr>
                <w:rFonts w:ascii="Verdana" w:eastAsia="Arial" w:hAnsi="Verdana" w:cs="Arial"/>
                <w:sz w:val="16"/>
                <w:szCs w:val="16"/>
                <w:lang w:val="es-ES_tradnl" w:eastAsia="es-MX"/>
              </w:rPr>
            </w:pPr>
            <w:r w:rsidRPr="00E71868">
              <w:rPr>
                <w:rFonts w:ascii="Verdana" w:eastAsia="Arial" w:hAnsi="Verdana" w:cs="Arial"/>
                <w:sz w:val="16"/>
                <w:szCs w:val="16"/>
                <w:lang w:val="es-ES_tradnl" w:eastAsia="es-MX"/>
              </w:rPr>
              <w:t xml:space="preserve">Contratista de la Subdirección de Gestión Contractual </w:t>
            </w:r>
          </w:p>
        </w:tc>
      </w:tr>
      <w:tr w:rsidR="00E71868" w:rsidRPr="00E71868" w14:paraId="73035B6A" w14:textId="77777777" w:rsidTr="005672E7">
        <w:trPr>
          <w:trHeight w:val="308"/>
        </w:trPr>
        <w:tc>
          <w:tcPr>
            <w:tcW w:w="1041" w:type="dxa"/>
            <w:vAlign w:val="center"/>
          </w:tcPr>
          <w:p w14:paraId="1446FC21" w14:textId="77777777" w:rsidR="00E71868" w:rsidRPr="00E71868" w:rsidRDefault="00E71868" w:rsidP="00E71868">
            <w:pPr>
              <w:rPr>
                <w:rFonts w:ascii="Verdana" w:eastAsia="Calibri" w:hAnsi="Verdana" w:cs="Arial"/>
                <w:sz w:val="16"/>
                <w:szCs w:val="16"/>
                <w:lang w:val="es-ES_tradnl" w:eastAsia="es-ES"/>
              </w:rPr>
            </w:pPr>
            <w:r w:rsidRPr="00E71868">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02432C99" w14:textId="77777777" w:rsidR="00E71868" w:rsidRPr="00E71868" w:rsidRDefault="00E71868" w:rsidP="00E71868">
            <w:pPr>
              <w:rPr>
                <w:rFonts w:ascii="Verdana" w:eastAsia="Calibri" w:hAnsi="Verdana" w:cs="Arial"/>
                <w:sz w:val="16"/>
                <w:szCs w:val="16"/>
                <w:lang w:val="es-ES" w:eastAsia="es-ES"/>
              </w:rPr>
            </w:pPr>
            <w:r w:rsidRPr="00E71868">
              <w:rPr>
                <w:rFonts w:ascii="Verdana" w:eastAsia="Calibri" w:hAnsi="Verdana" w:cs="Arial"/>
                <w:sz w:val="16"/>
                <w:szCs w:val="16"/>
                <w:lang w:val="es-ES" w:eastAsia="es-ES"/>
              </w:rPr>
              <w:t>Carolina Quintero Gacharná</w:t>
            </w:r>
          </w:p>
          <w:p w14:paraId="66129C4E" w14:textId="77777777" w:rsidR="00E71868" w:rsidRPr="00E71868" w:rsidRDefault="00E71868" w:rsidP="00E71868">
            <w:pPr>
              <w:rPr>
                <w:rFonts w:ascii="Verdana" w:eastAsia="Calibri" w:hAnsi="Verdana" w:cs="Arial"/>
                <w:sz w:val="16"/>
                <w:szCs w:val="16"/>
                <w:lang w:val="es-ES_tradnl" w:eastAsia="es-ES"/>
              </w:rPr>
            </w:pPr>
            <w:r w:rsidRPr="00E71868">
              <w:rPr>
                <w:rFonts w:ascii="Verdana" w:eastAsia="Calibri" w:hAnsi="Verdana" w:cs="Arial"/>
                <w:sz w:val="16"/>
                <w:szCs w:val="16"/>
                <w:lang w:val="es-ES_tradnl" w:eastAsia="es-ES"/>
              </w:rPr>
              <w:t>Subdirectora de Gestión Contractual ANCP – CCE</w:t>
            </w:r>
          </w:p>
        </w:tc>
      </w:tr>
    </w:tbl>
    <w:p w14:paraId="62D6E4BF" w14:textId="77777777" w:rsidR="00E71868" w:rsidRPr="00E71868" w:rsidRDefault="00E71868" w:rsidP="00E71868">
      <w:pPr>
        <w:spacing w:after="0" w:line="240" w:lineRule="auto"/>
        <w:jc w:val="both"/>
        <w:textAlignment w:val="baseline"/>
        <w:rPr>
          <w:rFonts w:ascii="Verdana" w:eastAsia="Verdana" w:hAnsi="Verdana" w:cs="Verdana"/>
          <w:lang w:eastAsia="es-CO"/>
        </w:rPr>
      </w:pPr>
    </w:p>
    <w:p w14:paraId="1006A388" w14:textId="20A882F2" w:rsidR="00C15139" w:rsidRPr="000E2B93" w:rsidRDefault="00E71868" w:rsidP="00E71868">
      <w:pPr>
        <w:spacing w:after="0" w:line="240" w:lineRule="auto"/>
        <w:textAlignment w:val="baseline"/>
        <w:rPr>
          <w:rFonts w:ascii="Verdana" w:eastAsia="Verdana" w:hAnsi="Verdana" w:cs="Verdana"/>
          <w:lang w:eastAsia="es-CO"/>
        </w:rPr>
      </w:pPr>
      <w:r w:rsidRPr="00E71868">
        <w:rPr>
          <w:rFonts w:ascii="Verdana" w:eastAsia="Verdana" w:hAnsi="Verdana" w:cs="Verdana"/>
          <w:lang w:eastAsia="es-CO"/>
        </w:rPr>
        <w:t> </w:t>
      </w:r>
    </w:p>
    <w:p w14:paraId="69BC4D14" w14:textId="19C4AA9A"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AE56" w14:textId="77777777" w:rsidR="00382D4F" w:rsidRDefault="00382D4F" w:rsidP="004A1847">
      <w:pPr>
        <w:spacing w:after="0" w:line="240" w:lineRule="auto"/>
      </w:pPr>
      <w:r>
        <w:separator/>
      </w:r>
    </w:p>
  </w:endnote>
  <w:endnote w:type="continuationSeparator" w:id="0">
    <w:p w14:paraId="02061F44" w14:textId="77777777" w:rsidR="00382D4F" w:rsidRDefault="00382D4F" w:rsidP="004A1847">
      <w:pPr>
        <w:spacing w:after="0" w:line="240" w:lineRule="auto"/>
      </w:pPr>
      <w:r>
        <w:continuationSeparator/>
      </w:r>
    </w:p>
  </w:endnote>
  <w:endnote w:type="continuationNotice" w:id="1">
    <w:p w14:paraId="161E93AE" w14:textId="77777777" w:rsidR="00382D4F" w:rsidRDefault="00382D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2426C" w14:textId="77777777" w:rsidR="00382D4F" w:rsidRDefault="00382D4F" w:rsidP="004A1847">
      <w:pPr>
        <w:spacing w:after="0" w:line="240" w:lineRule="auto"/>
      </w:pPr>
      <w:r>
        <w:separator/>
      </w:r>
    </w:p>
  </w:footnote>
  <w:footnote w:type="continuationSeparator" w:id="0">
    <w:p w14:paraId="1F0F2219" w14:textId="77777777" w:rsidR="00382D4F" w:rsidRDefault="00382D4F" w:rsidP="004A1847">
      <w:pPr>
        <w:spacing w:after="0" w:line="240" w:lineRule="auto"/>
      </w:pPr>
      <w:r>
        <w:continuationSeparator/>
      </w:r>
    </w:p>
  </w:footnote>
  <w:footnote w:type="continuationNotice" w:id="1">
    <w:p w14:paraId="4DC9DE35" w14:textId="77777777" w:rsidR="00382D4F" w:rsidRDefault="00382D4F">
      <w:pPr>
        <w:spacing w:after="0" w:line="240" w:lineRule="auto"/>
      </w:pPr>
    </w:p>
  </w:footnote>
  <w:footnote w:id="2">
    <w:p w14:paraId="742DC823" w14:textId="77777777" w:rsidR="00E71868" w:rsidRPr="007F1EE4" w:rsidRDefault="00E71868" w:rsidP="00E71868">
      <w:pPr>
        <w:pStyle w:val="Textonotapie"/>
        <w:ind w:firstLine="708"/>
        <w:jc w:val="both"/>
        <w:rPr>
          <w:rFonts w:ascii="Verdana" w:hAnsi="Verdana"/>
          <w:sz w:val="18"/>
          <w:szCs w:val="18"/>
          <w:lang w:val="es-ES_tradnl"/>
        </w:rPr>
      </w:pPr>
      <w:r w:rsidRPr="007F1EE4">
        <w:rPr>
          <w:rStyle w:val="Refdenotaalpie"/>
          <w:rFonts w:ascii="Verdana" w:hAnsi="Verdana"/>
          <w:sz w:val="18"/>
          <w:szCs w:val="18"/>
        </w:rPr>
        <w:footnoteRef/>
      </w:r>
      <w:r w:rsidRPr="007F1EE4">
        <w:rPr>
          <w:rFonts w:ascii="Verdana" w:hAnsi="Verdana"/>
          <w:sz w:val="18"/>
          <w:szCs w:val="18"/>
        </w:rPr>
        <w:t xml:space="preserve"> Reglamento Colombiano de Construcción Sismo Resistente NSR-10</w:t>
      </w:r>
      <w:r>
        <w:rPr>
          <w:rFonts w:ascii="Verdana" w:hAnsi="Verdana"/>
          <w:sz w:val="18"/>
          <w:szCs w:val="18"/>
        </w:rPr>
        <w:t xml:space="preserve">, disponible en el siguiente enlace: </w:t>
      </w:r>
      <w:hyperlink r:id="rId1" w:history="1">
        <w:r w:rsidRPr="00693C86">
          <w:rPr>
            <w:rStyle w:val="Hipervnculo"/>
            <w:rFonts w:ascii="Verdana" w:hAnsi="Verdana"/>
            <w:sz w:val="18"/>
            <w:szCs w:val="18"/>
            <w:lang w:val="es-ES_tradnl"/>
          </w:rPr>
          <w:t>https://idrd.gov.co/sites/default/files/documentos/Construcciones/11titulo-k-nsr-100.pdf</w:t>
        </w:r>
      </w:hyperlink>
      <w:r>
        <w:rPr>
          <w:rFonts w:ascii="Verdana" w:hAnsi="Verdana"/>
          <w:sz w:val="18"/>
          <w:szCs w:val="18"/>
          <w:lang w:val="es-ES_tradnl"/>
        </w:rPr>
        <w:t xml:space="preserve"> </w:t>
      </w:r>
    </w:p>
    <w:p w14:paraId="1B63D3E3" w14:textId="77777777" w:rsidR="00E71868" w:rsidRPr="007F1EE4" w:rsidRDefault="00E71868" w:rsidP="00E71868">
      <w:pPr>
        <w:pStyle w:val="Textonotapie"/>
        <w:ind w:firstLine="708"/>
        <w:jc w:val="both"/>
        <w:rPr>
          <w:rFonts w:ascii="Verdana" w:hAnsi="Verdana"/>
          <w:sz w:val="18"/>
          <w:szCs w:val="18"/>
          <w:lang w:val="es-ES_tradnl"/>
        </w:rPr>
      </w:pPr>
    </w:p>
  </w:footnote>
  <w:footnote w:id="3">
    <w:p w14:paraId="5FC477F7" w14:textId="77777777" w:rsidR="00E71868" w:rsidRPr="006908F9" w:rsidRDefault="00E71868" w:rsidP="00E71868">
      <w:pPr>
        <w:pStyle w:val="Textonotapie"/>
        <w:ind w:firstLine="708"/>
      </w:pPr>
      <w:r>
        <w:rPr>
          <w:rStyle w:val="Refdenotaalpie"/>
        </w:rPr>
        <w:footnoteRef/>
      </w:r>
      <w:r>
        <w:t xml:space="preserve"> Ibidem </w:t>
      </w:r>
    </w:p>
  </w:footnote>
  <w:footnote w:id="4">
    <w:p w14:paraId="0F3B2A08" w14:textId="77777777" w:rsidR="00E71868" w:rsidRDefault="00E71868" w:rsidP="00E71868">
      <w:pPr>
        <w:pStyle w:val="Textonotapie"/>
        <w:ind w:firstLine="708"/>
        <w:jc w:val="both"/>
        <w:rPr>
          <w:rFonts w:ascii="Verdana" w:hAnsi="Verdana"/>
          <w:sz w:val="22"/>
          <w:szCs w:val="22"/>
        </w:rPr>
      </w:pPr>
      <w:r>
        <w:rPr>
          <w:rStyle w:val="Refdenotaalpie"/>
        </w:rPr>
        <w:footnoteRef/>
      </w:r>
      <w:r>
        <w:t xml:space="preserve"> </w:t>
      </w:r>
      <w:r w:rsidRPr="00784C9B">
        <w:rPr>
          <w:rFonts w:ascii="Verdana" w:hAnsi="Verdana"/>
          <w:sz w:val="18"/>
          <w:szCs w:val="18"/>
        </w:rPr>
        <w:t>Para los Subgrupos de Ocupación Institucional de Salud o Incapacidad y de Institucional de Educación, se encuentran los documentos tipo particulares aplicables a esos sectores.</w:t>
      </w:r>
      <w:r>
        <w:rPr>
          <w:rFonts w:ascii="Verdana" w:hAnsi="Verdana"/>
          <w:sz w:val="22"/>
          <w:szCs w:val="22"/>
        </w:rPr>
        <w:t xml:space="preserve"> </w:t>
      </w:r>
    </w:p>
    <w:p w14:paraId="6BC82C93" w14:textId="77777777" w:rsidR="00E71868" w:rsidRPr="00784C9B" w:rsidRDefault="00E71868" w:rsidP="00E71868">
      <w:pPr>
        <w:pStyle w:val="Textonotapie"/>
        <w:ind w:firstLine="708"/>
        <w:rPr>
          <w:lang w:val="es-ES_tradnl"/>
        </w:rPr>
      </w:pPr>
    </w:p>
  </w:footnote>
  <w:footnote w:id="5">
    <w:p w14:paraId="79630207" w14:textId="77777777" w:rsidR="00E71868" w:rsidRDefault="00E71868" w:rsidP="00E71868">
      <w:pPr>
        <w:pStyle w:val="Textonotapie"/>
        <w:ind w:firstLine="708"/>
        <w:jc w:val="both"/>
        <w:rPr>
          <w:rFonts w:ascii="Verdana" w:hAnsi="Verdana"/>
          <w:sz w:val="18"/>
          <w:szCs w:val="18"/>
        </w:rPr>
      </w:pPr>
      <w:r w:rsidRPr="00EB1E25">
        <w:rPr>
          <w:rStyle w:val="Refdenotaalpie"/>
          <w:rFonts w:ascii="Verdana" w:hAnsi="Verdana"/>
          <w:sz w:val="18"/>
          <w:szCs w:val="18"/>
        </w:rPr>
        <w:footnoteRef/>
      </w:r>
      <w:r w:rsidRPr="00EB1E25">
        <w:rPr>
          <w:rFonts w:ascii="Verdana" w:hAnsi="Verdana"/>
          <w:sz w:val="18"/>
          <w:szCs w:val="18"/>
        </w:rPr>
        <w:t xml:space="preserve"> </w:t>
      </w:r>
      <w:r w:rsidRPr="00EB1E25">
        <w:rPr>
          <w:rFonts w:ascii="Verdana" w:hAnsi="Verdana"/>
          <w:sz w:val="18"/>
          <w:szCs w:val="18"/>
          <w:lang w:val="es-ES_tradnl"/>
        </w:rPr>
        <w:t>Ibidem</w:t>
      </w:r>
    </w:p>
    <w:p w14:paraId="6651C5B2" w14:textId="77777777" w:rsidR="00E71868" w:rsidRPr="00EB1E25" w:rsidRDefault="00E71868" w:rsidP="00E71868">
      <w:pPr>
        <w:pStyle w:val="Textonotapie"/>
        <w:ind w:firstLine="708"/>
        <w:jc w:val="both"/>
        <w:rPr>
          <w:rFonts w:ascii="Verdana" w:hAnsi="Verdana"/>
          <w:sz w:val="18"/>
          <w:szCs w:val="18"/>
          <w:lang w:val="es-ES_tradnl"/>
        </w:rPr>
      </w:pPr>
    </w:p>
  </w:footnote>
  <w:footnote w:id="6">
    <w:p w14:paraId="6A1A20F1" w14:textId="77777777" w:rsidR="00E71868" w:rsidRPr="00EB1E25" w:rsidRDefault="00E71868" w:rsidP="00E71868">
      <w:pPr>
        <w:pStyle w:val="Textonotapie"/>
        <w:ind w:firstLine="708"/>
        <w:jc w:val="both"/>
        <w:rPr>
          <w:rFonts w:ascii="Verdana" w:hAnsi="Verdana"/>
          <w:sz w:val="18"/>
          <w:szCs w:val="18"/>
          <w:lang w:val="es-ES_tradnl"/>
        </w:rPr>
      </w:pPr>
      <w:r w:rsidRPr="00EB1E25">
        <w:rPr>
          <w:rStyle w:val="Refdenotaalpie"/>
          <w:rFonts w:ascii="Verdana" w:hAnsi="Verdana"/>
          <w:sz w:val="18"/>
          <w:szCs w:val="18"/>
        </w:rPr>
        <w:footnoteRef/>
      </w:r>
      <w:r w:rsidRPr="00EB1E25">
        <w:rPr>
          <w:rFonts w:ascii="Verdana" w:hAnsi="Verdana"/>
          <w:sz w:val="18"/>
          <w:szCs w:val="18"/>
        </w:rPr>
        <w:t xml:space="preserve"> </w:t>
      </w:r>
      <w:r w:rsidRPr="00EB1E25">
        <w:rPr>
          <w:rFonts w:ascii="Verdana" w:hAnsi="Verdana"/>
          <w:sz w:val="18"/>
          <w:szCs w:val="18"/>
          <w:lang w:val="es-ES_tradnl"/>
        </w:rPr>
        <w:t xml:space="preserve">Ibidem </w:t>
      </w:r>
    </w:p>
    <w:p w14:paraId="076EB13E" w14:textId="77777777" w:rsidR="00E71868" w:rsidRPr="00EB1E25" w:rsidRDefault="00E71868" w:rsidP="00E71868">
      <w:pPr>
        <w:pStyle w:val="Textonotapie"/>
        <w:ind w:firstLine="708"/>
        <w:jc w:val="both"/>
        <w:rPr>
          <w:rFonts w:ascii="Verdana" w:hAnsi="Verdana"/>
          <w:sz w:val="18"/>
          <w:szCs w:val="18"/>
          <w:lang w:val="es-ES_tradnl"/>
        </w:rPr>
      </w:pPr>
    </w:p>
  </w:footnote>
  <w:footnote w:id="7">
    <w:p w14:paraId="3C925C62" w14:textId="77777777" w:rsidR="00E71868" w:rsidRPr="007F1EE4" w:rsidRDefault="00E71868" w:rsidP="00E71868">
      <w:pPr>
        <w:pStyle w:val="Textonotapie"/>
        <w:ind w:firstLine="708"/>
        <w:jc w:val="both"/>
        <w:rPr>
          <w:rFonts w:ascii="Verdana" w:hAnsi="Verdana"/>
          <w:sz w:val="18"/>
          <w:szCs w:val="18"/>
        </w:rPr>
      </w:pPr>
      <w:r w:rsidRPr="007F1EE4">
        <w:rPr>
          <w:rStyle w:val="Refdenotaalpie"/>
          <w:rFonts w:ascii="Verdana" w:hAnsi="Verdana"/>
          <w:sz w:val="18"/>
          <w:szCs w:val="18"/>
        </w:rPr>
        <w:footnoteRef/>
      </w:r>
      <w:r w:rsidRPr="007F1EE4">
        <w:rPr>
          <w:rFonts w:ascii="Verdana" w:hAnsi="Verdana"/>
          <w:sz w:val="18"/>
          <w:szCs w:val="18"/>
        </w:rPr>
        <w:t xml:space="preserve"> </w:t>
      </w:r>
      <w:r w:rsidRPr="00EB1E25">
        <w:rPr>
          <w:rFonts w:ascii="Verdana" w:hAnsi="Verdana"/>
          <w:sz w:val="18"/>
          <w:szCs w:val="18"/>
          <w:lang w:val="es-ES_tradnl"/>
        </w:rPr>
        <w:t>Ibidem</w:t>
      </w:r>
    </w:p>
    <w:p w14:paraId="55EEF2AB" w14:textId="77777777" w:rsidR="00E71868" w:rsidRPr="007F1EE4" w:rsidRDefault="00E71868" w:rsidP="00E71868">
      <w:pPr>
        <w:pStyle w:val="Textonotapie"/>
        <w:ind w:firstLine="708"/>
        <w:jc w:val="both"/>
        <w:rPr>
          <w:rFonts w:ascii="Verdana" w:hAnsi="Verdana"/>
          <w:sz w:val="18"/>
          <w:szCs w:val="18"/>
          <w:lang w:val="es-ES_tradnl"/>
        </w:rPr>
      </w:pPr>
    </w:p>
  </w:footnote>
  <w:footnote w:id="8">
    <w:p w14:paraId="4AE06682" w14:textId="77777777" w:rsidR="00E71868" w:rsidRPr="007F1EE4" w:rsidRDefault="00E71868" w:rsidP="00E71868">
      <w:pPr>
        <w:pStyle w:val="Textonotapie"/>
        <w:ind w:firstLine="708"/>
        <w:jc w:val="both"/>
        <w:rPr>
          <w:rFonts w:ascii="Verdana" w:hAnsi="Verdana"/>
          <w:sz w:val="18"/>
          <w:szCs w:val="18"/>
          <w:lang w:val="es-ES_tradnl"/>
        </w:rPr>
      </w:pPr>
      <w:r w:rsidRPr="007F1EE4">
        <w:rPr>
          <w:rStyle w:val="Refdenotaalpie"/>
          <w:rFonts w:ascii="Verdana" w:hAnsi="Verdana"/>
          <w:sz w:val="18"/>
          <w:szCs w:val="18"/>
        </w:rPr>
        <w:footnoteRef/>
      </w:r>
      <w:r w:rsidRPr="007F1EE4">
        <w:rPr>
          <w:rFonts w:ascii="Verdana" w:hAnsi="Verdana"/>
          <w:sz w:val="18"/>
          <w:szCs w:val="18"/>
        </w:rPr>
        <w:t xml:space="preserve"> </w:t>
      </w:r>
      <w:r w:rsidRPr="007F1EE4">
        <w:rPr>
          <w:rFonts w:ascii="Verdana" w:hAnsi="Verdana"/>
          <w:sz w:val="18"/>
          <w:szCs w:val="18"/>
          <w:lang w:val="es-ES_tradnl"/>
        </w:rPr>
        <w:t xml:space="preserve">Ibidem </w:t>
      </w:r>
    </w:p>
    <w:p w14:paraId="1DC961A5" w14:textId="77777777" w:rsidR="00E71868" w:rsidRPr="007F1EE4" w:rsidRDefault="00E71868" w:rsidP="00E71868">
      <w:pPr>
        <w:pStyle w:val="Textonotapie"/>
        <w:ind w:firstLine="708"/>
        <w:jc w:val="both"/>
        <w:rPr>
          <w:rFonts w:ascii="Verdana" w:hAnsi="Verdana"/>
          <w:sz w:val="18"/>
          <w:szCs w:val="18"/>
          <w:lang w:val="es-ES_tradnl"/>
        </w:rPr>
      </w:pPr>
    </w:p>
  </w:footnote>
  <w:footnote w:id="9">
    <w:p w14:paraId="51B3B74E" w14:textId="77777777" w:rsidR="00E71868" w:rsidRPr="007F1EE4" w:rsidRDefault="00E71868" w:rsidP="00E71868">
      <w:pPr>
        <w:pStyle w:val="Textonotapie"/>
        <w:ind w:firstLine="708"/>
        <w:jc w:val="both"/>
        <w:rPr>
          <w:rFonts w:ascii="Verdana" w:hAnsi="Verdana"/>
          <w:sz w:val="18"/>
          <w:szCs w:val="18"/>
        </w:rPr>
      </w:pPr>
      <w:r w:rsidRPr="007F1EE4">
        <w:rPr>
          <w:rStyle w:val="Refdenotaalpie"/>
          <w:rFonts w:ascii="Verdana" w:hAnsi="Verdana"/>
          <w:sz w:val="18"/>
          <w:szCs w:val="18"/>
        </w:rPr>
        <w:footnoteRef/>
      </w:r>
      <w:r w:rsidRPr="007F1EE4">
        <w:rPr>
          <w:rFonts w:ascii="Verdana" w:hAnsi="Verdana"/>
          <w:sz w:val="18"/>
          <w:szCs w:val="18"/>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768C064C" w14:textId="77777777" w:rsidR="00E71868" w:rsidRPr="007F1EE4" w:rsidRDefault="00E71868" w:rsidP="00E71868">
      <w:pPr>
        <w:pStyle w:val="Textonotapie"/>
        <w:ind w:firstLine="708"/>
        <w:jc w:val="both"/>
        <w:rPr>
          <w:rFonts w:ascii="Verdana" w:hAnsi="Verdana"/>
          <w:sz w:val="18"/>
          <w:szCs w:val="18"/>
        </w:rPr>
      </w:pPr>
    </w:p>
    <w:p w14:paraId="74DA7F14" w14:textId="77777777" w:rsidR="00E71868" w:rsidRPr="007F1EE4" w:rsidRDefault="00E71868" w:rsidP="00E71868">
      <w:pPr>
        <w:pStyle w:val="Textonotapie"/>
        <w:ind w:firstLine="708"/>
        <w:jc w:val="both"/>
        <w:rPr>
          <w:rFonts w:ascii="Verdana" w:hAnsi="Verdana"/>
          <w:sz w:val="18"/>
          <w:szCs w:val="18"/>
        </w:rPr>
      </w:pPr>
      <w:r w:rsidRPr="007F1EE4">
        <w:rPr>
          <w:rFonts w:ascii="Verdana" w:hAnsi="Verdana"/>
          <w:sz w:val="18"/>
          <w:szCs w:val="18"/>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7D4A0AA3" w14:textId="77777777" w:rsidR="00E71868" w:rsidRPr="007F1EE4" w:rsidRDefault="00E71868" w:rsidP="00E71868">
      <w:pPr>
        <w:pStyle w:val="Textonotapie"/>
        <w:ind w:firstLine="708"/>
        <w:jc w:val="both"/>
        <w:rPr>
          <w:rFonts w:ascii="Verdana" w:hAnsi="Verdana"/>
          <w:sz w:val="18"/>
          <w:szCs w:val="18"/>
        </w:rPr>
      </w:pPr>
    </w:p>
    <w:p w14:paraId="1C871078" w14:textId="77777777" w:rsidR="00E71868" w:rsidRPr="007F1EE4" w:rsidRDefault="00E71868" w:rsidP="00E71868">
      <w:pPr>
        <w:pStyle w:val="Textonotapie"/>
        <w:ind w:firstLine="708"/>
        <w:jc w:val="both"/>
        <w:rPr>
          <w:rFonts w:ascii="Verdana" w:hAnsi="Verdana"/>
          <w:sz w:val="18"/>
          <w:szCs w:val="18"/>
        </w:rPr>
      </w:pPr>
      <w:r w:rsidRPr="007F1EE4">
        <w:rPr>
          <w:rFonts w:ascii="Verdana" w:hAnsi="Verdana"/>
          <w:sz w:val="18"/>
          <w:szCs w:val="18"/>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048F8BD0" w14:textId="77777777" w:rsidR="00E71868" w:rsidRPr="007F1EE4" w:rsidRDefault="00E71868" w:rsidP="00E71868">
      <w:pPr>
        <w:pStyle w:val="Textonotapie"/>
        <w:ind w:firstLine="708"/>
        <w:jc w:val="both"/>
        <w:rPr>
          <w:rFonts w:ascii="Verdana" w:hAnsi="Verdana"/>
          <w:sz w:val="18"/>
          <w:szCs w:val="18"/>
        </w:rPr>
      </w:pPr>
    </w:p>
    <w:p w14:paraId="11F3513B" w14:textId="77777777" w:rsidR="00E71868" w:rsidRPr="007F1EE4" w:rsidRDefault="00E71868" w:rsidP="00E71868">
      <w:pPr>
        <w:pStyle w:val="Textonotapie"/>
        <w:ind w:firstLine="708"/>
        <w:jc w:val="both"/>
        <w:rPr>
          <w:rFonts w:ascii="Verdana" w:hAnsi="Verdana"/>
          <w:sz w:val="18"/>
          <w:szCs w:val="18"/>
        </w:rPr>
      </w:pPr>
      <w:r w:rsidRPr="007F1EE4">
        <w:rPr>
          <w:rFonts w:ascii="Verdana" w:hAnsi="Verdana"/>
          <w:sz w:val="18"/>
          <w:szCs w:val="18"/>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3E7FED6B" w14:textId="77777777" w:rsidR="00E71868" w:rsidRPr="007F1EE4" w:rsidRDefault="00E71868" w:rsidP="00E71868">
      <w:pPr>
        <w:pStyle w:val="Textonotapie"/>
        <w:ind w:firstLine="708"/>
        <w:jc w:val="both"/>
        <w:rPr>
          <w:rFonts w:ascii="Verdana" w:hAnsi="Verdana"/>
          <w:sz w:val="18"/>
          <w:szCs w:val="18"/>
        </w:rPr>
      </w:pPr>
    </w:p>
    <w:p w14:paraId="4CC4096C" w14:textId="77777777" w:rsidR="00E71868" w:rsidRPr="007F1EE4" w:rsidRDefault="00E71868" w:rsidP="00E71868">
      <w:pPr>
        <w:pStyle w:val="Textonotapie"/>
        <w:ind w:firstLine="708"/>
        <w:jc w:val="both"/>
        <w:rPr>
          <w:rFonts w:ascii="Verdana" w:hAnsi="Verdana"/>
          <w:sz w:val="18"/>
          <w:szCs w:val="18"/>
        </w:rPr>
      </w:pPr>
      <w:r w:rsidRPr="007F1EE4">
        <w:rPr>
          <w:rFonts w:ascii="Verdana" w:hAnsi="Verdana"/>
          <w:sz w:val="18"/>
          <w:szCs w:val="18"/>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 w:id="10">
    <w:p w14:paraId="17AA4F20" w14:textId="77777777" w:rsidR="00E71868" w:rsidRPr="007F1EE4" w:rsidRDefault="00E71868" w:rsidP="00E71868">
      <w:pPr>
        <w:pStyle w:val="Textonotapie"/>
        <w:ind w:firstLine="708"/>
        <w:jc w:val="both"/>
        <w:rPr>
          <w:rFonts w:ascii="Verdana" w:hAnsi="Verdana"/>
          <w:sz w:val="18"/>
          <w:szCs w:val="18"/>
          <w:lang w:val="es-ES_tradnl"/>
        </w:rPr>
      </w:pPr>
      <w:r w:rsidRPr="007F1EE4">
        <w:rPr>
          <w:rStyle w:val="Refdenotaalpie"/>
          <w:rFonts w:ascii="Verdana" w:hAnsi="Verdana"/>
          <w:sz w:val="18"/>
          <w:szCs w:val="18"/>
        </w:rPr>
        <w:footnoteRef/>
      </w:r>
      <w:r w:rsidRPr="007F1EE4">
        <w:rPr>
          <w:rFonts w:ascii="Verdana" w:hAnsi="Verdana"/>
          <w:sz w:val="18"/>
          <w:szCs w:val="18"/>
        </w:rPr>
        <w:t xml:space="preserve"> Reglamento Colombiano de Construcción Sismo Resistente NSR-10</w:t>
      </w:r>
      <w:r>
        <w:rPr>
          <w:rFonts w:ascii="Verdana" w:hAnsi="Verdana"/>
          <w:sz w:val="18"/>
          <w:szCs w:val="18"/>
        </w:rPr>
        <w:t xml:space="preserve">, disponible en el siguiente enlace: </w:t>
      </w:r>
      <w:hyperlink r:id="rId2" w:history="1">
        <w:r w:rsidRPr="00693C86">
          <w:rPr>
            <w:rStyle w:val="Hipervnculo"/>
            <w:rFonts w:ascii="Verdana" w:hAnsi="Verdana"/>
            <w:sz w:val="18"/>
            <w:szCs w:val="18"/>
            <w:lang w:val="es-ES_tradnl"/>
          </w:rPr>
          <w:t>https://idrd.gov.co/sites/default/files/documentos/Construcciones/11titulo-k-nsr-100.pdf</w:t>
        </w:r>
      </w:hyperlink>
      <w:r>
        <w:rPr>
          <w:rFonts w:ascii="Verdana" w:hAnsi="Verdana"/>
          <w:sz w:val="18"/>
          <w:szCs w:val="18"/>
          <w:lang w:val="es-ES_tradnl"/>
        </w:rPr>
        <w:t xml:space="preserve"> </w:t>
      </w:r>
    </w:p>
    <w:p w14:paraId="7BAA3EC3" w14:textId="77777777" w:rsidR="00E71868" w:rsidRPr="007F1EE4" w:rsidRDefault="00E71868" w:rsidP="00E71868">
      <w:pPr>
        <w:pStyle w:val="Textonotapie"/>
        <w:ind w:firstLine="708"/>
        <w:jc w:val="both"/>
        <w:rPr>
          <w:rFonts w:ascii="Verdana" w:hAnsi="Verdana"/>
          <w:sz w:val="18"/>
          <w:szCs w:val="18"/>
          <w:lang w:val="es-ES_tradnl"/>
        </w:rPr>
      </w:pPr>
    </w:p>
  </w:footnote>
  <w:footnote w:id="11">
    <w:p w14:paraId="4D36AB43" w14:textId="77777777" w:rsidR="00E71868" w:rsidRPr="006908F9" w:rsidRDefault="00E71868" w:rsidP="00E71868">
      <w:pPr>
        <w:pStyle w:val="Textonotapie"/>
        <w:ind w:firstLine="708"/>
      </w:pPr>
      <w:r>
        <w:rPr>
          <w:rStyle w:val="Refdenotaalpie"/>
        </w:rPr>
        <w:footnoteRef/>
      </w:r>
      <w:r>
        <w:t xml:space="preserve"> Ibidem </w:t>
      </w:r>
    </w:p>
  </w:footnote>
  <w:footnote w:id="12">
    <w:p w14:paraId="4554FCE3" w14:textId="77777777" w:rsidR="00E71868" w:rsidRDefault="00E71868" w:rsidP="00E71868">
      <w:pPr>
        <w:pStyle w:val="Textonotapie"/>
        <w:ind w:firstLine="708"/>
        <w:jc w:val="both"/>
        <w:rPr>
          <w:rFonts w:ascii="Verdana" w:hAnsi="Verdana"/>
          <w:sz w:val="22"/>
          <w:szCs w:val="22"/>
        </w:rPr>
      </w:pPr>
      <w:r>
        <w:rPr>
          <w:rStyle w:val="Refdenotaalpie"/>
        </w:rPr>
        <w:footnoteRef/>
      </w:r>
      <w:r>
        <w:t xml:space="preserve"> </w:t>
      </w:r>
      <w:r w:rsidRPr="00784C9B">
        <w:rPr>
          <w:rFonts w:ascii="Verdana" w:hAnsi="Verdana"/>
          <w:sz w:val="18"/>
          <w:szCs w:val="18"/>
        </w:rPr>
        <w:t>Para los Subgrupos de Ocupación Institucional de Salud o Incapacidad y de Institucional de Educación, se encuentran los documentos tipo particulares aplicables a esos sectores.</w:t>
      </w:r>
      <w:r>
        <w:rPr>
          <w:rFonts w:ascii="Verdana" w:hAnsi="Verdana"/>
          <w:sz w:val="22"/>
          <w:szCs w:val="22"/>
        </w:rPr>
        <w:t xml:space="preserve"> </w:t>
      </w:r>
    </w:p>
    <w:p w14:paraId="6876583E" w14:textId="77777777" w:rsidR="00E71868" w:rsidRPr="00784C9B" w:rsidRDefault="00E71868" w:rsidP="00E71868">
      <w:pPr>
        <w:pStyle w:val="Textonotapie"/>
        <w:ind w:firstLine="708"/>
        <w:rPr>
          <w:lang w:val="es-ES_tradnl"/>
        </w:rPr>
      </w:pPr>
    </w:p>
  </w:footnote>
  <w:footnote w:id="13">
    <w:p w14:paraId="1F24432D" w14:textId="77777777" w:rsidR="00E71868" w:rsidRDefault="00E71868" w:rsidP="00E71868">
      <w:pPr>
        <w:pStyle w:val="Textonotapie"/>
        <w:ind w:firstLine="708"/>
        <w:jc w:val="both"/>
        <w:rPr>
          <w:rFonts w:ascii="Verdana" w:hAnsi="Verdana"/>
          <w:sz w:val="18"/>
          <w:szCs w:val="18"/>
        </w:rPr>
      </w:pPr>
      <w:r w:rsidRPr="00EB1E25">
        <w:rPr>
          <w:rStyle w:val="Refdenotaalpie"/>
          <w:rFonts w:ascii="Verdana" w:hAnsi="Verdana"/>
          <w:sz w:val="18"/>
          <w:szCs w:val="18"/>
        </w:rPr>
        <w:footnoteRef/>
      </w:r>
      <w:r w:rsidRPr="00EB1E25">
        <w:rPr>
          <w:rFonts w:ascii="Verdana" w:hAnsi="Verdana"/>
          <w:sz w:val="18"/>
          <w:szCs w:val="18"/>
        </w:rPr>
        <w:t xml:space="preserve"> </w:t>
      </w:r>
      <w:r w:rsidRPr="00EB1E25">
        <w:rPr>
          <w:rFonts w:ascii="Verdana" w:hAnsi="Verdana"/>
          <w:sz w:val="18"/>
          <w:szCs w:val="18"/>
          <w:lang w:val="es-ES_tradnl"/>
        </w:rPr>
        <w:t>Ibidem</w:t>
      </w:r>
    </w:p>
    <w:p w14:paraId="4D31EA77" w14:textId="77777777" w:rsidR="00E71868" w:rsidRPr="00EB1E25" w:rsidRDefault="00E71868" w:rsidP="00E71868">
      <w:pPr>
        <w:pStyle w:val="Textonotapie"/>
        <w:ind w:firstLine="708"/>
        <w:jc w:val="both"/>
        <w:rPr>
          <w:rFonts w:ascii="Verdana" w:hAnsi="Verdana"/>
          <w:sz w:val="18"/>
          <w:szCs w:val="18"/>
          <w:lang w:val="es-ES_tradnl"/>
        </w:rPr>
      </w:pPr>
    </w:p>
  </w:footnote>
  <w:footnote w:id="14">
    <w:p w14:paraId="0EFCBE43" w14:textId="77777777" w:rsidR="00E71868" w:rsidRPr="00EB1E25" w:rsidRDefault="00E71868" w:rsidP="00E71868">
      <w:pPr>
        <w:pStyle w:val="Textonotapie"/>
        <w:ind w:firstLine="708"/>
        <w:jc w:val="both"/>
        <w:rPr>
          <w:rFonts w:ascii="Verdana" w:hAnsi="Verdana"/>
          <w:sz w:val="18"/>
          <w:szCs w:val="18"/>
          <w:lang w:val="es-ES_tradnl"/>
        </w:rPr>
      </w:pPr>
      <w:r w:rsidRPr="00EB1E25">
        <w:rPr>
          <w:rStyle w:val="Refdenotaalpie"/>
          <w:rFonts w:ascii="Verdana" w:hAnsi="Verdana"/>
          <w:sz w:val="18"/>
          <w:szCs w:val="18"/>
        </w:rPr>
        <w:footnoteRef/>
      </w:r>
      <w:r w:rsidRPr="00EB1E25">
        <w:rPr>
          <w:rFonts w:ascii="Verdana" w:hAnsi="Verdana"/>
          <w:sz w:val="18"/>
          <w:szCs w:val="18"/>
        </w:rPr>
        <w:t xml:space="preserve"> </w:t>
      </w:r>
      <w:r w:rsidRPr="00EB1E25">
        <w:rPr>
          <w:rFonts w:ascii="Verdana" w:hAnsi="Verdana"/>
          <w:sz w:val="18"/>
          <w:szCs w:val="18"/>
          <w:lang w:val="es-ES_tradnl"/>
        </w:rPr>
        <w:t xml:space="preserve">Ibidem </w:t>
      </w:r>
    </w:p>
    <w:p w14:paraId="111BBA74" w14:textId="77777777" w:rsidR="00E71868" w:rsidRPr="00EB1E25" w:rsidRDefault="00E71868" w:rsidP="00E71868">
      <w:pPr>
        <w:pStyle w:val="Textonotapie"/>
        <w:ind w:firstLine="708"/>
        <w:jc w:val="both"/>
        <w:rPr>
          <w:rFonts w:ascii="Verdana" w:hAnsi="Verdana"/>
          <w:sz w:val="18"/>
          <w:szCs w:val="18"/>
          <w:lang w:val="es-ES_tradnl"/>
        </w:rPr>
      </w:pPr>
    </w:p>
  </w:footnote>
  <w:footnote w:id="15">
    <w:p w14:paraId="6FCCAAC3" w14:textId="77777777" w:rsidR="00E71868" w:rsidRPr="007F1EE4" w:rsidRDefault="00E71868" w:rsidP="00E71868">
      <w:pPr>
        <w:pStyle w:val="Textonotapie"/>
        <w:ind w:firstLine="708"/>
        <w:jc w:val="both"/>
        <w:rPr>
          <w:rFonts w:ascii="Verdana" w:hAnsi="Verdana"/>
          <w:sz w:val="18"/>
          <w:szCs w:val="18"/>
        </w:rPr>
      </w:pPr>
      <w:r w:rsidRPr="007F1EE4">
        <w:rPr>
          <w:rStyle w:val="Refdenotaalpie"/>
          <w:rFonts w:ascii="Verdana" w:hAnsi="Verdana"/>
          <w:sz w:val="18"/>
          <w:szCs w:val="18"/>
        </w:rPr>
        <w:footnoteRef/>
      </w:r>
      <w:r w:rsidRPr="007F1EE4">
        <w:rPr>
          <w:rFonts w:ascii="Verdana" w:hAnsi="Verdana"/>
          <w:sz w:val="18"/>
          <w:szCs w:val="18"/>
        </w:rPr>
        <w:t xml:space="preserve"> </w:t>
      </w:r>
      <w:r w:rsidRPr="00EB1E25">
        <w:rPr>
          <w:rFonts w:ascii="Verdana" w:hAnsi="Verdana"/>
          <w:sz w:val="18"/>
          <w:szCs w:val="18"/>
          <w:lang w:val="es-ES_tradnl"/>
        </w:rPr>
        <w:t>Ibidem</w:t>
      </w:r>
    </w:p>
    <w:p w14:paraId="19BFE4A4" w14:textId="77777777" w:rsidR="00E71868" w:rsidRPr="007F1EE4" w:rsidRDefault="00E71868" w:rsidP="00E71868">
      <w:pPr>
        <w:pStyle w:val="Textonotapie"/>
        <w:ind w:firstLine="708"/>
        <w:jc w:val="both"/>
        <w:rPr>
          <w:rFonts w:ascii="Verdana" w:hAnsi="Verdana"/>
          <w:sz w:val="18"/>
          <w:szCs w:val="18"/>
          <w:lang w:val="es-ES_tradnl"/>
        </w:rPr>
      </w:pPr>
    </w:p>
  </w:footnote>
  <w:footnote w:id="16">
    <w:p w14:paraId="71B32D55" w14:textId="77777777" w:rsidR="00E71868" w:rsidRPr="007F1EE4" w:rsidRDefault="00E71868" w:rsidP="00E71868">
      <w:pPr>
        <w:pStyle w:val="Textonotapie"/>
        <w:ind w:firstLine="708"/>
        <w:jc w:val="both"/>
        <w:rPr>
          <w:rFonts w:ascii="Verdana" w:hAnsi="Verdana"/>
          <w:sz w:val="18"/>
          <w:szCs w:val="18"/>
          <w:lang w:val="es-ES_tradnl"/>
        </w:rPr>
      </w:pPr>
      <w:r w:rsidRPr="007F1EE4">
        <w:rPr>
          <w:rStyle w:val="Refdenotaalpie"/>
          <w:rFonts w:ascii="Verdana" w:hAnsi="Verdana"/>
          <w:sz w:val="18"/>
          <w:szCs w:val="18"/>
        </w:rPr>
        <w:footnoteRef/>
      </w:r>
      <w:r w:rsidRPr="007F1EE4">
        <w:rPr>
          <w:rFonts w:ascii="Verdana" w:hAnsi="Verdana"/>
          <w:sz w:val="18"/>
          <w:szCs w:val="18"/>
        </w:rPr>
        <w:t xml:space="preserve"> </w:t>
      </w:r>
      <w:r w:rsidRPr="007F1EE4">
        <w:rPr>
          <w:rFonts w:ascii="Verdana" w:hAnsi="Verdana"/>
          <w:sz w:val="18"/>
          <w:szCs w:val="18"/>
          <w:lang w:val="es-ES_tradnl"/>
        </w:rPr>
        <w:t xml:space="preserve">Ibidem </w:t>
      </w:r>
    </w:p>
    <w:p w14:paraId="01DF1A35" w14:textId="77777777" w:rsidR="00E71868" w:rsidRPr="007F1EE4" w:rsidRDefault="00E71868" w:rsidP="00E71868">
      <w:pPr>
        <w:pStyle w:val="Textonotapie"/>
        <w:ind w:firstLine="708"/>
        <w:jc w:val="both"/>
        <w:rPr>
          <w:rFonts w:ascii="Verdana" w:hAnsi="Verdana"/>
          <w:sz w:val="18"/>
          <w:szCs w:val="18"/>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C4A3707"/>
    <w:multiLevelType w:val="multilevel"/>
    <w:tmpl w:val="8340B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4A15FB"/>
    <w:multiLevelType w:val="multilevel"/>
    <w:tmpl w:val="E342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D726F5"/>
    <w:multiLevelType w:val="hybridMultilevel"/>
    <w:tmpl w:val="C99035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B968D7"/>
    <w:multiLevelType w:val="hybridMultilevel"/>
    <w:tmpl w:val="848EB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38432472">
    <w:abstractNumId w:val="8"/>
  </w:num>
  <w:num w:numId="2" w16cid:durableId="1198272372">
    <w:abstractNumId w:val="2"/>
  </w:num>
  <w:num w:numId="3" w16cid:durableId="1124422459">
    <w:abstractNumId w:val="6"/>
  </w:num>
  <w:num w:numId="4" w16cid:durableId="11929622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5568630">
    <w:abstractNumId w:val="2"/>
  </w:num>
  <w:num w:numId="6" w16cid:durableId="576980986">
    <w:abstractNumId w:val="15"/>
  </w:num>
  <w:num w:numId="7" w16cid:durableId="113133981">
    <w:abstractNumId w:val="7"/>
  </w:num>
  <w:num w:numId="8" w16cid:durableId="2004621799">
    <w:abstractNumId w:val="14"/>
  </w:num>
  <w:num w:numId="9" w16cid:durableId="1846748276">
    <w:abstractNumId w:val="9"/>
  </w:num>
  <w:num w:numId="10" w16cid:durableId="783110424">
    <w:abstractNumId w:val="13"/>
  </w:num>
  <w:num w:numId="11" w16cid:durableId="1080755939">
    <w:abstractNumId w:val="10"/>
  </w:num>
  <w:num w:numId="12" w16cid:durableId="752093604">
    <w:abstractNumId w:val="1"/>
  </w:num>
  <w:num w:numId="13" w16cid:durableId="1727877563">
    <w:abstractNumId w:val="4"/>
  </w:num>
  <w:num w:numId="14" w16cid:durableId="1274941498">
    <w:abstractNumId w:val="16"/>
  </w:num>
  <w:num w:numId="15" w16cid:durableId="1141000309">
    <w:abstractNumId w:val="12"/>
  </w:num>
  <w:num w:numId="16" w16cid:durableId="367344072">
    <w:abstractNumId w:val="11"/>
  </w:num>
  <w:num w:numId="17" w16cid:durableId="35547420">
    <w:abstractNumId w:val="0"/>
  </w:num>
  <w:num w:numId="18" w16cid:durableId="291837121">
    <w:abstractNumId w:val="17"/>
  </w:num>
  <w:num w:numId="19" w16cid:durableId="1563252533">
    <w:abstractNumId w:val="3"/>
  </w:num>
  <w:num w:numId="20" w16cid:durableId="1445938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726E"/>
    <w:rsid w:val="00016F78"/>
    <w:rsid w:val="00024FC0"/>
    <w:rsid w:val="00046945"/>
    <w:rsid w:val="00061B2A"/>
    <w:rsid w:val="00082362"/>
    <w:rsid w:val="000A4E36"/>
    <w:rsid w:val="000A683E"/>
    <w:rsid w:val="000B19B9"/>
    <w:rsid w:val="000D0334"/>
    <w:rsid w:val="000D4B2C"/>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152D"/>
    <w:rsid w:val="0030657A"/>
    <w:rsid w:val="00322A85"/>
    <w:rsid w:val="00324168"/>
    <w:rsid w:val="00330834"/>
    <w:rsid w:val="003448F4"/>
    <w:rsid w:val="00366A38"/>
    <w:rsid w:val="00374F5E"/>
    <w:rsid w:val="00377E3E"/>
    <w:rsid w:val="00382D4F"/>
    <w:rsid w:val="003A013F"/>
    <w:rsid w:val="003A779E"/>
    <w:rsid w:val="003D0F4D"/>
    <w:rsid w:val="003D2360"/>
    <w:rsid w:val="003D5B0D"/>
    <w:rsid w:val="003E0499"/>
    <w:rsid w:val="003E4F80"/>
    <w:rsid w:val="003E6439"/>
    <w:rsid w:val="003F0A71"/>
    <w:rsid w:val="003F3941"/>
    <w:rsid w:val="003F6761"/>
    <w:rsid w:val="00406575"/>
    <w:rsid w:val="00410043"/>
    <w:rsid w:val="004136D1"/>
    <w:rsid w:val="00414C74"/>
    <w:rsid w:val="0042722E"/>
    <w:rsid w:val="0044528D"/>
    <w:rsid w:val="00466E39"/>
    <w:rsid w:val="004721AF"/>
    <w:rsid w:val="004A1847"/>
    <w:rsid w:val="004A305D"/>
    <w:rsid w:val="004E1195"/>
    <w:rsid w:val="004F21C4"/>
    <w:rsid w:val="004F685F"/>
    <w:rsid w:val="004F7243"/>
    <w:rsid w:val="005566E8"/>
    <w:rsid w:val="0056521D"/>
    <w:rsid w:val="00574867"/>
    <w:rsid w:val="00576CAE"/>
    <w:rsid w:val="00591460"/>
    <w:rsid w:val="005A1C56"/>
    <w:rsid w:val="005A65E0"/>
    <w:rsid w:val="005C3777"/>
    <w:rsid w:val="005C5CDC"/>
    <w:rsid w:val="005D476C"/>
    <w:rsid w:val="006200BF"/>
    <w:rsid w:val="006219F8"/>
    <w:rsid w:val="006302F7"/>
    <w:rsid w:val="00642468"/>
    <w:rsid w:val="00646B9F"/>
    <w:rsid w:val="00665D70"/>
    <w:rsid w:val="006900D9"/>
    <w:rsid w:val="00706C16"/>
    <w:rsid w:val="007340C3"/>
    <w:rsid w:val="0075235A"/>
    <w:rsid w:val="00756841"/>
    <w:rsid w:val="007649AB"/>
    <w:rsid w:val="00771D0C"/>
    <w:rsid w:val="007833AC"/>
    <w:rsid w:val="007A2D11"/>
    <w:rsid w:val="007B268C"/>
    <w:rsid w:val="007B7171"/>
    <w:rsid w:val="007C0C0F"/>
    <w:rsid w:val="007C3DC2"/>
    <w:rsid w:val="007E5497"/>
    <w:rsid w:val="00806F5F"/>
    <w:rsid w:val="00820278"/>
    <w:rsid w:val="008258C9"/>
    <w:rsid w:val="00844AE9"/>
    <w:rsid w:val="008566CE"/>
    <w:rsid w:val="00867F95"/>
    <w:rsid w:val="008843B6"/>
    <w:rsid w:val="00891928"/>
    <w:rsid w:val="008A446D"/>
    <w:rsid w:val="008B25F1"/>
    <w:rsid w:val="008D180B"/>
    <w:rsid w:val="008F0EA7"/>
    <w:rsid w:val="008F748E"/>
    <w:rsid w:val="00923EEF"/>
    <w:rsid w:val="00925815"/>
    <w:rsid w:val="009419F9"/>
    <w:rsid w:val="0095685E"/>
    <w:rsid w:val="00961B09"/>
    <w:rsid w:val="00965334"/>
    <w:rsid w:val="0097093E"/>
    <w:rsid w:val="00987C15"/>
    <w:rsid w:val="00991B2B"/>
    <w:rsid w:val="009A0DFA"/>
    <w:rsid w:val="009A1C6F"/>
    <w:rsid w:val="009B2D26"/>
    <w:rsid w:val="009B7096"/>
    <w:rsid w:val="009C71FA"/>
    <w:rsid w:val="009C72E7"/>
    <w:rsid w:val="009C7F7E"/>
    <w:rsid w:val="009D3058"/>
    <w:rsid w:val="009F3A13"/>
    <w:rsid w:val="00A122D3"/>
    <w:rsid w:val="00A14468"/>
    <w:rsid w:val="00A17F13"/>
    <w:rsid w:val="00A20739"/>
    <w:rsid w:val="00A23AF9"/>
    <w:rsid w:val="00A26428"/>
    <w:rsid w:val="00A268FF"/>
    <w:rsid w:val="00A33C78"/>
    <w:rsid w:val="00AA3CF3"/>
    <w:rsid w:val="00AB0ADB"/>
    <w:rsid w:val="00B00C0E"/>
    <w:rsid w:val="00B01B1A"/>
    <w:rsid w:val="00B0381D"/>
    <w:rsid w:val="00B44A47"/>
    <w:rsid w:val="00B52B91"/>
    <w:rsid w:val="00B72CD3"/>
    <w:rsid w:val="00B72FFF"/>
    <w:rsid w:val="00BC3D36"/>
    <w:rsid w:val="00BD54A6"/>
    <w:rsid w:val="00BD7F72"/>
    <w:rsid w:val="00BE12AD"/>
    <w:rsid w:val="00BF7425"/>
    <w:rsid w:val="00C04FB3"/>
    <w:rsid w:val="00C11D8B"/>
    <w:rsid w:val="00C15139"/>
    <w:rsid w:val="00C330EB"/>
    <w:rsid w:val="00C50D69"/>
    <w:rsid w:val="00C5365C"/>
    <w:rsid w:val="00C754BE"/>
    <w:rsid w:val="00C76B1C"/>
    <w:rsid w:val="00C925AC"/>
    <w:rsid w:val="00CB6357"/>
    <w:rsid w:val="00CC1B26"/>
    <w:rsid w:val="00CD4F12"/>
    <w:rsid w:val="00CE47EC"/>
    <w:rsid w:val="00D361FD"/>
    <w:rsid w:val="00D423A2"/>
    <w:rsid w:val="00D44E26"/>
    <w:rsid w:val="00D520D8"/>
    <w:rsid w:val="00D63AC2"/>
    <w:rsid w:val="00D67366"/>
    <w:rsid w:val="00D7383B"/>
    <w:rsid w:val="00D7750F"/>
    <w:rsid w:val="00D7788A"/>
    <w:rsid w:val="00D81A01"/>
    <w:rsid w:val="00DA231B"/>
    <w:rsid w:val="00DC39FC"/>
    <w:rsid w:val="00DF5254"/>
    <w:rsid w:val="00E02524"/>
    <w:rsid w:val="00E16408"/>
    <w:rsid w:val="00E17E0E"/>
    <w:rsid w:val="00E20894"/>
    <w:rsid w:val="00E245AB"/>
    <w:rsid w:val="00E2764C"/>
    <w:rsid w:val="00E27F2E"/>
    <w:rsid w:val="00E37817"/>
    <w:rsid w:val="00E50AFE"/>
    <w:rsid w:val="00E51B49"/>
    <w:rsid w:val="00E71868"/>
    <w:rsid w:val="00E75C92"/>
    <w:rsid w:val="00E771DC"/>
    <w:rsid w:val="00E8772A"/>
    <w:rsid w:val="00E90F6B"/>
    <w:rsid w:val="00E92C27"/>
    <w:rsid w:val="00EA00AF"/>
    <w:rsid w:val="00EA0E3D"/>
    <w:rsid w:val="00EC38A7"/>
    <w:rsid w:val="00EE1AA8"/>
    <w:rsid w:val="00EE33B4"/>
    <w:rsid w:val="00F23FEA"/>
    <w:rsid w:val="00F31EDC"/>
    <w:rsid w:val="00F462B3"/>
    <w:rsid w:val="00F5664F"/>
    <w:rsid w:val="00F666C4"/>
    <w:rsid w:val="00F732C9"/>
    <w:rsid w:val="00F76AFC"/>
    <w:rsid w:val="00FA47C0"/>
    <w:rsid w:val="00FB5DD1"/>
    <w:rsid w:val="00FC2B5D"/>
    <w:rsid w:val="00FC660A"/>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4C55CED2"/>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E71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E71868"/>
    <w:pPr>
      <w:spacing w:after="0" w:line="240" w:lineRule="exact"/>
    </w:pPr>
    <w:rPr>
      <w:vertAlign w:val="superscript"/>
    </w:rPr>
  </w:style>
  <w:style w:type="character" w:styleId="Refdecomentario">
    <w:name w:val="annotation reference"/>
    <w:basedOn w:val="Fuentedeprrafopredeter"/>
    <w:uiPriority w:val="99"/>
    <w:semiHidden/>
    <w:unhideWhenUsed/>
    <w:rsid w:val="00CD4F12"/>
    <w:rPr>
      <w:sz w:val="16"/>
      <w:szCs w:val="16"/>
    </w:rPr>
  </w:style>
  <w:style w:type="paragraph" w:styleId="Textocomentario">
    <w:name w:val="annotation text"/>
    <w:basedOn w:val="Normal"/>
    <w:link w:val="TextocomentarioCar"/>
    <w:uiPriority w:val="99"/>
    <w:semiHidden/>
    <w:unhideWhenUsed/>
    <w:rsid w:val="00CD4F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D4F12"/>
    <w:rPr>
      <w:sz w:val="20"/>
      <w:szCs w:val="20"/>
    </w:rPr>
  </w:style>
  <w:style w:type="paragraph" w:styleId="Asuntodelcomentario">
    <w:name w:val="annotation subject"/>
    <w:basedOn w:val="Textocomentario"/>
    <w:next w:val="Textocomentario"/>
    <w:link w:val="AsuntodelcomentarioCar"/>
    <w:uiPriority w:val="99"/>
    <w:semiHidden/>
    <w:unhideWhenUsed/>
    <w:rsid w:val="00CD4F12"/>
    <w:rPr>
      <w:b/>
      <w:bCs/>
    </w:rPr>
  </w:style>
  <w:style w:type="character" w:customStyle="1" w:styleId="AsuntodelcomentarioCar">
    <w:name w:val="Asunto del comentario Car"/>
    <w:basedOn w:val="TextocomentarioCar"/>
    <w:link w:val="Asuntodelcomentario"/>
    <w:uiPriority w:val="99"/>
    <w:semiHidden/>
    <w:rsid w:val="00CD4F12"/>
    <w:rPr>
      <w:b/>
      <w:bCs/>
      <w:sz w:val="20"/>
      <w:szCs w:val="20"/>
    </w:rPr>
  </w:style>
  <w:style w:type="paragraph" w:customStyle="1" w:styleId="pdq2pgselectionanchorcontainer">
    <w:name w:val="pdq2pg_selectionanchorcontainer"/>
    <w:basedOn w:val="Normal"/>
    <w:rsid w:val="00CD4F1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Fuerte">
    <w:name w:val="Strong"/>
    <w:basedOn w:val="Fuentedeprrafopredeter"/>
    <w:uiPriority w:val="22"/>
    <w:qFormat/>
    <w:rsid w:val="00CD4F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98240">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964194387">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668629457">
      <w:bodyDiv w:val="1"/>
      <w:marLeft w:val="0"/>
      <w:marRight w:val="0"/>
      <w:marTop w:val="0"/>
      <w:marBottom w:val="0"/>
      <w:divBdr>
        <w:top w:val="none" w:sz="0" w:space="0" w:color="auto"/>
        <w:left w:val="none" w:sz="0" w:space="0" w:color="auto"/>
        <w:bottom w:val="none" w:sz="0" w:space="0" w:color="auto"/>
        <w:right w:val="none" w:sz="0" w:space="0" w:color="auto"/>
      </w:divBdr>
      <w:divsChild>
        <w:div w:id="974606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idrd.gov.co/sites/default/files/documentos/Construcciones/11titulo-k-nsr-100.pdf" TargetMode="External"/><Relationship Id="rId1" Type="http://schemas.openxmlformats.org/officeDocument/2006/relationships/hyperlink" Target="https://idrd.gov.co/sites/default/files/documentos/Construcciones/11titulo-k-nsr-10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B0904DBD-D4D0-4AA0-BAC5-D543F9726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13</TotalTime>
  <Pages>30</Pages>
  <Words>10713</Words>
  <Characters>58927</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5</cp:revision>
  <cp:lastPrinted>2023-01-10T21:18:00Z</cp:lastPrinted>
  <dcterms:created xsi:type="dcterms:W3CDTF">2026-09-09T13:06:00Z</dcterms:created>
  <dcterms:modified xsi:type="dcterms:W3CDTF">2026-09-09T18:32:00Z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