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0BAE" w14:textId="77777777" w:rsidR="00D93BDF" w:rsidRPr="00D93BDF" w:rsidRDefault="00D93BDF" w:rsidP="00D93BDF">
      <w:pPr>
        <w:spacing w:after="0" w:line="240" w:lineRule="auto"/>
        <w:rPr>
          <w:rFonts w:ascii="Verdana" w:eastAsia="Calibri" w:hAnsi="Verdana" w:cs="Arial"/>
          <w:b/>
          <w:bCs/>
          <w:lang w:val="es-ES_tradnl"/>
        </w:rPr>
      </w:pPr>
      <w:bookmarkStart w:id="0" w:name="_Hlk143780582"/>
      <w:r w:rsidRPr="00D93BDF">
        <w:rPr>
          <w:rFonts w:ascii="Verdana" w:eastAsia="Calibri" w:hAnsi="Verdana" w:cs="Arial"/>
          <w:b/>
          <w:bCs/>
          <w:lang w:val="es-ES_tradnl"/>
        </w:rPr>
        <w:t>DOCUMENTOS TIPO – Fundamento normativo – Obligatoriedad</w:t>
      </w:r>
    </w:p>
    <w:p w14:paraId="27A1DFFD" w14:textId="77777777" w:rsidR="00D93BDF" w:rsidRPr="00D93BDF" w:rsidRDefault="00D93BDF" w:rsidP="00D93BDF">
      <w:pPr>
        <w:spacing w:after="0" w:line="240" w:lineRule="auto"/>
        <w:jc w:val="both"/>
        <w:rPr>
          <w:rFonts w:ascii="Verdana" w:eastAsia="Calibri" w:hAnsi="Verdana" w:cs="Arial"/>
          <w:b/>
          <w:bCs/>
          <w:sz w:val="20"/>
          <w:szCs w:val="20"/>
          <w:lang w:val="es-ES_tradnl"/>
        </w:rPr>
      </w:pPr>
    </w:p>
    <w:p w14:paraId="081AB538" w14:textId="77777777" w:rsidR="00D93BDF" w:rsidRPr="00D93BDF" w:rsidRDefault="00D93BDF" w:rsidP="00D93BDF">
      <w:pPr>
        <w:tabs>
          <w:tab w:val="left" w:pos="709"/>
        </w:tabs>
        <w:spacing w:after="0" w:line="240" w:lineRule="auto"/>
        <w:jc w:val="both"/>
        <w:rPr>
          <w:rFonts w:ascii="Verdana" w:eastAsia="Calibri" w:hAnsi="Verdana" w:cs="Arial"/>
          <w:sz w:val="20"/>
          <w:szCs w:val="20"/>
          <w:lang w:val="es-ES"/>
        </w:rPr>
      </w:pPr>
      <w:r w:rsidRPr="00D93BDF">
        <w:rPr>
          <w:rFonts w:ascii="Verdana" w:eastAsia="Calibri" w:hAnsi="Verdana" w:cs="Arial"/>
          <w:sz w:val="20"/>
          <w:szCs w:val="20"/>
          <w:lang w:val="es-ES"/>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03A6E3B0" w14:textId="77777777" w:rsidR="00D93BDF" w:rsidRPr="00D93BDF" w:rsidRDefault="00D93BDF" w:rsidP="00D93BDF">
      <w:pPr>
        <w:spacing w:after="0" w:line="240" w:lineRule="auto"/>
        <w:jc w:val="both"/>
        <w:rPr>
          <w:rFonts w:ascii="Verdana" w:eastAsia="Calibri" w:hAnsi="Verdana" w:cs="Arial"/>
          <w:b/>
          <w:bCs/>
          <w:lang w:val="es-ES_tradnl"/>
        </w:rPr>
      </w:pPr>
    </w:p>
    <w:p w14:paraId="34798F36"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b/>
          <w:bCs/>
          <w:lang w:val="es-ES"/>
        </w:rPr>
      </w:pPr>
      <w:r w:rsidRPr="00D93BDF">
        <w:rPr>
          <w:rFonts w:ascii="Verdana" w:eastAsia="Calibri" w:hAnsi="Verdana" w:cs="Arial"/>
          <w:b/>
          <w:bCs/>
          <w:lang w:val="es-ES_tradnl"/>
        </w:rPr>
        <w:t>SECTOR SOCIAL</w:t>
      </w:r>
      <w:r w:rsidRPr="00D93BDF">
        <w:rPr>
          <w:rFonts w:ascii="Verdana" w:eastAsia="Calibri" w:hAnsi="Verdana" w:cs="Times New Roman"/>
          <w:lang w:val="es-ES"/>
        </w:rPr>
        <w:t xml:space="preserve"> </w:t>
      </w:r>
      <w:r w:rsidRPr="00D93BDF">
        <w:rPr>
          <w:rFonts w:ascii="Verdana" w:eastAsia="Calibri" w:hAnsi="Verdana" w:cs="Times New Roman"/>
          <w:b/>
          <w:bCs/>
          <w:lang w:val="es-ES"/>
        </w:rPr>
        <w:t>– Documentos tipo – Vigentes</w:t>
      </w:r>
    </w:p>
    <w:p w14:paraId="3677CDE7"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b/>
          <w:bCs/>
          <w:lang w:val="es-ES"/>
        </w:rPr>
      </w:pPr>
    </w:p>
    <w:p w14:paraId="2D22F51B"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b/>
          <w:bCs/>
          <w:sz w:val="20"/>
          <w:szCs w:val="20"/>
          <w:lang w:val="es-ES"/>
        </w:rPr>
      </w:pPr>
      <w:r w:rsidRPr="00D93BDF">
        <w:rPr>
          <w:rFonts w:ascii="Verdana" w:eastAsia="Aptos" w:hAnsi="Verdana" w:cs="Times New Roman"/>
          <w:kern w:val="2"/>
          <w:sz w:val="20"/>
          <w:szCs w:val="20"/>
          <w14:ligatures w14:val="standardContextual"/>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3121CCA6"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lang w:val="es-ES"/>
        </w:rPr>
      </w:pPr>
    </w:p>
    <w:p w14:paraId="78B4CCD9" w14:textId="77777777" w:rsidR="00D93BDF" w:rsidRPr="00D93BDF" w:rsidRDefault="00D93BDF" w:rsidP="00D93BDF">
      <w:pPr>
        <w:spacing w:after="0" w:line="240" w:lineRule="auto"/>
        <w:jc w:val="both"/>
        <w:rPr>
          <w:rFonts w:ascii="Verdana" w:eastAsia="Calibri" w:hAnsi="Verdana" w:cs="Times New Roman"/>
          <w:sz w:val="20"/>
          <w:szCs w:val="20"/>
          <w:lang w:val="es-ES"/>
        </w:rPr>
      </w:pPr>
      <w:r w:rsidRPr="00D93BDF">
        <w:rPr>
          <w:rFonts w:ascii="Verdana" w:eastAsia="Calibri" w:hAnsi="Verdana" w:cs="Times New Roman"/>
          <w:b/>
          <w:bCs/>
          <w:lang w:val="es-ES"/>
        </w:rPr>
        <w:t xml:space="preserve">DOCUMENTOS TIPO – Aplicación – Matriz de Experiencia </w:t>
      </w:r>
    </w:p>
    <w:p w14:paraId="4B23AB26" w14:textId="77777777" w:rsidR="00D93BDF" w:rsidRPr="00D93BDF" w:rsidRDefault="00D93BDF" w:rsidP="00D93BDF">
      <w:pPr>
        <w:spacing w:after="0" w:line="240" w:lineRule="auto"/>
        <w:rPr>
          <w:rFonts w:ascii="Verdana" w:eastAsia="Geomanist Light" w:hAnsi="Verdana" w:cs="Arial"/>
          <w:lang w:val="es-MX"/>
        </w:rPr>
      </w:pPr>
    </w:p>
    <w:p w14:paraId="3269B67C"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sz w:val="20"/>
          <w:szCs w:val="20"/>
          <w:lang w:val="es-ES"/>
        </w:rPr>
      </w:pPr>
      <w:r w:rsidRPr="00D93BDF">
        <w:rPr>
          <w:rFonts w:ascii="Verdana" w:eastAsia="Calibri" w:hAnsi="Verdana" w:cs="Times New Roman"/>
          <w:sz w:val="20"/>
          <w:szCs w:val="20"/>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1C8A792F"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sz w:val="20"/>
          <w:szCs w:val="20"/>
          <w:lang w:val="es-ES"/>
        </w:rPr>
      </w:pPr>
    </w:p>
    <w:p w14:paraId="0757B427"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sz w:val="20"/>
          <w:szCs w:val="20"/>
          <w:lang w:val="es-ES"/>
        </w:rPr>
      </w:pPr>
      <w:r w:rsidRPr="00D93BDF">
        <w:rPr>
          <w:rFonts w:ascii="Verdana" w:eastAsia="Calibri" w:hAnsi="Verdana" w:cs="Times New Roman"/>
          <w:sz w:val="20"/>
          <w:szCs w:val="20"/>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AA6F8DC" w14:textId="77777777" w:rsidR="00D93BDF" w:rsidRPr="00D93BDF" w:rsidRDefault="00D93BDF" w:rsidP="00D93BDF">
      <w:pPr>
        <w:widowControl w:val="0"/>
        <w:autoSpaceDE w:val="0"/>
        <w:autoSpaceDN w:val="0"/>
        <w:spacing w:after="0" w:line="240" w:lineRule="auto"/>
        <w:jc w:val="both"/>
        <w:rPr>
          <w:rFonts w:ascii="Verdana" w:eastAsia="Calibri" w:hAnsi="Verdana" w:cs="Times New Roman"/>
          <w:sz w:val="20"/>
          <w:szCs w:val="20"/>
          <w:lang w:val="es-ES"/>
        </w:rPr>
      </w:pPr>
    </w:p>
    <w:p w14:paraId="02A5EEB6" w14:textId="77777777" w:rsidR="00D93BDF" w:rsidRPr="00D93BDF" w:rsidRDefault="00D93BDF" w:rsidP="00D93BDF">
      <w:pPr>
        <w:spacing w:after="0" w:line="240" w:lineRule="auto"/>
        <w:jc w:val="both"/>
        <w:rPr>
          <w:rFonts w:ascii="Verdana" w:eastAsia="Calibri" w:hAnsi="Verdana" w:cs="Arial"/>
          <w:b/>
          <w:bCs/>
          <w:color w:val="000000"/>
          <w:kern w:val="2"/>
          <w:lang w:val="es-ES_tradnl"/>
          <w14:ligatures w14:val="standardContextual"/>
        </w:rPr>
      </w:pPr>
      <w:r w:rsidRPr="00D93BDF">
        <w:rPr>
          <w:rFonts w:ascii="Verdana" w:eastAsia="Calibri" w:hAnsi="Verdana" w:cs="Arial"/>
          <w:b/>
          <w:bCs/>
          <w:color w:val="000000"/>
          <w:kern w:val="2"/>
          <w:lang w:val="es-ES_tradnl"/>
          <w14:ligatures w14:val="standardContextual"/>
        </w:rPr>
        <w:t>CONTRATO DE OBRA PÚBLICA – Aplicación – Bienes inmuebles</w:t>
      </w:r>
    </w:p>
    <w:p w14:paraId="32C366FA" w14:textId="77777777" w:rsidR="00D93BDF" w:rsidRPr="00D93BDF" w:rsidRDefault="00D93BDF" w:rsidP="00D93BDF">
      <w:pPr>
        <w:spacing w:after="0" w:line="240" w:lineRule="auto"/>
        <w:jc w:val="both"/>
        <w:rPr>
          <w:rFonts w:ascii="Verdana" w:eastAsia="Calibri" w:hAnsi="Verdana" w:cs="Arial"/>
          <w:color w:val="000000"/>
          <w:kern w:val="2"/>
          <w:sz w:val="20"/>
          <w:szCs w:val="20"/>
          <w:lang w:val="es-ES_tradnl"/>
          <w14:ligatures w14:val="standardContextual"/>
        </w:rPr>
      </w:pPr>
    </w:p>
    <w:p w14:paraId="0D525AC5" w14:textId="77777777" w:rsidR="00D93BDF" w:rsidRPr="00D93BDF" w:rsidRDefault="00D93BDF" w:rsidP="00D93BDF">
      <w:pPr>
        <w:spacing w:after="0" w:line="240" w:lineRule="auto"/>
        <w:jc w:val="both"/>
        <w:rPr>
          <w:rFonts w:ascii="Verdana" w:eastAsia="Calibri" w:hAnsi="Verdana" w:cs="Arial"/>
          <w:color w:val="000000"/>
          <w:kern w:val="2"/>
          <w:sz w:val="20"/>
          <w:szCs w:val="20"/>
          <w:lang w:val="es-ES_tradnl"/>
          <w14:ligatures w14:val="standardContextual"/>
        </w:rPr>
      </w:pPr>
      <w:r w:rsidRPr="00D93BDF">
        <w:rPr>
          <w:rFonts w:ascii="Verdana" w:eastAsia="Calibri" w:hAnsi="Verdana" w:cs="Arial"/>
          <w:color w:val="000000"/>
          <w:kern w:val="2"/>
          <w:sz w:val="20"/>
          <w:szCs w:val="20"/>
          <w:lang w:val="es-ES_tradnl"/>
          <w14:ligatures w14:val="standardContextual"/>
        </w:rPr>
        <w:t xml:space="preserve">(…) el numeral 1 del artículo 32 de la Ley 80 de 1993 opta por un </w:t>
      </w:r>
      <w:r w:rsidRPr="00D93BDF">
        <w:rPr>
          <w:rFonts w:ascii="Verdana" w:eastAsia="Calibri" w:hAnsi="Verdana" w:cs="Arial"/>
          <w:i/>
          <w:iCs/>
          <w:color w:val="000000"/>
          <w:kern w:val="2"/>
          <w:sz w:val="20"/>
          <w:szCs w:val="20"/>
          <w:lang w:val="es-ES_tradnl"/>
          <w14:ligatures w14:val="standardContextual"/>
        </w:rPr>
        <w:t>sentido restringido</w:t>
      </w:r>
      <w:r w:rsidRPr="00D93BDF">
        <w:rPr>
          <w:rFonts w:ascii="Verdana" w:eastAsia="Calibri" w:hAnsi="Verdana" w:cs="Arial"/>
          <w:color w:val="000000"/>
          <w:kern w:val="2"/>
          <w:sz w:val="20"/>
          <w:szCs w:val="20"/>
          <w:lang w:val="es-ES_tradnl"/>
          <w14:ligatures w14:val="standardContextual"/>
        </w:rPr>
        <w:t xml:space="preserve">, al disponer que “Son contratos de obra los que celebren las entidades estatales para la construcción, mantenimiento, instalación y, en general, para la realización de cualquier otro trabajo material sobre bienes inmuebles, cualquiera que sea la modalidad de ejecución y pago”, de manera que este tipo de contrato no aplica a los trabajos </w:t>
      </w:r>
      <w:r w:rsidRPr="00D93BDF">
        <w:rPr>
          <w:rFonts w:ascii="Verdana" w:eastAsia="Calibri" w:hAnsi="Verdana" w:cs="Arial"/>
          <w:color w:val="000000"/>
          <w:kern w:val="2"/>
          <w:sz w:val="20"/>
          <w:szCs w:val="20"/>
          <w:lang w:val="es-ES_tradnl"/>
          <w14:ligatures w14:val="standardContextual"/>
        </w:rPr>
        <w:lastRenderedPageBreak/>
        <w:t>materiales realizados sobre bienes muebles. Por lo anterior, el legislador adoptó el criterio de la tipificación del contrato de obra pública a actividades realizadas sobre bienes inmuebles, admitiendo, de forma muy amplia, la ejecución de todo trabajo que tenga por objeto crear, construir, conservar o modificar bienes inmuebles, lo cual incluye trabajos de construcción, instalación, conservación, mantenimiento, reparación y demolición de esos mismos.</w:t>
      </w:r>
    </w:p>
    <w:p w14:paraId="2B70E8CC" w14:textId="77777777" w:rsidR="00D93BDF" w:rsidRPr="00D93BDF" w:rsidRDefault="00D93BDF" w:rsidP="00D93BDF">
      <w:pPr>
        <w:spacing w:after="0" w:line="240" w:lineRule="auto"/>
        <w:jc w:val="both"/>
        <w:rPr>
          <w:rFonts w:ascii="Verdana" w:eastAsia="Calibri" w:hAnsi="Verdana" w:cs="Arial"/>
          <w:color w:val="000000"/>
          <w:kern w:val="2"/>
          <w:sz w:val="20"/>
          <w:szCs w:val="20"/>
          <w:lang w:val="es-ES_tradnl"/>
          <w14:ligatures w14:val="standardContextual"/>
        </w:rPr>
      </w:pPr>
    </w:p>
    <w:p w14:paraId="259F9A8D" w14:textId="77777777" w:rsidR="00D93BDF" w:rsidRPr="00D93BDF" w:rsidRDefault="00D93BDF" w:rsidP="00D93BDF">
      <w:pPr>
        <w:spacing w:after="0" w:line="240" w:lineRule="auto"/>
        <w:jc w:val="both"/>
        <w:rPr>
          <w:rFonts w:ascii="Verdana" w:eastAsia="Times New Roman" w:hAnsi="Verdana" w:cs="Times New Roman"/>
          <w:b/>
          <w:bCs/>
          <w:color w:val="000000"/>
          <w:lang w:eastAsia="es-CO"/>
        </w:rPr>
      </w:pPr>
      <w:r w:rsidRPr="00D93BDF">
        <w:rPr>
          <w:rFonts w:ascii="Verdana" w:eastAsia="Times New Roman" w:hAnsi="Verdana" w:cs="Times New Roman"/>
          <w:b/>
          <w:bCs/>
          <w:color w:val="000000"/>
          <w:lang w:eastAsia="es-CO"/>
        </w:rPr>
        <w:t>SECTOR INSTITUCIONAL – Documentos tipo – Infraestructura social – Actividades – Mantenimiento – Adecuación – Reparación</w:t>
      </w:r>
    </w:p>
    <w:p w14:paraId="76F8CECA" w14:textId="77777777" w:rsidR="00D93BDF" w:rsidRPr="00D93BDF" w:rsidRDefault="00D93BDF" w:rsidP="00D93BDF">
      <w:pPr>
        <w:spacing w:after="0" w:line="240" w:lineRule="auto"/>
        <w:jc w:val="both"/>
        <w:rPr>
          <w:rFonts w:ascii="Verdana" w:eastAsia="Times New Roman" w:hAnsi="Verdana" w:cs="Times New Roman"/>
          <w:color w:val="000000"/>
          <w:sz w:val="20"/>
          <w:szCs w:val="20"/>
          <w:lang w:eastAsia="es-CO"/>
        </w:rPr>
      </w:pPr>
    </w:p>
    <w:p w14:paraId="422204BB" w14:textId="77777777" w:rsidR="00D93BDF" w:rsidRPr="00D93BDF" w:rsidRDefault="00D93BDF" w:rsidP="00D93BDF">
      <w:pPr>
        <w:spacing w:after="0" w:line="240" w:lineRule="auto"/>
        <w:jc w:val="both"/>
        <w:rPr>
          <w:rFonts w:ascii="Verdana" w:eastAsia="Aptos" w:hAnsi="Verdana" w:cs="Times New Roman"/>
          <w:kern w:val="2"/>
          <w:sz w:val="20"/>
          <w:szCs w:val="20"/>
          <w14:ligatures w14:val="standardContextual"/>
        </w:rPr>
      </w:pPr>
      <w:r w:rsidRPr="00D93BDF">
        <w:rPr>
          <w:rFonts w:ascii="Verdana" w:eastAsia="Times New Roman" w:hAnsi="Verdana" w:cs="Times New Roman"/>
          <w:color w:val="000000"/>
          <w:sz w:val="20"/>
          <w:szCs w:val="20"/>
          <w:lang w:eastAsia="es-CO"/>
        </w:rPr>
        <w:t xml:space="preserve">Como se aprecia, las actividades indicadas aplican a los procesos que adelanten las entidades obligadas a utilizar los documentos tipo, cuando correspondan —para efectos de su solicitud— al mantenimiento, adecuación y reparaciones de: </w:t>
      </w:r>
      <w:r w:rsidRPr="00D93BDF">
        <w:rPr>
          <w:rFonts w:ascii="Verdana" w:eastAsia="Aptos" w:hAnsi="Verdana" w:cs="Times New Roman"/>
          <w:kern w:val="2"/>
          <w:sz w:val="20"/>
          <w:szCs w:val="20"/>
          <w14:ligatures w14:val="standardContextual"/>
        </w:rPr>
        <w:t xml:space="preserve">infraestructura de servicio público; cerramientos para infraestructura de servicio público; comedores, zonas de almacenamiento y/o conservación de alimentos y/o zonas de alimentación; baterías sanitarias y/o redes hidrosanitarias y/o tanques de almacenamiento y/o sistemas de bombeo y/o redes contra incendios; cubiertas; bienes de interés cultural y/o patrimonial asociados a infraestructura de servicio público; redes eléctricas y/o circuitos cerrados de TV y/o sistemas de seguridad y/o circuitos de voz y datos y/o plantas eléctricas y/o subestaciones y/o redes de telemática, comunicación, sonido o telefonía y/o redes o sistemas de iluminación o luminarias interiores o exteriores; zonas verdes y/o actividades de urbanismo y/o de paisajismo; y redes de vapor y/o redes de gases y/o redes de gas natural y/o sistemas de cocción, todas estas </w:t>
      </w:r>
      <w:r w:rsidRPr="00D93BDF">
        <w:rPr>
          <w:rFonts w:ascii="Verdana" w:eastAsia="Times New Roman" w:hAnsi="Verdana" w:cs="Times New Roman"/>
          <w:color w:val="000000"/>
          <w:sz w:val="20"/>
          <w:szCs w:val="20"/>
          <w:lang w:eastAsia="es-CO"/>
        </w:rPr>
        <w:t xml:space="preserve">en infraestructura de servicio público. </w:t>
      </w:r>
      <w:r w:rsidRPr="00D93BDF">
        <w:rPr>
          <w:rFonts w:ascii="Verdana" w:eastAsia="Aptos" w:hAnsi="Verdana" w:cs="Times New Roman"/>
          <w:kern w:val="2"/>
          <w:sz w:val="20"/>
          <w:szCs w:val="20"/>
          <w14:ligatures w14:val="standardContextual"/>
        </w:rPr>
        <w:t>No obstante, será la entidad contratante la que, de acuerdo con el alcance específico del mantenimiento y/o la reparación que pretenda desarrollar, determine cuál o cuáles de las actividades relacionadas resultan aplicables a su proceso de contratación, en atención a las particularidades técnicas, al objeto contractual y a las necesidades reales de la obra a ejecutar.</w:t>
      </w:r>
    </w:p>
    <w:p w14:paraId="2E1C629C" w14:textId="77777777" w:rsidR="00D93BDF" w:rsidRPr="00D93BDF" w:rsidRDefault="00D93BDF" w:rsidP="00D93BDF">
      <w:pPr>
        <w:spacing w:after="0" w:line="240" w:lineRule="auto"/>
        <w:jc w:val="both"/>
        <w:rPr>
          <w:rFonts w:ascii="Verdana" w:eastAsia="Times New Roman" w:hAnsi="Verdana" w:cs="Aptos"/>
          <w:sz w:val="20"/>
          <w:szCs w:val="20"/>
          <w:lang w:eastAsia="es-MX"/>
        </w:rPr>
      </w:pPr>
    </w:p>
    <w:p w14:paraId="11FFCB00" w14:textId="77777777" w:rsidR="00D93BDF" w:rsidRPr="00D93BDF" w:rsidRDefault="00D93BDF" w:rsidP="00D93BDF">
      <w:pPr>
        <w:spacing w:after="0" w:line="240" w:lineRule="auto"/>
        <w:jc w:val="both"/>
        <w:rPr>
          <w:rFonts w:ascii="Verdana" w:eastAsia="Times New Roman" w:hAnsi="Verdana" w:cs="Calibri"/>
          <w:b/>
          <w:bCs/>
          <w:lang w:eastAsia="es-MX"/>
        </w:rPr>
      </w:pPr>
      <w:r w:rsidRPr="00D93BDF">
        <w:rPr>
          <w:rFonts w:ascii="Verdana" w:eastAsia="Times New Roman" w:hAnsi="Verdana" w:cs="Calibri"/>
          <w:b/>
          <w:bCs/>
          <w:lang w:eastAsia="es-MX"/>
        </w:rPr>
        <w:t>INFRAESTRUCTURA INSTITUCIONAL DE SERVICIO PÚBLICO – Documentos tipo – Sector social – Alcance</w:t>
      </w:r>
    </w:p>
    <w:p w14:paraId="1D1B67B0" w14:textId="77777777" w:rsidR="00D93BDF" w:rsidRPr="00D93BDF" w:rsidRDefault="00D93BDF" w:rsidP="00D93BDF">
      <w:pPr>
        <w:spacing w:after="0" w:line="240" w:lineRule="auto"/>
        <w:jc w:val="both"/>
        <w:rPr>
          <w:rFonts w:ascii="Verdana" w:eastAsia="Times New Roman" w:hAnsi="Verdana" w:cs="Aptos"/>
          <w:b/>
          <w:bCs/>
          <w:lang w:eastAsia="es-MX"/>
        </w:rPr>
      </w:pPr>
    </w:p>
    <w:p w14:paraId="3F65969E" w14:textId="77777777" w:rsidR="00D93BDF" w:rsidRPr="00D93BDF" w:rsidRDefault="00D93BDF" w:rsidP="00D93BDF">
      <w:pPr>
        <w:spacing w:after="0" w:line="240" w:lineRule="auto"/>
        <w:jc w:val="both"/>
        <w:rPr>
          <w:rFonts w:ascii="Verdana" w:eastAsia="Calibri" w:hAnsi="Verdana" w:cs="Arial"/>
          <w:color w:val="0D0D0D"/>
          <w:sz w:val="20"/>
          <w:szCs w:val="20"/>
          <w:lang w:eastAsia="es-MX"/>
        </w:rPr>
      </w:pPr>
      <w:r w:rsidRPr="00D93BDF">
        <w:rPr>
          <w:rFonts w:ascii="Verdana" w:eastAsia="Calibri" w:hAnsi="Verdana" w:cs="Arial"/>
          <w:sz w:val="20"/>
          <w:szCs w:val="20"/>
          <w:lang w:val="es-ES_tradnl" w:eastAsia="es-MX"/>
        </w:rPr>
        <w:t xml:space="preserve">Ahora bien, como se precisó las actividades señaladas recaen sobre </w:t>
      </w:r>
      <w:r w:rsidRPr="00D93BDF">
        <w:rPr>
          <w:rFonts w:ascii="Verdana" w:eastAsia="Times New Roman" w:hAnsi="Verdana" w:cs="Calibri"/>
          <w:sz w:val="20"/>
          <w:szCs w:val="20"/>
          <w:lang w:eastAsia="es-MX"/>
        </w:rPr>
        <w:t xml:space="preserve">obras en proyectos de infraestructura institucional de servicio público. De esta forma, para determinar qué abarca este tipo de infraestructura, debe indicarse que, de conformidad con la norma </w:t>
      </w:r>
      <w:r w:rsidRPr="00D93BDF">
        <w:rPr>
          <w:rFonts w:ascii="Verdana" w:eastAsia="Calibri" w:hAnsi="Verdana" w:cs="Arial"/>
          <w:color w:val="0D0D0D"/>
          <w:sz w:val="20"/>
          <w:szCs w:val="20"/>
          <w:lang w:eastAsia="es-MX"/>
        </w:rPr>
        <w:t>NSR-10 en el Subgrupo de Ocupación Institucional de Servicio Público (I-5) “se clasifican las edificaciones o espacios destinados a funciones administrativas y prestación de servicios públicos necesarios para el buen funcionamiento de las ciudades”. Entre las edificaciones o espacios que pertenecen a este Subgrupo se encuentran las siguientes: “Centros de comunicación o administrativos o administrativos de servicios municipales, distritales o gubernamentales, juzgados y otros similares”.</w:t>
      </w:r>
    </w:p>
    <w:p w14:paraId="374FF069" w14:textId="77777777" w:rsidR="00D93BDF" w:rsidRPr="00D93BDF" w:rsidRDefault="00D93BDF" w:rsidP="00D93BDF">
      <w:pPr>
        <w:spacing w:after="0" w:line="240" w:lineRule="auto"/>
        <w:jc w:val="both"/>
        <w:rPr>
          <w:rFonts w:ascii="Verdana" w:eastAsia="Calibri" w:hAnsi="Verdana" w:cs="Arial"/>
          <w:color w:val="0D0D0D"/>
          <w:sz w:val="20"/>
          <w:szCs w:val="20"/>
          <w:lang w:eastAsia="es-MX"/>
        </w:rPr>
      </w:pPr>
    </w:p>
    <w:p w14:paraId="10C6AACA" w14:textId="532D4899" w:rsidR="00D93BDF" w:rsidRPr="00D93BDF" w:rsidRDefault="00D93BDF" w:rsidP="00D93BDF">
      <w:pPr>
        <w:spacing w:after="0" w:line="240" w:lineRule="auto"/>
        <w:jc w:val="both"/>
        <w:rPr>
          <w:rFonts w:ascii="Verdana" w:eastAsia="Calibri" w:hAnsi="Verdana" w:cs="Arial"/>
          <w:color w:val="0D0D0D"/>
          <w:sz w:val="20"/>
          <w:szCs w:val="20"/>
          <w:lang w:eastAsia="es-MX"/>
        </w:rPr>
      </w:pPr>
      <w:r w:rsidRPr="1165BA09">
        <w:rPr>
          <w:rFonts w:ascii="Verdana" w:eastAsia="Calibri" w:hAnsi="Verdana" w:cs="Arial"/>
          <w:color w:val="0D0D0D" w:themeColor="text1" w:themeTint="F2"/>
          <w:sz w:val="20"/>
          <w:szCs w:val="20"/>
          <w:lang w:eastAsia="es-MX"/>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w:t>
      </w:r>
      <w:r w:rsidRPr="1165BA09">
        <w:rPr>
          <w:rFonts w:ascii="Verdana" w:eastAsia="Calibri" w:hAnsi="Verdana" w:cs="Arial"/>
          <w:color w:val="0D0D0D" w:themeColor="text1" w:themeTint="F2"/>
          <w:sz w:val="20"/>
          <w:szCs w:val="20"/>
          <w:lang w:eastAsia="es-MX"/>
        </w:rPr>
        <w:lastRenderedPageBreak/>
        <w:t>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w:t>
      </w:r>
      <w:r w:rsidR="6C6340DD" w:rsidRPr="1165BA09">
        <w:rPr>
          <w:rFonts w:ascii="Verdana" w:eastAsia="Calibri" w:hAnsi="Verdana" w:cs="Arial"/>
          <w:color w:val="0D0D0D" w:themeColor="text1" w:themeTint="F2"/>
          <w:sz w:val="20"/>
          <w:szCs w:val="20"/>
          <w:lang w:eastAsia="es-MX"/>
        </w:rPr>
        <w:t>,</w:t>
      </w:r>
      <w:r w:rsidRPr="1165BA09">
        <w:rPr>
          <w:rFonts w:ascii="Verdana" w:eastAsia="Calibri" w:hAnsi="Verdana" w:cs="Arial"/>
          <w:color w:val="0D0D0D" w:themeColor="text1" w:themeTint="F2"/>
          <w:sz w:val="20"/>
          <w:szCs w:val="20"/>
          <w:lang w:eastAsia="es-MX"/>
        </w:rPr>
        <w:t xml:space="preserve"> por su naturaleza y finalidad, están orientadas a la prestación de servicios públicos y al desarrollo de funciones institucionales del Estado, como son las funciones administrativas.  </w:t>
      </w:r>
    </w:p>
    <w:p w14:paraId="3092B52A" w14:textId="77777777" w:rsidR="00D93BDF" w:rsidRPr="00D93BDF" w:rsidRDefault="00D93BDF" w:rsidP="00D93BDF">
      <w:pPr>
        <w:spacing w:after="0" w:line="240" w:lineRule="auto"/>
        <w:jc w:val="both"/>
        <w:rPr>
          <w:rFonts w:ascii="Verdana" w:eastAsia="Calibri" w:hAnsi="Verdana" w:cs="Arial"/>
          <w:color w:val="0D0D0D"/>
          <w:sz w:val="20"/>
          <w:szCs w:val="20"/>
          <w:lang w:eastAsia="es-MX"/>
        </w:rPr>
      </w:pPr>
    </w:p>
    <w:p w14:paraId="073CE56D" w14:textId="77777777" w:rsidR="00D93BDF" w:rsidRPr="00D93BDF" w:rsidRDefault="00D93BDF" w:rsidP="00D93BDF">
      <w:pPr>
        <w:spacing w:after="0" w:line="240" w:lineRule="auto"/>
        <w:jc w:val="both"/>
        <w:rPr>
          <w:rFonts w:ascii="Verdana" w:eastAsia="Calibri" w:hAnsi="Verdana" w:cs="Arial"/>
          <w:color w:val="0D0D0D"/>
          <w:sz w:val="20"/>
          <w:szCs w:val="20"/>
          <w:lang w:eastAsia="es-MX"/>
        </w:rPr>
      </w:pPr>
      <w:r w:rsidRPr="00D93BDF">
        <w:rPr>
          <w:rFonts w:ascii="Verdana" w:eastAsia="Calibri" w:hAnsi="Verdana" w:cs="Arial"/>
          <w:color w:val="0D0D0D"/>
          <w:sz w:val="20"/>
          <w:szCs w:val="20"/>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D93BDF">
        <w:rPr>
          <w:rFonts w:ascii="Verdana" w:eastAsia="Calibri" w:hAnsi="Verdana" w:cs="Arial"/>
          <w:color w:val="0D0D0D"/>
          <w:sz w:val="20"/>
          <w:szCs w:val="20"/>
          <w:lang w:eastAsia="es-MX"/>
        </w:rPr>
        <w:t>etc</w:t>
      </w:r>
      <w:proofErr w:type="spellEnd"/>
      <w:r w:rsidRPr="00D93BDF">
        <w:rPr>
          <w:rFonts w:ascii="Verdana" w:eastAsia="Calibri" w:hAnsi="Verdana" w:cs="Arial"/>
          <w:color w:val="0D0D0D"/>
          <w:sz w:val="20"/>
          <w:szCs w:val="20"/>
          <w:lang w:eastAsia="es-MX"/>
        </w:rPr>
        <w:t xml:space="preserve">) principalmente para el beneficio e interés público”. </w:t>
      </w:r>
    </w:p>
    <w:p w14:paraId="463A3FEB" w14:textId="77777777" w:rsidR="00D93BDF" w:rsidRPr="00D93BDF" w:rsidRDefault="00D93BDF" w:rsidP="00D93BDF">
      <w:pPr>
        <w:spacing w:after="0" w:line="240" w:lineRule="auto"/>
        <w:jc w:val="both"/>
        <w:rPr>
          <w:rFonts w:ascii="Verdana" w:eastAsia="Calibri" w:hAnsi="Verdana" w:cs="Arial"/>
          <w:color w:val="0D0D0D"/>
          <w:sz w:val="20"/>
          <w:szCs w:val="20"/>
          <w:lang w:eastAsia="es-MX"/>
        </w:rPr>
      </w:pPr>
    </w:p>
    <w:p w14:paraId="43B2F27D" w14:textId="60FDFE71" w:rsidR="00D93BDF" w:rsidRPr="00D93BDF" w:rsidRDefault="00D93BDF" w:rsidP="00D93BDF">
      <w:pPr>
        <w:spacing w:after="0" w:line="240" w:lineRule="auto"/>
        <w:jc w:val="both"/>
        <w:rPr>
          <w:rFonts w:ascii="Verdana" w:eastAsia="Times New Roman" w:hAnsi="Verdana" w:cs="Times New Roman"/>
          <w:b/>
          <w:bCs/>
          <w:color w:val="000000"/>
          <w:lang w:eastAsia="es-CO"/>
        </w:rPr>
      </w:pPr>
      <w:r w:rsidRPr="1165BA09">
        <w:rPr>
          <w:rFonts w:ascii="Verdana" w:eastAsia="Calibri" w:hAnsi="Verdana" w:cs="Arial"/>
          <w:b/>
          <w:color w:val="0D0D0D" w:themeColor="text1" w:themeTint="F2"/>
          <w:lang w:eastAsia="es-MX"/>
        </w:rPr>
        <w:t>SECTOR INSTITUCIONAL – Documentos tipo – Sector social – Matriz 1 – Experiencia – Actividad 2.6 – Actividad 2.9 – Actividad 2.14 – Alcance</w:t>
      </w:r>
    </w:p>
    <w:p w14:paraId="430D7043" w14:textId="77777777" w:rsidR="00D93BDF" w:rsidRPr="00D93BDF" w:rsidRDefault="00D93BDF" w:rsidP="00D93BDF">
      <w:pPr>
        <w:spacing w:after="0" w:line="240" w:lineRule="auto"/>
        <w:rPr>
          <w:rFonts w:ascii="Verdana" w:eastAsia="Calibri" w:hAnsi="Verdana" w:cs="Arial"/>
          <w:b/>
          <w:bCs/>
          <w:color w:val="000000"/>
          <w:kern w:val="2"/>
          <w14:ligatures w14:val="standardContextual"/>
        </w:rPr>
      </w:pPr>
    </w:p>
    <w:p w14:paraId="7598A5C9" w14:textId="77777777" w:rsidR="00D93BDF" w:rsidRPr="00D93BDF" w:rsidRDefault="00D93BDF" w:rsidP="00D93BDF">
      <w:pPr>
        <w:spacing w:after="0" w:line="240" w:lineRule="auto"/>
        <w:jc w:val="both"/>
        <w:rPr>
          <w:rFonts w:ascii="Verdana" w:eastAsia="Calibri" w:hAnsi="Verdana" w:cs="Times New Roman"/>
          <w:sz w:val="20"/>
          <w:szCs w:val="20"/>
          <w:lang w:val="es-ES"/>
        </w:rPr>
      </w:pPr>
      <w:r w:rsidRPr="00D93BDF">
        <w:rPr>
          <w:rFonts w:ascii="Verdana" w:eastAsia="Calibri" w:hAnsi="Verdana" w:cs="Times New Roman"/>
          <w:sz w:val="20"/>
          <w:szCs w:val="20"/>
          <w:lang w:val="es-ES"/>
        </w:rPr>
        <w:t xml:space="preserve">Considerando que en su solicitud se mencionan las 2.6, 2.9 y 2.14 contenida en la </w:t>
      </w:r>
      <w:r w:rsidRPr="00D93BDF">
        <w:rPr>
          <w:rFonts w:ascii="Verdana" w:eastAsia="Times New Roman" w:hAnsi="Verdana" w:cs="Aptos"/>
          <w:sz w:val="20"/>
          <w:szCs w:val="20"/>
          <w:lang w:eastAsia="es-MX"/>
        </w:rPr>
        <w:t>Matriz 1– Experiencia del Sector Institucional</w:t>
      </w:r>
      <w:r w:rsidRPr="00D93BDF">
        <w:rPr>
          <w:rFonts w:ascii="Verdana" w:eastAsia="Times New Roman" w:hAnsi="Verdana" w:cs="Times New Roman"/>
          <w:color w:val="000000"/>
          <w:sz w:val="20"/>
          <w:szCs w:val="20"/>
          <w:lang w:eastAsia="es-CO"/>
        </w:rPr>
        <w:t>, sobre el alcance de estas actividades, esta Agencia reitera la postura expuesta en el concepto C-452 del 4 de mayo de 2026, en el que se indicó que, desde una perspectiva técnica y jurídica, los elementos señalados –para esas actividades– pueden ser considerados bienes inmuebles por destinación o por adhesión, en la medida en que concurran los criterios establecidos en el Código Civil y desarrollados por la doctrina y la jurisprudencia, particularmente en relación con su incorporación física, destinación funcional y vocación de permanencia respecto del inmueble al cual sirven –criterios desarrollados en el punto uno (</w:t>
      </w:r>
      <w:proofErr w:type="spellStart"/>
      <w:r w:rsidRPr="00D93BDF">
        <w:rPr>
          <w:rFonts w:ascii="Verdana" w:eastAsia="Times New Roman" w:hAnsi="Verdana" w:cs="Times New Roman"/>
          <w:color w:val="000000"/>
          <w:sz w:val="20"/>
          <w:szCs w:val="20"/>
          <w:lang w:eastAsia="es-CO"/>
        </w:rPr>
        <w:t>ii</w:t>
      </w:r>
      <w:proofErr w:type="spellEnd"/>
      <w:r w:rsidRPr="00D93BDF">
        <w:rPr>
          <w:rFonts w:ascii="Verdana" w:eastAsia="Times New Roman" w:hAnsi="Verdana" w:cs="Times New Roman"/>
          <w:color w:val="000000"/>
          <w:sz w:val="20"/>
          <w:szCs w:val="20"/>
          <w:lang w:eastAsia="es-CO"/>
        </w:rPr>
        <w:t xml:space="preserve">) de este concepto–. </w:t>
      </w:r>
    </w:p>
    <w:p w14:paraId="7C1CFBFD" w14:textId="77777777" w:rsidR="00D93BDF" w:rsidRPr="00D93BDF" w:rsidRDefault="00D93BDF" w:rsidP="00D93BDF">
      <w:pPr>
        <w:spacing w:after="0" w:line="240" w:lineRule="auto"/>
        <w:jc w:val="both"/>
        <w:rPr>
          <w:rFonts w:ascii="Verdana" w:eastAsia="Times New Roman" w:hAnsi="Verdana" w:cs="Times New Roman"/>
          <w:color w:val="000000"/>
          <w:sz w:val="20"/>
          <w:szCs w:val="20"/>
          <w:lang w:eastAsia="es-CO"/>
        </w:rPr>
      </w:pPr>
    </w:p>
    <w:p w14:paraId="7EFC0F5E" w14:textId="77777777" w:rsidR="00D93BDF" w:rsidRPr="00D93BDF" w:rsidRDefault="00D93BDF" w:rsidP="00D93BDF">
      <w:pPr>
        <w:spacing w:after="0" w:line="240" w:lineRule="auto"/>
        <w:jc w:val="both"/>
        <w:rPr>
          <w:rFonts w:ascii="Verdana" w:eastAsia="Times New Roman" w:hAnsi="Verdana" w:cs="Times New Roman"/>
          <w:color w:val="000000"/>
          <w:sz w:val="20"/>
          <w:szCs w:val="20"/>
          <w:lang w:eastAsia="es-CO"/>
        </w:rPr>
      </w:pPr>
      <w:r w:rsidRPr="00D93BDF">
        <w:rPr>
          <w:rFonts w:ascii="Verdana" w:eastAsia="Times New Roman" w:hAnsi="Verdana" w:cs="Times New Roman"/>
          <w:color w:val="000000"/>
          <w:sz w:val="20"/>
          <w:szCs w:val="20"/>
          <w:lang w:eastAsia="es-CO"/>
        </w:rPr>
        <w:t>(…)</w:t>
      </w:r>
    </w:p>
    <w:p w14:paraId="26E69019" w14:textId="77777777" w:rsidR="00D93BDF" w:rsidRPr="00D93BDF" w:rsidRDefault="00D93BDF" w:rsidP="00D93BDF">
      <w:pPr>
        <w:spacing w:after="0" w:line="240" w:lineRule="auto"/>
        <w:jc w:val="both"/>
        <w:rPr>
          <w:rFonts w:ascii="Verdana" w:eastAsia="Times New Roman" w:hAnsi="Verdana" w:cs="Times New Roman"/>
          <w:color w:val="000000"/>
          <w:sz w:val="20"/>
          <w:szCs w:val="20"/>
          <w:lang w:eastAsia="es-CO"/>
        </w:rPr>
      </w:pPr>
    </w:p>
    <w:p w14:paraId="7632C7CD" w14:textId="77777777" w:rsidR="00D93BDF" w:rsidRPr="00D93BDF" w:rsidRDefault="00D93BDF" w:rsidP="00D93BDF">
      <w:pPr>
        <w:spacing w:after="0" w:line="240" w:lineRule="auto"/>
        <w:jc w:val="both"/>
        <w:rPr>
          <w:rFonts w:ascii="Verdana" w:eastAsia="Times New Roman" w:hAnsi="Verdana" w:cs="Times New Roman"/>
          <w:color w:val="000000"/>
          <w:sz w:val="20"/>
          <w:szCs w:val="20"/>
          <w:lang w:eastAsia="es-CO"/>
        </w:rPr>
      </w:pPr>
      <w:r w:rsidRPr="00D93BDF">
        <w:rPr>
          <w:rFonts w:ascii="Verdana" w:eastAsia="Times New Roman" w:hAnsi="Verdana" w:cs="Times New Roman"/>
          <w:color w:val="000000"/>
          <w:sz w:val="20"/>
          <w:szCs w:val="20"/>
          <w:lang w:eastAsia="es-CO"/>
        </w:rPr>
        <w:t>Teniendo en cuenta las consideraciones desarrolladas en el punto dos (</w:t>
      </w:r>
      <w:proofErr w:type="spellStart"/>
      <w:r w:rsidRPr="00D93BDF">
        <w:rPr>
          <w:rFonts w:ascii="Verdana" w:eastAsia="Times New Roman" w:hAnsi="Verdana" w:cs="Times New Roman"/>
          <w:color w:val="000000"/>
          <w:sz w:val="20"/>
          <w:szCs w:val="20"/>
          <w:lang w:eastAsia="es-CO"/>
        </w:rPr>
        <w:t>ii</w:t>
      </w:r>
      <w:proofErr w:type="spellEnd"/>
      <w:r w:rsidRPr="00D93BDF">
        <w:rPr>
          <w:rFonts w:ascii="Verdana" w:eastAsia="Times New Roman" w:hAnsi="Verdana" w:cs="Times New Roman"/>
          <w:color w:val="000000"/>
          <w:sz w:val="20"/>
          <w:szCs w:val="20"/>
          <w:lang w:eastAsia="es-CO"/>
        </w:rPr>
        <w:t>) y tres (</w:t>
      </w:r>
      <w:proofErr w:type="spellStart"/>
      <w:r w:rsidRPr="00D93BDF">
        <w:rPr>
          <w:rFonts w:ascii="Verdana" w:eastAsia="Times New Roman" w:hAnsi="Verdana" w:cs="Times New Roman"/>
          <w:color w:val="000000"/>
          <w:sz w:val="20"/>
          <w:szCs w:val="20"/>
          <w:lang w:eastAsia="es-CO"/>
        </w:rPr>
        <w:t>iv</w:t>
      </w:r>
      <w:proofErr w:type="spellEnd"/>
      <w:r w:rsidRPr="00D93BDF">
        <w:rPr>
          <w:rFonts w:ascii="Verdana" w:eastAsia="Times New Roman" w:hAnsi="Verdana" w:cs="Times New Roman"/>
          <w:color w:val="000000"/>
          <w:sz w:val="20"/>
          <w:szCs w:val="20"/>
          <w:lang w:eastAsia="es-CO"/>
        </w:rPr>
        <w:t xml:space="preserve">) de este concepto, es posible concluir que, la inclusión en los documentos tipo del sector institucional – infraestructura institucional de servicio público de actividades relacionadas con el mantenimiento, adecuación y reparación de sistemas y equipos tales como subestaciones eléctrica, motobombas, redes contra incendios, sistemas de almacenamiento, bombeo y líneas telefónicas y la actividad de instalación de aires acondicionados, resultan plenamente coherente con el marco normativo que regula el contrato de obra pública en Colombia. En efecto, conforme con lo dispuesto en el numeral 1 del artículo 32 de la Ley 80 de 1993, el contrato de obra comprende no solo la construcción, sino también el mantenimiento, la instalación y, en general, cualquier trabajo material realizado sobre inmuebles. En este sentido, las actividades –2.6,2.9 y 2.14– previstas en la Matriz 1 – Experiencia del Sector Institucional – Infraestructura de Servicio Público se ajustan a dicha definición, en tanto que recaen sobre infraestructura institucional y suponen intervenciones materiales dirigidas a garantizar su funcionalidad, conservación y adecuada operación. </w:t>
      </w:r>
    </w:p>
    <w:p w14:paraId="1527F092" w14:textId="77777777" w:rsidR="00D93BDF" w:rsidRPr="00D93BDF" w:rsidRDefault="00D93BDF" w:rsidP="00D93BDF">
      <w:pPr>
        <w:spacing w:after="0" w:line="240" w:lineRule="auto"/>
        <w:jc w:val="both"/>
        <w:rPr>
          <w:rFonts w:ascii="Verdana" w:eastAsia="Times New Roman" w:hAnsi="Verdana" w:cs="Times New Roman"/>
          <w:color w:val="000000"/>
          <w:sz w:val="20"/>
          <w:szCs w:val="20"/>
          <w:lang w:eastAsia="es-CO"/>
        </w:rPr>
      </w:pPr>
      <w:r w:rsidRPr="00D93BDF">
        <w:rPr>
          <w:rFonts w:ascii="Verdana" w:eastAsia="Times New Roman" w:hAnsi="Verdana" w:cs="Times New Roman"/>
          <w:color w:val="000000"/>
          <w:sz w:val="20"/>
          <w:szCs w:val="20"/>
          <w:lang w:eastAsia="es-CO"/>
        </w:rPr>
        <w:t xml:space="preserve">La inclusión de las actividades señaladas, sobre los objetos indicados – subestaciones eléctricas, motobombas, redes contra incendios, sistemas de almacenamiento, bombeo, </w:t>
      </w:r>
      <w:r w:rsidRPr="00D93BDF">
        <w:rPr>
          <w:rFonts w:ascii="Verdana" w:eastAsia="Times New Roman" w:hAnsi="Verdana" w:cs="Times New Roman"/>
          <w:color w:val="000000"/>
          <w:sz w:val="20"/>
          <w:szCs w:val="20"/>
          <w:lang w:eastAsia="es-CO"/>
        </w:rPr>
        <w:lastRenderedPageBreak/>
        <w:t xml:space="preserve">líneas telefónicas y aires acondicionados–, encuentra sustento en la noción de bienes inmuebles por adhesión y/o destinación prevista en los artículos 656 a 658 del Código Civil. Así, los sistemas y/o equipos mencionados, cuando se encuentran incorporados física o funcionalmente a la infraestructura de servicio público y destinados de manera permanente a su uso, adquieren la calidad de inmuebles, ya sea por su destinación material o por su afectación al servicio del bien principal –la infraestructura de servicio público–. </w:t>
      </w:r>
    </w:p>
    <w:p w14:paraId="3844D680" w14:textId="77777777" w:rsidR="00D93BDF" w:rsidRPr="00D93BDF" w:rsidRDefault="00D93BDF" w:rsidP="00D93BDF">
      <w:pPr>
        <w:spacing w:after="0" w:line="240" w:lineRule="auto"/>
        <w:rPr>
          <w:rFonts w:ascii="Verdana" w:eastAsia="Times New Roman" w:hAnsi="Verdana" w:cs="Times New Roman"/>
          <w:color w:val="000000"/>
          <w:lang w:eastAsia="es-CO"/>
        </w:rPr>
      </w:pPr>
    </w:p>
    <w:p w14:paraId="43E5AE96" w14:textId="77777777" w:rsidR="00D93BDF" w:rsidRPr="00D93BDF" w:rsidRDefault="00D93BDF" w:rsidP="00D93BDF">
      <w:pPr>
        <w:tabs>
          <w:tab w:val="left" w:pos="0"/>
        </w:tabs>
        <w:spacing w:after="0" w:line="240" w:lineRule="auto"/>
        <w:ind w:left="11"/>
        <w:jc w:val="both"/>
        <w:rPr>
          <w:rFonts w:ascii="Verdana" w:eastAsia="Arial" w:hAnsi="Verdana" w:cs="Arial"/>
          <w:b/>
          <w:kern w:val="2"/>
          <w:lang w:val="es-ES"/>
          <w14:ligatures w14:val="standardContextual"/>
        </w:rPr>
      </w:pPr>
      <w:r w:rsidRPr="00D93BDF">
        <w:rPr>
          <w:rFonts w:ascii="Verdana" w:eastAsia="Arial" w:hAnsi="Verdana" w:cs="Arial"/>
          <w:b/>
          <w:kern w:val="2"/>
          <w:lang w:val="es-ES"/>
          <w14:ligatures w14:val="standardContextual"/>
        </w:rPr>
        <w:t>EXPERIENCIA ADICIONAL − Bienes obras y servicios adicionales a la obra pública – Infraestructura de social</w:t>
      </w:r>
    </w:p>
    <w:p w14:paraId="5D679246" w14:textId="77777777" w:rsidR="00D93BDF" w:rsidRPr="00D93BDF" w:rsidRDefault="00D93BDF" w:rsidP="00D93BDF">
      <w:pPr>
        <w:spacing w:after="0" w:line="240" w:lineRule="auto"/>
        <w:jc w:val="both"/>
        <w:rPr>
          <w:rFonts w:ascii="Verdana" w:eastAsia="Aptos" w:hAnsi="Verdana" w:cs="Times New Roman"/>
          <w:kern w:val="2"/>
          <w:sz w:val="24"/>
          <w:szCs w:val="24"/>
          <w14:ligatures w14:val="standardContextual"/>
        </w:rPr>
      </w:pPr>
    </w:p>
    <w:p w14:paraId="696362D7" w14:textId="77777777" w:rsidR="00D93BDF" w:rsidRPr="00D93BDF" w:rsidRDefault="00D93BDF" w:rsidP="00D93BDF">
      <w:pPr>
        <w:spacing w:after="0" w:line="240" w:lineRule="auto"/>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(C)</w:t>
      </w:r>
      <w:proofErr w:type="spellStart"/>
      <w:r w:rsidRPr="00D93BDF">
        <w:rPr>
          <w:rFonts w:ascii="Verdana" w:eastAsia="Aptos" w:hAnsi="Verdana" w:cs="Times New Roman"/>
          <w:kern w:val="2"/>
          <w:sz w:val="20"/>
          <w:szCs w:val="20"/>
          <w14:ligatures w14:val="standardContextual"/>
        </w:rPr>
        <w:t>uando</w:t>
      </w:r>
      <w:proofErr w:type="spellEnd"/>
      <w:r w:rsidRPr="00D93BDF">
        <w:rPr>
          <w:rFonts w:ascii="Verdana" w:eastAsia="Aptos" w:hAnsi="Verdana" w:cs="Times New Roman"/>
          <w:kern w:val="2"/>
          <w:sz w:val="20"/>
          <w:szCs w:val="20"/>
          <w14:ligatures w14:val="standardContextual"/>
        </w:rPr>
        <w:t xml:space="preserve"> la entidad requiere bienes y servicios que no se encuentran incluidos como obra de infraestructura social en la “Matriz – Experiencia” y considera necesario exigir experiencia adicional, se debe aplicar el artículo 4 de la Resolución No. 540 de 2025. Esta norma dispone los eventos en los que el objeto contractual incluye bienes o servicios adicionales a la obra pública de infraestructura social. En este caso, la entidad puede incluir experiencia adicional para evaluar la idoneidad respecto de los bienes o servicios ajenos a la obra pública de infraestructura social.</w:t>
      </w:r>
    </w:p>
    <w:p w14:paraId="24D3C306" w14:textId="77777777" w:rsidR="00D93BDF" w:rsidRPr="00D93BDF" w:rsidRDefault="00D93BDF" w:rsidP="00D93BDF">
      <w:pPr>
        <w:spacing w:after="0" w:line="240" w:lineRule="auto"/>
        <w:jc w:val="both"/>
        <w:rPr>
          <w:rFonts w:ascii="Verdana" w:eastAsia="Aptos" w:hAnsi="Verdana" w:cs="Times New Roman"/>
          <w:kern w:val="2"/>
          <w:sz w:val="20"/>
          <w:szCs w:val="20"/>
          <w14:ligatures w14:val="standardContextual"/>
        </w:rPr>
      </w:pPr>
    </w:p>
    <w:p w14:paraId="6AED8CC0" w14:textId="77777777" w:rsidR="00D93BDF" w:rsidRPr="00D93BDF" w:rsidRDefault="00D93BDF" w:rsidP="00D93BDF">
      <w:pPr>
        <w:spacing w:after="0" w:line="240" w:lineRule="auto"/>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Para ello, se deben seguir los siguientes parámetros: i) demostrar en los estudios previos que han verificado las condiciones de mercado para la adquisición de los bienes o servicios adicionales al componente de obra pública, de tal forma que la experiencia adicional garantiza la pluralidad de oferentes, </w:t>
      </w:r>
      <w:proofErr w:type="spellStart"/>
      <w:r w:rsidRPr="00D93BDF">
        <w:rPr>
          <w:rFonts w:ascii="Verdana" w:eastAsia="Aptos" w:hAnsi="Verdana" w:cs="Times New Roman"/>
          <w:kern w:val="2"/>
          <w:sz w:val="20"/>
          <w:szCs w:val="20"/>
          <w14:ligatures w14:val="standardContextual"/>
        </w:rPr>
        <w:t>ii</w:t>
      </w:r>
      <w:proofErr w:type="spellEnd"/>
      <w:r w:rsidRPr="00D93BDF">
        <w:rPr>
          <w:rFonts w:ascii="Verdana" w:eastAsia="Aptos" w:hAnsi="Verdana" w:cs="Times New Roman"/>
          <w:kern w:val="2"/>
          <w:sz w:val="20"/>
          <w:szCs w:val="20"/>
          <w14:ligatures w14:val="standardContextual"/>
        </w:rPr>
        <w:t xml:space="preserve">) conservar los requisitos exigidos en los documentos tipo, </w:t>
      </w:r>
      <w:proofErr w:type="spellStart"/>
      <w:r w:rsidRPr="00D93BDF">
        <w:rPr>
          <w:rFonts w:ascii="Verdana" w:eastAsia="Aptos" w:hAnsi="Verdana" w:cs="Times New Roman"/>
          <w:kern w:val="2"/>
          <w:sz w:val="20"/>
          <w:szCs w:val="20"/>
          <w14:ligatures w14:val="standardContextual"/>
        </w:rPr>
        <w:t>iii</w:t>
      </w:r>
      <w:proofErr w:type="spellEnd"/>
      <w:r w:rsidRPr="00D93BDF">
        <w:rPr>
          <w:rFonts w:ascii="Verdana" w:eastAsia="Aptos" w:hAnsi="Verdana" w:cs="Times New Roman"/>
          <w:kern w:val="2"/>
          <w:sz w:val="20"/>
          <w:szCs w:val="20"/>
          <w14:ligatures w14:val="standardContextual"/>
        </w:rPr>
        <w:t xml:space="preserve">) abstenerse de pedir experiencia exclusiva con entidades de cualquier naturaleza, experiencia previa en un territorio específico, limitada en el tiempo o que incluya volúmenes o cantidades de obra específica, </w:t>
      </w:r>
      <w:proofErr w:type="spellStart"/>
      <w:r w:rsidRPr="00D93BDF">
        <w:rPr>
          <w:rFonts w:ascii="Verdana" w:eastAsia="Aptos" w:hAnsi="Verdana" w:cs="Times New Roman"/>
          <w:kern w:val="2"/>
          <w:sz w:val="20"/>
          <w:szCs w:val="20"/>
          <w14:ligatures w14:val="standardContextual"/>
        </w:rPr>
        <w:t>iv</w:t>
      </w:r>
      <w:proofErr w:type="spellEnd"/>
      <w:r w:rsidRPr="00D93BDF">
        <w:rPr>
          <w:rFonts w:ascii="Verdana" w:eastAsia="Aptos" w:hAnsi="Verdana" w:cs="Times New Roman"/>
          <w:kern w:val="2"/>
          <w:sz w:val="20"/>
          <w:szCs w:val="20"/>
          <w14:ligatures w14:val="standardContextual"/>
        </w:rPr>
        <w:t>) clasificar la experiencia requerida solo hasta el tercer nivel del clasificador de bienes y servicios e incluir exclusivamente los códigos que estén relacionados directamente con el objeto a contratar.</w:t>
      </w:r>
    </w:p>
    <w:p w14:paraId="363D9E35" w14:textId="77777777" w:rsidR="00D93BDF" w:rsidRPr="00D93BDF" w:rsidRDefault="00D93BDF" w:rsidP="00D93BDF">
      <w:pPr>
        <w:spacing w:after="0" w:line="240" w:lineRule="auto"/>
        <w:jc w:val="both"/>
        <w:rPr>
          <w:rFonts w:ascii="Verdana" w:eastAsia="Calibri" w:hAnsi="Verdana" w:cs="Arial"/>
          <w:b/>
          <w:bCs/>
          <w:kern w:val="2"/>
          <w:sz w:val="24"/>
          <w:szCs w:val="24"/>
          <w:highlight w:val="yellow"/>
          <w:lang w:val="es-ES_tradnl"/>
          <w14:ligatures w14:val="standardContextual"/>
        </w:rPr>
      </w:pPr>
    </w:p>
    <w:p w14:paraId="74EB25DA" w14:textId="77777777" w:rsidR="00D93BDF" w:rsidRPr="00D93BDF" w:rsidRDefault="00D93BDF" w:rsidP="00D93BDF">
      <w:pPr>
        <w:spacing w:after="0" w:line="240" w:lineRule="auto"/>
        <w:jc w:val="both"/>
        <w:rPr>
          <w:rFonts w:ascii="Verdana" w:eastAsia="Calibri" w:hAnsi="Verdana" w:cs="Arial"/>
          <w:b/>
          <w:bCs/>
          <w:kern w:val="2"/>
          <w:lang w:val="es-ES_tradnl"/>
          <w14:ligatures w14:val="standardContextual"/>
        </w:rPr>
      </w:pPr>
      <w:r w:rsidRPr="00D93BDF">
        <w:rPr>
          <w:rFonts w:ascii="Verdana" w:eastAsia="Calibri" w:hAnsi="Verdana" w:cs="Arial"/>
          <w:b/>
          <w:bCs/>
          <w:kern w:val="2"/>
          <w:lang w:val="es-ES_tradnl"/>
          <w14:ligatures w14:val="standardContextual"/>
        </w:rPr>
        <w:t>COMBINACIÓN DE EXPERIENCIA − Documentos tipo − Infraestructura Social – Actividad principal y secundaria – Reglas</w:t>
      </w:r>
    </w:p>
    <w:p w14:paraId="7C180AC9" w14:textId="77777777" w:rsidR="00D93BDF" w:rsidRPr="00D93BDF" w:rsidRDefault="00D93BDF" w:rsidP="00D93BDF">
      <w:pPr>
        <w:tabs>
          <w:tab w:val="left" w:pos="0"/>
        </w:tabs>
        <w:spacing w:after="0" w:line="240" w:lineRule="auto"/>
        <w:ind w:left="11"/>
        <w:jc w:val="both"/>
        <w:rPr>
          <w:rFonts w:ascii="Verdana" w:eastAsia="Calibri" w:hAnsi="Verdana" w:cs="Arial"/>
          <w:b/>
          <w:bCs/>
          <w:color w:val="000000"/>
          <w:kern w:val="2"/>
          <w:sz w:val="24"/>
          <w:szCs w:val="24"/>
          <w:lang w:val="es-ES_tradnl"/>
          <w14:ligatures w14:val="standardContextual"/>
        </w:rPr>
      </w:pPr>
    </w:p>
    <w:p w14:paraId="4162C51E" w14:textId="77777777" w:rsidR="00D93BDF" w:rsidRPr="00D93BDF" w:rsidRDefault="00D93BDF" w:rsidP="00D93BDF">
      <w:pPr>
        <w:spacing w:after="120" w:line="240" w:lineRule="auto"/>
        <w:jc w:val="both"/>
        <w:rPr>
          <w:rFonts w:ascii="Verdana" w:eastAsia="Calibri" w:hAnsi="Verdana" w:cs="Arial"/>
          <w:color w:val="000000"/>
          <w:kern w:val="2"/>
          <w:sz w:val="20"/>
          <w:szCs w:val="20"/>
          <w:lang w:val="es-MX"/>
          <w14:ligatures w14:val="standardContextual"/>
        </w:rPr>
      </w:pPr>
      <w:r w:rsidRPr="00D93BDF">
        <w:rPr>
          <w:rFonts w:ascii="Verdana" w:eastAsia="Calibri" w:hAnsi="Verdana" w:cs="Arial"/>
          <w:color w:val="000000"/>
          <w:kern w:val="2"/>
          <w:sz w:val="20"/>
          <w:szCs w:val="20"/>
          <w:lang w:val="es-MX"/>
          <w14:ligatures w14:val="standardContextual"/>
        </w:rPr>
        <w:t>[…]</w:t>
      </w:r>
    </w:p>
    <w:p w14:paraId="0530F2BC" w14:textId="77777777" w:rsidR="00D93BDF" w:rsidRPr="00D93BDF" w:rsidRDefault="00D93BDF" w:rsidP="00D93BDF">
      <w:pPr>
        <w:spacing w:after="0" w:line="240" w:lineRule="auto"/>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Conforma con esta regla de combinación de la experiencia, la entidad estatal identificará y definirá la actividad principal o de mayor relevancia, y la actividad secundaria o accesoria a la principal, de acuerdo con las características del proyecto particular. Para estos efectos, la entidad determinará la actividad principal de alguna de las actividades a contratar definidas en la matriz del proyecto respectivo y podrá establecer hasta dos actividades secundarias cuando: i) en un mismo proyecto se incluyen otras actividades definidas en una misma matriz de experiencia de infraestructura social, </w:t>
      </w:r>
      <w:proofErr w:type="spellStart"/>
      <w:r w:rsidRPr="00D93BDF">
        <w:rPr>
          <w:rFonts w:ascii="Verdana" w:eastAsia="Aptos" w:hAnsi="Verdana" w:cs="Times New Roman"/>
          <w:kern w:val="2"/>
          <w:sz w:val="20"/>
          <w:szCs w:val="20"/>
          <w14:ligatures w14:val="standardContextual"/>
        </w:rPr>
        <w:t>ii</w:t>
      </w:r>
      <w:proofErr w:type="spellEnd"/>
      <w:r w:rsidRPr="00D93BDF">
        <w:rPr>
          <w:rFonts w:ascii="Verdana" w:eastAsia="Aptos" w:hAnsi="Verdana" w:cs="Times New Roman"/>
          <w:kern w:val="2"/>
          <w:sz w:val="20"/>
          <w:szCs w:val="20"/>
          <w14:ligatures w14:val="standardContextual"/>
        </w:rPr>
        <w:t xml:space="preserve">) cuando en un mismo proyecto se incorporen actividades de infraestructura educativa, salud o cultura, recreación y deporte, o </w:t>
      </w:r>
      <w:proofErr w:type="spellStart"/>
      <w:r w:rsidRPr="00D93BDF">
        <w:rPr>
          <w:rFonts w:ascii="Verdana" w:eastAsia="Aptos" w:hAnsi="Verdana" w:cs="Times New Roman"/>
          <w:kern w:val="2"/>
          <w:sz w:val="20"/>
          <w:szCs w:val="20"/>
          <w14:ligatures w14:val="standardContextual"/>
        </w:rPr>
        <w:t>iii</w:t>
      </w:r>
      <w:proofErr w:type="spellEnd"/>
      <w:r w:rsidRPr="00D93BDF">
        <w:rPr>
          <w:rFonts w:ascii="Verdana" w:eastAsia="Aptos" w:hAnsi="Verdana" w:cs="Times New Roman"/>
          <w:kern w:val="2"/>
          <w:sz w:val="20"/>
          <w:szCs w:val="20"/>
          <w14:ligatures w14:val="standardContextual"/>
        </w:rPr>
        <w:t xml:space="preserve">) cuando en un Proceso de Contratación aplican matrices de </w:t>
      </w:r>
      <w:r w:rsidRPr="00D93BDF">
        <w:rPr>
          <w:rFonts w:ascii="Verdana" w:eastAsia="Aptos" w:hAnsi="Verdana" w:cs="Times New Roman"/>
          <w:kern w:val="2"/>
          <w:sz w:val="20"/>
          <w:szCs w:val="20"/>
          <w14:ligatures w14:val="standardContextual"/>
        </w:rPr>
        <w:lastRenderedPageBreak/>
        <w:t>experiencia de otros Documentos Tipo y la Entidad considera conveniente incluir dicha experiencia.</w:t>
      </w:r>
    </w:p>
    <w:p w14:paraId="41DCB9D0" w14:textId="77777777" w:rsidR="00D93BDF" w:rsidRPr="00D93BDF" w:rsidRDefault="00D93BDF" w:rsidP="00D93BDF">
      <w:pPr>
        <w:spacing w:after="0" w:line="240" w:lineRule="auto"/>
        <w:rPr>
          <w:rFonts w:ascii="Verdana" w:eastAsia="Geomanist Light" w:hAnsi="Verdana" w:cs="Arial"/>
          <w:kern w:val="2"/>
          <w:sz w:val="24"/>
          <w:szCs w:val="24"/>
          <w14:ligatures w14:val="standardContextual"/>
        </w:rPr>
      </w:pPr>
    </w:p>
    <w:p w14:paraId="4BD13E26" w14:textId="77777777" w:rsidR="00D93BDF" w:rsidRPr="00D93BDF" w:rsidRDefault="00D93BDF" w:rsidP="00D93BDF">
      <w:pPr>
        <w:spacing w:after="0" w:line="240" w:lineRule="auto"/>
        <w:jc w:val="both"/>
        <w:rPr>
          <w:rFonts w:ascii="Verdana" w:eastAsia="Geomanist Light" w:hAnsi="Verdana" w:cs="Arial"/>
          <w:b/>
          <w:bCs/>
          <w:kern w:val="2"/>
          <w14:ligatures w14:val="standardContextual"/>
        </w:rPr>
      </w:pPr>
      <w:r w:rsidRPr="00D93BDF">
        <w:rPr>
          <w:rFonts w:ascii="Verdana" w:eastAsia="Geomanist Light" w:hAnsi="Verdana" w:cs="Arial"/>
          <w:b/>
          <w:bCs/>
          <w:kern w:val="2"/>
          <w14:ligatures w14:val="standardContextual"/>
        </w:rPr>
        <w:t xml:space="preserve">FACTOR DE CALIDAD – Documentos tipo – Infraestructura social – Alcance </w:t>
      </w:r>
    </w:p>
    <w:p w14:paraId="354A0CA0" w14:textId="77777777" w:rsidR="00D93BDF" w:rsidRPr="00D93BDF" w:rsidRDefault="00D93BDF" w:rsidP="00D93BDF">
      <w:pPr>
        <w:tabs>
          <w:tab w:val="left" w:pos="426"/>
        </w:tabs>
        <w:spacing w:after="0" w:line="240" w:lineRule="auto"/>
        <w:jc w:val="both"/>
        <w:rPr>
          <w:rFonts w:ascii="Verdana" w:eastAsia="Calibri" w:hAnsi="Verdana" w:cs="Arial"/>
          <w:noProof/>
          <w:sz w:val="20"/>
          <w:szCs w:val="20"/>
          <w:lang w:val="es-ES"/>
        </w:rPr>
      </w:pPr>
      <w:r w:rsidRPr="00D93BDF">
        <w:rPr>
          <w:rFonts w:ascii="Verdana" w:eastAsia="Calibri" w:hAnsi="Verdana" w:cs="Arial"/>
          <w:noProof/>
          <w:sz w:val="20"/>
          <w:szCs w:val="20"/>
          <w:lang w:val="es-ES"/>
        </w:rPr>
        <w:tab/>
      </w:r>
    </w:p>
    <w:p w14:paraId="74D32146" w14:textId="77777777" w:rsidR="00D93BDF" w:rsidRPr="00D93BDF" w:rsidRDefault="00D93BDF" w:rsidP="00D93BDF">
      <w:pPr>
        <w:tabs>
          <w:tab w:val="left" w:pos="426"/>
        </w:tabs>
        <w:spacing w:after="0" w:line="240" w:lineRule="auto"/>
        <w:jc w:val="both"/>
        <w:rPr>
          <w:rFonts w:ascii="Verdana" w:eastAsia="Calibri" w:hAnsi="Verdana" w:cs="Arial"/>
          <w:noProof/>
          <w:sz w:val="20"/>
          <w:szCs w:val="20"/>
          <w:lang w:val="es-ES_tradnl"/>
        </w:rPr>
      </w:pPr>
      <w:r w:rsidRPr="00D93BDF">
        <w:rPr>
          <w:rFonts w:ascii="Verdana" w:eastAsia="Calibri" w:hAnsi="Verdana" w:cs="Arial"/>
          <w:noProof/>
          <w:sz w:val="20"/>
          <w:szCs w:val="20"/>
          <w:lang w:val="es-ES"/>
        </w:rPr>
        <w:t xml:space="preserve">El numeral 4.2. “Factor de calidad” del documento base, establece que de acuerdo con la justificación consignada en el estudio del sector, estudios y documentos previos, la entidad contratante deberá elegir una o algunas de las siguientes tres (3) opciones previstas para evaluar el factor calidad, siendo estas: i) implementación del programa de gerencia de proyectos; ii) disponibilidad y condiciones funcionales de la maquinaria de obra; y iii) presentación de un plan de calidad. </w:t>
      </w:r>
    </w:p>
    <w:p w14:paraId="62B081C0" w14:textId="77777777" w:rsidR="00D93BDF" w:rsidRPr="00D93BDF" w:rsidRDefault="00D93BDF" w:rsidP="00D93BDF">
      <w:pPr>
        <w:tabs>
          <w:tab w:val="left" w:pos="426"/>
        </w:tabs>
        <w:spacing w:after="0" w:line="240" w:lineRule="auto"/>
        <w:jc w:val="both"/>
        <w:rPr>
          <w:rFonts w:ascii="Verdana" w:eastAsia="Calibri" w:hAnsi="Verdana" w:cs="Arial"/>
          <w:noProof/>
          <w:sz w:val="20"/>
          <w:szCs w:val="20"/>
          <w:lang w:val="es-ES"/>
        </w:rPr>
      </w:pPr>
    </w:p>
    <w:p w14:paraId="286E7E3D" w14:textId="77777777" w:rsidR="00D93BDF" w:rsidRPr="00D93BDF" w:rsidRDefault="00D93BDF" w:rsidP="00D93BDF">
      <w:pPr>
        <w:tabs>
          <w:tab w:val="left" w:pos="426"/>
        </w:tabs>
        <w:spacing w:after="0" w:line="240" w:lineRule="auto"/>
        <w:jc w:val="both"/>
        <w:rPr>
          <w:rFonts w:ascii="Verdana" w:eastAsia="Calibri" w:hAnsi="Verdana" w:cs="Arial"/>
          <w:noProof/>
          <w:sz w:val="20"/>
          <w:szCs w:val="20"/>
          <w:lang w:val="es-ES"/>
        </w:rPr>
      </w:pPr>
      <w:r w:rsidRPr="00D93BDF">
        <w:rPr>
          <w:rFonts w:ascii="Verdana" w:eastAsia="Calibri" w:hAnsi="Verdana" w:cs="Arial"/>
          <w:noProof/>
          <w:sz w:val="20"/>
          <w:szCs w:val="20"/>
          <w:lang w:val="es-ES"/>
        </w:rPr>
        <w:t>(…)</w:t>
      </w:r>
    </w:p>
    <w:p w14:paraId="31EDBBAF" w14:textId="77777777" w:rsidR="00D93BDF" w:rsidRPr="00D93BDF" w:rsidRDefault="00D93BDF" w:rsidP="00D93BDF">
      <w:pPr>
        <w:tabs>
          <w:tab w:val="left" w:pos="426"/>
        </w:tabs>
        <w:spacing w:after="0" w:line="240" w:lineRule="auto"/>
        <w:jc w:val="both"/>
        <w:rPr>
          <w:rFonts w:ascii="Verdana" w:eastAsia="Calibri" w:hAnsi="Verdana" w:cs="Arial"/>
          <w:noProof/>
          <w:sz w:val="20"/>
          <w:szCs w:val="20"/>
          <w:lang w:val="es-ES"/>
        </w:rPr>
      </w:pPr>
    </w:p>
    <w:p w14:paraId="0845F408" w14:textId="77777777" w:rsidR="00D93BDF" w:rsidRPr="00D93BDF" w:rsidRDefault="00D93BDF" w:rsidP="00D93BDF">
      <w:pPr>
        <w:tabs>
          <w:tab w:val="left" w:pos="426"/>
        </w:tabs>
        <w:spacing w:after="0" w:line="240" w:lineRule="auto"/>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Con fundamento en lo anterior, es preciso señalar que, si bien la entidad  que adelanta el proceso de selección con los documentos tipo de selección abreviada de menor cuantía de obra pública de infraestructura social, cuenta con la facultad de escoger, de entre las tres (3) opciones previstas en el numeral 4.2 del documento base –esto es, la implementación del programa de gerencia de proyectos, la disponibilidad y condiciones funcionales de la maquinaria de obra, y la presentación de un plan de calidad–, aquella o aquellas que resulten más pertinentes de acuerdo con la justificación consignada en el estudio del sector y en los estudios y documentos previos, esta discrecionalidad no se extiende a la posibilidad de prescindir por completo del factor de calidad dentro de la evaluación de las ofertas. </w:t>
      </w:r>
    </w:p>
    <w:p w14:paraId="7EAF8702" w14:textId="77777777" w:rsidR="00D93BDF" w:rsidRPr="00D93BDF" w:rsidRDefault="00D93BDF" w:rsidP="00D93BDF">
      <w:pPr>
        <w:spacing w:after="0" w:line="240" w:lineRule="auto"/>
        <w:rPr>
          <w:rFonts w:ascii="Verdana" w:eastAsia="Geomanist Light" w:hAnsi="Verdana" w:cs="Arial"/>
          <w:kern w:val="2"/>
          <w:sz w:val="20"/>
          <w:szCs w:val="20"/>
          <w14:ligatures w14:val="standardContextual"/>
        </w:rPr>
      </w:pPr>
    </w:p>
    <w:p w14:paraId="2EDB4918" w14:textId="77777777" w:rsidR="00D93BDF" w:rsidRPr="00D93BDF" w:rsidRDefault="00D93BDF" w:rsidP="00D93BDF">
      <w:pPr>
        <w:spacing w:after="0" w:line="240" w:lineRule="auto"/>
        <w:rPr>
          <w:rFonts w:ascii="Verdana" w:eastAsia="Geomanist Light" w:hAnsi="Verdana" w:cs="Arial"/>
          <w:kern w:val="2"/>
          <w:sz w:val="20"/>
          <w:szCs w:val="20"/>
          <w:lang w:val="es-MX"/>
          <w14:ligatures w14:val="standardContextual"/>
        </w:rPr>
      </w:pPr>
    </w:p>
    <w:p w14:paraId="2D8FF0D1" w14:textId="77777777" w:rsidR="00D93BDF" w:rsidRPr="00D93BDF" w:rsidRDefault="00D93BDF" w:rsidP="00D93BDF">
      <w:pPr>
        <w:spacing w:after="0" w:line="240" w:lineRule="auto"/>
        <w:rPr>
          <w:rFonts w:ascii="Verdana" w:eastAsia="Geomanist Light" w:hAnsi="Verdana" w:cs="Arial"/>
          <w:kern w:val="2"/>
          <w:sz w:val="20"/>
          <w:szCs w:val="20"/>
          <w:lang w:val="es-MX"/>
          <w14:ligatures w14:val="standardContextual"/>
        </w:rPr>
      </w:pPr>
    </w:p>
    <w:p w14:paraId="06164644" w14:textId="77777777" w:rsidR="00D93BDF" w:rsidRPr="00D93BDF" w:rsidRDefault="00D93BDF" w:rsidP="00D93BDF">
      <w:pPr>
        <w:spacing w:after="0" w:line="240" w:lineRule="auto"/>
        <w:rPr>
          <w:rFonts w:ascii="Verdana" w:eastAsia="Geomanist Light" w:hAnsi="Verdana" w:cs="Arial"/>
          <w:kern w:val="2"/>
          <w:sz w:val="20"/>
          <w:szCs w:val="20"/>
          <w:lang w:val="es-MX"/>
          <w14:ligatures w14:val="standardContextual"/>
        </w:rPr>
      </w:pPr>
    </w:p>
    <w:p w14:paraId="1F9244FE" w14:textId="77777777" w:rsidR="00D93BDF" w:rsidRPr="00D93BDF" w:rsidRDefault="00D93BDF" w:rsidP="00D93BDF">
      <w:pPr>
        <w:spacing w:after="0" w:line="240" w:lineRule="auto"/>
        <w:rPr>
          <w:rFonts w:ascii="Verdana" w:eastAsia="Geomanist Light" w:hAnsi="Verdana" w:cs="Arial"/>
          <w:kern w:val="2"/>
          <w:sz w:val="24"/>
          <w:szCs w:val="24"/>
          <w:lang w:val="es-MX"/>
          <w14:ligatures w14:val="standardContextual"/>
        </w:rPr>
      </w:pPr>
    </w:p>
    <w:p w14:paraId="496D9725" w14:textId="77777777" w:rsidR="00D93BDF" w:rsidRPr="00D93BDF" w:rsidRDefault="00D93BDF" w:rsidP="00D93BDF">
      <w:pPr>
        <w:spacing w:after="0" w:line="240" w:lineRule="auto"/>
        <w:rPr>
          <w:rFonts w:ascii="Verdana" w:eastAsia="Geomanist Light" w:hAnsi="Verdana" w:cs="Arial"/>
          <w:kern w:val="2"/>
          <w:sz w:val="24"/>
          <w:szCs w:val="24"/>
          <w:lang w:val="es-MX"/>
          <w14:ligatures w14:val="standardContextual"/>
        </w:rPr>
      </w:pPr>
    </w:p>
    <w:p w14:paraId="0C4C3C3D" w14:textId="77777777" w:rsidR="00D93BDF" w:rsidRPr="00D93BDF" w:rsidRDefault="00D93BDF" w:rsidP="00D93BDF">
      <w:pPr>
        <w:spacing w:after="0" w:line="240" w:lineRule="auto"/>
        <w:rPr>
          <w:rFonts w:ascii="Verdana" w:eastAsia="Geomanist Light" w:hAnsi="Verdana" w:cs="Arial"/>
          <w:kern w:val="2"/>
          <w:sz w:val="24"/>
          <w:szCs w:val="24"/>
          <w:lang w:val="es-MX"/>
          <w14:ligatures w14:val="standardContextual"/>
        </w:rPr>
      </w:pPr>
    </w:p>
    <w:p w14:paraId="63AFA2CF" w14:textId="77777777" w:rsidR="00D93BDF" w:rsidRPr="00D93BDF" w:rsidRDefault="00D93BDF" w:rsidP="00D93BDF">
      <w:pPr>
        <w:spacing w:after="0" w:line="240" w:lineRule="auto"/>
        <w:rPr>
          <w:rFonts w:ascii="Verdana" w:eastAsia="Geomanist Light" w:hAnsi="Verdana" w:cs="Arial"/>
          <w:kern w:val="2"/>
          <w:sz w:val="24"/>
          <w:szCs w:val="24"/>
          <w:lang w:val="es-MX"/>
          <w14:ligatures w14:val="standardContextual"/>
        </w:rPr>
      </w:pPr>
    </w:p>
    <w:p w14:paraId="6405D74F" w14:textId="77777777" w:rsidR="00D93BDF" w:rsidRPr="00D93BDF" w:rsidRDefault="00D93BDF" w:rsidP="00D93BDF">
      <w:pPr>
        <w:spacing w:after="0" w:line="240" w:lineRule="auto"/>
        <w:jc w:val="both"/>
        <w:rPr>
          <w:rFonts w:ascii="Verdana" w:eastAsia="Times New Roman" w:hAnsi="Verdana" w:cs="Times New Roman"/>
          <w:color w:val="000000"/>
          <w:lang w:eastAsia="es-CO"/>
        </w:rPr>
      </w:pPr>
    </w:p>
    <w:p w14:paraId="4F21D20E"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5F84538D"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72863AB6"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228746F0"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3AB9318A"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6DAE587E"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5485C00D"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2A258A51"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7D3805DC" w14:textId="77777777" w:rsidR="00D93BDF" w:rsidRPr="00D93BDF" w:rsidRDefault="00D93BDF" w:rsidP="00D93BDF">
      <w:pPr>
        <w:spacing w:after="0" w:line="240" w:lineRule="auto"/>
        <w:jc w:val="both"/>
        <w:rPr>
          <w:rFonts w:ascii="Verdana" w:eastAsia="Calibri" w:hAnsi="Verdana" w:cs="Arial"/>
          <w:sz w:val="20"/>
          <w:szCs w:val="20"/>
          <w:lang w:val="es-ES_tradnl" w:eastAsia="es-ES_tradnl"/>
        </w:rPr>
      </w:pPr>
    </w:p>
    <w:p w14:paraId="1F0FB31D" w14:textId="77777777" w:rsidR="00DE3A59" w:rsidRDefault="00DE3A59" w:rsidP="00D93BDF">
      <w:pPr>
        <w:spacing w:after="0" w:line="240" w:lineRule="auto"/>
        <w:rPr>
          <w:rFonts w:ascii="Verdana" w:eastAsia="Verdana" w:hAnsi="Verdana" w:cs="Verdana"/>
          <w:kern w:val="2"/>
          <w14:ligatures w14:val="standardContextual"/>
        </w:rPr>
      </w:pPr>
    </w:p>
    <w:p w14:paraId="6945D137" w14:textId="7DC368CE" w:rsidR="00D93BDF" w:rsidRDefault="00D93BDF" w:rsidP="00D93BDF">
      <w:pPr>
        <w:spacing w:after="0" w:line="240" w:lineRule="auto"/>
        <w:rPr>
          <w:rFonts w:ascii="Verdana" w:eastAsia="Verdana" w:hAnsi="Verdana" w:cs="Verdana"/>
          <w:kern w:val="2"/>
          <w14:ligatures w14:val="standardContextual"/>
        </w:rPr>
      </w:pPr>
      <w:r w:rsidRPr="00D93BDF">
        <w:rPr>
          <w:rFonts w:ascii="Verdana" w:eastAsia="Verdana" w:hAnsi="Verdana" w:cs="Verdana"/>
          <w:kern w:val="2"/>
          <w14:ligatures w14:val="standardContextual"/>
        </w:rPr>
        <w:lastRenderedPageBreak/>
        <w:t xml:space="preserve">Bogotá D.C., </w:t>
      </w:r>
      <w:r w:rsidR="00AC72E0">
        <w:rPr>
          <w:rFonts w:ascii="Verdana" w:eastAsia="Verdana" w:hAnsi="Verdana" w:cs="Verdana"/>
          <w:kern w:val="2"/>
          <w14:ligatures w14:val="standardContextual"/>
        </w:rPr>
        <w:t>8 de septiembre de 2026</w:t>
      </w:r>
    </w:p>
    <w:p w14:paraId="513ABD85" w14:textId="03495652" w:rsidR="00AC72E0" w:rsidRDefault="00AC72E0" w:rsidP="00D93BDF">
      <w:pPr>
        <w:spacing w:after="0" w:line="240" w:lineRule="auto"/>
        <w:rPr>
          <w:rFonts w:ascii="Verdana" w:eastAsia="Verdana" w:hAnsi="Verdana" w:cs="Verdana"/>
          <w:kern w:val="2"/>
          <w14:ligatures w14:val="standardContextual"/>
        </w:rPr>
      </w:pPr>
    </w:p>
    <w:p w14:paraId="7B69DC2A" w14:textId="6B6EB237" w:rsidR="00AC72E0" w:rsidRPr="00D93BDF" w:rsidRDefault="00AC72E0" w:rsidP="00D93BDF">
      <w:pPr>
        <w:spacing w:after="0" w:line="240" w:lineRule="auto"/>
        <w:rPr>
          <w:rFonts w:ascii="Verdana" w:eastAsia="Verdana" w:hAnsi="Verdana" w:cs="Verdana"/>
          <w:kern w:val="2"/>
          <w14:ligatures w14:val="standardContextual"/>
        </w:rPr>
      </w:pPr>
    </w:p>
    <w:p w14:paraId="36781468" w14:textId="4C989295" w:rsidR="00D93BDF" w:rsidRPr="00D93BDF" w:rsidRDefault="00695739" w:rsidP="00D93BDF">
      <w:pPr>
        <w:spacing w:after="0" w:line="240" w:lineRule="auto"/>
        <w:rPr>
          <w:rFonts w:ascii="Verdana" w:eastAsia="Calibri" w:hAnsi="Verdana" w:cs="Arial"/>
          <w:lang w:eastAsia="es-ES"/>
        </w:rPr>
      </w:pPr>
      <w:r w:rsidRPr="00AC72E0">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60BD6830" wp14:editId="143C3FC3">
            <wp:simplePos x="0" y="0"/>
            <wp:positionH relativeFrom="margin">
              <wp:align>right</wp:align>
            </wp:positionH>
            <wp:positionV relativeFrom="paragraph">
              <wp:posOffset>8890</wp:posOffset>
            </wp:positionV>
            <wp:extent cx="2430780" cy="1073150"/>
            <wp:effectExtent l="0" t="0" r="7620" b="0"/>
            <wp:wrapSquare wrapText="bothSides"/>
            <wp:docPr id="1379147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4710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0780" cy="1073150"/>
                    </a:xfrm>
                    <a:prstGeom prst="rect">
                      <a:avLst/>
                    </a:prstGeom>
                  </pic:spPr>
                </pic:pic>
              </a:graphicData>
            </a:graphic>
            <wp14:sizeRelH relativeFrom="page">
              <wp14:pctWidth>0</wp14:pctWidth>
            </wp14:sizeRelH>
            <wp14:sizeRelV relativeFrom="page">
              <wp14:pctHeight>0</wp14:pctHeight>
            </wp14:sizeRelV>
          </wp:anchor>
        </w:drawing>
      </w:r>
    </w:p>
    <w:p w14:paraId="37B3A310" w14:textId="77777777" w:rsidR="00D93BDF" w:rsidRPr="00D93BDF" w:rsidRDefault="00D93BDF" w:rsidP="00D93BDF">
      <w:pPr>
        <w:spacing w:after="0" w:line="240" w:lineRule="auto"/>
        <w:rPr>
          <w:rFonts w:ascii="Verdana" w:eastAsia="Calibri" w:hAnsi="Verdana" w:cs="Arial"/>
          <w:lang w:val="es-ES" w:eastAsia="es-ES"/>
        </w:rPr>
      </w:pPr>
      <w:r w:rsidRPr="00D93BDF">
        <w:rPr>
          <w:rFonts w:ascii="Verdana" w:eastAsia="Calibri" w:hAnsi="Verdana" w:cs="Arial"/>
          <w:lang w:val="es-ES" w:eastAsia="es-ES"/>
        </w:rPr>
        <w:t>Doctora</w:t>
      </w:r>
    </w:p>
    <w:p w14:paraId="01836905" w14:textId="77777777" w:rsidR="00D93BDF" w:rsidRPr="00D93BDF" w:rsidRDefault="00D93BDF" w:rsidP="00D93BDF">
      <w:pPr>
        <w:spacing w:after="0" w:line="240" w:lineRule="auto"/>
        <w:rPr>
          <w:rFonts w:ascii="Verdana" w:eastAsia="Aptos" w:hAnsi="Verdana" w:cs="Times New Roman"/>
          <w:b/>
          <w:bCs/>
          <w:kern w:val="2"/>
          <w14:ligatures w14:val="standardContextual"/>
        </w:rPr>
      </w:pPr>
      <w:r w:rsidRPr="00D93BDF">
        <w:rPr>
          <w:rFonts w:ascii="Verdana" w:eastAsia="Aptos" w:hAnsi="Verdana" w:cs="Times New Roman"/>
          <w:b/>
          <w:bCs/>
          <w:kern w:val="2"/>
          <w14:ligatures w14:val="standardContextual"/>
        </w:rPr>
        <w:t>Adriana Margarita Urbina Pinedo</w:t>
      </w:r>
    </w:p>
    <w:p w14:paraId="29608DE1" w14:textId="77777777" w:rsidR="00D93BDF" w:rsidRPr="00D93BDF" w:rsidRDefault="00D93BDF" w:rsidP="00D93BDF">
      <w:pPr>
        <w:spacing w:after="0" w:line="240" w:lineRule="auto"/>
        <w:rPr>
          <w:rFonts w:ascii="Verdana" w:eastAsia="Aptos" w:hAnsi="Verdana" w:cs="Times New Roman"/>
          <w:kern w:val="2"/>
          <w:lang w:val="it-IT"/>
          <w14:ligatures w14:val="standardContextual"/>
        </w:rPr>
      </w:pPr>
      <w:r w:rsidRPr="00D93BDF">
        <w:rPr>
          <w:rFonts w:ascii="Verdana" w:eastAsia="Aptos" w:hAnsi="Verdana" w:cs="Times New Roman"/>
          <w:kern w:val="2"/>
          <w:lang w:val="it-IT"/>
          <w14:ligatures w14:val="standardContextual"/>
        </w:rPr>
        <w:t>Secretaria General</w:t>
      </w:r>
    </w:p>
    <w:p w14:paraId="782FB8E4" w14:textId="77777777" w:rsidR="00D93BDF" w:rsidRPr="00D93BDF" w:rsidRDefault="00D93BDF" w:rsidP="00D93BDF">
      <w:pPr>
        <w:spacing w:after="0" w:line="240" w:lineRule="auto"/>
        <w:rPr>
          <w:rFonts w:ascii="Verdana" w:eastAsia="Calibri" w:hAnsi="Verdana" w:cs="Arial"/>
          <w:lang w:val="it-IT" w:eastAsia="es-ES_tradnl"/>
        </w:rPr>
      </w:pPr>
      <w:r w:rsidRPr="00D93BDF">
        <w:rPr>
          <w:rFonts w:ascii="Verdana" w:eastAsia="Calibri" w:hAnsi="Verdana" w:cs="Arial"/>
          <w:lang w:val="it-IT" w:eastAsia="es-ES_tradnl"/>
        </w:rPr>
        <w:t>Instituto Nacional para Sordos – INSOR</w:t>
      </w:r>
    </w:p>
    <w:p w14:paraId="59D50B75" w14:textId="77777777" w:rsidR="00D93BDF" w:rsidRPr="00D93BDF" w:rsidRDefault="00D93BDF" w:rsidP="00D93BDF">
      <w:pPr>
        <w:spacing w:after="0" w:line="240" w:lineRule="auto"/>
        <w:rPr>
          <w:rFonts w:ascii="Verdana" w:eastAsia="Calibri" w:hAnsi="Verdana" w:cs="Arial"/>
          <w:lang w:val="es-ES_tradnl" w:eastAsia="es-ES_tradnl"/>
        </w:rPr>
      </w:pPr>
      <w:r w:rsidRPr="00D93BDF">
        <w:rPr>
          <w:rFonts w:ascii="Verdana" w:eastAsia="Calibri" w:hAnsi="Verdana" w:cs="Arial"/>
          <w:lang w:val="es-ES_tradnl" w:eastAsia="es-ES_tradnl"/>
        </w:rPr>
        <w:t>Bogotá D.C</w:t>
      </w:r>
    </w:p>
    <w:p w14:paraId="5D257D11" w14:textId="77777777" w:rsidR="00D93BDF" w:rsidRPr="00D93BDF" w:rsidRDefault="00D93BDF" w:rsidP="00D93BDF">
      <w:pPr>
        <w:spacing w:after="0" w:line="240" w:lineRule="auto"/>
        <w:rPr>
          <w:rFonts w:ascii="Verdana" w:eastAsia="Calibri" w:hAnsi="Verdana" w:cs="Arial"/>
          <w:b/>
          <w:bCs/>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100"/>
      </w:tblGrid>
      <w:tr w:rsidR="00D93BDF" w:rsidRPr="00D93BDF" w14:paraId="617A8D12" w14:textId="77777777" w:rsidTr="00E75FD1">
        <w:trPr>
          <w:trHeight w:val="229"/>
        </w:trPr>
        <w:tc>
          <w:tcPr>
            <w:tcW w:w="2268" w:type="dxa"/>
          </w:tcPr>
          <w:p w14:paraId="023BCECB" w14:textId="77777777" w:rsidR="00D93BDF" w:rsidRPr="00D93BDF" w:rsidRDefault="00D93BDF" w:rsidP="00D93BDF">
            <w:pPr>
              <w:jc w:val="both"/>
              <w:rPr>
                <w:rFonts w:ascii="Verdana" w:eastAsia="Calibri" w:hAnsi="Verdana" w:cs="Arial"/>
                <w:b/>
                <w:bCs/>
                <w:lang w:val="it-IT" w:eastAsia="es-ES_tradnl"/>
              </w:rPr>
            </w:pPr>
          </w:p>
        </w:tc>
        <w:tc>
          <w:tcPr>
            <w:tcW w:w="6100" w:type="dxa"/>
          </w:tcPr>
          <w:p w14:paraId="4B78FE83" w14:textId="77777777" w:rsidR="00D93BDF" w:rsidRPr="00D93BDF" w:rsidRDefault="00D93BDF" w:rsidP="00D93BDF">
            <w:pPr>
              <w:jc w:val="both"/>
              <w:rPr>
                <w:rFonts w:ascii="Verdana" w:eastAsia="Calibri" w:hAnsi="Verdana" w:cs="Arial"/>
                <w:b/>
                <w:bCs/>
                <w:lang w:val="es-ES" w:eastAsia="es-ES"/>
              </w:rPr>
            </w:pPr>
            <w:r w:rsidRPr="00D93BDF">
              <w:rPr>
                <w:rFonts w:ascii="Verdana" w:eastAsia="Calibri" w:hAnsi="Verdana" w:cs="Arial"/>
                <w:b/>
                <w:bCs/>
                <w:lang w:val="es-ES" w:eastAsia="es-ES"/>
              </w:rPr>
              <w:t xml:space="preserve">Concepto </w:t>
            </w:r>
            <w:bookmarkStart w:id="1" w:name="OLE_LINK1"/>
            <w:r w:rsidRPr="00D93BDF">
              <w:rPr>
                <w:rFonts w:ascii="Verdana" w:eastAsia="Calibri" w:hAnsi="Verdana" w:cs="Arial"/>
                <w:b/>
                <w:bCs/>
                <w:lang w:val="es-ES" w:eastAsia="es-ES"/>
              </w:rPr>
              <w:t>C-1188 de 2026</w:t>
            </w:r>
            <w:bookmarkEnd w:id="1"/>
          </w:p>
          <w:p w14:paraId="7BC8CD57" w14:textId="77777777" w:rsidR="00D93BDF" w:rsidRPr="00D93BDF" w:rsidRDefault="00D93BDF" w:rsidP="00D93BDF">
            <w:pPr>
              <w:jc w:val="both"/>
              <w:rPr>
                <w:rFonts w:ascii="Verdana" w:eastAsia="Calibri" w:hAnsi="Verdana" w:cs="Arial"/>
                <w:b/>
                <w:bCs/>
                <w:lang w:val="es-ES" w:eastAsia="es-ES"/>
              </w:rPr>
            </w:pPr>
          </w:p>
        </w:tc>
      </w:tr>
      <w:tr w:rsidR="00D93BDF" w:rsidRPr="00D93BDF" w14:paraId="356DA452" w14:textId="77777777" w:rsidTr="00E75FD1">
        <w:trPr>
          <w:trHeight w:val="884"/>
        </w:trPr>
        <w:tc>
          <w:tcPr>
            <w:tcW w:w="2268" w:type="dxa"/>
          </w:tcPr>
          <w:p w14:paraId="3582DF28" w14:textId="77777777" w:rsidR="00D93BDF" w:rsidRPr="00D93BDF" w:rsidRDefault="00D93BDF" w:rsidP="00D93BDF">
            <w:pPr>
              <w:jc w:val="both"/>
              <w:rPr>
                <w:rFonts w:ascii="Verdana" w:eastAsia="Calibri" w:hAnsi="Verdana" w:cs="Arial"/>
                <w:lang w:val="es-ES_tradnl" w:eastAsia="es-ES_tradnl"/>
              </w:rPr>
            </w:pPr>
            <w:r w:rsidRPr="00D93BDF">
              <w:rPr>
                <w:rFonts w:ascii="Verdana" w:eastAsia="Calibri" w:hAnsi="Verdana" w:cs="Arial"/>
                <w:b/>
                <w:lang w:val="es-ES_tradnl" w:eastAsia="es-ES_tradnl"/>
              </w:rPr>
              <w:t>Temas:</w:t>
            </w:r>
            <w:r w:rsidRPr="00D93BDF">
              <w:rPr>
                <w:rFonts w:ascii="Verdana" w:eastAsia="Calibri" w:hAnsi="Verdana" w:cs="Arial"/>
                <w:lang w:val="es-ES_tradnl" w:eastAsia="es-ES_tradnl"/>
              </w:rPr>
              <w:t xml:space="preserve">                   </w:t>
            </w:r>
          </w:p>
        </w:tc>
        <w:tc>
          <w:tcPr>
            <w:tcW w:w="6100" w:type="dxa"/>
          </w:tcPr>
          <w:p w14:paraId="78B7BF6B" w14:textId="77777777" w:rsidR="00D93BDF" w:rsidRPr="00D93BDF" w:rsidRDefault="00D93BDF" w:rsidP="00D93BDF">
            <w:pPr>
              <w:jc w:val="both"/>
              <w:rPr>
                <w:rFonts w:ascii="Verdana" w:eastAsia="Geomanist Light" w:hAnsi="Verdana" w:cs="Arial"/>
              </w:rPr>
            </w:pPr>
            <w:r w:rsidRPr="00D93BDF">
              <w:rPr>
                <w:rFonts w:ascii="Verdana" w:eastAsia="Calibri" w:hAnsi="Verdana" w:cs="Arial"/>
                <w:lang w:val="es-ES_tradnl"/>
              </w:rPr>
              <w:t>DOCUMENTOS TIPO – Fundamento normativo – Obligatoriedad / SECTOR SOCIAL</w:t>
            </w:r>
            <w:r w:rsidRPr="00D93BDF">
              <w:rPr>
                <w:rFonts w:ascii="Verdana" w:eastAsia="Calibri" w:hAnsi="Verdana" w:cs="Times New Roman"/>
                <w:lang w:val="es-ES"/>
              </w:rPr>
              <w:t xml:space="preserve"> – Documentos tipo – Vigentes / DOCUMENTOS TIPO – Aplicación – Matriz de Experiencia </w:t>
            </w:r>
            <w:r w:rsidRPr="00D93BDF">
              <w:rPr>
                <w:rFonts w:ascii="Verdana" w:eastAsia="Calibri" w:hAnsi="Verdana" w:cs="Times New Roman"/>
                <w:sz w:val="20"/>
                <w:szCs w:val="20"/>
                <w:lang w:val="es-ES"/>
              </w:rPr>
              <w:t xml:space="preserve">/ </w:t>
            </w:r>
            <w:r w:rsidRPr="00D93BDF">
              <w:rPr>
                <w:rFonts w:ascii="Verdana" w:eastAsia="Calibri" w:hAnsi="Verdana" w:cs="Arial"/>
                <w:color w:val="000000"/>
                <w:lang w:val="es-ES_tradnl"/>
              </w:rPr>
              <w:t xml:space="preserve">CONTRATO DE OBRA PÚBLICA – Aplicación – Bienes inmuebles / </w:t>
            </w:r>
            <w:r w:rsidRPr="00D93BDF">
              <w:rPr>
                <w:rFonts w:ascii="Verdana" w:eastAsia="Times New Roman" w:hAnsi="Verdana" w:cs="Times New Roman"/>
                <w:color w:val="000000"/>
                <w:lang w:eastAsia="es-CO"/>
              </w:rPr>
              <w:t xml:space="preserve">SECTOR INSTITUCIONAL – Documentos tipo – Infraestructura social – Actividades – Mantenimiento – Adecuación – Reparación / </w:t>
            </w:r>
            <w:r w:rsidRPr="00D93BDF">
              <w:rPr>
                <w:rFonts w:ascii="Verdana" w:eastAsia="Times New Roman" w:hAnsi="Verdana" w:cs="Calibri"/>
                <w:lang w:eastAsia="es-MX"/>
              </w:rPr>
              <w:t xml:space="preserve">INFRAESTRUCTURA INSTITUCIONAL DE SERVICIO PÚBLICO – Documentos tipo – Sector social – Alcance / </w:t>
            </w:r>
            <w:r w:rsidRPr="00D93BDF">
              <w:rPr>
                <w:rFonts w:ascii="Verdana" w:eastAsia="Calibri" w:hAnsi="Verdana" w:cs="Arial"/>
                <w:color w:val="0D0D0D"/>
                <w:lang w:eastAsia="es-MX"/>
              </w:rPr>
              <w:t>SECTOR INSTITUCIONAL – Documentos tipo – Sector social – Matriz 1 – Experiencia  – Actividad 2.6 – Actividad 2.9 – Actividad 2.14 – Alcance</w:t>
            </w:r>
            <w:r w:rsidRPr="00D93BDF">
              <w:rPr>
                <w:rFonts w:ascii="Verdana" w:eastAsia="Times New Roman" w:hAnsi="Verdana" w:cs="Times New Roman"/>
                <w:color w:val="000000"/>
                <w:lang w:eastAsia="es-CO"/>
              </w:rPr>
              <w:t xml:space="preserve"> / </w:t>
            </w:r>
            <w:r w:rsidRPr="00D93BDF">
              <w:rPr>
                <w:rFonts w:ascii="Verdana" w:eastAsia="Arial" w:hAnsi="Verdana" w:cs="Arial"/>
                <w:lang w:val="es-ES"/>
              </w:rPr>
              <w:t xml:space="preserve">EXPERIENCIA ADICIONAL − Bienes obras y servicios adicionales a la obra pública – Infraestructura de social / </w:t>
            </w:r>
            <w:r w:rsidRPr="00D93BDF">
              <w:rPr>
                <w:rFonts w:ascii="Verdana" w:eastAsia="Calibri" w:hAnsi="Verdana" w:cs="Arial"/>
                <w:lang w:val="es-ES_tradnl"/>
              </w:rPr>
              <w:t xml:space="preserve">COMBINACIÓN DE EXPERIENCIA − Documentos tipo − Infraestructura Social – Actividad principal y secundaria – Reglas / </w:t>
            </w:r>
            <w:r w:rsidRPr="00D93BDF">
              <w:rPr>
                <w:rFonts w:ascii="Verdana" w:eastAsia="Geomanist Light" w:hAnsi="Verdana" w:cs="Arial"/>
              </w:rPr>
              <w:t xml:space="preserve">FACTOR DE CALIDAD – Documentos tipo – Infraestructura social – Alcance </w:t>
            </w:r>
          </w:p>
          <w:p w14:paraId="3C376D6C" w14:textId="77777777" w:rsidR="00D93BDF" w:rsidRPr="00D93BDF" w:rsidRDefault="00D93BDF" w:rsidP="00D93BDF">
            <w:pPr>
              <w:jc w:val="both"/>
              <w:rPr>
                <w:rFonts w:ascii="Verdana" w:eastAsia="Aptos" w:hAnsi="Verdana" w:cs="Aptos"/>
              </w:rPr>
            </w:pPr>
          </w:p>
        </w:tc>
      </w:tr>
      <w:tr w:rsidR="00D93BDF" w:rsidRPr="00D93BDF" w14:paraId="648AA40D" w14:textId="77777777" w:rsidTr="00E75FD1">
        <w:tc>
          <w:tcPr>
            <w:tcW w:w="2268" w:type="dxa"/>
          </w:tcPr>
          <w:p w14:paraId="4A45C0B2" w14:textId="77777777" w:rsidR="00D93BDF" w:rsidRPr="00D93BDF" w:rsidRDefault="00D93BDF" w:rsidP="00D93BDF">
            <w:pPr>
              <w:jc w:val="both"/>
              <w:rPr>
                <w:rFonts w:ascii="Verdana" w:eastAsia="Calibri" w:hAnsi="Verdana" w:cs="Arial"/>
                <w:b/>
                <w:lang w:val="es-ES_tradnl" w:eastAsia="es-ES_tradnl"/>
              </w:rPr>
            </w:pPr>
            <w:r w:rsidRPr="00D93BDF">
              <w:rPr>
                <w:rFonts w:ascii="Verdana" w:eastAsia="Calibri" w:hAnsi="Verdana" w:cs="Arial"/>
                <w:b/>
                <w:lang w:val="es-ES_tradnl" w:eastAsia="es-ES_tradnl"/>
              </w:rPr>
              <w:t>Radicación:</w:t>
            </w:r>
            <w:r w:rsidRPr="00D93BDF">
              <w:rPr>
                <w:rFonts w:ascii="Verdana" w:eastAsia="Calibri" w:hAnsi="Verdana" w:cs="Arial"/>
                <w:lang w:val="es-ES_tradnl" w:eastAsia="es-ES_tradnl"/>
              </w:rPr>
              <w:t xml:space="preserve">               </w:t>
            </w:r>
          </w:p>
        </w:tc>
        <w:tc>
          <w:tcPr>
            <w:tcW w:w="6100" w:type="dxa"/>
          </w:tcPr>
          <w:p w14:paraId="70FE3D82" w14:textId="77777777" w:rsidR="00D93BDF" w:rsidRPr="00D93BDF" w:rsidRDefault="00D93BDF" w:rsidP="00D93BDF">
            <w:pPr>
              <w:ind w:left="3" w:hanging="3"/>
              <w:jc w:val="both"/>
              <w:rPr>
                <w:rFonts w:ascii="Verdana" w:eastAsia="Calibri" w:hAnsi="Verdana" w:cs="Arial"/>
                <w:lang w:val="es-ES_tradnl" w:eastAsia="es-ES_tradnl"/>
              </w:rPr>
            </w:pPr>
            <w:r w:rsidRPr="00D93BDF">
              <w:rPr>
                <w:rFonts w:ascii="Verdana" w:eastAsia="Calibri" w:hAnsi="Verdana" w:cs="Arial"/>
                <w:lang w:val="es-ES_tradnl" w:eastAsia="es-ES_tradnl"/>
              </w:rPr>
              <w:t>Respuesta a consultas con radicados Nos. 1_2026_07_28_009950 y 1_2026_07_29_010001</w:t>
            </w:r>
          </w:p>
        </w:tc>
      </w:tr>
    </w:tbl>
    <w:p w14:paraId="35C48248" w14:textId="77777777" w:rsidR="00D93BDF" w:rsidRPr="00D93BDF" w:rsidRDefault="00D93BDF" w:rsidP="00D93BDF">
      <w:pPr>
        <w:spacing w:after="0" w:line="240" w:lineRule="auto"/>
        <w:jc w:val="both"/>
        <w:rPr>
          <w:rFonts w:ascii="Verdana" w:eastAsia="Calibri" w:hAnsi="Verdana" w:cs="Arial"/>
          <w:lang w:val="es-ES_tradnl" w:eastAsia="es-ES_tradnl"/>
        </w:rPr>
      </w:pPr>
    </w:p>
    <w:p w14:paraId="4EC6CBCA" w14:textId="77777777" w:rsidR="00D93BDF" w:rsidRPr="00D93BDF" w:rsidRDefault="00D93BDF" w:rsidP="00D93BDF">
      <w:pPr>
        <w:spacing w:after="0" w:line="240" w:lineRule="auto"/>
        <w:rPr>
          <w:rFonts w:ascii="Verdana" w:eastAsia="Aptos" w:hAnsi="Verdana" w:cs="Times New Roman"/>
          <w:b/>
          <w:bCs/>
          <w:kern w:val="2"/>
          <w14:ligatures w14:val="standardContextual"/>
        </w:rPr>
      </w:pPr>
      <w:r w:rsidRPr="00D93BDF">
        <w:rPr>
          <w:rFonts w:ascii="Verdana" w:eastAsia="Calibri" w:hAnsi="Verdana" w:cs="Arial"/>
          <w:lang w:val="es-ES" w:eastAsia="es-ES"/>
        </w:rPr>
        <w:t xml:space="preserve">Estimada señora </w:t>
      </w:r>
      <w:r w:rsidRPr="00D93BDF">
        <w:rPr>
          <w:rFonts w:ascii="Verdana" w:eastAsia="Aptos" w:hAnsi="Verdana" w:cs="Times New Roman"/>
          <w:kern w:val="2"/>
          <w14:ligatures w14:val="standardContextual"/>
        </w:rPr>
        <w:t>Urbina Pinedo</w:t>
      </w:r>
      <w:r w:rsidRPr="00D93BDF">
        <w:rPr>
          <w:rFonts w:ascii="Verdana" w:eastAsia="Calibri" w:hAnsi="Verdana" w:cs="Arial"/>
          <w:lang w:val="es-ES" w:eastAsia="es-ES"/>
        </w:rPr>
        <w:t xml:space="preserve">: </w:t>
      </w:r>
    </w:p>
    <w:p w14:paraId="3B84D0BC" w14:textId="77777777" w:rsidR="00D93BDF" w:rsidRPr="00D93BDF" w:rsidRDefault="00D93BDF" w:rsidP="00D93BDF">
      <w:pPr>
        <w:tabs>
          <w:tab w:val="left" w:pos="3768"/>
        </w:tabs>
        <w:spacing w:after="0" w:line="276" w:lineRule="auto"/>
        <w:jc w:val="both"/>
        <w:rPr>
          <w:rFonts w:ascii="Verdana" w:eastAsia="Calibri" w:hAnsi="Verdana" w:cs="Arial"/>
          <w:lang w:val="es-ES" w:eastAsia="es-ES"/>
        </w:rPr>
      </w:pPr>
      <w:r w:rsidRPr="00D93BDF">
        <w:rPr>
          <w:rFonts w:ascii="Verdana" w:eastAsia="Calibri" w:hAnsi="Verdana" w:cs="Arial"/>
          <w:lang w:val="es-ES" w:eastAsia="es-ES"/>
        </w:rPr>
        <w:tab/>
      </w:r>
    </w:p>
    <w:p w14:paraId="714899A8" w14:textId="77777777" w:rsidR="00D93BDF" w:rsidRPr="00D93BDF" w:rsidRDefault="00D93BDF" w:rsidP="00D93BDF">
      <w:pPr>
        <w:spacing w:after="0" w:line="276" w:lineRule="auto"/>
        <w:jc w:val="both"/>
        <w:rPr>
          <w:rFonts w:ascii="Verdana" w:eastAsia="Calibri" w:hAnsi="Verdana" w:cs="Arial"/>
          <w:lang w:val="es-ES" w:eastAsia="es-ES"/>
        </w:rPr>
      </w:pPr>
      <w:r w:rsidRPr="00D93BDF">
        <w:rPr>
          <w:rFonts w:ascii="Verdana" w:eastAsia="Calibri" w:hAnsi="Verdana" w:cs="Arial"/>
          <w:lang w:val="es-ES" w:eastAsia="es-ES"/>
        </w:rPr>
        <w:t>En ejercicio de la competencia otorgada por los artículos 3, numeral 5º, y 11, numeral 8º, del Decreto Ley 4170 de 2011,</w:t>
      </w:r>
      <w:r w:rsidRPr="00D93BDF">
        <w:rPr>
          <w:rFonts w:ascii="Verdana" w:eastAsia="Arial MT" w:hAnsi="Verdana" w:cs="Arial MT"/>
          <w:lang w:val="es-ES" w:eastAsia="es-ES"/>
        </w:rPr>
        <w:t xml:space="preserve"> </w:t>
      </w:r>
      <w:r w:rsidRPr="00D93BDF">
        <w:rPr>
          <w:rFonts w:ascii="Verdana" w:eastAsia="Calibri" w:hAnsi="Verdana" w:cs="Arial"/>
        </w:rPr>
        <w:t xml:space="preserve">así como lo establecido por la </w:t>
      </w:r>
      <w:r w:rsidRPr="00D93BDF">
        <w:rPr>
          <w:rFonts w:ascii="Verdana" w:eastAsia="Aptos" w:hAnsi="Verdana" w:cs="Arial"/>
          <w:bCs/>
          <w:kern w:val="2"/>
          <w:lang w:eastAsia="es-ES" w:bidi="es-ES"/>
          <w14:ligatures w14:val="standardContextual"/>
        </w:rPr>
        <w:t>Resolución 469 de 2025 expedida por esta Entidad</w:t>
      </w:r>
      <w:r w:rsidRPr="00D93BDF">
        <w:rPr>
          <w:rFonts w:ascii="Verdana" w:eastAsia="Calibri" w:hAnsi="Verdana" w:cs="Arial"/>
        </w:rPr>
        <w:t xml:space="preserve">, </w:t>
      </w:r>
      <w:r w:rsidRPr="00D93BDF">
        <w:rPr>
          <w:rFonts w:ascii="Verdana" w:eastAsia="Calibri" w:hAnsi="Verdana" w:cs="Arial"/>
          <w:lang w:val="es-ES" w:eastAsia="es-ES"/>
        </w:rPr>
        <w:t xml:space="preserve">la Agencia Nacional de Contratación Pública – Colombia Compra Eficiente– responde sus solicitudes de consulta del 28 de julio de 2026, en las cuales manifiesta lo siguiente: </w:t>
      </w:r>
    </w:p>
    <w:p w14:paraId="093BA850" w14:textId="77777777" w:rsidR="00D93BDF" w:rsidRPr="00D93BDF" w:rsidRDefault="00D93BDF" w:rsidP="00D93BDF">
      <w:pPr>
        <w:shd w:val="clear" w:color="auto" w:fill="FFFFFF"/>
        <w:spacing w:after="0" w:line="240" w:lineRule="auto"/>
        <w:jc w:val="both"/>
        <w:rPr>
          <w:rFonts w:ascii="Calibri" w:eastAsia="Times New Roman" w:hAnsi="Calibri" w:cs="Calibri"/>
          <w:color w:val="242424"/>
          <w:lang w:eastAsia="es-MX"/>
        </w:rPr>
      </w:pPr>
      <w:r w:rsidRPr="00D93BDF">
        <w:rPr>
          <w:rFonts w:ascii="Arial" w:eastAsia="Times New Roman" w:hAnsi="Arial" w:cs="Arial"/>
          <w:color w:val="242424"/>
          <w:sz w:val="24"/>
          <w:szCs w:val="24"/>
          <w:lang w:eastAsia="es-MX"/>
        </w:rPr>
        <w:lastRenderedPageBreak/>
        <w:t> </w:t>
      </w:r>
    </w:p>
    <w:p w14:paraId="50B4B64A"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Times New Roman" w:hAnsi="Verdana" w:cs="Arial"/>
          <w:color w:val="242424"/>
          <w:sz w:val="20"/>
          <w:szCs w:val="20"/>
          <w:lang w:eastAsia="es-MX"/>
        </w:rPr>
        <w:t>“</w:t>
      </w:r>
      <w:r w:rsidRPr="00D93BDF">
        <w:rPr>
          <w:rFonts w:ascii="Verdana" w:eastAsia="Aptos" w:hAnsi="Verdana" w:cs="Times New Roman"/>
          <w:kern w:val="2"/>
          <w:sz w:val="20"/>
          <w:szCs w:val="20"/>
          <w14:ligatures w14:val="standardContextual"/>
        </w:rPr>
        <w:t xml:space="preserve">Adriana Margarita Urbina Pinedo, Secretaria General del Instituto Nacional para Sordos – INSOR; establecimiento público del orden nacional, que cuenta con personería jurídica, patrimonio independiente y autonomía administrativa y financiera, adscrito al Ministerio de Educación Nacional (MEN), cuya estructura se encuentra determinada por el Decreto 2106 de 2013; de manera respetuosa en mi calidad de Ordenadora del Gasto de la entidad acudo ante ustedes con el fin de elevar la siguiente consulta, fundamentada en sus competencias de unificación y pedagogía del Sistema de Compra Pública del país: </w:t>
      </w:r>
    </w:p>
    <w:p w14:paraId="3FC21BAF"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I. Hechos – Contexto de la Consulta </w:t>
      </w:r>
    </w:p>
    <w:p w14:paraId="14ACEA82"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La Entidad, dentro del Plan Anual de Adquisiciones para el año 2026, tiene contemplado llevar a cabo la contratación del servicio de mantenimiento de sus instalaciones, por lo que pretende adelantar un proceso de selección a través de la modalidad de selección abreviada de menor cuantía, para la celebración de un contrato de obra, cuyo objeto previsto es: “Prestar los servicios de mantenimiento y reparaciones locativas, con suministro de materiales y repuestos para las instalaciones de la sede del Instituto Nacional para Sordos – INSOR.”, el cual cuenta con un presupuesto oficial estimado de CIENTO CUARENTA Y UN MILLONES CIENTO SESENTA MIL TREINTA PESOS CON TREINTA Y SIETE CENTAVOS ($ 141.160.030,37) M/CTE., correspondiente al rango de la menor cuantía de la entidad, evidenciada la necesidad y conveniencia de la contratación.</w:t>
      </w:r>
    </w:p>
    <w:p w14:paraId="48AD4036"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El mantenimiento regular de la infraestructura de INSOR asegura que la estructura del edificio permanezca sólida y estable; el proceso de contratación pretende detectar y corregir problemas menores antes de que se conviertan en fallos mayores, previniendo colapsos y accidentes. Un mantenimiento adecuado extiende la vida útil de los materiales y de la estructura en general. </w:t>
      </w:r>
    </w:p>
    <w:p w14:paraId="3985404B"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A su vez, el mantenimiento de todos los sistemas que componen la sede (tales como sistemas de ventilación, iluminación, sistemas eléctricos, redes hidráulicas y sanitarias, sistemas de bombeo y de almacenamiento de agua potable, red contra incendios, sistema de emergencias, carpintería metálica y/o de aluminio, carpintería en madera, carpintería en acero, entre otras reparaciones a acabados) necesita de actividades de mantenimiento regular para funcionar de manera eficiente y confiable, evitando interrupciones y fallas, y garantizando un ambiente de trabajo seguro para los funcionarios y colaboradores del INSOR. </w:t>
      </w:r>
    </w:p>
    <w:p w14:paraId="48004D92"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Previo a elevar la presente consulta, la Entidad efectúo revisión de los siguientes documentos:</w:t>
      </w:r>
    </w:p>
    <w:p w14:paraId="4EACA916"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 Anexo memoria justificativa del análisis sectorial para la actualización del documento tipo infraestructura social en las modalidades de selección </w:t>
      </w:r>
      <w:r w:rsidRPr="00D93BDF">
        <w:rPr>
          <w:rFonts w:ascii="Verdana" w:eastAsia="Aptos" w:hAnsi="Verdana" w:cs="Times New Roman"/>
          <w:kern w:val="2"/>
          <w:sz w:val="20"/>
          <w:szCs w:val="20"/>
          <w14:ligatures w14:val="standardContextual"/>
        </w:rPr>
        <w:lastRenderedPageBreak/>
        <w:t xml:space="preserve">licitación pública, selección abreviada de menor cuantía y mínima cuantía 2025. </w:t>
      </w:r>
    </w:p>
    <w:p w14:paraId="50DFA308"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En el alusivo documento se hace referencia a que en el marco de la categoría Ocupacional no residencial se encuentra el nicho del sector para el cual tendrá aplicabilidad el documento tipo de infraestructura social; y entre otros el subgrupo Institucional, señalando como aquellas edificaciones o espacios utilizados para el cuidado de personas o en su reunión con propósitos educativos o de instrucción, edificaciones y espacios indispensables en la atención de emergencias, preservación de la seguridad de personas. (Subrayado propio) </w:t>
      </w:r>
    </w:p>
    <w:p w14:paraId="2E7E5548"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Documento referenciado en el anexo memora justificativa, NSR-10 – Capítulo K.2 – Clasificación de las edificaciones por grupos de ocupación, en su subgrupo k.2.6.6., definiendo:</w:t>
      </w:r>
    </w:p>
    <w:p w14:paraId="3F9A69CC"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“SUBGRUPO DE OCUPACIÓN INSTITUCIONAL DE SERVICIO PÚBLICO (I-5)” — En el Subgrupo de Ocupación Institucional de Servicio Público (I5) se clasifican las edificaciones o espacios destinados a funciones administrativas y prestación de servicios públicos necesarios para el buen funcionamiento de las ciudades. En la tabla K.2.6-5 se presenta una lista indicativa de edificaciones o espacios que deben clasificarse en el Subgrupo de Ocupación (I-5).</w:t>
      </w:r>
    </w:p>
    <w:p w14:paraId="21D98B42"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w:t>
      </w:r>
    </w:p>
    <w:p w14:paraId="31C015C7"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Que, de lo expuesto anteriormente, nos permite concluir en principio que toda obra que se realice sobre una edificación pública o inmueble propio donde funcione una entidad estatal, se encuentra sometida a la aplicación de pliegos tipo. </w:t>
      </w:r>
    </w:p>
    <w:p w14:paraId="311052FA"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Así mismo, en la Matriz 1 – Experiencia, Infraestructura Institucional, adoptada mediante la Resolución N. 540 de 2025, se identificó que el alcance del objeto contractual descrito se enmarcaría, en principio, en las siguientes actividades:</w:t>
      </w:r>
    </w:p>
    <w:p w14:paraId="5A4C18EF"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a) Numeral 2.2 (adecuación, conservación, mantenimiento, mejoramiento, rehabilitación, reparación locativa y restauración de infraestructura de servicio público), en lo relativo al mantenimiento estructural y locativo general de la sede; </w:t>
      </w:r>
    </w:p>
    <w:p w14:paraId="34657A0B"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b) Numeral 2.6, en lo relativo a las redes hidrosanitarias, sistemas de bombeo, tanques de almacenamiento y redes contra incendios; </w:t>
      </w:r>
    </w:p>
    <w:p w14:paraId="3407BD15"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c) Numeral 2.9, en lo relativo a las redes eléctricas e iluminación; y </w:t>
      </w:r>
    </w:p>
    <w:p w14:paraId="27ED943D"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d) Numeral 2.14, en lo relativo a los sistemas de ventilación.</w:t>
      </w:r>
    </w:p>
    <w:p w14:paraId="605CB82F"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Una vez analizada la necesidad que se pretende satisfacer con el proceso de contratación, la naturaleza jurídica de la Entidad, la cuantía estimada y </w:t>
      </w:r>
      <w:r w:rsidRPr="00D93BDF">
        <w:rPr>
          <w:rFonts w:ascii="Verdana" w:eastAsia="Aptos" w:hAnsi="Verdana" w:cs="Times New Roman"/>
          <w:kern w:val="2"/>
          <w:sz w:val="20"/>
          <w:szCs w:val="20"/>
          <w14:ligatures w14:val="standardContextual"/>
        </w:rPr>
        <w:lastRenderedPageBreak/>
        <w:t>el hecho de que la actividad a contratar constituye una obra pública, se procede con las siguientes:</w:t>
      </w:r>
    </w:p>
    <w:p w14:paraId="6012BC9D"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II. Consultas </w:t>
      </w:r>
    </w:p>
    <w:p w14:paraId="49DAAF32"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1. ¿Es correcta la apreciación que de acuerdo con la definición enmarcada en el anexo memoria justificativa del análisis sectorial para la actualización del documento tipo infraestructura social en las modalidades de selección licitación pública, selección abreviada de menor cuantía y mínima cuantía 2025, toda obra o mantenimiento que se ejecute sobre bienes del estado y que funcione una entidad estatal (centros administrativos) debe ser sometida a la aplicación de pliegos tipo?</w:t>
      </w:r>
    </w:p>
    <w:p w14:paraId="657FFB09"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2. ¿Es correcto entender que el mantenimiento y adecuación de áreas locativas como un contrato de obra definido por el artículo 32 de la Ley 80 de 1993? </w:t>
      </w:r>
    </w:p>
    <w:p w14:paraId="79CE7B5B" w14:textId="41C9DC50" w:rsidR="00D93BDF" w:rsidRPr="00D93BDF" w:rsidRDefault="00D93BDF" w:rsidP="1165BA09">
      <w:pPr>
        <w:shd w:val="clear" w:color="auto" w:fill="FFFFFF" w:themeFill="background1"/>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3. ¿Es correcto el encuadre efectuado por la Entidad, según el cual el objeto contractual descrito se enmarca en las actividades:</w:t>
      </w:r>
      <w:r w:rsidR="3DB68B91" w:rsidRPr="00D93BDF">
        <w:rPr>
          <w:rFonts w:ascii="Verdana" w:eastAsia="Aptos" w:hAnsi="Verdana" w:cs="Times New Roman"/>
          <w:kern w:val="2"/>
          <w:sz w:val="20"/>
          <w:szCs w:val="20"/>
          <w14:ligatures w14:val="standardContextual"/>
        </w:rPr>
        <w:t xml:space="preserve"> </w:t>
      </w:r>
      <w:r w:rsidRPr="00D93BDF">
        <w:rPr>
          <w:rFonts w:ascii="Verdana" w:eastAsia="Aptos" w:hAnsi="Verdana" w:cs="Times New Roman"/>
          <w:kern w:val="2"/>
          <w:sz w:val="20"/>
          <w:szCs w:val="20"/>
          <w14:ligatures w14:val="standardContextual"/>
        </w:rPr>
        <w:t xml:space="preserve">2.2, 2.6, 2.9 y 2.14 de la Matriz 1 – Experiencia del Sector Institucional, adoptada mediante la Resolución N. 540 de 2025?, ¿resultando en consecuencia de obligatoria aplicación los Documentos Tipo de selección abreviada de menor cuantía de infraestructura social? </w:t>
      </w:r>
    </w:p>
    <w:p w14:paraId="015F5244"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4. En el evento en que el objeto contractual involucre de manera simultánea varias de las actividades señaladas, ¿debe la Entidad exigir experiencia específica de manera acumulada para cada una de dichas actividades, o resulta procedente seleccionar la actividad de mayor relevancia frente al alcance del contrato a ejecutar, en los términos de la nota prevista para estos efectos en el numeral 2.9 de la Matriz 1? </w:t>
      </w:r>
    </w:p>
    <w:p w14:paraId="40E3A616"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5. En el evento que la necesidad de la entidad sea de menor intervención y no estructural del inmueble, y por ello no apliquen muchos de los numerales contenidos en los pliegos tipo. ¿La Entidad como debería proceder frente a la obligatoriedad de aplicación de los pliegos tipo? </w:t>
      </w:r>
    </w:p>
    <w:p w14:paraId="78677A59"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6. En el evento en que algunos apartes previstos en el pliego tipo no apliquen para el proceso que pretenda adelantar la entidad, y teniendo en cuenta que las entidades estatales no pueden cambiar los requisitos habilitantes ni las condiciones fijadas en los documentos tipo, ¿cómo debe proceder la entidad?</w:t>
      </w:r>
    </w:p>
    <w:p w14:paraId="34CDA444"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7. En concordancia con el numeral anterior, de ser obligatoria la aplicación de pliegos tipo, en el numeral 4.2 “Factor de calidad” se señala:</w:t>
      </w:r>
    </w:p>
    <w:p w14:paraId="502388D0"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 xml:space="preserve">“(i) implementación del programa de gerencia de proyectos; teniendo en cuenta que el objeto del contrato, así como las actividades señaladas en la ficha técnica las cuales se ejecutarán con un plazo máximo de cinco meses, no se considera de gran relevancia para la entidad puesto que estas no requieren una programación de obra o seguimiento de proyectos </w:t>
      </w:r>
      <w:r w:rsidRPr="00D93BDF">
        <w:rPr>
          <w:rFonts w:ascii="Verdana" w:eastAsia="Aptos" w:hAnsi="Verdana" w:cs="Times New Roman"/>
          <w:kern w:val="2"/>
          <w:sz w:val="20"/>
          <w:szCs w:val="20"/>
          <w14:ligatures w14:val="standardContextual"/>
        </w:rPr>
        <w:lastRenderedPageBreak/>
        <w:t>de manera exhaustiva siendo más viable una programación de obra sencilla que no genera valor agregado a la entidad; por otra parte, con respecto al segundo factor de calidad; (</w:t>
      </w:r>
      <w:proofErr w:type="spellStart"/>
      <w:r w:rsidRPr="00D93BDF">
        <w:rPr>
          <w:rFonts w:ascii="Verdana" w:eastAsia="Aptos" w:hAnsi="Verdana" w:cs="Times New Roman"/>
          <w:kern w:val="2"/>
          <w:sz w:val="20"/>
          <w:szCs w:val="20"/>
          <w14:ligatures w14:val="standardContextual"/>
        </w:rPr>
        <w:t>ii</w:t>
      </w:r>
      <w:proofErr w:type="spellEnd"/>
      <w:r w:rsidRPr="00D93BDF">
        <w:rPr>
          <w:rFonts w:ascii="Verdana" w:eastAsia="Aptos" w:hAnsi="Verdana" w:cs="Times New Roman"/>
          <w:kern w:val="2"/>
          <w:sz w:val="20"/>
          <w:szCs w:val="20"/>
          <w14:ligatures w14:val="standardContextual"/>
        </w:rPr>
        <w:t>) disponibilidad y condiciones funcionales de la maquinaria de obra, como se puede observar las actividades que realizará la entidad son de mantenimiento por tanto estas no implican la utilización de maquinarias o equipos especializados, más allá de maceta, puntero, rodillos, palustre entre otras consideradas herramienta menor, razón por la cual este factor tampoco tendría un valor agregado para la entidad; ahora bien respecto al numeral; (</w:t>
      </w:r>
      <w:proofErr w:type="spellStart"/>
      <w:r w:rsidRPr="00D93BDF">
        <w:rPr>
          <w:rFonts w:ascii="Verdana" w:eastAsia="Aptos" w:hAnsi="Verdana" w:cs="Times New Roman"/>
          <w:kern w:val="2"/>
          <w:sz w:val="20"/>
          <w:szCs w:val="20"/>
          <w14:ligatures w14:val="standardContextual"/>
        </w:rPr>
        <w:t>iii</w:t>
      </w:r>
      <w:proofErr w:type="spellEnd"/>
      <w:r w:rsidRPr="00D93BDF">
        <w:rPr>
          <w:rFonts w:ascii="Verdana" w:eastAsia="Aptos" w:hAnsi="Verdana" w:cs="Times New Roman"/>
          <w:kern w:val="2"/>
          <w:sz w:val="20"/>
          <w:szCs w:val="20"/>
          <w14:ligatures w14:val="standardContextual"/>
        </w:rPr>
        <w:t>) plan de calidad, no tendría valor agregado por cuanto como se ha mencionado las actividades que más relevantes dentro del contrato a ejecutar son la implementación de una conexión a bornes de transformador de la red contra incendio, el mantenimiento de esta, el mantenimiento en general a las instalaciones del INSOR que incluye (resane de humedades, cambio de luminarias, optimización del sistema de emergencias, entre otras), las cuales son menores por lo que no requiere de la realización de un plan de calidad y menos que este tenga un puntaje dentro de la evaluación.”</w:t>
      </w:r>
    </w:p>
    <w:p w14:paraId="7E4471AB"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Por lo anterior, si la entidad no va a obtener un beneficio adicional con los factores previstos por cuanto los mismos no aplican a los mantenimientos previstos, y estos no pueden ser objeto de modificación ¿cómo se puede entonces otorgar puntaje en el proceso que se adelante?</w:t>
      </w:r>
    </w:p>
    <w:p w14:paraId="22C9B2B8" w14:textId="77777777" w:rsidR="00D93BDF" w:rsidRPr="00D93BDF" w:rsidRDefault="00D93BDF" w:rsidP="00D93BD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D93BDF">
        <w:rPr>
          <w:rFonts w:ascii="Verdana" w:eastAsia="Aptos" w:hAnsi="Verdana" w:cs="Times New Roman"/>
          <w:kern w:val="2"/>
          <w:sz w:val="20"/>
          <w:szCs w:val="20"/>
          <w14:ligatures w14:val="standardContextual"/>
        </w:rPr>
        <w:t>(…)</w:t>
      </w:r>
    </w:p>
    <w:p w14:paraId="2EDA1197" w14:textId="77777777" w:rsidR="00D93BDF" w:rsidRPr="00D93BDF" w:rsidRDefault="00D93BDF" w:rsidP="00D93BDF">
      <w:pPr>
        <w:shd w:val="clear" w:color="auto" w:fill="FFFFFF"/>
        <w:spacing w:after="0" w:line="240" w:lineRule="auto"/>
        <w:ind w:left="709" w:right="709"/>
        <w:jc w:val="both"/>
        <w:rPr>
          <w:rFonts w:ascii="Verdana" w:eastAsia="Century Gothic" w:hAnsi="Verdana" w:cs="Arial"/>
          <w:sz w:val="20"/>
          <w:szCs w:val="20"/>
          <w:lang w:eastAsia="es-MX"/>
        </w:rPr>
      </w:pPr>
      <w:r w:rsidRPr="00D93BDF">
        <w:rPr>
          <w:rFonts w:ascii="Verdana" w:eastAsia="Aptos" w:hAnsi="Verdana" w:cs="Times New Roman"/>
          <w:kern w:val="2"/>
          <w:sz w:val="20"/>
          <w:szCs w:val="20"/>
          <w14:ligatures w14:val="standardContextual"/>
        </w:rPr>
        <w:t>IV. Notificaciones Para los efectos legales pertinentes, el Instituto Nacional para Sordos – INSOR recibe notificaciones en la carrera 89 A No. 64 C – 30, Álamos Zona Industrial, de la ciudad de Bogotá; y en los siguientes correos electrónicos: viviana.barrera@insor.gov.co y ana.castaneda@insor.gov.co, autorizando con el presente la notificación electrónica.</w:t>
      </w:r>
      <w:r w:rsidRPr="00D93BDF">
        <w:rPr>
          <w:rFonts w:ascii="Verdana" w:eastAsia="Century Gothic" w:hAnsi="Verdana" w:cs="Arial"/>
          <w:sz w:val="20"/>
          <w:szCs w:val="20"/>
          <w:lang w:eastAsia="es-MX"/>
        </w:rPr>
        <w:t xml:space="preserve">”. </w:t>
      </w:r>
    </w:p>
    <w:p w14:paraId="7EE19209" w14:textId="77777777" w:rsidR="00D93BDF" w:rsidRPr="00D93BDF" w:rsidRDefault="00D93BDF" w:rsidP="00D93BDF">
      <w:pPr>
        <w:spacing w:after="0" w:line="240" w:lineRule="auto"/>
        <w:ind w:left="709" w:right="709"/>
        <w:jc w:val="both"/>
        <w:rPr>
          <w:rFonts w:ascii="Arial" w:eastAsia="Aptos" w:hAnsi="Arial" w:cs="Arial"/>
          <w:kern w:val="2"/>
          <w:sz w:val="21"/>
          <w:szCs w:val="21"/>
          <w14:ligatures w14:val="standardContextual"/>
        </w:rPr>
      </w:pPr>
    </w:p>
    <w:p w14:paraId="2EAC6EB6" w14:textId="77777777" w:rsidR="00D93BDF" w:rsidRPr="00D93BDF" w:rsidRDefault="00D93BDF" w:rsidP="00D93BDF">
      <w:pPr>
        <w:spacing w:after="120" w:line="276" w:lineRule="auto"/>
        <w:ind w:firstLine="709"/>
        <w:jc w:val="both"/>
        <w:rPr>
          <w:rFonts w:ascii="Verdana" w:eastAsia="Calibri" w:hAnsi="Verdana" w:cs="Arial"/>
          <w:color w:val="000000"/>
          <w:kern w:val="2"/>
          <w:lang w:val="es-ES" w:eastAsia="es-ES"/>
          <w14:ligatures w14:val="standardContextual"/>
        </w:rPr>
      </w:pPr>
      <w:r w:rsidRPr="00D93BDF">
        <w:rPr>
          <w:rFonts w:ascii="Verdana" w:eastAsia="Calibri" w:hAnsi="Verdana" w:cs="Arial"/>
          <w:color w:val="000000"/>
          <w:kern w:val="2"/>
          <w:lang w:val="es-ES" w:eastAsia="es-ES"/>
          <w14:ligatures w14:val="standardContextual"/>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93BDF">
        <w:rPr>
          <w:rFonts w:ascii="Verdana" w:eastAsia="Calibri" w:hAnsi="Verdana" w:cs="Arial"/>
          <w:color w:val="000000"/>
          <w:kern w:val="2"/>
          <w:lang w:val="es-ES_tradnl" w:eastAsia="es-ES_tradnl"/>
          <w14:ligatures w14:val="standardContextual"/>
        </w:rPr>
        <w:tab/>
      </w:r>
    </w:p>
    <w:p w14:paraId="2820174F" w14:textId="77777777" w:rsidR="00D93BDF" w:rsidRPr="00D93BDF" w:rsidRDefault="00D93BDF" w:rsidP="00D93BDF">
      <w:pPr>
        <w:spacing w:after="0" w:line="276" w:lineRule="auto"/>
        <w:ind w:firstLine="709"/>
        <w:jc w:val="both"/>
        <w:rPr>
          <w:rFonts w:ascii="Verdana" w:eastAsia="Calibri" w:hAnsi="Verdana" w:cs="Arial"/>
          <w:color w:val="000000"/>
          <w:kern w:val="2"/>
          <w:lang w:val="es-ES" w:eastAsia="es-ES"/>
          <w14:ligatures w14:val="standardContextual"/>
        </w:rPr>
      </w:pPr>
      <w:r w:rsidRPr="00D93BDF">
        <w:rPr>
          <w:rFonts w:ascii="Verdana" w:eastAsia="Calibri" w:hAnsi="Verdana" w:cs="Arial"/>
          <w:color w:val="000000"/>
          <w:kern w:val="2"/>
          <w:lang w:val="es-ES" w:eastAsia="es-ES"/>
          <w14:ligatures w14:val="standardContextual"/>
        </w:rPr>
        <w:lastRenderedPageBreak/>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D93BDF">
        <w:rPr>
          <w:rFonts w:ascii="Verdana" w:eastAsia="Calibri" w:hAnsi="Verdana" w:cs="Arial"/>
          <w:color w:val="7030A0"/>
          <w:kern w:val="2"/>
          <w:lang w:val="es-ES" w:eastAsia="es-ES"/>
          <w14:ligatures w14:val="standardContextual"/>
        </w:rPr>
        <w:t xml:space="preserve"> </w:t>
      </w:r>
      <w:r w:rsidRPr="00D93BDF">
        <w:rPr>
          <w:rFonts w:ascii="Verdana" w:eastAsia="Calibri" w:hAnsi="Verdana" w:cs="Arial"/>
          <w:color w:val="000000"/>
          <w:kern w:val="2"/>
          <w:lang w:val="es-ES" w:eastAsia="es-ES"/>
          <w14:ligatures w14:val="standardContextual"/>
        </w:rPr>
        <w:t>problema</w:t>
      </w:r>
      <w:r w:rsidRPr="00D93BDF">
        <w:rPr>
          <w:rFonts w:ascii="Verdana" w:eastAsia="Calibri" w:hAnsi="Verdana" w:cs="Arial"/>
          <w:color w:val="7030A0"/>
          <w:kern w:val="2"/>
          <w:lang w:val="es-ES" w:eastAsia="es-ES"/>
          <w14:ligatures w14:val="standardContextual"/>
        </w:rPr>
        <w:t xml:space="preserve"> </w:t>
      </w:r>
      <w:r w:rsidRPr="00D93BDF">
        <w:rPr>
          <w:rFonts w:ascii="Verdana" w:eastAsia="Calibri" w:hAnsi="Verdana" w:cs="Arial"/>
          <w:color w:val="000000"/>
          <w:kern w:val="2"/>
          <w:lang w:val="es-ES" w:eastAsia="es-ES"/>
          <w14:ligatures w14:val="standardContextual"/>
        </w:rPr>
        <w:t>jurídico</w:t>
      </w:r>
      <w:r w:rsidRPr="00D93BDF">
        <w:rPr>
          <w:rFonts w:ascii="Verdana" w:eastAsia="Calibri" w:hAnsi="Verdana" w:cs="Arial"/>
          <w:color w:val="7030A0"/>
          <w:kern w:val="2"/>
          <w:lang w:val="es-ES" w:eastAsia="es-ES"/>
          <w14:ligatures w14:val="standardContextual"/>
        </w:rPr>
        <w:t xml:space="preserve"> </w:t>
      </w:r>
      <w:r w:rsidRPr="00D93BDF">
        <w:rPr>
          <w:rFonts w:ascii="Verdana" w:eastAsia="Calibri" w:hAnsi="Verdana" w:cs="Arial"/>
          <w:color w:val="000000"/>
          <w:kern w:val="2"/>
          <w:lang w:val="es-ES" w:eastAsia="es-ES"/>
          <w14:ligatures w14:val="standardContextual"/>
        </w:rPr>
        <w:t xml:space="preserve">de su consulta. </w:t>
      </w:r>
    </w:p>
    <w:p w14:paraId="722AE758" w14:textId="77777777" w:rsidR="00D93BDF" w:rsidRPr="00D93BDF" w:rsidRDefault="00D93BDF" w:rsidP="00D93BDF">
      <w:pPr>
        <w:spacing w:after="0" w:line="276" w:lineRule="auto"/>
        <w:jc w:val="both"/>
        <w:rPr>
          <w:rFonts w:ascii="Verdana" w:eastAsia="Calibri" w:hAnsi="Verdana" w:cs="Arial"/>
          <w:lang w:val="es-ES" w:eastAsia="es-ES"/>
        </w:rPr>
      </w:pPr>
    </w:p>
    <w:p w14:paraId="72FA1D44" w14:textId="77777777" w:rsidR="00D93BDF" w:rsidRPr="00D93BDF" w:rsidRDefault="00D93BDF" w:rsidP="00D93BDF">
      <w:pPr>
        <w:numPr>
          <w:ilvl w:val="0"/>
          <w:numId w:val="17"/>
        </w:numPr>
        <w:tabs>
          <w:tab w:val="left" w:pos="142"/>
          <w:tab w:val="left" w:pos="284"/>
        </w:tabs>
        <w:spacing w:after="0" w:line="276" w:lineRule="auto"/>
        <w:jc w:val="both"/>
        <w:rPr>
          <w:rFonts w:ascii="Verdana" w:eastAsia="Century Gothic" w:hAnsi="Verdana" w:cs="Century Gothic"/>
          <w:b/>
          <w:bCs/>
        </w:rPr>
      </w:pPr>
      <w:r w:rsidRPr="00D93BDF">
        <w:rPr>
          <w:rFonts w:ascii="Verdana" w:eastAsia="Century Gothic" w:hAnsi="Verdana" w:cs="Century Gothic"/>
          <w:b/>
          <w:bCs/>
        </w:rPr>
        <w:t>Problema planteado:</w:t>
      </w:r>
    </w:p>
    <w:p w14:paraId="0041B51D" w14:textId="77777777" w:rsidR="00D93BDF" w:rsidRPr="00D93BDF" w:rsidRDefault="00D93BDF" w:rsidP="00D93BDF">
      <w:pPr>
        <w:tabs>
          <w:tab w:val="left" w:pos="426"/>
        </w:tabs>
        <w:spacing w:after="0" w:line="276" w:lineRule="auto"/>
        <w:jc w:val="both"/>
        <w:rPr>
          <w:rFonts w:ascii="Verdana" w:eastAsia="Century Gothic" w:hAnsi="Verdana" w:cs="Century Gothic"/>
          <w:lang w:val="es-ES"/>
        </w:rPr>
      </w:pPr>
    </w:p>
    <w:p w14:paraId="73CDD34D" w14:textId="48B619E8" w:rsidR="00D93BDF" w:rsidRPr="00D93BDF" w:rsidRDefault="00D93BDF" w:rsidP="00D93BDF">
      <w:pPr>
        <w:spacing w:after="0" w:line="276" w:lineRule="auto"/>
        <w:jc w:val="both"/>
        <w:rPr>
          <w:rFonts w:ascii="Verdana" w:eastAsia="Calibri" w:hAnsi="Verdana" w:cs="Arial"/>
          <w:kern w:val="2"/>
          <w:lang w:val="es-ES" w:eastAsia="es-ES"/>
          <w14:ligatures w14:val="standardContextual"/>
        </w:rPr>
      </w:pPr>
      <w:r w:rsidRPr="00D93BDF">
        <w:rPr>
          <w:rFonts w:ascii="Verdana" w:eastAsia="Aptos" w:hAnsi="Verdana" w:cs="Times New Roman"/>
          <w:kern w:val="2"/>
          <w14:ligatures w14:val="standardContextual"/>
        </w:rPr>
        <w:t xml:space="preserve">De acuerdo con el contenido de su solicitud, en relación con los </w:t>
      </w:r>
      <w:r w:rsidRPr="009A6761">
        <w:rPr>
          <w:rFonts w:ascii="Verdana" w:eastAsia="Aptos" w:hAnsi="Verdana" w:cs="Times New Roman"/>
          <w:b/>
          <w:bCs/>
          <w:i/>
          <w:iCs/>
          <w:kern w:val="2"/>
          <w14:ligatures w14:val="standardContextual"/>
        </w:rPr>
        <w:t>documentos tipo del sector institucional</w:t>
      </w:r>
      <w:r w:rsidRPr="00D93BDF">
        <w:rPr>
          <w:rFonts w:ascii="Verdana" w:eastAsia="Aptos" w:hAnsi="Verdana" w:cs="Times New Roman"/>
          <w:kern w:val="2"/>
          <w14:ligatures w14:val="standardContextual"/>
        </w:rPr>
        <w:t xml:space="preserve">, esta Agencia resolverá los siguientes problemas jurídicos: i) ¿Cuál es el alcance de la regla de inalterabilidad </w:t>
      </w:r>
      <w:r w:rsidR="007676CF">
        <w:rPr>
          <w:rFonts w:ascii="Verdana" w:eastAsia="Aptos" w:hAnsi="Verdana" w:cs="Times New Roman"/>
          <w:kern w:val="2"/>
          <w14:ligatures w14:val="standardContextual"/>
        </w:rPr>
        <w:t xml:space="preserve">que recae </w:t>
      </w:r>
      <w:r w:rsidRPr="00D93BDF">
        <w:rPr>
          <w:rFonts w:ascii="Verdana" w:eastAsia="Aptos" w:hAnsi="Verdana" w:cs="Times New Roman"/>
          <w:kern w:val="2"/>
          <w14:ligatures w14:val="standardContextual"/>
        </w:rPr>
        <w:t>sobre los documentos tipo</w:t>
      </w:r>
      <w:r w:rsidR="007676CF">
        <w:rPr>
          <w:rFonts w:ascii="Verdana" w:eastAsia="Aptos" w:hAnsi="Verdana" w:cs="Times New Roman"/>
          <w:kern w:val="2"/>
          <w14:ligatures w14:val="standardContextual"/>
        </w:rPr>
        <w:t xml:space="preserve"> de licitación de obra pública de infraestructura social</w:t>
      </w:r>
      <w:r w:rsidRPr="00D93BDF">
        <w:rPr>
          <w:rFonts w:ascii="Verdana" w:eastAsia="Aptos" w:hAnsi="Verdana" w:cs="Times New Roman"/>
          <w:kern w:val="2"/>
          <w14:ligatures w14:val="standardContextual"/>
        </w:rPr>
        <w:t xml:space="preserve">?; </w:t>
      </w:r>
      <w:proofErr w:type="spellStart"/>
      <w:r w:rsidRPr="00D93BDF">
        <w:rPr>
          <w:rFonts w:ascii="Verdana" w:eastAsia="Aptos" w:hAnsi="Verdana" w:cs="Times New Roman"/>
          <w:kern w:val="2"/>
          <w14:ligatures w14:val="standardContextual"/>
        </w:rPr>
        <w:t>ii</w:t>
      </w:r>
      <w:proofErr w:type="spellEnd"/>
      <w:r w:rsidRPr="00D93BDF">
        <w:rPr>
          <w:rFonts w:ascii="Verdana" w:eastAsia="Aptos" w:hAnsi="Verdana" w:cs="Times New Roman"/>
          <w:kern w:val="2"/>
          <w14:ligatures w14:val="standardContextual"/>
        </w:rPr>
        <w:t>) ¿</w:t>
      </w:r>
      <w:r w:rsidR="64709E9A" w:rsidRPr="00D93BDF">
        <w:rPr>
          <w:rFonts w:ascii="Verdana" w:eastAsia="Aptos" w:hAnsi="Verdana" w:cs="Times New Roman"/>
          <w:kern w:val="2"/>
          <w14:ligatures w14:val="standardContextual"/>
        </w:rPr>
        <w:t>A</w:t>
      </w:r>
      <w:r w:rsidRPr="00D93BDF">
        <w:rPr>
          <w:rFonts w:ascii="Verdana" w:eastAsia="Aptos" w:hAnsi="Verdana" w:cs="Times New Roman"/>
          <w:kern w:val="2"/>
          <w14:ligatures w14:val="standardContextual"/>
        </w:rPr>
        <w:t xml:space="preserve">plican los documentos tipo señalados para realizar mantenimientos, adecuaciones y reparaciones en las instalaciones de la sede del Instituto Nacional para Sordos – INSOR?; </w:t>
      </w:r>
      <w:proofErr w:type="spellStart"/>
      <w:r w:rsidRPr="00D93BDF">
        <w:rPr>
          <w:rFonts w:ascii="Verdana" w:eastAsia="Aptos" w:hAnsi="Verdana" w:cs="Times New Roman"/>
          <w:kern w:val="2"/>
          <w14:ligatures w14:val="standardContextual"/>
        </w:rPr>
        <w:t>iii</w:t>
      </w:r>
      <w:proofErr w:type="spellEnd"/>
      <w:r w:rsidRPr="00D93BDF">
        <w:rPr>
          <w:rFonts w:ascii="Verdana" w:eastAsia="Aptos" w:hAnsi="Verdana" w:cs="Times New Roman"/>
          <w:kern w:val="2"/>
          <w14:ligatures w14:val="standardContextual"/>
        </w:rPr>
        <w:t>) ¿</w:t>
      </w:r>
      <w:r w:rsidR="0068205A">
        <w:rPr>
          <w:rFonts w:ascii="Verdana" w:eastAsia="Aptos" w:hAnsi="Verdana" w:cs="Times New Roman"/>
          <w:kern w:val="2"/>
          <w14:ligatures w14:val="standardContextual"/>
        </w:rPr>
        <w:t>C</w:t>
      </w:r>
      <w:r w:rsidRPr="00D93BDF">
        <w:rPr>
          <w:rFonts w:ascii="Verdana" w:eastAsia="Aptos" w:hAnsi="Verdana" w:cs="Times New Roman"/>
          <w:kern w:val="2"/>
          <w14:ligatures w14:val="standardContextual"/>
        </w:rPr>
        <w:t xml:space="preserve">uál es el alcance de las actividades 2.6, 2.9 y 2.14 contenidas en la Matriz 1 – Experiencia?; </w:t>
      </w:r>
      <w:proofErr w:type="spellStart"/>
      <w:r w:rsidRPr="00D93BDF">
        <w:rPr>
          <w:rFonts w:ascii="Verdana" w:eastAsia="Aptos" w:hAnsi="Verdana" w:cs="Times New Roman"/>
          <w:kern w:val="2"/>
          <w14:ligatures w14:val="standardContextual"/>
        </w:rPr>
        <w:t>iv</w:t>
      </w:r>
      <w:proofErr w:type="spellEnd"/>
      <w:r w:rsidRPr="00D93BDF">
        <w:rPr>
          <w:rFonts w:ascii="Verdana" w:eastAsia="Aptos" w:hAnsi="Verdana" w:cs="Times New Roman"/>
          <w:kern w:val="2"/>
          <w14:ligatures w14:val="standardContextual"/>
        </w:rPr>
        <w:t>) ¿</w:t>
      </w:r>
      <w:r w:rsidR="009A6761">
        <w:rPr>
          <w:rFonts w:ascii="Verdana" w:eastAsia="Aptos" w:hAnsi="Verdana" w:cs="Times New Roman"/>
          <w:kern w:val="2"/>
          <w14:ligatures w14:val="standardContextual"/>
        </w:rPr>
        <w:t>C</w:t>
      </w:r>
      <w:r w:rsidRPr="00D93BDF">
        <w:rPr>
          <w:rFonts w:ascii="Verdana" w:eastAsia="Aptos" w:hAnsi="Verdana" w:cs="Times New Roman"/>
          <w:kern w:val="2"/>
          <w14:ligatures w14:val="standardContextual"/>
        </w:rPr>
        <w:t>uál es el alcance del artículo 4 de la Resolución 540 de 2025?; v) ¿</w:t>
      </w:r>
      <w:r w:rsidR="009A6761">
        <w:rPr>
          <w:rFonts w:ascii="Verdana" w:eastAsia="Aptos" w:hAnsi="Verdana" w:cs="Times New Roman"/>
          <w:kern w:val="2"/>
          <w14:ligatures w14:val="standardContextual"/>
        </w:rPr>
        <w:t>S</w:t>
      </w:r>
      <w:r w:rsidRPr="00D93BDF">
        <w:rPr>
          <w:rFonts w:ascii="Verdana" w:eastAsia="Aptos" w:hAnsi="Verdana" w:cs="Times New Roman"/>
          <w:kern w:val="2"/>
          <w14:ligatures w14:val="standardContextual"/>
        </w:rPr>
        <w:t>e puede solicitar experiencia adicional para adquirir los repuestos necesarios para un mantenimiento, adecuación o reparación?; vi) ¿</w:t>
      </w:r>
      <w:r w:rsidR="009A6761">
        <w:rPr>
          <w:rFonts w:ascii="Verdana" w:eastAsia="Aptos" w:hAnsi="Verdana" w:cs="Times New Roman"/>
          <w:kern w:val="2"/>
          <w14:ligatures w14:val="standardContextual"/>
        </w:rPr>
        <w:t>C</w:t>
      </w:r>
      <w:r w:rsidRPr="00D93BDF">
        <w:rPr>
          <w:rFonts w:ascii="Verdana" w:eastAsia="Aptos" w:hAnsi="Verdana" w:cs="Times New Roman"/>
          <w:kern w:val="2"/>
          <w14:ligatures w14:val="standardContextual"/>
        </w:rPr>
        <w:t xml:space="preserve">ómo opera la combinación de experiencia entre actividades de los documentos señalados?; y </w:t>
      </w:r>
      <w:proofErr w:type="spellStart"/>
      <w:r w:rsidRPr="00D93BDF">
        <w:rPr>
          <w:rFonts w:ascii="Verdana" w:eastAsia="Aptos" w:hAnsi="Verdana" w:cs="Times New Roman"/>
          <w:kern w:val="2"/>
          <w14:ligatures w14:val="standardContextual"/>
        </w:rPr>
        <w:t>vii</w:t>
      </w:r>
      <w:proofErr w:type="spellEnd"/>
      <w:r w:rsidRPr="00D93BDF">
        <w:rPr>
          <w:rFonts w:ascii="Verdana" w:eastAsia="Aptos" w:hAnsi="Verdana" w:cs="Times New Roman"/>
          <w:kern w:val="2"/>
          <w14:ligatures w14:val="standardContextual"/>
        </w:rPr>
        <w:t>) ¿</w:t>
      </w:r>
      <w:r w:rsidR="009A6761">
        <w:rPr>
          <w:rFonts w:ascii="Verdana" w:eastAsia="Aptos" w:hAnsi="Verdana" w:cs="Times New Roman"/>
          <w:kern w:val="2"/>
          <w14:ligatures w14:val="standardContextual"/>
        </w:rPr>
        <w:t>C</w:t>
      </w:r>
      <w:r w:rsidRPr="00D93BDF">
        <w:rPr>
          <w:rFonts w:ascii="Verdana" w:eastAsia="Aptos" w:hAnsi="Verdana" w:cs="Times New Roman"/>
          <w:kern w:val="2"/>
          <w14:ligatures w14:val="standardContextual"/>
        </w:rPr>
        <w:t>uál es el alcance del numeral 4.2 "Factor de calidad" contenido en el documento base?</w:t>
      </w:r>
    </w:p>
    <w:p w14:paraId="3A3032E7" w14:textId="77777777" w:rsidR="00D93BDF" w:rsidRPr="00D93BDF" w:rsidRDefault="00D93BDF" w:rsidP="00D93BDF">
      <w:pPr>
        <w:spacing w:after="0" w:line="276" w:lineRule="auto"/>
        <w:jc w:val="both"/>
        <w:rPr>
          <w:rFonts w:ascii="Verdana" w:eastAsia="Century Gothic" w:hAnsi="Verdana" w:cs="Century Gothic"/>
          <w:lang w:val="es-ES_tradnl"/>
        </w:rPr>
      </w:pPr>
    </w:p>
    <w:p w14:paraId="661D886E" w14:textId="77777777" w:rsidR="00D93BDF" w:rsidRPr="00D93BDF" w:rsidRDefault="00D93BDF" w:rsidP="00D93BDF">
      <w:pPr>
        <w:tabs>
          <w:tab w:val="left" w:pos="142"/>
          <w:tab w:val="left" w:pos="284"/>
        </w:tabs>
        <w:spacing w:after="0" w:line="276" w:lineRule="auto"/>
        <w:contextualSpacing/>
        <w:jc w:val="both"/>
        <w:rPr>
          <w:rFonts w:ascii="Verdana" w:eastAsia="Century Gothic" w:hAnsi="Verdana" w:cs="Century Gothic"/>
          <w:b/>
          <w:bCs/>
          <w:lang w:val="es-ES"/>
        </w:rPr>
      </w:pPr>
      <w:r w:rsidRPr="00D93BDF">
        <w:rPr>
          <w:rFonts w:ascii="Verdana" w:eastAsia="Century Gothic" w:hAnsi="Verdana" w:cs="Century Gothic"/>
          <w:b/>
          <w:bCs/>
          <w:lang w:val="es-ES"/>
        </w:rPr>
        <w:t>2. Respuestas:</w:t>
      </w:r>
    </w:p>
    <w:p w14:paraId="1607CCDD" w14:textId="77777777" w:rsidR="00D93BDF" w:rsidRPr="00D93BDF" w:rsidRDefault="00D93BDF" w:rsidP="00D93BDF">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93BDF" w:rsidRPr="00D93BDF" w14:paraId="1015B4BE" w14:textId="77777777" w:rsidTr="00E75FD1">
        <w:trPr>
          <w:trHeight w:val="40"/>
        </w:trPr>
        <w:tc>
          <w:tcPr>
            <w:tcW w:w="8828" w:type="dxa"/>
            <w:tcBorders>
              <w:top w:val="dotted" w:sz="4" w:space="0" w:color="auto"/>
              <w:left w:val="dotted" w:sz="4" w:space="0" w:color="auto"/>
              <w:bottom w:val="dotted" w:sz="4" w:space="0" w:color="auto"/>
              <w:right w:val="dotted" w:sz="4" w:space="0" w:color="auto"/>
            </w:tcBorders>
          </w:tcPr>
          <w:p w14:paraId="444AF926" w14:textId="58CCC395" w:rsidR="00D93BDF" w:rsidRPr="00D93BDF" w:rsidRDefault="00D93BDF" w:rsidP="00D93BDF">
            <w:pPr>
              <w:widowControl w:val="0"/>
              <w:autoSpaceDE w:val="0"/>
              <w:autoSpaceDN w:val="0"/>
              <w:spacing w:after="120" w:line="276" w:lineRule="auto"/>
              <w:jc w:val="both"/>
              <w:rPr>
                <w:rFonts w:ascii="Verdana" w:eastAsia="Calibri" w:hAnsi="Verdana" w:cs="Arial"/>
              </w:rPr>
            </w:pPr>
            <w:r w:rsidRPr="00D93BDF">
              <w:rPr>
                <w:rFonts w:ascii="Verdana" w:eastAsia="Calibri" w:hAnsi="Verdana" w:cs="Arial"/>
                <w:lang w:val="es-ES"/>
              </w:rPr>
              <w:t>i. E</w:t>
            </w:r>
            <w:r w:rsidRPr="00D93BDF">
              <w:rPr>
                <w:rFonts w:ascii="Verdana" w:eastAsia="Calibri" w:hAnsi="Verdana" w:cs="Times New Roman"/>
                <w:lang w:val="es-ES"/>
              </w:rPr>
              <w:t>n virtud de la regla de inalterabilidad</w:t>
            </w:r>
            <w:r w:rsidR="00340A31">
              <w:rPr>
                <w:rFonts w:ascii="Verdana" w:eastAsia="Calibri" w:hAnsi="Verdana" w:cs="Times New Roman"/>
                <w:lang w:val="es-ES"/>
              </w:rPr>
              <w:t xml:space="preserve"> que recae los documentos tipo de licitación de obra pública de infraestructura social</w:t>
            </w:r>
            <w:r w:rsidRPr="00D93BDF">
              <w:rPr>
                <w:rFonts w:ascii="Verdana" w:eastAsia="Calibri" w:hAnsi="Verdana" w:cs="Times New Roman"/>
                <w:lang w:val="es-ES"/>
              </w:rPr>
              <w:t xml:space="preserve">, </w:t>
            </w:r>
            <w:r w:rsidR="00340A31">
              <w:rPr>
                <w:rFonts w:ascii="Verdana" w:eastAsia="Calibri" w:hAnsi="Verdana" w:cs="Times New Roman"/>
                <w:lang w:val="es-ES"/>
              </w:rPr>
              <w:t xml:space="preserve">estos </w:t>
            </w:r>
            <w:r w:rsidRPr="00D93BDF">
              <w:rPr>
                <w:rFonts w:ascii="Verdana" w:eastAsia="Calibri" w:hAnsi="Verdana" w:cs="Times New Roman"/>
                <w:lang w:val="es-ES"/>
              </w:rPr>
              <w:t xml:space="preserve">solo pueden ser modificados en los aspectos en que estos lo permitan. Esto corresponde a aquellos elementos que se encuentran entre corchetes y resaltados en gris </w:t>
            </w:r>
            <w:r w:rsidRPr="00D93BDF">
              <w:rPr>
                <w:rFonts w:ascii="Verdana" w:eastAsia="Calibri" w:hAnsi="Verdana" w:cs="Times New Roman"/>
                <w:shd w:val="clear" w:color="auto" w:fill="E8E8E8"/>
                <w:lang w:val="es-ES"/>
              </w:rPr>
              <w:t>–[texto]–,</w:t>
            </w:r>
            <w:r w:rsidRPr="00D93BDF">
              <w:rPr>
                <w:rFonts w:ascii="Verdana" w:eastAsia="Calibri" w:hAnsi="Verdana" w:cs="Times New Roman"/>
                <w:lang w:val="es-ES"/>
              </w:rPr>
              <w:t xml:space="preserve"> para lo cual deberán observarse las instrucciones contenidas en los mismos para su diligenciamiento.</w:t>
            </w:r>
          </w:p>
          <w:p w14:paraId="0B450FDC" w14:textId="77777777" w:rsidR="00D93BDF" w:rsidRPr="00D93BDF" w:rsidRDefault="00D93BDF" w:rsidP="00D93BDF">
            <w:pPr>
              <w:widowControl w:val="0"/>
              <w:autoSpaceDE w:val="0"/>
              <w:autoSpaceDN w:val="0"/>
              <w:spacing w:line="276" w:lineRule="auto"/>
              <w:ind w:firstLine="708"/>
              <w:jc w:val="both"/>
              <w:rPr>
                <w:rFonts w:ascii="Verdana" w:eastAsia="Calibri" w:hAnsi="Verdana" w:cs="Times New Roman"/>
                <w:lang w:val="es-ES"/>
              </w:rPr>
            </w:pPr>
            <w:r w:rsidRPr="00D93BDF">
              <w:rPr>
                <w:rFonts w:ascii="Verdana" w:eastAsia="Calibri" w:hAnsi="Verdana" w:cs="Times New Roman"/>
                <w:lang w:val="es-ES"/>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737E115B" w14:textId="77777777" w:rsidR="00D93BDF" w:rsidRPr="00D93BDF" w:rsidRDefault="00D93BDF" w:rsidP="00D93BDF">
            <w:pPr>
              <w:widowControl w:val="0"/>
              <w:autoSpaceDE w:val="0"/>
              <w:autoSpaceDN w:val="0"/>
              <w:spacing w:line="276" w:lineRule="auto"/>
              <w:jc w:val="both"/>
              <w:rPr>
                <w:rFonts w:ascii="Verdana" w:eastAsia="Calibri" w:hAnsi="Verdana" w:cs="Times New Roman"/>
                <w:lang w:val="es-ES"/>
              </w:rPr>
            </w:pPr>
          </w:p>
          <w:p w14:paraId="466CD73B" w14:textId="77777777" w:rsidR="00D93BDF" w:rsidRPr="00D93BDF" w:rsidRDefault="00D93BDF" w:rsidP="00D93BDF">
            <w:pPr>
              <w:spacing w:after="120" w:line="276" w:lineRule="auto"/>
              <w:jc w:val="both"/>
              <w:rPr>
                <w:rFonts w:ascii="Verdana" w:eastAsia="Calibri" w:hAnsi="Verdana" w:cs="Times New Roman"/>
                <w:lang w:val="es-ES" w:eastAsia="es-MX"/>
              </w:rPr>
            </w:pPr>
            <w:proofErr w:type="spellStart"/>
            <w:r w:rsidRPr="00D93BDF">
              <w:rPr>
                <w:rFonts w:ascii="Verdana" w:eastAsia="Calibri" w:hAnsi="Verdana" w:cs="Times New Roman"/>
                <w:lang w:val="es-ES"/>
              </w:rPr>
              <w:t>ii</w:t>
            </w:r>
            <w:proofErr w:type="spellEnd"/>
            <w:r w:rsidRPr="00D93BDF">
              <w:rPr>
                <w:rFonts w:ascii="Verdana" w:eastAsia="Calibri" w:hAnsi="Verdana" w:cs="Times New Roman"/>
                <w:lang w:val="es-ES"/>
              </w:rPr>
              <w:t xml:space="preserve">. </w:t>
            </w:r>
            <w:r w:rsidRPr="00D93BDF">
              <w:rPr>
                <w:rFonts w:ascii="Verdana" w:eastAsia="Calibri" w:hAnsi="Verdana" w:cs="Times New Roman"/>
                <w:lang w:val="es-ES" w:eastAsia="es-MX"/>
              </w:rPr>
              <w:t xml:space="preserve">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5889BFFC" w14:textId="77777777" w:rsidR="00D93BDF" w:rsidRPr="00D93BDF" w:rsidRDefault="00D93BDF" w:rsidP="00D93BDF">
            <w:pPr>
              <w:spacing w:after="120" w:line="276" w:lineRule="auto"/>
              <w:jc w:val="both"/>
              <w:rPr>
                <w:rFonts w:ascii="Verdana" w:eastAsia="Calibri" w:hAnsi="Verdana" w:cs="Times New Roman"/>
                <w:lang w:val="es-ES" w:eastAsia="es-MX"/>
              </w:rPr>
            </w:pPr>
            <w:r w:rsidRPr="00D93BDF">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r w:rsidRPr="00D93BDF">
              <w:rPr>
                <w:rFonts w:ascii="Verdana" w:eastAsia="Arial" w:hAnsi="Verdana" w:cs="Aptos"/>
                <w:lang w:eastAsia="es-ES"/>
              </w:rPr>
              <w:t xml:space="preserve"> </w:t>
            </w:r>
          </w:p>
          <w:p w14:paraId="37970050" w14:textId="77777777" w:rsidR="00D93BDF" w:rsidRPr="00D93BDF" w:rsidRDefault="00D93BDF" w:rsidP="00D93BDF">
            <w:pPr>
              <w:spacing w:after="120" w:line="276" w:lineRule="auto"/>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ab/>
              <w:t xml:space="preserve">Concretamente, en su solicitud usted indaga sobre la aplicación de los Documentos Tipo del Sector Institucional – Infraestructura institucional de servicio público, para realizar el “mantenimiento y reparaciones locativas (…) para las instalaciones del Instituto Nacional para Sordos – INSOR”.  De esta forma, resulta pertinente establecer qué actividades de los Documentos Tipo mencionados recaen sobre las actividades indicadas y si estas resultan adecuadas para adelantar el proceso que requiere la entidad. </w:t>
            </w:r>
          </w:p>
          <w:p w14:paraId="36F3C7C4" w14:textId="77777777" w:rsidR="00D93BDF" w:rsidRPr="00D93BDF" w:rsidRDefault="00D93BDF" w:rsidP="00D93BDF">
            <w:pPr>
              <w:spacing w:line="276" w:lineRule="auto"/>
              <w:ind w:firstLine="708"/>
              <w:jc w:val="both"/>
              <w:rPr>
                <w:rFonts w:ascii="Verdana" w:eastAsia="Aptos" w:hAnsi="Verdana" w:cs="Times New Roman"/>
              </w:rPr>
            </w:pPr>
            <w:r w:rsidRPr="00D93BDF">
              <w:rPr>
                <w:rFonts w:ascii="Verdana" w:eastAsia="Aptos" w:hAnsi="Verdana" w:cs="Times New Roman"/>
              </w:rPr>
              <w:t>En este sentido, le indicamos que, una vez revisadas las actividades contenidas en la Matriz 1 – Experiencia de los Documentos Tipo del Sector Institucional – Infraestructura de Servicio Público, las siguientes corresponden a las actividades de mantenimiento y reparaciones señalados, dentro del sector indicado:</w:t>
            </w:r>
          </w:p>
          <w:p w14:paraId="414387B7" w14:textId="77777777" w:rsidR="00D93BDF" w:rsidRPr="00D93BDF" w:rsidRDefault="00D93BDF" w:rsidP="00D93BDF">
            <w:pPr>
              <w:jc w:val="both"/>
              <w:rPr>
                <w:rFonts w:ascii="Verdana" w:eastAsia="Times New Roman" w:hAnsi="Verdana" w:cs="Times New Roman"/>
                <w:color w:val="000000"/>
                <w:lang w:eastAsia="es-CO"/>
              </w:rPr>
            </w:pPr>
          </w:p>
          <w:p w14:paraId="56BA4554" w14:textId="77777777" w:rsidR="00D93BDF" w:rsidRPr="00D93BDF" w:rsidRDefault="00D93BDF" w:rsidP="00D93BDF">
            <w:pPr>
              <w:shd w:val="clear" w:color="auto" w:fill="FFFFFF"/>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 xml:space="preserve">“2.2. PROYECTOS DE ADECUACIÓN Y/O CONSERVACIÓN Y/O INTERVENCIÓN Y/O INSTALACIÓN Y/O MANTENIMIENTO Y/O MEJORAMIENTO Y/O MODIFICACIÓN U OPTIMIZACIÓN Y/O REHABILITACIÓN Y/O REMODELACIÓN Y/O REPOSICIÓN Y/O </w:t>
            </w:r>
            <w:r w:rsidRPr="00D93BDF">
              <w:rPr>
                <w:rFonts w:ascii="Verdana" w:eastAsia="Times New Roman" w:hAnsi="Verdana" w:cs="Arial"/>
                <w:color w:val="242424"/>
                <w:sz w:val="21"/>
                <w:szCs w:val="21"/>
                <w:lang w:eastAsia="es-MX"/>
              </w:rPr>
              <w:lastRenderedPageBreak/>
              <w:t>REPARACIÓN LOCATIVA Y/O RESTAURACIÓN Y/O RESTITUCIÓN Y/O TERMINACIÓN DE INFRAESTRUCTURA DE SERVICIO PUBLICO</w:t>
            </w:r>
          </w:p>
          <w:p w14:paraId="43029D27" w14:textId="5EE3B2C3" w:rsidR="00D93BDF" w:rsidRPr="00D93BDF" w:rsidRDefault="00D93BDF" w:rsidP="1165BA09">
            <w:pPr>
              <w:shd w:val="clear" w:color="auto" w:fill="FFFFFF" w:themeFill="background1"/>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2.3. PROYECTOS DE DEMOLICIÓN Y/O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CERRAMIENTO PARA INFRAESTRUCTURA DE SERVICIO PÚBLICO</w:t>
            </w:r>
          </w:p>
          <w:p w14:paraId="5653C1C0" w14:textId="77777777" w:rsidR="00D93BDF" w:rsidRPr="00D93BDF" w:rsidRDefault="00D93BDF" w:rsidP="00D93BDF">
            <w:pPr>
              <w:shd w:val="clear" w:color="auto" w:fill="FFFFFF"/>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2.5.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DE COMEDORES, ZONAS DE ALMACENAMIENTO Y/O ZONAS DE CONSERVACIÓN DE ALIMENTOS Y/O ZONAS DE ALIMENTACIÓN DE INFRAESTRUCTURA DE SERVICIO PUBLICO</w:t>
            </w:r>
          </w:p>
          <w:p w14:paraId="663CC1C2" w14:textId="77777777" w:rsidR="00D93BDF" w:rsidRPr="00D93BDF" w:rsidRDefault="00D93BDF" w:rsidP="00D93BDF">
            <w:pPr>
              <w:shd w:val="clear" w:color="auto" w:fill="FFFFFF"/>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 xml:space="preserve">2.6. PROYECTOS DE CONSTRUCCIÓN Y/O AMPLIACIÓN Y/O RECONSTRUCCIÓN ADECUACIÓN Y/O CONSERVACIÓN Y/O INTERVENCIÓN Y/O INSTALACIÓN Y/O MANTENIMIENTO Y/O MEJORAMIENTO Y/O MODIFICACIÓN U OPTIMIZACIÓN Y/O REHABILITACIÓN Y/O REMODELACIÓN Y/O REPOSICIÓN Y/O REPARACIÓN LOCATIVA Y/O RESTAURACIÓN Y/O RESTITUCIÓN Y/O TERMINACIÓN DE BATERÍAS SANITARIAS Y/O REDES HIDROSANITARIAS Y/O TANQUES DE ALMACENAMIENTO Y/O SISTEMAS DE BOMBEO Y/O REDES CONTRA INCENDIOS DE INFRAESTRUCTURA DE SERVICIO PUBLICO. </w:t>
            </w:r>
          </w:p>
          <w:p w14:paraId="43E2159B" w14:textId="77777777" w:rsidR="00D93BDF" w:rsidRPr="00D93BDF" w:rsidRDefault="00D93BDF" w:rsidP="00D93BDF">
            <w:pPr>
              <w:shd w:val="clear" w:color="auto" w:fill="FFFFFF"/>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2.7.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DE CUBIERTAS DE INFRAESTRUCTURA DE SERVICIO PUBLICO</w:t>
            </w:r>
          </w:p>
          <w:p w14:paraId="5363A4E3" w14:textId="77777777" w:rsidR="00D93BDF" w:rsidRPr="00D93BDF" w:rsidRDefault="00D93BDF" w:rsidP="00D93BDF">
            <w:pPr>
              <w:shd w:val="clear" w:color="auto" w:fill="FFFFFF"/>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lastRenderedPageBreak/>
              <w:t>2.8.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EN BIENES DE INTERÉS CULTURAL Y/O PATRIMONIAL ASOCIADOS A INFRAESTRUCTURA DE SERVICIO PUBLICO</w:t>
            </w:r>
          </w:p>
          <w:p w14:paraId="30B9808B" w14:textId="77777777" w:rsidR="00D93BDF" w:rsidRPr="00D93BDF" w:rsidRDefault="00D93BDF" w:rsidP="00D93BDF">
            <w:pPr>
              <w:shd w:val="clear" w:color="auto" w:fill="FFFFFF"/>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DE INFRAESTRUCTURA DE SERVICIO PUBLICO</w:t>
            </w:r>
          </w:p>
          <w:p w14:paraId="5785136F" w14:textId="63302084" w:rsidR="00D93BDF" w:rsidRPr="00D93BDF" w:rsidRDefault="00D93BDF" w:rsidP="1165BA09">
            <w:pPr>
              <w:shd w:val="clear" w:color="auto" w:fill="FFFFFF" w:themeFill="background1"/>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2.10.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ZONAS VERDES, Y/O ACTIVIDADES DE URBANISMO Y/O DE PAISAJISMO ASOCIADA A INFRAESTRUCTURA DE SERVICIO PUBLICO</w:t>
            </w:r>
          </w:p>
          <w:p w14:paraId="27477958" w14:textId="77777777" w:rsidR="00D93BDF" w:rsidRPr="00D93BDF" w:rsidRDefault="00D93BDF" w:rsidP="00D93BDF">
            <w:pPr>
              <w:shd w:val="clear" w:color="auto" w:fill="FFFFFF"/>
              <w:spacing w:after="120"/>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w:t>
            </w:r>
          </w:p>
          <w:p w14:paraId="7C06EDA5" w14:textId="77777777" w:rsidR="00D93BDF" w:rsidRPr="00D93BDF" w:rsidRDefault="00D93BDF" w:rsidP="00D93BDF">
            <w:pPr>
              <w:shd w:val="clear" w:color="auto" w:fill="FFFFFF"/>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 xml:space="preserve">2.12.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VAPOR Y/O REDES DE GASES Y/O REDES DE GAS NATURAL Y/O SISTEMAS DE COCCIÓN DE INFRAESTRUCTURA INSTITUCIONAL - SERVICIO PÚBLICO”. </w:t>
            </w:r>
          </w:p>
          <w:p w14:paraId="30D7DA7D" w14:textId="77777777" w:rsidR="00D93BDF" w:rsidRPr="00D93BDF" w:rsidRDefault="00D93BDF" w:rsidP="00D93BDF">
            <w:pPr>
              <w:spacing w:line="276" w:lineRule="auto"/>
              <w:jc w:val="both"/>
              <w:rPr>
                <w:rFonts w:ascii="Verdana" w:eastAsia="Times New Roman" w:hAnsi="Verdana" w:cs="Times New Roman"/>
                <w:color w:val="000000"/>
                <w:lang w:eastAsia="es-CO"/>
              </w:rPr>
            </w:pPr>
          </w:p>
          <w:p w14:paraId="63E5B783" w14:textId="77777777" w:rsidR="00D93BDF" w:rsidRPr="00D93BDF" w:rsidRDefault="00D93BDF" w:rsidP="00D93BDF">
            <w:pPr>
              <w:spacing w:after="120" w:line="276" w:lineRule="auto"/>
              <w:ind w:firstLine="708"/>
              <w:jc w:val="both"/>
              <w:rPr>
                <w:rFonts w:ascii="Verdana" w:eastAsia="Aptos" w:hAnsi="Verdana" w:cs="Times New Roman"/>
              </w:rPr>
            </w:pPr>
            <w:r w:rsidRPr="00D93BDF">
              <w:rPr>
                <w:rFonts w:ascii="Verdana" w:eastAsia="Times New Roman" w:hAnsi="Verdana" w:cs="Times New Roman"/>
                <w:color w:val="000000"/>
                <w:lang w:eastAsia="es-CO"/>
              </w:rPr>
              <w:t xml:space="preserve">Como se aprecia, las actividades indicadas aplican a los procesos que adelanten las entidades obligadas a utilizar los documentos tipo, cuando correspondan —para efectos de su solicitud— al mantenimiento, adecuación y reparaciones de: </w:t>
            </w:r>
            <w:r w:rsidRPr="00D93BDF">
              <w:rPr>
                <w:rFonts w:ascii="Verdana" w:eastAsia="Aptos" w:hAnsi="Verdana" w:cs="Times New Roman"/>
              </w:rPr>
              <w:t xml:space="preserve">infraestructura de servicio público; cerramientos para infraestructura de servicio público; comedores, zonas de almacenamiento y/o conservación de alimentos y/o zonas de alimentación; baterías sanitarias y/o redes hidrosanitarias y/o tanques de almacenamiento y/o sistemas de bombeo y/o redes contra incendios; cubiertas; bienes de interés cultural y/o patrimonial asociados a infraestructura de servicio público; redes eléctricas y/o circuitos cerrados de TV y/o sistemas de seguridad y/o circuitos de voz y datos y/o plantas eléctricas y/o subestaciones y/o redes de telemática, comunicación, sonido o telefonía y/o redes o sistemas de iluminación o luminarias interiores o exteriores; zonas verdes y/o actividades de urbanismo y/o de paisajismo; y redes de vapor y/o redes de gases y/o redes de gas natural y/o sistemas de cocción, todas estas </w:t>
            </w:r>
            <w:r w:rsidRPr="00D93BDF">
              <w:rPr>
                <w:rFonts w:ascii="Verdana" w:eastAsia="Times New Roman" w:hAnsi="Verdana" w:cs="Times New Roman"/>
                <w:color w:val="000000"/>
                <w:lang w:eastAsia="es-CO"/>
              </w:rPr>
              <w:t xml:space="preserve">en infraestructura de servicio público. </w:t>
            </w:r>
            <w:r w:rsidRPr="00D93BDF">
              <w:rPr>
                <w:rFonts w:ascii="Verdana" w:eastAsia="Aptos" w:hAnsi="Verdana" w:cs="Times New Roman"/>
              </w:rPr>
              <w:t>No obstante, será la entidad contratante la que, de acuerdo con el alcance específico del mantenimiento y/o la reparación que pretenda desarrollar, determine cuál o cuáles de las actividades relacionadas resultan aplicables a su proceso de contratación, en atención a las particularidades técnicas, al objeto contractual y a las necesidades reales de la obra a ejecutar.</w:t>
            </w:r>
          </w:p>
          <w:p w14:paraId="7EBE0F14" w14:textId="77777777" w:rsidR="00D93BDF" w:rsidRPr="00D93BDF" w:rsidRDefault="00D93BDF" w:rsidP="00D93BDF">
            <w:pPr>
              <w:spacing w:after="120" w:line="276" w:lineRule="auto"/>
              <w:ind w:firstLine="708"/>
              <w:jc w:val="both"/>
              <w:rPr>
                <w:rFonts w:ascii="Verdana" w:eastAsia="Times New Roman" w:hAnsi="Verdana" w:cs="Aptos"/>
                <w:lang w:eastAsia="es-MX"/>
              </w:rPr>
            </w:pPr>
            <w:r w:rsidRPr="00D93BDF">
              <w:rPr>
                <w:rFonts w:ascii="Verdana" w:eastAsia="Times New Roman" w:hAnsi="Verdana" w:cs="Aptos"/>
                <w:lang w:eastAsia="es-MX"/>
              </w:rPr>
              <w:t>Para interpretar el alcance del tipo de infraestructura de servicio público, se debe tener en cuenta la nota general 1 de la Matriz 1– Experiencia del Sector Institucional, en las distintas modalidades de selección de los documentos tipo adoptados por esta Agencia. En esta se indica que “(l)as definiciones contenidas en esta Matriz deben enmarcarse en la normativa vigente en la materia, así como en la NSR 10 o aquellas que los modifiquen, adicionen o sustituyan, así como a las definiciones contenidas en el "Anexo - Glosario del Sector Social””.</w:t>
            </w:r>
          </w:p>
          <w:p w14:paraId="5C556115" w14:textId="77777777" w:rsidR="00D93BDF" w:rsidRPr="00D93BDF" w:rsidRDefault="00D93BDF" w:rsidP="00D93BDF">
            <w:pPr>
              <w:spacing w:after="120" w:line="276" w:lineRule="auto"/>
              <w:ind w:firstLine="708"/>
              <w:jc w:val="both"/>
              <w:rPr>
                <w:rFonts w:ascii="Verdana" w:eastAsia="Times New Roman" w:hAnsi="Verdana" w:cs="Aptos"/>
                <w:lang w:eastAsia="es-MX"/>
              </w:rPr>
            </w:pPr>
            <w:r w:rsidRPr="00D93BDF">
              <w:rPr>
                <w:rFonts w:ascii="Verdana" w:eastAsia="Times New Roman" w:hAnsi="Verdana" w:cs="Aptos"/>
                <w:lang w:eastAsia="es-MX"/>
              </w:rPr>
              <w:t xml:space="preserve">La nota general 1 contenida en la Matriz 1 – Experiencia de los documentos tipo indicados, es congruente con el numeral 1.10 del documento base que dispone que: “[p]ara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w:t>
            </w:r>
            <w:r w:rsidRPr="00D93BDF">
              <w:rPr>
                <w:rFonts w:ascii="Verdana" w:eastAsia="Times New Roman" w:hAnsi="Verdana" w:cs="Aptos"/>
                <w:lang w:eastAsia="es-MX"/>
              </w:rPr>
              <w:lastRenderedPageBreak/>
              <w:t>y demás normas, decretos reglamentarios y legislación aplicable en la materia”.</w:t>
            </w:r>
          </w:p>
          <w:p w14:paraId="527A5558"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lang w:val="es-ES_tradnl" w:eastAsia="es-MX"/>
              </w:rPr>
              <w:t xml:space="preserve">Ahora bien, como se precisó las actividades señaladas recaen sobre </w:t>
            </w:r>
            <w:r w:rsidRPr="00D93BDF">
              <w:rPr>
                <w:rFonts w:ascii="Verdana" w:eastAsia="Times New Roman" w:hAnsi="Verdana" w:cs="Calibri"/>
                <w:lang w:eastAsia="es-MX"/>
              </w:rPr>
              <w:t xml:space="preserve">obras en proyectos de infraestructura institucional de servicio público. De esta forma, para determinar qué abarca este tipo de infraestructura, debe indicarse que, de conformidad con la norma </w:t>
            </w:r>
            <w:r w:rsidRPr="00D93BDF">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 Entre las edificaciones o espacios que pertenecen a este Subgrupo se encuentran las siguientes: “Centros de comunicación o administrativos o administrativos de servicios municipales, distritales o gubernamentales, juzgados y otros similares”.</w:t>
            </w:r>
          </w:p>
          <w:p w14:paraId="3A28EE55" w14:textId="1CE5C00D" w:rsidR="00D93BDF" w:rsidRPr="00D93BDF" w:rsidRDefault="00D93BDF" w:rsidP="00D93BDF">
            <w:pPr>
              <w:spacing w:after="120" w:line="276" w:lineRule="auto"/>
              <w:ind w:firstLine="708"/>
              <w:jc w:val="both"/>
              <w:rPr>
                <w:rFonts w:ascii="Verdana" w:eastAsia="Calibri" w:hAnsi="Verdana" w:cs="Arial"/>
                <w:color w:val="0D0D0D"/>
                <w:lang w:eastAsia="es-MX"/>
              </w:rPr>
            </w:pPr>
            <w:r w:rsidRPr="1165BA09">
              <w:rPr>
                <w:rFonts w:ascii="Verdana" w:eastAsia="Calibri" w:hAnsi="Verdana" w:cs="Arial"/>
                <w:color w:val="0D0D0D" w:themeColor="text1" w:themeTint="F2"/>
                <w:lang w:eastAsia="es-MX"/>
              </w:rPr>
              <w:t>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w:t>
            </w:r>
            <w:r w:rsidR="1F8F783F" w:rsidRPr="1165BA09">
              <w:rPr>
                <w:rFonts w:ascii="Verdana" w:eastAsia="Calibri" w:hAnsi="Verdana" w:cs="Arial"/>
                <w:color w:val="0D0D0D" w:themeColor="text1" w:themeTint="F2"/>
                <w:lang w:eastAsia="es-MX"/>
              </w:rPr>
              <w:t>,</w:t>
            </w:r>
            <w:r w:rsidRPr="1165BA09">
              <w:rPr>
                <w:rFonts w:ascii="Verdana" w:eastAsia="Calibri" w:hAnsi="Verdana" w:cs="Arial"/>
                <w:color w:val="0D0D0D" w:themeColor="text1" w:themeTint="F2"/>
                <w:lang w:eastAsia="es-MX"/>
              </w:rPr>
              <w:t xml:space="preserve"> por su naturaleza y finalidad, están orientadas a la prestación de servicios públicos y al desarrollo de funciones institucionales del Estado, como son las funciones administrativas.  </w:t>
            </w:r>
          </w:p>
          <w:p w14:paraId="4F4BF2CB"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D93BDF">
              <w:rPr>
                <w:rFonts w:ascii="Verdana" w:eastAsia="Calibri" w:hAnsi="Verdana" w:cs="Arial"/>
                <w:color w:val="0D0D0D"/>
                <w:lang w:eastAsia="es-MX"/>
              </w:rPr>
              <w:t>etc</w:t>
            </w:r>
            <w:proofErr w:type="spellEnd"/>
            <w:r w:rsidRPr="00D93BDF">
              <w:rPr>
                <w:rFonts w:ascii="Verdana" w:eastAsia="Calibri" w:hAnsi="Verdana" w:cs="Arial"/>
                <w:color w:val="0D0D0D"/>
                <w:lang w:eastAsia="es-MX"/>
              </w:rPr>
              <w:t xml:space="preserve">) principalmente para el beneficio e interés público”. </w:t>
            </w:r>
          </w:p>
          <w:p w14:paraId="2FAE2D43"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 xml:space="preserve">Considerando lo anterior, la(s) sede(s) en las que el Instituto Nacional para Sordos – INSOR, ejerce sus funciones, se enmarcan claramente dentro de las edificaciones institucionales administrativa del Subgrupo de Ocupación Institucional de Servicio Pública (I-5) definido por la NSR-10, en la medida en que su destinación funcional corresponde al ejercicio de competencias </w:t>
            </w:r>
            <w:r w:rsidRPr="00D93BDF">
              <w:rPr>
                <w:rFonts w:ascii="Verdana" w:eastAsia="Calibri" w:hAnsi="Verdana" w:cs="Arial"/>
                <w:color w:val="0D0D0D"/>
                <w:lang w:eastAsia="es-MX"/>
              </w:rPr>
              <w:lastRenderedPageBreak/>
              <w:t xml:space="preserve">administrativas y a la prestación de un servicio esencial para el funcionamiento del país. </w:t>
            </w:r>
          </w:p>
          <w:p w14:paraId="480B432C"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En efecto, el Instituto Nacional para Sordos – INSOR, desarrolla actividades propias de la administración pública del orden nacional, tales como “</w:t>
            </w:r>
            <w:r w:rsidRPr="00D93BDF">
              <w:rPr>
                <w:rFonts w:ascii="Verdana" w:eastAsia="Aptos" w:hAnsi="Verdana" w:cs="Times New Roman"/>
                <w:color w:val="333333"/>
                <w:shd w:val="clear" w:color="auto" w:fill="FFFFFF"/>
              </w:rPr>
              <w:t>promover, desde el sector educativo, el desarrollo e implementación de política pública para la inclusión social de la población sorda”</w:t>
            </w:r>
            <w:r w:rsidRPr="00D93BDF">
              <w:rPr>
                <w:rFonts w:ascii="Verdana" w:eastAsia="Calibri" w:hAnsi="Verdana" w:cs="Arial"/>
                <w:color w:val="0D0D0D"/>
                <w:lang w:eastAsia="es-MX"/>
              </w:rPr>
              <w:t xml:space="preserve">, lo cual se ajusta a la noción de edificaciones destinadas a funciones administrativas, previstas en la clasificación normativa. </w:t>
            </w:r>
          </w:p>
          <w:p w14:paraId="731CD509"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 xml:space="preserve">Asimismo, al tratarse de una infraestructura destinada de manera permanente al cumplimiento de funciones institucionales del Estado y a la satisfacción de necesidades colectivas, su naturaleza se adecua a los criterios de finalidad, uso y servicio público que caracterizan a ese tipo de edificaciones, que cumplen un rol esencial en la organización y funcionamiento de la política pública de inclusión social de la población sorda del país. </w:t>
            </w:r>
          </w:p>
          <w:p w14:paraId="3425A33F" w14:textId="77777777" w:rsidR="00D93BDF" w:rsidRPr="00D93BDF" w:rsidRDefault="00D93BDF" w:rsidP="00D93BDF">
            <w:pPr>
              <w:spacing w:after="120" w:line="276" w:lineRule="auto"/>
              <w:ind w:firstLine="708"/>
              <w:jc w:val="both"/>
              <w:rPr>
                <w:rFonts w:ascii="Verdana" w:eastAsia="Calibri" w:hAnsi="Verdana" w:cs="Times New Roman"/>
                <w:color w:val="000000"/>
                <w:lang w:val="es-ES_tradnl"/>
              </w:rPr>
            </w:pPr>
            <w:r w:rsidRPr="00D93BDF">
              <w:rPr>
                <w:rFonts w:ascii="Verdana" w:eastAsia="Calibri" w:hAnsi="Verdana" w:cs="Arial"/>
                <w:lang w:val="es-ES" w:eastAsia="es-MX"/>
              </w:rPr>
              <w:t>Por lo anterior, la Agencia Nacional de Contratación Pública – Colombia Compra Eficiente indicó que, a partir del 16 de febrero de 2026, si una entidad de aquellas obligadas a utilizar los documentos tipo expedidos por esta Entidad adelanta un proceso que tenga por objeto la(s) actividad(es) contenidas en el capítulo “2. Obras en proyectos de infraestructura institucional de servicios público” de la Matriz 1 – Experiencia Sector Institucional</w:t>
            </w:r>
            <w:r w:rsidRPr="00D93BDF">
              <w:rPr>
                <w:rFonts w:ascii="Verdana" w:eastAsia="Times New Roman" w:hAnsi="Verdana" w:cs="Aptos"/>
                <w:lang w:eastAsia="es-MX"/>
              </w:rPr>
              <w:t xml:space="preserve">, </w:t>
            </w:r>
            <w:r w:rsidRPr="00D93BDF">
              <w:rPr>
                <w:rFonts w:ascii="Verdana" w:eastAsia="Calibri" w:hAnsi="Verdana" w:cs="Arial"/>
                <w:lang w:val="es-ES" w:eastAsia="es-MX"/>
              </w:rPr>
              <w:t xml:space="preserve">deberá implementar los </w:t>
            </w:r>
            <w:r w:rsidRPr="00D93BDF">
              <w:rPr>
                <w:rFonts w:ascii="Verdana" w:eastAsia="Calibri" w:hAnsi="Verdana" w:cs="Arial"/>
                <w:color w:val="0D0D0D"/>
                <w:lang w:eastAsia="es-MX"/>
              </w:rPr>
              <w:t>documentos tipo acogidos mediante las Resoluciones 539, 540 o 541 de 2025, según el proyecto se adelante por la modalidad de licitación de obra pública, selección abreviada de menor cuantía o mínima cuantía.</w:t>
            </w:r>
          </w:p>
          <w:p w14:paraId="22F46DCC" w14:textId="77777777" w:rsidR="00D93BDF" w:rsidRPr="00D93BDF" w:rsidRDefault="00D93BDF" w:rsidP="00D93BDF">
            <w:pPr>
              <w:spacing w:line="276" w:lineRule="auto"/>
              <w:ind w:firstLine="708"/>
              <w:jc w:val="both"/>
              <w:rPr>
                <w:rFonts w:ascii="Verdana" w:eastAsia="Times New Roman" w:hAnsi="Verdana" w:cs="Arial"/>
                <w:shd w:val="clear" w:color="auto" w:fill="FFFFFF"/>
                <w:lang w:val="es-ES_tradnl" w:eastAsia="es-ES_tradnl"/>
              </w:rPr>
            </w:pPr>
            <w:r w:rsidRPr="00D93BDF">
              <w:rPr>
                <w:rFonts w:ascii="Verdana" w:eastAsia="Aptos" w:hAnsi="Verdana" w:cs="Aptos"/>
              </w:rPr>
              <w:t>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w:t>
            </w:r>
            <w:r w:rsidRPr="00D93BDF">
              <w:rPr>
                <w:rFonts w:ascii="Verdana" w:eastAsia="Times New Roman" w:hAnsi="Verdana" w:cs="Arial"/>
                <w:shd w:val="clear" w:color="auto" w:fill="FFFFFF"/>
                <w:lang w:val="es-ES_tradnl" w:eastAsia="es-ES_tradnl"/>
              </w:rPr>
              <w:t xml:space="preserve"> </w:t>
            </w:r>
          </w:p>
          <w:p w14:paraId="1624F0A5" w14:textId="77777777" w:rsidR="00D93BDF" w:rsidRPr="00D93BDF" w:rsidRDefault="00D93BDF" w:rsidP="00D93BDF">
            <w:pPr>
              <w:widowControl w:val="0"/>
              <w:autoSpaceDE w:val="0"/>
              <w:autoSpaceDN w:val="0"/>
              <w:spacing w:line="276" w:lineRule="auto"/>
              <w:jc w:val="both"/>
              <w:rPr>
                <w:rFonts w:ascii="Verdana" w:eastAsia="Calibri" w:hAnsi="Verdana" w:cs="Times New Roman"/>
                <w:lang w:val="es-ES_tradnl"/>
              </w:rPr>
            </w:pPr>
          </w:p>
          <w:p w14:paraId="2230B300" w14:textId="77777777" w:rsidR="00D93BDF" w:rsidRPr="00D93BDF" w:rsidRDefault="00D93BDF" w:rsidP="00D93BDF">
            <w:pPr>
              <w:spacing w:after="120" w:line="276" w:lineRule="auto"/>
              <w:jc w:val="both"/>
              <w:rPr>
                <w:rFonts w:ascii="Verdana" w:eastAsia="Calibri" w:hAnsi="Verdana" w:cs="Times New Roman"/>
                <w:lang w:val="es-ES"/>
              </w:rPr>
            </w:pPr>
            <w:proofErr w:type="spellStart"/>
            <w:r w:rsidRPr="00D93BDF">
              <w:rPr>
                <w:rFonts w:ascii="Verdana" w:eastAsia="Calibri" w:hAnsi="Verdana" w:cs="Times New Roman"/>
                <w:lang w:val="es-ES"/>
              </w:rPr>
              <w:t>iii</w:t>
            </w:r>
            <w:proofErr w:type="spellEnd"/>
            <w:r w:rsidRPr="00D93BDF">
              <w:rPr>
                <w:rFonts w:ascii="Verdana" w:eastAsia="Calibri" w:hAnsi="Verdana" w:cs="Times New Roman"/>
                <w:lang w:val="es-ES"/>
              </w:rPr>
              <w:t xml:space="preserve">. Considerando que en su solicitud se mencionan las 2.6, 2.9 y 2.14 contenida en la </w:t>
            </w:r>
            <w:r w:rsidRPr="00D93BDF">
              <w:rPr>
                <w:rFonts w:ascii="Verdana" w:eastAsia="Times New Roman" w:hAnsi="Verdana" w:cs="Aptos"/>
                <w:lang w:eastAsia="es-MX"/>
              </w:rPr>
              <w:t>Matriz 1– Experiencia del Sector Institucional</w:t>
            </w:r>
            <w:r w:rsidRPr="00D93BDF">
              <w:rPr>
                <w:rFonts w:ascii="Verdana" w:eastAsia="Times New Roman" w:hAnsi="Verdana" w:cs="Times New Roman"/>
                <w:color w:val="000000"/>
                <w:lang w:eastAsia="es-CO"/>
              </w:rPr>
              <w:t xml:space="preserve">, sobre el alcance </w:t>
            </w:r>
            <w:r w:rsidRPr="00D93BDF">
              <w:rPr>
                <w:rFonts w:ascii="Verdana" w:eastAsia="Times New Roman" w:hAnsi="Verdana" w:cs="Times New Roman"/>
                <w:color w:val="000000"/>
                <w:lang w:eastAsia="es-CO"/>
              </w:rPr>
              <w:lastRenderedPageBreak/>
              <w:t>de estas actividades, esta Agencia reitera la postura expuesta en el concepto C-452 del 4 de mayo de 2026, en el que se indicó que, desde una perspectiva técnica y jurídica, los elementos señalados –para esas actividades– pueden ser considerados bienes inmuebles por destinación o por adhesión, en la medida en que concurran los criterios establecidos en el Código Civil y desarrollados por la doctrina y la jurisprudencia, particularmente en relación con su incorporación física, destinación funcional y vocación de permanencia respecto del inmueble al cual sirven –criterios desarrollados en el punto uno (</w:t>
            </w:r>
            <w:proofErr w:type="spellStart"/>
            <w:r w:rsidRPr="00D93BDF">
              <w:rPr>
                <w:rFonts w:ascii="Verdana" w:eastAsia="Times New Roman" w:hAnsi="Verdana" w:cs="Times New Roman"/>
                <w:color w:val="000000"/>
                <w:lang w:eastAsia="es-CO"/>
              </w:rPr>
              <w:t>ii</w:t>
            </w:r>
            <w:proofErr w:type="spellEnd"/>
            <w:r w:rsidRPr="00D93BDF">
              <w:rPr>
                <w:rFonts w:ascii="Verdana" w:eastAsia="Times New Roman" w:hAnsi="Verdana" w:cs="Times New Roman"/>
                <w:color w:val="000000"/>
                <w:lang w:eastAsia="es-CO"/>
              </w:rPr>
              <w:t xml:space="preserve">) de este concepto–. </w:t>
            </w:r>
          </w:p>
          <w:p w14:paraId="414FBE4C"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Bajo este marco, los tanques de almacenamiento, sistemas de bombeo y redes contra incendios, en la medida en que se encuentren anclados, empotrados o integrados a las redes hidráulicas de la infraestructura de servicio público, y cumplan una función esencial de seguridad o funcionamiento del inmueble, pueden ser calificados como inmuebles por adhesión o por destinación, según el grado de incorporación física. En particular, las redes contra incendios –por su integración estructural– tienden a configurarse como inmuebles por adhesión, mientras que equipos como bombas o tanques, aun siendo susceptibles de individualización, adquieren la calidad de inmuebles por destinación cuando su uso está permanentemente ligado al servicio del inmueble.</w:t>
            </w:r>
          </w:p>
          <w:p w14:paraId="2B444566"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En relación con las plantas eléctricas, subestaciones y redes de telefonía, cuando están instaladas de manera fija, conectadas a la infraestructura eléctrica o de comunicaciones y destinadas de forma permanente al funcionamiento del inmueble, participan de la misma naturaleza jurídica. Así, las redes de telecomunicaciones, por su carácter de integración física, suelen constituir inmuebles por adhesión, mientras que equipos como plantas eléctricas o transformadores pueden considerarse inmuebles por destinación, siempre que su remoción afecte la operatividad del bien principal o evidencie su vocación de permanencia.</w:t>
            </w:r>
          </w:p>
          <w:p w14:paraId="75272115"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 xml:space="preserve">Por su parte, la instalación de sistemas de aire acondicionado, ventilación o similares sobre infraestructura de servicio público refuerza este análisis, en la medida en que dichos sistemas, una vez instalados, se integran funcionalmente y, en muchos casos, físicamente a la edificación, a través de ductos, redes eléctricas y anclajes estructurales. En tales condiciones, los componentes fijos del sistema tienden a ser considerados inmuebles por </w:t>
            </w:r>
            <w:r w:rsidRPr="00D93BDF">
              <w:rPr>
                <w:rFonts w:ascii="Verdana" w:eastAsia="Times New Roman" w:hAnsi="Verdana" w:cs="Times New Roman"/>
                <w:color w:val="000000"/>
                <w:lang w:eastAsia="es-CO"/>
              </w:rPr>
              <w:lastRenderedPageBreak/>
              <w:t>adhesión, mientras que ciertos equipos individualizables pueden adquirir la calidad de inmuebles por destinación, en tanto estén permanentemente afectados al uso del inmueble. No obstante, debe precisarse que, la actividad 2.14. que recae sobre la instalación de aires acondiciones, no se hace referencia expresa a actividades de mantenimiento de sistemas</w:t>
            </w:r>
            <w:r w:rsidRPr="00D93BDF">
              <w:rPr>
                <w:rFonts w:ascii="Verdana" w:eastAsia="Aptos" w:hAnsi="Verdana" w:cs="Times New Roman"/>
                <w:lang w:eastAsia="es-CO"/>
              </w:rPr>
              <w:t xml:space="preserve"> de aire acondicionado. En consecuencia, cuando el proceso tenga por objeto exclusivamente el mantenimiento de estos equipos, no se advierte la obligación de aplicar los Documentos Tipo mencionados, salvo que dicha actividad eventualmente se encuentre integrada dentro de un contrato que también contemple la instalación de los sistemas. </w:t>
            </w:r>
          </w:p>
          <w:p w14:paraId="792D2A52"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Teniendo en cuenta las consideraciones desarrolladas en el punto dos (</w:t>
            </w:r>
            <w:proofErr w:type="spellStart"/>
            <w:r w:rsidRPr="00D93BDF">
              <w:rPr>
                <w:rFonts w:ascii="Verdana" w:eastAsia="Times New Roman" w:hAnsi="Verdana" w:cs="Times New Roman"/>
                <w:color w:val="000000"/>
                <w:lang w:eastAsia="es-CO"/>
              </w:rPr>
              <w:t>ii</w:t>
            </w:r>
            <w:proofErr w:type="spellEnd"/>
            <w:r w:rsidRPr="00D93BDF">
              <w:rPr>
                <w:rFonts w:ascii="Verdana" w:eastAsia="Times New Roman" w:hAnsi="Verdana" w:cs="Times New Roman"/>
                <w:color w:val="000000"/>
                <w:lang w:eastAsia="es-CO"/>
              </w:rPr>
              <w:t>) y tres (</w:t>
            </w:r>
            <w:proofErr w:type="spellStart"/>
            <w:r w:rsidRPr="00D93BDF">
              <w:rPr>
                <w:rFonts w:ascii="Verdana" w:eastAsia="Times New Roman" w:hAnsi="Verdana" w:cs="Times New Roman"/>
                <w:color w:val="000000"/>
                <w:lang w:eastAsia="es-CO"/>
              </w:rPr>
              <w:t>iv</w:t>
            </w:r>
            <w:proofErr w:type="spellEnd"/>
            <w:r w:rsidRPr="00D93BDF">
              <w:rPr>
                <w:rFonts w:ascii="Verdana" w:eastAsia="Times New Roman" w:hAnsi="Verdana" w:cs="Times New Roman"/>
                <w:color w:val="000000"/>
                <w:lang w:eastAsia="es-CO"/>
              </w:rPr>
              <w:t xml:space="preserve">) de este concepto, es posible concluir que, la inclusión en los documentos tipo del sector institucional – infraestructura institucional de servicio público de actividades relacionadas con el mantenimiento, adecuación y reparación de sistemas y equipos tales como subestaciones eléctrica, motobombas, redes contra incendios, sistemas de almacenamiento, bombeo y líneas telefónicas y la actividad de instalación de aires acondicionados, resultan plenamente coherente con el marco normativo que regula el contrato de obra pública en Colombia. En efecto, conforme con lo dispuesto en el numeral 1 del artículo 32 de la Ley 80 de 1993, el contrato de obra comprende no solo la construcción, sino también el mantenimiento, la instalación y, en general, cualquier trabajo material realizado sobre inmuebles. En este sentido, las actividades –2.6,2.9 y 2.14– previstas en la Matriz 1 – Experiencia del Sector Institucional – Infraestructura de Servicio Público se ajustan a dicha definición, en tanto que recaen sobre infraestructura institucional y suponen intervenciones materiales dirigidas a garantizar su funcionalidad, conservación y adecuada operación. </w:t>
            </w:r>
          </w:p>
          <w:p w14:paraId="54BD8A31"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 xml:space="preserve">La inclusión de las actividades señaladas, sobre los objetos indicados – subestaciones eléctricas, motobombas, redes contra incendios, sistemas de almacenamiento, bombeo, líneas telefónicas y aires acondicionados–, encuentra sustento en la noción de bienes inmuebles por adhesión y/o destinación prevista en los artículos 656 a 658 del Código Civil. Así, los sistemas y/o equipos mencionados, cuando se encuentran incorporados física o funcionalmente a la infraestructura de servicio público y destinados de manera permanente a su uso, adquieren la calidad de inmuebles, ya sea por </w:t>
            </w:r>
            <w:r w:rsidRPr="00D93BDF">
              <w:rPr>
                <w:rFonts w:ascii="Verdana" w:eastAsia="Times New Roman" w:hAnsi="Verdana" w:cs="Times New Roman"/>
                <w:color w:val="000000"/>
                <w:lang w:eastAsia="es-CO"/>
              </w:rPr>
              <w:lastRenderedPageBreak/>
              <w:t xml:space="preserve">su destinación material o por su afectación al servicio del bien principal –la infraestructura de servicio público–. </w:t>
            </w:r>
          </w:p>
          <w:p w14:paraId="066B6421"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En este sentido, la naturaleza del contrato de obra pública se define por la intervención material sobre bienes inmuebles, independientemente de algunos de sus componentes hayan sido originalmente muebles. En consecuencia, actividades como el mantenimiento de sistemas y equipos tales como subestaciones eléctricas, motobombas, redes contra incendios, sistemas de almacenamiento, bombeo y líneas telefónicas y la actividad de instalación de aires acondicionados, en la medida en que impliquen una incorporación o afectación permanente al inmueble, se subsumen válidamente en la tipología del contrato de obra.</w:t>
            </w:r>
          </w:p>
          <w:p w14:paraId="60ECEFCC"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Es así como, las actividades de mantenimiento, adecuación y reparación constituyen contrato de obra cuando recaen sobre un bien inmueble, se incorporan a este y tienen como finalidad garantizar su adecuado funcionamiento, criterios que se reflejan en las actividades –2.6,2.9 y 2.14– previstas en la Matriz 1 – Experiencia del Sector Institucional – Infraestructura de Servicio Público. Por tanto, la decisión de la Agencia Nacional de Contratación Pública – Colombia Compra Eficiente de incorporar dichas actividades no solo responde a una lógica técnica de la infraestructura institucional, sino que se encuentra jurídicamente respaldada por la ley, la doctrina y la jurisprudencia, en cuanto reconoce que estos sistemas y equipos, al integrarse estructuralmente o funcionalmente al inmueble, hacen parte de este por lo que, las intervenciones sobre ellos pueden estructurarse válidamente como contratos de obra pública bajo los documentos tipo complementario del sector de infraestructura institucional.</w:t>
            </w:r>
          </w:p>
          <w:p w14:paraId="7CB84C95" w14:textId="77777777" w:rsidR="00D93BDF" w:rsidRPr="00D93BDF" w:rsidRDefault="00D93BDF" w:rsidP="00D93BDF">
            <w:pPr>
              <w:spacing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Finalmente, debe indicarse que los argumentos expuestos con anterioridad, se alinean con la tesis expuesta por esta Agencia en el concepto C-440 del 2 de septiembre de 2021, en el que se indicó que “(…) entidad estatal contratante, después de analizar detalladamente el objeto contractual, y previa integración del régimen jurídico aplicable,  debe determinar si al desarrollo de la actividad de mantenimiento a contratar concurren los siguientes tres elementos: (i)  la ejecución de una prestación consistente en la realización de trabajos materiales sobre un  bien inmueble –bien sea por naturaleza, adhesión o destinación-, (</w:t>
            </w:r>
            <w:proofErr w:type="spellStart"/>
            <w:r w:rsidRPr="00D93BDF">
              <w:rPr>
                <w:rFonts w:ascii="Verdana" w:eastAsia="Times New Roman" w:hAnsi="Verdana" w:cs="Times New Roman"/>
                <w:color w:val="000000"/>
                <w:lang w:eastAsia="es-CO"/>
              </w:rPr>
              <w:t>ii</w:t>
            </w:r>
            <w:proofErr w:type="spellEnd"/>
            <w:r w:rsidRPr="00D93BDF">
              <w:rPr>
                <w:rFonts w:ascii="Verdana" w:eastAsia="Times New Roman" w:hAnsi="Verdana" w:cs="Times New Roman"/>
                <w:color w:val="000000"/>
                <w:lang w:eastAsia="es-CO"/>
              </w:rPr>
              <w:t>) que los trabajos materiales queden incorporados al inmueble y (</w:t>
            </w:r>
            <w:proofErr w:type="spellStart"/>
            <w:r w:rsidRPr="00D93BDF">
              <w:rPr>
                <w:rFonts w:ascii="Verdana" w:eastAsia="Times New Roman" w:hAnsi="Verdana" w:cs="Times New Roman"/>
                <w:color w:val="000000"/>
                <w:lang w:eastAsia="es-CO"/>
              </w:rPr>
              <w:t>iii</w:t>
            </w:r>
            <w:proofErr w:type="spellEnd"/>
            <w:r w:rsidRPr="00D93BDF">
              <w:rPr>
                <w:rFonts w:ascii="Verdana" w:eastAsia="Times New Roman" w:hAnsi="Verdana" w:cs="Times New Roman"/>
                <w:color w:val="000000"/>
                <w:lang w:eastAsia="es-CO"/>
              </w:rPr>
              <w:t xml:space="preserve">) que estos sean requeridos para el adecuado </w:t>
            </w:r>
            <w:r w:rsidRPr="00D93BDF">
              <w:rPr>
                <w:rFonts w:ascii="Verdana" w:eastAsia="Times New Roman" w:hAnsi="Verdana" w:cs="Times New Roman"/>
                <w:color w:val="000000"/>
                <w:lang w:eastAsia="es-CO"/>
              </w:rPr>
              <w:lastRenderedPageBreak/>
              <w:t>funcionamiento del inmueble, de concurrir estos elementos el contrato a celebrar corresponderá al tipo de obra pública”.</w:t>
            </w:r>
          </w:p>
          <w:p w14:paraId="455EEA69" w14:textId="77777777" w:rsidR="00D93BDF" w:rsidRPr="00D93BDF" w:rsidRDefault="00D93BDF" w:rsidP="00D93BDF">
            <w:pPr>
              <w:widowControl w:val="0"/>
              <w:autoSpaceDE w:val="0"/>
              <w:autoSpaceDN w:val="0"/>
              <w:spacing w:line="276" w:lineRule="auto"/>
              <w:jc w:val="both"/>
              <w:rPr>
                <w:rFonts w:ascii="Verdana" w:eastAsia="Calibri" w:hAnsi="Verdana" w:cs="Times New Roman"/>
                <w:lang w:val="es-ES"/>
              </w:rPr>
            </w:pPr>
          </w:p>
          <w:p w14:paraId="6553A8C4" w14:textId="77777777" w:rsidR="00D93BDF" w:rsidRPr="00D93BDF" w:rsidRDefault="00D93BDF" w:rsidP="00D93BDF">
            <w:pPr>
              <w:widowControl w:val="0"/>
              <w:autoSpaceDE w:val="0"/>
              <w:autoSpaceDN w:val="0"/>
              <w:spacing w:line="276" w:lineRule="auto"/>
              <w:jc w:val="both"/>
              <w:rPr>
                <w:rFonts w:ascii="Verdana" w:eastAsia="Calibri" w:hAnsi="Verdana" w:cs="Times New Roman"/>
                <w:lang w:val="es-ES"/>
              </w:rPr>
            </w:pPr>
            <w:r w:rsidRPr="00D93BDF">
              <w:rPr>
                <w:rFonts w:ascii="Verdana" w:eastAsia="Calibri" w:hAnsi="Verdana" w:cs="Times New Roman"/>
                <w:lang w:val="es-ES"/>
              </w:rPr>
              <w:t>Por unidad de materia, los problemas jurídicos cuatro (4) y cinco (5) planteados en este concepto se resolverán de forma conjunta en los siguientes términos:</w:t>
            </w:r>
          </w:p>
          <w:p w14:paraId="557E5340" w14:textId="77777777" w:rsidR="00D93BDF" w:rsidRPr="00D93BDF" w:rsidRDefault="00D93BDF" w:rsidP="00D93BDF">
            <w:pPr>
              <w:snapToGrid w:val="0"/>
              <w:spacing w:line="276" w:lineRule="auto"/>
              <w:jc w:val="both"/>
              <w:textAlignment w:val="baseline"/>
              <w:rPr>
                <w:rFonts w:ascii="Verdana" w:eastAsia="Times New Roman" w:hAnsi="Verdana" w:cs="Arial"/>
                <w:color w:val="000000"/>
                <w:lang w:val="es-ES" w:eastAsia="es-MX"/>
              </w:rPr>
            </w:pPr>
          </w:p>
          <w:p w14:paraId="6A4C953D" w14:textId="77777777" w:rsidR="00D93BDF" w:rsidRPr="00D93BDF" w:rsidRDefault="00D93BDF" w:rsidP="00D93BDF">
            <w:pPr>
              <w:widowControl w:val="0"/>
              <w:autoSpaceDE w:val="0"/>
              <w:autoSpaceDN w:val="0"/>
              <w:spacing w:after="120" w:line="276" w:lineRule="auto"/>
              <w:jc w:val="both"/>
              <w:rPr>
                <w:rFonts w:ascii="Verdana" w:eastAsia="Calibri" w:hAnsi="Verdana" w:cs="Times New Roman"/>
                <w:lang w:val="es-ES"/>
              </w:rPr>
            </w:pPr>
            <w:proofErr w:type="spellStart"/>
            <w:r w:rsidRPr="00D93BDF">
              <w:rPr>
                <w:rFonts w:ascii="Verdana" w:eastAsia="Times New Roman" w:hAnsi="Verdana" w:cs="Arial"/>
                <w:color w:val="000000"/>
                <w:lang w:val="es-ES" w:eastAsia="es-MX"/>
              </w:rPr>
              <w:t>iv</w:t>
            </w:r>
            <w:proofErr w:type="spellEnd"/>
            <w:r w:rsidRPr="00D93BDF">
              <w:rPr>
                <w:rFonts w:ascii="Verdana" w:eastAsia="Times New Roman" w:hAnsi="Verdana" w:cs="Arial"/>
                <w:color w:val="000000"/>
                <w:lang w:val="es-ES" w:eastAsia="es-MX"/>
              </w:rPr>
              <w:t xml:space="preserve">. y v. </w:t>
            </w:r>
            <w:r w:rsidRPr="00D93BDF">
              <w:rPr>
                <w:rFonts w:ascii="Verdana" w:eastAsia="Calibri" w:hAnsi="Verdana" w:cs="Arial"/>
              </w:rPr>
              <w:t xml:space="preserve">Cuando la entidad requiere bienes, obras o servicios adicionales a la obra pública de infraestructura social, debe aplicar el artículo 4 de la Resolución No. 540 del 21 de agosto de </w:t>
            </w:r>
            <w:r w:rsidRPr="00D93BDF">
              <w:rPr>
                <w:rFonts w:ascii="Verdana" w:eastAsia="Aptos" w:hAnsi="Verdana" w:cs="Times New Roman"/>
              </w:rPr>
              <w:t>2025 –para el caso de los documentos tipo de selección abreviada de menor cuantía de infraestructura social–. Esta norma dispone los eventos en los que el objeto contractual incluye obras, bienes o servicios adicionales a la obra pública de infraestructura social. En este caso, la entidad puede incluir experiencia adicional para evaluar la idoneidad respecto de las obras, bienes o servicios ajenos a la obra pública de infraestructura social.</w:t>
            </w:r>
          </w:p>
          <w:p w14:paraId="170640F2" w14:textId="77777777" w:rsidR="00D93BDF" w:rsidRPr="00D93BDF" w:rsidRDefault="00D93BDF" w:rsidP="00D93BDF">
            <w:pPr>
              <w:widowControl w:val="0"/>
              <w:spacing w:after="120" w:line="276" w:lineRule="auto"/>
              <w:ind w:firstLine="708"/>
              <w:jc w:val="both"/>
              <w:rPr>
                <w:rFonts w:ascii="Verdana" w:eastAsia="Aptos" w:hAnsi="Verdana" w:cs="Times New Roman"/>
              </w:rPr>
            </w:pPr>
            <w:r w:rsidRPr="00D93BDF">
              <w:rPr>
                <w:rFonts w:ascii="Verdana" w:eastAsia="Aptos" w:hAnsi="Verdana" w:cs="Times New Roman"/>
              </w:rPr>
              <w:t xml:space="preserve">Para ello, se deben seguir los siguientes parámetros: i) demostrar en los estudios previos que han verificado las condiciones de mercado para la adquisición de las obras, bienes o servicios adicionales al componente de obra pública, de tal forma que la experiencia adicional garantiza la pluralidad de oferentes, </w:t>
            </w:r>
            <w:proofErr w:type="spellStart"/>
            <w:r w:rsidRPr="00D93BDF">
              <w:rPr>
                <w:rFonts w:ascii="Verdana" w:eastAsia="Aptos" w:hAnsi="Verdana" w:cs="Times New Roman"/>
              </w:rPr>
              <w:t>ii</w:t>
            </w:r>
            <w:proofErr w:type="spellEnd"/>
            <w:r w:rsidRPr="00D93BDF">
              <w:rPr>
                <w:rFonts w:ascii="Verdana" w:eastAsia="Aptos" w:hAnsi="Verdana" w:cs="Times New Roman"/>
              </w:rPr>
              <w:t xml:space="preserve">) conservar los requisitos exigidos en los documentos tipo, </w:t>
            </w:r>
            <w:proofErr w:type="spellStart"/>
            <w:r w:rsidRPr="00D93BDF">
              <w:rPr>
                <w:rFonts w:ascii="Verdana" w:eastAsia="Aptos" w:hAnsi="Verdana" w:cs="Times New Roman"/>
              </w:rPr>
              <w:t>iii</w:t>
            </w:r>
            <w:proofErr w:type="spellEnd"/>
            <w:r w:rsidRPr="00D93BDF">
              <w:rPr>
                <w:rFonts w:ascii="Verdana" w:eastAsia="Aptos" w:hAnsi="Verdana" w:cs="Times New Roman"/>
              </w:rPr>
              <w:t xml:space="preserve">) abstenerse de pedir experiencia exclusiva con entidades de cualquier naturaleza, experiencia previa en un territorio específico, limitada en el tiempo o que incluya volúmenes o cantidades de obra específica, </w:t>
            </w:r>
            <w:proofErr w:type="spellStart"/>
            <w:r w:rsidRPr="00D93BDF">
              <w:rPr>
                <w:rFonts w:ascii="Verdana" w:eastAsia="Aptos" w:hAnsi="Verdana" w:cs="Times New Roman"/>
              </w:rPr>
              <w:t>iv</w:t>
            </w:r>
            <w:proofErr w:type="spellEnd"/>
            <w:r w:rsidRPr="00D93BDF">
              <w:rPr>
                <w:rFonts w:ascii="Verdana" w:eastAsia="Aptos" w:hAnsi="Verdana" w:cs="Times New Roman"/>
              </w:rPr>
              <w:t xml:space="preserve">) clasificar la experiencia requerida solo hasta el tercer nivel del clasificador de bienes y servicios e incluir exclusivamente los códigos que estén relacionados directamente con el objeto a contratar. </w:t>
            </w:r>
          </w:p>
          <w:p w14:paraId="65F63A16" w14:textId="0A0DA0C2" w:rsidR="00D93BDF" w:rsidRPr="00D93BDF" w:rsidRDefault="00D93BDF" w:rsidP="00D93BDF">
            <w:pPr>
              <w:widowControl w:val="0"/>
              <w:autoSpaceDE w:val="0"/>
              <w:autoSpaceDN w:val="0"/>
              <w:spacing w:after="120" w:line="276" w:lineRule="auto"/>
              <w:ind w:firstLine="708"/>
              <w:jc w:val="both"/>
              <w:rPr>
                <w:rFonts w:ascii="Verdana" w:eastAsia="Aptos" w:hAnsi="Verdana" w:cs="Times New Roman"/>
              </w:rPr>
            </w:pPr>
            <w:r w:rsidRPr="00D93BDF">
              <w:rPr>
                <w:rFonts w:ascii="Verdana" w:eastAsia="Aptos" w:hAnsi="Verdana" w:cs="Times New Roman"/>
              </w:rPr>
              <w:t>La posibilidad de solicitar experiencia adicional solo ocurre cuando el objeto contractual incluye obras, bienes o servicios adicionales a la obra pública de infraestructura social. Esto implica que, la actividad que se requiere, no está incluida en la matriz de experiencia de los documentos tipo de infraestructura social aplicable ni en las matrices de experiencia de los demás sectores expedidos por la agencia, pero está relacionada con el contrato a ejecutar.</w:t>
            </w:r>
          </w:p>
          <w:p w14:paraId="321F4458" w14:textId="77777777" w:rsidR="00D93BDF" w:rsidRPr="00D93BDF" w:rsidRDefault="00D93BDF" w:rsidP="00D93BDF">
            <w:pPr>
              <w:widowControl w:val="0"/>
              <w:autoSpaceDE w:val="0"/>
              <w:autoSpaceDN w:val="0"/>
              <w:spacing w:after="120" w:line="276" w:lineRule="auto"/>
              <w:ind w:firstLine="708"/>
              <w:jc w:val="both"/>
              <w:rPr>
                <w:rFonts w:ascii="Verdana" w:eastAsia="Aptos" w:hAnsi="Verdana" w:cs="Times New Roman"/>
                <w:lang w:val="es-ES"/>
              </w:rPr>
            </w:pPr>
            <w:r w:rsidRPr="00D93BDF">
              <w:rPr>
                <w:rFonts w:ascii="Verdana" w:eastAsia="Aptos" w:hAnsi="Verdana" w:cs="Times New Roman"/>
                <w:lang w:val="es-ES"/>
              </w:rPr>
              <w:t xml:space="preserve">De otro lado, </w:t>
            </w:r>
            <w:r w:rsidRPr="00D93BDF">
              <w:rPr>
                <w:rFonts w:ascii="Verdana" w:eastAsia="Aptos" w:hAnsi="Verdana" w:cs="Times New Roman"/>
              </w:rPr>
              <w:t xml:space="preserve">debe resaltarse que, la actividad sobre la cual se solicite </w:t>
            </w:r>
            <w:r w:rsidRPr="00D93BDF">
              <w:rPr>
                <w:rFonts w:ascii="Verdana" w:eastAsia="Aptos" w:hAnsi="Verdana" w:cs="Times New Roman"/>
              </w:rPr>
              <w:lastRenderedPageBreak/>
              <w:t xml:space="preserve">experiencia a través de la aplicación del artículo 4 de la Resolución No. 540 de 2025, </w:t>
            </w:r>
            <w:r w:rsidRPr="00D93BDF">
              <w:rPr>
                <w:rFonts w:ascii="Verdana" w:eastAsia="Aptos" w:hAnsi="Verdana" w:cs="Times New Roman"/>
                <w:lang w:val="es-ES"/>
              </w:rPr>
              <w:t>debe reemplazar solamente una de las actividades secundarias, que se describen en las reglas de combinación de experiencia relacionadas en el numeral 3.5.1. del documento base, en este contexto, debe conservarse los requisitos establecidos en los documentos tipo.</w:t>
            </w:r>
          </w:p>
          <w:p w14:paraId="748DC273" w14:textId="77777777" w:rsidR="00D93BDF" w:rsidRPr="00D93BDF" w:rsidRDefault="00D93BDF" w:rsidP="00D93BDF">
            <w:pPr>
              <w:widowControl w:val="0"/>
              <w:autoSpaceDE w:val="0"/>
              <w:autoSpaceDN w:val="0"/>
              <w:spacing w:after="120" w:line="276" w:lineRule="auto"/>
              <w:ind w:firstLine="708"/>
              <w:jc w:val="both"/>
              <w:rPr>
                <w:rFonts w:ascii="Verdana" w:eastAsia="Arial" w:hAnsi="Verdana" w:cs="Arial"/>
                <w:lang w:val="es-ES"/>
              </w:rPr>
            </w:pPr>
            <w:r w:rsidRPr="00D93BDF">
              <w:rPr>
                <w:rFonts w:ascii="Verdana" w:eastAsia="Aptos" w:hAnsi="Verdana" w:cs="Times New Roman"/>
              </w:rPr>
              <w:t xml:space="preserve">Para solicitar experiencia frente a obras, bienes o servicios adicionales que no se encuentren contemplados en la “Matriz – Experiencia”, el documento base, de los documentos tipo de selección abreviada de menor cuantía de infraestructura social, en los literales M) y N) del numeral “3.5.1. CARACTERÍSTICAS DE LOS CONTRATOS PRESENTADOS PARA ACREDITAR LA EXPERIENCIA EXIGIDA”, señala los requisitos que debe seguir la Entidad para incluir obras, bienes o servicio adicionales a la obra pública de infraestructura social. </w:t>
            </w:r>
          </w:p>
          <w:p w14:paraId="7D69B7D9" w14:textId="77777777" w:rsidR="00D93BDF" w:rsidRPr="00D93BDF" w:rsidRDefault="00D93BDF" w:rsidP="00D93BDF">
            <w:pPr>
              <w:widowControl w:val="0"/>
              <w:autoSpaceDE w:val="0"/>
              <w:autoSpaceDN w:val="0"/>
              <w:spacing w:after="120" w:line="276" w:lineRule="auto"/>
              <w:ind w:firstLine="708"/>
              <w:jc w:val="both"/>
              <w:rPr>
                <w:rFonts w:ascii="Verdana" w:eastAsia="Arial" w:hAnsi="Verdana" w:cs="Arial"/>
                <w:lang w:val="es-ES"/>
              </w:rPr>
            </w:pPr>
            <w:r w:rsidRPr="00D93BDF">
              <w:rPr>
                <w:rFonts w:ascii="Verdana" w:eastAsia="Arial" w:hAnsi="Verdana" w:cs="Arial"/>
                <w:lang w:val="es-ES"/>
              </w:rPr>
              <w:t>De</w:t>
            </w:r>
            <w:r w:rsidRPr="00D93BDF">
              <w:rPr>
                <w:rFonts w:ascii="Verdana" w:eastAsia="Arial" w:hAnsi="Verdana" w:cs="Arial"/>
                <w:spacing w:val="-12"/>
                <w:lang w:val="es-ES"/>
              </w:rPr>
              <w:t xml:space="preserve"> </w:t>
            </w:r>
            <w:r w:rsidRPr="00D93BDF">
              <w:rPr>
                <w:rFonts w:ascii="Verdana" w:eastAsia="Arial" w:hAnsi="Verdana" w:cs="Arial"/>
                <w:lang w:val="es-ES"/>
              </w:rPr>
              <w:t>esta</w:t>
            </w:r>
            <w:r w:rsidRPr="00D93BDF">
              <w:rPr>
                <w:rFonts w:ascii="Verdana" w:eastAsia="Arial" w:hAnsi="Verdana" w:cs="Arial"/>
                <w:spacing w:val="-12"/>
                <w:lang w:val="es-ES"/>
              </w:rPr>
              <w:t xml:space="preserve"> </w:t>
            </w:r>
            <w:r w:rsidRPr="00D93BDF">
              <w:rPr>
                <w:rFonts w:ascii="Verdana" w:eastAsia="Arial" w:hAnsi="Verdana" w:cs="Arial"/>
                <w:lang w:val="es-ES"/>
              </w:rPr>
              <w:t>manera,</w:t>
            </w:r>
            <w:r w:rsidRPr="00D93BDF">
              <w:rPr>
                <w:rFonts w:ascii="Verdana" w:eastAsia="Arial" w:hAnsi="Verdana" w:cs="Arial"/>
                <w:spacing w:val="-11"/>
                <w:lang w:val="es-ES"/>
              </w:rPr>
              <w:t xml:space="preserve"> </w:t>
            </w:r>
            <w:r w:rsidRPr="00D93BDF">
              <w:rPr>
                <w:rFonts w:ascii="Verdana" w:eastAsia="Arial" w:hAnsi="Verdana" w:cs="Arial"/>
                <w:lang w:val="es-ES"/>
              </w:rPr>
              <w:t>la</w:t>
            </w:r>
            <w:r w:rsidRPr="00D93BDF">
              <w:rPr>
                <w:rFonts w:ascii="Verdana" w:eastAsia="Arial" w:hAnsi="Verdana" w:cs="Arial"/>
                <w:spacing w:val="-12"/>
                <w:lang w:val="es-ES"/>
              </w:rPr>
              <w:t xml:space="preserve"> </w:t>
            </w:r>
            <w:r w:rsidRPr="00D93BDF">
              <w:rPr>
                <w:rFonts w:ascii="Verdana" w:eastAsia="Arial" w:hAnsi="Verdana" w:cs="Arial"/>
                <w:lang w:val="es-ES"/>
              </w:rPr>
              <w:t>regla</w:t>
            </w:r>
            <w:r w:rsidRPr="00D93BDF">
              <w:rPr>
                <w:rFonts w:ascii="Verdana" w:eastAsia="Arial" w:hAnsi="Verdana" w:cs="Arial"/>
                <w:spacing w:val="-12"/>
                <w:lang w:val="es-ES"/>
              </w:rPr>
              <w:t xml:space="preserve"> </w:t>
            </w:r>
            <w:r w:rsidRPr="00D93BDF">
              <w:rPr>
                <w:rFonts w:ascii="Verdana" w:eastAsia="Arial" w:hAnsi="Verdana" w:cs="Arial"/>
                <w:lang w:val="es-ES"/>
              </w:rPr>
              <w:t>general</w:t>
            </w:r>
            <w:r w:rsidRPr="00D93BDF">
              <w:rPr>
                <w:rFonts w:ascii="Verdana" w:eastAsia="Arial" w:hAnsi="Verdana" w:cs="Arial"/>
                <w:spacing w:val="-11"/>
                <w:lang w:val="es-ES"/>
              </w:rPr>
              <w:t xml:space="preserve"> </w:t>
            </w:r>
            <w:r w:rsidRPr="00D93BDF">
              <w:rPr>
                <w:rFonts w:ascii="Verdana" w:eastAsia="Arial" w:hAnsi="Verdana" w:cs="Arial"/>
                <w:lang w:val="es-ES"/>
              </w:rPr>
              <w:t>frente</w:t>
            </w:r>
            <w:r w:rsidRPr="00D93BDF">
              <w:rPr>
                <w:rFonts w:ascii="Verdana" w:eastAsia="Arial" w:hAnsi="Verdana" w:cs="Arial"/>
                <w:spacing w:val="-11"/>
                <w:lang w:val="es-ES"/>
              </w:rPr>
              <w:t xml:space="preserve"> </w:t>
            </w:r>
            <w:r w:rsidRPr="00D93BDF">
              <w:rPr>
                <w:rFonts w:ascii="Verdana" w:eastAsia="Arial" w:hAnsi="Verdana" w:cs="Arial"/>
                <w:lang w:val="es-ES"/>
              </w:rPr>
              <w:t>a</w:t>
            </w:r>
            <w:r w:rsidRPr="00D93BDF">
              <w:rPr>
                <w:rFonts w:ascii="Verdana" w:eastAsia="Arial" w:hAnsi="Verdana" w:cs="Arial"/>
                <w:spacing w:val="-12"/>
                <w:lang w:val="es-ES"/>
              </w:rPr>
              <w:t xml:space="preserve"> </w:t>
            </w:r>
            <w:r w:rsidRPr="00D93BDF">
              <w:rPr>
                <w:rFonts w:ascii="Verdana" w:eastAsia="Arial" w:hAnsi="Verdana" w:cs="Arial"/>
                <w:lang w:val="es-ES"/>
              </w:rPr>
              <w:t>la</w:t>
            </w:r>
            <w:r w:rsidRPr="00D93BDF">
              <w:rPr>
                <w:rFonts w:ascii="Verdana" w:eastAsia="Arial" w:hAnsi="Verdana" w:cs="Arial"/>
                <w:spacing w:val="-12"/>
                <w:lang w:val="es-ES"/>
              </w:rPr>
              <w:t xml:space="preserve"> </w:t>
            </w:r>
            <w:r w:rsidRPr="00D93BDF">
              <w:rPr>
                <w:rFonts w:ascii="Verdana" w:eastAsia="Arial" w:hAnsi="Verdana" w:cs="Arial"/>
                <w:lang w:val="es-ES"/>
              </w:rPr>
              <w:t>aplicación</w:t>
            </w:r>
            <w:r w:rsidRPr="00D93BDF">
              <w:rPr>
                <w:rFonts w:ascii="Verdana" w:eastAsia="Arial" w:hAnsi="Verdana" w:cs="Arial"/>
                <w:spacing w:val="-11"/>
                <w:lang w:val="es-ES"/>
              </w:rPr>
              <w:t xml:space="preserve"> </w:t>
            </w:r>
            <w:r w:rsidRPr="00D93BDF">
              <w:rPr>
                <w:rFonts w:ascii="Verdana" w:eastAsia="Arial" w:hAnsi="Verdana" w:cs="Arial"/>
                <w:lang w:val="es-ES"/>
              </w:rPr>
              <w:t>del</w:t>
            </w:r>
            <w:r w:rsidRPr="00D93BDF">
              <w:rPr>
                <w:rFonts w:ascii="Verdana" w:eastAsia="Arial" w:hAnsi="Verdana" w:cs="Arial"/>
                <w:spacing w:val="-12"/>
                <w:lang w:val="es-ES"/>
              </w:rPr>
              <w:t xml:space="preserve"> </w:t>
            </w:r>
            <w:r w:rsidRPr="00D93BDF">
              <w:rPr>
                <w:rFonts w:ascii="Verdana" w:eastAsia="Arial" w:hAnsi="Verdana" w:cs="Arial"/>
                <w:lang w:val="es-ES"/>
              </w:rPr>
              <w:t>documento</w:t>
            </w:r>
            <w:r w:rsidRPr="00D93BDF">
              <w:rPr>
                <w:rFonts w:ascii="Verdana" w:eastAsia="Arial" w:hAnsi="Verdana" w:cs="Arial"/>
                <w:spacing w:val="-12"/>
                <w:lang w:val="es-ES"/>
              </w:rPr>
              <w:t xml:space="preserve"> </w:t>
            </w:r>
            <w:r w:rsidRPr="00D93BDF">
              <w:rPr>
                <w:rFonts w:ascii="Verdana" w:eastAsia="Arial" w:hAnsi="Verdana" w:cs="Arial"/>
                <w:lang w:val="es-ES"/>
              </w:rPr>
              <w:t>base</w:t>
            </w:r>
            <w:r w:rsidRPr="00D93BDF">
              <w:rPr>
                <w:rFonts w:ascii="Verdana" w:eastAsia="Arial" w:hAnsi="Verdana" w:cs="Arial"/>
                <w:spacing w:val="-11"/>
                <w:lang w:val="es-ES"/>
              </w:rPr>
              <w:t xml:space="preserve"> </w:t>
            </w:r>
            <w:r w:rsidRPr="00D93BDF">
              <w:rPr>
                <w:rFonts w:ascii="Verdana" w:eastAsia="Arial" w:hAnsi="Verdana" w:cs="Arial"/>
                <w:lang w:val="es-ES"/>
              </w:rPr>
              <w:t>es</w:t>
            </w:r>
            <w:r w:rsidRPr="00D93BDF">
              <w:rPr>
                <w:rFonts w:ascii="Verdana" w:eastAsia="Arial" w:hAnsi="Verdana" w:cs="Arial"/>
                <w:spacing w:val="-12"/>
                <w:lang w:val="es-ES"/>
              </w:rPr>
              <w:t xml:space="preserve"> </w:t>
            </w:r>
            <w:r w:rsidRPr="00D93BDF">
              <w:rPr>
                <w:rFonts w:ascii="Verdana" w:eastAsia="Arial" w:hAnsi="Verdana" w:cs="Arial"/>
                <w:lang w:val="es-ES"/>
              </w:rPr>
              <w:t>su inalterabilidad. Por lo tanto, no se podrán incluir o modificar dentro de los documentos del proceso las condiciones habilitantes, los factores técnicos y económicos de escogencia y los sistemas de ponderación señalados en los documentos tipo, sin perjuicio de lo dispuesto en el artículo</w:t>
            </w:r>
            <w:r w:rsidRPr="00D93BDF">
              <w:rPr>
                <w:rFonts w:ascii="Verdana" w:eastAsia="Arial" w:hAnsi="Verdana" w:cs="Arial"/>
                <w:spacing w:val="-15"/>
                <w:lang w:val="es-ES"/>
              </w:rPr>
              <w:t xml:space="preserve"> </w:t>
            </w:r>
            <w:r w:rsidRPr="00D93BDF">
              <w:rPr>
                <w:rFonts w:ascii="Verdana" w:eastAsia="Arial" w:hAnsi="Verdana" w:cs="Arial"/>
                <w:lang w:val="es-ES"/>
              </w:rPr>
              <w:t>4</w:t>
            </w:r>
            <w:r w:rsidRPr="00D93BDF">
              <w:rPr>
                <w:rFonts w:ascii="Verdana" w:eastAsia="Arial" w:hAnsi="Verdana" w:cs="Arial"/>
                <w:spacing w:val="-14"/>
                <w:lang w:val="es-ES"/>
              </w:rPr>
              <w:t xml:space="preserve"> </w:t>
            </w:r>
            <w:r w:rsidRPr="00D93BDF">
              <w:rPr>
                <w:rFonts w:ascii="Verdana" w:eastAsia="Arial" w:hAnsi="Verdana" w:cs="Arial"/>
                <w:lang w:val="es-ES"/>
              </w:rPr>
              <w:t>de</w:t>
            </w:r>
            <w:r w:rsidRPr="00D93BDF">
              <w:rPr>
                <w:rFonts w:ascii="Verdana" w:eastAsia="Arial" w:hAnsi="Verdana" w:cs="Arial"/>
                <w:spacing w:val="-14"/>
                <w:lang w:val="es-ES"/>
              </w:rPr>
              <w:t xml:space="preserve"> </w:t>
            </w:r>
            <w:r w:rsidRPr="00D93BDF">
              <w:rPr>
                <w:rFonts w:ascii="Verdana" w:eastAsia="Arial" w:hAnsi="Verdana" w:cs="Arial"/>
                <w:lang w:val="es-ES"/>
              </w:rPr>
              <w:t>la</w:t>
            </w:r>
            <w:r w:rsidRPr="00D93BDF">
              <w:rPr>
                <w:rFonts w:ascii="Verdana" w:eastAsia="Arial" w:hAnsi="Verdana" w:cs="Arial"/>
                <w:spacing w:val="-14"/>
                <w:lang w:val="es-ES"/>
              </w:rPr>
              <w:t xml:space="preserve"> </w:t>
            </w:r>
            <w:r w:rsidRPr="00D93BDF">
              <w:rPr>
                <w:rFonts w:ascii="Verdana" w:eastAsia="Arial" w:hAnsi="Verdana" w:cs="Arial"/>
                <w:lang w:val="es-ES"/>
              </w:rPr>
              <w:t>Resolución</w:t>
            </w:r>
            <w:r w:rsidRPr="00D93BDF">
              <w:rPr>
                <w:rFonts w:ascii="Verdana" w:eastAsia="Arial" w:hAnsi="Verdana" w:cs="Arial"/>
                <w:spacing w:val="-13"/>
                <w:lang w:val="es-ES"/>
              </w:rPr>
              <w:t xml:space="preserve"> No. </w:t>
            </w:r>
            <w:r w:rsidRPr="00D93BDF">
              <w:rPr>
                <w:rFonts w:ascii="Verdana" w:eastAsia="Arial" w:hAnsi="Verdana" w:cs="Arial"/>
                <w:lang w:val="es-ES"/>
              </w:rPr>
              <w:t>540</w:t>
            </w:r>
            <w:r w:rsidRPr="00D93BDF">
              <w:rPr>
                <w:rFonts w:ascii="Verdana" w:eastAsia="Arial" w:hAnsi="Verdana" w:cs="Arial"/>
                <w:spacing w:val="-14"/>
                <w:lang w:val="es-ES"/>
              </w:rPr>
              <w:t xml:space="preserve"> </w:t>
            </w:r>
            <w:r w:rsidRPr="00D93BDF">
              <w:rPr>
                <w:rFonts w:ascii="Verdana" w:eastAsia="Arial" w:hAnsi="Verdana" w:cs="Arial"/>
                <w:lang w:val="es-ES"/>
              </w:rPr>
              <w:t>de</w:t>
            </w:r>
            <w:r w:rsidRPr="00D93BDF">
              <w:rPr>
                <w:rFonts w:ascii="Verdana" w:eastAsia="Arial" w:hAnsi="Verdana" w:cs="Arial"/>
                <w:spacing w:val="-14"/>
                <w:lang w:val="es-ES"/>
              </w:rPr>
              <w:t xml:space="preserve"> </w:t>
            </w:r>
            <w:r w:rsidRPr="00D93BDF">
              <w:rPr>
                <w:rFonts w:ascii="Verdana" w:eastAsia="Arial" w:hAnsi="Verdana" w:cs="Arial"/>
                <w:lang w:val="es-ES"/>
              </w:rPr>
              <w:t>2025.</w:t>
            </w:r>
            <w:r w:rsidRPr="00D93BDF">
              <w:rPr>
                <w:rFonts w:ascii="Verdana" w:eastAsia="Arial" w:hAnsi="Verdana" w:cs="Arial"/>
                <w:spacing w:val="-14"/>
                <w:lang w:val="es-ES"/>
              </w:rPr>
              <w:t xml:space="preserve"> </w:t>
            </w:r>
            <w:r w:rsidRPr="00D93BDF">
              <w:rPr>
                <w:rFonts w:ascii="Verdana" w:eastAsia="Arial" w:hAnsi="Verdana" w:cs="Arial"/>
                <w:lang w:val="es-ES"/>
              </w:rPr>
              <w:t>Por</w:t>
            </w:r>
            <w:r w:rsidRPr="00D93BDF">
              <w:rPr>
                <w:rFonts w:ascii="Verdana" w:eastAsia="Arial" w:hAnsi="Verdana" w:cs="Arial"/>
                <w:spacing w:val="-13"/>
                <w:lang w:val="es-ES"/>
              </w:rPr>
              <w:t xml:space="preserve"> </w:t>
            </w:r>
            <w:r w:rsidRPr="00D93BDF">
              <w:rPr>
                <w:rFonts w:ascii="Verdana" w:eastAsia="Arial" w:hAnsi="Verdana" w:cs="Arial"/>
                <w:lang w:val="es-ES"/>
              </w:rPr>
              <w:t>tanto,</w:t>
            </w:r>
            <w:r w:rsidRPr="00D93BDF">
              <w:rPr>
                <w:rFonts w:ascii="Verdana" w:eastAsia="Arial" w:hAnsi="Verdana" w:cs="Arial"/>
                <w:spacing w:val="-13"/>
                <w:lang w:val="es-ES"/>
              </w:rPr>
              <w:t xml:space="preserve"> </w:t>
            </w:r>
            <w:r w:rsidRPr="00D93BDF">
              <w:rPr>
                <w:rFonts w:ascii="Verdana" w:eastAsia="Arial" w:hAnsi="Verdana" w:cs="Arial"/>
                <w:lang w:val="es-ES"/>
              </w:rPr>
              <w:t>si</w:t>
            </w:r>
            <w:r w:rsidRPr="00D93BDF">
              <w:rPr>
                <w:rFonts w:ascii="Verdana" w:eastAsia="Arial" w:hAnsi="Verdana" w:cs="Arial"/>
                <w:spacing w:val="-14"/>
                <w:lang w:val="es-ES"/>
              </w:rPr>
              <w:t xml:space="preserve"> </w:t>
            </w:r>
            <w:r w:rsidRPr="00D93BDF">
              <w:rPr>
                <w:rFonts w:ascii="Verdana" w:eastAsia="Arial" w:hAnsi="Verdana" w:cs="Arial"/>
                <w:lang w:val="es-ES"/>
              </w:rPr>
              <w:t>el</w:t>
            </w:r>
            <w:r w:rsidRPr="00D93BDF">
              <w:rPr>
                <w:rFonts w:ascii="Verdana" w:eastAsia="Arial" w:hAnsi="Verdana" w:cs="Arial"/>
                <w:spacing w:val="-15"/>
                <w:lang w:val="es-ES"/>
              </w:rPr>
              <w:t xml:space="preserve"> </w:t>
            </w:r>
            <w:r w:rsidRPr="00D93BDF">
              <w:rPr>
                <w:rFonts w:ascii="Verdana" w:eastAsia="Arial" w:hAnsi="Verdana" w:cs="Arial"/>
                <w:lang w:val="es-ES"/>
              </w:rPr>
              <w:t>objeto</w:t>
            </w:r>
            <w:r w:rsidRPr="00D93BDF">
              <w:rPr>
                <w:rFonts w:ascii="Verdana" w:eastAsia="Arial" w:hAnsi="Verdana" w:cs="Arial"/>
                <w:spacing w:val="-14"/>
                <w:lang w:val="es-ES"/>
              </w:rPr>
              <w:t xml:space="preserve"> </w:t>
            </w:r>
            <w:r w:rsidRPr="00D93BDF">
              <w:rPr>
                <w:rFonts w:ascii="Verdana" w:eastAsia="Arial" w:hAnsi="Verdana" w:cs="Arial"/>
                <w:lang w:val="es-ES"/>
              </w:rPr>
              <w:t>contractual</w:t>
            </w:r>
            <w:r w:rsidRPr="00D93BDF">
              <w:rPr>
                <w:rFonts w:ascii="Verdana" w:eastAsia="Arial" w:hAnsi="Verdana" w:cs="Arial"/>
                <w:spacing w:val="-14"/>
                <w:lang w:val="es-ES"/>
              </w:rPr>
              <w:t xml:space="preserve"> </w:t>
            </w:r>
            <w:r w:rsidRPr="00D93BDF">
              <w:rPr>
                <w:rFonts w:ascii="Verdana" w:eastAsia="Arial" w:hAnsi="Verdana" w:cs="Arial"/>
                <w:lang w:val="es-ES"/>
              </w:rPr>
              <w:t>incluye</w:t>
            </w:r>
            <w:r w:rsidRPr="00D93BDF">
              <w:rPr>
                <w:rFonts w:ascii="Verdana" w:eastAsia="Arial" w:hAnsi="Verdana" w:cs="Arial"/>
                <w:spacing w:val="-14"/>
                <w:lang w:val="es-ES"/>
              </w:rPr>
              <w:t xml:space="preserve"> obras, </w:t>
            </w:r>
            <w:r w:rsidRPr="00D93BDF">
              <w:rPr>
                <w:rFonts w:ascii="Verdana" w:eastAsia="Arial" w:hAnsi="Verdana" w:cs="Arial"/>
                <w:lang w:val="es-ES"/>
              </w:rPr>
              <w:t>bienes o</w:t>
            </w:r>
            <w:r w:rsidRPr="00D93BDF">
              <w:rPr>
                <w:rFonts w:ascii="Verdana" w:eastAsia="Arial" w:hAnsi="Verdana" w:cs="Arial"/>
                <w:spacing w:val="-16"/>
                <w:lang w:val="es-ES"/>
              </w:rPr>
              <w:t xml:space="preserve"> </w:t>
            </w:r>
            <w:r w:rsidRPr="00D93BDF">
              <w:rPr>
                <w:rFonts w:ascii="Verdana" w:eastAsia="Arial" w:hAnsi="Verdana" w:cs="Arial"/>
                <w:lang w:val="es-ES"/>
              </w:rPr>
              <w:t>servicios</w:t>
            </w:r>
            <w:r w:rsidRPr="00D93BDF">
              <w:rPr>
                <w:rFonts w:ascii="Verdana" w:eastAsia="Arial" w:hAnsi="Verdana" w:cs="Arial"/>
                <w:spacing w:val="-15"/>
                <w:lang w:val="es-ES"/>
              </w:rPr>
              <w:t xml:space="preserve"> </w:t>
            </w:r>
            <w:r w:rsidRPr="00D93BDF">
              <w:rPr>
                <w:rFonts w:ascii="Verdana" w:eastAsia="Arial" w:hAnsi="Verdana" w:cs="Arial"/>
                <w:lang w:val="es-ES"/>
              </w:rPr>
              <w:t>ajenos</w:t>
            </w:r>
            <w:r w:rsidRPr="00D93BDF">
              <w:rPr>
                <w:rFonts w:ascii="Verdana" w:eastAsia="Arial" w:hAnsi="Verdana" w:cs="Arial"/>
                <w:spacing w:val="-15"/>
                <w:lang w:val="es-ES"/>
              </w:rPr>
              <w:t xml:space="preserve"> </w:t>
            </w:r>
            <w:r w:rsidRPr="00D93BDF">
              <w:rPr>
                <w:rFonts w:ascii="Verdana" w:eastAsia="Arial" w:hAnsi="Verdana" w:cs="Arial"/>
                <w:lang w:val="es-ES"/>
              </w:rPr>
              <w:t>a</w:t>
            </w:r>
            <w:r w:rsidRPr="00D93BDF">
              <w:rPr>
                <w:rFonts w:ascii="Verdana" w:eastAsia="Arial" w:hAnsi="Verdana" w:cs="Arial"/>
                <w:spacing w:val="-15"/>
                <w:lang w:val="es-ES"/>
              </w:rPr>
              <w:t xml:space="preserve"> </w:t>
            </w:r>
            <w:r w:rsidRPr="00D93BDF">
              <w:rPr>
                <w:rFonts w:ascii="Verdana" w:eastAsia="Arial" w:hAnsi="Verdana" w:cs="Arial"/>
                <w:lang w:val="es-ES"/>
              </w:rPr>
              <w:t>la</w:t>
            </w:r>
            <w:r w:rsidRPr="00D93BDF">
              <w:rPr>
                <w:rFonts w:ascii="Verdana" w:eastAsia="Arial" w:hAnsi="Verdana" w:cs="Arial"/>
                <w:spacing w:val="-15"/>
                <w:lang w:val="es-ES"/>
              </w:rPr>
              <w:t xml:space="preserve"> </w:t>
            </w:r>
            <w:r w:rsidRPr="00D93BDF">
              <w:rPr>
                <w:rFonts w:ascii="Verdana" w:eastAsia="Arial" w:hAnsi="Verdana" w:cs="Arial"/>
                <w:lang w:val="es-ES"/>
              </w:rPr>
              <w:t>obra</w:t>
            </w:r>
            <w:r w:rsidRPr="00D93BDF">
              <w:rPr>
                <w:rFonts w:ascii="Verdana" w:eastAsia="Arial" w:hAnsi="Verdana" w:cs="Arial"/>
                <w:spacing w:val="-15"/>
                <w:lang w:val="es-ES"/>
              </w:rPr>
              <w:t xml:space="preserve"> </w:t>
            </w:r>
            <w:r w:rsidRPr="00D93BDF">
              <w:rPr>
                <w:rFonts w:ascii="Verdana" w:eastAsia="Arial" w:hAnsi="Verdana" w:cs="Arial"/>
                <w:lang w:val="es-ES"/>
              </w:rPr>
              <w:t>pública</w:t>
            </w:r>
            <w:r w:rsidRPr="00D93BDF">
              <w:rPr>
                <w:rFonts w:ascii="Verdana" w:eastAsia="Arial" w:hAnsi="Verdana" w:cs="Arial"/>
                <w:spacing w:val="-16"/>
                <w:lang w:val="es-ES"/>
              </w:rPr>
              <w:t xml:space="preserve"> </w:t>
            </w:r>
            <w:r w:rsidRPr="00D93BDF">
              <w:rPr>
                <w:rFonts w:ascii="Verdana" w:eastAsia="Arial" w:hAnsi="Verdana" w:cs="Arial"/>
                <w:lang w:val="es-ES"/>
              </w:rPr>
              <w:t>de</w:t>
            </w:r>
            <w:r w:rsidRPr="00D93BDF">
              <w:rPr>
                <w:rFonts w:ascii="Verdana" w:eastAsia="Arial" w:hAnsi="Verdana" w:cs="Arial"/>
                <w:spacing w:val="-15"/>
                <w:lang w:val="es-ES"/>
              </w:rPr>
              <w:t xml:space="preserve"> </w:t>
            </w:r>
            <w:r w:rsidRPr="00D93BDF">
              <w:rPr>
                <w:rFonts w:ascii="Verdana" w:eastAsia="Arial" w:hAnsi="Verdana" w:cs="Arial"/>
                <w:lang w:val="es-ES"/>
              </w:rPr>
              <w:t>infraestructura social,</w:t>
            </w:r>
            <w:r w:rsidRPr="00D93BDF">
              <w:rPr>
                <w:rFonts w:ascii="Verdana" w:eastAsia="Arial" w:hAnsi="Verdana" w:cs="Arial"/>
                <w:spacing w:val="-14"/>
                <w:lang w:val="es-ES"/>
              </w:rPr>
              <w:t xml:space="preserve"> </w:t>
            </w:r>
            <w:r w:rsidRPr="00D93BDF">
              <w:rPr>
                <w:rFonts w:ascii="Verdana" w:eastAsia="Arial" w:hAnsi="Verdana" w:cs="Arial"/>
                <w:lang w:val="es-ES"/>
              </w:rPr>
              <w:t>de</w:t>
            </w:r>
            <w:r w:rsidRPr="00D93BDF">
              <w:rPr>
                <w:rFonts w:ascii="Verdana" w:eastAsia="Arial" w:hAnsi="Verdana" w:cs="Arial"/>
                <w:spacing w:val="-16"/>
                <w:lang w:val="es-ES"/>
              </w:rPr>
              <w:t xml:space="preserve"> </w:t>
            </w:r>
            <w:r w:rsidRPr="00D93BDF">
              <w:rPr>
                <w:rFonts w:ascii="Verdana" w:eastAsia="Arial" w:hAnsi="Verdana" w:cs="Arial"/>
                <w:lang w:val="es-ES"/>
              </w:rPr>
              <w:t>allí</w:t>
            </w:r>
            <w:r w:rsidRPr="00D93BDF">
              <w:rPr>
                <w:rFonts w:ascii="Verdana" w:eastAsia="Arial" w:hAnsi="Verdana" w:cs="Arial"/>
                <w:spacing w:val="-15"/>
                <w:lang w:val="es-ES"/>
              </w:rPr>
              <w:t xml:space="preserve"> </w:t>
            </w:r>
            <w:r w:rsidRPr="00D93BDF">
              <w:rPr>
                <w:rFonts w:ascii="Verdana" w:eastAsia="Arial" w:hAnsi="Verdana" w:cs="Arial"/>
                <w:lang w:val="es-ES"/>
              </w:rPr>
              <w:t>solo</w:t>
            </w:r>
            <w:r w:rsidRPr="00D93BDF">
              <w:rPr>
                <w:rFonts w:ascii="Verdana" w:eastAsia="Arial" w:hAnsi="Verdana" w:cs="Arial"/>
                <w:spacing w:val="-15"/>
                <w:lang w:val="es-ES"/>
              </w:rPr>
              <w:t xml:space="preserve"> </w:t>
            </w:r>
            <w:r w:rsidRPr="00D93BDF">
              <w:rPr>
                <w:rFonts w:ascii="Verdana" w:eastAsia="Arial" w:hAnsi="Verdana" w:cs="Arial"/>
                <w:lang w:val="es-ES"/>
              </w:rPr>
              <w:t>se</w:t>
            </w:r>
            <w:r w:rsidRPr="00D93BDF">
              <w:rPr>
                <w:rFonts w:ascii="Verdana" w:eastAsia="Arial" w:hAnsi="Verdana" w:cs="Arial"/>
                <w:spacing w:val="-15"/>
                <w:lang w:val="es-ES"/>
              </w:rPr>
              <w:t xml:space="preserve"> </w:t>
            </w:r>
            <w:r w:rsidRPr="00D93BDF">
              <w:rPr>
                <w:rFonts w:ascii="Verdana" w:eastAsia="Arial" w:hAnsi="Verdana" w:cs="Arial"/>
                <w:lang w:val="es-ES"/>
              </w:rPr>
              <w:t>deriva que podrá incluirse la experiencia adicional que se considere conveniente, atendiendo a las reglas explicadas con</w:t>
            </w:r>
            <w:r w:rsidRPr="00D93BDF">
              <w:rPr>
                <w:rFonts w:ascii="Verdana" w:eastAsia="Arial" w:hAnsi="Verdana" w:cs="Arial"/>
                <w:spacing w:val="-7"/>
                <w:lang w:val="es-ES"/>
              </w:rPr>
              <w:t xml:space="preserve"> </w:t>
            </w:r>
            <w:r w:rsidRPr="00D93BDF">
              <w:rPr>
                <w:rFonts w:ascii="Verdana" w:eastAsia="Arial" w:hAnsi="Verdana" w:cs="Arial"/>
                <w:lang w:val="es-ES"/>
              </w:rPr>
              <w:t>anterioridad.</w:t>
            </w:r>
          </w:p>
          <w:p w14:paraId="5BBF0C9F" w14:textId="77777777" w:rsidR="00D93BDF" w:rsidRPr="00D93BDF" w:rsidRDefault="00D93BDF" w:rsidP="00D93BDF">
            <w:pPr>
              <w:widowControl w:val="0"/>
              <w:autoSpaceDE w:val="0"/>
              <w:autoSpaceDN w:val="0"/>
              <w:spacing w:before="120" w:after="120" w:line="276" w:lineRule="auto"/>
              <w:ind w:firstLine="708"/>
              <w:jc w:val="both"/>
              <w:rPr>
                <w:rFonts w:ascii="Verdana" w:eastAsia="Arial" w:hAnsi="Verdana" w:cs="Arial"/>
                <w:lang w:val="es-ES"/>
              </w:rPr>
            </w:pPr>
            <w:r w:rsidRPr="00D93BDF">
              <w:rPr>
                <w:rFonts w:ascii="Verdana" w:eastAsia="Arial" w:hAnsi="Verdana" w:cs="Arial"/>
                <w:lang w:val="es-ES"/>
              </w:rPr>
              <w:t>En este sentido, cuando se pretenda ejecutar una de las actividades establecidas en la “Matriz – Experiencia” de los documentos tipo adoptados en el sector social y adicionalmente se requiera contratar otro tipo de obras, bienes y servicios adicionales a la obra pública de infraestructura social, los documentos tipo adoptados son obligatorios.</w:t>
            </w:r>
          </w:p>
          <w:p w14:paraId="4B54154A" w14:textId="77777777" w:rsidR="00D93BDF" w:rsidRPr="00D93BDF" w:rsidRDefault="00D93BDF" w:rsidP="00D93BDF">
            <w:pPr>
              <w:widowControl w:val="0"/>
              <w:autoSpaceDE w:val="0"/>
              <w:autoSpaceDN w:val="0"/>
              <w:spacing w:line="276" w:lineRule="auto"/>
              <w:ind w:firstLine="708"/>
              <w:jc w:val="both"/>
              <w:rPr>
                <w:rFonts w:ascii="Verdana" w:eastAsia="Arial" w:hAnsi="Verdana" w:cs="Arial"/>
                <w:lang w:val="es-ES"/>
              </w:rPr>
            </w:pPr>
            <w:r w:rsidRPr="00D93BDF">
              <w:rPr>
                <w:rFonts w:ascii="Verdana" w:eastAsia="Arial" w:hAnsi="Verdana" w:cs="Arial"/>
                <w:lang w:val="es-ES"/>
              </w:rPr>
              <w:t xml:space="preserve">Esta consideración es relevante para efectos de su solicitud, en la medida que, la entidad </w:t>
            </w:r>
            <w:r w:rsidRPr="00D93BDF">
              <w:rPr>
                <w:rFonts w:ascii="Verdana" w:eastAsia="Aptos" w:hAnsi="Verdana" w:cs="Times New Roman"/>
              </w:rPr>
              <w:t>podrá aplicar lo dispuesto en los documentos tipo en relación con las obras, bienes o servicios adicionales a la obra pública de infraestructura social, para contratar el suministro de materiales y repuestos que adicionalmente necesite la entidad para adelantar el proceso de contratación, conforme a los parámetros allí establecidos.</w:t>
            </w:r>
          </w:p>
          <w:p w14:paraId="73C19671" w14:textId="77777777" w:rsidR="00D93BDF" w:rsidRPr="00D93BDF" w:rsidRDefault="00D93BDF" w:rsidP="00D93BDF">
            <w:pPr>
              <w:widowControl w:val="0"/>
              <w:autoSpaceDE w:val="0"/>
              <w:autoSpaceDN w:val="0"/>
              <w:spacing w:line="276" w:lineRule="auto"/>
              <w:ind w:firstLine="708"/>
              <w:jc w:val="both"/>
              <w:rPr>
                <w:rFonts w:ascii="Verdana" w:eastAsia="Arial" w:hAnsi="Verdana" w:cs="Arial"/>
                <w:lang w:val="es-ES"/>
              </w:rPr>
            </w:pPr>
          </w:p>
          <w:p w14:paraId="64B54FBB" w14:textId="77777777" w:rsidR="00D93BDF" w:rsidRPr="00D93BDF" w:rsidRDefault="00D93BDF" w:rsidP="00D93BDF">
            <w:pPr>
              <w:widowControl w:val="0"/>
              <w:autoSpaceDE w:val="0"/>
              <w:autoSpaceDN w:val="0"/>
              <w:spacing w:line="276" w:lineRule="auto"/>
              <w:jc w:val="both"/>
              <w:rPr>
                <w:rFonts w:ascii="Verdana" w:eastAsia="Arial" w:hAnsi="Verdana" w:cs="Arial"/>
                <w:lang w:val="es-ES"/>
              </w:rPr>
            </w:pPr>
            <w:r w:rsidRPr="00D93BDF">
              <w:rPr>
                <w:rFonts w:ascii="Verdana" w:eastAsia="Arial" w:hAnsi="Verdana" w:cs="Arial"/>
                <w:lang w:val="es-ES"/>
              </w:rPr>
              <w:t xml:space="preserve">vi. </w:t>
            </w:r>
            <w:r w:rsidRPr="00D93BDF">
              <w:rPr>
                <w:rFonts w:ascii="Verdana" w:eastAsia="Aptos" w:hAnsi="Verdana" w:cs="Times New Roman"/>
              </w:rPr>
              <w:t xml:space="preserve">Para combinar las actividades contenidas en los documentos tipo de </w:t>
            </w:r>
            <w:r w:rsidRPr="00D93BDF">
              <w:rPr>
                <w:rFonts w:ascii="Verdana" w:eastAsia="Aptos" w:hAnsi="Verdana" w:cs="Times New Roman"/>
              </w:rPr>
              <w:lastRenderedPageBreak/>
              <w:t>infraestructura social y de otros sectores, debe tenerse en cuenta que la Matriz – Experiencia de los diferentes sectores, establece dentro de las “Reglas para definir la experiencia exigible en el proceso de contratación” lo siguiente:</w:t>
            </w:r>
          </w:p>
          <w:p w14:paraId="1AC09B51" w14:textId="77777777" w:rsidR="00D93BDF" w:rsidRPr="00D93BDF" w:rsidRDefault="00D93BDF" w:rsidP="00D93BDF">
            <w:pPr>
              <w:spacing w:line="276" w:lineRule="auto"/>
              <w:jc w:val="both"/>
              <w:rPr>
                <w:rFonts w:ascii="Verdana" w:eastAsia="Calibri" w:hAnsi="Verdana" w:cs="Arial"/>
                <w:lang w:val="es-ES"/>
              </w:rPr>
            </w:pPr>
          </w:p>
          <w:p w14:paraId="6A1338DB" w14:textId="77777777" w:rsidR="00D93BDF" w:rsidRPr="00D93BDF" w:rsidRDefault="00D93BDF" w:rsidP="00D93BDF">
            <w:pPr>
              <w:spacing w:line="276" w:lineRule="auto"/>
              <w:ind w:left="720" w:right="474"/>
              <w:contextualSpacing/>
              <w:jc w:val="both"/>
              <w:rPr>
                <w:rFonts w:ascii="Verdana" w:eastAsia="Aptos" w:hAnsi="Verdana" w:cs="Times New Roman"/>
                <w:i/>
                <w:iCs/>
                <w:sz w:val="21"/>
                <w:szCs w:val="21"/>
              </w:rPr>
            </w:pPr>
            <w:r w:rsidRPr="00D93BDF">
              <w:rPr>
                <w:rFonts w:ascii="Verdana" w:eastAsia="Aptos" w:hAnsi="Verdana" w:cs="Times New Roman"/>
                <w:i/>
                <w:iCs/>
                <w:sz w:val="21"/>
                <w:szCs w:val="21"/>
              </w:rPr>
              <w:t>“vi) Cuando el objeto del proceso de contratación contemple la ejecución de dos o más “Actividades a Contratar” (ej.: 1.1 y 2.1), la entidad procederá de acuerdo con lo indicado en el Documento Base en relación con la combinación de experiencia”.</w:t>
            </w:r>
          </w:p>
          <w:p w14:paraId="7E791FDE" w14:textId="77777777" w:rsidR="00D93BDF" w:rsidRPr="00D93BDF" w:rsidRDefault="00D93BDF" w:rsidP="00D93BDF">
            <w:pPr>
              <w:spacing w:line="276" w:lineRule="auto"/>
              <w:ind w:left="720" w:right="474"/>
              <w:contextualSpacing/>
              <w:jc w:val="both"/>
              <w:rPr>
                <w:rFonts w:ascii="Verdana" w:eastAsia="Aptos" w:hAnsi="Verdana" w:cs="Times New Roman"/>
                <w:i/>
                <w:iCs/>
              </w:rPr>
            </w:pPr>
          </w:p>
          <w:p w14:paraId="07C88096" w14:textId="77777777" w:rsidR="00D93BDF" w:rsidRPr="00D93BDF" w:rsidRDefault="00D93BDF" w:rsidP="00D93BDF">
            <w:pPr>
              <w:spacing w:after="120" w:line="276" w:lineRule="auto"/>
              <w:ind w:firstLine="708"/>
              <w:jc w:val="both"/>
              <w:rPr>
                <w:rFonts w:ascii="Verdana" w:eastAsia="Calibri" w:hAnsi="Verdana" w:cs="Arial"/>
                <w:color w:val="000000"/>
              </w:rPr>
            </w:pPr>
            <w:r w:rsidRPr="00D93BDF">
              <w:rPr>
                <w:rFonts w:ascii="Verdana" w:eastAsia="Aptos" w:hAnsi="Verdana" w:cs="Times New Roman"/>
              </w:rPr>
              <w:t xml:space="preserve">De esta forma, según se indica cuando el objeto de contratación contemple la ejecución de dos (2) o más actividades, en este caso previstas en la Matriz – Experiencia, se aplicará lo dispuesto en el documento base. Concretamente, el numeral 3.5.1 “CARACTERÍSTICAS DE LOS CONTRATOS PRESENTADOS PARA ACREDITAR LA EXPERIENCIA EXIGIDA”, en el que se indican las reglas que deben tener en cuenta las entidades estatales y los particulares en caso de que se soliciten combinaciones de diferentes actividades a contratar de una misma o de diferentes matrices de experiencia. </w:t>
            </w:r>
          </w:p>
          <w:p w14:paraId="31F9B46A" w14:textId="77777777" w:rsidR="00D93BDF" w:rsidRPr="00D93BDF" w:rsidRDefault="00D93BDF" w:rsidP="00D93BDF">
            <w:pPr>
              <w:spacing w:after="120" w:line="276" w:lineRule="auto"/>
              <w:ind w:firstLine="708"/>
              <w:jc w:val="both"/>
              <w:rPr>
                <w:rFonts w:ascii="Verdana" w:eastAsia="Calibri" w:hAnsi="Verdana" w:cs="Arial"/>
                <w:color w:val="000000"/>
                <w:lang w:val="es-MX"/>
              </w:rPr>
            </w:pPr>
            <w:r w:rsidRPr="00D93BDF">
              <w:rPr>
                <w:rFonts w:ascii="Verdana" w:eastAsia="Calibri" w:hAnsi="Verdana" w:cs="Arial"/>
                <w:color w:val="000000"/>
                <w:lang w:val="es-MX"/>
              </w:rPr>
              <w:t>Este supuesto abarca los casos en que en un proyecto se pretenda ejecutar actividades que se encuentren en una misma matriz de experiencia, así como cuando las actividades que se requieren desarrollar se encuentren en otras matrices de experiencia de proyectos de otros documentos tipo adoptados por esta Agencia.</w:t>
            </w:r>
          </w:p>
          <w:p w14:paraId="538B09A5"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Conforma con esta regla de combinación de la experiencia, la entidad estatal identificará y definirá la actividad principal o de mayor relevancia, y la actividad secundaria o accesoria a la principal, de acuerdo con las características del proyecto particular. Para estos efectos, la entidad determinará la actividad principal de alguna de las actividades a contratar definidas en la matriz del proyecto respectivo y podrá establecer hasta dos actividades secundarias cuando: i) en un mismo proyecto se incluyen otras actividades definidas en la Matriz – Experiencia de infraestructura social, </w:t>
            </w:r>
            <w:proofErr w:type="spellStart"/>
            <w:r w:rsidRPr="00D93BDF">
              <w:rPr>
                <w:rFonts w:ascii="Verdana" w:eastAsia="Aptos" w:hAnsi="Verdana" w:cs="Times New Roman"/>
              </w:rPr>
              <w:t>ii</w:t>
            </w:r>
            <w:proofErr w:type="spellEnd"/>
            <w:r w:rsidRPr="00D93BDF">
              <w:rPr>
                <w:rFonts w:ascii="Verdana" w:eastAsia="Aptos" w:hAnsi="Verdana" w:cs="Times New Roman"/>
              </w:rPr>
              <w:t xml:space="preserve">) cuando en un mismo proyecto se incorporen actividades de infraestructura educativa, salud o cultura, recreación y deporte, Vivienda o Institucional o </w:t>
            </w:r>
            <w:proofErr w:type="spellStart"/>
            <w:r w:rsidRPr="00D93BDF">
              <w:rPr>
                <w:rFonts w:ascii="Verdana" w:eastAsia="Aptos" w:hAnsi="Verdana" w:cs="Times New Roman"/>
              </w:rPr>
              <w:t>iii</w:t>
            </w:r>
            <w:proofErr w:type="spellEnd"/>
            <w:r w:rsidRPr="00D93BDF">
              <w:rPr>
                <w:rFonts w:ascii="Verdana" w:eastAsia="Aptos" w:hAnsi="Verdana" w:cs="Times New Roman"/>
              </w:rPr>
              <w:t>) cuando en un Proceso de Contratación aplican matrices de experiencia de otros Documentos Tipo y la Entidad considera conveniente incluir dicha experiencia.</w:t>
            </w:r>
          </w:p>
          <w:p w14:paraId="17FDCF31"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lastRenderedPageBreak/>
              <w:t xml:space="preserve">Una vez definida la actividad principal y secundaria, la entidad estatal debe determinar los requisitos de experiencia exigibles de acuerdo con la matriz de experiencia aplicable, de alguna de la siguientes formas: i) solicitando experiencia general y específica para la actividad principal o de mayor relevancia, siempre que esta se trate de una actividad incluida en las “actividades a contratar” definidas en las matrices de experiencia de los documentos tipo de infraestructura social, o </w:t>
            </w:r>
            <w:proofErr w:type="spellStart"/>
            <w:r w:rsidRPr="00D93BDF">
              <w:rPr>
                <w:rFonts w:ascii="Verdana" w:eastAsia="Aptos" w:hAnsi="Verdana" w:cs="Times New Roman"/>
              </w:rPr>
              <w:t>ii</w:t>
            </w:r>
            <w:proofErr w:type="spellEnd"/>
            <w:r w:rsidRPr="00D93BDF">
              <w:rPr>
                <w:rFonts w:ascii="Verdana" w:eastAsia="Aptos" w:hAnsi="Verdana" w:cs="Times New Roman"/>
              </w:rPr>
              <w:t>) solicitando experiencia general o específica para la(s) actividad(es) secundaria(s) y en los casos en que la Matriz 1 – Experiencia, no contemple experiencia específica para una de las actividades secundarias, se debe pedir Experiencia general.</w:t>
            </w:r>
          </w:p>
          <w:p w14:paraId="7F0252E1" w14:textId="6E893BF6"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La experiencia exigible para las actividades principal y secundaria debe ser definida en función de los rangos de cuantías aplicables al respectivo proceso de contratación. En todo caso, la entidad contratante no puede incluir más de 2 combinaciones de experiencia adicionales a la prevista para la actividad principal.</w:t>
            </w:r>
          </w:p>
          <w:p w14:paraId="173277E7"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En caso de que el requisito de experiencia a solicitarse esté expresado en un componente o actividad correspondiente a un porcentaje del Presupuesto Oficial, este deberá calcularse respecto del cien por ciento (100%) del valor del Presupuesto Oficial. En todo caso para la demostración de la experiencia exigida en la actividad secundaria, si la Entidad desagrega el valor de las actividades, la acreditación de la experiencia de los componentes que están supeditados a un porcentaje del Presupuesto Oficial se realizará de acuerdo con el valor de cada actividad secundaria. En este último caso, la Entidad indicará en este literal el valor del Presupuesto Oficial que corresponde a cada uno.</w:t>
            </w:r>
          </w:p>
          <w:p w14:paraId="062E9DA2"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Lo anterior implica que, para el caso de la actividad principal, deberá tenerse en cuenta el 100% del Presupuesto Oficial, y para la(s) actividad(es) secundaria(s), la acreditación frente al Presupuesto Oficial deberá realizarse de forma proporcional, conforme al valor de cada actividad secundaria. En todo caso, la entidad contratante no puede incluir más de 2 combinaciones de experiencia adicionales a la prevista para la actividad principal. </w:t>
            </w:r>
          </w:p>
          <w:p w14:paraId="4561F29E"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Si en la actividad secundaria se solicita la experiencia específica, y esta contempla más de un requisito, la entidad solo podrá fijar un requisito de experiencia específica, que en este caso será el de mayor relevancia para el proyecto. De acuerdo con esto, será la entidad la que debe definir cuál es el </w:t>
            </w:r>
            <w:r w:rsidRPr="00D93BDF">
              <w:rPr>
                <w:rFonts w:ascii="Verdana" w:eastAsia="Aptos" w:hAnsi="Verdana" w:cs="Times New Roman"/>
              </w:rPr>
              <w:lastRenderedPageBreak/>
              <w:t>requisito de mayor relevancia para el proyecto a desarrollar, por lo que solo podrá incluir un requisito de experiencia específica en relación con la actividad secundaria.</w:t>
            </w:r>
          </w:p>
          <w:p w14:paraId="59A57C07"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En el evento que la entidad opte por exigir experiencia específica para las actividades distintas a la actividad principal, deberá incluir la nota que se señala en el numeral v). </w:t>
            </w:r>
          </w:p>
          <w:p w14:paraId="3C93F036" w14:textId="77777777" w:rsidR="00D93BDF" w:rsidRPr="00D93BDF" w:rsidRDefault="00D93BDF" w:rsidP="00D93BDF">
            <w:pPr>
              <w:snapToGrid w:val="0"/>
              <w:spacing w:line="276" w:lineRule="auto"/>
              <w:ind w:firstLine="709"/>
              <w:jc w:val="both"/>
              <w:rPr>
                <w:rFonts w:ascii="Verdana" w:eastAsia="Aptos" w:hAnsi="Verdana" w:cs="Times New Roman"/>
              </w:rPr>
            </w:pPr>
            <w:r w:rsidRPr="00D93BDF">
              <w:rPr>
                <w:rFonts w:ascii="Verdana" w:eastAsia="Aptos" w:hAnsi="Verdana" w:cs="Times New Roman"/>
              </w:rPr>
              <w:t>Finalmente, es pertinente señalar que las reglas transcritas prescriben que en el evento en que el proceso de contratación se estructure por lotes o segmentos, la entidad establecerá la experiencia de cada uno de ellos, de acuerdo con las actividades definidas en la Matriz de Experiencia aplicable.</w:t>
            </w:r>
          </w:p>
          <w:p w14:paraId="12730F07" w14:textId="77777777" w:rsidR="00D93BDF" w:rsidRPr="00D93BDF" w:rsidRDefault="00D93BDF" w:rsidP="00D93BDF">
            <w:pPr>
              <w:snapToGrid w:val="0"/>
              <w:spacing w:line="276" w:lineRule="auto"/>
              <w:jc w:val="both"/>
              <w:textAlignment w:val="baseline"/>
              <w:rPr>
                <w:rFonts w:ascii="Verdana" w:eastAsia="Times New Roman" w:hAnsi="Verdana" w:cs="Arial"/>
                <w:color w:val="000000"/>
                <w:lang w:eastAsia="es-MX"/>
              </w:rPr>
            </w:pPr>
          </w:p>
          <w:p w14:paraId="631436FD" w14:textId="77777777" w:rsidR="00D93BDF" w:rsidRPr="00D93BDF" w:rsidRDefault="00D93BDF" w:rsidP="00D93BDF">
            <w:pPr>
              <w:spacing w:after="120" w:line="276" w:lineRule="auto"/>
              <w:jc w:val="both"/>
              <w:rPr>
                <w:rFonts w:ascii="Verdana" w:eastAsia="Calibri" w:hAnsi="Verdana" w:cs="Arial"/>
                <w:noProof/>
                <w:color w:val="000000"/>
                <w:lang w:val="es-ES_tradnl"/>
              </w:rPr>
            </w:pPr>
            <w:proofErr w:type="spellStart"/>
            <w:r w:rsidRPr="00D93BDF">
              <w:rPr>
                <w:rFonts w:ascii="Verdana" w:eastAsia="Times New Roman" w:hAnsi="Verdana" w:cs="Arial"/>
                <w:color w:val="000000"/>
                <w:lang w:eastAsia="es-MX"/>
              </w:rPr>
              <w:t>vii</w:t>
            </w:r>
            <w:proofErr w:type="spellEnd"/>
            <w:r w:rsidRPr="00D93BDF">
              <w:rPr>
                <w:rFonts w:ascii="Verdana" w:eastAsia="Times New Roman" w:hAnsi="Verdana" w:cs="Arial"/>
                <w:color w:val="000000"/>
                <w:lang w:eastAsia="es-MX"/>
              </w:rPr>
              <w:t xml:space="preserve">. </w:t>
            </w:r>
            <w:r w:rsidRPr="00D93BDF">
              <w:rPr>
                <w:rFonts w:ascii="Verdana" w:eastAsia="Calibri" w:hAnsi="Verdana" w:cs="Arial"/>
                <w:noProof/>
                <w:lang w:val="es-ES"/>
              </w:rPr>
              <w:t xml:space="preserve">El numeral 4.2. “Factor de calidad” del documento base, establece que de acuerdo con la justificación consignada en el estudio del sector, estudios y documentos previos, la entidad contratante deberá elegir una o algunas de las siguientes tres (3) opciones previstas para evaluar el factor calidad, siendo estas: i) implementación del programa de gerencia de proyectos; ii) disponibilidad y condiciones funcionales de la maquinaria de obra; y iii) presentación de un plan de calidad. </w:t>
            </w:r>
          </w:p>
          <w:p w14:paraId="198E71A3" w14:textId="77777777" w:rsidR="00D93BDF" w:rsidRPr="00D93BDF" w:rsidRDefault="00D93BDF" w:rsidP="00D93BDF">
            <w:pPr>
              <w:tabs>
                <w:tab w:val="left" w:pos="426"/>
              </w:tabs>
              <w:spacing w:after="120" w:line="276" w:lineRule="auto"/>
              <w:ind w:firstLine="709"/>
              <w:jc w:val="both"/>
              <w:rPr>
                <w:rFonts w:ascii="Verdana" w:eastAsia="Calibri" w:hAnsi="Verdana" w:cs="Arial"/>
                <w:noProof/>
                <w:lang w:val="es-ES"/>
              </w:rPr>
            </w:pPr>
            <w:r w:rsidRPr="00D93BDF">
              <w:rPr>
                <w:rFonts w:ascii="Verdana" w:eastAsia="Calibri" w:hAnsi="Verdana" w:cs="Arial"/>
                <w:noProof/>
                <w:lang w:val="es-ES"/>
              </w:rPr>
              <w:t>Las opciones mencionadas se identifican en el documento base resaltadas en gris y entre corchetes, aspecto que indica la libertad de la entidad para efectuar la selección de la o las opciones que considerará para la asignación del puntaje por el factor calidad.</w:t>
            </w:r>
          </w:p>
          <w:p w14:paraId="08AA3902" w14:textId="77777777" w:rsidR="00D93BDF" w:rsidRPr="00D93BDF" w:rsidRDefault="00D93BDF" w:rsidP="00D93BDF">
            <w:pPr>
              <w:spacing w:after="120" w:line="276" w:lineRule="auto"/>
              <w:ind w:firstLine="709"/>
              <w:jc w:val="both"/>
              <w:rPr>
                <w:rFonts w:ascii="Verdana" w:eastAsia="Calibri" w:hAnsi="Verdana" w:cs="Arial"/>
                <w:noProof/>
                <w:lang w:val="es-ES"/>
              </w:rPr>
            </w:pPr>
            <w:r w:rsidRPr="00D93BDF">
              <w:rPr>
                <w:rFonts w:ascii="Verdana" w:eastAsia="Calibri" w:hAnsi="Verdana" w:cs="Arial"/>
                <w:noProof/>
                <w:lang w:val="es-ES"/>
              </w:rPr>
              <w:t>De igual forma, precisa el numeral 4.2 que la entidad debe elegir una o varias de las opciones previstas para otorgar el puntaje del factor de calidad, pero que, en todo caso, la distribución del puntaje asignado no puede ser superior a 10 puntos, y no podrá incluir criterios, documentos, compromisos o aspectos distintos a los señalados como parte de la valoración de ese factor.</w:t>
            </w:r>
          </w:p>
          <w:p w14:paraId="0559BD73" w14:textId="77777777" w:rsidR="00D93BDF" w:rsidRPr="00D93BDF" w:rsidRDefault="00D93BDF" w:rsidP="00D93BDF">
            <w:pPr>
              <w:tabs>
                <w:tab w:val="left" w:pos="426"/>
              </w:tabs>
              <w:spacing w:after="120" w:line="276" w:lineRule="auto"/>
              <w:ind w:firstLine="709"/>
              <w:jc w:val="both"/>
              <w:rPr>
                <w:rFonts w:ascii="Verdana" w:eastAsia="Aptos" w:hAnsi="Verdana" w:cs="Times New Roman"/>
              </w:rPr>
            </w:pPr>
            <w:r w:rsidRPr="00D93BDF">
              <w:rPr>
                <w:rFonts w:ascii="Verdana" w:eastAsia="Aptos" w:hAnsi="Verdana" w:cs="Times New Roman"/>
              </w:rPr>
              <w:t xml:space="preserve">Con fundamento en lo anterior, es preciso señalar que, si bien la entidad  que adelanta el proceso de selección con los documentos tipo de selección abreviada de menor cuantía de obra pública de infraestructura social, cuenta con la facultad de escoger, de entre las tres (3) opciones previstas en el numeral 4.2 del documento base –esto es, la implementación del programa de gerencia de proyectos, la disponibilidad y condiciones funcionales de la maquinaria de obra, y la presentación de un plan de calidad–, aquella o </w:t>
            </w:r>
            <w:r w:rsidRPr="00D93BDF">
              <w:rPr>
                <w:rFonts w:ascii="Verdana" w:eastAsia="Aptos" w:hAnsi="Verdana" w:cs="Times New Roman"/>
              </w:rPr>
              <w:lastRenderedPageBreak/>
              <w:t xml:space="preserve">aquellas que resulten más pertinentes de acuerdo con la justificación consignada en el estudio del sector y en los estudios y documentos previos, esta discrecionalidad no se extiende a la posibilidad de prescindir por completo del factor de calidad dentro de la evaluación de las ofertas. </w:t>
            </w:r>
          </w:p>
          <w:p w14:paraId="5EC58F56" w14:textId="77777777" w:rsidR="00D93BDF" w:rsidRPr="00D93BDF" w:rsidRDefault="00D93BDF" w:rsidP="00D93BDF">
            <w:pPr>
              <w:tabs>
                <w:tab w:val="left" w:pos="426"/>
              </w:tabs>
              <w:snapToGrid w:val="0"/>
              <w:spacing w:after="120" w:line="276" w:lineRule="auto"/>
              <w:ind w:firstLine="709"/>
              <w:jc w:val="both"/>
              <w:rPr>
                <w:rFonts w:ascii="Verdana" w:eastAsia="Calibri" w:hAnsi="Verdana" w:cs="Arial"/>
                <w:noProof/>
                <w:lang w:val="es-ES"/>
              </w:rPr>
            </w:pPr>
            <w:r w:rsidRPr="00D93BDF">
              <w:rPr>
                <w:rFonts w:ascii="Verdana" w:eastAsia="Aptos" w:hAnsi="Verdana" w:cs="Times New Roman"/>
              </w:rPr>
              <w:t>En efecto, el factor de calidad no constituye un criterio opcional o de libre inclusión para la entidad, en la medida en que el propio documento tipo le impone la obligación de seleccionar, cuando menos, una de las opciones señaladas, sin que exista la alternativa de omitir su incorporación en el proceso de selección. Lo anterior implica que la libertad de configuración de la entidad se limita exclusivamente a determinar cuál o cuáles de las opciones previstas resultan aplicables a las particularidades del objeto contractual, mas no a decidir si el factor de calidad debe o no hacer parte de los criterios de evaluación y asignación de puntaje, aspecto que resulta imperativo en los términos del numeral 4.2 del documento base.</w:t>
            </w:r>
          </w:p>
          <w:p w14:paraId="5C18B6AC" w14:textId="77777777" w:rsidR="00D93BDF" w:rsidRPr="00D93BDF" w:rsidRDefault="00D93BDF" w:rsidP="00D93BDF">
            <w:pPr>
              <w:snapToGrid w:val="0"/>
              <w:spacing w:after="120" w:line="276" w:lineRule="auto"/>
              <w:jc w:val="both"/>
              <w:rPr>
                <w:rFonts w:ascii="Verdana" w:eastAsia="Aptos" w:hAnsi="Verdana" w:cs="Times New Roman"/>
              </w:rPr>
            </w:pPr>
            <w:r w:rsidRPr="00D93BDF">
              <w:rPr>
                <w:rFonts w:ascii="Verdana" w:eastAsia="Calibri" w:hAnsi="Verdana" w:cs="Arial"/>
                <w:noProof/>
                <w:lang w:val="es-ES"/>
              </w:rPr>
              <w:t xml:space="preserve">   </w:t>
            </w:r>
            <w:r w:rsidRPr="00D93BDF">
              <w:rPr>
                <w:rFonts w:ascii="Verdana" w:eastAsia="Calibri" w:hAnsi="Verdana" w:cs="Arial"/>
                <w:bCs/>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B24DBEC" w14:textId="77777777" w:rsidR="00D93BDF" w:rsidRPr="00D93BDF" w:rsidRDefault="00D93BDF" w:rsidP="00D93BDF">
            <w:pPr>
              <w:spacing w:after="120" w:line="276" w:lineRule="auto"/>
              <w:ind w:firstLine="708"/>
              <w:jc w:val="both"/>
              <w:rPr>
                <w:rFonts w:ascii="Verdana" w:eastAsia="Calibri" w:hAnsi="Verdana" w:cs="Arial"/>
                <w:bCs/>
                <w:color w:val="000000"/>
              </w:rPr>
            </w:pPr>
            <w:r w:rsidRPr="00D93BDF">
              <w:rPr>
                <w:rFonts w:ascii="Verdana" w:eastAsia="Calibri" w:hAnsi="Verdana" w:cs="Arial"/>
                <w:bCs/>
                <w:color w:val="000000"/>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2BC3A5DB" w14:textId="77777777" w:rsidR="00D93BDF" w:rsidRPr="00D93BDF" w:rsidRDefault="00D93BDF" w:rsidP="00D93BDF">
      <w:pPr>
        <w:tabs>
          <w:tab w:val="left" w:pos="142"/>
          <w:tab w:val="left" w:pos="284"/>
        </w:tabs>
        <w:spacing w:after="0" w:line="276" w:lineRule="auto"/>
        <w:jc w:val="both"/>
        <w:rPr>
          <w:rFonts w:ascii="Verdana" w:eastAsia="Century Gothic" w:hAnsi="Verdana" w:cs="Century Gothic"/>
          <w:b/>
          <w:bCs/>
          <w:lang w:val="es-ES"/>
        </w:rPr>
      </w:pPr>
    </w:p>
    <w:p w14:paraId="0BBE8B51" w14:textId="77777777" w:rsidR="00D93BDF" w:rsidRPr="00D93BDF" w:rsidRDefault="00D93BDF" w:rsidP="00D93BDF">
      <w:pPr>
        <w:tabs>
          <w:tab w:val="left" w:pos="142"/>
          <w:tab w:val="left" w:pos="284"/>
        </w:tabs>
        <w:spacing w:after="0" w:line="276" w:lineRule="auto"/>
        <w:jc w:val="both"/>
        <w:rPr>
          <w:rFonts w:ascii="Verdana" w:eastAsia="Century Gothic" w:hAnsi="Verdana" w:cs="Century Gothic"/>
          <w:b/>
          <w:bCs/>
          <w:lang w:val="es-ES"/>
        </w:rPr>
      </w:pPr>
      <w:r w:rsidRPr="00D93BDF">
        <w:rPr>
          <w:rFonts w:ascii="Verdana" w:eastAsia="Century Gothic" w:hAnsi="Verdana" w:cs="Century Gothic"/>
          <w:b/>
          <w:bCs/>
          <w:lang w:val="es-ES"/>
        </w:rPr>
        <w:t>3. Razones de la respuesta:</w:t>
      </w:r>
    </w:p>
    <w:p w14:paraId="27F36437" w14:textId="77777777" w:rsidR="00D93BDF" w:rsidRPr="00D93BDF" w:rsidRDefault="00D93BDF" w:rsidP="00D93BDF">
      <w:pPr>
        <w:spacing w:after="0" w:line="276" w:lineRule="auto"/>
        <w:jc w:val="both"/>
        <w:rPr>
          <w:rFonts w:ascii="Verdana" w:eastAsia="Calibri" w:hAnsi="Verdana" w:cs="Arial"/>
          <w:lang w:val="es-ES"/>
        </w:rPr>
      </w:pPr>
    </w:p>
    <w:p w14:paraId="3F5857E4" w14:textId="77777777" w:rsidR="00D93BDF" w:rsidRPr="00D93BDF" w:rsidRDefault="00D93BDF" w:rsidP="00D93BDF">
      <w:pPr>
        <w:spacing w:after="0" w:line="276" w:lineRule="auto"/>
        <w:jc w:val="both"/>
        <w:rPr>
          <w:rFonts w:ascii="Verdana" w:eastAsia="Calibri" w:hAnsi="Verdana" w:cs="Arial"/>
          <w:lang w:val="es-ES"/>
        </w:rPr>
      </w:pPr>
      <w:r w:rsidRPr="00D93BDF">
        <w:rPr>
          <w:rFonts w:ascii="Verdana" w:eastAsia="Calibri" w:hAnsi="Verdana" w:cs="Arial"/>
          <w:lang w:val="es-ES"/>
        </w:rPr>
        <w:t xml:space="preserve">Lo anterior se sustenta en las siguientes consideraciones: </w:t>
      </w:r>
    </w:p>
    <w:p w14:paraId="3B308B5D" w14:textId="77777777" w:rsidR="00D93BDF" w:rsidRPr="00D93BDF" w:rsidRDefault="00D93BDF" w:rsidP="00D93BDF">
      <w:pPr>
        <w:spacing w:after="0" w:line="276" w:lineRule="auto"/>
        <w:jc w:val="both"/>
        <w:rPr>
          <w:rFonts w:ascii="Verdana" w:eastAsia="Calibri" w:hAnsi="Verdana" w:cs="Arial"/>
          <w:lang w:val="es-ES"/>
        </w:rPr>
      </w:pPr>
    </w:p>
    <w:p w14:paraId="505F37D7" w14:textId="77777777" w:rsidR="00D93BDF" w:rsidRPr="00D93BDF" w:rsidRDefault="00D93BDF" w:rsidP="00D93BDF">
      <w:pPr>
        <w:widowControl w:val="0"/>
        <w:autoSpaceDE w:val="0"/>
        <w:autoSpaceDN w:val="0"/>
        <w:spacing w:after="120" w:line="276" w:lineRule="auto"/>
        <w:jc w:val="both"/>
        <w:rPr>
          <w:rFonts w:ascii="Verdana" w:eastAsia="Aptos" w:hAnsi="Verdana" w:cs="Arial"/>
        </w:rPr>
      </w:pPr>
      <w:r w:rsidRPr="00D93BDF">
        <w:rPr>
          <w:rFonts w:ascii="Verdana" w:eastAsia="Calibri" w:hAnsi="Verdana" w:cs="Arial"/>
          <w:lang w:val="es-ES"/>
        </w:rPr>
        <w:t xml:space="preserve">i. </w:t>
      </w:r>
      <w:r w:rsidRPr="00D93BDF">
        <w:rPr>
          <w:rFonts w:ascii="Verdana" w:eastAsia="Aptos" w:hAnsi="Verdana" w:cs="Ari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6FEE10C3" w14:textId="77777777" w:rsidR="00D93BDF" w:rsidRPr="00D93BDF" w:rsidRDefault="00D93BDF" w:rsidP="00D93BDF">
      <w:pPr>
        <w:spacing w:after="120" w:line="276" w:lineRule="auto"/>
        <w:ind w:firstLine="708"/>
        <w:jc w:val="both"/>
        <w:rPr>
          <w:rFonts w:ascii="Verdana" w:eastAsia="Aptos" w:hAnsi="Verdana" w:cs="Arial"/>
        </w:rPr>
      </w:pPr>
      <w:r w:rsidRPr="00D93BDF">
        <w:rPr>
          <w:rFonts w:ascii="Verdana" w:eastAsia="Aptos" w:hAnsi="Verdana" w:cs="Arial"/>
          <w:lang w:val="es-ES"/>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1B060AFE"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Aptos" w:hAnsi="Verdana" w:cs="Arial"/>
        </w:rPr>
        <w:t xml:space="preserve">En el sector social, </w:t>
      </w:r>
      <w:r w:rsidRPr="00D93BDF">
        <w:rPr>
          <w:rFonts w:ascii="Verdana" w:eastAsia="Calibri" w:hAnsi="Verdana" w:cs="Arial"/>
          <w:lang w:val="es-MX"/>
        </w:rPr>
        <w:t xml:space="preserve">la Agencia Nacional de Contratación Pública – Colombia Compra </w:t>
      </w:r>
      <w:r w:rsidRPr="00D93BDF">
        <w:rPr>
          <w:rFonts w:ascii="Verdana" w:eastAsia="Calibri" w:hAnsi="Verdana" w:cs="Arial"/>
        </w:rPr>
        <w:t xml:space="preserve">Eficiente </w:t>
      </w:r>
      <w:r w:rsidRPr="00D93BDF">
        <w:rPr>
          <w:rFonts w:ascii="Verdana" w:eastAsia="Times New Roman" w:hAnsi="Verdana" w:cs="Times New Roman"/>
          <w:color w:val="000000"/>
          <w:lang w:eastAsia="es-CO"/>
        </w:rPr>
        <w:t xml:space="preserve">en el segundo semestre del año 2025 adoptó las siguientes Resoluciones para </w:t>
      </w:r>
      <w:r w:rsidRPr="00D93BDF">
        <w:rPr>
          <w:rFonts w:ascii="Verdana" w:eastAsia="Times New Roman" w:hAnsi="Verdana" w:cs="Times New Roman"/>
          <w:i/>
          <w:iCs/>
          <w:color w:val="000000"/>
          <w:lang w:eastAsia="es-CO"/>
        </w:rPr>
        <w:t>contratar obra pública</w:t>
      </w:r>
      <w:r w:rsidRPr="00D93BDF">
        <w:rPr>
          <w:rFonts w:ascii="Verdana" w:eastAsia="Times New Roman" w:hAnsi="Verdana" w:cs="Times New Roman"/>
          <w:color w:val="000000"/>
          <w:lang w:eastAsia="es-CO"/>
        </w:rPr>
        <w:t xml:space="preserve"> y concurso de méritos:</w:t>
      </w:r>
    </w:p>
    <w:p w14:paraId="51E07961"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2B9D668A"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 xml:space="preserve"> </w:t>
      </w:r>
      <w:proofErr w:type="spellStart"/>
      <w:r w:rsidRPr="00D93BDF">
        <w:rPr>
          <w:rFonts w:ascii="Verdana" w:eastAsia="Times New Roman" w:hAnsi="Verdana" w:cs="Times New Roman"/>
          <w:color w:val="000000"/>
          <w:lang w:eastAsia="es-CO"/>
        </w:rPr>
        <w:t>ii</w:t>
      </w:r>
      <w:proofErr w:type="spellEnd"/>
      <w:r w:rsidRPr="00D93BDF">
        <w:rPr>
          <w:rFonts w:ascii="Verdana" w:eastAsia="Times New Roman" w:hAnsi="Verdana" w:cs="Times New Roman"/>
          <w:color w:val="000000"/>
          <w:lang w:eastAsia="es-CO"/>
        </w:rPr>
        <w:t xml:space="preserve">)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w:t>
      </w:r>
      <w:r w:rsidRPr="00D93BDF">
        <w:rPr>
          <w:rFonts w:ascii="Verdana" w:eastAsia="Times New Roman" w:hAnsi="Verdana" w:cs="Times New Roman"/>
          <w:color w:val="000000"/>
          <w:lang w:eastAsia="es-CO"/>
        </w:rPr>
        <w:lastRenderedPageBreak/>
        <w:t>infraestructura social relacionados con los sectores educación, salud, cultura, recreación y deporte, institucional y vivienda".</w:t>
      </w:r>
    </w:p>
    <w:p w14:paraId="50738FFA"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proofErr w:type="spellStart"/>
      <w:r w:rsidRPr="00D93BDF">
        <w:rPr>
          <w:rFonts w:ascii="Verdana" w:eastAsia="Times New Roman" w:hAnsi="Verdana" w:cs="Times New Roman"/>
          <w:color w:val="000000"/>
          <w:lang w:eastAsia="es-CO"/>
        </w:rPr>
        <w:t>iii</w:t>
      </w:r>
      <w:proofErr w:type="spellEnd"/>
      <w:r w:rsidRPr="00D93BDF">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7C674D79"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proofErr w:type="spellStart"/>
      <w:r w:rsidRPr="00D93BDF">
        <w:rPr>
          <w:rFonts w:ascii="Verdana" w:eastAsia="Times New Roman" w:hAnsi="Verdana" w:cs="Times New Roman"/>
          <w:color w:val="000000"/>
          <w:lang w:eastAsia="es-CO"/>
        </w:rPr>
        <w:t>iv</w:t>
      </w:r>
      <w:proofErr w:type="spellEnd"/>
      <w:r w:rsidRPr="00D93BDF">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22140B20"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D93BDF">
        <w:rPr>
          <w:rFonts w:ascii="Verdana" w:eastAsia="Aptos" w:hAnsi="Verdana" w:cs="Times New Roman"/>
          <w:kern w:val="2"/>
          <w14:ligatures w14:val="standardContextual"/>
        </w:rPr>
        <w:t xml:space="preserve"> </w:t>
      </w:r>
    </w:p>
    <w:p w14:paraId="75FBA150" w14:textId="77777777" w:rsidR="00D93BDF" w:rsidRPr="00D93BDF" w:rsidRDefault="00D93BDF" w:rsidP="00D93BDF">
      <w:pPr>
        <w:spacing w:after="120" w:line="276" w:lineRule="auto"/>
        <w:ind w:firstLine="708"/>
        <w:jc w:val="both"/>
        <w:textAlignment w:val="baseline"/>
        <w:rPr>
          <w:rFonts w:ascii="Verdana" w:eastAsia="Calibri" w:hAnsi="Verdana" w:cs="Arial"/>
        </w:rPr>
      </w:pPr>
      <w:r w:rsidRPr="00D93BDF">
        <w:rPr>
          <w:rFonts w:ascii="Verdana" w:eastAsia="Aptos" w:hAnsi="Verdana" w:cs="Times New Roman"/>
          <w:kern w:val="2"/>
          <w14:ligatures w14:val="standardContextual"/>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D93BDF">
        <w:rPr>
          <w:rFonts w:ascii="Verdana" w:eastAsia="Calibri" w:hAnsi="Verdana" w:cs="Arial"/>
          <w:vertAlign w:val="superscript"/>
        </w:rPr>
        <w:footnoteReference w:id="2"/>
      </w:r>
      <w:r w:rsidRPr="00D93BDF">
        <w:rPr>
          <w:rFonts w:ascii="Verdana" w:eastAsia="Calibri" w:hAnsi="Verdana" w:cs="Arial"/>
        </w:rPr>
        <w:t>.</w:t>
      </w:r>
    </w:p>
    <w:p w14:paraId="51688055"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lang w:val="es-ES"/>
        </w:rPr>
      </w:pPr>
      <w:r w:rsidRPr="00D93BDF">
        <w:rPr>
          <w:rFonts w:ascii="Verdana" w:eastAsia="Calibri" w:hAnsi="Verdana" w:cs="Times New Roman"/>
          <w:lang w:val="es-ES"/>
        </w:rPr>
        <w:lastRenderedPageBreak/>
        <w:t xml:space="preserve">Es importante resaltar que, en virtud de la regla de inalterabilidad, los documentos tipo solo pueden ser modificados en los aspectos en que estos lo permitan. Esto corresponde a aquellos elementos que se encuentran entre corchetes y resaltados en gris </w:t>
      </w:r>
      <w:r w:rsidRPr="00D93BDF">
        <w:rPr>
          <w:rFonts w:ascii="Verdana" w:eastAsia="Calibri" w:hAnsi="Verdana" w:cs="Times New Roman"/>
          <w:shd w:val="clear" w:color="auto" w:fill="E8E8E8"/>
          <w:lang w:val="es-ES"/>
        </w:rPr>
        <w:t>–[texto]–,</w:t>
      </w:r>
      <w:r w:rsidRPr="00D93BDF">
        <w:rPr>
          <w:rFonts w:ascii="Verdana" w:eastAsia="Calibri" w:hAnsi="Verdana" w:cs="Times New Roman"/>
          <w:lang w:val="es-ES"/>
        </w:rPr>
        <w:t xml:space="preserve"> para lo cual deberán observarse las instrucciones contenidas en los mismos para su diligenciamiento.</w:t>
      </w:r>
    </w:p>
    <w:p w14:paraId="311029E7"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lang w:val="es-ES"/>
        </w:rPr>
      </w:pPr>
      <w:r w:rsidRPr="00D93BDF">
        <w:rPr>
          <w:rFonts w:ascii="Verdana" w:eastAsia="Calibri" w:hAnsi="Verdana" w:cs="Times New Roman"/>
          <w:lang w:val="es-ES"/>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54244168"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lang w:val="es-ES"/>
        </w:rPr>
      </w:pPr>
      <w:r w:rsidRPr="00D93BDF">
        <w:rPr>
          <w:rFonts w:ascii="Verdana" w:eastAsia="Calibri" w:hAnsi="Verdana" w:cs="Times New Roman"/>
          <w:lang w:val="es-ES"/>
        </w:rPr>
        <w:t xml:space="preserve">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w:t>
      </w:r>
      <w:r w:rsidRPr="00D93BDF">
        <w:rPr>
          <w:rFonts w:ascii="Verdana" w:eastAsia="Calibri" w:hAnsi="Verdana" w:cs="Times New Roman"/>
          <w:lang w:val="es-ES"/>
        </w:rPr>
        <w:lastRenderedPageBreak/>
        <w:t>Agencia mediante las cuales se adoptan documentos tipo.</w:t>
      </w:r>
    </w:p>
    <w:p w14:paraId="0DEE1F5B"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lang w:val="es-ES"/>
        </w:rPr>
      </w:pPr>
      <w:r w:rsidRPr="00D93BDF">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335A11B"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lang w:val="es-ES"/>
        </w:rPr>
      </w:pPr>
      <w:r w:rsidRPr="00D93BDF">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3B724161" w14:textId="77777777" w:rsidR="00D93BDF" w:rsidRPr="00D93BDF" w:rsidRDefault="00D93BDF" w:rsidP="00D93BDF">
      <w:pPr>
        <w:widowControl w:val="0"/>
        <w:autoSpaceDE w:val="0"/>
        <w:autoSpaceDN w:val="0"/>
        <w:spacing w:after="0" w:line="276" w:lineRule="auto"/>
        <w:ind w:firstLine="708"/>
        <w:jc w:val="both"/>
        <w:rPr>
          <w:rFonts w:ascii="Verdana" w:eastAsia="Calibri" w:hAnsi="Verdana" w:cs="Times New Roman"/>
          <w:lang w:val="es-ES"/>
        </w:rPr>
      </w:pPr>
      <w:r w:rsidRPr="00D93BDF">
        <w:rPr>
          <w:rFonts w:ascii="Verdana" w:eastAsia="Calibri" w:hAnsi="Verdana" w:cs="Times New Roman"/>
          <w:lang w:val="es-ES"/>
        </w:rPr>
        <w:t>De esta manera, para saber a qué actividades deben aplicarse los documentos tipo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29430567" w14:textId="77777777" w:rsidR="00D93BDF" w:rsidRPr="00D93BDF" w:rsidRDefault="00D93BDF" w:rsidP="00D93BDF">
      <w:pPr>
        <w:widowControl w:val="0"/>
        <w:autoSpaceDE w:val="0"/>
        <w:autoSpaceDN w:val="0"/>
        <w:spacing w:after="0" w:line="276" w:lineRule="auto"/>
        <w:jc w:val="both"/>
        <w:rPr>
          <w:rFonts w:ascii="Verdana" w:eastAsia="Calibri" w:hAnsi="Verdana" w:cs="Times New Roman"/>
          <w:lang w:val="es-ES"/>
        </w:rPr>
      </w:pPr>
    </w:p>
    <w:p w14:paraId="0B32FEC3" w14:textId="77777777" w:rsidR="00D93BDF" w:rsidRPr="00D93BDF" w:rsidRDefault="00D93BDF" w:rsidP="00D93BDF">
      <w:pPr>
        <w:snapToGrid w:val="0"/>
        <w:spacing w:after="120" w:line="276" w:lineRule="auto"/>
        <w:jc w:val="both"/>
        <w:rPr>
          <w:rFonts w:ascii="Verdana" w:eastAsia="Times New Roman" w:hAnsi="Verdana" w:cs="Arial"/>
          <w:kern w:val="2"/>
          <w:sz w:val="24"/>
          <w:szCs w:val="24"/>
          <w:shd w:val="clear" w:color="auto" w:fill="FFFFFF"/>
          <w:lang w:val="es-ES_tradnl" w:eastAsia="es-ES_tradnl"/>
          <w14:ligatures w14:val="standardContextual"/>
        </w:rPr>
      </w:pPr>
      <w:proofErr w:type="spellStart"/>
      <w:r w:rsidRPr="00D93BDF">
        <w:rPr>
          <w:rFonts w:ascii="Verdana" w:eastAsia="Calibri" w:hAnsi="Verdana" w:cs="Times New Roman"/>
          <w:lang w:val="es-ES"/>
        </w:rPr>
        <w:t>ii</w:t>
      </w:r>
      <w:proofErr w:type="spellEnd"/>
      <w:r w:rsidRPr="00D93BDF">
        <w:rPr>
          <w:rFonts w:ascii="Verdana" w:eastAsia="Calibri" w:hAnsi="Verdana" w:cs="Times New Roman"/>
          <w:lang w:val="es-ES"/>
        </w:rPr>
        <w:t xml:space="preserve">. </w:t>
      </w:r>
      <w:r w:rsidRPr="00D93BDF">
        <w:rPr>
          <w:rFonts w:ascii="Verdana" w:eastAsia="Times New Roman" w:hAnsi="Verdana" w:cs="Arial"/>
          <w:kern w:val="2"/>
          <w:shd w:val="clear" w:color="auto" w:fill="FFFFFF"/>
          <w:lang w:val="es-ES_tradnl" w:eastAsia="es-ES_tradnl"/>
          <w14:ligatures w14:val="standardContextual"/>
        </w:rPr>
        <w:t xml:space="preserve">Los documentos tipo adoptados por la Agencia Nacional de Contratación Pública </w:t>
      </w:r>
      <w:r w:rsidRPr="00D93BDF">
        <w:rPr>
          <w:rFonts w:ascii="Verdana" w:eastAsia="Symbol" w:hAnsi="Verdana" w:cs="Symbol"/>
          <w:kern w:val="2"/>
          <w:shd w:val="clear" w:color="auto" w:fill="FFFFFF"/>
          <w:lang w:val="es-ES_tradnl" w:eastAsia="es-ES_tradnl"/>
          <w14:ligatures w14:val="standardContextual"/>
        </w:rPr>
        <w:t>–</w:t>
      </w:r>
      <w:r w:rsidRPr="00D93BDF">
        <w:rPr>
          <w:rFonts w:ascii="Verdana" w:eastAsia="Times New Roman" w:hAnsi="Verdana" w:cs="Arial"/>
          <w:kern w:val="2"/>
          <w:shd w:val="clear" w:color="auto" w:fill="FFFFFF"/>
          <w:lang w:val="es-ES_tradnl" w:eastAsia="es-ES_tradnl"/>
          <w14:ligatures w14:val="standardContextual"/>
        </w:rPr>
        <w:t xml:space="preserve"> Colombia Compra eficiente</w:t>
      </w:r>
      <w:r w:rsidRPr="00D93BDF">
        <w:rPr>
          <w:rFonts w:ascii="Verdana" w:eastAsia="Aptos" w:hAnsi="Verdana" w:cs="Times New Roman"/>
          <w:kern w:val="2"/>
          <w:lang w:val="es-ES_tradnl"/>
          <w14:ligatures w14:val="standardContextual"/>
        </w:rPr>
        <w:t xml:space="preserve"> en el sector de infraestructura social</w:t>
      </w:r>
      <w:r w:rsidRPr="00D93BDF">
        <w:rPr>
          <w:rFonts w:ascii="Verdana" w:eastAsia="Times New Roman" w:hAnsi="Verdana" w:cs="Arial"/>
          <w:kern w:val="2"/>
          <w:shd w:val="clear" w:color="auto" w:fill="FFFFFF"/>
          <w:lang w:val="es-ES_tradnl" w:eastAsia="es-ES_tradnl"/>
          <w14:ligatures w14:val="standardContextual"/>
        </w:rPr>
        <w:t>, aplican para los procesos de “</w:t>
      </w:r>
      <w:r w:rsidRPr="00D93BDF">
        <w:rPr>
          <w:rFonts w:ascii="Verdana" w:eastAsia="Times New Roman" w:hAnsi="Verdana" w:cs="Arial"/>
          <w:i/>
          <w:iCs/>
          <w:kern w:val="2"/>
          <w:shd w:val="clear" w:color="auto" w:fill="FFFFFF"/>
          <w:lang w:val="es-ES_tradnl" w:eastAsia="es-ES_tradnl"/>
          <w14:ligatures w14:val="standardContextual"/>
        </w:rPr>
        <w:t>obra pública”</w:t>
      </w:r>
      <w:r w:rsidRPr="00D93BDF">
        <w:rPr>
          <w:rFonts w:ascii="Verdana" w:eastAsia="Times New Roman" w:hAnsi="Verdana" w:cs="Arial"/>
          <w:kern w:val="2"/>
          <w:shd w:val="clear" w:color="auto" w:fill="FFFFFF"/>
          <w:lang w:val="es-ES_tradnl" w:eastAsia="es-ES_tradnl"/>
          <w14:ligatures w14:val="standardContextual"/>
        </w:rPr>
        <w:t xml:space="preserve"> en las modalidades de selección acogidas: licitación pública, selección abreviada de menor cuantía y mínima cuantía.</w:t>
      </w:r>
      <w:r w:rsidRPr="00D93BDF">
        <w:rPr>
          <w:rFonts w:ascii="Verdana" w:eastAsia="Times New Roman" w:hAnsi="Verdana" w:cs="Arial"/>
          <w:kern w:val="2"/>
          <w:sz w:val="24"/>
          <w:szCs w:val="24"/>
          <w:shd w:val="clear" w:color="auto" w:fill="FFFFFF"/>
          <w:lang w:val="es-ES_tradnl" w:eastAsia="es-ES_tradnl"/>
          <w14:ligatures w14:val="standardContextual"/>
        </w:rPr>
        <w:t xml:space="preserve"> </w:t>
      </w:r>
    </w:p>
    <w:p w14:paraId="3E64371D" w14:textId="77777777" w:rsidR="00D93BDF" w:rsidRPr="00D93BDF" w:rsidRDefault="00D93BDF" w:rsidP="00D93BDF">
      <w:pPr>
        <w:snapToGrid w:val="0"/>
        <w:spacing w:after="120" w:line="276" w:lineRule="auto"/>
        <w:ind w:firstLine="705"/>
        <w:jc w:val="both"/>
        <w:rPr>
          <w:rFonts w:ascii="Verdana" w:eastAsia="Times New Roman" w:hAnsi="Verdana" w:cs="Arial"/>
          <w:kern w:val="2"/>
          <w:sz w:val="24"/>
          <w:szCs w:val="24"/>
          <w:shd w:val="clear" w:color="auto" w:fill="FFFFFF"/>
          <w:lang w:val="es-ES_tradnl" w:eastAsia="es-ES_tradnl"/>
          <w14:ligatures w14:val="standardContextual"/>
        </w:rPr>
      </w:pPr>
      <w:r w:rsidRPr="00D93BDF">
        <w:rPr>
          <w:rFonts w:ascii="Verdana" w:eastAsia="Times New Roman" w:hAnsi="Verdana" w:cs="Arial"/>
          <w:color w:val="000000"/>
          <w:kern w:val="2"/>
          <w:lang w:val="es-ES" w:eastAsia="es-MX"/>
          <w14:ligatures w14:val="standardContextual"/>
        </w:rPr>
        <w:t xml:space="preserve">La obra pública es una tipología de los contratos estatales, entendidos estos últimos como los actos jurídicos generadores de obligaciones que han sido celebrados por alguna de las entidades estatales enlistadas en el artículo 2 de la Ley 80 de 1993.  Lo anterior resulta de especial relevancia, en la medida en que dicho tipo contractual se diferencia de la definición y regulación prevista en el </w:t>
      </w:r>
      <w:r w:rsidRPr="00D93BDF">
        <w:rPr>
          <w:rFonts w:ascii="Verdana" w:eastAsia="Times New Roman" w:hAnsi="Verdana" w:cs="Arial"/>
          <w:color w:val="000000"/>
          <w:kern w:val="2"/>
          <w:lang w:val="es-ES" w:eastAsia="es-MX"/>
          <w14:ligatures w14:val="standardContextual"/>
        </w:rPr>
        <w:lastRenderedPageBreak/>
        <w:t>derecho privado para el contrato de confección de obra material regulado en el Código Civil.   </w:t>
      </w:r>
      <w:r w:rsidRPr="00D93BDF">
        <w:rPr>
          <w:rFonts w:ascii="Verdana" w:eastAsia="Times New Roman" w:hAnsi="Verdana" w:cs="Arial"/>
          <w:color w:val="000000"/>
          <w:kern w:val="2"/>
          <w:lang w:eastAsia="es-MX"/>
          <w14:ligatures w14:val="standardContextual"/>
        </w:rPr>
        <w:t> </w:t>
      </w:r>
    </w:p>
    <w:p w14:paraId="25A316D3" w14:textId="77777777" w:rsidR="00D93BDF" w:rsidRPr="00D93BDF" w:rsidRDefault="00D93BDF" w:rsidP="00D93BDF">
      <w:pPr>
        <w:snapToGrid w:val="0"/>
        <w:spacing w:after="0" w:line="276"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En efecto, en el derecho privado brilla por la ausencia una definición del contrato de obra. El artículo 2053 del Código Civil lo tipifica como una de las clases de arrendamiento, y establece reglas para diferenciarlo de la compraventa, para lo cual dispone que “Si al artífice suministra la materia para la confección de una obra material, el contrato es de venta; pero no se perfecciona sino por la aprobación del que ordenó la obra”. Por el contrario, “Si la materia es suministrada por la persona que encargó la obra, el contrato es de arrendamiento”; pero “Si la materia principal es suministrada por el que ha ordenado la obra, poniendo el artífice lo demás, el contrato es de arrendamiento; en el caso contrario, de venta”. En todo caso, en la medida en que los artículos 2060 y 2061 del Código disponen reglas especiales para los contratos de construcción y de arquitectura, es claro que la realización de trabajos materiales recae tanto sobre bienes muebles como inmuebles. Así, la doctrina considera que:</w:t>
      </w:r>
      <w:r w:rsidRPr="00D93BDF">
        <w:rPr>
          <w:rFonts w:ascii="Verdana" w:eastAsia="Times New Roman" w:hAnsi="Verdana" w:cs="Arial"/>
          <w:color w:val="000000"/>
          <w:kern w:val="2"/>
          <w:lang w:eastAsia="es-MX"/>
          <w14:ligatures w14:val="standardContextual"/>
        </w:rPr>
        <w:t> </w:t>
      </w:r>
    </w:p>
    <w:p w14:paraId="7CAF5478" w14:textId="77777777" w:rsidR="00D93BDF" w:rsidRPr="00D93BDF" w:rsidRDefault="00D93BDF" w:rsidP="00D93BDF">
      <w:pPr>
        <w:snapToGrid w:val="0"/>
        <w:spacing w:after="0" w:line="240" w:lineRule="auto"/>
        <w:ind w:left="705" w:right="705"/>
        <w:jc w:val="both"/>
        <w:textAlignment w:val="baseline"/>
        <w:rPr>
          <w:rFonts w:ascii="Verdana" w:eastAsia="Times New Roman" w:hAnsi="Verdana" w:cs="Segoe UI"/>
          <w:kern w:val="2"/>
          <w:sz w:val="18"/>
          <w:szCs w:val="18"/>
          <w:lang w:eastAsia="es-MX"/>
          <w14:ligatures w14:val="standardContextual"/>
        </w:rPr>
      </w:pPr>
      <w:r w:rsidRPr="00D93BDF">
        <w:rPr>
          <w:rFonts w:ascii="Verdana" w:eastAsia="Times New Roman" w:hAnsi="Verdana" w:cs="Arial"/>
          <w:color w:val="000000"/>
          <w:kern w:val="2"/>
          <w:sz w:val="24"/>
          <w:szCs w:val="24"/>
          <w:lang w:eastAsia="es-MX"/>
          <w14:ligatures w14:val="standardContextual"/>
        </w:rPr>
        <w:t> </w:t>
      </w:r>
    </w:p>
    <w:p w14:paraId="6D488C28" w14:textId="77777777" w:rsidR="00D93BDF" w:rsidRPr="00D93BDF" w:rsidRDefault="00D93BDF" w:rsidP="00D93BDF">
      <w:pPr>
        <w:snapToGrid w:val="0"/>
        <w:spacing w:after="120" w:line="240" w:lineRule="auto"/>
        <w:ind w:left="705" w:right="705"/>
        <w:jc w:val="both"/>
        <w:textAlignment w:val="baseline"/>
        <w:rPr>
          <w:rFonts w:ascii="Verdana" w:eastAsia="Times New Roman" w:hAnsi="Verdana" w:cs="Segoe UI"/>
          <w:kern w:val="2"/>
          <w:sz w:val="21"/>
          <w:szCs w:val="21"/>
          <w:lang w:eastAsia="es-MX"/>
          <w14:ligatures w14:val="standardContextual"/>
        </w:rPr>
      </w:pPr>
      <w:r w:rsidRPr="00D93BDF">
        <w:rPr>
          <w:rFonts w:ascii="Verdana" w:eastAsia="Times New Roman" w:hAnsi="Verdana" w:cs="Arial"/>
          <w:color w:val="000000"/>
          <w:kern w:val="2"/>
          <w:sz w:val="21"/>
          <w:szCs w:val="21"/>
          <w:lang w:val="es-ES" w:eastAsia="es-MX"/>
          <w14:ligatures w14:val="standardContextual"/>
        </w:rPr>
        <w:t>“Puede definirse el arrendamiento de obra o contrato de confección de obra material como aquél por el cual una persona llamada artífice, se obliga, mediante cierto precio, a ejecutar una obra material. Los elementos de este contrato, fuera del consentimiento indispensable en todo contrato, son la ejecución de la obra y el precio.</w:t>
      </w:r>
      <w:r w:rsidRPr="00D93BDF">
        <w:rPr>
          <w:rFonts w:ascii="Verdana" w:eastAsia="Times New Roman" w:hAnsi="Verdana" w:cs="Arial"/>
          <w:color w:val="000000"/>
          <w:kern w:val="2"/>
          <w:sz w:val="21"/>
          <w:szCs w:val="21"/>
          <w:lang w:eastAsia="es-MX"/>
          <w14:ligatures w14:val="standardContextual"/>
        </w:rPr>
        <w:t> </w:t>
      </w:r>
    </w:p>
    <w:p w14:paraId="1335D172" w14:textId="77777777" w:rsidR="00D93BDF" w:rsidRPr="00D93BDF" w:rsidRDefault="00D93BDF" w:rsidP="00D93BDF">
      <w:pPr>
        <w:snapToGrid w:val="0"/>
        <w:spacing w:after="0" w:line="240" w:lineRule="auto"/>
        <w:ind w:left="705" w:right="705"/>
        <w:jc w:val="both"/>
        <w:textAlignment w:val="baseline"/>
        <w:rPr>
          <w:rFonts w:ascii="Verdana" w:eastAsia="Times New Roman" w:hAnsi="Verdana" w:cs="Segoe UI"/>
          <w:kern w:val="2"/>
          <w:sz w:val="21"/>
          <w:szCs w:val="21"/>
          <w:lang w:eastAsia="es-MX"/>
          <w14:ligatures w14:val="standardContextual"/>
        </w:rPr>
      </w:pPr>
      <w:r w:rsidRPr="00D93BDF">
        <w:rPr>
          <w:rFonts w:ascii="Verdana" w:eastAsia="Times New Roman" w:hAnsi="Verdana" w:cs="Arial"/>
          <w:color w:val="000000"/>
          <w:kern w:val="2"/>
          <w:sz w:val="21"/>
          <w:szCs w:val="21"/>
          <w:lang w:val="es-ES" w:eastAsia="es-MX"/>
          <w14:ligatures w14:val="standardContextual"/>
        </w:rPr>
        <w:t>Así como en el arrendamiento de cosas, el arrendador es obligado a suministrar el goce de la cosa, en el arrendamiento de obras es obligado a la ejecución de una obra material; mediante este contrato, el arrendador va a poner su trabajo al servicio de otro para transformar una sustancia en una obra nueva, que puede ser mueble o inmueble; cabe dentro de este contrato los más variados trabajos: el del sastre, del carpintero, del arquitecto, del ingeniero, etc. Lo que caracteriza entonces este contrato es que se haga una obra nueva con una sustancia mediante la transformación de ella por el trabajo del hombre”</w:t>
      </w:r>
      <w:r w:rsidRPr="00D93BDF">
        <w:rPr>
          <w:rFonts w:ascii="Verdana" w:eastAsia="Times New Roman" w:hAnsi="Verdana" w:cs="Arial"/>
          <w:color w:val="000000"/>
          <w:kern w:val="2"/>
          <w:sz w:val="21"/>
          <w:szCs w:val="21"/>
          <w:vertAlign w:val="superscript"/>
          <w:lang w:val="es-ES" w:eastAsia="es-MX"/>
          <w14:ligatures w14:val="standardContextual"/>
        </w:rPr>
        <w:footnoteReference w:id="3"/>
      </w:r>
      <w:r w:rsidRPr="00D93BDF">
        <w:rPr>
          <w:rFonts w:ascii="Verdana" w:eastAsia="Times New Roman" w:hAnsi="Verdana" w:cs="Arial"/>
          <w:color w:val="000000"/>
          <w:kern w:val="2"/>
          <w:sz w:val="21"/>
          <w:szCs w:val="21"/>
          <w:lang w:val="es-ES" w:eastAsia="es-MX"/>
          <w14:ligatures w14:val="standardContextual"/>
        </w:rPr>
        <w:t>.  </w:t>
      </w:r>
      <w:r w:rsidRPr="00D93BDF">
        <w:rPr>
          <w:rFonts w:ascii="Verdana" w:eastAsia="Times New Roman" w:hAnsi="Verdana" w:cs="Arial"/>
          <w:color w:val="000000"/>
          <w:kern w:val="2"/>
          <w:sz w:val="21"/>
          <w:szCs w:val="21"/>
          <w:lang w:eastAsia="es-MX"/>
          <w14:ligatures w14:val="standardContextual"/>
        </w:rPr>
        <w:t> </w:t>
      </w:r>
    </w:p>
    <w:p w14:paraId="12B0C015" w14:textId="77777777" w:rsidR="00D93BDF" w:rsidRPr="00D93BDF" w:rsidRDefault="00D93BDF" w:rsidP="00D93BDF">
      <w:pPr>
        <w:snapToGrid w:val="0"/>
        <w:spacing w:after="0" w:line="240" w:lineRule="auto"/>
        <w:ind w:left="705" w:right="705"/>
        <w:jc w:val="both"/>
        <w:textAlignment w:val="baseline"/>
        <w:rPr>
          <w:rFonts w:ascii="Verdana" w:eastAsia="Times New Roman" w:hAnsi="Verdana" w:cs="Segoe UI"/>
          <w:kern w:val="2"/>
          <w:sz w:val="18"/>
          <w:szCs w:val="18"/>
          <w:lang w:eastAsia="es-MX"/>
          <w14:ligatures w14:val="standardContextual"/>
        </w:rPr>
      </w:pPr>
      <w:r w:rsidRPr="00D93BDF">
        <w:rPr>
          <w:rFonts w:ascii="Verdana" w:eastAsia="Times New Roman" w:hAnsi="Verdana" w:cs="Arial"/>
          <w:color w:val="000000"/>
          <w:kern w:val="2"/>
          <w:sz w:val="21"/>
          <w:szCs w:val="21"/>
          <w:lang w:val="es-ES" w:eastAsia="es-MX"/>
          <w14:ligatures w14:val="standardContextual"/>
        </w:rPr>
        <w:t>    </w:t>
      </w:r>
      <w:r w:rsidRPr="00D93BDF">
        <w:rPr>
          <w:rFonts w:ascii="Verdana" w:eastAsia="Times New Roman" w:hAnsi="Verdana" w:cs="Arial"/>
          <w:color w:val="000000"/>
          <w:kern w:val="2"/>
          <w:sz w:val="21"/>
          <w:szCs w:val="21"/>
          <w:lang w:eastAsia="es-MX"/>
          <w14:ligatures w14:val="standardContextual"/>
        </w:rPr>
        <w:t> </w:t>
      </w:r>
    </w:p>
    <w:p w14:paraId="21C5ABEA" w14:textId="77777777" w:rsidR="00D93BDF" w:rsidRPr="00D93BDF" w:rsidRDefault="00D93BDF" w:rsidP="00D93BDF">
      <w:pPr>
        <w:snapToGrid w:val="0"/>
        <w:spacing w:after="0" w:line="276"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En </w:t>
      </w:r>
      <w:r w:rsidRPr="00D93BDF">
        <w:rPr>
          <w:rFonts w:ascii="Verdana" w:eastAsia="Times New Roman" w:hAnsi="Verdana" w:cs="Arial"/>
          <w:i/>
          <w:iCs/>
          <w:color w:val="000000"/>
          <w:kern w:val="2"/>
          <w:lang w:val="es-ES" w:eastAsia="es-MX"/>
          <w14:ligatures w14:val="standardContextual"/>
        </w:rPr>
        <w:t>sentido amplio</w:t>
      </w:r>
      <w:r w:rsidRPr="00D93BDF">
        <w:rPr>
          <w:rFonts w:ascii="Verdana" w:eastAsia="Times New Roman" w:hAnsi="Verdana" w:cs="Arial"/>
          <w:color w:val="000000"/>
          <w:kern w:val="2"/>
          <w:lang w:val="es-ES" w:eastAsia="es-MX"/>
          <w14:ligatures w14:val="standardContextual"/>
        </w:rPr>
        <w:t xml:space="preserve">, dado que la “obra” es un bien que crea la actividad humana, el hecho de que sea “pública” significa que es todo trabajo material en </w:t>
      </w:r>
      <w:r w:rsidRPr="00D93BDF">
        <w:rPr>
          <w:rFonts w:ascii="Verdana" w:eastAsia="Times New Roman" w:hAnsi="Verdana" w:cs="Arial"/>
          <w:color w:val="000000"/>
          <w:kern w:val="2"/>
          <w:lang w:val="es-ES" w:eastAsia="es-MX"/>
          <w14:ligatures w14:val="standardContextual"/>
        </w:rPr>
        <w:lastRenderedPageBreak/>
        <w:t>cuya creación o realización interviene el Estado. No obstante, el numeral 1 del artículo 32 de la Ley 80 de 1993 opta por un </w:t>
      </w:r>
      <w:r w:rsidRPr="00D93BDF">
        <w:rPr>
          <w:rFonts w:ascii="Verdana" w:eastAsia="Times New Roman" w:hAnsi="Verdana" w:cs="Arial"/>
          <w:i/>
          <w:iCs/>
          <w:color w:val="000000"/>
          <w:kern w:val="2"/>
          <w:lang w:val="es-ES" w:eastAsia="es-MX"/>
          <w14:ligatures w14:val="standardContextual"/>
        </w:rPr>
        <w:t>sentido restringido</w:t>
      </w:r>
      <w:r w:rsidRPr="00D93BDF">
        <w:rPr>
          <w:rFonts w:ascii="Verdana" w:eastAsia="Times New Roman" w:hAnsi="Verdana" w:cs="Arial"/>
          <w:color w:val="000000"/>
          <w:kern w:val="2"/>
          <w:lang w:val="es-ES" w:eastAsia="es-MX"/>
          <w14:ligatures w14:val="standardContextual"/>
        </w:rPr>
        <w:t>, al disponer que “Son contratos de obra los que celebren las entidades estatales para la construcción, mantenimiento, instalación y, en general, para la realización de cualquier otro trabajo material sobre bienes inmuebles, cualquiera que sea la modalidad de ejecución y pago”, de manera que este tipo de contrato no aplica a los trabajos materiales realizados sobre bienes muebles. Por lo anterior, el legislador adoptó el criterio de la tipificación del contrato de obra pública a actividades realizadas sobre bienes inmuebles, admitiendo, de forma muy amplia, la ejecución de todo trabajo que tenga por objeto crear, construir, conservar o modificar bienes inmuebles, lo cual incluye trabajos de construcción, instalación, conservación, mantenimiento, reparación y demolición de esos mismos</w:t>
      </w:r>
      <w:r w:rsidRPr="00D93BDF">
        <w:rPr>
          <w:rFonts w:ascii="Verdana" w:eastAsia="Times New Roman" w:hAnsi="Verdana" w:cs="Arial"/>
          <w:color w:val="000000"/>
          <w:kern w:val="2"/>
          <w:vertAlign w:val="superscript"/>
          <w:lang w:val="es-ES" w:eastAsia="es-MX"/>
          <w14:ligatures w14:val="standardContextual"/>
        </w:rPr>
        <w:footnoteReference w:id="4"/>
      </w:r>
      <w:r w:rsidRPr="00D93BDF">
        <w:rPr>
          <w:rFonts w:ascii="Verdana" w:eastAsia="Times New Roman" w:hAnsi="Verdana" w:cs="Arial"/>
          <w:color w:val="000000"/>
          <w:kern w:val="2"/>
          <w:lang w:val="es-ES" w:eastAsia="es-MX"/>
          <w14:ligatures w14:val="standardContextual"/>
        </w:rPr>
        <w:t>. De esta manera:</w:t>
      </w:r>
      <w:r w:rsidRPr="00D93BDF">
        <w:rPr>
          <w:rFonts w:ascii="Verdana" w:eastAsia="Times New Roman" w:hAnsi="Verdana" w:cs="Arial"/>
          <w:color w:val="000000"/>
          <w:kern w:val="2"/>
          <w:lang w:eastAsia="es-MX"/>
          <w14:ligatures w14:val="standardContextual"/>
        </w:rPr>
        <w:t> </w:t>
      </w:r>
    </w:p>
    <w:p w14:paraId="3760F205" w14:textId="77777777" w:rsidR="00D93BDF" w:rsidRPr="00D93BDF" w:rsidRDefault="00D93BDF" w:rsidP="00D93BDF">
      <w:pPr>
        <w:snapToGrid w:val="0"/>
        <w:spacing w:after="0" w:line="240"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eastAsia="es-MX"/>
          <w14:ligatures w14:val="standardContextual"/>
        </w:rPr>
        <w:t> </w:t>
      </w:r>
    </w:p>
    <w:p w14:paraId="1D3184A2" w14:textId="77777777" w:rsidR="00D93BDF" w:rsidRPr="00D93BDF" w:rsidRDefault="00D93BDF" w:rsidP="00D93BDF">
      <w:pPr>
        <w:snapToGrid w:val="0"/>
        <w:spacing w:after="120" w:line="240" w:lineRule="auto"/>
        <w:ind w:left="705" w:right="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 el legislador limitó la naturaleza de los contratos de obra a las actividades de trabajos materiales exclusivamente sobre bienes inmuebles, independientemente de su modalidad de ejecución y pago. De esta forma, acogió la posición de una parte de la doctrina y del derecho comparado, que vinculan la tipificación del contrato de obra a aquellas actividades realizadas sobre bienes inmuebles. </w:t>
      </w:r>
      <w:r w:rsidRPr="00D93BDF">
        <w:rPr>
          <w:rFonts w:ascii="Verdana" w:eastAsia="Times New Roman" w:hAnsi="Verdana" w:cs="Arial"/>
          <w:color w:val="000000"/>
          <w:kern w:val="2"/>
          <w:lang w:eastAsia="es-MX"/>
          <w14:ligatures w14:val="standardContextual"/>
        </w:rPr>
        <w:t> </w:t>
      </w:r>
    </w:p>
    <w:p w14:paraId="0FB9F406" w14:textId="77777777" w:rsidR="00D93BDF" w:rsidRPr="00D93BDF" w:rsidRDefault="00D93BDF" w:rsidP="00D93BDF">
      <w:pPr>
        <w:snapToGrid w:val="0"/>
        <w:spacing w:after="0" w:line="240" w:lineRule="auto"/>
        <w:ind w:left="705" w:right="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La ejecución de obras sobre otro tipo de bienes, no estarán regulados por el contrato estatal de obra y podrán corresponder a una prestación de servicios general, o a cualquier otra modalidad típica o atípica, nominada o innominada que pueda celebrarse entre la entidad estatal y un contratista, en los términos de la autonomía de la voluntad de las partes, de acuerdo con lo previsto en los artículos 32 y 40 de la ley 80 de 1993</w:t>
      </w:r>
      <w:r w:rsidRPr="00D93BDF">
        <w:rPr>
          <w:rFonts w:ascii="Verdana" w:eastAsia="Times New Roman" w:hAnsi="Verdana" w:cs="Arial"/>
          <w:color w:val="000000"/>
          <w:kern w:val="2"/>
          <w:vertAlign w:val="superscript"/>
          <w:lang w:val="es-ES" w:eastAsia="es-MX"/>
          <w14:ligatures w14:val="standardContextual"/>
        </w:rPr>
        <w:footnoteReference w:id="5"/>
      </w:r>
      <w:r w:rsidRPr="00D93BDF">
        <w:rPr>
          <w:rFonts w:ascii="Verdana" w:eastAsia="Times New Roman" w:hAnsi="Verdana" w:cs="Arial"/>
          <w:color w:val="000000"/>
          <w:kern w:val="2"/>
          <w:lang w:val="es-ES" w:eastAsia="es-MX"/>
          <w14:ligatures w14:val="standardContextual"/>
        </w:rPr>
        <w:t>.</w:t>
      </w:r>
      <w:r w:rsidRPr="00D93BDF">
        <w:rPr>
          <w:rFonts w:ascii="Verdana" w:eastAsia="Times New Roman" w:hAnsi="Verdana" w:cs="Arial"/>
          <w:color w:val="000000"/>
          <w:kern w:val="2"/>
          <w:lang w:eastAsia="es-MX"/>
          <w14:ligatures w14:val="standardContextual"/>
        </w:rPr>
        <w:t> </w:t>
      </w:r>
    </w:p>
    <w:p w14:paraId="6BD3545B" w14:textId="77777777" w:rsidR="00D93BDF" w:rsidRPr="00D93BDF" w:rsidRDefault="00D93BDF" w:rsidP="00D93BDF">
      <w:pPr>
        <w:snapToGrid w:val="0"/>
        <w:spacing w:after="0" w:line="240" w:lineRule="auto"/>
        <w:ind w:left="705" w:right="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eastAsia="es-MX"/>
          <w14:ligatures w14:val="standardContextual"/>
        </w:rPr>
        <w:t> </w:t>
      </w:r>
    </w:p>
    <w:p w14:paraId="25582085" w14:textId="77777777" w:rsidR="00D93BDF" w:rsidRPr="00D93BDF" w:rsidRDefault="00D93BDF" w:rsidP="00D93BDF">
      <w:pPr>
        <w:snapToGrid w:val="0"/>
        <w:spacing w:after="120" w:line="276" w:lineRule="auto"/>
        <w:ind w:firstLine="705"/>
        <w:jc w:val="both"/>
        <w:textAlignment w:val="baseline"/>
        <w:rPr>
          <w:rFonts w:ascii="Verdana" w:eastAsia="Times New Roman" w:hAnsi="Verdana" w:cs="Times New Roman"/>
          <w:color w:val="000000"/>
          <w:kern w:val="2"/>
          <w:lang w:val="es-ES" w:eastAsia="es-MX"/>
          <w14:ligatures w14:val="standardContextual"/>
        </w:rPr>
      </w:pPr>
      <w:r w:rsidRPr="00D93BDF">
        <w:rPr>
          <w:rFonts w:ascii="Verdana" w:eastAsia="Times New Roman" w:hAnsi="Verdana" w:cs="Times New Roman"/>
          <w:color w:val="000000"/>
          <w:kern w:val="2"/>
          <w:lang w:val="es-ES" w:eastAsia="es-MX"/>
          <w14:ligatures w14:val="standardContextual"/>
        </w:rPr>
        <w:t xml:space="preserve">En la disposición citada, el contrato de obra pública no se limita a la construcción de inmuebles, pues la definición se extiende a las actividades de mantenimiento e instalación, lo cual supone un bien preexistente. Para la Real Academia Española “construir” significa fabricar, erigir, edificar y hacer de nueva planta una cosa; en tanto que “mantener” significa conservar una cosa en su </w:t>
      </w:r>
      <w:r w:rsidRPr="00D93BDF">
        <w:rPr>
          <w:rFonts w:ascii="Verdana" w:eastAsia="Times New Roman" w:hAnsi="Verdana" w:cs="Times New Roman"/>
          <w:color w:val="000000"/>
          <w:kern w:val="2"/>
          <w:lang w:val="es-ES" w:eastAsia="es-MX"/>
          <w14:ligatures w14:val="standardContextual"/>
        </w:rPr>
        <w:lastRenderedPageBreak/>
        <w:t>ser, darle vigor y permanencia; y, finalmente, “instalar” es poner o colocar algo en su lugar debido. Igualmente, el concepto se extiende a cualquier trabajo material realizado sobre bienes inmuebles, tales como la reforma y la demolición, entre otros.</w:t>
      </w:r>
    </w:p>
    <w:p w14:paraId="40E452BA" w14:textId="77777777" w:rsidR="00D93BDF" w:rsidRPr="00D93BDF" w:rsidRDefault="00D93BDF" w:rsidP="00D93BDF">
      <w:pPr>
        <w:snapToGrid w:val="0"/>
        <w:spacing w:after="120" w:line="276"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Respecto a la referencia a los bienes inmuebles, se debe considerar la definición de los artículos 656 y 658 del Código Civil, que incluye en esa categoría tanto a los inmuebles por adhesión como por destinación. De esta manera, la referencia contenida en el numeral 1 del artículo 32 la Ley 80 de 1993 a inmuebles debe entenderse que se extiende a los inmuebles anteriormente mencionados, razón por la cual la tipicidad del contrato de obra incluye cualquier clase de trabajo sobre inmuebles por adhesión o por destinación. </w:t>
      </w:r>
      <w:r w:rsidRPr="00D93BDF">
        <w:rPr>
          <w:rFonts w:ascii="Verdana" w:eastAsia="Times New Roman" w:hAnsi="Verdana" w:cs="Arial"/>
          <w:color w:val="000000"/>
          <w:kern w:val="2"/>
          <w:lang w:eastAsia="es-MX"/>
          <w14:ligatures w14:val="standardContextual"/>
        </w:rPr>
        <w:t> </w:t>
      </w:r>
    </w:p>
    <w:p w14:paraId="12467D32" w14:textId="77777777" w:rsidR="00D93BDF" w:rsidRPr="00D93BDF" w:rsidRDefault="00D93BDF" w:rsidP="00D93BDF">
      <w:pPr>
        <w:snapToGrid w:val="0"/>
        <w:spacing w:after="120" w:line="276"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Teniendo en cuenta la remisión de los artículos 13, 32 y 40 del Estatuto General de Contratación al Código Civil, el artículo 656 dispone que “inmuebles o fincas o bienes raíces son las cosas que no pueden transportarse de un lugar a otro; como las tierras y minas, y las que adhieren permanentemente a ellas, como los edificios, los árboles”. En concordancia, el artículo 657 prescribe lo siguiente: “Las plantas son inmuebles, mientras adhieren al suelo por sus raíces, a menos que estén en macetas o cajones que puedan transportarse de un lugar a otro”. Estos bienes se denominan </w:t>
      </w:r>
      <w:r w:rsidRPr="00D93BDF">
        <w:rPr>
          <w:rFonts w:ascii="Verdana" w:eastAsia="Times New Roman" w:hAnsi="Verdana" w:cs="Arial"/>
          <w:i/>
          <w:iCs/>
          <w:color w:val="000000"/>
          <w:kern w:val="2"/>
          <w:lang w:val="es-ES" w:eastAsia="es-MX"/>
          <w14:ligatures w14:val="standardContextual"/>
        </w:rPr>
        <w:t>inmuebles por adhesión</w:t>
      </w:r>
      <w:r w:rsidRPr="00D93BDF">
        <w:rPr>
          <w:rFonts w:ascii="Verdana" w:eastAsia="Times New Roman" w:hAnsi="Verdana" w:cs="Arial"/>
          <w:color w:val="000000"/>
          <w:kern w:val="2"/>
          <w:lang w:val="es-ES" w:eastAsia="es-MX"/>
          <w14:ligatures w14:val="standardContextual"/>
        </w:rPr>
        <w:t> y la doctrina los caracteriza como “(…) bienes muebles por naturaleza, adheridos permanente y materialmente a un inmueble, incorporados por el propietario o por una persona distinta de él, que por una ficción jurídica del legislador se transforman en bienes inmuebles”</w:t>
      </w:r>
      <w:r w:rsidRPr="00D93BDF">
        <w:rPr>
          <w:rFonts w:ascii="Verdana" w:eastAsia="Times New Roman" w:hAnsi="Verdana" w:cs="Arial"/>
          <w:color w:val="000000"/>
          <w:kern w:val="2"/>
          <w:vertAlign w:val="superscript"/>
          <w:lang w:val="es-ES" w:eastAsia="es-MX"/>
          <w14:ligatures w14:val="standardContextual"/>
        </w:rPr>
        <w:footnoteReference w:id="6"/>
      </w:r>
      <w:r w:rsidRPr="00D93BDF">
        <w:rPr>
          <w:rFonts w:ascii="Verdana" w:eastAsia="Times New Roman" w:hAnsi="Verdana" w:cs="Arial"/>
          <w:color w:val="000000"/>
          <w:kern w:val="2"/>
          <w:lang w:val="es-ES" w:eastAsia="es-MX"/>
          <w14:ligatures w14:val="standardContextual"/>
        </w:rPr>
        <w:t>.   </w:t>
      </w:r>
      <w:r w:rsidRPr="00D93BDF">
        <w:rPr>
          <w:rFonts w:ascii="Verdana" w:eastAsia="Times New Roman" w:hAnsi="Verdana" w:cs="Arial"/>
          <w:color w:val="000000"/>
          <w:kern w:val="2"/>
          <w:lang w:eastAsia="es-MX"/>
          <w14:ligatures w14:val="standardContextual"/>
        </w:rPr>
        <w:t> </w:t>
      </w:r>
    </w:p>
    <w:p w14:paraId="353D8F8D" w14:textId="77777777" w:rsidR="00D93BDF" w:rsidRPr="00D93BDF" w:rsidRDefault="00D93BDF" w:rsidP="00D93BDF">
      <w:pPr>
        <w:snapToGrid w:val="0"/>
        <w:spacing w:after="120" w:line="276"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Por otra parte, el artículo 658 del Código Civil crea la categoría de </w:t>
      </w:r>
      <w:r w:rsidRPr="00D93BDF">
        <w:rPr>
          <w:rFonts w:ascii="Verdana" w:eastAsia="Times New Roman" w:hAnsi="Verdana" w:cs="Arial"/>
          <w:i/>
          <w:iCs/>
          <w:color w:val="000000"/>
          <w:kern w:val="2"/>
          <w:lang w:val="es-ES" w:eastAsia="es-MX"/>
          <w14:ligatures w14:val="standardContextual"/>
        </w:rPr>
        <w:t>inmuebles por destinación</w:t>
      </w:r>
      <w:r w:rsidRPr="00D93BDF">
        <w:rPr>
          <w:rFonts w:ascii="Verdana" w:eastAsia="Times New Roman" w:hAnsi="Verdana" w:cs="Arial"/>
          <w:color w:val="000000"/>
          <w:kern w:val="2"/>
          <w:lang w:val="es-ES" w:eastAsia="es-MX"/>
          <w14:ligatures w14:val="standardContextual"/>
        </w:rPr>
        <w:t>, disponiendo que “Se reputan inmuebles, aunque por su naturaleza no lo sean, las cosas que están permanentemente destinadas al uso, cultivo y beneficio de un inmueble, sin embargo, de que puedan separarse sin detrimento”. El mismo artículo crea una lista enunciativa de estos bienes, dentro de los cuales se encuentran: i) las losas de un pavimento; </w:t>
      </w:r>
      <w:proofErr w:type="spellStart"/>
      <w:r w:rsidRPr="00D93BDF">
        <w:rPr>
          <w:rFonts w:ascii="Verdana" w:eastAsia="Times New Roman" w:hAnsi="Verdana" w:cs="Arial"/>
          <w:color w:val="000000"/>
          <w:kern w:val="2"/>
          <w:lang w:val="es-ES" w:eastAsia="es-MX"/>
          <w14:ligatures w14:val="standardContextual"/>
        </w:rPr>
        <w:t>ii</w:t>
      </w:r>
      <w:proofErr w:type="spellEnd"/>
      <w:r w:rsidRPr="00D93BDF">
        <w:rPr>
          <w:rFonts w:ascii="Verdana" w:eastAsia="Times New Roman" w:hAnsi="Verdana" w:cs="Arial"/>
          <w:color w:val="000000"/>
          <w:kern w:val="2"/>
          <w:lang w:val="es-ES" w:eastAsia="es-MX"/>
          <w14:ligatures w14:val="standardContextual"/>
        </w:rPr>
        <w:t>) los tubos de las cañerías; </w:t>
      </w:r>
      <w:proofErr w:type="spellStart"/>
      <w:r w:rsidRPr="00D93BDF">
        <w:rPr>
          <w:rFonts w:ascii="Verdana" w:eastAsia="Times New Roman" w:hAnsi="Verdana" w:cs="Arial"/>
          <w:color w:val="000000"/>
          <w:kern w:val="2"/>
          <w:lang w:val="es-ES" w:eastAsia="es-MX"/>
          <w14:ligatures w14:val="standardContextual"/>
        </w:rPr>
        <w:t>iii</w:t>
      </w:r>
      <w:proofErr w:type="spellEnd"/>
      <w:r w:rsidRPr="00D93BDF">
        <w:rPr>
          <w:rFonts w:ascii="Verdana" w:eastAsia="Times New Roman" w:hAnsi="Verdana" w:cs="Arial"/>
          <w:color w:val="000000"/>
          <w:kern w:val="2"/>
          <w:lang w:val="es-ES" w:eastAsia="es-MX"/>
          <w14:ligatures w14:val="standardContextual"/>
        </w:rPr>
        <w:t>) los utensilios de labranza o minería, y los animales actualmente destinados al cultivo o beneficio de una finca, con tal que hayan sido puestos en ella por el dueño de la finca; </w:t>
      </w:r>
      <w:proofErr w:type="spellStart"/>
      <w:r w:rsidRPr="00D93BDF">
        <w:rPr>
          <w:rFonts w:ascii="Verdana" w:eastAsia="Times New Roman" w:hAnsi="Verdana" w:cs="Arial"/>
          <w:color w:val="000000"/>
          <w:kern w:val="2"/>
          <w:lang w:val="es-ES" w:eastAsia="es-MX"/>
          <w14:ligatures w14:val="standardContextual"/>
        </w:rPr>
        <w:t>iv</w:t>
      </w:r>
      <w:proofErr w:type="spellEnd"/>
      <w:r w:rsidRPr="00D93BDF">
        <w:rPr>
          <w:rFonts w:ascii="Verdana" w:eastAsia="Times New Roman" w:hAnsi="Verdana" w:cs="Arial"/>
          <w:color w:val="000000"/>
          <w:kern w:val="2"/>
          <w:lang w:val="es-ES" w:eastAsia="es-MX"/>
          <w14:ligatures w14:val="standardContextual"/>
        </w:rPr>
        <w:t xml:space="preserve">) los abonos existentes en ella y </w:t>
      </w:r>
      <w:r w:rsidRPr="00D93BDF">
        <w:rPr>
          <w:rFonts w:ascii="Verdana" w:eastAsia="Times New Roman" w:hAnsi="Verdana" w:cs="Arial"/>
          <w:color w:val="000000"/>
          <w:kern w:val="2"/>
          <w:lang w:val="es-ES" w:eastAsia="es-MX"/>
          <w14:ligatures w14:val="standardContextual"/>
        </w:rPr>
        <w:lastRenderedPageBreak/>
        <w:t>destinados por el dueño de la finca a mejorarla; v) las prensas, calderas, cubas, alambiques, toneles y máquinas, que forman parte de un establecimiento industrial adherente al suelo y pertenecen al dueño de éste; y vi) los animales que se guardan en conejeras, pajareras, estanques, colmenas y cualesquiera otros vivares, con tal que éstos adhieran al suelo, o sean parte del suelo mismo o de un edificio. </w:t>
      </w:r>
      <w:r w:rsidRPr="00D93BDF">
        <w:rPr>
          <w:rFonts w:ascii="Verdana" w:eastAsia="Times New Roman" w:hAnsi="Verdana" w:cs="Arial"/>
          <w:color w:val="000000"/>
          <w:kern w:val="2"/>
          <w:lang w:eastAsia="es-MX"/>
          <w14:ligatures w14:val="standardContextual"/>
        </w:rPr>
        <w:t> </w:t>
      </w:r>
    </w:p>
    <w:p w14:paraId="15B8EA65" w14:textId="77777777" w:rsidR="00D93BDF" w:rsidRPr="00D93BDF" w:rsidRDefault="00D93BDF" w:rsidP="00D93BDF">
      <w:pPr>
        <w:snapToGrid w:val="0"/>
        <w:spacing w:after="120" w:line="276"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Así las cosas, para que clasifiquen dentro de esta categoría se requiere que los muebles sirvan para prestar un servicio útil al inmueble por naturaleza, que el servicio sea permanente, además de que ambos sean del mismo propietario. En esta medida: “Por excepción al criterio extraído de la naturaleza física de las cosas, los redactores del Código Civil han considerado como inmuebles las cosas trasladables: las clasifican entre los inmuebles </w:t>
      </w:r>
      <w:proofErr w:type="gramStart"/>
      <w:r w:rsidRPr="00D93BDF">
        <w:rPr>
          <w:rFonts w:ascii="Verdana" w:eastAsia="Times New Roman" w:hAnsi="Verdana" w:cs="Arial"/>
          <w:color w:val="000000"/>
          <w:kern w:val="2"/>
          <w:lang w:val="es-ES" w:eastAsia="es-MX"/>
          <w14:ligatures w14:val="standardContextual"/>
        </w:rPr>
        <w:t>en razón de</w:t>
      </w:r>
      <w:proofErr w:type="gramEnd"/>
      <w:r w:rsidRPr="00D93BDF">
        <w:rPr>
          <w:rFonts w:ascii="Verdana" w:eastAsia="Times New Roman" w:hAnsi="Verdana" w:cs="Arial"/>
          <w:color w:val="000000"/>
          <w:kern w:val="2"/>
          <w:lang w:val="es-ES" w:eastAsia="es-MX"/>
          <w14:ligatures w14:val="standardContextual"/>
        </w:rPr>
        <w:t> su destino, porque están afectadas a un inmueble por naturaleza. No han querido que estos muebles, unidos o afectados al inmueble, sigan un régimen jurídico distinto del inmueble mismo (…) El inmueble y todo lo destinado a él forman un conjunto, una suerte de universalidad: el legislador ha querido someter esa unidad económica al mismo régimen”</w:t>
      </w:r>
      <w:r w:rsidRPr="00D93BDF">
        <w:rPr>
          <w:rFonts w:ascii="Verdana" w:eastAsia="Times New Roman" w:hAnsi="Verdana" w:cs="Arial"/>
          <w:color w:val="000000"/>
          <w:kern w:val="2"/>
          <w:vertAlign w:val="superscript"/>
          <w:lang w:val="es-ES" w:eastAsia="es-MX"/>
          <w14:ligatures w14:val="standardContextual"/>
        </w:rPr>
        <w:footnoteReference w:id="7"/>
      </w:r>
      <w:r w:rsidRPr="00D93BDF">
        <w:rPr>
          <w:rFonts w:ascii="Verdana" w:eastAsia="Times New Roman" w:hAnsi="Verdana" w:cs="Arial"/>
          <w:color w:val="000000"/>
          <w:kern w:val="2"/>
          <w:lang w:val="es-ES" w:eastAsia="es-MX"/>
          <w14:ligatures w14:val="standardContextual"/>
        </w:rPr>
        <w:t>.  </w:t>
      </w:r>
      <w:r w:rsidRPr="00D93BDF">
        <w:rPr>
          <w:rFonts w:ascii="Verdana" w:eastAsia="Times New Roman" w:hAnsi="Verdana" w:cs="Arial"/>
          <w:color w:val="000000"/>
          <w:kern w:val="2"/>
          <w:lang w:eastAsia="es-MX"/>
          <w14:ligatures w14:val="standardContextual"/>
        </w:rPr>
        <w:t> </w:t>
      </w:r>
    </w:p>
    <w:p w14:paraId="7204D3D2" w14:textId="77777777" w:rsidR="00D93BDF" w:rsidRPr="00D93BDF" w:rsidRDefault="00D93BDF" w:rsidP="00D93BDF">
      <w:pPr>
        <w:snapToGrid w:val="0"/>
        <w:spacing w:after="120" w:line="276" w:lineRule="auto"/>
        <w:ind w:firstLine="705"/>
        <w:jc w:val="both"/>
        <w:textAlignment w:val="baseline"/>
        <w:rPr>
          <w:rFonts w:ascii="Verdana" w:eastAsia="Times New Roman" w:hAnsi="Verdana" w:cs="Segoe UI"/>
          <w:kern w:val="2"/>
          <w:lang w:eastAsia="es-MX"/>
          <w14:ligatures w14:val="standardContextual"/>
        </w:rPr>
      </w:pPr>
      <w:r w:rsidRPr="00D93BDF">
        <w:rPr>
          <w:rFonts w:ascii="Verdana" w:eastAsia="Times New Roman" w:hAnsi="Verdana" w:cs="Arial"/>
          <w:color w:val="000000"/>
          <w:kern w:val="2"/>
          <w:lang w:val="es-ES" w:eastAsia="es-MX"/>
          <w14:ligatures w14:val="standardContextual"/>
        </w:rPr>
        <w:t>Las diferencias entre ambos tipos de bienes se derivan de que: i) mientras la incorporación de los </w:t>
      </w:r>
      <w:r w:rsidRPr="00D93BDF">
        <w:rPr>
          <w:rFonts w:ascii="Verdana" w:eastAsia="Times New Roman" w:hAnsi="Verdana" w:cs="Arial"/>
          <w:i/>
          <w:iCs/>
          <w:color w:val="000000"/>
          <w:kern w:val="2"/>
          <w:lang w:val="es-ES" w:eastAsia="es-MX"/>
          <w14:ligatures w14:val="standardContextual"/>
        </w:rPr>
        <w:t>inmuebles por adhesión</w:t>
      </w:r>
      <w:r w:rsidRPr="00D93BDF">
        <w:rPr>
          <w:rFonts w:ascii="Verdana" w:eastAsia="Times New Roman" w:hAnsi="Verdana" w:cs="Arial"/>
          <w:color w:val="000000"/>
          <w:kern w:val="2"/>
          <w:lang w:val="es-ES" w:eastAsia="es-MX"/>
          <w14:ligatures w14:val="standardContextual"/>
        </w:rPr>
        <w:t> es material, la de los </w:t>
      </w:r>
      <w:r w:rsidRPr="00D93BDF">
        <w:rPr>
          <w:rFonts w:ascii="Verdana" w:eastAsia="Times New Roman" w:hAnsi="Verdana" w:cs="Arial"/>
          <w:i/>
          <w:iCs/>
          <w:color w:val="000000"/>
          <w:kern w:val="2"/>
          <w:lang w:val="es-ES" w:eastAsia="es-MX"/>
          <w14:ligatures w14:val="standardContextual"/>
        </w:rPr>
        <w:t>inmuebles por destinación </w:t>
      </w:r>
      <w:r w:rsidRPr="00D93BDF">
        <w:rPr>
          <w:rFonts w:ascii="Verdana" w:eastAsia="Times New Roman" w:hAnsi="Verdana" w:cs="Arial"/>
          <w:color w:val="000000"/>
          <w:kern w:val="2"/>
          <w:lang w:val="es-ES" w:eastAsia="es-MX"/>
          <w14:ligatures w14:val="standardContextual"/>
        </w:rPr>
        <w:t>es intelectual; </w:t>
      </w:r>
      <w:proofErr w:type="spellStart"/>
      <w:r w:rsidRPr="00D93BDF">
        <w:rPr>
          <w:rFonts w:ascii="Verdana" w:eastAsia="Times New Roman" w:hAnsi="Verdana" w:cs="Arial"/>
          <w:color w:val="000000"/>
          <w:kern w:val="2"/>
          <w:lang w:val="es-ES" w:eastAsia="es-MX"/>
          <w14:ligatures w14:val="standardContextual"/>
        </w:rPr>
        <w:t>ii</w:t>
      </w:r>
      <w:proofErr w:type="spellEnd"/>
      <w:r w:rsidRPr="00D93BDF">
        <w:rPr>
          <w:rFonts w:ascii="Verdana" w:eastAsia="Times New Roman" w:hAnsi="Verdana" w:cs="Arial"/>
          <w:color w:val="000000"/>
          <w:kern w:val="2"/>
          <w:lang w:val="es-ES" w:eastAsia="es-MX"/>
          <w14:ligatures w14:val="standardContextual"/>
        </w:rPr>
        <w:t>) mientras los primeros son incorporados por el dueño o por terceras personas, en los segundos es necesaria la identidad del propietario; finalmente, </w:t>
      </w:r>
      <w:proofErr w:type="spellStart"/>
      <w:r w:rsidRPr="00D93BDF">
        <w:rPr>
          <w:rFonts w:ascii="Verdana" w:eastAsia="Times New Roman" w:hAnsi="Verdana" w:cs="Arial"/>
          <w:color w:val="000000"/>
          <w:kern w:val="2"/>
          <w:lang w:val="es-ES" w:eastAsia="es-MX"/>
          <w14:ligatures w14:val="standardContextual"/>
        </w:rPr>
        <w:t>iii</w:t>
      </w:r>
      <w:proofErr w:type="spellEnd"/>
      <w:r w:rsidRPr="00D93BDF">
        <w:rPr>
          <w:rFonts w:ascii="Verdana" w:eastAsia="Times New Roman" w:hAnsi="Verdana" w:cs="Arial"/>
          <w:color w:val="000000"/>
          <w:kern w:val="2"/>
          <w:lang w:val="es-ES" w:eastAsia="es-MX"/>
          <w14:ligatures w14:val="standardContextual"/>
        </w:rPr>
        <w:t>) mientras que aquellos pierden individualidad por la incorporación al inmueble, no sucede lo mismo con los segundos, los cuales conservan su autonomía pese a estar destinados al cultivo de aquel. De esta manera, la distinción del Código Civil entre bienes muebles e inmuebles influye en la identificación de una actividad material como parte de un contrato de obra pública en los términos del Estatuto General de Contratación de la Administración Pública. </w:t>
      </w:r>
      <w:r w:rsidRPr="00D93BDF">
        <w:rPr>
          <w:rFonts w:ascii="Verdana" w:eastAsia="Times New Roman" w:hAnsi="Verdana" w:cs="Arial"/>
          <w:color w:val="000000"/>
          <w:kern w:val="2"/>
          <w:lang w:eastAsia="es-MX"/>
          <w14:ligatures w14:val="standardContextual"/>
        </w:rPr>
        <w:t> </w:t>
      </w:r>
    </w:p>
    <w:p w14:paraId="3E3F02CB" w14:textId="77777777" w:rsidR="00D93BDF" w:rsidRPr="00D93BDF" w:rsidRDefault="00D93BDF" w:rsidP="00D93BDF">
      <w:pPr>
        <w:snapToGrid w:val="0"/>
        <w:spacing w:after="120" w:line="276" w:lineRule="auto"/>
        <w:ind w:firstLine="705"/>
        <w:jc w:val="both"/>
        <w:textAlignment w:val="baseline"/>
        <w:rPr>
          <w:rFonts w:ascii="Verdana" w:eastAsia="Times New Roman" w:hAnsi="Verdana" w:cs="Arial"/>
          <w:color w:val="000000"/>
          <w:kern w:val="2"/>
          <w:lang w:val="es-ES" w:eastAsia="es-MX"/>
          <w14:ligatures w14:val="standardContextual"/>
        </w:rPr>
      </w:pPr>
      <w:r w:rsidRPr="00D93BDF">
        <w:rPr>
          <w:rFonts w:ascii="Verdana" w:eastAsia="Times New Roman" w:hAnsi="Verdana" w:cs="Arial"/>
          <w:color w:val="000000"/>
          <w:kern w:val="2"/>
          <w:lang w:val="es-ES" w:eastAsia="es-MX"/>
          <w14:ligatures w14:val="standardContextual"/>
        </w:rPr>
        <w:t xml:space="preserve">En ese sentido, la naturaleza inmueble del bien –ya sea natural, por adhesión o destinación– sobre el que se realizan las actividades es determinante para saber si está ante un contrato de obra pública, ya que de este tipo contractual se encuentran excluidos trabajos materiales realizados sobre bienes muebles, por lo que estos corresponderían a un tipo contractual diferente. Esto </w:t>
      </w:r>
      <w:r w:rsidRPr="00D93BDF">
        <w:rPr>
          <w:rFonts w:ascii="Verdana" w:eastAsia="Times New Roman" w:hAnsi="Verdana" w:cs="Arial"/>
          <w:color w:val="000000"/>
          <w:kern w:val="2"/>
          <w:lang w:val="es-ES" w:eastAsia="es-MX"/>
          <w14:ligatures w14:val="standardContextual"/>
        </w:rPr>
        <w:lastRenderedPageBreak/>
        <w:t>supone que, en caso de que las prestaciones a realizarse impliquen el desarrollo de actividades materiales sobre bienes muebles, no resulta jurídicamente valido acudir al contrato de obra pública, debiendo la entidad acudir al régimen contractual de algún otro tipo contractual en el que se subsuma la actividad a contratar, como, por ejemplo, el contrato de prestación de servicios, o a cualquier otra modalidad típica o atípica, nominada o innominada que pueda celebrarse entre la entidad estatal y un contratista, en los términos de la autonomía de la voluntad de las partes, de acuerdo con lo previsto en los artículos 32 y 40 de la Ley 80 de 1993. </w:t>
      </w:r>
    </w:p>
    <w:p w14:paraId="125B07FB" w14:textId="77777777" w:rsidR="00D93BDF" w:rsidRPr="00D93BDF" w:rsidRDefault="00D93BDF" w:rsidP="00D93BDF">
      <w:pPr>
        <w:snapToGrid w:val="0"/>
        <w:spacing w:after="0" w:line="276" w:lineRule="auto"/>
        <w:ind w:firstLine="705"/>
        <w:jc w:val="both"/>
        <w:textAlignment w:val="baseline"/>
        <w:rPr>
          <w:rFonts w:ascii="Verdana" w:eastAsia="Times New Roman" w:hAnsi="Verdana" w:cs="Arial"/>
          <w:color w:val="000000"/>
          <w:kern w:val="2"/>
          <w:lang w:val="es-ES" w:eastAsia="es-MX"/>
          <w14:ligatures w14:val="standardContextual"/>
        </w:rPr>
      </w:pPr>
      <w:r w:rsidRPr="00D93BDF">
        <w:rPr>
          <w:rFonts w:ascii="Verdana" w:eastAsia="Times New Roman" w:hAnsi="Verdana" w:cs="Arial"/>
          <w:color w:val="000000"/>
          <w:kern w:val="2"/>
          <w:lang w:val="es-ES" w:eastAsia="es-MX"/>
          <w14:ligatures w14:val="standardContextual"/>
        </w:rPr>
        <w:t>Con todo, es pertinente resaltar que la determinación de celebrar o no un contrato de obra pública depende exclusivamente del análisis, caso a caso, efectuado por cada entidad estatal. Es decir, utilizar esta tipología contractual dependerá de la necesidad específica que pretenda satisfacer la entidad pública. Lo anterior, porque en ejercicio de su autonomía negocial y discrecionalidad, la entidad estatal puede considerar que la necesidad a satisfacer encuadra más en determinada tipología contractual.</w:t>
      </w:r>
    </w:p>
    <w:p w14:paraId="494DE0AE" w14:textId="77777777" w:rsidR="00D93BDF" w:rsidRPr="00D93BDF" w:rsidRDefault="00D93BDF" w:rsidP="00D93BDF">
      <w:pPr>
        <w:widowControl w:val="0"/>
        <w:autoSpaceDE w:val="0"/>
        <w:autoSpaceDN w:val="0"/>
        <w:spacing w:after="0" w:line="276" w:lineRule="auto"/>
        <w:jc w:val="both"/>
        <w:rPr>
          <w:rFonts w:ascii="Verdana" w:eastAsia="Calibri" w:hAnsi="Verdana" w:cs="Times New Roman"/>
          <w:lang w:val="es-ES"/>
        </w:rPr>
      </w:pPr>
    </w:p>
    <w:p w14:paraId="4BB14B67" w14:textId="77777777" w:rsidR="00D93BDF" w:rsidRPr="00D93BDF" w:rsidRDefault="00D93BDF" w:rsidP="00D93BDF">
      <w:pPr>
        <w:spacing w:after="120" w:line="276" w:lineRule="auto"/>
        <w:jc w:val="both"/>
        <w:rPr>
          <w:rFonts w:ascii="Verdana" w:eastAsia="Calibri" w:hAnsi="Verdana" w:cs="Times New Roman"/>
          <w:lang w:val="es-ES" w:eastAsia="es-MX"/>
        </w:rPr>
      </w:pPr>
      <w:proofErr w:type="spellStart"/>
      <w:r w:rsidRPr="00D93BDF">
        <w:rPr>
          <w:rFonts w:ascii="Verdana" w:eastAsia="Calibri" w:hAnsi="Verdana" w:cs="Times New Roman"/>
          <w:lang w:val="es-ES"/>
        </w:rPr>
        <w:t>iii</w:t>
      </w:r>
      <w:proofErr w:type="spellEnd"/>
      <w:r w:rsidRPr="00D93BDF">
        <w:rPr>
          <w:rFonts w:ascii="Verdana" w:eastAsia="Calibri" w:hAnsi="Verdana" w:cs="Times New Roman"/>
          <w:lang w:val="es-ES"/>
        </w:rPr>
        <w:t xml:space="preserve">. </w:t>
      </w:r>
      <w:r w:rsidRPr="00D93BDF">
        <w:rPr>
          <w:rFonts w:ascii="Verdana" w:eastAsia="Calibri" w:hAnsi="Verdana" w:cs="Times New Roman"/>
          <w:lang w:val="es-ES" w:eastAsia="es-MX"/>
        </w:rPr>
        <w:t xml:space="preserve">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6BA6803D" w14:textId="77777777" w:rsidR="00D93BDF" w:rsidRPr="00D93BDF" w:rsidRDefault="00D93BDF" w:rsidP="00D93BDF">
      <w:pPr>
        <w:spacing w:after="120" w:line="276" w:lineRule="auto"/>
        <w:jc w:val="both"/>
        <w:rPr>
          <w:rFonts w:ascii="Verdana" w:eastAsia="Calibri" w:hAnsi="Verdana" w:cs="Times New Roman"/>
          <w:lang w:val="es-ES" w:eastAsia="es-MX"/>
        </w:rPr>
      </w:pPr>
      <w:r w:rsidRPr="00D93BDF">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6D928B7C" w14:textId="77777777" w:rsidR="00D93BDF" w:rsidRPr="00D93BDF" w:rsidRDefault="00D93BDF" w:rsidP="00D93BDF">
      <w:pPr>
        <w:spacing w:after="120" w:line="276" w:lineRule="auto"/>
        <w:jc w:val="both"/>
        <w:rPr>
          <w:rFonts w:ascii="Verdana" w:eastAsia="Times New Roman" w:hAnsi="Verdana" w:cs="Times New Roman"/>
          <w:color w:val="000000"/>
          <w:lang w:eastAsia="es-CO"/>
        </w:rPr>
      </w:pPr>
      <w:r w:rsidRPr="00D93BDF">
        <w:rPr>
          <w:rFonts w:ascii="Verdana" w:eastAsia="Calibri" w:hAnsi="Verdana" w:cs="Times New Roman"/>
          <w:lang w:val="es-ES" w:eastAsia="es-MX"/>
        </w:rPr>
        <w:lastRenderedPageBreak/>
        <w:tab/>
        <w:t xml:space="preserve">La Matriz 1 – Experiencia del Sector Institucional, </w:t>
      </w:r>
      <w:r w:rsidRPr="00D93BDF">
        <w:rPr>
          <w:rFonts w:ascii="Verdana" w:eastAsia="Times New Roman" w:hAnsi="Verdana" w:cs="Times New Roman"/>
          <w:color w:val="000000"/>
          <w:lang w:eastAsia="es-CO"/>
        </w:rPr>
        <w:t xml:space="preserve">en la modalidad de licitación pública, selección abreviada de menor cuantía y mínima cuantía dispone de los siguientes cinco (5) tipos de infraestructura: </w:t>
      </w:r>
      <w:r w:rsidRPr="00D93BDF">
        <w:rPr>
          <w:rFonts w:ascii="Verdana" w:eastAsia="Arial" w:hAnsi="Verdana" w:cs="Aptos"/>
          <w:kern w:val="2"/>
          <w:lang w:eastAsia="es-ES"/>
          <w14:ligatures w14:val="standardContextual"/>
        </w:rPr>
        <w:t>“1)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D93BDF">
        <w:rPr>
          <w:rFonts w:ascii="Verdana" w:eastAsia="Aptos" w:hAnsi="Verdana" w:cs="Arial"/>
          <w:kern w:val="2"/>
          <w14:ligatures w14:val="standardContextual"/>
        </w:rPr>
        <w:t xml:space="preserve">. </w:t>
      </w:r>
      <w:r w:rsidRPr="00D93BDF">
        <w:rPr>
          <w:rFonts w:ascii="Verdana" w:eastAsia="Arial" w:hAnsi="Verdana" w:cs="Aptos"/>
          <w:lang w:eastAsia="es-ES"/>
        </w:rPr>
        <w:t xml:space="preserve">Sobre los tipos de obras señaladas, la Matriz 1 – Experiencia contiene una serie de actividades donde la entidad debe encuadrar el objeto del proceso que pretende ejecutar. Estas actividades se relacionan con proyectos de construcción, ampliación, reconstrucción, adecuación, conservación, intervención, remodelación, mantenimiento, mejoramiento, modificación, optimización, rehabilitación, remodelación, reposición, reparación, suministro, entre otras actividades, sobre infraestructura institucional. </w:t>
      </w:r>
    </w:p>
    <w:p w14:paraId="29FE0078" w14:textId="77777777" w:rsidR="00D93BDF" w:rsidRPr="00D93BDF" w:rsidRDefault="00D93BDF" w:rsidP="00D93BDF">
      <w:pPr>
        <w:spacing w:after="120" w:line="276" w:lineRule="auto"/>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ab/>
        <w:t xml:space="preserve">Concretamente, en su solicitud usted indaga sobre la aplicación de los Documentos Tipo del Sector Institucional – Infraestructura institucional de servicio público, para realizar el “mantenimiento y reparaciones locativas (…) para las instalaciones del Instituto Nacional para Sordos – INSOR”.  De esta forma, resulta pertinente establecer qué actividades de los Documentos Tipo mencionados recaen sobre las actividades indicadas y si estas resultan adecuadas para adelantar el proceso que requiere la entidad. </w:t>
      </w:r>
    </w:p>
    <w:p w14:paraId="1064CF24" w14:textId="77777777" w:rsidR="00D93BDF" w:rsidRPr="00D93BDF" w:rsidRDefault="00D93BDF" w:rsidP="00D93BDF">
      <w:pPr>
        <w:spacing w:after="0" w:line="276" w:lineRule="auto"/>
        <w:ind w:firstLine="708"/>
        <w:jc w:val="both"/>
        <w:rPr>
          <w:rFonts w:ascii="Verdana" w:eastAsia="Aptos" w:hAnsi="Verdana" w:cs="Times New Roman"/>
          <w:kern w:val="2"/>
          <w14:ligatures w14:val="standardContextual"/>
        </w:rPr>
      </w:pPr>
      <w:r w:rsidRPr="00D93BDF">
        <w:rPr>
          <w:rFonts w:ascii="Verdana" w:eastAsia="Aptos" w:hAnsi="Verdana" w:cs="Times New Roman"/>
          <w:kern w:val="2"/>
          <w14:ligatures w14:val="standardContextual"/>
        </w:rPr>
        <w:t>En este sentido, le indicamos que, una vez revisadas las actividades contenidas en la Matriz 1 – Experiencia de los Documentos Tipo del Sector Institucional – Infraestructura de Servicio Público, las siguientes corresponden a las actividades de mantenimiento y reparaciones señalados, dentro del sector indicado:</w:t>
      </w:r>
    </w:p>
    <w:p w14:paraId="066B5FDD" w14:textId="77777777" w:rsidR="00D93BDF" w:rsidRPr="00D93BDF" w:rsidRDefault="00D93BDF" w:rsidP="00D93BDF">
      <w:pPr>
        <w:spacing w:after="0" w:line="240" w:lineRule="auto"/>
        <w:jc w:val="both"/>
        <w:rPr>
          <w:rFonts w:ascii="Verdana" w:eastAsia="Times New Roman" w:hAnsi="Verdana" w:cs="Times New Roman"/>
          <w:color w:val="000000"/>
          <w:lang w:eastAsia="es-CO"/>
        </w:rPr>
      </w:pPr>
    </w:p>
    <w:p w14:paraId="60495535"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SERVICIO PUBLICO</w:t>
      </w:r>
    </w:p>
    <w:p w14:paraId="7856CDBC"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lastRenderedPageBreak/>
        <w:t>2.3. PROYECTOS DE DEMOLICIÓN Y/O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CERRAMIENTO PARA  INFRAESTRUCTURA DE SERVICIO PÚBLICO</w:t>
      </w:r>
    </w:p>
    <w:p w14:paraId="351F8C53"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2.5.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DE COMEDORES, ZONAS DE ALMACENAMIENTO Y/O ZONAS DE CONSERVACIÓN DE ALIMENTOS Y/O ZONAS DE ALIMENTACIÓN DE INFRAESTRUCTURA DE SERVICIO PUBLICO</w:t>
      </w:r>
    </w:p>
    <w:p w14:paraId="16571CB4"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 xml:space="preserve">2.6. PROYECTOS DE CONSTRUCCIÓN Y/O AMPLIACIÓN Y/O RECONSTRUCCIÓN ADECUACIÓN Y/O CONSERVACIÓN Y/O INTERVENCIÓN Y/O INSTALACIÓN Y/O MANTENIMIENTO Y/O MEJORAMIENTO Y/O MODIFICACIÓN U OPTIMIZACIÓN Y/O REHABILITACIÓN Y/O REMODELACIÓN Y/O REPOSICIÓN Y/O REPARACIÓN LOCATIVA Y/O RESTAURACIÓN Y/O RESTITUCIÓN Y/O TERMINACIÓN DE BATERÍAS SANITARIAS Y/O REDES HIDROSANITARIAS Y/O TANQUES DE ALMACENAMIENTO Y/O SISTEMAS DE BOMBEO Y/O REDES CONTRA INCENDIOS DE INFRAESTRUCTURA DE SERVICIO PUBLICO. </w:t>
      </w:r>
    </w:p>
    <w:p w14:paraId="26F4E2FC"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2.7.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DE CUBIERTAS DE INFRAESTRUCTURA DE SERVICIO PUBLICO</w:t>
      </w:r>
    </w:p>
    <w:p w14:paraId="1BB49CDD"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 xml:space="preserve">2.8. PROYECTOS DE CONSTRUCCIÓN Y/O AMPLIACIÓN Y/O RECONSTRUCCIÓN Y/O ADECUACIÓN Y/O CONSERVACIÓN Y/O INTERVENCIÓN Y/O INSTALACIÓN Y/O MANTENIMIENTO Y/O MEJORAMIENTO Y/O MODIFICACIÓN U OPTIMIZACIÓN Y/O </w:t>
      </w:r>
      <w:r w:rsidRPr="00D93BDF">
        <w:rPr>
          <w:rFonts w:ascii="Verdana" w:eastAsia="Times New Roman" w:hAnsi="Verdana" w:cs="Arial"/>
          <w:color w:val="242424"/>
          <w:sz w:val="21"/>
          <w:szCs w:val="21"/>
          <w:lang w:eastAsia="es-MX"/>
        </w:rPr>
        <w:lastRenderedPageBreak/>
        <w:t>REHABILITACIÓN Y/O REMODELACIÓN Y/O REPOSICIÓN Y/O REPARACIÓN LOCATIVA Y/O RESTAURACIÓN Y/O RESTITUCIÓN Y/O TERMINACIÓN Y/O REFORZAMIENTO ESTRUCTURAL Y/O ACTUALIZACIÓN SÍSMICA Y/O REPOTENCIACIÓN ESTRUCTURAL EN BIENES DE INTERÉS CULTURAL Y/O PATRIMONIAL ASOCIADOS A INFRAESTRUCTURA DE SERVICIO PUBLICO</w:t>
      </w:r>
    </w:p>
    <w:p w14:paraId="7AF2906A"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DE INFRAESTRUCTURA DE SERVICIO PUBLICO</w:t>
      </w:r>
    </w:p>
    <w:p w14:paraId="469B334F"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2.10.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ZONAS VERDES, Y/O ACTIVIDADES DE URBANISMO Y/O DE PAISAJISMO ASOCIADA A INFRAESTRUCTURA DE SERVICIO PUBLICO</w:t>
      </w:r>
    </w:p>
    <w:p w14:paraId="4B0C40D4" w14:textId="77777777" w:rsidR="00D93BDF" w:rsidRPr="00D93BDF" w:rsidRDefault="00D93BDF" w:rsidP="00D93BDF">
      <w:pPr>
        <w:shd w:val="clear" w:color="auto" w:fill="FFFFFF"/>
        <w:spacing w:after="12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w:t>
      </w:r>
    </w:p>
    <w:p w14:paraId="301FEAC5" w14:textId="77777777" w:rsidR="00D93BDF" w:rsidRPr="00D93BDF" w:rsidRDefault="00D93BDF" w:rsidP="00D93BDF">
      <w:pPr>
        <w:shd w:val="clear" w:color="auto" w:fill="FFFFFF"/>
        <w:spacing w:after="0" w:line="240" w:lineRule="auto"/>
        <w:ind w:left="709" w:right="709"/>
        <w:jc w:val="both"/>
        <w:rPr>
          <w:rFonts w:ascii="Verdana" w:eastAsia="Times New Roman" w:hAnsi="Verdana" w:cs="Arial"/>
          <w:color w:val="242424"/>
          <w:sz w:val="21"/>
          <w:szCs w:val="21"/>
          <w:lang w:eastAsia="es-MX"/>
        </w:rPr>
      </w:pPr>
      <w:r w:rsidRPr="00D93BDF">
        <w:rPr>
          <w:rFonts w:ascii="Verdana" w:eastAsia="Times New Roman" w:hAnsi="Verdana" w:cs="Arial"/>
          <w:color w:val="242424"/>
          <w:sz w:val="21"/>
          <w:szCs w:val="21"/>
          <w:lang w:eastAsia="es-MX"/>
        </w:rPr>
        <w:t xml:space="preserve">2.12.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VAPOR Y/O REDES DE GASES Y/O REDES DE GAS NATURAL Y/O SISTEMAS DE COCCIÓN DE INFRAESTRUCTURA INSTITUCIONAL - SERVICIO PÚBLICO”. </w:t>
      </w:r>
    </w:p>
    <w:p w14:paraId="537E54AB" w14:textId="77777777" w:rsidR="00D93BDF" w:rsidRPr="00D93BDF" w:rsidRDefault="00D93BDF" w:rsidP="00D93BDF">
      <w:pPr>
        <w:spacing w:after="0" w:line="276" w:lineRule="auto"/>
        <w:jc w:val="both"/>
        <w:rPr>
          <w:rFonts w:ascii="Verdana" w:eastAsia="Times New Roman" w:hAnsi="Verdana" w:cs="Times New Roman"/>
          <w:color w:val="000000"/>
          <w:lang w:eastAsia="es-CO"/>
        </w:rPr>
      </w:pPr>
    </w:p>
    <w:p w14:paraId="3082FA71" w14:textId="77777777" w:rsidR="00D93BDF" w:rsidRPr="00D93BDF" w:rsidRDefault="00D93BDF" w:rsidP="00D93BDF">
      <w:pPr>
        <w:spacing w:after="120" w:line="276" w:lineRule="auto"/>
        <w:ind w:firstLine="708"/>
        <w:jc w:val="both"/>
        <w:rPr>
          <w:rFonts w:ascii="Verdana" w:eastAsia="Aptos" w:hAnsi="Verdana" w:cs="Times New Roman"/>
          <w:kern w:val="2"/>
          <w14:ligatures w14:val="standardContextual"/>
        </w:rPr>
      </w:pPr>
      <w:r w:rsidRPr="00D93BDF">
        <w:rPr>
          <w:rFonts w:ascii="Verdana" w:eastAsia="Times New Roman" w:hAnsi="Verdana" w:cs="Times New Roman"/>
          <w:color w:val="000000"/>
          <w:lang w:eastAsia="es-CO"/>
        </w:rPr>
        <w:t xml:space="preserve">Como se aprecia, las actividades indicadas aplican a los procesos que adelanten las entidades obligadas a utilizar los documentos tipo, cuando correspondan —para efectos de su solicitud— al mantenimiento, adecuación y </w:t>
      </w:r>
      <w:r w:rsidRPr="00D93BDF">
        <w:rPr>
          <w:rFonts w:ascii="Verdana" w:eastAsia="Times New Roman" w:hAnsi="Verdana" w:cs="Times New Roman"/>
          <w:color w:val="000000"/>
          <w:lang w:eastAsia="es-CO"/>
        </w:rPr>
        <w:lastRenderedPageBreak/>
        <w:t xml:space="preserve">reparaciones de: </w:t>
      </w:r>
      <w:r w:rsidRPr="00D93BDF">
        <w:rPr>
          <w:rFonts w:ascii="Verdana" w:eastAsia="Aptos" w:hAnsi="Verdana" w:cs="Times New Roman"/>
          <w:kern w:val="2"/>
          <w14:ligatures w14:val="standardContextual"/>
        </w:rPr>
        <w:t xml:space="preserve">infraestructura de servicio público; cerramientos para infraestructura de servicio público; comedores, zonas de almacenamiento y/o conservación de alimentos y/o zonas de alimentación; baterías sanitarias y/o redes hidrosanitarias y/o tanques de almacenamiento y/o sistemas de bombeo y/o redes contra incendios; cubiertas; bienes de interés cultural y/o patrimonial asociados a infraestructura de servicio público; redes eléctricas y/o circuitos cerrados de TV y/o sistemas de seguridad y/o circuitos de voz y datos y/o plantas eléctricas y/o subestaciones y/o redes de telemática, comunicación, sonido o telefonía y/o redes o sistemas de iluminación o luminarias interiores o exteriores; zonas verdes y/o actividades de urbanismo y/o de paisajismo; y redes de vapor y/o redes de gases y/o redes de gas natural y/o sistemas de cocción, todas estas </w:t>
      </w:r>
      <w:r w:rsidRPr="00D93BDF">
        <w:rPr>
          <w:rFonts w:ascii="Verdana" w:eastAsia="Times New Roman" w:hAnsi="Verdana" w:cs="Times New Roman"/>
          <w:color w:val="000000"/>
          <w:lang w:eastAsia="es-CO"/>
        </w:rPr>
        <w:t xml:space="preserve">en infraestructura de servicio público. </w:t>
      </w:r>
      <w:r w:rsidRPr="00D93BDF">
        <w:rPr>
          <w:rFonts w:ascii="Verdana" w:eastAsia="Aptos" w:hAnsi="Verdana" w:cs="Times New Roman"/>
          <w:kern w:val="2"/>
          <w14:ligatures w14:val="standardContextual"/>
        </w:rPr>
        <w:t>No obstante, será la entidad contratante la que, de acuerdo con el alcance específico del mantenimiento y/o la reparación que pretenda desarrollar, determine cuál o cuáles de las actividades relacionadas resultan aplicables a su proceso de contratación, en atención a las particularidades técnicas, al objeto contractual y a las necesidades reales de la obra a ejecutar.</w:t>
      </w:r>
    </w:p>
    <w:p w14:paraId="2BCE7E1E" w14:textId="77777777" w:rsidR="00D93BDF" w:rsidRPr="00D93BDF" w:rsidRDefault="00D93BDF" w:rsidP="00D93BDF">
      <w:pPr>
        <w:spacing w:after="120" w:line="278" w:lineRule="auto"/>
        <w:ind w:firstLine="708"/>
        <w:jc w:val="both"/>
        <w:rPr>
          <w:rFonts w:ascii="Verdana" w:eastAsia="Times New Roman" w:hAnsi="Verdana" w:cs="Aptos"/>
          <w:lang w:eastAsia="es-MX"/>
        </w:rPr>
      </w:pPr>
      <w:r w:rsidRPr="00D93BDF">
        <w:rPr>
          <w:rFonts w:ascii="Verdana" w:eastAsia="Times New Roman" w:hAnsi="Verdana" w:cs="Aptos"/>
          <w:lang w:eastAsia="es-MX"/>
        </w:rPr>
        <w:t>Para interpretar el alcance del tipo de infraestructura de servicio público, se debe tener en cuenta la nota general 1 de la Matriz 1– Experiencia del Sector Institucional, en las distintas modalidades de selección de los documentos tipo adoptados por esta Agencia. En esta se indica que “(l)as definiciones contenidas en esta Matriz deben enmarcarse en la normativa vigente en la materia, así como en la NSR 10 o aquellas que los modifiquen, adicionen o sustituyan, así como a las definiciones contenidas en el "Anexo - Glosario del Sector Social””.</w:t>
      </w:r>
    </w:p>
    <w:p w14:paraId="2BC9202A" w14:textId="77777777" w:rsidR="00D93BDF" w:rsidRPr="00D93BDF" w:rsidRDefault="00D93BDF" w:rsidP="00D93BDF">
      <w:pPr>
        <w:spacing w:after="120" w:line="278" w:lineRule="auto"/>
        <w:ind w:firstLine="708"/>
        <w:jc w:val="both"/>
        <w:rPr>
          <w:rFonts w:ascii="Verdana" w:eastAsia="Times New Roman" w:hAnsi="Verdana" w:cs="Aptos"/>
          <w:lang w:eastAsia="es-MX"/>
        </w:rPr>
      </w:pPr>
      <w:r w:rsidRPr="00D93BDF">
        <w:rPr>
          <w:rFonts w:ascii="Verdana" w:eastAsia="Times New Roman" w:hAnsi="Verdana" w:cs="Aptos"/>
          <w:lang w:eastAsia="es-MX"/>
        </w:rPr>
        <w:t>La nota general 1 contenida en la Matriz 1 – Experiencia de los documentos tipo indicados, es congruente con el numeral 1.10 del documento base que dispone que: “[p]ara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5DE3A7E0"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lang w:val="es-ES_tradnl" w:eastAsia="es-MX"/>
        </w:rPr>
        <w:t xml:space="preserve">Ahora bien, como se precisó las actividades señaladas recaen sobre </w:t>
      </w:r>
      <w:r w:rsidRPr="00D93BDF">
        <w:rPr>
          <w:rFonts w:ascii="Verdana" w:eastAsia="Times New Roman" w:hAnsi="Verdana" w:cs="Calibri"/>
          <w:lang w:eastAsia="es-MX"/>
        </w:rPr>
        <w:t xml:space="preserve">obras en proyectos de infraestructura institucional de servicio público. De esta forma, para determinar qué abarca este tipo de infraestructura, debe indicarse que, de conformidad con la norma </w:t>
      </w:r>
      <w:r w:rsidRPr="00D93BDF">
        <w:rPr>
          <w:rFonts w:ascii="Verdana" w:eastAsia="Calibri" w:hAnsi="Verdana" w:cs="Arial"/>
          <w:color w:val="0D0D0D"/>
          <w:lang w:eastAsia="es-MX"/>
        </w:rPr>
        <w:t xml:space="preserve">NSR-10 en el Subgrupo de Ocupación Institucional de </w:t>
      </w:r>
      <w:r w:rsidRPr="00D93BDF">
        <w:rPr>
          <w:rFonts w:ascii="Verdana" w:eastAsia="Calibri" w:hAnsi="Verdana" w:cs="Arial"/>
          <w:color w:val="0D0D0D"/>
          <w:lang w:eastAsia="es-MX"/>
        </w:rPr>
        <w:lastRenderedPageBreak/>
        <w:t>Servicio Público (I-5) “se clasifican las edificaciones o espacios destinados a funciones administrativas y prestación de servicios públicos necesarios para el buen funcionamiento de las ciudades”</w:t>
      </w:r>
      <w:r w:rsidRPr="00D93BDF">
        <w:rPr>
          <w:rFonts w:ascii="Verdana" w:eastAsia="Calibri" w:hAnsi="Verdana" w:cs="Arial"/>
          <w:color w:val="0D0D0D"/>
          <w:vertAlign w:val="superscript"/>
          <w:lang w:eastAsia="es-MX"/>
        </w:rPr>
        <w:footnoteReference w:id="8"/>
      </w:r>
      <w:r w:rsidRPr="00D93BDF">
        <w:rPr>
          <w:rFonts w:ascii="Verdana" w:eastAsia="Calibri" w:hAnsi="Verdana" w:cs="Arial"/>
          <w:color w:val="0D0D0D"/>
          <w:lang w:eastAsia="es-MX"/>
        </w:rPr>
        <w:t>. Entre las edificaciones o espacios que pertenecen a este Subgrupo se encuentran las siguientes: “Centros de comunicación o administrativos o administrativos de servicios municipales, distritales o gubernamentales, juzgados y otros similares”</w:t>
      </w:r>
      <w:r w:rsidRPr="00D93BDF">
        <w:rPr>
          <w:rFonts w:ascii="Verdana" w:eastAsia="Calibri" w:hAnsi="Verdana" w:cs="Arial"/>
          <w:color w:val="0D0D0D"/>
          <w:vertAlign w:val="superscript"/>
          <w:lang w:eastAsia="es-MX"/>
        </w:rPr>
        <w:footnoteReference w:id="9"/>
      </w:r>
      <w:r w:rsidRPr="00D93BDF">
        <w:rPr>
          <w:rFonts w:ascii="Verdana" w:eastAsia="Calibri" w:hAnsi="Verdana" w:cs="Arial"/>
          <w:color w:val="0D0D0D"/>
          <w:lang w:eastAsia="es-MX"/>
        </w:rPr>
        <w:t>.</w:t>
      </w:r>
    </w:p>
    <w:p w14:paraId="01AC1432"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 por su naturaleza y finalidad, están orientadas a la prestación de servicios públicos y al desarrollo de funciones institucionales del Estado, como son las funciones administrativas.  </w:t>
      </w:r>
    </w:p>
    <w:p w14:paraId="418F7125"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D93BDF">
        <w:rPr>
          <w:rFonts w:ascii="Verdana" w:eastAsia="Calibri" w:hAnsi="Verdana" w:cs="Arial"/>
          <w:color w:val="0D0D0D"/>
          <w:lang w:eastAsia="es-MX"/>
        </w:rPr>
        <w:t>etc</w:t>
      </w:r>
      <w:proofErr w:type="spellEnd"/>
      <w:r w:rsidRPr="00D93BDF">
        <w:rPr>
          <w:rFonts w:ascii="Verdana" w:eastAsia="Calibri" w:hAnsi="Verdana" w:cs="Arial"/>
          <w:color w:val="0D0D0D"/>
          <w:lang w:eastAsia="es-MX"/>
        </w:rPr>
        <w:t>) principalmente para el beneficio e interés público”</w:t>
      </w:r>
      <w:r w:rsidRPr="00D93BDF">
        <w:rPr>
          <w:rFonts w:ascii="Verdana" w:eastAsia="Calibri" w:hAnsi="Verdana" w:cs="Arial"/>
          <w:color w:val="0D0D0D"/>
          <w:vertAlign w:val="superscript"/>
          <w:lang w:eastAsia="es-MX"/>
        </w:rPr>
        <w:footnoteReference w:id="10"/>
      </w:r>
      <w:r w:rsidRPr="00D93BDF">
        <w:rPr>
          <w:rFonts w:ascii="Verdana" w:eastAsia="Calibri" w:hAnsi="Verdana" w:cs="Arial"/>
          <w:color w:val="0D0D0D"/>
          <w:lang w:eastAsia="es-MX"/>
        </w:rPr>
        <w:t xml:space="preserve">. </w:t>
      </w:r>
    </w:p>
    <w:p w14:paraId="36F46E03"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 xml:space="preserve">Considerando lo anterior, la(s) sede(s) en las que el Instituto Nacional para Sordos – INSOR, ejerce sus funciones, se enmarcan claramente dentro de las edificaciones institucionales administrativa del Subgrupo de Ocupación Institucional de Servicio Pública (I-5) definido por la NSR-10, en la medida en que su destinación funcional corresponde al ejercicio de competencias administrativas y a la prestación de un servicio esencial para el funcionamiento del país. </w:t>
      </w:r>
    </w:p>
    <w:p w14:paraId="5A2D4434"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lastRenderedPageBreak/>
        <w:t>En efecto, el Instituto Nacional para Sordos – INSOR, desarrolla actividades propias de la administración pública del orden nacional, tales como “</w:t>
      </w:r>
      <w:r w:rsidRPr="00D93BDF">
        <w:rPr>
          <w:rFonts w:ascii="Verdana" w:eastAsia="Aptos" w:hAnsi="Verdana" w:cs="Times New Roman"/>
          <w:color w:val="333333"/>
          <w:kern w:val="2"/>
          <w:shd w:val="clear" w:color="auto" w:fill="FFFFFF"/>
          <w14:ligatures w14:val="standardContextual"/>
        </w:rPr>
        <w:t>promover, desde el sector educativo, el desarrollo e implementación de política pública para la inclusión social de la población sorda”</w:t>
      </w:r>
      <w:r w:rsidRPr="00D93BDF">
        <w:rPr>
          <w:rFonts w:ascii="Verdana" w:eastAsia="Aptos" w:hAnsi="Verdana" w:cs="Times New Roman"/>
          <w:color w:val="333333"/>
          <w:kern w:val="2"/>
          <w:shd w:val="clear" w:color="auto" w:fill="FFFFFF"/>
          <w:vertAlign w:val="superscript"/>
          <w14:ligatures w14:val="standardContextual"/>
        </w:rPr>
        <w:footnoteReference w:id="11"/>
      </w:r>
      <w:r w:rsidRPr="00D93BDF">
        <w:rPr>
          <w:rFonts w:ascii="Verdana" w:eastAsia="Calibri" w:hAnsi="Verdana" w:cs="Arial"/>
          <w:color w:val="0D0D0D"/>
          <w:lang w:eastAsia="es-MX"/>
        </w:rPr>
        <w:t xml:space="preserve">, lo cual se ajusta a la noción de edificaciones destinadas a funciones administrativas, previstas en la clasificación normativa. </w:t>
      </w:r>
    </w:p>
    <w:p w14:paraId="159E53F0" w14:textId="77777777" w:rsidR="00D93BDF" w:rsidRPr="00D93BDF" w:rsidRDefault="00D93BDF" w:rsidP="00D93BDF">
      <w:pPr>
        <w:spacing w:after="120" w:line="276" w:lineRule="auto"/>
        <w:ind w:firstLine="708"/>
        <w:jc w:val="both"/>
        <w:rPr>
          <w:rFonts w:ascii="Verdana" w:eastAsia="Calibri" w:hAnsi="Verdana" w:cs="Arial"/>
          <w:color w:val="0D0D0D"/>
          <w:lang w:eastAsia="es-MX"/>
        </w:rPr>
      </w:pPr>
      <w:r w:rsidRPr="00D93BDF">
        <w:rPr>
          <w:rFonts w:ascii="Verdana" w:eastAsia="Calibri" w:hAnsi="Verdana" w:cs="Arial"/>
          <w:color w:val="0D0D0D"/>
          <w:lang w:eastAsia="es-MX"/>
        </w:rPr>
        <w:t xml:space="preserve">Asimismo, al tratarse de una infraestructura destinada de manera permanente al cumplimiento de funciones institucionales del Estado y a la satisfacción de necesidades colectivas, su naturaleza se adecua a los criterios de finalidad, uso y servicio público que caracterizan a ese tipo de edificaciones, que cumplen un rol esencial en la organización y funcionamiento de la política pública de inclusión social de la población sorda del país. </w:t>
      </w:r>
    </w:p>
    <w:p w14:paraId="7606D7E1" w14:textId="77777777" w:rsidR="00D93BDF" w:rsidRPr="00D93BDF" w:rsidRDefault="00D93BDF" w:rsidP="00D93BDF">
      <w:pPr>
        <w:spacing w:after="120" w:line="276" w:lineRule="auto"/>
        <w:ind w:firstLine="708"/>
        <w:jc w:val="both"/>
        <w:rPr>
          <w:rFonts w:ascii="Verdana" w:eastAsia="Calibri" w:hAnsi="Verdana" w:cs="Times New Roman"/>
          <w:color w:val="000000"/>
          <w:kern w:val="2"/>
          <w:lang w:val="es-ES_tradnl"/>
          <w14:ligatures w14:val="standardContextual"/>
        </w:rPr>
      </w:pPr>
      <w:r w:rsidRPr="00D93BDF">
        <w:rPr>
          <w:rFonts w:ascii="Verdana" w:eastAsia="Calibri" w:hAnsi="Verdana" w:cs="Arial"/>
          <w:lang w:val="es-ES" w:eastAsia="es-MX"/>
        </w:rPr>
        <w:t>Por lo anterior, la Agencia Nacional de Contratación Pública – Colombia Compra Eficiente indicó que, a partir del 16 de febrero de 2026, si una entidad de aquellas obligadas a utilizar los documentos tipo expedidos por esta Entidad adelanta un proceso que tenga por objeto la(s) actividad(es) contenidas en el capítulo “2. Obras en proyectos de infraestructura institucional de servicios público” de la Matriz 1 – Experiencia Sector Institucional</w:t>
      </w:r>
      <w:r w:rsidRPr="00D93BDF">
        <w:rPr>
          <w:rFonts w:ascii="Verdana" w:eastAsia="Times New Roman" w:hAnsi="Verdana" w:cs="Aptos"/>
          <w:lang w:eastAsia="es-MX"/>
        </w:rPr>
        <w:t xml:space="preserve">, </w:t>
      </w:r>
      <w:r w:rsidRPr="00D93BDF">
        <w:rPr>
          <w:rFonts w:ascii="Verdana" w:eastAsia="Calibri" w:hAnsi="Verdana" w:cs="Arial"/>
          <w:lang w:val="es-ES" w:eastAsia="es-MX"/>
        </w:rPr>
        <w:t xml:space="preserve">deberá implementar los </w:t>
      </w:r>
      <w:r w:rsidRPr="00D93BDF">
        <w:rPr>
          <w:rFonts w:ascii="Verdana" w:eastAsia="Calibri" w:hAnsi="Verdana" w:cs="Arial"/>
          <w:color w:val="0D0D0D"/>
          <w:lang w:eastAsia="es-MX"/>
        </w:rPr>
        <w:t>documentos tipo acogidos mediante las Resoluciones 539, 540 o 541 de 2025, según el proyecto se adelante por la modalidad de licitación de obra pública, selección abreviada de menor cuantía o mínima cuantía.</w:t>
      </w:r>
    </w:p>
    <w:p w14:paraId="7F94CDB1" w14:textId="77777777" w:rsidR="00D93BDF" w:rsidRPr="00D93BDF" w:rsidRDefault="00D93BDF" w:rsidP="00D93BDF">
      <w:pPr>
        <w:spacing w:after="0" w:line="276" w:lineRule="auto"/>
        <w:ind w:firstLine="708"/>
        <w:jc w:val="both"/>
        <w:rPr>
          <w:rFonts w:ascii="Verdana" w:eastAsia="Times New Roman" w:hAnsi="Verdana" w:cs="Arial"/>
          <w:kern w:val="2"/>
          <w:shd w:val="clear" w:color="auto" w:fill="FFFFFF"/>
          <w:lang w:val="es-ES_tradnl" w:eastAsia="es-ES_tradnl"/>
          <w14:ligatures w14:val="standardContextual"/>
        </w:rPr>
      </w:pPr>
      <w:r w:rsidRPr="00D93BDF">
        <w:rPr>
          <w:rFonts w:ascii="Verdana" w:eastAsia="Aptos" w:hAnsi="Verdana" w:cs="Aptos"/>
          <w:kern w:val="2"/>
          <w14:ligatures w14:val="standardContextual"/>
        </w:rPr>
        <w:t>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w:t>
      </w:r>
      <w:r w:rsidRPr="00D93BDF">
        <w:rPr>
          <w:rFonts w:ascii="Verdana" w:eastAsia="Times New Roman" w:hAnsi="Verdana" w:cs="Arial"/>
          <w:kern w:val="2"/>
          <w:shd w:val="clear" w:color="auto" w:fill="FFFFFF"/>
          <w:lang w:val="es-ES_tradnl" w:eastAsia="es-ES_tradnl"/>
          <w14:ligatures w14:val="standardContextual"/>
        </w:rPr>
        <w:t xml:space="preserve"> </w:t>
      </w:r>
    </w:p>
    <w:p w14:paraId="0AA4025B" w14:textId="77777777" w:rsidR="00D93BDF" w:rsidRPr="00D93BDF" w:rsidRDefault="00D93BDF" w:rsidP="00D93BDF">
      <w:pPr>
        <w:spacing w:after="0" w:line="276" w:lineRule="auto"/>
        <w:ind w:firstLine="708"/>
        <w:jc w:val="both"/>
        <w:rPr>
          <w:rFonts w:ascii="Verdana" w:eastAsia="Times New Roman" w:hAnsi="Verdana" w:cs="Arial"/>
          <w:kern w:val="2"/>
          <w:sz w:val="24"/>
          <w:szCs w:val="24"/>
          <w:shd w:val="clear" w:color="auto" w:fill="FFFFFF"/>
          <w:lang w:val="es-ES_tradnl" w:eastAsia="es-ES_tradnl"/>
          <w14:ligatures w14:val="standardContextual"/>
        </w:rPr>
      </w:pPr>
    </w:p>
    <w:p w14:paraId="50FB04B2" w14:textId="77777777" w:rsidR="00D93BDF" w:rsidRPr="00D93BDF" w:rsidRDefault="00D93BDF" w:rsidP="00D93BDF">
      <w:pPr>
        <w:spacing w:after="120" w:line="276" w:lineRule="auto"/>
        <w:jc w:val="both"/>
        <w:rPr>
          <w:rFonts w:ascii="Verdana" w:eastAsia="Calibri" w:hAnsi="Verdana" w:cs="Times New Roman"/>
          <w:lang w:val="es-ES"/>
        </w:rPr>
      </w:pPr>
      <w:proofErr w:type="spellStart"/>
      <w:r w:rsidRPr="00D93BDF">
        <w:rPr>
          <w:rFonts w:ascii="Verdana" w:eastAsia="Calibri" w:hAnsi="Verdana" w:cs="Times New Roman"/>
          <w:lang w:val="es-ES"/>
        </w:rPr>
        <w:lastRenderedPageBreak/>
        <w:t>iv</w:t>
      </w:r>
      <w:proofErr w:type="spellEnd"/>
      <w:r w:rsidRPr="00D93BDF">
        <w:rPr>
          <w:rFonts w:ascii="Verdana" w:eastAsia="Calibri" w:hAnsi="Verdana" w:cs="Times New Roman"/>
          <w:lang w:val="es-ES"/>
        </w:rPr>
        <w:t xml:space="preserve">. Considerando que en su solicitud se mencionan las 2.6, 2.9 y 2.14 contenida en la </w:t>
      </w:r>
      <w:r w:rsidRPr="00D93BDF">
        <w:rPr>
          <w:rFonts w:ascii="Verdana" w:eastAsia="Times New Roman" w:hAnsi="Verdana" w:cs="Aptos"/>
          <w:lang w:eastAsia="es-MX"/>
        </w:rPr>
        <w:t>Matriz 1– Experiencia del Sector Institucional</w:t>
      </w:r>
      <w:r w:rsidRPr="00D93BDF">
        <w:rPr>
          <w:rFonts w:ascii="Verdana" w:eastAsia="Times New Roman" w:hAnsi="Verdana" w:cs="Times New Roman"/>
          <w:color w:val="000000"/>
          <w:lang w:eastAsia="es-CO"/>
        </w:rPr>
        <w:t>, sobre el alcance de estas actividades, esta Agencia reitera la postura expuesta en el concepto C-452 del 4 de mayo de 2026, en el que se indicó que, desde una perspectiva técnica y jurídica, los elementos señalados –para esas actividades– pueden ser considerados bienes inmuebles por destinación o por adhesión, en la medida en que concurran los criterios establecidos en el Código Civil y desarrollados por la doctrina y la jurisprudencia, particularmente en relación con su incorporación física, destinación funcional y vocación de permanencia respecto del inmueble al cual sirven –criterios desarrollados en el punto uno (</w:t>
      </w:r>
      <w:proofErr w:type="spellStart"/>
      <w:r w:rsidRPr="00D93BDF">
        <w:rPr>
          <w:rFonts w:ascii="Verdana" w:eastAsia="Times New Roman" w:hAnsi="Verdana" w:cs="Times New Roman"/>
          <w:color w:val="000000"/>
          <w:lang w:eastAsia="es-CO"/>
        </w:rPr>
        <w:t>ii</w:t>
      </w:r>
      <w:proofErr w:type="spellEnd"/>
      <w:r w:rsidRPr="00D93BDF">
        <w:rPr>
          <w:rFonts w:ascii="Verdana" w:eastAsia="Times New Roman" w:hAnsi="Verdana" w:cs="Times New Roman"/>
          <w:color w:val="000000"/>
          <w:lang w:eastAsia="es-CO"/>
        </w:rPr>
        <w:t xml:space="preserve">) de este concepto–. </w:t>
      </w:r>
    </w:p>
    <w:p w14:paraId="48EFFDE0"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Bajo este marco, los tanques de almacenamiento, sistemas de bombeo y redes contra incendios, en la medida en que se encuentren anclados, empotrados o integrados a las redes hidráulicas de la infraestructura de servicio público, y cumplan una función esencial de seguridad o funcionamiento del inmueble, pueden ser calificados como inmuebles por adhesión o por destinación, según el grado de incorporación física. En particular, las redes contra incendios –por su integración estructural– tienden a configurarse como inmuebles por adhesión, mientras que equipos como bombas o tanques, aun siendo susceptibles de individualización, adquieren la calidad de inmuebles por destinación cuando su uso está permanentemente ligado al servicio del inmueble.</w:t>
      </w:r>
    </w:p>
    <w:p w14:paraId="39EB52B7"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En relación con las plantas eléctricas, subestaciones y redes de telefonía, cuando están instaladas de manera fija, conectadas a la infraestructura eléctrica o de comunicaciones y destinadas de forma permanente al funcionamiento del inmueble, participan de la misma naturaleza jurídica. Así, las redes de telecomunicaciones, por su carácter de integración física, suelen constituir inmuebles por adhesión, mientras que equipos como plantas eléctricas o transformadores pueden considerarse inmuebles por destinación, siempre que su remoción afecte la operatividad del bien principal o evidencie su vocación de permanencia.</w:t>
      </w:r>
    </w:p>
    <w:p w14:paraId="13D1163E"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Por su parte, la instalación de sistemas de aire acondicionado</w:t>
      </w:r>
      <w:r w:rsidRPr="00D93BDF">
        <w:rPr>
          <w:rFonts w:ascii="Verdana" w:eastAsia="Times New Roman" w:hAnsi="Verdana" w:cs="Times New Roman"/>
          <w:color w:val="000000"/>
          <w:vertAlign w:val="superscript"/>
          <w:lang w:eastAsia="es-CO"/>
        </w:rPr>
        <w:footnoteReference w:id="12"/>
      </w:r>
      <w:r w:rsidRPr="00D93BDF">
        <w:rPr>
          <w:rFonts w:ascii="Verdana" w:eastAsia="Times New Roman" w:hAnsi="Verdana" w:cs="Times New Roman"/>
          <w:color w:val="000000"/>
          <w:lang w:eastAsia="es-CO"/>
        </w:rPr>
        <w:t xml:space="preserve">, ventilación o similares sobre infraestructura de servicio público refuerza este </w:t>
      </w:r>
      <w:r w:rsidRPr="00D93BDF">
        <w:rPr>
          <w:rFonts w:ascii="Verdana" w:eastAsia="Times New Roman" w:hAnsi="Verdana" w:cs="Times New Roman"/>
          <w:color w:val="000000"/>
          <w:lang w:eastAsia="es-CO"/>
        </w:rPr>
        <w:lastRenderedPageBreak/>
        <w:t>análisis, en la medida en que dichos sistemas, una vez instalados, se integran funcionalmente y, en muchos casos, físicamente a la edificación, a través de ductos, redes eléctricas y anclajes estructurales. En tales condiciones, los componentes fijos del sistema tienden a ser considerados inmuebles por adhesión, mientras que ciertos equipos individualizables pueden adquirir la calidad de inmuebles por destinación, en tanto estén permanentemente afectados al uso del inmueble. No obstante, debe precisarse que, la actividad 2.14. que recae sobre la instalación de aires acondiciones, no se hace referencia expresa a actividades de mantenimiento de sistemas</w:t>
      </w:r>
      <w:r w:rsidRPr="00D93BDF">
        <w:rPr>
          <w:rFonts w:ascii="Verdana" w:eastAsia="Aptos" w:hAnsi="Verdana" w:cs="Times New Roman"/>
          <w:kern w:val="2"/>
          <w:lang w:eastAsia="es-CO"/>
          <w14:ligatures w14:val="standardContextual"/>
        </w:rPr>
        <w:t xml:space="preserve"> de aire acondicionado. En consecuencia, cuando el proceso tenga por objeto exclusivamente el mantenimiento de estos equipos, no se advierte la obligación de aplicar los Documentos Tipo mencionados, salvo que dicha actividad eventualmente se encuentre integrada dentro de un contrato que también contemple la instalación de los sistemas. </w:t>
      </w:r>
    </w:p>
    <w:p w14:paraId="574F013E"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Teniendo en cuenta las consideraciones desarrolladas en el punto dos (</w:t>
      </w:r>
      <w:proofErr w:type="spellStart"/>
      <w:r w:rsidRPr="00D93BDF">
        <w:rPr>
          <w:rFonts w:ascii="Verdana" w:eastAsia="Times New Roman" w:hAnsi="Verdana" w:cs="Times New Roman"/>
          <w:color w:val="000000"/>
          <w:lang w:eastAsia="es-CO"/>
        </w:rPr>
        <w:t>ii</w:t>
      </w:r>
      <w:proofErr w:type="spellEnd"/>
      <w:r w:rsidRPr="00D93BDF">
        <w:rPr>
          <w:rFonts w:ascii="Verdana" w:eastAsia="Times New Roman" w:hAnsi="Verdana" w:cs="Times New Roman"/>
          <w:color w:val="000000"/>
          <w:lang w:eastAsia="es-CO"/>
        </w:rPr>
        <w:t>) y tres (</w:t>
      </w:r>
      <w:proofErr w:type="spellStart"/>
      <w:r w:rsidRPr="00D93BDF">
        <w:rPr>
          <w:rFonts w:ascii="Verdana" w:eastAsia="Times New Roman" w:hAnsi="Verdana" w:cs="Times New Roman"/>
          <w:color w:val="000000"/>
          <w:lang w:eastAsia="es-CO"/>
        </w:rPr>
        <w:t>iv</w:t>
      </w:r>
      <w:proofErr w:type="spellEnd"/>
      <w:r w:rsidRPr="00D93BDF">
        <w:rPr>
          <w:rFonts w:ascii="Verdana" w:eastAsia="Times New Roman" w:hAnsi="Verdana" w:cs="Times New Roman"/>
          <w:color w:val="000000"/>
          <w:lang w:eastAsia="es-CO"/>
        </w:rPr>
        <w:t xml:space="preserve">) de este concepto, es posible concluir que, la inclusión en los documentos tipo del sector institucional – infraestructura institucional de servicio público de actividades relacionadas con el mantenimiento, adecuación y reparación de sistemas y equipos tales como subestaciones eléctrica, motobombas, redes contra incendios, sistemas de almacenamiento, bombeo y líneas telefónicas y la actividad de instalación de aires acondicionados, resultan plenamente coherente con el marco normativo que regula el contrato de obra pública en Colombia. En efecto, conforme con lo dispuesto en el numeral 1 del artículo 32 de la Ley 80 de 1993, el contrato de obra comprende no solo la construcción, sino también el mantenimiento, la instalación y, en general, cualquier trabajo material realizado sobre inmuebles. En este sentido, las actividades –2.6,2.9 y 2.14– previstas en la Matriz 1 – Experiencia del Sector Institucional – Infraestructura de Servicio Público se ajustan a dicha definición, en tanto que recaen sobre infraestructura institucional y suponen intervenciones materiales dirigidas a garantizar su funcionalidad, conservación y adecuada operación. </w:t>
      </w:r>
    </w:p>
    <w:p w14:paraId="0CEF949F"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 xml:space="preserve">La inclusión de las actividades señaladas, sobre los objetos indicados – subestaciones eléctricas, motobombas, redes contra incendios, sistemas de </w:t>
      </w:r>
      <w:r w:rsidRPr="00D93BDF">
        <w:rPr>
          <w:rFonts w:ascii="Verdana" w:eastAsia="Times New Roman" w:hAnsi="Verdana" w:cs="Times New Roman"/>
          <w:color w:val="000000"/>
          <w:lang w:eastAsia="es-CO"/>
        </w:rPr>
        <w:lastRenderedPageBreak/>
        <w:t xml:space="preserve">almacenamiento, bombeo, líneas telefónicas y aires acondicionados–, encuentra sustento en la noción de bienes inmuebles por adhesión y/o destinación prevista en los artículos 656 a 658 del Código Civil. Así, los sistemas y/o equipos mencionados, cuando se encuentran incorporados física o funcionalmente a la infraestructura de servicio público y destinados de manera permanente a su uso, adquieren la calidad de inmuebles, ya sea por su destinación material o por su afectación al servicio del bien principal –la infraestructura de servicio público–. </w:t>
      </w:r>
    </w:p>
    <w:p w14:paraId="5E255D38"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En este sentido, la naturaleza del contrato de obra pública se define por la intervención material sobre bienes inmuebles, independientemente de algunos de sus componentes hayan sido originalmente muebles. En consecuencia, actividades como el mantenimiento de sistemas y equipos tales como subestaciones eléctricas, motobombas, redes contra incendios, sistemas de almacenamiento, bombeo y líneas telefónicas y la actividad de instalación de aires acondicionados, en la medida en que impliquen una incorporación o afectación permanente al inmueble, se subsumen válidamente en la tipología del contrato de obra.</w:t>
      </w:r>
    </w:p>
    <w:p w14:paraId="5A7615CB" w14:textId="77777777" w:rsidR="00D93BDF" w:rsidRPr="00D93BDF" w:rsidRDefault="00D93BDF" w:rsidP="00D93BDF">
      <w:pPr>
        <w:spacing w:after="12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Es así como, las actividades de mantenimiento, adecuación y reparación constituyen contrato de obra cuando recaen sobre un bien inmueble, se incorporan a este y tienen como finalidad garantizar su adecuado funcionamiento, criterios que se reflejan en las actividades –2.6,2.9 y 2.14– previstas en la Matriz 1 – Experiencia del Sector Institucional – Infraestructura de Servicio Público. Por tanto, la decisión de la Agencia Nacional de Contratación Pública – Colombia Compra Eficiente de incorporar dichas actividades no solo responde a una lógica técnica de la infraestructura institucional, sino que se encuentra jurídicamente respaldada por la ley, la doctrina y la jurisprudencia, en cuanto reconoce que estos sistemas y equipos, al integrarse estructuralmente o funcionalmente al inmueble, hacen parte de este por lo que, las intervenciones sobre ellos pueden estructurarse válidamente como contratos de obra pública bajo los documentos tipo complementario del sector de infraestructura institucional.</w:t>
      </w:r>
    </w:p>
    <w:p w14:paraId="7F2EEE86" w14:textId="77777777" w:rsidR="00D93BDF" w:rsidRPr="00D93BDF" w:rsidRDefault="00D93BDF" w:rsidP="00D93BDF">
      <w:pPr>
        <w:spacing w:after="0" w:line="276" w:lineRule="auto"/>
        <w:ind w:firstLine="708"/>
        <w:jc w:val="both"/>
        <w:rPr>
          <w:rFonts w:ascii="Verdana" w:eastAsia="Times New Roman" w:hAnsi="Verdana" w:cs="Times New Roman"/>
          <w:color w:val="000000"/>
          <w:lang w:eastAsia="es-CO"/>
        </w:rPr>
      </w:pPr>
      <w:r w:rsidRPr="00D93BDF">
        <w:rPr>
          <w:rFonts w:ascii="Verdana" w:eastAsia="Times New Roman" w:hAnsi="Verdana" w:cs="Times New Roman"/>
          <w:color w:val="000000"/>
          <w:lang w:eastAsia="es-CO"/>
        </w:rPr>
        <w:t xml:space="preserve">Finalmente, debe indicarse que los argumentos expuestos con anterioridad, se alinean con la tesis expuesta por esta Agencia en el concepto C-440 del 2 de septiembre de 2021, en el que se indicó que “(…) entidad estatal contratante, después de analizar detalladamente el objeto contractual, y previa integración del régimen jurídico aplicable,  debe determinar si al desarrollo de la </w:t>
      </w:r>
      <w:r w:rsidRPr="00D93BDF">
        <w:rPr>
          <w:rFonts w:ascii="Verdana" w:eastAsia="Times New Roman" w:hAnsi="Verdana" w:cs="Times New Roman"/>
          <w:color w:val="000000"/>
          <w:lang w:eastAsia="es-CO"/>
        </w:rPr>
        <w:lastRenderedPageBreak/>
        <w:t>actividad de mantenimiento a contratar concurren los siguientes tres elementos: (i)  la ejecución de una prestación consistente en la realización de trabajos materiales sobre un  bien inmueble –bien sea por naturaleza, adhesión o destinación-, (</w:t>
      </w:r>
      <w:proofErr w:type="spellStart"/>
      <w:r w:rsidRPr="00D93BDF">
        <w:rPr>
          <w:rFonts w:ascii="Verdana" w:eastAsia="Times New Roman" w:hAnsi="Verdana" w:cs="Times New Roman"/>
          <w:color w:val="000000"/>
          <w:lang w:eastAsia="es-CO"/>
        </w:rPr>
        <w:t>ii</w:t>
      </w:r>
      <w:proofErr w:type="spellEnd"/>
      <w:r w:rsidRPr="00D93BDF">
        <w:rPr>
          <w:rFonts w:ascii="Verdana" w:eastAsia="Times New Roman" w:hAnsi="Verdana" w:cs="Times New Roman"/>
          <w:color w:val="000000"/>
          <w:lang w:eastAsia="es-CO"/>
        </w:rPr>
        <w:t>) que los trabajos materiales queden incorporados al inmueble y (</w:t>
      </w:r>
      <w:proofErr w:type="spellStart"/>
      <w:r w:rsidRPr="00D93BDF">
        <w:rPr>
          <w:rFonts w:ascii="Verdana" w:eastAsia="Times New Roman" w:hAnsi="Verdana" w:cs="Times New Roman"/>
          <w:color w:val="000000"/>
          <w:lang w:eastAsia="es-CO"/>
        </w:rPr>
        <w:t>iii</w:t>
      </w:r>
      <w:proofErr w:type="spellEnd"/>
      <w:r w:rsidRPr="00D93BDF">
        <w:rPr>
          <w:rFonts w:ascii="Verdana" w:eastAsia="Times New Roman" w:hAnsi="Verdana" w:cs="Times New Roman"/>
          <w:color w:val="000000"/>
          <w:lang w:eastAsia="es-CO"/>
        </w:rPr>
        <w:t>) que estos sean requeridos para el adecuado funcionamiento del inmueble, de concurrir estos elementos el contrato a celebrar corresponderá al tipo de obra pública”.</w:t>
      </w:r>
    </w:p>
    <w:p w14:paraId="46818C75" w14:textId="77777777" w:rsidR="00D93BDF" w:rsidRPr="00D93BDF" w:rsidRDefault="00D93BDF" w:rsidP="00D93BDF">
      <w:pPr>
        <w:spacing w:after="0" w:line="276" w:lineRule="auto"/>
        <w:jc w:val="both"/>
        <w:rPr>
          <w:rFonts w:ascii="Verdana" w:eastAsia="Calibri" w:hAnsi="Verdana" w:cs="Times New Roman"/>
        </w:rPr>
      </w:pPr>
    </w:p>
    <w:p w14:paraId="72F62F0E" w14:textId="77777777" w:rsidR="00D93BDF" w:rsidRPr="00D93BDF" w:rsidRDefault="00D93BDF" w:rsidP="00D93BDF">
      <w:pPr>
        <w:spacing w:after="0" w:line="276" w:lineRule="auto"/>
        <w:jc w:val="both"/>
        <w:rPr>
          <w:rFonts w:ascii="Verdana" w:eastAsia="Aptos" w:hAnsi="Verdana" w:cs="Times New Roman"/>
          <w:kern w:val="2"/>
          <w14:ligatures w14:val="standardContextual"/>
        </w:rPr>
      </w:pPr>
      <w:r w:rsidRPr="00D93BDF">
        <w:rPr>
          <w:rFonts w:ascii="Verdana" w:eastAsia="Calibri" w:hAnsi="Verdana" w:cs="Times New Roman"/>
          <w:lang w:val="es-ES"/>
        </w:rPr>
        <w:t xml:space="preserve">v. </w:t>
      </w:r>
      <w:r w:rsidRPr="00D93BDF">
        <w:rPr>
          <w:rFonts w:ascii="Verdana" w:eastAsia="Calibri" w:hAnsi="Verdana" w:cs="Arial"/>
          <w:kern w:val="2"/>
          <w14:ligatures w14:val="standardContextual"/>
        </w:rPr>
        <w:t xml:space="preserve">Cuando la entidad requiere bienes, obras o servicios adicionales a la obra pública de infraestructura social, debe aplicar el artículo 4 de la Resolución No. 540 del 21 de agosto de </w:t>
      </w:r>
      <w:r w:rsidRPr="00D93BDF">
        <w:rPr>
          <w:rFonts w:ascii="Verdana" w:eastAsia="Aptos" w:hAnsi="Verdana" w:cs="Times New Roman"/>
          <w:kern w:val="2"/>
          <w14:ligatures w14:val="standardContextual"/>
        </w:rPr>
        <w:t>2025–para el caso de los documentos tipo de selección abreviada de menor cuantía de infraestructura social–. Al respecto, el mencionado artículo dispone lo siguiente:</w:t>
      </w:r>
    </w:p>
    <w:p w14:paraId="69782205" w14:textId="77777777" w:rsidR="00D93BDF" w:rsidRPr="00D93BDF" w:rsidRDefault="00D93BDF" w:rsidP="00D93BDF">
      <w:pPr>
        <w:spacing w:after="0" w:line="276" w:lineRule="auto"/>
        <w:jc w:val="both"/>
        <w:rPr>
          <w:rFonts w:ascii="Verdana" w:eastAsia="Aptos" w:hAnsi="Verdana" w:cs="Times New Roman"/>
          <w:kern w:val="2"/>
          <w:sz w:val="24"/>
          <w:szCs w:val="24"/>
          <w14:ligatures w14:val="standardContextual"/>
        </w:rPr>
      </w:pPr>
    </w:p>
    <w:p w14:paraId="40BE1646"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 xml:space="preserve">“Artículo 4. Obras, bienes o servicios adicionales a la obra pública de infraestructura social. Cuando el objeto contractual incluya obras, bienes o servicios adicionales a la de obra pública de infraestructura social, la entidad estatal deberá aplicar los documentos tipo. Si de manera excepcional requiere incluir experiencia adicional para evaluar la idoneidad respecto de los bienes o servicios adicionales a la obra pública de infraestructura social, deberá seguir los siguientes parámetros: </w:t>
      </w:r>
    </w:p>
    <w:p w14:paraId="576949F4"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1. Demostrar en los estudios previos que ha verificado las condiciones de mercado para la adquisición de las obras, bienes o servicios adicionales al componente de obra pública, de tal manera que la experiencia adicional que se exija para tales bienes o servicios procure la pluralidad de oferentes y no limite la concurrencia al proceso de contratación.</w:t>
      </w:r>
    </w:p>
    <w:p w14:paraId="7D46FD43"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Para tal efecto, la entidad realizará el estudio previo y el análisis del sector en los términos de los artículos 2.2.1.1.1.6.1 у 2.2.1.1.1.6.2 del Decreto 1082 de 2015, o la norma que los adicione, complemente o sustituya.</w:t>
      </w:r>
    </w:p>
    <w:p w14:paraId="276EFB90" w14:textId="77777777" w:rsidR="00D93BDF" w:rsidRPr="00D93BDF" w:rsidRDefault="00D93BDF" w:rsidP="00D93BDF">
      <w:pPr>
        <w:spacing w:after="120" w:line="240" w:lineRule="auto"/>
        <w:ind w:right="709" w:firstLine="708"/>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2. Conservar los requisitos exigidos en los documentos tipо.</w:t>
      </w:r>
    </w:p>
    <w:p w14:paraId="67B57F54"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3. Abstenerse de pedir experiencia exclusiva con entidades estatales, experiencia previa en un territorio específico, limitada en el tiempo o que incluya volúmenes o cantidades de obra específica.</w:t>
      </w:r>
    </w:p>
    <w:p w14:paraId="38E2A650"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lastRenderedPageBreak/>
        <w:t>4. Clasificar la experiencia requerida solo hasta el tercer nivel del Clasificador de Bienes y Servicios e incluir exclusivamente los códigos que estén relacionados directamente con el objeto a contratar.</w:t>
      </w:r>
    </w:p>
    <w:p w14:paraId="6A131B02"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Parágrafo 1°. En los casos que el objeto contractual incluya actividades abarcadas por otros documentos tipo, la Entidad Estatal aplicará las reglas de combinación de experiencia previstas en el numeral 3.5.1 del documento base.</w:t>
      </w:r>
    </w:p>
    <w:p w14:paraId="7A0014A8"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 xml:space="preserve">Parágrafo 2°. Para los efectos de este artículo se entiende por "obras, bienes o servicios adicionales" aquellas actividades que no están incluidas en la matriz de experiencia de los documentos tipo de infraestructura social aplicable o de otras matrices de experiencia de documentos tipo adoptados por esta Agencia que se encuentren vigentes, pero que están relacionadas con el contrato a ejecutar. </w:t>
      </w:r>
    </w:p>
    <w:p w14:paraId="702577AD"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 xml:space="preserve">Parágrafo 3°. Para la aplicación de este artículo, se entiende por experiencia adicional aquella que no está definida en la matriz de experiencia de infraestructura social aplicable o de otras matrices de experiencia de documentos tipo adoptados por esta Agencia que se encuentren vigentes, pero que la Entidad Estatal considera necesaria para garantizar la idoneidad del contratista para la ejecución del proyecto, puesto que está relacionada con el objeto a ejecutar. </w:t>
      </w:r>
    </w:p>
    <w:p w14:paraId="686D116B" w14:textId="77777777" w:rsidR="00D93BDF" w:rsidRPr="00D93BDF" w:rsidRDefault="00D93BDF" w:rsidP="00D93BDF">
      <w:pPr>
        <w:spacing w:after="120" w:line="240" w:lineRule="auto"/>
        <w:ind w:left="709" w:right="709"/>
        <w:jc w:val="both"/>
        <w:rPr>
          <w:rFonts w:ascii="Verdana" w:eastAsia="Aptos" w:hAnsi="Verdana" w:cs="Times New Roman"/>
          <w:kern w:val="2"/>
          <w:sz w:val="21"/>
          <w:szCs w:val="21"/>
          <w:lang w:val="es-MX"/>
          <w14:ligatures w14:val="standardContextual"/>
        </w:rPr>
      </w:pPr>
      <w:r w:rsidRPr="00D93BDF">
        <w:rPr>
          <w:rFonts w:ascii="Verdana" w:eastAsia="Aptos" w:hAnsi="Verdana" w:cs="Times New Roman"/>
          <w:kern w:val="2"/>
          <w:sz w:val="21"/>
          <w:szCs w:val="21"/>
          <w:lang w:val="es-MX"/>
          <w14:ligatures w14:val="standardContextual"/>
        </w:rPr>
        <w:t xml:space="preserve">Parágrafo 4°. En caso de que la entidad considere pertinente incorporar experiencia relacionada con obras, bienes o servicios adicionales a la obra pública, podrá reemplazar como máximo una (1) de las actividades secundarias. Para esta incorporación, deberán observarse las mismas reglas establecidas para las actividades secundarias contenidas en el numeral 3.5.1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 </w:t>
      </w:r>
    </w:p>
    <w:p w14:paraId="3B423387" w14:textId="77777777" w:rsidR="00D93BDF" w:rsidRPr="00D93BDF" w:rsidRDefault="00D93BDF" w:rsidP="00D93BDF">
      <w:pPr>
        <w:spacing w:after="0" w:line="240" w:lineRule="auto"/>
        <w:ind w:left="709" w:right="709"/>
        <w:jc w:val="both"/>
        <w:rPr>
          <w:rFonts w:ascii="Verdana" w:eastAsia="Aptos" w:hAnsi="Verdana" w:cs="Times New Roman"/>
          <w:kern w:val="2"/>
          <w:sz w:val="21"/>
          <w:szCs w:val="21"/>
          <w14:ligatures w14:val="standardContextual"/>
        </w:rPr>
      </w:pPr>
      <w:r w:rsidRPr="00D93BDF">
        <w:rPr>
          <w:rFonts w:ascii="Verdana" w:eastAsia="Aptos" w:hAnsi="Verdana" w:cs="Times New Roman"/>
          <w:kern w:val="2"/>
          <w:sz w:val="21"/>
          <w:szCs w:val="21"/>
          <w:lang w:val="es-MX"/>
          <w14:ligatures w14:val="standardContextual"/>
        </w:rPr>
        <w:t>En ningún caso deberá entenderse que la inclusión de una actividad adicional equivale al procedimiento establecido para la combinación de experiencia. Para este último caso, se deberá aplicar lo establecido en el numeral 1 del literal A del numeral 3.5.1 del documento base”.</w:t>
      </w:r>
    </w:p>
    <w:p w14:paraId="75BF8CF8" w14:textId="77777777" w:rsidR="00D93BDF" w:rsidRPr="00D93BDF" w:rsidRDefault="00D93BDF" w:rsidP="00D93BDF">
      <w:pPr>
        <w:spacing w:after="0" w:line="276" w:lineRule="auto"/>
        <w:jc w:val="both"/>
        <w:rPr>
          <w:rFonts w:ascii="Verdana" w:eastAsia="Aptos" w:hAnsi="Verdana" w:cs="Times New Roman"/>
          <w:kern w:val="2"/>
          <w:sz w:val="24"/>
          <w:szCs w:val="24"/>
          <w14:ligatures w14:val="standardContextual"/>
        </w:rPr>
      </w:pPr>
    </w:p>
    <w:p w14:paraId="508FF882" w14:textId="77777777" w:rsidR="00D93BDF" w:rsidRPr="00D93BDF" w:rsidRDefault="00D93BDF" w:rsidP="00D93BDF">
      <w:pPr>
        <w:widowControl w:val="0"/>
        <w:spacing w:after="120" w:line="276" w:lineRule="auto"/>
        <w:ind w:firstLine="708"/>
        <w:jc w:val="both"/>
        <w:rPr>
          <w:rFonts w:ascii="Verdana" w:eastAsia="Aptos" w:hAnsi="Verdana" w:cs="Times New Roman"/>
          <w:kern w:val="2"/>
          <w14:ligatures w14:val="standardContextual"/>
        </w:rPr>
      </w:pPr>
      <w:r w:rsidRPr="00D93BDF">
        <w:rPr>
          <w:rFonts w:ascii="Verdana" w:eastAsia="Aptos" w:hAnsi="Verdana" w:cs="Times New Roman"/>
          <w:kern w:val="2"/>
          <w14:ligatures w14:val="standardContextual"/>
        </w:rPr>
        <w:t xml:space="preserve">La norma señalada dispone los eventos en los que el objeto contractual incluye obras, bienes o servicios adicionales a la obra pública de infraestructura social. En este caso, la entidad puede incluir experiencia adicional para evaluar la idoneidad respecto de las obras, bienes o servicios ajenos a la obra pública de infraestructura social. </w:t>
      </w:r>
    </w:p>
    <w:p w14:paraId="3E3D7B27" w14:textId="77777777" w:rsidR="00D93BDF" w:rsidRPr="00D93BDF" w:rsidRDefault="00D93BDF" w:rsidP="00D93BDF">
      <w:pPr>
        <w:widowControl w:val="0"/>
        <w:spacing w:after="120" w:line="276" w:lineRule="auto"/>
        <w:ind w:firstLine="708"/>
        <w:jc w:val="both"/>
        <w:rPr>
          <w:rFonts w:ascii="Verdana" w:eastAsia="Aptos" w:hAnsi="Verdana" w:cs="Times New Roman"/>
          <w:kern w:val="2"/>
          <w14:ligatures w14:val="standardContextual"/>
        </w:rPr>
      </w:pPr>
      <w:r w:rsidRPr="00D93BDF">
        <w:rPr>
          <w:rFonts w:ascii="Verdana" w:eastAsia="Aptos" w:hAnsi="Verdana" w:cs="Times New Roman"/>
          <w:kern w:val="2"/>
          <w14:ligatures w14:val="standardContextual"/>
        </w:rPr>
        <w:lastRenderedPageBreak/>
        <w:t xml:space="preserve">Para ello, se deben seguir los siguientes parámetros: i) demostrar en los estudios previos que han verificado las condiciones de mercado para la adquisición de las obras, bienes o servicios adicionales al componente de obra pública, de tal forma que la experiencia adicional garantiza la pluralidad de oferentes, </w:t>
      </w:r>
      <w:proofErr w:type="spellStart"/>
      <w:r w:rsidRPr="00D93BDF">
        <w:rPr>
          <w:rFonts w:ascii="Verdana" w:eastAsia="Aptos" w:hAnsi="Verdana" w:cs="Times New Roman"/>
          <w:kern w:val="2"/>
          <w14:ligatures w14:val="standardContextual"/>
        </w:rPr>
        <w:t>ii</w:t>
      </w:r>
      <w:proofErr w:type="spellEnd"/>
      <w:r w:rsidRPr="00D93BDF">
        <w:rPr>
          <w:rFonts w:ascii="Verdana" w:eastAsia="Aptos" w:hAnsi="Verdana" w:cs="Times New Roman"/>
          <w:kern w:val="2"/>
          <w14:ligatures w14:val="standardContextual"/>
        </w:rPr>
        <w:t xml:space="preserve">) conservar los requisitos exigidos en los documentos tipo, </w:t>
      </w:r>
      <w:proofErr w:type="spellStart"/>
      <w:r w:rsidRPr="00D93BDF">
        <w:rPr>
          <w:rFonts w:ascii="Verdana" w:eastAsia="Aptos" w:hAnsi="Verdana" w:cs="Times New Roman"/>
          <w:kern w:val="2"/>
          <w14:ligatures w14:val="standardContextual"/>
        </w:rPr>
        <w:t>iii</w:t>
      </w:r>
      <w:proofErr w:type="spellEnd"/>
      <w:r w:rsidRPr="00D93BDF">
        <w:rPr>
          <w:rFonts w:ascii="Verdana" w:eastAsia="Aptos" w:hAnsi="Verdana" w:cs="Times New Roman"/>
          <w:kern w:val="2"/>
          <w14:ligatures w14:val="standardContextual"/>
        </w:rPr>
        <w:t xml:space="preserve">) abstenerse de pedir experiencia exclusiva con entidades de cualquier naturaleza, experiencia previa en un territorio específico, limitada en el tiempo o que incluya volúmenes o cantidades de obra específica, </w:t>
      </w:r>
      <w:proofErr w:type="spellStart"/>
      <w:r w:rsidRPr="00D93BDF">
        <w:rPr>
          <w:rFonts w:ascii="Verdana" w:eastAsia="Aptos" w:hAnsi="Verdana" w:cs="Times New Roman"/>
          <w:kern w:val="2"/>
          <w14:ligatures w14:val="standardContextual"/>
        </w:rPr>
        <w:t>iv</w:t>
      </w:r>
      <w:proofErr w:type="spellEnd"/>
      <w:r w:rsidRPr="00D93BDF">
        <w:rPr>
          <w:rFonts w:ascii="Verdana" w:eastAsia="Aptos" w:hAnsi="Verdana" w:cs="Times New Roman"/>
          <w:kern w:val="2"/>
          <w14:ligatures w14:val="standardContextual"/>
        </w:rPr>
        <w:t xml:space="preserve">) clasificar la experiencia requerida solo hasta el tercer nivel del clasificador de bienes y servicios e incluir exclusivamente los códigos que estén relacionados directamente con el objeto a contratar. </w:t>
      </w:r>
    </w:p>
    <w:p w14:paraId="57AA5E89"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kern w:val="2"/>
          <w14:ligatures w14:val="standardContextual"/>
        </w:rPr>
      </w:pPr>
      <w:r w:rsidRPr="00D93BDF">
        <w:rPr>
          <w:rFonts w:ascii="Verdana" w:eastAsia="Aptos" w:hAnsi="Verdana" w:cs="Times New Roman"/>
          <w:kern w:val="2"/>
          <w14:ligatures w14:val="standardContextual"/>
        </w:rPr>
        <w:t>La entidad que opte por solicitar experiencia adicional en desarrollo de esta norma debe evidenciar en los documentos del proceso que agotó estos parámetros. Para ello, debe justificar en los estudios y documentos previos, como parte del deber de análisis y planeación, que ha verificado que la experiencia adicional relacionada con las obras, bienes o servicios no afecta significativamente la pluralidad de oferentes. Es decir, la entidad debe revisar que al solicitar esta experiencia existen suficientes potenciales proponentes que puedan acreditar estas condiciones.</w:t>
      </w:r>
    </w:p>
    <w:p w14:paraId="3DF97FAB"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kern w:val="2"/>
          <w:lang w:val="es-ES"/>
          <w14:ligatures w14:val="standardContextual"/>
        </w:rPr>
      </w:pPr>
      <w:r w:rsidRPr="00D93BDF">
        <w:rPr>
          <w:rFonts w:ascii="Verdana" w:eastAsia="Aptos" w:hAnsi="Verdana" w:cs="Times New Roman"/>
          <w:kern w:val="2"/>
          <w14:ligatures w14:val="standardContextual"/>
        </w:rPr>
        <w:t>En segundo lugar, la solicitud de esta experiencia no permite que la entidad modifique los requisitos habilitantes y de ponderación de la propuesta, por lo cual se deben mantener los establecidos en los documentos tipo.</w:t>
      </w:r>
    </w:p>
    <w:p w14:paraId="27A38B0E"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kern w:val="2"/>
          <w14:ligatures w14:val="standardContextual"/>
        </w:rPr>
      </w:pPr>
      <w:r w:rsidRPr="00D93BDF">
        <w:rPr>
          <w:rFonts w:ascii="Verdana" w:eastAsia="Aptos" w:hAnsi="Verdana" w:cs="Times New Roman"/>
          <w:kern w:val="2"/>
          <w14:ligatures w14:val="standardContextual"/>
        </w:rPr>
        <w:t>En tercer lugar, la experiencia adicional solicitada debe relacionarse con las obras, bienes y servicios sobre los cuales la entidad requiere que se demuestre idoneidad por parte de los proponentes. Esta experiencia no puede estar limitada o referida a que se haya adquirido en un territorio o con alguna entidad determinada, ni establecer limitantes temporales o la acreditación de volúmenes o cantidades. Este parámetro va encaminado a determinar si la experiencia solicitada es acorde, adecuada y proporcional a la necesidad identificada por la entidad, por lo cual no puede desbordar los límites racionales ni solicitar experiencias de imposible cumplimiento.</w:t>
      </w:r>
    </w:p>
    <w:p w14:paraId="481A59F3" w14:textId="77777777" w:rsidR="00D93BDF" w:rsidRPr="00D93BDF" w:rsidRDefault="00D93BDF" w:rsidP="00D93BDF">
      <w:pPr>
        <w:widowControl w:val="0"/>
        <w:autoSpaceDE w:val="0"/>
        <w:autoSpaceDN w:val="0"/>
        <w:spacing w:after="120" w:line="276" w:lineRule="auto"/>
        <w:ind w:firstLine="708"/>
        <w:jc w:val="both"/>
        <w:rPr>
          <w:rFonts w:ascii="Verdana" w:eastAsia="Calibri" w:hAnsi="Verdana" w:cs="Times New Roman"/>
          <w:kern w:val="2"/>
          <w:lang w:val="es-ES"/>
          <w14:ligatures w14:val="standardContextual"/>
        </w:rPr>
      </w:pPr>
      <w:r w:rsidRPr="00D93BDF">
        <w:rPr>
          <w:rFonts w:ascii="Verdana" w:eastAsia="Aptos" w:hAnsi="Verdana" w:cs="Times New Roman"/>
          <w:kern w:val="2"/>
          <w14:ligatures w14:val="standardContextual"/>
        </w:rPr>
        <w:t>Por último, la experiencia requerida debe clasificarse hasta el tercer nivel del clasificador de bienes y servicios. Por lo tanto, la entidad no puede requerir que se acredite el “producto” de este clasificador.</w:t>
      </w:r>
    </w:p>
    <w:p w14:paraId="35F98C28" w14:textId="77777777" w:rsidR="00D93BDF" w:rsidRPr="00D93BDF" w:rsidRDefault="00D93BDF" w:rsidP="00D93BDF">
      <w:pPr>
        <w:widowControl w:val="0"/>
        <w:autoSpaceDE w:val="0"/>
        <w:autoSpaceDN w:val="0"/>
        <w:spacing w:after="120" w:line="276" w:lineRule="auto"/>
        <w:jc w:val="both"/>
        <w:rPr>
          <w:rFonts w:ascii="Verdana" w:eastAsia="Aptos" w:hAnsi="Verdana" w:cs="Times New Roman"/>
        </w:rPr>
      </w:pPr>
      <w:r w:rsidRPr="00D93BDF">
        <w:rPr>
          <w:rFonts w:ascii="Verdana" w:eastAsia="Aptos" w:hAnsi="Verdana" w:cs="Times New Roman"/>
          <w:kern w:val="2"/>
          <w14:ligatures w14:val="standardContextual"/>
        </w:rPr>
        <w:lastRenderedPageBreak/>
        <w:t>La posibilidad de solicitar experiencia adicional solo ocurre cuando el objeto contractual incluye obras, bienes o servicios adicionales a la obra pública de infraestructura social. Esto implica que, la actividad que se requiere, no está incluida en la matriz de experiencia de los documentos tipo de infraestructura social aplicable ni en las matrices de experiencia de los demás sectores expedidos por la agencia, pero está relacionada con el contrato a ejecutar.</w:t>
      </w:r>
    </w:p>
    <w:p w14:paraId="41829BF2" w14:textId="77777777" w:rsidR="00D93BDF" w:rsidRPr="00D93BDF" w:rsidRDefault="00D93BDF" w:rsidP="00D93BDF">
      <w:pPr>
        <w:widowControl w:val="0"/>
        <w:autoSpaceDE w:val="0"/>
        <w:autoSpaceDN w:val="0"/>
        <w:spacing w:after="120" w:line="276" w:lineRule="auto"/>
        <w:ind w:firstLine="708"/>
        <w:jc w:val="both"/>
        <w:rPr>
          <w:rFonts w:ascii="Verdana" w:eastAsia="Aptos" w:hAnsi="Verdana" w:cs="Times New Roman"/>
          <w:kern w:val="2"/>
          <w:lang w:val="es-ES"/>
          <w14:ligatures w14:val="standardContextual"/>
        </w:rPr>
      </w:pPr>
      <w:r w:rsidRPr="00D93BDF">
        <w:rPr>
          <w:rFonts w:ascii="Verdana" w:eastAsia="Aptos" w:hAnsi="Verdana" w:cs="Times New Roman"/>
          <w:kern w:val="2"/>
          <w:lang w:val="es-ES"/>
          <w14:ligatures w14:val="standardContextual"/>
        </w:rPr>
        <w:t xml:space="preserve">De otro lado, </w:t>
      </w:r>
      <w:r w:rsidRPr="00D93BDF">
        <w:rPr>
          <w:rFonts w:ascii="Verdana" w:eastAsia="Aptos" w:hAnsi="Verdana" w:cs="Times New Roman"/>
          <w:kern w:val="2"/>
          <w14:ligatures w14:val="standardContextual"/>
        </w:rPr>
        <w:t xml:space="preserve">debe resaltarse que, la actividad sobre la cual se solicite experiencia a través de la aplicación del artículo 4 de la Resolución No. 540 de 2025, </w:t>
      </w:r>
      <w:r w:rsidRPr="00D93BDF">
        <w:rPr>
          <w:rFonts w:ascii="Verdana" w:eastAsia="Aptos" w:hAnsi="Verdana" w:cs="Times New Roman"/>
          <w:kern w:val="2"/>
          <w:lang w:val="es-ES"/>
          <w14:ligatures w14:val="standardContextual"/>
        </w:rPr>
        <w:t>debe reemplazar solamente una de las actividades secundarias, que se describen en las reglas de combinación de experiencia relacionadas en el numeral 3.5.1. del documento base, en este contexto, debe conservarse los requisitos establecidos en los documentos tipo.</w:t>
      </w:r>
    </w:p>
    <w:p w14:paraId="4AA55C58" w14:textId="77777777" w:rsidR="00D93BDF" w:rsidRPr="00D93BDF" w:rsidRDefault="00D93BDF" w:rsidP="00D93BDF">
      <w:pPr>
        <w:widowControl w:val="0"/>
        <w:autoSpaceDE w:val="0"/>
        <w:autoSpaceDN w:val="0"/>
        <w:spacing w:after="0" w:line="276" w:lineRule="auto"/>
        <w:ind w:firstLine="708"/>
        <w:jc w:val="both"/>
        <w:rPr>
          <w:rFonts w:ascii="Verdana" w:eastAsia="Calibri" w:hAnsi="Verdana" w:cs="Times New Roman"/>
          <w:kern w:val="2"/>
          <w:lang w:val="es-ES"/>
          <w14:ligatures w14:val="standardContextual"/>
        </w:rPr>
      </w:pPr>
      <w:r w:rsidRPr="00D93BDF">
        <w:rPr>
          <w:rFonts w:ascii="Verdana" w:eastAsia="Aptos" w:hAnsi="Verdana" w:cs="Times New Roman"/>
          <w:kern w:val="2"/>
          <w14:ligatures w14:val="standardContextual"/>
        </w:rPr>
        <w:t>Para solicitar experiencia frente a obras, bienes o servicios adicionales que no se encuentren contemplados en la “Matriz – Experiencia”, el documento base, de los documentos tipo de selección abreviada de menor cuantía de infraestructura social, en los literales M) y N) del numeral “3.5.1. CARACTERÍSTICAS DE LOS CONTRATOS PRESENTADOS PARA ACREDITAR LA EXPERIENCIA EXIGIDA”, señala los requisitos que debe seguir la Entidad para incluir obras, bienes o servicio adicionales a la obra pública de infraestructura social. Al respecto el documento indica lo siguiente:</w:t>
      </w:r>
    </w:p>
    <w:p w14:paraId="44D4761C" w14:textId="77777777" w:rsidR="00D93BDF" w:rsidRPr="00D93BDF" w:rsidRDefault="00D93BDF" w:rsidP="00D93BDF">
      <w:pPr>
        <w:spacing w:after="0" w:line="278" w:lineRule="auto"/>
        <w:ind w:left="720"/>
        <w:contextualSpacing/>
        <w:rPr>
          <w:rFonts w:ascii="Verdana" w:eastAsia="Aptos" w:hAnsi="Verdana" w:cs="Times New Roman"/>
          <w:kern w:val="2"/>
          <w:sz w:val="24"/>
          <w:szCs w:val="24"/>
          <w14:ligatures w14:val="standardContextual"/>
        </w:rPr>
      </w:pPr>
    </w:p>
    <w:p w14:paraId="25C3D75B" w14:textId="77777777" w:rsidR="00D93BDF" w:rsidRPr="00D93BDF" w:rsidRDefault="00D93BDF" w:rsidP="00D93BDF">
      <w:pPr>
        <w:spacing w:after="120" w:line="240" w:lineRule="auto"/>
        <w:ind w:left="709" w:right="709"/>
        <w:jc w:val="both"/>
        <w:rPr>
          <w:rFonts w:ascii="Verdana" w:eastAsia="Arial" w:hAnsi="Verdana" w:cs="Arial"/>
          <w:kern w:val="2"/>
          <w:sz w:val="21"/>
          <w:szCs w:val="21"/>
          <w:lang w:val="es-MX"/>
          <w14:ligatures w14:val="standardContextual"/>
        </w:rPr>
      </w:pPr>
      <w:r w:rsidRPr="00D93BDF">
        <w:rPr>
          <w:rFonts w:ascii="Verdana" w:eastAsia="Arial" w:hAnsi="Verdana" w:cs="Arial"/>
          <w:kern w:val="2"/>
          <w:sz w:val="21"/>
          <w:szCs w:val="21"/>
          <w:lang w:val="es-MX"/>
          <w14:ligatures w14:val="standardContextual"/>
        </w:rPr>
        <w:t xml:space="preserve">M. </w:t>
      </w:r>
      <w:r w:rsidRPr="00D93BDF">
        <w:rPr>
          <w:rFonts w:ascii="Verdana" w:eastAsia="Arial" w:hAnsi="Verdana" w:cs="Arial"/>
          <w:kern w:val="2"/>
          <w:sz w:val="21"/>
          <w:szCs w:val="21"/>
          <w:highlight w:val="lightGray"/>
          <w:lang w:val="es-MX"/>
          <w14:ligatures w14:val="standardContextual"/>
        </w:rPr>
        <w:t xml:space="preserve">[Cuando el objeto contractual incluya obras, bienes o servicios adicionales a la obra pública de infraestructura social y de manera excepcional se requiere incluir experiencia adicional para evaluar la idoneidad respecto de dichas obras, bienes o servicios, la Entidad </w:t>
      </w:r>
      <w:r w:rsidRPr="00D93BDF">
        <w:rPr>
          <w:rFonts w:ascii="Verdana" w:eastAsia="Arial" w:hAnsi="Verdana" w:cs="Arial"/>
          <w:kern w:val="2"/>
          <w:sz w:val="21"/>
          <w:szCs w:val="21"/>
          <w:highlight w:val="lightGray"/>
          <w14:ligatures w14:val="standardContextual"/>
        </w:rPr>
        <w:t>verificará si estos están incorporados en otros Documentos Tipo. En este caso, la Entidad observará las reglas de combinación de experiencia definidas en el literal A) de este numeral y, por tanto, la Entidad no podrá definir requisitos de experiencia distintos a los determinados por esta Agencia.</w:t>
      </w:r>
      <w:r w:rsidRPr="00D93BDF">
        <w:rPr>
          <w:rFonts w:ascii="Verdana" w:eastAsia="Arial" w:hAnsi="Verdana" w:cs="Arial"/>
          <w:kern w:val="2"/>
          <w:sz w:val="21"/>
          <w:szCs w:val="21"/>
          <w:highlight w:val="lightGray"/>
          <w:lang w:val="es-MX"/>
          <w14:ligatures w14:val="standardContextual"/>
        </w:rPr>
        <w:t xml:space="preserve"> En todo caso, si el objeto contractual contempla bienes o servicios ajenos que no están regulados en los Documentos Tipo, la Entidad aplicará los parámetros del artículo 4 de la Resolución 540 de 2025.</w:t>
      </w:r>
    </w:p>
    <w:p w14:paraId="652986F6" w14:textId="77777777" w:rsidR="00D93BDF" w:rsidRPr="00D93BDF" w:rsidRDefault="00D93BDF" w:rsidP="00D93BDF">
      <w:pPr>
        <w:spacing w:after="120" w:line="240" w:lineRule="auto"/>
        <w:ind w:left="709" w:right="709"/>
        <w:jc w:val="both"/>
        <w:rPr>
          <w:rFonts w:ascii="Verdana" w:eastAsia="Calibri" w:hAnsi="Verdana" w:cs="Times New Roman"/>
          <w:kern w:val="2"/>
          <w:sz w:val="21"/>
          <w:szCs w:val="21"/>
          <w14:ligatures w14:val="standardContextual"/>
        </w:rPr>
      </w:pPr>
      <w:r w:rsidRPr="00D93BDF">
        <w:rPr>
          <w:rFonts w:ascii="Verdana" w:eastAsia="Calibri" w:hAnsi="Verdana" w:cs="Times New Roman"/>
          <w:b/>
          <w:bCs/>
          <w:kern w:val="2"/>
          <w:sz w:val="21"/>
          <w:szCs w:val="21"/>
          <w14:ligatures w14:val="standardContextual"/>
        </w:rPr>
        <w:t>Nota 12:</w:t>
      </w:r>
      <w:r w:rsidRPr="00D93BDF">
        <w:rPr>
          <w:rFonts w:ascii="Verdana" w:eastAsia="Calibri" w:hAnsi="Verdana" w:cs="Times New Roman"/>
          <w:kern w:val="2"/>
          <w:sz w:val="21"/>
          <w:szCs w:val="21"/>
          <w14:ligatures w14:val="standardContextual"/>
        </w:rPr>
        <w:t xml:space="preserve"> En caso de que la entidad considere pertinente incorporar experiencia relacionada con obras, bienes o servicios adicionales a la obra pública, podrá reemplazar como máximo una (1) de las actividades secundarias. </w:t>
      </w:r>
    </w:p>
    <w:p w14:paraId="052B8175" w14:textId="77777777" w:rsidR="00D93BDF" w:rsidRPr="00D93BDF" w:rsidRDefault="00D93BDF" w:rsidP="00D93BDF">
      <w:pPr>
        <w:spacing w:after="120" w:line="240" w:lineRule="auto"/>
        <w:ind w:left="709" w:right="709"/>
        <w:jc w:val="both"/>
        <w:rPr>
          <w:rFonts w:ascii="Verdana" w:eastAsia="Calibri" w:hAnsi="Verdana" w:cs="Times New Roman"/>
          <w:kern w:val="2"/>
          <w:sz w:val="21"/>
          <w:szCs w:val="21"/>
          <w14:ligatures w14:val="standardContextual"/>
        </w:rPr>
      </w:pPr>
      <w:r w:rsidRPr="00D93BDF">
        <w:rPr>
          <w:rFonts w:ascii="Verdana" w:eastAsia="Calibri" w:hAnsi="Verdana" w:cs="Times New Roman"/>
          <w:kern w:val="2"/>
          <w:sz w:val="21"/>
          <w:szCs w:val="21"/>
          <w14:ligatures w14:val="standardContextual"/>
        </w:rPr>
        <w:lastRenderedPageBreak/>
        <w:t>Para esta incorporación, deberán observarse las mismas reglas establecidas para las actividades secundarias en el presente numeral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w:t>
      </w:r>
    </w:p>
    <w:p w14:paraId="7112232B" w14:textId="77777777" w:rsidR="00D93BDF" w:rsidRPr="00D93BDF" w:rsidRDefault="00D93BDF" w:rsidP="00D93BDF">
      <w:pPr>
        <w:snapToGrid w:val="0"/>
        <w:spacing w:after="120" w:line="240" w:lineRule="auto"/>
        <w:ind w:left="709" w:right="709"/>
        <w:jc w:val="both"/>
        <w:rPr>
          <w:rFonts w:ascii="Verdana" w:eastAsia="Calibri" w:hAnsi="Verdana" w:cs="Times New Roman"/>
          <w:kern w:val="2"/>
          <w:sz w:val="21"/>
          <w:szCs w:val="21"/>
          <w14:ligatures w14:val="standardContextual"/>
        </w:rPr>
      </w:pPr>
      <w:r w:rsidRPr="00D93BDF">
        <w:rPr>
          <w:rFonts w:ascii="Verdana" w:eastAsia="Calibri" w:hAnsi="Verdana" w:cs="Times New Roman"/>
          <w:kern w:val="2"/>
          <w:sz w:val="21"/>
          <w:szCs w:val="21"/>
          <w14:ligatures w14:val="standardContextual"/>
        </w:rPr>
        <w:t>En ningún caso deberá entenderse que la inclusión de una actividad adicional equivale al procedimiento establecido para la combinación de experiencia. Para este último caso, se deberá aplicar lo establecido en el numeral 1 del literal A del presente numeral</w:t>
      </w:r>
      <w:r w:rsidRPr="00D93BDF">
        <w:rPr>
          <w:rFonts w:ascii="Verdana" w:eastAsia="Calibri" w:hAnsi="Verdana" w:cs="Times New Roman"/>
          <w:kern w:val="2"/>
          <w:sz w:val="21"/>
          <w:szCs w:val="21"/>
          <w:vertAlign w:val="superscript"/>
          <w14:ligatures w14:val="standardContextual"/>
        </w:rPr>
        <w:footnoteReference w:id="13"/>
      </w:r>
      <w:r w:rsidRPr="00D93BDF">
        <w:rPr>
          <w:rFonts w:ascii="Verdana" w:eastAsia="Calibri" w:hAnsi="Verdana" w:cs="Times New Roman"/>
          <w:kern w:val="2"/>
          <w:sz w:val="21"/>
          <w:szCs w:val="21"/>
          <w14:ligatures w14:val="standardContextual"/>
        </w:rPr>
        <w:t>.</w:t>
      </w:r>
    </w:p>
    <w:p w14:paraId="5FDC1544" w14:textId="77777777" w:rsidR="00D93BDF" w:rsidRPr="00D93BDF" w:rsidRDefault="00D93BDF" w:rsidP="00D93BDF">
      <w:pPr>
        <w:snapToGrid w:val="0"/>
        <w:spacing w:after="120" w:line="240" w:lineRule="auto"/>
        <w:ind w:left="709" w:right="709"/>
        <w:jc w:val="both"/>
        <w:rPr>
          <w:rFonts w:ascii="Verdana" w:eastAsia="Calibri" w:hAnsi="Verdana" w:cs="Times New Roman"/>
          <w:kern w:val="2"/>
          <w:sz w:val="21"/>
          <w:szCs w:val="21"/>
          <w:highlight w:val="lightGray"/>
          <w:lang w:val="es-MX"/>
          <w14:ligatures w14:val="standardContextual"/>
        </w:rPr>
      </w:pPr>
      <w:r w:rsidRPr="00D93BDF">
        <w:rPr>
          <w:rFonts w:ascii="Verdana" w:eastAsia="Calibri" w:hAnsi="Verdana" w:cs="Times New Roman"/>
          <w:kern w:val="2"/>
          <w:sz w:val="21"/>
          <w:szCs w:val="21"/>
          <w:highlight w:val="lightGray"/>
          <w:lang w:val="es-MX"/>
          <w14:ligatures w14:val="standardContextual"/>
        </w:rPr>
        <w:t xml:space="preserve">[Conforme con esta disposición, la </w:t>
      </w:r>
      <w:r w:rsidRPr="00D93BDF" w:rsidDel="162B8239">
        <w:rPr>
          <w:rFonts w:ascii="Verdana" w:eastAsia="Calibri" w:hAnsi="Verdana" w:cs="Times New Roman"/>
          <w:kern w:val="2"/>
          <w:sz w:val="21"/>
          <w:szCs w:val="21"/>
          <w:highlight w:val="lightGray"/>
          <w:lang w:val="es-MX"/>
          <w14:ligatures w14:val="standardContextual"/>
        </w:rPr>
        <w:t>E</w:t>
      </w:r>
      <w:r w:rsidRPr="00D93BDF">
        <w:rPr>
          <w:rFonts w:ascii="Verdana" w:eastAsia="Calibri" w:hAnsi="Verdana" w:cs="Times New Roman"/>
          <w:kern w:val="2"/>
          <w:sz w:val="21"/>
          <w:szCs w:val="21"/>
          <w:highlight w:val="lightGray"/>
          <w:lang w:val="es-MX"/>
          <w14:ligatures w14:val="standardContextual"/>
        </w:rPr>
        <w:t>ntidad no puede requerir experiencia adicional que incluya volúmenes o cantidades de obra específica expresada en SMMLV.</w:t>
      </w:r>
    </w:p>
    <w:p w14:paraId="1928BA15" w14:textId="77777777" w:rsidR="00D93BDF" w:rsidRPr="00D93BDF" w:rsidRDefault="00D93BDF" w:rsidP="00D93BDF">
      <w:pPr>
        <w:snapToGrid w:val="0"/>
        <w:spacing w:after="120" w:line="240" w:lineRule="auto"/>
        <w:ind w:left="709" w:right="709"/>
        <w:jc w:val="both"/>
        <w:rPr>
          <w:rFonts w:ascii="Verdana" w:eastAsia="Calibri" w:hAnsi="Verdana" w:cs="Times New Roman"/>
          <w:kern w:val="2"/>
          <w:sz w:val="21"/>
          <w:szCs w:val="21"/>
          <w:lang w:val="es-MX"/>
          <w14:ligatures w14:val="standardContextual"/>
        </w:rPr>
      </w:pPr>
      <w:r w:rsidRPr="00D93BDF">
        <w:rPr>
          <w:rFonts w:ascii="Verdana" w:eastAsia="Calibri" w:hAnsi="Verdana" w:cs="Times New Roman"/>
          <w:kern w:val="2"/>
          <w:sz w:val="21"/>
          <w:szCs w:val="21"/>
          <w:highlight w:val="lightGray"/>
          <w:lang w:val="es-MX"/>
          <w14:ligatures w14:val="standardContextual"/>
        </w:rPr>
        <w:t>En el escenario en el cual la Entidad requiera y considere adecuado y proporcional exigir experiencia relacionada con esta, según su etapa previa de planeación, deberá exigirla como un bien o servicio adicional a la obra pública de infraestructura social, según las actividades a contratar de la Matriz 1 - Experiencia aplicable</w:t>
      </w:r>
      <w:r w:rsidRPr="00D93BDF">
        <w:rPr>
          <w:rFonts w:ascii="Verdana" w:eastAsia="Calibri" w:hAnsi="Verdana" w:cs="Times New Roman"/>
          <w:kern w:val="2"/>
          <w:sz w:val="21"/>
          <w:szCs w:val="21"/>
          <w:lang w:val="es-MX"/>
          <w14:ligatures w14:val="standardContextual"/>
        </w:rPr>
        <w:t>]</w:t>
      </w:r>
    </w:p>
    <w:p w14:paraId="4A776C14" w14:textId="77777777" w:rsidR="00D93BDF" w:rsidRPr="00D93BDF" w:rsidRDefault="00D93BDF" w:rsidP="00D93BDF">
      <w:pPr>
        <w:spacing w:after="120" w:line="240" w:lineRule="auto"/>
        <w:ind w:left="709" w:right="709"/>
        <w:jc w:val="both"/>
        <w:rPr>
          <w:rFonts w:ascii="Verdana" w:eastAsia="Calibri" w:hAnsi="Verdana" w:cs="Times New Roman"/>
          <w:kern w:val="2"/>
          <w:sz w:val="21"/>
          <w:szCs w:val="21"/>
          <w14:ligatures w14:val="standardContextual"/>
        </w:rPr>
      </w:pPr>
      <w:r w:rsidRPr="00D93BDF">
        <w:rPr>
          <w:rFonts w:ascii="Verdana" w:eastAsia="Calibri" w:hAnsi="Verdana" w:cs="Times New Roman"/>
          <w:kern w:val="2"/>
          <w:sz w:val="21"/>
          <w:szCs w:val="21"/>
          <w:lang w:val="es-MX"/>
          <w14:ligatures w14:val="standardContextual"/>
        </w:rPr>
        <w:t>N.</w:t>
      </w:r>
      <w:r w:rsidRPr="00D93BDF">
        <w:rPr>
          <w:rFonts w:ascii="Verdana" w:eastAsia="Calibri" w:hAnsi="Verdana" w:cs="Times New Roman"/>
          <w:kern w:val="2"/>
          <w:sz w:val="21"/>
          <w:szCs w:val="21"/>
          <w14:ligatures w14:val="standardContextual"/>
        </w:rPr>
        <w:t xml:space="preserve"> </w:t>
      </w:r>
      <w:r w:rsidRPr="00D93BDF">
        <w:rPr>
          <w:rFonts w:ascii="Verdana" w:eastAsia="Calibri" w:hAnsi="Verdana" w:cs="Times New Roman"/>
          <w:kern w:val="2"/>
          <w:sz w:val="21"/>
          <w:szCs w:val="21"/>
          <w:highlight w:val="lightGray"/>
          <w14:ligatures w14:val="standardContextual"/>
        </w:rPr>
        <w:t>[La Entidad no puede establecer requisitos de experiencia general o específica, adicionales a los establecidos en la Matriz 1 - Experiencia aplicable en el proyecto de infraestructura social bien sea de salud, educación, institucional, vivienda, cultura, recreación y deporte, relacionados con el cumplimiento de Planes de Manejo Ambiental, Planes de Manejo de Tránsito o el Plan de Adaptación de la Guía Ambiental, porque estas actividades no son ajenas a la obra pública de infraestructura social. Por esto, cuando el objeto contractual incluya obras, bienes y/o servicios adicionales a la obra pública de infraestructura social la Entidad deberá incluir el presente literal con el siguiente texto, que en caso contrario deberá eliminarse]</w:t>
      </w:r>
    </w:p>
    <w:p w14:paraId="627A1ACC" w14:textId="77777777" w:rsidR="00D93BDF" w:rsidRPr="00D93BDF" w:rsidRDefault="00D93BDF" w:rsidP="00D93BDF">
      <w:pPr>
        <w:spacing w:after="120" w:line="240" w:lineRule="auto"/>
        <w:ind w:left="709" w:right="709"/>
        <w:jc w:val="both"/>
        <w:rPr>
          <w:rFonts w:ascii="Verdana" w:eastAsia="Calibri" w:hAnsi="Verdana" w:cs="Times New Roman"/>
          <w:kern w:val="2"/>
          <w:sz w:val="21"/>
          <w:szCs w:val="21"/>
          <w14:ligatures w14:val="standardContextual"/>
        </w:rPr>
      </w:pPr>
      <w:r w:rsidRPr="00D93BDF">
        <w:rPr>
          <w:rFonts w:ascii="Verdana" w:eastAsia="Calibri" w:hAnsi="Verdana" w:cs="Times New Roman"/>
          <w:kern w:val="2"/>
          <w:sz w:val="21"/>
          <w:szCs w:val="21"/>
          <w14:ligatures w14:val="standardContextual"/>
        </w:rPr>
        <w:lastRenderedPageBreak/>
        <w:t xml:space="preserve">Nota 13: Lo anterior sin perjuicio de la obligación que tienen las Entidades de cumplir con unos requisitos mínimos frente a las “obras ajenas a la infraestructura Social”, los cuales deben ser claramente consignados en los estudios previos, en caso que se considere su pertinencia y con fundamento en aspectos de conveniencia técnicos y económicos suficientes que determinen que la experiencia incluida en documentos tipo existentes es insuficiente de cara a la complejidad o grado de especialidad que comporta el objeto a contratar. </w:t>
      </w:r>
    </w:p>
    <w:p w14:paraId="0162F4A8" w14:textId="77777777" w:rsidR="00D93BDF" w:rsidRPr="00D93BDF" w:rsidRDefault="00D93BDF" w:rsidP="00D93BDF">
      <w:pPr>
        <w:spacing w:after="0" w:line="240" w:lineRule="auto"/>
        <w:ind w:left="709" w:right="709"/>
        <w:jc w:val="both"/>
        <w:rPr>
          <w:rFonts w:ascii="Verdana" w:eastAsia="Calibri" w:hAnsi="Verdana" w:cs="Times New Roman"/>
          <w:kern w:val="2"/>
          <w:sz w:val="21"/>
          <w:szCs w:val="21"/>
          <w14:ligatures w14:val="standardContextual"/>
        </w:rPr>
      </w:pPr>
      <w:r w:rsidRPr="00D93BDF">
        <w:rPr>
          <w:rFonts w:ascii="Verdana" w:eastAsia="Calibri" w:hAnsi="Verdana" w:cs="Times New Roman"/>
          <w:kern w:val="2"/>
          <w:sz w:val="21"/>
          <w:szCs w:val="21"/>
          <w14:ligatures w14:val="standardContextual"/>
        </w:rPr>
        <w:t>La Entidad debe demostrar que la experiencia adicional, “obra ajena a la infraestructura Social”, no se encuentra incluida en las matrices de los sectores adoptados por la Agencia y adicionalmente, que esta experiencia requerida responde a las condiciones de mercado, específicamente a las características del proceso de selección a contratar, las cuales deberían estar consignadas en el respectivo estudio de sector y con la consideración de usar los Documentos Tipo.</w:t>
      </w:r>
    </w:p>
    <w:p w14:paraId="4C507DC3" w14:textId="77777777" w:rsidR="00D93BDF" w:rsidRPr="00D93BDF" w:rsidRDefault="00D93BDF" w:rsidP="00D93BDF">
      <w:pPr>
        <w:spacing w:after="0" w:line="240" w:lineRule="auto"/>
        <w:ind w:left="709" w:right="709"/>
        <w:jc w:val="both"/>
        <w:rPr>
          <w:rFonts w:ascii="Verdana" w:eastAsia="Calibri" w:hAnsi="Verdana" w:cs="Times New Roman"/>
          <w:kern w:val="2"/>
          <w:sz w:val="21"/>
          <w:szCs w:val="21"/>
          <w:highlight w:val="lightGray"/>
          <w14:ligatures w14:val="standardContextual"/>
        </w:rPr>
      </w:pPr>
    </w:p>
    <w:p w14:paraId="46F58C8A" w14:textId="77777777" w:rsidR="00D93BDF" w:rsidRPr="00D93BDF" w:rsidRDefault="00D93BDF" w:rsidP="00D93BDF">
      <w:pPr>
        <w:widowControl w:val="0"/>
        <w:autoSpaceDE w:val="0"/>
        <w:autoSpaceDN w:val="0"/>
        <w:spacing w:after="0" w:line="276" w:lineRule="auto"/>
        <w:ind w:firstLine="708"/>
        <w:jc w:val="both"/>
        <w:rPr>
          <w:rFonts w:ascii="Verdana" w:eastAsia="Arial" w:hAnsi="Verdana" w:cs="Arial"/>
          <w:kern w:val="2"/>
          <w:lang w:val="es-ES"/>
          <w14:ligatures w14:val="standardContextual"/>
        </w:rPr>
      </w:pPr>
      <w:r w:rsidRPr="00D93BDF">
        <w:rPr>
          <w:rFonts w:ascii="Verdana" w:eastAsia="Arial" w:hAnsi="Verdana" w:cs="Arial"/>
          <w:kern w:val="2"/>
          <w:lang w:val="es-ES"/>
          <w14:ligatures w14:val="standardContextual"/>
        </w:rPr>
        <w:t>De</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esta</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manera,</w:t>
      </w:r>
      <w:r w:rsidRPr="00D93BDF">
        <w:rPr>
          <w:rFonts w:ascii="Verdana" w:eastAsia="Arial" w:hAnsi="Verdana" w:cs="Arial"/>
          <w:spacing w:val="-11"/>
          <w:kern w:val="2"/>
          <w:lang w:val="es-ES"/>
          <w14:ligatures w14:val="standardContextual"/>
        </w:rPr>
        <w:t xml:space="preserve"> </w:t>
      </w:r>
      <w:r w:rsidRPr="00D93BDF">
        <w:rPr>
          <w:rFonts w:ascii="Verdana" w:eastAsia="Arial" w:hAnsi="Verdana" w:cs="Arial"/>
          <w:kern w:val="2"/>
          <w:lang w:val="es-ES"/>
          <w14:ligatures w14:val="standardContextual"/>
        </w:rPr>
        <w:t>la</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regla</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general</w:t>
      </w:r>
      <w:r w:rsidRPr="00D93BDF">
        <w:rPr>
          <w:rFonts w:ascii="Verdana" w:eastAsia="Arial" w:hAnsi="Verdana" w:cs="Arial"/>
          <w:spacing w:val="-11"/>
          <w:kern w:val="2"/>
          <w:lang w:val="es-ES"/>
          <w14:ligatures w14:val="standardContextual"/>
        </w:rPr>
        <w:t xml:space="preserve"> </w:t>
      </w:r>
      <w:r w:rsidRPr="00D93BDF">
        <w:rPr>
          <w:rFonts w:ascii="Verdana" w:eastAsia="Arial" w:hAnsi="Verdana" w:cs="Arial"/>
          <w:kern w:val="2"/>
          <w:lang w:val="es-ES"/>
          <w14:ligatures w14:val="standardContextual"/>
        </w:rPr>
        <w:t>frente</w:t>
      </w:r>
      <w:r w:rsidRPr="00D93BDF">
        <w:rPr>
          <w:rFonts w:ascii="Verdana" w:eastAsia="Arial" w:hAnsi="Verdana" w:cs="Arial"/>
          <w:spacing w:val="-11"/>
          <w:kern w:val="2"/>
          <w:lang w:val="es-ES"/>
          <w14:ligatures w14:val="standardContextual"/>
        </w:rPr>
        <w:t xml:space="preserve"> </w:t>
      </w:r>
      <w:r w:rsidRPr="00D93BDF">
        <w:rPr>
          <w:rFonts w:ascii="Verdana" w:eastAsia="Arial" w:hAnsi="Verdana" w:cs="Arial"/>
          <w:kern w:val="2"/>
          <w:lang w:val="es-ES"/>
          <w14:ligatures w14:val="standardContextual"/>
        </w:rPr>
        <w:t>a</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la</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aplicación</w:t>
      </w:r>
      <w:r w:rsidRPr="00D93BDF">
        <w:rPr>
          <w:rFonts w:ascii="Verdana" w:eastAsia="Arial" w:hAnsi="Verdana" w:cs="Arial"/>
          <w:spacing w:val="-11"/>
          <w:kern w:val="2"/>
          <w:lang w:val="es-ES"/>
          <w14:ligatures w14:val="standardContextual"/>
        </w:rPr>
        <w:t xml:space="preserve"> </w:t>
      </w:r>
      <w:r w:rsidRPr="00D93BDF">
        <w:rPr>
          <w:rFonts w:ascii="Verdana" w:eastAsia="Arial" w:hAnsi="Verdana" w:cs="Arial"/>
          <w:kern w:val="2"/>
          <w:lang w:val="es-ES"/>
          <w14:ligatures w14:val="standardContextual"/>
        </w:rPr>
        <w:t>del</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documento</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base</w:t>
      </w:r>
      <w:r w:rsidRPr="00D93BDF">
        <w:rPr>
          <w:rFonts w:ascii="Verdana" w:eastAsia="Arial" w:hAnsi="Verdana" w:cs="Arial"/>
          <w:spacing w:val="-11"/>
          <w:kern w:val="2"/>
          <w:lang w:val="es-ES"/>
          <w14:ligatures w14:val="standardContextual"/>
        </w:rPr>
        <w:t xml:space="preserve"> </w:t>
      </w:r>
      <w:r w:rsidRPr="00D93BDF">
        <w:rPr>
          <w:rFonts w:ascii="Verdana" w:eastAsia="Arial" w:hAnsi="Verdana" w:cs="Arial"/>
          <w:kern w:val="2"/>
          <w:lang w:val="es-ES"/>
          <w14:ligatures w14:val="standardContextual"/>
        </w:rPr>
        <w:t>es</w:t>
      </w:r>
      <w:r w:rsidRPr="00D93BDF">
        <w:rPr>
          <w:rFonts w:ascii="Verdana" w:eastAsia="Arial" w:hAnsi="Verdana" w:cs="Arial"/>
          <w:spacing w:val="-12"/>
          <w:kern w:val="2"/>
          <w:lang w:val="es-ES"/>
          <w14:ligatures w14:val="standardContextual"/>
        </w:rPr>
        <w:t xml:space="preserve"> </w:t>
      </w:r>
      <w:r w:rsidRPr="00D93BDF">
        <w:rPr>
          <w:rFonts w:ascii="Verdana" w:eastAsia="Arial" w:hAnsi="Verdana" w:cs="Arial"/>
          <w:kern w:val="2"/>
          <w:lang w:val="es-ES"/>
          <w14:ligatures w14:val="standardContextual"/>
        </w:rPr>
        <w:t>su inalterabilidad. Por lo tanto, no se podrán incluir o modificar dentro de los documentos del proceso las condiciones habilitantes, los factores técnicos y económicos de escogencia y los sistemas de ponderación señalados en los documentos tipo, sin perjuicio de lo dispuesto en el artículo</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4</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de</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la</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Resolución</w:t>
      </w:r>
      <w:r w:rsidRPr="00D93BDF">
        <w:rPr>
          <w:rFonts w:ascii="Verdana" w:eastAsia="Arial" w:hAnsi="Verdana" w:cs="Arial"/>
          <w:spacing w:val="-13"/>
          <w:kern w:val="2"/>
          <w:lang w:val="es-ES"/>
          <w14:ligatures w14:val="standardContextual"/>
        </w:rPr>
        <w:t xml:space="preserve"> No. </w:t>
      </w:r>
      <w:r w:rsidRPr="00D93BDF">
        <w:rPr>
          <w:rFonts w:ascii="Verdana" w:eastAsia="Arial" w:hAnsi="Verdana" w:cs="Arial"/>
          <w:kern w:val="2"/>
          <w:lang w:val="es-ES"/>
          <w14:ligatures w14:val="standardContextual"/>
        </w:rPr>
        <w:t>540</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de</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2025.</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Por</w:t>
      </w:r>
      <w:r w:rsidRPr="00D93BDF">
        <w:rPr>
          <w:rFonts w:ascii="Verdana" w:eastAsia="Arial" w:hAnsi="Verdana" w:cs="Arial"/>
          <w:spacing w:val="-13"/>
          <w:kern w:val="2"/>
          <w:lang w:val="es-ES"/>
          <w14:ligatures w14:val="standardContextual"/>
        </w:rPr>
        <w:t xml:space="preserve"> </w:t>
      </w:r>
      <w:r w:rsidRPr="00D93BDF">
        <w:rPr>
          <w:rFonts w:ascii="Verdana" w:eastAsia="Arial" w:hAnsi="Verdana" w:cs="Arial"/>
          <w:kern w:val="2"/>
          <w:lang w:val="es-ES"/>
          <w14:ligatures w14:val="standardContextual"/>
        </w:rPr>
        <w:t>tanto,</w:t>
      </w:r>
      <w:r w:rsidRPr="00D93BDF">
        <w:rPr>
          <w:rFonts w:ascii="Verdana" w:eastAsia="Arial" w:hAnsi="Verdana" w:cs="Arial"/>
          <w:spacing w:val="-13"/>
          <w:kern w:val="2"/>
          <w:lang w:val="es-ES"/>
          <w14:ligatures w14:val="standardContextual"/>
        </w:rPr>
        <w:t xml:space="preserve"> </w:t>
      </w:r>
      <w:r w:rsidRPr="00D93BDF">
        <w:rPr>
          <w:rFonts w:ascii="Verdana" w:eastAsia="Arial" w:hAnsi="Verdana" w:cs="Arial"/>
          <w:kern w:val="2"/>
          <w:lang w:val="es-ES"/>
          <w14:ligatures w14:val="standardContextual"/>
        </w:rPr>
        <w:t>si</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el</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objeto</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contractual</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incluye</w:t>
      </w:r>
      <w:r w:rsidRPr="00D93BDF">
        <w:rPr>
          <w:rFonts w:ascii="Verdana" w:eastAsia="Arial" w:hAnsi="Verdana" w:cs="Arial"/>
          <w:spacing w:val="-14"/>
          <w:kern w:val="2"/>
          <w:lang w:val="es-ES"/>
          <w14:ligatures w14:val="standardContextual"/>
        </w:rPr>
        <w:t xml:space="preserve"> obras, </w:t>
      </w:r>
      <w:r w:rsidRPr="00D93BDF">
        <w:rPr>
          <w:rFonts w:ascii="Verdana" w:eastAsia="Arial" w:hAnsi="Verdana" w:cs="Arial"/>
          <w:kern w:val="2"/>
          <w:lang w:val="es-ES"/>
          <w14:ligatures w14:val="standardContextual"/>
        </w:rPr>
        <w:t>bienes o</w:t>
      </w:r>
      <w:r w:rsidRPr="00D93BDF">
        <w:rPr>
          <w:rFonts w:ascii="Verdana" w:eastAsia="Arial" w:hAnsi="Verdana" w:cs="Arial"/>
          <w:spacing w:val="-16"/>
          <w:kern w:val="2"/>
          <w:lang w:val="es-ES"/>
          <w14:ligatures w14:val="standardContextual"/>
        </w:rPr>
        <w:t xml:space="preserve"> </w:t>
      </w:r>
      <w:r w:rsidRPr="00D93BDF">
        <w:rPr>
          <w:rFonts w:ascii="Verdana" w:eastAsia="Arial" w:hAnsi="Verdana" w:cs="Arial"/>
          <w:kern w:val="2"/>
          <w:lang w:val="es-ES"/>
          <w14:ligatures w14:val="standardContextual"/>
        </w:rPr>
        <w:t>servicios</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ajenos</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a</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la</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obra</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pública</w:t>
      </w:r>
      <w:r w:rsidRPr="00D93BDF">
        <w:rPr>
          <w:rFonts w:ascii="Verdana" w:eastAsia="Arial" w:hAnsi="Verdana" w:cs="Arial"/>
          <w:spacing w:val="-16"/>
          <w:kern w:val="2"/>
          <w:lang w:val="es-ES"/>
          <w14:ligatures w14:val="standardContextual"/>
        </w:rPr>
        <w:t xml:space="preserve"> </w:t>
      </w:r>
      <w:r w:rsidRPr="00D93BDF">
        <w:rPr>
          <w:rFonts w:ascii="Verdana" w:eastAsia="Arial" w:hAnsi="Verdana" w:cs="Arial"/>
          <w:kern w:val="2"/>
          <w:lang w:val="es-ES"/>
          <w14:ligatures w14:val="standardContextual"/>
        </w:rPr>
        <w:t>de</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infraestructura social,</w:t>
      </w:r>
      <w:r w:rsidRPr="00D93BDF">
        <w:rPr>
          <w:rFonts w:ascii="Verdana" w:eastAsia="Arial" w:hAnsi="Verdana" w:cs="Arial"/>
          <w:spacing w:val="-14"/>
          <w:kern w:val="2"/>
          <w:lang w:val="es-ES"/>
          <w14:ligatures w14:val="standardContextual"/>
        </w:rPr>
        <w:t xml:space="preserve"> </w:t>
      </w:r>
      <w:r w:rsidRPr="00D93BDF">
        <w:rPr>
          <w:rFonts w:ascii="Verdana" w:eastAsia="Arial" w:hAnsi="Verdana" w:cs="Arial"/>
          <w:kern w:val="2"/>
          <w:lang w:val="es-ES"/>
          <w14:ligatures w14:val="standardContextual"/>
        </w:rPr>
        <w:t>de</w:t>
      </w:r>
      <w:r w:rsidRPr="00D93BDF">
        <w:rPr>
          <w:rFonts w:ascii="Verdana" w:eastAsia="Arial" w:hAnsi="Verdana" w:cs="Arial"/>
          <w:spacing w:val="-16"/>
          <w:kern w:val="2"/>
          <w:lang w:val="es-ES"/>
          <w14:ligatures w14:val="standardContextual"/>
        </w:rPr>
        <w:t xml:space="preserve"> </w:t>
      </w:r>
      <w:r w:rsidRPr="00D93BDF">
        <w:rPr>
          <w:rFonts w:ascii="Verdana" w:eastAsia="Arial" w:hAnsi="Verdana" w:cs="Arial"/>
          <w:kern w:val="2"/>
          <w:lang w:val="es-ES"/>
          <w14:ligatures w14:val="standardContextual"/>
        </w:rPr>
        <w:t>allí</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solo</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se</w:t>
      </w:r>
      <w:r w:rsidRPr="00D93BDF">
        <w:rPr>
          <w:rFonts w:ascii="Verdana" w:eastAsia="Arial" w:hAnsi="Verdana" w:cs="Arial"/>
          <w:spacing w:val="-15"/>
          <w:kern w:val="2"/>
          <w:lang w:val="es-ES"/>
          <w14:ligatures w14:val="standardContextual"/>
        </w:rPr>
        <w:t xml:space="preserve"> </w:t>
      </w:r>
      <w:r w:rsidRPr="00D93BDF">
        <w:rPr>
          <w:rFonts w:ascii="Verdana" w:eastAsia="Arial" w:hAnsi="Verdana" w:cs="Arial"/>
          <w:kern w:val="2"/>
          <w:lang w:val="es-ES"/>
          <w14:ligatures w14:val="standardContextual"/>
        </w:rPr>
        <w:t>deriva que podrá incluirse la experiencia adicional que se considere conveniente, atendiendo a las reglas explicadas con</w:t>
      </w:r>
      <w:r w:rsidRPr="00D93BDF">
        <w:rPr>
          <w:rFonts w:ascii="Verdana" w:eastAsia="Arial" w:hAnsi="Verdana" w:cs="Arial"/>
          <w:spacing w:val="-7"/>
          <w:kern w:val="2"/>
          <w:lang w:val="es-ES"/>
          <w14:ligatures w14:val="standardContextual"/>
        </w:rPr>
        <w:t xml:space="preserve"> </w:t>
      </w:r>
      <w:r w:rsidRPr="00D93BDF">
        <w:rPr>
          <w:rFonts w:ascii="Verdana" w:eastAsia="Arial" w:hAnsi="Verdana" w:cs="Arial"/>
          <w:kern w:val="2"/>
          <w:lang w:val="es-ES"/>
          <w14:ligatures w14:val="standardContextual"/>
        </w:rPr>
        <w:t>anterioridad.</w:t>
      </w:r>
    </w:p>
    <w:p w14:paraId="551D623F" w14:textId="77777777" w:rsidR="00D93BDF" w:rsidRPr="00D93BDF" w:rsidRDefault="00D93BDF" w:rsidP="00D93BDF">
      <w:pPr>
        <w:widowControl w:val="0"/>
        <w:autoSpaceDE w:val="0"/>
        <w:autoSpaceDN w:val="0"/>
        <w:spacing w:before="120" w:after="120" w:line="276" w:lineRule="auto"/>
        <w:ind w:firstLine="708"/>
        <w:jc w:val="both"/>
        <w:rPr>
          <w:rFonts w:ascii="Verdana" w:eastAsia="Arial" w:hAnsi="Verdana" w:cs="Arial"/>
          <w:kern w:val="2"/>
          <w:lang w:val="es-ES"/>
          <w14:ligatures w14:val="standardContextual"/>
        </w:rPr>
      </w:pPr>
      <w:r w:rsidRPr="00D93BDF">
        <w:rPr>
          <w:rFonts w:ascii="Verdana" w:eastAsia="Arial" w:hAnsi="Verdana" w:cs="Arial"/>
          <w:kern w:val="2"/>
          <w:lang w:val="es-ES"/>
          <w14:ligatures w14:val="standardContextual"/>
        </w:rPr>
        <w:t>En este sentido, cuando se pretenda ejecutar una de las actividades establecidas en la “Matriz – Experiencia” de los documentos tipo adoptados en el sector social y adicionalmente se requiera contratar otro tipo de obras, bienes y servicios adicionales a la obra pública de infraestructura social, los documentos tipo adoptados son obligatorios.</w:t>
      </w:r>
    </w:p>
    <w:p w14:paraId="634EFC1A" w14:textId="77777777" w:rsidR="00D93BDF" w:rsidRPr="00D93BDF" w:rsidRDefault="00D93BDF" w:rsidP="00D93BDF">
      <w:pPr>
        <w:widowControl w:val="0"/>
        <w:autoSpaceDE w:val="0"/>
        <w:autoSpaceDN w:val="0"/>
        <w:spacing w:after="0" w:line="276" w:lineRule="auto"/>
        <w:ind w:firstLine="708"/>
        <w:jc w:val="both"/>
        <w:rPr>
          <w:rFonts w:ascii="Verdana" w:eastAsia="Arial" w:hAnsi="Verdana" w:cs="Arial"/>
          <w:lang w:val="es-ES"/>
        </w:rPr>
      </w:pPr>
      <w:r w:rsidRPr="00D93BDF">
        <w:rPr>
          <w:rFonts w:ascii="Verdana" w:eastAsia="Arial" w:hAnsi="Verdana" w:cs="Arial"/>
          <w:lang w:val="es-ES"/>
        </w:rPr>
        <w:t xml:space="preserve">Esta consideración es relevante para efectos de su solicitud, en la medida que, la entidad </w:t>
      </w:r>
      <w:r w:rsidRPr="00D93BDF">
        <w:rPr>
          <w:rFonts w:ascii="Verdana" w:eastAsia="Aptos" w:hAnsi="Verdana" w:cs="Times New Roman"/>
          <w:kern w:val="2"/>
          <w14:ligatures w14:val="standardContextual"/>
        </w:rPr>
        <w:t>podrá aplicar lo dispuesto en los documentos tipo en relación con las obras, bienes o servicios adicionales a la obra pública de infraestructura social, para contratar el suministro de materiales y repuestos que adicionalmente necesite la entidad para adelantar el proceso de contratación, conforme a los parámetros allí establecidos.</w:t>
      </w:r>
    </w:p>
    <w:p w14:paraId="682A5CE4" w14:textId="77777777" w:rsidR="00D93BDF" w:rsidRPr="00D93BDF" w:rsidRDefault="00D93BDF" w:rsidP="00D93BDF">
      <w:pPr>
        <w:widowControl w:val="0"/>
        <w:autoSpaceDE w:val="0"/>
        <w:autoSpaceDN w:val="0"/>
        <w:spacing w:after="0" w:line="276" w:lineRule="auto"/>
        <w:ind w:firstLine="708"/>
        <w:jc w:val="both"/>
        <w:rPr>
          <w:rFonts w:ascii="Verdana" w:eastAsia="Arial" w:hAnsi="Verdana" w:cs="Arial"/>
          <w:lang w:val="es-ES"/>
        </w:rPr>
      </w:pPr>
    </w:p>
    <w:p w14:paraId="3C3A82CD" w14:textId="77777777" w:rsidR="00D93BDF" w:rsidRPr="00D93BDF" w:rsidRDefault="00D93BDF" w:rsidP="00D93BDF">
      <w:pPr>
        <w:widowControl w:val="0"/>
        <w:autoSpaceDE w:val="0"/>
        <w:autoSpaceDN w:val="0"/>
        <w:spacing w:after="120" w:line="276" w:lineRule="auto"/>
        <w:jc w:val="both"/>
        <w:rPr>
          <w:rFonts w:ascii="Verdana" w:eastAsia="Arial" w:hAnsi="Verdana" w:cs="Arial"/>
          <w:lang w:val="es-ES"/>
        </w:rPr>
      </w:pPr>
      <w:r w:rsidRPr="00D93BDF">
        <w:rPr>
          <w:rFonts w:ascii="Verdana" w:eastAsia="Arial" w:hAnsi="Verdana" w:cs="Arial"/>
          <w:lang w:val="es-ES"/>
        </w:rPr>
        <w:t xml:space="preserve">vi) </w:t>
      </w:r>
      <w:r w:rsidRPr="00D93BDF">
        <w:rPr>
          <w:rFonts w:ascii="Verdana" w:eastAsia="Aptos" w:hAnsi="Verdana" w:cs="Times New Roman"/>
          <w:kern w:val="2"/>
          <w14:ligatures w14:val="standardContextual"/>
        </w:rPr>
        <w:t xml:space="preserve">Indicadas las prescripciones generales respecto de la exigencia de </w:t>
      </w:r>
      <w:r w:rsidRPr="00D93BDF">
        <w:rPr>
          <w:rFonts w:ascii="Verdana" w:eastAsia="Aptos" w:hAnsi="Verdana" w:cs="Times New Roman"/>
          <w:kern w:val="2"/>
          <w14:ligatures w14:val="standardContextual"/>
        </w:rPr>
        <w:lastRenderedPageBreak/>
        <w:t>experiencia adicional relacionada con obras, bienes o servicios adicionales a la obra pública de infraestructura social, corresponde analizar de forma precisa la posibilidad de combinar experiencias de distintas actividades de la "Matriz – Experiencia" de los documentos tipo del sector social, o la posibilidad de combinar dichas actividades con las contempladas en otros documentos tipo adoptados por la Agencia Nacional de Contratación Pública – Colombia Compra Eficiente.</w:t>
      </w:r>
    </w:p>
    <w:p w14:paraId="2BB8C27F" w14:textId="77777777" w:rsidR="00D93BDF" w:rsidRPr="00D93BDF" w:rsidRDefault="00D93BDF" w:rsidP="00D93BDF">
      <w:pPr>
        <w:widowControl w:val="0"/>
        <w:autoSpaceDE w:val="0"/>
        <w:autoSpaceDN w:val="0"/>
        <w:spacing w:after="0" w:line="276" w:lineRule="auto"/>
        <w:ind w:firstLine="708"/>
        <w:jc w:val="both"/>
        <w:rPr>
          <w:rFonts w:ascii="Verdana" w:eastAsia="Arial" w:hAnsi="Verdana" w:cs="Arial"/>
          <w:lang w:val="es-ES"/>
        </w:rPr>
      </w:pPr>
      <w:r w:rsidRPr="00D93BDF">
        <w:rPr>
          <w:rFonts w:ascii="Verdana" w:eastAsia="Aptos" w:hAnsi="Verdana" w:cs="Times New Roman"/>
        </w:rPr>
        <w:t>Para combinar las actividades contenidas los documentos tipo de infraestructura social, debe tenerse en cuenta que la Matriz – Experiencia de los diferentes sectores, establece dentro de las “Reglas para definir la experiencia exigible en el proceso de contratación” lo siguiente:</w:t>
      </w:r>
    </w:p>
    <w:p w14:paraId="6A0A5BAC" w14:textId="77777777" w:rsidR="00D93BDF" w:rsidRPr="00D93BDF" w:rsidRDefault="00D93BDF" w:rsidP="00D93BDF">
      <w:pPr>
        <w:spacing w:after="0"/>
        <w:jc w:val="both"/>
        <w:rPr>
          <w:rFonts w:ascii="Verdana" w:eastAsia="Calibri" w:hAnsi="Verdana" w:cs="Arial"/>
          <w:lang w:val="es-ES_tradnl"/>
        </w:rPr>
      </w:pPr>
    </w:p>
    <w:p w14:paraId="2A6BD803" w14:textId="77777777" w:rsidR="00D93BDF" w:rsidRPr="00D93BDF" w:rsidRDefault="00D93BDF" w:rsidP="00D93BDF">
      <w:pPr>
        <w:spacing w:after="0" w:line="240" w:lineRule="auto"/>
        <w:ind w:left="720" w:right="474"/>
        <w:contextualSpacing/>
        <w:jc w:val="both"/>
        <w:rPr>
          <w:rFonts w:ascii="Verdana" w:eastAsia="Aptos" w:hAnsi="Verdana" w:cs="Times New Roman"/>
          <w:i/>
          <w:iCs/>
          <w:sz w:val="21"/>
          <w:szCs w:val="21"/>
        </w:rPr>
      </w:pPr>
      <w:r w:rsidRPr="00D93BDF">
        <w:rPr>
          <w:rFonts w:ascii="Verdana" w:eastAsia="Aptos" w:hAnsi="Verdana" w:cs="Times New Roman"/>
          <w:i/>
          <w:iCs/>
          <w:sz w:val="21"/>
          <w:szCs w:val="21"/>
        </w:rPr>
        <w:t>“vi) Cuando el objeto del proceso de contratación contemple la ejecución de dos o más “Actividades a Contratar” (ej.: 1.1 y 2.1), la entidad procederá de acuerdo con lo indicado en el Documento Base en relación con la combinación de experiencia”.</w:t>
      </w:r>
    </w:p>
    <w:p w14:paraId="064AAE9B" w14:textId="77777777" w:rsidR="00D93BDF" w:rsidRPr="00D93BDF" w:rsidRDefault="00D93BDF" w:rsidP="00D93BDF">
      <w:pPr>
        <w:spacing w:after="0"/>
        <w:ind w:left="720" w:right="474"/>
        <w:contextualSpacing/>
        <w:jc w:val="both"/>
        <w:rPr>
          <w:rFonts w:ascii="Verdana" w:eastAsia="Aptos" w:hAnsi="Verdana" w:cs="Times New Roman"/>
          <w:i/>
          <w:iCs/>
        </w:rPr>
      </w:pPr>
    </w:p>
    <w:p w14:paraId="7A1916AB" w14:textId="77777777" w:rsidR="00D93BDF" w:rsidRPr="00D93BDF" w:rsidRDefault="00D93BDF" w:rsidP="00D93BDF">
      <w:pPr>
        <w:spacing w:after="0"/>
        <w:ind w:firstLine="708"/>
        <w:jc w:val="both"/>
        <w:rPr>
          <w:rFonts w:ascii="Verdana" w:eastAsia="Aptos" w:hAnsi="Verdana" w:cs="Times New Roman"/>
        </w:rPr>
      </w:pPr>
      <w:r w:rsidRPr="00D93BDF">
        <w:rPr>
          <w:rFonts w:ascii="Verdana" w:eastAsia="Aptos" w:hAnsi="Verdana" w:cs="Times New Roman"/>
        </w:rPr>
        <w:t>De esta forma, según se indica cuando el objeto de contratación contemple la ejecución de dos (2) o más actividades, en este caso previstas en la Matriz – Experiencia, se aplicará lo dispuesto en el documento base. Concretamente, el numeral 3.5.1 “CARACTERÍSTICAS DE LOS CONTRATOS PRESENTADOS PARA ACREDITAR LA EXPERIENCIA EXIGIDA”, en el que se indican las reglas que deben tener en cuenta las entidades estatales y los particulares en caso de que se soliciten combinaciones de diferentes actividades a contratar de una misma o de diferentes matrices de experiencia. Al respecto, el numeral señala lo siguiente:</w:t>
      </w:r>
    </w:p>
    <w:p w14:paraId="2F879E53" w14:textId="77777777" w:rsidR="00D93BDF" w:rsidRPr="00D93BDF" w:rsidRDefault="00D93BDF" w:rsidP="00D93BDF">
      <w:pPr>
        <w:spacing w:after="0"/>
        <w:ind w:left="720"/>
        <w:jc w:val="both"/>
        <w:rPr>
          <w:rFonts w:ascii="Verdana" w:eastAsia="Aptos" w:hAnsi="Verdana" w:cs="Times New Roman"/>
        </w:rPr>
      </w:pPr>
    </w:p>
    <w:p w14:paraId="00D1A7E7" w14:textId="77777777" w:rsidR="00D93BDF" w:rsidRPr="00D93BDF" w:rsidRDefault="00D93BDF" w:rsidP="00D93BDF">
      <w:pPr>
        <w:spacing w:after="120" w:line="240" w:lineRule="auto"/>
        <w:ind w:left="709" w:right="709" w:hanging="1"/>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“i) [En el caso que eventualmente se soliciten combinaciones de diferentes actividades a contratar con una misma o diferentes matrices de experiencia, la Entidad en esta sección identificará y definirá la actividad principal o de mayor relevancia, y la actividad secundaria o accesoria a la principal, de acuerdo con las características del proyecto en particular. La Entidad podrá analizar la relevancia en función del valor de las actividades en el Presupuesto Oficial o por la complejidad técnica, para lo cual establecerá:</w:t>
      </w:r>
    </w:p>
    <w:p w14:paraId="062302EB"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b/>
          <w:color w:val="000000"/>
          <w:kern w:val="2"/>
          <w:sz w:val="21"/>
          <w:szCs w:val="21"/>
          <w:highlight w:val="lightGray"/>
          <w:lang w:eastAsia="es-ES"/>
          <w14:ligatures w14:val="standardContextual"/>
        </w:rPr>
        <w:t>Actividad Principal:</w:t>
      </w:r>
      <w:r w:rsidRPr="00D93BDF">
        <w:rPr>
          <w:rFonts w:ascii="Verdana" w:eastAsia="Times New Roman" w:hAnsi="Verdana" w:cs="Arial"/>
          <w:color w:val="000000"/>
          <w:kern w:val="2"/>
          <w:sz w:val="21"/>
          <w:szCs w:val="21"/>
          <w:highlight w:val="lightGray"/>
          <w:lang w:eastAsia="es-ES"/>
          <w14:ligatures w14:val="standardContextual"/>
        </w:rPr>
        <w:t xml:space="preserve"> [La Entidad identificará y definirá la actividad a contratar principal aplicable en el Proceso de Selección de acuerdo con la Matriz 1 – Experiencia</w:t>
      </w:r>
      <w:r w:rsidRPr="00D93BDF">
        <w:rPr>
          <w:rFonts w:ascii="Verdana" w:eastAsia="Arial" w:hAnsi="Verdana" w:cs="Arial"/>
          <w:color w:val="000000"/>
          <w:kern w:val="2"/>
          <w:sz w:val="21"/>
          <w:szCs w:val="21"/>
          <w:highlight w:val="lightGray"/>
          <w:lang w:val="es-MX"/>
          <w14:ligatures w14:val="standardContextual"/>
        </w:rPr>
        <w:t xml:space="preserve"> aplicable en el proyecto de infraestructura </w:t>
      </w:r>
      <w:r w:rsidRPr="00D93BDF">
        <w:rPr>
          <w:rFonts w:ascii="Verdana" w:eastAsia="Arial" w:hAnsi="Verdana" w:cs="Arial"/>
          <w:kern w:val="2"/>
          <w:sz w:val="21"/>
          <w:szCs w:val="21"/>
          <w:highlight w:val="lightGray"/>
          <w:lang w:val="es-MX"/>
          <w14:ligatures w14:val="standardContextual"/>
        </w:rPr>
        <w:t xml:space="preserve">social bien sea de salud, educación, institucional, vivienda, cultura, </w:t>
      </w:r>
      <w:r w:rsidRPr="00D93BDF">
        <w:rPr>
          <w:rFonts w:ascii="Verdana" w:eastAsia="Arial" w:hAnsi="Verdana" w:cs="Arial"/>
          <w:kern w:val="2"/>
          <w:sz w:val="21"/>
          <w:szCs w:val="21"/>
          <w:highlight w:val="lightGray"/>
          <w:lang w:val="es-MX"/>
          <w14:ligatures w14:val="standardContextual"/>
        </w:rPr>
        <w:lastRenderedPageBreak/>
        <w:t>recreación y deporte</w:t>
      </w:r>
      <w:r w:rsidRPr="00D93BDF">
        <w:rPr>
          <w:rFonts w:ascii="Verdana" w:eastAsia="Times New Roman" w:hAnsi="Verdana" w:cs="Arial"/>
          <w:kern w:val="2"/>
          <w:sz w:val="21"/>
          <w:szCs w:val="21"/>
          <w:highlight w:val="lightGray"/>
          <w:lang w:eastAsia="es-ES"/>
          <w14:ligatures w14:val="standardContextual"/>
        </w:rPr>
        <w:t xml:space="preserve">. Para esta actividad principal se solicitará la experiencia general y específica de la respectiva </w:t>
      </w:r>
      <w:r w:rsidRPr="00D93BDF">
        <w:rPr>
          <w:rFonts w:ascii="Verdana" w:eastAsia="Times New Roman" w:hAnsi="Verdana" w:cs="Arial"/>
          <w:color w:val="000000"/>
          <w:kern w:val="2"/>
          <w:sz w:val="21"/>
          <w:szCs w:val="21"/>
          <w:highlight w:val="lightGray"/>
          <w:lang w:eastAsia="es-ES"/>
          <w14:ligatures w14:val="standardContextual"/>
        </w:rPr>
        <w:t>actividad a contratar de mayor relevancia.]</w:t>
      </w:r>
    </w:p>
    <w:p w14:paraId="0833951E"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[La Entidad deberá establecer como actividad principal alguna de las “actividades a contratar” definidas en la Matriz 1 – Experiencia</w:t>
      </w:r>
      <w:r w:rsidRPr="00D93BDF">
        <w:rPr>
          <w:rFonts w:ascii="Verdana" w:eastAsia="Arial" w:hAnsi="Verdana" w:cs="Arial"/>
          <w:color w:val="000000"/>
          <w:kern w:val="2"/>
          <w:sz w:val="21"/>
          <w:szCs w:val="21"/>
          <w:highlight w:val="lightGray"/>
          <w:lang w:val="es-MX"/>
          <w14:ligatures w14:val="standardContextual"/>
        </w:rPr>
        <w:t xml:space="preserve"> aplicable en el proyecto de infraestructura social</w:t>
      </w:r>
      <w:r w:rsidRPr="00D93BDF">
        <w:rPr>
          <w:rFonts w:ascii="Verdana" w:eastAsia="Arial" w:hAnsi="Verdana" w:cs="Arial"/>
          <w:color w:val="D13438"/>
          <w:kern w:val="2"/>
          <w:sz w:val="21"/>
          <w:szCs w:val="21"/>
          <w:highlight w:val="lightGray"/>
          <w:lang w:val="es-MX"/>
          <w14:ligatures w14:val="standardContextual"/>
        </w:rPr>
        <w:t xml:space="preserve"> </w:t>
      </w:r>
      <w:r w:rsidRPr="00D93BDF">
        <w:rPr>
          <w:rFonts w:ascii="Verdana" w:eastAsia="Arial" w:hAnsi="Verdana" w:cs="Arial"/>
          <w:kern w:val="2"/>
          <w:sz w:val="21"/>
          <w:szCs w:val="21"/>
          <w:highlight w:val="lightGray"/>
          <w:lang w:val="es-MX"/>
          <w14:ligatures w14:val="standardContextual"/>
        </w:rPr>
        <w:t>bien sea de salud, educación, institucional, vivienda, cultura, recreación y deporte</w:t>
      </w:r>
      <w:r w:rsidRPr="00D93BDF">
        <w:rPr>
          <w:rFonts w:ascii="Verdana" w:eastAsia="Times New Roman" w:hAnsi="Verdana" w:cs="Arial"/>
          <w:kern w:val="2"/>
          <w:sz w:val="21"/>
          <w:szCs w:val="21"/>
          <w:highlight w:val="lightGray"/>
          <w:lang w:eastAsia="es-ES"/>
          <w14:ligatures w14:val="standardContextual"/>
        </w:rPr>
        <w:t xml:space="preserve"> de estos Documentos </w:t>
      </w:r>
      <w:r w:rsidRPr="00D93BDF">
        <w:rPr>
          <w:rFonts w:ascii="Verdana" w:eastAsia="Times New Roman" w:hAnsi="Verdana" w:cs="Arial"/>
          <w:color w:val="000000"/>
          <w:kern w:val="2"/>
          <w:sz w:val="21"/>
          <w:szCs w:val="21"/>
          <w:highlight w:val="lightGray"/>
          <w:lang w:eastAsia="es-ES"/>
          <w14:ligatures w14:val="standardContextual"/>
        </w:rPr>
        <w:t xml:space="preserve">Tipo]. </w:t>
      </w:r>
    </w:p>
    <w:p w14:paraId="3DEC512A"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b/>
          <w:bCs/>
          <w:color w:val="000000"/>
          <w:kern w:val="2"/>
          <w:sz w:val="21"/>
          <w:szCs w:val="21"/>
          <w:highlight w:val="lightGray"/>
          <w:lang w:eastAsia="es-ES"/>
          <w14:ligatures w14:val="standardContextual"/>
        </w:rPr>
        <w:t>Actividad Secundaria</w:t>
      </w:r>
      <w:r w:rsidRPr="00D93BDF">
        <w:rPr>
          <w:rFonts w:ascii="Verdana" w:eastAsia="Times New Roman" w:hAnsi="Verdana" w:cs="Arial"/>
          <w:color w:val="000000"/>
          <w:kern w:val="2"/>
          <w:sz w:val="21"/>
          <w:szCs w:val="21"/>
          <w:highlight w:val="lightGray"/>
          <w:lang w:eastAsia="es-ES"/>
          <w14:ligatures w14:val="standardContextual"/>
        </w:rPr>
        <w:t xml:space="preserve"> </w:t>
      </w:r>
      <w:r w:rsidRPr="00D93BDF">
        <w:rPr>
          <w:rFonts w:ascii="Verdana" w:eastAsia="Times New Roman" w:hAnsi="Verdana" w:cs="Arial"/>
          <w:b/>
          <w:bCs/>
          <w:color w:val="000000"/>
          <w:kern w:val="2"/>
          <w:sz w:val="21"/>
          <w:szCs w:val="21"/>
          <w:highlight w:val="lightGray"/>
          <w:lang w:eastAsia="es-ES"/>
          <w14:ligatures w14:val="standardContextual"/>
        </w:rPr>
        <w:t>(1)</w:t>
      </w:r>
      <w:r w:rsidRPr="00D93BDF">
        <w:rPr>
          <w:rFonts w:ascii="Verdana" w:eastAsia="Times New Roman" w:hAnsi="Verdana" w:cs="Arial"/>
          <w:color w:val="000000"/>
          <w:kern w:val="2"/>
          <w:sz w:val="21"/>
          <w:szCs w:val="21"/>
          <w:highlight w:val="lightGray"/>
          <w:lang w:eastAsia="es-ES"/>
          <w14:ligatures w14:val="standardContextual"/>
        </w:rPr>
        <w:t xml:space="preserve">: [La Entidad definirá la actividad secundaria o accesoria aplicable en el Proceso de Selección de acuerdo con la matriz de experiencia aplicable, ya sea cuando: i) en un mismo proyecto se incluyen otras actividades definidas en la Matriz 1 – Experiencia de estos Documentos Tipo o </w:t>
      </w:r>
      <w:proofErr w:type="spellStart"/>
      <w:r w:rsidRPr="00D93BDF">
        <w:rPr>
          <w:rFonts w:ascii="Verdana" w:eastAsia="Times New Roman" w:hAnsi="Verdana" w:cs="Arial"/>
          <w:color w:val="000000"/>
          <w:kern w:val="2"/>
          <w:sz w:val="21"/>
          <w:szCs w:val="21"/>
          <w:highlight w:val="lightGray"/>
          <w:lang w:eastAsia="es-ES"/>
          <w14:ligatures w14:val="standardContextual"/>
        </w:rPr>
        <w:t>ii</w:t>
      </w:r>
      <w:proofErr w:type="spellEnd"/>
      <w:r w:rsidRPr="00D93BDF">
        <w:rPr>
          <w:rFonts w:ascii="Verdana" w:eastAsia="Times New Roman" w:hAnsi="Verdana" w:cs="Arial"/>
          <w:color w:val="000000"/>
          <w:kern w:val="2"/>
          <w:sz w:val="21"/>
          <w:szCs w:val="21"/>
          <w:highlight w:val="lightGray"/>
          <w:lang w:eastAsia="es-ES"/>
          <w14:ligatures w14:val="standardContextual"/>
        </w:rPr>
        <w:t>) cuando en un Proceso de Selección aplican matrices de experiencia de otros Documentos Tipo y la Entidad considera conveniente incluir dicha experiencia, como por ejemplo: las Matrices de Experiencia de los Documentos Tipo de licitación de obra pública de infraestructura de social o de licitación de obra pública de infraestructura de agua potable y saneamiento básico.]</w:t>
      </w:r>
    </w:p>
    <w:p w14:paraId="2DF28F5D"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b/>
          <w:color w:val="000000"/>
          <w:kern w:val="2"/>
          <w:sz w:val="21"/>
          <w:szCs w:val="21"/>
          <w:highlight w:val="lightGray"/>
          <w:lang w:eastAsia="es-ES"/>
          <w14:ligatures w14:val="standardContextual"/>
        </w:rPr>
        <w:t>Actividad Secundaria (2):</w:t>
      </w:r>
      <w:r w:rsidRPr="00D93BDF">
        <w:rPr>
          <w:rFonts w:ascii="Verdana" w:eastAsia="Times New Roman" w:hAnsi="Verdana" w:cs="Arial"/>
          <w:color w:val="000000"/>
          <w:kern w:val="2"/>
          <w:sz w:val="21"/>
          <w:szCs w:val="21"/>
          <w:highlight w:val="lightGray"/>
          <w:lang w:eastAsia="es-ES"/>
          <w14:ligatures w14:val="standardContextual"/>
        </w:rPr>
        <w:t xml:space="preserve"> [La Entidad diligenciará la experiencia aplicable a esta actividad secundaria de acuerdo con los lineamientos previstos en el párrafo anterior, en caso de que aplique y si considera conveniente incluir dicha experiencia.]</w:t>
      </w:r>
    </w:p>
    <w:p w14:paraId="4D72AF83"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En caso de que se combinen diferentes actividades, la Entidad en este espacio definirá los requisitos de experiencia exigibles conforme</w:t>
      </w:r>
      <w:r w:rsidRPr="00D93BDF">
        <w:rPr>
          <w:rFonts w:ascii="Verdana" w:eastAsia="Times New Roman" w:hAnsi="Verdana" w:cs="Arial"/>
          <w:color w:val="000000"/>
          <w:kern w:val="2"/>
          <w:sz w:val="21"/>
          <w:szCs w:val="21"/>
          <w:highlight w:val="lightGray"/>
          <w:shd w:val="clear" w:color="auto" w:fill="C0C0C0"/>
          <w:lang w:val="es-MX" w:eastAsia="es-CO"/>
          <w14:ligatures w14:val="standardContextual"/>
        </w:rPr>
        <w:t xml:space="preserve"> </w:t>
      </w:r>
      <w:r w:rsidRPr="00D93BDF">
        <w:rPr>
          <w:rFonts w:ascii="Verdana" w:eastAsia="Times New Roman" w:hAnsi="Verdana" w:cs="Arial"/>
          <w:color w:val="000000"/>
          <w:kern w:val="2"/>
          <w:sz w:val="21"/>
          <w:szCs w:val="21"/>
          <w:highlight w:val="lightGray"/>
          <w:lang w:val="es-MX" w:eastAsia="es-ES"/>
          <w14:ligatures w14:val="standardContextual"/>
        </w:rPr>
        <w:t>con la Matriz 1 – Experiencia</w:t>
      </w:r>
      <w:r w:rsidRPr="00D93BDF">
        <w:rPr>
          <w:rFonts w:ascii="Verdana" w:eastAsia="Arial" w:hAnsi="Verdana" w:cs="Arial"/>
          <w:color w:val="000000"/>
          <w:kern w:val="2"/>
          <w:sz w:val="21"/>
          <w:szCs w:val="21"/>
          <w:highlight w:val="lightGray"/>
          <w:lang w:val="es-MX"/>
          <w14:ligatures w14:val="standardContextual"/>
        </w:rPr>
        <w:t xml:space="preserve"> aplicable en el proyecto de infraestructura </w:t>
      </w:r>
      <w:r w:rsidRPr="00D93BDF">
        <w:rPr>
          <w:rFonts w:ascii="Verdana" w:eastAsia="Arial" w:hAnsi="Verdana" w:cs="Arial"/>
          <w:kern w:val="2"/>
          <w:sz w:val="21"/>
          <w:szCs w:val="21"/>
          <w:highlight w:val="lightGray"/>
          <w:lang w:val="es-MX"/>
          <w14:ligatures w14:val="standardContextual"/>
        </w:rPr>
        <w:t>social bien sea de salud, educación, institucional, vivienda, cultura, recreación y deporte</w:t>
      </w:r>
      <w:r w:rsidRPr="00D93BDF">
        <w:rPr>
          <w:rFonts w:ascii="Verdana" w:eastAsia="Times New Roman" w:hAnsi="Verdana" w:cs="Arial"/>
          <w:kern w:val="2"/>
          <w:sz w:val="21"/>
          <w:szCs w:val="21"/>
          <w:highlight w:val="lightGray"/>
          <w:lang w:eastAsia="es-ES"/>
          <w14:ligatures w14:val="standardContextual"/>
        </w:rPr>
        <w:t xml:space="preserve">, optando </w:t>
      </w:r>
      <w:r w:rsidRPr="00D93BDF">
        <w:rPr>
          <w:rFonts w:ascii="Verdana" w:eastAsia="Times New Roman" w:hAnsi="Verdana" w:cs="Arial"/>
          <w:color w:val="000000"/>
          <w:kern w:val="2"/>
          <w:sz w:val="21"/>
          <w:szCs w:val="21"/>
          <w:highlight w:val="lightGray"/>
          <w:lang w:eastAsia="es-ES"/>
          <w14:ligatures w14:val="standardContextual"/>
        </w:rPr>
        <w:t xml:space="preserve">por una de las siguientes alternativas: </w:t>
      </w:r>
    </w:p>
    <w:p w14:paraId="43C40E6E" w14:textId="77777777" w:rsidR="00D93BDF" w:rsidRPr="00D93BDF" w:rsidRDefault="00D93BDF" w:rsidP="00D93BDF">
      <w:pPr>
        <w:spacing w:after="120" w:line="240" w:lineRule="auto"/>
        <w:ind w:left="709" w:right="709" w:hanging="1"/>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a) No solicitar experiencia para la actividad secundaria, sino únicamente la experiencia de la actividad principal, siempre que esta se trate de una de las actividades definidas en la Matriz 1 – Experiencia</w:t>
      </w:r>
      <w:r w:rsidRPr="00D93BDF">
        <w:rPr>
          <w:rFonts w:ascii="Verdana" w:eastAsia="Arial" w:hAnsi="Verdana" w:cs="Arial"/>
          <w:color w:val="000000"/>
          <w:kern w:val="2"/>
          <w:sz w:val="21"/>
          <w:szCs w:val="21"/>
          <w:highlight w:val="lightGray"/>
          <w:lang w:val="es-MX"/>
          <w14:ligatures w14:val="standardContextual"/>
        </w:rPr>
        <w:t xml:space="preserve"> aplicable en el proyecto de infraestructura social</w:t>
      </w:r>
      <w:r w:rsidRPr="00D93BDF">
        <w:rPr>
          <w:rFonts w:ascii="Verdana" w:eastAsia="Arial" w:hAnsi="Verdana" w:cs="Arial"/>
          <w:color w:val="D13438"/>
          <w:kern w:val="2"/>
          <w:sz w:val="21"/>
          <w:szCs w:val="21"/>
          <w:highlight w:val="lightGray"/>
          <w:u w:val="single"/>
          <w:lang w:val="es-MX"/>
          <w14:ligatures w14:val="standardContextual"/>
        </w:rPr>
        <w:t xml:space="preserve"> </w:t>
      </w:r>
      <w:r w:rsidRPr="00D93BDF">
        <w:rPr>
          <w:rFonts w:ascii="Verdana" w:eastAsia="Arial" w:hAnsi="Verdana" w:cs="Arial"/>
          <w:kern w:val="2"/>
          <w:sz w:val="21"/>
          <w:szCs w:val="21"/>
          <w:highlight w:val="lightGray"/>
          <w:lang w:val="es-MX"/>
          <w14:ligatures w14:val="standardContextual"/>
        </w:rPr>
        <w:t>bien sea de salud, educación, institucional, vivienda, cultura, recreación y deporte</w:t>
      </w:r>
      <w:r w:rsidRPr="00D93BDF">
        <w:rPr>
          <w:rFonts w:ascii="Verdana" w:eastAsia="Times New Roman" w:hAnsi="Verdana" w:cs="Arial"/>
          <w:kern w:val="2"/>
          <w:sz w:val="21"/>
          <w:szCs w:val="21"/>
          <w:highlight w:val="lightGray"/>
          <w:lang w:eastAsia="es-ES"/>
          <w14:ligatures w14:val="standardContextual"/>
        </w:rPr>
        <w:t xml:space="preserve"> de estos Documentos </w:t>
      </w:r>
      <w:r w:rsidRPr="00D93BDF">
        <w:rPr>
          <w:rFonts w:ascii="Verdana" w:eastAsia="Times New Roman" w:hAnsi="Verdana" w:cs="Arial"/>
          <w:color w:val="000000"/>
          <w:kern w:val="2"/>
          <w:sz w:val="21"/>
          <w:szCs w:val="21"/>
          <w:highlight w:val="lightGray"/>
          <w:lang w:eastAsia="es-ES"/>
          <w14:ligatures w14:val="standardContextual"/>
        </w:rPr>
        <w:t xml:space="preserve">Tipo. </w:t>
      </w:r>
    </w:p>
    <w:p w14:paraId="536A63A2" w14:textId="77777777" w:rsidR="00D93BDF" w:rsidRPr="00D93BDF" w:rsidRDefault="00D93BDF" w:rsidP="00D93BDF">
      <w:pPr>
        <w:spacing w:after="120" w:line="240" w:lineRule="auto"/>
        <w:ind w:left="709" w:right="709" w:hanging="1"/>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 xml:space="preserve">b) Solicitar la experiencia general y específica de la “actividad a contratar” de la actividad principal y para las demás actividades secundarias a contratar requerir la experiencia general o específica. Esto significa que la Entidad, de acuerdo con el alcance del proyecto decidirá cuál experiencia pedirá para la actividad secundaria. En el evento en que la matriz de experiencia no contemple experiencia específica para la actividad secundaria, se solicitará la experiencia </w:t>
      </w:r>
      <w:r w:rsidRPr="00D93BDF">
        <w:rPr>
          <w:rFonts w:ascii="Verdana" w:eastAsia="Times New Roman" w:hAnsi="Verdana" w:cs="Arial"/>
          <w:color w:val="000000"/>
          <w:kern w:val="2"/>
          <w:sz w:val="21"/>
          <w:szCs w:val="21"/>
          <w:highlight w:val="lightGray"/>
          <w:lang w:eastAsia="es-ES"/>
          <w14:ligatures w14:val="standardContextual"/>
        </w:rPr>
        <w:lastRenderedPageBreak/>
        <w:t xml:space="preserve">general. En todo caso en la actividad secundaria no será posible exigir la experiencia general y la específica, sino solo una de ellas. </w:t>
      </w:r>
    </w:p>
    <w:p w14:paraId="337D173E"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b/>
          <w:bCs/>
          <w:color w:val="000000"/>
          <w:kern w:val="2"/>
          <w:sz w:val="21"/>
          <w:szCs w:val="21"/>
          <w:highlight w:val="lightGray"/>
          <w:lang w:eastAsia="es-ES"/>
          <w14:ligatures w14:val="standardContextual"/>
        </w:rPr>
        <w:t>Nota 9</w:t>
      </w:r>
      <w:r w:rsidRPr="00D93BDF">
        <w:rPr>
          <w:rFonts w:ascii="Verdana" w:eastAsia="Times New Roman" w:hAnsi="Verdana" w:cs="Arial"/>
          <w:color w:val="000000"/>
          <w:kern w:val="2"/>
          <w:sz w:val="21"/>
          <w:szCs w:val="21"/>
          <w:highlight w:val="lightGray"/>
          <w:lang w:eastAsia="es-ES"/>
          <w14:ligatures w14:val="standardContextual"/>
        </w:rPr>
        <w:t xml:space="preserve">: Para la actividad secundaria en caso de requerirse la experiencia específica, se entenderá en el contexto de la experiencia general solicitada en dicha actividad. </w:t>
      </w:r>
    </w:p>
    <w:p w14:paraId="60F173BF" w14:textId="77777777" w:rsidR="00D93BDF" w:rsidRPr="00D93BDF" w:rsidRDefault="00D93BDF" w:rsidP="00D93BDF">
      <w:pPr>
        <w:spacing w:after="120" w:line="240" w:lineRule="auto"/>
        <w:ind w:left="709" w:right="709" w:hanging="1"/>
        <w:jc w:val="both"/>
        <w:rPr>
          <w:rFonts w:ascii="Verdana" w:eastAsia="Times New Roman" w:hAnsi="Verdana" w:cs="Arial"/>
          <w:color w:val="000000"/>
          <w:kern w:val="2"/>
          <w:sz w:val="21"/>
          <w:szCs w:val="21"/>
          <w:highlight w:val="lightGray"/>
          <w:lang w:eastAsia="es-ES"/>
          <w14:ligatures w14:val="standardContextual"/>
        </w:rPr>
      </w:pPr>
      <w:proofErr w:type="spellStart"/>
      <w:r w:rsidRPr="00D93BDF">
        <w:rPr>
          <w:rFonts w:ascii="Verdana" w:eastAsia="Times New Roman" w:hAnsi="Verdana" w:cs="Arial"/>
          <w:color w:val="000000"/>
          <w:kern w:val="2"/>
          <w:sz w:val="21"/>
          <w:szCs w:val="21"/>
          <w:highlight w:val="lightGray"/>
          <w:lang w:eastAsia="es-ES"/>
          <w14:ligatures w14:val="standardContextual"/>
        </w:rPr>
        <w:t>ii</w:t>
      </w:r>
      <w:proofErr w:type="spellEnd"/>
      <w:r w:rsidRPr="00D93BDF">
        <w:rPr>
          <w:rFonts w:ascii="Verdana" w:eastAsia="Times New Roman" w:hAnsi="Verdana" w:cs="Arial"/>
          <w:color w:val="000000"/>
          <w:kern w:val="2"/>
          <w:sz w:val="21"/>
          <w:szCs w:val="21"/>
          <w:highlight w:val="lightGray"/>
          <w:lang w:eastAsia="es-ES"/>
          <w14:ligatures w14:val="standardContextual"/>
        </w:rPr>
        <w:t xml:space="preserve">) La experiencia exigible para estas actividades (principal o secundaria) se definirá en función de los rangos de cuantías aplicables al Proceso de Selección. En el caso que el requisito de experiencia a solicitarse esté expresado en un componente o actividad correspondiente a un porcentaje del Presupuesto Oficial, este deberá calcularse respecto del cien por ciento (100 %) del valor del Presupuesto Oficial. En todo caso para la demostración de la experiencia exigida en la actividad secundaria, si la Entidad desagrega el valor de las actividades, la acreditación de la experiencia de los componentes que están supeditados a un porcentaje del Presupuesto Oficial se realizará de acuerdo con el valor de cada actividad secundaria. En este último caso, la Entidad indicará en este literal el valor del Presupuesto Oficial que corresponde a cada uno. </w:t>
      </w:r>
    </w:p>
    <w:p w14:paraId="29F25881" w14:textId="77777777" w:rsidR="00D93BDF" w:rsidRPr="00D93BDF" w:rsidRDefault="00D93BDF" w:rsidP="00D93BDF">
      <w:pPr>
        <w:spacing w:after="120" w:line="240" w:lineRule="auto"/>
        <w:ind w:left="709" w:right="709" w:hanging="1"/>
        <w:jc w:val="both"/>
        <w:rPr>
          <w:rFonts w:ascii="Verdana" w:eastAsia="Times New Roman" w:hAnsi="Verdana" w:cs="Arial"/>
          <w:color w:val="000000"/>
          <w:kern w:val="2"/>
          <w:sz w:val="21"/>
          <w:szCs w:val="21"/>
          <w:highlight w:val="lightGray"/>
          <w:lang w:eastAsia="es-ES"/>
          <w14:ligatures w14:val="standardContextual"/>
        </w:rPr>
      </w:pPr>
      <w:proofErr w:type="spellStart"/>
      <w:r w:rsidRPr="00D93BDF">
        <w:rPr>
          <w:rFonts w:ascii="Verdana" w:eastAsia="Times New Roman" w:hAnsi="Verdana" w:cs="Arial"/>
          <w:color w:val="000000"/>
          <w:kern w:val="2"/>
          <w:sz w:val="21"/>
          <w:szCs w:val="21"/>
          <w:highlight w:val="lightGray"/>
          <w:lang w:eastAsia="es-ES"/>
          <w14:ligatures w14:val="standardContextual"/>
        </w:rPr>
        <w:t>iii</w:t>
      </w:r>
      <w:proofErr w:type="spellEnd"/>
      <w:r w:rsidRPr="00D93BDF">
        <w:rPr>
          <w:rFonts w:ascii="Verdana" w:eastAsia="Times New Roman" w:hAnsi="Verdana" w:cs="Arial"/>
          <w:color w:val="000000"/>
          <w:kern w:val="2"/>
          <w:sz w:val="21"/>
          <w:szCs w:val="21"/>
          <w:highlight w:val="lightGray"/>
          <w:lang w:eastAsia="es-ES"/>
          <w14:ligatures w14:val="standardContextual"/>
        </w:rPr>
        <w:t>) La Entidad no podrá incluir más de dos (2) combinaciones de experiencia adicionales a la prevista para la actividad principal. Esto significa que la Entidad solicitará la experiencia general y la específica de la actividad principal y máximo dos (2) experiencias, general o específica, para las actividades secundarias aplicables al Proceso de Selección.</w:t>
      </w:r>
    </w:p>
    <w:p w14:paraId="513A18D7" w14:textId="77777777" w:rsidR="00D93BDF" w:rsidRPr="00D93BDF" w:rsidRDefault="00D93BDF" w:rsidP="00D93BDF">
      <w:pPr>
        <w:spacing w:after="120" w:line="240" w:lineRule="auto"/>
        <w:ind w:left="709" w:right="709" w:hanging="1"/>
        <w:jc w:val="both"/>
        <w:rPr>
          <w:rFonts w:ascii="Verdana" w:eastAsia="Times New Roman" w:hAnsi="Verdana" w:cs="Arial"/>
          <w:color w:val="000000"/>
          <w:kern w:val="2"/>
          <w:sz w:val="21"/>
          <w:szCs w:val="21"/>
          <w:highlight w:val="lightGray"/>
          <w:lang w:eastAsia="es-ES"/>
          <w14:ligatures w14:val="standardContextual"/>
        </w:rPr>
      </w:pPr>
      <w:proofErr w:type="spellStart"/>
      <w:r w:rsidRPr="00D93BDF">
        <w:rPr>
          <w:rFonts w:ascii="Verdana" w:eastAsia="Times New Roman" w:hAnsi="Verdana" w:cs="Arial"/>
          <w:color w:val="000000"/>
          <w:kern w:val="2"/>
          <w:sz w:val="21"/>
          <w:szCs w:val="21"/>
          <w:highlight w:val="lightGray"/>
          <w:lang w:eastAsia="es-ES"/>
          <w14:ligatures w14:val="standardContextual"/>
        </w:rPr>
        <w:t>iv</w:t>
      </w:r>
      <w:proofErr w:type="spellEnd"/>
      <w:r w:rsidRPr="00D93BDF">
        <w:rPr>
          <w:rFonts w:ascii="Verdana" w:eastAsia="Times New Roman" w:hAnsi="Verdana" w:cs="Arial"/>
          <w:color w:val="000000"/>
          <w:kern w:val="2"/>
          <w:sz w:val="21"/>
          <w:szCs w:val="21"/>
          <w:highlight w:val="lightGray"/>
          <w:lang w:eastAsia="es-ES"/>
          <w14:ligatures w14:val="standardContextual"/>
        </w:rPr>
        <w:t>) Si en la actividad secundaria se solicita la experiencia específica y ésta contempla más de un requisito, la Entidad escogerá solo la que sea de mayor relevancia para el proyecto a ejecutar.</w:t>
      </w:r>
    </w:p>
    <w:p w14:paraId="3CD7D0FD" w14:textId="77777777" w:rsidR="00D93BDF" w:rsidRPr="00D93BDF" w:rsidRDefault="00D93BDF" w:rsidP="00D93BDF">
      <w:pPr>
        <w:spacing w:after="120" w:line="240" w:lineRule="auto"/>
        <w:ind w:left="709" w:right="709" w:hanging="1"/>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v) En los casos en que la Entidad opte por la exigencia de la experiencia específica o general para las actividades distintas a la actividad principal, deberá incluirse la siguiente nota:</w:t>
      </w:r>
    </w:p>
    <w:p w14:paraId="3E794E6E"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w:t>
      </w:r>
      <w:r w:rsidRPr="00D93BDF">
        <w:rPr>
          <w:rFonts w:ascii="Verdana" w:eastAsia="Times New Roman" w:hAnsi="Verdana" w:cs="Arial"/>
          <w:b/>
          <w:bCs/>
          <w:color w:val="000000"/>
          <w:kern w:val="2"/>
          <w:sz w:val="21"/>
          <w:szCs w:val="21"/>
          <w:highlight w:val="lightGray"/>
          <w:lang w:eastAsia="es-ES"/>
          <w14:ligatures w14:val="standardContextual"/>
        </w:rPr>
        <w:t>Nota 10</w:t>
      </w:r>
      <w:r w:rsidRPr="00D93BDF">
        <w:rPr>
          <w:rFonts w:ascii="Verdana" w:eastAsia="Times New Roman" w:hAnsi="Verdana" w:cs="Arial"/>
          <w:color w:val="000000"/>
          <w:kern w:val="2"/>
          <w:sz w:val="21"/>
          <w:szCs w:val="21"/>
          <w:highlight w:val="lightGray"/>
          <w:lang w:eastAsia="es-ES"/>
          <w14:ligatures w14:val="standardContextual"/>
        </w:rPr>
        <w:t>: Para el caso de experiencias combinadas un Proponente podrá acreditar experiencia en una o más actividades con un Contrato o con Contratos distintos”.</w:t>
      </w:r>
    </w:p>
    <w:p w14:paraId="4EC2A79A" w14:textId="77777777" w:rsidR="00D93BDF" w:rsidRPr="00D93BDF" w:rsidRDefault="00D93BDF" w:rsidP="00D93BDF">
      <w:pPr>
        <w:spacing w:after="120" w:line="240" w:lineRule="auto"/>
        <w:ind w:left="709" w:right="709"/>
        <w:jc w:val="both"/>
        <w:rPr>
          <w:rFonts w:ascii="Verdana" w:eastAsia="Times New Roman" w:hAnsi="Verdana" w:cs="Arial"/>
          <w:color w:val="000000"/>
          <w:kern w:val="2"/>
          <w:sz w:val="21"/>
          <w:szCs w:val="21"/>
          <w:highlight w:val="lightGray"/>
          <w:lang w:eastAsia="es-ES"/>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vi) [En los Procesos de Contratación estructurados por lotes o por segmentos, la Entidad establecerá la experiencia de cada uno de ellos, de acuerdo con las actividades definidas en la matriz de experiencia aplicable]</w:t>
      </w:r>
    </w:p>
    <w:p w14:paraId="1CA4B064" w14:textId="77777777" w:rsidR="00D93BDF" w:rsidRPr="00D93BDF" w:rsidRDefault="00D93BDF" w:rsidP="00D93BDF">
      <w:pPr>
        <w:spacing w:after="0" w:line="240" w:lineRule="auto"/>
        <w:ind w:left="709" w:right="709"/>
        <w:jc w:val="both"/>
        <w:rPr>
          <w:rFonts w:ascii="Verdana" w:eastAsia="Arial" w:hAnsi="Verdana" w:cs="Arial"/>
          <w:color w:val="000000"/>
          <w:kern w:val="2"/>
          <w:sz w:val="21"/>
          <w:szCs w:val="21"/>
          <w14:ligatures w14:val="standardContextual"/>
        </w:rPr>
      </w:pPr>
      <w:r w:rsidRPr="00D93BDF">
        <w:rPr>
          <w:rFonts w:ascii="Verdana" w:eastAsia="Times New Roman" w:hAnsi="Verdana" w:cs="Arial"/>
          <w:color w:val="000000"/>
          <w:kern w:val="2"/>
          <w:sz w:val="21"/>
          <w:szCs w:val="21"/>
          <w:highlight w:val="lightGray"/>
          <w:lang w:eastAsia="es-ES"/>
          <w14:ligatures w14:val="standardContextual"/>
        </w:rPr>
        <w:t xml:space="preserve">[La experiencia que deberá acreditar el Proponente será la establecida por la Entidad de forma independiente para cada uno de los lotes o segmentos de acuerdo con las actividades definidas en la matriz de </w:t>
      </w:r>
      <w:r w:rsidRPr="00D93BDF">
        <w:rPr>
          <w:rFonts w:ascii="Verdana" w:eastAsia="Times New Roman" w:hAnsi="Verdana" w:cs="Arial"/>
          <w:color w:val="000000"/>
          <w:kern w:val="2"/>
          <w:sz w:val="21"/>
          <w:szCs w:val="21"/>
          <w:highlight w:val="lightGray"/>
          <w:lang w:eastAsia="es-ES"/>
          <w14:ligatures w14:val="standardContextual"/>
        </w:rPr>
        <w:lastRenderedPageBreak/>
        <w:t>experiencia aplicable en el respectivo proyecto de infraestructura de social, en el literal A de esta sección]”.</w:t>
      </w:r>
      <w:r w:rsidRPr="00D93BDF">
        <w:rPr>
          <w:rFonts w:ascii="Verdana" w:eastAsia="Arial" w:hAnsi="Verdana" w:cs="Arial"/>
          <w:color w:val="000000"/>
          <w:kern w:val="2"/>
          <w:sz w:val="21"/>
          <w:szCs w:val="21"/>
          <w14:ligatures w14:val="standardContextual"/>
        </w:rPr>
        <w:t xml:space="preserve"> </w:t>
      </w:r>
    </w:p>
    <w:p w14:paraId="750F9FF3" w14:textId="77777777" w:rsidR="00D93BDF" w:rsidRPr="00D93BDF" w:rsidRDefault="00D93BDF" w:rsidP="00D93BDF">
      <w:pPr>
        <w:spacing w:after="0"/>
        <w:jc w:val="both"/>
        <w:rPr>
          <w:rFonts w:ascii="Verdana" w:eastAsia="Aptos" w:hAnsi="Verdana" w:cs="Times New Roman"/>
        </w:rPr>
      </w:pPr>
    </w:p>
    <w:p w14:paraId="7378333F" w14:textId="77777777" w:rsidR="00D93BDF" w:rsidRPr="00D93BDF" w:rsidRDefault="00D93BDF" w:rsidP="00D93BDF">
      <w:pPr>
        <w:spacing w:after="120" w:line="276" w:lineRule="auto"/>
        <w:ind w:firstLine="708"/>
        <w:jc w:val="both"/>
        <w:rPr>
          <w:rFonts w:ascii="Verdana" w:eastAsia="Calibri" w:hAnsi="Verdana" w:cs="Arial"/>
          <w:color w:val="000000"/>
          <w:lang w:val="es-MX"/>
        </w:rPr>
      </w:pPr>
      <w:r w:rsidRPr="00D93BDF">
        <w:rPr>
          <w:rFonts w:ascii="Verdana" w:eastAsia="Aptos" w:hAnsi="Verdana" w:cs="Times New Roman"/>
        </w:rPr>
        <w:t xml:space="preserve">Como se advierte, </w:t>
      </w:r>
      <w:bookmarkStart w:id="3" w:name="_Hlk109396275"/>
      <w:r w:rsidRPr="00D93BDF">
        <w:rPr>
          <w:rFonts w:ascii="Verdana" w:eastAsia="Aptos" w:hAnsi="Verdana" w:cs="Times New Roman"/>
        </w:rPr>
        <w:t xml:space="preserve">en los documentos tipo se reguló de forma pormenorizada y con suficiencia las reglas para la combinación de diferentes actividades a contratar de una misma matriz de experiencia de infraestructura social, o de otro sector de infraestructura social, o de diferentes matrices de experiencia de otros documentos tipo adoptados por esta Agencia. </w:t>
      </w:r>
      <w:r w:rsidRPr="00D93BDF">
        <w:rPr>
          <w:rFonts w:ascii="Verdana" w:eastAsia="Calibri" w:hAnsi="Verdana" w:cs="Arial"/>
          <w:color w:val="000000"/>
          <w:lang w:val="es-MX"/>
        </w:rPr>
        <w:t>Este supuesto abarca los casos en que en un proyecto se pretenda ejecutar actividades que se encuentren en una misma matriz de experiencia, así como cuando las actividades que se requieren desarrollar se encuentren en otras matrices de experiencia de proyectos de otros documentos tipo adoptados por esta Agencia.</w:t>
      </w:r>
    </w:p>
    <w:p w14:paraId="6552EF65"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Conforma con esta regla de combinación de la experiencia, la entidad estatal identificará y definirá la actividad principal o de mayor relevancia, y la actividad secundaria o accesoria a la principal, de acuerdo con las características del proyecto particular. Para estos efectos, la entidad determinará la actividad principal de alguna de las actividades a contratar definidas en la matriz del proyecto respectivo y podrá establecer hasta dos actividades secundarias cuando: </w:t>
      </w:r>
      <w:bookmarkStart w:id="4" w:name="_Hlk109293655"/>
      <w:bookmarkEnd w:id="3"/>
      <w:r w:rsidRPr="00D93BDF">
        <w:rPr>
          <w:rFonts w:ascii="Verdana" w:eastAsia="Aptos" w:hAnsi="Verdana" w:cs="Times New Roman"/>
        </w:rPr>
        <w:t xml:space="preserve">i) en un mismo proyecto se incluyen otras actividades definidas en la Matriz – Experiencia de infraestructura social, </w:t>
      </w:r>
      <w:proofErr w:type="spellStart"/>
      <w:r w:rsidRPr="00D93BDF">
        <w:rPr>
          <w:rFonts w:ascii="Verdana" w:eastAsia="Aptos" w:hAnsi="Verdana" w:cs="Times New Roman"/>
        </w:rPr>
        <w:t>ii</w:t>
      </w:r>
      <w:proofErr w:type="spellEnd"/>
      <w:r w:rsidRPr="00D93BDF">
        <w:rPr>
          <w:rFonts w:ascii="Verdana" w:eastAsia="Aptos" w:hAnsi="Verdana" w:cs="Times New Roman"/>
        </w:rPr>
        <w:t xml:space="preserve">) cuando en un mismo proyecto se incorporen actividades de infraestructura educativa, salud o cultura, recreación y deporte, Vivienda o Institucional o </w:t>
      </w:r>
      <w:proofErr w:type="spellStart"/>
      <w:r w:rsidRPr="00D93BDF">
        <w:rPr>
          <w:rFonts w:ascii="Verdana" w:eastAsia="Aptos" w:hAnsi="Verdana" w:cs="Times New Roman"/>
        </w:rPr>
        <w:t>iii</w:t>
      </w:r>
      <w:proofErr w:type="spellEnd"/>
      <w:r w:rsidRPr="00D93BDF">
        <w:rPr>
          <w:rFonts w:ascii="Verdana" w:eastAsia="Aptos" w:hAnsi="Verdana" w:cs="Times New Roman"/>
        </w:rPr>
        <w:t>) cuando en un Proceso de Contratación aplican matrices de experiencia de otros Documentos Tipo y la Entidad considera conveniente incluir dicha experiencia.</w:t>
      </w:r>
    </w:p>
    <w:p w14:paraId="39B6EB1B"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Una vez definida la actividad principal y secundaria, la entidad estatal debe determinar los requisitos de experiencia exigibles de acuerdo con la matriz de experiencia aplicable, de alguna de la siguientes formas: i) solicitando experiencia general y específica para la actividad principal o de mayor relevancia, siempre que esta se trate de una actividad incluida en las “actividades a contratar” definidas en las matrices de experiencia de los documentos tipo de infraestructura social, o </w:t>
      </w:r>
      <w:proofErr w:type="spellStart"/>
      <w:r w:rsidRPr="00D93BDF">
        <w:rPr>
          <w:rFonts w:ascii="Verdana" w:eastAsia="Aptos" w:hAnsi="Verdana" w:cs="Times New Roman"/>
        </w:rPr>
        <w:t>ii</w:t>
      </w:r>
      <w:proofErr w:type="spellEnd"/>
      <w:r w:rsidRPr="00D93BDF">
        <w:rPr>
          <w:rFonts w:ascii="Verdana" w:eastAsia="Aptos" w:hAnsi="Verdana" w:cs="Times New Roman"/>
        </w:rPr>
        <w:t>) solicitando experiencia general o específica para la(s) actividad(es) secundaria(s) y en los casos en que la Matriz 1 – Experiencia, no contemple experiencia específica para una de las actividades secundarias, se debe pedir Experiencia general.</w:t>
      </w:r>
    </w:p>
    <w:p w14:paraId="3966367D"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La experiencia exigible para las actividades principal y secundaria, debe ser definida en función de los rangos de cuantías aplicables al respectivo proceso </w:t>
      </w:r>
      <w:r w:rsidRPr="00D93BDF">
        <w:rPr>
          <w:rFonts w:ascii="Verdana" w:eastAsia="Aptos" w:hAnsi="Verdana" w:cs="Times New Roman"/>
        </w:rPr>
        <w:lastRenderedPageBreak/>
        <w:t>de contratación. En todo caso, la entidad contratante no puede incluir más de 2 combinaciones de experiencia adicionales a la prevista para la actividad principal.</w:t>
      </w:r>
    </w:p>
    <w:p w14:paraId="21451E6C"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En caso de que el requisito de experiencia a solicitarse esté expresado en un componente o actividad correspondiente a un porcentaje del Presupuesto Oficial, este deberá calcularse respecto del cien por ciento (100%) del valor del Presupuesto Oficial. En todo caso para la demostración de la experiencia exigida en la actividad secundaria, si la Entidad desagrega el valor de las actividades, la acreditación de la experiencia de los componentes que están supeditados a un porcentaje del Presupuesto Oficial se realizará de acuerdo con el valor de cada actividad secundaria. En este último caso, la Entidad indicará en este literal el valor del Presupuesto Oficial que corresponde a cada uno.</w:t>
      </w:r>
    </w:p>
    <w:p w14:paraId="73ACD3DF"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Lo anterior implica que, para el caso de la actividad principal, deberá tenerse en cuenta el 100% del Presupuesto Oficial, y para la(s) actividad(es) secundaria(s), la acreditación frente al Presupuesto Oficial deberá realizarse de forma proporcional, conforme al valor de cada actividad secundaria. En todo caso, la entidad contratante no puede incluir más de 2 combinaciones de experiencia adicionales a la prevista para la actividad principal. </w:t>
      </w:r>
      <w:bookmarkStart w:id="5" w:name="_Hlk99446177"/>
      <w:bookmarkEnd w:id="4"/>
    </w:p>
    <w:p w14:paraId="48490C85"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Si en la actividad secundaria se solicita la experiencia específica, y esta contempla más de un requisito, </w:t>
      </w:r>
      <w:bookmarkStart w:id="6" w:name="_Hlk109294879"/>
      <w:r w:rsidRPr="00D93BDF">
        <w:rPr>
          <w:rFonts w:ascii="Verdana" w:eastAsia="Aptos" w:hAnsi="Verdana" w:cs="Times New Roman"/>
        </w:rPr>
        <w:t>la entidad solo podrá fijar un requisito de experiencia específica, que en este caso será el de mayor relevancia para el proyecto. De acuerdo con esto, será la entidad la que debe definir cuál es el requisito de mayor relevancia para el proyecto a desarrollar, por lo que solo podrá incluir un requisito de experiencia específica en relación con la actividad secundaria.</w:t>
      </w:r>
      <w:bookmarkEnd w:id="5"/>
      <w:bookmarkEnd w:id="6"/>
    </w:p>
    <w:p w14:paraId="3572238F"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 xml:space="preserve">En el evento que la entidad opte por exigir experiencia específica para las actividades distintas a la actividad principal, deberá incluir la nota que se señala en el numeral v). </w:t>
      </w:r>
    </w:p>
    <w:p w14:paraId="76CAE53C" w14:textId="77777777" w:rsidR="00D93BDF" w:rsidRPr="00D93BDF" w:rsidRDefault="00D93BDF" w:rsidP="00D93BDF">
      <w:pPr>
        <w:snapToGrid w:val="0"/>
        <w:spacing w:after="120" w:line="276" w:lineRule="auto"/>
        <w:ind w:firstLine="709"/>
        <w:jc w:val="both"/>
        <w:rPr>
          <w:rFonts w:ascii="Verdana" w:eastAsia="Aptos" w:hAnsi="Verdana" w:cs="Times New Roman"/>
        </w:rPr>
      </w:pPr>
      <w:r w:rsidRPr="00D93BDF">
        <w:rPr>
          <w:rFonts w:ascii="Verdana" w:eastAsia="Aptos" w:hAnsi="Verdana" w:cs="Times New Roman"/>
        </w:rPr>
        <w:t>Finalmente, es pertinente señalar que las reglas transcritas prescriben que en el evento en que el proceso de contratación se estructure por lotes o segmentos, la entidad establecerá la experiencia de cada uno de ellos, de acuerdo con las actividades definidas en la Matriz de Experiencia aplicable.</w:t>
      </w:r>
    </w:p>
    <w:p w14:paraId="60C92927" w14:textId="77777777" w:rsidR="00D93BDF" w:rsidRPr="00D93BDF" w:rsidRDefault="00D93BDF" w:rsidP="00D93BDF">
      <w:pPr>
        <w:snapToGrid w:val="0"/>
        <w:spacing w:after="0" w:line="276" w:lineRule="auto"/>
        <w:ind w:firstLine="709"/>
        <w:jc w:val="both"/>
        <w:rPr>
          <w:rFonts w:ascii="Verdana" w:eastAsia="Aptos" w:hAnsi="Verdana" w:cs="Times New Roman"/>
        </w:rPr>
      </w:pPr>
      <w:r w:rsidRPr="00D93BDF">
        <w:rPr>
          <w:rFonts w:ascii="Verdana" w:eastAsia="Aptos" w:hAnsi="Verdana" w:cs="Times New Roman"/>
        </w:rPr>
        <w:t xml:space="preserve">Conforme con lo indicado in extenso, de acuerdo con la regla prevista en el numeral i) del numeral 3.5.1 “Características de los contratos presentados </w:t>
      </w:r>
      <w:r w:rsidRPr="00D93BDF">
        <w:rPr>
          <w:rFonts w:ascii="Verdana" w:eastAsia="Aptos" w:hAnsi="Verdana" w:cs="Times New Roman"/>
        </w:rPr>
        <w:lastRenderedPageBreak/>
        <w:t xml:space="preserve">para acreditar la experiencia exigida, contenida en el documento tipo de selección abreviada de obra pública de infraestructura social, es posible llevar a cabo la combinación de experiencia bien sea de la misma matriz del sector o de otra matriz de experiencia de otro sector distinto al de infraestructura social, que haya sido adoptada por la Agencia Nacional de Contratación Pública – Colombia Compra Eficiente, siempre y cuando la entidad, determine cual será la actividad principal y cual o cuales las actividades secundarias, donde deberá dar estricto cumplimiento a las condiciones contenidas en el numeral señalado. </w:t>
      </w:r>
    </w:p>
    <w:p w14:paraId="203CAED6" w14:textId="77777777" w:rsidR="00D93BDF" w:rsidRPr="00D93BDF" w:rsidRDefault="00D93BDF" w:rsidP="00D93BDF">
      <w:pPr>
        <w:snapToGrid w:val="0"/>
        <w:spacing w:after="0" w:line="276" w:lineRule="auto"/>
        <w:ind w:firstLine="709"/>
        <w:jc w:val="both"/>
        <w:rPr>
          <w:rFonts w:ascii="Verdana" w:eastAsia="Times New Roman" w:hAnsi="Verdana" w:cs="Times New Roman"/>
          <w:color w:val="000000"/>
          <w:lang w:eastAsia="es-CO"/>
        </w:rPr>
      </w:pPr>
    </w:p>
    <w:p w14:paraId="530C1046" w14:textId="77777777" w:rsidR="00D93BDF" w:rsidRPr="00D93BDF" w:rsidRDefault="00D93BDF" w:rsidP="00D93BDF">
      <w:pPr>
        <w:spacing w:after="120" w:line="276" w:lineRule="auto"/>
        <w:jc w:val="both"/>
        <w:rPr>
          <w:rFonts w:ascii="Verdana" w:eastAsia="Calibri" w:hAnsi="Verdana" w:cs="Arial"/>
          <w:noProof/>
          <w:color w:val="000000"/>
          <w:lang w:val="es-ES_tradnl"/>
        </w:rPr>
      </w:pPr>
      <w:r w:rsidRPr="00D93BDF">
        <w:rPr>
          <w:rFonts w:ascii="Verdana" w:eastAsia="Calibri" w:hAnsi="Verdana" w:cs="Arial"/>
          <w:noProof/>
          <w:color w:val="000000"/>
          <w:lang w:val="es-ES_tradnl"/>
        </w:rPr>
        <w:t xml:space="preserve">vii. En el capítulo IV del “documento base o pliego tipo” de selección abreviada de obra pública de infraestructura social, se indican los criterios de evaluación, asignación de puntaje y criterios de desempate a aplicarse en el correspondiente proceso de selección, señalándose que la entidad calificará las ofertas que cumplieron los requisitos habilitantes con los siguientes puntajes máximos: i) oferta económica (49,5 puntos), ii) factor de calidad (30 puntos), iii) apoyo a la industria nacional (20 puntos), iv) vinculación de personas con discapacidad (1 punto), v) emprendimientos y empreas de mujeres (0,25 puntos) y vi) mipyme (0,25 puntos), para un total 100 puntos. </w:t>
      </w:r>
    </w:p>
    <w:p w14:paraId="10D920AE" w14:textId="77777777" w:rsidR="00D93BDF" w:rsidRPr="00D93BDF" w:rsidRDefault="00D93BDF" w:rsidP="00D93BDF">
      <w:pPr>
        <w:tabs>
          <w:tab w:val="left" w:pos="426"/>
        </w:tabs>
        <w:spacing w:after="120" w:line="276" w:lineRule="auto"/>
        <w:jc w:val="both"/>
        <w:rPr>
          <w:rFonts w:ascii="Verdana" w:eastAsia="Calibri" w:hAnsi="Verdana" w:cs="Arial"/>
          <w:noProof/>
          <w:lang w:val="es-ES_tradnl"/>
        </w:rPr>
      </w:pPr>
      <w:r w:rsidRPr="00D93BDF">
        <w:rPr>
          <w:rFonts w:ascii="Verdana" w:eastAsia="Calibri" w:hAnsi="Verdana" w:cs="Arial"/>
          <w:noProof/>
          <w:lang w:val="es-ES"/>
        </w:rPr>
        <w:tab/>
      </w:r>
      <w:r w:rsidRPr="00D93BDF">
        <w:rPr>
          <w:rFonts w:ascii="Verdana" w:eastAsia="Calibri" w:hAnsi="Verdana" w:cs="Arial"/>
          <w:noProof/>
          <w:lang w:val="es-ES"/>
        </w:rPr>
        <w:tab/>
        <w:t xml:space="preserve">El numeral 4.2. “Factor de calidad” del documento base, establece que de acuerdo con la justificación consignada en el estudio del sector, estudios y documentos previos, la entidad contratante deberá elegir una o algunas de las siguientes tres (3) opciones previstas para evaluar el factor calidad, siendo estas: i) implementación del programa de gerencia de proyectos; ii) disponibilidad y condiciones funcionales de la maquinaria de obra; y iii) presentación de un plan de calidad. </w:t>
      </w:r>
    </w:p>
    <w:p w14:paraId="74C75F1E" w14:textId="77777777" w:rsidR="00D93BDF" w:rsidRPr="00D93BDF" w:rsidRDefault="00D93BDF" w:rsidP="00D93BDF">
      <w:pPr>
        <w:tabs>
          <w:tab w:val="left" w:pos="426"/>
        </w:tabs>
        <w:spacing w:after="120" w:line="276" w:lineRule="auto"/>
        <w:ind w:firstLine="709"/>
        <w:jc w:val="both"/>
        <w:rPr>
          <w:rFonts w:ascii="Verdana" w:eastAsia="Calibri" w:hAnsi="Verdana" w:cs="Arial"/>
          <w:noProof/>
          <w:lang w:val="es-ES"/>
        </w:rPr>
      </w:pPr>
      <w:r w:rsidRPr="00D93BDF">
        <w:rPr>
          <w:rFonts w:ascii="Verdana" w:eastAsia="Calibri" w:hAnsi="Verdana" w:cs="Arial"/>
          <w:noProof/>
          <w:lang w:val="es-ES"/>
        </w:rPr>
        <w:t>Las opciones mencionadas se identifican en el documento base resaltadas en gris y entre corchetes, aspecto que indica la libertad de la entidad para efectuar la selección de la o las opciones que considerará para la asignación del puntaje por el factor calidad.</w:t>
      </w:r>
    </w:p>
    <w:p w14:paraId="1F98ECAC" w14:textId="77777777" w:rsidR="00D93BDF" w:rsidRPr="00D93BDF" w:rsidRDefault="00D93BDF" w:rsidP="00D93BDF">
      <w:pPr>
        <w:tabs>
          <w:tab w:val="left" w:pos="426"/>
        </w:tabs>
        <w:spacing w:after="120" w:line="276" w:lineRule="auto"/>
        <w:ind w:firstLine="709"/>
        <w:jc w:val="both"/>
        <w:rPr>
          <w:rFonts w:ascii="Verdana" w:eastAsia="Calibri" w:hAnsi="Verdana" w:cs="Arial"/>
          <w:noProof/>
          <w:lang w:val="es-ES"/>
        </w:rPr>
      </w:pPr>
      <w:r w:rsidRPr="00D93BDF">
        <w:rPr>
          <w:rFonts w:ascii="Verdana" w:eastAsia="Calibri" w:hAnsi="Verdana" w:cs="Arial"/>
          <w:noProof/>
          <w:lang w:val="es-ES"/>
        </w:rPr>
        <w:t xml:space="preserve">De igual forma, precisa el numeral 4.2 que la entidad debe elegir una o varias de las opciones previstas para otorgar el puntaje del factor de calidad, pero que, en todo caso, la distribución del puntaje asignado no puede ser superior a 10 puntos, y no podrá incluir criterios, documentos, compromisos o aspectos distintos a los señalados como parte de la valoración de ese factor. </w:t>
      </w:r>
    </w:p>
    <w:p w14:paraId="48BC562E" w14:textId="77777777" w:rsidR="00D93BDF" w:rsidRPr="00D93BDF" w:rsidRDefault="00D93BDF" w:rsidP="00D93BDF">
      <w:pPr>
        <w:tabs>
          <w:tab w:val="left" w:pos="426"/>
        </w:tabs>
        <w:spacing w:after="120" w:line="276" w:lineRule="auto"/>
        <w:ind w:firstLine="709"/>
        <w:jc w:val="both"/>
        <w:rPr>
          <w:rFonts w:ascii="Verdana" w:eastAsia="Aptos" w:hAnsi="Verdana" w:cs="Times New Roman"/>
          <w:kern w:val="2"/>
          <w14:ligatures w14:val="standardContextual"/>
        </w:rPr>
      </w:pPr>
      <w:r w:rsidRPr="00D93BDF">
        <w:rPr>
          <w:rFonts w:ascii="Verdana" w:eastAsia="Aptos" w:hAnsi="Verdana" w:cs="Times New Roman"/>
          <w:kern w:val="2"/>
          <w14:ligatures w14:val="standardContextual"/>
        </w:rPr>
        <w:lastRenderedPageBreak/>
        <w:t xml:space="preserve">Con fundamento en lo anterior, es preciso señalar que, si bien la entidad  que adelanta el proceso de selección con los documentos tipo de selección abreviada de menor cuantía de obra pública de infraestructura social, cuenta con la facultad de escoger, de entre las tres (3) opciones previstas en el numeral 4.2 del documento base –esto es, la implementación del programa de gerencia de proyectos, la disponibilidad y condiciones funcionales de la maquinaria de obra, y la presentación de un plan de calidad–, aquella o aquellas que resulten más pertinentes de acuerdo con la justificación consignada en el estudio del sector y en los estudios y documentos previos, esta discrecionalidad no se extiende a la posibilidad de prescindir por completo del factor de calidad dentro de la evaluación de las ofertas. </w:t>
      </w:r>
    </w:p>
    <w:p w14:paraId="7C42F86D" w14:textId="77777777" w:rsidR="00D93BDF" w:rsidRPr="00D93BDF" w:rsidRDefault="00D93BDF" w:rsidP="00D93BDF">
      <w:pPr>
        <w:tabs>
          <w:tab w:val="left" w:pos="426"/>
        </w:tabs>
        <w:spacing w:after="120" w:line="276" w:lineRule="auto"/>
        <w:ind w:firstLine="709"/>
        <w:jc w:val="both"/>
        <w:rPr>
          <w:rFonts w:ascii="Verdana" w:eastAsia="Calibri" w:hAnsi="Verdana" w:cs="Arial"/>
          <w:noProof/>
          <w:lang w:val="es-ES"/>
        </w:rPr>
      </w:pPr>
      <w:r w:rsidRPr="00D93BDF">
        <w:rPr>
          <w:rFonts w:ascii="Verdana" w:eastAsia="Aptos" w:hAnsi="Verdana" w:cs="Times New Roman"/>
          <w:kern w:val="2"/>
          <w14:ligatures w14:val="standardContextual"/>
        </w:rPr>
        <w:t>En efecto, el factor de calidad no constituye un criterio opcional o de libre inclusión para la entidad, en la medida en que el propio documento tipo le impone la obligación de seleccionar, cuando menos, una de las opciones señaladas, sin que exista la alternativa de omitir su incorporación en el proceso de selección. Lo anterior implica que la libertad de configuración de la entidad se limita exclusivamente a determinar cuál o cuáles de las opciones previstas resultan aplicables a las particularidades del objeto contractual, mas no a decidir si el factor de calidad debe o no hacer parte de los criterios de evaluación y asignación de puntaje, aspecto que resulta imperativo en los términos del numeral 4.2 del documento base.</w:t>
      </w:r>
    </w:p>
    <w:p w14:paraId="30416602" w14:textId="77777777" w:rsidR="00D93BDF" w:rsidRPr="00D93BDF" w:rsidRDefault="00D93BDF" w:rsidP="00D93BDF">
      <w:pPr>
        <w:tabs>
          <w:tab w:val="left" w:pos="426"/>
        </w:tabs>
        <w:spacing w:after="0" w:line="276" w:lineRule="auto"/>
        <w:ind w:firstLine="709"/>
        <w:jc w:val="both"/>
        <w:rPr>
          <w:rFonts w:ascii="Verdana" w:eastAsia="Calibri" w:hAnsi="Verdana" w:cs="Arial"/>
          <w:noProof/>
          <w:lang w:val="es-ES"/>
        </w:rPr>
      </w:pPr>
      <w:r w:rsidRPr="00D93BDF">
        <w:rPr>
          <w:rFonts w:ascii="Verdana" w:eastAsia="Calibri" w:hAnsi="Verdana" w:cs="Arial"/>
          <w:noProof/>
          <w:lang w:val="es-ES"/>
        </w:rPr>
        <w:t>Adicionalmente, el numeral indicado señala que, las entidades estatales deberán consultar el Registro Nacional de Obras Civiles Inconclusas, de que trata la Ley 2020 de 2020, y descontar un (1) punto de la sumatoria obtenida en relación con el factor de calidad al proponente que cuente con alguna anotación vigente</w:t>
      </w:r>
      <w:r w:rsidRPr="00D93BDF">
        <w:rPr>
          <w:rFonts w:ascii="Verdana" w:eastAsia="Calibri" w:hAnsi="Verdana" w:cs="Arial"/>
          <w:noProof/>
          <w:vertAlign w:val="superscript"/>
          <w:lang w:val="es-ES"/>
        </w:rPr>
        <w:footnoteReference w:id="14"/>
      </w:r>
      <w:r w:rsidRPr="00D93BDF">
        <w:rPr>
          <w:rFonts w:ascii="Verdana" w:eastAsia="Calibri" w:hAnsi="Verdana" w:cs="Arial"/>
          <w:noProof/>
          <w:lang w:val="es-ES"/>
        </w:rPr>
        <w:t>.</w:t>
      </w:r>
    </w:p>
    <w:p w14:paraId="57F330AB" w14:textId="77777777" w:rsidR="00D93BDF" w:rsidRPr="00D93BDF" w:rsidRDefault="00D93BDF" w:rsidP="00D93BDF">
      <w:pPr>
        <w:spacing w:after="0" w:line="276" w:lineRule="auto"/>
        <w:jc w:val="both"/>
        <w:rPr>
          <w:rFonts w:ascii="Verdana" w:eastAsia="Calibri" w:hAnsi="Verdana" w:cs="Arial"/>
          <w:bCs/>
          <w:color w:val="000000"/>
          <w:kern w:val="2"/>
          <w14:ligatures w14:val="standardContextual"/>
        </w:rPr>
      </w:pPr>
    </w:p>
    <w:p w14:paraId="279EF713" w14:textId="77777777" w:rsidR="00D93BDF" w:rsidRPr="00D93BDF" w:rsidRDefault="00D93BDF" w:rsidP="00D93BDF">
      <w:pPr>
        <w:spacing w:after="120" w:line="276" w:lineRule="auto"/>
        <w:jc w:val="both"/>
        <w:rPr>
          <w:rFonts w:ascii="Verdana" w:eastAsia="Aptos" w:hAnsi="Verdana" w:cs="Times New Roman"/>
          <w:kern w:val="2"/>
          <w14:ligatures w14:val="standardContextual"/>
        </w:rPr>
      </w:pPr>
      <w:proofErr w:type="spellStart"/>
      <w:r w:rsidRPr="00D93BDF">
        <w:rPr>
          <w:rFonts w:ascii="Verdana" w:eastAsia="Calibri" w:hAnsi="Verdana" w:cs="Arial"/>
          <w:bCs/>
          <w:color w:val="000000"/>
          <w:kern w:val="2"/>
          <w14:ligatures w14:val="standardContextual"/>
        </w:rPr>
        <w:t>viii</w:t>
      </w:r>
      <w:proofErr w:type="spellEnd"/>
      <w:r w:rsidRPr="00D93BDF">
        <w:rPr>
          <w:rFonts w:ascii="Verdana" w:eastAsia="Calibri" w:hAnsi="Verdana" w:cs="Arial"/>
          <w:bCs/>
          <w:color w:val="000000"/>
          <w:kern w:val="2"/>
          <w14:ligatures w14:val="standardContextual"/>
        </w:rPr>
        <w:t xml:space="preserve">. Al margen de la explicación precedente debe advertirse que el análisis requerido para resolver problemas específicos en torno a la gestión contractual de las entidades públicas debe ser realizado por quienes tengan interés en ello, </w:t>
      </w:r>
      <w:r w:rsidRPr="00D93BDF">
        <w:rPr>
          <w:rFonts w:ascii="Verdana" w:eastAsia="Calibri" w:hAnsi="Verdana" w:cs="Arial"/>
          <w:bCs/>
          <w:color w:val="000000"/>
          <w:kern w:val="2"/>
          <w14:ligatures w14:val="standardContextual"/>
        </w:rPr>
        <w:lastRenderedPageBreak/>
        <w:t>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8795D69" w14:textId="77777777" w:rsidR="00D93BDF" w:rsidRPr="00D93BDF" w:rsidRDefault="00D93BDF" w:rsidP="00D93BDF">
      <w:pPr>
        <w:spacing w:after="0" w:line="276" w:lineRule="auto"/>
        <w:ind w:firstLine="708"/>
        <w:jc w:val="both"/>
        <w:rPr>
          <w:rFonts w:ascii="Verdana" w:eastAsia="Calibri" w:hAnsi="Verdana" w:cs="Arial"/>
          <w:bCs/>
          <w:color w:val="000000"/>
          <w:kern w:val="2"/>
          <w14:ligatures w14:val="standardContextual"/>
        </w:rPr>
      </w:pPr>
      <w:r w:rsidRPr="00D93BDF">
        <w:rPr>
          <w:rFonts w:ascii="Verdana" w:eastAsia="Calibri" w:hAnsi="Verdana" w:cs="Arial"/>
          <w:bCs/>
          <w:color w:val="000000"/>
          <w:kern w:val="2"/>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3013FE4" w14:textId="77777777" w:rsidR="00D93BDF" w:rsidRPr="00D93BDF" w:rsidRDefault="00D93BDF" w:rsidP="00D93BDF">
      <w:pPr>
        <w:spacing w:after="0" w:line="276" w:lineRule="auto"/>
        <w:jc w:val="both"/>
        <w:rPr>
          <w:rFonts w:ascii="Verdana" w:eastAsia="Calibri" w:hAnsi="Verdana" w:cs="Arial"/>
          <w:lang w:eastAsia="es-ES_tradnl"/>
        </w:rPr>
      </w:pPr>
    </w:p>
    <w:p w14:paraId="61FCD0E3" w14:textId="77777777" w:rsidR="00D93BDF" w:rsidRPr="00D93BDF" w:rsidRDefault="00D93BDF" w:rsidP="00D93BDF">
      <w:pPr>
        <w:tabs>
          <w:tab w:val="left" w:pos="142"/>
          <w:tab w:val="left" w:pos="284"/>
        </w:tabs>
        <w:spacing w:after="0" w:line="276" w:lineRule="auto"/>
        <w:jc w:val="both"/>
        <w:rPr>
          <w:rFonts w:ascii="Verdana" w:eastAsia="Century Gothic" w:hAnsi="Verdana" w:cs="Century Gothic"/>
          <w:b/>
          <w:bCs/>
          <w:lang w:val="es-ES_tradnl"/>
        </w:rPr>
      </w:pPr>
      <w:r w:rsidRPr="00D93BDF">
        <w:rPr>
          <w:rFonts w:ascii="Verdana" w:eastAsia="Century Gothic" w:hAnsi="Verdana" w:cs="Century Gothic"/>
          <w:b/>
          <w:bCs/>
          <w:lang w:val="es-ES_tradnl"/>
        </w:rPr>
        <w:t>4. Referencias normativas, jurisprudenciales y otras fuentes:</w:t>
      </w:r>
    </w:p>
    <w:p w14:paraId="3AE6841C" w14:textId="77777777" w:rsidR="00D93BDF" w:rsidRPr="00D93BDF" w:rsidRDefault="00D93BDF" w:rsidP="00D93BDF">
      <w:pPr>
        <w:spacing w:after="0"/>
        <w:ind w:left="-15840"/>
        <w:jc w:val="both"/>
        <w:rPr>
          <w:rFonts w:ascii="Verdana" w:eastAsia="Calibri" w:hAnsi="Verdana" w:cs="Arial"/>
          <w:b/>
          <w:bCs/>
        </w:rPr>
      </w:pPr>
      <w:r w:rsidRPr="00D93BDF">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D93BDF" w:rsidRPr="00D93BDF" w14:paraId="101EF592" w14:textId="77777777" w:rsidTr="00E75FD1">
        <w:trPr>
          <w:trHeight w:val="870"/>
        </w:trPr>
        <w:tc>
          <w:tcPr>
            <w:tcW w:w="8647" w:type="dxa"/>
            <w:tcBorders>
              <w:top w:val="dotted" w:sz="4" w:space="0" w:color="auto"/>
              <w:left w:val="dotted" w:sz="4" w:space="0" w:color="auto"/>
              <w:bottom w:val="dotted" w:sz="4" w:space="0" w:color="auto"/>
              <w:right w:val="dotted" w:sz="4" w:space="0" w:color="auto"/>
            </w:tcBorders>
          </w:tcPr>
          <w:p w14:paraId="38670961" w14:textId="77777777" w:rsidR="00D93BDF" w:rsidRPr="00D93BDF" w:rsidRDefault="00D93BDF" w:rsidP="00D93BDF">
            <w:pPr>
              <w:contextualSpacing/>
              <w:jc w:val="both"/>
              <w:rPr>
                <w:rFonts w:ascii="Verdana" w:eastAsia="Calibri" w:hAnsi="Verdana" w:cs="Arial"/>
                <w:bCs/>
              </w:rPr>
            </w:pPr>
          </w:p>
          <w:p w14:paraId="63DF9498" w14:textId="77777777" w:rsidR="00D93BDF" w:rsidRPr="00D93BDF" w:rsidRDefault="00D93BDF" w:rsidP="00D93BDF">
            <w:pPr>
              <w:widowControl w:val="0"/>
              <w:numPr>
                <w:ilvl w:val="0"/>
                <w:numId w:val="16"/>
              </w:numPr>
              <w:autoSpaceDE w:val="0"/>
              <w:autoSpaceDN w:val="0"/>
              <w:spacing w:line="276" w:lineRule="auto"/>
              <w:jc w:val="both"/>
              <w:rPr>
                <w:rFonts w:ascii="Verdana" w:eastAsia="Calibri" w:hAnsi="Verdana" w:cs="Arial"/>
                <w:lang w:val="es-ES_tradnl"/>
              </w:rPr>
            </w:pPr>
            <w:r w:rsidRPr="00D93BDF">
              <w:rPr>
                <w:rFonts w:ascii="Verdana" w:eastAsia="Calibri" w:hAnsi="Verdana" w:cs="Arial"/>
                <w:lang w:val="es-ES_tradnl"/>
              </w:rPr>
              <w:t xml:space="preserve">Ley 2022 de 2020, artículo 1. </w:t>
            </w:r>
          </w:p>
          <w:p w14:paraId="13547A91" w14:textId="77777777" w:rsidR="00D93BDF" w:rsidRPr="00D93BDF" w:rsidRDefault="00D93BDF" w:rsidP="00D93BDF">
            <w:pPr>
              <w:widowControl w:val="0"/>
              <w:numPr>
                <w:ilvl w:val="0"/>
                <w:numId w:val="16"/>
              </w:numPr>
              <w:autoSpaceDE w:val="0"/>
              <w:autoSpaceDN w:val="0"/>
              <w:spacing w:line="276" w:lineRule="auto"/>
              <w:jc w:val="both"/>
              <w:rPr>
                <w:rFonts w:ascii="Verdana" w:eastAsia="Calibri" w:hAnsi="Verdana" w:cs="Arial"/>
              </w:rPr>
            </w:pPr>
            <w:r w:rsidRPr="00D93BDF">
              <w:rPr>
                <w:rFonts w:ascii="Verdana" w:eastAsia="Calibri" w:hAnsi="Verdana" w:cs="Arial"/>
              </w:rPr>
              <w:t>Ley 1150 de 2007, artículo 2.</w:t>
            </w:r>
          </w:p>
          <w:p w14:paraId="2AEEBD02" w14:textId="77777777" w:rsidR="00D93BDF" w:rsidRPr="00D93BDF" w:rsidRDefault="00D93BDF" w:rsidP="00D93BDF">
            <w:pPr>
              <w:widowControl w:val="0"/>
              <w:numPr>
                <w:ilvl w:val="0"/>
                <w:numId w:val="16"/>
              </w:numPr>
              <w:autoSpaceDE w:val="0"/>
              <w:autoSpaceDN w:val="0"/>
              <w:spacing w:line="276" w:lineRule="auto"/>
              <w:contextualSpacing/>
              <w:jc w:val="both"/>
              <w:rPr>
                <w:rFonts w:ascii="Verdana" w:eastAsia="Calibri" w:hAnsi="Verdana" w:cs="Arial"/>
              </w:rPr>
            </w:pPr>
            <w:r w:rsidRPr="00D93BDF">
              <w:rPr>
                <w:rFonts w:ascii="Verdana" w:eastAsia="Calibri" w:hAnsi="Verdana" w:cs="Arial"/>
                <w:lang w:val="es-ES_tradnl"/>
              </w:rPr>
              <w:t xml:space="preserve">Documentos Tipo. Disponibles en: </w:t>
            </w:r>
            <w:hyperlink r:id="rId11" w:history="1">
              <w:r w:rsidRPr="00D93BDF">
                <w:rPr>
                  <w:rFonts w:ascii="Verdana" w:eastAsia="Calibri" w:hAnsi="Verdana" w:cs="Arial"/>
                  <w:color w:val="0000FF"/>
                  <w:u w:val="single"/>
                  <w:lang w:val="es-ES_tradnl"/>
                </w:rPr>
                <w:t>https://www.colombiacompra.gov.co/documentos-tipo/documentos-tipo</w:t>
              </w:r>
            </w:hyperlink>
            <w:r w:rsidRPr="00D93BDF">
              <w:rPr>
                <w:rFonts w:ascii="Verdana" w:eastAsia="Calibri" w:hAnsi="Verdana" w:cs="Arial"/>
                <w:lang w:val="es-ES_tradnl"/>
              </w:rPr>
              <w:t>.</w:t>
            </w:r>
          </w:p>
          <w:p w14:paraId="23D5AF46" w14:textId="77777777" w:rsidR="00D93BDF" w:rsidRPr="00D93BDF" w:rsidRDefault="00D93BDF" w:rsidP="00D93BDF">
            <w:pPr>
              <w:widowControl w:val="0"/>
              <w:numPr>
                <w:ilvl w:val="0"/>
                <w:numId w:val="16"/>
              </w:numPr>
              <w:autoSpaceDE w:val="0"/>
              <w:autoSpaceDN w:val="0"/>
              <w:spacing w:line="276" w:lineRule="auto"/>
              <w:jc w:val="both"/>
              <w:rPr>
                <w:rFonts w:ascii="Verdana" w:eastAsia="Calibri" w:hAnsi="Verdana" w:cs="Arial"/>
                <w:lang w:val="es-ES_tradnl"/>
              </w:rPr>
            </w:pPr>
            <w:r w:rsidRPr="00D93BDF">
              <w:rPr>
                <w:rFonts w:ascii="Verdana" w:eastAsia="Calibri" w:hAnsi="Verdana" w:cs="Arial"/>
                <w:lang w:val="es-ES_tradnl"/>
              </w:rPr>
              <w:t xml:space="preserve">ALESSANDRI RODRÍGUEZ, Arturo. De los contratos. Santiago de Chile: Editorial Jurídica EDIAR-CONOCSUR LTDA, 1988. p. 182. </w:t>
            </w:r>
          </w:p>
          <w:p w14:paraId="57B1D716" w14:textId="77777777" w:rsidR="00D93BDF" w:rsidRPr="00D93BDF" w:rsidRDefault="00D93BDF" w:rsidP="00D93BDF">
            <w:pPr>
              <w:widowControl w:val="0"/>
              <w:numPr>
                <w:ilvl w:val="0"/>
                <w:numId w:val="16"/>
              </w:numPr>
              <w:autoSpaceDE w:val="0"/>
              <w:autoSpaceDN w:val="0"/>
              <w:spacing w:line="276" w:lineRule="auto"/>
              <w:jc w:val="both"/>
              <w:rPr>
                <w:rFonts w:ascii="Verdana" w:eastAsia="Calibri" w:hAnsi="Verdana" w:cs="Arial"/>
                <w:lang w:val="es-ES"/>
              </w:rPr>
            </w:pPr>
            <w:r w:rsidRPr="00D93BDF">
              <w:rPr>
                <w:rFonts w:ascii="Verdana" w:eastAsia="Calibri" w:hAnsi="Verdana" w:cs="Arial"/>
                <w:lang w:val="es-ES"/>
              </w:rPr>
              <w:t>OSPINA MENA, Jesús Marino. Régimen de la Contratación Estatal. Un salto a la contratación liquida. Bogotá: Dike, 2020. p. 168.</w:t>
            </w:r>
          </w:p>
          <w:p w14:paraId="5C954BD8" w14:textId="77777777" w:rsidR="00D93BDF" w:rsidRPr="00D93BDF" w:rsidRDefault="00D93BDF" w:rsidP="00D93BDF">
            <w:pPr>
              <w:widowControl w:val="0"/>
              <w:numPr>
                <w:ilvl w:val="0"/>
                <w:numId w:val="16"/>
              </w:numPr>
              <w:autoSpaceDE w:val="0"/>
              <w:autoSpaceDN w:val="0"/>
              <w:spacing w:line="276" w:lineRule="auto"/>
              <w:jc w:val="both"/>
              <w:rPr>
                <w:rFonts w:ascii="Verdana" w:eastAsia="Calibri" w:hAnsi="Verdana" w:cs="Arial"/>
                <w:lang w:val="es-ES_tradnl"/>
              </w:rPr>
            </w:pPr>
            <w:r w:rsidRPr="00D93BDF">
              <w:rPr>
                <w:rFonts w:ascii="Verdana" w:eastAsia="Calibri" w:hAnsi="Verdana" w:cs="Arial"/>
                <w:lang w:val="es-ES_tradnl"/>
              </w:rPr>
              <w:t>CONSEJO DE ESTADO. Sala de Consulta y Servicio Civil. Concepto del 5 de septiembre de 2018. Rad. 2.386. C.P. Edgar González López.</w:t>
            </w:r>
          </w:p>
          <w:p w14:paraId="668B8A0A" w14:textId="77777777" w:rsidR="00D93BDF" w:rsidRPr="00D93BDF" w:rsidRDefault="00D93BDF" w:rsidP="00D93BDF">
            <w:pPr>
              <w:widowControl w:val="0"/>
              <w:numPr>
                <w:ilvl w:val="0"/>
                <w:numId w:val="16"/>
              </w:numPr>
              <w:autoSpaceDE w:val="0"/>
              <w:autoSpaceDN w:val="0"/>
              <w:spacing w:line="276" w:lineRule="auto"/>
              <w:jc w:val="both"/>
              <w:rPr>
                <w:rFonts w:ascii="Verdana" w:eastAsia="Calibri" w:hAnsi="Verdana" w:cs="Arial"/>
                <w:lang w:val="es-ES_tradnl"/>
              </w:rPr>
            </w:pPr>
            <w:r w:rsidRPr="00D93BDF">
              <w:rPr>
                <w:rFonts w:ascii="Verdana" w:eastAsia="Calibri" w:hAnsi="Verdana" w:cs="Arial"/>
                <w:lang w:val="es-ES_tradnl"/>
              </w:rPr>
              <w:t>VELÁSQUEZ JARAMILLO, Luis Guillermo. Bienes. Duodécima edición. Bogotá: Temis, 2010. p. 22.</w:t>
            </w:r>
          </w:p>
          <w:p w14:paraId="123B830B" w14:textId="77777777" w:rsidR="00D93BDF" w:rsidRPr="00D93BDF" w:rsidRDefault="00D93BDF" w:rsidP="00D93BDF">
            <w:pPr>
              <w:widowControl w:val="0"/>
              <w:numPr>
                <w:ilvl w:val="0"/>
                <w:numId w:val="16"/>
              </w:numPr>
              <w:autoSpaceDE w:val="0"/>
              <w:autoSpaceDN w:val="0"/>
              <w:spacing w:line="276" w:lineRule="auto"/>
              <w:jc w:val="both"/>
              <w:rPr>
                <w:rFonts w:ascii="Verdana" w:eastAsia="Calibri" w:hAnsi="Verdana" w:cs="Arial"/>
                <w:lang w:val="es-ES_tradnl"/>
              </w:rPr>
            </w:pPr>
            <w:r w:rsidRPr="00D93BDF">
              <w:rPr>
                <w:rFonts w:ascii="Verdana" w:eastAsia="Calibri" w:hAnsi="Verdana" w:cs="Arial"/>
                <w:lang w:val="es-ES_tradnl"/>
              </w:rPr>
              <w:t>MAZEUD, Henri, MAZEUD, León y MAZEUD, Jean. Lecciones de derecho civil. Parte Primera. Volumen I. Buenos Aires: EJEA, 1976. p. 305-306.</w:t>
            </w:r>
          </w:p>
        </w:tc>
      </w:tr>
    </w:tbl>
    <w:p w14:paraId="0EBF9AD7" w14:textId="77777777" w:rsidR="00D93BDF" w:rsidRPr="00D93BDF" w:rsidRDefault="00D93BDF" w:rsidP="00D93BDF">
      <w:pPr>
        <w:tabs>
          <w:tab w:val="left" w:pos="142"/>
          <w:tab w:val="left" w:pos="284"/>
        </w:tabs>
        <w:spacing w:after="0" w:line="276" w:lineRule="auto"/>
        <w:jc w:val="both"/>
        <w:rPr>
          <w:rFonts w:ascii="Verdana" w:eastAsia="Calibri" w:hAnsi="Verdana" w:cs="Arial"/>
        </w:rPr>
      </w:pPr>
    </w:p>
    <w:p w14:paraId="67A3D171" w14:textId="77777777" w:rsidR="00D93BDF" w:rsidRPr="00D93BDF" w:rsidRDefault="00D93BDF" w:rsidP="00D93BDF">
      <w:pPr>
        <w:tabs>
          <w:tab w:val="left" w:pos="142"/>
          <w:tab w:val="left" w:pos="284"/>
        </w:tabs>
        <w:spacing w:after="0" w:line="276" w:lineRule="auto"/>
        <w:jc w:val="both"/>
        <w:rPr>
          <w:rFonts w:ascii="Verdana" w:eastAsia="Century Gothic" w:hAnsi="Verdana" w:cs="Century Gothic"/>
          <w:b/>
          <w:bCs/>
          <w:lang w:val="es-ES"/>
        </w:rPr>
      </w:pPr>
      <w:r w:rsidRPr="00D93BDF">
        <w:rPr>
          <w:rFonts w:ascii="Verdana" w:eastAsia="Calibri" w:hAnsi="Verdana" w:cs="Arial"/>
          <w:b/>
          <w:bCs/>
        </w:rPr>
        <w:t>5</w:t>
      </w:r>
      <w:r w:rsidRPr="00D93BDF">
        <w:rPr>
          <w:rFonts w:ascii="Verdana" w:eastAsia="Calibri" w:hAnsi="Verdana" w:cs="Arial"/>
        </w:rPr>
        <w:t>.</w:t>
      </w:r>
      <w:r w:rsidRPr="00D93BDF">
        <w:rPr>
          <w:rFonts w:ascii="Verdana" w:eastAsia="Century Gothic" w:hAnsi="Verdana" w:cs="Century Gothic"/>
          <w:b/>
          <w:bCs/>
          <w:lang w:val="es-ES"/>
        </w:rPr>
        <w:t>Doctrina de la Agencia Nacional de Contratación Pública:</w:t>
      </w:r>
    </w:p>
    <w:p w14:paraId="12A6C3C1" w14:textId="77777777" w:rsidR="00D93BDF" w:rsidRPr="00D93BDF" w:rsidRDefault="00D93BDF" w:rsidP="00D93BDF">
      <w:pPr>
        <w:spacing w:after="0" w:line="276" w:lineRule="auto"/>
        <w:jc w:val="both"/>
        <w:rPr>
          <w:rFonts w:ascii="Verdana" w:eastAsia="Calibri" w:hAnsi="Verdana" w:cs="Arial"/>
          <w:kern w:val="2"/>
          <w:shd w:val="clear" w:color="auto" w:fill="FFFFFF"/>
          <w:lang w:val="es-ES"/>
          <w14:ligatures w14:val="standardContextual"/>
        </w:rPr>
      </w:pPr>
    </w:p>
    <w:p w14:paraId="22B08594" w14:textId="77777777" w:rsidR="00D93BDF" w:rsidRPr="00D93BDF" w:rsidRDefault="00D93BDF" w:rsidP="00D93BDF">
      <w:pPr>
        <w:spacing w:after="0" w:line="276" w:lineRule="auto"/>
        <w:jc w:val="both"/>
        <w:rPr>
          <w:rFonts w:ascii="Verdana" w:eastAsia="Calibri" w:hAnsi="Verdana" w:cs="Arial"/>
          <w:shd w:val="clear" w:color="auto" w:fill="FFFFFF"/>
          <w:lang w:val="es-ES" w:eastAsia="es-MX"/>
        </w:rPr>
      </w:pPr>
      <w:r w:rsidRPr="00D93BDF">
        <w:rPr>
          <w:rFonts w:ascii="Verdana" w:eastAsia="Calibri" w:hAnsi="Verdana" w:cs="Arial"/>
          <w:shd w:val="clear" w:color="auto" w:fill="FFFFFF"/>
          <w:lang w:val="es-ES" w:eastAsia="es-MX"/>
        </w:rPr>
        <w:t>La Agencia Nacional de Contratación Pública – Colombia Compra Eficiente se pronunció</w:t>
      </w:r>
      <w:r w:rsidRPr="00D93BDF">
        <w:rPr>
          <w:rFonts w:ascii="Verdana" w:eastAsia="Calibri" w:hAnsi="Verdana" w:cs="Times New Roman"/>
          <w:lang w:eastAsia="es-MX"/>
        </w:rPr>
        <w:t xml:space="preserve"> </w:t>
      </w:r>
      <w:r w:rsidRPr="00D93BDF">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D93BDF">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C-682 del 22 de mayo de 2026, C-754 del 17 de junio de 2026, C-1048 del 5 de agosto de 2026 entre otros. </w:t>
      </w:r>
    </w:p>
    <w:p w14:paraId="690136A9" w14:textId="77777777" w:rsidR="00D93BDF" w:rsidRPr="00D93BDF" w:rsidRDefault="00D93BDF" w:rsidP="00D93BDF">
      <w:pPr>
        <w:spacing w:after="0" w:line="240" w:lineRule="auto"/>
        <w:jc w:val="both"/>
        <w:rPr>
          <w:rFonts w:ascii="Verdana" w:eastAsia="Calibri" w:hAnsi="Verdana" w:cs="Arial"/>
          <w:color w:val="000000"/>
          <w:shd w:val="clear" w:color="auto" w:fill="FFFFFF"/>
          <w:lang w:val="es-ES" w:eastAsia="es-MX"/>
        </w:rPr>
      </w:pPr>
    </w:p>
    <w:p w14:paraId="6E9ADE90" w14:textId="77777777" w:rsidR="00D93BDF" w:rsidRPr="00D93BDF" w:rsidRDefault="00D93BDF" w:rsidP="00D93BDF">
      <w:pPr>
        <w:spacing w:after="0" w:line="276" w:lineRule="auto"/>
        <w:jc w:val="both"/>
        <w:rPr>
          <w:rFonts w:ascii="Verdana" w:eastAsia="Calibri" w:hAnsi="Verdana" w:cs="Arial"/>
          <w:kern w:val="2"/>
          <w:shd w:val="clear" w:color="auto" w:fill="FFFFFF"/>
          <w:lang w:val="es-ES"/>
          <w14:ligatures w14:val="standardContextual"/>
        </w:rPr>
      </w:pPr>
      <w:r w:rsidRPr="00D93BDF">
        <w:rPr>
          <w:rFonts w:ascii="Verdana" w:eastAsia="Calibri" w:hAnsi="Verdana" w:cs="Arial"/>
          <w:kern w:val="2"/>
          <w:shd w:val="clear" w:color="auto" w:fill="FFFFFF"/>
          <w:lang w:val="es-ES"/>
          <w14:ligatures w14:val="standardContextual"/>
        </w:rPr>
        <w:t xml:space="preserve">Ahora bien, esta Subdirección se ha pronunciado sobre el objeto y las características del contrato de obra pública en los Conceptos 4201913000008014 del 24 de diciembre del año 2019, C-530 del 13 de agosto de 2020, C-038 del 5 de abril de 2021, C-110 del 7 de marzo de 2025 y C-915 del 15 de julio de 2025, entre otros. Igualmente, la Subdirección se ha referido a los contratos Mixtos y objetos sociales con prestaciones mixtas en los conceptos con radicados 2201913000009572 y 2201913000009588 del 24 de diciembre de 2019, C-694 del 29 de diciembre de 2021, C-440 del 2 de septiembre de 2021, C–933 de 2022, C–484 del 09 de octubre de 2024, C-864 del 11 de agosto de 2025, C-1580 del 24 de diciembre de 2025, C-365 del 8 de abril de 2026, C-386 del 23 de abril de 2026 y C-452 del 4 de mayo de 2026.  </w:t>
      </w:r>
    </w:p>
    <w:p w14:paraId="46592D1A" w14:textId="77777777" w:rsidR="00D93BDF" w:rsidRPr="00D93BDF" w:rsidRDefault="00D93BDF" w:rsidP="00D93BDF">
      <w:pPr>
        <w:spacing w:after="0" w:line="240" w:lineRule="auto"/>
        <w:jc w:val="both"/>
        <w:rPr>
          <w:rFonts w:ascii="Verdana" w:eastAsia="Calibri" w:hAnsi="Verdana" w:cs="Arial"/>
          <w:color w:val="000000"/>
          <w:shd w:val="clear" w:color="auto" w:fill="FFFFFF"/>
          <w:lang w:val="es-ES" w:eastAsia="es-MX"/>
        </w:rPr>
      </w:pPr>
    </w:p>
    <w:p w14:paraId="662422C6" w14:textId="77777777" w:rsidR="00D93BDF" w:rsidRPr="00D93BDF" w:rsidRDefault="00D93BDF" w:rsidP="00D93BDF">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D93BDF">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D93BDF">
          <w:rPr>
            <w:rFonts w:ascii="Verdana" w:eastAsia="Calibri" w:hAnsi="Verdana" w:cs="Arial"/>
            <w:color w:val="0000FF"/>
            <w:u w:val="single"/>
            <w:shd w:val="clear" w:color="auto" w:fill="FFFFFF"/>
            <w:lang w:eastAsia="es-MX"/>
          </w:rPr>
          <w:t>https://relatoria.colombiacompra.gov.co/</w:t>
        </w:r>
      </w:hyperlink>
      <w:r w:rsidRPr="00D93BDF">
        <w:rPr>
          <w:rFonts w:ascii="Verdana" w:eastAsia="Calibri" w:hAnsi="Verdana" w:cs="Arial"/>
          <w:color w:val="0000FF"/>
          <w:u w:val="single"/>
          <w:shd w:val="clear" w:color="auto" w:fill="FFFFFF"/>
          <w:lang w:eastAsia="es-MX"/>
        </w:rPr>
        <w:t> .</w:t>
      </w:r>
    </w:p>
    <w:p w14:paraId="1356E817" w14:textId="77777777" w:rsidR="00D93BDF" w:rsidRPr="00D93BDF" w:rsidRDefault="00D93BDF" w:rsidP="00D93BDF">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08126BE3" w14:textId="77777777" w:rsidR="00D93BDF" w:rsidRPr="00D93BDF" w:rsidRDefault="00D93BDF" w:rsidP="00D93BDF">
      <w:pPr>
        <w:spacing w:after="0" w:line="276" w:lineRule="auto"/>
        <w:jc w:val="both"/>
        <w:rPr>
          <w:rFonts w:ascii="Verdana" w:eastAsia="Aptos" w:hAnsi="Verdana" w:cs="Times New Roman"/>
          <w:kern w:val="2"/>
          <w14:ligatures w14:val="standardContextual"/>
        </w:rPr>
      </w:pPr>
      <w:r w:rsidRPr="00D93BDF">
        <w:rPr>
          <w:rFonts w:ascii="Verdana" w:eastAsia="Aptos" w:hAnsi="Verdana" w:cs="Times New Roman"/>
          <w:color w:val="000000"/>
          <w:kern w:val="2"/>
          <w14:ligatures w14:val="standardContextual"/>
        </w:rPr>
        <w:lastRenderedPageBreak/>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D93BDF">
        <w:rPr>
          <w:rFonts w:ascii="Verdana" w:eastAsia="Aptos" w:hAnsi="Verdana" w:cs="Times New Roman"/>
          <w:b/>
          <w:bCs/>
          <w:color w:val="000000"/>
          <w:kern w:val="2"/>
          <w14:ligatures w14:val="standardContextual"/>
        </w:rPr>
        <w:t>Guía para la Exigencia y Constitución de Garantías en los Procesos de Contratación</w:t>
      </w:r>
      <w:r w:rsidRPr="00D93BDF">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D93BDF">
          <w:rPr>
            <w:rFonts w:ascii="Verdana" w:eastAsia="Aptos" w:hAnsi="Verdana" w:cs="Times New Roman"/>
            <w:color w:val="0078D7"/>
            <w:kern w:val="2"/>
            <w:u w:val="single"/>
            <w14:ligatures w14:val="standardContextual"/>
          </w:rPr>
          <w:t>https://www.colombiacompra.gov.co/archivos/manual/guia-de-garantias-en-procesos-de-contratacion</w:t>
        </w:r>
      </w:hyperlink>
    </w:p>
    <w:p w14:paraId="45C1996A" w14:textId="77777777" w:rsidR="00D93BDF" w:rsidRPr="00D93BDF" w:rsidRDefault="00D93BDF" w:rsidP="00D93BDF">
      <w:pPr>
        <w:spacing w:after="0" w:line="276" w:lineRule="auto"/>
        <w:jc w:val="both"/>
        <w:rPr>
          <w:rFonts w:ascii="Verdana" w:eastAsia="Aptos" w:hAnsi="Verdana" w:cs="Times New Roman"/>
          <w:kern w:val="2"/>
          <w14:ligatures w14:val="standardContextual"/>
        </w:rPr>
      </w:pPr>
    </w:p>
    <w:p w14:paraId="2F2748F5" w14:textId="77777777" w:rsidR="00D93BDF" w:rsidRPr="00D93BDF" w:rsidRDefault="00D93BDF" w:rsidP="00D93BDF">
      <w:pPr>
        <w:spacing w:after="0" w:line="276" w:lineRule="auto"/>
        <w:jc w:val="both"/>
        <w:rPr>
          <w:rFonts w:ascii="Verdana" w:eastAsia="Aptos" w:hAnsi="Verdana" w:cs="Times New Roman"/>
          <w:kern w:val="2"/>
          <w14:ligatures w14:val="standardContextual"/>
        </w:rPr>
      </w:pPr>
      <w:r w:rsidRPr="00D93BDF">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D93BDF">
        <w:rPr>
          <w:rFonts w:ascii="Verdana" w:eastAsia="Aptos" w:hAnsi="Verdana" w:cs="Times New Roman"/>
          <w:b/>
          <w:bCs/>
          <w:color w:val="000000"/>
          <w:kern w:val="2"/>
          <w14:ligatures w14:val="standardContextual"/>
        </w:rPr>
        <w:t>Sistema Integral de Preferencias en favor de las personas con discapacidad</w:t>
      </w:r>
      <w:r w:rsidRPr="00D93BDF">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D93BDF">
        <w:rPr>
          <w:rFonts w:ascii="Verdana" w:eastAsia="Aptos" w:hAnsi="Verdana" w:cs="Times New Roman"/>
          <w:b/>
          <w:bCs/>
          <w:color w:val="000000"/>
          <w:kern w:val="2"/>
          <w14:ligatures w14:val="standardContextual"/>
        </w:rPr>
        <w:t>Circular Externa 003 del 12 de mayo de 2026, </w:t>
      </w:r>
      <w:r w:rsidRPr="00D93BDF">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D93BDF">
          <w:rPr>
            <w:rFonts w:ascii="Verdana" w:eastAsia="Aptos" w:hAnsi="Verdana" w:cs="Times New Roman"/>
            <w:color w:val="0078D7"/>
            <w:kern w:val="2"/>
            <w:u w:val="single"/>
            <w14:ligatures w14:val="standardContextual"/>
          </w:rPr>
          <w:t>https://www.colombiacompra.gov.co/archivos/circular/circular-externa-003-de-2026</w:t>
        </w:r>
      </w:hyperlink>
    </w:p>
    <w:p w14:paraId="1126A37E" w14:textId="77777777" w:rsidR="00D93BDF" w:rsidRPr="00D93BDF" w:rsidRDefault="00D93BDF" w:rsidP="00D93BDF">
      <w:pPr>
        <w:spacing w:after="0" w:line="276" w:lineRule="auto"/>
        <w:jc w:val="both"/>
        <w:rPr>
          <w:rFonts w:ascii="Verdana" w:eastAsia="Aptos" w:hAnsi="Verdana" w:cs="Times New Roman"/>
          <w:color w:val="000000"/>
          <w:kern w:val="2"/>
          <w14:ligatures w14:val="standardContextual"/>
        </w:rPr>
      </w:pPr>
    </w:p>
    <w:p w14:paraId="125ACD00" w14:textId="77777777" w:rsidR="00D93BDF" w:rsidRPr="00D93BDF" w:rsidRDefault="00D93BDF" w:rsidP="00D93BDF">
      <w:pPr>
        <w:spacing w:after="0" w:line="276" w:lineRule="auto"/>
        <w:jc w:val="both"/>
        <w:rPr>
          <w:rFonts w:ascii="Verdana" w:eastAsia="Aptos" w:hAnsi="Verdana" w:cs="Times New Roman"/>
          <w:kern w:val="2"/>
          <w14:ligatures w14:val="standardContextual"/>
        </w:rPr>
      </w:pPr>
      <w:r w:rsidRPr="00D93BDF">
        <w:rPr>
          <w:rFonts w:ascii="Verdana" w:eastAsia="Aptos" w:hAnsi="Verdana" w:cs="Times New Roman"/>
          <w:color w:val="000000"/>
          <w:kern w:val="2"/>
          <w14:ligatures w14:val="standardContextual"/>
        </w:rPr>
        <w:t>Recuerda también que la</w:t>
      </w:r>
      <w:r w:rsidRPr="00D93BDF">
        <w:rPr>
          <w:rFonts w:ascii="Verdana" w:eastAsia="Aptos" w:hAnsi="Verdana" w:cs="Times New Roman"/>
          <w:b/>
          <w:bCs/>
          <w:color w:val="000000"/>
          <w:kern w:val="2"/>
          <w14:ligatures w14:val="standardContextual"/>
        </w:rPr>
        <w:t> información sobre sanciones e inhabilidades </w:t>
      </w:r>
      <w:r w:rsidRPr="00D93BDF">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D93BDF">
        <w:rPr>
          <w:rFonts w:ascii="Verdana" w:eastAsia="Aptos" w:hAnsi="Verdana" w:cs="Times New Roman"/>
          <w:b/>
          <w:bCs/>
          <w:color w:val="000000"/>
          <w:kern w:val="2"/>
          <w14:ligatures w14:val="standardContextual"/>
        </w:rPr>
        <w:t>Circular Externa 002 del 5 de mayo de 2026,</w:t>
      </w:r>
      <w:r w:rsidRPr="00D93BDF">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D93BDF">
          <w:rPr>
            <w:rFonts w:ascii="Verdana" w:eastAsia="Aptos" w:hAnsi="Verdana" w:cs="Times New Roman"/>
            <w:color w:val="0078D7"/>
            <w:kern w:val="2"/>
            <w:u w:val="single"/>
            <w14:ligatures w14:val="standardContextual"/>
          </w:rPr>
          <w:t>https://www.colombiacompra.gov.co/archivos/circular/circular-externa-002-de-2026</w:t>
        </w:r>
      </w:hyperlink>
    </w:p>
    <w:p w14:paraId="407743A1" w14:textId="77777777" w:rsidR="00D93BDF" w:rsidRPr="00D93BDF" w:rsidRDefault="00D93BDF" w:rsidP="00D93BDF">
      <w:pPr>
        <w:spacing w:after="0" w:line="276" w:lineRule="auto"/>
        <w:jc w:val="both"/>
        <w:rPr>
          <w:rFonts w:ascii="Verdana" w:eastAsia="Aptos" w:hAnsi="Verdana" w:cs="Times New Roman"/>
          <w:color w:val="000000"/>
          <w:kern w:val="2"/>
          <w14:ligatures w14:val="standardContextual"/>
        </w:rPr>
      </w:pPr>
    </w:p>
    <w:p w14:paraId="3A6A4E08" w14:textId="77777777" w:rsidR="00D93BDF" w:rsidRPr="00D93BDF" w:rsidRDefault="00D93BDF" w:rsidP="00D93BDF">
      <w:pPr>
        <w:spacing w:after="0" w:line="276" w:lineRule="auto"/>
        <w:jc w:val="both"/>
        <w:rPr>
          <w:rFonts w:ascii="Verdana" w:eastAsia="Aptos" w:hAnsi="Verdana" w:cs="Times New Roman"/>
          <w:color w:val="000000"/>
          <w:kern w:val="2"/>
          <w14:ligatures w14:val="standardContextual"/>
        </w:rPr>
      </w:pPr>
      <w:r w:rsidRPr="00D93BDF">
        <w:rPr>
          <w:rFonts w:ascii="Verdana" w:eastAsia="Aptos" w:hAnsi="Verdana" w:cs="Times New Roman"/>
          <w:color w:val="000000"/>
          <w:kern w:val="2"/>
          <w14:ligatures w14:val="standardContextual"/>
        </w:rPr>
        <w:lastRenderedPageBreak/>
        <w:t>Finalmente, si quieres seguir de cerca la actividad de la Agencia, la tercera edición de 2026 del</w:t>
      </w:r>
      <w:r w:rsidRPr="00D93BDF">
        <w:rPr>
          <w:rFonts w:ascii="Verdana" w:eastAsia="Aptos" w:hAnsi="Verdana" w:cs="Times New Roman"/>
          <w:b/>
          <w:bCs/>
          <w:color w:val="000000"/>
          <w:kern w:val="2"/>
          <w14:ligatures w14:val="standardContextual"/>
        </w:rPr>
        <w:t> Radar de la Compra Pública</w:t>
      </w:r>
      <w:r w:rsidRPr="00D93BDF">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D93BDF">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D93BDF">
        <w:rPr>
          <w:rFonts w:ascii="Verdana" w:eastAsia="Aptos" w:hAnsi="Verdana" w:cs="Times New Roman"/>
          <w:color w:val="000000"/>
          <w:kern w:val="2"/>
          <w14:ligatures w14:val="standardContextual"/>
        </w:rPr>
        <w:t>"</w:t>
      </w:r>
    </w:p>
    <w:p w14:paraId="1B405AE1" w14:textId="77777777" w:rsidR="00D93BDF" w:rsidRPr="00D93BDF" w:rsidRDefault="00D93BDF" w:rsidP="00D93BDF">
      <w:pPr>
        <w:spacing w:after="0" w:line="276" w:lineRule="auto"/>
        <w:jc w:val="both"/>
        <w:rPr>
          <w:rFonts w:ascii="Verdana" w:eastAsia="Aptos" w:hAnsi="Verdana" w:cs="Times New Roman"/>
          <w:color w:val="000000"/>
          <w:kern w:val="2"/>
          <w14:ligatures w14:val="standardContextual"/>
        </w:rPr>
      </w:pPr>
    </w:p>
    <w:p w14:paraId="0EEB38A4" w14:textId="77777777" w:rsidR="00D93BDF" w:rsidRPr="00D93BDF" w:rsidRDefault="00D93BDF" w:rsidP="00D93BDF">
      <w:pPr>
        <w:spacing w:after="0" w:line="276" w:lineRule="auto"/>
        <w:jc w:val="both"/>
        <w:rPr>
          <w:rFonts w:ascii="Verdana" w:eastAsia="Aptos" w:hAnsi="Verdana" w:cs="Times New Roman"/>
          <w:lang w:eastAsia="es-MX"/>
        </w:rPr>
      </w:pPr>
      <w:r w:rsidRPr="00D93BDF">
        <w:rPr>
          <w:rFonts w:ascii="Verdana" w:eastAsia="Aptos" w:hAnsi="Verdana" w:cs="Times New Roman"/>
          <w:lang w:eastAsia="es-MX"/>
        </w:rPr>
        <w:t xml:space="preserve">Por último, lo invitamos a seguirnos en las redes sociales en las cuales se difunde información institucional: </w:t>
      </w:r>
    </w:p>
    <w:p w14:paraId="70E8A951" w14:textId="77777777" w:rsidR="00D93BDF" w:rsidRPr="00D93BDF" w:rsidRDefault="00D93BDF" w:rsidP="00D93BDF">
      <w:pPr>
        <w:spacing w:after="0" w:line="276" w:lineRule="auto"/>
        <w:jc w:val="both"/>
        <w:rPr>
          <w:rFonts w:ascii="Verdana" w:eastAsia="Calibri" w:hAnsi="Verdana" w:cs="Times New Roman"/>
          <w:lang w:eastAsia="es-MX"/>
        </w:rPr>
      </w:pPr>
    </w:p>
    <w:p w14:paraId="28B47C0B" w14:textId="77777777" w:rsidR="00D93BDF" w:rsidRPr="00D93BDF" w:rsidRDefault="00D93BDF" w:rsidP="00D93BDF">
      <w:pPr>
        <w:spacing w:after="0" w:line="276" w:lineRule="auto"/>
        <w:jc w:val="both"/>
        <w:rPr>
          <w:rFonts w:ascii="Verdana" w:eastAsia="Aptos" w:hAnsi="Verdana" w:cs="Times New Roman"/>
          <w:lang w:eastAsia="es-MX"/>
        </w:rPr>
      </w:pPr>
      <w:r w:rsidRPr="00D93BDF">
        <w:rPr>
          <w:rFonts w:ascii="Verdana" w:eastAsia="Aptos" w:hAnsi="Verdana" w:cs="Times New Roman"/>
          <w:lang w:eastAsia="es-MX"/>
        </w:rPr>
        <w:t xml:space="preserve">Twitter: </w:t>
      </w:r>
      <w:r w:rsidRPr="00D93BDF">
        <w:rPr>
          <w:rFonts w:ascii="Verdana" w:eastAsia="Calibri" w:hAnsi="Verdana" w:cs="Times New Roman"/>
          <w:color w:val="156082"/>
          <w:u w:val="single"/>
          <w:lang w:eastAsia="es-MX"/>
        </w:rPr>
        <w:t>@colombiacompra</w:t>
      </w:r>
      <w:r w:rsidRPr="00D93BDF">
        <w:rPr>
          <w:rFonts w:ascii="Verdana" w:eastAsia="Calibri" w:hAnsi="Verdana" w:cs="Times New Roman"/>
          <w:color w:val="156082"/>
          <w:lang w:eastAsia="es-MX"/>
        </w:rPr>
        <w:t xml:space="preserve"> </w:t>
      </w:r>
    </w:p>
    <w:p w14:paraId="2F076FF7" w14:textId="77777777" w:rsidR="00D93BDF" w:rsidRPr="00D93BDF" w:rsidRDefault="00D93BDF" w:rsidP="00D93BDF">
      <w:pPr>
        <w:spacing w:after="0" w:line="276" w:lineRule="auto"/>
        <w:jc w:val="both"/>
        <w:rPr>
          <w:rFonts w:ascii="Verdana" w:eastAsia="Aptos" w:hAnsi="Verdana" w:cs="Times New Roman"/>
          <w:lang w:eastAsia="es-MX"/>
        </w:rPr>
      </w:pPr>
      <w:r w:rsidRPr="00D93BDF">
        <w:rPr>
          <w:rFonts w:ascii="Verdana" w:eastAsia="Aptos" w:hAnsi="Verdana" w:cs="Times New Roman"/>
          <w:lang w:eastAsia="es-MX"/>
        </w:rPr>
        <w:t xml:space="preserve">Facebook: </w:t>
      </w:r>
      <w:proofErr w:type="spellStart"/>
      <w:r w:rsidRPr="00D93BDF">
        <w:rPr>
          <w:rFonts w:ascii="Verdana" w:eastAsia="Calibri" w:hAnsi="Verdana" w:cs="Times New Roman"/>
          <w:color w:val="156082"/>
          <w:u w:val="single"/>
          <w:lang w:eastAsia="es-MX"/>
        </w:rPr>
        <w:t>ColombiaCompraEficiente</w:t>
      </w:r>
      <w:proofErr w:type="spellEnd"/>
    </w:p>
    <w:p w14:paraId="4B5F1286" w14:textId="77777777" w:rsidR="00D93BDF" w:rsidRPr="00D93BDF" w:rsidRDefault="00D93BDF" w:rsidP="00D93BDF">
      <w:pPr>
        <w:spacing w:after="0" w:line="276" w:lineRule="auto"/>
        <w:jc w:val="both"/>
        <w:rPr>
          <w:rFonts w:ascii="Verdana" w:eastAsia="Aptos" w:hAnsi="Verdana" w:cs="Times New Roman"/>
          <w:lang w:eastAsia="es-MX"/>
        </w:rPr>
      </w:pPr>
      <w:r w:rsidRPr="00D93BDF">
        <w:rPr>
          <w:rFonts w:ascii="Verdana" w:eastAsia="Aptos" w:hAnsi="Verdana" w:cs="Times New Roman"/>
          <w:lang w:eastAsia="es-MX"/>
        </w:rPr>
        <w:t xml:space="preserve">LinkedIn: </w:t>
      </w:r>
      <w:r w:rsidRPr="00D93BDF">
        <w:rPr>
          <w:rFonts w:ascii="Verdana" w:eastAsia="Calibri" w:hAnsi="Verdana" w:cs="Times New Roman"/>
          <w:color w:val="156082"/>
          <w:u w:val="single"/>
          <w:lang w:eastAsia="es-MX"/>
        </w:rPr>
        <w:t>Agencia Nacional de Contratación Pública - Colombia Compra Eficiente</w:t>
      </w:r>
      <w:r w:rsidRPr="00D93BDF">
        <w:rPr>
          <w:rFonts w:ascii="Verdana" w:eastAsia="Calibri" w:hAnsi="Verdana" w:cs="Times New Roman"/>
          <w:color w:val="156082"/>
          <w:lang w:eastAsia="es-MX"/>
        </w:rPr>
        <w:t xml:space="preserve"> </w:t>
      </w:r>
      <w:r w:rsidRPr="00D93BDF">
        <w:rPr>
          <w:rFonts w:ascii="Verdana" w:eastAsia="Aptos" w:hAnsi="Verdana" w:cs="Times New Roman"/>
          <w:lang w:eastAsia="es-MX"/>
        </w:rPr>
        <w:t xml:space="preserve">Instagram: </w:t>
      </w:r>
      <w:r w:rsidRPr="00D93BDF">
        <w:rPr>
          <w:rFonts w:ascii="Verdana" w:eastAsia="Calibri" w:hAnsi="Verdana" w:cs="Times New Roman"/>
          <w:color w:val="156082"/>
          <w:u w:val="single"/>
          <w:lang w:eastAsia="es-MX"/>
        </w:rPr>
        <w:t>@colombiacompraeficiente_cce</w:t>
      </w:r>
    </w:p>
    <w:p w14:paraId="19567693" w14:textId="77777777" w:rsidR="00D93BDF" w:rsidRPr="00D93BDF" w:rsidRDefault="00D93BDF" w:rsidP="00D93BDF">
      <w:pPr>
        <w:spacing w:after="0" w:line="276" w:lineRule="auto"/>
        <w:jc w:val="both"/>
        <w:rPr>
          <w:rFonts w:ascii="Verdana" w:eastAsia="Aptos" w:hAnsi="Verdana" w:cs="Times New Roman"/>
          <w:lang w:eastAsia="es-MX"/>
        </w:rPr>
      </w:pPr>
    </w:p>
    <w:p w14:paraId="250F9B5A" w14:textId="77777777" w:rsidR="00D93BDF" w:rsidRPr="00D93BDF" w:rsidRDefault="00D93BDF" w:rsidP="00D93BDF">
      <w:pPr>
        <w:spacing w:after="0" w:line="276" w:lineRule="auto"/>
        <w:jc w:val="both"/>
        <w:rPr>
          <w:rFonts w:ascii="Verdana" w:eastAsia="Calibri" w:hAnsi="Verdana" w:cs="Times New Roman"/>
          <w:bCs/>
          <w:lang w:val="es-ES_tradnl" w:eastAsia="es-MX"/>
        </w:rPr>
      </w:pPr>
      <w:r w:rsidRPr="00D93BDF">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2C79D24" w14:textId="77777777" w:rsidR="00D93BDF" w:rsidRPr="00D93BDF" w:rsidRDefault="00D93BDF" w:rsidP="00D93BDF">
      <w:pPr>
        <w:spacing w:after="0" w:line="276" w:lineRule="auto"/>
        <w:jc w:val="both"/>
        <w:rPr>
          <w:rFonts w:ascii="Verdana" w:eastAsia="Calibri" w:hAnsi="Verdana" w:cs="Times New Roman"/>
          <w:lang w:eastAsia="es-MX"/>
        </w:rPr>
      </w:pPr>
    </w:p>
    <w:p w14:paraId="1EE458EE" w14:textId="77777777" w:rsidR="00D93BDF" w:rsidRPr="00D93BDF" w:rsidRDefault="00D93BDF" w:rsidP="00D93BDF">
      <w:pPr>
        <w:spacing w:after="0" w:line="276" w:lineRule="auto"/>
        <w:jc w:val="both"/>
        <w:rPr>
          <w:rFonts w:ascii="Verdana" w:eastAsia="Calibri" w:hAnsi="Verdana" w:cs="Times New Roman"/>
          <w:lang w:eastAsia="es-MX"/>
        </w:rPr>
      </w:pPr>
      <w:r w:rsidRPr="00D93BDF">
        <w:rPr>
          <w:rFonts w:ascii="Verdana" w:eastAsia="Calibri" w:hAnsi="Verdana" w:cs="Times New Roman"/>
          <w:lang w:eastAsia="es-MX"/>
        </w:rPr>
        <w:t>Atentamente,</w:t>
      </w:r>
    </w:p>
    <w:p w14:paraId="393456B0" w14:textId="7EC6F318" w:rsidR="00D93BDF" w:rsidRPr="00D93BDF" w:rsidRDefault="00980DC9" w:rsidP="00D93BDF">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3168DB6D" wp14:editId="1EB6BA3E">
            <wp:extent cx="2629225" cy="1128741"/>
            <wp:effectExtent l="0" t="0" r="0" b="190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696757" cy="1157733"/>
                    </a:xfrm>
                    <a:prstGeom prst="rect">
                      <a:avLst/>
                    </a:prstGeom>
                  </pic:spPr>
                </pic:pic>
              </a:graphicData>
            </a:graphic>
          </wp:inline>
        </w:drawing>
      </w:r>
    </w:p>
    <w:p w14:paraId="27EE6891" w14:textId="77777777" w:rsidR="00D93BDF" w:rsidRPr="00D93BDF" w:rsidRDefault="00D93BDF" w:rsidP="00D93BDF">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D93BDF" w:rsidRPr="00D93BDF" w14:paraId="7E697962" w14:textId="77777777" w:rsidTr="00E75FD1">
        <w:trPr>
          <w:trHeight w:val="323"/>
        </w:trPr>
        <w:tc>
          <w:tcPr>
            <w:tcW w:w="1041" w:type="dxa"/>
            <w:vAlign w:val="center"/>
            <w:hideMark/>
          </w:tcPr>
          <w:p w14:paraId="002E5939" w14:textId="77777777" w:rsidR="00D93BDF" w:rsidRPr="00D93BDF" w:rsidRDefault="00D93BDF" w:rsidP="00D93BDF">
            <w:pPr>
              <w:rPr>
                <w:rFonts w:ascii="Verdana" w:eastAsia="Calibri" w:hAnsi="Verdana" w:cs="Arial"/>
                <w:sz w:val="16"/>
                <w:szCs w:val="16"/>
                <w:lang w:val="es-ES_tradnl" w:eastAsia="es-ES"/>
              </w:rPr>
            </w:pPr>
            <w:r w:rsidRPr="00D93BDF">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0D218B52" w14:textId="77777777" w:rsidR="00D93BDF" w:rsidRPr="00D93BDF" w:rsidRDefault="00D93BDF" w:rsidP="00D93BDF">
            <w:pPr>
              <w:rPr>
                <w:rFonts w:ascii="Verdana" w:eastAsia="Arial" w:hAnsi="Verdana" w:cs="Arial"/>
                <w:sz w:val="16"/>
                <w:szCs w:val="16"/>
                <w:lang w:val="es-ES" w:eastAsia="es-MX"/>
              </w:rPr>
            </w:pPr>
            <w:r w:rsidRPr="00D93BDF">
              <w:rPr>
                <w:rFonts w:ascii="Verdana" w:eastAsia="Arial" w:hAnsi="Verdana" w:cs="Arial"/>
                <w:sz w:val="16"/>
                <w:szCs w:val="16"/>
                <w:lang w:val="es-ES" w:eastAsia="es-MX"/>
              </w:rPr>
              <w:t xml:space="preserve">Carlos Mario Castrillón Endo </w:t>
            </w:r>
          </w:p>
          <w:p w14:paraId="5AEA7153" w14:textId="77777777" w:rsidR="00D93BDF" w:rsidRPr="00D93BDF" w:rsidRDefault="00D93BDF" w:rsidP="00D93BDF">
            <w:pPr>
              <w:rPr>
                <w:rFonts w:ascii="Verdana" w:eastAsia="Arial" w:hAnsi="Verdana" w:cs="Arial"/>
                <w:sz w:val="16"/>
                <w:szCs w:val="16"/>
                <w:lang w:val="es-ES_tradnl" w:eastAsia="es-MX"/>
              </w:rPr>
            </w:pPr>
            <w:r w:rsidRPr="00D93BDF">
              <w:rPr>
                <w:rFonts w:ascii="Verdana" w:eastAsia="Arial" w:hAnsi="Verdana" w:cs="Arial"/>
                <w:sz w:val="16"/>
                <w:szCs w:val="16"/>
                <w:lang w:val="es-ES_tradnl" w:eastAsia="es-MX"/>
              </w:rPr>
              <w:t>Contratista de la Subdirección de Gestión Contractual</w:t>
            </w:r>
          </w:p>
          <w:p w14:paraId="6F0A6FA1" w14:textId="77777777" w:rsidR="00D93BDF" w:rsidRPr="00D93BDF" w:rsidRDefault="00D93BDF" w:rsidP="00D93BDF">
            <w:pPr>
              <w:rPr>
                <w:rFonts w:ascii="Verdana" w:eastAsia="Arial" w:hAnsi="Verdana" w:cs="Arial"/>
                <w:sz w:val="16"/>
                <w:szCs w:val="16"/>
                <w:lang w:val="es-ES_tradnl" w:eastAsia="es-MX"/>
              </w:rPr>
            </w:pPr>
          </w:p>
        </w:tc>
      </w:tr>
      <w:tr w:rsidR="00D93BDF" w:rsidRPr="00D93BDF" w14:paraId="32444A8C" w14:textId="77777777" w:rsidTr="00E75FD1">
        <w:trPr>
          <w:trHeight w:val="338"/>
        </w:trPr>
        <w:tc>
          <w:tcPr>
            <w:tcW w:w="1041" w:type="dxa"/>
            <w:vAlign w:val="center"/>
            <w:hideMark/>
          </w:tcPr>
          <w:p w14:paraId="2F629538" w14:textId="77777777" w:rsidR="00D93BDF" w:rsidRPr="00D93BDF" w:rsidRDefault="00D93BDF" w:rsidP="00D93BDF">
            <w:pPr>
              <w:rPr>
                <w:rFonts w:ascii="Verdana" w:eastAsia="Calibri" w:hAnsi="Verdana" w:cs="Arial"/>
                <w:sz w:val="16"/>
                <w:szCs w:val="16"/>
                <w:lang w:val="es-ES_tradnl" w:eastAsia="es-ES"/>
              </w:rPr>
            </w:pPr>
            <w:r w:rsidRPr="00D93BDF">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74035F7B" w14:textId="77777777" w:rsidR="00D93BDF" w:rsidRPr="00D93BDF" w:rsidRDefault="00D93BDF" w:rsidP="00D93BDF">
            <w:pPr>
              <w:rPr>
                <w:rFonts w:ascii="Verdana" w:eastAsia="Arial" w:hAnsi="Verdana" w:cs="Arial"/>
                <w:sz w:val="16"/>
                <w:szCs w:val="16"/>
                <w:lang w:val="es-ES_tradnl" w:eastAsia="es-MX"/>
              </w:rPr>
            </w:pPr>
            <w:r w:rsidRPr="00D93BDF">
              <w:rPr>
                <w:rFonts w:ascii="Verdana" w:eastAsia="Arial" w:hAnsi="Verdana" w:cs="Arial"/>
                <w:sz w:val="16"/>
                <w:szCs w:val="16"/>
                <w:lang w:val="es-ES_tradnl" w:eastAsia="es-MX"/>
              </w:rPr>
              <w:t>Alexandra Rodríguez Motta</w:t>
            </w:r>
          </w:p>
          <w:p w14:paraId="4072DF3B" w14:textId="77777777" w:rsidR="00D93BDF" w:rsidRPr="00D93BDF" w:rsidRDefault="00D93BDF" w:rsidP="00D93BDF">
            <w:pPr>
              <w:rPr>
                <w:rFonts w:ascii="Verdana" w:eastAsia="Arial" w:hAnsi="Verdana" w:cs="Arial"/>
                <w:sz w:val="16"/>
                <w:szCs w:val="16"/>
                <w:lang w:val="es-ES_tradnl" w:eastAsia="es-MX"/>
              </w:rPr>
            </w:pPr>
            <w:r w:rsidRPr="00D93BDF">
              <w:rPr>
                <w:rFonts w:ascii="Verdana" w:eastAsia="Arial" w:hAnsi="Verdana" w:cs="Arial"/>
                <w:sz w:val="16"/>
                <w:szCs w:val="16"/>
                <w:lang w:val="es-ES_tradnl" w:eastAsia="es-MX"/>
              </w:rPr>
              <w:t>Contratista de la Subdirección de Gestión Contractual</w:t>
            </w:r>
          </w:p>
          <w:p w14:paraId="11EAA358" w14:textId="77777777" w:rsidR="00D93BDF" w:rsidRPr="00D93BDF" w:rsidRDefault="00D93BDF" w:rsidP="00D93BDF">
            <w:pPr>
              <w:rPr>
                <w:rFonts w:ascii="Verdana" w:eastAsia="Arial" w:hAnsi="Verdana" w:cs="Arial"/>
                <w:sz w:val="16"/>
                <w:szCs w:val="16"/>
                <w:lang w:val="es-ES_tradnl" w:eastAsia="es-MX"/>
              </w:rPr>
            </w:pPr>
            <w:r w:rsidRPr="00D93BDF">
              <w:rPr>
                <w:rFonts w:ascii="Verdana" w:eastAsia="Arial" w:hAnsi="Verdana" w:cs="Arial"/>
                <w:sz w:val="16"/>
                <w:szCs w:val="16"/>
                <w:lang w:val="es-ES_tradnl" w:eastAsia="es-MX"/>
              </w:rPr>
              <w:t>Martha Alicia Romero Vargas</w:t>
            </w:r>
          </w:p>
          <w:p w14:paraId="71891054" w14:textId="77777777" w:rsidR="00D93BDF" w:rsidRPr="00D93BDF" w:rsidRDefault="00D93BDF" w:rsidP="00D93BDF">
            <w:pPr>
              <w:rPr>
                <w:rFonts w:ascii="Verdana" w:eastAsia="Arial" w:hAnsi="Verdana" w:cs="Arial"/>
                <w:sz w:val="16"/>
                <w:szCs w:val="16"/>
                <w:lang w:val="es-ES_tradnl" w:eastAsia="es-MX"/>
              </w:rPr>
            </w:pPr>
            <w:r w:rsidRPr="00D93BDF">
              <w:rPr>
                <w:rFonts w:ascii="Verdana" w:eastAsia="Arial" w:hAnsi="Verdana" w:cs="Arial"/>
                <w:sz w:val="16"/>
                <w:szCs w:val="16"/>
                <w:lang w:val="es-ES_tradnl" w:eastAsia="es-MX"/>
              </w:rPr>
              <w:t xml:space="preserve">Gestor T1-15 de la Subdirección de Gestión Contractual </w:t>
            </w:r>
          </w:p>
        </w:tc>
      </w:tr>
      <w:tr w:rsidR="00D93BDF" w:rsidRPr="00D93BDF" w14:paraId="69903BE0" w14:textId="77777777" w:rsidTr="00E75FD1">
        <w:trPr>
          <w:trHeight w:val="308"/>
        </w:trPr>
        <w:tc>
          <w:tcPr>
            <w:tcW w:w="1041" w:type="dxa"/>
            <w:vAlign w:val="center"/>
          </w:tcPr>
          <w:p w14:paraId="00ECA339" w14:textId="77777777" w:rsidR="00D93BDF" w:rsidRPr="00D93BDF" w:rsidRDefault="00D93BDF" w:rsidP="00D93BDF">
            <w:pPr>
              <w:rPr>
                <w:rFonts w:ascii="Verdana" w:eastAsia="Calibri" w:hAnsi="Verdana" w:cs="Arial"/>
                <w:sz w:val="16"/>
                <w:szCs w:val="16"/>
                <w:lang w:val="es-ES_tradnl" w:eastAsia="es-ES"/>
              </w:rPr>
            </w:pPr>
            <w:r w:rsidRPr="00D93BDF">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113E6454" w14:textId="77777777" w:rsidR="00D93BDF" w:rsidRPr="00D93BDF" w:rsidRDefault="00D93BDF" w:rsidP="00D93BDF">
            <w:pPr>
              <w:rPr>
                <w:rFonts w:ascii="Verdana" w:eastAsia="Calibri" w:hAnsi="Verdana" w:cs="Arial"/>
                <w:sz w:val="16"/>
                <w:szCs w:val="16"/>
                <w:lang w:val="es-ES" w:eastAsia="es-ES"/>
              </w:rPr>
            </w:pPr>
            <w:r w:rsidRPr="00D93BDF">
              <w:rPr>
                <w:rFonts w:ascii="Verdana" w:eastAsia="Calibri" w:hAnsi="Verdana" w:cs="Arial"/>
                <w:sz w:val="16"/>
                <w:szCs w:val="16"/>
                <w:lang w:val="es-ES" w:eastAsia="es-ES"/>
              </w:rPr>
              <w:t>Carolina Quintero Gacharná</w:t>
            </w:r>
          </w:p>
          <w:p w14:paraId="219B9AD9" w14:textId="77777777" w:rsidR="00D93BDF" w:rsidRPr="00D93BDF" w:rsidRDefault="00D93BDF" w:rsidP="00D93BDF">
            <w:pPr>
              <w:rPr>
                <w:rFonts w:ascii="Verdana" w:eastAsia="Calibri" w:hAnsi="Verdana" w:cs="Arial"/>
                <w:sz w:val="16"/>
                <w:szCs w:val="16"/>
                <w:lang w:val="es-ES_tradnl" w:eastAsia="es-ES"/>
              </w:rPr>
            </w:pPr>
            <w:r w:rsidRPr="00D93BDF">
              <w:rPr>
                <w:rFonts w:ascii="Verdana" w:eastAsia="Calibri" w:hAnsi="Verdana" w:cs="Arial"/>
                <w:sz w:val="16"/>
                <w:szCs w:val="16"/>
                <w:lang w:val="es-ES_tradnl" w:eastAsia="es-ES"/>
              </w:rPr>
              <w:t>Subdirectora de Gestión Contractual ANCP – CCE</w:t>
            </w:r>
          </w:p>
        </w:tc>
      </w:tr>
      <w:bookmarkEnd w:id="0"/>
    </w:tbl>
    <w:p w14:paraId="0F293BF4" w14:textId="5FD9A98B" w:rsidR="00127233" w:rsidRPr="0015699B" w:rsidRDefault="00127233" w:rsidP="006B6686">
      <w:pPr>
        <w:spacing w:after="0" w:line="240" w:lineRule="auto"/>
        <w:textAlignment w:val="baseline"/>
        <w:rPr>
          <w:rFonts w:ascii="Verdana" w:eastAsia="Verdana" w:hAnsi="Verdana" w:cs="Verdana"/>
          <w:lang w:eastAsia="es-CO"/>
        </w:rPr>
      </w:pPr>
    </w:p>
    <w:sectPr w:rsidR="00127233" w:rsidRPr="0015699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098F9" w14:textId="77777777" w:rsidR="003457CF" w:rsidRDefault="003457CF" w:rsidP="004A1847">
      <w:pPr>
        <w:spacing w:after="0" w:line="240" w:lineRule="auto"/>
      </w:pPr>
      <w:r>
        <w:separator/>
      </w:r>
    </w:p>
  </w:endnote>
  <w:endnote w:type="continuationSeparator" w:id="0">
    <w:p w14:paraId="28B11823" w14:textId="77777777" w:rsidR="003457CF" w:rsidRDefault="003457CF" w:rsidP="004A1847">
      <w:pPr>
        <w:spacing w:after="0" w:line="240" w:lineRule="auto"/>
      </w:pPr>
      <w:r>
        <w:continuationSeparator/>
      </w:r>
    </w:p>
  </w:endnote>
  <w:endnote w:type="continuationNotice" w:id="1">
    <w:p w14:paraId="391FD3BC" w14:textId="77777777" w:rsidR="003457CF" w:rsidRDefault="003457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6601" w14:textId="77777777" w:rsidR="003457CF" w:rsidRDefault="003457CF" w:rsidP="004A1847">
      <w:pPr>
        <w:spacing w:after="0" w:line="240" w:lineRule="auto"/>
      </w:pPr>
      <w:r>
        <w:separator/>
      </w:r>
    </w:p>
  </w:footnote>
  <w:footnote w:type="continuationSeparator" w:id="0">
    <w:p w14:paraId="5CDFEFC6" w14:textId="77777777" w:rsidR="003457CF" w:rsidRDefault="003457CF" w:rsidP="004A1847">
      <w:pPr>
        <w:spacing w:after="0" w:line="240" w:lineRule="auto"/>
      </w:pPr>
      <w:r>
        <w:continuationSeparator/>
      </w:r>
    </w:p>
  </w:footnote>
  <w:footnote w:type="continuationNotice" w:id="1">
    <w:p w14:paraId="5A276929" w14:textId="77777777" w:rsidR="003457CF" w:rsidRDefault="003457CF">
      <w:pPr>
        <w:spacing w:after="0" w:line="240" w:lineRule="auto"/>
      </w:pPr>
    </w:p>
  </w:footnote>
  <w:footnote w:id="2">
    <w:p w14:paraId="4E24C9F1" w14:textId="77777777" w:rsidR="00D93BDF" w:rsidRPr="00BD5135" w:rsidRDefault="00D93BDF" w:rsidP="00D93BDF">
      <w:pPr>
        <w:pStyle w:val="Textonotapie"/>
        <w:ind w:firstLine="708"/>
        <w:jc w:val="both"/>
        <w:rPr>
          <w:rFonts w:ascii="Verdana" w:hAnsi="Verdana"/>
          <w:sz w:val="18"/>
          <w:szCs w:val="18"/>
        </w:rPr>
      </w:pPr>
      <w:r w:rsidRPr="00BD5135">
        <w:rPr>
          <w:rStyle w:val="Refdenotaalpie"/>
          <w:rFonts w:ascii="Verdana" w:hAnsi="Verdana"/>
          <w:sz w:val="18"/>
          <w:szCs w:val="18"/>
        </w:rPr>
        <w:footnoteRef/>
      </w:r>
      <w:r w:rsidRPr="00BD5135">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7463EEAD" w14:textId="77777777" w:rsidR="00D93BDF" w:rsidRPr="00BD5135" w:rsidRDefault="00D93BDF" w:rsidP="00D93BDF">
      <w:pPr>
        <w:pStyle w:val="Textonotapie"/>
        <w:ind w:firstLine="708"/>
        <w:jc w:val="both"/>
        <w:rPr>
          <w:rFonts w:ascii="Verdana" w:hAnsi="Verdana"/>
          <w:sz w:val="18"/>
          <w:szCs w:val="18"/>
        </w:rPr>
      </w:pPr>
    </w:p>
    <w:p w14:paraId="38C851AB" w14:textId="77777777" w:rsidR="00D93BDF" w:rsidRPr="00BD5135" w:rsidRDefault="00D93BDF" w:rsidP="00D93BDF">
      <w:pPr>
        <w:pStyle w:val="Textonotapie"/>
        <w:ind w:firstLine="708"/>
        <w:jc w:val="both"/>
        <w:rPr>
          <w:rFonts w:ascii="Verdana" w:hAnsi="Verdana"/>
          <w:sz w:val="18"/>
          <w:szCs w:val="18"/>
        </w:rPr>
      </w:pPr>
      <w:r w:rsidRPr="00BD5135">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77F1D978" w14:textId="77777777" w:rsidR="00D93BDF" w:rsidRPr="00BD5135" w:rsidRDefault="00D93BDF" w:rsidP="00D93BDF">
      <w:pPr>
        <w:pStyle w:val="Textonotapie"/>
        <w:ind w:firstLine="708"/>
        <w:jc w:val="both"/>
        <w:rPr>
          <w:rFonts w:ascii="Verdana" w:hAnsi="Verdana"/>
          <w:sz w:val="18"/>
          <w:szCs w:val="18"/>
        </w:rPr>
      </w:pPr>
    </w:p>
    <w:p w14:paraId="1430D452" w14:textId="77777777" w:rsidR="00D93BDF" w:rsidRPr="00BD5135" w:rsidRDefault="00D93BDF" w:rsidP="00D93BDF">
      <w:pPr>
        <w:pStyle w:val="Textonotapie"/>
        <w:ind w:firstLine="708"/>
        <w:jc w:val="both"/>
        <w:rPr>
          <w:rFonts w:ascii="Verdana" w:hAnsi="Verdana"/>
          <w:sz w:val="18"/>
          <w:szCs w:val="18"/>
        </w:rPr>
      </w:pPr>
      <w:r w:rsidRPr="00BD5135">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304E0DB4" w14:textId="77777777" w:rsidR="00D93BDF" w:rsidRPr="00BD5135" w:rsidRDefault="00D93BDF" w:rsidP="00D93BDF">
      <w:pPr>
        <w:pStyle w:val="Textonotapie"/>
        <w:ind w:firstLine="708"/>
        <w:jc w:val="both"/>
        <w:rPr>
          <w:rFonts w:ascii="Verdana" w:hAnsi="Verdana"/>
          <w:sz w:val="18"/>
          <w:szCs w:val="18"/>
        </w:rPr>
      </w:pPr>
    </w:p>
    <w:p w14:paraId="3D7089E8" w14:textId="77777777" w:rsidR="00D93BDF" w:rsidRPr="00BD5135" w:rsidRDefault="00D93BDF" w:rsidP="00D93BDF">
      <w:pPr>
        <w:pStyle w:val="Textonotapie"/>
        <w:ind w:firstLine="708"/>
        <w:jc w:val="both"/>
        <w:rPr>
          <w:rFonts w:ascii="Verdana" w:hAnsi="Verdana"/>
          <w:sz w:val="18"/>
          <w:szCs w:val="18"/>
        </w:rPr>
      </w:pPr>
      <w:r w:rsidRPr="00BD5135">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2167691E" w14:textId="77777777" w:rsidR="00D93BDF" w:rsidRPr="00BD5135" w:rsidRDefault="00D93BDF" w:rsidP="00D93BDF">
      <w:pPr>
        <w:pStyle w:val="Textonotapie"/>
        <w:ind w:firstLine="708"/>
        <w:jc w:val="both"/>
        <w:rPr>
          <w:rFonts w:ascii="Verdana" w:hAnsi="Verdana"/>
          <w:sz w:val="18"/>
          <w:szCs w:val="18"/>
        </w:rPr>
      </w:pPr>
    </w:p>
    <w:p w14:paraId="17386397" w14:textId="77777777" w:rsidR="00D93BDF" w:rsidRPr="00BD5135" w:rsidRDefault="00D93BDF" w:rsidP="00D93BDF">
      <w:pPr>
        <w:pStyle w:val="Textonotapie"/>
        <w:ind w:firstLine="708"/>
        <w:jc w:val="both"/>
        <w:rPr>
          <w:rFonts w:ascii="Verdana" w:hAnsi="Verdana"/>
          <w:sz w:val="18"/>
          <w:szCs w:val="18"/>
        </w:rPr>
      </w:pPr>
      <w:r w:rsidRPr="00BD5135">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p w14:paraId="69515A77" w14:textId="77777777" w:rsidR="00D93BDF" w:rsidRPr="00BD5135" w:rsidRDefault="00D93BDF" w:rsidP="00D93BDF">
      <w:pPr>
        <w:pStyle w:val="Textonotapie"/>
        <w:ind w:firstLine="708"/>
        <w:jc w:val="both"/>
        <w:rPr>
          <w:rFonts w:ascii="Verdana" w:hAnsi="Verdana"/>
          <w:sz w:val="18"/>
          <w:szCs w:val="18"/>
        </w:rPr>
      </w:pPr>
    </w:p>
  </w:footnote>
  <w:footnote w:id="3">
    <w:p w14:paraId="7108736D" w14:textId="77777777" w:rsidR="00D93BDF" w:rsidRPr="00BD5135" w:rsidRDefault="00D93BDF" w:rsidP="00D93BDF">
      <w:pPr>
        <w:pStyle w:val="Textonotapie"/>
        <w:ind w:firstLine="709"/>
        <w:jc w:val="both"/>
        <w:rPr>
          <w:rFonts w:ascii="Verdana" w:hAnsi="Verdana" w:cs="Arial"/>
          <w:color w:val="000000"/>
          <w:sz w:val="18"/>
          <w:szCs w:val="18"/>
        </w:rPr>
      </w:pPr>
      <w:r w:rsidRPr="00BD5135">
        <w:rPr>
          <w:rStyle w:val="Refdenotaalpie"/>
          <w:rFonts w:ascii="Verdana" w:hAnsi="Verdana"/>
          <w:sz w:val="18"/>
          <w:szCs w:val="18"/>
        </w:rPr>
        <w:footnoteRef/>
      </w:r>
      <w:r w:rsidRPr="00BD5135">
        <w:rPr>
          <w:rFonts w:ascii="Verdana" w:hAnsi="Verdana"/>
          <w:sz w:val="18"/>
          <w:szCs w:val="18"/>
        </w:rPr>
        <w:t xml:space="preserve"> </w:t>
      </w:r>
      <w:r w:rsidRPr="00BD5135">
        <w:rPr>
          <w:rFonts w:ascii="Verdana" w:hAnsi="Verdana" w:cs="Arial"/>
          <w:color w:val="000000"/>
          <w:sz w:val="18"/>
          <w:szCs w:val="18"/>
        </w:rPr>
        <w:t xml:space="preserve">ALESSANDRI RODRÍGUEZ, Arturo. De los contratos. Santiago de Chile: Editorial Jurídica EDIAR-CONOCSUR LTDA, 1988. p. 182. </w:t>
      </w:r>
    </w:p>
    <w:p w14:paraId="6C410186" w14:textId="77777777" w:rsidR="00D93BDF" w:rsidRPr="00BD5135" w:rsidRDefault="00D93BDF" w:rsidP="00D93BDF">
      <w:pPr>
        <w:pStyle w:val="Textonotapie"/>
        <w:jc w:val="both"/>
        <w:rPr>
          <w:rFonts w:ascii="Verdana" w:hAnsi="Verdana"/>
          <w:sz w:val="18"/>
          <w:szCs w:val="18"/>
        </w:rPr>
      </w:pPr>
    </w:p>
  </w:footnote>
  <w:footnote w:id="4">
    <w:p w14:paraId="14E4654C" w14:textId="77777777" w:rsidR="00D93BDF" w:rsidRPr="00BD5135" w:rsidRDefault="00D93BDF" w:rsidP="00D93BDF">
      <w:pPr>
        <w:pStyle w:val="Textonotapie"/>
        <w:ind w:firstLine="708"/>
        <w:jc w:val="both"/>
        <w:rPr>
          <w:rFonts w:ascii="Verdana" w:hAnsi="Verdana" w:cs="Arial"/>
          <w:color w:val="000000"/>
          <w:sz w:val="18"/>
          <w:szCs w:val="18"/>
        </w:rPr>
      </w:pPr>
      <w:r w:rsidRPr="00BD5135">
        <w:rPr>
          <w:rStyle w:val="Refdenotaalpie"/>
          <w:rFonts w:ascii="Verdana" w:hAnsi="Verdana"/>
          <w:sz w:val="18"/>
          <w:szCs w:val="18"/>
        </w:rPr>
        <w:footnoteRef/>
      </w:r>
      <w:r w:rsidRPr="00BD5135">
        <w:rPr>
          <w:rFonts w:ascii="Verdana" w:hAnsi="Verdana"/>
          <w:sz w:val="18"/>
          <w:szCs w:val="18"/>
        </w:rPr>
        <w:t xml:space="preserve"> </w:t>
      </w:r>
      <w:r w:rsidRPr="00BD5135">
        <w:rPr>
          <w:rFonts w:ascii="Verdana" w:hAnsi="Verdana" w:cs="Arial"/>
          <w:color w:val="000000"/>
          <w:sz w:val="18"/>
          <w:szCs w:val="18"/>
        </w:rPr>
        <w:t>OSPINA MENA, Jesús Marino. Régimen de la Contratación Estatal. Un salto a la contratación liquida. Bogotá: Dike, 2020. p. 168.</w:t>
      </w:r>
    </w:p>
    <w:p w14:paraId="190ED294" w14:textId="77777777" w:rsidR="00D93BDF" w:rsidRPr="00BD5135" w:rsidRDefault="00D93BDF" w:rsidP="00D93BDF">
      <w:pPr>
        <w:pStyle w:val="Textonotapie"/>
        <w:ind w:firstLine="708"/>
        <w:jc w:val="both"/>
        <w:rPr>
          <w:rFonts w:ascii="Verdana" w:hAnsi="Verdana"/>
          <w:sz w:val="18"/>
          <w:szCs w:val="18"/>
          <w:lang w:val="es-ES_tradnl"/>
        </w:rPr>
      </w:pPr>
    </w:p>
  </w:footnote>
  <w:footnote w:id="5">
    <w:p w14:paraId="68B1338E" w14:textId="77777777" w:rsidR="00D93BDF" w:rsidRPr="00BD5135" w:rsidRDefault="00D93BDF" w:rsidP="00D93BDF">
      <w:pPr>
        <w:pStyle w:val="Textonotapie"/>
        <w:ind w:firstLine="708"/>
        <w:jc w:val="both"/>
        <w:rPr>
          <w:rFonts w:ascii="Verdana" w:hAnsi="Verdana"/>
          <w:sz w:val="18"/>
          <w:szCs w:val="18"/>
          <w:lang w:val="es-ES_tradnl"/>
        </w:rPr>
      </w:pPr>
      <w:r w:rsidRPr="00BD5135">
        <w:rPr>
          <w:rStyle w:val="Refdenotaalpie"/>
          <w:rFonts w:ascii="Verdana" w:hAnsi="Verdana"/>
          <w:sz w:val="18"/>
          <w:szCs w:val="18"/>
        </w:rPr>
        <w:footnoteRef/>
      </w:r>
      <w:r w:rsidRPr="00BD5135">
        <w:rPr>
          <w:rFonts w:ascii="Verdana" w:hAnsi="Verdana"/>
          <w:sz w:val="18"/>
          <w:szCs w:val="18"/>
        </w:rPr>
        <w:t xml:space="preserve"> </w:t>
      </w:r>
      <w:r w:rsidRPr="00BD5135">
        <w:rPr>
          <w:rFonts w:ascii="Verdana" w:hAnsi="Verdana" w:cs="Arial"/>
          <w:color w:val="000000"/>
          <w:sz w:val="18"/>
          <w:szCs w:val="18"/>
        </w:rPr>
        <w:t>CONSEJO DE ESTADO. Sala de Consulta y Servicio Civil. Concepto del 5 de septiembre de 2018. Rad. 2.386. C.P. Edgar González López.</w:t>
      </w:r>
    </w:p>
  </w:footnote>
  <w:footnote w:id="6">
    <w:p w14:paraId="7113CCD6" w14:textId="77777777" w:rsidR="00D93BDF" w:rsidRPr="00BD5135" w:rsidRDefault="00D93BDF" w:rsidP="00D93BDF">
      <w:pPr>
        <w:pStyle w:val="Textonotapie"/>
        <w:ind w:firstLine="709"/>
        <w:jc w:val="both"/>
        <w:rPr>
          <w:rFonts w:ascii="Verdana" w:hAnsi="Verdana" w:cs="Arial"/>
          <w:color w:val="000000"/>
          <w:sz w:val="18"/>
          <w:szCs w:val="18"/>
        </w:rPr>
      </w:pPr>
      <w:r w:rsidRPr="00BD5135">
        <w:rPr>
          <w:rStyle w:val="Refdenotaalpie"/>
          <w:rFonts w:ascii="Verdana" w:hAnsi="Verdana"/>
          <w:sz w:val="18"/>
          <w:szCs w:val="18"/>
        </w:rPr>
        <w:footnoteRef/>
      </w:r>
      <w:r w:rsidRPr="00BD5135">
        <w:rPr>
          <w:rFonts w:ascii="Verdana" w:hAnsi="Verdana"/>
          <w:sz w:val="18"/>
          <w:szCs w:val="18"/>
        </w:rPr>
        <w:t xml:space="preserve"> </w:t>
      </w:r>
      <w:bookmarkStart w:id="2" w:name="_Hlk35341897"/>
      <w:r w:rsidRPr="00BD5135">
        <w:rPr>
          <w:rFonts w:ascii="Verdana" w:hAnsi="Verdana" w:cs="Arial"/>
          <w:color w:val="000000"/>
          <w:sz w:val="18"/>
          <w:szCs w:val="18"/>
        </w:rPr>
        <w:t>VELÁSQUEZ JARAMILLO, Luis Guillermo. Bienes. Duodécima edición. Bogotá: Temis, 2010. p. 22</w:t>
      </w:r>
      <w:bookmarkEnd w:id="2"/>
      <w:r w:rsidRPr="00BD5135">
        <w:rPr>
          <w:rFonts w:ascii="Verdana" w:hAnsi="Verdana" w:cs="Arial"/>
          <w:color w:val="000000"/>
          <w:sz w:val="18"/>
          <w:szCs w:val="18"/>
        </w:rPr>
        <w:t>.</w:t>
      </w:r>
    </w:p>
    <w:p w14:paraId="1FA6306B" w14:textId="77777777" w:rsidR="00D93BDF" w:rsidRPr="00BD5135" w:rsidRDefault="00D93BDF" w:rsidP="00D93BDF">
      <w:pPr>
        <w:pStyle w:val="Textonotapie"/>
        <w:jc w:val="both"/>
        <w:rPr>
          <w:rFonts w:ascii="Verdana" w:hAnsi="Verdana"/>
          <w:sz w:val="18"/>
          <w:szCs w:val="18"/>
        </w:rPr>
      </w:pPr>
    </w:p>
  </w:footnote>
  <w:footnote w:id="7">
    <w:p w14:paraId="459C4A51" w14:textId="77777777" w:rsidR="00D93BDF" w:rsidRPr="00BD5135" w:rsidRDefault="00D93BDF" w:rsidP="00D93BDF">
      <w:pPr>
        <w:pStyle w:val="Textonotapie"/>
        <w:ind w:firstLine="708"/>
        <w:jc w:val="both"/>
        <w:rPr>
          <w:rFonts w:ascii="Verdana" w:hAnsi="Verdana"/>
          <w:sz w:val="18"/>
          <w:szCs w:val="18"/>
          <w:lang w:val="es-ES_tradnl"/>
        </w:rPr>
      </w:pPr>
      <w:r w:rsidRPr="00BD5135">
        <w:rPr>
          <w:rStyle w:val="Refdenotaalpie"/>
          <w:rFonts w:ascii="Verdana" w:hAnsi="Verdana"/>
          <w:sz w:val="18"/>
          <w:szCs w:val="18"/>
        </w:rPr>
        <w:footnoteRef/>
      </w:r>
      <w:r w:rsidRPr="00BD5135">
        <w:rPr>
          <w:rFonts w:ascii="Verdana" w:hAnsi="Verdana"/>
          <w:sz w:val="18"/>
          <w:szCs w:val="18"/>
        </w:rPr>
        <w:t xml:space="preserve"> </w:t>
      </w:r>
      <w:r w:rsidRPr="00BD5135">
        <w:rPr>
          <w:rFonts w:ascii="Verdana" w:hAnsi="Verdana" w:cs="Arial"/>
          <w:color w:val="000000"/>
          <w:sz w:val="18"/>
          <w:szCs w:val="18"/>
        </w:rPr>
        <w:t>MAZEUD, Henri, MAZEUD, León y MAZEUD, Jean. Lecciones de derecho civil. Parte Primera. Volumen I. Buenos Aires: EJEA, 1976. p. 305-306.</w:t>
      </w:r>
    </w:p>
  </w:footnote>
  <w:footnote w:id="8">
    <w:p w14:paraId="17DBF047" w14:textId="77777777" w:rsidR="00D93BDF" w:rsidRPr="00A52ADE" w:rsidRDefault="00D93BDF" w:rsidP="00D93BDF">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Reglamento Colombiano de Construcción Sismo Resistente NSR-10</w:t>
      </w:r>
    </w:p>
    <w:p w14:paraId="6B9D8804" w14:textId="77777777" w:rsidR="00D93BDF" w:rsidRPr="00A52ADE" w:rsidRDefault="00D93BDF" w:rsidP="00D93BDF">
      <w:pPr>
        <w:pStyle w:val="Textonotapie"/>
        <w:ind w:firstLine="708"/>
        <w:jc w:val="both"/>
        <w:rPr>
          <w:rFonts w:ascii="Verdana" w:hAnsi="Verdana"/>
          <w:sz w:val="18"/>
          <w:szCs w:val="18"/>
          <w:lang w:val="es-ES_tradnl"/>
        </w:rPr>
      </w:pPr>
    </w:p>
  </w:footnote>
  <w:footnote w:id="9">
    <w:p w14:paraId="1577F273" w14:textId="77777777" w:rsidR="00D93BDF" w:rsidRPr="00A52ADE" w:rsidRDefault="00D93BDF" w:rsidP="00D93BDF">
      <w:pPr>
        <w:pStyle w:val="Textonotapie"/>
        <w:ind w:firstLine="708"/>
        <w:jc w:val="both"/>
        <w:rPr>
          <w:rFonts w:ascii="Verdana" w:hAnsi="Verdana"/>
          <w:sz w:val="18"/>
          <w:szCs w:val="18"/>
          <w:lang w:val="es-ES_tradnl"/>
        </w:rPr>
      </w:pPr>
      <w:r w:rsidRPr="00A52ADE">
        <w:rPr>
          <w:rStyle w:val="Refdenotaalpie"/>
          <w:rFonts w:ascii="Verdana" w:hAnsi="Verdana"/>
          <w:sz w:val="18"/>
          <w:szCs w:val="18"/>
        </w:rPr>
        <w:footnoteRef/>
      </w:r>
      <w:r w:rsidRPr="00A52ADE">
        <w:rPr>
          <w:rFonts w:ascii="Verdana" w:hAnsi="Verdana"/>
          <w:sz w:val="18"/>
          <w:szCs w:val="18"/>
        </w:rPr>
        <w:t xml:space="preserve"> </w:t>
      </w:r>
      <w:r w:rsidRPr="00A52ADE">
        <w:rPr>
          <w:rFonts w:ascii="Verdana" w:hAnsi="Verdana"/>
          <w:sz w:val="18"/>
          <w:szCs w:val="18"/>
          <w:lang w:val="es-ES_tradnl"/>
        </w:rPr>
        <w:t xml:space="preserve">Ibidem </w:t>
      </w:r>
    </w:p>
    <w:p w14:paraId="359CD5F5" w14:textId="77777777" w:rsidR="00D93BDF" w:rsidRPr="00A52ADE" w:rsidRDefault="00D93BDF" w:rsidP="00D93BDF">
      <w:pPr>
        <w:pStyle w:val="Textonotapie"/>
        <w:ind w:firstLine="708"/>
        <w:jc w:val="both"/>
        <w:rPr>
          <w:rFonts w:ascii="Verdana" w:hAnsi="Verdana"/>
          <w:sz w:val="18"/>
          <w:szCs w:val="18"/>
          <w:lang w:val="es-ES_tradnl"/>
        </w:rPr>
      </w:pPr>
    </w:p>
  </w:footnote>
  <w:footnote w:id="10">
    <w:p w14:paraId="5CC8E9F9" w14:textId="77777777" w:rsidR="00D93BDF" w:rsidRPr="00A52ADE" w:rsidRDefault="00D93BDF" w:rsidP="00D93BDF">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Anexo 5 – Glosario, de los documentos tipo de licitación de obra pública de infraestructura social, definición 2.80. </w:t>
      </w:r>
    </w:p>
    <w:p w14:paraId="22C4EAB9" w14:textId="77777777" w:rsidR="00D93BDF" w:rsidRPr="00A52ADE" w:rsidRDefault="00D93BDF" w:rsidP="00D93BDF">
      <w:pPr>
        <w:pStyle w:val="Textonotapie"/>
        <w:ind w:firstLine="708"/>
        <w:jc w:val="both"/>
        <w:rPr>
          <w:rFonts w:ascii="Verdana" w:hAnsi="Verdana"/>
          <w:sz w:val="18"/>
          <w:szCs w:val="18"/>
          <w:lang w:val="es-ES_tradnl"/>
        </w:rPr>
      </w:pPr>
    </w:p>
  </w:footnote>
  <w:footnote w:id="11">
    <w:p w14:paraId="776D78F2" w14:textId="77777777" w:rsidR="00D93BDF" w:rsidRPr="00BD5135" w:rsidRDefault="00D93BDF" w:rsidP="00D93BDF">
      <w:pPr>
        <w:pStyle w:val="Textonotapie"/>
        <w:ind w:firstLine="708"/>
        <w:rPr>
          <w:rFonts w:ascii="Verdana" w:hAnsi="Verdana"/>
          <w:sz w:val="18"/>
          <w:szCs w:val="18"/>
        </w:rPr>
      </w:pPr>
      <w:r w:rsidRPr="00BD5135">
        <w:rPr>
          <w:rFonts w:ascii="Verdana" w:hAnsi="Verdana"/>
          <w:sz w:val="18"/>
          <w:szCs w:val="18"/>
          <w:vertAlign w:val="superscript"/>
        </w:rPr>
        <w:footnoteRef/>
      </w:r>
      <w:r w:rsidRPr="00BD5135">
        <w:rPr>
          <w:rFonts w:ascii="Verdana" w:hAnsi="Verdana"/>
          <w:sz w:val="18"/>
          <w:szCs w:val="18"/>
          <w:vertAlign w:val="superscript"/>
        </w:rPr>
        <w:t xml:space="preserve"> </w:t>
      </w:r>
      <w:r w:rsidRPr="00BD5135">
        <w:rPr>
          <w:rFonts w:ascii="Verdana" w:hAnsi="Verdana"/>
          <w:sz w:val="18"/>
          <w:szCs w:val="18"/>
        </w:rPr>
        <w:t>Artículo 1 Objeto, del Decreto 2106 de 2013 “</w:t>
      </w:r>
      <w:r w:rsidRPr="00BD5135">
        <w:rPr>
          <w:rFonts w:ascii="Verdana" w:hAnsi="Verdana"/>
          <w:i/>
          <w:iCs/>
          <w:sz w:val="18"/>
          <w:szCs w:val="18"/>
        </w:rPr>
        <w:t>Por el cual se modifica la estructura del Instituto Nacional para Sordos - INSOR, se determinan las funciones de sus dependencias y se dictan otras disposiciones”</w:t>
      </w:r>
      <w:r w:rsidRPr="00A52ADE">
        <w:rPr>
          <w:rFonts w:ascii="Verdana" w:hAnsi="Verdana"/>
          <w:i/>
          <w:iCs/>
          <w:sz w:val="18"/>
          <w:szCs w:val="18"/>
        </w:rPr>
        <w:t xml:space="preserve">. </w:t>
      </w:r>
    </w:p>
  </w:footnote>
  <w:footnote w:id="12">
    <w:p w14:paraId="3DC5CF87" w14:textId="77777777" w:rsidR="00D93BDF" w:rsidRPr="00BD5135" w:rsidRDefault="00D93BDF" w:rsidP="00D93BDF">
      <w:pPr>
        <w:pStyle w:val="Textonotapie"/>
        <w:ind w:firstLine="708"/>
        <w:jc w:val="both"/>
        <w:rPr>
          <w:rFonts w:ascii="Verdana" w:hAnsi="Verdana"/>
          <w:sz w:val="18"/>
          <w:szCs w:val="18"/>
          <w:lang w:val="es-ES_tradnl"/>
        </w:rPr>
      </w:pPr>
      <w:r w:rsidRPr="00BD5135">
        <w:rPr>
          <w:rStyle w:val="Refdenotaalpie"/>
          <w:rFonts w:ascii="Verdana" w:hAnsi="Verdana"/>
          <w:sz w:val="18"/>
          <w:szCs w:val="18"/>
        </w:rPr>
        <w:footnoteRef/>
      </w:r>
      <w:r w:rsidRPr="00BD5135">
        <w:rPr>
          <w:rFonts w:ascii="Verdana" w:hAnsi="Verdana"/>
          <w:sz w:val="18"/>
          <w:szCs w:val="18"/>
        </w:rPr>
        <w:t xml:space="preserve"> La Agencia Nacional de Contratación Pública – Colombia Compra Eficiente se pronunció sobre la actividad de instalación de aires acondicionados entre otros en los conceptos C-304 del 8 de abril de 2026 y C-323 del 8 de abril de 2023, estos conceptos pueden consultarse en la relatoría de esta Agencia a través del siguiente enlace: </w:t>
      </w:r>
      <w:hyperlink r:id="rId1" w:tgtFrame="_blank" w:tooltip="Dirección URL original: https://relatoria.colombiacompra.gov.co/. Haga clic o pulse si confía en este vínculo." w:history="1">
        <w:r w:rsidRPr="00BD5135">
          <w:rPr>
            <w:rFonts w:ascii="Verdana" w:eastAsia="Calibri" w:hAnsi="Verdana" w:cs="Arial"/>
            <w:color w:val="0000FF"/>
            <w:sz w:val="18"/>
            <w:szCs w:val="18"/>
            <w:u w:val="single"/>
            <w:shd w:val="clear" w:color="auto" w:fill="FFFFFF"/>
          </w:rPr>
          <w:t>https://relatoria.colombiacompra.gov.co/</w:t>
        </w:r>
      </w:hyperlink>
      <w:r w:rsidRPr="00BD5135">
        <w:rPr>
          <w:rFonts w:ascii="Verdana" w:eastAsia="Calibri" w:hAnsi="Verdana" w:cs="Arial"/>
          <w:color w:val="0000FF"/>
          <w:sz w:val="18"/>
          <w:szCs w:val="18"/>
          <w:u w:val="single"/>
          <w:shd w:val="clear" w:color="auto" w:fill="FFFFFF"/>
        </w:rPr>
        <w:t> .</w:t>
      </w:r>
    </w:p>
  </w:footnote>
  <w:footnote w:id="13">
    <w:p w14:paraId="68B7525F" w14:textId="77777777" w:rsidR="00D93BDF" w:rsidRPr="00BD5135" w:rsidRDefault="00D93BDF" w:rsidP="00D93BDF">
      <w:pPr>
        <w:pStyle w:val="Textonotapie"/>
        <w:ind w:firstLine="708"/>
        <w:jc w:val="both"/>
        <w:rPr>
          <w:rFonts w:ascii="Verdana" w:hAnsi="Verdana"/>
          <w:sz w:val="18"/>
          <w:szCs w:val="18"/>
          <w:lang w:val="es-ES_tradnl"/>
        </w:rPr>
      </w:pPr>
      <w:r w:rsidRPr="00BD5135">
        <w:rPr>
          <w:rStyle w:val="Refdenotaalpie"/>
          <w:rFonts w:ascii="Verdana" w:hAnsi="Verdana"/>
          <w:sz w:val="18"/>
          <w:szCs w:val="18"/>
        </w:rPr>
        <w:footnoteRef/>
      </w:r>
      <w:r w:rsidRPr="00BD5135">
        <w:rPr>
          <w:rFonts w:ascii="Verdana" w:hAnsi="Verdana"/>
          <w:sz w:val="18"/>
          <w:szCs w:val="18"/>
        </w:rPr>
        <w:t xml:space="preserve"> Esta nota 12 se establece en los mimos términos en el parágrafo 4 del artículo 4 de la Resolución 540 de 2025. Concretamente se indica: “Parágrafo 4°. En caso de que la entidad considere pertinente incorporar experiencia relacionada con obras, bienes o servicios adicionales a la obra pública, podrá reemplazar como máximo una (1) de las actividades secundarias. Para esta incorporación, deberán observarse las mismas reglas establecidas para las actividades secundarias contenidas en el numeral 3.5.1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 En ningún caso deberá entenderse que la inclusión de una actividad adicional equivale al procedimiento establecido para la combinación de experiencia. Para este último caso, se deberá aplicar lo establecido en el numeral 1 del literal A del numeral 3.5.1 del documento base.”</w:t>
      </w:r>
    </w:p>
  </w:footnote>
  <w:footnote w:id="14">
    <w:p w14:paraId="5BDFE8AB" w14:textId="77777777" w:rsidR="00D93BDF" w:rsidRPr="00BD5135" w:rsidRDefault="00D93BDF" w:rsidP="00D93BDF">
      <w:pPr>
        <w:spacing w:line="240" w:lineRule="auto"/>
        <w:ind w:firstLine="708"/>
        <w:jc w:val="both"/>
        <w:rPr>
          <w:rFonts w:ascii="Verdana" w:hAnsi="Verdana"/>
          <w:sz w:val="18"/>
          <w:szCs w:val="18"/>
          <w:lang w:val="es-MX"/>
        </w:rPr>
      </w:pPr>
      <w:r w:rsidRPr="00BD5135">
        <w:rPr>
          <w:rStyle w:val="Refdenotaalpie"/>
          <w:rFonts w:ascii="Verdana" w:hAnsi="Verdana" w:cs="Arial"/>
          <w:sz w:val="18"/>
          <w:szCs w:val="18"/>
        </w:rPr>
        <w:footnoteRef/>
      </w:r>
      <w:r w:rsidRPr="00BD5135">
        <w:rPr>
          <w:rFonts w:ascii="Verdana" w:hAnsi="Verdana" w:cs="Arial"/>
          <w:sz w:val="18"/>
          <w:szCs w:val="18"/>
        </w:rPr>
        <w:t xml:space="preserve"> En el numeral indicado se establece: “</w:t>
      </w:r>
      <w:r w:rsidRPr="00BD5135">
        <w:rPr>
          <w:rFonts w:ascii="Verdana" w:hAnsi="Verdana"/>
          <w:sz w:val="18"/>
          <w:szCs w:val="18"/>
          <w:lang w:val="es-MX"/>
        </w:rPr>
        <w:t>Las Entidades Estatales deben consultar y analizar las anotaciones vigentes que reposen en el Registro Nacional de Obras Civiles Inconclusas, de que trata la Ley 2020 de 2020. En el evento que las personas naturales o jurídicas, nacionales o extranjeras domiciliadas o con Sucursal en Colombia, o integrantes de Proponentes Plurales, cuenten con alguna anotación vigente de obra civil inconclusa, en el mencionado registro, se descontará un (1) punto de la sumatoria obtenida en relación con el factor de calidad</w:t>
      </w:r>
      <w:r w:rsidRPr="00BD5135">
        <w:rPr>
          <w:rFonts w:ascii="Verdana" w:hAnsi="Verdana"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74308ED"/>
    <w:multiLevelType w:val="multilevel"/>
    <w:tmpl w:val="B386CF3C"/>
    <w:lvl w:ilvl="0">
      <w:start w:val="4"/>
      <w:numFmt w:val="decimal"/>
      <w:lvlText w:val="%1."/>
      <w:lvlJc w:val="left"/>
      <w:pPr>
        <w:ind w:left="672" w:hanging="672"/>
      </w:pPr>
      <w:rPr>
        <w:rFonts w:hint="default"/>
      </w:rPr>
    </w:lvl>
    <w:lvl w:ilvl="1">
      <w:start w:val="3"/>
      <w:numFmt w:val="decimal"/>
      <w:lvlText w:val="%1.%2."/>
      <w:lvlJc w:val="left"/>
      <w:pPr>
        <w:ind w:left="672" w:hanging="67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F10692"/>
    <w:multiLevelType w:val="hybridMultilevel"/>
    <w:tmpl w:val="CD1E8312"/>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2" w15:restartNumberingAfterBreak="0">
    <w:nsid w:val="566E7880"/>
    <w:multiLevelType w:val="multilevel"/>
    <w:tmpl w:val="6100D5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B80BC6"/>
    <w:multiLevelType w:val="hybridMultilevel"/>
    <w:tmpl w:val="277AD332"/>
    <w:lvl w:ilvl="0" w:tplc="DDFCC9EE">
      <w:start w:val="14"/>
      <w:numFmt w:val="decimal"/>
      <w:pStyle w:val="Captulo9"/>
      <w:lvlText w:val="%1."/>
      <w:lvlJc w:val="left"/>
      <w:pPr>
        <w:ind w:left="720" w:hanging="360"/>
      </w:pPr>
      <w:rPr>
        <w:rFonts w:ascii="Arial Narrow" w:hAnsi="Arial Narrow" w:hint="default"/>
        <w:b w:val="0"/>
        <w:bCs w:val="0"/>
      </w:rPr>
    </w:lvl>
    <w:lvl w:ilvl="1" w:tplc="614C0648">
      <w:start w:val="1"/>
      <w:numFmt w:val="lowerLetter"/>
      <w:lvlText w:val="%2."/>
      <w:lvlJc w:val="left"/>
      <w:pPr>
        <w:ind w:left="1440" w:hanging="360"/>
      </w:pPr>
    </w:lvl>
    <w:lvl w:ilvl="2" w:tplc="3FD2A520" w:tentative="1">
      <w:start w:val="1"/>
      <w:numFmt w:val="lowerRoman"/>
      <w:lvlText w:val="%3."/>
      <w:lvlJc w:val="right"/>
      <w:pPr>
        <w:ind w:left="2160" w:hanging="180"/>
      </w:pPr>
    </w:lvl>
    <w:lvl w:ilvl="3" w:tplc="36583930" w:tentative="1">
      <w:start w:val="1"/>
      <w:numFmt w:val="decimal"/>
      <w:lvlText w:val="%4."/>
      <w:lvlJc w:val="left"/>
      <w:pPr>
        <w:ind w:left="2880" w:hanging="360"/>
      </w:pPr>
    </w:lvl>
    <w:lvl w:ilvl="4" w:tplc="6D5A98B8" w:tentative="1">
      <w:start w:val="1"/>
      <w:numFmt w:val="lowerLetter"/>
      <w:lvlText w:val="%5."/>
      <w:lvlJc w:val="left"/>
      <w:pPr>
        <w:ind w:left="3600" w:hanging="360"/>
      </w:pPr>
    </w:lvl>
    <w:lvl w:ilvl="5" w:tplc="5268C63E" w:tentative="1">
      <w:start w:val="1"/>
      <w:numFmt w:val="lowerRoman"/>
      <w:lvlText w:val="%6."/>
      <w:lvlJc w:val="right"/>
      <w:pPr>
        <w:ind w:left="4320" w:hanging="180"/>
      </w:pPr>
    </w:lvl>
    <w:lvl w:ilvl="6" w:tplc="CA6E7E6E" w:tentative="1">
      <w:start w:val="1"/>
      <w:numFmt w:val="decimal"/>
      <w:lvlText w:val="%7."/>
      <w:lvlJc w:val="left"/>
      <w:pPr>
        <w:ind w:left="5040" w:hanging="360"/>
      </w:pPr>
    </w:lvl>
    <w:lvl w:ilvl="7" w:tplc="E54E75BA" w:tentative="1">
      <w:start w:val="1"/>
      <w:numFmt w:val="lowerLetter"/>
      <w:lvlText w:val="%8."/>
      <w:lvlJc w:val="left"/>
      <w:pPr>
        <w:ind w:left="5760" w:hanging="360"/>
      </w:pPr>
    </w:lvl>
    <w:lvl w:ilvl="8" w:tplc="E53E02CE" w:tentative="1">
      <w:start w:val="1"/>
      <w:numFmt w:val="lowerRoman"/>
      <w:lvlText w:val="%9."/>
      <w:lvlJc w:val="right"/>
      <w:pPr>
        <w:ind w:left="6480" w:hanging="180"/>
      </w:pPr>
    </w:lvl>
  </w:abstractNum>
  <w:abstractNum w:abstractNumId="14" w15:restartNumberingAfterBreak="0">
    <w:nsid w:val="620C3BE4"/>
    <w:multiLevelType w:val="hybridMultilevel"/>
    <w:tmpl w:val="B9F0D03C"/>
    <w:lvl w:ilvl="0" w:tplc="3138A1B6">
      <w:start w:val="6"/>
      <w:numFmt w:val="bullet"/>
      <w:lvlText w:val="•"/>
      <w:lvlJc w:val="left"/>
      <w:pPr>
        <w:ind w:left="1070" w:hanging="710"/>
      </w:pPr>
      <w:rPr>
        <w:rFonts w:ascii="Arial" w:hAnsi="Arial" w:hint="default"/>
      </w:rPr>
    </w:lvl>
    <w:lvl w:ilvl="1" w:tplc="53960FBE" w:tentative="1">
      <w:start w:val="1"/>
      <w:numFmt w:val="bullet"/>
      <w:lvlText w:val="o"/>
      <w:lvlJc w:val="left"/>
      <w:pPr>
        <w:ind w:left="1440" w:hanging="360"/>
      </w:pPr>
      <w:rPr>
        <w:rFonts w:ascii="Courier New" w:hAnsi="Courier New" w:hint="default"/>
      </w:rPr>
    </w:lvl>
    <w:lvl w:ilvl="2" w:tplc="49662100" w:tentative="1">
      <w:start w:val="1"/>
      <w:numFmt w:val="bullet"/>
      <w:lvlText w:val=""/>
      <w:lvlJc w:val="left"/>
      <w:pPr>
        <w:ind w:left="2160" w:hanging="360"/>
      </w:pPr>
      <w:rPr>
        <w:rFonts w:ascii="Wingdings" w:hAnsi="Wingdings" w:hint="default"/>
      </w:rPr>
    </w:lvl>
    <w:lvl w:ilvl="3" w:tplc="7708E410" w:tentative="1">
      <w:start w:val="1"/>
      <w:numFmt w:val="bullet"/>
      <w:lvlText w:val=""/>
      <w:lvlJc w:val="left"/>
      <w:pPr>
        <w:ind w:left="2880" w:hanging="360"/>
      </w:pPr>
      <w:rPr>
        <w:rFonts w:ascii="Symbol" w:hAnsi="Symbol" w:hint="default"/>
      </w:rPr>
    </w:lvl>
    <w:lvl w:ilvl="4" w:tplc="B462BDB0" w:tentative="1">
      <w:start w:val="1"/>
      <w:numFmt w:val="bullet"/>
      <w:lvlText w:val="o"/>
      <w:lvlJc w:val="left"/>
      <w:pPr>
        <w:ind w:left="3600" w:hanging="360"/>
      </w:pPr>
      <w:rPr>
        <w:rFonts w:ascii="Courier New" w:hAnsi="Courier New" w:hint="default"/>
      </w:rPr>
    </w:lvl>
    <w:lvl w:ilvl="5" w:tplc="A8FA2FEA" w:tentative="1">
      <w:start w:val="1"/>
      <w:numFmt w:val="bullet"/>
      <w:lvlText w:val=""/>
      <w:lvlJc w:val="left"/>
      <w:pPr>
        <w:ind w:left="4320" w:hanging="360"/>
      </w:pPr>
      <w:rPr>
        <w:rFonts w:ascii="Wingdings" w:hAnsi="Wingdings" w:hint="default"/>
      </w:rPr>
    </w:lvl>
    <w:lvl w:ilvl="6" w:tplc="7E84F9B8" w:tentative="1">
      <w:start w:val="1"/>
      <w:numFmt w:val="bullet"/>
      <w:lvlText w:val=""/>
      <w:lvlJc w:val="left"/>
      <w:pPr>
        <w:ind w:left="5040" w:hanging="360"/>
      </w:pPr>
      <w:rPr>
        <w:rFonts w:ascii="Symbol" w:hAnsi="Symbol" w:hint="default"/>
      </w:rPr>
    </w:lvl>
    <w:lvl w:ilvl="7" w:tplc="95960D64" w:tentative="1">
      <w:start w:val="1"/>
      <w:numFmt w:val="bullet"/>
      <w:lvlText w:val="o"/>
      <w:lvlJc w:val="left"/>
      <w:pPr>
        <w:ind w:left="5760" w:hanging="360"/>
      </w:pPr>
      <w:rPr>
        <w:rFonts w:ascii="Courier New" w:hAnsi="Courier New" w:hint="default"/>
      </w:rPr>
    </w:lvl>
    <w:lvl w:ilvl="8" w:tplc="1F6E027C" w:tentative="1">
      <w:start w:val="1"/>
      <w:numFmt w:val="bullet"/>
      <w:lvlText w:val=""/>
      <w:lvlJc w:val="left"/>
      <w:pPr>
        <w:ind w:left="6480" w:hanging="360"/>
      </w:pPr>
      <w:rPr>
        <w:rFonts w:ascii="Wingdings" w:hAnsi="Wingdings" w:hint="default"/>
      </w:r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8"/>
  </w:num>
  <w:num w:numId="7" w16cid:durableId="1946422806">
    <w:abstractNumId w:val="7"/>
  </w:num>
  <w:num w:numId="8" w16cid:durableId="152644682">
    <w:abstractNumId w:val="17"/>
  </w:num>
  <w:num w:numId="9" w16cid:durableId="1317221377">
    <w:abstractNumId w:val="9"/>
  </w:num>
  <w:num w:numId="10" w16cid:durableId="1471245386">
    <w:abstractNumId w:val="16"/>
  </w:num>
  <w:num w:numId="11" w16cid:durableId="289172385">
    <w:abstractNumId w:val="10"/>
  </w:num>
  <w:num w:numId="12" w16cid:durableId="1470781324">
    <w:abstractNumId w:val="1"/>
  </w:num>
  <w:num w:numId="13" w16cid:durableId="1512908409">
    <w:abstractNumId w:val="4"/>
  </w:num>
  <w:num w:numId="14" w16cid:durableId="895897244">
    <w:abstractNumId w:val="19"/>
  </w:num>
  <w:num w:numId="15" w16cid:durableId="390349800">
    <w:abstractNumId w:val="15"/>
  </w:num>
  <w:num w:numId="16" w16cid:durableId="827985604">
    <w:abstractNumId w:val="11"/>
  </w:num>
  <w:num w:numId="17" w16cid:durableId="341274352">
    <w:abstractNumId w:val="0"/>
  </w:num>
  <w:num w:numId="18" w16cid:durableId="1361517594">
    <w:abstractNumId w:val="12"/>
  </w:num>
  <w:num w:numId="19" w16cid:durableId="1788037825">
    <w:abstractNumId w:val="13"/>
  </w:num>
  <w:num w:numId="20" w16cid:durableId="1421222352">
    <w:abstractNumId w:val="3"/>
  </w:num>
  <w:num w:numId="21" w16cid:durableId="2139909414">
    <w:abstractNumId w:val="5"/>
  </w:num>
  <w:num w:numId="22" w16cid:durableId="7115413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4E36"/>
    <w:rsid w:val="000A683E"/>
    <w:rsid w:val="000B19B9"/>
    <w:rsid w:val="000D0334"/>
    <w:rsid w:val="000D5DA7"/>
    <w:rsid w:val="000F6486"/>
    <w:rsid w:val="00112269"/>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0A31"/>
    <w:rsid w:val="003448F4"/>
    <w:rsid w:val="003457CF"/>
    <w:rsid w:val="00374F5E"/>
    <w:rsid w:val="00377E3E"/>
    <w:rsid w:val="003A779E"/>
    <w:rsid w:val="003D0F4D"/>
    <w:rsid w:val="003D5B0D"/>
    <w:rsid w:val="003E0499"/>
    <w:rsid w:val="003E4F80"/>
    <w:rsid w:val="003E6439"/>
    <w:rsid w:val="003E7DBA"/>
    <w:rsid w:val="003F3941"/>
    <w:rsid w:val="00406575"/>
    <w:rsid w:val="00414C74"/>
    <w:rsid w:val="0042722E"/>
    <w:rsid w:val="0044528D"/>
    <w:rsid w:val="00466E39"/>
    <w:rsid w:val="004A1847"/>
    <w:rsid w:val="004A305D"/>
    <w:rsid w:val="004A5833"/>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8205A"/>
    <w:rsid w:val="006900D9"/>
    <w:rsid w:val="00695739"/>
    <w:rsid w:val="006B6686"/>
    <w:rsid w:val="00706C16"/>
    <w:rsid w:val="007340C3"/>
    <w:rsid w:val="0075235A"/>
    <w:rsid w:val="00756841"/>
    <w:rsid w:val="007649AB"/>
    <w:rsid w:val="007676CF"/>
    <w:rsid w:val="00771D0C"/>
    <w:rsid w:val="007833AC"/>
    <w:rsid w:val="007B268C"/>
    <w:rsid w:val="007B7171"/>
    <w:rsid w:val="007C0C0F"/>
    <w:rsid w:val="007C3DC2"/>
    <w:rsid w:val="007E5497"/>
    <w:rsid w:val="00806F5F"/>
    <w:rsid w:val="00820278"/>
    <w:rsid w:val="008258C9"/>
    <w:rsid w:val="00826587"/>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80DC9"/>
    <w:rsid w:val="009A0DFA"/>
    <w:rsid w:val="009A1C6F"/>
    <w:rsid w:val="009A6761"/>
    <w:rsid w:val="009B2D26"/>
    <w:rsid w:val="009C71FA"/>
    <w:rsid w:val="009C72E7"/>
    <w:rsid w:val="009C7F7E"/>
    <w:rsid w:val="009D3058"/>
    <w:rsid w:val="009F3A13"/>
    <w:rsid w:val="00A122D3"/>
    <w:rsid w:val="00A14468"/>
    <w:rsid w:val="00A17F13"/>
    <w:rsid w:val="00A20739"/>
    <w:rsid w:val="00A23AF9"/>
    <w:rsid w:val="00A33C78"/>
    <w:rsid w:val="00A340F0"/>
    <w:rsid w:val="00AB0ADB"/>
    <w:rsid w:val="00AC72E0"/>
    <w:rsid w:val="00B00C0E"/>
    <w:rsid w:val="00B01B1A"/>
    <w:rsid w:val="00B0381D"/>
    <w:rsid w:val="00B44A47"/>
    <w:rsid w:val="00B72CD3"/>
    <w:rsid w:val="00B72FFF"/>
    <w:rsid w:val="00B812B4"/>
    <w:rsid w:val="00BC3D36"/>
    <w:rsid w:val="00BD54A6"/>
    <w:rsid w:val="00BD7F72"/>
    <w:rsid w:val="00BF7425"/>
    <w:rsid w:val="00C04FB3"/>
    <w:rsid w:val="00C07E34"/>
    <w:rsid w:val="00C11D8B"/>
    <w:rsid w:val="00C15139"/>
    <w:rsid w:val="00C330EB"/>
    <w:rsid w:val="00C50D69"/>
    <w:rsid w:val="00C5365C"/>
    <w:rsid w:val="00C754BE"/>
    <w:rsid w:val="00C76B1C"/>
    <w:rsid w:val="00C925AC"/>
    <w:rsid w:val="00CB2E13"/>
    <w:rsid w:val="00CB6357"/>
    <w:rsid w:val="00CC1B26"/>
    <w:rsid w:val="00D361FD"/>
    <w:rsid w:val="00D423A2"/>
    <w:rsid w:val="00D44E26"/>
    <w:rsid w:val="00D520D8"/>
    <w:rsid w:val="00D63AC2"/>
    <w:rsid w:val="00D7383B"/>
    <w:rsid w:val="00D7788A"/>
    <w:rsid w:val="00D93BDF"/>
    <w:rsid w:val="00DA231B"/>
    <w:rsid w:val="00DC39FC"/>
    <w:rsid w:val="00DE3A59"/>
    <w:rsid w:val="00DF5254"/>
    <w:rsid w:val="00E02524"/>
    <w:rsid w:val="00E11372"/>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A6C96"/>
    <w:rsid w:val="00FB5DD1"/>
    <w:rsid w:val="00FC2B5D"/>
    <w:rsid w:val="00FF1449"/>
    <w:rsid w:val="00FF7963"/>
    <w:rsid w:val="071B8F93"/>
    <w:rsid w:val="07C73DD1"/>
    <w:rsid w:val="09908A09"/>
    <w:rsid w:val="0B7F1396"/>
    <w:rsid w:val="0E0AF0F4"/>
    <w:rsid w:val="0EFE6349"/>
    <w:rsid w:val="0FF4CCA8"/>
    <w:rsid w:val="1165BA09"/>
    <w:rsid w:val="13CFC91B"/>
    <w:rsid w:val="19A2EC2C"/>
    <w:rsid w:val="1F8F783F"/>
    <w:rsid w:val="21779BE6"/>
    <w:rsid w:val="232F8752"/>
    <w:rsid w:val="2859CA1B"/>
    <w:rsid w:val="2AF8C823"/>
    <w:rsid w:val="2C4D2425"/>
    <w:rsid w:val="2EE1E026"/>
    <w:rsid w:val="2F44F38F"/>
    <w:rsid w:val="2FA568EA"/>
    <w:rsid w:val="30821638"/>
    <w:rsid w:val="32A4F9CF"/>
    <w:rsid w:val="33A1FF93"/>
    <w:rsid w:val="356CEDFD"/>
    <w:rsid w:val="35CFB54C"/>
    <w:rsid w:val="37301BB0"/>
    <w:rsid w:val="3ABDA991"/>
    <w:rsid w:val="3C591AFD"/>
    <w:rsid w:val="3DB68B91"/>
    <w:rsid w:val="42183F0A"/>
    <w:rsid w:val="4CBA6044"/>
    <w:rsid w:val="4F9F75B3"/>
    <w:rsid w:val="545B112A"/>
    <w:rsid w:val="5BEB1497"/>
    <w:rsid w:val="62057FAF"/>
    <w:rsid w:val="64709E9A"/>
    <w:rsid w:val="69614A15"/>
    <w:rsid w:val="6C6340DD"/>
    <w:rsid w:val="74BA017B"/>
    <w:rsid w:val="7677286E"/>
    <w:rsid w:val="7981744E"/>
    <w:rsid w:val="79A64A20"/>
    <w:rsid w:val="7BB183BC"/>
    <w:rsid w:val="7CAA6F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D93BDF"/>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D93BDF"/>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D93BDF"/>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D93BDF"/>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D93BDF"/>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D93BDF"/>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D93BDF"/>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D93BDF"/>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D93BDF"/>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D93BDF"/>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unhideWhenUsed/>
    <w:qFormat/>
    <w:rsid w:val="00D93BDF"/>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unhideWhenUsed/>
    <w:qFormat/>
    <w:rsid w:val="00D93BDF"/>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D93BDF"/>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D93BDF"/>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D93BDF"/>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D93BDF"/>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D93BDF"/>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D93BDF"/>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D93BDF"/>
  </w:style>
  <w:style w:type="character" w:customStyle="1" w:styleId="Ttulo1Car">
    <w:name w:val="Título 1 Car"/>
    <w:basedOn w:val="Fuentedeprrafopredeter"/>
    <w:link w:val="Ttulo1"/>
    <w:uiPriority w:val="9"/>
    <w:rsid w:val="00D93BDF"/>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rsid w:val="00D93BDF"/>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D93BDF"/>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D93BDF"/>
    <w:rPr>
      <w:rFonts w:eastAsia="Times New Roman" w:cs="Times New Roman"/>
      <w:i/>
      <w:iCs/>
      <w:color w:val="0F4761"/>
    </w:rPr>
  </w:style>
  <w:style w:type="character" w:customStyle="1" w:styleId="Ttulo5Car">
    <w:name w:val="Título 5 Car"/>
    <w:basedOn w:val="Fuentedeprrafopredeter"/>
    <w:link w:val="Ttulo5"/>
    <w:uiPriority w:val="9"/>
    <w:semiHidden/>
    <w:rsid w:val="00D93BDF"/>
    <w:rPr>
      <w:rFonts w:eastAsia="Times New Roman" w:cs="Times New Roman"/>
      <w:color w:val="0F4761"/>
    </w:rPr>
  </w:style>
  <w:style w:type="character" w:customStyle="1" w:styleId="Ttulo6Car">
    <w:name w:val="Título 6 Car"/>
    <w:basedOn w:val="Fuentedeprrafopredeter"/>
    <w:link w:val="Ttulo6"/>
    <w:uiPriority w:val="9"/>
    <w:semiHidden/>
    <w:rsid w:val="00D93BDF"/>
    <w:rPr>
      <w:rFonts w:eastAsia="Times New Roman" w:cs="Times New Roman"/>
      <w:i/>
      <w:iCs/>
      <w:color w:val="595959"/>
    </w:rPr>
  </w:style>
  <w:style w:type="character" w:customStyle="1" w:styleId="Ttulo7Car">
    <w:name w:val="Título 7 Car"/>
    <w:basedOn w:val="Fuentedeprrafopredeter"/>
    <w:link w:val="Ttulo7"/>
    <w:uiPriority w:val="9"/>
    <w:semiHidden/>
    <w:rsid w:val="00D93BDF"/>
    <w:rPr>
      <w:rFonts w:eastAsia="Times New Roman" w:cs="Times New Roman"/>
      <w:color w:val="595959"/>
    </w:rPr>
  </w:style>
  <w:style w:type="character" w:customStyle="1" w:styleId="Ttulo8Car">
    <w:name w:val="Título 8 Car"/>
    <w:basedOn w:val="Fuentedeprrafopredeter"/>
    <w:link w:val="Ttulo8"/>
    <w:uiPriority w:val="9"/>
    <w:semiHidden/>
    <w:rsid w:val="00D93BDF"/>
    <w:rPr>
      <w:rFonts w:eastAsia="Times New Roman" w:cs="Times New Roman"/>
      <w:i/>
      <w:iCs/>
      <w:color w:val="272727"/>
    </w:rPr>
  </w:style>
  <w:style w:type="character" w:customStyle="1" w:styleId="Ttulo9Car">
    <w:name w:val="Título 9 Car"/>
    <w:basedOn w:val="Fuentedeprrafopredeter"/>
    <w:link w:val="Ttulo9"/>
    <w:uiPriority w:val="9"/>
    <w:semiHidden/>
    <w:rsid w:val="00D93BDF"/>
    <w:rPr>
      <w:rFonts w:eastAsia="Times New Roman" w:cs="Times New Roman"/>
      <w:color w:val="272727"/>
    </w:rPr>
  </w:style>
  <w:style w:type="paragraph" w:customStyle="1" w:styleId="Subttulo1">
    <w:name w:val="Subtítulo1"/>
    <w:basedOn w:val="Normal"/>
    <w:next w:val="Normal"/>
    <w:uiPriority w:val="11"/>
    <w:qFormat/>
    <w:rsid w:val="00D93BDF"/>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D93BDF"/>
    <w:rPr>
      <w:rFonts w:eastAsia="Times New Roman" w:cs="Times New Roman"/>
      <w:color w:val="595959"/>
      <w:spacing w:val="15"/>
      <w:sz w:val="28"/>
      <w:szCs w:val="28"/>
    </w:rPr>
  </w:style>
  <w:style w:type="paragraph" w:customStyle="1" w:styleId="Cita1">
    <w:name w:val="Cita1"/>
    <w:basedOn w:val="Normal"/>
    <w:next w:val="Normal"/>
    <w:uiPriority w:val="29"/>
    <w:qFormat/>
    <w:rsid w:val="00D93BDF"/>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D93BDF"/>
    <w:rPr>
      <w:i/>
      <w:iCs/>
      <w:color w:val="404040"/>
    </w:rPr>
  </w:style>
  <w:style w:type="character" w:customStyle="1" w:styleId="nfasisintenso1">
    <w:name w:val="Énfasis intenso1"/>
    <w:basedOn w:val="Fuentedeprrafopredeter"/>
    <w:uiPriority w:val="21"/>
    <w:qFormat/>
    <w:rsid w:val="00D93BDF"/>
    <w:rPr>
      <w:i/>
      <w:iCs/>
      <w:color w:val="0F4761"/>
    </w:rPr>
  </w:style>
  <w:style w:type="paragraph" w:customStyle="1" w:styleId="Citadestacada1">
    <w:name w:val="Cita destacada1"/>
    <w:basedOn w:val="Normal"/>
    <w:next w:val="Normal"/>
    <w:uiPriority w:val="30"/>
    <w:qFormat/>
    <w:rsid w:val="00D93BDF"/>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D93BDF"/>
    <w:rPr>
      <w:i/>
      <w:iCs/>
      <w:color w:val="0F4761"/>
    </w:rPr>
  </w:style>
  <w:style w:type="character" w:customStyle="1" w:styleId="Referenciaintensa1">
    <w:name w:val="Referencia intensa1"/>
    <w:basedOn w:val="Fuentedeprrafopredeter"/>
    <w:uiPriority w:val="32"/>
    <w:qFormat/>
    <w:rsid w:val="00D93BDF"/>
    <w:rPr>
      <w:b/>
      <w:bCs/>
      <w:smallCaps/>
      <w:color w:val="0F4761"/>
      <w:spacing w:val="5"/>
    </w:rPr>
  </w:style>
  <w:style w:type="numbering" w:customStyle="1" w:styleId="Sinlista11">
    <w:name w:val="Sin lista11"/>
    <w:next w:val="Sinlista"/>
    <w:uiPriority w:val="99"/>
    <w:semiHidden/>
    <w:unhideWhenUsed/>
    <w:rsid w:val="00D93BDF"/>
  </w:style>
  <w:style w:type="character" w:customStyle="1" w:styleId="Hipervnculovisitado1">
    <w:name w:val="Hipervínculo visitado1"/>
    <w:basedOn w:val="Fuentedeprrafopredeter"/>
    <w:uiPriority w:val="99"/>
    <w:semiHidden/>
    <w:unhideWhenUsed/>
    <w:rsid w:val="00D93BDF"/>
    <w:rPr>
      <w:color w:val="954F72"/>
      <w:u w:val="single"/>
    </w:rPr>
  </w:style>
  <w:style w:type="numbering" w:customStyle="1" w:styleId="Sinlista111">
    <w:name w:val="Sin lista111"/>
    <w:next w:val="Sinlista"/>
    <w:uiPriority w:val="99"/>
    <w:semiHidden/>
    <w:unhideWhenUsed/>
    <w:rsid w:val="00D93BDF"/>
  </w:style>
  <w:style w:type="table" w:customStyle="1" w:styleId="Tablaconcuadrcula1">
    <w:name w:val="Tabla con cuadrícula1"/>
    <w:basedOn w:val="Tablanormal"/>
    <w:next w:val="Tablaconcuadrcula"/>
    <w:uiPriority w:val="39"/>
    <w:qFormat/>
    <w:rsid w:val="00D93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D93BDF"/>
    <w:pPr>
      <w:spacing w:line="240" w:lineRule="exact"/>
    </w:pPr>
    <w:rPr>
      <w:vertAlign w:val="superscript"/>
    </w:rPr>
  </w:style>
  <w:style w:type="character" w:styleId="Fuerte">
    <w:name w:val="Strong"/>
    <w:basedOn w:val="Fuentedeprrafopredeter"/>
    <w:uiPriority w:val="22"/>
    <w:qFormat/>
    <w:rsid w:val="00D93BDF"/>
    <w:rPr>
      <w:b/>
      <w:bCs/>
    </w:rPr>
  </w:style>
  <w:style w:type="character" w:customStyle="1" w:styleId="whitespace-normal">
    <w:name w:val="whitespace-normal"/>
    <w:basedOn w:val="Fuentedeprrafopredeter"/>
    <w:rsid w:val="00D93BDF"/>
  </w:style>
  <w:style w:type="paragraph" w:styleId="Sinespaciado">
    <w:name w:val="No Spacing"/>
    <w:uiPriority w:val="1"/>
    <w:qFormat/>
    <w:rsid w:val="00D93BDF"/>
    <w:pPr>
      <w:spacing w:after="0" w:line="240" w:lineRule="auto"/>
    </w:pPr>
    <w:rPr>
      <w:kern w:val="2"/>
      <w:sz w:val="24"/>
      <w:szCs w:val="24"/>
      <w14:ligatures w14:val="standardContextual"/>
    </w:rPr>
  </w:style>
  <w:style w:type="character" w:styleId="nfasis">
    <w:name w:val="Emphasis"/>
    <w:basedOn w:val="Fuentedeprrafopredeter"/>
    <w:uiPriority w:val="20"/>
    <w:qFormat/>
    <w:rsid w:val="00D93BDF"/>
    <w:rPr>
      <w:i/>
      <w:iCs/>
    </w:rPr>
  </w:style>
  <w:style w:type="table" w:customStyle="1" w:styleId="Tablaconcuadrcula62">
    <w:name w:val="Tabla con cuadrícula62"/>
    <w:basedOn w:val="Tablanormal"/>
    <w:next w:val="Tablaconcuadrcula"/>
    <w:uiPriority w:val="39"/>
    <w:rsid w:val="00D93B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ulo9">
    <w:name w:val="Capítulo 9"/>
    <w:basedOn w:val="Normal"/>
    <w:qFormat/>
    <w:rsid w:val="00D93BDF"/>
    <w:pPr>
      <w:numPr>
        <w:numId w:val="19"/>
      </w:numPr>
      <w:spacing w:after="200" w:line="276" w:lineRule="auto"/>
      <w:contextualSpacing/>
    </w:pPr>
    <w:rPr>
      <w:rFonts w:ascii="Arial" w:eastAsia="Calibri" w:hAnsi="Arial" w:cs="Arial"/>
      <w:b/>
      <w:bCs/>
      <w:color w:val="3A3A3A"/>
      <w:sz w:val="20"/>
      <w:szCs w:val="20"/>
    </w:rPr>
  </w:style>
  <w:style w:type="table" w:customStyle="1" w:styleId="Tablaconcuadrcula11">
    <w:name w:val="Tabla con cuadrícula11"/>
    <w:basedOn w:val="Tablanormal"/>
    <w:next w:val="Tablaconcuadrcula"/>
    <w:uiPriority w:val="59"/>
    <w:rsid w:val="00D93B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qFormat/>
    <w:rsid w:val="00D93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D93BDF"/>
    <w:rPr>
      <w:rFonts w:ascii="Calibri Light" w:eastAsia="Times New Roman" w:hAnsi="Calibri Light" w:cs="Times New Roman"/>
      <w:color w:val="2F5496"/>
      <w:sz w:val="32"/>
      <w:szCs w:val="32"/>
    </w:rPr>
  </w:style>
  <w:style w:type="character" w:customStyle="1" w:styleId="Ttulo2Car1">
    <w:name w:val="Título 2 Car1"/>
    <w:basedOn w:val="Fuentedeprrafopredeter"/>
    <w:uiPriority w:val="9"/>
    <w:semiHidden/>
    <w:rsid w:val="00D93BDF"/>
    <w:rPr>
      <w:rFonts w:ascii="Calibri Light" w:eastAsia="Times New Roman" w:hAnsi="Calibri Light" w:cs="Times New Roman"/>
      <w:color w:val="2F5496"/>
      <w:sz w:val="26"/>
      <w:szCs w:val="26"/>
    </w:rPr>
  </w:style>
  <w:style w:type="character" w:customStyle="1" w:styleId="Ttulo3Car1">
    <w:name w:val="Título 3 Car1"/>
    <w:basedOn w:val="Fuentedeprrafopredeter"/>
    <w:uiPriority w:val="9"/>
    <w:semiHidden/>
    <w:rsid w:val="00D93BDF"/>
    <w:rPr>
      <w:rFonts w:ascii="Calibri Light" w:eastAsia="Times New Roman" w:hAnsi="Calibri Light" w:cs="Times New Roman"/>
      <w:color w:val="1F3763"/>
      <w:sz w:val="24"/>
      <w:szCs w:val="24"/>
    </w:rPr>
  </w:style>
  <w:style w:type="character" w:customStyle="1" w:styleId="Ttulo4Car1">
    <w:name w:val="Título 4 Car1"/>
    <w:basedOn w:val="Fuentedeprrafopredeter"/>
    <w:uiPriority w:val="9"/>
    <w:semiHidden/>
    <w:rsid w:val="00D93BDF"/>
    <w:rPr>
      <w:rFonts w:ascii="Calibri Light" w:eastAsia="Times New Roman" w:hAnsi="Calibri Light" w:cs="Times New Roman"/>
      <w:i/>
      <w:iCs/>
      <w:color w:val="2F5496"/>
    </w:rPr>
  </w:style>
  <w:style w:type="character" w:customStyle="1" w:styleId="Ttulo5Car1">
    <w:name w:val="Título 5 Car1"/>
    <w:basedOn w:val="Fuentedeprrafopredeter"/>
    <w:uiPriority w:val="9"/>
    <w:semiHidden/>
    <w:rsid w:val="00D93BDF"/>
    <w:rPr>
      <w:rFonts w:ascii="Calibri Light" w:eastAsia="Times New Roman" w:hAnsi="Calibri Light" w:cs="Times New Roman"/>
      <w:color w:val="2F5496"/>
    </w:rPr>
  </w:style>
  <w:style w:type="character" w:customStyle="1" w:styleId="Ttulo6Car1">
    <w:name w:val="Título 6 Car1"/>
    <w:basedOn w:val="Fuentedeprrafopredeter"/>
    <w:uiPriority w:val="9"/>
    <w:semiHidden/>
    <w:rsid w:val="00D93BDF"/>
    <w:rPr>
      <w:rFonts w:ascii="Calibri Light" w:eastAsia="Times New Roman" w:hAnsi="Calibri Light" w:cs="Times New Roman"/>
      <w:color w:val="1F3763"/>
    </w:rPr>
  </w:style>
  <w:style w:type="character" w:customStyle="1" w:styleId="Ttulo7Car1">
    <w:name w:val="Título 7 Car1"/>
    <w:basedOn w:val="Fuentedeprrafopredeter"/>
    <w:uiPriority w:val="9"/>
    <w:semiHidden/>
    <w:rsid w:val="00D93BDF"/>
    <w:rPr>
      <w:rFonts w:ascii="Calibri Light" w:eastAsia="Times New Roman" w:hAnsi="Calibri Light" w:cs="Times New Roman"/>
      <w:i/>
      <w:iCs/>
      <w:color w:val="1F3763"/>
    </w:rPr>
  </w:style>
  <w:style w:type="character" w:customStyle="1" w:styleId="Ttulo8Car1">
    <w:name w:val="Título 8 Car1"/>
    <w:basedOn w:val="Fuentedeprrafopredeter"/>
    <w:uiPriority w:val="9"/>
    <w:semiHidden/>
    <w:rsid w:val="00D93BDF"/>
    <w:rPr>
      <w:rFonts w:ascii="Calibri Light" w:eastAsia="Times New Roman" w:hAnsi="Calibri Light" w:cs="Times New Roman"/>
      <w:color w:val="272727"/>
      <w:sz w:val="21"/>
      <w:szCs w:val="21"/>
    </w:rPr>
  </w:style>
  <w:style w:type="character" w:customStyle="1" w:styleId="Ttulo9Car1">
    <w:name w:val="Título 9 Car1"/>
    <w:basedOn w:val="Fuentedeprrafopredeter"/>
    <w:uiPriority w:val="9"/>
    <w:semiHidden/>
    <w:rsid w:val="00D93BDF"/>
    <w:rPr>
      <w:rFonts w:ascii="Calibri Light" w:eastAsia="Times New Roman" w:hAnsi="Calibri Light" w:cs="Times New Roman"/>
      <w:i/>
      <w:iCs/>
      <w:color w:val="272727"/>
      <w:sz w:val="21"/>
      <w:szCs w:val="21"/>
    </w:rPr>
  </w:style>
  <w:style w:type="character" w:customStyle="1" w:styleId="SubttuloCar1">
    <w:name w:val="Subtítulo Car1"/>
    <w:basedOn w:val="Fuentedeprrafopredeter"/>
    <w:uiPriority w:val="11"/>
    <w:rsid w:val="00D93BDF"/>
    <w:rPr>
      <w:rFonts w:eastAsia="Times New Roman"/>
      <w:color w:val="5A5A5A"/>
      <w:spacing w:val="15"/>
    </w:rPr>
  </w:style>
  <w:style w:type="character" w:customStyle="1" w:styleId="CitaCar1">
    <w:name w:val="Cita Car1"/>
    <w:basedOn w:val="Fuentedeprrafopredeter"/>
    <w:uiPriority w:val="29"/>
    <w:rsid w:val="00D93BDF"/>
    <w:rPr>
      <w:i/>
      <w:iCs/>
      <w:color w:val="404040"/>
    </w:rPr>
  </w:style>
  <w:style w:type="character" w:customStyle="1" w:styleId="CitadestacadaCar1">
    <w:name w:val="Cita destacada Car1"/>
    <w:basedOn w:val="Fuentedeprrafopredeter"/>
    <w:uiPriority w:val="30"/>
    <w:rsid w:val="00D93BDF"/>
    <w:rPr>
      <w:i/>
      <w:iCs/>
      <w:color w:val="4472C4"/>
    </w:rPr>
  </w:style>
  <w:style w:type="character" w:styleId="Refdecomentario">
    <w:name w:val="annotation reference"/>
    <w:basedOn w:val="Fuentedeprrafopredeter"/>
    <w:uiPriority w:val="99"/>
    <w:semiHidden/>
    <w:unhideWhenUsed/>
    <w:rsid w:val="00D93BDF"/>
    <w:rPr>
      <w:sz w:val="16"/>
      <w:szCs w:val="16"/>
    </w:rPr>
  </w:style>
  <w:style w:type="paragraph" w:styleId="Textocomentario">
    <w:name w:val="annotation text"/>
    <w:basedOn w:val="Normal"/>
    <w:link w:val="TextocomentarioCar"/>
    <w:uiPriority w:val="99"/>
    <w:unhideWhenUsed/>
    <w:rsid w:val="00D93BDF"/>
    <w:pPr>
      <w:spacing w:line="240" w:lineRule="auto"/>
    </w:pPr>
    <w:rPr>
      <w:sz w:val="20"/>
      <w:szCs w:val="20"/>
    </w:rPr>
  </w:style>
  <w:style w:type="character" w:customStyle="1" w:styleId="TextocomentarioCar">
    <w:name w:val="Texto comentario Car"/>
    <w:basedOn w:val="Fuentedeprrafopredeter"/>
    <w:link w:val="Textocomentario"/>
    <w:uiPriority w:val="99"/>
    <w:rsid w:val="00D93BDF"/>
    <w:rPr>
      <w:sz w:val="20"/>
      <w:szCs w:val="20"/>
    </w:rPr>
  </w:style>
  <w:style w:type="paragraph" w:styleId="Asuntodelcomentario">
    <w:name w:val="annotation subject"/>
    <w:basedOn w:val="Textocomentario"/>
    <w:next w:val="Textocomentario"/>
    <w:link w:val="AsuntodelcomentarioCar"/>
    <w:uiPriority w:val="99"/>
    <w:semiHidden/>
    <w:unhideWhenUsed/>
    <w:rsid w:val="00D93BDF"/>
    <w:rPr>
      <w:b/>
      <w:bCs/>
    </w:rPr>
  </w:style>
  <w:style w:type="character" w:customStyle="1" w:styleId="AsuntodelcomentarioCar">
    <w:name w:val="Asunto del comentario Car"/>
    <w:basedOn w:val="TextocomentarioCar"/>
    <w:link w:val="Asuntodelcomentario"/>
    <w:uiPriority w:val="99"/>
    <w:semiHidden/>
    <w:rsid w:val="00D93BDF"/>
    <w:rPr>
      <w:b/>
      <w:bCs/>
      <w:sz w:val="20"/>
      <w:szCs w:val="20"/>
    </w:rPr>
  </w:style>
  <w:style w:type="character" w:customStyle="1" w:styleId="Ttulo1Car2">
    <w:name w:val="Título 1 Car2"/>
    <w:basedOn w:val="Fuentedeprrafopredeter"/>
    <w:uiPriority w:val="9"/>
    <w:rsid w:val="00D93BDF"/>
    <w:rPr>
      <w:rFonts w:asciiTheme="majorHAnsi" w:eastAsiaTheme="majorEastAsia" w:hAnsiTheme="majorHAnsi" w:cstheme="majorBidi"/>
      <w:color w:val="2F5496" w:themeColor="accent1" w:themeShade="BF"/>
      <w:sz w:val="32"/>
      <w:szCs w:val="32"/>
    </w:rPr>
  </w:style>
  <w:style w:type="character" w:customStyle="1" w:styleId="Ttulo2Car2">
    <w:name w:val="Título 2 Car2"/>
    <w:basedOn w:val="Fuentedeprrafopredeter"/>
    <w:uiPriority w:val="9"/>
    <w:semiHidden/>
    <w:rsid w:val="00D93BDF"/>
    <w:rPr>
      <w:rFonts w:asciiTheme="majorHAnsi" w:eastAsiaTheme="majorEastAsia" w:hAnsiTheme="majorHAnsi" w:cstheme="majorBidi"/>
      <w:color w:val="2F5496" w:themeColor="accent1" w:themeShade="BF"/>
      <w:sz w:val="26"/>
      <w:szCs w:val="26"/>
    </w:rPr>
  </w:style>
  <w:style w:type="character" w:customStyle="1" w:styleId="Ttulo3Car2">
    <w:name w:val="Título 3 Car2"/>
    <w:basedOn w:val="Fuentedeprrafopredeter"/>
    <w:uiPriority w:val="9"/>
    <w:semiHidden/>
    <w:rsid w:val="00D93BDF"/>
    <w:rPr>
      <w:rFonts w:asciiTheme="majorHAnsi" w:eastAsiaTheme="majorEastAsia" w:hAnsiTheme="majorHAnsi" w:cstheme="majorBidi"/>
      <w:color w:val="1F3763" w:themeColor="accent1" w:themeShade="7F"/>
      <w:sz w:val="24"/>
      <w:szCs w:val="24"/>
    </w:rPr>
  </w:style>
  <w:style w:type="character" w:customStyle="1" w:styleId="Ttulo4Car2">
    <w:name w:val="Título 4 Car2"/>
    <w:basedOn w:val="Fuentedeprrafopredeter"/>
    <w:uiPriority w:val="9"/>
    <w:semiHidden/>
    <w:rsid w:val="00D93BDF"/>
    <w:rPr>
      <w:rFonts w:asciiTheme="majorHAnsi" w:eastAsiaTheme="majorEastAsia" w:hAnsiTheme="majorHAnsi" w:cstheme="majorBidi"/>
      <w:i/>
      <w:iCs/>
      <w:color w:val="2F5496" w:themeColor="accent1" w:themeShade="BF"/>
    </w:rPr>
  </w:style>
  <w:style w:type="character" w:customStyle="1" w:styleId="Ttulo5Car2">
    <w:name w:val="Título 5 Car2"/>
    <w:basedOn w:val="Fuentedeprrafopredeter"/>
    <w:uiPriority w:val="9"/>
    <w:semiHidden/>
    <w:rsid w:val="00D93BDF"/>
    <w:rPr>
      <w:rFonts w:asciiTheme="majorHAnsi" w:eastAsiaTheme="majorEastAsia" w:hAnsiTheme="majorHAnsi" w:cstheme="majorBidi"/>
      <w:color w:val="2F5496" w:themeColor="accent1" w:themeShade="BF"/>
    </w:rPr>
  </w:style>
  <w:style w:type="character" w:customStyle="1" w:styleId="Ttulo6Car2">
    <w:name w:val="Título 6 Car2"/>
    <w:basedOn w:val="Fuentedeprrafopredeter"/>
    <w:uiPriority w:val="9"/>
    <w:semiHidden/>
    <w:rsid w:val="00D93BDF"/>
    <w:rPr>
      <w:rFonts w:asciiTheme="majorHAnsi" w:eastAsiaTheme="majorEastAsia" w:hAnsiTheme="majorHAnsi" w:cstheme="majorBidi"/>
      <w:color w:val="1F3763" w:themeColor="accent1" w:themeShade="7F"/>
    </w:rPr>
  </w:style>
  <w:style w:type="character" w:customStyle="1" w:styleId="Ttulo7Car2">
    <w:name w:val="Título 7 Car2"/>
    <w:basedOn w:val="Fuentedeprrafopredeter"/>
    <w:uiPriority w:val="9"/>
    <w:semiHidden/>
    <w:rsid w:val="00D93BDF"/>
    <w:rPr>
      <w:rFonts w:asciiTheme="majorHAnsi" w:eastAsiaTheme="majorEastAsia" w:hAnsiTheme="majorHAnsi" w:cstheme="majorBidi"/>
      <w:i/>
      <w:iCs/>
      <w:color w:val="1F3763" w:themeColor="accent1" w:themeShade="7F"/>
    </w:rPr>
  </w:style>
  <w:style w:type="character" w:customStyle="1" w:styleId="Ttulo8Car2">
    <w:name w:val="Título 8 Car2"/>
    <w:basedOn w:val="Fuentedeprrafopredeter"/>
    <w:uiPriority w:val="9"/>
    <w:semiHidden/>
    <w:rsid w:val="00D93BDF"/>
    <w:rPr>
      <w:rFonts w:asciiTheme="majorHAnsi" w:eastAsiaTheme="majorEastAsia" w:hAnsiTheme="majorHAnsi" w:cstheme="majorBidi"/>
      <w:color w:val="272727" w:themeColor="text1" w:themeTint="D8"/>
      <w:sz w:val="21"/>
      <w:szCs w:val="21"/>
    </w:rPr>
  </w:style>
  <w:style w:type="character" w:customStyle="1" w:styleId="Ttulo9Car2">
    <w:name w:val="Título 9 Car2"/>
    <w:basedOn w:val="Fuentedeprrafopredeter"/>
    <w:uiPriority w:val="9"/>
    <w:semiHidden/>
    <w:rsid w:val="00D93BDF"/>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D93BDF"/>
    <w:pPr>
      <w:numPr>
        <w:ilvl w:val="1"/>
      </w:numPr>
    </w:pPr>
    <w:rPr>
      <w:rFonts w:eastAsia="Times New Roman" w:cs="Times New Roman"/>
      <w:color w:val="595959"/>
      <w:spacing w:val="15"/>
      <w:sz w:val="28"/>
      <w:szCs w:val="28"/>
    </w:rPr>
  </w:style>
  <w:style w:type="character" w:customStyle="1" w:styleId="SubttuloCar2">
    <w:name w:val="Subtítulo Car2"/>
    <w:basedOn w:val="Fuentedeprrafopredeter"/>
    <w:uiPriority w:val="11"/>
    <w:rsid w:val="00D93BDF"/>
    <w:rPr>
      <w:rFonts w:eastAsiaTheme="minorEastAsia"/>
      <w:color w:val="5A5A5A" w:themeColor="text1" w:themeTint="A5"/>
      <w:spacing w:val="15"/>
    </w:rPr>
  </w:style>
  <w:style w:type="paragraph" w:styleId="Cita">
    <w:name w:val="Quote"/>
    <w:basedOn w:val="Normal"/>
    <w:next w:val="Normal"/>
    <w:link w:val="CitaCar"/>
    <w:uiPriority w:val="29"/>
    <w:qFormat/>
    <w:rsid w:val="00D93BDF"/>
    <w:pPr>
      <w:spacing w:before="200"/>
      <w:ind w:left="864" w:right="864"/>
      <w:jc w:val="center"/>
    </w:pPr>
    <w:rPr>
      <w:i/>
      <w:iCs/>
      <w:color w:val="404040"/>
    </w:rPr>
  </w:style>
  <w:style w:type="character" w:customStyle="1" w:styleId="CitaCar2">
    <w:name w:val="Cita Car2"/>
    <w:basedOn w:val="Fuentedeprrafopredeter"/>
    <w:uiPriority w:val="29"/>
    <w:rsid w:val="00D93BDF"/>
    <w:rPr>
      <w:i/>
      <w:iCs/>
      <w:color w:val="404040" w:themeColor="text1" w:themeTint="BF"/>
    </w:rPr>
  </w:style>
  <w:style w:type="character" w:styleId="nfasisintenso">
    <w:name w:val="Intense Emphasis"/>
    <w:basedOn w:val="Fuentedeprrafopredeter"/>
    <w:uiPriority w:val="21"/>
    <w:qFormat/>
    <w:rsid w:val="00D93BDF"/>
    <w:rPr>
      <w:i/>
      <w:iCs/>
      <w:color w:val="4472C4" w:themeColor="accent1"/>
    </w:rPr>
  </w:style>
  <w:style w:type="paragraph" w:styleId="Citadestacada">
    <w:name w:val="Intense Quote"/>
    <w:basedOn w:val="Normal"/>
    <w:next w:val="Normal"/>
    <w:link w:val="CitadestacadaCar"/>
    <w:uiPriority w:val="30"/>
    <w:qFormat/>
    <w:rsid w:val="00D93BDF"/>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2">
    <w:name w:val="Cita destacada Car2"/>
    <w:basedOn w:val="Fuentedeprrafopredeter"/>
    <w:uiPriority w:val="30"/>
    <w:rsid w:val="00D93BDF"/>
    <w:rPr>
      <w:i/>
      <w:iCs/>
      <w:color w:val="4472C4" w:themeColor="accent1"/>
    </w:rPr>
  </w:style>
  <w:style w:type="character" w:styleId="Referenciaintensa">
    <w:name w:val="Intense Reference"/>
    <w:basedOn w:val="Fuentedeprrafopredeter"/>
    <w:uiPriority w:val="32"/>
    <w:qFormat/>
    <w:rsid w:val="00D93BD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75ED8A7-5B4E-427C-85D4-FCC1301AC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61</Pages>
  <Words>22536</Words>
  <Characters>123950</Characters>
  <Application>Microsoft Office Word</Application>
  <DocSecurity>0</DocSecurity>
  <Lines>1032</Lines>
  <Paragraphs>292</Paragraphs>
  <ScaleCrop>false</ScaleCrop>
  <Company/>
  <LinksUpToDate>false</LinksUpToDate>
  <CharactersWithSpaces>146194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2026-09-08T19:34:00Z</dcterms:created>
  <dcterms:modified xsi:type="dcterms:W3CDTF">2026-09-09T13:54:00Z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