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D45F" w14:textId="77777777" w:rsidR="003118E6" w:rsidRPr="00DA472D" w:rsidRDefault="003118E6" w:rsidP="003118E6">
      <w:pPr>
        <w:spacing w:after="0" w:line="240" w:lineRule="auto"/>
        <w:jc w:val="both"/>
        <w:rPr>
          <w:rFonts w:ascii="Verdana" w:hAnsi="Verdana"/>
          <w:b/>
        </w:rPr>
      </w:pPr>
      <w:r w:rsidRPr="00DA472D">
        <w:rPr>
          <w:rFonts w:ascii="Verdana" w:eastAsia="Arial" w:hAnsi="Verdana" w:cs="Arial"/>
          <w:b/>
          <w:lang w:val="es-MX"/>
        </w:rPr>
        <w:t>CLASIFICADOR DE BIENES Y SERVICIOS DE NACIONES UNIDAS – Función</w:t>
      </w:r>
    </w:p>
    <w:p w14:paraId="78BC04D8" w14:textId="77777777" w:rsidR="003118E6" w:rsidRPr="00DA472D" w:rsidRDefault="003118E6" w:rsidP="003118E6">
      <w:pPr>
        <w:spacing w:after="0" w:line="240" w:lineRule="auto"/>
        <w:jc w:val="both"/>
        <w:rPr>
          <w:rFonts w:ascii="Verdana" w:hAnsi="Verdana"/>
          <w:b/>
        </w:rPr>
      </w:pPr>
    </w:p>
    <w:p w14:paraId="6012C57B" w14:textId="77777777" w:rsidR="003118E6" w:rsidRPr="00DA472D" w:rsidRDefault="003118E6" w:rsidP="003118E6">
      <w:pPr>
        <w:widowControl w:val="0"/>
        <w:autoSpaceDE w:val="0"/>
        <w:autoSpaceDN w:val="0"/>
        <w:spacing w:after="0" w:line="240" w:lineRule="auto"/>
        <w:ind w:right="104"/>
        <w:jc w:val="both"/>
        <w:rPr>
          <w:rFonts w:ascii="Verdana" w:eastAsia="Arial MT" w:hAnsi="Verdana" w:cs="Arial"/>
          <w:sz w:val="20"/>
          <w:szCs w:val="20"/>
          <w:lang w:val="es-ES"/>
        </w:rPr>
      </w:pPr>
      <w:r w:rsidRPr="00DA472D">
        <w:rPr>
          <w:rFonts w:ascii="Verdana" w:eastAsia="Times New Roman" w:hAnsi="Verdana" w:cs="Arial"/>
          <w:bCs/>
          <w:sz w:val="20"/>
          <w:szCs w:val="20"/>
          <w:lang w:val="es-MX" w:eastAsia="es-CO"/>
        </w:rPr>
        <w:t xml:space="preserve">[…] </w:t>
      </w:r>
      <w:r w:rsidRPr="00DA472D">
        <w:rPr>
          <w:rFonts w:ascii="Verdana" w:eastAsia="Arial MT" w:hAnsi="Verdana" w:cs="Arial"/>
          <w:sz w:val="20"/>
          <w:szCs w:val="20"/>
          <w:lang w:val="es-ES"/>
        </w:rPr>
        <w:t>Las normas de contratación estatal establecen que las personas naturales o jurídicas nacionales o extranjeras que deseen celebrar contratos estatales deberán estar inscritos en el Registro Único de Proponente –</w:t>
      </w:r>
      <w:r w:rsidRPr="00DA472D">
        <w:rPr>
          <w:rFonts w:ascii="Verdana" w:eastAsia="Arial MT" w:hAnsi="Verdana" w:cs="Arial"/>
          <w:spacing w:val="-6"/>
          <w:sz w:val="20"/>
          <w:szCs w:val="20"/>
          <w:lang w:val="es-ES"/>
        </w:rPr>
        <w:t xml:space="preserve"> </w:t>
      </w:r>
      <w:r w:rsidRPr="00DA472D">
        <w:rPr>
          <w:rFonts w:ascii="Verdana" w:eastAsia="Arial MT" w:hAnsi="Verdana" w:cs="Arial"/>
          <w:sz w:val="20"/>
          <w:szCs w:val="20"/>
          <w:lang w:val="es-ES"/>
        </w:rPr>
        <w:t>RUP. De acuerdo con esto, el artículo 6 de la Ley 1150 de 2007, al determinar la información contenida en el RUP, dispone que en el registro constará la información relacionada con la experiencia, capacidad jurídica, financiera y de organización del proponente, así como su clasificación.</w:t>
      </w:r>
    </w:p>
    <w:p w14:paraId="4B2EF8FE" w14:textId="77777777" w:rsidR="003118E6" w:rsidRPr="00DA472D" w:rsidRDefault="003118E6" w:rsidP="003118E6">
      <w:pPr>
        <w:spacing w:after="0" w:line="240" w:lineRule="auto"/>
        <w:jc w:val="both"/>
        <w:rPr>
          <w:rFonts w:ascii="Verdana" w:eastAsia="Arial MT" w:hAnsi="Verdana" w:cs="Arial"/>
          <w:sz w:val="20"/>
          <w:szCs w:val="20"/>
          <w:lang w:val="es-ES"/>
        </w:rPr>
      </w:pPr>
    </w:p>
    <w:p w14:paraId="64130508" w14:textId="77777777" w:rsidR="003118E6" w:rsidRPr="00DA472D" w:rsidRDefault="003118E6" w:rsidP="003118E6">
      <w:pPr>
        <w:spacing w:after="0" w:line="240" w:lineRule="auto"/>
        <w:jc w:val="both"/>
        <w:rPr>
          <w:rFonts w:ascii="Verdana" w:hAnsi="Verdana"/>
          <w:b/>
          <w:sz w:val="20"/>
          <w:szCs w:val="20"/>
        </w:rPr>
      </w:pPr>
      <w:r w:rsidRPr="00DA472D">
        <w:rPr>
          <w:rFonts w:ascii="Verdana" w:eastAsia="Arial MT" w:hAnsi="Verdana" w:cs="Arial"/>
          <w:sz w:val="20"/>
          <w:szCs w:val="20"/>
          <w:lang w:val="es-ES"/>
        </w:rPr>
        <w:t>La clasificación tiene que ver con los bienes y servicios con los que se relaciona la experiencia del proponente. Este asunto es relevante para el registro, en la medida en que, existiendo una gran variedad de bienes y servicios, así como un gran número de proponentes con experiencia para suministrarlos, el legislador estimó necesario que el RUP incorporara una clasificación a efectos de racionalizar la información. De esta manera, el Decreto 1082 de 2015, al reglamentar la contratación pública, el RUP y la clasificación de la experiencia, implementó el Clasificador de Bienes y Servicios de las Naciones Unidas –UNSPSC–, lo cual se refleja en diferentes partes de su articulado.</w:t>
      </w:r>
      <w:r w:rsidRPr="00DA472D">
        <w:rPr>
          <w:rFonts w:ascii="Verdana" w:eastAsia="Times New Roman" w:hAnsi="Verdana" w:cs="Arial"/>
          <w:bCs/>
          <w:sz w:val="20"/>
          <w:szCs w:val="20"/>
          <w:lang w:val="es-MX" w:eastAsia="es-CO"/>
        </w:rPr>
        <w:t xml:space="preserve"> […]</w:t>
      </w:r>
    </w:p>
    <w:p w14:paraId="48B4FF2A" w14:textId="77777777" w:rsidR="003118E6" w:rsidRPr="000B30B0" w:rsidRDefault="003118E6" w:rsidP="003118E6">
      <w:pPr>
        <w:spacing w:after="0" w:line="240" w:lineRule="auto"/>
        <w:jc w:val="both"/>
        <w:rPr>
          <w:rFonts w:ascii="Verdana" w:hAnsi="Verdana"/>
          <w:b/>
          <w:color w:val="EE0000"/>
        </w:rPr>
      </w:pPr>
    </w:p>
    <w:p w14:paraId="62ADC061" w14:textId="77777777" w:rsidR="003118E6" w:rsidRPr="005074C0" w:rsidRDefault="003118E6" w:rsidP="003118E6">
      <w:pPr>
        <w:spacing w:after="0" w:line="240" w:lineRule="auto"/>
        <w:jc w:val="both"/>
        <w:rPr>
          <w:rFonts w:ascii="Verdana" w:hAnsi="Verdana"/>
          <w:b/>
        </w:rPr>
      </w:pPr>
      <w:r w:rsidRPr="005074C0">
        <w:rPr>
          <w:rFonts w:ascii="Verdana" w:eastAsia="Arial" w:hAnsi="Verdana" w:cs="Arial"/>
          <w:b/>
          <w:lang w:val="es-MX"/>
        </w:rPr>
        <w:t>CLASIFICADOR DE BIENES Y SERVICIOS DE NACIONES UNIDAS – Noción</w:t>
      </w:r>
    </w:p>
    <w:p w14:paraId="3EBA2613" w14:textId="77777777" w:rsidR="003118E6" w:rsidRPr="005074C0" w:rsidRDefault="003118E6" w:rsidP="003118E6">
      <w:pPr>
        <w:spacing w:after="0" w:line="240" w:lineRule="auto"/>
        <w:jc w:val="both"/>
        <w:rPr>
          <w:rFonts w:ascii="Verdana" w:hAnsi="Verdana"/>
          <w:b/>
        </w:rPr>
      </w:pPr>
    </w:p>
    <w:p w14:paraId="065382C5" w14:textId="77777777" w:rsidR="003118E6" w:rsidRPr="005074C0" w:rsidRDefault="003118E6" w:rsidP="003118E6">
      <w:pPr>
        <w:shd w:val="clear" w:color="auto" w:fill="FFFFFF"/>
        <w:spacing w:after="0" w:line="240" w:lineRule="auto"/>
        <w:jc w:val="both"/>
        <w:textAlignment w:val="baseline"/>
        <w:rPr>
          <w:rFonts w:ascii="Verdana" w:eastAsia="Times New Roman" w:hAnsi="Verdana" w:cs="Arial"/>
          <w:sz w:val="20"/>
          <w:szCs w:val="20"/>
          <w:bdr w:val="none" w:sz="0" w:space="0" w:color="auto" w:frame="1"/>
          <w:lang w:val="es-MX" w:eastAsia="es-CO"/>
        </w:rPr>
      </w:pPr>
      <w:r w:rsidRPr="005074C0">
        <w:rPr>
          <w:rFonts w:ascii="Verdana" w:eastAsia="Times New Roman" w:hAnsi="Verdana" w:cs="Arial"/>
          <w:sz w:val="20"/>
          <w:szCs w:val="20"/>
          <w:bdr w:val="none" w:sz="0" w:space="0" w:color="auto" w:frame="1"/>
          <w:lang w:val="es-MX" w:eastAsia="es-CO"/>
        </w:rPr>
        <w:t>[…] El artículo 2.2.1.1.1.3.1 del Decreto 1082 de 2015 define el Clasificador de Bienes y Servicios como el “Sistema de codificación de las Naciones Unidas para estandarizar productos y servicios, conocido por las siglas UNSPSC”. A su vez, la “Guía para la codificación de bienes y servicios de acuerdo con el código estándar de productos y servicios de Naciones Unidas, V.14.080”, establece que “The United Nations Standard Products and Services Code® - UNSPSC - Código Estándar de Productos y Servicios de Naciones Unidas, es una metodología uniforme de codificación utilizada para clasificar productos y servicios fundamentada en un arreglo jerárquico y en una estructura lógica”. La principal utilidad de este sistema de clasificación es codificar productos y servicios de forma clara ya que “se basa en estándares acordados por la industria los cuales facilitan el comercio entre empresas y gobierno”. […]</w:t>
      </w:r>
    </w:p>
    <w:p w14:paraId="4CCC6734" w14:textId="77777777" w:rsidR="003118E6" w:rsidRPr="000B30B0" w:rsidRDefault="003118E6" w:rsidP="003118E6">
      <w:pPr>
        <w:spacing w:after="0" w:line="240" w:lineRule="auto"/>
        <w:jc w:val="both"/>
        <w:rPr>
          <w:rFonts w:ascii="Verdana" w:hAnsi="Verdana"/>
          <w:b/>
          <w:color w:val="EE0000"/>
        </w:rPr>
      </w:pPr>
    </w:p>
    <w:p w14:paraId="58A0131A" w14:textId="77777777" w:rsidR="003118E6" w:rsidRPr="009C5533" w:rsidRDefault="003118E6" w:rsidP="003118E6">
      <w:pPr>
        <w:spacing w:after="0" w:line="240" w:lineRule="auto"/>
        <w:jc w:val="both"/>
        <w:rPr>
          <w:rFonts w:ascii="Verdana" w:eastAsia="Arial" w:hAnsi="Verdana" w:cs="Arial"/>
          <w:b/>
          <w:lang w:val="es-MX"/>
        </w:rPr>
      </w:pPr>
      <w:r w:rsidRPr="009C5533">
        <w:rPr>
          <w:rFonts w:ascii="Verdana" w:eastAsia="Arial" w:hAnsi="Verdana" w:cs="Arial"/>
          <w:b/>
          <w:lang w:val="es-MX"/>
        </w:rPr>
        <w:t>CLASIFICADOR DE BIENES Y SERVICIOS DE NACIONES UNIDAS – Normativa</w:t>
      </w:r>
    </w:p>
    <w:p w14:paraId="1009A4CA" w14:textId="77777777" w:rsidR="003118E6" w:rsidRPr="009C5533" w:rsidRDefault="003118E6" w:rsidP="003118E6">
      <w:pPr>
        <w:spacing w:after="0" w:line="240" w:lineRule="auto"/>
        <w:jc w:val="both"/>
        <w:rPr>
          <w:rFonts w:ascii="Verdana" w:eastAsia="Arial" w:hAnsi="Verdana" w:cs="Arial"/>
          <w:b/>
          <w:lang w:val="es-MX"/>
        </w:rPr>
      </w:pPr>
    </w:p>
    <w:p w14:paraId="5D0392C7" w14:textId="77777777" w:rsidR="003118E6" w:rsidRPr="009C5533" w:rsidRDefault="003118E6" w:rsidP="003118E6">
      <w:pPr>
        <w:widowControl w:val="0"/>
        <w:autoSpaceDE w:val="0"/>
        <w:autoSpaceDN w:val="0"/>
        <w:spacing w:after="0" w:line="240" w:lineRule="auto"/>
        <w:ind w:right="102"/>
        <w:jc w:val="both"/>
        <w:rPr>
          <w:rFonts w:ascii="Verdana" w:eastAsia="Times New Roman" w:hAnsi="Verdana" w:cs="Arial"/>
          <w:sz w:val="20"/>
          <w:szCs w:val="20"/>
          <w:bdr w:val="none" w:sz="0" w:space="0" w:color="auto" w:frame="1"/>
          <w:lang w:val="es-MX"/>
        </w:rPr>
      </w:pPr>
      <w:r w:rsidRPr="009C5533">
        <w:rPr>
          <w:rFonts w:ascii="Verdana" w:eastAsia="Times New Roman" w:hAnsi="Verdana" w:cs="Arial"/>
          <w:sz w:val="20"/>
          <w:szCs w:val="20"/>
          <w:bdr w:val="none" w:sz="0" w:space="0" w:color="auto" w:frame="1"/>
          <w:lang w:val="es-ES"/>
        </w:rPr>
        <w:t>[…] Por otro lado, el artículo 2.2.1.1.1.4.1 del Decreto 1082 de 2015, referente al deber de elaborar el Plan Anual de Adquisiciones, establece que en la expedición de dicho documento las entidades deben “señalar la necesidad y cuando conoce el bien, obra o servicio que satisface esa necesidad debe identificarlo utilizando el Clasiﬁcador de Bienes y Servicios”.</w:t>
      </w:r>
      <w:r w:rsidRPr="009C5533">
        <w:rPr>
          <w:rFonts w:ascii="Verdana" w:eastAsia="Times New Roman" w:hAnsi="Verdana" w:cs="Arial"/>
          <w:sz w:val="20"/>
          <w:szCs w:val="20"/>
          <w:bdr w:val="none" w:sz="0" w:space="0" w:color="auto" w:frame="1"/>
          <w:lang w:val="es-MX"/>
        </w:rPr>
        <w:t>  </w:t>
      </w:r>
    </w:p>
    <w:p w14:paraId="6D22BB60" w14:textId="77777777" w:rsidR="003118E6" w:rsidRPr="009C5533" w:rsidRDefault="003118E6" w:rsidP="003118E6">
      <w:pPr>
        <w:widowControl w:val="0"/>
        <w:autoSpaceDE w:val="0"/>
        <w:autoSpaceDN w:val="0"/>
        <w:spacing w:after="0" w:line="240" w:lineRule="auto"/>
        <w:jc w:val="both"/>
        <w:rPr>
          <w:rFonts w:ascii="Verdana" w:eastAsia="Arial MT" w:hAnsi="Verdana" w:cs="Arial"/>
          <w:sz w:val="20"/>
          <w:szCs w:val="20"/>
          <w:lang w:val="es-ES"/>
        </w:rPr>
      </w:pPr>
    </w:p>
    <w:p w14:paraId="687B3EF8" w14:textId="77777777" w:rsidR="003118E6" w:rsidRPr="009C5533" w:rsidRDefault="003118E6" w:rsidP="003118E6">
      <w:pPr>
        <w:widowControl w:val="0"/>
        <w:autoSpaceDE w:val="0"/>
        <w:autoSpaceDN w:val="0"/>
        <w:spacing w:after="0" w:line="240" w:lineRule="auto"/>
        <w:jc w:val="both"/>
        <w:rPr>
          <w:rFonts w:ascii="Verdana" w:eastAsia="Arial MT" w:hAnsi="Verdana" w:cs="Arial"/>
          <w:sz w:val="20"/>
          <w:szCs w:val="20"/>
          <w:lang w:val="es-ES"/>
        </w:rPr>
      </w:pPr>
      <w:r w:rsidRPr="009C5533">
        <w:rPr>
          <w:rFonts w:ascii="Verdana" w:eastAsia="Arial MT" w:hAnsi="Verdana" w:cs="Arial"/>
          <w:sz w:val="20"/>
          <w:szCs w:val="20"/>
          <w:lang w:val="es-ES"/>
        </w:rPr>
        <w:t xml:space="preserve">Por su parte, el artículo 2.2.1.1.1.5.2 del Decreto 1082 de 2015, al desarrollar la </w:t>
      </w:r>
      <w:r w:rsidRPr="009C5533">
        <w:rPr>
          <w:rFonts w:ascii="Verdana" w:eastAsia="Arial MT" w:hAnsi="Verdana" w:cs="Arial"/>
          <w:sz w:val="20"/>
          <w:szCs w:val="20"/>
          <w:lang w:val="es-ES"/>
        </w:rPr>
        <w:lastRenderedPageBreak/>
        <w:t xml:space="preserve">información requerida para la inscripción, actualización y renovación del RUP, establece que los proponentes deben establecer los bienes y servicios que ofrecerán identificados Clasificador de Bienes y Servicios en el tercer nivel. Así mismo el numeral 2.5 de este artículo establece que en los certificados de experiencia presentados para inscripción o actualización del RUP, los proponentes deben indicar en “cada certificado o en cada copia de los contratos, los bienes, obras y servicios a los cuales corresponde la experiencia que pretende acreditar, identificándolos con el Clasificador de Bienes y Servicios en el tercer nivel”. </w:t>
      </w:r>
    </w:p>
    <w:p w14:paraId="5B2B9BEA" w14:textId="77777777" w:rsidR="003118E6" w:rsidRPr="009C5533" w:rsidRDefault="003118E6" w:rsidP="003118E6">
      <w:pPr>
        <w:widowControl w:val="0"/>
        <w:autoSpaceDE w:val="0"/>
        <w:autoSpaceDN w:val="0"/>
        <w:spacing w:after="0" w:line="240" w:lineRule="auto"/>
        <w:jc w:val="both"/>
        <w:rPr>
          <w:rFonts w:ascii="Verdana" w:eastAsia="Arial MT" w:hAnsi="Verdana" w:cs="Arial"/>
          <w:sz w:val="20"/>
          <w:szCs w:val="20"/>
          <w:lang w:val="es-ES"/>
        </w:rPr>
      </w:pPr>
    </w:p>
    <w:p w14:paraId="33094875" w14:textId="77777777" w:rsidR="003118E6" w:rsidRPr="009C5533" w:rsidRDefault="003118E6" w:rsidP="003118E6">
      <w:pPr>
        <w:widowControl w:val="0"/>
        <w:autoSpaceDE w:val="0"/>
        <w:autoSpaceDN w:val="0"/>
        <w:spacing w:after="0" w:line="240" w:lineRule="auto"/>
        <w:jc w:val="both"/>
        <w:rPr>
          <w:rFonts w:ascii="Verdana" w:eastAsia="Arial MT" w:hAnsi="Verdana" w:cs="Arial"/>
          <w:sz w:val="20"/>
          <w:szCs w:val="20"/>
          <w:lang w:val="es-ES"/>
        </w:rPr>
      </w:pPr>
      <w:r w:rsidRPr="009C5533">
        <w:rPr>
          <w:rFonts w:ascii="Verdana" w:eastAsia="Arial MT" w:hAnsi="Verdana" w:cs="Arial"/>
          <w:sz w:val="20"/>
          <w:szCs w:val="20"/>
          <w:lang w:val="es-ES"/>
        </w:rPr>
        <w:t xml:space="preserve">En concordancia con lo anterior, el artículo 2.2.1.1.1.5.3. del Decreto 1082 de 2015, en su numeral 1, establece que las Cámaras de Comercio deberán certificar la experiencia inscrita en el RUP verificando los “contratos celebrados por el interesado para cada uno de los bienes, obras y servicios que ofrecerá a las Entidades Estatales, identificados con el Clasiﬁcador de Bienes y Servicios en el tercer nivel </w:t>
      </w:r>
      <w:r w:rsidRPr="009C5533">
        <w:rPr>
          <w:rFonts w:ascii="Verdana" w:eastAsia="Arial MT" w:hAnsi="Verdana" w:cs="Arial"/>
          <w:sz w:val="20"/>
          <w:szCs w:val="20"/>
        </w:rPr>
        <w:t>y su valor expresado en smmlv</w:t>
      </w:r>
      <w:r w:rsidRPr="009C5533">
        <w:rPr>
          <w:rFonts w:ascii="Verdana" w:eastAsia="Arial MT" w:hAnsi="Verdana" w:cs="Arial"/>
          <w:sz w:val="20"/>
          <w:szCs w:val="20"/>
          <w:lang w:val="es-ES"/>
        </w:rPr>
        <w:t>”. Esto es coherente con lo dispuesto en el artículo 2.2.1.1.1.5.6, que indica que uno de los componentes de información del RUP son “los bienes, obras y servicios para los cuales está inscrito el proponente de acuerdo con el Clasiﬁcador de Bienes y Servicios”</w:t>
      </w:r>
      <w:r>
        <w:rPr>
          <w:rFonts w:ascii="Verdana" w:eastAsia="Arial MT" w:hAnsi="Verdana" w:cs="Arial"/>
          <w:sz w:val="20"/>
          <w:szCs w:val="20"/>
          <w:lang w:val="es-ES"/>
        </w:rPr>
        <w:t xml:space="preserve"> </w:t>
      </w:r>
      <w:r w:rsidRPr="009C5533">
        <w:rPr>
          <w:rFonts w:ascii="Verdana" w:eastAsia="Times New Roman" w:hAnsi="Verdana" w:cs="Arial"/>
          <w:sz w:val="20"/>
          <w:szCs w:val="20"/>
          <w:bdr w:val="none" w:sz="0" w:space="0" w:color="auto" w:frame="1"/>
          <w:lang w:val="es-ES"/>
        </w:rPr>
        <w:t>[…]</w:t>
      </w:r>
    </w:p>
    <w:p w14:paraId="062D924A" w14:textId="77777777" w:rsidR="003118E6" w:rsidRPr="000B30B0" w:rsidRDefault="003118E6" w:rsidP="003118E6">
      <w:pPr>
        <w:spacing w:after="0" w:line="240" w:lineRule="auto"/>
        <w:jc w:val="both"/>
        <w:rPr>
          <w:rFonts w:ascii="Verdana" w:eastAsia="Arial" w:hAnsi="Verdana" w:cs="Arial"/>
          <w:b/>
          <w:color w:val="EE0000"/>
          <w:lang w:val="es-ES"/>
        </w:rPr>
      </w:pPr>
    </w:p>
    <w:p w14:paraId="1D51D5EF" w14:textId="77777777" w:rsidR="003118E6" w:rsidRDefault="003118E6" w:rsidP="003118E6">
      <w:pPr>
        <w:spacing w:after="0" w:line="240" w:lineRule="auto"/>
        <w:rPr>
          <w:rFonts w:ascii="Verdana" w:hAnsi="Verdana"/>
          <w:b/>
          <w:bCs/>
        </w:rPr>
      </w:pPr>
      <w:r w:rsidRPr="000935C4">
        <w:rPr>
          <w:rFonts w:ascii="Verdana" w:hAnsi="Verdana"/>
          <w:b/>
          <w:bCs/>
        </w:rPr>
        <w:t>PROYECTO DE PLIEGO DE CONDICIONES – Acto de trámite</w:t>
      </w:r>
      <w:r>
        <w:rPr>
          <w:rFonts w:ascii="Verdana" w:hAnsi="Verdana"/>
          <w:b/>
          <w:bCs/>
        </w:rPr>
        <w:t xml:space="preserve"> - Efectos</w:t>
      </w:r>
    </w:p>
    <w:p w14:paraId="6788FC60" w14:textId="77777777" w:rsidR="003118E6" w:rsidRDefault="003118E6" w:rsidP="003118E6">
      <w:pPr>
        <w:spacing w:after="0" w:line="240" w:lineRule="auto"/>
        <w:rPr>
          <w:rFonts w:ascii="Verdana" w:hAnsi="Verdana"/>
          <w:b/>
          <w:bCs/>
        </w:rPr>
      </w:pPr>
    </w:p>
    <w:p w14:paraId="0D46E4D1" w14:textId="77777777" w:rsidR="003118E6" w:rsidRPr="009C5533" w:rsidRDefault="003118E6" w:rsidP="003118E6">
      <w:pPr>
        <w:widowControl w:val="0"/>
        <w:autoSpaceDE w:val="0"/>
        <w:autoSpaceDN w:val="0"/>
        <w:spacing w:after="0" w:line="240" w:lineRule="auto"/>
        <w:jc w:val="both"/>
        <w:rPr>
          <w:rFonts w:ascii="Verdana" w:eastAsia="Arial MT" w:hAnsi="Verdana" w:cs="Arial"/>
          <w:sz w:val="20"/>
          <w:szCs w:val="20"/>
          <w:lang w:val="es-ES"/>
        </w:rPr>
      </w:pPr>
      <w:r w:rsidRPr="009C5533">
        <w:rPr>
          <w:rFonts w:ascii="Verdana" w:eastAsia="Times New Roman" w:hAnsi="Verdana" w:cs="Arial"/>
          <w:sz w:val="20"/>
          <w:szCs w:val="20"/>
          <w:bdr w:val="none" w:sz="0" w:space="0" w:color="auto" w:frame="1"/>
          <w:lang w:val="es-ES"/>
        </w:rPr>
        <w:t>[…]</w:t>
      </w:r>
      <w:r>
        <w:rPr>
          <w:rFonts w:ascii="Verdana" w:eastAsia="Arial MT" w:hAnsi="Verdana" w:cs="Arial"/>
          <w:sz w:val="20"/>
          <w:szCs w:val="20"/>
          <w:lang w:val="es-ES"/>
        </w:rPr>
        <w:t xml:space="preserve"> </w:t>
      </w:r>
      <w:r w:rsidRPr="000935C4">
        <w:rPr>
          <w:rFonts w:ascii="Verdana" w:hAnsi="Verdana"/>
          <w:sz w:val="20"/>
          <w:szCs w:val="20"/>
        </w:rPr>
        <w:t>El proyecto de pliego de condiciones es un acto previo que no genera manifestación de voluntad de la administración. Es decir, no constituye un acto administrativo propiamente dicho, sino que hace parte de las actuaciones previas a la expedición del acto administrativo mediante el cual se adopta el pliego de condiciones definitivo. En consecuencia, las respuestas a las observaciones y/o aclaraciones que los interesados formulen al proyecto de pliego de condiciones no son vinculantes, ni constituyen modificaciones a las condiciones, reglas o exigencias para la escogencia del contratista del Estado</w:t>
      </w:r>
      <w:r>
        <w:rPr>
          <w:rFonts w:ascii="Verdana" w:hAnsi="Verdana"/>
          <w:sz w:val="20"/>
          <w:szCs w:val="20"/>
        </w:rPr>
        <w:t xml:space="preserve"> </w:t>
      </w:r>
      <w:r w:rsidRPr="009C5533">
        <w:rPr>
          <w:rFonts w:ascii="Verdana" w:eastAsia="Times New Roman" w:hAnsi="Verdana" w:cs="Arial"/>
          <w:sz w:val="20"/>
          <w:szCs w:val="20"/>
          <w:bdr w:val="none" w:sz="0" w:space="0" w:color="auto" w:frame="1"/>
          <w:lang w:val="es-ES"/>
        </w:rPr>
        <w:t>[…]</w:t>
      </w:r>
    </w:p>
    <w:p w14:paraId="73C4D5A7" w14:textId="77777777" w:rsidR="003118E6" w:rsidRPr="006C2ECA" w:rsidRDefault="003118E6" w:rsidP="003118E6">
      <w:pPr>
        <w:widowControl w:val="0"/>
        <w:autoSpaceDE w:val="0"/>
        <w:autoSpaceDN w:val="0"/>
        <w:spacing w:after="0" w:line="240" w:lineRule="auto"/>
        <w:jc w:val="both"/>
        <w:rPr>
          <w:rFonts w:ascii="Verdana" w:eastAsia="Arial MT" w:hAnsi="Verdana" w:cs="Arial"/>
          <w:sz w:val="20"/>
          <w:szCs w:val="20"/>
          <w:lang w:val="es-ES"/>
        </w:rPr>
      </w:pPr>
    </w:p>
    <w:p w14:paraId="61455C8E" w14:textId="77777777" w:rsidR="003118E6" w:rsidRDefault="003118E6" w:rsidP="003118E6">
      <w:pPr>
        <w:spacing w:after="0" w:line="240" w:lineRule="auto"/>
        <w:jc w:val="both"/>
        <w:rPr>
          <w:rFonts w:ascii="Verdana" w:hAnsi="Verdana"/>
          <w:b/>
          <w:bCs/>
        </w:rPr>
      </w:pPr>
      <w:r w:rsidRPr="000935C4">
        <w:rPr>
          <w:rFonts w:ascii="Verdana" w:hAnsi="Verdana"/>
          <w:b/>
          <w:bCs/>
        </w:rPr>
        <w:t>PROYECTO DE PLIEGO DE CONDICIONES</w:t>
      </w:r>
      <w:r>
        <w:rPr>
          <w:rFonts w:ascii="Verdana" w:hAnsi="Verdana"/>
          <w:b/>
          <w:bCs/>
        </w:rPr>
        <w:t xml:space="preserve"> – Respuestas a Observaciones -</w:t>
      </w:r>
      <w:r w:rsidRPr="000935C4">
        <w:rPr>
          <w:rFonts w:ascii="Verdana" w:hAnsi="Verdana"/>
          <w:b/>
          <w:bCs/>
        </w:rPr>
        <w:t xml:space="preserve"> No vinculantes</w:t>
      </w:r>
    </w:p>
    <w:p w14:paraId="3CFC9B36" w14:textId="77777777" w:rsidR="003118E6" w:rsidRDefault="003118E6" w:rsidP="003118E6">
      <w:pPr>
        <w:spacing w:after="0" w:line="240" w:lineRule="auto"/>
        <w:rPr>
          <w:rFonts w:ascii="Verdana" w:hAnsi="Verdana"/>
          <w:b/>
          <w:bCs/>
        </w:rPr>
      </w:pPr>
    </w:p>
    <w:p w14:paraId="41DB4879" w14:textId="77777777" w:rsidR="003118E6" w:rsidRDefault="003118E6" w:rsidP="003118E6">
      <w:pPr>
        <w:spacing w:after="0" w:line="240" w:lineRule="auto"/>
        <w:jc w:val="both"/>
        <w:rPr>
          <w:rFonts w:ascii="Verdana" w:eastAsia="Times New Roman" w:hAnsi="Verdana" w:cs="Arial"/>
          <w:lang w:eastAsia="es-ES_tradnl"/>
        </w:rPr>
      </w:pPr>
      <w:r w:rsidRPr="009C5533">
        <w:rPr>
          <w:rFonts w:ascii="Verdana" w:eastAsia="Times New Roman" w:hAnsi="Verdana" w:cs="Arial"/>
          <w:sz w:val="20"/>
          <w:szCs w:val="20"/>
          <w:bdr w:val="none" w:sz="0" w:space="0" w:color="auto" w:frame="1"/>
          <w:lang w:val="es-ES"/>
        </w:rPr>
        <w:t>[…]</w:t>
      </w:r>
      <w:r>
        <w:rPr>
          <w:rFonts w:ascii="Verdana" w:eastAsia="Times New Roman" w:hAnsi="Verdana" w:cs="Arial"/>
          <w:sz w:val="20"/>
          <w:szCs w:val="20"/>
          <w:bdr w:val="none" w:sz="0" w:space="0" w:color="auto" w:frame="1"/>
          <w:lang w:val="es-ES"/>
        </w:rPr>
        <w:t xml:space="preserve"> </w:t>
      </w:r>
      <w:r w:rsidRPr="000935C4">
        <w:rPr>
          <w:rFonts w:ascii="Verdana" w:hAnsi="Verdana"/>
          <w:sz w:val="20"/>
          <w:szCs w:val="20"/>
        </w:rPr>
        <w:t xml:space="preserve">No obstante, las observaciones y/o aclaraciones allegadas forman parte de la institución del derecho de petición, de manera que la entidad estatal está en la obligación de recibirlas y darles respuesta de fondo, motivándolas e indicando de manera clara las razones por las cuales las acoge o las rechaza, sin que signifique que el contenido de las mismas constituya una obligación de </w:t>
      </w:r>
      <w:r>
        <w:rPr>
          <w:rFonts w:ascii="Verdana" w:hAnsi="Verdana"/>
          <w:sz w:val="20"/>
          <w:szCs w:val="20"/>
        </w:rPr>
        <w:t>dar apertura a</w:t>
      </w:r>
      <w:r w:rsidRPr="000935C4">
        <w:rPr>
          <w:rFonts w:ascii="Verdana" w:hAnsi="Verdana"/>
          <w:sz w:val="20"/>
          <w:szCs w:val="20"/>
        </w:rPr>
        <w:t>l proceso de selección, ni compromiso diferente distinto a su realización, lo que permite colegir que no opera la fuerza vinculante que, tanto la jurisprudencia, como la doctrina, ha predicado de las respuestas a las observaciones y/o aclaraciones al pliego de condiciones definitivo, bajo el cumplimiento de ciertos presupuestos legales.</w:t>
      </w:r>
      <w:r w:rsidRPr="00043402">
        <w:rPr>
          <w:rFonts w:ascii="Verdana" w:eastAsia="Times New Roman" w:hAnsi="Verdana" w:cs="Arial"/>
          <w:sz w:val="20"/>
          <w:szCs w:val="20"/>
          <w:bdr w:val="none" w:sz="0" w:space="0" w:color="auto" w:frame="1"/>
          <w:lang w:val="es-ES"/>
        </w:rPr>
        <w:t xml:space="preserve"> </w:t>
      </w:r>
      <w:r w:rsidRPr="009C5533">
        <w:rPr>
          <w:rFonts w:ascii="Verdana" w:eastAsia="Times New Roman" w:hAnsi="Verdana" w:cs="Arial"/>
          <w:sz w:val="20"/>
          <w:szCs w:val="20"/>
          <w:bdr w:val="none" w:sz="0" w:space="0" w:color="auto" w:frame="1"/>
          <w:lang w:val="es-ES"/>
        </w:rPr>
        <w:t>[…]</w:t>
      </w:r>
    </w:p>
    <w:p w14:paraId="14782C57" w14:textId="77777777" w:rsidR="003118E6" w:rsidRPr="006C2ECA" w:rsidRDefault="003118E6" w:rsidP="003118E6">
      <w:pPr>
        <w:spacing w:after="0"/>
        <w:jc w:val="both"/>
        <w:rPr>
          <w:rFonts w:ascii="Verdana" w:eastAsia="Arial" w:hAnsi="Verdana" w:cs="Arial"/>
          <w:b/>
        </w:rPr>
      </w:pPr>
    </w:p>
    <w:p w14:paraId="6149CC09" w14:textId="77777777" w:rsidR="003118E6" w:rsidRPr="00077A98" w:rsidRDefault="003118E6" w:rsidP="003118E6">
      <w:pPr>
        <w:spacing w:after="0" w:line="240" w:lineRule="auto"/>
        <w:contextualSpacing/>
        <w:jc w:val="both"/>
        <w:rPr>
          <w:rFonts w:ascii="Verdana" w:hAnsi="Verdana"/>
          <w:color w:val="4472C4" w:themeColor="accent1"/>
          <w:lang w:val="es-MX"/>
        </w:rPr>
      </w:pPr>
    </w:p>
    <w:p w14:paraId="67256B94" w14:textId="77777777" w:rsidR="003118E6" w:rsidRPr="00C3536C" w:rsidRDefault="003118E6" w:rsidP="003118E6">
      <w:pPr>
        <w:spacing w:after="0"/>
        <w:rPr>
          <w:rFonts w:ascii="Verdana" w:hAnsi="Verdana"/>
          <w:color w:val="4472C4" w:themeColor="accent1"/>
        </w:rPr>
      </w:pPr>
    </w:p>
    <w:p w14:paraId="219D05B4" w14:textId="77777777" w:rsidR="003118E6" w:rsidRDefault="003118E6" w:rsidP="003118E6">
      <w:pPr>
        <w:spacing w:after="0"/>
        <w:rPr>
          <w:rFonts w:ascii="Verdana" w:hAnsi="Verdana"/>
          <w:color w:val="4472C4" w:themeColor="accent1"/>
        </w:rPr>
      </w:pPr>
    </w:p>
    <w:p w14:paraId="1FF08450" w14:textId="60575D1B" w:rsidR="003118E6" w:rsidRPr="00F84ED9" w:rsidRDefault="003118E6" w:rsidP="003118E6">
      <w:pPr>
        <w:spacing w:after="0"/>
        <w:rPr>
          <w:rFonts w:ascii="Verdana" w:hAnsi="Verdana"/>
        </w:rPr>
      </w:pPr>
      <w:r w:rsidRPr="00F84ED9">
        <w:rPr>
          <w:rFonts w:ascii="Verdana" w:hAnsi="Verdana"/>
        </w:rPr>
        <w:lastRenderedPageBreak/>
        <w:t xml:space="preserve">Bogotá D.C., </w:t>
      </w:r>
      <w:r w:rsidR="00512A56">
        <w:rPr>
          <w:rFonts w:ascii="Verdana" w:hAnsi="Verdana"/>
        </w:rPr>
        <w:t>07 Septiembre 2026</w:t>
      </w:r>
      <w:r w:rsidR="002C48CE" w:rsidRPr="002C48CE">
        <w:rPr>
          <w:noProof/>
        </w:rPr>
        <w:t xml:space="preserve"> </w:t>
      </w:r>
    </w:p>
    <w:p w14:paraId="6910B432" w14:textId="129BBB8A" w:rsidR="003118E6" w:rsidRPr="00C3536C" w:rsidRDefault="002C48CE" w:rsidP="003118E6">
      <w:pPr>
        <w:spacing w:after="0"/>
        <w:rPr>
          <w:rFonts w:ascii="Verdana" w:hAnsi="Verdana"/>
          <w:color w:val="4472C4" w:themeColor="accent1"/>
          <w:lang w:val="es-ES"/>
        </w:rPr>
      </w:pPr>
      <w:r w:rsidRPr="002C48CE">
        <w:rPr>
          <w:rFonts w:ascii="Verdana" w:hAnsi="Verdana"/>
        </w:rPr>
        <w:drawing>
          <wp:anchor distT="0" distB="0" distL="114300" distR="114300" simplePos="0" relativeHeight="251659264" behindDoc="1" locked="0" layoutInCell="1" allowOverlap="1" wp14:anchorId="06F9D420" wp14:editId="6CC67419">
            <wp:simplePos x="0" y="0"/>
            <wp:positionH relativeFrom="margin">
              <wp:posOffset>3265510</wp:posOffset>
            </wp:positionH>
            <wp:positionV relativeFrom="paragraph">
              <wp:posOffset>8890</wp:posOffset>
            </wp:positionV>
            <wp:extent cx="2585014" cy="701749"/>
            <wp:effectExtent l="0" t="0" r="6350" b="3175"/>
            <wp:wrapNone/>
            <wp:docPr id="1537142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42233" name=""/>
                    <pic:cNvPicPr/>
                  </pic:nvPicPr>
                  <pic:blipFill>
                    <a:blip r:embed="rId10">
                      <a:extLst>
                        <a:ext uri="{28A0092B-C50C-407E-A947-70E740481C1C}">
                          <a14:useLocalDpi xmlns:a14="http://schemas.microsoft.com/office/drawing/2010/main" val="0"/>
                        </a:ext>
                      </a:extLst>
                    </a:blip>
                    <a:stretch>
                      <a:fillRect/>
                    </a:stretch>
                  </pic:blipFill>
                  <pic:spPr>
                    <a:xfrm>
                      <a:off x="0" y="0"/>
                      <a:ext cx="2585014" cy="701749"/>
                    </a:xfrm>
                    <a:prstGeom prst="rect">
                      <a:avLst/>
                    </a:prstGeom>
                  </pic:spPr>
                </pic:pic>
              </a:graphicData>
            </a:graphic>
            <wp14:sizeRelH relativeFrom="margin">
              <wp14:pctWidth>0</wp14:pctWidth>
            </wp14:sizeRelH>
            <wp14:sizeRelV relativeFrom="margin">
              <wp14:pctHeight>0</wp14:pctHeight>
            </wp14:sizeRelV>
          </wp:anchor>
        </w:drawing>
      </w:r>
    </w:p>
    <w:p w14:paraId="40DDD8C7" w14:textId="77777777" w:rsidR="003118E6" w:rsidRPr="00245D35" w:rsidRDefault="003118E6" w:rsidP="003118E6">
      <w:pPr>
        <w:spacing w:after="0" w:line="240" w:lineRule="auto"/>
        <w:rPr>
          <w:rFonts w:ascii="Verdana" w:hAnsi="Verdana"/>
          <w:lang w:val="es-ES"/>
        </w:rPr>
      </w:pPr>
      <w:bookmarkStart w:id="0" w:name="_Hlk143780582"/>
      <w:r w:rsidRPr="00245D35">
        <w:rPr>
          <w:rFonts w:ascii="Verdana" w:eastAsia="Calibri" w:hAnsi="Verdana" w:cs="Arial"/>
          <w:lang w:val="es-ES" w:eastAsia="es-ES"/>
        </w:rPr>
        <w:t>Señor</w:t>
      </w:r>
    </w:p>
    <w:p w14:paraId="19D21260" w14:textId="77777777" w:rsidR="003118E6" w:rsidRPr="00245D35" w:rsidRDefault="003118E6" w:rsidP="003118E6">
      <w:pPr>
        <w:spacing w:after="0" w:line="240" w:lineRule="auto"/>
        <w:rPr>
          <w:rFonts w:ascii="Verdana" w:hAnsi="Verdana"/>
          <w:lang w:val="es-ES"/>
        </w:rPr>
      </w:pPr>
      <w:r w:rsidRPr="00245D35">
        <w:rPr>
          <w:rFonts w:ascii="Verdana" w:eastAsia="Calibri" w:hAnsi="Verdana" w:cs="Arial"/>
          <w:b/>
          <w:bCs/>
          <w:lang w:eastAsia="es-ES"/>
        </w:rPr>
        <w:t>Juan Camilo Donoso Barrios</w:t>
      </w:r>
    </w:p>
    <w:p w14:paraId="2B17BCAD" w14:textId="77777777" w:rsidR="003118E6" w:rsidRPr="004140EC" w:rsidRDefault="003118E6" w:rsidP="003118E6">
      <w:pPr>
        <w:spacing w:after="0"/>
        <w:rPr>
          <w:rFonts w:ascii="Verdana" w:hAnsi="Verdana"/>
          <w:color w:val="4472C4" w:themeColor="accent1"/>
          <w:lang w:val="es-ES"/>
        </w:rPr>
      </w:pPr>
      <w:hyperlink r:id="rId11" w:history="1"/>
      <w:hyperlink r:id="rId12" w:history="1">
        <w:r w:rsidRPr="00FD0D08">
          <w:rPr>
            <w:rStyle w:val="Hipervnculo"/>
            <w:rFonts w:ascii="Verdana" w:hAnsi="Verdana"/>
            <w:lang w:val="es-ES"/>
          </w:rPr>
          <w:t>jcdb.sas@gmail.com</w:t>
        </w:r>
      </w:hyperlink>
      <w:r>
        <w:rPr>
          <w:rFonts w:ascii="Verdana" w:hAnsi="Verdana"/>
          <w:color w:val="4472C4" w:themeColor="accent1"/>
          <w:lang w:val="es-ES"/>
        </w:rPr>
        <w:t xml:space="preserve"> </w:t>
      </w:r>
    </w:p>
    <w:p w14:paraId="48ADFD7B" w14:textId="77777777" w:rsidR="003118E6" w:rsidRPr="00245D35" w:rsidRDefault="003118E6" w:rsidP="003118E6">
      <w:pPr>
        <w:spacing w:after="0"/>
        <w:rPr>
          <w:rFonts w:ascii="Verdana" w:eastAsia="Calibri" w:hAnsi="Verdana" w:cs="Arial"/>
          <w:lang w:val="es-ES" w:eastAsia="es-ES"/>
        </w:rPr>
      </w:pPr>
      <w:r>
        <w:rPr>
          <w:rFonts w:ascii="Verdana" w:eastAsia="Calibri" w:hAnsi="Verdana" w:cs="Arial"/>
          <w:lang w:val="es-ES" w:eastAsia="es-ES"/>
        </w:rPr>
        <w:t>El Espinal, Tolima</w:t>
      </w:r>
    </w:p>
    <w:p w14:paraId="55E24035" w14:textId="77777777" w:rsidR="003118E6" w:rsidRPr="00C3536C" w:rsidRDefault="003118E6" w:rsidP="003118E6">
      <w:pPr>
        <w:spacing w:after="0"/>
        <w:rPr>
          <w:rFonts w:ascii="Verdana" w:eastAsia="Calibri" w:hAnsi="Verdana" w:cs="Arial"/>
          <w:color w:val="4472C4" w:themeColor="accent1"/>
          <w:lang w:val="es-ES" w:eastAsia="es-ES"/>
        </w:rPr>
      </w:pPr>
    </w:p>
    <w:p w14:paraId="63C61A00" w14:textId="77777777" w:rsidR="003118E6" w:rsidRPr="00C3536C" w:rsidRDefault="003118E6" w:rsidP="003118E6">
      <w:pPr>
        <w:spacing w:after="0" w:line="240" w:lineRule="auto"/>
        <w:rPr>
          <w:rFonts w:ascii="Verdana" w:eastAsia="Calibri" w:hAnsi="Verdana" w:cs="Arial"/>
          <w:b/>
          <w:bCs/>
          <w:color w:val="4472C4" w:themeColor="accent1"/>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3118E6" w:rsidRPr="00C3536C" w14:paraId="19816FB9" w14:textId="77777777" w:rsidTr="002F33E3">
        <w:trPr>
          <w:trHeight w:val="300"/>
        </w:trPr>
        <w:tc>
          <w:tcPr>
            <w:tcW w:w="2410" w:type="dxa"/>
          </w:tcPr>
          <w:p w14:paraId="41E06FA8" w14:textId="77777777" w:rsidR="003118E6" w:rsidRPr="00245D35" w:rsidRDefault="003118E6" w:rsidP="002F33E3">
            <w:pPr>
              <w:ind w:left="-142"/>
              <w:jc w:val="both"/>
              <w:rPr>
                <w:rFonts w:ascii="Verdana" w:eastAsia="Calibri" w:hAnsi="Verdana" w:cs="Arial"/>
                <w:b/>
                <w:bCs/>
                <w:lang w:val="es-ES" w:eastAsia="es-ES_tradnl"/>
              </w:rPr>
            </w:pPr>
          </w:p>
        </w:tc>
        <w:tc>
          <w:tcPr>
            <w:tcW w:w="6379" w:type="dxa"/>
          </w:tcPr>
          <w:p w14:paraId="5A284AF5" w14:textId="77777777" w:rsidR="003118E6" w:rsidRPr="00245D35" w:rsidRDefault="003118E6" w:rsidP="002F33E3">
            <w:pPr>
              <w:ind w:left="3"/>
              <w:jc w:val="both"/>
              <w:rPr>
                <w:rFonts w:ascii="Verdana" w:eastAsia="Calibri" w:hAnsi="Verdana" w:cs="Arial"/>
                <w:b/>
                <w:bCs/>
                <w:lang w:val="es-ES" w:eastAsia="es-ES"/>
              </w:rPr>
            </w:pPr>
            <w:r w:rsidRPr="00245D35">
              <w:rPr>
                <w:rFonts w:ascii="Verdana" w:eastAsia="Calibri" w:hAnsi="Verdana" w:cs="Arial"/>
                <w:b/>
                <w:bCs/>
                <w:lang w:val="es-ES" w:eastAsia="es-ES"/>
              </w:rPr>
              <w:t>Concepto C-1189 de 2026</w:t>
            </w:r>
          </w:p>
          <w:p w14:paraId="56D08B6B" w14:textId="77777777" w:rsidR="003118E6" w:rsidRPr="00245D35" w:rsidRDefault="003118E6" w:rsidP="002F33E3">
            <w:pPr>
              <w:ind w:left="3"/>
              <w:jc w:val="both"/>
              <w:rPr>
                <w:rFonts w:ascii="Verdana" w:eastAsia="Calibri" w:hAnsi="Verdana" w:cs="Arial"/>
                <w:b/>
                <w:bCs/>
                <w:lang w:val="es-ES" w:eastAsia="es-ES"/>
              </w:rPr>
            </w:pPr>
          </w:p>
        </w:tc>
      </w:tr>
      <w:tr w:rsidR="003118E6" w:rsidRPr="00C3536C" w14:paraId="7A82A048" w14:textId="77777777" w:rsidTr="002F33E3">
        <w:trPr>
          <w:trHeight w:val="300"/>
        </w:trPr>
        <w:tc>
          <w:tcPr>
            <w:tcW w:w="2410" w:type="dxa"/>
          </w:tcPr>
          <w:p w14:paraId="15A7DC9C" w14:textId="77777777" w:rsidR="003118E6" w:rsidRPr="00C3536C" w:rsidRDefault="003118E6" w:rsidP="002F33E3">
            <w:pPr>
              <w:ind w:left="424" w:firstLine="142"/>
              <w:jc w:val="both"/>
              <w:rPr>
                <w:rFonts w:ascii="Verdana" w:eastAsia="Calibri" w:hAnsi="Verdana" w:cs="Arial"/>
                <w:color w:val="4472C4" w:themeColor="accent1"/>
                <w:lang w:val="es-ES" w:eastAsia="es-ES_tradnl"/>
              </w:rPr>
            </w:pPr>
            <w:r w:rsidRPr="00532525">
              <w:rPr>
                <w:rFonts w:ascii="Verdana" w:eastAsia="Calibri" w:hAnsi="Verdana" w:cs="Arial"/>
                <w:b/>
                <w:lang w:val="es-ES" w:eastAsia="es-ES_tradnl"/>
              </w:rPr>
              <w:t>Temas:</w:t>
            </w:r>
            <w:r w:rsidRPr="00532525">
              <w:rPr>
                <w:rFonts w:ascii="Verdana" w:eastAsia="Calibri" w:hAnsi="Verdana" w:cs="Arial"/>
                <w:lang w:val="es-ES" w:eastAsia="es-ES_tradnl"/>
              </w:rPr>
              <w:t xml:space="preserve">                  </w:t>
            </w:r>
          </w:p>
        </w:tc>
        <w:tc>
          <w:tcPr>
            <w:tcW w:w="6379" w:type="dxa"/>
          </w:tcPr>
          <w:p w14:paraId="63C6FC53" w14:textId="77777777" w:rsidR="003118E6" w:rsidRPr="00426E83" w:rsidRDefault="003118E6" w:rsidP="002F33E3">
            <w:pPr>
              <w:contextualSpacing/>
              <w:jc w:val="both"/>
              <w:rPr>
                <w:rFonts w:ascii="Verdana" w:hAnsi="Verdana" w:cs="Arial"/>
                <w:lang w:val="es-ES_tradnl"/>
              </w:rPr>
            </w:pPr>
            <w:r w:rsidRPr="00426E83">
              <w:rPr>
                <w:rFonts w:ascii="Verdana" w:hAnsi="Verdana" w:cs="Arial"/>
                <w:lang w:val="es-ES_tradnl"/>
              </w:rPr>
              <w:t>CLASIFICADOR DE BIENES Y SERVICIOS DE NACIONES UNIDAS – Función / CLASIFICADOR DE BIENES Y SERVICIOS DE NACIONES UNIDAS – Noción / CLASIFICADOR DE BIENES Y SERVICIOS DE NACIONES UNIDAS – Normativa / PROYECTO DE PLIEGO DE CONDICIONES – Acto de trámite - Efectos / PROYECTO DE PLIEGO DE CONDICIONES – Respuestas a Observaciones - No vinculantes</w:t>
            </w:r>
          </w:p>
          <w:p w14:paraId="63CAEA12" w14:textId="77777777" w:rsidR="003118E6" w:rsidRPr="00C3536C" w:rsidRDefault="003118E6" w:rsidP="002F33E3">
            <w:pPr>
              <w:contextualSpacing/>
              <w:jc w:val="both"/>
              <w:rPr>
                <w:rFonts w:ascii="Verdana" w:eastAsia="Calibri" w:hAnsi="Verdana" w:cs="Arial"/>
                <w:color w:val="4472C4" w:themeColor="accent1"/>
              </w:rPr>
            </w:pPr>
          </w:p>
        </w:tc>
      </w:tr>
      <w:tr w:rsidR="003118E6" w:rsidRPr="00C3536C" w14:paraId="5F431C5B" w14:textId="77777777" w:rsidTr="002F33E3">
        <w:trPr>
          <w:trHeight w:val="350"/>
        </w:trPr>
        <w:tc>
          <w:tcPr>
            <w:tcW w:w="2410" w:type="dxa"/>
          </w:tcPr>
          <w:p w14:paraId="004BF201" w14:textId="77777777" w:rsidR="003118E6" w:rsidRPr="007B7D56" w:rsidRDefault="003118E6" w:rsidP="002F33E3">
            <w:pPr>
              <w:ind w:left="561"/>
              <w:jc w:val="both"/>
              <w:rPr>
                <w:rFonts w:ascii="Verdana" w:eastAsia="Calibri" w:hAnsi="Verdana" w:cs="Arial"/>
                <w:b/>
                <w:lang w:val="es-ES" w:eastAsia="es-ES_tradnl"/>
              </w:rPr>
            </w:pPr>
            <w:r w:rsidRPr="007B7D56">
              <w:rPr>
                <w:rFonts w:ascii="Verdana" w:eastAsia="Calibri" w:hAnsi="Verdana" w:cs="Arial"/>
                <w:b/>
                <w:lang w:val="es-ES" w:eastAsia="es-ES_tradnl"/>
              </w:rPr>
              <w:t>Radicación:</w:t>
            </w:r>
            <w:r w:rsidRPr="007B7D56">
              <w:rPr>
                <w:rFonts w:ascii="Verdana" w:eastAsia="Calibri" w:hAnsi="Verdana" w:cs="Arial"/>
                <w:lang w:val="es-ES" w:eastAsia="es-ES_tradnl"/>
              </w:rPr>
              <w:t xml:space="preserve">              </w:t>
            </w:r>
          </w:p>
        </w:tc>
        <w:tc>
          <w:tcPr>
            <w:tcW w:w="6379" w:type="dxa"/>
          </w:tcPr>
          <w:p w14:paraId="7C8FCFF9" w14:textId="77777777" w:rsidR="003118E6" w:rsidRPr="007B7D56" w:rsidRDefault="003118E6" w:rsidP="002F33E3">
            <w:pPr>
              <w:ind w:left="3"/>
              <w:jc w:val="both"/>
              <w:rPr>
                <w:rFonts w:ascii="Verdana" w:eastAsia="Calibri" w:hAnsi="Verdana" w:cs="Arial"/>
                <w:lang w:val="es-ES" w:eastAsia="es-ES"/>
              </w:rPr>
            </w:pPr>
            <w:r w:rsidRPr="007B7D56">
              <w:rPr>
                <w:rFonts w:ascii="Verdana" w:eastAsia="Calibri" w:hAnsi="Verdana" w:cs="Arial"/>
                <w:lang w:val="es-ES" w:eastAsia="es-ES"/>
              </w:rPr>
              <w:t>Respuesta a consulta con radicado No. 1_2026_07_28_009935</w:t>
            </w:r>
          </w:p>
          <w:p w14:paraId="342A8BD4" w14:textId="77777777" w:rsidR="003118E6" w:rsidRPr="007B7D56" w:rsidRDefault="003118E6" w:rsidP="002F33E3">
            <w:pPr>
              <w:ind w:left="3"/>
              <w:jc w:val="both"/>
              <w:rPr>
                <w:rFonts w:ascii="Verdana" w:hAnsi="Verdana"/>
                <w:lang w:val="es-ES"/>
              </w:rPr>
            </w:pPr>
          </w:p>
        </w:tc>
      </w:tr>
      <w:tr w:rsidR="003118E6" w:rsidRPr="00C3536C" w14:paraId="3F5AA4D3" w14:textId="77777777" w:rsidTr="002F33E3">
        <w:trPr>
          <w:trHeight w:val="350"/>
        </w:trPr>
        <w:tc>
          <w:tcPr>
            <w:tcW w:w="2410" w:type="dxa"/>
          </w:tcPr>
          <w:p w14:paraId="2CA3AED2" w14:textId="77777777" w:rsidR="003118E6" w:rsidRPr="00C3536C" w:rsidRDefault="003118E6" w:rsidP="002F33E3">
            <w:pPr>
              <w:ind w:left="561"/>
              <w:jc w:val="both"/>
              <w:rPr>
                <w:rFonts w:ascii="Verdana" w:eastAsia="Calibri" w:hAnsi="Verdana" w:cs="Arial"/>
                <w:b/>
                <w:color w:val="4472C4" w:themeColor="accent1"/>
                <w:lang w:val="es-ES" w:eastAsia="es-ES_tradnl"/>
              </w:rPr>
            </w:pPr>
          </w:p>
        </w:tc>
        <w:tc>
          <w:tcPr>
            <w:tcW w:w="6379" w:type="dxa"/>
          </w:tcPr>
          <w:p w14:paraId="1E766703" w14:textId="77777777" w:rsidR="003118E6" w:rsidRPr="00C3536C" w:rsidRDefault="003118E6" w:rsidP="002F33E3">
            <w:pPr>
              <w:ind w:left="3"/>
              <w:jc w:val="both"/>
              <w:rPr>
                <w:rFonts w:ascii="Verdana" w:eastAsia="Calibri" w:hAnsi="Verdana" w:cs="Arial"/>
                <w:color w:val="4472C4" w:themeColor="accent1"/>
                <w:lang w:val="es-ES" w:eastAsia="es-ES"/>
              </w:rPr>
            </w:pPr>
          </w:p>
        </w:tc>
      </w:tr>
    </w:tbl>
    <w:p w14:paraId="1371F81D" w14:textId="77777777" w:rsidR="003118E6" w:rsidRPr="00532525" w:rsidRDefault="003118E6" w:rsidP="003118E6">
      <w:pPr>
        <w:spacing w:after="0" w:line="276" w:lineRule="auto"/>
        <w:jc w:val="both"/>
        <w:rPr>
          <w:rFonts w:ascii="Verdana" w:eastAsia="Calibri" w:hAnsi="Verdana" w:cs="Arial"/>
          <w:lang w:val="es-ES" w:eastAsia="es-ES"/>
        </w:rPr>
      </w:pPr>
      <w:r w:rsidRPr="00532525">
        <w:rPr>
          <w:rFonts w:ascii="Verdana" w:eastAsia="Calibri" w:hAnsi="Verdana" w:cs="Arial"/>
          <w:lang w:val="es-ES" w:eastAsia="es-ES"/>
        </w:rPr>
        <w:t>Estimada Señor Donoso:</w:t>
      </w:r>
    </w:p>
    <w:p w14:paraId="164832A0" w14:textId="77777777" w:rsidR="003118E6" w:rsidRPr="00532525" w:rsidRDefault="003118E6" w:rsidP="003118E6">
      <w:pPr>
        <w:tabs>
          <w:tab w:val="left" w:pos="3768"/>
        </w:tabs>
        <w:spacing w:after="0" w:line="276" w:lineRule="auto"/>
        <w:jc w:val="both"/>
        <w:rPr>
          <w:rFonts w:ascii="Verdana" w:eastAsia="Calibri" w:hAnsi="Verdana" w:cs="Arial"/>
          <w:lang w:val="es-ES" w:eastAsia="es-ES"/>
        </w:rPr>
      </w:pPr>
      <w:r w:rsidRPr="00532525">
        <w:rPr>
          <w:rFonts w:ascii="Verdana" w:eastAsia="Calibri" w:hAnsi="Verdana" w:cs="Arial"/>
          <w:lang w:val="es-ES" w:eastAsia="es-ES"/>
        </w:rPr>
        <w:tab/>
      </w:r>
    </w:p>
    <w:p w14:paraId="6ACADF8A" w14:textId="77777777" w:rsidR="003118E6" w:rsidRPr="00532525" w:rsidRDefault="003118E6" w:rsidP="003118E6">
      <w:pPr>
        <w:spacing w:after="0" w:line="276" w:lineRule="auto"/>
        <w:jc w:val="both"/>
        <w:rPr>
          <w:rFonts w:ascii="Verdana" w:eastAsia="Calibri" w:hAnsi="Verdana" w:cs="Arial"/>
          <w:lang w:val="es-ES" w:eastAsia="es-ES"/>
        </w:rPr>
      </w:pPr>
      <w:r w:rsidRPr="00532525">
        <w:rPr>
          <w:rFonts w:ascii="Verdana" w:eastAsia="Calibri" w:hAnsi="Verdana" w:cs="Arial"/>
          <w:lang w:val="es-ES" w:eastAsia="es-ES"/>
        </w:rPr>
        <w:t>En ejercicio de la competencia otorgada por los artículos 3, numeral 5º, y 11, numeral 8º, del Decreto Ley 4170 de 2011,</w:t>
      </w:r>
      <w:r w:rsidRPr="00532525">
        <w:rPr>
          <w:rFonts w:ascii="Verdana" w:eastAsia="Arial MT" w:hAnsi="Verdana" w:cs="Arial MT"/>
          <w:lang w:val="es-ES" w:eastAsia="es-ES"/>
        </w:rPr>
        <w:t xml:space="preserve"> </w:t>
      </w:r>
      <w:r w:rsidRPr="00532525">
        <w:rPr>
          <w:rFonts w:ascii="Verdana" w:hAnsi="Verdana" w:cs="Arial"/>
          <w:lang w:val="es-ES"/>
        </w:rPr>
        <w:t xml:space="preserve">así como lo establecido en el artículo 4 de la Resolución 469 de 2025 expedida por esta Entidad, </w:t>
      </w:r>
      <w:r w:rsidRPr="00532525">
        <w:rPr>
          <w:rFonts w:ascii="Verdana" w:eastAsia="Calibri" w:hAnsi="Verdana" w:cs="Arial"/>
          <w:lang w:val="es-ES" w:eastAsia="es-ES"/>
        </w:rPr>
        <w:t>la Agencia Nacional de Contratación Pública – Colombia Compra Eficiente– responde su solicitud de consulta de fecha 28 de julio de 2026</w:t>
      </w:r>
      <w:r>
        <w:rPr>
          <w:rFonts w:ascii="Verdana" w:eastAsia="Calibri" w:hAnsi="Verdana" w:cs="Arial"/>
          <w:lang w:val="es-ES" w:eastAsia="es-ES"/>
        </w:rPr>
        <w:t xml:space="preserve"> en su punto número 3,</w:t>
      </w:r>
      <w:r w:rsidRPr="00532525">
        <w:rPr>
          <w:rFonts w:ascii="Verdana" w:eastAsia="Calibri" w:hAnsi="Verdana" w:cs="Arial"/>
          <w:lang w:val="es-ES" w:eastAsia="es-ES"/>
        </w:rPr>
        <w:t xml:space="preserve"> en la cual manifiesta lo siguiente: </w:t>
      </w:r>
    </w:p>
    <w:p w14:paraId="03EEB2EA" w14:textId="77777777" w:rsidR="003118E6" w:rsidRPr="00F10929" w:rsidRDefault="003118E6" w:rsidP="003118E6">
      <w:pPr>
        <w:tabs>
          <w:tab w:val="left" w:pos="142"/>
          <w:tab w:val="left" w:pos="284"/>
        </w:tabs>
        <w:spacing w:after="0" w:line="276" w:lineRule="auto"/>
        <w:jc w:val="both"/>
        <w:rPr>
          <w:rFonts w:ascii="Verdana" w:eastAsia="Century Gothic" w:hAnsi="Verdana" w:cs="Century Gothic"/>
          <w:b/>
          <w:bCs/>
          <w:lang w:val="es-ES"/>
        </w:rPr>
      </w:pPr>
    </w:p>
    <w:p w14:paraId="77525F32" w14:textId="77777777" w:rsidR="003118E6" w:rsidRPr="00F10929" w:rsidRDefault="003118E6" w:rsidP="003118E6">
      <w:pPr>
        <w:spacing w:after="0" w:line="240" w:lineRule="auto"/>
        <w:ind w:left="709" w:right="709"/>
        <w:jc w:val="both"/>
        <w:rPr>
          <w:rFonts w:ascii="Verdana" w:eastAsia="Century Gothic" w:hAnsi="Verdana" w:cs="Century Gothic"/>
          <w:i/>
          <w:iCs/>
          <w:sz w:val="20"/>
          <w:szCs w:val="20"/>
        </w:rPr>
      </w:pPr>
      <w:r w:rsidRPr="001B67DA">
        <w:rPr>
          <w:rFonts w:ascii="Verdana" w:eastAsia="Century Gothic" w:hAnsi="Verdana" w:cs="Century Gothic"/>
          <w:i/>
          <w:iCs/>
          <w:sz w:val="20"/>
          <w:szCs w:val="20"/>
          <w:lang w:val="es-ES"/>
        </w:rPr>
        <w:t xml:space="preserve">“[…] 3. A la Agencia Nacional de Contratación Pública – Colombia Compra Eficiente: emitir concepto y, de ser pertinente, acompañamiento técnico a la Entidad, respecto de: (i) la proporcionalidad de exigir la acreditación de la totalidad de cuatro (4) códigos UNSPSC —incluyendo el código 56101900, correspondiente a piezas y accesorios— como requisito habilitante de experiencia en un proceso de suministro de mobiliario terminado, y (ii) la procedencia de incorporar, después de publicado el proyecto de pliego y sin sustento en el </w:t>
      </w:r>
      <w:r w:rsidRPr="001B67DA">
        <w:rPr>
          <w:rFonts w:ascii="Verdana" w:eastAsia="Century Gothic" w:hAnsi="Verdana" w:cs="Century Gothic"/>
          <w:i/>
          <w:iCs/>
          <w:sz w:val="20"/>
          <w:szCs w:val="20"/>
        </w:rPr>
        <w:t xml:space="preserve">Estudio Previo, nuevos requisitos </w:t>
      </w:r>
      <w:r w:rsidRPr="001B67DA">
        <w:rPr>
          <w:rFonts w:ascii="Verdana" w:eastAsia="Century Gothic" w:hAnsi="Verdana" w:cs="Century Gothic"/>
          <w:i/>
          <w:iCs/>
          <w:sz w:val="20"/>
          <w:szCs w:val="20"/>
        </w:rPr>
        <w:lastRenderedPageBreak/>
        <w:t>habilitantes como el perfil profesional del Coordinador y un valor exacto (80%) y no un mínimo en la valoración de la certificación SG-SST, en contravía de lo dispuesto en el Manual CCE-EICP-MA-04. […]”</w:t>
      </w:r>
    </w:p>
    <w:p w14:paraId="2E1AF71A" w14:textId="77777777" w:rsidR="003118E6" w:rsidRPr="00C3536C" w:rsidRDefault="003118E6" w:rsidP="003118E6">
      <w:pPr>
        <w:spacing w:before="120" w:after="120" w:line="240" w:lineRule="auto"/>
        <w:ind w:left="709" w:right="709"/>
        <w:contextualSpacing/>
        <w:jc w:val="both"/>
        <w:rPr>
          <w:rFonts w:ascii="Verdana" w:eastAsia="Century Gothic" w:hAnsi="Verdana" w:cs="Century Gothic"/>
          <w:i/>
          <w:iCs/>
          <w:color w:val="4472C4" w:themeColor="accent1"/>
          <w:sz w:val="20"/>
          <w:szCs w:val="20"/>
          <w:lang w:val="es-ES"/>
        </w:rPr>
      </w:pPr>
    </w:p>
    <w:p w14:paraId="5B8676B0" w14:textId="77777777" w:rsidR="003118E6" w:rsidRPr="00F10929" w:rsidRDefault="003118E6" w:rsidP="003118E6">
      <w:pPr>
        <w:spacing w:after="120" w:line="276" w:lineRule="auto"/>
        <w:ind w:firstLine="708"/>
        <w:jc w:val="both"/>
        <w:rPr>
          <w:rFonts w:ascii="Verdana" w:eastAsia="Calibri" w:hAnsi="Verdana" w:cs="Arial"/>
          <w:lang w:val="es-ES" w:eastAsia="es-ES"/>
        </w:rPr>
      </w:pPr>
      <w:r w:rsidRPr="00F10929">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10929">
        <w:rPr>
          <w:rFonts w:ascii="Verdana" w:hAnsi="Verdana"/>
          <w:lang w:val="es-ES"/>
        </w:rPr>
        <w:tab/>
      </w:r>
    </w:p>
    <w:p w14:paraId="50841A66" w14:textId="77777777" w:rsidR="003118E6" w:rsidRPr="00F10929" w:rsidRDefault="003118E6" w:rsidP="003118E6">
      <w:pPr>
        <w:spacing w:after="0" w:line="276" w:lineRule="auto"/>
        <w:ind w:firstLine="709"/>
        <w:jc w:val="both"/>
        <w:rPr>
          <w:rFonts w:ascii="Verdana" w:eastAsia="Calibri" w:hAnsi="Verdana" w:cs="Arial"/>
          <w:lang w:val="es-ES" w:eastAsia="es-ES"/>
        </w:rPr>
      </w:pPr>
      <w:r w:rsidRPr="00F10929">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76F59A6F" w14:textId="77777777" w:rsidR="003118E6" w:rsidRPr="00F10929" w:rsidRDefault="003118E6" w:rsidP="003118E6">
      <w:pPr>
        <w:spacing w:after="0" w:line="276" w:lineRule="auto"/>
        <w:ind w:firstLine="709"/>
        <w:jc w:val="both"/>
        <w:rPr>
          <w:rFonts w:ascii="Verdana" w:eastAsia="Calibri" w:hAnsi="Verdana" w:cs="Arial"/>
          <w:lang w:val="es-ES" w:eastAsia="es-ES"/>
        </w:rPr>
      </w:pPr>
    </w:p>
    <w:p w14:paraId="47329D4B" w14:textId="77777777" w:rsidR="003118E6" w:rsidRPr="00F10929" w:rsidRDefault="003118E6" w:rsidP="003118E6">
      <w:pPr>
        <w:tabs>
          <w:tab w:val="left" w:pos="142"/>
          <w:tab w:val="left" w:pos="284"/>
        </w:tabs>
        <w:spacing w:after="0" w:line="276" w:lineRule="auto"/>
        <w:jc w:val="both"/>
        <w:rPr>
          <w:rFonts w:ascii="Verdana" w:eastAsia="Century Gothic" w:hAnsi="Verdana" w:cs="Century Gothic"/>
          <w:b/>
          <w:lang w:val="es-ES"/>
        </w:rPr>
      </w:pPr>
      <w:r w:rsidRPr="00F10929">
        <w:rPr>
          <w:rFonts w:ascii="Verdana" w:eastAsia="Century Gothic" w:hAnsi="Verdana" w:cs="Century Gothic"/>
          <w:b/>
          <w:lang w:val="es-ES"/>
        </w:rPr>
        <w:t>1. Problema planteado:</w:t>
      </w:r>
    </w:p>
    <w:p w14:paraId="7BC92195" w14:textId="77777777" w:rsidR="003118E6" w:rsidRPr="00C3536C" w:rsidRDefault="003118E6" w:rsidP="003118E6">
      <w:pPr>
        <w:tabs>
          <w:tab w:val="left" w:pos="426"/>
        </w:tabs>
        <w:spacing w:after="0" w:line="276" w:lineRule="auto"/>
        <w:jc w:val="both"/>
        <w:rPr>
          <w:rFonts w:ascii="Verdana" w:eastAsia="Century Gothic" w:hAnsi="Verdana" w:cs="Century Gothic"/>
          <w:color w:val="4472C4" w:themeColor="accent1"/>
          <w:lang w:val="es-ES"/>
        </w:rPr>
      </w:pPr>
    </w:p>
    <w:p w14:paraId="6E1A3B13" w14:textId="77777777" w:rsidR="003118E6" w:rsidRPr="00C3536C" w:rsidRDefault="003118E6" w:rsidP="003118E6">
      <w:pPr>
        <w:spacing w:after="0" w:line="276" w:lineRule="auto"/>
        <w:jc w:val="both"/>
        <w:rPr>
          <w:rFonts w:ascii="Verdana" w:eastAsia="Century Gothic" w:hAnsi="Verdana" w:cs="Century Gothic"/>
          <w:color w:val="4472C4" w:themeColor="accent1"/>
        </w:rPr>
      </w:pPr>
      <w:r w:rsidRPr="00F10929">
        <w:rPr>
          <w:rFonts w:ascii="Verdana" w:eastAsia="Century Gothic" w:hAnsi="Verdana" w:cs="Century Gothic"/>
          <w:lang w:val="es-ES"/>
        </w:rPr>
        <w:t xml:space="preserve">De acuerdo con el contenido de su solicitud, esta Agencia resolverá </w:t>
      </w:r>
      <w:r>
        <w:rPr>
          <w:rFonts w:ascii="Verdana" w:eastAsia="Century Gothic" w:hAnsi="Verdana" w:cs="Century Gothic"/>
          <w:lang w:val="es-ES"/>
        </w:rPr>
        <w:t xml:space="preserve">los </w:t>
      </w:r>
      <w:r w:rsidRPr="00F10929">
        <w:rPr>
          <w:rFonts w:ascii="Verdana" w:eastAsia="Century Gothic" w:hAnsi="Verdana" w:cs="Century Gothic"/>
          <w:lang w:val="es-ES"/>
        </w:rPr>
        <w:t>siguiente</w:t>
      </w:r>
      <w:r>
        <w:rPr>
          <w:rFonts w:ascii="Verdana" w:eastAsia="Century Gothic" w:hAnsi="Verdana" w:cs="Century Gothic"/>
          <w:lang w:val="es-ES"/>
        </w:rPr>
        <w:t>s</w:t>
      </w:r>
      <w:r w:rsidRPr="00F10929">
        <w:rPr>
          <w:rFonts w:ascii="Verdana" w:eastAsia="Century Gothic" w:hAnsi="Verdana" w:cs="Century Gothic"/>
          <w:lang w:val="es-ES"/>
        </w:rPr>
        <w:t xml:space="preserve"> problema</w:t>
      </w:r>
      <w:r>
        <w:rPr>
          <w:rFonts w:ascii="Verdana" w:eastAsia="Century Gothic" w:hAnsi="Verdana" w:cs="Century Gothic"/>
          <w:lang w:val="es-ES"/>
        </w:rPr>
        <w:t>s</w:t>
      </w:r>
      <w:r w:rsidRPr="00F10929">
        <w:rPr>
          <w:rFonts w:ascii="Verdana" w:eastAsia="Century Gothic" w:hAnsi="Verdana" w:cs="Century Gothic"/>
          <w:lang w:val="es-ES"/>
        </w:rPr>
        <w:t xml:space="preserve"> jurídico</w:t>
      </w:r>
      <w:r>
        <w:rPr>
          <w:rFonts w:ascii="Verdana" w:eastAsia="Century Gothic" w:hAnsi="Verdana" w:cs="Century Gothic"/>
          <w:lang w:val="es-ES"/>
        </w:rPr>
        <w:t>s</w:t>
      </w:r>
      <w:r w:rsidRPr="00593935">
        <w:rPr>
          <w:rFonts w:ascii="Verdana" w:eastAsia="Century Gothic" w:hAnsi="Verdana" w:cs="Century Gothic"/>
          <w:lang w:val="es-ES"/>
        </w:rPr>
        <w:t>:</w:t>
      </w:r>
      <w:r w:rsidRPr="00593935">
        <w:rPr>
          <w:rFonts w:ascii="Verdana" w:eastAsia="Century Gothic" w:hAnsi="Verdana" w:cs="Century Gothic"/>
        </w:rPr>
        <w:t xml:space="preserve"> i. </w:t>
      </w:r>
      <w:r w:rsidRPr="00593935">
        <w:rPr>
          <w:rFonts w:ascii="Verdana" w:eastAsia="Calibri" w:hAnsi="Verdana" w:cs="Times New Roman"/>
        </w:rPr>
        <w:t xml:space="preserve">¿Cómo se acredita la experiencia de los proveedores a partir del Clasificador de Bienes y Servicios de las Naciones Unidas en los procesos de selección de las entidades públicas? </w:t>
      </w:r>
      <w:r w:rsidRPr="00216C6A">
        <w:rPr>
          <w:rFonts w:ascii="Verdana" w:eastAsia="Century Gothic" w:hAnsi="Verdana" w:cs="Century Gothic"/>
        </w:rPr>
        <w:t>ii. ¿Pueden las entidades públicas incorporar nuevos requisitos habilitantes o modificar las condiciones para su acreditación con posterioridad a la publicación del proyecto de pliego de condiciones?</w:t>
      </w:r>
    </w:p>
    <w:p w14:paraId="7F59421B" w14:textId="77777777" w:rsidR="003118E6" w:rsidRPr="00C3536C" w:rsidRDefault="003118E6" w:rsidP="003118E6">
      <w:pPr>
        <w:spacing w:after="0" w:line="276" w:lineRule="auto"/>
        <w:jc w:val="both"/>
        <w:rPr>
          <w:rFonts w:ascii="Verdana" w:eastAsia="Century Gothic" w:hAnsi="Verdana" w:cs="Century Gothic"/>
          <w:color w:val="4472C4" w:themeColor="accent1"/>
        </w:rPr>
      </w:pPr>
      <w:r w:rsidRPr="00C3536C">
        <w:rPr>
          <w:rFonts w:ascii="Verdana" w:eastAsia="Century Gothic" w:hAnsi="Verdana" w:cs="Century Gothic"/>
          <w:color w:val="4472C4" w:themeColor="accent1"/>
        </w:rPr>
        <w:t xml:space="preserve">    </w:t>
      </w:r>
    </w:p>
    <w:p w14:paraId="1E4A0FE7" w14:textId="77777777" w:rsidR="003118E6" w:rsidRPr="00F10929" w:rsidRDefault="003118E6" w:rsidP="003118E6">
      <w:pPr>
        <w:tabs>
          <w:tab w:val="left" w:pos="142"/>
          <w:tab w:val="left" w:pos="284"/>
        </w:tabs>
        <w:spacing w:after="0" w:line="276" w:lineRule="auto"/>
        <w:jc w:val="both"/>
        <w:rPr>
          <w:rFonts w:ascii="Verdana" w:eastAsia="Century Gothic" w:hAnsi="Verdana" w:cs="Century Gothic"/>
          <w:b/>
          <w:lang w:val="es-ES"/>
        </w:rPr>
      </w:pPr>
      <w:r w:rsidRPr="00F10929">
        <w:rPr>
          <w:rFonts w:ascii="Verdana" w:eastAsia="Century Gothic" w:hAnsi="Verdana" w:cs="Century Gothic"/>
          <w:b/>
          <w:lang w:val="es-ES"/>
        </w:rPr>
        <w:t>2. Respuesta:</w:t>
      </w:r>
    </w:p>
    <w:p w14:paraId="1A50E1C5" w14:textId="77777777" w:rsidR="003118E6" w:rsidRPr="00C3536C" w:rsidRDefault="003118E6" w:rsidP="003118E6">
      <w:pPr>
        <w:tabs>
          <w:tab w:val="left" w:pos="142"/>
          <w:tab w:val="left" w:pos="284"/>
        </w:tabs>
        <w:spacing w:after="0" w:line="276" w:lineRule="auto"/>
        <w:jc w:val="both"/>
        <w:rPr>
          <w:rFonts w:ascii="Verdana" w:eastAsia="Century Gothic" w:hAnsi="Verdana" w:cs="Century Gothic"/>
          <w:b/>
          <w:color w:val="4472C4" w:themeColor="accen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118E6" w:rsidRPr="00C3536C" w14:paraId="3509B069" w14:textId="77777777" w:rsidTr="002F33E3">
        <w:tc>
          <w:tcPr>
            <w:tcW w:w="8828" w:type="dxa"/>
          </w:tcPr>
          <w:p w14:paraId="2BF1F5AB" w14:textId="77777777" w:rsidR="003118E6" w:rsidRPr="00BE02A8" w:rsidRDefault="003118E6" w:rsidP="002F33E3">
            <w:pPr>
              <w:spacing w:after="160" w:line="259" w:lineRule="auto"/>
              <w:jc w:val="both"/>
              <w:rPr>
                <w:rFonts w:ascii="Verdana" w:hAnsi="Verdana" w:cs="Arial"/>
                <w:bCs/>
              </w:rPr>
            </w:pPr>
            <w:r w:rsidRPr="00BE02A8">
              <w:rPr>
                <w:rFonts w:ascii="Verdana" w:hAnsi="Verdana" w:cs="Arial"/>
                <w:bCs/>
              </w:rPr>
              <w:t xml:space="preserve">i. </w:t>
            </w:r>
            <w:r w:rsidRPr="00BE02A8">
              <w:rPr>
                <w:rFonts w:ascii="Verdana" w:hAnsi="Verdana" w:cs="Arial"/>
                <w:lang w:val="es-ES" w:eastAsia="es-ES_tradnl"/>
              </w:rPr>
              <w:t>Para resolver el primer problema jurídico,</w:t>
            </w:r>
            <w:r w:rsidRPr="00BE02A8">
              <w:rPr>
                <w:rFonts w:ascii="Verdana" w:hAnsi="Verdana" w:cs="Arial"/>
                <w:bCs/>
              </w:rPr>
              <w:t xml:space="preserve"> se precisa que la clasificación se refiere a los bienes y servicios con los cuales se relaciona la experiencia del </w:t>
            </w:r>
            <w:r w:rsidRPr="00BE02A8">
              <w:rPr>
                <w:rFonts w:ascii="Verdana" w:hAnsi="Verdana" w:cs="Arial"/>
                <w:bCs/>
              </w:rPr>
              <w:lastRenderedPageBreak/>
              <w:t>proponente. Este asunto resulta relevante para el Registro Único de Proponentes (RUP), en la medida en que, ante la existencia de una amplia variedad de bienes y servicios, así como un gran número de proponentes con experiencia para suministrarlos, el legislador consideró necesario que el RUP incorporara un sistema de clasificación que permitiera racionalizar y organizar dicha información. En este sentido, el Decreto 1082 de 2015, al reglamentar aspectos relacionados con la contratación pública, el RUP y la clasificación de la experiencia, adoptó el Clasificador de Bienes y Servicios de las Naciones Unidas —UNSPSC—.</w:t>
            </w:r>
          </w:p>
          <w:p w14:paraId="7C6A7650" w14:textId="77777777" w:rsidR="003118E6" w:rsidRPr="00BE02A8" w:rsidRDefault="003118E6" w:rsidP="002F33E3">
            <w:pPr>
              <w:spacing w:after="160" w:line="259" w:lineRule="auto"/>
              <w:ind w:firstLine="709"/>
              <w:jc w:val="both"/>
              <w:rPr>
                <w:rFonts w:ascii="Verdana" w:hAnsi="Verdana" w:cs="Arial"/>
                <w:bCs/>
              </w:rPr>
            </w:pPr>
            <w:r w:rsidRPr="00BE02A8">
              <w:rPr>
                <w:rFonts w:ascii="Verdana" w:hAnsi="Verdana" w:cs="Arial"/>
                <w:bCs/>
              </w:rPr>
              <w:t xml:space="preserve">Dicho lo anterior, el artículo 2.2.1.1.2.1.3 del Decreto 1082 de 2015, que regula de manera general el contenido de los pliegos de condiciones, establece como deber de las Entidades Estatales incluir en estos una “descripción técnica, detallada y completa del bien o servicio objeto del contrato, identificado con el cuarto nivel del Clasificador de Bienes y Servicios, de ser posible o de lo contrario con el tercer nivel del mismo”. En ese contexto, </w:t>
            </w:r>
            <w:r w:rsidRPr="00BE02A8">
              <w:rPr>
                <w:rFonts w:ascii="Verdana" w:eastAsia="Times New Roman" w:hAnsi="Verdana" w:cs="Arial"/>
                <w:lang w:val="es-ES"/>
              </w:rPr>
              <w:t xml:space="preserve">las entidades al momento de establecer las condiciones para la verificación de experiencia, debe ser adecuada y proporcional a la naturaleza del contrato respecto al valor, complejidad y riesgo, pues no sería del caso establecer condiciones de verificación que no apuntaran a un objeto igual o similar al del proceso de contratación dentro del pliego de condiciones, o se establecieran elementos o requisitos de valor que no fueran proporcionales al presupuesto establecido para el futuro contrato.  </w:t>
            </w:r>
          </w:p>
          <w:p w14:paraId="1B49C90F" w14:textId="77777777" w:rsidR="003118E6" w:rsidRPr="00F7041F" w:rsidRDefault="003118E6" w:rsidP="002F33E3">
            <w:pPr>
              <w:widowControl w:val="0"/>
              <w:autoSpaceDE w:val="0"/>
              <w:autoSpaceDN w:val="0"/>
              <w:spacing w:after="120" w:line="276" w:lineRule="auto"/>
              <w:ind w:right="104" w:firstLine="708"/>
              <w:jc w:val="both"/>
              <w:rPr>
                <w:rFonts w:ascii="Verdana" w:eastAsia="Times New Roman" w:hAnsi="Verdana" w:cs="Arial"/>
                <w:lang w:val="es-ES_tradnl"/>
              </w:rPr>
            </w:pPr>
            <w:r w:rsidRPr="00BE02A8">
              <w:rPr>
                <w:rFonts w:ascii="Verdana" w:eastAsia="Times New Roman" w:hAnsi="Verdana" w:cs="Arial"/>
                <w:lang w:val="es-ES"/>
              </w:rPr>
              <w:t xml:space="preserve">Se hace </w:t>
            </w:r>
            <w:r w:rsidRPr="00BE02A8">
              <w:rPr>
                <w:rFonts w:ascii="Verdana" w:eastAsia="Times New Roman" w:hAnsi="Verdana" w:cs="Arial"/>
                <w:lang w:val="es-ES_tradnl"/>
              </w:rPr>
              <w:t xml:space="preserve">preciso tener en cuenta que, de acuerdo con la postura adoptada en la Circular Externa Única de esta Agencia, la “clasificación del proponente”, que corresponde a los listados señalados en los numerales 1.1. y 2.1. del artículo 2.2.1.1.1.5.2. del Decreto 1082 de 2015, no condiciona la capacidad ―jurídica, ni tampoco otra― de los proponentes, por lo que, si un proponente cumple los demás requisitos exigidos en el pliego de condiciones, su oferta no puede ser rechazada o desestimada bajo el argumento de que no cuenta con la inscripción del código de los bienes, obras o servicios del </w:t>
            </w:r>
            <w:r w:rsidRPr="00F7041F">
              <w:rPr>
                <w:rFonts w:ascii="Verdana" w:eastAsia="Times New Roman" w:hAnsi="Verdana" w:cs="Arial"/>
                <w:lang w:val="es-ES_tradnl"/>
              </w:rPr>
              <w:t>objeto del proceso de contratación.</w:t>
            </w:r>
          </w:p>
          <w:p w14:paraId="78B310CC" w14:textId="77777777" w:rsidR="003118E6" w:rsidRDefault="003118E6" w:rsidP="002F33E3">
            <w:pPr>
              <w:widowControl w:val="0"/>
              <w:autoSpaceDE w:val="0"/>
              <w:autoSpaceDN w:val="0"/>
              <w:spacing w:after="120" w:line="276" w:lineRule="auto"/>
              <w:ind w:right="104" w:firstLine="708"/>
              <w:jc w:val="both"/>
              <w:rPr>
                <w:rFonts w:ascii="Verdana" w:eastAsia="Times New Roman" w:hAnsi="Verdana" w:cs="Arial"/>
                <w:lang w:val="es-ES"/>
              </w:rPr>
            </w:pPr>
            <w:r w:rsidRPr="00F7041F">
              <w:rPr>
                <w:rFonts w:ascii="Verdana" w:eastAsia="Times New Roman" w:hAnsi="Verdana" w:cs="Arial"/>
                <w:lang w:val="es-ES"/>
              </w:rPr>
              <w:t xml:space="preserve">Lo anterior se desarrolla sin perjuicio de la forma como se exija la experiencia en los pliegos de condiciones, pues este es un requisito habilitante diferente de la capacidad jurídica; y, para efectos de evaluar la experiencia en los pliegos de condiciones, sí se podrá acudir al Clasificador de Bienes y Servicios de las Naciones Unidas para exigir, por ejemplo, que </w:t>
            </w:r>
            <w:r w:rsidRPr="00F7041F">
              <w:rPr>
                <w:rFonts w:ascii="Verdana" w:eastAsia="Times New Roman" w:hAnsi="Verdana" w:cs="Arial"/>
                <w:lang w:val="es-ES"/>
              </w:rPr>
              <w:lastRenderedPageBreak/>
              <w:t xml:space="preserve">solo se tendrá por válida la experiencia inscrita por el proponente en el RUP, </w:t>
            </w:r>
            <w:r w:rsidRPr="00934A8E">
              <w:rPr>
                <w:rFonts w:ascii="Verdana" w:eastAsia="Times New Roman" w:hAnsi="Verdana" w:cs="Arial"/>
                <w:lang w:val="es-ES"/>
              </w:rPr>
              <w:t xml:space="preserve">que sea de contratos ejecutados que coincidan con algún Código del Clasificador del Bienes y Servicios, en particular, en el tercer nivel del clasificador expresada en SMMLV. </w:t>
            </w:r>
          </w:p>
          <w:p w14:paraId="089865D6" w14:textId="77777777" w:rsidR="003118E6" w:rsidRPr="00A03BF1" w:rsidRDefault="003118E6" w:rsidP="002F33E3">
            <w:pPr>
              <w:widowControl w:val="0"/>
              <w:autoSpaceDE w:val="0"/>
              <w:autoSpaceDN w:val="0"/>
              <w:spacing w:after="120" w:line="276" w:lineRule="auto"/>
              <w:ind w:right="104" w:firstLine="708"/>
              <w:jc w:val="both"/>
              <w:rPr>
                <w:rFonts w:ascii="Verdana" w:eastAsia="Times New Roman" w:hAnsi="Verdana" w:cs="Arial"/>
                <w:lang w:val="es-ES_tradnl"/>
              </w:rPr>
            </w:pPr>
            <w:r w:rsidRPr="00934A8E">
              <w:rPr>
                <w:rFonts w:ascii="Verdana" w:eastAsia="Times New Roman" w:hAnsi="Verdana" w:cs="Arial"/>
                <w:lang w:val="es-ES"/>
              </w:rPr>
              <w:t xml:space="preserve">En esta misma orientación, </w:t>
            </w:r>
            <w:r w:rsidRPr="00934A8E">
              <w:rPr>
                <w:rFonts w:ascii="Verdana" w:eastAsia="Times New Roman" w:hAnsi="Verdana" w:cs="Arial"/>
                <w:lang w:val="es-ES_tradnl"/>
              </w:rPr>
              <w:t>la Circular Externa Única a la que se hizo referencia, en relación con el uso del Clasificador de Bienes y Servicios para efectos de acreditar la experiencia en los procedimientos de selección, expresó que los proponentes deben inscribir en el RUP su experiencia usando los códigos del Clasificador de Bienes y Servicios. Por su parte, 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w:t>
            </w:r>
          </w:p>
          <w:p w14:paraId="598782CE" w14:textId="77777777" w:rsidR="003118E6" w:rsidRDefault="003118E6" w:rsidP="002F33E3">
            <w:pPr>
              <w:spacing w:after="120" w:line="276" w:lineRule="auto"/>
              <w:ind w:right="79" w:firstLine="601"/>
              <w:jc w:val="both"/>
              <w:rPr>
                <w:rFonts w:ascii="Verdana" w:hAnsi="Verdana" w:cs="Arial"/>
                <w:bCs/>
              </w:rPr>
            </w:pPr>
            <w:r w:rsidRPr="00352C73">
              <w:rPr>
                <w:rFonts w:ascii="Verdana" w:hAnsi="Verdana" w:cs="Arial"/>
                <w:bCs/>
              </w:rPr>
              <w:t>Por último, es necesario recordar que, las entidades estatales son autónomas en la estructuración de sus procedimientos contractuales, por lo cual en sus pliegos de condiciones pueden establecer las reglas de acreditación de la experiencia de los proponentes, el número de código de naciones unidas hasta el tercer nivel y demás consideraciones siempre que sean proporcionales y conducentes para el respectivo proceso de selección, para así garantizar la pluralidad de oferentes y la participación en el respectivo proceso.</w:t>
            </w:r>
          </w:p>
          <w:p w14:paraId="3EB1FE4A" w14:textId="77777777" w:rsidR="003118E6" w:rsidRDefault="003118E6" w:rsidP="002F33E3">
            <w:pPr>
              <w:spacing w:after="120" w:line="276" w:lineRule="auto"/>
              <w:ind w:right="79"/>
              <w:jc w:val="both"/>
              <w:rPr>
                <w:rFonts w:ascii="Verdana" w:hAnsi="Verdana" w:cs="Arial"/>
                <w:bCs/>
              </w:rPr>
            </w:pPr>
            <w:r w:rsidRPr="00716914">
              <w:rPr>
                <w:rFonts w:ascii="Verdana" w:hAnsi="Verdana" w:cs="Arial"/>
                <w:bCs/>
              </w:rPr>
              <w:t>ii. Frente al segundo problema jurídico, es importante precisar que el pliego de condiciones constituye la hoja de ruta sobre la cual se diseña, estructura y desarrolla el procedimiento de selección de contratistas, y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Pr>
                <w:rFonts w:ascii="Verdana" w:hAnsi="Verdana" w:cs="Arial"/>
                <w:bCs/>
              </w:rPr>
              <w:t>.</w:t>
            </w:r>
          </w:p>
          <w:p w14:paraId="4D753479" w14:textId="77777777" w:rsidR="003118E6" w:rsidRDefault="003118E6" w:rsidP="002F33E3">
            <w:pPr>
              <w:spacing w:after="120" w:line="276" w:lineRule="auto"/>
              <w:ind w:right="79" w:firstLine="709"/>
              <w:jc w:val="both"/>
              <w:rPr>
                <w:rFonts w:ascii="Verdana" w:eastAsia="Arial" w:hAnsi="Verdana" w:cs="Arial"/>
                <w:lang w:val="es-ES" w:eastAsia="es-ES" w:bidi="es-ES"/>
              </w:rPr>
            </w:pPr>
            <w:r>
              <w:rPr>
                <w:rFonts w:ascii="Verdana" w:hAnsi="Verdana" w:cs="Arial"/>
                <w:bCs/>
              </w:rPr>
              <w:t>D</w:t>
            </w:r>
            <w:r w:rsidRPr="00EB617B">
              <w:rPr>
                <w:rFonts w:ascii="Verdana" w:eastAsia="Arial" w:hAnsi="Verdana" w:cs="Arial"/>
                <w:lang w:val="es-ES" w:eastAsia="es-ES" w:bidi="es-ES"/>
              </w:rPr>
              <w:t xml:space="preserve">icho lo anterior, </w:t>
            </w:r>
            <w:r w:rsidRPr="00EB617B">
              <w:rPr>
                <w:rFonts w:ascii="Verdana" w:eastAsia="Calibri" w:hAnsi="Verdana" w:cs="Arial"/>
              </w:rPr>
              <w:t xml:space="preserve">el </w:t>
            </w:r>
            <w:r w:rsidRPr="00EB617B">
              <w:rPr>
                <w:rFonts w:ascii="Verdana" w:eastAsia="Calibri" w:hAnsi="Verdana" w:cs="Arial"/>
                <w:i/>
                <w:iCs/>
              </w:rPr>
              <w:t>proyecto de pliego de condiciones</w:t>
            </w:r>
            <w:r w:rsidRPr="00EB617B">
              <w:rPr>
                <w:rFonts w:ascii="Verdana" w:eastAsia="Calibri" w:hAnsi="Verdana" w:cs="Arial"/>
              </w:rPr>
              <w:t xml:space="preserve"> al que se refiere la presente consulta no hace parte de los actos administrativos precontractuales o separables del contrato, ni mucho menos de los contractuales o posteriores al perfeccionamiento del contrato. En esa medida, al no ser una declaración unilateral de voluntad de la administración, ni comporta la virtualidad de producir efectos jurídicos, se debe entender como </w:t>
            </w:r>
            <w:r w:rsidRPr="00EB617B">
              <w:rPr>
                <w:rFonts w:ascii="Verdana" w:eastAsia="Arial" w:hAnsi="Verdana" w:cs="Arial"/>
                <w:lang w:val="es-ES" w:eastAsia="es-ES" w:bidi="es-ES"/>
              </w:rPr>
              <w:lastRenderedPageBreak/>
              <w:t xml:space="preserve">un acto de trámite previo al inicio del verdadero proceso precontractual, y lo que busca es poner en conocimiento a los partícipes del sistema de compra pública el proyecto de pliego de condiciones y los estudios y documentos previos, para recibir de quienes se interesen, todas las observaciones, reclamaciones, sugerencias y solicitudes de aclaraciones, de tal forma que exista veracidad, imparcialidad y perfeccionamiento del acto que contendrá las condiciones y reglas de todo el proceso contractual. </w:t>
            </w:r>
            <w:r w:rsidRPr="00C82F54">
              <w:rPr>
                <w:rFonts w:ascii="Verdana" w:eastAsia="Arial" w:hAnsi="Verdana" w:cs="Arial"/>
                <w:lang w:val="es-ES" w:eastAsia="es-ES" w:bidi="es-ES"/>
              </w:rPr>
              <w:t>En consecuencia, las respuestas a las observaciones y/o aclaraciones que los interesados formulen al proyecto de pliego de condiciones no son vinculantes, ni constituyen modificaciones a las condiciones, reglas o exigencias para la escogencia del contratista del Estado.</w:t>
            </w:r>
          </w:p>
          <w:p w14:paraId="246AECC3" w14:textId="77777777" w:rsidR="003118E6" w:rsidRPr="006B562C" w:rsidRDefault="003118E6" w:rsidP="002F33E3">
            <w:pPr>
              <w:spacing w:after="120" w:line="276" w:lineRule="auto"/>
              <w:ind w:right="79" w:firstLine="709"/>
              <w:jc w:val="both"/>
              <w:rPr>
                <w:rFonts w:ascii="Verdana" w:hAnsi="Verdana" w:cs="Arial"/>
                <w:bCs/>
              </w:rPr>
            </w:pPr>
            <w:r w:rsidRPr="006B562C">
              <w:rPr>
                <w:rFonts w:ascii="Verdana" w:eastAsia="Calibri" w:hAnsi="Verdana" w:cs="Arial"/>
                <w:bCs/>
              </w:rPr>
              <w:t xml:space="preserve">Finalmente, al margen de la explicación precedente debe advertirse que </w:t>
            </w:r>
            <w:r w:rsidRPr="006B562C">
              <w:rPr>
                <w:rStyle w:val="s15"/>
                <w:rFonts w:ascii="Verdana" w:hAnsi="Verdana"/>
              </w:rPr>
              <w:t>el análisis requerido para resolver problemas específicos en torno a la gestión contractual debe ser realizado por quienes tengan interés en ello, de acuerdo con lo explicado la aclaración preliminar del presente oficio.</w:t>
            </w:r>
            <w:r w:rsidRPr="006B562C">
              <w:rPr>
                <w:rStyle w:val="apple-converted-space"/>
                <w:rFonts w:ascii="Verdana" w:hAnsi="Verdana"/>
              </w:rPr>
              <w:t> </w:t>
            </w:r>
            <w:r w:rsidRPr="006B562C">
              <w:rPr>
                <w:rStyle w:val="s15"/>
                <w:rFonts w:ascii="Verdana" w:hAnsi="Verdana"/>
              </w:rPr>
              <w:t>Por lo anterior, previo</w:t>
            </w:r>
            <w:r w:rsidRPr="006B562C">
              <w:rPr>
                <w:rStyle w:val="apple-converted-space"/>
                <w:rFonts w:ascii="Verdana" w:hAnsi="Verdana"/>
              </w:rPr>
              <w:t> </w:t>
            </w:r>
            <w:r w:rsidRPr="006B562C">
              <w:rPr>
                <w:rStyle w:val="s15"/>
                <w:rFonts w:ascii="Verdana" w:hAnsi="Verdana"/>
              </w:rPr>
              <w:t>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4FC16F21" w14:textId="77777777" w:rsidR="003118E6" w:rsidRPr="00C3536C" w:rsidRDefault="003118E6" w:rsidP="003118E6">
      <w:pPr>
        <w:tabs>
          <w:tab w:val="left" w:pos="142"/>
          <w:tab w:val="left" w:pos="284"/>
        </w:tabs>
        <w:spacing w:after="0" w:line="276" w:lineRule="auto"/>
        <w:jc w:val="both"/>
        <w:rPr>
          <w:rFonts w:ascii="Verdana" w:eastAsia="Century Gothic" w:hAnsi="Verdana" w:cs="Century Gothic"/>
          <w:b/>
          <w:bCs/>
          <w:color w:val="4472C4" w:themeColor="accent1"/>
          <w:lang w:val="es-ES"/>
        </w:rPr>
      </w:pPr>
    </w:p>
    <w:p w14:paraId="4AD12DAA" w14:textId="77777777" w:rsidR="003118E6" w:rsidRPr="003952DC" w:rsidRDefault="003118E6" w:rsidP="003118E6">
      <w:pPr>
        <w:tabs>
          <w:tab w:val="left" w:pos="142"/>
          <w:tab w:val="left" w:pos="284"/>
        </w:tabs>
        <w:spacing w:after="0" w:line="276" w:lineRule="auto"/>
        <w:jc w:val="both"/>
        <w:rPr>
          <w:rFonts w:ascii="Verdana" w:eastAsia="Century Gothic" w:hAnsi="Verdana" w:cs="Century Gothic"/>
          <w:b/>
          <w:lang w:val="es-ES"/>
        </w:rPr>
      </w:pPr>
      <w:r w:rsidRPr="003952DC">
        <w:rPr>
          <w:rFonts w:ascii="Verdana" w:eastAsia="Century Gothic" w:hAnsi="Verdana" w:cs="Century Gothic"/>
          <w:b/>
          <w:lang w:val="es-ES"/>
        </w:rPr>
        <w:t>3. Razones de la respuesta:</w:t>
      </w:r>
    </w:p>
    <w:p w14:paraId="55D1A314" w14:textId="77777777" w:rsidR="003118E6" w:rsidRPr="003952DC" w:rsidRDefault="003118E6" w:rsidP="003118E6">
      <w:pPr>
        <w:spacing w:after="0" w:line="276" w:lineRule="auto"/>
        <w:jc w:val="both"/>
        <w:rPr>
          <w:rFonts w:ascii="Verdana" w:eastAsia="Calibri" w:hAnsi="Verdana" w:cs="Arial"/>
          <w:lang w:val="es-ES"/>
        </w:rPr>
      </w:pPr>
    </w:p>
    <w:p w14:paraId="666A2BAD" w14:textId="77777777" w:rsidR="003118E6" w:rsidRPr="003952DC" w:rsidRDefault="003118E6" w:rsidP="003118E6">
      <w:pPr>
        <w:spacing w:after="0" w:line="276" w:lineRule="auto"/>
        <w:jc w:val="both"/>
        <w:rPr>
          <w:rFonts w:ascii="Verdana" w:eastAsia="Calibri" w:hAnsi="Verdana" w:cs="Arial"/>
          <w:lang w:val="es-ES"/>
        </w:rPr>
      </w:pPr>
      <w:r w:rsidRPr="003952DC">
        <w:rPr>
          <w:rFonts w:ascii="Verdana" w:eastAsia="Calibri" w:hAnsi="Verdana" w:cs="Arial"/>
          <w:lang w:val="es-ES"/>
        </w:rPr>
        <w:t xml:space="preserve">Las respuestas anteriores se sustentan en las siguientes consideraciones: </w:t>
      </w:r>
    </w:p>
    <w:p w14:paraId="121A7DE4" w14:textId="77777777" w:rsidR="003118E6" w:rsidRPr="00C3536C" w:rsidRDefault="003118E6" w:rsidP="003118E6">
      <w:pPr>
        <w:tabs>
          <w:tab w:val="left" w:pos="142"/>
          <w:tab w:val="left" w:pos="284"/>
        </w:tabs>
        <w:spacing w:after="0" w:line="276" w:lineRule="auto"/>
        <w:jc w:val="both"/>
        <w:rPr>
          <w:rFonts w:ascii="Verdana" w:eastAsia="Century Gothic" w:hAnsi="Verdana" w:cs="Century Gothic"/>
          <w:b/>
          <w:color w:val="4472C4" w:themeColor="accent1"/>
          <w:lang w:val="es-ES"/>
        </w:rPr>
      </w:pPr>
    </w:p>
    <w:p w14:paraId="1D5C58D7" w14:textId="77777777" w:rsidR="003118E6" w:rsidRPr="005D1674" w:rsidRDefault="003118E6" w:rsidP="009758B6">
      <w:pPr>
        <w:widowControl w:val="0"/>
        <w:autoSpaceDE w:val="0"/>
        <w:autoSpaceDN w:val="0"/>
        <w:spacing w:after="120" w:line="276" w:lineRule="auto"/>
        <w:jc w:val="both"/>
        <w:rPr>
          <w:rFonts w:ascii="Verdana" w:eastAsia="Arial MT" w:hAnsi="Verdana" w:cs="Arial"/>
          <w:lang w:val="es-ES"/>
        </w:rPr>
      </w:pPr>
      <w:bookmarkStart w:id="1" w:name="_Hlk102983874"/>
      <w:bookmarkStart w:id="2" w:name="_Hlk102388095"/>
      <w:r w:rsidRPr="005D1674">
        <w:rPr>
          <w:rFonts w:ascii="Verdana" w:eastAsia="Times New Roman" w:hAnsi="Verdana" w:cs="Arial"/>
          <w:lang w:val="es-ES" w:eastAsia="es-ES"/>
          <w14:ligatures w14:val="standardContextual"/>
        </w:rPr>
        <w:t xml:space="preserve">i. </w:t>
      </w:r>
      <w:r w:rsidRPr="005D1674">
        <w:rPr>
          <w:rFonts w:ascii="Verdana" w:eastAsia="Arial MT" w:hAnsi="Verdana" w:cs="Arial"/>
          <w:lang w:val="es-ES"/>
        </w:rPr>
        <w:t>Las normas de contratación estatal establecen que las personas naturales o jurídicas nacionales o extranjeras que deseen celebrar contratos estatales deberán estar inscritos en el Registro Único de Proponente –</w:t>
      </w:r>
      <w:r w:rsidRPr="005D1674">
        <w:rPr>
          <w:rFonts w:ascii="Verdana" w:eastAsia="Arial MT" w:hAnsi="Verdana" w:cs="Arial"/>
          <w:spacing w:val="-6"/>
          <w:lang w:val="es-ES"/>
        </w:rPr>
        <w:t xml:space="preserve"> </w:t>
      </w:r>
      <w:r w:rsidRPr="005D1674">
        <w:rPr>
          <w:rFonts w:ascii="Verdana" w:eastAsia="Arial MT" w:hAnsi="Verdana" w:cs="Arial"/>
          <w:lang w:val="es-ES"/>
        </w:rPr>
        <w:t>RUP</w:t>
      </w:r>
      <w:r w:rsidRPr="005D1674">
        <w:rPr>
          <w:rFonts w:ascii="Verdana" w:eastAsia="Arial MT" w:hAnsi="Verdana" w:cs="Arial"/>
          <w:vertAlign w:val="superscript"/>
          <w:lang w:val="es-ES"/>
        </w:rPr>
        <w:footnoteReference w:id="1"/>
      </w:r>
      <w:r w:rsidRPr="005D1674">
        <w:rPr>
          <w:rFonts w:ascii="Verdana" w:eastAsia="Arial MT" w:hAnsi="Verdana" w:cs="Arial"/>
          <w:lang w:val="es-ES"/>
        </w:rPr>
        <w:t xml:space="preserve">. De acuerdo </w:t>
      </w:r>
      <w:r w:rsidRPr="005D1674">
        <w:rPr>
          <w:rFonts w:ascii="Verdana" w:eastAsia="Arial MT" w:hAnsi="Verdana" w:cs="Arial"/>
          <w:lang w:val="es-ES"/>
        </w:rPr>
        <w:lastRenderedPageBreak/>
        <w:t>con esto, el artículo 6 de la Ley 1150 de 2007, al determinar la información contenida en el RUP, dispone que en el registro constará la información relacionada con la experiencia, capacidad jurídica, financiera y de organización del proponente, así como su clasificación</w:t>
      </w:r>
      <w:r w:rsidRPr="005D1674">
        <w:rPr>
          <w:rFonts w:ascii="Verdana" w:eastAsia="Arial MT" w:hAnsi="Verdana" w:cs="Arial"/>
          <w:vertAlign w:val="superscript"/>
          <w:lang w:val="es-ES"/>
        </w:rPr>
        <w:footnoteReference w:id="2"/>
      </w:r>
      <w:r w:rsidRPr="005D1674">
        <w:rPr>
          <w:rFonts w:ascii="Verdana" w:eastAsia="Arial MT" w:hAnsi="Verdana" w:cs="Arial"/>
          <w:lang w:val="es-ES"/>
        </w:rPr>
        <w:t>.</w:t>
      </w:r>
    </w:p>
    <w:p w14:paraId="7AC8EEBE" w14:textId="77777777" w:rsidR="003118E6" w:rsidRPr="003209E2" w:rsidRDefault="003118E6" w:rsidP="009758B6">
      <w:pPr>
        <w:widowControl w:val="0"/>
        <w:autoSpaceDE w:val="0"/>
        <w:autoSpaceDN w:val="0"/>
        <w:spacing w:after="120" w:line="276" w:lineRule="auto"/>
        <w:jc w:val="both"/>
        <w:rPr>
          <w:rFonts w:ascii="Verdana" w:eastAsia="Arial MT" w:hAnsi="Verdana" w:cs="Arial"/>
          <w:lang w:val="es-ES"/>
        </w:rPr>
      </w:pPr>
      <w:r w:rsidRPr="003209E2">
        <w:rPr>
          <w:rFonts w:ascii="Verdana" w:eastAsia="Arial MT" w:hAnsi="Verdana" w:cs="Arial"/>
          <w:lang w:val="es-ES"/>
        </w:rPr>
        <w:tab/>
        <w:t xml:space="preserve">La clasificación tiene que ver con los bienes y servicios con los que se relaciona la experiencia del proponente. Este asunto es relevante para el registro, en la medida en que, existiendo una gran variedad de bienes y servicios, así como un gran número de proponentes con experiencia para suministrarlos, el legislador estimó necesario que el RUP incorporara una clasificación a efectos de racionalizar la información. De esta manera, el Decreto 1082 de 2015, al reglamentar la contratación pública, el RUP y la clasificación de la experiencia, implementó el Clasificador de Bienes y Servicios de las Naciones Unidas –UNSPSC–, lo cual se refleja en diferentes partes de su articulado. </w:t>
      </w:r>
    </w:p>
    <w:p w14:paraId="097BE989" w14:textId="77777777" w:rsidR="003118E6" w:rsidRPr="00BD1957" w:rsidRDefault="003118E6" w:rsidP="003118E6">
      <w:pPr>
        <w:shd w:val="clear" w:color="auto" w:fill="FFFFFF"/>
        <w:spacing w:after="120" w:line="276" w:lineRule="auto"/>
        <w:ind w:firstLine="709"/>
        <w:jc w:val="both"/>
        <w:textAlignment w:val="baseline"/>
        <w:rPr>
          <w:rFonts w:ascii="Verdana" w:eastAsia="Times New Roman" w:hAnsi="Verdana" w:cs="Arial"/>
          <w:bdr w:val="none" w:sz="0" w:space="0" w:color="auto" w:frame="1"/>
          <w:lang w:val="es-MX" w:eastAsia="es-CO"/>
        </w:rPr>
      </w:pPr>
      <w:r w:rsidRPr="00BD1957">
        <w:rPr>
          <w:rFonts w:ascii="Verdana" w:eastAsia="Times New Roman" w:hAnsi="Verdana" w:cs="Arial"/>
          <w:bdr w:val="none" w:sz="0" w:space="0" w:color="auto" w:frame="1"/>
          <w:lang w:val="es-MX" w:eastAsia="es-CO"/>
        </w:rPr>
        <w:t xml:space="preserve">El artículo 2.2.1.1.1.3.1 del Decreto 1082 de 2015 define el Clasificador de Bienes y Servicios como el “Sistema de codificación de las Naciones Unidas para estandarizar productos y servicios, conocido por las siglas UNSPSC”. A su vez, la “Guía para la codificación de bienes y servicios de acuerdo con el código estándar de productos y servicios de Naciones Unidas, V.14.080”, establece que “The United Nations Standard Products and Services Code® - UNSPSC - Código Estándar de Productos y Servicios de Naciones Unidas, es una metodología uniforme de codificación utilizada para clasificar productos y servicios fundamentada en un arreglo jerárquico y en una estructura lógica”. La principal utilidad de este sistema de clasificación es codificar productos y servicios de </w:t>
      </w:r>
      <w:r w:rsidRPr="00BD1957">
        <w:rPr>
          <w:rFonts w:ascii="Verdana" w:eastAsia="Times New Roman" w:hAnsi="Verdana" w:cs="Arial"/>
          <w:bdr w:val="none" w:sz="0" w:space="0" w:color="auto" w:frame="1"/>
          <w:lang w:val="es-MX" w:eastAsia="es-CO"/>
        </w:rPr>
        <w:lastRenderedPageBreak/>
        <w:t>forma clara ya que “se basa en estándares acordados por la industria los cuales facilitan el comercio entre empresas y gobierno”</w:t>
      </w:r>
      <w:r w:rsidRPr="00BD1957">
        <w:rPr>
          <w:rFonts w:ascii="Verdana" w:eastAsia="Times New Roman" w:hAnsi="Verdana" w:cs="Arial"/>
          <w:bdr w:val="none" w:sz="0" w:space="0" w:color="auto" w:frame="1"/>
          <w:vertAlign w:val="superscript"/>
          <w:lang w:val="es-MX" w:eastAsia="es-CO"/>
        </w:rPr>
        <w:footnoteReference w:id="3"/>
      </w:r>
      <w:r w:rsidRPr="00BD1957">
        <w:rPr>
          <w:rFonts w:ascii="Verdana" w:eastAsia="Times New Roman" w:hAnsi="Verdana" w:cs="Arial"/>
          <w:bdr w:val="none" w:sz="0" w:space="0" w:color="auto" w:frame="1"/>
          <w:lang w:val="es-MX" w:eastAsia="es-CO"/>
        </w:rPr>
        <w:t>.</w:t>
      </w:r>
    </w:p>
    <w:p w14:paraId="71BADFA5" w14:textId="77777777" w:rsidR="003118E6" w:rsidRPr="00FA4BCA" w:rsidRDefault="003118E6" w:rsidP="009758B6">
      <w:pPr>
        <w:widowControl w:val="0"/>
        <w:autoSpaceDE w:val="0"/>
        <w:autoSpaceDN w:val="0"/>
        <w:spacing w:after="120" w:line="276" w:lineRule="auto"/>
        <w:ind w:firstLine="607"/>
        <w:jc w:val="both"/>
        <w:rPr>
          <w:rFonts w:ascii="Verdana" w:eastAsia="Times New Roman" w:hAnsi="Verdana" w:cs="Arial"/>
          <w:bdr w:val="none" w:sz="0" w:space="0" w:color="auto" w:frame="1"/>
          <w:lang w:val="es-MX"/>
        </w:rPr>
      </w:pPr>
      <w:r w:rsidRPr="00FA4BCA">
        <w:rPr>
          <w:rFonts w:ascii="Verdana" w:eastAsia="Times New Roman" w:hAnsi="Verdana" w:cs="Arial"/>
          <w:bdr w:val="none" w:sz="0" w:space="0" w:color="auto" w:frame="1"/>
          <w:lang w:val="es-ES"/>
        </w:rPr>
        <w:t>Por otro lado, el artículo 2.2.1.1.1.4.1 del Decreto 1082 de 2015, referente al deber de elaborar el Plan Anual de Adquisiciones, establece que en la expedición de dicho documento las entidades deben “señalar la necesidad y cuando conoce el bien, obra o servicio que satisface esa necesidad debe identificarlo utilizando el Clasiﬁcador de Bienes y Servicios”</w:t>
      </w:r>
      <w:r w:rsidRPr="00FA4BCA">
        <w:rPr>
          <w:rFonts w:ascii="Verdana" w:eastAsia="Times New Roman" w:hAnsi="Verdana" w:cs="Arial"/>
          <w:bdr w:val="none" w:sz="0" w:space="0" w:color="auto" w:frame="1"/>
          <w:vertAlign w:val="superscript"/>
          <w:lang w:val="es-ES"/>
        </w:rPr>
        <w:footnoteReference w:id="4"/>
      </w:r>
      <w:r w:rsidRPr="00FA4BCA">
        <w:rPr>
          <w:rFonts w:ascii="Verdana" w:eastAsia="Times New Roman" w:hAnsi="Verdana" w:cs="Arial"/>
          <w:bdr w:val="none" w:sz="0" w:space="0" w:color="auto" w:frame="1"/>
          <w:lang w:val="es-ES"/>
        </w:rPr>
        <w:t>.</w:t>
      </w:r>
      <w:r w:rsidRPr="00FA4BCA">
        <w:rPr>
          <w:rFonts w:ascii="Verdana" w:eastAsia="Times New Roman" w:hAnsi="Verdana" w:cs="Arial"/>
          <w:bdr w:val="none" w:sz="0" w:space="0" w:color="auto" w:frame="1"/>
          <w:lang w:val="es-MX"/>
        </w:rPr>
        <w:t>  </w:t>
      </w:r>
    </w:p>
    <w:p w14:paraId="2922A398" w14:textId="77777777" w:rsidR="003118E6" w:rsidRPr="006D5B10" w:rsidRDefault="003118E6" w:rsidP="003118E6">
      <w:pPr>
        <w:widowControl w:val="0"/>
        <w:autoSpaceDE w:val="0"/>
        <w:autoSpaceDN w:val="0"/>
        <w:spacing w:after="120" w:line="276" w:lineRule="auto"/>
        <w:ind w:firstLine="708"/>
        <w:jc w:val="both"/>
        <w:rPr>
          <w:rFonts w:ascii="Verdana" w:eastAsia="Arial MT" w:hAnsi="Verdana" w:cs="Arial"/>
          <w:lang w:val="es-ES"/>
        </w:rPr>
      </w:pPr>
      <w:r w:rsidRPr="006D5B10">
        <w:rPr>
          <w:rFonts w:ascii="Verdana" w:eastAsia="Arial MT" w:hAnsi="Verdana" w:cs="Arial"/>
          <w:lang w:val="es-ES"/>
        </w:rPr>
        <w:t>Por su parte, el artículo 2.2.1.1.1.5.2 del Decreto 1082 de 2015, al desarrollar la información requerida para la inscripción, actualización y renovación del RUP, establece que los proponentes deben establecer los bienes y servicios que ofrecerán identificados Clasificador de Bienes y Servicios en el tercer nivel. Así mismo el numeral 2.5 de este artículo establece que en los certificados de experiencia presentados para inscripción o actualización del RUP, los proponentes deben indicar en “cada certificado o en cada copia de los contratos, los bienes, obras y servicios a los cuales corresponde la experiencia que pretende acreditar, identificándolos con el Clasificador de Bienes y Servicios en el tercer nivel”</w:t>
      </w:r>
      <w:r w:rsidRPr="006D5B10">
        <w:rPr>
          <w:rFonts w:ascii="Verdana" w:eastAsia="Arial MT" w:hAnsi="Verdana" w:cs="Arial"/>
          <w:vertAlign w:val="superscript"/>
          <w:lang w:val="es-ES"/>
        </w:rPr>
        <w:footnoteReference w:id="5"/>
      </w:r>
      <w:r w:rsidRPr="006D5B10">
        <w:rPr>
          <w:rFonts w:ascii="Verdana" w:eastAsia="Arial MT" w:hAnsi="Verdana" w:cs="Arial"/>
          <w:lang w:val="es-ES"/>
        </w:rPr>
        <w:t xml:space="preserve">. </w:t>
      </w:r>
    </w:p>
    <w:p w14:paraId="30EAD25D" w14:textId="77777777" w:rsidR="003118E6" w:rsidRPr="00710974" w:rsidRDefault="003118E6" w:rsidP="003118E6">
      <w:pPr>
        <w:widowControl w:val="0"/>
        <w:autoSpaceDE w:val="0"/>
        <w:autoSpaceDN w:val="0"/>
        <w:spacing w:after="120" w:line="276" w:lineRule="auto"/>
        <w:ind w:firstLine="708"/>
        <w:jc w:val="both"/>
        <w:rPr>
          <w:rFonts w:ascii="Verdana" w:eastAsia="Arial MT" w:hAnsi="Verdana" w:cs="Arial"/>
          <w:color w:val="7030A0"/>
          <w:highlight w:val="cyan"/>
          <w:lang w:val="es-ES"/>
        </w:rPr>
      </w:pPr>
      <w:r w:rsidRPr="00DD03B4">
        <w:rPr>
          <w:rFonts w:ascii="Verdana" w:eastAsia="Arial MT" w:hAnsi="Verdana" w:cs="Arial"/>
          <w:lang w:val="es-ES"/>
        </w:rPr>
        <w:lastRenderedPageBreak/>
        <w:t xml:space="preserve">En concordancia con lo anterior, el artículo 2.2.1.1.1.5.3. del Decreto 1082 de 2015, en su numeral 1, establece que las Cámaras de Comercio deberán certificar la experiencia inscrita en el RUP verificando los “contratos celebrados por el interesado para cada uno de los bienes, obras y servicios que ofrecerá a las Entidades Estatales, identificados con el Clasiﬁcador de Bienes y Servicios en el tercer nivel </w:t>
      </w:r>
      <w:r w:rsidRPr="00DD03B4">
        <w:rPr>
          <w:rFonts w:ascii="Verdana" w:eastAsia="Arial MT" w:hAnsi="Verdana" w:cs="Arial"/>
        </w:rPr>
        <w:t xml:space="preserve">y su valor expresado en </w:t>
      </w:r>
      <w:r>
        <w:rPr>
          <w:rFonts w:ascii="Verdana" w:eastAsia="Arial MT" w:hAnsi="Verdana" w:cs="Arial"/>
        </w:rPr>
        <w:t>SMMLV</w:t>
      </w:r>
      <w:r w:rsidRPr="00DD03B4">
        <w:rPr>
          <w:rFonts w:ascii="Verdana" w:eastAsia="Arial MT" w:hAnsi="Verdana" w:cs="Arial"/>
          <w:lang w:val="es-ES"/>
        </w:rPr>
        <w:t>”</w:t>
      </w:r>
      <w:r w:rsidRPr="00DD03B4">
        <w:rPr>
          <w:rFonts w:ascii="Verdana" w:eastAsia="Arial MT" w:hAnsi="Verdana" w:cs="Arial"/>
          <w:vertAlign w:val="superscript"/>
          <w:lang w:val="es-ES"/>
        </w:rPr>
        <w:footnoteReference w:id="6"/>
      </w:r>
      <w:r w:rsidRPr="00DD03B4">
        <w:rPr>
          <w:rFonts w:ascii="Verdana" w:eastAsia="Arial MT" w:hAnsi="Verdana" w:cs="Arial"/>
          <w:lang w:val="es-ES"/>
        </w:rPr>
        <w:t>. Esto es coherente con lo dispuesto en el artículo 2.2.1.1.1.5.6, que indica que uno de los componentes de información del RUP son “los bienes, obras y servicios para los cuales está inscrito el proponente de acuerdo con el Clasiﬁcador de Bienes y Servicios”</w:t>
      </w:r>
      <w:r w:rsidRPr="00DD03B4">
        <w:rPr>
          <w:rFonts w:ascii="Verdana" w:eastAsia="Arial MT" w:hAnsi="Verdana" w:cs="Arial"/>
          <w:vertAlign w:val="superscript"/>
          <w:lang w:val="es-ES"/>
        </w:rPr>
        <w:footnoteReference w:id="7"/>
      </w:r>
      <w:r w:rsidRPr="00DD03B4">
        <w:rPr>
          <w:rFonts w:ascii="Verdana" w:eastAsia="Arial MT" w:hAnsi="Verdana" w:cs="Arial"/>
          <w:lang w:val="es-ES"/>
        </w:rPr>
        <w:t xml:space="preserve">. </w:t>
      </w:r>
    </w:p>
    <w:p w14:paraId="3B9512F3" w14:textId="77777777" w:rsidR="003118E6" w:rsidRPr="00823464" w:rsidRDefault="003118E6" w:rsidP="003118E6">
      <w:pPr>
        <w:widowControl w:val="0"/>
        <w:autoSpaceDE w:val="0"/>
        <w:autoSpaceDN w:val="0"/>
        <w:spacing w:after="120" w:line="276" w:lineRule="auto"/>
        <w:ind w:firstLine="708"/>
        <w:jc w:val="both"/>
        <w:rPr>
          <w:rFonts w:ascii="Verdana" w:eastAsia="Arial MT" w:hAnsi="Verdana" w:cs="Arial"/>
          <w:lang w:val="es-ES"/>
        </w:rPr>
      </w:pPr>
      <w:r w:rsidRPr="00823464">
        <w:rPr>
          <w:rFonts w:ascii="Verdana" w:eastAsia="Arial MT" w:hAnsi="Verdana" w:cs="Arial"/>
          <w:lang w:val="es-ES"/>
        </w:rPr>
        <w:t xml:space="preserve">El </w:t>
      </w:r>
      <w:r w:rsidRPr="00823464">
        <w:rPr>
          <w:rFonts w:ascii="Verdana" w:eastAsia="Times New Roman" w:hAnsi="Verdana" w:cs="Arial"/>
          <w:bdr w:val="none" w:sz="0" w:space="0" w:color="auto" w:frame="1"/>
          <w:lang w:val="es-ES"/>
        </w:rPr>
        <w:t>artículo 2.2.1.1.2.1.3. del Decreto 1082 de 2015, el cual regula de manera general el contenido de los pliegos de condiciones, establece como deber de las entidades estales el de realizar en dichos documentos una “descripción técnica, detallada y completa del bien o servicio objeto del contrato, identificado con el cuarto nivel del Clasiﬁcador de Bienes y Servicios, de ser posible o de lo contrario con el tercer nivel del mismo”</w:t>
      </w:r>
      <w:r w:rsidRPr="00823464">
        <w:rPr>
          <w:rFonts w:ascii="Verdana" w:eastAsia="Times New Roman" w:hAnsi="Verdana" w:cs="Arial"/>
          <w:bdr w:val="none" w:sz="0" w:space="0" w:color="auto" w:frame="1"/>
          <w:vertAlign w:val="superscript"/>
          <w:lang w:val="es-ES"/>
        </w:rPr>
        <w:footnoteReference w:id="8"/>
      </w:r>
      <w:r w:rsidRPr="00823464">
        <w:rPr>
          <w:rFonts w:ascii="Verdana" w:eastAsia="Times New Roman" w:hAnsi="Verdana" w:cs="Arial"/>
          <w:bdr w:val="none" w:sz="0" w:space="0" w:color="auto" w:frame="1"/>
          <w:lang w:val="es-ES"/>
        </w:rPr>
        <w:t>. </w:t>
      </w:r>
    </w:p>
    <w:p w14:paraId="6104D3F6" w14:textId="77777777" w:rsidR="003118E6" w:rsidRPr="00750950" w:rsidRDefault="003118E6" w:rsidP="009758B6">
      <w:pPr>
        <w:widowControl w:val="0"/>
        <w:autoSpaceDE w:val="0"/>
        <w:autoSpaceDN w:val="0"/>
        <w:spacing w:after="120" w:line="276" w:lineRule="auto"/>
        <w:ind w:firstLine="608"/>
        <w:jc w:val="both"/>
        <w:rPr>
          <w:rFonts w:ascii="Verdana" w:eastAsia="Times New Roman" w:hAnsi="Verdana" w:cs="Arial"/>
          <w:lang w:val="es-ES"/>
        </w:rPr>
      </w:pPr>
      <w:r w:rsidRPr="00750950">
        <w:rPr>
          <w:rFonts w:ascii="Verdana" w:eastAsia="Times New Roman" w:hAnsi="Verdana" w:cs="Arial"/>
          <w:bdr w:val="none" w:sz="0" w:space="0" w:color="auto" w:frame="1"/>
          <w:lang w:val="es-ES"/>
        </w:rPr>
        <w:lastRenderedPageBreak/>
        <w:t>Conforme a lo anterior, la planeación de las adquisiciones de las entidades estatales, la inscripción en el RUP, la valoración de la experiencia de los proponentes y el desarrollo de los procesos de contratación son ámbitos de la contratación estatal en los que se incorpora el uso del Clasificador de Bienes y Servicios para la contratación estatal. Es una medida que incrementa la eficiencia y la efectividad en procedimientos de selección y reduce los costos de crear y mantener un sistema de codificación individual, al estandarizar una codificación de amplia difusión y de generalizada aceptación, que permite a proveedores y compradores “hablar el mismo lenguaje” al integrar en un solo número el flujo total del proceso de adquisición</w:t>
      </w:r>
      <w:r w:rsidRPr="00750950">
        <w:rPr>
          <w:rFonts w:ascii="Verdana" w:eastAsia="Times New Roman" w:hAnsi="Verdana" w:cs="Arial"/>
          <w:bdr w:val="none" w:sz="0" w:space="0" w:color="auto" w:frame="1"/>
          <w:vertAlign w:val="superscript"/>
          <w:lang w:val="es-ES"/>
        </w:rPr>
        <w:footnoteReference w:id="9"/>
      </w:r>
      <w:r w:rsidRPr="00750950">
        <w:rPr>
          <w:rFonts w:ascii="Verdana" w:eastAsia="Times New Roman" w:hAnsi="Verdana" w:cs="Arial"/>
          <w:bdr w:val="none" w:sz="0" w:space="0" w:color="auto" w:frame="1"/>
          <w:lang w:val="es-ES"/>
        </w:rPr>
        <w:t>. </w:t>
      </w:r>
    </w:p>
    <w:p w14:paraId="11445C7C" w14:textId="77777777" w:rsidR="003118E6" w:rsidRDefault="003118E6" w:rsidP="009758B6">
      <w:pPr>
        <w:widowControl w:val="0"/>
        <w:autoSpaceDE w:val="0"/>
        <w:autoSpaceDN w:val="0"/>
        <w:spacing w:after="0" w:line="276" w:lineRule="auto"/>
        <w:ind w:firstLine="607"/>
        <w:jc w:val="both"/>
        <w:rPr>
          <w:rFonts w:ascii="Verdana" w:eastAsia="Times New Roman" w:hAnsi="Verdana" w:cs="Arial"/>
        </w:rPr>
      </w:pPr>
      <w:r w:rsidRPr="00DD5C28">
        <w:rPr>
          <w:rFonts w:ascii="Verdana" w:eastAsia="Times New Roman" w:hAnsi="Verdana" w:cs="Arial"/>
          <w:lang w:val="es-ES"/>
        </w:rPr>
        <w:t xml:space="preserve">Al respecto, </w:t>
      </w:r>
      <w:r w:rsidRPr="00DD5C28">
        <w:rPr>
          <w:rFonts w:ascii="Verdana" w:eastAsia="Times New Roman" w:hAnsi="Verdana" w:cs="Arial"/>
        </w:rPr>
        <w:t>la Agencia Nacional de Contratación Pública - Colombia Compra Eficiente puso a disposición de los interesados del sistema de compra pública el “Manual para determinar y verificar requisitos habilitantes en los procesos de contratación”</w:t>
      </w:r>
      <w:r w:rsidRPr="00DD5C28">
        <w:rPr>
          <w:rFonts w:ascii="Verdana" w:eastAsia="Times New Roman" w:hAnsi="Verdana" w:cs="Arial"/>
          <w:vertAlign w:val="superscript"/>
        </w:rPr>
        <w:footnoteReference w:id="10"/>
      </w:r>
      <w:r w:rsidRPr="00DD5C28">
        <w:rPr>
          <w:rFonts w:ascii="Verdana" w:eastAsia="Times New Roman" w:hAnsi="Verdana" w:cs="Arial"/>
        </w:rPr>
        <w:t xml:space="preserve">, y en este de forma particular, se establecen una serie de características que deben ser observadas por parte de las entidades al establecer en sus invitaciones o pliego de condiciones los requerimientos o condiciones necesarias para poder llevar a cabo su verificación, como se detalla a continuación: </w:t>
      </w:r>
    </w:p>
    <w:p w14:paraId="069CCBE7" w14:textId="77777777" w:rsidR="003118E6" w:rsidRPr="00667B60" w:rsidRDefault="003118E6" w:rsidP="003118E6">
      <w:pPr>
        <w:widowControl w:val="0"/>
        <w:autoSpaceDE w:val="0"/>
        <w:autoSpaceDN w:val="0"/>
        <w:spacing w:after="0" w:line="276" w:lineRule="auto"/>
        <w:ind w:right="102" w:firstLine="607"/>
        <w:jc w:val="both"/>
        <w:rPr>
          <w:rFonts w:ascii="Verdana" w:eastAsia="Times New Roman" w:hAnsi="Verdana" w:cs="Arial"/>
        </w:rPr>
      </w:pPr>
    </w:p>
    <w:p w14:paraId="48472200" w14:textId="52AD873A" w:rsidR="003118E6" w:rsidRPr="00D75E5C" w:rsidRDefault="0040646B" w:rsidP="003118E6">
      <w:pPr>
        <w:widowControl w:val="0"/>
        <w:autoSpaceDE w:val="0"/>
        <w:autoSpaceDN w:val="0"/>
        <w:spacing w:after="0" w:line="240" w:lineRule="auto"/>
        <w:ind w:left="709" w:right="709"/>
        <w:jc w:val="both"/>
        <w:rPr>
          <w:rFonts w:ascii="Verdana" w:eastAsia="Times New Roman" w:hAnsi="Verdana" w:cs="Arial"/>
          <w:sz w:val="20"/>
          <w:szCs w:val="20"/>
        </w:rPr>
      </w:pPr>
      <w:r>
        <w:rPr>
          <w:rFonts w:ascii="Verdana" w:eastAsia="Times New Roman" w:hAnsi="Verdana" w:cs="Arial"/>
          <w:sz w:val="20"/>
          <w:szCs w:val="20"/>
        </w:rPr>
        <w:t>“</w:t>
      </w:r>
      <w:r w:rsidR="003118E6" w:rsidRPr="00D75E5C">
        <w:rPr>
          <w:rFonts w:ascii="Verdana" w:eastAsia="Times New Roman" w:hAnsi="Verdana" w:cs="Arial"/>
          <w:sz w:val="20"/>
          <w:szCs w:val="20"/>
        </w:rPr>
        <w:t xml:space="preserve">Dentro de los principales requisitos habilitantes que se utilizan en los Procesos de Contratación se destaca la experiencia, la cual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w:t>
      </w:r>
      <w:r w:rsidR="003118E6" w:rsidRPr="00D75E5C">
        <w:rPr>
          <w:rFonts w:ascii="Verdana" w:eastAsia="Times New Roman" w:hAnsi="Verdana" w:cs="Arial"/>
          <w:sz w:val="20"/>
          <w:szCs w:val="20"/>
        </w:rPr>
        <w:lastRenderedPageBreak/>
        <w:t>temporales</w:t>
      </w:r>
      <w:r>
        <w:rPr>
          <w:rFonts w:ascii="Verdana" w:eastAsia="Times New Roman" w:hAnsi="Verdana" w:cs="Arial"/>
          <w:sz w:val="20"/>
          <w:szCs w:val="20"/>
        </w:rPr>
        <w:t>”</w:t>
      </w:r>
      <w:r w:rsidR="003118E6" w:rsidRPr="00D75E5C">
        <w:rPr>
          <w:rFonts w:ascii="Verdana" w:eastAsia="Times New Roman" w:hAnsi="Verdana" w:cs="Arial"/>
          <w:sz w:val="20"/>
          <w:szCs w:val="20"/>
          <w:vertAlign w:val="superscript"/>
        </w:rPr>
        <w:footnoteReference w:id="11"/>
      </w:r>
      <w:r w:rsidR="003118E6" w:rsidRPr="00D75E5C">
        <w:rPr>
          <w:rFonts w:ascii="Verdana" w:eastAsia="Times New Roman" w:hAnsi="Verdana" w:cs="Arial"/>
          <w:sz w:val="20"/>
          <w:szCs w:val="20"/>
        </w:rPr>
        <w:t xml:space="preserve">.  </w:t>
      </w:r>
    </w:p>
    <w:p w14:paraId="6BF045F8" w14:textId="77777777" w:rsidR="003118E6" w:rsidRPr="00710974" w:rsidRDefault="003118E6" w:rsidP="003118E6">
      <w:pPr>
        <w:widowControl w:val="0"/>
        <w:autoSpaceDE w:val="0"/>
        <w:autoSpaceDN w:val="0"/>
        <w:spacing w:after="0" w:line="240" w:lineRule="auto"/>
        <w:ind w:left="709" w:right="709"/>
        <w:jc w:val="both"/>
        <w:rPr>
          <w:rFonts w:ascii="Verdana" w:eastAsia="Times New Roman" w:hAnsi="Verdana" w:cs="Arial"/>
          <w:color w:val="7030A0"/>
          <w:sz w:val="21"/>
          <w:szCs w:val="21"/>
          <w:highlight w:val="cyan"/>
        </w:rPr>
      </w:pPr>
    </w:p>
    <w:p w14:paraId="7BB9317A" w14:textId="77777777" w:rsidR="003118E6" w:rsidRDefault="003118E6" w:rsidP="003118E6">
      <w:pPr>
        <w:widowControl w:val="0"/>
        <w:autoSpaceDE w:val="0"/>
        <w:autoSpaceDN w:val="0"/>
        <w:spacing w:after="0" w:line="276" w:lineRule="auto"/>
        <w:ind w:right="102" w:firstLine="607"/>
        <w:jc w:val="both"/>
        <w:rPr>
          <w:rFonts w:ascii="Verdana" w:eastAsia="Times New Roman" w:hAnsi="Verdana" w:cs="Arial"/>
          <w:lang w:val="es-ES_tradnl"/>
        </w:rPr>
      </w:pPr>
      <w:r w:rsidRPr="00AE3F7C">
        <w:rPr>
          <w:rFonts w:ascii="Verdana" w:eastAsia="Times New Roman" w:hAnsi="Verdana" w:cs="Arial"/>
          <w:lang w:val="es-ES"/>
        </w:rPr>
        <w:t>De lo anterior se precisa que las entidades al momento de establecer las condiciones para la verificación de experiencia, debe ser adecuada y proporcional a la naturaleza del contrato respecto al valor, complejidad y riesgo, pues no sería del caso establecer condiciones de verificación que no apuntaran a un objeto igual o similar al del proceso de contratación, o se establecieran condiciones de valor que no fueran proporcionales al presupuesto establecido para el futuro contrato. En tal sentido, e</w:t>
      </w:r>
      <w:r w:rsidRPr="00AE3F7C">
        <w:rPr>
          <w:rFonts w:ascii="Verdana" w:eastAsia="Times New Roman" w:hAnsi="Verdana" w:cs="Arial"/>
          <w:lang w:val="es-ES_tradnl"/>
        </w:rPr>
        <w:t>s preciso tener en cuenta que la Circular Externa Única proferida por la Agencia Nacional de Contratación Pública – Colombia Compra Eficiente, donde se incorporaron directrices relacionadas con el RUP y particularmente sobre el “uso del Clasificador de Bienes y Servicios en el Registro Único de Proponentes”, donde se precisó lo siguiente:</w:t>
      </w:r>
    </w:p>
    <w:p w14:paraId="0AAC153A" w14:textId="77777777" w:rsidR="003118E6" w:rsidRDefault="003118E6" w:rsidP="003118E6">
      <w:pPr>
        <w:widowControl w:val="0"/>
        <w:autoSpaceDE w:val="0"/>
        <w:autoSpaceDN w:val="0"/>
        <w:spacing w:after="120" w:line="240" w:lineRule="auto"/>
        <w:ind w:left="709" w:right="709"/>
        <w:contextualSpacing/>
        <w:jc w:val="both"/>
        <w:rPr>
          <w:rFonts w:ascii="Verdana" w:eastAsia="Times New Roman" w:hAnsi="Verdana" w:cs="Arial"/>
          <w:lang w:val="es-ES"/>
        </w:rPr>
      </w:pPr>
    </w:p>
    <w:p w14:paraId="06B707F3" w14:textId="77777777" w:rsidR="003118E6" w:rsidRDefault="003118E6" w:rsidP="003118E6">
      <w:pPr>
        <w:widowControl w:val="0"/>
        <w:autoSpaceDE w:val="0"/>
        <w:autoSpaceDN w:val="0"/>
        <w:spacing w:after="120" w:line="240" w:lineRule="auto"/>
        <w:ind w:left="709" w:right="709"/>
        <w:contextualSpacing/>
        <w:jc w:val="both"/>
        <w:rPr>
          <w:rFonts w:ascii="Verdana" w:eastAsia="Times New Roman" w:hAnsi="Verdana" w:cs="Arial"/>
          <w:sz w:val="20"/>
          <w:szCs w:val="20"/>
          <w:lang w:val="es-ES"/>
        </w:rPr>
      </w:pPr>
      <w:r>
        <w:rPr>
          <w:rFonts w:ascii="Verdana" w:eastAsia="Times New Roman" w:hAnsi="Verdana" w:cs="Arial"/>
          <w:sz w:val="20"/>
          <w:szCs w:val="20"/>
          <w:lang w:val="es-ES"/>
        </w:rPr>
        <w:t>“No</w:t>
      </w:r>
      <w:r w:rsidRPr="004A2139">
        <w:rPr>
          <w:rFonts w:ascii="Verdana" w:eastAsia="Times New Roman" w:hAnsi="Verdana" w:cs="Arial"/>
          <w:sz w:val="20"/>
          <w:szCs w:val="20"/>
          <w:lang w:val="es-ES"/>
        </w:rPr>
        <w:t xml:space="preserve"> existe un límite en el número de bienes, obras o servicios que los proponentes pueden inscribir en el RUP. Las Cámaras de Comercio no pueden limitar la inscripción de los proponentes por no contar con experiencia certificada en el respectivo bien, obra o servicio. </w:t>
      </w:r>
    </w:p>
    <w:p w14:paraId="36B89965" w14:textId="77777777" w:rsidR="003118E6" w:rsidRDefault="003118E6" w:rsidP="003118E6">
      <w:pPr>
        <w:widowControl w:val="0"/>
        <w:autoSpaceDE w:val="0"/>
        <w:autoSpaceDN w:val="0"/>
        <w:spacing w:after="120" w:line="240" w:lineRule="auto"/>
        <w:ind w:left="709" w:right="709"/>
        <w:contextualSpacing/>
        <w:jc w:val="both"/>
        <w:rPr>
          <w:rFonts w:ascii="Verdana" w:eastAsia="Times New Roman" w:hAnsi="Verdana" w:cs="Arial"/>
          <w:sz w:val="20"/>
          <w:szCs w:val="20"/>
          <w:lang w:val="es-ES"/>
        </w:rPr>
      </w:pPr>
    </w:p>
    <w:p w14:paraId="62E1804C" w14:textId="77777777" w:rsidR="003118E6" w:rsidRDefault="003118E6" w:rsidP="003118E6">
      <w:pPr>
        <w:widowControl w:val="0"/>
        <w:autoSpaceDE w:val="0"/>
        <w:autoSpaceDN w:val="0"/>
        <w:spacing w:after="120" w:line="240" w:lineRule="auto"/>
        <w:ind w:left="709" w:right="709"/>
        <w:contextualSpacing/>
        <w:jc w:val="both"/>
        <w:rPr>
          <w:rFonts w:ascii="Verdana" w:eastAsia="Times New Roman" w:hAnsi="Verdana" w:cs="Arial"/>
          <w:sz w:val="20"/>
          <w:szCs w:val="20"/>
          <w:lang w:val="es-ES"/>
        </w:rPr>
      </w:pPr>
      <w:r w:rsidRPr="0006291F">
        <w:rPr>
          <w:rFonts w:ascii="Verdana" w:eastAsia="Times New Roman" w:hAnsi="Verdana" w:cs="Arial"/>
          <w:sz w:val="20"/>
          <w:szCs w:val="20"/>
          <w:lang w:val="es-ES"/>
        </w:rPr>
        <w:t>La clasificación del proponente en determinado código no puede constituirse como un requisito habilitante, sino que debe entenderse como un mecanismo para establecer un lenguaje común entre los partícipes del Sistema de Compra Pública. En consecuencia, las Entidades Estatales no pueden excluir a un proponente que ha acreditado los requisitos habilitantes exigidos en un Proceso de Contratación por no estar inscrito en el RUP con el código de los bienes, obras o servicios del objeto de tal Proceso de Contratación.</w:t>
      </w:r>
    </w:p>
    <w:p w14:paraId="0003BDD4" w14:textId="77777777" w:rsidR="003118E6" w:rsidRDefault="003118E6" w:rsidP="003118E6">
      <w:pPr>
        <w:widowControl w:val="0"/>
        <w:autoSpaceDE w:val="0"/>
        <w:autoSpaceDN w:val="0"/>
        <w:spacing w:after="120" w:line="240" w:lineRule="auto"/>
        <w:ind w:left="709" w:right="709"/>
        <w:contextualSpacing/>
        <w:jc w:val="both"/>
        <w:rPr>
          <w:rFonts w:ascii="Verdana" w:eastAsia="Times New Roman" w:hAnsi="Verdana" w:cs="Arial"/>
          <w:sz w:val="20"/>
          <w:szCs w:val="20"/>
          <w:lang w:val="es-ES"/>
        </w:rPr>
      </w:pPr>
    </w:p>
    <w:p w14:paraId="2A9615CE" w14:textId="77777777" w:rsidR="003118E6" w:rsidRPr="0006291F" w:rsidRDefault="003118E6" w:rsidP="003118E6">
      <w:pPr>
        <w:widowControl w:val="0"/>
        <w:autoSpaceDE w:val="0"/>
        <w:autoSpaceDN w:val="0"/>
        <w:spacing w:after="120" w:line="240" w:lineRule="auto"/>
        <w:ind w:left="709" w:right="709"/>
        <w:contextualSpacing/>
        <w:jc w:val="both"/>
        <w:rPr>
          <w:rFonts w:ascii="Verdana" w:eastAsia="Times New Roman" w:hAnsi="Verdana" w:cs="Arial"/>
          <w:sz w:val="20"/>
          <w:szCs w:val="20"/>
          <w:lang w:val="es-ES"/>
        </w:rPr>
      </w:pPr>
      <w:r w:rsidRPr="0006291F">
        <w:rPr>
          <w:rFonts w:ascii="Verdana" w:eastAsia="Times New Roman" w:hAnsi="Verdana" w:cs="Arial"/>
          <w:sz w:val="20"/>
          <w:szCs w:val="20"/>
          <w:lang w:val="es-ES"/>
        </w:rPr>
        <w:t>La experiencia es un requisito habilitante. Los proponentes deben inscribir en el RUP su experiencia usando los códigos del Clasificador de Bienes y Servicios. Por su parte las Entidades Estatales al establecer el requisito habilitante de experiencia pueden incluir los códigos específicos del objeto a contratar o el de los bienes, obras o servicios afines al Proceso de Contratación respecto de los cuales los proponentes deben acreditar su experiencia.</w:t>
      </w:r>
      <w:r>
        <w:rPr>
          <w:rFonts w:ascii="Verdana" w:eastAsia="Times New Roman" w:hAnsi="Verdana" w:cs="Arial"/>
          <w:sz w:val="20"/>
          <w:szCs w:val="20"/>
          <w:lang w:val="es-ES"/>
        </w:rPr>
        <w:t>”</w:t>
      </w:r>
    </w:p>
    <w:p w14:paraId="5ACF449F" w14:textId="77777777" w:rsidR="003118E6" w:rsidRPr="0006291F" w:rsidRDefault="003118E6" w:rsidP="003118E6">
      <w:pPr>
        <w:widowControl w:val="0"/>
        <w:autoSpaceDE w:val="0"/>
        <w:autoSpaceDN w:val="0"/>
        <w:spacing w:after="0" w:line="276" w:lineRule="auto"/>
        <w:ind w:left="714" w:right="102"/>
        <w:contextualSpacing/>
        <w:jc w:val="both"/>
        <w:rPr>
          <w:rFonts w:ascii="Verdana" w:eastAsia="Times New Roman" w:hAnsi="Verdana" w:cs="Arial"/>
          <w:lang w:val="es-ES"/>
        </w:rPr>
      </w:pPr>
      <w:r w:rsidRPr="0006291F">
        <w:rPr>
          <w:rFonts w:ascii="Verdana" w:eastAsia="Times New Roman" w:hAnsi="Verdana" w:cs="Arial"/>
          <w:lang w:val="es-ES"/>
        </w:rPr>
        <w:t xml:space="preserve"> </w:t>
      </w:r>
    </w:p>
    <w:p w14:paraId="5C8865AF" w14:textId="77777777" w:rsidR="003118E6" w:rsidRPr="002B694E" w:rsidRDefault="003118E6" w:rsidP="003118E6">
      <w:pPr>
        <w:widowControl w:val="0"/>
        <w:autoSpaceDE w:val="0"/>
        <w:autoSpaceDN w:val="0"/>
        <w:spacing w:after="120" w:line="276" w:lineRule="auto"/>
        <w:ind w:right="104" w:firstLine="708"/>
        <w:jc w:val="both"/>
        <w:rPr>
          <w:rFonts w:ascii="Verdana" w:eastAsia="Times New Roman" w:hAnsi="Verdana" w:cs="Arial"/>
          <w:lang w:val="es-ES_tradnl"/>
        </w:rPr>
      </w:pPr>
      <w:r w:rsidRPr="002B694E">
        <w:rPr>
          <w:rFonts w:ascii="Verdana" w:eastAsia="Times New Roman" w:hAnsi="Verdana" w:cs="Arial"/>
          <w:lang w:val="es-ES_tradnl"/>
        </w:rPr>
        <w:t xml:space="preserve">De acuerdo con la postura adoptada en la Circular, la “clasificación del proponente”, que corresponde a los listados señalados en los numerales 1.1. y 2.1. del artículo 2.2.1.1.1.5.2. del Decreto 1082 de 2015, no condiciona la capacidad ―jurídica, ni tampoco otra― de los proponentes, por lo que, si un </w:t>
      </w:r>
      <w:r w:rsidRPr="002B694E">
        <w:rPr>
          <w:rFonts w:ascii="Verdana" w:eastAsia="Times New Roman" w:hAnsi="Verdana" w:cs="Arial"/>
          <w:lang w:val="es-ES_tradnl"/>
        </w:rPr>
        <w:lastRenderedPageBreak/>
        <w:t>proponente cumple los demás requisitos exigidos en el pliego de condiciones, su oferta no puede ser rechazada o desestimada bajo el argumento de que no cuenta con la inscripción del código de los bienes, obras o servicios del objeto del proceso de contratación.</w:t>
      </w:r>
    </w:p>
    <w:p w14:paraId="77B1CB87" w14:textId="77777777" w:rsidR="003118E6" w:rsidRDefault="003118E6" w:rsidP="003118E6">
      <w:pPr>
        <w:widowControl w:val="0"/>
        <w:autoSpaceDE w:val="0"/>
        <w:autoSpaceDN w:val="0"/>
        <w:spacing w:after="120" w:line="276" w:lineRule="auto"/>
        <w:ind w:right="104" w:firstLine="708"/>
        <w:jc w:val="both"/>
        <w:rPr>
          <w:rFonts w:ascii="Verdana" w:eastAsia="Times New Roman" w:hAnsi="Verdana" w:cs="Arial"/>
          <w:lang w:val="es-ES_tradnl"/>
        </w:rPr>
      </w:pPr>
      <w:r w:rsidRPr="00C74540">
        <w:rPr>
          <w:rFonts w:ascii="Verdana" w:eastAsia="Times New Roman" w:hAnsi="Verdana" w:cs="Arial"/>
          <w:lang w:val="es-ES"/>
        </w:rPr>
        <w:t xml:space="preserve">Lo anterior se desarrolla sin perjuicio de la forma como se exija la experiencia en los pliegos de condiciones, pues este es un requisito habilitante diferente de la capacidad jurídica; y, para efectos de evaluar la experiencia en los pliegos de condiciones, sí se podrá acudir al Clasificador de Bienes y Servicios de las Naciones Unidas para exigir, por ejemplo, que solo se tendrá por válida la experiencia inscrita por el proponente en el RUP, que sea de contratos ejecutados que coincidan con algún código del Clasificador del Bienes y Servicios, en particular, en el tercer nivel del clasificador expresada en SMMLV. En esta misma orientación, </w:t>
      </w:r>
      <w:r w:rsidRPr="00C74540">
        <w:rPr>
          <w:rFonts w:ascii="Verdana" w:eastAsia="Times New Roman" w:hAnsi="Verdana" w:cs="Arial"/>
          <w:lang w:val="es-ES_tradnl"/>
        </w:rPr>
        <w:t>la Circular Externa Única a que se hizo referencia previamente, en relación con el uso del Clasificador de Bienes y Servicios para efectos de acreditar la experiencia en los procedimientos de selección, expresó que los proponentes deben inscribir en el RUP su experiencia usando los códigos del Clasificador de Bienes y Servicios. Por su parte, 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w:t>
      </w:r>
    </w:p>
    <w:p w14:paraId="7AD9FBE4" w14:textId="77777777" w:rsidR="003118E6" w:rsidRPr="00667B60" w:rsidRDefault="003118E6" w:rsidP="003118E6">
      <w:pPr>
        <w:widowControl w:val="0"/>
        <w:autoSpaceDE w:val="0"/>
        <w:autoSpaceDN w:val="0"/>
        <w:spacing w:after="120" w:line="276" w:lineRule="auto"/>
        <w:ind w:right="104" w:firstLine="708"/>
        <w:jc w:val="both"/>
        <w:rPr>
          <w:rFonts w:ascii="Verdana" w:eastAsia="Times New Roman" w:hAnsi="Verdana" w:cs="Arial"/>
          <w:lang w:val="es-ES_tradnl"/>
        </w:rPr>
      </w:pPr>
      <w:r w:rsidRPr="00214C3B">
        <w:rPr>
          <w:rFonts w:ascii="Verdana" w:eastAsia="Times New Roman" w:hAnsi="Verdana" w:cs="Arial"/>
          <w:bdr w:val="none" w:sz="0" w:space="0" w:color="auto" w:frame="1"/>
          <w:lang w:val="es-MX" w:eastAsia="es-CO"/>
        </w:rPr>
        <w:t>ii. El Clasificador de Bienes y Servicios consta de cinco niveles; no obstante, el último nivel, denominado Función de Negocio, no es muy utilizado. Los niveles jerárquicos a utilizar, en su orden, son: i) segmento, agregación lógica de familias para propósitos analíticos; ii) familia, un grupo de categorías de productos interrelacionadas; iii) clase: un grupo de productos que comparten características comunes; y iv) producto: un grupo de productos o servicios</w:t>
      </w:r>
      <w:r w:rsidRPr="00214C3B">
        <w:rPr>
          <w:rFonts w:ascii="Verdana" w:eastAsia="Times New Roman" w:hAnsi="Verdana" w:cs="Arial"/>
          <w:bdr w:val="none" w:sz="0" w:space="0" w:color="auto" w:frame="1"/>
          <w:vertAlign w:val="superscript"/>
          <w:lang w:val="es-MX" w:eastAsia="es-CO"/>
        </w:rPr>
        <w:footnoteReference w:id="12"/>
      </w:r>
      <w:r w:rsidRPr="00214C3B">
        <w:rPr>
          <w:rFonts w:ascii="Verdana" w:eastAsia="Times New Roman" w:hAnsi="Verdana" w:cs="Arial"/>
          <w:bdr w:val="none" w:sz="0" w:space="0" w:color="auto" w:frame="1"/>
          <w:lang w:val="es-MX" w:eastAsia="es-CO"/>
        </w:rPr>
        <w:t>.  </w:t>
      </w:r>
    </w:p>
    <w:p w14:paraId="17A151CB" w14:textId="77777777" w:rsidR="003118E6" w:rsidRPr="0020041B" w:rsidRDefault="003118E6" w:rsidP="003118E6">
      <w:pPr>
        <w:shd w:val="clear" w:color="auto" w:fill="FFFFFF"/>
        <w:spacing w:after="120" w:line="276" w:lineRule="auto"/>
        <w:ind w:firstLine="709"/>
        <w:jc w:val="both"/>
        <w:textAlignment w:val="baseline"/>
        <w:rPr>
          <w:rFonts w:ascii="Verdana" w:eastAsia="Times New Roman" w:hAnsi="Verdana" w:cs="Arial"/>
          <w:bdr w:val="none" w:sz="0" w:space="0" w:color="auto" w:frame="1"/>
          <w:lang w:val="es-MX" w:eastAsia="es-CO"/>
        </w:rPr>
      </w:pPr>
      <w:r w:rsidRPr="0020041B">
        <w:rPr>
          <w:rFonts w:ascii="Verdana" w:eastAsia="Times New Roman" w:hAnsi="Verdana" w:cs="Arial"/>
          <w:bdr w:val="none" w:sz="0" w:space="0" w:color="auto" w:frame="1"/>
          <w:lang w:val="es-MX" w:eastAsia="es-CO"/>
        </w:rPr>
        <w:t xml:space="preserve">Cada uno de estos niveles jerárquicos tiene distintos dígitos, asociados a los componentes que cada uno cobija y que se combinan con los dígitos de los otros niveles, de donde surge un código de 8 dígitos asociado a un bien o servicio en particular. De esta manera, el segmento determina los dos primeros dígitos, la familia el tercer y cuarto, la clase el quinto y sexto, mientras que el producto los dígitos séptimo y octavo. Conforme a esto, los niveles jerárquicos van de lo </w:t>
      </w:r>
      <w:r w:rsidRPr="0020041B">
        <w:rPr>
          <w:rFonts w:ascii="Verdana" w:eastAsia="Times New Roman" w:hAnsi="Verdana" w:cs="Arial"/>
          <w:bdr w:val="none" w:sz="0" w:space="0" w:color="auto" w:frame="1"/>
          <w:lang w:val="es-MX" w:eastAsia="es-CO"/>
        </w:rPr>
        <w:lastRenderedPageBreak/>
        <w:t>general a lo particular, por lo que para determinar el código que corresponde a un bien o servicio, debe subsumirse este en cada uno de estos niveles partiendo del primero en adelante.</w:t>
      </w:r>
    </w:p>
    <w:p w14:paraId="22CB84E2" w14:textId="77777777" w:rsidR="003118E6" w:rsidRPr="0020041B" w:rsidRDefault="003118E6" w:rsidP="003118E6">
      <w:pPr>
        <w:shd w:val="clear" w:color="auto" w:fill="FFFFFF"/>
        <w:spacing w:after="120" w:line="276" w:lineRule="auto"/>
        <w:ind w:firstLine="709"/>
        <w:jc w:val="both"/>
        <w:textAlignment w:val="baseline"/>
        <w:rPr>
          <w:rFonts w:ascii="Verdana" w:eastAsia="Times New Roman" w:hAnsi="Verdana" w:cs="Arial"/>
          <w:bdr w:val="none" w:sz="0" w:space="0" w:color="auto" w:frame="1"/>
          <w:lang w:val="es-MX" w:eastAsia="es-CO"/>
        </w:rPr>
      </w:pPr>
      <w:r w:rsidRPr="0020041B">
        <w:rPr>
          <w:rFonts w:ascii="Verdana" w:eastAsia="Times New Roman" w:hAnsi="Verdana" w:cs="Arial"/>
          <w:bdr w:val="none" w:sz="0" w:space="0" w:color="auto" w:frame="1"/>
          <w:lang w:val="es-MX" w:eastAsia="es-CO"/>
        </w:rPr>
        <w:t xml:space="preserve">De acuerdo con esto, cada bien o servicio está asociado a un código que surge de la subsunción de sus características y condiciones en los diferentes niveles del clasificador. Estos códigos son los que deben incluirse en el RUP para efectos de la experiencia. Estos mismos códigos son los que debe incluir las entidades estatales en los pliegos de condiciones al realizar la descripción del objeto contractual. </w:t>
      </w:r>
    </w:p>
    <w:p w14:paraId="74B5850D" w14:textId="77777777" w:rsidR="003118E6" w:rsidRPr="000F6649" w:rsidRDefault="003118E6" w:rsidP="003118E6">
      <w:pPr>
        <w:shd w:val="clear" w:color="auto" w:fill="FFFFFF"/>
        <w:spacing w:after="120" w:line="276" w:lineRule="auto"/>
        <w:ind w:firstLine="709"/>
        <w:jc w:val="both"/>
        <w:textAlignment w:val="baseline"/>
        <w:rPr>
          <w:rFonts w:ascii="Verdana" w:eastAsia="Times New Roman" w:hAnsi="Verdana" w:cs="Arial"/>
          <w:bdr w:val="none" w:sz="0" w:space="0" w:color="auto" w:frame="1"/>
          <w:lang w:val="es-MX" w:eastAsia="es-CO"/>
        </w:rPr>
      </w:pPr>
      <w:r w:rsidRPr="000F6649">
        <w:rPr>
          <w:rFonts w:ascii="Verdana" w:eastAsia="Times New Roman" w:hAnsi="Verdana" w:cs="Arial"/>
          <w:bdr w:val="none" w:sz="0" w:space="0" w:color="auto" w:frame="1"/>
          <w:lang w:val="es-MX" w:eastAsia="es-CO"/>
        </w:rPr>
        <w:t xml:space="preserve">De otra parte, debe mencionarse que en virtud de los dispuesto en el artículo 2.2.1.2.5.2 del Decreto 1082 de 2015, esta Agencia expidió la “Guía para la codificación de bienes y servicios de acuerdo con el código estándar de productos y servicios de Naciones Unidas, V.14.080”. Este documento contiene una serie de instrucciones y nociones básicas para al uso del Clasificador de Bienes y Servicios por parte de las entidades estatales sus procesos de contratación. Esta se encuentra disponible para consulta en: </w:t>
      </w:r>
      <w:hyperlink r:id="rId13" w:history="1">
        <w:r w:rsidRPr="000F6649">
          <w:rPr>
            <w:rFonts w:ascii="Verdana" w:eastAsia="Times New Roman" w:hAnsi="Verdana" w:cs="Arial"/>
            <w:color w:val="0000FF"/>
            <w:u w:val="single"/>
            <w:bdr w:val="none" w:sz="0" w:space="0" w:color="auto" w:frame="1"/>
            <w:lang w:val="es-MX" w:eastAsia="es-CO"/>
          </w:rPr>
          <w:t>https://www.colombiacompra.gov.co/archivos/manual/guia-para-la-codificacion-de-bienes-y-servicios</w:t>
        </w:r>
      </w:hyperlink>
      <w:r w:rsidRPr="000F6649">
        <w:rPr>
          <w:rFonts w:ascii="Verdana" w:eastAsia="Times New Roman" w:hAnsi="Verdana" w:cs="Arial"/>
          <w:color w:val="0000FF"/>
          <w:bdr w:val="none" w:sz="0" w:space="0" w:color="auto" w:frame="1"/>
          <w:lang w:val="es-MX" w:eastAsia="es-CO"/>
        </w:rPr>
        <w:t xml:space="preserve">. </w:t>
      </w:r>
    </w:p>
    <w:p w14:paraId="72BE3157" w14:textId="77777777" w:rsidR="003118E6" w:rsidRDefault="003118E6" w:rsidP="003118E6">
      <w:pPr>
        <w:shd w:val="clear" w:color="auto" w:fill="FFFFFF"/>
        <w:spacing w:after="120" w:line="276" w:lineRule="auto"/>
        <w:jc w:val="both"/>
        <w:textAlignment w:val="baseline"/>
        <w:rPr>
          <w:rFonts w:ascii="Verdana" w:eastAsia="Times New Roman" w:hAnsi="Verdana" w:cs="Arial"/>
          <w:color w:val="0000FF"/>
          <w:u w:val="single"/>
          <w:bdr w:val="none" w:sz="0" w:space="0" w:color="auto" w:frame="1"/>
          <w:lang w:val="es-MX" w:eastAsia="es-CO"/>
        </w:rPr>
      </w:pPr>
      <w:r w:rsidRPr="00392C1F">
        <w:rPr>
          <w:rFonts w:ascii="Verdana" w:eastAsia="Times New Roman" w:hAnsi="Verdana" w:cs="Arial"/>
          <w:color w:val="ED7D31" w:themeColor="accent2"/>
          <w:bdr w:val="none" w:sz="0" w:space="0" w:color="auto" w:frame="1"/>
          <w:lang w:val="es-MX" w:eastAsia="es-CO"/>
        </w:rPr>
        <w:t xml:space="preserve"> </w:t>
      </w:r>
      <w:r w:rsidRPr="00392C1F">
        <w:rPr>
          <w:rFonts w:ascii="Verdana" w:eastAsia="Times New Roman" w:hAnsi="Verdana" w:cs="Arial"/>
          <w:color w:val="ED7D31" w:themeColor="accent2"/>
          <w:bdr w:val="none" w:sz="0" w:space="0" w:color="auto" w:frame="1"/>
          <w:lang w:val="es-MX" w:eastAsia="es-CO"/>
        </w:rPr>
        <w:tab/>
      </w:r>
      <w:r w:rsidRPr="000F6649">
        <w:rPr>
          <w:rFonts w:ascii="Verdana" w:eastAsia="Times New Roman" w:hAnsi="Verdana" w:cs="Arial"/>
          <w:bdr w:val="none" w:sz="0" w:space="0" w:color="auto" w:frame="1"/>
          <w:lang w:val="es-MX" w:eastAsia="es-CO"/>
        </w:rPr>
        <w:t xml:space="preserve">Así mismo la Agencia Nacional de Contratación Pública – Colombia Compra Eficiente ha puesto a disposición de las entidades y la ciudadanía una herramienta web en la que se encuentran cada uno de los componentes de los distintos niveles de los que consta el clasificador, traducidos al español. Esta facilita la conformación de los correspondientes códigos, y puede consultarse en la página web: </w:t>
      </w:r>
      <w:hyperlink r:id="rId14" w:history="1">
        <w:r w:rsidRPr="000F6649">
          <w:rPr>
            <w:rFonts w:ascii="Verdana" w:eastAsia="Times New Roman" w:hAnsi="Verdana" w:cs="Arial"/>
            <w:color w:val="0000FF"/>
            <w:u w:val="single"/>
            <w:bdr w:val="none" w:sz="0" w:space="0" w:color="auto" w:frame="1"/>
            <w:lang w:val="es-MX" w:eastAsia="es-CO"/>
          </w:rPr>
          <w:t>https://www.colombiacompra.gov.co/clasificador-de-bienes-y-Servicios</w:t>
        </w:r>
      </w:hyperlink>
      <w:r w:rsidRPr="000F6649">
        <w:rPr>
          <w:rFonts w:ascii="Verdana" w:eastAsia="Times New Roman" w:hAnsi="Verdana" w:cs="Arial"/>
          <w:color w:val="0000FF"/>
          <w:u w:val="single"/>
          <w:bdr w:val="none" w:sz="0" w:space="0" w:color="auto" w:frame="1"/>
          <w:lang w:val="es-MX" w:eastAsia="es-CO"/>
        </w:rPr>
        <w:t xml:space="preserve"> </w:t>
      </w:r>
    </w:p>
    <w:p w14:paraId="0577CCEC" w14:textId="77777777" w:rsidR="003118E6" w:rsidRPr="00EB617B" w:rsidRDefault="003118E6" w:rsidP="003118E6">
      <w:pPr>
        <w:shd w:val="clear" w:color="auto" w:fill="FFFFFF"/>
        <w:spacing w:after="120" w:line="276" w:lineRule="auto"/>
        <w:jc w:val="both"/>
        <w:textAlignment w:val="baseline"/>
        <w:rPr>
          <w:rFonts w:ascii="Verdana" w:eastAsia="Times New Roman" w:hAnsi="Verdana" w:cs="Arial"/>
          <w:u w:val="single"/>
          <w:bdr w:val="none" w:sz="0" w:space="0" w:color="auto" w:frame="1"/>
          <w:lang w:val="es-MX" w:eastAsia="es-CO"/>
        </w:rPr>
      </w:pPr>
      <w:r w:rsidRPr="00EB617B">
        <w:rPr>
          <w:rFonts w:ascii="Verdana" w:eastAsia="Times New Roman" w:hAnsi="Verdana" w:cs="Arial"/>
          <w:bdr w:val="none" w:sz="0" w:space="0" w:color="auto" w:frame="1"/>
          <w:lang w:val="es-MX" w:eastAsia="es-CO"/>
        </w:rPr>
        <w:t>iii. Ahora bien, frente al segundo problema jurídico es importante precisar que, el</w:t>
      </w:r>
      <w:r w:rsidRPr="00EB617B">
        <w:rPr>
          <w:rFonts w:ascii="Verdana" w:eastAsia="Arial" w:hAnsi="Verdana" w:cs="Arial"/>
          <w:lang w:val="es-ES" w:eastAsia="es-ES" w:bidi="es-ES"/>
        </w:rPr>
        <w:t xml:space="preserve"> pliego de condiciones es la hoja de ruta o plan</w:t>
      </w:r>
      <w:r w:rsidRPr="00EB617B">
        <w:rPr>
          <w:rFonts w:ascii="Verdana" w:eastAsia="Arial" w:hAnsi="Verdana" w:cs="Arial"/>
          <w:vertAlign w:val="superscript"/>
          <w:lang w:val="es-ES" w:eastAsia="es-ES" w:bidi="es-ES"/>
        </w:rPr>
        <w:footnoteReference w:id="13"/>
      </w:r>
      <w:r w:rsidRPr="00EB617B">
        <w:rPr>
          <w:rFonts w:ascii="Verdana" w:eastAsia="Arial" w:hAnsi="Verdana" w:cs="Arial"/>
          <w:lang w:val="es-ES" w:eastAsia="es-ES" w:bidi="es-ES"/>
        </w:rPr>
        <w:t xml:space="preserve"> sobre el cual se diseña, estructura y concreta el procedimiento de selección de contratistas, y ha sido definido como un “acto jurídico mixto que nace como un acto administrativo de contenido general, y que, con la adjudicación y suscripción del contrato estatal, </w:t>
      </w:r>
      <w:r w:rsidRPr="00EB617B">
        <w:rPr>
          <w:rFonts w:ascii="Verdana" w:eastAsia="Arial" w:hAnsi="Verdana" w:cs="Arial"/>
          <w:lang w:val="es-ES" w:eastAsia="es-ES" w:bidi="es-ES"/>
        </w:rPr>
        <w:lastRenderedPageBreak/>
        <w:t>algunos de sus contenidos se transforman para incorporarse al texto del negocio jurídico y, por consiguiente, se convierten en cláusulas vinculantes del mismo”</w:t>
      </w:r>
      <w:r w:rsidRPr="00EB617B">
        <w:rPr>
          <w:rFonts w:ascii="Verdana" w:eastAsia="Arial" w:hAnsi="Verdana" w:cs="Arial"/>
          <w:vertAlign w:val="superscript"/>
          <w:lang w:val="es-ES" w:eastAsia="es-ES" w:bidi="es-ES"/>
        </w:rPr>
        <w:footnoteReference w:id="14"/>
      </w:r>
      <w:r w:rsidRPr="00EB617B">
        <w:rPr>
          <w:rFonts w:ascii="Verdana" w:eastAsia="Arial" w:hAnsi="Verdana" w:cs="Arial"/>
          <w:lang w:val="es-ES" w:eastAsia="es-ES" w:bidi="es-ES"/>
        </w:rPr>
        <w:t>.</w:t>
      </w:r>
    </w:p>
    <w:p w14:paraId="5FFD2604"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De conformidad con lo anterior, la Administración tiene la facultad de configurar las reglas y exigencias de los pliegos de condiciones de manera libre, dentro de los parámetros y límites establecidos por el ordenamiento jurídico</w:t>
      </w:r>
      <w:r w:rsidRPr="00EB617B">
        <w:rPr>
          <w:rFonts w:ascii="Verdana" w:eastAsia="Arial" w:hAnsi="Verdana" w:cs="Arial"/>
          <w:vertAlign w:val="superscript"/>
          <w:lang w:val="es-ES" w:eastAsia="es-ES" w:bidi="es-ES"/>
        </w:rPr>
        <w:footnoteReference w:id="15"/>
      </w:r>
      <w:r w:rsidRPr="00EB617B">
        <w:rPr>
          <w:rFonts w:ascii="Verdana" w:eastAsia="Arial" w:hAnsi="Verdana" w:cs="Arial"/>
          <w:lang w:val="es-ES" w:eastAsia="es-ES" w:bidi="es-ES"/>
        </w:rPr>
        <w:t>, con fundamento en los estudios realizados en la fase de planeación. Además, tiene la carga de elaborarlos de manera idónea, objetiva, clara, precisa y completa, tal como se deduce de la disposición recién citada.</w:t>
      </w:r>
    </w:p>
    <w:p w14:paraId="0DA84EB5"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No obstante, puede ocurrir que surja la necesidad de efectuar correcciones, aclaraciones o modificaciones, bien sea porque las mismas tienen origen en necesidades identificadas por la entidad contratante o como consecuencia de observaciones realizadas por los interesados en el</w:t>
      </w:r>
      <w:r w:rsidRPr="00EB617B">
        <w:rPr>
          <w:rFonts w:ascii="Verdana" w:eastAsia="Arial" w:hAnsi="Verdana" w:cs="Arial"/>
          <w:spacing w:val="-6"/>
          <w:lang w:val="es-ES" w:eastAsia="es-ES" w:bidi="es-ES"/>
        </w:rPr>
        <w:t xml:space="preserve"> </w:t>
      </w:r>
      <w:r w:rsidRPr="00EB617B">
        <w:rPr>
          <w:rFonts w:ascii="Verdana" w:eastAsia="Arial" w:hAnsi="Verdana" w:cs="Arial"/>
          <w:lang w:val="es-ES" w:eastAsia="es-ES" w:bidi="es-ES"/>
        </w:rPr>
        <w:t>proceso, de manera que, pese a la planeación previa y el cumplimiento de las disposiciones aplicables, es posible que sea necesario modificar el pliego de condiciones, como se explicará.</w:t>
      </w:r>
    </w:p>
    <w:p w14:paraId="0CE034C6"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i/>
          <w:lang w:val="es-ES" w:eastAsia="es-ES" w:bidi="es-ES"/>
        </w:rPr>
      </w:pPr>
      <w:r w:rsidRPr="00EB617B">
        <w:rPr>
          <w:rFonts w:ascii="Verdana" w:eastAsia="Arial" w:hAnsi="Verdana" w:cs="Arial"/>
          <w:lang w:val="es-ES" w:eastAsia="es-ES" w:bidi="es-ES"/>
        </w:rPr>
        <w:t xml:space="preserve">De esta forma, una vez publicados los pliegos de condiciones definitivos, las entidades pueden modificar su contenido, como consecuencia de las observaciones recibidas por parte de los interesados o por iniciativa de la misma entidad, cuando quiera que evidencie la necesidad de modificar, ajustar o aclarar algún aspecto o condición, modificación que se realiza mediante </w:t>
      </w:r>
      <w:r w:rsidRPr="00EB617B">
        <w:rPr>
          <w:rFonts w:ascii="Verdana" w:eastAsia="Arial" w:hAnsi="Verdana" w:cs="Arial"/>
          <w:i/>
          <w:iCs/>
          <w:lang w:val="es-ES" w:eastAsia="es-ES" w:bidi="es-ES"/>
        </w:rPr>
        <w:t>adendas</w:t>
      </w:r>
      <w:r w:rsidRPr="00EB617B">
        <w:rPr>
          <w:rFonts w:ascii="Verdana" w:eastAsia="Arial" w:hAnsi="Verdana" w:cs="Arial"/>
          <w:i/>
          <w:lang w:val="es-ES" w:eastAsia="es-ES" w:bidi="es-ES"/>
        </w:rPr>
        <w:t xml:space="preserve">. </w:t>
      </w:r>
    </w:p>
    <w:p w14:paraId="10553A31"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Sin perjuicio de lo anterior</w:t>
      </w:r>
      <w:r w:rsidRPr="00EB617B">
        <w:rPr>
          <w:rFonts w:ascii="Verdana" w:eastAsia="Arial" w:hAnsi="Verdana" w:cs="Arial"/>
          <w:iCs/>
          <w:lang w:val="es-ES" w:eastAsia="es-ES" w:bidi="es-ES"/>
        </w:rPr>
        <w:t>,</w:t>
      </w:r>
      <w:r w:rsidRPr="00EB617B">
        <w:rPr>
          <w:rFonts w:ascii="Verdana" w:eastAsia="Arial" w:hAnsi="Verdana" w:cs="Arial"/>
          <w:i/>
          <w:lang w:val="es-ES" w:eastAsia="es-ES" w:bidi="es-ES"/>
        </w:rPr>
        <w:t xml:space="preserve"> </w:t>
      </w:r>
      <w:r w:rsidRPr="00EB617B">
        <w:rPr>
          <w:rFonts w:ascii="Verdana" w:eastAsia="Arial" w:hAnsi="Verdana" w:cs="Arial"/>
          <w:lang w:val="es-ES" w:eastAsia="es-ES" w:bidi="es-ES"/>
        </w:rPr>
        <w:t>como lo ha reconocido la jurisprudencia del Consejo de Estado, dichas modificaciones pueden realizarse por medio de cualquier otro documento que contenga</w:t>
      </w:r>
      <w:r w:rsidRPr="00EB617B">
        <w:rPr>
          <w:rFonts w:ascii="Verdana" w:eastAsia="Arial" w:hAnsi="Verdana" w:cs="Arial"/>
          <w:spacing w:val="26"/>
          <w:lang w:val="es-ES" w:eastAsia="es-ES" w:bidi="es-ES"/>
        </w:rPr>
        <w:t xml:space="preserve"> </w:t>
      </w:r>
      <w:r w:rsidRPr="00EB617B">
        <w:rPr>
          <w:rFonts w:ascii="Verdana" w:eastAsia="Arial" w:hAnsi="Verdana" w:cs="Arial"/>
          <w:lang w:val="es-ES" w:eastAsia="es-ES" w:bidi="es-ES"/>
        </w:rPr>
        <w:t>la</w:t>
      </w:r>
      <w:r w:rsidRPr="00EB617B">
        <w:rPr>
          <w:rFonts w:ascii="Verdana" w:eastAsia="Arial" w:hAnsi="Verdana" w:cs="Arial"/>
          <w:spacing w:val="27"/>
          <w:lang w:val="es-ES" w:eastAsia="es-ES" w:bidi="es-ES"/>
        </w:rPr>
        <w:t xml:space="preserve"> </w:t>
      </w:r>
      <w:r w:rsidRPr="00EB617B">
        <w:rPr>
          <w:rFonts w:ascii="Verdana" w:eastAsia="Arial" w:hAnsi="Verdana" w:cs="Arial"/>
          <w:lang w:val="es-ES" w:eastAsia="es-ES" w:bidi="es-ES"/>
        </w:rPr>
        <w:t>manifestación</w:t>
      </w:r>
      <w:r w:rsidRPr="00EB617B">
        <w:rPr>
          <w:rFonts w:ascii="Verdana" w:eastAsia="Arial" w:hAnsi="Verdana" w:cs="Arial"/>
          <w:spacing w:val="26"/>
          <w:lang w:val="es-ES" w:eastAsia="es-ES" w:bidi="es-ES"/>
        </w:rPr>
        <w:t xml:space="preserve"> </w:t>
      </w:r>
      <w:r w:rsidRPr="00EB617B">
        <w:rPr>
          <w:rFonts w:ascii="Verdana" w:eastAsia="Arial" w:hAnsi="Verdana" w:cs="Arial"/>
          <w:lang w:val="es-ES" w:eastAsia="es-ES" w:bidi="es-ES"/>
        </w:rPr>
        <w:t>de</w:t>
      </w:r>
      <w:r w:rsidRPr="00EB617B">
        <w:rPr>
          <w:rFonts w:ascii="Verdana" w:eastAsia="Arial" w:hAnsi="Verdana" w:cs="Arial"/>
          <w:spacing w:val="27"/>
          <w:lang w:val="es-ES" w:eastAsia="es-ES" w:bidi="es-ES"/>
        </w:rPr>
        <w:t xml:space="preserve"> </w:t>
      </w:r>
      <w:r w:rsidRPr="00EB617B">
        <w:rPr>
          <w:rFonts w:ascii="Verdana" w:eastAsia="Arial" w:hAnsi="Verdana" w:cs="Arial"/>
          <w:lang w:val="es-ES" w:eastAsia="es-ES" w:bidi="es-ES"/>
        </w:rPr>
        <w:t>voluntad</w:t>
      </w:r>
      <w:r w:rsidRPr="00EB617B">
        <w:rPr>
          <w:rFonts w:ascii="Verdana" w:eastAsia="Arial" w:hAnsi="Verdana" w:cs="Arial"/>
          <w:spacing w:val="27"/>
          <w:lang w:val="es-ES" w:eastAsia="es-ES" w:bidi="es-ES"/>
        </w:rPr>
        <w:t xml:space="preserve"> </w:t>
      </w:r>
      <w:r w:rsidRPr="00EB617B">
        <w:rPr>
          <w:rFonts w:ascii="Verdana" w:eastAsia="Arial" w:hAnsi="Verdana" w:cs="Arial"/>
          <w:lang w:val="es-ES" w:eastAsia="es-ES" w:bidi="es-ES"/>
        </w:rPr>
        <w:t>de</w:t>
      </w:r>
      <w:r w:rsidRPr="00EB617B">
        <w:rPr>
          <w:rFonts w:ascii="Verdana" w:eastAsia="Arial" w:hAnsi="Verdana" w:cs="Arial"/>
          <w:spacing w:val="26"/>
          <w:lang w:val="es-ES" w:eastAsia="es-ES" w:bidi="es-ES"/>
        </w:rPr>
        <w:t xml:space="preserve"> </w:t>
      </w:r>
      <w:r w:rsidRPr="00EB617B">
        <w:rPr>
          <w:rFonts w:ascii="Verdana" w:eastAsia="Arial" w:hAnsi="Verdana" w:cs="Arial"/>
          <w:lang w:val="es-ES" w:eastAsia="es-ES" w:bidi="es-ES"/>
        </w:rPr>
        <w:t>la</w:t>
      </w:r>
      <w:r w:rsidRPr="00EB617B">
        <w:rPr>
          <w:rFonts w:ascii="Verdana" w:eastAsia="Arial" w:hAnsi="Verdana" w:cs="Arial"/>
          <w:spacing w:val="27"/>
          <w:lang w:val="es-ES" w:eastAsia="es-ES" w:bidi="es-ES"/>
        </w:rPr>
        <w:t xml:space="preserve"> </w:t>
      </w:r>
      <w:r w:rsidRPr="00EB617B">
        <w:rPr>
          <w:rFonts w:ascii="Verdana" w:eastAsia="Arial" w:hAnsi="Verdana" w:cs="Arial"/>
          <w:lang w:val="es-ES" w:eastAsia="es-ES" w:bidi="es-ES"/>
        </w:rPr>
        <w:t>entidad</w:t>
      </w:r>
      <w:r w:rsidRPr="00EB617B">
        <w:rPr>
          <w:rFonts w:ascii="Verdana" w:eastAsia="Arial" w:hAnsi="Verdana" w:cs="Arial"/>
          <w:spacing w:val="27"/>
          <w:lang w:val="es-ES" w:eastAsia="es-ES" w:bidi="es-ES"/>
        </w:rPr>
        <w:t xml:space="preserve"> </w:t>
      </w:r>
      <w:r w:rsidRPr="00EB617B">
        <w:rPr>
          <w:rFonts w:ascii="Verdana" w:eastAsia="Arial" w:hAnsi="Verdana" w:cs="Arial"/>
          <w:lang w:val="es-ES" w:eastAsia="es-ES" w:bidi="es-ES"/>
        </w:rPr>
        <w:t>de</w:t>
      </w:r>
      <w:r w:rsidRPr="00EB617B">
        <w:rPr>
          <w:rFonts w:ascii="Verdana" w:eastAsia="Arial" w:hAnsi="Verdana" w:cs="Arial"/>
          <w:spacing w:val="26"/>
          <w:lang w:val="es-ES" w:eastAsia="es-ES" w:bidi="es-ES"/>
        </w:rPr>
        <w:t xml:space="preserve"> </w:t>
      </w:r>
      <w:r w:rsidRPr="00EB617B">
        <w:rPr>
          <w:rFonts w:ascii="Verdana" w:eastAsia="Arial" w:hAnsi="Verdana" w:cs="Arial"/>
          <w:lang w:val="es-ES" w:eastAsia="es-ES" w:bidi="es-ES"/>
        </w:rPr>
        <w:t>aclarar,</w:t>
      </w:r>
      <w:r w:rsidRPr="00EB617B">
        <w:rPr>
          <w:rFonts w:ascii="Verdana" w:eastAsia="Arial" w:hAnsi="Verdana" w:cs="Arial"/>
          <w:spacing w:val="25"/>
          <w:lang w:val="es-ES" w:eastAsia="es-ES" w:bidi="es-ES"/>
        </w:rPr>
        <w:t xml:space="preserve"> </w:t>
      </w:r>
      <w:r w:rsidRPr="00EB617B">
        <w:rPr>
          <w:rFonts w:ascii="Verdana" w:eastAsia="Arial" w:hAnsi="Verdana" w:cs="Arial"/>
          <w:lang w:val="es-ES" w:eastAsia="es-ES" w:bidi="es-ES"/>
        </w:rPr>
        <w:t>añadir,</w:t>
      </w:r>
      <w:r w:rsidRPr="00EB617B">
        <w:rPr>
          <w:rFonts w:ascii="Verdana" w:eastAsia="Arial" w:hAnsi="Verdana" w:cs="Arial"/>
          <w:spacing w:val="25"/>
          <w:lang w:val="es-ES" w:eastAsia="es-ES" w:bidi="es-ES"/>
        </w:rPr>
        <w:t xml:space="preserve"> </w:t>
      </w:r>
      <w:r w:rsidRPr="00EB617B">
        <w:rPr>
          <w:rFonts w:ascii="Verdana" w:eastAsia="Arial" w:hAnsi="Verdana" w:cs="Arial"/>
          <w:lang w:val="es-ES" w:eastAsia="es-ES" w:bidi="es-ES"/>
        </w:rPr>
        <w:t xml:space="preserve">adicionar, reemplazar o cambiar un aspecto o condición, incluida en los documentos del procedimiento de contratación, independientemente que a dicho documento se le titule como </w:t>
      </w:r>
      <w:r w:rsidRPr="00EB617B">
        <w:rPr>
          <w:rFonts w:ascii="Verdana" w:eastAsia="Arial" w:hAnsi="Verdana" w:cs="Arial"/>
          <w:i/>
          <w:iCs/>
          <w:lang w:val="es-ES" w:eastAsia="es-ES" w:bidi="es-ES"/>
        </w:rPr>
        <w:t xml:space="preserve">adenda, </w:t>
      </w:r>
      <w:r w:rsidRPr="00EB617B">
        <w:rPr>
          <w:rFonts w:ascii="Verdana" w:eastAsia="Arial" w:hAnsi="Verdana" w:cs="Arial"/>
          <w:lang w:val="es-ES" w:eastAsia="es-ES" w:bidi="es-ES"/>
        </w:rPr>
        <w:t>siempre que mediante dicho documento se modifiquen los pliegos de condiciones</w:t>
      </w:r>
      <w:r w:rsidRPr="00EB617B">
        <w:rPr>
          <w:rFonts w:ascii="Verdana" w:eastAsia="Arial" w:hAnsi="Verdana" w:cs="Arial"/>
          <w:vertAlign w:val="superscript"/>
          <w:lang w:val="es-ES" w:eastAsia="es-ES" w:bidi="es-ES"/>
        </w:rPr>
        <w:footnoteReference w:id="16"/>
      </w:r>
      <w:r w:rsidRPr="00EB617B">
        <w:rPr>
          <w:rFonts w:ascii="Verdana" w:eastAsia="Arial" w:hAnsi="Verdana" w:cs="Arial"/>
          <w:lang w:val="es-ES" w:eastAsia="es-ES" w:bidi="es-ES"/>
        </w:rPr>
        <w:t>.</w:t>
      </w:r>
    </w:p>
    <w:p w14:paraId="30A62E5D" w14:textId="77777777" w:rsidR="003118E6" w:rsidRPr="00EB617B" w:rsidRDefault="003118E6" w:rsidP="003118E6">
      <w:pPr>
        <w:widowControl w:val="0"/>
        <w:autoSpaceDE w:val="0"/>
        <w:autoSpaceDN w:val="0"/>
        <w:spacing w:line="276" w:lineRule="auto"/>
        <w:ind w:firstLine="709"/>
        <w:jc w:val="both"/>
        <w:rPr>
          <w:rFonts w:ascii="Verdana" w:eastAsia="Arial MT" w:hAnsi="Verdana" w:cs="Arial"/>
          <w:lang w:val="es-ES_tradnl" w:eastAsia="es-ES" w:bidi="es-ES"/>
        </w:rPr>
      </w:pPr>
      <w:r w:rsidRPr="00EB617B">
        <w:rPr>
          <w:rFonts w:ascii="Verdana" w:eastAsia="Arial" w:hAnsi="Verdana" w:cs="Arial"/>
          <w:lang w:val="es-ES" w:eastAsia="es-ES" w:bidi="es-ES"/>
        </w:rPr>
        <w:lastRenderedPageBreak/>
        <w:t xml:space="preserve">En ese contexto, de acuerdo con las normas del Estatuto General que regulan la materia y en virtud de los pronunciamientos que ha hecho el Consejo de Estado en torno a las adendas y su trámite, vale la pena señalar que la fuerza vinculante de las modificaciones al pliego de condiciones que se materializan producto de las respuestas que emita la entidad contratante ante las observaciones y/o solicitudes de aclaración, dependerá siempre del cumplimiento de presupuestos que lo que buscan es dotar de seguridad y confianza a los partícipes en el proceso de selección e irradiarlo con los principios de transparencia y selección objetiva, </w:t>
      </w:r>
      <w:r w:rsidRPr="00EB617B">
        <w:rPr>
          <w:rFonts w:ascii="Verdana" w:hAnsi="Verdana"/>
        </w:rPr>
        <w:t xml:space="preserve">como lo son: </w:t>
      </w:r>
      <w:r w:rsidRPr="00EB617B">
        <w:rPr>
          <w:rFonts w:ascii="Verdana" w:eastAsia="Arial MT" w:hAnsi="Verdana" w:cs="Arial"/>
          <w:lang w:val="es-ES_tradnl" w:eastAsia="es-ES" w:bidi="es-ES"/>
        </w:rPr>
        <w:t xml:space="preserve">i) la publicación del documento contentivo se efectúe dentro de los términos legalmente consagrados para tal propósito; ii) las modificaciones deben emanar del funcionario competente para expedirlas de acuerdo con las normas del EGCAP; iii) no deben modificar aspectos sustanciales como el objeto del contrato, el mecanismo de selección o el presupuesto y, iv) se divulgue y publique su contenido a través del mecanismo oficial previsto por el artículo 3 de la Ley 1150 de 2007, es decir, el SECOP. </w:t>
      </w:r>
    </w:p>
    <w:p w14:paraId="724D60FA"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El artículo 8 de la Ley 1150 de 2007 extendió el alcance del principio de transparencia consagrado en el artículo 24 de la Ley 80 de 1993 a las actuaciones administrativas que preceden la expedición de los actos administrativos precontractuales como lo son el pliego de condiciones y el acto de apertura del proceso de selección de contratistas.</w:t>
      </w:r>
      <w:r w:rsidRPr="00EB617B">
        <w:rPr>
          <w:rFonts w:ascii="Verdana" w:eastAsia="Arial" w:hAnsi="Verdana" w:cs="Arial"/>
          <w:lang w:val="es-ES" w:eastAsia="es-ES" w:bidi="es-ES"/>
        </w:rPr>
        <w:tab/>
      </w:r>
    </w:p>
    <w:p w14:paraId="1D8E43B2" w14:textId="77777777" w:rsidR="003118E6" w:rsidRPr="00EB617B" w:rsidRDefault="003118E6" w:rsidP="003118E6">
      <w:pPr>
        <w:pStyle w:val="NormalWeb"/>
        <w:spacing w:before="0" w:beforeAutospacing="0" w:after="0" w:afterAutospacing="0"/>
        <w:ind w:left="709" w:right="709"/>
        <w:jc w:val="both"/>
        <w:rPr>
          <w:rFonts w:ascii="Verdana" w:hAnsi="Verdana" w:cs="Arial"/>
          <w:sz w:val="20"/>
          <w:szCs w:val="20"/>
        </w:rPr>
      </w:pPr>
      <w:r w:rsidRPr="00EB617B">
        <w:rPr>
          <w:rStyle w:val="Fuerte"/>
          <w:rFonts w:ascii="Verdana" w:hAnsi="Verdana" w:cs="Arial"/>
          <w:b w:val="0"/>
          <w:sz w:val="20"/>
          <w:szCs w:val="20"/>
        </w:rPr>
        <w:lastRenderedPageBreak/>
        <w:t xml:space="preserve">“Artículo 8°. </w:t>
      </w:r>
      <w:r w:rsidRPr="00EB617B">
        <w:rPr>
          <w:rStyle w:val="nfasis"/>
          <w:rFonts w:ascii="Verdana" w:hAnsi="Verdana" w:cs="Arial"/>
          <w:sz w:val="20"/>
          <w:szCs w:val="20"/>
        </w:rPr>
        <w:t>De la publicación de proyectos de pliegos de condiciones, y estudios previos. </w:t>
      </w:r>
      <w:r w:rsidRPr="00EB617B">
        <w:rPr>
          <w:rFonts w:ascii="Verdana" w:hAnsi="Verdana" w:cs="Arial"/>
          <w:sz w:val="20"/>
          <w:szCs w:val="20"/>
        </w:rPr>
        <w:t>Con el propósito de suministrar al público en general la información que le permita formular observaciones a su contenido, las entidades publicarán los proyectos de pliegos de condiciones o sus equivalentes, en las condiciones que señale el reglamento. La información publicada debe ser veraz, responsable, ecuánime, suficiente y oportuna. </w:t>
      </w:r>
    </w:p>
    <w:p w14:paraId="75C7B44A" w14:textId="77777777" w:rsidR="003118E6" w:rsidRPr="00EB617B" w:rsidRDefault="003118E6" w:rsidP="003118E6">
      <w:pPr>
        <w:pStyle w:val="NormalWeb"/>
        <w:spacing w:before="0" w:beforeAutospacing="0" w:after="0" w:afterAutospacing="0"/>
        <w:ind w:left="709" w:right="709"/>
        <w:jc w:val="both"/>
        <w:rPr>
          <w:rFonts w:ascii="Verdana" w:hAnsi="Verdana" w:cs="Arial"/>
          <w:sz w:val="20"/>
          <w:szCs w:val="20"/>
        </w:rPr>
      </w:pPr>
      <w:r w:rsidRPr="00EB617B">
        <w:rPr>
          <w:rFonts w:ascii="Verdana" w:hAnsi="Verdana" w:cs="Arial"/>
          <w:sz w:val="20"/>
          <w:szCs w:val="20"/>
        </w:rPr>
        <w:t>  </w:t>
      </w:r>
    </w:p>
    <w:p w14:paraId="095C76AB" w14:textId="77777777" w:rsidR="003118E6" w:rsidRPr="00EB617B" w:rsidRDefault="003118E6" w:rsidP="003118E6">
      <w:pPr>
        <w:pStyle w:val="NormalWeb"/>
        <w:spacing w:before="0" w:beforeAutospacing="0" w:after="0" w:afterAutospacing="0"/>
        <w:ind w:left="709" w:right="709"/>
        <w:jc w:val="both"/>
        <w:rPr>
          <w:rFonts w:ascii="Verdana" w:hAnsi="Verdana" w:cs="Arial"/>
          <w:sz w:val="20"/>
          <w:szCs w:val="20"/>
        </w:rPr>
      </w:pPr>
      <w:r w:rsidRPr="00EB617B">
        <w:rPr>
          <w:rFonts w:ascii="Verdana" w:hAnsi="Verdana" w:cs="Arial"/>
          <w:sz w:val="20"/>
          <w:szCs w:val="20"/>
        </w:rPr>
        <w:t>La publicación de los proyectos de pliegos de condiciones o sus equivalentes no genera obligación para la entidad de dar apertura al proceso de selección. Junto con los proyectos de pliegos de condiciones se publicarán los estudios y documentos previos que sirvieron de base para su elaboración. Las Entidades deberán publicar las razones por las cuales se acogen o rechazan las observaciones a los proyectos de pliegos. </w:t>
      </w:r>
    </w:p>
    <w:p w14:paraId="3B41344B" w14:textId="77777777" w:rsidR="003118E6" w:rsidRPr="00EB617B" w:rsidRDefault="003118E6" w:rsidP="003118E6">
      <w:pPr>
        <w:pStyle w:val="NormalWeb"/>
        <w:spacing w:before="0" w:beforeAutospacing="0" w:after="0" w:afterAutospacing="0"/>
        <w:ind w:left="709" w:right="709"/>
        <w:jc w:val="both"/>
        <w:rPr>
          <w:rFonts w:ascii="Verdana" w:hAnsi="Verdana" w:cs="Arial"/>
          <w:sz w:val="20"/>
          <w:szCs w:val="20"/>
        </w:rPr>
      </w:pPr>
      <w:r w:rsidRPr="00EB617B">
        <w:rPr>
          <w:rFonts w:ascii="Verdana" w:hAnsi="Verdana" w:cs="Arial"/>
          <w:sz w:val="20"/>
          <w:szCs w:val="20"/>
        </w:rPr>
        <w:t>  </w:t>
      </w:r>
    </w:p>
    <w:p w14:paraId="4F800799" w14:textId="77777777" w:rsidR="003118E6" w:rsidRPr="00EB617B" w:rsidRDefault="003118E6" w:rsidP="003118E6">
      <w:pPr>
        <w:pStyle w:val="NormalWeb"/>
        <w:spacing w:before="0" w:beforeAutospacing="0" w:after="0" w:afterAutospacing="0"/>
        <w:ind w:left="709" w:right="709"/>
        <w:jc w:val="both"/>
        <w:rPr>
          <w:rFonts w:ascii="Verdana" w:hAnsi="Verdana" w:cs="Arial"/>
          <w:sz w:val="20"/>
          <w:szCs w:val="20"/>
        </w:rPr>
      </w:pPr>
      <w:r w:rsidRPr="00EB617B">
        <w:rPr>
          <w:rStyle w:val="Fuerte"/>
          <w:rFonts w:ascii="Verdana" w:hAnsi="Verdana" w:cs="Arial"/>
          <w:b w:val="0"/>
          <w:sz w:val="20"/>
          <w:szCs w:val="20"/>
        </w:rPr>
        <w:t>Parágrafo.</w:t>
      </w:r>
      <w:r w:rsidRPr="00EB617B">
        <w:rPr>
          <w:rFonts w:ascii="Verdana" w:hAnsi="Verdana" w:cs="Arial"/>
          <w:sz w:val="20"/>
          <w:szCs w:val="20"/>
        </w:rPr>
        <w:t> No es obligatorio contar con disponibilidad presupuestal para realizar la publicación del proyecto de Pliego de Condiciones”</w:t>
      </w:r>
    </w:p>
    <w:p w14:paraId="7DB05710" w14:textId="77777777" w:rsidR="003118E6" w:rsidRPr="00EB617B" w:rsidRDefault="003118E6" w:rsidP="003118E6">
      <w:pPr>
        <w:pStyle w:val="NormalWeb"/>
        <w:spacing w:before="0" w:beforeAutospacing="0" w:after="0" w:afterAutospacing="0"/>
        <w:ind w:left="709" w:right="709"/>
        <w:jc w:val="both"/>
        <w:rPr>
          <w:rFonts w:ascii="Verdana" w:hAnsi="Verdana" w:cs="Arial"/>
          <w:sz w:val="21"/>
          <w:szCs w:val="21"/>
        </w:rPr>
      </w:pPr>
    </w:p>
    <w:p w14:paraId="710902E3"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hAnsi="Verdana" w:cs="Arial"/>
        </w:rPr>
        <w:t>De la norma transcrita se pueden señalar diferentes aspectos: el artículo quiso desarrollar de manera específica y especial las actuaciones administrativas que consagraba el derogado Código Contencioso administrativo y que prevalecen en la Ley 1437 de 2011 o nuevo Código de Procedimiento Administrativo y de lo Contencioso Administrativo -CPACA-</w:t>
      </w:r>
      <w:r w:rsidRPr="00EB617B">
        <w:rPr>
          <w:rFonts w:ascii="Verdana" w:eastAsia="Arial" w:hAnsi="Verdana" w:cs="Arial"/>
          <w:lang w:val="es-ES" w:eastAsia="es-ES" w:bidi="es-ES"/>
        </w:rPr>
        <w:t xml:space="preserve"> que exigen de la administración el cumplimiento de principios orientadores, incorporando actuaciones que anteceden la expedición de los actos administrativos precontractuales como el pliego de condiciones definitivo y el acto de apertura. En ese sentido, el legislador abrió la posibilidad de que cualquier interesado en participar en el proceso de selección, presentara las observaciones y opiniones luego de examinar los documentos publicados por la entidad estatal contratante, con el fin de sujetar las actuaciones precontractuales a los principios que actualmente consagran en los numerales 6, 8 y 9 del CPACA</w:t>
      </w:r>
      <w:r w:rsidRPr="00EB617B">
        <w:rPr>
          <w:rStyle w:val="Refdenotaalpie"/>
          <w:rFonts w:ascii="Verdana" w:eastAsia="Arial" w:hAnsi="Verdana" w:cs="Arial"/>
          <w:lang w:val="es-ES" w:eastAsia="es-ES" w:bidi="es-ES"/>
        </w:rPr>
        <w:footnoteReference w:id="17"/>
      </w:r>
      <w:r w:rsidRPr="00EB617B">
        <w:rPr>
          <w:rFonts w:ascii="Verdana" w:eastAsia="Arial" w:hAnsi="Verdana" w:cs="Arial"/>
          <w:lang w:val="es-ES" w:eastAsia="es-ES" w:bidi="es-ES"/>
        </w:rPr>
        <w:t>.</w:t>
      </w:r>
    </w:p>
    <w:p w14:paraId="01C0A4E5"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lastRenderedPageBreak/>
        <w:t>Por otro lado, las observaciones y/o aclaraciones a los documentos y estudios previos y al proyecto de pliego de condiciones que presenten los interesados en los procesos de selección forman parte de la institución del derecho de petición, con una regulación especial en cuanto a los plazos de respuesta, de la misma manera en que se conciben las observaciones que se efectúen para el contenido del pliego de condiciones y los informes de evaluación que publica la entidad contratante.</w:t>
      </w:r>
    </w:p>
    <w:p w14:paraId="5682A45B"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Esto supone un avance, si se quiere, con la reforma que hace la Ley 1150 de 2007, por cuanto garantiza una etapa previa al proceso precontractual, que parte desde el inicio de la convocatoria pública y la elaboración del proyecto de pliego de condiciones, con el propósito de que se mejoren en los aspectos más sustanciales del proyecto contractual, de cara al conocimiento y la experiencia que tienen los interesados en participar, quienes son los idóneos para complementar circunstancias que pudieron omitirse a la hora de su construcción o que quedaron afuera del análisis que se efectúa con los estudios previos. Justamente, es por ese motivo que la entidad estatal contratante tiene la exigencia de publicar de tales documentos en el SECOP como medio oficial para dar a conocer su actividad contractual.</w:t>
      </w:r>
    </w:p>
    <w:p w14:paraId="6CE8159E"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iv. Dicho lo anterior, los actos preparatorios como el proyecto de pliego de condiciones o la elaboración y publicación de los estudios previos no son actos que obligan a la entidad estatal a dar apertura al proceso contractual, en contraste con lo que ocurre con los verdaderos actos administrativos que contienen una manifestación de la voluntad de la administración y la virtualidad de crear obligaciones y derechos, como lo es el acto de apertura del proceso de selección, el pliego de condiciones definitivo e incluso, el acto de adjudicación del contrato.</w:t>
      </w:r>
    </w:p>
    <w:p w14:paraId="1E924816" w14:textId="77777777" w:rsidR="003118E6" w:rsidRPr="00EB617B" w:rsidRDefault="003118E6" w:rsidP="003118E6">
      <w:pPr>
        <w:widowControl w:val="0"/>
        <w:autoSpaceDE w:val="0"/>
        <w:autoSpaceDN w:val="0"/>
        <w:spacing w:line="276" w:lineRule="auto"/>
        <w:ind w:firstLine="709"/>
        <w:jc w:val="both"/>
        <w:rPr>
          <w:rFonts w:ascii="Verdana" w:eastAsia="Calibri" w:hAnsi="Verdana" w:cs="Arial"/>
        </w:rPr>
      </w:pPr>
      <w:r w:rsidRPr="00EB617B">
        <w:rPr>
          <w:rFonts w:ascii="Verdana" w:eastAsia="Arial" w:hAnsi="Verdana" w:cs="Arial"/>
          <w:lang w:val="es-ES" w:eastAsia="es-ES" w:bidi="es-ES"/>
        </w:rPr>
        <w:t xml:space="preserve">Para entender mejor lo dicho, es importante abordar el concepto de </w:t>
      </w:r>
      <w:r w:rsidRPr="00EB617B">
        <w:rPr>
          <w:rFonts w:ascii="Verdana" w:eastAsia="Arial" w:hAnsi="Verdana" w:cs="Arial"/>
          <w:i/>
          <w:iCs/>
          <w:lang w:val="es-ES" w:eastAsia="es-ES" w:bidi="es-ES"/>
        </w:rPr>
        <w:t xml:space="preserve">acto administrativo </w:t>
      </w:r>
      <w:r w:rsidRPr="00EB617B">
        <w:rPr>
          <w:rFonts w:ascii="Verdana" w:eastAsia="Arial" w:hAnsi="Verdana" w:cs="Arial"/>
          <w:lang w:val="es-ES" w:eastAsia="es-ES" w:bidi="es-ES"/>
        </w:rPr>
        <w:t xml:space="preserve">que, </w:t>
      </w:r>
      <w:r w:rsidRPr="00EB617B">
        <w:rPr>
          <w:rFonts w:ascii="Verdana" w:eastAsia="Calibri" w:hAnsi="Verdana" w:cs="Arial"/>
        </w:rPr>
        <w:t>aunque no existe una definición legal, la doctrina y la jurisprudencia</w:t>
      </w:r>
      <w:r w:rsidRPr="00EB617B">
        <w:rPr>
          <w:rStyle w:val="Refdenotaalpie"/>
          <w:rFonts w:ascii="Verdana" w:eastAsia="Calibri" w:hAnsi="Verdana" w:cs="Arial"/>
        </w:rPr>
        <w:footnoteReference w:id="18"/>
      </w:r>
      <w:r w:rsidRPr="00EB617B">
        <w:rPr>
          <w:rFonts w:ascii="Verdana" w:eastAsia="Calibri" w:hAnsi="Verdana" w:cs="Arial"/>
        </w:rPr>
        <w:t xml:space="preserve"> viene dando algunas definiciones que permiten extraer </w:t>
      </w:r>
      <w:r w:rsidRPr="00EB617B">
        <w:rPr>
          <w:rFonts w:ascii="Verdana" w:eastAsia="Calibri" w:hAnsi="Verdana" w:cs="Arial"/>
        </w:rPr>
        <w:lastRenderedPageBreak/>
        <w:t xml:space="preserve">elementos comunes y esenciales: i) la manifestación unilateral de la voluntad de la administración dirigida a una o varias personas; y ii) la potencialidad de dicha manifestación de crear, modificar o extinguir una situación jurídica. En otras palabras, el acto administrativo puede definirse como la manifestación de la voluntad de la administración hacía sus administrados con la virtualidad de crear, modificar o extinguir una situación jurídica. </w:t>
      </w:r>
    </w:p>
    <w:p w14:paraId="6CE426DE" w14:textId="77777777" w:rsidR="003118E6" w:rsidRPr="00EB617B" w:rsidRDefault="003118E6" w:rsidP="003118E6">
      <w:pPr>
        <w:widowControl w:val="0"/>
        <w:autoSpaceDE w:val="0"/>
        <w:autoSpaceDN w:val="0"/>
        <w:spacing w:line="276" w:lineRule="auto"/>
        <w:ind w:firstLine="709"/>
        <w:jc w:val="both"/>
        <w:rPr>
          <w:rFonts w:ascii="Verdana" w:eastAsia="Calibri" w:hAnsi="Verdana" w:cs="Arial"/>
        </w:rPr>
      </w:pPr>
      <w:r w:rsidRPr="00EB617B">
        <w:rPr>
          <w:rFonts w:ascii="Verdana" w:eastAsia="Calibri" w:hAnsi="Verdana" w:cs="Arial"/>
        </w:rPr>
        <w:t xml:space="preserve">De otro lado, existen múltiples clasificaciones que la jurisprudencia y la doctrina han venido desarrollando, dependiendo del </w:t>
      </w:r>
      <w:r w:rsidRPr="00EB617B">
        <w:rPr>
          <w:rFonts w:ascii="Verdana" w:eastAsia="Calibri" w:hAnsi="Verdana" w:cs="Arial"/>
          <w:i/>
          <w:iCs/>
        </w:rPr>
        <w:t>contenido del acto</w:t>
      </w:r>
      <w:r w:rsidRPr="00EB617B">
        <w:rPr>
          <w:rFonts w:ascii="Verdana" w:eastAsia="Calibri" w:hAnsi="Verdana" w:cs="Arial"/>
        </w:rPr>
        <w:t xml:space="preserve">, donde se ubican: i) actos de trámite, ii) actos de fondo o sustanciación y iii) actos de ejecución; o </w:t>
      </w:r>
      <w:r w:rsidRPr="00EB617B">
        <w:rPr>
          <w:rFonts w:ascii="Verdana" w:eastAsia="Calibri" w:hAnsi="Verdana" w:cs="Arial"/>
          <w:i/>
          <w:iCs/>
        </w:rPr>
        <w:t>según el procedimiento para su formación</w:t>
      </w:r>
      <w:r w:rsidRPr="00EB617B">
        <w:rPr>
          <w:rFonts w:ascii="Verdana" w:eastAsia="Calibri" w:hAnsi="Verdana" w:cs="Arial"/>
        </w:rPr>
        <w:t xml:space="preserve">: i) simple o unipersonal, ii) complejo o pluripersonal; o </w:t>
      </w:r>
      <w:r w:rsidRPr="00EB617B">
        <w:rPr>
          <w:rFonts w:ascii="Verdana" w:eastAsia="Calibri" w:hAnsi="Verdana" w:cs="Arial"/>
          <w:i/>
          <w:iCs/>
        </w:rPr>
        <w:t>en razón al alcance o destinatarios</w:t>
      </w:r>
      <w:r w:rsidRPr="00EB617B">
        <w:rPr>
          <w:rFonts w:ascii="Verdana" w:eastAsia="Calibri" w:hAnsi="Verdana" w:cs="Arial"/>
        </w:rPr>
        <w:t>: i) general y abstracto y ii) particular y concreto</w:t>
      </w:r>
      <w:r w:rsidRPr="00EB617B">
        <w:rPr>
          <w:rStyle w:val="Refdenotaalpie"/>
          <w:rFonts w:ascii="Verdana" w:eastAsia="Calibri" w:hAnsi="Verdana" w:cs="Arial"/>
        </w:rPr>
        <w:footnoteReference w:id="19"/>
      </w:r>
      <w:r w:rsidRPr="00EB617B">
        <w:rPr>
          <w:rFonts w:ascii="Verdana" w:eastAsia="Calibri" w:hAnsi="Verdana" w:cs="Arial"/>
        </w:rPr>
        <w:t>.</w:t>
      </w:r>
    </w:p>
    <w:p w14:paraId="07B3F94E" w14:textId="77777777" w:rsidR="003118E6" w:rsidRPr="00EB617B" w:rsidRDefault="003118E6" w:rsidP="003118E6">
      <w:pPr>
        <w:widowControl w:val="0"/>
        <w:autoSpaceDE w:val="0"/>
        <w:autoSpaceDN w:val="0"/>
        <w:spacing w:line="276" w:lineRule="auto"/>
        <w:ind w:firstLine="709"/>
        <w:jc w:val="both"/>
        <w:rPr>
          <w:rFonts w:ascii="Verdana" w:eastAsia="Calibri" w:hAnsi="Verdana" w:cs="Arial"/>
        </w:rPr>
      </w:pPr>
      <w:r w:rsidRPr="00EB617B">
        <w:rPr>
          <w:rFonts w:ascii="Verdana" w:eastAsia="Calibri" w:hAnsi="Verdana" w:cs="Arial"/>
        </w:rPr>
        <w:t>Precisado el concepto de acto administrativo, el artículo 24, numeral 7 de la Ley 80 de 1993</w:t>
      </w:r>
      <w:r w:rsidRPr="00EB617B">
        <w:rPr>
          <w:rStyle w:val="Refdenotaalpie"/>
          <w:rFonts w:ascii="Verdana" w:eastAsia="Calibri" w:hAnsi="Verdana" w:cs="Arial"/>
        </w:rPr>
        <w:footnoteReference w:id="20"/>
      </w:r>
      <w:r w:rsidRPr="00EB617B">
        <w:rPr>
          <w:rFonts w:ascii="Verdana" w:eastAsia="Calibri" w:hAnsi="Verdana" w:cs="Arial"/>
        </w:rPr>
        <w:t xml:space="preserve"> permite dilucidar la manera en que el legislador divide en dos las etapas más sustanciales del contrato estatal: la etapa precontractual y la etapa contractual, consagrando la exigencia de que las entidades estatales motiven en forma detallada y precisa: i) </w:t>
      </w:r>
      <w:r w:rsidRPr="00EB617B">
        <w:rPr>
          <w:rFonts w:ascii="Verdana" w:eastAsia="Calibri" w:hAnsi="Verdana" w:cs="Arial"/>
          <w:i/>
          <w:iCs/>
        </w:rPr>
        <w:t>los informes de evaluación</w:t>
      </w:r>
      <w:r w:rsidRPr="00EB617B">
        <w:rPr>
          <w:rFonts w:ascii="Verdana" w:eastAsia="Calibri" w:hAnsi="Verdana" w:cs="Arial"/>
        </w:rPr>
        <w:t xml:space="preserve">, ii) el </w:t>
      </w:r>
      <w:r w:rsidRPr="00EB617B">
        <w:rPr>
          <w:rFonts w:ascii="Verdana" w:eastAsia="Calibri" w:hAnsi="Verdana" w:cs="Arial"/>
          <w:i/>
          <w:iCs/>
        </w:rPr>
        <w:t>acto de adjudicación</w:t>
      </w:r>
      <w:r w:rsidRPr="00EB617B">
        <w:rPr>
          <w:rFonts w:ascii="Verdana" w:eastAsia="Calibri" w:hAnsi="Verdana" w:cs="Arial"/>
        </w:rPr>
        <w:t xml:space="preserve"> y iii) la </w:t>
      </w:r>
      <w:r w:rsidRPr="00EB617B">
        <w:rPr>
          <w:rFonts w:ascii="Verdana" w:eastAsia="Calibri" w:hAnsi="Verdana" w:cs="Arial"/>
          <w:i/>
          <w:iCs/>
        </w:rPr>
        <w:t>declaratoria de desierta del proceso de escogencia</w:t>
      </w:r>
      <w:r w:rsidRPr="00EB617B">
        <w:rPr>
          <w:rFonts w:ascii="Verdana" w:eastAsia="Calibri" w:hAnsi="Verdana" w:cs="Arial"/>
        </w:rPr>
        <w:t xml:space="preserve">, sin que pueda entenderse estos como los únicos que se originan, en razón a que los distingue de aquellos producidos con ocasión de la actividad contractual propiamente dicha, como lo son el i) </w:t>
      </w:r>
      <w:r w:rsidRPr="00EB617B">
        <w:rPr>
          <w:rFonts w:ascii="Verdana" w:eastAsia="Calibri" w:hAnsi="Verdana" w:cs="Arial"/>
          <w:i/>
          <w:iCs/>
        </w:rPr>
        <w:t>acto de liquidación contractual</w:t>
      </w:r>
      <w:r w:rsidRPr="00EB617B">
        <w:rPr>
          <w:rFonts w:ascii="Verdana" w:eastAsia="Calibri" w:hAnsi="Verdana" w:cs="Arial"/>
        </w:rPr>
        <w:t xml:space="preserve">, ii) el </w:t>
      </w:r>
      <w:r w:rsidRPr="00EB617B">
        <w:rPr>
          <w:rFonts w:ascii="Verdana" w:eastAsia="Calibri" w:hAnsi="Verdana" w:cs="Arial"/>
          <w:i/>
          <w:iCs/>
        </w:rPr>
        <w:t>acto que declara el incumplimiento contractual</w:t>
      </w:r>
      <w:r w:rsidRPr="00EB617B">
        <w:rPr>
          <w:rFonts w:ascii="Verdana" w:eastAsia="Calibri" w:hAnsi="Verdana" w:cs="Arial"/>
        </w:rPr>
        <w:t xml:space="preserve"> o iii) el </w:t>
      </w:r>
      <w:r w:rsidRPr="00EB617B">
        <w:rPr>
          <w:rFonts w:ascii="Verdana" w:eastAsia="Calibri" w:hAnsi="Verdana" w:cs="Arial"/>
          <w:i/>
          <w:iCs/>
        </w:rPr>
        <w:t>acto que declara la caducidad del contrato</w:t>
      </w:r>
      <w:r w:rsidRPr="00EB617B">
        <w:rPr>
          <w:rFonts w:ascii="Verdana" w:eastAsia="Calibri" w:hAnsi="Verdana" w:cs="Arial"/>
        </w:rPr>
        <w:t>, es decir, los que se expiden a partir del perfeccionamiento del contrato estatal, hasta su liquidación, por cuanto las decisiones manifestadas en los primeros actos enlistados son de naturaleza precontractual.</w:t>
      </w:r>
    </w:p>
    <w:p w14:paraId="1E6FD31F"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Calibri" w:hAnsi="Verdana" w:cs="Arial"/>
        </w:rPr>
        <w:t xml:space="preserve">Sin embargo, el </w:t>
      </w:r>
      <w:r w:rsidRPr="00EB617B">
        <w:rPr>
          <w:rFonts w:ascii="Verdana" w:eastAsia="Calibri" w:hAnsi="Verdana" w:cs="Arial"/>
          <w:i/>
          <w:iCs/>
        </w:rPr>
        <w:t>proyecto de pliego de condiciones</w:t>
      </w:r>
      <w:r w:rsidRPr="00EB617B">
        <w:rPr>
          <w:rFonts w:ascii="Verdana" w:eastAsia="Calibri" w:hAnsi="Verdana" w:cs="Arial"/>
        </w:rPr>
        <w:t xml:space="preserve"> al que se refiere la </w:t>
      </w:r>
      <w:r w:rsidRPr="00EB617B">
        <w:rPr>
          <w:rFonts w:ascii="Verdana" w:eastAsia="Calibri" w:hAnsi="Verdana" w:cs="Arial"/>
        </w:rPr>
        <w:lastRenderedPageBreak/>
        <w:t xml:space="preserve">presente consulta no hace parte de los actos administrativos precontractuales o separables del contrato, ni mucho menos de los contractuales o posteriores al perfeccionamiento del contrato. En esa medida, al no ser una declaración unilateral de voluntad de la administración, ni comporta la virtualidad de producir efectos jurídicos, se debe entender como </w:t>
      </w:r>
      <w:r w:rsidRPr="00EB617B">
        <w:rPr>
          <w:rFonts w:ascii="Verdana" w:eastAsia="Arial" w:hAnsi="Verdana" w:cs="Arial"/>
          <w:lang w:val="es-ES" w:eastAsia="es-ES" w:bidi="es-ES"/>
        </w:rPr>
        <w:t xml:space="preserve">un acto de trámite previo al inicio del verdadero proceso precontractual, y lo que busca es poner en conocimiento a los partícipes del sistema de compra pública el proyecto de pliego de condiciones y los estudios y documentos previos, para recibir de quienes se interesen, todas las observaciones, reclamaciones, sugerencias y solicitudes de aclaraciones, de tal forma que exista veracidad, imparcialidad y perfeccionamiento del acto que contendrá las condiciones y reglas de todo el proceso contractual. </w:t>
      </w:r>
    </w:p>
    <w:p w14:paraId="4302FF10"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Incluso, la doctrina nacional ha entendido que el proyecto de pliego de condiciones no inicia el proceso precontractual propiamente dicho, al indicar que: “es una actuación previa, que como tal no genera manifestación de voluntad de la administración, ni compromiso alguno distinto de su realización</w:t>
      </w:r>
      <w:r w:rsidRPr="00EB617B">
        <w:rPr>
          <w:rStyle w:val="Refdenotaalpie"/>
          <w:rFonts w:ascii="Verdana" w:eastAsia="Arial" w:hAnsi="Verdana" w:cs="Arial"/>
          <w:lang w:val="es-ES" w:eastAsia="es-ES" w:bidi="es-ES"/>
        </w:rPr>
        <w:footnoteReference w:id="21"/>
      </w:r>
      <w:r w:rsidRPr="00EB617B">
        <w:rPr>
          <w:rFonts w:ascii="Verdana" w:eastAsia="Arial" w:hAnsi="Verdana" w:cs="Arial"/>
          <w:lang w:val="es-ES" w:eastAsia="es-ES" w:bidi="es-ES"/>
        </w:rPr>
        <w:t>”. Lo anterior ayuda a fijar la idea de que el proyecto de pliego de condiciones no comporta ni constituye un acto administrativo.</w:t>
      </w:r>
    </w:p>
    <w:p w14:paraId="64FFE87E"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No obstante, en virtud de que las respuestas a las observaciones y/o aclaraciones hacen parte de la institución del derecho de petición como herramienta fundamental para la convergencia entre los administrados y las autoridades administrativas en la gestión de lo público, deben estar motivadas y fundadas en razones objetivas, garantizando que su contenido es el resultado de los estudios previos y la aplicación estricta del deber de planeación, de manera que la participación que se presente en esta etapa previa a la precontractual refuerce la intención del cumplimiento de los fines de la contratación estatal y la protección de los principios inmersos en el deber de selección objetiva.</w:t>
      </w:r>
    </w:p>
    <w:p w14:paraId="48872841"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val="es-ES" w:eastAsia="es-ES" w:bidi="es-ES"/>
        </w:rPr>
        <w:t xml:space="preserve">Por lo que las entidades estatales deben asegurarse de dar respuestas de fondo y claras, incluso cuando se trate de actos de trámite como el caso del proyecto de pliego de condiciones, en el sentido de que la exposición de las razones por las cuales acepta o rechaza las observaciones legitima el proceso, </w:t>
      </w:r>
      <w:r w:rsidRPr="00EB617B">
        <w:rPr>
          <w:rFonts w:ascii="Verdana" w:eastAsia="Arial" w:hAnsi="Verdana" w:cs="Arial"/>
          <w:lang w:val="es-ES" w:eastAsia="es-ES" w:bidi="es-ES"/>
        </w:rPr>
        <w:lastRenderedPageBreak/>
        <w:t>para impedir que su ausencia o una falsa motivación conduzca a la invalidez de lo actuado, atentando contra los principios de transparencia y debida contradicción fundamentales en las actuaciones administrativas.</w:t>
      </w:r>
    </w:p>
    <w:p w14:paraId="04201078"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eastAsia="es-ES" w:bidi="es-ES"/>
        </w:rPr>
      </w:pPr>
      <w:r w:rsidRPr="00EB617B">
        <w:rPr>
          <w:rFonts w:ascii="Verdana" w:eastAsia="Arial" w:hAnsi="Verdana" w:cs="Arial"/>
          <w:lang w:eastAsia="es-ES" w:bidi="es-ES"/>
        </w:rPr>
        <w:t>Surtida esta etapa preliminar de publicación de los estudios y documentos previos y el proyecto de pliego de condiciones, la entidad estatal estará lista para decidir si inicia el proceso de selección, y la expedición de los actos administrativos propiamente dichos, es decir, acto de apertura del proceso contractual y el pliego de condiciones definitivo. Ahora bien, como se expresó, el principio de publicidad obliga a que todos los documentos que se produzcan en el marco de la actividad contractual deban publicarse. De manera que los documentos y actos de trámite también deben darse a conocer mediante el SECOP, tal y como lo exige el Decreto reglamentario que regula la materia. Sobre lo dicho, el Decreto 1082 de 2015 señala:</w:t>
      </w:r>
    </w:p>
    <w:p w14:paraId="5D2490AD" w14:textId="77777777" w:rsidR="003118E6" w:rsidRPr="00EB617B" w:rsidRDefault="003118E6" w:rsidP="003118E6">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EB617B">
        <w:rPr>
          <w:rFonts w:ascii="Verdana" w:eastAsia="Arial" w:hAnsi="Verdana" w:cs="Arial"/>
          <w:sz w:val="20"/>
          <w:szCs w:val="20"/>
          <w:lang w:eastAsia="es-ES" w:bidi="es-ES"/>
        </w:rPr>
        <w:t>“Artículo 2.2.1.1.1.7.1. </w:t>
      </w:r>
      <w:r w:rsidRPr="00EB617B">
        <w:rPr>
          <w:rFonts w:ascii="Verdana" w:eastAsia="Arial" w:hAnsi="Verdana" w:cs="Arial"/>
          <w:i/>
          <w:iCs/>
          <w:sz w:val="20"/>
          <w:szCs w:val="20"/>
          <w:lang w:eastAsia="es-ES" w:bidi="es-ES"/>
        </w:rPr>
        <w:t>Publicidad en el SECOP.</w:t>
      </w:r>
      <w:r w:rsidRPr="00EB617B">
        <w:rPr>
          <w:rFonts w:ascii="Verdana" w:eastAsia="Arial" w:hAnsi="Verdana" w:cs="Arial"/>
          <w:b/>
          <w:bCs/>
          <w:i/>
          <w:iCs/>
          <w:sz w:val="20"/>
          <w:szCs w:val="20"/>
          <w:lang w:eastAsia="es-ES" w:bidi="es-ES"/>
        </w:rPr>
        <w:t> </w:t>
      </w:r>
      <w:r w:rsidRPr="00EB617B">
        <w:rPr>
          <w:rFonts w:ascii="Verdana" w:eastAsia="Arial" w:hAnsi="Verdana" w:cs="Arial"/>
          <w:sz w:val="20"/>
          <w:szCs w:val="20"/>
          <w:lang w:eastAsia="es-ES" w:bidi="es-ES"/>
        </w:rPr>
        <w:t>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 </w:t>
      </w:r>
    </w:p>
    <w:p w14:paraId="5ECF28D1" w14:textId="77777777" w:rsidR="003118E6" w:rsidRPr="00EB617B" w:rsidRDefault="003118E6" w:rsidP="003118E6">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EB617B">
        <w:rPr>
          <w:rFonts w:ascii="Verdana" w:eastAsia="Arial" w:hAnsi="Verdana" w:cs="Arial"/>
          <w:sz w:val="20"/>
          <w:szCs w:val="20"/>
          <w:lang w:eastAsia="es-ES" w:bidi="es-ES"/>
        </w:rPr>
        <w:t>  </w:t>
      </w:r>
    </w:p>
    <w:p w14:paraId="4C5DD050" w14:textId="77777777" w:rsidR="003118E6" w:rsidRPr="00EB617B" w:rsidRDefault="003118E6" w:rsidP="003118E6">
      <w:pPr>
        <w:widowControl w:val="0"/>
        <w:autoSpaceDE w:val="0"/>
        <w:autoSpaceDN w:val="0"/>
        <w:spacing w:after="0" w:line="240" w:lineRule="auto"/>
        <w:ind w:left="709" w:right="709"/>
        <w:jc w:val="both"/>
        <w:rPr>
          <w:rFonts w:ascii="Verdana" w:eastAsia="Arial" w:hAnsi="Verdana" w:cs="Arial"/>
          <w:sz w:val="20"/>
          <w:szCs w:val="20"/>
          <w:u w:val="single"/>
          <w:lang w:eastAsia="es-ES" w:bidi="es-ES"/>
        </w:rPr>
      </w:pPr>
      <w:r w:rsidRPr="00DA772A">
        <w:rPr>
          <w:rFonts w:ascii="Verdana" w:eastAsia="Arial" w:hAnsi="Verdana" w:cs="Arial"/>
          <w:sz w:val="20"/>
          <w:szCs w:val="20"/>
          <w:lang w:eastAsia="es-ES" w:bidi="es-ES"/>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r w:rsidRPr="00EB617B">
        <w:rPr>
          <w:rFonts w:ascii="Verdana" w:eastAsia="Arial" w:hAnsi="Verdana" w:cs="Arial"/>
          <w:sz w:val="20"/>
          <w:szCs w:val="20"/>
          <w:lang w:eastAsia="es-ES" w:bidi="es-ES"/>
        </w:rPr>
        <w:t>.” </w:t>
      </w:r>
    </w:p>
    <w:p w14:paraId="460D669A" w14:textId="77777777" w:rsidR="003118E6" w:rsidRPr="00EB617B" w:rsidRDefault="003118E6" w:rsidP="003118E6">
      <w:pPr>
        <w:widowControl w:val="0"/>
        <w:autoSpaceDE w:val="0"/>
        <w:autoSpaceDN w:val="0"/>
        <w:spacing w:after="0" w:line="276" w:lineRule="auto"/>
        <w:ind w:left="709" w:right="709"/>
        <w:jc w:val="both"/>
        <w:rPr>
          <w:rFonts w:ascii="Verdana" w:eastAsia="Arial" w:hAnsi="Verdana" w:cs="Arial"/>
          <w:sz w:val="20"/>
          <w:szCs w:val="20"/>
          <w:lang w:eastAsia="es-ES" w:bidi="es-ES"/>
        </w:rPr>
      </w:pPr>
    </w:p>
    <w:p w14:paraId="0B25FE1C" w14:textId="77777777" w:rsidR="003118E6" w:rsidRPr="00EB617B" w:rsidRDefault="003118E6" w:rsidP="003118E6">
      <w:pPr>
        <w:widowControl w:val="0"/>
        <w:autoSpaceDE w:val="0"/>
        <w:autoSpaceDN w:val="0"/>
        <w:spacing w:after="0" w:line="276" w:lineRule="auto"/>
        <w:ind w:left="709" w:right="709"/>
        <w:jc w:val="both"/>
        <w:rPr>
          <w:rFonts w:ascii="Verdana" w:eastAsia="Arial" w:hAnsi="Verdana" w:cs="Arial"/>
          <w:sz w:val="20"/>
          <w:szCs w:val="20"/>
          <w:lang w:eastAsia="es-ES" w:bidi="es-ES"/>
        </w:rPr>
      </w:pPr>
      <w:r w:rsidRPr="00EB617B">
        <w:rPr>
          <w:rFonts w:ascii="Verdana" w:eastAsia="Arial" w:hAnsi="Verdana" w:cs="Arial"/>
          <w:sz w:val="20"/>
          <w:szCs w:val="20"/>
          <w:lang w:eastAsia="es-ES" w:bidi="es-ES"/>
        </w:rPr>
        <w:t>Por su parte, el artículo 2.2.1.1.2.1.4. del mismo cuerpo normativo dispone que:</w:t>
      </w:r>
    </w:p>
    <w:p w14:paraId="4B923BAF" w14:textId="77777777" w:rsidR="003118E6" w:rsidRPr="00EB617B" w:rsidRDefault="003118E6" w:rsidP="003118E6">
      <w:pPr>
        <w:widowControl w:val="0"/>
        <w:autoSpaceDE w:val="0"/>
        <w:autoSpaceDN w:val="0"/>
        <w:spacing w:after="0" w:line="276" w:lineRule="auto"/>
        <w:ind w:left="709" w:right="709"/>
        <w:jc w:val="both"/>
        <w:rPr>
          <w:rFonts w:ascii="Verdana" w:eastAsia="Arial" w:hAnsi="Verdana" w:cs="Arial"/>
          <w:sz w:val="20"/>
          <w:szCs w:val="20"/>
          <w:lang w:eastAsia="es-ES" w:bidi="es-ES"/>
        </w:rPr>
      </w:pPr>
    </w:p>
    <w:p w14:paraId="4408754D" w14:textId="77777777" w:rsidR="003118E6" w:rsidRDefault="003118E6" w:rsidP="003118E6">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EB617B">
        <w:rPr>
          <w:rFonts w:ascii="Verdana" w:eastAsia="Arial" w:hAnsi="Verdana" w:cs="Arial"/>
          <w:sz w:val="20"/>
          <w:szCs w:val="20"/>
          <w:lang w:eastAsia="es-ES" w:bidi="es-ES"/>
        </w:rPr>
        <w:t>“Artículo 2.2.1.1.2.1.4. </w:t>
      </w:r>
      <w:r w:rsidRPr="00EB617B">
        <w:rPr>
          <w:rFonts w:ascii="Verdana" w:eastAsia="Arial" w:hAnsi="Verdana" w:cs="Arial"/>
          <w:i/>
          <w:iCs/>
          <w:sz w:val="20"/>
          <w:szCs w:val="20"/>
          <w:lang w:eastAsia="es-ES" w:bidi="es-ES"/>
        </w:rPr>
        <w:t>Observaciones al proyecto de pliegos de condiciones</w:t>
      </w:r>
      <w:r w:rsidRPr="00EB617B">
        <w:rPr>
          <w:rFonts w:ascii="Verdana" w:eastAsia="Arial" w:hAnsi="Verdana" w:cs="Arial"/>
          <w:sz w:val="20"/>
          <w:szCs w:val="20"/>
          <w:lang w:eastAsia="es-ES" w:bidi="es-ES"/>
        </w:rPr>
        <w:t>. Los interesados pueden hacer comentarios al proyecto de pliegos de condiciones a partir de la fecha de publicación de los mismos: (a) durante un término de diez (10) días hábiles en la licitación pública; y (b) durante un término de cinco (5) días hábiles en la selección abreviada y el concurso de méritos”.</w:t>
      </w:r>
    </w:p>
    <w:p w14:paraId="1388E4D1" w14:textId="77777777" w:rsidR="003118E6" w:rsidRPr="00E31802" w:rsidRDefault="003118E6" w:rsidP="003118E6">
      <w:pPr>
        <w:widowControl w:val="0"/>
        <w:autoSpaceDE w:val="0"/>
        <w:autoSpaceDN w:val="0"/>
        <w:spacing w:after="0" w:line="240" w:lineRule="auto"/>
        <w:ind w:left="709" w:right="709"/>
        <w:jc w:val="both"/>
        <w:rPr>
          <w:rFonts w:ascii="Verdana" w:eastAsia="Arial" w:hAnsi="Verdana" w:cs="Arial"/>
          <w:sz w:val="20"/>
          <w:szCs w:val="20"/>
          <w:lang w:eastAsia="es-ES" w:bidi="es-ES"/>
        </w:rPr>
      </w:pPr>
    </w:p>
    <w:p w14:paraId="05BED13D"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eastAsia="es-ES" w:bidi="es-ES"/>
        </w:rPr>
      </w:pPr>
      <w:r w:rsidRPr="00EB617B">
        <w:rPr>
          <w:rFonts w:ascii="Verdana" w:eastAsia="Arial" w:hAnsi="Verdana" w:cs="Arial"/>
          <w:lang w:eastAsia="es-ES" w:bidi="es-ES"/>
        </w:rPr>
        <w:t xml:space="preserve">Aquí se identifican dos normas que reglamentan: por un lado, la obligación en cabeza de las entidades estatales de publicar entre otros, el proyecto de </w:t>
      </w:r>
      <w:r w:rsidRPr="00EB617B">
        <w:rPr>
          <w:rFonts w:ascii="Verdana" w:eastAsia="Arial" w:hAnsi="Verdana" w:cs="Arial"/>
          <w:lang w:eastAsia="es-ES" w:bidi="es-ES"/>
        </w:rPr>
        <w:lastRenderedPageBreak/>
        <w:t xml:space="preserve">pliego de condiciones para que los interesados verifiquen y examinen su contenido y formulen sus observaciones y, por otro lado, el término con el que cuentan dichos interesados para que formulen esas observaciones, dependiendo de la modalidad de selección por medio de la cual se surte el proceso de selección. </w:t>
      </w:r>
    </w:p>
    <w:p w14:paraId="046DC431" w14:textId="77777777" w:rsidR="003118E6"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Arial" w:hAnsi="Verdana" w:cs="Arial"/>
          <w:lang w:eastAsia="es-ES" w:bidi="es-ES"/>
        </w:rPr>
        <w:t xml:space="preserve">Dichas reglas están orientadas a permitir que se ajusten los yerros y las inconsistencias, o se complementen las condiciones o se clarifiquen los aspectos oscuros, entre otras posibilidades de mejora del proyecto, en la medida en que las entidades publican su contenido original para que los interesados cuenten con un término para examinarlos y observarlos y, posteriormente, tales elementos se vean reflejados en el pliego de condiciones definitivo, pliego que constituye </w:t>
      </w:r>
      <w:r w:rsidRPr="00EB617B">
        <w:rPr>
          <w:rFonts w:ascii="Verdana" w:eastAsia="Arial" w:hAnsi="Verdana" w:cs="Arial"/>
          <w:lang w:val="es-ES" w:eastAsia="es-ES" w:bidi="es-ES"/>
        </w:rPr>
        <w:t>la hoja de ruta o plan</w:t>
      </w:r>
      <w:r w:rsidRPr="00EB617B">
        <w:rPr>
          <w:rFonts w:ascii="Verdana" w:eastAsia="Arial" w:hAnsi="Verdana" w:cs="Arial"/>
          <w:vertAlign w:val="superscript"/>
          <w:lang w:val="es-ES" w:eastAsia="es-ES" w:bidi="es-ES"/>
        </w:rPr>
        <w:footnoteReference w:id="22"/>
      </w:r>
      <w:r w:rsidRPr="00EB617B">
        <w:rPr>
          <w:rFonts w:ascii="Verdana" w:eastAsia="Arial" w:hAnsi="Verdana" w:cs="Arial"/>
          <w:lang w:val="es-ES" w:eastAsia="es-ES" w:bidi="es-ES"/>
        </w:rPr>
        <w:t xml:space="preserve"> sobre el cual se diseña, estructura y concreta el procedimiento de selección de contratistas.</w:t>
      </w:r>
    </w:p>
    <w:p w14:paraId="020C33AB" w14:textId="77777777" w:rsidR="003118E6" w:rsidRDefault="003118E6" w:rsidP="003118E6">
      <w:pPr>
        <w:widowControl w:val="0"/>
        <w:autoSpaceDE w:val="0"/>
        <w:autoSpaceDN w:val="0"/>
        <w:spacing w:line="276" w:lineRule="auto"/>
        <w:ind w:firstLine="709"/>
        <w:jc w:val="both"/>
        <w:rPr>
          <w:rFonts w:ascii="Verdana" w:eastAsia="Arial MT" w:hAnsi="Verdana" w:cs="Arial"/>
          <w:lang w:val="es-ES_tradnl" w:eastAsia="es-ES" w:bidi="es-ES"/>
        </w:rPr>
      </w:pPr>
      <w:r>
        <w:rPr>
          <w:rFonts w:ascii="Verdana" w:eastAsia="Calibri" w:hAnsi="Verdana" w:cs="Arial"/>
          <w:color w:val="000000" w:themeColor="text1"/>
        </w:rPr>
        <w:t>Con base en las consideraciones expuestas, resulta posible concluir que e</w:t>
      </w:r>
      <w:r>
        <w:rPr>
          <w:rFonts w:ascii="Verdana" w:eastAsia="Arial MT" w:hAnsi="Verdana" w:cs="Arial"/>
          <w:lang w:val="es-ES_tradnl" w:eastAsia="es-ES" w:bidi="es-ES"/>
        </w:rPr>
        <w:t>l proyecto de pliego de condiciones es un acto previo que no genera manifestación de voluntad de la administración. Es decir, no constituye un acto administrativo propiamente dicho, sino que hace parte de las actuaciones previas a la expedición del acto administrativo mediante el cual se adopta el pliego de condiciones definitivo. En consecuencia, las respuestas a las observaciones y/o aclaraciones que los interesados formulen al proyecto de pliego de condiciones no son vinculantes, ni constituyen modificaciones a las condiciones, reglas o exigencias para la escogencia del contratista del Estado.</w:t>
      </w:r>
    </w:p>
    <w:p w14:paraId="2926CC83" w14:textId="77777777" w:rsidR="003118E6" w:rsidRPr="00EA3E10" w:rsidRDefault="003118E6" w:rsidP="003118E6">
      <w:pPr>
        <w:widowControl w:val="0"/>
        <w:autoSpaceDE w:val="0"/>
        <w:autoSpaceDN w:val="0"/>
        <w:spacing w:line="276" w:lineRule="auto"/>
        <w:ind w:firstLine="709"/>
        <w:jc w:val="both"/>
        <w:rPr>
          <w:rFonts w:ascii="Verdana" w:eastAsia="Arial MT" w:hAnsi="Verdana" w:cs="Arial"/>
          <w:lang w:val="es-ES" w:eastAsia="es-ES" w:bidi="es-ES"/>
        </w:rPr>
      </w:pPr>
      <w:r w:rsidRPr="00EA3E10">
        <w:rPr>
          <w:rFonts w:ascii="Verdana" w:eastAsia="Arial MT" w:hAnsi="Verdana" w:cs="Arial"/>
          <w:lang w:val="es-ES" w:eastAsia="es-ES" w:bidi="es-ES"/>
        </w:rPr>
        <w:t>En todo caso, en virtud del artículo 8 de la Ley 1150 de 2007, en concordancia con el artículo 2.2.1.1.1.7.1. del Decreto 1082 de 2015, en observancia de los principios de publicidad y transparencia, la entidad estatal está en la obligación de publicar los proyectos de pliegos de condiciones o sus equivalentes en el SECOP, con el propósito de que los interesados conozcan su contenido y formulen las observaciones y/o aclaraciones en los términos del artículo 2.2.1.1.2.1.4. a partir de la efectiva publicación durante un término de diez (10) días hábiles en la licitación pública; y durante un término de cinco (5) días hábiles en la selección abreviada y el concurso de méritos.</w:t>
      </w:r>
    </w:p>
    <w:p w14:paraId="50808992" w14:textId="77777777" w:rsidR="003118E6" w:rsidRPr="00EA3E10" w:rsidRDefault="003118E6" w:rsidP="003118E6">
      <w:pPr>
        <w:widowControl w:val="0"/>
        <w:autoSpaceDE w:val="0"/>
        <w:autoSpaceDN w:val="0"/>
        <w:spacing w:line="276" w:lineRule="auto"/>
        <w:ind w:firstLine="709"/>
        <w:jc w:val="both"/>
        <w:rPr>
          <w:rFonts w:ascii="Verdana" w:eastAsia="Arial MT" w:hAnsi="Verdana" w:cs="Arial"/>
          <w:lang w:val="es-ES" w:eastAsia="es-ES" w:bidi="es-ES"/>
        </w:rPr>
      </w:pPr>
      <w:r w:rsidRPr="00EA3E10">
        <w:rPr>
          <w:rFonts w:ascii="Verdana" w:eastAsia="Arial MT" w:hAnsi="Verdana" w:cs="Arial"/>
          <w:lang w:val="es-ES" w:eastAsia="es-ES" w:bidi="es-ES"/>
        </w:rPr>
        <w:t xml:space="preserve">No obstante, las observaciones y/o aclaraciones allegadas forman parte </w:t>
      </w:r>
      <w:r w:rsidRPr="00EA3E10">
        <w:rPr>
          <w:rFonts w:ascii="Verdana" w:eastAsia="Arial MT" w:hAnsi="Verdana" w:cs="Arial"/>
          <w:lang w:val="es-ES" w:eastAsia="es-ES" w:bidi="es-ES"/>
        </w:rPr>
        <w:lastRenderedPageBreak/>
        <w:t>de la institución del derecho de petición, de manera que la entidad estatal está en la obligación de recibirlas y darles respuesta de fondo, motivándolas e indicando de manera clara las razones por las cuales las acoge o las rechaza, sin que signifique que el contenido de las mismas constituya una obligación de dar apertura al proceso de selección, ni compromiso diferente distinto a su realización, lo que permite colegir que no opera la fuerza vinculante que, tanto la jurisprudencia, como la doctrina, ha predicado de las respuestas a las observaciones y/o aclaraciones al pliego de condiciones definitivo, bajo el cumplimiento de ciertos presupuestos legales.</w:t>
      </w:r>
    </w:p>
    <w:p w14:paraId="6E2A778F" w14:textId="77777777" w:rsidR="003118E6" w:rsidRPr="00EB617B" w:rsidRDefault="003118E6" w:rsidP="003118E6">
      <w:pPr>
        <w:widowControl w:val="0"/>
        <w:autoSpaceDE w:val="0"/>
        <w:autoSpaceDN w:val="0"/>
        <w:spacing w:line="276" w:lineRule="auto"/>
        <w:ind w:firstLine="709"/>
        <w:jc w:val="both"/>
        <w:rPr>
          <w:rFonts w:ascii="Verdana" w:eastAsia="Arial" w:hAnsi="Verdana" w:cs="Arial"/>
          <w:lang w:val="es-ES" w:eastAsia="es-ES" w:bidi="es-ES"/>
        </w:rPr>
      </w:pPr>
      <w:r w:rsidRPr="00EB617B">
        <w:rPr>
          <w:rFonts w:ascii="Verdana" w:eastAsia="Calibri" w:hAnsi="Verdana" w:cs="Arial"/>
        </w:rPr>
        <w:t xml:space="preserve">Finalmente, es pertinente indicar que la Agencia Nacional de Contratación Púbica -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Estatuto General de Contratación de la Administración Pública.  </w:t>
      </w:r>
      <w:r w:rsidRPr="00EB617B">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bookmarkEnd w:id="1"/>
    <w:bookmarkEnd w:id="2"/>
    <w:p w14:paraId="6E399AC3" w14:textId="77777777" w:rsidR="003118E6" w:rsidRPr="000F6649" w:rsidRDefault="003118E6" w:rsidP="003118E6">
      <w:pPr>
        <w:spacing w:after="0" w:line="276" w:lineRule="auto"/>
        <w:jc w:val="both"/>
        <w:rPr>
          <w:rFonts w:ascii="Verdana" w:eastAsia="Century Gothic" w:hAnsi="Verdana" w:cs="Century Gothic"/>
          <w:b/>
          <w:lang w:val="es-ES"/>
        </w:rPr>
      </w:pPr>
      <w:r w:rsidRPr="000F6649">
        <w:rPr>
          <w:rFonts w:ascii="Verdana" w:eastAsia="Century Gothic" w:hAnsi="Verdana" w:cs="Century Gothic"/>
          <w:b/>
          <w:lang w:val="es-ES"/>
        </w:rPr>
        <w:t>4. Referencias normativas, jurisprudenciales y otras fuentes:</w:t>
      </w:r>
    </w:p>
    <w:p w14:paraId="32F327BF" w14:textId="77777777" w:rsidR="003118E6" w:rsidRPr="00C3536C" w:rsidRDefault="003118E6" w:rsidP="003118E6">
      <w:pPr>
        <w:spacing w:after="0" w:line="276" w:lineRule="auto"/>
        <w:jc w:val="both"/>
        <w:rPr>
          <w:rFonts w:ascii="Verdana" w:eastAsia="Century Gothic" w:hAnsi="Verdana" w:cs="Century Gothic"/>
          <w:b/>
          <w:color w:val="4472C4" w:themeColor="accen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118E6" w:rsidRPr="00C3536C" w14:paraId="0C354C3D" w14:textId="77777777" w:rsidTr="002F33E3">
        <w:trPr>
          <w:trHeight w:val="311"/>
        </w:trPr>
        <w:tc>
          <w:tcPr>
            <w:tcW w:w="8647" w:type="dxa"/>
          </w:tcPr>
          <w:p w14:paraId="35489C6F"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lang w:val="es-ES"/>
              </w:rPr>
            </w:pPr>
            <w:r w:rsidRPr="004C0925">
              <w:rPr>
                <w:rFonts w:ascii="Verdana" w:eastAsia="Calibri" w:hAnsi="Verdana" w:cs="Arial"/>
                <w:lang w:val="es-ES"/>
              </w:rPr>
              <w:t>Ley 80 de 1993. Artículo 24.</w:t>
            </w:r>
          </w:p>
          <w:p w14:paraId="3DA62431"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lang w:val="es-ES"/>
              </w:rPr>
            </w:pPr>
            <w:r w:rsidRPr="004C0925">
              <w:rPr>
                <w:rFonts w:ascii="Verdana" w:eastAsia="Calibri" w:hAnsi="Verdana" w:cs="Arial"/>
                <w:lang w:val="es-ES"/>
              </w:rPr>
              <w:t>Ley 1150 de 2007. Artículo 6.</w:t>
            </w:r>
          </w:p>
          <w:p w14:paraId="29C74BC9"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lang w:val="es-ES"/>
              </w:rPr>
            </w:pPr>
            <w:r w:rsidRPr="004C0925">
              <w:rPr>
                <w:rFonts w:ascii="Verdana" w:eastAsia="Calibri" w:hAnsi="Verdana" w:cs="Arial"/>
                <w:lang w:val="es-ES"/>
              </w:rPr>
              <w:t>Decreto 1082 de 2015. Artículos 2.2.1.1.1.3.1, 2.2.1.1.1.4.1, 2.2.1.1.1.5.2, 2.2.1.1.1.5.3, 2.2.1.1.1.5.6, 2.2.1.1.2.1.3.</w:t>
            </w:r>
          </w:p>
          <w:p w14:paraId="5DB32BA5"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lang w:val="es-ES"/>
              </w:rPr>
            </w:pPr>
            <w:r w:rsidRPr="004C0925">
              <w:rPr>
                <w:rFonts w:ascii="Verdana" w:eastAsia="Calibri" w:hAnsi="Verdana" w:cs="Arial"/>
                <w:lang w:val="es-ES"/>
              </w:rPr>
              <w:t>Consejo De Estado. Sección Tercera. Sentencia de 30 de noviembre de 2006. Exp. 18.059. M.P. Alier Hernández Enríquez.</w:t>
            </w:r>
          </w:p>
          <w:p w14:paraId="3D9E39AD"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color w:val="4472C4" w:themeColor="accent1"/>
                <w:lang w:val="es-ES"/>
              </w:rPr>
            </w:pPr>
            <w:r w:rsidRPr="004C0925">
              <w:rPr>
                <w:rFonts w:ascii="Verdana" w:eastAsia="Calibri" w:hAnsi="Verdana" w:cs="Arial"/>
                <w:lang w:val="es-ES"/>
              </w:rPr>
              <w:t xml:space="preserve">Agencia Nacional de Contratación Pública - Colombia Compra Eficiente. Guía para la codificación de bienes y servicios de acuerdo con el código estándar de productos y servicios de Naciones Unidas, V.14.080. Disponible aquí: </w:t>
            </w:r>
            <w:hyperlink r:id="rId15" w:history="1">
              <w:r w:rsidRPr="00514D1B">
                <w:rPr>
                  <w:rStyle w:val="Hipervnculo"/>
                  <w:rFonts w:ascii="Verdana" w:eastAsia="Calibri" w:hAnsi="Verdana" w:cs="Arial"/>
                  <w:lang w:val="es-ES"/>
                </w:rPr>
                <w:t>https://www.colombiacompra.gov.co/sites/cce_public/files/cce_documents/cce_guia_codificacion_bienes.pdf</w:t>
              </w:r>
            </w:hyperlink>
          </w:p>
          <w:p w14:paraId="7A17686D" w14:textId="77777777" w:rsidR="003118E6" w:rsidRPr="004C0925" w:rsidRDefault="003118E6" w:rsidP="003118E6">
            <w:pPr>
              <w:widowControl w:val="0"/>
              <w:numPr>
                <w:ilvl w:val="0"/>
                <w:numId w:val="16"/>
              </w:numPr>
              <w:autoSpaceDE w:val="0"/>
              <w:autoSpaceDN w:val="0"/>
              <w:spacing w:line="276" w:lineRule="auto"/>
              <w:jc w:val="both"/>
              <w:rPr>
                <w:rFonts w:ascii="Verdana" w:eastAsia="Calibri" w:hAnsi="Verdana" w:cs="Arial"/>
                <w:color w:val="4472C4" w:themeColor="accent1"/>
                <w:lang w:val="es-ES"/>
              </w:rPr>
            </w:pPr>
            <w:r w:rsidRPr="004C0925">
              <w:rPr>
                <w:rFonts w:ascii="Verdana" w:eastAsia="Calibri" w:hAnsi="Verdana" w:cs="Arial"/>
                <w:lang w:val="es-ES"/>
              </w:rPr>
              <w:t xml:space="preserve">Agencia Nacional de Contratación Pública - Colombia Compra Eficiente. Manual Para Determinar Y Verificar Los Requisitos Habilitantes En Los Procesos De Contratación. Disponible Aquí: </w:t>
            </w:r>
            <w:hyperlink r:id="rId16" w:history="1">
              <w:r w:rsidRPr="00514D1B">
                <w:rPr>
                  <w:rStyle w:val="Hipervnculo"/>
                  <w:rFonts w:ascii="Verdana" w:eastAsia="Calibri" w:hAnsi="Verdana" w:cs="Arial"/>
                  <w:lang w:val="es-ES"/>
                </w:rPr>
                <w:t>https://www.colombiacompra.gov.co/sites/cce_public/files/cce_documents/cce-eicp-ma-04._manual_requisitos_habilitantes_v3_29-09-2023.pdf</w:t>
              </w:r>
            </w:hyperlink>
            <w:r>
              <w:rPr>
                <w:rFonts w:ascii="Verdana" w:eastAsia="Calibri" w:hAnsi="Verdana" w:cs="Arial"/>
                <w:color w:val="4472C4" w:themeColor="accent1"/>
                <w:lang w:val="es-ES"/>
              </w:rPr>
              <w:t xml:space="preserve"> </w:t>
            </w:r>
          </w:p>
          <w:p w14:paraId="6F0E21D8" w14:textId="77777777" w:rsidR="003118E6" w:rsidRPr="00C3536C" w:rsidRDefault="003118E6" w:rsidP="003118E6">
            <w:pPr>
              <w:widowControl w:val="0"/>
              <w:numPr>
                <w:ilvl w:val="0"/>
                <w:numId w:val="16"/>
              </w:numPr>
              <w:autoSpaceDE w:val="0"/>
              <w:autoSpaceDN w:val="0"/>
              <w:spacing w:line="276" w:lineRule="auto"/>
              <w:jc w:val="both"/>
              <w:rPr>
                <w:rFonts w:ascii="Verdana" w:eastAsia="Calibri" w:hAnsi="Verdana" w:cs="Arial"/>
                <w:color w:val="4472C4" w:themeColor="accent1"/>
                <w:lang w:val="es-ES"/>
              </w:rPr>
            </w:pPr>
            <w:r w:rsidRPr="004C0925">
              <w:rPr>
                <w:rFonts w:ascii="Verdana" w:eastAsia="Calibri" w:hAnsi="Verdana" w:cs="Arial"/>
                <w:lang w:val="es-ES"/>
              </w:rPr>
              <w:t xml:space="preserve">Agencia Nacional de Contratación Pública - Colombia Compra Eficiente. Circular Externa Única. Disponible Aquí: </w:t>
            </w:r>
            <w:hyperlink r:id="rId17" w:history="1">
              <w:r w:rsidRPr="00514D1B">
                <w:rPr>
                  <w:rStyle w:val="Hipervnculo"/>
                  <w:rFonts w:ascii="Verdana" w:eastAsia="Calibri" w:hAnsi="Verdana" w:cs="Arial"/>
                  <w:lang w:val="es-ES"/>
                </w:rPr>
                <w:t>https://www.colombiacompra.gov.co/wp-content/uploads/2024/08/circular_externa_unica_version_3_vf49.pdf</w:t>
              </w:r>
            </w:hyperlink>
            <w:r>
              <w:rPr>
                <w:rFonts w:ascii="Verdana" w:eastAsia="Calibri" w:hAnsi="Verdana" w:cs="Arial"/>
                <w:color w:val="4472C4" w:themeColor="accent1"/>
                <w:lang w:val="es-ES"/>
              </w:rPr>
              <w:t xml:space="preserve"> </w:t>
            </w:r>
          </w:p>
        </w:tc>
      </w:tr>
    </w:tbl>
    <w:p w14:paraId="73BA81DF" w14:textId="77777777" w:rsidR="003118E6" w:rsidRPr="00C3536C" w:rsidRDefault="003118E6" w:rsidP="003118E6">
      <w:pPr>
        <w:widowControl w:val="0"/>
        <w:autoSpaceDE w:val="0"/>
        <w:autoSpaceDN w:val="0"/>
        <w:spacing w:after="0" w:line="276" w:lineRule="auto"/>
        <w:jc w:val="both"/>
        <w:rPr>
          <w:rFonts w:ascii="Verdana" w:hAnsi="Verdana" w:cs="Arial"/>
          <w:color w:val="4472C4" w:themeColor="accent1"/>
          <w:lang w:val="es-ES"/>
        </w:rPr>
      </w:pPr>
    </w:p>
    <w:p w14:paraId="55152D50" w14:textId="77777777" w:rsidR="003118E6" w:rsidRPr="000F6649" w:rsidRDefault="003118E6" w:rsidP="003118E6">
      <w:pPr>
        <w:tabs>
          <w:tab w:val="left" w:pos="142"/>
          <w:tab w:val="left" w:pos="284"/>
        </w:tabs>
        <w:spacing w:after="0" w:line="276" w:lineRule="auto"/>
        <w:jc w:val="both"/>
        <w:rPr>
          <w:rFonts w:ascii="Verdana" w:eastAsia="Century Gothic" w:hAnsi="Verdana" w:cs="Century Gothic"/>
          <w:b/>
          <w:lang w:val="es-ES"/>
        </w:rPr>
      </w:pPr>
      <w:r w:rsidRPr="000F6649">
        <w:rPr>
          <w:rFonts w:ascii="Verdana" w:eastAsia="Century Gothic" w:hAnsi="Verdana" w:cs="Century Gothic"/>
          <w:b/>
          <w:lang w:val="es-ES"/>
        </w:rPr>
        <w:t>5. Doctrina de la Agencia Nacional de Contratación Pública:</w:t>
      </w:r>
    </w:p>
    <w:p w14:paraId="28784615" w14:textId="77777777" w:rsidR="003118E6" w:rsidRPr="000F6649" w:rsidRDefault="003118E6" w:rsidP="003118E6">
      <w:pPr>
        <w:tabs>
          <w:tab w:val="left" w:pos="142"/>
          <w:tab w:val="left" w:pos="284"/>
        </w:tabs>
        <w:spacing w:after="0" w:line="276" w:lineRule="auto"/>
        <w:jc w:val="both"/>
        <w:rPr>
          <w:rFonts w:ascii="Verdana" w:eastAsia="Century Gothic" w:hAnsi="Verdana" w:cs="Century Gothic"/>
          <w:b/>
          <w:lang w:val="es-ES"/>
        </w:rPr>
      </w:pPr>
    </w:p>
    <w:p w14:paraId="29255C50" w14:textId="77777777" w:rsidR="003118E6" w:rsidRDefault="003118E6" w:rsidP="003118E6">
      <w:pPr>
        <w:widowControl w:val="0"/>
        <w:autoSpaceDE w:val="0"/>
        <w:autoSpaceDN w:val="0"/>
        <w:spacing w:after="0" w:line="276" w:lineRule="auto"/>
        <w:jc w:val="both"/>
        <w:rPr>
          <w:rFonts w:ascii="Verdana" w:hAnsi="Verdana" w:cs="Arial"/>
          <w:color w:val="EE0000"/>
          <w:shd w:val="clear" w:color="auto" w:fill="FFFFFF"/>
          <w:lang w:val="es-ES"/>
        </w:rPr>
      </w:pPr>
      <w:r w:rsidRPr="000F6649">
        <w:rPr>
          <w:rFonts w:ascii="Verdana" w:eastAsia="Calibri" w:hAnsi="Verdana" w:cs="Arial"/>
          <w:lang w:val="es-ES"/>
        </w:rPr>
        <w:t xml:space="preserve">La Agencia Nacional de Contratación Pública – Colombia Compra Eficiente se ha referido </w:t>
      </w:r>
      <w:r w:rsidRPr="000F6649">
        <w:rPr>
          <w:rFonts w:ascii="Verdana" w:hAnsi="Verdana" w:cs="Arial"/>
          <w:shd w:val="clear" w:color="auto" w:fill="FFFFFF"/>
          <w:lang w:val="es-ES"/>
        </w:rPr>
        <w:t xml:space="preserve">sobre </w:t>
      </w:r>
      <w:r>
        <w:rPr>
          <w:rFonts w:ascii="Verdana" w:hAnsi="Verdana" w:cs="Arial"/>
          <w:shd w:val="clear" w:color="auto" w:fill="FFFFFF"/>
          <w:lang w:val="es-ES"/>
        </w:rPr>
        <w:t xml:space="preserve">el </w:t>
      </w:r>
      <w:r w:rsidRPr="000F1385">
        <w:rPr>
          <w:rFonts w:ascii="Verdana" w:hAnsi="Verdana" w:cs="Arial"/>
          <w:bCs/>
          <w:shd w:val="clear" w:color="auto" w:fill="FFFFFF"/>
        </w:rPr>
        <w:t xml:space="preserve">uso del Clasificador de Bienes y Servicios de Naciones Unidas en los </w:t>
      </w:r>
      <w:r w:rsidRPr="00F10567">
        <w:rPr>
          <w:rFonts w:ascii="Verdana" w:hAnsi="Verdana" w:cs="Arial"/>
          <w:bCs/>
          <w:shd w:val="clear" w:color="auto" w:fill="FFFFFF"/>
        </w:rPr>
        <w:t xml:space="preserve">conceptos 2201913000009643 del 26 de diciembre de 2019, C-052 del 18 de marzo de 2020, C-017 del 22 de febrero de 2021, C-760 del 8 de febrero de 2022, </w:t>
      </w:r>
      <w:r w:rsidRPr="00F10567">
        <w:rPr>
          <w:rFonts w:ascii="Verdana" w:hAnsi="Verdana" w:cs="Arial"/>
          <w:bCs/>
          <w:shd w:val="clear" w:color="auto" w:fill="FFFFFF"/>
          <w:lang w:val="es-ES"/>
        </w:rPr>
        <w:t xml:space="preserve">C-223 del 25 de abril de 2022, C-762 del 23 de noviembre de 2022, C-974 del 09 de enero de 2023, C-108 del 09 de mayo de 2023, C-308 del 14 </w:t>
      </w:r>
      <w:r w:rsidRPr="006E7560">
        <w:rPr>
          <w:rFonts w:ascii="Verdana" w:hAnsi="Verdana" w:cs="Arial"/>
          <w:bCs/>
          <w:shd w:val="clear" w:color="auto" w:fill="FFFFFF"/>
          <w:lang w:val="es-ES"/>
        </w:rPr>
        <w:t>de agosto de 2023, C-193 del 19 de julio de 2024, C-547 del 15 de octubre de 2024, C-907 del 30 de diciembre de 2024, C-036 del 25 de febrero de 2025</w:t>
      </w:r>
      <w:r w:rsidRPr="006E7560">
        <w:rPr>
          <w:rFonts w:ascii="Verdana" w:hAnsi="Verdana" w:cs="Arial"/>
          <w:shd w:val="clear" w:color="auto" w:fill="FFFFFF"/>
          <w:lang w:val="es-ES"/>
        </w:rPr>
        <w:t>, C-320 del 23 de abril de 2025, C-1227 del 09 de octubre de 2025, C-728 de 07 de mayo de 2026, C-860 del 07 de julio de 2026 y C-921 del 15 de julio de 2026, entre otros.</w:t>
      </w:r>
    </w:p>
    <w:p w14:paraId="195323E2" w14:textId="77777777" w:rsidR="003118E6" w:rsidRPr="00C3536C" w:rsidRDefault="003118E6" w:rsidP="003118E6">
      <w:pPr>
        <w:widowControl w:val="0"/>
        <w:autoSpaceDE w:val="0"/>
        <w:autoSpaceDN w:val="0"/>
        <w:spacing w:after="0" w:line="276" w:lineRule="auto"/>
        <w:jc w:val="both"/>
        <w:rPr>
          <w:rFonts w:ascii="Verdana" w:hAnsi="Verdana" w:cs="Arial"/>
          <w:color w:val="4472C4" w:themeColor="accent1"/>
        </w:rPr>
      </w:pPr>
    </w:p>
    <w:p w14:paraId="25945F22" w14:textId="77777777" w:rsidR="003118E6" w:rsidRDefault="003118E6" w:rsidP="003118E6">
      <w:pPr>
        <w:widowControl w:val="0"/>
        <w:autoSpaceDE w:val="0"/>
        <w:autoSpaceDN w:val="0"/>
        <w:spacing w:after="0" w:line="276" w:lineRule="auto"/>
        <w:jc w:val="both"/>
        <w:rPr>
          <w:rStyle w:val="Hipervnculo"/>
          <w:rFonts w:ascii="Verdana" w:hAnsi="Verdana" w:cs="Arial"/>
          <w:color w:val="EE0000"/>
          <w:shd w:val="clear" w:color="auto" w:fill="FFFFFF"/>
          <w:lang w:val="es-ES"/>
        </w:rPr>
      </w:pPr>
      <w:r w:rsidRPr="00AC6529">
        <w:rPr>
          <w:rFonts w:ascii="Verdana" w:hAnsi="Verdana" w:cs="Arial"/>
          <w:shd w:val="clear" w:color="auto" w:fill="FFFFFF"/>
          <w:lang w:val="es-ES"/>
        </w:rPr>
        <w:t>Estos</w:t>
      </w:r>
      <w:r w:rsidRPr="00AC6529">
        <w:rPr>
          <w:rFonts w:ascii="Verdana" w:hAnsi="Verdana"/>
          <w:lang w:val="es-ES"/>
        </w:rPr>
        <w:t xml:space="preserve"> y otros se encuentran disponibles para consulta en el Sistema de relatoría de la Agencia, al cual se puede acceder a través del siguiente enlace:</w:t>
      </w:r>
      <w:r w:rsidRPr="00AC6529">
        <w:rPr>
          <w:rFonts w:ascii="Verdana" w:hAnsi="Verdana" w:cs="Arial"/>
          <w:shd w:val="clear" w:color="auto" w:fill="FFFFFF"/>
          <w:lang w:val="es-ES"/>
        </w:rPr>
        <w:t xml:space="preserve"> </w:t>
      </w:r>
      <w:hyperlink r:id="rId18" w:history="1">
        <w:r w:rsidRPr="00AC6529">
          <w:rPr>
            <w:rStyle w:val="Hipervnculo"/>
            <w:rFonts w:ascii="Verdana" w:hAnsi="Verdana" w:cs="Arial"/>
            <w:shd w:val="clear" w:color="auto" w:fill="FFFFFF"/>
            <w:lang w:val="es-ES"/>
          </w:rPr>
          <w:t>https://relatoria.colombiacompra.gov.co/busqueda/conceptos</w:t>
        </w:r>
      </w:hyperlink>
    </w:p>
    <w:p w14:paraId="48126083" w14:textId="77777777" w:rsidR="003118E6" w:rsidRPr="00AC6529" w:rsidRDefault="003118E6" w:rsidP="003118E6">
      <w:pPr>
        <w:widowControl w:val="0"/>
        <w:autoSpaceDE w:val="0"/>
        <w:autoSpaceDN w:val="0"/>
        <w:spacing w:after="0" w:line="276" w:lineRule="auto"/>
        <w:jc w:val="both"/>
        <w:rPr>
          <w:rFonts w:ascii="Verdana" w:hAnsi="Verdana" w:cs="Arial"/>
          <w:color w:val="EE0000"/>
          <w:u w:val="single"/>
          <w:shd w:val="clear" w:color="auto" w:fill="FFFFFF"/>
          <w:lang w:val="es-ES"/>
        </w:rPr>
      </w:pPr>
    </w:p>
    <w:p w14:paraId="040D4E2C" w14:textId="77777777" w:rsidR="003118E6" w:rsidRDefault="003118E6" w:rsidP="003118E6">
      <w:pPr>
        <w:spacing w:after="0" w:line="276" w:lineRule="auto"/>
        <w:jc w:val="both"/>
        <w:rPr>
          <w:rFonts w:ascii="Verdana" w:hAnsi="Verdana"/>
          <w:color w:val="EE0000"/>
        </w:rPr>
      </w:pPr>
      <w:r w:rsidRPr="00AC652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C6529">
        <w:rPr>
          <w:rFonts w:ascii="Verdana" w:hAnsi="Verdana"/>
          <w:b/>
          <w:bCs/>
        </w:rPr>
        <w:t xml:space="preserve">Guía para la Exigencia y Constitución de </w:t>
      </w:r>
      <w:r w:rsidRPr="00AC6529">
        <w:rPr>
          <w:rFonts w:ascii="Verdana" w:hAnsi="Verdana"/>
          <w:b/>
          <w:bCs/>
        </w:rPr>
        <w:lastRenderedPageBreak/>
        <w:t>Garantías en los Procesos de Contratación</w:t>
      </w:r>
      <w:r w:rsidRPr="00AC6529">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AC6529">
        <w:rPr>
          <w:rFonts w:ascii="Verdana" w:hAnsi="Verdana"/>
          <w:color w:val="EE0000"/>
        </w:rPr>
        <w:t> </w:t>
      </w:r>
      <w:hyperlink r:id="rId19" w:tgtFrame="_blank" w:tooltip="Dirección URL original: https://www.colombiacompra.gov.co/archivos/manual/guia-de-garantias-en-procesos-de-contratacion. Haga clic o pulse si confía en este vínculo." w:history="1">
        <w:r w:rsidRPr="00AC6529">
          <w:rPr>
            <w:rStyle w:val="Hipervnculo"/>
            <w:rFonts w:ascii="Verdana" w:hAnsi="Verdana"/>
          </w:rPr>
          <w:t>https://www.colombiacompra.gov.co/archivos/manual/guia-de-garantias-en-procesos-de-contratacion</w:t>
        </w:r>
      </w:hyperlink>
    </w:p>
    <w:p w14:paraId="0D7C9387" w14:textId="77777777" w:rsidR="003118E6" w:rsidRDefault="003118E6" w:rsidP="003118E6">
      <w:pPr>
        <w:spacing w:after="0" w:line="276" w:lineRule="auto"/>
        <w:jc w:val="both"/>
        <w:rPr>
          <w:rFonts w:ascii="Verdana" w:hAnsi="Verdana"/>
          <w:color w:val="EE0000"/>
        </w:rPr>
      </w:pPr>
    </w:p>
    <w:p w14:paraId="7F345597" w14:textId="77777777" w:rsidR="003118E6" w:rsidRDefault="003118E6" w:rsidP="003118E6">
      <w:pPr>
        <w:spacing w:after="0" w:line="276" w:lineRule="auto"/>
        <w:jc w:val="both"/>
        <w:rPr>
          <w:rFonts w:ascii="Verdana" w:hAnsi="Verdana"/>
          <w:color w:val="EE0000"/>
        </w:rPr>
      </w:pPr>
      <w:r w:rsidRPr="00AC6529">
        <w:rPr>
          <w:rFonts w:ascii="Verdana" w:hAnsi="Verdana"/>
        </w:rPr>
        <w:t>De otro lado, te contamos que el Decreto 287 del 19 de marzo de 2026 sustituyó los artículos 2.2.1.2.4.2.6., 2.2.1.2.4.2.7. y 2.2.1.2.4.2.8. del Decreto 1082 de 2015 y estructuró el </w:t>
      </w:r>
      <w:r w:rsidRPr="00AC6529">
        <w:rPr>
          <w:rFonts w:ascii="Verdana" w:hAnsi="Verdana"/>
          <w:b/>
          <w:bCs/>
        </w:rPr>
        <w:t>Sistema Integral de Preferencias en favor de las personas con discapacidad</w:t>
      </w:r>
      <w:r w:rsidRPr="00AC6529">
        <w:rPr>
          <w:rFonts w:ascii="Verdana" w:hAnsi="Verdana"/>
        </w:rPr>
        <w:t>, en cumplimiento del artículo 13 de la Ley Estatutaria 1618 de 2013. Para orientar su aplicación, esta Agencia expidió la </w:t>
      </w:r>
      <w:r w:rsidRPr="00AC6529">
        <w:rPr>
          <w:rFonts w:ascii="Verdana" w:hAnsi="Verdana"/>
          <w:b/>
          <w:bCs/>
        </w:rPr>
        <w:t>Circular Externa 003 del 12 de mayo de 2026, </w:t>
      </w:r>
      <w:r w:rsidRPr="00AC6529">
        <w:rPr>
          <w:rFonts w:ascii="Verdana" w:hAnsi="Verdana"/>
        </w:rPr>
        <w:t>en la que precisa quiénes son los beneficiarios, las cinco medidas que integran el sistema y su obligatoriedad según la modalidad de selección, y el régimen de transición aplicable a los procesos en curso. Consúltala aquí:</w:t>
      </w:r>
      <w:r w:rsidRPr="00AC6529">
        <w:rPr>
          <w:rFonts w:ascii="Verdana" w:hAnsi="Verdana"/>
          <w:color w:val="EE0000"/>
        </w:rPr>
        <w:t> </w:t>
      </w:r>
      <w:hyperlink r:id="rId20" w:tgtFrame="_blank" w:tooltip="Dirección URL original: https://www.colombiacompra.gov.co/archivos/circular/circular-externa-003-de-2026. Haga clic o pulse si confía en este vínculo." w:history="1">
        <w:r w:rsidRPr="00AC6529">
          <w:rPr>
            <w:rStyle w:val="Hipervnculo"/>
            <w:rFonts w:ascii="Verdana" w:hAnsi="Verdana"/>
          </w:rPr>
          <w:t>https://www.colombiacompra.gov.co/archivos/circular/circular-externa-003-de-2026</w:t>
        </w:r>
      </w:hyperlink>
    </w:p>
    <w:p w14:paraId="15C480DD" w14:textId="77777777" w:rsidR="003118E6" w:rsidRPr="00AC6529" w:rsidRDefault="003118E6" w:rsidP="003118E6">
      <w:pPr>
        <w:spacing w:after="0" w:line="276" w:lineRule="auto"/>
        <w:jc w:val="both"/>
        <w:rPr>
          <w:rFonts w:ascii="Verdana" w:hAnsi="Verdana"/>
          <w:color w:val="EE0000"/>
        </w:rPr>
      </w:pPr>
    </w:p>
    <w:p w14:paraId="2E904D44" w14:textId="77777777" w:rsidR="003118E6" w:rsidRDefault="003118E6" w:rsidP="003118E6">
      <w:pPr>
        <w:spacing w:after="0" w:line="276" w:lineRule="auto"/>
        <w:jc w:val="both"/>
        <w:rPr>
          <w:rFonts w:ascii="Verdana" w:hAnsi="Verdana"/>
          <w:color w:val="EE0000"/>
        </w:rPr>
      </w:pPr>
      <w:r w:rsidRPr="00AC6529">
        <w:rPr>
          <w:rFonts w:ascii="Verdana" w:hAnsi="Verdana"/>
        </w:rPr>
        <w:t>Recuerda también que la</w:t>
      </w:r>
      <w:r w:rsidRPr="00AC6529">
        <w:rPr>
          <w:rFonts w:ascii="Verdana" w:hAnsi="Verdana"/>
          <w:b/>
          <w:bCs/>
        </w:rPr>
        <w:t> información sobre sanciones e inhabilidades </w:t>
      </w:r>
      <w:r w:rsidRPr="00AC6529">
        <w:rPr>
          <w:rFonts w:ascii="Verdana" w:hAnsi="Verdana"/>
        </w:rPr>
        <w:t>solo cumple su función preventiva si llega oportunamente a los registros públicos. Sobre este deber, esta Agencia expidió la </w:t>
      </w:r>
      <w:r w:rsidRPr="00AC6529">
        <w:rPr>
          <w:rFonts w:ascii="Verdana" w:hAnsi="Verdana"/>
          <w:b/>
          <w:bCs/>
        </w:rPr>
        <w:t>Circular Externa 002 del 5 de mayo de 2026,</w:t>
      </w:r>
      <w:r w:rsidRPr="00AC6529">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21" w:tgtFrame="_blank" w:tooltip="Dirección URL original: https://www.colombiacompra.gov.co/archivos/circular/circular-externa-002-de-2026. Haga clic o pulse si confía en este vínculo." w:history="1">
        <w:r w:rsidRPr="00AC6529">
          <w:rPr>
            <w:rStyle w:val="Hipervnculo"/>
            <w:rFonts w:ascii="Verdana" w:hAnsi="Verdana"/>
          </w:rPr>
          <w:t>https://www.colombiacompra.gov.co/archivos/circular/circular-externa-002-de-2026</w:t>
        </w:r>
      </w:hyperlink>
    </w:p>
    <w:p w14:paraId="70F0FF45" w14:textId="77777777" w:rsidR="003118E6" w:rsidRDefault="003118E6" w:rsidP="003118E6">
      <w:pPr>
        <w:spacing w:after="0" w:line="276" w:lineRule="auto"/>
        <w:jc w:val="both"/>
        <w:rPr>
          <w:rFonts w:ascii="Verdana" w:hAnsi="Verdana"/>
          <w:color w:val="EE0000"/>
        </w:rPr>
      </w:pPr>
    </w:p>
    <w:p w14:paraId="687DE48A" w14:textId="77777777" w:rsidR="003118E6" w:rsidRPr="00AC6529" w:rsidRDefault="003118E6" w:rsidP="003118E6">
      <w:pPr>
        <w:spacing w:after="0" w:line="276" w:lineRule="auto"/>
        <w:jc w:val="both"/>
        <w:rPr>
          <w:rFonts w:ascii="Verdana" w:hAnsi="Verdana"/>
          <w:color w:val="EE0000"/>
        </w:rPr>
      </w:pPr>
      <w:r w:rsidRPr="00AC6529">
        <w:rPr>
          <w:rFonts w:ascii="Verdana" w:hAnsi="Verdana"/>
        </w:rPr>
        <w:t>Finalmente, si quieres seguir de cerca la actividad de la Agencia, la tercera edición de 2026 del</w:t>
      </w:r>
      <w:r w:rsidRPr="00AC6529">
        <w:rPr>
          <w:rFonts w:ascii="Verdana" w:hAnsi="Verdana"/>
          <w:b/>
          <w:bCs/>
        </w:rPr>
        <w:t> Radar de la Compra Pública</w:t>
      </w:r>
      <w:r w:rsidRPr="00AC6529">
        <w:rPr>
          <w:rFonts w:ascii="Verdana" w:hAnsi="Verdana"/>
        </w:rPr>
        <w:t xml:space="preserve"> reúne, entre otros contenidos, la Circular Externa 003 de 2026, el Decreto 552 de 2026, un estudio sobre inteligencia artificial en la compra pública, los avances de la Relatoría, </w:t>
      </w:r>
      <w:r w:rsidRPr="00AC6529">
        <w:rPr>
          <w:rFonts w:ascii="Verdana" w:hAnsi="Verdana"/>
        </w:rPr>
        <w:lastRenderedPageBreak/>
        <w:t>análisis jurisprudencial, conceptos jurídicos destacados y la oferta de la Escuela Virtual ANCP-CCE. Descárgalo aquí:</w:t>
      </w:r>
      <w:r w:rsidRPr="00AC6529">
        <w:rPr>
          <w:rFonts w:ascii="Verdana" w:hAnsi="Verdana"/>
          <w:color w:val="EE0000"/>
        </w:rPr>
        <w:t> </w:t>
      </w:r>
      <w:hyperlink r:id="rId22" w:tgtFrame="_blank" w:tooltip="Dirección URL original: https://www.colombiacompra.gov.co/archivos/boletin/boletin-edicion-n-3-de-2026-radar-de-la-compra-publica. Haga clic o pulse si confía en este vínculo." w:history="1">
        <w:r w:rsidRPr="00AC6529">
          <w:rPr>
            <w:rStyle w:val="Hipervnculo"/>
            <w:rFonts w:ascii="Verdana" w:hAnsi="Verdana"/>
          </w:rPr>
          <w:t>https://www.colombiacompra.gov.co/archivos/boletin/boletin-edicion-n-3-de-2026-radar-de-la-compra-publica</w:t>
        </w:r>
      </w:hyperlink>
    </w:p>
    <w:p w14:paraId="40B56051" w14:textId="77777777" w:rsidR="003118E6" w:rsidRPr="006C695D" w:rsidRDefault="003118E6" w:rsidP="003118E6">
      <w:pPr>
        <w:spacing w:after="0" w:line="276" w:lineRule="auto"/>
        <w:jc w:val="both"/>
        <w:rPr>
          <w:rFonts w:ascii="Verdana" w:hAnsi="Verdana" w:cs="Arial"/>
          <w:shd w:val="clear" w:color="auto" w:fill="FFFFFF"/>
        </w:rPr>
      </w:pPr>
    </w:p>
    <w:p w14:paraId="093CE9A2" w14:textId="77777777" w:rsidR="003118E6" w:rsidRPr="006C695D" w:rsidRDefault="003118E6" w:rsidP="003118E6">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Por último, lo invitamos a seguirnos en las redes sociales en las cuales se difunde información institucional: </w:t>
      </w:r>
    </w:p>
    <w:p w14:paraId="00DB960A" w14:textId="77777777" w:rsidR="003118E6" w:rsidRPr="006C695D" w:rsidRDefault="003118E6" w:rsidP="003118E6">
      <w:pPr>
        <w:spacing w:after="0" w:line="276" w:lineRule="auto"/>
        <w:jc w:val="both"/>
        <w:rPr>
          <w:rFonts w:ascii="Verdana" w:hAnsi="Verdana" w:cs="Arial"/>
          <w:shd w:val="clear" w:color="auto" w:fill="FFFFFF"/>
        </w:rPr>
      </w:pPr>
    </w:p>
    <w:p w14:paraId="0317BB3A" w14:textId="77777777" w:rsidR="003118E6" w:rsidRPr="006C695D" w:rsidRDefault="003118E6" w:rsidP="003118E6">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Twitter: </w:t>
      </w:r>
      <w:r w:rsidRPr="006C695D">
        <w:rPr>
          <w:rStyle w:val="Hipervnculo"/>
          <w:rFonts w:ascii="Verdana" w:hAnsi="Verdana"/>
        </w:rPr>
        <w:t>@colombiacompra</w:t>
      </w:r>
      <w:r w:rsidRPr="006C695D">
        <w:rPr>
          <w:rFonts w:ascii="Verdana" w:hAnsi="Verdana" w:cs="Arial"/>
          <w:shd w:val="clear" w:color="auto" w:fill="FFFFFF"/>
        </w:rPr>
        <w:t xml:space="preserve"> </w:t>
      </w:r>
    </w:p>
    <w:p w14:paraId="40765F63" w14:textId="77777777" w:rsidR="003118E6" w:rsidRPr="006C695D" w:rsidRDefault="003118E6" w:rsidP="003118E6">
      <w:pPr>
        <w:spacing w:after="0" w:line="276" w:lineRule="auto"/>
        <w:jc w:val="both"/>
        <w:rPr>
          <w:rFonts w:ascii="Verdana" w:hAnsi="Verdana" w:cs="Arial"/>
          <w:shd w:val="clear" w:color="auto" w:fill="FFFFFF"/>
        </w:rPr>
      </w:pPr>
      <w:r w:rsidRPr="006C695D">
        <w:rPr>
          <w:rFonts w:ascii="Verdana" w:hAnsi="Verdana" w:cs="Arial"/>
          <w:shd w:val="clear" w:color="auto" w:fill="FFFFFF"/>
        </w:rPr>
        <w:t>Facebook:</w:t>
      </w:r>
      <w:r w:rsidRPr="006C695D">
        <w:rPr>
          <w:rStyle w:val="Hipervnculo"/>
          <w:rFonts w:ascii="Verdana" w:hAnsi="Verdana"/>
          <w:color w:val="auto"/>
          <w:lang w:val="es-ES"/>
        </w:rPr>
        <w:t xml:space="preserve"> </w:t>
      </w:r>
      <w:r w:rsidRPr="006C695D">
        <w:rPr>
          <w:rStyle w:val="Hipervnculo"/>
          <w:rFonts w:ascii="Verdana" w:hAnsi="Verdana"/>
        </w:rPr>
        <w:t>ColombiaCompraEficiente</w:t>
      </w:r>
    </w:p>
    <w:p w14:paraId="18362A9A" w14:textId="77777777" w:rsidR="003118E6" w:rsidRPr="006C695D" w:rsidRDefault="003118E6" w:rsidP="003118E6">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LinkedIn: </w:t>
      </w:r>
      <w:r w:rsidRPr="006C695D">
        <w:rPr>
          <w:rStyle w:val="Hipervnculo"/>
          <w:rFonts w:ascii="Verdana" w:hAnsi="Verdana"/>
        </w:rPr>
        <w:t>Agencia Nacional de Contratación Pública - Colombia Compra Eficiente</w:t>
      </w:r>
      <w:r w:rsidRPr="006C695D">
        <w:rPr>
          <w:rFonts w:ascii="Verdana" w:hAnsi="Verdana" w:cs="Arial"/>
          <w:shd w:val="clear" w:color="auto" w:fill="FFFFFF"/>
        </w:rPr>
        <w:t xml:space="preserve"> </w:t>
      </w:r>
    </w:p>
    <w:p w14:paraId="710D01B3" w14:textId="77777777" w:rsidR="003118E6" w:rsidRPr="006C695D" w:rsidRDefault="003118E6" w:rsidP="003118E6">
      <w:pPr>
        <w:spacing w:after="0" w:line="276" w:lineRule="auto"/>
        <w:jc w:val="both"/>
        <w:rPr>
          <w:rFonts w:ascii="Verdana" w:hAnsi="Verdana" w:cs="Arial"/>
          <w:shd w:val="clear" w:color="auto" w:fill="FFFFFF"/>
        </w:rPr>
      </w:pPr>
      <w:r w:rsidRPr="006C695D">
        <w:rPr>
          <w:rFonts w:ascii="Verdana" w:hAnsi="Verdana" w:cs="Arial"/>
          <w:shd w:val="clear" w:color="auto" w:fill="FFFFFF"/>
        </w:rPr>
        <w:t xml:space="preserve">Instagram: </w:t>
      </w:r>
      <w:r w:rsidRPr="006C695D">
        <w:rPr>
          <w:rStyle w:val="Hipervnculo"/>
          <w:rFonts w:ascii="Verdana" w:hAnsi="Verdana"/>
        </w:rPr>
        <w:t>@colombiacompraeficiente_cce</w:t>
      </w:r>
    </w:p>
    <w:p w14:paraId="1B07333B" w14:textId="77777777" w:rsidR="003118E6" w:rsidRPr="006C695D" w:rsidRDefault="003118E6" w:rsidP="003118E6">
      <w:pPr>
        <w:widowControl w:val="0"/>
        <w:autoSpaceDE w:val="0"/>
        <w:autoSpaceDN w:val="0"/>
        <w:spacing w:after="0" w:line="276" w:lineRule="auto"/>
        <w:jc w:val="both"/>
        <w:rPr>
          <w:rFonts w:ascii="Verdana" w:hAnsi="Verdana" w:cs="Arial"/>
          <w:lang w:val="es-ES"/>
        </w:rPr>
      </w:pPr>
    </w:p>
    <w:p w14:paraId="7E451401" w14:textId="77777777" w:rsidR="003118E6" w:rsidRPr="006C695D" w:rsidRDefault="003118E6" w:rsidP="003118E6">
      <w:pPr>
        <w:widowControl w:val="0"/>
        <w:autoSpaceDE w:val="0"/>
        <w:autoSpaceDN w:val="0"/>
        <w:spacing w:after="0" w:line="276" w:lineRule="auto"/>
        <w:jc w:val="both"/>
        <w:rPr>
          <w:rFonts w:ascii="Verdana" w:hAnsi="Verdana" w:cs="Arial"/>
          <w:lang w:val="es-ES"/>
        </w:rPr>
      </w:pPr>
      <w:r w:rsidRPr="006C695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B1D65B2" w14:textId="77777777" w:rsidR="003118E6" w:rsidRPr="006C695D" w:rsidRDefault="003118E6" w:rsidP="003118E6">
      <w:pPr>
        <w:widowControl w:val="0"/>
        <w:autoSpaceDE w:val="0"/>
        <w:autoSpaceDN w:val="0"/>
        <w:spacing w:after="0" w:line="276" w:lineRule="auto"/>
        <w:jc w:val="both"/>
        <w:rPr>
          <w:rFonts w:ascii="Verdana" w:hAnsi="Verdana" w:cs="Arial"/>
          <w:lang w:val="es-ES"/>
        </w:rPr>
      </w:pPr>
    </w:p>
    <w:p w14:paraId="71D336E7" w14:textId="77777777" w:rsidR="003118E6" w:rsidRDefault="003118E6" w:rsidP="003118E6">
      <w:pPr>
        <w:spacing w:after="0" w:line="276" w:lineRule="auto"/>
        <w:rPr>
          <w:rFonts w:ascii="Verdana" w:hAnsi="Verdana" w:cs="Arial"/>
          <w:lang w:val="es-ES" w:eastAsia="es-CO"/>
        </w:rPr>
      </w:pPr>
      <w:r w:rsidRPr="006C695D">
        <w:rPr>
          <w:rFonts w:ascii="Verdana" w:eastAsia="Times New Roman" w:hAnsi="Verdana" w:cs="Arial"/>
          <w:lang w:val="es-ES" w:eastAsia="es-CO"/>
        </w:rPr>
        <w:t>Atentamente,</w:t>
      </w:r>
      <w:r w:rsidRPr="006C695D">
        <w:rPr>
          <w:rFonts w:ascii="Verdana" w:hAnsi="Verdana" w:cs="Arial"/>
          <w:lang w:val="es-ES" w:eastAsia="es-CO"/>
        </w:rPr>
        <w:t xml:space="preserve"> </w:t>
      </w:r>
    </w:p>
    <w:p w14:paraId="00C1560F" w14:textId="77777777" w:rsidR="003118E6" w:rsidRDefault="003118E6" w:rsidP="003118E6">
      <w:pPr>
        <w:spacing w:after="0" w:line="276" w:lineRule="auto"/>
        <w:rPr>
          <w:rFonts w:ascii="Verdana" w:hAnsi="Verdana" w:cs="Arial"/>
          <w:lang w:val="es-ES" w:eastAsia="es-CO"/>
        </w:rPr>
      </w:pPr>
    </w:p>
    <w:p w14:paraId="3D2CF159" w14:textId="59A5E324" w:rsidR="003118E6" w:rsidRPr="00CE3644" w:rsidRDefault="00CE3644" w:rsidP="003118E6">
      <w:pPr>
        <w:spacing w:after="0" w:line="276" w:lineRule="auto"/>
        <w:jc w:val="center"/>
        <w:rPr>
          <w:rFonts w:ascii="Verdana" w:hAnsi="Verdana"/>
          <w:noProof/>
          <w:color w:val="ED7D31" w:themeColor="accent2"/>
        </w:rPr>
      </w:pPr>
      <w:r w:rsidRPr="00CE3644">
        <w:rPr>
          <w:rFonts w:ascii="Verdana" w:hAnsi="Verdana"/>
          <w:noProof/>
          <w:color w:val="ED7D31" w:themeColor="accent2"/>
        </w:rPr>
        <w:drawing>
          <wp:inline distT="0" distB="0" distL="0" distR="0" wp14:anchorId="08B2B7A7" wp14:editId="4B3C3631">
            <wp:extent cx="2829320" cy="981212"/>
            <wp:effectExtent l="0" t="0" r="9525" b="9525"/>
            <wp:docPr id="1521267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67320" name=""/>
                    <pic:cNvPicPr/>
                  </pic:nvPicPr>
                  <pic:blipFill>
                    <a:blip r:embed="rId23"/>
                    <a:stretch>
                      <a:fillRect/>
                    </a:stretch>
                  </pic:blipFill>
                  <pic:spPr>
                    <a:xfrm>
                      <a:off x="0" y="0"/>
                      <a:ext cx="2829320" cy="981212"/>
                    </a:xfrm>
                    <a:prstGeom prst="rect">
                      <a:avLst/>
                    </a:prstGeom>
                  </pic:spPr>
                </pic:pic>
              </a:graphicData>
            </a:graphic>
          </wp:inline>
        </w:drawing>
      </w:r>
    </w:p>
    <w:p w14:paraId="0033A86C" w14:textId="77777777" w:rsidR="003118E6" w:rsidRPr="006C695D" w:rsidRDefault="003118E6" w:rsidP="003118E6">
      <w:pPr>
        <w:spacing w:after="0" w:line="276" w:lineRule="auto"/>
        <w:jc w:val="center"/>
        <w:rPr>
          <w:rFonts w:ascii="Verdana" w:hAnsi="Verdana" w:cs="Arial"/>
          <w:color w:val="ED7D31" w:themeColor="accent2"/>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118E6" w:rsidRPr="006C695D" w14:paraId="4D4D5194" w14:textId="77777777" w:rsidTr="002F33E3">
        <w:trPr>
          <w:trHeight w:val="315"/>
        </w:trPr>
        <w:tc>
          <w:tcPr>
            <w:tcW w:w="893" w:type="dxa"/>
            <w:vAlign w:val="center"/>
            <w:hideMark/>
          </w:tcPr>
          <w:p w14:paraId="58D0D67A" w14:textId="77777777" w:rsidR="003118E6" w:rsidRPr="006C695D" w:rsidRDefault="003118E6" w:rsidP="002F33E3">
            <w:pPr>
              <w:contextualSpacing/>
              <w:rPr>
                <w:rFonts w:ascii="Verdana" w:hAnsi="Verdana" w:cs="Arial"/>
                <w:sz w:val="16"/>
                <w:szCs w:val="16"/>
                <w:lang w:val="es-ES" w:eastAsia="es-ES"/>
              </w:rPr>
            </w:pPr>
            <w:r w:rsidRPr="006C695D">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EC0FCB5" w14:textId="77777777" w:rsidR="003118E6" w:rsidRPr="006C695D" w:rsidRDefault="003118E6" w:rsidP="002F33E3">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Camila Alejandra Naranjo Gómez</w:t>
            </w:r>
          </w:p>
          <w:p w14:paraId="2CAB93AE" w14:textId="77777777" w:rsidR="003118E6" w:rsidRPr="006C695D" w:rsidRDefault="003118E6" w:rsidP="002F33E3">
            <w:pPr>
              <w:contextualSpacing/>
              <w:rPr>
                <w:rFonts w:ascii="Verdana" w:eastAsia="Arial" w:hAnsi="Verdana" w:cs="Arial"/>
                <w:sz w:val="16"/>
                <w:szCs w:val="16"/>
                <w:lang w:val="es-ES"/>
              </w:rPr>
            </w:pPr>
            <w:r w:rsidRPr="006C695D">
              <w:rPr>
                <w:rFonts w:ascii="Verdana" w:eastAsia="Times New Roman" w:hAnsi="Verdana" w:cs="Arial"/>
                <w:sz w:val="16"/>
                <w:szCs w:val="16"/>
                <w:lang w:eastAsia="es-ES"/>
              </w:rPr>
              <w:t>Analista T2-02 de la Subdirección de Gestión Contractual</w:t>
            </w:r>
          </w:p>
        </w:tc>
      </w:tr>
      <w:tr w:rsidR="003118E6" w:rsidRPr="006C695D" w14:paraId="3EAB6522" w14:textId="77777777" w:rsidTr="002F33E3">
        <w:trPr>
          <w:trHeight w:val="330"/>
        </w:trPr>
        <w:tc>
          <w:tcPr>
            <w:tcW w:w="893" w:type="dxa"/>
            <w:vAlign w:val="center"/>
            <w:hideMark/>
          </w:tcPr>
          <w:p w14:paraId="2A3F6CAA" w14:textId="77777777" w:rsidR="003118E6" w:rsidRPr="006C695D" w:rsidRDefault="003118E6" w:rsidP="002F33E3">
            <w:pPr>
              <w:contextualSpacing/>
              <w:rPr>
                <w:rFonts w:ascii="Verdana" w:hAnsi="Verdana" w:cs="Arial"/>
                <w:sz w:val="16"/>
                <w:szCs w:val="16"/>
                <w:lang w:val="es-ES" w:eastAsia="es-ES"/>
              </w:rPr>
            </w:pPr>
            <w:r w:rsidRPr="006C695D">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E387DB0" w14:textId="77777777" w:rsidR="003118E6" w:rsidRPr="006C695D" w:rsidRDefault="003118E6" w:rsidP="002F33E3">
            <w:pPr>
              <w:rPr>
                <w:rFonts w:ascii="Verdana" w:eastAsia="Times New Roman" w:hAnsi="Verdana" w:cs="Arial"/>
                <w:sz w:val="16"/>
                <w:szCs w:val="16"/>
                <w:lang w:eastAsia="es-ES"/>
              </w:rPr>
            </w:pPr>
            <w:r w:rsidRPr="006C695D">
              <w:rPr>
                <w:rFonts w:ascii="Verdana" w:eastAsia="Times New Roman" w:hAnsi="Verdana" w:cs="Arial"/>
                <w:sz w:val="16"/>
                <w:szCs w:val="16"/>
                <w:lang w:eastAsia="es-ES"/>
              </w:rPr>
              <w:t>Diana Lucia Saavedra Castañeda</w:t>
            </w:r>
          </w:p>
          <w:p w14:paraId="383AB12A" w14:textId="77777777" w:rsidR="003118E6" w:rsidRPr="006C695D" w:rsidRDefault="003118E6" w:rsidP="002F33E3">
            <w:pPr>
              <w:pStyle w:val="paragraph"/>
              <w:spacing w:before="0" w:beforeAutospacing="0" w:after="0" w:afterAutospacing="0"/>
              <w:contextualSpacing/>
              <w:textAlignment w:val="baseline"/>
              <w:rPr>
                <w:rFonts w:ascii="Verdana" w:hAnsi="Verdana" w:cs="Segoe UI"/>
                <w:sz w:val="16"/>
                <w:szCs w:val="16"/>
                <w:lang w:val="es-ES"/>
              </w:rPr>
            </w:pPr>
            <w:r w:rsidRPr="006C695D">
              <w:rPr>
                <w:rFonts w:ascii="Verdana" w:hAnsi="Verdana" w:cs="Arial"/>
                <w:sz w:val="16"/>
                <w:szCs w:val="16"/>
                <w:lang w:eastAsia="es-ES"/>
              </w:rPr>
              <w:t>Contratista de la Subdirección de Gestión Contractual</w:t>
            </w:r>
          </w:p>
        </w:tc>
      </w:tr>
      <w:tr w:rsidR="003118E6" w:rsidRPr="006C695D" w14:paraId="7222F945" w14:textId="77777777" w:rsidTr="002F33E3">
        <w:trPr>
          <w:trHeight w:val="300"/>
        </w:trPr>
        <w:tc>
          <w:tcPr>
            <w:tcW w:w="893" w:type="dxa"/>
            <w:vAlign w:val="center"/>
          </w:tcPr>
          <w:p w14:paraId="5053B120" w14:textId="77777777" w:rsidR="003118E6" w:rsidRPr="006C695D" w:rsidRDefault="003118E6" w:rsidP="002F33E3">
            <w:pPr>
              <w:contextualSpacing/>
              <w:rPr>
                <w:rFonts w:ascii="Verdana" w:hAnsi="Verdana" w:cs="Arial"/>
                <w:sz w:val="16"/>
                <w:szCs w:val="16"/>
                <w:lang w:val="es-ES" w:eastAsia="es-ES"/>
              </w:rPr>
            </w:pPr>
            <w:r w:rsidRPr="006C695D">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5BF086B" w14:textId="77777777" w:rsidR="003118E6" w:rsidRPr="006C695D" w:rsidRDefault="003118E6" w:rsidP="002F33E3">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Carolina Quintero Gacharná</w:t>
            </w:r>
          </w:p>
          <w:p w14:paraId="7CB2CB02" w14:textId="77777777" w:rsidR="003118E6" w:rsidRPr="006C695D" w:rsidRDefault="003118E6" w:rsidP="002F33E3">
            <w:pPr>
              <w:contextualSpacing/>
              <w:rPr>
                <w:rFonts w:ascii="Verdana" w:eastAsia="Calibri" w:hAnsi="Verdana" w:cs="Arial"/>
                <w:sz w:val="16"/>
                <w:szCs w:val="16"/>
                <w:lang w:val="es-ES" w:eastAsia="es-ES"/>
              </w:rPr>
            </w:pPr>
            <w:r w:rsidRPr="006C695D">
              <w:rPr>
                <w:rFonts w:ascii="Verdana" w:eastAsia="Calibri" w:hAnsi="Verdana" w:cs="Arial"/>
                <w:sz w:val="16"/>
                <w:szCs w:val="16"/>
                <w:lang w:val="es-ES" w:eastAsia="es-ES"/>
              </w:rPr>
              <w:t>Subdirectora de Gestión Contractual ANCP – CCE</w:t>
            </w:r>
          </w:p>
        </w:tc>
      </w:tr>
      <w:bookmarkEnd w:id="0"/>
    </w:tbl>
    <w:p w14:paraId="42C1BB7C" w14:textId="77777777" w:rsidR="003118E6" w:rsidRPr="006C695D" w:rsidRDefault="003118E6" w:rsidP="003118E6">
      <w:pPr>
        <w:spacing w:after="120" w:line="276" w:lineRule="auto"/>
        <w:jc w:val="both"/>
        <w:rPr>
          <w:rFonts w:ascii="Verdana" w:eastAsia="Century Gothic" w:hAnsi="Verdana" w:cs="Century Gothic"/>
          <w:b/>
          <w:color w:val="ED7D31" w:themeColor="accent2"/>
          <w:lang w:val="es-ES"/>
        </w:rPr>
      </w:pPr>
    </w:p>
    <w:p w14:paraId="1D4261C9" w14:textId="1460CA1D" w:rsidR="003118E6" w:rsidRPr="002E294E" w:rsidRDefault="003118E6" w:rsidP="003118E6">
      <w:pPr>
        <w:spacing w:after="120" w:line="276" w:lineRule="auto"/>
        <w:jc w:val="both"/>
        <w:rPr>
          <w:rFonts w:ascii="Verdana" w:eastAsia="Century Gothic" w:hAnsi="Verdana" w:cs="Century Gothic"/>
          <w:b/>
          <w:color w:val="ED7D31" w:themeColor="accent2"/>
          <w:lang w:val="es-ES"/>
        </w:rPr>
      </w:pPr>
    </w:p>
    <w:p w14:paraId="0F293BF4" w14:textId="2020A5FE" w:rsidR="00127233" w:rsidRPr="003118E6" w:rsidRDefault="00127233" w:rsidP="003118E6"/>
    <w:sectPr w:rsidR="00127233" w:rsidRPr="003118E6" w:rsidSect="007C0C0F">
      <w:headerReference w:type="default" r:id="rId24"/>
      <w:footerReference w:type="default" r:id="rId2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5B20" w14:textId="77777777" w:rsidR="00CF4B9A" w:rsidRDefault="00CF4B9A" w:rsidP="004A1847">
      <w:pPr>
        <w:spacing w:after="0" w:line="240" w:lineRule="auto"/>
      </w:pPr>
      <w:r>
        <w:separator/>
      </w:r>
    </w:p>
  </w:endnote>
  <w:endnote w:type="continuationSeparator" w:id="0">
    <w:p w14:paraId="2FD8038C" w14:textId="77777777" w:rsidR="00CF4B9A" w:rsidRDefault="00CF4B9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23896" w14:textId="77777777" w:rsidR="00CF4B9A" w:rsidRDefault="00CF4B9A" w:rsidP="004A1847">
      <w:pPr>
        <w:spacing w:after="0" w:line="240" w:lineRule="auto"/>
      </w:pPr>
      <w:r>
        <w:separator/>
      </w:r>
    </w:p>
  </w:footnote>
  <w:footnote w:type="continuationSeparator" w:id="0">
    <w:p w14:paraId="667D8D14" w14:textId="77777777" w:rsidR="00CF4B9A" w:rsidRDefault="00CF4B9A" w:rsidP="004A1847">
      <w:pPr>
        <w:spacing w:after="0" w:line="240" w:lineRule="auto"/>
      </w:pPr>
      <w:r>
        <w:continuationSeparator/>
      </w:r>
    </w:p>
  </w:footnote>
  <w:footnote w:id="1">
    <w:p w14:paraId="58CF2B5E" w14:textId="77777777" w:rsidR="003118E6" w:rsidRPr="007F073F" w:rsidRDefault="003118E6" w:rsidP="003118E6">
      <w:pPr>
        <w:pStyle w:val="NormalWeb"/>
        <w:spacing w:before="0" w:beforeAutospacing="0" w:after="0" w:afterAutospacing="0"/>
        <w:ind w:firstLine="708"/>
        <w:jc w:val="both"/>
        <w:rPr>
          <w:rFonts w:ascii="Verdana" w:hAnsi="Verdana" w:cs="Arial"/>
          <w:sz w:val="16"/>
          <w:szCs w:val="16"/>
        </w:rPr>
      </w:pPr>
      <w:r w:rsidRPr="007F073F">
        <w:rPr>
          <w:rStyle w:val="Refdenotaalpie"/>
          <w:rFonts w:ascii="Verdana" w:hAnsi="Verdana" w:cs="Arial"/>
          <w:sz w:val="16"/>
          <w:szCs w:val="16"/>
        </w:rPr>
        <w:footnoteRef/>
      </w:r>
      <w:r w:rsidRPr="007F073F">
        <w:rPr>
          <w:rFonts w:ascii="Verdana" w:hAnsi="Verdana" w:cs="Arial"/>
          <w:sz w:val="16"/>
          <w:szCs w:val="16"/>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1EBF8B51" w14:textId="77777777" w:rsidR="003118E6" w:rsidRPr="007F073F" w:rsidRDefault="003118E6" w:rsidP="003118E6">
      <w:pPr>
        <w:spacing w:after="0"/>
        <w:jc w:val="both"/>
        <w:rPr>
          <w:rFonts w:ascii="Verdana" w:eastAsia="Times New Roman" w:hAnsi="Verdana" w:cs="Arial"/>
          <w:sz w:val="16"/>
          <w:szCs w:val="16"/>
          <w:lang w:eastAsia="es-CO"/>
        </w:rPr>
      </w:pPr>
      <w:r w:rsidRPr="007F073F">
        <w:rPr>
          <w:rFonts w:ascii="Verdana" w:eastAsia="Times New Roman" w:hAnsi="Verdana" w:cs="Arial"/>
          <w:sz w:val="16"/>
          <w:szCs w:val="16"/>
          <w:lang w:eastAsia="es-CO"/>
        </w:rPr>
        <w:t> </w:t>
      </w:r>
      <w:r w:rsidRPr="007F073F">
        <w:rPr>
          <w:rFonts w:ascii="Verdana" w:eastAsia="Times New Roman" w:hAnsi="Verdana" w:cs="Arial"/>
          <w:sz w:val="16"/>
          <w:szCs w:val="16"/>
          <w:lang w:eastAsia="es-CO"/>
        </w:rPr>
        <w:tab/>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r>
        <w:rPr>
          <w:rFonts w:ascii="Verdana" w:eastAsia="Times New Roman" w:hAnsi="Verdana" w:cs="Arial"/>
          <w:sz w:val="16"/>
          <w:szCs w:val="16"/>
          <w:lang w:eastAsia="es-CO"/>
        </w:rPr>
        <w:t xml:space="preserve"> </w:t>
      </w:r>
      <w:r w:rsidRPr="007F073F">
        <w:rPr>
          <w:rFonts w:ascii="Verdana" w:eastAsia="Times New Roman" w:hAnsi="Verdana" w:cs="Arial"/>
          <w:sz w:val="16"/>
          <w:szCs w:val="16"/>
          <w:u w:val="single"/>
          <w:lang w:eastAsia="es-CO"/>
        </w:rPr>
        <w:t xml:space="preserve">En dicho registro constará la información relacionada con la experiencia, capacidad jurídica, financiera y de organización del proponente y su clasificación </w:t>
      </w:r>
      <w:r w:rsidRPr="007F073F">
        <w:rPr>
          <w:rFonts w:ascii="Verdana" w:eastAsia="Times New Roman" w:hAnsi="Verdana" w:cs="Arial"/>
          <w:sz w:val="16"/>
          <w:szCs w:val="16"/>
          <w:lang w:eastAsia="es-CO"/>
        </w:rPr>
        <w:t>[…]”. (Subraya</w:t>
      </w:r>
      <w:r>
        <w:rPr>
          <w:rFonts w:ascii="Verdana" w:eastAsia="Times New Roman" w:hAnsi="Verdana" w:cs="Arial"/>
          <w:sz w:val="16"/>
          <w:szCs w:val="16"/>
          <w:lang w:eastAsia="es-CO"/>
        </w:rPr>
        <w:t>do</w:t>
      </w:r>
      <w:r w:rsidRPr="007F073F">
        <w:rPr>
          <w:rFonts w:ascii="Verdana" w:eastAsia="Times New Roman" w:hAnsi="Verdana" w:cs="Arial"/>
          <w:sz w:val="16"/>
          <w:szCs w:val="16"/>
          <w:lang w:eastAsia="es-CO"/>
        </w:rPr>
        <w:t xml:space="preserve"> fuera del texto).</w:t>
      </w:r>
    </w:p>
    <w:p w14:paraId="355077EC" w14:textId="77777777" w:rsidR="003118E6" w:rsidRPr="007F073F" w:rsidRDefault="003118E6" w:rsidP="003118E6">
      <w:pPr>
        <w:pStyle w:val="Textonotapie"/>
        <w:rPr>
          <w:rFonts w:ascii="Verdana" w:hAnsi="Verdana" w:cs="Arial"/>
          <w:sz w:val="16"/>
          <w:szCs w:val="16"/>
        </w:rPr>
      </w:pPr>
    </w:p>
  </w:footnote>
  <w:footnote w:id="2">
    <w:p w14:paraId="6B1555E0" w14:textId="77777777" w:rsidR="003118E6" w:rsidRPr="007F073F" w:rsidRDefault="003118E6" w:rsidP="003118E6">
      <w:pPr>
        <w:pStyle w:val="Textonotapie"/>
        <w:ind w:firstLine="708"/>
        <w:jc w:val="both"/>
        <w:rPr>
          <w:rFonts w:ascii="Verdana" w:hAnsi="Verdana" w:cs="Arial"/>
          <w:sz w:val="16"/>
          <w:szCs w:val="16"/>
        </w:rPr>
      </w:pPr>
      <w:r w:rsidRPr="007F073F">
        <w:rPr>
          <w:rStyle w:val="Refdenotaalpie"/>
          <w:rFonts w:ascii="Verdana" w:hAnsi="Verdana" w:cs="Arial"/>
          <w:sz w:val="16"/>
          <w:szCs w:val="16"/>
        </w:rPr>
        <w:footnoteRef/>
      </w:r>
      <w:r w:rsidRPr="007F073F">
        <w:rPr>
          <w:rFonts w:ascii="Verdana" w:hAnsi="Verdana" w:cs="Arial"/>
          <w:sz w:val="16"/>
          <w:szCs w:val="16"/>
        </w:rPr>
        <w:t xml:space="preserve"> Debe precisarse que, a pesar de que el RUP es la regla general, de conformidad con el segundo inciso del artículo 6 de la Ley 1150 de 2007, este no es exigible en todos los procesos de contratación. Al respecto ha manifestado esta Subdirección: “No obstante lo anterior, el RUP no es exigible en algunos procedimientos de selección,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razón por la cual las entidades estatales deben verificar directamente el cumplimiento de los requisitos habilitantes”. Agencia Nacional de Contratación Pública – Colombia Compra Eficiente. Concepto C-052 del 18 de marzo de 2020. Radicado de entrada No. 4202012000000208. Radicado de salida No. 2202013000002051.</w:t>
      </w:r>
    </w:p>
  </w:footnote>
  <w:footnote w:id="3">
    <w:p w14:paraId="2C8C549C" w14:textId="77777777" w:rsidR="003118E6" w:rsidRPr="00FA4BCA" w:rsidRDefault="003118E6" w:rsidP="003118E6">
      <w:pPr>
        <w:pStyle w:val="Textonotapie"/>
        <w:ind w:firstLine="708"/>
        <w:jc w:val="both"/>
        <w:rPr>
          <w:rStyle w:val="Hipervnculo"/>
          <w:rFonts w:ascii="Verdana" w:hAnsi="Verdana" w:cs="Arial"/>
          <w:sz w:val="16"/>
          <w:szCs w:val="16"/>
        </w:rPr>
      </w:pPr>
      <w:r w:rsidRPr="00FA4BCA">
        <w:rPr>
          <w:rStyle w:val="Refdenotaalpie"/>
          <w:rFonts w:ascii="Verdana" w:hAnsi="Verdana" w:cs="Arial"/>
          <w:sz w:val="16"/>
          <w:szCs w:val="16"/>
        </w:rPr>
        <w:footnoteRef/>
      </w:r>
      <w:r w:rsidRPr="00FA4BCA">
        <w:rPr>
          <w:rFonts w:ascii="Verdana" w:hAnsi="Verdana" w:cs="Arial"/>
          <w:sz w:val="16"/>
          <w:szCs w:val="16"/>
        </w:rPr>
        <w:t xml:space="preserve"> Agencia Nacional de Contratación Pública – Colombia Compra Eficiente. Guía para la codificación de bienes y servicios de acuerdo con el código estándar de productos y servicios de Naciones Unidas, V.14.080. Disponible en: </w:t>
      </w:r>
      <w:hyperlink r:id="rId1" w:history="1">
        <w:r w:rsidRPr="00FA4BCA">
          <w:rPr>
            <w:rStyle w:val="Hipervnculo"/>
            <w:rFonts w:ascii="Verdana" w:eastAsia="Times New Roman" w:hAnsi="Verdana" w:cs="Arial"/>
            <w:sz w:val="16"/>
            <w:szCs w:val="16"/>
            <w:bdr w:val="none" w:sz="0" w:space="0" w:color="auto" w:frame="1"/>
            <w:lang w:eastAsia="es-CO"/>
          </w:rPr>
          <w:t>https://www.colombiacompra.gov.co/archivos/manual/guia-para-la-codificacion-de-bienes-y-servicios</w:t>
        </w:r>
      </w:hyperlink>
      <w:hyperlink r:id="rId2" w:history="1"/>
    </w:p>
    <w:p w14:paraId="1E969D3F" w14:textId="77777777" w:rsidR="003118E6" w:rsidRPr="00FA4BCA" w:rsidRDefault="003118E6" w:rsidP="003118E6">
      <w:pPr>
        <w:pStyle w:val="Textonotapie"/>
        <w:ind w:firstLine="708"/>
        <w:jc w:val="both"/>
        <w:rPr>
          <w:rFonts w:ascii="Verdana" w:hAnsi="Verdana" w:cs="Arial"/>
          <w:sz w:val="16"/>
          <w:szCs w:val="16"/>
        </w:rPr>
      </w:pPr>
    </w:p>
  </w:footnote>
  <w:footnote w:id="4">
    <w:p w14:paraId="131B32AF" w14:textId="77777777" w:rsidR="003118E6" w:rsidRPr="007F073F" w:rsidRDefault="003118E6" w:rsidP="003118E6">
      <w:pPr>
        <w:pStyle w:val="Textonotapie"/>
        <w:ind w:firstLine="708"/>
        <w:jc w:val="both"/>
        <w:rPr>
          <w:rFonts w:ascii="Verdana" w:hAnsi="Verdana" w:cs="Arial"/>
          <w:sz w:val="16"/>
          <w:szCs w:val="16"/>
        </w:rPr>
      </w:pPr>
      <w:r w:rsidRPr="00FA4BCA">
        <w:rPr>
          <w:rStyle w:val="Refdenotaalpie"/>
          <w:rFonts w:ascii="Verdana" w:hAnsi="Verdana" w:cs="Arial"/>
          <w:sz w:val="16"/>
          <w:szCs w:val="16"/>
        </w:rPr>
        <w:footnoteRef/>
      </w:r>
      <w:r w:rsidRPr="00FA4BCA">
        <w:rPr>
          <w:rFonts w:ascii="Verdana" w:hAnsi="Verdana" w:cs="Arial"/>
          <w:sz w:val="16"/>
          <w:szCs w:val="16"/>
        </w:rPr>
        <w:t xml:space="preserve"> Decreto 1082 de 2015: “Artículo 2.2.1.1.1.4.1. Plan Anual de Adquisiciones. Las Entidades Estatales deben elaborar un Plan Anual de Adquisiciones, el cual debe contener la lista de bienes, obras y servicios que pretenden adquirir durante el año. En el Plan Anual de Adquisiciones, la Entidad Estatal debe señalar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w:t>
      </w:r>
      <w:r w:rsidRPr="007F073F">
        <w:rPr>
          <w:rFonts w:ascii="Verdana" w:hAnsi="Verdana" w:cs="Arial"/>
          <w:sz w:val="16"/>
          <w:szCs w:val="16"/>
        </w:rPr>
        <w:t xml:space="preserve"> aproximada en la cual la Entidad Estatal iniciará el Proceso de Contratación. Colombia Compra Eficiente establecerá los lineamientos y el formato que debe ser utilizado para elaborar el Plan Anual de Adquisiciones”.</w:t>
      </w:r>
    </w:p>
  </w:footnote>
  <w:footnote w:id="5">
    <w:p w14:paraId="15743147" w14:textId="77777777" w:rsidR="003118E6" w:rsidRPr="007F073F" w:rsidRDefault="003118E6" w:rsidP="003118E6">
      <w:pPr>
        <w:pStyle w:val="NormalWeb"/>
        <w:spacing w:before="0" w:beforeAutospacing="0" w:after="0" w:afterAutospacing="0"/>
        <w:ind w:firstLine="708"/>
        <w:jc w:val="both"/>
        <w:rPr>
          <w:rFonts w:ascii="Verdana" w:hAnsi="Verdana" w:cs="Arial"/>
          <w:color w:val="000000"/>
          <w:sz w:val="16"/>
          <w:szCs w:val="16"/>
        </w:rPr>
      </w:pPr>
      <w:r w:rsidRPr="007F073F">
        <w:rPr>
          <w:rStyle w:val="Refdenotaalpie"/>
          <w:rFonts w:ascii="Verdana" w:hAnsi="Verdana" w:cs="Arial"/>
          <w:sz w:val="16"/>
          <w:szCs w:val="16"/>
        </w:rPr>
        <w:footnoteRef/>
      </w:r>
      <w:r w:rsidRPr="007F073F">
        <w:rPr>
          <w:rFonts w:ascii="Verdana" w:hAnsi="Verdana" w:cs="Arial"/>
          <w:sz w:val="16"/>
          <w:szCs w:val="16"/>
        </w:rPr>
        <w:t xml:space="preserve"> Decreto 1082 de 2015: “</w:t>
      </w:r>
      <w:r w:rsidRPr="007F073F">
        <w:rPr>
          <w:rFonts w:ascii="Verdana" w:hAnsi="Verdana" w:cs="Arial"/>
          <w:color w:val="000000"/>
          <w:sz w:val="16"/>
          <w:szCs w:val="16"/>
        </w:rPr>
        <w:t>Artículo 2.2.1.1.1.5.2. Información para inscripción, renovación o actualización</w:t>
      </w:r>
      <w:r w:rsidRPr="007F073F">
        <w:rPr>
          <w:rFonts w:ascii="Verdana" w:hAnsi="Verdana" w:cs="Arial"/>
          <w:bCs/>
          <w:color w:val="000000"/>
          <w:sz w:val="16"/>
          <w:szCs w:val="16"/>
        </w:rPr>
        <w:t>.</w:t>
      </w:r>
      <w:r w:rsidRPr="007F073F">
        <w:rPr>
          <w:rFonts w:ascii="Verdana" w:hAnsi="Verdana" w:cs="Arial"/>
          <w:bCs/>
          <w:i/>
          <w:iCs/>
          <w:color w:val="000000"/>
          <w:sz w:val="16"/>
          <w:szCs w:val="16"/>
        </w:rPr>
        <w:t> </w:t>
      </w:r>
      <w:r w:rsidRPr="007F073F">
        <w:rPr>
          <w:rFonts w:ascii="Verdana" w:hAnsi="Verdana" w:cs="Arial"/>
          <w:color w:val="000000"/>
          <w:sz w:val="16"/>
          <w:szCs w:val="16"/>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 </w:t>
      </w:r>
    </w:p>
    <w:p w14:paraId="25933222" w14:textId="77777777" w:rsidR="003118E6" w:rsidRPr="007F073F" w:rsidRDefault="003118E6" w:rsidP="003118E6">
      <w:pPr>
        <w:spacing w:after="0" w:line="240" w:lineRule="auto"/>
        <w:jc w:val="both"/>
        <w:rPr>
          <w:rFonts w:ascii="Verdana" w:eastAsia="Times New Roman" w:hAnsi="Verdana" w:cs="Arial"/>
          <w:color w:val="000000"/>
          <w:sz w:val="16"/>
          <w:szCs w:val="16"/>
          <w:lang w:eastAsia="es-CO"/>
        </w:rPr>
      </w:pPr>
      <w:r w:rsidRPr="007F073F">
        <w:rPr>
          <w:rFonts w:ascii="Verdana" w:eastAsia="Times New Roman" w:hAnsi="Verdana" w:cs="Arial"/>
          <w:color w:val="000000"/>
          <w:sz w:val="16"/>
          <w:szCs w:val="16"/>
          <w:lang w:eastAsia="es-CO"/>
        </w:rPr>
        <w:t>  </w:t>
      </w:r>
      <w:r w:rsidRPr="007F073F">
        <w:rPr>
          <w:rFonts w:ascii="Verdana" w:eastAsia="Times New Roman" w:hAnsi="Verdana" w:cs="Arial"/>
          <w:color w:val="000000"/>
          <w:sz w:val="16"/>
          <w:szCs w:val="16"/>
          <w:lang w:eastAsia="es-CO"/>
        </w:rPr>
        <w:tab/>
        <w:t>1. Si es una persona natural: </w:t>
      </w:r>
    </w:p>
    <w:p w14:paraId="1AF704D1" w14:textId="77777777" w:rsidR="003118E6" w:rsidRPr="007F073F" w:rsidRDefault="003118E6" w:rsidP="003118E6">
      <w:pPr>
        <w:spacing w:after="0" w:line="240" w:lineRule="auto"/>
        <w:jc w:val="both"/>
        <w:rPr>
          <w:rFonts w:ascii="Verdana" w:eastAsia="Times New Roman" w:hAnsi="Verdana" w:cs="Arial"/>
          <w:color w:val="000000"/>
          <w:sz w:val="16"/>
          <w:szCs w:val="16"/>
          <w:lang w:eastAsia="es-CO"/>
        </w:rPr>
      </w:pPr>
      <w:r w:rsidRPr="007F073F">
        <w:rPr>
          <w:rFonts w:ascii="Verdana" w:eastAsia="Times New Roman" w:hAnsi="Verdana" w:cs="Arial"/>
          <w:color w:val="000000"/>
          <w:sz w:val="16"/>
          <w:szCs w:val="16"/>
          <w:lang w:eastAsia="es-CO"/>
        </w:rPr>
        <w:t>  </w:t>
      </w:r>
      <w:r w:rsidRPr="007F073F">
        <w:rPr>
          <w:rFonts w:ascii="Verdana" w:eastAsia="Times New Roman" w:hAnsi="Verdana" w:cs="Arial"/>
          <w:color w:val="000000"/>
          <w:sz w:val="16"/>
          <w:szCs w:val="16"/>
          <w:lang w:eastAsia="es-CO"/>
        </w:rPr>
        <w:tab/>
        <w:t>1.1. Bienes, obras y servicios que ofrecerá a las Entidades Estatales, identificados con el Clasificador de Bienes y Servicios en el tercer nivel. </w:t>
      </w:r>
    </w:p>
    <w:p w14:paraId="11807DD3" w14:textId="77777777" w:rsidR="003118E6" w:rsidRPr="007F073F" w:rsidRDefault="003118E6" w:rsidP="003118E6">
      <w:pPr>
        <w:spacing w:after="0" w:line="240" w:lineRule="auto"/>
        <w:jc w:val="both"/>
        <w:rPr>
          <w:rFonts w:ascii="Verdana" w:eastAsia="Times New Roman" w:hAnsi="Verdana" w:cs="Arial"/>
          <w:color w:val="000000"/>
          <w:sz w:val="16"/>
          <w:szCs w:val="16"/>
          <w:lang w:eastAsia="es-CO"/>
        </w:rPr>
      </w:pPr>
      <w:r w:rsidRPr="007F073F">
        <w:rPr>
          <w:rFonts w:ascii="Verdana" w:eastAsia="Times New Roman" w:hAnsi="Verdana" w:cs="Arial"/>
          <w:color w:val="000000"/>
          <w:sz w:val="16"/>
          <w:szCs w:val="16"/>
          <w:lang w:eastAsia="es-CO"/>
        </w:rPr>
        <w:t>  </w:t>
      </w:r>
      <w:r w:rsidRPr="007F073F">
        <w:rPr>
          <w:rFonts w:ascii="Verdana" w:eastAsia="Times New Roman" w:hAnsi="Verdana" w:cs="Arial"/>
          <w:color w:val="000000"/>
          <w:sz w:val="16"/>
          <w:szCs w:val="16"/>
          <w:lang w:eastAsia="es-CO"/>
        </w:rPr>
        <w:tab/>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 </w:t>
      </w:r>
    </w:p>
    <w:p w14:paraId="0967CE77" w14:textId="77777777" w:rsidR="003118E6" w:rsidRPr="007F073F" w:rsidRDefault="003118E6" w:rsidP="003118E6">
      <w:pPr>
        <w:pStyle w:val="Textonotapie"/>
        <w:ind w:firstLine="708"/>
        <w:jc w:val="both"/>
        <w:rPr>
          <w:rFonts w:ascii="Verdana" w:hAnsi="Verdana" w:cs="Arial"/>
          <w:sz w:val="16"/>
          <w:szCs w:val="16"/>
        </w:rPr>
      </w:pPr>
      <w:r w:rsidRPr="007F073F">
        <w:rPr>
          <w:rFonts w:ascii="Verdana" w:hAnsi="Verdana" w:cs="Arial"/>
          <w:sz w:val="16"/>
          <w:szCs w:val="16"/>
        </w:rPr>
        <w:t xml:space="preserve"> […]</w:t>
      </w:r>
    </w:p>
    <w:p w14:paraId="6E68514B" w14:textId="77777777" w:rsidR="003118E6" w:rsidRPr="007F073F" w:rsidRDefault="003118E6" w:rsidP="003118E6">
      <w:pPr>
        <w:pStyle w:val="Textonotapie"/>
        <w:ind w:firstLine="708"/>
        <w:jc w:val="both"/>
        <w:rPr>
          <w:rFonts w:ascii="Verdana" w:hAnsi="Verdana" w:cs="Arial"/>
          <w:sz w:val="16"/>
          <w:szCs w:val="16"/>
        </w:rPr>
      </w:pPr>
      <w:r w:rsidRPr="007F073F">
        <w:rPr>
          <w:rFonts w:ascii="Verdana" w:hAnsi="Verdana" w:cs="Arial"/>
          <w:color w:val="000000"/>
          <w:sz w:val="16"/>
          <w:szCs w:val="16"/>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 Si la constitución del interesado es menor a tres (3) años, puede acreditar la experiencia de sus accionistas, socios o constituyente […]”.</w:t>
      </w:r>
    </w:p>
  </w:footnote>
  <w:footnote w:id="6">
    <w:p w14:paraId="33038E94" w14:textId="77777777" w:rsidR="003118E6" w:rsidRPr="007F073F" w:rsidRDefault="003118E6" w:rsidP="003118E6">
      <w:pPr>
        <w:pStyle w:val="Textonotapie"/>
        <w:rPr>
          <w:rFonts w:ascii="Verdana" w:hAnsi="Verdana" w:cs="Arial"/>
          <w:sz w:val="16"/>
          <w:szCs w:val="16"/>
        </w:rPr>
      </w:pPr>
    </w:p>
    <w:p w14:paraId="2A817FA3" w14:textId="77777777" w:rsidR="003118E6" w:rsidRPr="007F073F" w:rsidRDefault="003118E6" w:rsidP="003118E6">
      <w:pPr>
        <w:pStyle w:val="NormalWeb"/>
        <w:spacing w:before="0" w:beforeAutospacing="0" w:after="0" w:afterAutospacing="0"/>
        <w:ind w:firstLine="708"/>
        <w:jc w:val="both"/>
        <w:rPr>
          <w:rFonts w:ascii="Verdana" w:hAnsi="Verdana" w:cs="Arial"/>
          <w:color w:val="000000"/>
          <w:sz w:val="16"/>
          <w:szCs w:val="16"/>
        </w:rPr>
      </w:pPr>
      <w:r w:rsidRPr="007F073F">
        <w:rPr>
          <w:rStyle w:val="Refdenotaalpie"/>
          <w:rFonts w:ascii="Verdana" w:hAnsi="Verdana" w:cs="Arial"/>
          <w:sz w:val="16"/>
          <w:szCs w:val="16"/>
        </w:rPr>
        <w:footnoteRef/>
      </w:r>
      <w:r w:rsidRPr="007F073F">
        <w:rPr>
          <w:rFonts w:ascii="Verdana" w:hAnsi="Verdana" w:cs="Arial"/>
          <w:sz w:val="16"/>
          <w:szCs w:val="16"/>
        </w:rPr>
        <w:t xml:space="preserve"> Decreto 1082 de 2015: “</w:t>
      </w:r>
      <w:r w:rsidRPr="007F073F">
        <w:rPr>
          <w:rFonts w:ascii="Verdana" w:hAnsi="Verdana" w:cs="Arial"/>
          <w:color w:val="000000"/>
          <w:sz w:val="16"/>
          <w:szCs w:val="16"/>
        </w:rPr>
        <w:t>Artículo 2.2.1.1.1.5.3. Requisitos habilitantes contenidos en el RUP</w:t>
      </w:r>
      <w:r w:rsidRPr="007F073F">
        <w:rPr>
          <w:rFonts w:ascii="Verdana" w:hAnsi="Verdana" w:cs="Arial"/>
          <w:bCs/>
          <w:i/>
          <w:iCs/>
          <w:color w:val="000000"/>
          <w:sz w:val="16"/>
          <w:szCs w:val="16"/>
        </w:rPr>
        <w:t>. </w:t>
      </w:r>
      <w:r w:rsidRPr="007F073F">
        <w:rPr>
          <w:rFonts w:ascii="Verdana" w:hAnsi="Verdana" w:cs="Arial"/>
          <w:color w:val="000000"/>
          <w:sz w:val="16"/>
          <w:szCs w:val="16"/>
        </w:rPr>
        <w:t>Las cámaras de comercio, con base en la información a la que hace referencia el artículo anterior, deben verificar y certificar los siguientes requisitos habilitantes: </w:t>
      </w:r>
    </w:p>
    <w:p w14:paraId="450A48B6" w14:textId="77777777" w:rsidR="003118E6" w:rsidRPr="007F073F" w:rsidRDefault="003118E6" w:rsidP="003118E6">
      <w:pPr>
        <w:spacing w:after="0"/>
        <w:jc w:val="both"/>
        <w:rPr>
          <w:rFonts w:ascii="Verdana" w:eastAsia="Times New Roman" w:hAnsi="Verdana" w:cs="Arial"/>
          <w:color w:val="000000"/>
          <w:sz w:val="16"/>
          <w:szCs w:val="16"/>
          <w:lang w:eastAsia="es-CO"/>
        </w:rPr>
      </w:pPr>
      <w:r w:rsidRPr="007F073F">
        <w:rPr>
          <w:rFonts w:ascii="Verdana" w:eastAsia="Times New Roman" w:hAnsi="Verdana" w:cs="Arial"/>
          <w:color w:val="000000"/>
          <w:sz w:val="16"/>
          <w:szCs w:val="16"/>
          <w:lang w:eastAsia="es-CO"/>
        </w:rPr>
        <w:t>  </w:t>
      </w:r>
      <w:r w:rsidRPr="007F073F">
        <w:rPr>
          <w:rFonts w:ascii="Verdana" w:eastAsia="Times New Roman" w:hAnsi="Verdana" w:cs="Arial"/>
          <w:color w:val="000000"/>
          <w:sz w:val="16"/>
          <w:szCs w:val="16"/>
          <w:lang w:eastAsia="es-CO"/>
        </w:rPr>
        <w:tab/>
        <w:t>1. Experiencia – Los contratos celebrados por el interesado para cada uno de los bienes, obras y servicios que ofrecerá a las Entidades Estatales, identificados con el Clasificador de Bienes y Servicios en el tercer nivel y su valor expresado en smmlv. </w:t>
      </w:r>
    </w:p>
    <w:p w14:paraId="3694464F" w14:textId="77777777" w:rsidR="003118E6" w:rsidRPr="007F073F" w:rsidRDefault="003118E6" w:rsidP="003118E6">
      <w:pPr>
        <w:spacing w:after="0"/>
        <w:jc w:val="both"/>
        <w:rPr>
          <w:rFonts w:ascii="Verdana" w:eastAsia="Times New Roman" w:hAnsi="Verdana" w:cs="Arial"/>
          <w:color w:val="000000"/>
          <w:sz w:val="16"/>
          <w:szCs w:val="16"/>
          <w:lang w:eastAsia="es-CO"/>
        </w:rPr>
      </w:pPr>
      <w:r w:rsidRPr="007F073F">
        <w:rPr>
          <w:rFonts w:ascii="Verdana" w:eastAsia="Times New Roman" w:hAnsi="Verdana" w:cs="Arial"/>
          <w:color w:val="000000"/>
          <w:sz w:val="16"/>
          <w:szCs w:val="16"/>
          <w:lang w:eastAsia="es-CO"/>
        </w:rPr>
        <w:t>  </w:t>
      </w:r>
      <w:r w:rsidRPr="007F073F">
        <w:rPr>
          <w:rFonts w:ascii="Verdana" w:eastAsia="Times New Roman" w:hAnsi="Verdana" w:cs="Arial"/>
          <w:color w:val="000000"/>
          <w:sz w:val="16"/>
          <w:szCs w:val="16"/>
          <w:lang w:eastAsia="es-CO"/>
        </w:rPr>
        <w:tab/>
        <w:t>Los contratos celebrados por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 […]”.</w:t>
      </w:r>
    </w:p>
    <w:p w14:paraId="715A1685" w14:textId="77777777" w:rsidR="003118E6" w:rsidRPr="0097246D" w:rsidRDefault="003118E6" w:rsidP="003118E6">
      <w:pPr>
        <w:pStyle w:val="Textonotapie"/>
        <w:ind w:firstLine="708"/>
        <w:rPr>
          <w:rFonts w:ascii="Verdana" w:hAnsi="Verdana" w:cs="Arial"/>
          <w:b/>
          <w:bCs/>
          <w:sz w:val="16"/>
          <w:szCs w:val="16"/>
        </w:rPr>
      </w:pPr>
    </w:p>
  </w:footnote>
  <w:footnote w:id="7">
    <w:p w14:paraId="281ED3A5" w14:textId="77777777" w:rsidR="003118E6" w:rsidRPr="00667B60" w:rsidRDefault="003118E6" w:rsidP="003118E6">
      <w:pPr>
        <w:pStyle w:val="Textonotapie"/>
        <w:ind w:firstLine="708"/>
        <w:jc w:val="both"/>
        <w:rPr>
          <w:rFonts w:ascii="Verdana" w:hAnsi="Verdana" w:cs="Arial"/>
          <w:color w:val="000000"/>
          <w:sz w:val="16"/>
          <w:szCs w:val="16"/>
        </w:rPr>
      </w:pPr>
      <w:r w:rsidRPr="0097246D">
        <w:rPr>
          <w:rStyle w:val="Refdenotaalpie"/>
          <w:rFonts w:ascii="Verdana" w:hAnsi="Verdana" w:cs="Arial"/>
          <w:sz w:val="16"/>
          <w:szCs w:val="16"/>
        </w:rPr>
        <w:footnoteRef/>
      </w:r>
      <w:r w:rsidRPr="0097246D">
        <w:rPr>
          <w:rFonts w:ascii="Verdana" w:hAnsi="Verdana" w:cs="Arial"/>
          <w:sz w:val="16"/>
          <w:szCs w:val="16"/>
        </w:rPr>
        <w:t xml:space="preserve"> Decreto 1082 de 2015:</w:t>
      </w:r>
      <w:r w:rsidRPr="0097246D">
        <w:rPr>
          <w:rFonts w:ascii="Verdana" w:hAnsi="Verdana" w:cs="Arial"/>
          <w:b/>
          <w:bCs/>
          <w:sz w:val="16"/>
          <w:szCs w:val="16"/>
        </w:rPr>
        <w:t xml:space="preserve"> </w:t>
      </w:r>
      <w:r>
        <w:rPr>
          <w:rFonts w:ascii="Verdana" w:hAnsi="Verdana" w:cs="Arial"/>
          <w:b/>
          <w:bCs/>
          <w:sz w:val="16"/>
          <w:szCs w:val="16"/>
        </w:rPr>
        <w:t>“</w:t>
      </w:r>
      <w:r w:rsidRPr="0097246D">
        <w:rPr>
          <w:rStyle w:val="Fuerte"/>
          <w:rFonts w:ascii="Verdana" w:hAnsi="Verdana" w:cs="Arial"/>
          <w:b w:val="0"/>
          <w:bCs w:val="0"/>
          <w:color w:val="000000"/>
          <w:sz w:val="16"/>
          <w:szCs w:val="16"/>
        </w:rPr>
        <w:t>Artículo 2.2.1.1.1.5.6.</w:t>
      </w:r>
      <w:r w:rsidRPr="007F073F">
        <w:rPr>
          <w:rStyle w:val="Fuerte"/>
          <w:rFonts w:ascii="Verdana" w:hAnsi="Verdana" w:cs="Arial"/>
          <w:color w:val="000000"/>
          <w:sz w:val="16"/>
          <w:szCs w:val="16"/>
        </w:rPr>
        <w:t> </w:t>
      </w:r>
      <w:r w:rsidRPr="007F073F">
        <w:rPr>
          <w:rStyle w:val="nfasis"/>
          <w:rFonts w:ascii="Verdana" w:hAnsi="Verdana" w:cs="Arial"/>
          <w:color w:val="000000"/>
          <w:sz w:val="16"/>
          <w:szCs w:val="16"/>
        </w:rPr>
        <w:t>Certificado del RUP. </w:t>
      </w:r>
      <w:r w:rsidRPr="007F073F">
        <w:rPr>
          <w:rFonts w:ascii="Verdana" w:hAnsi="Verdana" w:cs="Arial"/>
          <w:color w:val="000000"/>
          <w:sz w:val="16"/>
          <w:szCs w:val="16"/>
        </w:rPr>
        <w:t>El certificado del RUP debe contener: (a) los bienes, obras y servicios para los cuales está inscrito el proponente de acuerdo con el Clasificador de Bienes y Servicios; (b) los requisitos e indicadores a los que se refiere el artículo 2.2.1.1.1.5.3 del presente decreto; (c) la información relativa a contratos, multas, sanciones e inhabilidades; y (d) la información histórica de experiencia que el proponente ha inscrito en el RUP. Las cámaras de comercio expedirán el certificado del RUP por solicitud de cualquier interesado. Las Entidades Estatales podrán acceder en línea y de forma gratuita a la información inscrita en el RUP</w:t>
      </w:r>
      <w:r>
        <w:rPr>
          <w:rFonts w:ascii="Verdana" w:hAnsi="Verdana" w:cs="Arial"/>
          <w:color w:val="000000"/>
          <w:sz w:val="16"/>
          <w:szCs w:val="16"/>
        </w:rPr>
        <w:t>”</w:t>
      </w:r>
    </w:p>
  </w:footnote>
  <w:footnote w:id="8">
    <w:p w14:paraId="41AA2700" w14:textId="77777777" w:rsidR="003118E6" w:rsidRDefault="003118E6" w:rsidP="003118E6">
      <w:pPr>
        <w:pStyle w:val="Textonotapie"/>
        <w:ind w:firstLine="708"/>
        <w:jc w:val="both"/>
        <w:rPr>
          <w:rFonts w:ascii="Verdana" w:hAnsi="Verdana" w:cs="Arial"/>
          <w:sz w:val="16"/>
          <w:szCs w:val="16"/>
        </w:rPr>
      </w:pPr>
    </w:p>
    <w:p w14:paraId="37A6FE79" w14:textId="77777777" w:rsidR="003118E6" w:rsidRPr="007F073F" w:rsidRDefault="003118E6" w:rsidP="003118E6">
      <w:pPr>
        <w:pStyle w:val="Textonotapie"/>
        <w:ind w:firstLine="708"/>
        <w:jc w:val="both"/>
        <w:rPr>
          <w:rFonts w:ascii="Verdana" w:hAnsi="Verdana" w:cs="Arial"/>
          <w:sz w:val="16"/>
          <w:szCs w:val="16"/>
        </w:rPr>
      </w:pPr>
      <w:r w:rsidRPr="007F073F">
        <w:rPr>
          <w:rStyle w:val="Refdenotaalpie"/>
          <w:rFonts w:ascii="Verdana" w:hAnsi="Verdana" w:cs="Arial"/>
          <w:sz w:val="16"/>
          <w:szCs w:val="16"/>
        </w:rPr>
        <w:footnoteRef/>
      </w:r>
      <w:r w:rsidRPr="007F073F">
        <w:rPr>
          <w:rFonts w:ascii="Verdana" w:hAnsi="Verdana" w:cs="Arial"/>
          <w:sz w:val="16"/>
          <w:szCs w:val="16"/>
        </w:rPr>
        <w:t xml:space="preserve"> Decreto 1082 de 2015: </w:t>
      </w:r>
      <w:r>
        <w:rPr>
          <w:rFonts w:ascii="Verdana" w:hAnsi="Verdana" w:cs="Arial"/>
          <w:sz w:val="16"/>
          <w:szCs w:val="16"/>
        </w:rPr>
        <w:t>“</w:t>
      </w:r>
      <w:r w:rsidRPr="007F073F">
        <w:rPr>
          <w:rFonts w:ascii="Verdana" w:hAnsi="Verdana" w:cs="Arial"/>
          <w:sz w:val="16"/>
          <w:szCs w:val="16"/>
        </w:rPr>
        <w:t xml:space="preserve">Artículo 2.2.1.1.2.1.3. Pliegos de condiciones. Los pliegos de condiciones deben contener por lo menos la siguiente información:  </w:t>
      </w:r>
    </w:p>
    <w:p w14:paraId="1C7D28C6" w14:textId="77777777" w:rsidR="003118E6" w:rsidRPr="007F073F" w:rsidRDefault="003118E6" w:rsidP="003118E6">
      <w:pPr>
        <w:pStyle w:val="Textonotapie"/>
        <w:ind w:firstLine="708"/>
        <w:jc w:val="both"/>
        <w:rPr>
          <w:rFonts w:ascii="Verdana" w:hAnsi="Verdana" w:cs="Arial"/>
          <w:sz w:val="16"/>
          <w:szCs w:val="16"/>
        </w:rPr>
      </w:pPr>
      <w:r>
        <w:rPr>
          <w:rFonts w:ascii="Verdana" w:hAnsi="Verdana" w:cs="Arial"/>
          <w:sz w:val="16"/>
          <w:szCs w:val="16"/>
        </w:rPr>
        <w:t>“</w:t>
      </w:r>
      <w:r w:rsidRPr="007F073F">
        <w:rPr>
          <w:rFonts w:ascii="Verdana" w:hAnsi="Verdana" w:cs="Arial"/>
          <w:sz w:val="16"/>
          <w:szCs w:val="16"/>
        </w:rPr>
        <w:t>1. La descripción técnica, detallada y completa del bien o servicio objeto del contrato, identificado con el cuarto nivel del Clasificador de Bienes y Servicios, de ser posible o de lo contrario con el tercer nivel del mismo […]</w:t>
      </w:r>
      <w:r>
        <w:rPr>
          <w:rFonts w:ascii="Verdana" w:hAnsi="Verdana" w:cs="Arial"/>
          <w:sz w:val="16"/>
          <w:szCs w:val="16"/>
        </w:rPr>
        <w:t>”</w:t>
      </w:r>
      <w:r w:rsidRPr="007F073F">
        <w:rPr>
          <w:rFonts w:ascii="Verdana" w:hAnsi="Verdana" w:cs="Arial"/>
          <w:sz w:val="16"/>
          <w:szCs w:val="16"/>
        </w:rPr>
        <w:t>.</w:t>
      </w:r>
    </w:p>
    <w:p w14:paraId="0891EBFB" w14:textId="77777777" w:rsidR="003118E6" w:rsidRPr="007F073F" w:rsidRDefault="003118E6" w:rsidP="003118E6">
      <w:pPr>
        <w:pStyle w:val="Textonotapie"/>
        <w:jc w:val="both"/>
        <w:rPr>
          <w:rFonts w:ascii="Verdana" w:hAnsi="Verdana"/>
          <w:sz w:val="16"/>
          <w:szCs w:val="16"/>
        </w:rPr>
      </w:pPr>
    </w:p>
  </w:footnote>
  <w:footnote w:id="9">
    <w:p w14:paraId="6116AA90" w14:textId="77777777" w:rsidR="003118E6" w:rsidRDefault="003118E6" w:rsidP="003118E6">
      <w:pPr>
        <w:pStyle w:val="Textonotapie"/>
        <w:ind w:firstLine="708"/>
        <w:jc w:val="both"/>
      </w:pPr>
      <w:r w:rsidRPr="007F073F">
        <w:rPr>
          <w:rStyle w:val="Refdenotaalpie"/>
          <w:rFonts w:ascii="Verdana" w:hAnsi="Verdana"/>
          <w:sz w:val="16"/>
          <w:szCs w:val="16"/>
        </w:rPr>
        <w:footnoteRef/>
      </w:r>
      <w:r w:rsidRPr="007F073F">
        <w:rPr>
          <w:rFonts w:ascii="Verdana" w:hAnsi="Verdana"/>
          <w:sz w:val="16"/>
          <w:szCs w:val="16"/>
        </w:rPr>
        <w:t xml:space="preserve"> </w:t>
      </w:r>
      <w:r w:rsidRPr="007F073F">
        <w:rPr>
          <w:rFonts w:ascii="Verdana" w:hAnsi="Verdana" w:cs="Arial"/>
          <w:sz w:val="16"/>
          <w:szCs w:val="16"/>
        </w:rPr>
        <w:t xml:space="preserve">Agencia Nacional de Contratación Pública – Colombia Compra Eficiente. Guía para la codificación de bienes y servicios de acuerdo con el código estándar de productos y servicios de Naciones Unidas, V.14.080. Disponible en: </w:t>
      </w:r>
      <w:hyperlink r:id="rId3" w:history="1">
        <w:r w:rsidRPr="007F073F">
          <w:rPr>
            <w:rStyle w:val="Hipervnculo"/>
            <w:rFonts w:ascii="Verdana" w:hAnsi="Verdana" w:cs="Arial"/>
            <w:sz w:val="16"/>
            <w:szCs w:val="16"/>
          </w:rPr>
          <w:t>https://www.colombiacompra.gov.co/sites/cce_public/files/cce_documents/cce_guia_codificacion_bienes.pdf</w:t>
        </w:r>
      </w:hyperlink>
    </w:p>
    <w:p w14:paraId="3D9A40DC" w14:textId="77777777" w:rsidR="003118E6" w:rsidRPr="007F073F" w:rsidRDefault="003118E6" w:rsidP="003118E6">
      <w:pPr>
        <w:pStyle w:val="Textonotapie"/>
        <w:ind w:firstLine="708"/>
        <w:jc w:val="both"/>
        <w:rPr>
          <w:rFonts w:ascii="Verdana" w:hAnsi="Verdana"/>
          <w:sz w:val="16"/>
          <w:szCs w:val="16"/>
        </w:rPr>
      </w:pPr>
    </w:p>
  </w:footnote>
  <w:footnote w:id="10">
    <w:p w14:paraId="61B71D00" w14:textId="77777777" w:rsidR="003118E6" w:rsidRPr="007C247C" w:rsidRDefault="003118E6" w:rsidP="003118E6">
      <w:pPr>
        <w:pStyle w:val="Textonotapie"/>
        <w:ind w:firstLine="708"/>
        <w:jc w:val="both"/>
      </w:pPr>
      <w:r w:rsidRPr="007F073F">
        <w:rPr>
          <w:rStyle w:val="Refdenotaalpie"/>
          <w:rFonts w:ascii="Verdana" w:hAnsi="Verdana"/>
          <w:sz w:val="16"/>
          <w:szCs w:val="16"/>
        </w:rPr>
        <w:footnoteRef/>
      </w:r>
      <w:r w:rsidRPr="007F073F">
        <w:rPr>
          <w:rFonts w:ascii="Verdana" w:hAnsi="Verdana"/>
          <w:sz w:val="16"/>
          <w:szCs w:val="16"/>
        </w:rPr>
        <w:t xml:space="preserve"> Agencia Nacional de Contratación Pública. Manual para determinar los requisitos habilitantes en los procesos de contratación. Disponible en línea: </w:t>
      </w:r>
      <w:hyperlink r:id="rId4" w:history="1">
        <w:r w:rsidRPr="007F073F">
          <w:rPr>
            <w:rStyle w:val="Hipervnculo"/>
            <w:rFonts w:ascii="Verdana" w:hAnsi="Verdana"/>
            <w:sz w:val="16"/>
            <w:szCs w:val="16"/>
          </w:rPr>
          <w:t>https://www.colombiacompra.gov.co/sites/cce_public/files/cce_documents/cce-eicp-ma-04._manual_requisitos_habilitantes_v3_29-09-2023.pdf</w:t>
        </w:r>
      </w:hyperlink>
    </w:p>
  </w:footnote>
  <w:footnote w:id="11">
    <w:p w14:paraId="48E0641D" w14:textId="77777777" w:rsidR="003118E6" w:rsidRPr="007F073F" w:rsidRDefault="003118E6" w:rsidP="003118E6">
      <w:pPr>
        <w:pStyle w:val="Textonotapie"/>
        <w:ind w:firstLine="708"/>
        <w:rPr>
          <w:rFonts w:ascii="Verdana" w:hAnsi="Verdana"/>
          <w:sz w:val="16"/>
          <w:szCs w:val="16"/>
          <w:lang w:val="es-ES"/>
        </w:rPr>
      </w:pPr>
      <w:r w:rsidRPr="007F073F">
        <w:rPr>
          <w:rStyle w:val="Refdenotaalpie"/>
          <w:rFonts w:ascii="Verdana" w:hAnsi="Verdana"/>
          <w:sz w:val="16"/>
          <w:szCs w:val="16"/>
        </w:rPr>
        <w:footnoteRef/>
      </w:r>
      <w:r w:rsidRPr="007F073F">
        <w:rPr>
          <w:rFonts w:ascii="Verdana" w:hAnsi="Verdana"/>
          <w:sz w:val="16"/>
          <w:szCs w:val="16"/>
        </w:rPr>
        <w:t xml:space="preserve"> Ibídem., p. 14. </w:t>
      </w:r>
    </w:p>
  </w:footnote>
  <w:footnote w:id="12">
    <w:p w14:paraId="636D8194" w14:textId="77777777" w:rsidR="003118E6" w:rsidRPr="00EB617B" w:rsidRDefault="003118E6" w:rsidP="003118E6">
      <w:pPr>
        <w:pStyle w:val="Textonotapie"/>
        <w:ind w:firstLine="708"/>
        <w:rPr>
          <w:rFonts w:ascii="Verdana" w:hAnsi="Verdana"/>
          <w:sz w:val="16"/>
          <w:szCs w:val="16"/>
        </w:rPr>
      </w:pPr>
      <w:r w:rsidRPr="00EB617B">
        <w:rPr>
          <w:rStyle w:val="Refdenotaalpie"/>
          <w:rFonts w:ascii="Verdana" w:hAnsi="Verdana"/>
          <w:sz w:val="16"/>
          <w:szCs w:val="16"/>
        </w:rPr>
        <w:footnoteRef/>
      </w:r>
      <w:r w:rsidRPr="00EB617B">
        <w:rPr>
          <w:rFonts w:ascii="Verdana" w:hAnsi="Verdana"/>
          <w:sz w:val="16"/>
          <w:szCs w:val="16"/>
        </w:rPr>
        <w:t xml:space="preserve"> </w:t>
      </w:r>
      <w:r w:rsidRPr="00EB617B">
        <w:rPr>
          <w:rFonts w:ascii="Verdana" w:hAnsi="Verdana"/>
          <w:i/>
          <w:iCs/>
          <w:sz w:val="16"/>
          <w:szCs w:val="16"/>
        </w:rPr>
        <w:t>Ibíd.</w:t>
      </w:r>
      <w:r w:rsidRPr="00EB617B">
        <w:rPr>
          <w:rFonts w:ascii="Verdana" w:hAnsi="Verdana"/>
          <w:sz w:val="16"/>
          <w:szCs w:val="16"/>
        </w:rPr>
        <w:t xml:space="preserve"> </w:t>
      </w:r>
    </w:p>
  </w:footnote>
  <w:footnote w:id="13">
    <w:p w14:paraId="7B10EAD2" w14:textId="77777777" w:rsidR="003118E6" w:rsidRPr="00EB617B" w:rsidRDefault="003118E6" w:rsidP="003118E6">
      <w:pPr>
        <w:pStyle w:val="Textonotapie"/>
        <w:ind w:firstLine="708"/>
        <w:jc w:val="both"/>
        <w:rPr>
          <w:rFonts w:ascii="Verdana" w:hAnsi="Verdana" w:cs="Arial"/>
          <w:color w:val="000000"/>
          <w:sz w:val="16"/>
          <w:szCs w:val="16"/>
        </w:rPr>
      </w:pPr>
      <w:r w:rsidRPr="00EB617B">
        <w:rPr>
          <w:rStyle w:val="Refdenotaalpie"/>
          <w:rFonts w:ascii="Verdana" w:hAnsi="Verdana" w:cs="Arial"/>
          <w:color w:val="000000"/>
          <w:sz w:val="16"/>
          <w:szCs w:val="16"/>
        </w:rPr>
        <w:footnoteRef/>
      </w:r>
      <w:r w:rsidRPr="00EB617B">
        <w:rPr>
          <w:rFonts w:ascii="Verdana" w:hAnsi="Verdana" w:cs="Arial"/>
          <w:color w:val="000000"/>
          <w:sz w:val="16"/>
          <w:szCs w:val="16"/>
        </w:rPr>
        <w:t xml:space="preserve"> Ospina Mena, Jesús Marino. Régimen de la Contratación Estatal. Un salto a la contratación líquida. Bogotá: Ed. 1ª. Diké, 2020. p. 383.</w:t>
      </w:r>
    </w:p>
    <w:p w14:paraId="530D753F" w14:textId="77777777" w:rsidR="003118E6" w:rsidRPr="00EB617B" w:rsidRDefault="003118E6" w:rsidP="003118E6">
      <w:pPr>
        <w:pStyle w:val="Textonotapie"/>
        <w:ind w:firstLine="708"/>
        <w:jc w:val="both"/>
        <w:rPr>
          <w:rFonts w:ascii="Verdana" w:hAnsi="Verdana" w:cs="Arial"/>
          <w:color w:val="000000"/>
          <w:sz w:val="16"/>
          <w:szCs w:val="16"/>
        </w:rPr>
      </w:pPr>
    </w:p>
  </w:footnote>
  <w:footnote w:id="14">
    <w:p w14:paraId="4657CE93" w14:textId="77777777" w:rsidR="003118E6" w:rsidRPr="00EB617B" w:rsidRDefault="003118E6" w:rsidP="003118E6">
      <w:pPr>
        <w:pStyle w:val="Textonotapie"/>
        <w:ind w:firstLine="708"/>
        <w:jc w:val="both"/>
        <w:rPr>
          <w:rFonts w:ascii="Verdana" w:hAnsi="Verdana" w:cs="Arial"/>
          <w:color w:val="000000"/>
          <w:sz w:val="16"/>
          <w:szCs w:val="16"/>
        </w:rPr>
      </w:pPr>
      <w:r w:rsidRPr="00EB617B">
        <w:rPr>
          <w:rStyle w:val="Refdenotaalpie"/>
          <w:rFonts w:ascii="Verdana" w:hAnsi="Verdana" w:cs="Arial"/>
          <w:color w:val="000000"/>
          <w:sz w:val="16"/>
          <w:szCs w:val="16"/>
        </w:rPr>
        <w:footnoteRef/>
      </w:r>
      <w:r w:rsidRPr="00EB617B">
        <w:rPr>
          <w:rFonts w:ascii="Verdana" w:hAnsi="Verdana" w:cs="Arial"/>
          <w:color w:val="000000"/>
          <w:sz w:val="16"/>
          <w:szCs w:val="16"/>
        </w:rPr>
        <w:t xml:space="preserve"> Consejo De Estado. Sección Tercera. Sentencia de 30 de noviembre de 2006. Exp. 18.059. M.P. Alier Hernández Enríquez.</w:t>
      </w:r>
    </w:p>
    <w:p w14:paraId="319CAB54" w14:textId="77777777" w:rsidR="003118E6" w:rsidRPr="00EB617B" w:rsidRDefault="003118E6" w:rsidP="003118E6">
      <w:pPr>
        <w:pStyle w:val="Textonotapie"/>
        <w:jc w:val="both"/>
        <w:rPr>
          <w:rFonts w:ascii="Verdana" w:hAnsi="Verdana" w:cs="Arial"/>
          <w:color w:val="000000"/>
          <w:sz w:val="16"/>
          <w:szCs w:val="16"/>
        </w:rPr>
      </w:pPr>
    </w:p>
  </w:footnote>
  <w:footnote w:id="15">
    <w:p w14:paraId="62658BC2" w14:textId="77777777" w:rsidR="003118E6" w:rsidRPr="00EB617B" w:rsidRDefault="003118E6" w:rsidP="003118E6">
      <w:pPr>
        <w:pStyle w:val="Textonotapie"/>
        <w:ind w:firstLine="708"/>
        <w:jc w:val="both"/>
        <w:rPr>
          <w:rFonts w:ascii="Verdana" w:hAnsi="Verdana" w:cs="Arial"/>
          <w:color w:val="000000"/>
          <w:sz w:val="16"/>
          <w:szCs w:val="16"/>
        </w:rPr>
      </w:pPr>
      <w:r w:rsidRPr="00EB617B">
        <w:rPr>
          <w:rStyle w:val="Refdenotaalpie"/>
          <w:rFonts w:ascii="Verdana" w:hAnsi="Verdana" w:cs="Arial"/>
          <w:color w:val="000000"/>
          <w:sz w:val="16"/>
          <w:szCs w:val="16"/>
        </w:rPr>
        <w:footnoteRef/>
      </w:r>
      <w:r w:rsidRPr="00EB617B">
        <w:rPr>
          <w:rFonts w:ascii="Verdana" w:hAnsi="Verdana" w:cs="Arial"/>
          <w:color w:val="000000"/>
          <w:sz w:val="16"/>
          <w:szCs w:val="16"/>
        </w:rPr>
        <w:t xml:space="preserve"> Lo anterior, sin perjuicio de los casos en que resulten aplicables los documentos tipo –o pliegos tipo– de que trata el parágrafo 7 del artículo 2 de la Ley 1150 de 2007, modificado por el artículo 1 de la Ley 2022 de 2020.</w:t>
      </w:r>
    </w:p>
  </w:footnote>
  <w:footnote w:id="16">
    <w:p w14:paraId="6CAF6DF0" w14:textId="77777777" w:rsidR="003118E6" w:rsidRPr="00EB617B" w:rsidRDefault="003118E6" w:rsidP="003118E6">
      <w:pPr>
        <w:spacing w:after="0"/>
        <w:ind w:firstLine="720"/>
        <w:jc w:val="both"/>
        <w:rPr>
          <w:rFonts w:ascii="Verdana" w:hAnsi="Verdana" w:cs="Arial"/>
          <w:color w:val="000000"/>
          <w:sz w:val="16"/>
          <w:szCs w:val="16"/>
        </w:rPr>
      </w:pPr>
      <w:r w:rsidRPr="00EB617B">
        <w:rPr>
          <w:rStyle w:val="Refdenotaalpie"/>
          <w:rFonts w:ascii="Verdana" w:hAnsi="Verdana" w:cs="Arial"/>
          <w:color w:val="000000"/>
          <w:sz w:val="16"/>
          <w:szCs w:val="16"/>
        </w:rPr>
        <w:footnoteRef/>
      </w:r>
      <w:r w:rsidRPr="00EB617B">
        <w:rPr>
          <w:rFonts w:ascii="Verdana" w:hAnsi="Verdana" w:cs="Arial"/>
          <w:color w:val="000000"/>
          <w:sz w:val="16"/>
          <w:szCs w:val="16"/>
        </w:rPr>
        <w:t xml:space="preserve"> En la sentencia de la Sección Tercera, Subsección A, del 16 de septiembre de 2013, expediente No. 30.571, C.P. Mauricio Fajardo Gómez, el Consejo de Estado se pronunció sobre la fuerza vinculante que tienen las respuestas a las observaciones y solicitud de aclaración a los pliegos de condiciones:</w:t>
      </w:r>
    </w:p>
    <w:p w14:paraId="21196F93" w14:textId="77777777" w:rsidR="003118E6" w:rsidRPr="00EB617B" w:rsidRDefault="003118E6" w:rsidP="003118E6">
      <w:pPr>
        <w:spacing w:after="0"/>
        <w:ind w:firstLine="720"/>
        <w:jc w:val="both"/>
        <w:rPr>
          <w:rFonts w:ascii="Verdana" w:hAnsi="Verdana" w:cs="Arial"/>
          <w:color w:val="000000"/>
          <w:sz w:val="16"/>
          <w:szCs w:val="16"/>
        </w:rPr>
      </w:pPr>
      <w:r w:rsidRPr="00EB617B">
        <w:rPr>
          <w:rFonts w:ascii="Verdana" w:hAnsi="Verdana" w:cs="Arial"/>
          <w:color w:val="000000"/>
          <w:sz w:val="16"/>
          <w:szCs w:val="16"/>
        </w:rPr>
        <w:t>“5.2. De la fuerza vinculante de las respuestas a las solicitudes de aclaraciones en relación con los términos de referencia.</w:t>
      </w:r>
    </w:p>
    <w:p w14:paraId="67DA16B8" w14:textId="77777777" w:rsidR="003118E6" w:rsidRPr="00EB617B" w:rsidRDefault="003118E6" w:rsidP="003118E6">
      <w:pPr>
        <w:spacing w:after="0"/>
        <w:ind w:firstLine="720"/>
        <w:jc w:val="both"/>
        <w:rPr>
          <w:rFonts w:ascii="Verdana" w:hAnsi="Verdana" w:cs="Arial"/>
          <w:color w:val="000000"/>
          <w:sz w:val="16"/>
          <w:szCs w:val="16"/>
        </w:rPr>
      </w:pPr>
      <w:r w:rsidRPr="00EB617B">
        <w:rPr>
          <w:rFonts w:ascii="Verdana" w:hAnsi="Verdana" w:cs="Arial"/>
          <w:color w:val="000000"/>
          <w:sz w:val="16"/>
          <w:szCs w:val="16"/>
        </w:rPr>
        <w:t>[…]</w:t>
      </w:r>
    </w:p>
    <w:p w14:paraId="34A67327" w14:textId="77777777" w:rsidR="003118E6" w:rsidRPr="00EB617B" w:rsidRDefault="003118E6" w:rsidP="003118E6">
      <w:pPr>
        <w:spacing w:after="0"/>
        <w:ind w:firstLine="720"/>
        <w:jc w:val="both"/>
        <w:rPr>
          <w:rFonts w:ascii="Verdana" w:hAnsi="Verdana" w:cs="Arial"/>
          <w:color w:val="000000"/>
          <w:sz w:val="16"/>
          <w:szCs w:val="16"/>
        </w:rPr>
      </w:pPr>
      <w:r w:rsidRPr="00EB617B">
        <w:rPr>
          <w:rFonts w:ascii="Verdana" w:hAnsi="Verdana" w:cs="Arial"/>
          <w:color w:val="000000"/>
          <w:sz w:val="16"/>
          <w:szCs w:val="16"/>
        </w:rPr>
        <w:t>Siguiendo el lineamiento expuesto, en criterio de la Sala, independientemente de que el contenido de la modificación se encuentre comprendido en un documento que no tenga el rótulo de “adenda”, la ausencia de tal formalismo en nada varía la intención que se pretendió depositar en el respectivo escrito y en tal virtud si lo que se persiguió a través de su suscripción por parte de la entidad pública era añadir, adicionar, reemplazar o cambiar una condición inicial que al mutarla derive en un supuesto distinto, así habrá de ser entendido por sus destinatarios y mucho más por la entidad de la que emana, de tal forma que lo allí se consigne será vinculante tanto para la Administración contratante como para los</w:t>
      </w:r>
      <w:r w:rsidRPr="00EB617B">
        <w:rPr>
          <w:rFonts w:ascii="Verdana" w:hAnsi="Verdana" w:cs="Arial"/>
          <w:color w:val="000000"/>
          <w:spacing w:val="-11"/>
          <w:sz w:val="16"/>
          <w:szCs w:val="16"/>
        </w:rPr>
        <w:t xml:space="preserve"> </w:t>
      </w:r>
      <w:r w:rsidRPr="00EB617B">
        <w:rPr>
          <w:rFonts w:ascii="Verdana" w:hAnsi="Verdana" w:cs="Arial"/>
          <w:color w:val="000000"/>
          <w:sz w:val="16"/>
          <w:szCs w:val="16"/>
        </w:rPr>
        <w:t>oferentes.</w:t>
      </w:r>
    </w:p>
    <w:p w14:paraId="709C5EA1" w14:textId="77777777" w:rsidR="003118E6" w:rsidRPr="00EB617B" w:rsidRDefault="003118E6" w:rsidP="003118E6">
      <w:pPr>
        <w:spacing w:after="0"/>
        <w:ind w:firstLine="720"/>
        <w:jc w:val="both"/>
        <w:rPr>
          <w:rFonts w:ascii="Verdana" w:hAnsi="Verdana" w:cs="Arial"/>
          <w:color w:val="000000"/>
          <w:sz w:val="16"/>
          <w:szCs w:val="16"/>
        </w:rPr>
      </w:pPr>
      <w:r w:rsidRPr="00EB617B">
        <w:rPr>
          <w:rFonts w:ascii="Verdana" w:hAnsi="Verdana" w:cs="Arial"/>
          <w:color w:val="000000"/>
          <w:sz w:val="16"/>
          <w:szCs w:val="16"/>
        </w:rPr>
        <w:t>En ese orden de ideas, sea que se llame adenda, oficio, resolución, acto administrativo, circular, comunicación, dejando de lado el formalismo de la denominación, cuya solemnidad, como se anotó, no está definida por el ordenamiento, si de su contenido esencial se extrae con precisión y claridad la finalidad de variar o complementar alguna previsión del pliego de condiciones o de los términos de referencia y a ello se suma que se trata de un documento institucional que emana de la entidad pública directora del procedimiento precontractual y que es dado a conocer a todos los interesados, entonces no queda más que concluir que su fuerza obligatoria se irradia a todas las partes del proceso precontractual quienes deberán acatarlo con el mismo vigor que se observa respecto de las previsiones del pliego de</w:t>
      </w:r>
      <w:r w:rsidRPr="00EB617B">
        <w:rPr>
          <w:rFonts w:ascii="Verdana" w:hAnsi="Verdana" w:cs="Arial"/>
          <w:color w:val="000000"/>
          <w:spacing w:val="-20"/>
          <w:sz w:val="16"/>
          <w:szCs w:val="16"/>
        </w:rPr>
        <w:t xml:space="preserve"> </w:t>
      </w:r>
      <w:r w:rsidRPr="00EB617B">
        <w:rPr>
          <w:rFonts w:ascii="Verdana" w:hAnsi="Verdana" w:cs="Arial"/>
          <w:color w:val="000000"/>
          <w:sz w:val="16"/>
          <w:szCs w:val="16"/>
        </w:rPr>
        <w:t>condiciones”.</w:t>
      </w:r>
    </w:p>
  </w:footnote>
  <w:footnote w:id="17">
    <w:p w14:paraId="39E740EC" w14:textId="77777777" w:rsidR="003118E6" w:rsidRPr="0069118C" w:rsidRDefault="003118E6" w:rsidP="003118E6">
      <w:pPr>
        <w:pStyle w:val="Textonotapie"/>
        <w:ind w:firstLine="708"/>
        <w:jc w:val="both"/>
        <w:rPr>
          <w:rFonts w:ascii="Verdana" w:hAnsi="Verdana"/>
          <w:sz w:val="16"/>
          <w:szCs w:val="16"/>
          <w:lang w:val="es-CO"/>
        </w:rPr>
      </w:pPr>
      <w:r w:rsidRPr="0069118C">
        <w:rPr>
          <w:rStyle w:val="Refdenotaalpie"/>
          <w:rFonts w:ascii="Verdana" w:hAnsi="Verdana"/>
          <w:sz w:val="16"/>
          <w:szCs w:val="16"/>
        </w:rPr>
        <w:footnoteRef/>
      </w:r>
      <w:r w:rsidRPr="0069118C">
        <w:rPr>
          <w:rFonts w:ascii="Verdana" w:hAnsi="Verdana"/>
          <w:sz w:val="16"/>
          <w:szCs w:val="16"/>
          <w:lang w:val="es-CO"/>
        </w:rPr>
        <w:t xml:space="preserve"> Artículo 3 Artículo 3°. </w:t>
      </w:r>
      <w:r w:rsidRPr="0069118C">
        <w:rPr>
          <w:rFonts w:ascii="Verdana" w:hAnsi="Verdana"/>
          <w:i/>
          <w:iCs/>
          <w:sz w:val="16"/>
          <w:szCs w:val="16"/>
          <w:lang w:val="es-CO"/>
        </w:rPr>
        <w:t>Principios.</w:t>
      </w:r>
      <w:r w:rsidRPr="0069118C">
        <w:rPr>
          <w:rFonts w:ascii="Verdana" w:hAnsi="Verdana"/>
          <w:sz w:val="16"/>
          <w:szCs w:val="16"/>
          <w:lang w:val="es-CO"/>
        </w:rPr>
        <w:t> Todas las autoridades deberán interpretar y aplicar las disposiciones que regulan las actuaciones y procedimientos administrativos a la luz de los principios consagrados en la Constitución Política, en la Parte Primera de este Código y en las leyes especiales.   </w:t>
      </w:r>
    </w:p>
    <w:p w14:paraId="77B27014" w14:textId="77777777" w:rsidR="003118E6" w:rsidRPr="0069118C" w:rsidRDefault="003118E6" w:rsidP="003118E6">
      <w:pPr>
        <w:pStyle w:val="Textonotapie"/>
        <w:ind w:firstLine="708"/>
        <w:jc w:val="both"/>
        <w:rPr>
          <w:rFonts w:ascii="Verdana" w:hAnsi="Verdana"/>
          <w:sz w:val="16"/>
          <w:szCs w:val="16"/>
          <w:lang w:val="es-CO"/>
        </w:rPr>
      </w:pPr>
      <w:r w:rsidRPr="0069118C">
        <w:rPr>
          <w:rFonts w:ascii="Verdana" w:hAnsi="Verdana"/>
          <w:sz w:val="16"/>
          <w:szCs w:val="16"/>
          <w:lang w:val="es-CO"/>
        </w:rPr>
        <w:t>Las actuaciones administrativas se desarrollarán, especialmente, con arreglo a los principios del debido proceso, igualdad, imparcialidad, buena fe, moralidad, participación, responsabilidad, transparencia, publicidad, coordinación, eficacia, economía y celeridad. […]</w:t>
      </w:r>
    </w:p>
    <w:p w14:paraId="1382A103" w14:textId="77777777" w:rsidR="003118E6" w:rsidRPr="0069118C" w:rsidRDefault="003118E6" w:rsidP="003118E6">
      <w:pPr>
        <w:pStyle w:val="Textonotapie"/>
        <w:ind w:firstLine="708"/>
        <w:jc w:val="both"/>
        <w:rPr>
          <w:rFonts w:ascii="Verdana" w:hAnsi="Verdana"/>
          <w:sz w:val="16"/>
          <w:szCs w:val="16"/>
          <w:lang w:val="es-CO"/>
        </w:rPr>
      </w:pPr>
      <w:r w:rsidRPr="0069118C">
        <w:rPr>
          <w:rFonts w:ascii="Verdana" w:hAnsi="Verdana"/>
          <w:sz w:val="16"/>
          <w:szCs w:val="16"/>
          <w:lang w:val="es-CO"/>
        </w:rPr>
        <w:t>6. 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p>
    <w:p w14:paraId="15679961" w14:textId="77777777" w:rsidR="003118E6" w:rsidRPr="0069118C" w:rsidRDefault="003118E6" w:rsidP="003118E6">
      <w:pPr>
        <w:pStyle w:val="Textonotapie"/>
        <w:ind w:firstLine="708"/>
        <w:jc w:val="both"/>
        <w:rPr>
          <w:rFonts w:ascii="Verdana" w:hAnsi="Verdana"/>
          <w:sz w:val="16"/>
          <w:szCs w:val="16"/>
        </w:rPr>
      </w:pPr>
      <w:r w:rsidRPr="0069118C">
        <w:rPr>
          <w:rFonts w:ascii="Verdana" w:hAnsi="Verdana"/>
          <w:sz w:val="16"/>
          <w:szCs w:val="16"/>
        </w:rPr>
        <w:t>8. En virtud del principio de transparencia, la actividad administrativa es del dominio público, por consiguiente, toda persona puede conocer las actuaciones de la administración, salvo reserva legal.   </w:t>
      </w:r>
    </w:p>
    <w:p w14:paraId="4273D4F0" w14:textId="77777777" w:rsidR="003118E6" w:rsidRPr="0069118C" w:rsidRDefault="003118E6" w:rsidP="003118E6">
      <w:pPr>
        <w:pStyle w:val="Textonotapie"/>
        <w:ind w:firstLine="708"/>
        <w:jc w:val="both"/>
        <w:rPr>
          <w:rFonts w:ascii="Verdana" w:hAnsi="Verdana"/>
          <w:sz w:val="16"/>
          <w:szCs w:val="16"/>
        </w:rPr>
      </w:pPr>
      <w:r w:rsidRPr="0069118C">
        <w:rPr>
          <w:rFonts w:ascii="Verdana" w:hAnsi="Verdana"/>
          <w:sz w:val="16"/>
          <w:szCs w:val="16"/>
        </w:rPr>
        <w:t>9. 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Cuando el interesado deba asumir el costo de la publicación, esta no podrá exceder en ningún caso el valor de la misma. […]”</w:t>
      </w:r>
    </w:p>
  </w:footnote>
  <w:footnote w:id="18">
    <w:p w14:paraId="70BCC597" w14:textId="77777777" w:rsidR="003118E6" w:rsidRPr="00EB617B" w:rsidRDefault="003118E6" w:rsidP="003118E6">
      <w:pPr>
        <w:spacing w:after="0" w:line="240" w:lineRule="auto"/>
        <w:ind w:firstLine="709"/>
        <w:jc w:val="both"/>
        <w:rPr>
          <w:rFonts w:ascii="Verdana" w:hAnsi="Verdana"/>
          <w:sz w:val="16"/>
          <w:szCs w:val="16"/>
        </w:rPr>
      </w:pPr>
      <w:r w:rsidRPr="00EB617B">
        <w:rPr>
          <w:rStyle w:val="Refdenotaalpie"/>
          <w:rFonts w:ascii="Verdana" w:hAnsi="Verdana"/>
          <w:sz w:val="16"/>
          <w:szCs w:val="16"/>
        </w:rPr>
        <w:footnoteRef/>
      </w:r>
      <w:r w:rsidRPr="00EB617B">
        <w:rPr>
          <w:rFonts w:ascii="Verdana" w:hAnsi="Verdana"/>
          <w:sz w:val="16"/>
          <w:szCs w:val="16"/>
          <w:lang w:val="es-MX"/>
        </w:rPr>
        <w:t xml:space="preserve"> Consejo De Estado. Sala de lo Contencioso Administrativo. Sección Segunda. Subsección A. Consejero ponente: Rafael Francisco Suárez Vargas. Bogotá, D.C., 13 de agosto de 2020. </w:t>
      </w:r>
      <w:r w:rsidRPr="00EB617B">
        <w:rPr>
          <w:rFonts w:ascii="Verdana" w:hAnsi="Verdana"/>
          <w:sz w:val="16"/>
          <w:szCs w:val="16"/>
        </w:rPr>
        <w:t>Radicación número: 25000-23-42-000-2014-00109-01(1997-16):</w:t>
      </w:r>
    </w:p>
    <w:p w14:paraId="14F519DC" w14:textId="77777777" w:rsidR="003118E6" w:rsidRPr="00EB617B" w:rsidRDefault="003118E6" w:rsidP="003118E6">
      <w:pPr>
        <w:spacing w:after="0" w:line="240" w:lineRule="auto"/>
        <w:ind w:firstLine="709"/>
        <w:jc w:val="both"/>
        <w:rPr>
          <w:rFonts w:ascii="Verdana" w:hAnsi="Verdana"/>
          <w:sz w:val="16"/>
          <w:szCs w:val="16"/>
        </w:rPr>
      </w:pPr>
    </w:p>
    <w:p w14:paraId="19EDC4E5" w14:textId="77777777" w:rsidR="003118E6" w:rsidRPr="00EB617B" w:rsidRDefault="003118E6" w:rsidP="003118E6">
      <w:pPr>
        <w:spacing w:after="0" w:line="240" w:lineRule="auto"/>
        <w:ind w:firstLine="709"/>
        <w:jc w:val="both"/>
        <w:rPr>
          <w:rFonts w:ascii="Verdana" w:eastAsia="Calibri" w:hAnsi="Verdana" w:cs="Arial"/>
          <w:sz w:val="16"/>
          <w:szCs w:val="16"/>
        </w:rPr>
      </w:pPr>
      <w:r w:rsidRPr="00EB617B">
        <w:rPr>
          <w:rFonts w:ascii="Verdana" w:eastAsia="Calibri" w:hAnsi="Verdana" w:cs="Arial"/>
          <w:sz w:val="16"/>
          <w:szCs w:val="16"/>
        </w:rPr>
        <w:t>“El acto administrativo es una manifestación unilateral de voluntad emanada de una autoridad pública o de un particular en el ejercicio de las funciones administrativas otorgadas por la Constitución Política y las leyes, mediante el cual se producen efectos jurídicos. En otros términos, es el mecanismo por el cual la administración crea, extingue o modifica situaciones jurídicas particulares.”</w:t>
      </w:r>
    </w:p>
    <w:p w14:paraId="51A752F7" w14:textId="77777777" w:rsidR="003118E6" w:rsidRPr="00EB617B" w:rsidRDefault="003118E6" w:rsidP="003118E6">
      <w:pPr>
        <w:pStyle w:val="Textonotapie"/>
        <w:ind w:firstLine="709"/>
        <w:jc w:val="both"/>
        <w:rPr>
          <w:rFonts w:ascii="Verdana" w:hAnsi="Verdana"/>
          <w:sz w:val="16"/>
          <w:szCs w:val="16"/>
          <w:lang w:val="es-CO"/>
        </w:rPr>
      </w:pPr>
    </w:p>
  </w:footnote>
  <w:footnote w:id="19">
    <w:p w14:paraId="1B26BC67" w14:textId="77777777" w:rsidR="003118E6" w:rsidRPr="00EB617B" w:rsidRDefault="003118E6" w:rsidP="003118E6">
      <w:pPr>
        <w:pStyle w:val="Textonotapie"/>
        <w:ind w:firstLine="709"/>
        <w:jc w:val="both"/>
        <w:rPr>
          <w:rFonts w:ascii="Verdana" w:hAnsi="Verdana"/>
          <w:sz w:val="16"/>
          <w:szCs w:val="16"/>
          <w:lang w:val="es-CO"/>
        </w:rPr>
      </w:pPr>
      <w:r w:rsidRPr="00EB617B">
        <w:rPr>
          <w:rStyle w:val="Refdenotaalpie"/>
          <w:rFonts w:ascii="Verdana" w:hAnsi="Verdana"/>
          <w:sz w:val="16"/>
          <w:szCs w:val="16"/>
          <w:lang w:val="es-CO"/>
        </w:rPr>
        <w:footnoteRef/>
      </w:r>
      <w:r w:rsidRPr="00EB617B">
        <w:rPr>
          <w:rFonts w:ascii="Verdana" w:hAnsi="Verdana"/>
          <w:sz w:val="16"/>
          <w:szCs w:val="16"/>
          <w:lang w:val="es-CO"/>
        </w:rPr>
        <w:t xml:space="preserve"> Ortega, Luis. El acto administrativo en los procesos y procedimientos. Bogotá: Editorial Universidad Católica de Colombia, 2018.</w:t>
      </w:r>
    </w:p>
    <w:p w14:paraId="381679C2" w14:textId="77777777" w:rsidR="003118E6" w:rsidRPr="00EB617B" w:rsidRDefault="003118E6" w:rsidP="003118E6">
      <w:pPr>
        <w:pStyle w:val="Textonotapie"/>
        <w:ind w:firstLine="709"/>
        <w:jc w:val="both"/>
        <w:rPr>
          <w:rFonts w:ascii="Verdana" w:hAnsi="Verdana"/>
          <w:sz w:val="16"/>
          <w:szCs w:val="16"/>
          <w:lang w:val="es-CO"/>
        </w:rPr>
      </w:pPr>
    </w:p>
  </w:footnote>
  <w:footnote w:id="20">
    <w:p w14:paraId="5149E61C" w14:textId="77777777" w:rsidR="003118E6" w:rsidRPr="00EB617B" w:rsidRDefault="003118E6" w:rsidP="003118E6">
      <w:pPr>
        <w:pStyle w:val="Textonotapie"/>
        <w:ind w:firstLine="709"/>
        <w:jc w:val="both"/>
        <w:rPr>
          <w:rFonts w:ascii="Verdana" w:hAnsi="Verdana"/>
          <w:sz w:val="16"/>
          <w:szCs w:val="16"/>
          <w:lang w:val="es-CO"/>
        </w:rPr>
      </w:pPr>
      <w:r w:rsidRPr="00EB617B">
        <w:rPr>
          <w:rStyle w:val="Refdenotaalpie"/>
          <w:rFonts w:ascii="Verdana" w:hAnsi="Verdana"/>
          <w:sz w:val="16"/>
          <w:szCs w:val="16"/>
          <w:lang w:val="es-CO"/>
        </w:rPr>
        <w:footnoteRef/>
      </w:r>
      <w:r w:rsidRPr="00EB617B">
        <w:rPr>
          <w:rFonts w:ascii="Verdana" w:hAnsi="Verdana"/>
          <w:sz w:val="16"/>
          <w:szCs w:val="16"/>
          <w:lang w:val="es-CO"/>
        </w:rPr>
        <w:t xml:space="preserve"> Artículo 24. </w:t>
      </w:r>
      <w:r w:rsidRPr="00EB617B">
        <w:rPr>
          <w:rFonts w:ascii="Verdana" w:hAnsi="Verdana"/>
          <w:i/>
          <w:sz w:val="16"/>
          <w:szCs w:val="16"/>
          <w:lang w:val="es-CO"/>
        </w:rPr>
        <w:t>Del Principio de Transparencia</w:t>
      </w:r>
      <w:r w:rsidRPr="00EB617B">
        <w:rPr>
          <w:rFonts w:ascii="Verdana" w:hAnsi="Verdana"/>
          <w:sz w:val="16"/>
          <w:szCs w:val="16"/>
          <w:lang w:val="es-CO"/>
        </w:rPr>
        <w:t>.</w:t>
      </w:r>
      <w:r w:rsidRPr="00EB617B">
        <w:rPr>
          <w:rFonts w:ascii="Verdana" w:hAnsi="Verdana"/>
          <w:b/>
          <w:sz w:val="16"/>
          <w:szCs w:val="16"/>
          <w:lang w:val="es-CO"/>
        </w:rPr>
        <w:t> </w:t>
      </w:r>
      <w:r w:rsidRPr="00EB617B">
        <w:rPr>
          <w:rFonts w:ascii="Verdana" w:hAnsi="Verdana"/>
          <w:sz w:val="16"/>
          <w:szCs w:val="16"/>
          <w:lang w:val="es-CO"/>
        </w:rPr>
        <w:t>En virtud de este principio: </w:t>
      </w:r>
    </w:p>
    <w:p w14:paraId="1B0DA9D3" w14:textId="77777777" w:rsidR="003118E6" w:rsidRPr="00EB617B" w:rsidRDefault="003118E6" w:rsidP="003118E6">
      <w:pPr>
        <w:pStyle w:val="Textonotapie"/>
        <w:ind w:firstLine="709"/>
        <w:jc w:val="both"/>
        <w:rPr>
          <w:rFonts w:ascii="Verdana" w:hAnsi="Verdana"/>
          <w:sz w:val="16"/>
          <w:szCs w:val="16"/>
          <w:lang w:val="es-CO"/>
        </w:rPr>
      </w:pPr>
      <w:r w:rsidRPr="00EB617B">
        <w:rPr>
          <w:rFonts w:ascii="Verdana" w:hAnsi="Verdana"/>
          <w:sz w:val="16"/>
          <w:szCs w:val="16"/>
          <w:lang w:val="es-CO"/>
        </w:rPr>
        <w:t>[…]</w:t>
      </w:r>
    </w:p>
    <w:p w14:paraId="7638BB79" w14:textId="77777777" w:rsidR="003118E6" w:rsidRPr="00EB617B" w:rsidRDefault="003118E6" w:rsidP="003118E6">
      <w:pPr>
        <w:pStyle w:val="Textonotapie"/>
        <w:ind w:firstLine="709"/>
        <w:jc w:val="both"/>
        <w:rPr>
          <w:rFonts w:ascii="Verdana" w:hAnsi="Verdana"/>
          <w:sz w:val="16"/>
          <w:szCs w:val="16"/>
          <w:lang w:val="es-CO"/>
        </w:rPr>
      </w:pPr>
      <w:r w:rsidRPr="00EB617B">
        <w:rPr>
          <w:rFonts w:ascii="Verdana" w:hAnsi="Verdana"/>
          <w:sz w:val="16"/>
          <w:szCs w:val="16"/>
          <w:lang w:val="es-CO"/>
        </w:rPr>
        <w:t>7o. Los actos administrativos que se expidan en la actividad contractual o con ocasión de ella, salvo los de mero trámite, se motivarán en forma detallada y precisa e igualmente lo serán los informes de evaluación, el acto de adjudicación y la declaratoria de desierto del proceso de escogencia.</w:t>
      </w:r>
    </w:p>
  </w:footnote>
  <w:footnote w:id="21">
    <w:p w14:paraId="797CF728" w14:textId="77777777" w:rsidR="003118E6" w:rsidRPr="00EB617B" w:rsidRDefault="003118E6" w:rsidP="003118E6">
      <w:pPr>
        <w:pStyle w:val="Textonotapie"/>
        <w:ind w:firstLine="708"/>
        <w:jc w:val="both"/>
        <w:rPr>
          <w:rFonts w:ascii="Verdana" w:hAnsi="Verdana"/>
          <w:sz w:val="16"/>
          <w:szCs w:val="16"/>
          <w:lang w:val="es-CO"/>
        </w:rPr>
      </w:pPr>
      <w:r w:rsidRPr="00EB617B">
        <w:rPr>
          <w:rStyle w:val="Refdenotaalpie"/>
          <w:rFonts w:ascii="Verdana" w:hAnsi="Verdana"/>
          <w:sz w:val="16"/>
          <w:szCs w:val="16"/>
        </w:rPr>
        <w:footnoteRef/>
      </w:r>
      <w:r w:rsidRPr="00EB617B">
        <w:rPr>
          <w:rFonts w:ascii="Verdana" w:hAnsi="Verdana"/>
          <w:sz w:val="16"/>
          <w:szCs w:val="16"/>
          <w:lang w:val="es-CO"/>
        </w:rPr>
        <w:t xml:space="preserve"> González López, Edgar. El pliego de condiciones en la contratación estatal. La reforma consagrada en la Ley 1150 de 2007 y sus decretos reglamentarios. Universidad Externado de Colombia. Bogotá: Primera Edición. Junio de 2010. Pág. 55.</w:t>
      </w:r>
    </w:p>
  </w:footnote>
  <w:footnote w:id="22">
    <w:p w14:paraId="4A22B071" w14:textId="77777777" w:rsidR="003118E6" w:rsidRPr="001A3B6A" w:rsidRDefault="003118E6" w:rsidP="003118E6">
      <w:pPr>
        <w:pStyle w:val="Textonotapie"/>
        <w:ind w:firstLine="708"/>
        <w:jc w:val="both"/>
        <w:rPr>
          <w:rFonts w:ascii="Verdana" w:hAnsi="Verdana" w:cs="Arial"/>
          <w:color w:val="000000"/>
          <w:sz w:val="16"/>
          <w:szCs w:val="16"/>
        </w:rPr>
      </w:pPr>
      <w:r w:rsidRPr="00EB617B">
        <w:rPr>
          <w:rStyle w:val="Refdenotaalpie"/>
          <w:rFonts w:ascii="Verdana" w:hAnsi="Verdana" w:cs="Arial"/>
          <w:color w:val="000000"/>
          <w:sz w:val="16"/>
          <w:szCs w:val="16"/>
        </w:rPr>
        <w:footnoteRef/>
      </w:r>
      <w:r w:rsidRPr="00EB617B">
        <w:rPr>
          <w:rFonts w:ascii="Verdana" w:hAnsi="Verdana" w:cs="Arial"/>
          <w:color w:val="000000"/>
          <w:sz w:val="16"/>
          <w:szCs w:val="16"/>
          <w:lang w:val="es-CO"/>
        </w:rPr>
        <w:t xml:space="preserve"> Ospina Mena, Jesús Marino. </w:t>
      </w:r>
      <w:r w:rsidRPr="00EB617B">
        <w:rPr>
          <w:rFonts w:ascii="Verdana" w:hAnsi="Verdana" w:cs="Arial"/>
          <w:color w:val="000000"/>
          <w:sz w:val="16"/>
          <w:szCs w:val="16"/>
        </w:rPr>
        <w:t>Régimen de la Contratación Estatal. Un salto a la contratación líquida. Bogotá: Ed. 1ª. Diké, 2020. p. 383.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69146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904E1"/>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48CE"/>
    <w:rsid w:val="002C7A84"/>
    <w:rsid w:val="002E2BF8"/>
    <w:rsid w:val="002E4FD9"/>
    <w:rsid w:val="0030657A"/>
    <w:rsid w:val="003118E6"/>
    <w:rsid w:val="00322A85"/>
    <w:rsid w:val="00324168"/>
    <w:rsid w:val="00330834"/>
    <w:rsid w:val="003448F4"/>
    <w:rsid w:val="00374F5E"/>
    <w:rsid w:val="00377E3E"/>
    <w:rsid w:val="003A779E"/>
    <w:rsid w:val="003D0F4D"/>
    <w:rsid w:val="003D5B0D"/>
    <w:rsid w:val="003E0499"/>
    <w:rsid w:val="003E4F80"/>
    <w:rsid w:val="003E6439"/>
    <w:rsid w:val="003F3941"/>
    <w:rsid w:val="0040646B"/>
    <w:rsid w:val="00406575"/>
    <w:rsid w:val="00414C74"/>
    <w:rsid w:val="0042722E"/>
    <w:rsid w:val="0044528D"/>
    <w:rsid w:val="00466E39"/>
    <w:rsid w:val="00472066"/>
    <w:rsid w:val="004A1847"/>
    <w:rsid w:val="004A305D"/>
    <w:rsid w:val="004A6B1F"/>
    <w:rsid w:val="004D59D7"/>
    <w:rsid w:val="004F21C4"/>
    <w:rsid w:val="004F685F"/>
    <w:rsid w:val="00512A56"/>
    <w:rsid w:val="00550E00"/>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758B6"/>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52D07"/>
    <w:rsid w:val="00AB0ADB"/>
    <w:rsid w:val="00B00C0E"/>
    <w:rsid w:val="00B01B1A"/>
    <w:rsid w:val="00B0381D"/>
    <w:rsid w:val="00B44A47"/>
    <w:rsid w:val="00B72CD3"/>
    <w:rsid w:val="00B72FFF"/>
    <w:rsid w:val="00BB533B"/>
    <w:rsid w:val="00BC3D36"/>
    <w:rsid w:val="00BD54A6"/>
    <w:rsid w:val="00BD7F72"/>
    <w:rsid w:val="00BF7425"/>
    <w:rsid w:val="00C04FB3"/>
    <w:rsid w:val="00C11D8B"/>
    <w:rsid w:val="00C15139"/>
    <w:rsid w:val="00C330EB"/>
    <w:rsid w:val="00C50D69"/>
    <w:rsid w:val="00C5365C"/>
    <w:rsid w:val="00C754BE"/>
    <w:rsid w:val="00C76B1C"/>
    <w:rsid w:val="00C925AC"/>
    <w:rsid w:val="00CB3115"/>
    <w:rsid w:val="00CB6357"/>
    <w:rsid w:val="00CC1B26"/>
    <w:rsid w:val="00CE3644"/>
    <w:rsid w:val="00CF4B9A"/>
    <w:rsid w:val="00D361FD"/>
    <w:rsid w:val="00D423A2"/>
    <w:rsid w:val="00D44E26"/>
    <w:rsid w:val="00D520D8"/>
    <w:rsid w:val="00D63AC2"/>
    <w:rsid w:val="00D7383B"/>
    <w:rsid w:val="00D768CA"/>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27CB9"/>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118E6"/>
    <w:pPr>
      <w:spacing w:line="240" w:lineRule="exact"/>
    </w:pPr>
    <w:rPr>
      <w:vertAlign w:val="superscript"/>
    </w:rPr>
  </w:style>
  <w:style w:type="character" w:customStyle="1" w:styleId="NormalWebCar">
    <w:name w:val="Normal (Web) Car"/>
    <w:link w:val="NormalWeb"/>
    <w:uiPriority w:val="99"/>
    <w:locked/>
    <w:rsid w:val="003118E6"/>
    <w:rPr>
      <w:rFonts w:ascii="Times New Roman" w:eastAsia="Times New Roman" w:hAnsi="Times New Roman" w:cs="Times New Roman"/>
      <w:sz w:val="24"/>
      <w:szCs w:val="24"/>
      <w:lang w:eastAsia="es-CO"/>
    </w:rPr>
  </w:style>
  <w:style w:type="character" w:customStyle="1" w:styleId="s15">
    <w:name w:val="s15"/>
    <w:basedOn w:val="Fuentedeprrafopredeter"/>
    <w:rsid w:val="003118E6"/>
  </w:style>
  <w:style w:type="character" w:customStyle="1" w:styleId="apple-converted-space">
    <w:name w:val="apple-converted-space"/>
    <w:basedOn w:val="Fuentedeprrafopredeter"/>
    <w:rsid w:val="003118E6"/>
  </w:style>
  <w:style w:type="character" w:styleId="Fuerte">
    <w:name w:val="Strong"/>
    <w:basedOn w:val="Fuentedeprrafopredeter"/>
    <w:uiPriority w:val="22"/>
    <w:qFormat/>
    <w:rsid w:val="003118E6"/>
    <w:rPr>
      <w:b/>
      <w:bCs/>
    </w:rPr>
  </w:style>
  <w:style w:type="character" w:styleId="nfasis">
    <w:name w:val="Emphasis"/>
    <w:basedOn w:val="Fuentedeprrafopredeter"/>
    <w:uiPriority w:val="20"/>
    <w:qFormat/>
    <w:rsid w:val="003118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guia-para-la-codificacion-de-bienes-y-servicios" TargetMode="External"/><Relationship Id="rId18" Type="http://schemas.openxmlformats.org/officeDocument/2006/relationships/hyperlink" Target="https://relatoria.colombiacompra.gov.co/busqueda/concept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 TargetMode="External"/><Relationship Id="rId7" Type="http://schemas.openxmlformats.org/officeDocument/2006/relationships/webSettings" Target="webSettings.xml"/><Relationship Id="rId12" Type="http://schemas.openxmlformats.org/officeDocument/2006/relationships/hyperlink" Target="mailto:jcdb.sas@gmail.com" TargetMode="External"/><Relationship Id="rId17" Type="http://schemas.openxmlformats.org/officeDocument/2006/relationships/hyperlink" Target="https://www.colombiacompra.gov.co/wp-content/uploads/2024/08/circular_externa_unica_version_3_vf49.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lombiacompra.gov.co/sites/cce_public/files/cce_documents/cce-eicp-ma-04._manual_requisitos_habilitantes_v3_29-09-2023.pdf" TargetMode="External"/><Relationship Id="rId20" Type="http://schemas.openxmlformats.org/officeDocument/2006/relationships/hyperlink" Target="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colombiacompra.gov.co/sites/cce_public/files/cce_documents/cce_guia_codificacion_bienes.pdf" TargetMode="External"/><Relationship Id="rId23"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hyperlink" Target="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clasificador-de-bienes-y-Servicios" TargetMode="External"/><Relationship Id="rId22" Type="http://schemas.openxmlformats.org/officeDocument/2006/relationships/hyperlink" Target="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sites/cce_public/files/cce_documents/cce_guia_codificacion_bienes.pdf" TargetMode="External"/><Relationship Id="rId2" Type="http://schemas.openxmlformats.org/officeDocument/2006/relationships/hyperlink" Target="https://www.colombiacompra.gov.co/sites/cce_public/files/cce_documents/cce_guia_codificacion_bienes.pdf" TargetMode="External"/><Relationship Id="rId1" Type="http://schemas.openxmlformats.org/officeDocument/2006/relationships/hyperlink" Target="https://www.colombiacompra.gov.co/archivos/manual/guia-para-la-codificacion-de-bienes-y-servicios" TargetMode="External"/><Relationship Id="rId4" Type="http://schemas.openxmlformats.org/officeDocument/2006/relationships/hyperlink" Target="https://www.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888FAD-BC5B-49A3-8185-E0EEB2BB9D73}"/>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26</Pages>
  <Words>8784</Words>
  <Characters>48313</Characters>
  <Application>Microsoft Office Word</Application>
  <DocSecurity>0</DocSecurity>
  <Lines>402</Lines>
  <Paragraphs>113</Paragraphs>
  <ScaleCrop>false</ScaleCrop>
  <Company/>
  <LinksUpToDate>false</LinksUpToDate>
  <CharactersWithSpaces>56984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5</cp:revision>
  <cp:lastPrinted>2023-01-10T21:18:00Z</cp:lastPrinted>
  <dcterms:created xsi:type="dcterms:W3CDTF">2026-09-07T19:18:00Z</dcterms:created>
  <dcterms:modified xsi:type="dcterms:W3CDTF">2026-09-07T22:23:00Z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