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F7AA3" w14:textId="77777777" w:rsidR="00B01D5F" w:rsidRPr="0028318A" w:rsidRDefault="00B01D5F" w:rsidP="00B01D5F">
      <w:pPr>
        <w:spacing w:after="0"/>
        <w:jc w:val="both"/>
        <w:rPr>
          <w:rFonts w:ascii="Verdana" w:eastAsia="Verdana" w:hAnsi="Verdana" w:cs="Verdana"/>
        </w:rPr>
      </w:pPr>
      <w:bookmarkStart w:id="0" w:name="_Hlk143780582"/>
      <w:r w:rsidRPr="0028318A">
        <w:rPr>
          <w:rFonts w:ascii="Verdana" w:eastAsia="Calibri" w:hAnsi="Verdana" w:cs="Arial"/>
          <w:b/>
          <w:bCs/>
          <w:lang w:val="es-ES" w:eastAsia="es-ES"/>
        </w:rPr>
        <w:t>DOCUMENTOS TIPO DE INFRAESTRUCTURA SOCIAL – Generalidades</w:t>
      </w:r>
    </w:p>
    <w:p w14:paraId="69E0771C" w14:textId="77777777" w:rsidR="00B01D5F" w:rsidRPr="0028318A" w:rsidRDefault="00B01D5F" w:rsidP="00B01D5F">
      <w:pPr>
        <w:shd w:val="clear" w:color="auto" w:fill="FFFFFF"/>
        <w:spacing w:after="0" w:line="276" w:lineRule="auto"/>
        <w:contextualSpacing/>
        <w:jc w:val="both"/>
        <w:rPr>
          <w:rFonts w:ascii="Verdana" w:eastAsia="Calibri" w:hAnsi="Verdana" w:cs="Arial"/>
          <w:b/>
          <w:bCs/>
          <w:lang w:val="es-ES" w:eastAsia="es-ES"/>
        </w:rPr>
      </w:pPr>
    </w:p>
    <w:p w14:paraId="63465A57" w14:textId="77777777" w:rsidR="00B01D5F" w:rsidRPr="0028318A" w:rsidRDefault="00B01D5F" w:rsidP="00B01D5F">
      <w:pPr>
        <w:snapToGrid w:val="0"/>
        <w:spacing w:after="0" w:line="240" w:lineRule="auto"/>
        <w:jc w:val="both"/>
        <w:rPr>
          <w:rFonts w:ascii="Verdana" w:eastAsia="Calibri" w:hAnsi="Verdana" w:cs="Times New Roman"/>
          <w:sz w:val="20"/>
          <w:szCs w:val="20"/>
          <w:lang w:val="es-ES" w:eastAsia="es-MX"/>
        </w:rPr>
      </w:pPr>
      <w:r w:rsidRPr="0028318A">
        <w:rPr>
          <w:rFonts w:ascii="Verdana" w:eastAsia="Calibri" w:hAnsi="Verdana" w:cs="Times New Roman"/>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1D04AE66" w14:textId="77777777" w:rsidR="00B01D5F" w:rsidRPr="0028318A" w:rsidRDefault="00B01D5F" w:rsidP="00B01D5F">
      <w:pPr>
        <w:snapToGrid w:val="0"/>
        <w:spacing w:after="0" w:line="240" w:lineRule="auto"/>
        <w:jc w:val="both"/>
        <w:rPr>
          <w:rFonts w:ascii="Verdana" w:eastAsia="Calibri" w:hAnsi="Verdana" w:cs="Times New Roman"/>
          <w:sz w:val="20"/>
          <w:szCs w:val="20"/>
          <w:lang w:val="es-ES" w:eastAsia="es-MX"/>
        </w:rPr>
      </w:pPr>
      <w:r w:rsidRPr="0028318A">
        <w:rPr>
          <w:rFonts w:ascii="Verdana" w:eastAsia="Arial MT" w:hAnsi="Verdana" w:cs="Arial MT"/>
          <w:sz w:val="20"/>
          <w:szCs w:val="20"/>
          <w:lang w:val="es-ES" w:eastAsia="es-MX"/>
        </w:rPr>
        <w:t>[…]</w:t>
      </w:r>
    </w:p>
    <w:p w14:paraId="57A33D05" w14:textId="77777777" w:rsidR="00B01D5F" w:rsidRPr="0028318A" w:rsidRDefault="00B01D5F" w:rsidP="00B01D5F">
      <w:pPr>
        <w:snapToGrid w:val="0"/>
        <w:spacing w:after="0" w:line="240" w:lineRule="auto"/>
        <w:jc w:val="both"/>
        <w:rPr>
          <w:rFonts w:ascii="Verdana" w:eastAsia="Calibri" w:hAnsi="Verdana" w:cs="Times New Roman"/>
          <w:sz w:val="20"/>
          <w:szCs w:val="20"/>
          <w:lang w:val="es-ES" w:eastAsia="es-MX"/>
        </w:rPr>
      </w:pPr>
      <w:r w:rsidRPr="0028318A">
        <w:rPr>
          <w:rFonts w:ascii="Verdana" w:eastAsia="Calibri" w:hAnsi="Verdana" w:cs="Times New Roman"/>
          <w:sz w:val="20"/>
          <w:szCs w:val="20"/>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2C68CAF9" w14:textId="77777777" w:rsidR="00B01D5F" w:rsidRPr="0028318A" w:rsidRDefault="00B01D5F" w:rsidP="00B01D5F">
      <w:pPr>
        <w:shd w:val="clear" w:color="auto" w:fill="FFFFFF"/>
        <w:spacing w:after="0" w:line="276" w:lineRule="auto"/>
        <w:contextualSpacing/>
        <w:jc w:val="both"/>
        <w:rPr>
          <w:rFonts w:ascii="Verdana" w:eastAsia="Calibri" w:hAnsi="Verdana" w:cs="Arial"/>
          <w:b/>
          <w:bCs/>
          <w:lang w:val="es-ES" w:eastAsia="es-ES"/>
        </w:rPr>
      </w:pPr>
    </w:p>
    <w:p w14:paraId="4B3F8A59" w14:textId="77777777" w:rsidR="00B01D5F" w:rsidRPr="0028318A" w:rsidRDefault="00B01D5F" w:rsidP="00B01D5F">
      <w:pPr>
        <w:shd w:val="clear" w:color="auto" w:fill="FFFFFF"/>
        <w:spacing w:after="0" w:line="276" w:lineRule="auto"/>
        <w:contextualSpacing/>
        <w:jc w:val="both"/>
        <w:rPr>
          <w:rFonts w:ascii="Verdana" w:eastAsia="Calibri" w:hAnsi="Verdana" w:cs="Arial"/>
          <w:b/>
          <w:bCs/>
          <w:lang w:val="es-ES" w:eastAsia="es-ES"/>
        </w:rPr>
      </w:pPr>
      <w:r w:rsidRPr="0028318A">
        <w:rPr>
          <w:rFonts w:ascii="Verdana" w:eastAsia="Calibri" w:hAnsi="Verdana" w:cs="Arial"/>
          <w:b/>
          <w:bCs/>
          <w:lang w:val="es-ES" w:eastAsia="es-ES"/>
        </w:rPr>
        <w:t xml:space="preserve">DOCUMENTOS TIPO DE INFRAESTRUCTURA SOCIAL – Aplicación – Matriz 1 – Determinación de la experiencia  </w:t>
      </w:r>
    </w:p>
    <w:p w14:paraId="5FAB54A4" w14:textId="77777777" w:rsidR="00B01D5F" w:rsidRPr="0028318A" w:rsidRDefault="00B01D5F" w:rsidP="00B01D5F">
      <w:pPr>
        <w:shd w:val="clear" w:color="auto" w:fill="FFFFFF"/>
        <w:spacing w:after="0" w:line="276" w:lineRule="auto"/>
        <w:contextualSpacing/>
        <w:jc w:val="both"/>
        <w:rPr>
          <w:rFonts w:ascii="Verdana" w:eastAsia="Calibri" w:hAnsi="Verdana" w:cs="Arial"/>
          <w:b/>
          <w:lang w:val="es-MX" w:eastAsia="es-ES_tradnl"/>
        </w:rPr>
      </w:pPr>
    </w:p>
    <w:p w14:paraId="4ADB0F63" w14:textId="77777777" w:rsidR="00B01D5F" w:rsidRPr="0028318A" w:rsidRDefault="00B01D5F" w:rsidP="00B01D5F">
      <w:pPr>
        <w:adjustRightInd w:val="0"/>
        <w:snapToGrid w:val="0"/>
        <w:spacing w:after="0" w:line="240" w:lineRule="auto"/>
        <w:jc w:val="both"/>
        <w:rPr>
          <w:rFonts w:ascii="Verdana" w:eastAsia="Calibri" w:hAnsi="Verdana" w:cs="Times New Roman"/>
          <w:sz w:val="20"/>
          <w:szCs w:val="20"/>
          <w:lang w:eastAsia="es-MX"/>
        </w:rPr>
      </w:pPr>
      <w:r w:rsidRPr="0028318A">
        <w:rPr>
          <w:rFonts w:ascii="Verdana" w:eastAsia="Calibri" w:hAnsi="Verdana" w:cs="Times New Roman"/>
          <w:sz w:val="20"/>
          <w:szCs w:val="20"/>
          <w:lang w:eastAsia="es-MX"/>
        </w:rPr>
        <w:t>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ii) la actividad a contratar y iii) la cuantía del proceso de contratación.</w:t>
      </w:r>
    </w:p>
    <w:p w14:paraId="50EA33D0" w14:textId="77777777" w:rsidR="00B01D5F" w:rsidRPr="0028318A" w:rsidRDefault="00B01D5F" w:rsidP="00B01D5F">
      <w:pPr>
        <w:snapToGrid w:val="0"/>
        <w:spacing w:after="0" w:line="240" w:lineRule="auto"/>
        <w:jc w:val="both"/>
        <w:rPr>
          <w:rFonts w:ascii="Verdana" w:eastAsia="Calibri" w:hAnsi="Verdana" w:cs="Times New Roman"/>
          <w:sz w:val="20"/>
          <w:szCs w:val="20"/>
          <w:lang w:eastAsia="es-MX"/>
        </w:rPr>
      </w:pPr>
    </w:p>
    <w:p w14:paraId="43D28D27" w14:textId="77777777" w:rsidR="00B01D5F" w:rsidRPr="0028318A" w:rsidRDefault="00B01D5F" w:rsidP="00B01D5F">
      <w:pPr>
        <w:snapToGrid w:val="0"/>
        <w:spacing w:after="0" w:line="240" w:lineRule="auto"/>
        <w:jc w:val="both"/>
        <w:rPr>
          <w:rFonts w:ascii="Verdana" w:eastAsia="Calibri" w:hAnsi="Verdana" w:cs="Times New Roman"/>
          <w:sz w:val="20"/>
          <w:szCs w:val="20"/>
          <w:lang w:eastAsia="es-MX"/>
        </w:rPr>
      </w:pPr>
      <w:r w:rsidRPr="0028318A">
        <w:rPr>
          <w:rFonts w:ascii="Verdana" w:eastAsia="Calibri" w:hAnsi="Verdana" w:cs="Calibri"/>
          <w:kern w:val="2"/>
          <w:sz w:val="20"/>
          <w:szCs w:val="20"/>
          <w14:ligatures w14:val="standardContextual"/>
        </w:rPr>
        <w:t xml:space="preserve">[…] </w:t>
      </w:r>
      <w:r w:rsidRPr="0028318A">
        <w:rPr>
          <w:rFonts w:ascii="Verdana" w:eastAsia="Times New Roman" w:hAnsi="Verdana" w:cs="Calibri"/>
          <w:sz w:val="20"/>
          <w:szCs w:val="20"/>
          <w:lang w:eastAsia="es-MX"/>
        </w:rPr>
        <w:t xml:space="preserve">la aplicación de los documentos tipo depende de si el objeto contractual corresponde a alguna de las actividades previstas en la Matriz 1 de Experiencia del sector de documentos tipo aplicable. </w:t>
      </w:r>
      <w:r w:rsidRPr="0028318A">
        <w:rPr>
          <w:rFonts w:ascii="Verdana" w:eastAsia="Calibri" w:hAnsi="Verdana" w:cs="Calibri"/>
          <w:kern w:val="2"/>
          <w:sz w:val="20"/>
          <w:szCs w:val="20"/>
          <w14:ligatures w14:val="standardContextual"/>
        </w:rPr>
        <w:t>[…]</w:t>
      </w:r>
    </w:p>
    <w:p w14:paraId="7F7DDBCB" w14:textId="77777777" w:rsidR="00B01D5F" w:rsidRPr="0028318A" w:rsidRDefault="00B01D5F" w:rsidP="00B01D5F">
      <w:pPr>
        <w:spacing w:after="0" w:line="276" w:lineRule="auto"/>
        <w:jc w:val="both"/>
        <w:rPr>
          <w:rFonts w:ascii="Verdana" w:eastAsia="Arial" w:hAnsi="Verdana" w:cs="Calibri"/>
          <w:lang w:eastAsia="es-ES"/>
        </w:rPr>
      </w:pPr>
    </w:p>
    <w:p w14:paraId="1A65F7A7" w14:textId="77777777" w:rsidR="00B01D5F" w:rsidRPr="0028318A" w:rsidRDefault="00B01D5F" w:rsidP="00B01D5F">
      <w:pPr>
        <w:snapToGrid w:val="0"/>
        <w:spacing w:after="0" w:line="276" w:lineRule="auto"/>
        <w:jc w:val="both"/>
        <w:rPr>
          <w:rFonts w:ascii="Verdana" w:eastAsia="Aptos" w:hAnsi="Verdana" w:cs="Times New Roman"/>
          <w:b/>
          <w:bCs/>
          <w:lang w:eastAsia="es-MX"/>
        </w:rPr>
      </w:pPr>
      <w:r w:rsidRPr="0028318A">
        <w:rPr>
          <w:rFonts w:ascii="Verdana" w:eastAsia="Aptos" w:hAnsi="Verdana" w:cs="Times New Roman"/>
          <w:b/>
          <w:bCs/>
          <w:lang w:eastAsia="es-MX"/>
        </w:rPr>
        <w:t>DOCUMENTOS TIPO DE INFRAESTRUCTURA SOCIAL – Sector institucional – Corrales comunitarios ganaderos</w:t>
      </w:r>
    </w:p>
    <w:p w14:paraId="54DA93B7" w14:textId="77777777" w:rsidR="00B01D5F" w:rsidRPr="0028318A" w:rsidRDefault="00B01D5F" w:rsidP="00B01D5F">
      <w:pPr>
        <w:autoSpaceDE w:val="0"/>
        <w:autoSpaceDN w:val="0"/>
        <w:adjustRightInd w:val="0"/>
        <w:spacing w:after="0" w:line="276" w:lineRule="auto"/>
        <w:jc w:val="both"/>
        <w:rPr>
          <w:rFonts w:ascii="Verdana" w:eastAsia="Times New Roman" w:hAnsi="Verdana" w:cs="Calibri"/>
          <w:lang w:eastAsia="es-MX"/>
        </w:rPr>
      </w:pPr>
    </w:p>
    <w:p w14:paraId="6061A959" w14:textId="77777777" w:rsidR="00B01D5F" w:rsidRPr="0028318A" w:rsidRDefault="00B01D5F" w:rsidP="00B01D5F">
      <w:pPr>
        <w:snapToGrid w:val="0"/>
        <w:spacing w:after="0" w:line="240" w:lineRule="auto"/>
        <w:jc w:val="both"/>
        <w:rPr>
          <w:rFonts w:ascii="Verdana" w:eastAsia="Aptos" w:hAnsi="Verdana" w:cs="Times New Roman"/>
          <w:b/>
          <w:bCs/>
          <w:kern w:val="2"/>
          <w:sz w:val="20"/>
          <w:szCs w:val="20"/>
          <w14:ligatures w14:val="standardContextual"/>
        </w:rPr>
      </w:pPr>
      <w:r w:rsidRPr="0028318A">
        <w:rPr>
          <w:rFonts w:ascii="Verdana" w:eastAsia="Aptos" w:hAnsi="Verdana" w:cs="Times New Roman"/>
          <w:b/>
          <w:bCs/>
          <w:kern w:val="2"/>
          <w:sz w:val="20"/>
          <w:szCs w:val="20"/>
          <w14:ligatures w14:val="standardContextual"/>
        </w:rPr>
        <w:t>i) Escenario 1 — El proyecto consiste únicamente en corrales:</w:t>
      </w:r>
    </w:p>
    <w:p w14:paraId="1DAA9B51" w14:textId="77777777" w:rsidR="00B01D5F" w:rsidRPr="0028318A" w:rsidRDefault="00B01D5F" w:rsidP="00B01D5F">
      <w:pPr>
        <w:snapToGrid w:val="0"/>
        <w:spacing w:after="0" w:line="240" w:lineRule="auto"/>
        <w:ind w:left="1789"/>
        <w:jc w:val="both"/>
        <w:rPr>
          <w:rFonts w:ascii="Verdana" w:eastAsia="Aptos" w:hAnsi="Verdana" w:cs="Times New Roman"/>
          <w:b/>
          <w:bCs/>
          <w:kern w:val="2"/>
          <w:sz w:val="20"/>
          <w:szCs w:val="20"/>
          <w14:ligatures w14:val="standardContextual"/>
        </w:rPr>
      </w:pPr>
    </w:p>
    <w:p w14:paraId="3515400D" w14:textId="77777777" w:rsidR="00B01D5F" w:rsidRPr="0028318A" w:rsidRDefault="00B01D5F" w:rsidP="00B01D5F">
      <w:pPr>
        <w:snapToGrid w:val="0"/>
        <w:spacing w:after="0" w:line="240" w:lineRule="auto"/>
        <w:jc w:val="both"/>
        <w:rPr>
          <w:rFonts w:ascii="Verdana" w:eastAsia="Aptos" w:hAnsi="Verdana" w:cs="Times New Roman"/>
          <w:kern w:val="2"/>
          <w:sz w:val="20"/>
          <w:szCs w:val="20"/>
          <w14:ligatures w14:val="standardContextual"/>
        </w:rPr>
      </w:pPr>
      <w:r w:rsidRPr="0028318A">
        <w:rPr>
          <w:rFonts w:ascii="Verdana" w:eastAsia="Aptos" w:hAnsi="Verdana" w:cs="Times New Roman"/>
          <w:kern w:val="2"/>
          <w:sz w:val="20"/>
          <w:szCs w:val="20"/>
          <w14:ligatures w14:val="standardContextual"/>
        </w:rPr>
        <w:t xml:space="preserve">Si el alcance contractual se limita a corrales, mangas, bretes, embarcaderos y demás estructuras destinadas al manejo de ganado, sin edificaciones complementarias de atención al público, los Documentos Tipo de Infraestructura Social no resultan aplicables. </w:t>
      </w:r>
      <w:r w:rsidRPr="0028318A">
        <w:rPr>
          <w:rFonts w:ascii="Verdana" w:eastAsia="Aptos" w:hAnsi="Verdana" w:cs="Times New Roman"/>
          <w:kern w:val="2"/>
          <w:sz w:val="20"/>
          <w:szCs w:val="20"/>
          <w14:ligatures w14:val="standardContextual"/>
        </w:rPr>
        <w:lastRenderedPageBreak/>
        <w:t xml:space="preserve">La definición 2.76 del Glosario (Edificación de Atención a la Comunidad) exige que el equipamiento esté destinado a atender emergencias y preservar la salud y la seguridad de personas y animales —estaciones de bomberos, cuarteles de policía y fuerzas militares, instalaciones de salud, sedes de organismos operativos de emergencias, entre otros similares—. </w:t>
      </w:r>
    </w:p>
    <w:p w14:paraId="0B471375" w14:textId="77777777" w:rsidR="00B01D5F" w:rsidRPr="0028318A" w:rsidRDefault="00B01D5F" w:rsidP="00B01D5F">
      <w:pPr>
        <w:snapToGrid w:val="0"/>
        <w:spacing w:after="0" w:line="240" w:lineRule="auto"/>
        <w:jc w:val="both"/>
        <w:rPr>
          <w:rFonts w:ascii="Verdana" w:eastAsia="Aptos" w:hAnsi="Verdana" w:cs="Times New Roman"/>
          <w:kern w:val="2"/>
          <w:sz w:val="20"/>
          <w:szCs w:val="20"/>
          <w14:ligatures w14:val="standardContextual"/>
        </w:rPr>
      </w:pPr>
      <w:r w:rsidRPr="0028318A">
        <w:rPr>
          <w:rFonts w:ascii="Verdana" w:eastAsia="Aptos" w:hAnsi="Verdana" w:cs="Times New Roman"/>
          <w:kern w:val="2"/>
          <w:sz w:val="20"/>
          <w:szCs w:val="20"/>
          <w14:ligatures w14:val="standardContextual"/>
        </w:rPr>
        <w:t>[…]</w:t>
      </w:r>
    </w:p>
    <w:p w14:paraId="40C23616" w14:textId="77777777" w:rsidR="00B01D5F" w:rsidRPr="0028318A" w:rsidRDefault="00B01D5F" w:rsidP="00B01D5F">
      <w:pPr>
        <w:snapToGrid w:val="0"/>
        <w:spacing w:after="0" w:line="240" w:lineRule="auto"/>
        <w:jc w:val="both"/>
        <w:rPr>
          <w:rFonts w:ascii="Verdana" w:eastAsia="Aptos" w:hAnsi="Verdana" w:cs="Times New Roman"/>
          <w:b/>
          <w:bCs/>
          <w:kern w:val="2"/>
          <w:sz w:val="20"/>
          <w:szCs w:val="20"/>
          <w14:ligatures w14:val="standardContextual"/>
        </w:rPr>
      </w:pPr>
      <w:r w:rsidRPr="0028318A">
        <w:rPr>
          <w:rFonts w:ascii="Verdana" w:eastAsia="Aptos" w:hAnsi="Verdana" w:cs="Times New Roman"/>
          <w:b/>
          <w:bCs/>
          <w:kern w:val="2"/>
          <w:sz w:val="20"/>
          <w:szCs w:val="20"/>
          <w14:ligatures w14:val="standardContextual"/>
        </w:rPr>
        <w:t>ii) Escenario 2 — El proyecto incluye una edificación de atención a la comunidad:</w:t>
      </w:r>
    </w:p>
    <w:p w14:paraId="75A1C7E0" w14:textId="77777777" w:rsidR="00B01D5F" w:rsidRPr="0028318A" w:rsidRDefault="00B01D5F" w:rsidP="00B01D5F">
      <w:pPr>
        <w:snapToGrid w:val="0"/>
        <w:spacing w:after="0" w:line="240" w:lineRule="auto"/>
        <w:jc w:val="both"/>
        <w:rPr>
          <w:rFonts w:ascii="Verdana" w:eastAsia="Aptos" w:hAnsi="Verdana" w:cs="Times New Roman"/>
          <w:b/>
          <w:bCs/>
          <w:kern w:val="2"/>
          <w:sz w:val="20"/>
          <w:szCs w:val="20"/>
          <w14:ligatures w14:val="standardContextual"/>
        </w:rPr>
      </w:pPr>
    </w:p>
    <w:p w14:paraId="5A7DCD11" w14:textId="77777777" w:rsidR="00B01D5F" w:rsidRPr="0028318A" w:rsidRDefault="00B01D5F" w:rsidP="00B01D5F">
      <w:pPr>
        <w:snapToGrid w:val="0"/>
        <w:spacing w:after="0" w:line="240" w:lineRule="auto"/>
        <w:jc w:val="both"/>
        <w:rPr>
          <w:rFonts w:ascii="Verdana" w:eastAsia="Aptos" w:hAnsi="Verdana" w:cs="Times New Roman"/>
          <w:kern w:val="2"/>
          <w:sz w:val="20"/>
          <w:szCs w:val="20"/>
          <w14:ligatures w14:val="standardContextual"/>
        </w:rPr>
      </w:pPr>
      <w:r w:rsidRPr="0028318A">
        <w:rPr>
          <w:rFonts w:ascii="Verdana" w:eastAsia="Aptos" w:hAnsi="Verdana" w:cs="Times New Roman"/>
          <w:kern w:val="2"/>
          <w:sz w:val="20"/>
          <w:szCs w:val="20"/>
          <w14:ligatures w14:val="standardContextual"/>
        </w:rPr>
        <w:t>Si, además de los corrales, el proyecto contempla componentes edificados destinados a la atención de usuarios —oficinas administrativas, espacios de capacitación comunitaria, servicios sanitarios, salas de reunión u otros espacios de prestación de servicios a la comunidad rural—, esos componentes sí pueden encajar en la definición 2.76 o, en general, en la tipología del Sector institucional. En ese caso, los Documentos Tipo de Infraestructura Social –sector institucional– son de aplicación obligatoria para este tipo de proyectos, y la entidad debe seleccionar dentro de la Matriz 1 – Experiencia del sector Institucional la actividad a contratar que mejor refleje las obras de construcción, adecuación o mejoramiento de infraestructura institucional previstas en el alcance contractual.</w:t>
      </w:r>
    </w:p>
    <w:p w14:paraId="3C443E1C" w14:textId="77777777" w:rsidR="00B01D5F" w:rsidRDefault="00B01D5F">
      <w:pPr>
        <w:rPr>
          <w:rFonts w:ascii="Verdana" w:eastAsia="Verdana" w:hAnsi="Verdana" w:cs="Verdana"/>
        </w:rPr>
      </w:pPr>
      <w:r>
        <w:rPr>
          <w:rFonts w:ascii="Verdana" w:eastAsia="Verdana" w:hAnsi="Verdana" w:cs="Verdana"/>
        </w:rPr>
        <w:br w:type="page"/>
      </w:r>
    </w:p>
    <w:p w14:paraId="1468C46D" w14:textId="6BD7F46B" w:rsidR="00C15139" w:rsidRPr="0024624F" w:rsidRDefault="00AD283A" w:rsidP="30821638">
      <w:pPr>
        <w:spacing w:after="0"/>
        <w:rPr>
          <w:rFonts w:ascii="Verdana" w:eastAsia="Verdana" w:hAnsi="Verdana" w:cs="Verdana"/>
        </w:rPr>
      </w:pPr>
      <w:r w:rsidRPr="00AD283A">
        <w:rPr>
          <w:rFonts w:ascii="Verdana" w:eastAsia="Verdana" w:hAnsi="Verdana" w:cs="Verdana"/>
          <w:noProof/>
        </w:rPr>
        <w:lastRenderedPageBreak/>
        <w:drawing>
          <wp:anchor distT="0" distB="0" distL="114300" distR="114300" simplePos="0" relativeHeight="251659264" behindDoc="1" locked="0" layoutInCell="1" allowOverlap="1" wp14:anchorId="5A5123E6" wp14:editId="2E16EB15">
            <wp:simplePos x="0" y="0"/>
            <wp:positionH relativeFrom="column">
              <wp:posOffset>3435350</wp:posOffset>
            </wp:positionH>
            <wp:positionV relativeFrom="paragraph">
              <wp:posOffset>1905</wp:posOffset>
            </wp:positionV>
            <wp:extent cx="2486025" cy="857885"/>
            <wp:effectExtent l="0" t="0" r="9525" b="0"/>
            <wp:wrapTight wrapText="bothSides">
              <wp:wrapPolygon edited="0">
                <wp:start x="0" y="0"/>
                <wp:lineTo x="0" y="21104"/>
                <wp:lineTo x="21517" y="21104"/>
                <wp:lineTo x="21517" y="0"/>
                <wp:lineTo x="0" y="0"/>
              </wp:wrapPolygon>
            </wp:wrapTight>
            <wp:docPr id="19061757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6025" cy="857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 xml:space="preserve">7 </w:t>
      </w:r>
      <w:r w:rsidR="001364CC">
        <w:rPr>
          <w:rFonts w:ascii="Verdana" w:eastAsia="Verdana" w:hAnsi="Verdana" w:cs="Verdana"/>
        </w:rPr>
        <w:t>septiembre</w:t>
      </w:r>
      <w:r>
        <w:rPr>
          <w:rFonts w:ascii="Verdana" w:eastAsia="Verdana" w:hAnsi="Verdana" w:cs="Verdana"/>
        </w:rPr>
        <w:t xml:space="preserve"> 2026 </w:t>
      </w:r>
      <w:r w:rsidR="00C15139">
        <w:br/>
      </w:r>
      <w:r w:rsidR="00C15139">
        <w:tab/>
      </w:r>
    </w:p>
    <w:p w14:paraId="09F99B29" w14:textId="15F0A3F3" w:rsidR="00A46C06" w:rsidRDefault="00473E25" w:rsidP="30821638">
      <w:pPr>
        <w:spacing w:after="0" w:line="240" w:lineRule="auto"/>
        <w:jc w:val="both"/>
        <w:rPr>
          <w:rFonts w:ascii="Verdana" w:eastAsia="Verdana" w:hAnsi="Verdana" w:cs="Verdana"/>
        </w:rPr>
      </w:pPr>
      <w:r>
        <w:rPr>
          <w:rFonts w:ascii="Verdana" w:eastAsia="Verdana" w:hAnsi="Verdana" w:cs="Verdana"/>
        </w:rPr>
        <w:t xml:space="preserve">Señores </w:t>
      </w:r>
    </w:p>
    <w:p w14:paraId="4262FE15" w14:textId="687C963A" w:rsidR="00473E25" w:rsidRDefault="00473E25" w:rsidP="30821638">
      <w:pPr>
        <w:spacing w:after="0" w:line="240" w:lineRule="auto"/>
        <w:jc w:val="both"/>
        <w:rPr>
          <w:rFonts w:ascii="Verdana" w:eastAsia="Verdana" w:hAnsi="Verdana" w:cs="Verdana"/>
          <w:b/>
          <w:bCs/>
        </w:rPr>
      </w:pPr>
      <w:r w:rsidRPr="00A46C06">
        <w:rPr>
          <w:rFonts w:ascii="Verdana" w:eastAsia="Verdana" w:hAnsi="Verdana" w:cs="Verdana"/>
          <w:b/>
          <w:bCs/>
        </w:rPr>
        <w:t>Alca</w:t>
      </w:r>
      <w:r w:rsidR="00A46C06" w:rsidRPr="00A46C06">
        <w:rPr>
          <w:rFonts w:ascii="Verdana" w:eastAsia="Verdana" w:hAnsi="Verdana" w:cs="Verdana"/>
          <w:b/>
          <w:bCs/>
        </w:rPr>
        <w:t>ldía Municipal de Paya – Boyacá</w:t>
      </w:r>
    </w:p>
    <w:p w14:paraId="474B2E21" w14:textId="67FEA3BE" w:rsidR="00A46C06" w:rsidRDefault="006F3997" w:rsidP="30821638">
      <w:pPr>
        <w:spacing w:after="0" w:line="240" w:lineRule="auto"/>
        <w:jc w:val="both"/>
        <w:rPr>
          <w:rFonts w:ascii="Verdana" w:eastAsia="Verdana" w:hAnsi="Verdana" w:cs="Verdana"/>
          <w:b/>
          <w:bCs/>
        </w:rPr>
      </w:pPr>
      <w:r>
        <w:rPr>
          <w:rFonts w:ascii="Verdana" w:eastAsia="Verdana" w:hAnsi="Verdana" w:cs="Verdana"/>
          <w:b/>
          <w:bCs/>
        </w:rPr>
        <w:t>Secretaría de Planeación y Desarrollo</w:t>
      </w:r>
    </w:p>
    <w:p w14:paraId="607BD41B" w14:textId="1F3FF2CD" w:rsidR="006F3997" w:rsidRDefault="00B65D5D" w:rsidP="30821638">
      <w:pPr>
        <w:spacing w:after="0" w:line="240" w:lineRule="auto"/>
        <w:jc w:val="both"/>
        <w:rPr>
          <w:rFonts w:ascii="Verdana" w:eastAsia="Verdana" w:hAnsi="Verdana" w:cs="Verdana"/>
        </w:rPr>
      </w:pPr>
      <w:hyperlink r:id="rId11" w:history="1">
        <w:r w:rsidRPr="006969A9">
          <w:rPr>
            <w:rStyle w:val="Hipervnculo"/>
            <w:rFonts w:ascii="Verdana" w:eastAsia="Verdana" w:hAnsi="Verdana" w:cs="Verdana"/>
          </w:rPr>
          <w:t>alcaldia@paya-boyaca.gov.co</w:t>
        </w:r>
      </w:hyperlink>
    </w:p>
    <w:p w14:paraId="290B0FAB" w14:textId="47C30812" w:rsidR="00B65D5D" w:rsidRDefault="00B65D5D" w:rsidP="30821638">
      <w:pPr>
        <w:spacing w:after="0" w:line="240" w:lineRule="auto"/>
        <w:jc w:val="both"/>
        <w:rPr>
          <w:rFonts w:ascii="Verdana" w:eastAsia="Verdana" w:hAnsi="Verdana" w:cs="Verdana"/>
        </w:rPr>
      </w:pPr>
      <w:r>
        <w:rPr>
          <w:rFonts w:ascii="Verdana" w:eastAsia="Verdana" w:hAnsi="Verdana" w:cs="Verdana"/>
        </w:rPr>
        <w:t xml:space="preserve">Paya- Boyacá </w:t>
      </w:r>
    </w:p>
    <w:p w14:paraId="0AC947F7" w14:textId="77777777" w:rsidR="00B65D5D" w:rsidRDefault="00B65D5D" w:rsidP="30821638">
      <w:pPr>
        <w:spacing w:after="0" w:line="240" w:lineRule="auto"/>
        <w:jc w:val="both"/>
        <w:rPr>
          <w:rFonts w:ascii="Verdana" w:eastAsia="Verdana" w:hAnsi="Verdana" w:cs="Verdana"/>
        </w:rPr>
      </w:pPr>
    </w:p>
    <w:p w14:paraId="6AAD5B4C" w14:textId="77777777" w:rsidR="00B65D5D" w:rsidRPr="00B65D5D" w:rsidRDefault="00B65D5D" w:rsidP="30821638">
      <w:pPr>
        <w:spacing w:after="0" w:line="240" w:lineRule="auto"/>
        <w:jc w:val="both"/>
        <w:rPr>
          <w:rFonts w:ascii="Verdana" w:eastAsia="Verdana" w:hAnsi="Verdana" w:cs="Verdana"/>
        </w:rPr>
      </w:pPr>
    </w:p>
    <w:p w14:paraId="16531EAF" w14:textId="77777777" w:rsidR="00A46C06" w:rsidRPr="00E02524" w:rsidRDefault="00A46C06" w:rsidP="30821638">
      <w:pPr>
        <w:spacing w:after="0" w:line="240" w:lineRule="auto"/>
        <w:jc w:val="both"/>
        <w:rPr>
          <w:rFonts w:ascii="Verdana" w:eastAsia="Verdana" w:hAnsi="Verdana" w:cs="Verdana"/>
          <w:b/>
          <w:bCs/>
          <w:lang w:val="es-MX"/>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6F5D6E" w:rsidRPr="00226F80" w14:paraId="2400EAE7" w14:textId="77777777" w:rsidTr="00FB046C">
        <w:trPr>
          <w:trHeight w:val="229"/>
        </w:trPr>
        <w:tc>
          <w:tcPr>
            <w:tcW w:w="2268" w:type="dxa"/>
          </w:tcPr>
          <w:p w14:paraId="39BF8150" w14:textId="77777777" w:rsidR="006F5D6E" w:rsidRPr="00226F80" w:rsidRDefault="006F5D6E" w:rsidP="00FB046C">
            <w:pPr>
              <w:jc w:val="both"/>
              <w:rPr>
                <w:rFonts w:ascii="Verdana" w:eastAsia="Calibri" w:hAnsi="Verdana" w:cs="Arial"/>
                <w:b/>
                <w:bCs/>
                <w:lang w:val="es-ES_tradnl" w:eastAsia="es-ES_tradnl"/>
              </w:rPr>
            </w:pPr>
          </w:p>
        </w:tc>
        <w:tc>
          <w:tcPr>
            <w:tcW w:w="6100" w:type="dxa"/>
          </w:tcPr>
          <w:p w14:paraId="02D0A9DD" w14:textId="1745C9F4" w:rsidR="006F5D6E" w:rsidRPr="00226F80" w:rsidRDefault="006F5D6E" w:rsidP="00FB046C">
            <w:pPr>
              <w:jc w:val="both"/>
              <w:rPr>
                <w:rFonts w:ascii="Verdana" w:eastAsia="Calibri" w:hAnsi="Verdana" w:cs="Arial"/>
                <w:b/>
                <w:bCs/>
                <w:lang w:val="es-ES" w:eastAsia="es-ES"/>
              </w:rPr>
            </w:pPr>
            <w:r w:rsidRPr="00226F80">
              <w:rPr>
                <w:rFonts w:ascii="Verdana" w:eastAsia="Calibri" w:hAnsi="Verdana" w:cs="Arial"/>
                <w:b/>
                <w:bCs/>
                <w:lang w:val="es-ES" w:eastAsia="es-ES"/>
              </w:rPr>
              <w:t xml:space="preserve">Concepto </w:t>
            </w:r>
            <w:bookmarkStart w:id="1" w:name="OLE_LINK1"/>
            <w:r w:rsidRPr="00226F80">
              <w:rPr>
                <w:rFonts w:ascii="Verdana" w:eastAsia="Calibri" w:hAnsi="Verdana" w:cs="Arial"/>
                <w:b/>
                <w:bCs/>
                <w:lang w:val="es-ES" w:eastAsia="es-ES"/>
              </w:rPr>
              <w:t>C-1</w:t>
            </w:r>
            <w:r w:rsidR="007E0054">
              <w:rPr>
                <w:rFonts w:ascii="Verdana" w:eastAsia="Calibri" w:hAnsi="Verdana" w:cs="Arial"/>
                <w:b/>
                <w:bCs/>
                <w:lang w:val="es-ES" w:eastAsia="es-ES"/>
              </w:rPr>
              <w:t>190</w:t>
            </w:r>
            <w:r w:rsidRPr="00226F80">
              <w:rPr>
                <w:rFonts w:ascii="Verdana" w:eastAsia="Calibri" w:hAnsi="Verdana" w:cs="Arial"/>
                <w:b/>
                <w:bCs/>
                <w:lang w:val="es-ES" w:eastAsia="es-ES"/>
              </w:rPr>
              <w:t xml:space="preserve"> de 2026</w:t>
            </w:r>
            <w:bookmarkEnd w:id="1"/>
          </w:p>
          <w:p w14:paraId="1A1147EC" w14:textId="77777777" w:rsidR="006F5D6E" w:rsidRPr="00226F80" w:rsidRDefault="006F5D6E" w:rsidP="00FB046C">
            <w:pPr>
              <w:jc w:val="both"/>
              <w:rPr>
                <w:rFonts w:ascii="Verdana" w:eastAsia="Calibri" w:hAnsi="Verdana" w:cs="Arial"/>
                <w:b/>
                <w:bCs/>
                <w:lang w:val="es-ES" w:eastAsia="es-ES"/>
              </w:rPr>
            </w:pPr>
          </w:p>
        </w:tc>
      </w:tr>
      <w:tr w:rsidR="006F5D6E" w:rsidRPr="00226F80" w14:paraId="170AE35C" w14:textId="77777777" w:rsidTr="00FB046C">
        <w:trPr>
          <w:trHeight w:val="884"/>
        </w:trPr>
        <w:tc>
          <w:tcPr>
            <w:tcW w:w="2268" w:type="dxa"/>
          </w:tcPr>
          <w:p w14:paraId="524052F1" w14:textId="77777777" w:rsidR="006F5D6E" w:rsidRPr="00226F80" w:rsidRDefault="006F5D6E" w:rsidP="00FB046C">
            <w:pPr>
              <w:jc w:val="both"/>
              <w:rPr>
                <w:rFonts w:ascii="Verdana" w:eastAsia="Calibri" w:hAnsi="Verdana" w:cs="Arial"/>
                <w:b/>
                <w:lang w:val="es-ES_tradnl" w:eastAsia="es-ES_tradnl"/>
              </w:rPr>
            </w:pPr>
            <w:r w:rsidRPr="00226F80">
              <w:rPr>
                <w:rFonts w:ascii="Verdana" w:eastAsia="Calibri" w:hAnsi="Verdana" w:cs="Arial"/>
                <w:b/>
                <w:lang w:val="es-ES_tradnl" w:eastAsia="es-ES_tradnl"/>
              </w:rPr>
              <w:t xml:space="preserve">Temas:                   </w:t>
            </w:r>
          </w:p>
        </w:tc>
        <w:tc>
          <w:tcPr>
            <w:tcW w:w="6100" w:type="dxa"/>
          </w:tcPr>
          <w:p w14:paraId="3A447BCD" w14:textId="77777777" w:rsidR="00B929D3" w:rsidRPr="0028318A" w:rsidRDefault="00B929D3" w:rsidP="00B929D3">
            <w:pPr>
              <w:snapToGrid w:val="0"/>
              <w:spacing w:line="276" w:lineRule="auto"/>
              <w:jc w:val="both"/>
              <w:rPr>
                <w:rFonts w:ascii="Verdana" w:eastAsia="Aptos" w:hAnsi="Verdana" w:cs="Times New Roman"/>
                <w:lang w:eastAsia="es-MX"/>
              </w:rPr>
            </w:pPr>
            <w:r w:rsidRPr="0028318A">
              <w:rPr>
                <w:rFonts w:ascii="Verdana" w:eastAsia="Calibri" w:hAnsi="Verdana" w:cs="Arial"/>
                <w:lang w:val="es-ES" w:eastAsia="es-ES"/>
              </w:rPr>
              <w:t xml:space="preserve">DOCUMENTOS TIPO DE INFRAESTRUCTURA SOCIAL – Generalidades / DOCUMENTOS TIPO DE INFRAESTRUCTURA SOCIAL – Aplicación – Matriz 1 – Determinación de la experiencia / </w:t>
            </w:r>
            <w:r w:rsidRPr="0028318A">
              <w:rPr>
                <w:rFonts w:ascii="Verdana" w:eastAsia="Aptos" w:hAnsi="Verdana" w:cs="Times New Roman"/>
                <w:lang w:eastAsia="es-MX"/>
              </w:rPr>
              <w:t>DOCUMENTOS TIPO DE INFRAESTRUCTURA SOCIAL – Sector institucional – Corrales comunitarios ganaderos</w:t>
            </w:r>
          </w:p>
          <w:p w14:paraId="039C1CD6" w14:textId="77777777" w:rsidR="006F5D6E" w:rsidRPr="00B929D3" w:rsidRDefault="006F5D6E" w:rsidP="00B929D3">
            <w:pPr>
              <w:widowControl w:val="0"/>
              <w:autoSpaceDE w:val="0"/>
              <w:autoSpaceDN w:val="0"/>
              <w:spacing w:line="276" w:lineRule="auto"/>
              <w:jc w:val="both"/>
              <w:rPr>
                <w:rFonts w:ascii="Verdana" w:eastAsia="Calibri" w:hAnsi="Verdana" w:cs="Arial"/>
                <w:bCs/>
                <w:lang w:eastAsia="es-ES"/>
              </w:rPr>
            </w:pPr>
          </w:p>
        </w:tc>
      </w:tr>
      <w:tr w:rsidR="006F5D6E" w:rsidRPr="00226F80" w14:paraId="64D9BC2E" w14:textId="77777777" w:rsidTr="00FB046C">
        <w:tc>
          <w:tcPr>
            <w:tcW w:w="2268" w:type="dxa"/>
          </w:tcPr>
          <w:p w14:paraId="17C0FAF2" w14:textId="77777777" w:rsidR="006F5D6E" w:rsidRPr="00226F80" w:rsidRDefault="006F5D6E" w:rsidP="00FB046C">
            <w:pPr>
              <w:jc w:val="both"/>
              <w:rPr>
                <w:rFonts w:ascii="Verdana" w:eastAsia="Calibri" w:hAnsi="Verdana" w:cs="Arial"/>
                <w:b/>
                <w:lang w:val="es-ES_tradnl" w:eastAsia="es-ES_tradnl"/>
              </w:rPr>
            </w:pPr>
            <w:r w:rsidRPr="00226F80">
              <w:rPr>
                <w:rFonts w:ascii="Verdana" w:eastAsia="Calibri" w:hAnsi="Verdana" w:cs="Arial"/>
                <w:b/>
                <w:lang w:val="es-ES_tradnl" w:eastAsia="es-ES_tradnl"/>
              </w:rPr>
              <w:t>Radicación:</w:t>
            </w:r>
            <w:r w:rsidRPr="00226F80">
              <w:rPr>
                <w:rFonts w:ascii="Verdana" w:eastAsia="Calibri" w:hAnsi="Verdana" w:cs="Arial"/>
                <w:lang w:val="es-ES_tradnl" w:eastAsia="es-ES_tradnl"/>
              </w:rPr>
              <w:t xml:space="preserve">               </w:t>
            </w:r>
          </w:p>
        </w:tc>
        <w:tc>
          <w:tcPr>
            <w:tcW w:w="6100" w:type="dxa"/>
          </w:tcPr>
          <w:p w14:paraId="6FA0B20B" w14:textId="0237397E" w:rsidR="007E0054" w:rsidRPr="007E0054" w:rsidRDefault="006F5D6E" w:rsidP="007E0054">
            <w:pPr>
              <w:ind w:left="3" w:hanging="3"/>
              <w:jc w:val="both"/>
              <w:rPr>
                <w:rFonts w:ascii="Verdana" w:eastAsia="Calibri" w:hAnsi="Verdana" w:cs="Arial"/>
                <w:lang w:val="es-ES_tradnl" w:eastAsia="es-ES_tradnl"/>
              </w:rPr>
            </w:pPr>
            <w:r w:rsidRPr="00226F80">
              <w:rPr>
                <w:rFonts w:ascii="Verdana" w:eastAsia="Calibri" w:hAnsi="Verdana" w:cs="Arial"/>
                <w:lang w:val="es-ES_tradnl" w:eastAsia="es-ES_tradnl"/>
              </w:rPr>
              <w:t xml:space="preserve">Respuesta a consulta con radicado No. </w:t>
            </w:r>
            <w:r w:rsidR="007E0054">
              <w:rPr>
                <w:rFonts w:ascii="Verdana" w:hAnsi="Verdana" w:cs="Calibri"/>
              </w:rPr>
              <w:t>1_2026_07_28_009942</w:t>
            </w:r>
          </w:p>
          <w:p w14:paraId="6167C411" w14:textId="51234955" w:rsidR="006F5D6E" w:rsidRPr="00226F80" w:rsidRDefault="006F5D6E" w:rsidP="00FB046C">
            <w:pPr>
              <w:ind w:left="3" w:hanging="3"/>
              <w:jc w:val="both"/>
              <w:rPr>
                <w:rFonts w:ascii="Verdana" w:eastAsia="Calibri" w:hAnsi="Verdana" w:cs="Arial"/>
                <w:lang w:val="es-ES_tradnl" w:eastAsia="es-ES_tradnl"/>
              </w:rPr>
            </w:pPr>
          </w:p>
        </w:tc>
      </w:tr>
    </w:tbl>
    <w:p w14:paraId="10152228" w14:textId="77777777" w:rsidR="006F5D6E" w:rsidRPr="00226F80" w:rsidRDefault="006F5D6E" w:rsidP="006F5D6E">
      <w:pPr>
        <w:spacing w:after="0" w:line="240" w:lineRule="auto"/>
        <w:jc w:val="both"/>
        <w:rPr>
          <w:rFonts w:ascii="Verdana" w:eastAsia="Calibri" w:hAnsi="Verdana" w:cs="Arial"/>
          <w:lang w:eastAsia="es-ES_tradnl"/>
        </w:rPr>
      </w:pPr>
    </w:p>
    <w:p w14:paraId="15CC0C29" w14:textId="03DC9636" w:rsidR="006F5D6E" w:rsidRPr="00226F80" w:rsidRDefault="007E0054" w:rsidP="006F5D6E">
      <w:pPr>
        <w:spacing w:after="0" w:line="276" w:lineRule="auto"/>
        <w:jc w:val="both"/>
        <w:rPr>
          <w:rFonts w:ascii="Verdana" w:eastAsia="Calibri" w:hAnsi="Verdana" w:cs="Arial"/>
          <w:lang w:val="es-ES" w:eastAsia="es-ES"/>
        </w:rPr>
      </w:pPr>
      <w:r>
        <w:rPr>
          <w:rFonts w:ascii="Verdana" w:eastAsia="Calibri" w:hAnsi="Verdana" w:cs="Arial"/>
          <w:lang w:val="es-ES" w:eastAsia="es-ES"/>
        </w:rPr>
        <w:t>Respetados señores</w:t>
      </w:r>
      <w:r w:rsidR="006F5D6E" w:rsidRPr="00226F80">
        <w:rPr>
          <w:rFonts w:ascii="Verdana" w:eastAsia="Calibri" w:hAnsi="Verdana" w:cs="Arial"/>
          <w:lang w:val="es-ES" w:eastAsia="es-ES"/>
        </w:rPr>
        <w:t xml:space="preserve">: </w:t>
      </w:r>
    </w:p>
    <w:p w14:paraId="4FFB3A24" w14:textId="77777777" w:rsidR="006F5D6E" w:rsidRPr="00226F80" w:rsidRDefault="006F5D6E" w:rsidP="006F5D6E">
      <w:pPr>
        <w:tabs>
          <w:tab w:val="left" w:pos="3768"/>
        </w:tabs>
        <w:spacing w:after="0" w:line="276" w:lineRule="auto"/>
        <w:jc w:val="both"/>
        <w:rPr>
          <w:rFonts w:ascii="Verdana" w:eastAsia="Calibri" w:hAnsi="Verdana" w:cs="Arial"/>
          <w:lang w:val="es-ES" w:eastAsia="es-ES"/>
        </w:rPr>
      </w:pPr>
      <w:r w:rsidRPr="00226F80">
        <w:rPr>
          <w:rFonts w:ascii="Verdana" w:eastAsia="Calibri" w:hAnsi="Verdana" w:cs="Arial"/>
          <w:lang w:val="es-ES" w:eastAsia="es-ES"/>
        </w:rPr>
        <w:tab/>
      </w:r>
    </w:p>
    <w:p w14:paraId="73F24839" w14:textId="701FACA0" w:rsidR="006F5D6E" w:rsidRPr="00226F80" w:rsidRDefault="006F5D6E" w:rsidP="006F5D6E">
      <w:pPr>
        <w:spacing w:after="0" w:line="276" w:lineRule="auto"/>
        <w:jc w:val="both"/>
        <w:rPr>
          <w:rFonts w:ascii="Verdana" w:eastAsia="Calibri" w:hAnsi="Verdana" w:cs="Arial"/>
          <w:lang w:val="es-ES" w:eastAsia="es-ES"/>
        </w:rPr>
      </w:pPr>
      <w:r w:rsidRPr="00226F80">
        <w:rPr>
          <w:rFonts w:ascii="Verdana" w:eastAsia="Calibri" w:hAnsi="Verdana" w:cs="Arial"/>
          <w:lang w:val="es-ES" w:eastAsia="es-ES"/>
        </w:rPr>
        <w:t>En ejercicio de la competencia otorgada por los artículos 3, numeral 5º, y 11, numeral 8º, del Decreto Ley 4170 de 2011,</w:t>
      </w:r>
      <w:r w:rsidRPr="00226F80">
        <w:rPr>
          <w:rFonts w:ascii="Verdana" w:eastAsia="Arial MT" w:hAnsi="Verdana" w:cs="Arial MT"/>
          <w:lang w:val="es-ES" w:eastAsia="es-ES"/>
        </w:rPr>
        <w:t xml:space="preserve"> </w:t>
      </w:r>
      <w:r w:rsidRPr="00226F80">
        <w:rPr>
          <w:rFonts w:ascii="Verdana" w:eastAsia="Calibri" w:hAnsi="Verdana" w:cs="Arial"/>
          <w:lang w:eastAsia="es-MX"/>
        </w:rPr>
        <w:t xml:space="preserve">así como lo establecido por la </w:t>
      </w:r>
      <w:r w:rsidRPr="00226F80">
        <w:rPr>
          <w:rFonts w:ascii="Verdana" w:eastAsia="Aptos" w:hAnsi="Verdana" w:cs="Arial"/>
          <w:bCs/>
          <w:lang w:eastAsia="es-ES" w:bidi="es-ES"/>
        </w:rPr>
        <w:t>Resolución 469 de 2025 expedida por esta Entidad</w:t>
      </w:r>
      <w:r w:rsidRPr="00226F80">
        <w:rPr>
          <w:rFonts w:ascii="Verdana" w:eastAsia="Calibri" w:hAnsi="Verdana" w:cs="Arial"/>
          <w:lang w:eastAsia="es-MX"/>
        </w:rPr>
        <w:t xml:space="preserve">, </w:t>
      </w:r>
      <w:r w:rsidRPr="00226F80">
        <w:rPr>
          <w:rFonts w:ascii="Verdana" w:eastAsia="Calibri" w:hAnsi="Verdana" w:cs="Arial"/>
          <w:lang w:val="es-ES" w:eastAsia="es-ES"/>
        </w:rPr>
        <w:t xml:space="preserve">la Agencia Nacional de Contratación Pública – Colombia Compra Eficiente– responde su solicitud de consulta del </w:t>
      </w:r>
      <w:r w:rsidR="00696170">
        <w:rPr>
          <w:rFonts w:ascii="Verdana" w:eastAsia="Calibri" w:hAnsi="Verdana" w:cs="Arial"/>
          <w:lang w:val="es-ES" w:eastAsia="es-ES"/>
        </w:rPr>
        <w:t>28</w:t>
      </w:r>
      <w:r w:rsidRPr="00226F80">
        <w:rPr>
          <w:rFonts w:ascii="Verdana" w:eastAsia="Calibri" w:hAnsi="Verdana" w:cs="Arial"/>
          <w:lang w:val="es-ES" w:eastAsia="es-ES"/>
        </w:rPr>
        <w:t xml:space="preserve"> de julio de 2026, en la cual manifiesta lo siguiente: </w:t>
      </w:r>
    </w:p>
    <w:p w14:paraId="30C9A80C" w14:textId="77777777" w:rsidR="006F5D6E" w:rsidRPr="00226F80" w:rsidRDefault="006F5D6E" w:rsidP="006F5D6E">
      <w:pPr>
        <w:tabs>
          <w:tab w:val="left" w:pos="142"/>
          <w:tab w:val="left" w:pos="284"/>
        </w:tabs>
        <w:spacing w:after="0" w:line="276" w:lineRule="auto"/>
        <w:ind w:left="709" w:right="709"/>
        <w:jc w:val="both"/>
        <w:rPr>
          <w:rFonts w:ascii="Verdana" w:eastAsia="Century Gothic" w:hAnsi="Verdana" w:cs="Century Gothic"/>
          <w:b/>
          <w:bCs/>
          <w:lang w:val="es-ES" w:eastAsia="es-MX"/>
        </w:rPr>
      </w:pPr>
    </w:p>
    <w:p w14:paraId="19A466E6" w14:textId="0A412349" w:rsidR="00D469B4" w:rsidRPr="00D469B4" w:rsidRDefault="006F5D6E" w:rsidP="00D469B4">
      <w:pPr>
        <w:spacing w:after="0" w:line="240" w:lineRule="auto"/>
        <w:ind w:left="709" w:right="709"/>
        <w:jc w:val="both"/>
        <w:rPr>
          <w:rFonts w:ascii="Verdana" w:hAnsi="Verdana"/>
          <w:i/>
          <w:iCs/>
          <w:sz w:val="21"/>
          <w:szCs w:val="21"/>
        </w:rPr>
      </w:pPr>
      <w:r w:rsidRPr="00D469B4">
        <w:rPr>
          <w:rFonts w:ascii="Verdana" w:eastAsia="Times New Roman" w:hAnsi="Verdana" w:cs="Times New Roman"/>
          <w:i/>
          <w:color w:val="242424"/>
          <w:sz w:val="21"/>
          <w:szCs w:val="21"/>
          <w:lang w:eastAsia="es-MX"/>
        </w:rPr>
        <w:t>“</w:t>
      </w:r>
      <w:r w:rsidR="003D27D2">
        <w:rPr>
          <w:rFonts w:ascii="Verdana" w:eastAsia="Times New Roman" w:hAnsi="Verdana" w:cs="Times New Roman"/>
          <w:i/>
          <w:color w:val="242424"/>
          <w:sz w:val="21"/>
          <w:szCs w:val="21"/>
          <w:lang w:eastAsia="es-MX"/>
        </w:rPr>
        <w:t xml:space="preserve">[…] </w:t>
      </w:r>
      <w:r w:rsidR="00D469B4" w:rsidRPr="00D469B4">
        <w:rPr>
          <w:rFonts w:ascii="Verdana" w:hAnsi="Verdana"/>
          <w:i/>
          <w:iCs/>
          <w:sz w:val="21"/>
          <w:szCs w:val="21"/>
        </w:rPr>
        <w:t xml:space="preserve">Se realizarán diferentes obras publicas entre las que </w:t>
      </w:r>
      <w:r w:rsidR="00D469B4" w:rsidRPr="003525C4">
        <w:rPr>
          <w:rFonts w:ascii="Verdana" w:hAnsi="Verdana"/>
          <w:i/>
          <w:iCs/>
          <w:sz w:val="21"/>
          <w:szCs w:val="21"/>
        </w:rPr>
        <w:t>están la construcción de corrales de ganado y mantenimiento a una manga de coleo</w:t>
      </w:r>
      <w:r w:rsidR="00D469B4" w:rsidRPr="00D469B4">
        <w:rPr>
          <w:rFonts w:ascii="Verdana" w:hAnsi="Verdana"/>
          <w:i/>
          <w:iCs/>
          <w:sz w:val="21"/>
          <w:szCs w:val="21"/>
        </w:rPr>
        <w:t xml:space="preserve"> de propiedad del municipio de Paya, pero al revisar la matriz de experiencia dentro de los pliegos tipo de infraestructura social no se Encuentra identificado, se solicita a esa entidad se me informe lo siguiente:</w:t>
      </w:r>
    </w:p>
    <w:p w14:paraId="530C4A57" w14:textId="77777777" w:rsidR="00D469B4" w:rsidRPr="00D469B4" w:rsidRDefault="00D469B4" w:rsidP="00D469B4">
      <w:pPr>
        <w:spacing w:after="0" w:line="240" w:lineRule="auto"/>
        <w:ind w:left="709" w:right="709"/>
        <w:jc w:val="both"/>
        <w:rPr>
          <w:rFonts w:ascii="Verdana" w:hAnsi="Verdana"/>
          <w:i/>
          <w:iCs/>
          <w:sz w:val="21"/>
          <w:szCs w:val="21"/>
        </w:rPr>
      </w:pPr>
      <w:r w:rsidRPr="00D469B4">
        <w:rPr>
          <w:rFonts w:ascii="Verdana" w:hAnsi="Verdana"/>
          <w:i/>
          <w:iCs/>
          <w:sz w:val="21"/>
          <w:szCs w:val="21"/>
        </w:rPr>
        <w:t>1. Se debe utilizar este pliego tipo de licitación pública de infraestructura social para este tipo de obra como lo es la construcción de corrales de ganado y el mantenimiento a la manga de coleo.</w:t>
      </w:r>
    </w:p>
    <w:p w14:paraId="198CBBB5" w14:textId="14251819" w:rsidR="00D469B4" w:rsidRPr="00D469B4" w:rsidRDefault="00D469B4" w:rsidP="00D469B4">
      <w:pPr>
        <w:spacing w:after="0" w:line="240" w:lineRule="auto"/>
        <w:ind w:left="709" w:right="709"/>
        <w:jc w:val="both"/>
        <w:rPr>
          <w:rFonts w:ascii="Verdana" w:hAnsi="Verdana"/>
          <w:i/>
          <w:iCs/>
          <w:sz w:val="21"/>
          <w:szCs w:val="21"/>
        </w:rPr>
      </w:pPr>
      <w:r w:rsidRPr="00D469B4">
        <w:rPr>
          <w:rFonts w:ascii="Verdana" w:hAnsi="Verdana"/>
          <w:i/>
          <w:iCs/>
          <w:sz w:val="21"/>
          <w:szCs w:val="21"/>
        </w:rPr>
        <w:lastRenderedPageBreak/>
        <w:t>2. De ser afirmativo se me indique dentro de la matriz de experiencia cual sería la de incluir en los documentos tipo para que los oferentes presenten la oferta respectiva</w:t>
      </w:r>
      <w:r w:rsidR="003525C4">
        <w:rPr>
          <w:rFonts w:ascii="Verdana" w:hAnsi="Verdana"/>
          <w:i/>
          <w:iCs/>
          <w:sz w:val="21"/>
          <w:szCs w:val="21"/>
        </w:rPr>
        <w:t xml:space="preserve"> […]</w:t>
      </w:r>
      <w:r>
        <w:rPr>
          <w:rFonts w:ascii="Verdana" w:hAnsi="Verdana"/>
          <w:i/>
          <w:iCs/>
          <w:sz w:val="21"/>
          <w:szCs w:val="21"/>
        </w:rPr>
        <w:t>”</w:t>
      </w:r>
      <w:r w:rsidRPr="00D469B4">
        <w:rPr>
          <w:rFonts w:ascii="Verdana" w:hAnsi="Verdana"/>
          <w:i/>
          <w:iCs/>
          <w:sz w:val="21"/>
          <w:szCs w:val="21"/>
        </w:rPr>
        <w:t>.</w:t>
      </w:r>
    </w:p>
    <w:p w14:paraId="43409938" w14:textId="4709C8E6" w:rsidR="006F5D6E" w:rsidRDefault="006F5D6E" w:rsidP="006F5D6E">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226F80">
        <w:rPr>
          <w:rFonts w:ascii="Verdana" w:eastAsia="Aptos" w:hAnsi="Verdana" w:cs="Times New Roman"/>
          <w:kern w:val="2"/>
          <w:sz w:val="20"/>
          <w:szCs w:val="20"/>
          <w14:ligatures w14:val="standardContextual"/>
        </w:rPr>
        <w:t xml:space="preserve"> </w:t>
      </w:r>
    </w:p>
    <w:p w14:paraId="131109F7" w14:textId="77777777" w:rsidR="00627E78" w:rsidRPr="00226F80" w:rsidRDefault="00627E78" w:rsidP="00627E78">
      <w:pPr>
        <w:spacing w:after="120" w:line="276" w:lineRule="auto"/>
        <w:ind w:firstLine="709"/>
        <w:jc w:val="both"/>
        <w:rPr>
          <w:rFonts w:ascii="Verdana" w:eastAsia="Calibri" w:hAnsi="Verdana" w:cs="Arial"/>
          <w:color w:val="000000"/>
          <w:lang w:val="es-ES" w:eastAsia="es-ES"/>
        </w:rPr>
      </w:pPr>
      <w:r w:rsidRPr="00226F80">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26F80">
        <w:rPr>
          <w:rFonts w:ascii="Verdana" w:eastAsia="Calibri" w:hAnsi="Verdana" w:cs="Arial"/>
          <w:color w:val="000000"/>
          <w:lang w:val="es-ES_tradnl" w:eastAsia="es-ES_tradnl"/>
        </w:rPr>
        <w:tab/>
      </w:r>
    </w:p>
    <w:p w14:paraId="0FB8172F" w14:textId="77777777" w:rsidR="00627E78" w:rsidRPr="00226F80" w:rsidRDefault="00627E78" w:rsidP="00627E78">
      <w:pPr>
        <w:spacing w:after="120" w:line="276" w:lineRule="auto"/>
        <w:ind w:firstLine="709"/>
        <w:jc w:val="both"/>
        <w:rPr>
          <w:rFonts w:ascii="Verdana" w:eastAsia="Calibri" w:hAnsi="Verdana" w:cs="Arial"/>
          <w:color w:val="000000"/>
          <w:lang w:val="es-ES" w:eastAsia="es-ES"/>
        </w:rPr>
      </w:pPr>
      <w:r w:rsidRPr="00226F80">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226F80">
        <w:rPr>
          <w:rFonts w:ascii="Verdana" w:eastAsia="Calibri" w:hAnsi="Verdana" w:cs="Arial"/>
          <w:color w:val="7030A0"/>
          <w:lang w:val="es-ES" w:eastAsia="es-ES"/>
        </w:rPr>
        <w:t xml:space="preserve"> </w:t>
      </w:r>
      <w:r w:rsidRPr="00226F80">
        <w:rPr>
          <w:rFonts w:ascii="Verdana" w:eastAsia="Calibri" w:hAnsi="Verdana" w:cs="Arial"/>
          <w:color w:val="000000"/>
          <w:lang w:val="es-ES" w:eastAsia="es-ES"/>
        </w:rPr>
        <w:t>problema</w:t>
      </w:r>
      <w:r w:rsidRPr="00226F80">
        <w:rPr>
          <w:rFonts w:ascii="Verdana" w:eastAsia="Calibri" w:hAnsi="Verdana" w:cs="Arial"/>
          <w:color w:val="7030A0"/>
          <w:lang w:val="es-ES" w:eastAsia="es-ES"/>
        </w:rPr>
        <w:t xml:space="preserve"> </w:t>
      </w:r>
      <w:r w:rsidRPr="00226F80">
        <w:rPr>
          <w:rFonts w:ascii="Verdana" w:eastAsia="Calibri" w:hAnsi="Verdana" w:cs="Arial"/>
          <w:color w:val="000000"/>
          <w:lang w:val="es-ES" w:eastAsia="es-ES"/>
        </w:rPr>
        <w:t>jurídico</w:t>
      </w:r>
      <w:r w:rsidRPr="00226F80">
        <w:rPr>
          <w:rFonts w:ascii="Verdana" w:eastAsia="Calibri" w:hAnsi="Verdana" w:cs="Arial"/>
          <w:color w:val="7030A0"/>
          <w:lang w:val="es-ES" w:eastAsia="es-ES"/>
        </w:rPr>
        <w:t xml:space="preserve"> </w:t>
      </w:r>
      <w:r w:rsidRPr="00226F80">
        <w:rPr>
          <w:rFonts w:ascii="Verdana" w:eastAsia="Calibri" w:hAnsi="Verdana" w:cs="Arial"/>
          <w:color w:val="000000"/>
          <w:lang w:val="es-ES" w:eastAsia="es-ES"/>
        </w:rPr>
        <w:t xml:space="preserve">de su consulta. </w:t>
      </w:r>
    </w:p>
    <w:p w14:paraId="245E205F" w14:textId="77777777" w:rsidR="00627E78" w:rsidRPr="00226F80" w:rsidRDefault="00627E78" w:rsidP="00627E78">
      <w:pPr>
        <w:spacing w:after="120" w:line="276" w:lineRule="auto"/>
        <w:ind w:firstLine="709"/>
        <w:jc w:val="both"/>
        <w:rPr>
          <w:rFonts w:ascii="Verdana" w:eastAsia="Calibri" w:hAnsi="Verdana" w:cs="Arial"/>
          <w:lang w:val="es-ES" w:eastAsia="es-ES"/>
        </w:rPr>
      </w:pPr>
    </w:p>
    <w:p w14:paraId="4A0C9C20" w14:textId="77777777" w:rsidR="00627E78" w:rsidRPr="00226F80" w:rsidRDefault="00627E78" w:rsidP="00627E78">
      <w:pPr>
        <w:numPr>
          <w:ilvl w:val="0"/>
          <w:numId w:val="16"/>
        </w:numPr>
        <w:tabs>
          <w:tab w:val="left" w:pos="142"/>
          <w:tab w:val="left" w:pos="284"/>
        </w:tabs>
        <w:spacing w:after="120" w:line="276" w:lineRule="auto"/>
        <w:ind w:left="0" w:firstLine="709"/>
        <w:jc w:val="both"/>
        <w:rPr>
          <w:rFonts w:ascii="Verdana" w:eastAsia="Century Gothic" w:hAnsi="Verdana" w:cs="Century Gothic"/>
          <w:b/>
          <w:bCs/>
          <w:lang w:eastAsia="es-MX"/>
        </w:rPr>
      </w:pPr>
      <w:r w:rsidRPr="00226F80">
        <w:rPr>
          <w:rFonts w:ascii="Verdana" w:eastAsia="Century Gothic" w:hAnsi="Verdana" w:cs="Century Gothic"/>
          <w:b/>
          <w:bCs/>
          <w:lang w:eastAsia="es-MX"/>
        </w:rPr>
        <w:t>Problema planteado:</w:t>
      </w:r>
    </w:p>
    <w:p w14:paraId="60CE59A1" w14:textId="77777777" w:rsidR="00627E78" w:rsidRPr="00226F80" w:rsidRDefault="00627E78" w:rsidP="00627E78">
      <w:pPr>
        <w:spacing w:after="120" w:line="276" w:lineRule="auto"/>
        <w:ind w:firstLine="709"/>
        <w:jc w:val="both"/>
        <w:rPr>
          <w:rFonts w:ascii="Verdana" w:eastAsia="Century Gothic" w:hAnsi="Verdana" w:cs="Century Gothic"/>
          <w:lang w:val="es-ES" w:eastAsia="es-MX"/>
        </w:rPr>
      </w:pPr>
    </w:p>
    <w:p w14:paraId="2AFEABB7" w14:textId="492176EC" w:rsidR="00FA55C5" w:rsidRPr="00226F80" w:rsidRDefault="00627E78" w:rsidP="00FA55C5">
      <w:pPr>
        <w:spacing w:after="120" w:line="276" w:lineRule="auto"/>
        <w:ind w:firstLine="709"/>
        <w:jc w:val="both"/>
        <w:rPr>
          <w:rFonts w:ascii="Verdana" w:eastAsia="Aptos" w:hAnsi="Verdana" w:cs="Times New Roman"/>
        </w:rPr>
      </w:pPr>
      <w:r w:rsidRPr="00226F80">
        <w:rPr>
          <w:rFonts w:ascii="Verdana" w:eastAsia="Aptos" w:hAnsi="Verdana" w:cs="Times New Roman"/>
        </w:rPr>
        <w:t xml:space="preserve">De acuerdo con el contenido de su solicitud, esta Agencia resolverá </w:t>
      </w:r>
      <w:r w:rsidR="001835A9">
        <w:rPr>
          <w:rFonts w:ascii="Verdana" w:eastAsia="Aptos" w:hAnsi="Verdana" w:cs="Times New Roman"/>
        </w:rPr>
        <w:t>e</w:t>
      </w:r>
      <w:r w:rsidRPr="00226F80">
        <w:rPr>
          <w:rFonts w:ascii="Verdana" w:eastAsia="Aptos" w:hAnsi="Verdana" w:cs="Times New Roman"/>
        </w:rPr>
        <w:t>l</w:t>
      </w:r>
      <w:r w:rsidR="001835A9">
        <w:rPr>
          <w:rFonts w:ascii="Verdana" w:eastAsia="Aptos" w:hAnsi="Verdana" w:cs="Times New Roman"/>
        </w:rPr>
        <w:t xml:space="preserve"> </w:t>
      </w:r>
      <w:r w:rsidRPr="00226F80">
        <w:rPr>
          <w:rFonts w:ascii="Verdana" w:eastAsia="Aptos" w:hAnsi="Verdana" w:cs="Times New Roman"/>
        </w:rPr>
        <w:t>siguiente problema jurídico, en relación con los documentos tipo de obra pública de infraestructura social:</w:t>
      </w:r>
      <w:r w:rsidR="00FA55C5">
        <w:rPr>
          <w:rFonts w:ascii="Verdana" w:eastAsia="Aptos" w:hAnsi="Verdana" w:cs="Times New Roman"/>
        </w:rPr>
        <w:t xml:space="preserve"> </w:t>
      </w:r>
      <w:r w:rsidR="00FA55C5" w:rsidRPr="00FA55C5">
        <w:rPr>
          <w:rFonts w:ascii="Verdana" w:eastAsia="Aptos" w:hAnsi="Verdana" w:cs="Times New Roman"/>
        </w:rPr>
        <w:t>¿Qué Documento Tipo y actividad de la Matriz de Experiencia resultan aplicables a la construcción de corrales de ganado y al mantenimiento de una manga de coleo?</w:t>
      </w:r>
    </w:p>
    <w:p w14:paraId="38BB7464" w14:textId="77777777" w:rsidR="00627E78" w:rsidRPr="00226F80" w:rsidRDefault="00627E78" w:rsidP="00627E78">
      <w:pPr>
        <w:spacing w:after="0" w:line="276" w:lineRule="auto"/>
        <w:jc w:val="both"/>
        <w:rPr>
          <w:rFonts w:ascii="Verdana" w:eastAsia="Times New Roman" w:hAnsi="Verdana" w:cs="Times New Roman"/>
          <w:lang w:eastAsia="es-MX"/>
        </w:rPr>
      </w:pPr>
    </w:p>
    <w:p w14:paraId="0A6CF108" w14:textId="77777777" w:rsidR="00627E78" w:rsidRDefault="00627E78" w:rsidP="00627E78">
      <w:pPr>
        <w:tabs>
          <w:tab w:val="left" w:pos="142"/>
          <w:tab w:val="left" w:pos="284"/>
        </w:tabs>
        <w:spacing w:after="0" w:line="276" w:lineRule="auto"/>
        <w:contextualSpacing/>
        <w:jc w:val="both"/>
        <w:rPr>
          <w:rFonts w:ascii="Verdana" w:eastAsia="Century Gothic" w:hAnsi="Verdana" w:cs="Century Gothic"/>
          <w:b/>
          <w:bCs/>
          <w:lang w:val="es-ES" w:eastAsia="es-MX"/>
        </w:rPr>
      </w:pPr>
      <w:r w:rsidRPr="00226F80">
        <w:rPr>
          <w:rFonts w:ascii="Verdana" w:eastAsia="Century Gothic" w:hAnsi="Verdana" w:cs="Century Gothic"/>
          <w:b/>
          <w:bCs/>
          <w:lang w:val="es-ES" w:eastAsia="es-MX"/>
        </w:rPr>
        <w:t>2. Respuestas:</w:t>
      </w:r>
    </w:p>
    <w:p w14:paraId="7A9F7735" w14:textId="77777777" w:rsidR="00AE4421" w:rsidRDefault="00AE4421" w:rsidP="00627E78">
      <w:pPr>
        <w:tabs>
          <w:tab w:val="left" w:pos="142"/>
          <w:tab w:val="left" w:pos="284"/>
        </w:tabs>
        <w:spacing w:after="0" w:line="276" w:lineRule="auto"/>
        <w:contextualSpacing/>
        <w:jc w:val="both"/>
        <w:rPr>
          <w:rFonts w:ascii="Verdana" w:eastAsia="Century Gothic" w:hAnsi="Verdana" w:cs="Century Gothic"/>
          <w:b/>
          <w:bCs/>
          <w:lang w:val="es-ES" w:eastAsia="es-MX"/>
        </w:rPr>
      </w:pPr>
    </w:p>
    <w:p w14:paraId="456D5060" w14:textId="5639A409" w:rsidR="00376FBA" w:rsidRDefault="00F4691E" w:rsidP="00FD6F09">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Calibri" w:hAnsi="Verdana" w:cs="Times New Roman"/>
          <w:lang w:val="es-ES" w:eastAsia="es-MX"/>
        </w:rPr>
      </w:pPr>
      <w:r>
        <w:rPr>
          <w:rFonts w:ascii="Verdana" w:eastAsia="Calibri" w:hAnsi="Verdana" w:cs="Times New Roman"/>
          <w:lang w:val="es-ES" w:eastAsia="es-MX"/>
        </w:rPr>
        <w:lastRenderedPageBreak/>
        <w:t>La obligatoriedad de los Documentos Tipo de Infraestructura Social se fundamenta en el artículo 1 de la Ley 2022 de 2020, que modificó el artículo 4 de la Ley 1882 de 2018 y otorgó a la Agencia Nacional de Contratación Pública – Colombia Compra Eficiente</w:t>
      </w:r>
      <w:r w:rsidR="00AA6152">
        <w:rPr>
          <w:rFonts w:ascii="Verdana" w:eastAsia="Calibri" w:hAnsi="Verdana" w:cs="Times New Roman"/>
          <w:lang w:val="es-ES" w:eastAsia="es-MX"/>
        </w:rPr>
        <w:t xml:space="preserve"> (ANCP-CCE)</w:t>
      </w:r>
      <w:r w:rsidR="00345FF9">
        <w:rPr>
          <w:rFonts w:ascii="Verdana" w:eastAsia="Calibri" w:hAnsi="Verdana" w:cs="Times New Roman"/>
          <w:lang w:val="es-ES" w:eastAsia="es-MX"/>
        </w:rPr>
        <w:t xml:space="preserve"> </w:t>
      </w:r>
      <w:r w:rsidR="0099307C">
        <w:rPr>
          <w:rFonts w:ascii="Verdana" w:eastAsia="Calibri" w:hAnsi="Verdana" w:cs="Times New Roman"/>
          <w:lang w:val="es-ES" w:eastAsia="es-MX"/>
        </w:rPr>
        <w:t xml:space="preserve">la competencia para adoptar documentos tipo de obligatorio cumplimiento para las entidades sometidas al Estatuto General de Contratación de la Administración </w:t>
      </w:r>
      <w:r w:rsidR="00FD6F09">
        <w:rPr>
          <w:rFonts w:ascii="Verdana" w:eastAsia="Calibri" w:hAnsi="Verdana" w:cs="Times New Roman"/>
          <w:lang w:val="es-ES" w:eastAsia="es-MX"/>
        </w:rPr>
        <w:t xml:space="preserve">Pública. </w:t>
      </w:r>
    </w:p>
    <w:p w14:paraId="0C78746C" w14:textId="39C6BC95" w:rsidR="00FD6F09" w:rsidRDefault="00FD6F09" w:rsidP="00FD6F09">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Calibri" w:hAnsi="Verdana" w:cs="Times New Roman"/>
          <w:lang w:val="es-ES" w:eastAsia="es-MX"/>
        </w:rPr>
      </w:pPr>
      <w:r>
        <w:rPr>
          <w:rFonts w:ascii="Verdana" w:eastAsia="Calibri" w:hAnsi="Verdana" w:cs="Times New Roman"/>
          <w:lang w:val="es-ES" w:eastAsia="es-MX"/>
        </w:rPr>
        <w:t xml:space="preserve">Mediante las Resoluciones </w:t>
      </w:r>
      <w:r w:rsidR="005D0039">
        <w:rPr>
          <w:rFonts w:ascii="Verdana" w:eastAsia="Calibri" w:hAnsi="Verdana" w:cs="Times New Roman"/>
          <w:lang w:val="es-ES" w:eastAsia="es-MX"/>
        </w:rPr>
        <w:t xml:space="preserve">539, 540 y 541 de agosto de 2025 (Licitación </w:t>
      </w:r>
      <w:r w:rsidR="00631E8E">
        <w:rPr>
          <w:rFonts w:ascii="Verdana" w:eastAsia="Calibri" w:hAnsi="Verdana" w:cs="Times New Roman"/>
          <w:lang w:val="es-ES" w:eastAsia="es-MX"/>
        </w:rPr>
        <w:t>p</w:t>
      </w:r>
      <w:r w:rsidR="005D0039">
        <w:rPr>
          <w:rFonts w:ascii="Verdana" w:eastAsia="Calibri" w:hAnsi="Verdana" w:cs="Times New Roman"/>
          <w:lang w:val="es-ES" w:eastAsia="es-MX"/>
        </w:rPr>
        <w:t>ública, selección abreviada de menor cuantía</w:t>
      </w:r>
      <w:r w:rsidR="005C7F47">
        <w:rPr>
          <w:rFonts w:ascii="Verdana" w:eastAsia="Calibri" w:hAnsi="Verdana" w:cs="Times New Roman"/>
          <w:lang w:val="es-ES" w:eastAsia="es-MX"/>
        </w:rPr>
        <w:t xml:space="preserve"> y mínima cuantía, respectivamente) y las Resoluciones 952 y 953 de diciembre de 2025 (consultoría</w:t>
      </w:r>
      <w:r w:rsidR="00631E8E">
        <w:rPr>
          <w:rFonts w:ascii="Verdana" w:eastAsia="Calibri" w:hAnsi="Verdana" w:cs="Times New Roman"/>
          <w:lang w:val="es-ES" w:eastAsia="es-MX"/>
        </w:rPr>
        <w:t xml:space="preserve"> e interventoría), la ANCP-CCE</w:t>
      </w:r>
      <w:r w:rsidR="00CB6955">
        <w:rPr>
          <w:rFonts w:ascii="Verdana" w:eastAsia="Calibri" w:hAnsi="Verdana" w:cs="Times New Roman"/>
          <w:lang w:val="es-ES" w:eastAsia="es-MX"/>
        </w:rPr>
        <w:t xml:space="preserve"> adoptó los Documentos Tipo aplicables a proyectos de infraestructura</w:t>
      </w:r>
      <w:r w:rsidR="00D34000">
        <w:rPr>
          <w:rFonts w:ascii="Verdana" w:eastAsia="Calibri" w:hAnsi="Verdana" w:cs="Times New Roman"/>
          <w:lang w:val="es-ES" w:eastAsia="es-MX"/>
        </w:rPr>
        <w:t xml:space="preserve"> socia</w:t>
      </w:r>
      <w:r w:rsidR="005D1BFF">
        <w:rPr>
          <w:rFonts w:ascii="Verdana" w:eastAsia="Calibri" w:hAnsi="Verdana" w:cs="Times New Roman"/>
          <w:lang w:val="es-ES" w:eastAsia="es-MX"/>
        </w:rPr>
        <w:t xml:space="preserve">l en los sectores educativo, salud, cultura, recreación y deporte, institucional y vivienda, exigibles para los procesos cuyo aviso de convocatoria se publique a partir del 16 de febrero de 2026. </w:t>
      </w:r>
    </w:p>
    <w:p w14:paraId="08B3B9D2" w14:textId="374DF3B7" w:rsidR="005D1BFF" w:rsidRDefault="005D1BFF" w:rsidP="00FD6F09">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Calibri" w:hAnsi="Verdana" w:cs="Times New Roman"/>
          <w:lang w:val="es-ES" w:eastAsia="es-MX"/>
        </w:rPr>
      </w:pPr>
      <w:r>
        <w:rPr>
          <w:rFonts w:ascii="Verdana" w:eastAsia="Calibri" w:hAnsi="Verdana" w:cs="Times New Roman"/>
          <w:lang w:val="es-ES" w:eastAsia="es-MX"/>
        </w:rPr>
        <w:t>La procedencia de estos documentos en un caso concreto no depende del nombre que la entidad le dé al proyecto</w:t>
      </w:r>
      <w:r w:rsidR="00C50BE1">
        <w:rPr>
          <w:rFonts w:ascii="Verdana" w:eastAsia="Calibri" w:hAnsi="Verdana" w:cs="Times New Roman"/>
          <w:lang w:val="es-ES" w:eastAsia="es-MX"/>
        </w:rPr>
        <w:t>, sino de si su objeto y alcance real encaja</w:t>
      </w:r>
      <w:r w:rsidR="005725EA">
        <w:rPr>
          <w:rFonts w:ascii="Verdana" w:eastAsia="Calibri" w:hAnsi="Verdana" w:cs="Times New Roman"/>
          <w:lang w:val="es-ES" w:eastAsia="es-MX"/>
        </w:rPr>
        <w:t xml:space="preserve">n en alguno de los Documentos Tipo expedidos por parte de la ANCP-CCE, en este caso el del Sector Social Institucional, según las definiciones del Anexo Glosario del sector y las matrices de experiencia adoptadas. </w:t>
      </w:r>
    </w:p>
    <w:p w14:paraId="0DB14B98" w14:textId="56E488EC" w:rsidR="00376FBA" w:rsidRDefault="005725EA" w:rsidP="009D0765">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Calibri" w:hAnsi="Verdana" w:cs="Times New Roman"/>
          <w:lang w:val="es-ES" w:eastAsia="es-MX"/>
        </w:rPr>
      </w:pPr>
      <w:r>
        <w:rPr>
          <w:rFonts w:ascii="Verdana" w:eastAsia="Calibri" w:hAnsi="Verdana" w:cs="Times New Roman"/>
          <w:lang w:val="es-ES" w:eastAsia="es-MX"/>
        </w:rPr>
        <w:t xml:space="preserve">La </w:t>
      </w:r>
      <w:r w:rsidR="009D0765">
        <w:rPr>
          <w:rFonts w:ascii="Verdana" w:eastAsia="Calibri" w:hAnsi="Verdana" w:cs="Times New Roman"/>
          <w:lang w:val="es-ES" w:eastAsia="es-MX"/>
        </w:rPr>
        <w:t xml:space="preserve">respuesta a la consulta depende de que se va a construir efectivamente, se identifican dos escenarios, con consecuencias jurídicas distintas: </w:t>
      </w:r>
    </w:p>
    <w:p w14:paraId="0F5108F0" w14:textId="77777777" w:rsidR="009D0765" w:rsidRPr="009D0765" w:rsidRDefault="009D0765" w:rsidP="009D0765">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Calibri" w:hAnsi="Verdana" w:cs="Times New Roman"/>
          <w:lang w:val="es-ES" w:eastAsia="es-MX"/>
        </w:rPr>
      </w:pPr>
    </w:p>
    <w:p w14:paraId="5515AF32" w14:textId="7B317B66" w:rsidR="00376FBA" w:rsidRDefault="00376FBA" w:rsidP="00376FBA">
      <w:pPr>
        <w:pBdr>
          <w:top w:val="single" w:sz="4" w:space="1" w:color="auto"/>
          <w:left w:val="single" w:sz="4" w:space="4" w:color="auto"/>
          <w:bottom w:val="single" w:sz="4" w:space="1" w:color="auto"/>
          <w:right w:val="single" w:sz="4" w:space="4" w:color="auto"/>
        </w:pBdr>
        <w:snapToGrid w:val="0"/>
        <w:spacing w:line="276" w:lineRule="auto"/>
        <w:jc w:val="both"/>
        <w:rPr>
          <w:rFonts w:ascii="Verdana" w:eastAsia="Aptos" w:hAnsi="Verdana" w:cs="Times New Roman"/>
          <w:b/>
          <w:bCs/>
        </w:rPr>
      </w:pPr>
      <w:r w:rsidRPr="0028318A">
        <w:rPr>
          <w:rFonts w:ascii="Verdana" w:eastAsia="Aptos" w:hAnsi="Verdana" w:cs="Times New Roman"/>
          <w:b/>
          <w:bCs/>
        </w:rPr>
        <w:t>i) Escenario 1 — El proyecto consiste únicamente en corrales:</w:t>
      </w:r>
    </w:p>
    <w:p w14:paraId="2A2CF825"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line="276" w:lineRule="auto"/>
        <w:jc w:val="both"/>
        <w:rPr>
          <w:rFonts w:ascii="Verdana" w:eastAsia="Aptos" w:hAnsi="Verdana" w:cs="Times New Roman"/>
          <w:b/>
          <w:bCs/>
        </w:rPr>
      </w:pPr>
    </w:p>
    <w:p w14:paraId="3BEF0022"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Aptos" w:hAnsi="Verdana" w:cs="Times New Roman"/>
        </w:rPr>
      </w:pPr>
      <w:r w:rsidRPr="0028318A">
        <w:rPr>
          <w:rFonts w:ascii="Verdana" w:eastAsia="Aptos" w:hAnsi="Verdana" w:cs="Times New Roman"/>
        </w:rPr>
        <w:t xml:space="preserve">Si el alcance contractual se limita a corrales, mangas, bretes, embarcaderos y demás estructuras destinadas al manejo de ganado, sin edificaciones complementarias de atención al público, los Documentos Tipo de Infraestructura Social no resultan aplicables. La definición 2.76 del Glosario (Edificación de Atención a la Comunidad) exige que el equipamiento esté destinado a atender emergencias y preservar la salud y la seguridad de personas y animales —estaciones de bomberos, cuarteles de policía y fuerzas militares, instalaciones de salud, sedes de organismos operativos de emergencias, entre otros similares—. </w:t>
      </w:r>
    </w:p>
    <w:p w14:paraId="5AE4F290"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Aptos" w:hAnsi="Verdana" w:cs="Times New Roman"/>
        </w:rPr>
      </w:pPr>
      <w:r w:rsidRPr="0028318A">
        <w:rPr>
          <w:rFonts w:ascii="Verdana" w:eastAsia="Aptos" w:hAnsi="Verdana" w:cs="Times New Roman"/>
        </w:rPr>
        <w:lastRenderedPageBreak/>
        <w:t>Un corral cuya función es alojar y manejar ganado para actividades productivas o asociativas no cumple esa finalidad de atención de emergencias o de servicio comunitario institucional, por lo que no encaja, por sí solo, en el sector institucional.</w:t>
      </w:r>
    </w:p>
    <w:p w14:paraId="1C3A72D4"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line="276" w:lineRule="auto"/>
        <w:ind w:firstLine="709"/>
        <w:jc w:val="both"/>
        <w:rPr>
          <w:rFonts w:ascii="Verdana" w:eastAsia="Aptos" w:hAnsi="Verdana" w:cs="Times New Roman"/>
        </w:rPr>
      </w:pPr>
      <w:r w:rsidRPr="0028318A">
        <w:rPr>
          <w:rFonts w:ascii="Verdana" w:eastAsia="Aptos" w:hAnsi="Verdana" w:cs="Times New Roman"/>
        </w:rPr>
        <w:t>En este escenario, la entidad debe estructurar el proceso bajo el régimen general de contratación (estudios previos y pliegos propios), sin perjuicio de que pueda tomar como referencia voluntaria el contenido de los Documentos Tipo si lo considera útil para la definición de requisitos habilitantes, sin que ello implique obligatoriedad.</w:t>
      </w:r>
    </w:p>
    <w:p w14:paraId="0953F3CE"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line="276" w:lineRule="auto"/>
        <w:ind w:firstLine="709"/>
        <w:jc w:val="both"/>
        <w:rPr>
          <w:rFonts w:ascii="Verdana" w:eastAsia="Aptos" w:hAnsi="Verdana" w:cs="Times New Roman"/>
        </w:rPr>
      </w:pPr>
    </w:p>
    <w:p w14:paraId="616801F3" w14:textId="77777777" w:rsidR="009D0765" w:rsidRDefault="00376FBA" w:rsidP="009D0765">
      <w:pPr>
        <w:pBdr>
          <w:top w:val="single" w:sz="4" w:space="1" w:color="auto"/>
          <w:left w:val="single" w:sz="4" w:space="4" w:color="auto"/>
          <w:bottom w:val="single" w:sz="4" w:space="1" w:color="auto"/>
          <w:right w:val="single" w:sz="4" w:space="4" w:color="auto"/>
        </w:pBdr>
        <w:snapToGrid w:val="0"/>
        <w:spacing w:line="276" w:lineRule="auto"/>
        <w:jc w:val="both"/>
        <w:rPr>
          <w:rFonts w:ascii="Verdana" w:eastAsia="Aptos" w:hAnsi="Verdana" w:cs="Times New Roman"/>
          <w:b/>
          <w:bCs/>
        </w:rPr>
      </w:pPr>
      <w:r w:rsidRPr="0028318A">
        <w:rPr>
          <w:rFonts w:ascii="Verdana" w:eastAsia="Aptos" w:hAnsi="Verdana" w:cs="Times New Roman"/>
          <w:b/>
          <w:bCs/>
        </w:rPr>
        <w:t>ii) Escenario 2 — El proyecto incluye una edificación de atención a la comunidad:</w:t>
      </w:r>
    </w:p>
    <w:p w14:paraId="1D7976E7" w14:textId="70149A15" w:rsidR="00376FBA" w:rsidRPr="009D0765" w:rsidRDefault="00376FBA" w:rsidP="009D0765">
      <w:pPr>
        <w:pBdr>
          <w:top w:val="single" w:sz="4" w:space="1" w:color="auto"/>
          <w:left w:val="single" w:sz="4" w:space="4" w:color="auto"/>
          <w:bottom w:val="single" w:sz="4" w:space="1" w:color="auto"/>
          <w:right w:val="single" w:sz="4" w:space="4" w:color="auto"/>
        </w:pBdr>
        <w:snapToGrid w:val="0"/>
        <w:spacing w:line="276" w:lineRule="auto"/>
        <w:ind w:firstLine="708"/>
        <w:jc w:val="both"/>
        <w:rPr>
          <w:rFonts w:ascii="Verdana" w:eastAsia="Aptos" w:hAnsi="Verdana" w:cs="Times New Roman"/>
          <w:b/>
          <w:bCs/>
        </w:rPr>
      </w:pPr>
      <w:r w:rsidRPr="0028318A">
        <w:rPr>
          <w:rFonts w:ascii="Verdana" w:eastAsia="Aptos" w:hAnsi="Verdana" w:cs="Times New Roman"/>
        </w:rPr>
        <w:t>Si, además de los corrales, el proyecto contempla componentes edificados destinados a la atención de usuarios —oficinas administrativas, espacios de capacitación comunitaria, servicios sanitarios, salas de reunión u otros espacios de prestación de servicios a la comunidad rural—, esos componentes sí pueden encajar en la definición 2.76 o, en general, en la tipología del Sector institucional. En ese caso, los Documentos Tipo de Infraestructura Social –sector institucional– son de aplicación obligatoria para este tipo de proyectos, y la entidad debe seleccionar dentro de la Matriz 1 – Experiencia del sector Institucional la actividad a contratar que mejor refleje las obras de construcción, adecuación o mejoramiento de infraestructura institucional previstas en el alcance contractual.</w:t>
      </w:r>
    </w:p>
    <w:p w14:paraId="57D33FCD"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Aptos" w:hAnsi="Verdana" w:cs="Times New Roman"/>
        </w:rPr>
      </w:pPr>
      <w:r w:rsidRPr="0028318A">
        <w:rPr>
          <w:rFonts w:ascii="Verdana" w:eastAsia="Aptos" w:hAnsi="Verdana" w:cs="Times New Roman"/>
        </w:rPr>
        <w:t>En este escenario, se recomienda que la entidad discrimine claramente en los estudios previos y en el presupuesto los dos componentes del proyecto –obras pecuarias (corrales) y edificación de atención a la comunidad–, de manera que quede sustentada la aplicación de los Documentos Tipo al componente institucional y se documente el criterio técnico utilizado para esa clasificación.</w:t>
      </w:r>
    </w:p>
    <w:p w14:paraId="5E438B0A"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Aptos" w:hAnsi="Verdana" w:cs="Times New Roman"/>
        </w:rPr>
      </w:pPr>
      <w:r w:rsidRPr="0028318A">
        <w:rPr>
          <w:rFonts w:ascii="Verdana" w:eastAsia="Aptos" w:hAnsi="Verdana" w:cs="Times New Roman"/>
        </w:rPr>
        <w:t xml:space="preserve">Ahora bien, la NSR-10 no contempla una categoría específica denominada “corral comunitario ganadero”. El Título K, Capítulo K.2 (Clasificación de las edificaciones por grupos de ocupación), organiza las edificaciones en los grupos de Alta Peligrosidad, Institucional, Comercial, Industrial (Fabril), Almacenamiento, Reunión de Público, Educativo, Residencial, Temporal y </w:t>
      </w:r>
      <w:r w:rsidRPr="0028318A">
        <w:rPr>
          <w:rFonts w:ascii="Verdana" w:eastAsia="Aptos" w:hAnsi="Verdana" w:cs="Times New Roman"/>
        </w:rPr>
        <w:lastRenderedPageBreak/>
        <w:t>Misceláneo (T), y Especiales (E); no existe un grupo autónomo de tipo “agropecuario”.</w:t>
      </w:r>
    </w:p>
    <w:p w14:paraId="6039EA3A"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Aptos" w:hAnsi="Verdana" w:cs="Times New Roman"/>
        </w:rPr>
      </w:pPr>
      <w:r w:rsidRPr="0028318A">
        <w:rPr>
          <w:rFonts w:ascii="Verdana" w:eastAsia="Aptos" w:hAnsi="Verdana" w:cs="Times New Roman"/>
        </w:rPr>
        <w:t xml:space="preserve">Sin embargo, el numeral K.2.4 regula el Grupo de Ocupación Especiales (E), definido como aquellas edificaciones o espacios que no clasifican en ninguno de los demás grupos específicos por tener características técnicas, constructivas o de uso de carácter especial. </w:t>
      </w:r>
    </w:p>
    <w:p w14:paraId="28DBACFB"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Aptos" w:hAnsi="Verdana" w:cs="Times New Roman"/>
        </w:rPr>
      </w:pPr>
      <w:r w:rsidRPr="0028318A">
        <w:rPr>
          <w:rFonts w:ascii="Verdana" w:eastAsia="Aptos" w:hAnsi="Verdana" w:cs="Times New Roman"/>
        </w:rPr>
        <w:t>La Tabla K.2-1, que contiene un listado indicativo (no taxativo) de este grupo, incluye expresamente “Alojamientos y Tratamiento de Animales”, junto con usos como piscinas, auto cinemas, parques de diversión, cementerios, helipuertos y parqueaderos, entre otros.</w:t>
      </w:r>
    </w:p>
    <w:p w14:paraId="0E87E0F8"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Aptos" w:hAnsi="Verdana" w:cs="Times New Roman"/>
        </w:rPr>
      </w:pPr>
      <w:r w:rsidRPr="0028318A">
        <w:rPr>
          <w:rFonts w:ascii="Verdana" w:eastAsia="Aptos" w:hAnsi="Verdana" w:cs="Times New Roman"/>
          <w:noProof/>
        </w:rPr>
        <w:drawing>
          <wp:inline distT="0" distB="0" distL="0" distR="0" wp14:anchorId="4FCC29DA" wp14:editId="666E60AB">
            <wp:extent cx="5426710" cy="2802890"/>
            <wp:effectExtent l="0" t="0" r="2540" b="0"/>
            <wp:docPr id="6891868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6710" cy="2802890"/>
                    </a:xfrm>
                    <a:prstGeom prst="rect">
                      <a:avLst/>
                    </a:prstGeom>
                    <a:noFill/>
                    <a:ln>
                      <a:noFill/>
                    </a:ln>
                  </pic:spPr>
                </pic:pic>
              </a:graphicData>
            </a:graphic>
          </wp:inline>
        </w:drawing>
      </w:r>
    </w:p>
    <w:p w14:paraId="0DCE3E06" w14:textId="77777777" w:rsidR="00376FBA" w:rsidRPr="0028318A" w:rsidRDefault="00376FBA" w:rsidP="00376FBA">
      <w:pPr>
        <w:pBdr>
          <w:top w:val="single" w:sz="4" w:space="1" w:color="auto"/>
          <w:left w:val="single" w:sz="4" w:space="4" w:color="auto"/>
          <w:bottom w:val="single" w:sz="4" w:space="1" w:color="auto"/>
          <w:right w:val="single" w:sz="4" w:space="4" w:color="auto"/>
        </w:pBdr>
        <w:snapToGrid w:val="0"/>
        <w:spacing w:after="120" w:line="276" w:lineRule="auto"/>
        <w:ind w:firstLine="709"/>
        <w:jc w:val="both"/>
        <w:rPr>
          <w:rFonts w:ascii="Verdana" w:eastAsia="Aptos" w:hAnsi="Verdana" w:cs="Times New Roman"/>
        </w:rPr>
      </w:pPr>
      <w:r w:rsidRPr="0028318A">
        <w:rPr>
          <w:rFonts w:ascii="Verdana" w:eastAsia="Aptos" w:hAnsi="Verdana" w:cs="Times New Roman"/>
        </w:rPr>
        <w:t>Con esa salvedad, la evidencia disponible sugiere que un corral –cuya función es alojar y manejar ganado– se aproxima más al concepto de “Alojamientos y Tratamiento de Animales” dentro del Grupo de Ocupación Especiales (E), que al Grupo Institucional (I), el cual la NSR-10 reserva para edificaciones de gobierno, salud, educación, culto, detención y similares, destinadas a la atención de personas. Esta lectura es coherente con la conclusión del Escenario 1: la sola construcción de corrales no corresponde, desde la perspectiva de la NSR-10, a una edificación institucional.</w:t>
      </w:r>
    </w:p>
    <w:p w14:paraId="55423C46" w14:textId="3C2E1AEF" w:rsidR="00AE4421" w:rsidRDefault="00376FBA" w:rsidP="00376FBA">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contextualSpacing/>
        <w:jc w:val="both"/>
        <w:rPr>
          <w:rFonts w:ascii="Verdana" w:eastAsia="Century Gothic" w:hAnsi="Verdana" w:cs="Century Gothic"/>
          <w:b/>
          <w:bCs/>
          <w:lang w:val="es-ES" w:eastAsia="es-MX"/>
        </w:rPr>
      </w:pPr>
      <w:r w:rsidRPr="0028318A">
        <w:rPr>
          <w:rFonts w:ascii="Verdana" w:eastAsia="Aptos" w:hAnsi="Verdana" w:cs="Times New Roman"/>
        </w:rPr>
        <w:t xml:space="preserve">Cuando el proyecto sea mixto (Escenario 2), la clasificación NSR-10 tampoco tiene que ser única para todo el proyecto: las estructuras pecuarias (corrales, </w:t>
      </w:r>
      <w:r w:rsidRPr="0028318A">
        <w:rPr>
          <w:rFonts w:ascii="Verdana" w:eastAsia="Aptos" w:hAnsi="Verdana" w:cs="Times New Roman"/>
        </w:rPr>
        <w:lastRenderedPageBreak/>
        <w:t>mangas, bretes) pueden seguir clasificando en el Grupo Especiales (E), mientras que el componente edificado de atención al público (oficinas, capacitación, servicios sanitarios) puede clasificar en el Grupo Institucional (I). Esta clasificación diferenciada por componente refuerza, adicionalmente, el criterio de implementar la adopción y aplicación de los Documentos Tipo teniendo en cuenta la relevancia de las actividades relacionadas con el componente institucional del proyecto.  En este caso, la entidad podría también evaluar la posibilidad de incluir los corrales comunitarios ganaderos como un bien o servicio ajeno a la obra pública para solicitar experiencia dentro del proceso, rigiéndose por lo expresamente descrito dentro del numeral 3.5. del Documento Base Transversal del Sector Social</w:t>
      </w:r>
    </w:p>
    <w:p w14:paraId="7CA04476" w14:textId="77777777" w:rsidR="003525C4" w:rsidRDefault="003525C4" w:rsidP="00AE4421">
      <w:pPr>
        <w:shd w:val="clear" w:color="auto" w:fill="FFFFFF"/>
        <w:spacing w:after="120" w:line="240" w:lineRule="auto"/>
        <w:ind w:right="709"/>
        <w:jc w:val="both"/>
        <w:rPr>
          <w:rFonts w:ascii="Verdana" w:eastAsia="Century Gothic" w:hAnsi="Verdana" w:cs="Century Gothic"/>
          <w:b/>
          <w:bCs/>
          <w:lang w:val="es-ES" w:eastAsia="es-MX"/>
        </w:rPr>
      </w:pPr>
    </w:p>
    <w:p w14:paraId="232D539D" w14:textId="596B6A08" w:rsidR="00AE4421" w:rsidRDefault="00AE4421" w:rsidP="00AE4421">
      <w:pPr>
        <w:shd w:val="clear" w:color="auto" w:fill="FFFFFF"/>
        <w:spacing w:after="120" w:line="240" w:lineRule="auto"/>
        <w:ind w:right="709"/>
        <w:jc w:val="both"/>
        <w:rPr>
          <w:rFonts w:ascii="Verdana" w:eastAsia="Century Gothic" w:hAnsi="Verdana" w:cs="Century Gothic"/>
          <w:b/>
          <w:bCs/>
          <w:lang w:val="es-ES" w:eastAsia="es-MX"/>
        </w:rPr>
      </w:pPr>
      <w:r>
        <w:rPr>
          <w:rFonts w:ascii="Verdana" w:eastAsia="Century Gothic" w:hAnsi="Verdana" w:cs="Century Gothic"/>
          <w:b/>
          <w:bCs/>
          <w:lang w:val="es-ES" w:eastAsia="es-MX"/>
        </w:rPr>
        <w:t xml:space="preserve">3. Razones de la respuesta: </w:t>
      </w:r>
    </w:p>
    <w:p w14:paraId="20D46255" w14:textId="77777777" w:rsidR="00AE4421" w:rsidRDefault="00AE4421" w:rsidP="00AE4421">
      <w:pPr>
        <w:shd w:val="clear" w:color="auto" w:fill="FFFFFF"/>
        <w:spacing w:after="120" w:line="240" w:lineRule="auto"/>
        <w:ind w:right="709"/>
        <w:jc w:val="both"/>
        <w:rPr>
          <w:rFonts w:ascii="Verdana" w:eastAsia="Century Gothic" w:hAnsi="Verdana" w:cs="Century Gothic"/>
          <w:b/>
          <w:bCs/>
          <w:lang w:val="es-ES" w:eastAsia="es-MX"/>
        </w:rPr>
      </w:pPr>
    </w:p>
    <w:p w14:paraId="4E059E6D" w14:textId="77777777" w:rsidR="00AE4421" w:rsidRPr="0028318A" w:rsidRDefault="00AE4421" w:rsidP="00AE4421">
      <w:pPr>
        <w:snapToGrid w:val="0"/>
        <w:spacing w:after="0" w:line="276" w:lineRule="auto"/>
        <w:jc w:val="both"/>
        <w:rPr>
          <w:rFonts w:ascii="Verdana" w:eastAsia="Calibri" w:hAnsi="Verdana" w:cs="Arial"/>
          <w:lang w:val="es-ES" w:eastAsia="es-MX"/>
        </w:rPr>
      </w:pPr>
      <w:r w:rsidRPr="0028318A">
        <w:rPr>
          <w:rFonts w:ascii="Verdana" w:eastAsia="Calibri" w:hAnsi="Verdana" w:cs="Arial"/>
          <w:lang w:val="es-ES" w:eastAsia="es-MX"/>
        </w:rPr>
        <w:t xml:space="preserve">Lo anterior se sustenta en las siguientes consideraciones: </w:t>
      </w:r>
    </w:p>
    <w:p w14:paraId="489B9955" w14:textId="77777777" w:rsidR="00AE4421" w:rsidRPr="0028318A" w:rsidRDefault="00AE4421" w:rsidP="00AE4421">
      <w:pPr>
        <w:spacing w:after="0" w:line="276" w:lineRule="auto"/>
        <w:jc w:val="both"/>
        <w:rPr>
          <w:rFonts w:ascii="Verdana" w:eastAsia="Calibri" w:hAnsi="Verdana" w:cs="Arial"/>
          <w:lang w:val="es-ES" w:eastAsia="es-MX"/>
        </w:rPr>
      </w:pPr>
    </w:p>
    <w:p w14:paraId="145634A3" w14:textId="77777777" w:rsidR="00AE4421" w:rsidRPr="0028318A" w:rsidRDefault="00AE4421" w:rsidP="00AE4421">
      <w:pPr>
        <w:snapToGrid w:val="0"/>
        <w:spacing w:after="120" w:line="276" w:lineRule="auto"/>
        <w:jc w:val="both"/>
        <w:rPr>
          <w:rFonts w:ascii="Verdana" w:eastAsia="Calibri" w:hAnsi="Verdana" w:cs="Times New Roman"/>
          <w:lang w:val="es-ES" w:eastAsia="es-MX"/>
        </w:rPr>
      </w:pPr>
      <w:r w:rsidRPr="0028318A">
        <w:rPr>
          <w:rFonts w:ascii="Verdana" w:eastAsia="Calibri" w:hAnsi="Verdana"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28318A">
        <w:rPr>
          <w:rFonts w:ascii="Verdana" w:eastAsia="Calibri" w:hAnsi="Verdana" w:cs="Times New Roman"/>
          <w:lang w:val="es-ES" w:eastAsia="es-MX"/>
        </w:rPr>
        <w:tab/>
      </w:r>
    </w:p>
    <w:p w14:paraId="4A2E1420" w14:textId="77777777" w:rsidR="00AE4421" w:rsidRPr="0028318A" w:rsidRDefault="00AE4421" w:rsidP="00AE4421">
      <w:pPr>
        <w:snapToGrid w:val="0"/>
        <w:spacing w:after="120" w:line="276" w:lineRule="auto"/>
        <w:ind w:firstLine="709"/>
        <w:jc w:val="both"/>
        <w:rPr>
          <w:rFonts w:ascii="Verdana" w:eastAsia="Calibri" w:hAnsi="Verdana" w:cs="Times New Roman"/>
          <w:lang w:val="es-ES" w:eastAsia="es-MX"/>
        </w:rPr>
      </w:pPr>
      <w:r w:rsidRPr="0028318A">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w:t>
      </w:r>
      <w:r w:rsidRPr="0028318A">
        <w:rPr>
          <w:rFonts w:ascii="Verdana" w:eastAsia="Calibri" w:hAnsi="Verdana" w:cs="Times New Roman"/>
          <w:lang w:val="es-ES" w:eastAsia="es-MX"/>
        </w:rPr>
        <w:lastRenderedPageBreak/>
        <w:t xml:space="preserve">definirán concretamente cada sector, mediante los cuales se precisará de forma detallada su ámbito de aplicación.   </w:t>
      </w:r>
    </w:p>
    <w:p w14:paraId="64C6F154" w14:textId="77777777" w:rsidR="00AE4421" w:rsidRPr="0028318A" w:rsidRDefault="00AE4421" w:rsidP="00AE4421">
      <w:pPr>
        <w:snapToGrid w:val="0"/>
        <w:spacing w:after="120" w:line="276" w:lineRule="auto"/>
        <w:ind w:firstLine="709"/>
        <w:jc w:val="both"/>
        <w:rPr>
          <w:rFonts w:ascii="Verdana" w:eastAsia="Calibri" w:hAnsi="Verdana" w:cs="Times New Roman"/>
          <w:lang w:val="es-ES" w:eastAsia="es-MX"/>
        </w:rPr>
      </w:pPr>
      <w:r w:rsidRPr="0028318A">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28318A">
        <w:rPr>
          <w:rFonts w:ascii="Verdana" w:eastAsia="Calibri" w:hAnsi="Verdana" w:cs="Times New Roman"/>
          <w:bCs/>
          <w:i/>
          <w:iCs/>
          <w:lang w:val="es-ES" w:eastAsia="es-MX"/>
        </w:rPr>
        <w:t>sector educ</w:t>
      </w:r>
      <w:r w:rsidRPr="0028318A">
        <w:rPr>
          <w:rFonts w:ascii="Verdana" w:eastAsia="Calibri" w:hAnsi="Verdana" w:cs="Times New Roman"/>
          <w:bCs/>
          <w:i/>
          <w:lang w:val="es-ES" w:eastAsia="es-MX"/>
        </w:rPr>
        <w:t xml:space="preserve">ativo, salud, y cultura, recreación y deporte, </w:t>
      </w:r>
      <w:r w:rsidRPr="0028318A">
        <w:rPr>
          <w:rFonts w:ascii="Verdana" w:eastAsia="Calibri" w:hAnsi="Verdana" w:cs="Times New Roman"/>
          <w:bCs/>
          <w:iCs/>
          <w:lang w:val="es-ES" w:eastAsia="es-MX"/>
        </w:rPr>
        <w:t>respectivamente</w:t>
      </w:r>
      <w:r w:rsidRPr="0028318A">
        <w:rPr>
          <w:rFonts w:ascii="Verdana" w:eastAsia="Calibri" w:hAnsi="Verdana" w:cs="Times New Roman"/>
          <w:bCs/>
          <w:i/>
          <w:lang w:val="es-ES" w:eastAsia="es-MX"/>
        </w:rPr>
        <w:t xml:space="preserve">, </w:t>
      </w:r>
      <w:r w:rsidRPr="0028318A">
        <w:rPr>
          <w:rFonts w:ascii="Verdana" w:eastAsia="Calibri" w:hAnsi="Verdana" w:cs="Times New Roman"/>
          <w:bCs/>
          <w:lang w:val="es-ES" w:eastAsia="es-MX"/>
        </w:rPr>
        <w:t xml:space="preserve">mediante las </w:t>
      </w:r>
      <w:r w:rsidRPr="0028318A">
        <w:rPr>
          <w:rFonts w:ascii="Verdana" w:eastAsia="Calibri" w:hAnsi="Verdana" w:cs="Times New Roman"/>
          <w:lang w:val="es-ES" w:eastAsia="es-MX"/>
        </w:rPr>
        <w:t xml:space="preserve">Resoluciones 220, 392 y 454 de 2021. Estas Resoluciones, en el artículo 2, desarrollan el “Anexo – Glosario” y la </w:t>
      </w:r>
      <w:r w:rsidRPr="0028318A">
        <w:rPr>
          <w:rFonts w:ascii="Verdana" w:eastAsia="Calibri" w:hAnsi="Verdana" w:cs="Times New Roman"/>
          <w:lang w:eastAsia="es-MX"/>
        </w:rPr>
        <w:t>“Matriz – Experiencia”</w:t>
      </w:r>
      <w:r w:rsidRPr="0028318A">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3F251E53" w14:textId="77777777" w:rsidR="00AE4421" w:rsidRPr="0028318A" w:rsidRDefault="00AE4421" w:rsidP="00AE4421">
      <w:pPr>
        <w:snapToGrid w:val="0"/>
        <w:spacing w:after="120" w:line="276" w:lineRule="auto"/>
        <w:ind w:firstLine="709"/>
        <w:jc w:val="both"/>
        <w:rPr>
          <w:rFonts w:ascii="Verdana" w:eastAsia="Calibri" w:hAnsi="Verdana" w:cs="Times New Roman"/>
          <w:lang w:val="es-ES" w:eastAsia="es-MX"/>
        </w:rPr>
      </w:pPr>
      <w:r w:rsidRPr="0028318A">
        <w:rPr>
          <w:rFonts w:ascii="Verdana" w:eastAsia="Calibri" w:hAnsi="Verdana" w:cs="Times New Roman"/>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0E0924D5" w14:textId="77777777" w:rsidR="00AE4421" w:rsidRPr="0028318A" w:rsidRDefault="00AE4421" w:rsidP="00AE4421">
      <w:pPr>
        <w:snapToGrid w:val="0"/>
        <w:spacing w:after="120" w:line="276" w:lineRule="auto"/>
        <w:ind w:firstLine="709"/>
        <w:jc w:val="both"/>
        <w:rPr>
          <w:rFonts w:ascii="Verdana" w:eastAsia="Calibri" w:hAnsi="Verdana" w:cs="Times New Roman"/>
          <w:lang w:val="es-ES" w:eastAsia="es-MX"/>
        </w:rPr>
      </w:pPr>
      <w:r w:rsidRPr="0028318A">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0FD6A838" w14:textId="77777777" w:rsidR="00AE4421" w:rsidRPr="0028318A" w:rsidRDefault="00AE4421" w:rsidP="00AE4421">
      <w:pPr>
        <w:snapToGrid w:val="0"/>
        <w:spacing w:after="120" w:line="276" w:lineRule="auto"/>
        <w:ind w:firstLine="709"/>
        <w:jc w:val="both"/>
        <w:rPr>
          <w:rFonts w:ascii="Verdana" w:eastAsia="Calibri" w:hAnsi="Verdana" w:cs="Times New Roman"/>
          <w:lang w:eastAsia="es-MX"/>
        </w:rPr>
      </w:pPr>
      <w:r w:rsidRPr="0028318A">
        <w:rPr>
          <w:rFonts w:ascii="Verdana" w:eastAsia="Calibri" w:hAnsi="Verdana" w:cs="Times New Roman"/>
          <w:lang w:eastAsia="es-MX"/>
        </w:rPr>
        <w:lastRenderedPageBreak/>
        <w:t xml:space="preserve">Para la determinación de los requisitos mínimos de experiencia según la “Matriz – Experiencia”, el numeral 3.5.1 del documento base de los documentos tipo de selección abreviada de menor cuantía de obra pública de infraestructura social, prescribe que la entidad debe indicar la forma de análisis y establecimiento de las condiciones de experiencia, tanto general como específica. Además, deberá indicar el número de la actividad a contratar, y transcribir textualmente lo señalado en la “Matriz – Experiencia”. </w:t>
      </w:r>
    </w:p>
    <w:p w14:paraId="39001F98" w14:textId="77777777" w:rsidR="00AE4421" w:rsidRPr="0028318A" w:rsidRDefault="00AE4421" w:rsidP="00AE4421">
      <w:pPr>
        <w:snapToGrid w:val="0"/>
        <w:spacing w:after="120" w:line="276" w:lineRule="auto"/>
        <w:ind w:firstLine="709"/>
        <w:jc w:val="both"/>
        <w:rPr>
          <w:rFonts w:ascii="Verdana" w:eastAsia="Calibri" w:hAnsi="Verdana" w:cs="Times New Roman"/>
          <w:lang w:val="es-ES" w:eastAsia="es-MX"/>
        </w:rPr>
      </w:pPr>
      <w:r w:rsidRPr="0028318A">
        <w:rPr>
          <w:rFonts w:ascii="Verdana" w:eastAsia="Calibri" w:hAnsi="Verdana" w:cs="Times New Roman"/>
          <w:lang w:val="es-ES" w:eastAsia="es-MX"/>
        </w:rPr>
        <w:t xml:space="preserve">La Matrices de Experiencia de los documentos tipo de infraestructura social se componen de varios capítulos que contemplan diferentes actividades y obras a contratar por parte de la entidad estatal. A su vez, en estas matrices se establecen las actividades a contratar que hacen parte de un tipo o grupo de infraestructura, las cuales señalan las condiciones y requerimientos de experiencia general y específica. </w:t>
      </w:r>
    </w:p>
    <w:p w14:paraId="54C8ED59" w14:textId="77777777" w:rsidR="00AE4421" w:rsidRPr="0028318A" w:rsidRDefault="00AE4421" w:rsidP="00AE4421">
      <w:pPr>
        <w:snapToGrid w:val="0"/>
        <w:spacing w:after="120" w:line="276" w:lineRule="auto"/>
        <w:ind w:firstLine="709"/>
        <w:jc w:val="both"/>
        <w:rPr>
          <w:rFonts w:ascii="Verdana" w:eastAsia="Calibri" w:hAnsi="Verdana" w:cs="Times New Roman"/>
          <w:lang w:val="es-ES" w:eastAsia="es-MX"/>
        </w:rPr>
      </w:pPr>
      <w:r w:rsidRPr="0028318A">
        <w:rPr>
          <w:rFonts w:ascii="Verdana" w:eastAsia="Calibri" w:hAnsi="Verdana" w:cs="Times New Roman"/>
          <w:lang w:val="es-ES" w:eastAsia="es-MX"/>
        </w:rPr>
        <w:t>La experiencia específica, dependiendo del tipo de “actividad a contratar”, puede contener un “% de dimensionamiento” con la implementación de un factor (F%), el cual es definido por el rango de SMMLV en el cual se encuentre el presupuesto oficial del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p w14:paraId="3B465516" w14:textId="77777777" w:rsidR="00AE4421" w:rsidRPr="0028318A" w:rsidRDefault="00AE4421" w:rsidP="00AE4421">
      <w:pPr>
        <w:adjustRightInd w:val="0"/>
        <w:snapToGrid w:val="0"/>
        <w:spacing w:after="120" w:line="276" w:lineRule="auto"/>
        <w:ind w:firstLine="709"/>
        <w:jc w:val="both"/>
        <w:rPr>
          <w:rFonts w:ascii="Verdana" w:eastAsia="Calibri" w:hAnsi="Verdana" w:cs="Times New Roman"/>
          <w:lang w:eastAsia="es-MX"/>
        </w:rPr>
      </w:pPr>
      <w:r w:rsidRPr="0028318A">
        <w:rPr>
          <w:rFonts w:ascii="Verdana" w:eastAsia="Calibri" w:hAnsi="Verdana" w:cs="Times New Roman"/>
          <w:lang w:eastAsia="es-MX"/>
        </w:rPr>
        <w:t>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ii) la actividad a contratar y iii) la cuantía del proceso de contratación.</w:t>
      </w:r>
    </w:p>
    <w:p w14:paraId="143AFA19" w14:textId="77777777" w:rsidR="00AE4421" w:rsidRPr="0028318A" w:rsidRDefault="00AE4421" w:rsidP="00AE4421">
      <w:pPr>
        <w:snapToGrid w:val="0"/>
        <w:spacing w:after="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Conviene señalar que, la respuesta a su consulta depende de qué se va a construir efectivamente. En ese orden, se identifican dos escenarios con consecuencias jurídicas distintas:</w:t>
      </w:r>
    </w:p>
    <w:p w14:paraId="35994109" w14:textId="77777777" w:rsidR="00AE4421" w:rsidRPr="0028318A" w:rsidRDefault="00AE4421" w:rsidP="00AE4421">
      <w:pPr>
        <w:snapToGrid w:val="0"/>
        <w:spacing w:after="0" w:line="276" w:lineRule="auto"/>
        <w:ind w:firstLine="709"/>
        <w:jc w:val="both"/>
        <w:rPr>
          <w:rFonts w:ascii="Verdana" w:eastAsia="Aptos" w:hAnsi="Verdana" w:cs="Times New Roman"/>
          <w:kern w:val="2"/>
          <w14:ligatures w14:val="standardContextual"/>
        </w:rPr>
      </w:pPr>
    </w:p>
    <w:p w14:paraId="5360D9B3" w14:textId="77777777" w:rsidR="00AE4421" w:rsidRPr="0028318A" w:rsidRDefault="00AE4421" w:rsidP="00AE4421">
      <w:pPr>
        <w:snapToGrid w:val="0"/>
        <w:spacing w:after="0" w:line="276" w:lineRule="auto"/>
        <w:jc w:val="both"/>
        <w:rPr>
          <w:rFonts w:ascii="Verdana" w:eastAsia="Aptos" w:hAnsi="Verdana" w:cs="Times New Roman"/>
          <w:b/>
          <w:bCs/>
          <w:kern w:val="2"/>
          <w14:ligatures w14:val="standardContextual"/>
        </w:rPr>
      </w:pPr>
      <w:r w:rsidRPr="0028318A">
        <w:rPr>
          <w:rFonts w:ascii="Verdana" w:eastAsia="Aptos" w:hAnsi="Verdana" w:cs="Times New Roman"/>
          <w:b/>
          <w:bCs/>
          <w:kern w:val="2"/>
          <w14:ligatures w14:val="standardContextual"/>
        </w:rPr>
        <w:t>i) Escenario 1 — El proyecto consiste únicamente en corrales:</w:t>
      </w:r>
    </w:p>
    <w:p w14:paraId="458C834A" w14:textId="77777777" w:rsidR="00AE4421" w:rsidRPr="0028318A" w:rsidRDefault="00AE4421" w:rsidP="00AE4421">
      <w:pPr>
        <w:snapToGrid w:val="0"/>
        <w:spacing w:after="0" w:line="276" w:lineRule="auto"/>
        <w:ind w:left="1789"/>
        <w:jc w:val="both"/>
        <w:rPr>
          <w:rFonts w:ascii="Verdana" w:eastAsia="Aptos" w:hAnsi="Verdana" w:cs="Times New Roman"/>
          <w:b/>
          <w:bCs/>
          <w:kern w:val="2"/>
          <w14:ligatures w14:val="standardContextual"/>
        </w:rPr>
      </w:pPr>
    </w:p>
    <w:p w14:paraId="3A9590DD" w14:textId="77777777" w:rsidR="00AE4421" w:rsidRPr="0028318A" w:rsidRDefault="00AE4421" w:rsidP="00AE4421">
      <w:pPr>
        <w:snapToGrid w:val="0"/>
        <w:spacing w:after="12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lastRenderedPageBreak/>
        <w:t xml:space="preserve">Si el alcance contractual se limita a corrales, mangas, bretes, embarcaderos y demás estructuras destinadas al manejo de ganado, sin edificaciones complementarias de atención al público, los Documentos Tipo de Infraestructura Social no resultan aplicables. La definición 2.76 del Glosario (Edificación de Atención a la Comunidad) exige que el equipamiento esté destinado a atender emergencias y preservar la salud y la seguridad de personas y animales —estaciones de bomberos, cuarteles de policía y fuerzas militares, instalaciones de salud, sedes de organismos operativos de emergencias, entre otros similares—. </w:t>
      </w:r>
    </w:p>
    <w:p w14:paraId="16E3461B" w14:textId="77777777" w:rsidR="00AE4421" w:rsidRPr="0028318A" w:rsidRDefault="00AE4421" w:rsidP="00AE4421">
      <w:pPr>
        <w:snapToGrid w:val="0"/>
        <w:spacing w:after="12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Un corral cuya función es alojar y manejar ganado para actividades productivas o asociativas no cumple esa finalidad de atención de emergencias o de servicio comunitario institucional, por lo que no encaja, por sí solo, en el sector institucional.</w:t>
      </w:r>
    </w:p>
    <w:p w14:paraId="280528CA" w14:textId="77777777" w:rsidR="00AE4421" w:rsidRPr="0028318A" w:rsidRDefault="00AE4421" w:rsidP="00AE4421">
      <w:pPr>
        <w:snapToGrid w:val="0"/>
        <w:spacing w:after="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En este escenario, la entidad debe estructurar el proceso bajo el régimen general de contratación (estudios previos y pliegos propios), sin perjuicio de que pueda tomar como referencia voluntaria el contenido de los Documentos Tipo si lo considera útil para la definición de requisitos habilitantes, sin que ello implique obligatoriedad.</w:t>
      </w:r>
    </w:p>
    <w:p w14:paraId="68FAA2F3" w14:textId="77777777" w:rsidR="00AE4421" w:rsidRPr="0028318A" w:rsidRDefault="00AE4421" w:rsidP="00AE4421">
      <w:pPr>
        <w:snapToGrid w:val="0"/>
        <w:spacing w:after="0" w:line="276" w:lineRule="auto"/>
        <w:ind w:firstLine="709"/>
        <w:jc w:val="both"/>
        <w:rPr>
          <w:rFonts w:ascii="Verdana" w:eastAsia="Aptos" w:hAnsi="Verdana" w:cs="Times New Roman"/>
          <w:kern w:val="2"/>
          <w14:ligatures w14:val="standardContextual"/>
        </w:rPr>
      </w:pPr>
    </w:p>
    <w:p w14:paraId="724A2EBF" w14:textId="77777777" w:rsidR="00AE4421" w:rsidRPr="0028318A" w:rsidRDefault="00AE4421" w:rsidP="00AE4421">
      <w:pPr>
        <w:snapToGrid w:val="0"/>
        <w:spacing w:after="0" w:line="276" w:lineRule="auto"/>
        <w:jc w:val="both"/>
        <w:rPr>
          <w:rFonts w:ascii="Verdana" w:eastAsia="Aptos" w:hAnsi="Verdana" w:cs="Times New Roman"/>
          <w:b/>
          <w:bCs/>
          <w:kern w:val="2"/>
          <w14:ligatures w14:val="standardContextual"/>
        </w:rPr>
      </w:pPr>
      <w:r w:rsidRPr="0028318A">
        <w:rPr>
          <w:rFonts w:ascii="Verdana" w:eastAsia="Aptos" w:hAnsi="Verdana" w:cs="Times New Roman"/>
          <w:b/>
          <w:bCs/>
          <w:kern w:val="2"/>
          <w14:ligatures w14:val="standardContextual"/>
        </w:rPr>
        <w:t>ii) Escenario 2 — El proyecto incluye una edificación de atención a la comunidad:</w:t>
      </w:r>
    </w:p>
    <w:p w14:paraId="22F059DD" w14:textId="77777777" w:rsidR="00AE4421" w:rsidRPr="0028318A" w:rsidRDefault="00AE4421" w:rsidP="00AE4421">
      <w:pPr>
        <w:snapToGrid w:val="0"/>
        <w:spacing w:after="0" w:line="276" w:lineRule="auto"/>
        <w:jc w:val="both"/>
        <w:rPr>
          <w:rFonts w:ascii="Verdana" w:eastAsia="Aptos" w:hAnsi="Verdana" w:cs="Times New Roman"/>
          <w:b/>
          <w:bCs/>
          <w:kern w:val="2"/>
          <w14:ligatures w14:val="standardContextual"/>
        </w:rPr>
      </w:pPr>
    </w:p>
    <w:p w14:paraId="79B42C27" w14:textId="77777777" w:rsidR="00AE4421" w:rsidRPr="0028318A" w:rsidRDefault="00AE4421" w:rsidP="00AE4421">
      <w:pPr>
        <w:snapToGrid w:val="0"/>
        <w:spacing w:after="12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Si, además de los corrales, el proyecto contempla componentes edificados destinados a la atención de usuarios —oficinas administrativas, espacios de capacitación comunitaria, servicios sanitarios, salas de reunión u otros espacios de prestación de servicios a la comunidad rural—, esos componentes sí pueden encajar en la definición 2.76 o, en general, en la tipología del Sector institucional. En ese caso, los Documentos Tipo de Infraestructura Social –sector institucional– son de aplicación obligatoria para este tipo de proyectos, y la entidad debe seleccionar dentro de la Matriz 1 – Experiencia del sector Institucional la actividad a contratar que mejor refleje las obras de construcción, adecuación o mejoramiento de infraestructura institucional previstas en el alcance contractual.</w:t>
      </w:r>
    </w:p>
    <w:p w14:paraId="100ECF34" w14:textId="77777777" w:rsidR="00AE4421" w:rsidRPr="0028318A" w:rsidRDefault="00AE4421" w:rsidP="00AE4421">
      <w:pPr>
        <w:snapToGrid w:val="0"/>
        <w:spacing w:after="12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 xml:space="preserve">En este escenario, se recomienda que la entidad discrimine claramente en los estudios previos y en el presupuesto los dos componentes del proyecto –obras pecuarias (corrales) y edificación de atención a la comunidad–, de manera </w:t>
      </w:r>
      <w:r w:rsidRPr="0028318A">
        <w:rPr>
          <w:rFonts w:ascii="Verdana" w:eastAsia="Aptos" w:hAnsi="Verdana" w:cs="Times New Roman"/>
          <w:kern w:val="2"/>
          <w14:ligatures w14:val="standardContextual"/>
        </w:rPr>
        <w:lastRenderedPageBreak/>
        <w:t>que quede sustentada la aplicación de los Documentos Tipo al componente institucional y se documente el criterio técnico utilizado para esa clasificación.</w:t>
      </w:r>
    </w:p>
    <w:p w14:paraId="232FBB42" w14:textId="77777777" w:rsidR="00AE4421" w:rsidRPr="0028318A" w:rsidRDefault="00AE4421" w:rsidP="00AE4421">
      <w:pPr>
        <w:snapToGrid w:val="0"/>
        <w:spacing w:after="12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Ahora bien, la NSR-10 no contempla una categoría específica denominada “corral comunitario ganadero”. El Título K, Capítulo K.2 (Clasificación de las edificaciones por grupos de ocupación), organiza las edificaciones en los grupos de Alta Peligrosidad, Institucional, Comercial, Industrial (Fabril), Almacenamiento, Reunión de Público, Educativo, Residencial, Temporal y Misceláneo (T), y Especiales (E); no existe un grupo autónomo de tipo “agropecuario”.</w:t>
      </w:r>
    </w:p>
    <w:p w14:paraId="792FA3BF" w14:textId="77777777" w:rsidR="00AE4421" w:rsidRPr="0028318A" w:rsidRDefault="00AE4421" w:rsidP="00AE4421">
      <w:pPr>
        <w:snapToGrid w:val="0"/>
        <w:spacing w:after="12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 xml:space="preserve">Sin embargo, el numeral K.2.4 regula el Grupo de Ocupación Especiales (E), definido como aquellas edificaciones o espacios que no clasifican en ninguno de los demás grupos específicos por tener características técnicas, constructivas o de uso de carácter especial. </w:t>
      </w:r>
    </w:p>
    <w:p w14:paraId="33A9CF3F" w14:textId="77777777" w:rsidR="00AE4421" w:rsidRPr="0028318A" w:rsidRDefault="00AE4421" w:rsidP="00AE4421">
      <w:pPr>
        <w:snapToGrid w:val="0"/>
        <w:spacing w:after="12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La Tabla K.2-1, que contiene un listado indicativo (no taxativo) de este grupo, incluye expresamente “Alojamientos y Tratamiento de Animales”, junto con usos como piscinas, auto cinemas, parques de diversión, cementerios, helipuertos y parqueaderos, entre otros.</w:t>
      </w:r>
    </w:p>
    <w:p w14:paraId="14807D47" w14:textId="77777777" w:rsidR="00AE4421" w:rsidRPr="0028318A" w:rsidRDefault="00AE4421" w:rsidP="00AE4421">
      <w:pPr>
        <w:snapToGrid w:val="0"/>
        <w:spacing w:after="12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noProof/>
          <w:kern w:val="2"/>
          <w14:ligatures w14:val="standardContextual"/>
        </w:rPr>
        <w:drawing>
          <wp:inline distT="0" distB="0" distL="0" distR="0" wp14:anchorId="70B190D0" wp14:editId="670D70F9">
            <wp:extent cx="5426710" cy="2802890"/>
            <wp:effectExtent l="0" t="0" r="2540" b="0"/>
            <wp:docPr id="193048736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6710" cy="2802890"/>
                    </a:xfrm>
                    <a:prstGeom prst="rect">
                      <a:avLst/>
                    </a:prstGeom>
                    <a:noFill/>
                    <a:ln>
                      <a:noFill/>
                    </a:ln>
                  </pic:spPr>
                </pic:pic>
              </a:graphicData>
            </a:graphic>
          </wp:inline>
        </w:drawing>
      </w:r>
    </w:p>
    <w:p w14:paraId="2052DB05" w14:textId="77777777" w:rsidR="00AE4421" w:rsidRPr="0028318A" w:rsidRDefault="00AE4421" w:rsidP="00AE4421">
      <w:pPr>
        <w:snapToGrid w:val="0"/>
        <w:spacing w:after="12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 xml:space="preserve">Con esa salvedad, la evidencia disponible sugiere que un corral –cuya función es alojar y manejar ganado– se aproxima más al concepto de “Alojamientos y Tratamiento de Animales” dentro del Grupo de Ocupación </w:t>
      </w:r>
      <w:r w:rsidRPr="0028318A">
        <w:rPr>
          <w:rFonts w:ascii="Verdana" w:eastAsia="Aptos" w:hAnsi="Verdana" w:cs="Times New Roman"/>
          <w:kern w:val="2"/>
          <w14:ligatures w14:val="standardContextual"/>
        </w:rPr>
        <w:lastRenderedPageBreak/>
        <w:t>Especiales (E), que al Grupo Institucional (I), el cual la NSR-10 reserva para edificaciones de gobierno, salud, educación, culto, detención y similares, destinadas a la atención de personas. Esta lectura es coherente con la conclusión del Escenario 1: la sola construcción de corrales no corresponde, desde la perspectiva de la NSR-10, a una edificación institucional.</w:t>
      </w:r>
    </w:p>
    <w:p w14:paraId="25A91A92" w14:textId="77777777" w:rsidR="00AE4421" w:rsidRPr="0028318A" w:rsidRDefault="00AE4421" w:rsidP="00AE4421">
      <w:pPr>
        <w:snapToGrid w:val="0"/>
        <w:spacing w:after="12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Cuando el proyecto sea mixto (Escenario 2), la clasificación NSR-10 tampoco tiene que ser única para todo el proyecto: las estructuras pecuarias (corrales, mangas, bretes) pueden seguir clasificando en el Grupo Especiales (E), mientras que el componente edificado de atención al público (oficinas, capacitación, servicios sanitarios) puede clasificar en el Grupo Institucional (I). Esta clasificación diferenciada por componente refuerza, adicionalmente, el criterio de implementar la adopción y aplicación de los Documentos Tipo teniendo en cuenta la relevancia de las actividades relacionadas con el componente institucional del proyecto.  En este caso, la entidad podría también evaluar la posibilidad de incluir los corrales comunitarios ganaderos como un bien o servicio ajeno a la obra pública para solicitar experiencia dentro del proceso, rigiéndose por lo expresamente descrito dentro del numeral 3.5. del Documento Base Transversal del Sector Social</w:t>
      </w:r>
    </w:p>
    <w:p w14:paraId="636D1F04" w14:textId="77777777" w:rsidR="00AE4421" w:rsidRPr="0028318A" w:rsidRDefault="00AE4421" w:rsidP="00AE4421">
      <w:pPr>
        <w:snapToGrid w:val="0"/>
        <w:spacing w:after="0" w:line="276" w:lineRule="auto"/>
        <w:ind w:firstLine="709"/>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Así las cosas, corresponde a la entidad estatal, con base en sus estudios y documentos previos, aplicar la siguiente prueba en dos pasos: (i) determinar si el proyecto incluye, además de los corrales, algún tipo de infraestructura o edificación destinada a la atención de la comunidad; y (ii) en caso afirmativo, verificar si esa edificación se enmarca en el sector institucional. La determinación definitiva corresponde a la entidad estatal, con pleno conocimiento del alcance técnico del proyecto y de la naturaleza de cada componente de la infraestructura a construir.</w:t>
      </w:r>
    </w:p>
    <w:p w14:paraId="6C4BBD55" w14:textId="77777777" w:rsidR="00AE4421" w:rsidRPr="0028318A" w:rsidRDefault="00AE4421" w:rsidP="00AE4421">
      <w:pPr>
        <w:widowControl w:val="0"/>
        <w:autoSpaceDE w:val="0"/>
        <w:autoSpaceDN w:val="0"/>
        <w:spacing w:after="0" w:line="276" w:lineRule="auto"/>
        <w:jc w:val="both"/>
        <w:rPr>
          <w:rFonts w:ascii="Verdana" w:eastAsia="Calibri" w:hAnsi="Verdana" w:cs="Arial"/>
          <w:lang w:eastAsia="es-MX"/>
        </w:rPr>
      </w:pPr>
    </w:p>
    <w:p w14:paraId="30AB60C3" w14:textId="77777777" w:rsidR="00AE4421" w:rsidRPr="0028318A" w:rsidRDefault="00AE4421" w:rsidP="00AE442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28318A">
        <w:rPr>
          <w:rFonts w:ascii="Verdana" w:eastAsia="Century Gothic" w:hAnsi="Verdana" w:cs="Century Gothic"/>
          <w:b/>
          <w:bCs/>
          <w:lang w:val="es-ES" w:eastAsia="es-MX"/>
        </w:rPr>
        <w:t>Referencias normativas, jurisprudenciales y otras fuentes:</w:t>
      </w:r>
    </w:p>
    <w:p w14:paraId="39ABEE7C" w14:textId="77777777" w:rsidR="00AE4421" w:rsidRPr="0028318A" w:rsidRDefault="00AE4421" w:rsidP="00AE4421">
      <w:pPr>
        <w:widowControl w:val="0"/>
        <w:autoSpaceDE w:val="0"/>
        <w:autoSpaceDN w:val="0"/>
        <w:spacing w:after="0" w:line="276" w:lineRule="auto"/>
        <w:jc w:val="both"/>
        <w:rPr>
          <w:rFonts w:ascii="Verdana" w:eastAsia="Calibri" w:hAnsi="Verdana" w:cs="Arial"/>
          <w:lang w:eastAsia="es-MX"/>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AE4421" w:rsidRPr="0028318A" w14:paraId="40D95DA5" w14:textId="77777777" w:rsidTr="00CE77AF">
        <w:trPr>
          <w:trHeight w:val="870"/>
        </w:trPr>
        <w:tc>
          <w:tcPr>
            <w:tcW w:w="8647" w:type="dxa"/>
          </w:tcPr>
          <w:p w14:paraId="13E8D621" w14:textId="77777777" w:rsidR="00AE4421" w:rsidRPr="0028318A" w:rsidRDefault="00AE4421" w:rsidP="00AE4421">
            <w:pPr>
              <w:widowControl w:val="0"/>
              <w:numPr>
                <w:ilvl w:val="0"/>
                <w:numId w:val="17"/>
              </w:numPr>
              <w:autoSpaceDE w:val="0"/>
              <w:autoSpaceDN w:val="0"/>
              <w:spacing w:after="120" w:line="276" w:lineRule="auto"/>
              <w:jc w:val="both"/>
              <w:rPr>
                <w:rFonts w:ascii="Verdana" w:eastAsia="Calibri" w:hAnsi="Verdana" w:cs="Arial"/>
                <w:lang w:eastAsia="es-MX"/>
              </w:rPr>
            </w:pPr>
            <w:r w:rsidRPr="0028318A">
              <w:rPr>
                <w:rFonts w:ascii="Verdana" w:eastAsia="Calibri" w:hAnsi="Verdana" w:cs="Arial"/>
                <w:lang w:eastAsia="es-MX"/>
              </w:rPr>
              <w:t>Ley 2022 de 2020, artículo 1.</w:t>
            </w:r>
          </w:p>
          <w:p w14:paraId="666B639D" w14:textId="77777777" w:rsidR="00AE4421" w:rsidRPr="0028318A" w:rsidRDefault="00AE4421" w:rsidP="00AE4421">
            <w:pPr>
              <w:widowControl w:val="0"/>
              <w:numPr>
                <w:ilvl w:val="0"/>
                <w:numId w:val="17"/>
              </w:numPr>
              <w:autoSpaceDE w:val="0"/>
              <w:autoSpaceDN w:val="0"/>
              <w:spacing w:after="120" w:line="276" w:lineRule="auto"/>
              <w:jc w:val="both"/>
              <w:rPr>
                <w:rFonts w:ascii="Verdana" w:eastAsia="Calibri" w:hAnsi="Verdana" w:cs="Arial"/>
                <w:lang w:eastAsia="es-MX"/>
              </w:rPr>
            </w:pPr>
            <w:r w:rsidRPr="0028318A">
              <w:rPr>
                <w:rFonts w:ascii="Verdana" w:eastAsia="Calibri" w:hAnsi="Verdana" w:cs="Arial"/>
                <w:lang w:eastAsia="es-MX"/>
              </w:rPr>
              <w:t xml:space="preserve">Documentos tipo de obra pública de infraestructura social, y adicionales del sector </w:t>
            </w:r>
            <w:r w:rsidRPr="0028318A">
              <w:rPr>
                <w:rFonts w:ascii="Verdana" w:eastAsia="Calibri" w:hAnsi="Verdana" w:cs="Arial"/>
                <w:i/>
                <w:iCs/>
                <w:lang w:eastAsia="es-MX"/>
              </w:rPr>
              <w:t xml:space="preserve">institucional. </w:t>
            </w:r>
            <w:r w:rsidRPr="0028318A">
              <w:rPr>
                <w:rFonts w:ascii="Verdana" w:eastAsia="Calibri" w:hAnsi="Verdana" w:cs="Arial"/>
                <w:lang w:eastAsia="es-MX"/>
              </w:rPr>
              <w:t xml:space="preserve">Disponibles en: </w:t>
            </w:r>
            <w:hyperlink r:id="rId13" w:history="1">
              <w:r w:rsidRPr="0028318A">
                <w:rPr>
                  <w:rFonts w:ascii="Verdana" w:eastAsia="Calibri" w:hAnsi="Verdana" w:cs="Arial"/>
                  <w:color w:val="467886"/>
                  <w:u w:val="single"/>
                  <w:lang w:eastAsia="es-MX"/>
                </w:rPr>
                <w:t>https://www.colombiacompra.gov.co/normativa-y-relatoria/documentos-tipo</w:t>
              </w:r>
            </w:hyperlink>
            <w:r w:rsidRPr="0028318A">
              <w:rPr>
                <w:rFonts w:ascii="Verdana" w:eastAsia="Calibri" w:hAnsi="Verdana" w:cs="Arial"/>
                <w:lang w:eastAsia="es-MX"/>
              </w:rPr>
              <w:t>.</w:t>
            </w:r>
            <w:r w:rsidRPr="0028318A">
              <w:rPr>
                <w:rFonts w:ascii="Verdana" w:eastAsia="Calibri" w:hAnsi="Verdana" w:cs="Arial"/>
                <w:vertAlign w:val="superscript"/>
                <w:lang w:eastAsia="es-MX"/>
              </w:rPr>
              <w:t xml:space="preserve"> </w:t>
            </w:r>
          </w:p>
        </w:tc>
      </w:tr>
    </w:tbl>
    <w:p w14:paraId="6DEA5416" w14:textId="77777777" w:rsidR="00AE4421" w:rsidRPr="0028318A" w:rsidRDefault="00AE4421" w:rsidP="00AE4421">
      <w:pPr>
        <w:tabs>
          <w:tab w:val="left" w:pos="142"/>
          <w:tab w:val="left" w:pos="284"/>
        </w:tabs>
        <w:spacing w:after="0" w:line="276" w:lineRule="auto"/>
        <w:jc w:val="both"/>
        <w:rPr>
          <w:rFonts w:ascii="Verdana" w:eastAsia="Calibri" w:hAnsi="Verdana" w:cs="Arial"/>
          <w:lang w:eastAsia="es-MX"/>
        </w:rPr>
      </w:pPr>
    </w:p>
    <w:p w14:paraId="51A8C554" w14:textId="77777777" w:rsidR="00AE4421" w:rsidRPr="0028318A" w:rsidRDefault="00AE4421" w:rsidP="00AE442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28318A">
        <w:rPr>
          <w:rFonts w:ascii="Verdana" w:eastAsia="Century Gothic" w:hAnsi="Verdana" w:cs="Century Gothic"/>
          <w:b/>
          <w:bCs/>
          <w:lang w:val="es-ES" w:eastAsia="es-MX"/>
        </w:rPr>
        <w:lastRenderedPageBreak/>
        <w:t>Doctrina de la Agencia Nacional de Contratación Pública:</w:t>
      </w:r>
    </w:p>
    <w:p w14:paraId="52A712BD" w14:textId="77777777" w:rsidR="00AE4421" w:rsidRPr="0028318A" w:rsidRDefault="00AE4421" w:rsidP="00AE4421">
      <w:pPr>
        <w:widowControl w:val="0"/>
        <w:autoSpaceDE w:val="0"/>
        <w:autoSpaceDN w:val="0"/>
        <w:spacing w:after="0" w:line="276" w:lineRule="auto"/>
        <w:jc w:val="both"/>
        <w:rPr>
          <w:rFonts w:ascii="Verdana" w:eastAsia="Calibri" w:hAnsi="Verdana" w:cs="Arial"/>
          <w:lang w:eastAsia="es-MX"/>
        </w:rPr>
      </w:pPr>
    </w:p>
    <w:p w14:paraId="6E86B3B9" w14:textId="77777777" w:rsidR="00AE4421" w:rsidRPr="0028318A" w:rsidRDefault="00AE4421" w:rsidP="00AE4421">
      <w:pPr>
        <w:widowControl w:val="0"/>
        <w:autoSpaceDE w:val="0"/>
        <w:autoSpaceDN w:val="0"/>
        <w:spacing w:after="0" w:line="276" w:lineRule="auto"/>
        <w:jc w:val="both"/>
        <w:rPr>
          <w:rFonts w:ascii="Verdana" w:eastAsia="Times New Roman" w:hAnsi="Verdana" w:cs="Arial"/>
          <w:kern w:val="2"/>
          <w:shd w:val="clear" w:color="auto" w:fill="FFFFFF"/>
          <w:lang w:val="es-ES" w:eastAsia="es-MX"/>
          <w14:ligatures w14:val="standardContextual"/>
        </w:rPr>
      </w:pPr>
      <w:r w:rsidRPr="0028318A">
        <w:rPr>
          <w:rFonts w:ascii="Verdana" w:eastAsia="Calibri" w:hAnsi="Verdana" w:cs="Arial"/>
          <w:shd w:val="clear" w:color="auto" w:fill="FFFFFF"/>
          <w:lang w:val="es-ES" w:eastAsia="es-MX"/>
        </w:rPr>
        <w:t>La Agencia Nacional de Contratación Pública – Colombia Compra Eficiente se pronunció</w:t>
      </w:r>
      <w:r w:rsidRPr="0028318A">
        <w:rPr>
          <w:rFonts w:ascii="Aptos" w:eastAsia="Aptos" w:hAnsi="Aptos" w:cs="Times New Roman"/>
          <w:sz w:val="24"/>
          <w:szCs w:val="24"/>
          <w:lang w:eastAsia="es-MX"/>
        </w:rPr>
        <w:t xml:space="preserve"> </w:t>
      </w:r>
      <w:r w:rsidRPr="0028318A">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C-232 del 11 de marzo de 2026, C-486 del 7 de mayo de 2026, entre otros. </w:t>
      </w:r>
      <w:r w:rsidRPr="0028318A">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4" w:tgtFrame="_blank" w:tooltip="Dirección URL original: https://relatoria.colombiacompra.gov.co/. Haga clic o pulse si confía en este vínculo." w:history="1">
        <w:r w:rsidRPr="0028318A">
          <w:rPr>
            <w:rFonts w:ascii="Verdana" w:eastAsia="Times New Roman" w:hAnsi="Verdana" w:cs="Arial"/>
            <w:kern w:val="2"/>
            <w:shd w:val="clear" w:color="auto" w:fill="FFFFFF"/>
            <w:lang w:val="es-ES"/>
            <w14:ligatures w14:val="standardContextual"/>
          </w:rPr>
          <w:t>https://relatoria.colombiacompra.gov.co/</w:t>
        </w:r>
      </w:hyperlink>
      <w:r w:rsidRPr="0028318A">
        <w:rPr>
          <w:rFonts w:ascii="Verdana" w:eastAsia="Times New Roman" w:hAnsi="Verdana" w:cs="Arial"/>
          <w:kern w:val="2"/>
          <w:shd w:val="clear" w:color="auto" w:fill="FFFFFF"/>
          <w:lang w:val="es-ES"/>
          <w14:ligatures w14:val="standardContextual"/>
        </w:rPr>
        <w:t>.</w:t>
      </w:r>
    </w:p>
    <w:p w14:paraId="40A9C2F5" w14:textId="77777777" w:rsidR="00AE4421" w:rsidRPr="0028318A" w:rsidRDefault="00AE4421" w:rsidP="00AE4421">
      <w:pPr>
        <w:spacing w:after="0" w:line="240" w:lineRule="auto"/>
        <w:jc w:val="both"/>
        <w:rPr>
          <w:rFonts w:ascii="Verdana" w:eastAsia="Calibri" w:hAnsi="Verdana" w:cs="Arial"/>
          <w:color w:val="000000"/>
          <w:kern w:val="2"/>
          <w:shd w:val="clear" w:color="auto" w:fill="FFFFFF"/>
          <w:lang w:val="es-ES_tradnl"/>
          <w14:ligatures w14:val="standardContextual"/>
        </w:rPr>
      </w:pPr>
    </w:p>
    <w:p w14:paraId="4BA9097E" w14:textId="77777777" w:rsidR="00AE4421" w:rsidRPr="0028318A" w:rsidRDefault="00AE4421" w:rsidP="00AE442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8318A">
        <w:rPr>
          <w:rFonts w:ascii="Verdana" w:eastAsia="Calibri" w:hAnsi="Verdana" w:cs="Arial"/>
          <w:kern w:val="2"/>
          <w:shd w:val="clear" w:color="auto" w:fill="FFFFFF"/>
          <w:lang w:val="es-ES_tradnl"/>
          <w14:ligatures w14:val="standardContextual"/>
        </w:rPr>
        <w:t>La</w:t>
      </w:r>
      <w:r w:rsidRPr="0028318A">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28318A">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28318A">
        <w:rPr>
          <w:rFonts w:ascii="Verdana" w:eastAsia="Calibri" w:hAnsi="Verdana" w:cs="Arial"/>
          <w:b/>
          <w:bCs/>
          <w:kern w:val="2"/>
          <w:shd w:val="clear" w:color="auto" w:fill="FFFFFF"/>
          <w:lang w:val="es-ES_tradnl"/>
          <w14:ligatures w14:val="standardContextual"/>
        </w:rPr>
        <w:t>Documentos Tipo</w:t>
      </w:r>
      <w:r w:rsidRPr="0028318A">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28318A">
        <w:rPr>
          <w:rFonts w:ascii="Verdana" w:eastAsia="Calibri" w:hAnsi="Verdana" w:cs="Arial"/>
          <w:b/>
          <w:bCs/>
          <w:kern w:val="2"/>
          <w:shd w:val="clear" w:color="auto" w:fill="FFFFFF"/>
          <w:lang w:val="es-ES_tradnl"/>
          <w14:ligatures w14:val="standardContextual"/>
        </w:rPr>
        <w:t>transparencia</w:t>
      </w:r>
      <w:r w:rsidRPr="0028318A">
        <w:rPr>
          <w:rFonts w:ascii="Verdana" w:eastAsia="Calibri" w:hAnsi="Verdana" w:cs="Arial"/>
          <w:kern w:val="2"/>
          <w:shd w:val="clear" w:color="auto" w:fill="FFFFFF"/>
          <w:lang w:val="es-ES_tradnl"/>
          <w14:ligatures w14:val="standardContextual"/>
        </w:rPr>
        <w:t> y promover un proceso de </w:t>
      </w:r>
      <w:r w:rsidRPr="0028318A">
        <w:rPr>
          <w:rFonts w:ascii="Verdana" w:eastAsia="Calibri" w:hAnsi="Verdana" w:cs="Arial"/>
          <w:b/>
          <w:bCs/>
          <w:kern w:val="2"/>
          <w:shd w:val="clear" w:color="auto" w:fill="FFFFFF"/>
          <w:lang w:val="es-ES_tradnl"/>
          <w14:ligatures w14:val="standardContextual"/>
        </w:rPr>
        <w:t>selección objetiva</w:t>
      </w:r>
      <w:r w:rsidRPr="0028318A">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EDE1478" w14:textId="77777777" w:rsidR="00AE4421" w:rsidRPr="0028318A" w:rsidRDefault="00AE4421" w:rsidP="00AE442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8C41670" w14:textId="77777777" w:rsidR="00AE4421" w:rsidRPr="00AE4421" w:rsidRDefault="00AE4421" w:rsidP="00AE4421">
      <w:pPr>
        <w:spacing w:after="0" w:line="276" w:lineRule="auto"/>
        <w:jc w:val="both"/>
        <w:rPr>
          <w:rFonts w:ascii="Verdana" w:eastAsia="Aptos" w:hAnsi="Verdana" w:cs="Times New Roman"/>
          <w:kern w:val="2"/>
          <w:lang w:val="it-IT"/>
          <w14:ligatures w14:val="standardContextual"/>
        </w:rPr>
      </w:pPr>
      <w:r w:rsidRPr="0028318A">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28318A">
        <w:rPr>
          <w:rFonts w:ascii="Verdana" w:eastAsia="Aptos" w:hAnsi="Verdana" w:cs="Times New Roman"/>
          <w:b/>
          <w:bCs/>
          <w:kern w:val="2"/>
          <w14:ligatures w14:val="standardContextual"/>
        </w:rPr>
        <w:t>Guía para la Exigencia y Constitución de Garantías en los Procesos de Contratación</w:t>
      </w:r>
      <w:r w:rsidRPr="0028318A">
        <w:rPr>
          <w:rFonts w:ascii="Verdana" w:eastAsia="Aptos" w:hAnsi="Verdana" w:cs="Times New Roman"/>
          <w:kern w:val="2"/>
          <w14:ligatures w14:val="standardContextual"/>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w:t>
      </w:r>
      <w:r w:rsidRPr="0028318A">
        <w:rPr>
          <w:rFonts w:ascii="Verdana" w:eastAsia="Aptos" w:hAnsi="Verdana" w:cs="Times New Roman"/>
          <w:kern w:val="2"/>
          <w14:ligatures w14:val="standardContextual"/>
        </w:rPr>
        <w:lastRenderedPageBreak/>
        <w:t xml:space="preserve">suficiencia y vigencia, y el procedimiento para hacerlas efectivas. </w:t>
      </w:r>
      <w:r w:rsidRPr="00AE4421">
        <w:rPr>
          <w:rFonts w:ascii="Verdana" w:eastAsia="Aptos" w:hAnsi="Verdana" w:cs="Times New Roman"/>
          <w:kern w:val="2"/>
          <w:lang w:val="it-IT"/>
          <w14:ligatures w14:val="standardContextual"/>
        </w:rPr>
        <w:t>Consúltela aquí: </w:t>
      </w:r>
      <w:r>
        <w:fldChar w:fldCharType="begin"/>
      </w:r>
      <w:r w:rsidRPr="00AE4421">
        <w:rPr>
          <w:lang w:val="it-IT"/>
        </w:rPr>
        <w:instrText>HYPERLINK "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 "_blank" \o "Original URL: https://www.colombiacompra.gov.co/archivos/manual/guia-de-garantias-en-procesos-de-contratacion. Click or tap if you trust this link."</w:instrText>
      </w:r>
      <w:r>
        <w:fldChar w:fldCharType="separate"/>
      </w:r>
      <w:r w:rsidRPr="00AE4421">
        <w:rPr>
          <w:rFonts w:ascii="Verdana" w:eastAsia="Aptos" w:hAnsi="Verdana" w:cs="Times New Roman"/>
          <w:color w:val="0000FF"/>
          <w:kern w:val="2"/>
          <w:u w:val="single"/>
          <w:lang w:val="it-IT"/>
          <w14:ligatures w14:val="standardContextual"/>
        </w:rPr>
        <w:t>https://www.colombiacompra.gov.co/archivos/manual/guia-de-garantias-en-procesos-de-contratacion</w:t>
      </w:r>
      <w:r>
        <w:fldChar w:fldCharType="end"/>
      </w:r>
    </w:p>
    <w:p w14:paraId="359D8E2C" w14:textId="77777777" w:rsidR="00AE4421" w:rsidRPr="00AE4421" w:rsidRDefault="00AE4421" w:rsidP="00AE4421">
      <w:pPr>
        <w:spacing w:after="0" w:line="276" w:lineRule="auto"/>
        <w:jc w:val="both"/>
        <w:rPr>
          <w:rFonts w:ascii="Verdana" w:eastAsia="Aptos" w:hAnsi="Verdana" w:cs="Times New Roman"/>
          <w:kern w:val="2"/>
          <w:lang w:val="it-IT"/>
          <w14:ligatures w14:val="standardContextual"/>
        </w:rPr>
      </w:pPr>
    </w:p>
    <w:p w14:paraId="7863EC66" w14:textId="77777777" w:rsidR="00AE4421" w:rsidRPr="00AE4421" w:rsidRDefault="00AE4421" w:rsidP="00AE4421">
      <w:pPr>
        <w:spacing w:after="0" w:line="276" w:lineRule="auto"/>
        <w:jc w:val="both"/>
        <w:rPr>
          <w:rFonts w:ascii="Verdana" w:eastAsia="Aptos" w:hAnsi="Verdana" w:cs="Times New Roman"/>
          <w:kern w:val="2"/>
          <w:lang w:val="it-IT"/>
          <w14:ligatures w14:val="standardContextual"/>
        </w:rPr>
      </w:pPr>
      <w:r w:rsidRPr="0028318A">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28318A">
        <w:rPr>
          <w:rFonts w:ascii="Verdana" w:eastAsia="Aptos" w:hAnsi="Verdana" w:cs="Times New Roman"/>
          <w:b/>
          <w:bCs/>
          <w:kern w:val="2"/>
          <w14:ligatures w14:val="standardContextual"/>
        </w:rPr>
        <w:t>Sistema Integral de Preferencias en favor de las personas con discapacidad</w:t>
      </w:r>
      <w:r w:rsidRPr="0028318A">
        <w:rPr>
          <w:rFonts w:ascii="Verdana" w:eastAsia="Aptos" w:hAnsi="Verdana" w:cs="Times New Roman"/>
          <w:kern w:val="2"/>
          <w14:ligatures w14:val="standardContextual"/>
        </w:rPr>
        <w:t>, en cumplimiento del artículo 13 de la Ley Estatutaria 1618 de 2013. Para orientar su aplicación, esta Agencia expidió la </w:t>
      </w:r>
      <w:r w:rsidRPr="0028318A">
        <w:rPr>
          <w:rFonts w:ascii="Verdana" w:eastAsia="Aptos" w:hAnsi="Verdana" w:cs="Times New Roman"/>
          <w:b/>
          <w:bCs/>
          <w:kern w:val="2"/>
          <w14:ligatures w14:val="standardContextual"/>
        </w:rPr>
        <w:t>Circular Externa 003 del 12 de mayo de 2026, </w:t>
      </w:r>
      <w:r w:rsidRPr="0028318A">
        <w:rPr>
          <w:rFonts w:ascii="Verdana" w:eastAsia="Aptos" w:hAnsi="Verdana" w:cs="Times New Roman"/>
          <w:kern w:val="2"/>
          <w14:ligatures w14:val="standardContextual"/>
        </w:rPr>
        <w:t xml:space="preserve">en la que precisa quiénes son los beneficiarios, las cinco medidas que integran el sistema y su obligatoriedad según la modalidad de selección, y el régimen de transición aplicable a los procesos en curso. </w:t>
      </w:r>
      <w:r w:rsidRPr="00AE4421">
        <w:rPr>
          <w:rFonts w:ascii="Verdana" w:eastAsia="Aptos" w:hAnsi="Verdana" w:cs="Times New Roman"/>
          <w:kern w:val="2"/>
          <w:lang w:val="it-IT"/>
          <w14:ligatures w14:val="standardContextual"/>
        </w:rPr>
        <w:t>Consúltela aquí: </w:t>
      </w:r>
      <w:r>
        <w:fldChar w:fldCharType="begin"/>
      </w:r>
      <w:r w:rsidRPr="00AE4421">
        <w:rPr>
          <w:lang w:val="it-IT"/>
        </w:rPr>
        <w:instrText>HYPERLINK "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 "_blank" \o "Original URL: https://www.colombiacompra.gov.co/archivos/circular/circular-externa-003-de-2026. Click or tap if you trust this link."</w:instrText>
      </w:r>
      <w:r>
        <w:fldChar w:fldCharType="separate"/>
      </w:r>
      <w:r w:rsidRPr="00AE4421">
        <w:rPr>
          <w:rFonts w:ascii="Verdana" w:eastAsia="Aptos" w:hAnsi="Verdana" w:cs="Times New Roman"/>
          <w:color w:val="0000FF"/>
          <w:kern w:val="2"/>
          <w:u w:val="single"/>
          <w:lang w:val="it-IT"/>
          <w14:ligatures w14:val="standardContextual"/>
        </w:rPr>
        <w:t>https://www.colombiacompra.gov.co/archivos/circular/circular-externa-003-de-2026</w:t>
      </w:r>
      <w:r>
        <w:fldChar w:fldCharType="end"/>
      </w:r>
    </w:p>
    <w:p w14:paraId="2C70EAA9" w14:textId="77777777" w:rsidR="00AE4421" w:rsidRPr="00AE4421" w:rsidRDefault="00AE4421" w:rsidP="00AE4421">
      <w:pPr>
        <w:spacing w:after="0" w:line="276" w:lineRule="auto"/>
        <w:jc w:val="both"/>
        <w:rPr>
          <w:rFonts w:ascii="Verdana" w:eastAsia="Aptos" w:hAnsi="Verdana" w:cs="Times New Roman"/>
          <w:kern w:val="2"/>
          <w:lang w:val="it-IT"/>
          <w14:ligatures w14:val="standardContextual"/>
        </w:rPr>
      </w:pPr>
    </w:p>
    <w:p w14:paraId="02E71490" w14:textId="77777777" w:rsidR="00AE4421" w:rsidRPr="0028318A" w:rsidRDefault="00AE4421" w:rsidP="00AE4421">
      <w:pPr>
        <w:spacing w:after="0" w:line="276" w:lineRule="auto"/>
        <w:jc w:val="both"/>
        <w:rPr>
          <w:rFonts w:ascii="Verdana" w:eastAsia="Aptos" w:hAnsi="Verdana" w:cs="Times New Roman"/>
          <w:kern w:val="2"/>
          <w:lang w:val="es-ES_tradnl"/>
          <w14:ligatures w14:val="standardContextual"/>
        </w:rPr>
      </w:pPr>
      <w:r w:rsidRPr="0028318A">
        <w:rPr>
          <w:rFonts w:ascii="Verdana" w:eastAsia="Aptos" w:hAnsi="Verdana" w:cs="Times New Roman"/>
          <w:kern w:val="2"/>
          <w14:ligatures w14:val="standardContextual"/>
        </w:rPr>
        <w:t>Recuerde también que la</w:t>
      </w:r>
      <w:r w:rsidRPr="0028318A">
        <w:rPr>
          <w:rFonts w:ascii="Verdana" w:eastAsia="Aptos" w:hAnsi="Verdana" w:cs="Times New Roman"/>
          <w:b/>
          <w:bCs/>
          <w:kern w:val="2"/>
          <w14:ligatures w14:val="standardContextual"/>
        </w:rPr>
        <w:t> información sobre sanciones e inhabilidades </w:t>
      </w:r>
      <w:r w:rsidRPr="0028318A">
        <w:rPr>
          <w:rFonts w:ascii="Verdana" w:eastAsia="Aptos" w:hAnsi="Verdana" w:cs="Times New Roman"/>
          <w:kern w:val="2"/>
          <w14:ligatures w14:val="standardContextual"/>
        </w:rPr>
        <w:t>solo cumple su función preventiva si llega oportunamente a los registros públicos. Sobre este deber, esta Agencia expidió la </w:t>
      </w:r>
      <w:r w:rsidRPr="0028318A">
        <w:rPr>
          <w:rFonts w:ascii="Verdana" w:eastAsia="Aptos" w:hAnsi="Verdana" w:cs="Times New Roman"/>
          <w:b/>
          <w:bCs/>
          <w:kern w:val="2"/>
          <w14:ligatures w14:val="standardContextual"/>
        </w:rPr>
        <w:t>Circular Externa 002 del 5 de mayo de 2026,</w:t>
      </w:r>
      <w:r w:rsidRPr="0028318A">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28318A">
          <w:rPr>
            <w:rFonts w:ascii="Verdana" w:eastAsia="Aptos" w:hAnsi="Verdana" w:cs="Times New Roman"/>
            <w:color w:val="0000FF"/>
            <w:kern w:val="2"/>
            <w:u w:val="single"/>
            <w14:ligatures w14:val="standardContextual"/>
          </w:rPr>
          <w:t>https://www.colombiacompra.gov.co/archivos/circular/circular-externa-002-de-2026</w:t>
        </w:r>
      </w:hyperlink>
    </w:p>
    <w:p w14:paraId="760C9081" w14:textId="77777777" w:rsidR="00AE4421" w:rsidRPr="0028318A" w:rsidRDefault="00AE4421" w:rsidP="00AE4421">
      <w:pPr>
        <w:spacing w:after="0" w:line="276" w:lineRule="auto"/>
        <w:jc w:val="both"/>
        <w:rPr>
          <w:rFonts w:ascii="Verdana" w:eastAsia="Aptos" w:hAnsi="Verdana" w:cs="Times New Roman"/>
          <w:kern w:val="2"/>
          <w14:ligatures w14:val="standardContextual"/>
        </w:rPr>
      </w:pPr>
    </w:p>
    <w:p w14:paraId="5B10ADE8" w14:textId="77777777" w:rsidR="00AE4421" w:rsidRPr="0028318A" w:rsidRDefault="00AE4421" w:rsidP="00AE4421">
      <w:pPr>
        <w:spacing w:after="0" w:line="276" w:lineRule="auto"/>
        <w:jc w:val="both"/>
        <w:rPr>
          <w:rFonts w:ascii="Verdana" w:eastAsia="Aptos" w:hAnsi="Verdana" w:cs="Times New Roman"/>
          <w:kern w:val="2"/>
          <w14:ligatures w14:val="standardContextual"/>
        </w:rPr>
      </w:pPr>
      <w:r w:rsidRPr="0028318A">
        <w:rPr>
          <w:rFonts w:ascii="Verdana" w:eastAsia="Aptos" w:hAnsi="Verdana" w:cs="Times New Roman"/>
          <w:kern w:val="2"/>
          <w14:ligatures w14:val="standardContextual"/>
        </w:rPr>
        <w:t>Finalmente, si quiere seguir de cerca la actividad de la Agencia, la tercera edición de 2026 del</w:t>
      </w:r>
      <w:r w:rsidRPr="0028318A">
        <w:rPr>
          <w:rFonts w:ascii="Verdana" w:eastAsia="Aptos" w:hAnsi="Verdana" w:cs="Times New Roman"/>
          <w:b/>
          <w:bCs/>
          <w:kern w:val="2"/>
          <w14:ligatures w14:val="standardContextual"/>
        </w:rPr>
        <w:t> Radar de la Compra Pública</w:t>
      </w:r>
      <w:r w:rsidRPr="0028318A">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28318A">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29EC9698" w14:textId="77777777" w:rsidR="00AE4421" w:rsidRPr="0028318A" w:rsidRDefault="00AE4421" w:rsidP="00AE4421">
      <w:pPr>
        <w:widowControl w:val="0"/>
        <w:autoSpaceDE w:val="0"/>
        <w:autoSpaceDN w:val="0"/>
        <w:spacing w:after="0" w:line="276" w:lineRule="auto"/>
        <w:jc w:val="both"/>
        <w:rPr>
          <w:rFonts w:ascii="Verdana" w:eastAsia="Calibri" w:hAnsi="Verdana" w:cs="Arial"/>
          <w:shd w:val="clear" w:color="auto" w:fill="FFFFFF"/>
          <w:lang w:val="es-ES_tradnl"/>
        </w:rPr>
      </w:pPr>
    </w:p>
    <w:p w14:paraId="7459FB9D" w14:textId="77777777" w:rsidR="00AE4421" w:rsidRPr="0028318A" w:rsidRDefault="00AE4421" w:rsidP="00AE4421">
      <w:pPr>
        <w:spacing w:after="0" w:line="276" w:lineRule="auto"/>
        <w:jc w:val="both"/>
        <w:rPr>
          <w:rFonts w:ascii="Verdana" w:eastAsia="Calibri" w:hAnsi="Verdana" w:cs="Times New Roman"/>
          <w:lang w:val="es-ES_tradnl"/>
        </w:rPr>
      </w:pPr>
      <w:r w:rsidRPr="0028318A">
        <w:rPr>
          <w:rFonts w:ascii="Verdana" w:eastAsia="Calibri" w:hAnsi="Verdana" w:cs="Times New Roman"/>
          <w:lang w:val="es-ES_tradnl"/>
        </w:rPr>
        <w:t xml:space="preserve">Por último, los invitamos a seguirnos en las redes sociales, en las cuales se difunde información institucional: </w:t>
      </w:r>
    </w:p>
    <w:p w14:paraId="3B16B14B" w14:textId="77777777" w:rsidR="00AE4421" w:rsidRPr="0028318A" w:rsidRDefault="00AE4421" w:rsidP="00AE4421">
      <w:pPr>
        <w:spacing w:after="0" w:line="240" w:lineRule="auto"/>
        <w:jc w:val="both"/>
        <w:rPr>
          <w:rFonts w:ascii="Verdana" w:eastAsia="Calibri" w:hAnsi="Verdana" w:cs="Times New Roman"/>
          <w:kern w:val="2"/>
          <w:lang w:val="es-ES_tradnl" w:eastAsia="es-MX"/>
          <w14:ligatures w14:val="standardContextual"/>
        </w:rPr>
      </w:pPr>
    </w:p>
    <w:p w14:paraId="709C5C71" w14:textId="77777777" w:rsidR="00AE4421" w:rsidRPr="0028318A" w:rsidRDefault="00AE4421" w:rsidP="00AE4421">
      <w:pPr>
        <w:spacing w:after="0" w:line="240" w:lineRule="auto"/>
        <w:jc w:val="both"/>
        <w:rPr>
          <w:rFonts w:ascii="Verdana" w:eastAsia="Calibri" w:hAnsi="Verdana" w:cs="Times New Roman"/>
          <w:kern w:val="2"/>
          <w:lang w:val="es-ES_tradnl" w:eastAsia="es-MX"/>
          <w14:ligatures w14:val="standardContextual"/>
        </w:rPr>
      </w:pPr>
      <w:r w:rsidRPr="0028318A">
        <w:rPr>
          <w:rFonts w:ascii="Verdana" w:eastAsia="Calibri" w:hAnsi="Verdana" w:cs="Times New Roman"/>
          <w:kern w:val="2"/>
          <w:lang w:val="es-ES_tradnl" w:eastAsia="es-MX"/>
          <w14:ligatures w14:val="standardContextual"/>
        </w:rPr>
        <w:t xml:space="preserve">X: </w:t>
      </w:r>
      <w:r w:rsidRPr="0028318A">
        <w:rPr>
          <w:rFonts w:ascii="Verdana" w:eastAsia="Calibri" w:hAnsi="Verdana" w:cs="Times New Roman"/>
          <w:kern w:val="2"/>
          <w:u w:val="single"/>
          <w:lang w:val="es-ES_tradnl" w:eastAsia="es-MX"/>
          <w14:ligatures w14:val="standardContextual"/>
        </w:rPr>
        <w:t>@colombiacompra</w:t>
      </w:r>
      <w:r w:rsidRPr="0028318A">
        <w:rPr>
          <w:rFonts w:ascii="Verdana" w:eastAsia="Calibri" w:hAnsi="Verdana" w:cs="Times New Roman"/>
          <w:kern w:val="2"/>
          <w:lang w:val="es-ES_tradnl" w:eastAsia="es-MX"/>
          <w14:ligatures w14:val="standardContextual"/>
        </w:rPr>
        <w:t xml:space="preserve"> </w:t>
      </w:r>
    </w:p>
    <w:p w14:paraId="39933EDB" w14:textId="77777777" w:rsidR="00AE4421" w:rsidRPr="0028318A" w:rsidRDefault="00AE4421" w:rsidP="00AE4421">
      <w:pPr>
        <w:spacing w:after="0" w:line="240" w:lineRule="auto"/>
        <w:jc w:val="both"/>
        <w:rPr>
          <w:rFonts w:ascii="Verdana" w:eastAsia="Calibri" w:hAnsi="Verdana" w:cs="Times New Roman"/>
          <w:kern w:val="2"/>
          <w:lang w:val="es-ES" w:eastAsia="es-MX"/>
          <w14:ligatures w14:val="standardContextual"/>
        </w:rPr>
      </w:pPr>
      <w:r w:rsidRPr="0028318A">
        <w:rPr>
          <w:rFonts w:ascii="Verdana" w:eastAsia="Calibri" w:hAnsi="Verdana" w:cs="Times New Roman"/>
          <w:kern w:val="2"/>
          <w:lang w:val="es-ES" w:eastAsia="es-MX"/>
          <w14:ligatures w14:val="standardContextual"/>
        </w:rPr>
        <w:t xml:space="preserve">Facebook: </w:t>
      </w:r>
      <w:proofErr w:type="spellStart"/>
      <w:r w:rsidRPr="0028318A">
        <w:rPr>
          <w:rFonts w:ascii="Verdana" w:eastAsia="Calibri" w:hAnsi="Verdana" w:cs="Times New Roman"/>
          <w:kern w:val="2"/>
          <w:u w:val="single"/>
          <w:lang w:val="es-ES" w:eastAsia="es-MX"/>
          <w14:ligatures w14:val="standardContextual"/>
        </w:rPr>
        <w:t>ColombiaCompraEficiente</w:t>
      </w:r>
      <w:proofErr w:type="spellEnd"/>
    </w:p>
    <w:p w14:paraId="60DF2F4C" w14:textId="77777777" w:rsidR="00AE4421" w:rsidRPr="0028318A" w:rsidRDefault="00AE4421" w:rsidP="00AE4421">
      <w:pPr>
        <w:spacing w:after="0" w:line="240" w:lineRule="auto"/>
        <w:jc w:val="both"/>
        <w:rPr>
          <w:rFonts w:ascii="Verdana" w:eastAsia="Calibri" w:hAnsi="Verdana" w:cs="Times New Roman"/>
          <w:kern w:val="2"/>
          <w:lang w:val="es-ES_tradnl" w:eastAsia="es-MX"/>
          <w14:ligatures w14:val="standardContextual"/>
        </w:rPr>
      </w:pPr>
      <w:r w:rsidRPr="0028318A">
        <w:rPr>
          <w:rFonts w:ascii="Verdana" w:eastAsia="Calibri" w:hAnsi="Verdana" w:cs="Times New Roman"/>
          <w:kern w:val="2"/>
          <w:lang w:val="es-ES_tradnl" w:eastAsia="es-MX"/>
          <w14:ligatures w14:val="standardContextual"/>
        </w:rPr>
        <w:t xml:space="preserve">LinkedIn: </w:t>
      </w:r>
      <w:r w:rsidRPr="0028318A">
        <w:rPr>
          <w:rFonts w:ascii="Verdana" w:eastAsia="Calibri" w:hAnsi="Verdana" w:cs="Times New Roman"/>
          <w:kern w:val="2"/>
          <w:u w:val="single"/>
          <w:lang w:val="es-ES_tradnl" w:eastAsia="es-MX"/>
          <w14:ligatures w14:val="standardContextual"/>
        </w:rPr>
        <w:t>Agencia Nacional de Contratación Pública - Colombia Compra Eficiente</w:t>
      </w:r>
      <w:r w:rsidRPr="0028318A">
        <w:rPr>
          <w:rFonts w:ascii="Verdana" w:eastAsia="Calibri" w:hAnsi="Verdana" w:cs="Times New Roman"/>
          <w:kern w:val="2"/>
          <w:lang w:val="es-ES_tradnl" w:eastAsia="es-MX"/>
          <w14:ligatures w14:val="standardContextual"/>
        </w:rPr>
        <w:t xml:space="preserve"> Instagram: </w:t>
      </w:r>
      <w:r w:rsidRPr="0028318A">
        <w:rPr>
          <w:rFonts w:ascii="Verdana" w:eastAsia="Calibri" w:hAnsi="Verdana" w:cs="Times New Roman"/>
          <w:kern w:val="2"/>
          <w:u w:val="single"/>
          <w:lang w:val="es-ES_tradnl" w:eastAsia="es-MX"/>
          <w14:ligatures w14:val="standardContextual"/>
        </w:rPr>
        <w:t>@colombiacompraeficiente_cce</w:t>
      </w:r>
    </w:p>
    <w:p w14:paraId="6D266B58" w14:textId="77777777" w:rsidR="00AE4421" w:rsidRPr="0028318A" w:rsidRDefault="00AE4421" w:rsidP="00AE4421">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75F10F05" w14:textId="77777777" w:rsidR="00AE4421" w:rsidRPr="0028318A" w:rsidRDefault="00AE4421" w:rsidP="00AE4421">
      <w:pPr>
        <w:widowControl w:val="0"/>
        <w:autoSpaceDE w:val="0"/>
        <w:autoSpaceDN w:val="0"/>
        <w:spacing w:after="0" w:line="276" w:lineRule="auto"/>
        <w:jc w:val="both"/>
        <w:rPr>
          <w:rFonts w:ascii="Verdana" w:eastAsia="Calibri" w:hAnsi="Verdana" w:cs="Arial"/>
          <w:lang w:eastAsia="es-MX"/>
        </w:rPr>
      </w:pPr>
      <w:r w:rsidRPr="0028318A">
        <w:rPr>
          <w:rFonts w:ascii="Verdana" w:eastAsia="Calibri" w:hAnsi="Verdana" w:cs="Arial"/>
          <w:kern w:val="2"/>
          <w:lang w:val="es-ES_tradnl" w:eastAsia="es-MX"/>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BDA1CFE" w14:textId="47DA05B0" w:rsidR="00AE4421" w:rsidRPr="0028318A" w:rsidRDefault="00AE4421" w:rsidP="00AE4421">
      <w:pPr>
        <w:widowControl w:val="0"/>
        <w:autoSpaceDE w:val="0"/>
        <w:autoSpaceDN w:val="0"/>
        <w:spacing w:after="0" w:line="276" w:lineRule="auto"/>
        <w:jc w:val="both"/>
        <w:rPr>
          <w:rFonts w:ascii="Verdana" w:eastAsia="Calibri" w:hAnsi="Verdana" w:cs="Arial"/>
          <w:lang w:eastAsia="es-MX"/>
        </w:rPr>
      </w:pPr>
    </w:p>
    <w:p w14:paraId="3996FE96" w14:textId="5DAB2BE5" w:rsidR="00AE4421" w:rsidRDefault="00AD283A" w:rsidP="00AE4421">
      <w:pPr>
        <w:spacing w:after="0" w:line="240" w:lineRule="auto"/>
        <w:rPr>
          <w:rFonts w:ascii="Verdana" w:eastAsia="Calibri" w:hAnsi="Verdana" w:cs="Arial"/>
          <w:lang w:eastAsia="es-CO"/>
        </w:rPr>
      </w:pPr>
      <w:r>
        <w:rPr>
          <w:rFonts w:ascii="Verdana" w:eastAsia="Times New Roman" w:hAnsi="Verdana" w:cs="Arial"/>
          <w:noProof/>
          <w:lang w:eastAsia="es-ES"/>
        </w:rPr>
        <w:drawing>
          <wp:anchor distT="0" distB="0" distL="114300" distR="114300" simplePos="0" relativeHeight="251660288" behindDoc="1" locked="0" layoutInCell="1" allowOverlap="1" wp14:anchorId="10AD261B" wp14:editId="12E0EAD8">
            <wp:simplePos x="0" y="0"/>
            <wp:positionH relativeFrom="column">
              <wp:posOffset>1336014</wp:posOffset>
            </wp:positionH>
            <wp:positionV relativeFrom="paragraph">
              <wp:posOffset>167640</wp:posOffset>
            </wp:positionV>
            <wp:extent cx="3639058" cy="1343212"/>
            <wp:effectExtent l="0" t="0" r="0" b="0"/>
            <wp:wrapTight wrapText="bothSides">
              <wp:wrapPolygon edited="0">
                <wp:start x="0" y="0"/>
                <wp:lineTo x="0" y="21140"/>
                <wp:lineTo x="21487" y="21140"/>
                <wp:lineTo x="21487" y="0"/>
                <wp:lineTo x="0" y="0"/>
              </wp:wrapPolygon>
            </wp:wrapTight>
            <wp:docPr id="154929090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90905" name="Imagen 1" descr="Texto&#10;&#10;Descripción generada automáticamente"/>
                    <pic:cNvPicPr/>
                  </pic:nvPicPr>
                  <pic:blipFill>
                    <a:blip r:embed="rId17">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anchor>
        </w:drawing>
      </w:r>
      <w:r w:rsidR="00AE4421" w:rsidRPr="0028318A">
        <w:rPr>
          <w:rFonts w:ascii="Verdana" w:eastAsia="Times New Roman" w:hAnsi="Verdana" w:cs="Arial"/>
          <w:lang w:eastAsia="es-CO"/>
        </w:rPr>
        <w:t>Atentamente,</w:t>
      </w:r>
      <w:r w:rsidR="00AE4421" w:rsidRPr="0028318A">
        <w:rPr>
          <w:rFonts w:ascii="Verdana" w:eastAsia="Calibri" w:hAnsi="Verdana" w:cs="Arial"/>
          <w:lang w:eastAsia="es-CO"/>
        </w:rPr>
        <w:t xml:space="preserve"> </w:t>
      </w:r>
    </w:p>
    <w:p w14:paraId="1784F479" w14:textId="249405B1" w:rsidR="008A16DE" w:rsidRDefault="008A16DE" w:rsidP="00AE4421">
      <w:pPr>
        <w:spacing w:after="0" w:line="240" w:lineRule="auto"/>
        <w:rPr>
          <w:rFonts w:ascii="Verdana" w:eastAsia="Calibri" w:hAnsi="Verdana" w:cs="Arial"/>
          <w:lang w:eastAsia="es-CO"/>
        </w:rPr>
      </w:pPr>
    </w:p>
    <w:p w14:paraId="33935337" w14:textId="1CED838B" w:rsidR="008A16DE" w:rsidRPr="0028318A" w:rsidRDefault="008A16DE" w:rsidP="00AE4421">
      <w:pPr>
        <w:spacing w:after="0" w:line="240" w:lineRule="auto"/>
        <w:rPr>
          <w:rFonts w:ascii="Verdana" w:eastAsia="Calibri" w:hAnsi="Verdana" w:cs="Arial"/>
          <w:lang w:eastAsia="es-CO"/>
        </w:rPr>
      </w:pPr>
    </w:p>
    <w:p w14:paraId="6DD636EA" w14:textId="77777777" w:rsidR="00AE4421" w:rsidRPr="00226F80" w:rsidRDefault="00AE4421" w:rsidP="00AE4421">
      <w:pPr>
        <w:shd w:val="clear" w:color="auto" w:fill="FFFFFF"/>
        <w:spacing w:after="120" w:line="240" w:lineRule="auto"/>
        <w:ind w:right="709"/>
        <w:jc w:val="both"/>
        <w:rPr>
          <w:rFonts w:ascii="Verdana" w:eastAsia="Aptos" w:hAnsi="Verdana" w:cs="Times New Roman"/>
          <w:kern w:val="2"/>
          <w:sz w:val="20"/>
          <w:szCs w:val="20"/>
          <w14:ligatures w14:val="standardContextual"/>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Default="00C15139" w:rsidP="30821638">
      <w:pPr>
        <w:spacing w:after="0" w:line="240" w:lineRule="auto"/>
        <w:jc w:val="both"/>
        <w:textAlignment w:val="baseline"/>
        <w:rPr>
          <w:rFonts w:ascii="Verdana" w:eastAsia="Verdana" w:hAnsi="Verdana" w:cs="Verdana"/>
          <w:lang w:eastAsia="es-CO"/>
        </w:rPr>
      </w:pPr>
    </w:p>
    <w:p w14:paraId="24521064" w14:textId="77777777" w:rsidR="00C93A85" w:rsidRDefault="00C93A85" w:rsidP="30821638">
      <w:pPr>
        <w:spacing w:after="0" w:line="240" w:lineRule="auto"/>
        <w:jc w:val="both"/>
        <w:textAlignment w:val="baseline"/>
        <w:rPr>
          <w:rFonts w:ascii="Verdana" w:eastAsia="Verdana" w:hAnsi="Verdana" w:cs="Verdana"/>
          <w:lang w:eastAsia="es-CO"/>
        </w:rPr>
      </w:pPr>
    </w:p>
    <w:p w14:paraId="0ADAC64B" w14:textId="77777777" w:rsidR="00435D0E" w:rsidRPr="00256865" w:rsidRDefault="00435D0E" w:rsidP="00435D0E">
      <w:pPr>
        <w:spacing w:after="120" w:line="276" w:lineRule="auto"/>
        <w:ind w:right="709"/>
        <w:jc w:val="both"/>
        <w:textAlignment w:val="baseline"/>
        <w:rPr>
          <w:rFonts w:ascii="Verdana" w:eastAsia="Times New Roman" w:hAnsi="Verdana" w:cs="Arial"/>
          <w:bCs/>
          <w:kern w:val="2"/>
          <w:shd w:val="clear" w:color="auto" w:fill="FFFFFF"/>
          <w:lang w:eastAsia="es-ES_tradnl"/>
        </w:rPr>
      </w:pP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7"/>
        <w:gridCol w:w="4363"/>
      </w:tblGrid>
      <w:tr w:rsidR="00435D0E" w:rsidRPr="00B45B4E" w14:paraId="463F042A" w14:textId="77777777" w:rsidTr="00CE77AF">
        <w:trPr>
          <w:trHeight w:val="315"/>
        </w:trPr>
        <w:tc>
          <w:tcPr>
            <w:tcW w:w="857" w:type="dxa"/>
            <w:tcBorders>
              <w:top w:val="nil"/>
              <w:left w:val="nil"/>
              <w:bottom w:val="nil"/>
              <w:right w:val="nil"/>
            </w:tcBorders>
            <w:vAlign w:val="center"/>
            <w:hideMark/>
          </w:tcPr>
          <w:p w14:paraId="05F5F308" w14:textId="77777777" w:rsidR="00435D0E" w:rsidRPr="00B45B4E" w:rsidRDefault="00435D0E" w:rsidP="00CE77A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Elaboró: </w:t>
            </w:r>
          </w:p>
        </w:tc>
        <w:tc>
          <w:tcPr>
            <w:tcW w:w="4363" w:type="dxa"/>
            <w:tcBorders>
              <w:top w:val="nil"/>
              <w:left w:val="nil"/>
              <w:bottom w:val="dotted" w:sz="6" w:space="0" w:color="7F7F7F" w:themeColor="text1" w:themeTint="80"/>
              <w:right w:val="nil"/>
            </w:tcBorders>
            <w:vAlign w:val="center"/>
            <w:hideMark/>
          </w:tcPr>
          <w:p w14:paraId="47792DD5" w14:textId="77777777" w:rsidR="00435D0E" w:rsidRPr="00B45B4E" w:rsidRDefault="00435D0E" w:rsidP="00CE77AF">
            <w:pPr>
              <w:spacing w:after="0" w:line="240" w:lineRule="auto"/>
              <w:jc w:val="both"/>
              <w:rPr>
                <w:rFonts w:ascii="Verdana" w:hAnsi="Verdana" w:cs="Arial"/>
                <w:sz w:val="16"/>
                <w:szCs w:val="16"/>
              </w:rPr>
            </w:pPr>
            <w:r w:rsidRPr="00B45B4E">
              <w:rPr>
                <w:rFonts w:ascii="Verdana" w:hAnsi="Verdana" w:cs="Arial"/>
                <w:sz w:val="16"/>
                <w:szCs w:val="16"/>
              </w:rPr>
              <w:t xml:space="preserve">Kelmis Yirama Brugés Alvarado </w:t>
            </w:r>
          </w:p>
          <w:p w14:paraId="0EE01980" w14:textId="77777777" w:rsidR="00435D0E" w:rsidRPr="00B45B4E" w:rsidRDefault="00435D0E" w:rsidP="00CE77A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Analista T2-04 de la Subdirección de Gestión Contractual</w:t>
            </w:r>
          </w:p>
        </w:tc>
      </w:tr>
      <w:tr w:rsidR="00435D0E" w:rsidRPr="00B45B4E" w14:paraId="29F177B1" w14:textId="77777777" w:rsidTr="00CE77AF">
        <w:trPr>
          <w:trHeight w:val="315"/>
        </w:trPr>
        <w:tc>
          <w:tcPr>
            <w:tcW w:w="857" w:type="dxa"/>
            <w:tcBorders>
              <w:top w:val="nil"/>
              <w:left w:val="nil"/>
              <w:bottom w:val="nil"/>
              <w:right w:val="nil"/>
            </w:tcBorders>
            <w:vAlign w:val="center"/>
            <w:hideMark/>
          </w:tcPr>
          <w:p w14:paraId="7A8F8FBA" w14:textId="77777777" w:rsidR="00435D0E" w:rsidRPr="00B45B4E" w:rsidRDefault="00435D0E" w:rsidP="00CE77A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Revisó: </w:t>
            </w:r>
          </w:p>
        </w:tc>
        <w:tc>
          <w:tcPr>
            <w:tcW w:w="4363" w:type="dxa"/>
            <w:tcBorders>
              <w:top w:val="dotted" w:sz="6" w:space="0" w:color="7F7F7F" w:themeColor="text1" w:themeTint="80"/>
              <w:left w:val="nil"/>
              <w:bottom w:val="dotted" w:sz="6" w:space="0" w:color="7F7F7F" w:themeColor="text1" w:themeTint="80"/>
              <w:right w:val="nil"/>
            </w:tcBorders>
            <w:vAlign w:val="center"/>
            <w:hideMark/>
          </w:tcPr>
          <w:p w14:paraId="7089D5EB" w14:textId="58B408EB" w:rsidR="00435D0E" w:rsidRDefault="00435D0E" w:rsidP="00CE77AF">
            <w:pPr>
              <w:spacing w:after="0" w:line="240" w:lineRule="auto"/>
              <w:jc w:val="both"/>
              <w:rPr>
                <w:rFonts w:ascii="Verdana" w:hAnsi="Verdana" w:cs="Arial"/>
                <w:sz w:val="16"/>
                <w:szCs w:val="16"/>
              </w:rPr>
            </w:pPr>
            <w:r>
              <w:rPr>
                <w:rFonts w:ascii="Verdana" w:hAnsi="Verdana" w:cs="Arial"/>
                <w:sz w:val="16"/>
                <w:szCs w:val="16"/>
              </w:rPr>
              <w:t xml:space="preserve">Juan David Cárdena Cabeza </w:t>
            </w:r>
          </w:p>
          <w:p w14:paraId="72E0823E" w14:textId="77777777" w:rsidR="00435D0E" w:rsidRPr="00B45B4E" w:rsidRDefault="00435D0E" w:rsidP="00CE77AF">
            <w:pPr>
              <w:spacing w:after="0" w:line="240" w:lineRule="auto"/>
              <w:jc w:val="both"/>
              <w:rPr>
                <w:rFonts w:ascii="Verdana" w:hAnsi="Verdana" w:cs="Arial"/>
                <w:sz w:val="16"/>
                <w:szCs w:val="16"/>
              </w:rPr>
            </w:pPr>
            <w:r>
              <w:rPr>
                <w:rFonts w:ascii="Verdana" w:eastAsia="Calibri" w:hAnsi="Verdana" w:cs="Arial"/>
                <w:sz w:val="16"/>
                <w:szCs w:val="16"/>
              </w:rPr>
              <w:t xml:space="preserve">Contratista </w:t>
            </w:r>
            <w:r w:rsidRPr="00B45B4E">
              <w:rPr>
                <w:rFonts w:ascii="Verdana" w:eastAsia="Calibri" w:hAnsi="Verdana" w:cs="Arial"/>
                <w:sz w:val="16"/>
                <w:szCs w:val="16"/>
              </w:rPr>
              <w:t>de la Subdirección de Gestión Contractual</w:t>
            </w:r>
          </w:p>
        </w:tc>
      </w:tr>
      <w:tr w:rsidR="00435D0E" w:rsidRPr="00B45B4E" w14:paraId="71226E8B" w14:textId="77777777" w:rsidTr="00CE77AF">
        <w:trPr>
          <w:trHeight w:val="300"/>
        </w:trPr>
        <w:tc>
          <w:tcPr>
            <w:tcW w:w="857" w:type="dxa"/>
            <w:tcBorders>
              <w:top w:val="nil"/>
              <w:left w:val="nil"/>
              <w:bottom w:val="nil"/>
              <w:right w:val="nil"/>
            </w:tcBorders>
            <w:vAlign w:val="center"/>
            <w:hideMark/>
          </w:tcPr>
          <w:p w14:paraId="2F897BD2" w14:textId="77777777" w:rsidR="00435D0E" w:rsidRPr="00B45B4E" w:rsidRDefault="00435D0E" w:rsidP="00CE77A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Aprobó: </w:t>
            </w:r>
          </w:p>
        </w:tc>
        <w:tc>
          <w:tcPr>
            <w:tcW w:w="4363" w:type="dxa"/>
            <w:tcBorders>
              <w:top w:val="dotted" w:sz="6" w:space="0" w:color="7F7F7F" w:themeColor="text1" w:themeTint="80"/>
              <w:left w:val="nil"/>
              <w:bottom w:val="dotted" w:sz="6" w:space="0" w:color="7F7F7F" w:themeColor="text1" w:themeTint="80"/>
              <w:right w:val="nil"/>
            </w:tcBorders>
            <w:vAlign w:val="center"/>
            <w:hideMark/>
          </w:tcPr>
          <w:p w14:paraId="485FFBCF" w14:textId="77777777" w:rsidR="00435D0E" w:rsidRPr="00B45B4E" w:rsidRDefault="00435D0E" w:rsidP="00CE77A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Carolina Quintero Gacharná</w:t>
            </w:r>
          </w:p>
          <w:p w14:paraId="254C09D8" w14:textId="77777777" w:rsidR="00435D0E" w:rsidRPr="00B45B4E" w:rsidRDefault="00435D0E" w:rsidP="00CE77A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 xml:space="preserve">Subdirectora de Gestión Contractual </w:t>
            </w:r>
          </w:p>
        </w:tc>
      </w:tr>
    </w:tbl>
    <w:p w14:paraId="615B7F34" w14:textId="77777777" w:rsidR="00C93A85" w:rsidRPr="000E2B93" w:rsidRDefault="00C93A85" w:rsidP="30821638">
      <w:pPr>
        <w:spacing w:after="0" w:line="240" w:lineRule="auto"/>
        <w:jc w:val="both"/>
        <w:textAlignment w:val="baseline"/>
        <w:rPr>
          <w:rFonts w:ascii="Verdana" w:eastAsia="Verdana" w:hAnsi="Verdana" w:cs="Verdana"/>
          <w:lang w:eastAsia="es-CO"/>
        </w:rPr>
      </w:pPr>
    </w:p>
    <w:p w14:paraId="69BC4D14" w14:textId="3F8B1BA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0A5CD3C1" w:rsidR="00127233" w:rsidRPr="0015699B" w:rsidRDefault="00127233" w:rsidP="00C67C99">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3AF3C" w14:textId="77777777" w:rsidR="00A05A3F" w:rsidRDefault="00A05A3F" w:rsidP="004A1847">
      <w:pPr>
        <w:spacing w:after="0" w:line="240" w:lineRule="auto"/>
      </w:pPr>
      <w:r>
        <w:separator/>
      </w:r>
    </w:p>
  </w:endnote>
  <w:endnote w:type="continuationSeparator" w:id="0">
    <w:p w14:paraId="5CB17207" w14:textId="77777777" w:rsidR="00A05A3F" w:rsidRDefault="00A05A3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A9D34" w14:textId="77777777" w:rsidR="00A05A3F" w:rsidRDefault="00A05A3F" w:rsidP="004A1847">
      <w:pPr>
        <w:spacing w:after="0" w:line="240" w:lineRule="auto"/>
      </w:pPr>
      <w:r>
        <w:separator/>
      </w:r>
    </w:p>
  </w:footnote>
  <w:footnote w:type="continuationSeparator" w:id="0">
    <w:p w14:paraId="0C492B1B" w14:textId="77777777" w:rsidR="00A05A3F" w:rsidRDefault="00A05A3F"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73906118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486566209" name="Imagen 486566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B4045D"/>
    <w:multiLevelType w:val="hybridMultilevel"/>
    <w:tmpl w:val="B39E3DEE"/>
    <w:lvl w:ilvl="0" w:tplc="21623222">
      <w:start w:val="1"/>
      <w:numFmt w:val="lowerRoman"/>
      <w:lvlText w:val="%1)"/>
      <w:lvlJc w:val="left"/>
      <w:pPr>
        <w:ind w:left="1080" w:hanging="72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5946287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364CC"/>
    <w:rsid w:val="0015699B"/>
    <w:rsid w:val="001809F8"/>
    <w:rsid w:val="001835A9"/>
    <w:rsid w:val="00194F95"/>
    <w:rsid w:val="001A33BF"/>
    <w:rsid w:val="001E4177"/>
    <w:rsid w:val="001F0B24"/>
    <w:rsid w:val="001F7DC6"/>
    <w:rsid w:val="0022400B"/>
    <w:rsid w:val="002421BB"/>
    <w:rsid w:val="00245E83"/>
    <w:rsid w:val="0025796E"/>
    <w:rsid w:val="00264C4F"/>
    <w:rsid w:val="002707A2"/>
    <w:rsid w:val="00281337"/>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45FF9"/>
    <w:rsid w:val="003525C4"/>
    <w:rsid w:val="00374F5E"/>
    <w:rsid w:val="00376FBA"/>
    <w:rsid w:val="00377E3E"/>
    <w:rsid w:val="003A779E"/>
    <w:rsid w:val="003D0F4D"/>
    <w:rsid w:val="003D27D2"/>
    <w:rsid w:val="003D5B0D"/>
    <w:rsid w:val="003D774F"/>
    <w:rsid w:val="003E0499"/>
    <w:rsid w:val="003E4F80"/>
    <w:rsid w:val="003E6439"/>
    <w:rsid w:val="003F3941"/>
    <w:rsid w:val="00406575"/>
    <w:rsid w:val="00414C74"/>
    <w:rsid w:val="0042722E"/>
    <w:rsid w:val="00435D0E"/>
    <w:rsid w:val="0044528D"/>
    <w:rsid w:val="00466E39"/>
    <w:rsid w:val="00473E25"/>
    <w:rsid w:val="004A1847"/>
    <w:rsid w:val="004A305D"/>
    <w:rsid w:val="004F21C4"/>
    <w:rsid w:val="004F685F"/>
    <w:rsid w:val="005269A9"/>
    <w:rsid w:val="0054441C"/>
    <w:rsid w:val="005566E8"/>
    <w:rsid w:val="00564922"/>
    <w:rsid w:val="005725EA"/>
    <w:rsid w:val="00574867"/>
    <w:rsid w:val="00591460"/>
    <w:rsid w:val="005A65E0"/>
    <w:rsid w:val="005C3777"/>
    <w:rsid w:val="005C5CDC"/>
    <w:rsid w:val="005C7F47"/>
    <w:rsid w:val="005D0039"/>
    <w:rsid w:val="005D1BFF"/>
    <w:rsid w:val="005D3FDB"/>
    <w:rsid w:val="005D476C"/>
    <w:rsid w:val="006068BD"/>
    <w:rsid w:val="006200BF"/>
    <w:rsid w:val="006219F8"/>
    <w:rsid w:val="00627E78"/>
    <w:rsid w:val="006302F7"/>
    <w:rsid w:val="00631E8E"/>
    <w:rsid w:val="00640B54"/>
    <w:rsid w:val="00646B9F"/>
    <w:rsid w:val="00656A29"/>
    <w:rsid w:val="00665D70"/>
    <w:rsid w:val="006900D9"/>
    <w:rsid w:val="00696170"/>
    <w:rsid w:val="006E2266"/>
    <w:rsid w:val="006F09C2"/>
    <w:rsid w:val="006F3997"/>
    <w:rsid w:val="006F5D6E"/>
    <w:rsid w:val="007064B8"/>
    <w:rsid w:val="00706C16"/>
    <w:rsid w:val="007340C3"/>
    <w:rsid w:val="0075235A"/>
    <w:rsid w:val="00756841"/>
    <w:rsid w:val="007649AB"/>
    <w:rsid w:val="00771D0C"/>
    <w:rsid w:val="007833AC"/>
    <w:rsid w:val="007B268C"/>
    <w:rsid w:val="007B7171"/>
    <w:rsid w:val="007C0C0F"/>
    <w:rsid w:val="007C3DC2"/>
    <w:rsid w:val="007E0054"/>
    <w:rsid w:val="007E5497"/>
    <w:rsid w:val="00806F5F"/>
    <w:rsid w:val="00820278"/>
    <w:rsid w:val="008258C9"/>
    <w:rsid w:val="00844AE9"/>
    <w:rsid w:val="00854155"/>
    <w:rsid w:val="00867139"/>
    <w:rsid w:val="00867F95"/>
    <w:rsid w:val="008843B6"/>
    <w:rsid w:val="00891928"/>
    <w:rsid w:val="008A16DE"/>
    <w:rsid w:val="008A446D"/>
    <w:rsid w:val="008B25F1"/>
    <w:rsid w:val="008C5DA6"/>
    <w:rsid w:val="008D180B"/>
    <w:rsid w:val="008F0EA7"/>
    <w:rsid w:val="00923EEF"/>
    <w:rsid w:val="009419F9"/>
    <w:rsid w:val="0095685E"/>
    <w:rsid w:val="00961B09"/>
    <w:rsid w:val="00965334"/>
    <w:rsid w:val="0097093E"/>
    <w:rsid w:val="0099307C"/>
    <w:rsid w:val="009A0DFA"/>
    <w:rsid w:val="009A1C6F"/>
    <w:rsid w:val="009B2D26"/>
    <w:rsid w:val="009C71FA"/>
    <w:rsid w:val="009C72E7"/>
    <w:rsid w:val="009C7F7E"/>
    <w:rsid w:val="009D0765"/>
    <w:rsid w:val="009D3058"/>
    <w:rsid w:val="009F02F0"/>
    <w:rsid w:val="009F3A13"/>
    <w:rsid w:val="00A05A3F"/>
    <w:rsid w:val="00A122D3"/>
    <w:rsid w:val="00A14468"/>
    <w:rsid w:val="00A17F13"/>
    <w:rsid w:val="00A20739"/>
    <w:rsid w:val="00A23AF9"/>
    <w:rsid w:val="00A33C78"/>
    <w:rsid w:val="00A46C06"/>
    <w:rsid w:val="00AA6152"/>
    <w:rsid w:val="00AB0ADB"/>
    <w:rsid w:val="00AD283A"/>
    <w:rsid w:val="00AE4421"/>
    <w:rsid w:val="00B00C0E"/>
    <w:rsid w:val="00B01B1A"/>
    <w:rsid w:val="00B01D5F"/>
    <w:rsid w:val="00B0381D"/>
    <w:rsid w:val="00B44A47"/>
    <w:rsid w:val="00B64EBA"/>
    <w:rsid w:val="00B65D5D"/>
    <w:rsid w:val="00B67ED3"/>
    <w:rsid w:val="00B72CD3"/>
    <w:rsid w:val="00B72FFF"/>
    <w:rsid w:val="00B929D3"/>
    <w:rsid w:val="00BC3D36"/>
    <w:rsid w:val="00BC7BDF"/>
    <w:rsid w:val="00BD54A6"/>
    <w:rsid w:val="00BD7F72"/>
    <w:rsid w:val="00BF7425"/>
    <w:rsid w:val="00C04FB3"/>
    <w:rsid w:val="00C10171"/>
    <w:rsid w:val="00C11D8B"/>
    <w:rsid w:val="00C15139"/>
    <w:rsid w:val="00C330EB"/>
    <w:rsid w:val="00C37AB2"/>
    <w:rsid w:val="00C50BE1"/>
    <w:rsid w:val="00C50D69"/>
    <w:rsid w:val="00C534FC"/>
    <w:rsid w:val="00C5365C"/>
    <w:rsid w:val="00C67C99"/>
    <w:rsid w:val="00C754BE"/>
    <w:rsid w:val="00C76B1C"/>
    <w:rsid w:val="00C80F5B"/>
    <w:rsid w:val="00C925AC"/>
    <w:rsid w:val="00C93A85"/>
    <w:rsid w:val="00CB6357"/>
    <w:rsid w:val="00CB6955"/>
    <w:rsid w:val="00CC1B26"/>
    <w:rsid w:val="00D34000"/>
    <w:rsid w:val="00D361FD"/>
    <w:rsid w:val="00D423A2"/>
    <w:rsid w:val="00D44E26"/>
    <w:rsid w:val="00D469B4"/>
    <w:rsid w:val="00D50A99"/>
    <w:rsid w:val="00D520D8"/>
    <w:rsid w:val="00D63AC2"/>
    <w:rsid w:val="00D728D2"/>
    <w:rsid w:val="00D7383B"/>
    <w:rsid w:val="00D7788A"/>
    <w:rsid w:val="00DA231B"/>
    <w:rsid w:val="00DC39FC"/>
    <w:rsid w:val="00DF5254"/>
    <w:rsid w:val="00E02524"/>
    <w:rsid w:val="00E16408"/>
    <w:rsid w:val="00E20894"/>
    <w:rsid w:val="00E245AB"/>
    <w:rsid w:val="00E24C83"/>
    <w:rsid w:val="00E2764C"/>
    <w:rsid w:val="00E27F2E"/>
    <w:rsid w:val="00E50AFE"/>
    <w:rsid w:val="00E75C92"/>
    <w:rsid w:val="00E771DC"/>
    <w:rsid w:val="00E8772A"/>
    <w:rsid w:val="00E90F6B"/>
    <w:rsid w:val="00E92C27"/>
    <w:rsid w:val="00EA0E3D"/>
    <w:rsid w:val="00EB55CA"/>
    <w:rsid w:val="00EC38A7"/>
    <w:rsid w:val="00EE1AA8"/>
    <w:rsid w:val="00F23FEA"/>
    <w:rsid w:val="00F31EDC"/>
    <w:rsid w:val="00F462B3"/>
    <w:rsid w:val="00F4691E"/>
    <w:rsid w:val="00F5664F"/>
    <w:rsid w:val="00F666C4"/>
    <w:rsid w:val="00F76AFC"/>
    <w:rsid w:val="00FA47C0"/>
    <w:rsid w:val="00FA55C5"/>
    <w:rsid w:val="00FB5DD1"/>
    <w:rsid w:val="00FC2B5D"/>
    <w:rsid w:val="00FD3435"/>
    <w:rsid w:val="00FD6F09"/>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AE4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08181798">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caldia@paya-boyac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8F4F89A7-F531-436C-B03E-00EB8885C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16</Pages>
  <Words>5367</Words>
  <Characters>29522</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2026-09-08T12:56:00Z</dcterms:created>
  <dcterms:modified xsi:type="dcterms:W3CDTF">2026-09-08T19:05:00Z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