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4536" w14:textId="77777777" w:rsidR="001C46F1" w:rsidRPr="007261F7" w:rsidRDefault="001C46F1" w:rsidP="001C46F1">
      <w:pPr>
        <w:spacing w:after="0" w:line="240" w:lineRule="auto"/>
        <w:jc w:val="both"/>
        <w:rPr>
          <w:rFonts w:ascii="Verdana" w:eastAsia="Times New Roman" w:hAnsi="Verdana" w:cs="Arial"/>
          <w:b/>
          <w:bCs/>
          <w:color w:val="000000"/>
          <w:lang w:eastAsia="es-MX"/>
        </w:rPr>
      </w:pPr>
      <w:bookmarkStart w:id="0" w:name="_Hlk143780582"/>
      <w:r w:rsidRPr="007261F7">
        <w:rPr>
          <w:rFonts w:ascii="Verdana" w:eastAsia="Times New Roman" w:hAnsi="Verdana" w:cs="Arial"/>
          <w:b/>
          <w:bCs/>
          <w:color w:val="000000"/>
          <w:lang w:eastAsia="es-MX"/>
        </w:rPr>
        <w:t>SISTEMA GENERAL DE REGALÍAS – Ley 2056 de 2020 – Artículo 37 parágrafo 1 – Ejecución de proyectos de inversión</w:t>
      </w:r>
    </w:p>
    <w:p w14:paraId="0D0DE35D"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p>
    <w:p w14:paraId="68D829D8"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r w:rsidRPr="00F14185">
        <w:rPr>
          <w:rFonts w:ascii="Verdana" w:eastAsia="Times New Roman" w:hAnsi="Verdana" w:cs="Arial"/>
          <w:color w:val="000000"/>
          <w:sz w:val="20"/>
          <w:szCs w:val="20"/>
          <w:lang w:eastAsia="es-MX"/>
        </w:rPr>
        <w:t>En el Título IV, Capítulo I, la Ley 2056 de 2020 regula la ejecución de los proyectos de inversión financiados con recursos del Sistema General de Regalías (SGR). Particularmente, el parágrafo 1 del artículo 37 ibídem dispone que la ejecución de los proyectos de inversión por parte de los ejecutores designados debe adelantarse con estricta sujeción al régimen presupuestal del SGR, al Estatuto General de Contratación de la Administración Pública (EGCAP) y a las normas que lo modifiquen, sustituyan o reglamenten, garantizando los principios de transparencia, publicidad y selección objetiva.</w:t>
      </w:r>
    </w:p>
    <w:p w14:paraId="47CA331D"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p>
    <w:p w14:paraId="3317ABBD" w14:textId="77777777" w:rsidR="001C46F1" w:rsidRPr="00F14185" w:rsidRDefault="001C46F1" w:rsidP="001C46F1">
      <w:pPr>
        <w:spacing w:after="0" w:line="240" w:lineRule="auto"/>
        <w:jc w:val="both"/>
        <w:rPr>
          <w:rFonts w:ascii="Verdana" w:eastAsia="Times New Roman" w:hAnsi="Verdana" w:cs="Arial"/>
          <w:b/>
          <w:bCs/>
          <w:color w:val="000000"/>
          <w:lang w:eastAsia="es-MX"/>
        </w:rPr>
      </w:pPr>
      <w:r w:rsidRPr="00F14185">
        <w:rPr>
          <w:rFonts w:ascii="Verdana" w:eastAsia="Times New Roman" w:hAnsi="Verdana" w:cs="Arial"/>
          <w:b/>
          <w:bCs/>
          <w:color w:val="000000"/>
          <w:lang w:eastAsia="es-MX"/>
        </w:rPr>
        <w:t>RÉGIMEN CONTRACTUAL – Entidades ejecutoras – Régimen especial – Universidades públicas – Ley 30 de 1992 – Aplicación del Estatuto General de Contratación de la Administración Pública – EGCAP</w:t>
      </w:r>
    </w:p>
    <w:p w14:paraId="2E244116"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p>
    <w:p w14:paraId="3FE1B126"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r w:rsidRPr="00F14185">
        <w:rPr>
          <w:rFonts w:ascii="Verdana" w:eastAsia="Times New Roman" w:hAnsi="Verdana" w:cs="Arial"/>
          <w:color w:val="000000"/>
          <w:sz w:val="20"/>
          <w:szCs w:val="20"/>
          <w:lang w:eastAsia="es-MX"/>
        </w:rPr>
        <w:t>Cuando una universidad pública sometida al régimen contractual especial de la Ley 30 de 1992 sea designada como entidad ejecutora de proyectos financiados con recursos del Sistema General de Regalías, debe aplicar integralmente las disposiciones del Estatuto General de Contratación de la Administración Pública para la contratación de los bienes, obras, consultorías o servicios requeridos.</w:t>
      </w:r>
    </w:p>
    <w:p w14:paraId="5055D592" w14:textId="77777777" w:rsidR="001C46F1" w:rsidRPr="00F14185" w:rsidRDefault="001C46F1" w:rsidP="001C46F1">
      <w:pPr>
        <w:spacing w:after="0" w:line="240" w:lineRule="auto"/>
        <w:jc w:val="both"/>
        <w:rPr>
          <w:rFonts w:ascii="Verdana" w:eastAsia="Times New Roman" w:hAnsi="Verdana" w:cs="Arial"/>
          <w:color w:val="000000"/>
          <w:sz w:val="20"/>
          <w:szCs w:val="20"/>
          <w:lang w:eastAsia="es-MX"/>
        </w:rPr>
      </w:pPr>
    </w:p>
    <w:p w14:paraId="07EF28EB" w14:textId="77777777" w:rsidR="001C46F1" w:rsidRPr="00705C5F" w:rsidRDefault="001C46F1" w:rsidP="001C46F1">
      <w:pPr>
        <w:spacing w:after="0" w:line="240" w:lineRule="auto"/>
        <w:jc w:val="both"/>
        <w:rPr>
          <w:rFonts w:ascii="Verdana" w:eastAsia="Times New Roman" w:hAnsi="Verdana" w:cs="Arial"/>
          <w:color w:val="000000"/>
          <w:sz w:val="20"/>
          <w:szCs w:val="20"/>
          <w:lang w:eastAsia="es-MX"/>
        </w:rPr>
      </w:pPr>
      <w:r w:rsidRPr="00F14185">
        <w:rPr>
          <w:rFonts w:ascii="Verdana" w:eastAsia="Times New Roman" w:hAnsi="Verdana" w:cs="Arial"/>
          <w:color w:val="000000"/>
          <w:sz w:val="20"/>
          <w:szCs w:val="20"/>
          <w:lang w:eastAsia="es-MX"/>
        </w:rPr>
        <w:t>Aunque el artículo 93 de la Ley 30 de 1992 prevé que las universidades estatales se rigen por el derecho privado en sus funciones ordinarias, dicha regla cede frente a la norma especial y posterior del parágrafo 1 del artículo 37 de la Ley 2056 de 2020. Por tanto, la entidad ejecutora no puede aplicar su reglamento interno de contratación ni el derecho privado para la ejecución de dichos fondos, quedando sujeta de manera integral al EGCAP en todas sus etapas contractuales, modalidades de selección, audiencias, régimen de subsanabilidad, potestades excepcionales, liquidación y medio de control judicial.</w:t>
      </w:r>
    </w:p>
    <w:p w14:paraId="7D0181E7" w14:textId="77777777" w:rsidR="001C46F1" w:rsidRPr="00DE2AC7" w:rsidRDefault="001C46F1" w:rsidP="001C46F1">
      <w:pPr>
        <w:spacing w:after="0" w:line="240" w:lineRule="auto"/>
        <w:jc w:val="both"/>
        <w:rPr>
          <w:rFonts w:ascii="Verdana" w:eastAsia="Geomanist Light" w:hAnsi="Verdana" w:cs="Arial"/>
          <w:color w:val="000000" w:themeColor="text1"/>
        </w:rPr>
      </w:pPr>
    </w:p>
    <w:p w14:paraId="3DE18683" w14:textId="77777777" w:rsidR="001C46F1" w:rsidRDefault="001C46F1" w:rsidP="001C46F1">
      <w:pPr>
        <w:spacing w:after="0" w:line="240" w:lineRule="auto"/>
        <w:rPr>
          <w:rFonts w:ascii="Verdana" w:eastAsia="Geomanist Light" w:hAnsi="Verdana" w:cs="Arial"/>
          <w:color w:val="000000" w:themeColor="text1"/>
          <w:lang w:val="es-MX"/>
        </w:rPr>
      </w:pPr>
    </w:p>
    <w:p w14:paraId="0FF2125B" w14:textId="77777777" w:rsidR="001C46F1" w:rsidRDefault="001C46F1" w:rsidP="001C46F1">
      <w:pPr>
        <w:spacing w:after="0" w:line="240" w:lineRule="auto"/>
        <w:rPr>
          <w:rFonts w:ascii="Verdana" w:eastAsia="Geomanist Light" w:hAnsi="Verdana" w:cs="Arial"/>
          <w:color w:val="000000" w:themeColor="text1"/>
          <w:lang w:val="es-MX"/>
        </w:rPr>
      </w:pPr>
    </w:p>
    <w:p w14:paraId="54B6DA77" w14:textId="77777777" w:rsidR="001C46F1" w:rsidRDefault="001C46F1" w:rsidP="001C46F1">
      <w:pPr>
        <w:spacing w:after="0" w:line="240" w:lineRule="auto"/>
        <w:rPr>
          <w:rFonts w:ascii="Verdana" w:eastAsia="Geomanist Light" w:hAnsi="Verdana" w:cs="Arial"/>
          <w:color w:val="000000" w:themeColor="text1"/>
          <w:lang w:val="es-MX"/>
        </w:rPr>
      </w:pPr>
    </w:p>
    <w:p w14:paraId="05E7E3EC" w14:textId="77777777" w:rsidR="001C46F1" w:rsidRDefault="001C46F1" w:rsidP="001C46F1">
      <w:pPr>
        <w:spacing w:after="0" w:line="240" w:lineRule="auto"/>
        <w:rPr>
          <w:rFonts w:ascii="Verdana" w:eastAsia="Geomanist Light" w:hAnsi="Verdana" w:cs="Arial"/>
          <w:color w:val="000000" w:themeColor="text1"/>
          <w:lang w:val="es-MX"/>
        </w:rPr>
      </w:pPr>
    </w:p>
    <w:p w14:paraId="2C1F7C4C" w14:textId="77777777" w:rsidR="001C46F1" w:rsidRDefault="001C46F1" w:rsidP="001C46F1">
      <w:pPr>
        <w:spacing w:after="0" w:line="240" w:lineRule="auto"/>
        <w:rPr>
          <w:rFonts w:ascii="Verdana" w:eastAsia="Geomanist Light" w:hAnsi="Verdana" w:cs="Arial"/>
          <w:color w:val="000000" w:themeColor="text1"/>
          <w:lang w:val="es-MX"/>
        </w:rPr>
      </w:pPr>
    </w:p>
    <w:p w14:paraId="4EF045DA" w14:textId="77777777" w:rsidR="001C46F1" w:rsidRDefault="001C46F1" w:rsidP="001C46F1">
      <w:pPr>
        <w:spacing w:after="0" w:line="240" w:lineRule="auto"/>
        <w:rPr>
          <w:rFonts w:ascii="Verdana" w:eastAsia="Geomanist Light" w:hAnsi="Verdana" w:cs="Arial"/>
          <w:color w:val="000000" w:themeColor="text1"/>
          <w:lang w:val="es-MX"/>
        </w:rPr>
      </w:pPr>
    </w:p>
    <w:p w14:paraId="72B498A7" w14:textId="77777777" w:rsidR="001C46F1" w:rsidRDefault="001C46F1" w:rsidP="001C46F1">
      <w:pPr>
        <w:spacing w:after="0" w:line="240" w:lineRule="auto"/>
        <w:rPr>
          <w:rFonts w:ascii="Verdana" w:eastAsia="Geomanist Light" w:hAnsi="Verdana" w:cs="Arial"/>
          <w:color w:val="000000" w:themeColor="text1"/>
          <w:lang w:val="es-MX"/>
        </w:rPr>
      </w:pPr>
    </w:p>
    <w:p w14:paraId="1551446B" w14:textId="77777777" w:rsidR="001C46F1" w:rsidRDefault="001C46F1" w:rsidP="001C46F1">
      <w:pPr>
        <w:spacing w:after="0" w:line="240" w:lineRule="auto"/>
        <w:rPr>
          <w:rFonts w:ascii="Verdana" w:eastAsia="Geomanist Light" w:hAnsi="Verdana" w:cs="Arial"/>
          <w:color w:val="000000" w:themeColor="text1"/>
          <w:lang w:val="es-MX"/>
        </w:rPr>
      </w:pPr>
    </w:p>
    <w:p w14:paraId="69BA7930" w14:textId="77777777" w:rsidR="001C46F1" w:rsidRDefault="001C46F1" w:rsidP="001C46F1">
      <w:pPr>
        <w:spacing w:after="0" w:line="240" w:lineRule="auto"/>
        <w:rPr>
          <w:rFonts w:ascii="Verdana" w:eastAsia="Geomanist Light" w:hAnsi="Verdana" w:cs="Arial"/>
          <w:color w:val="000000" w:themeColor="text1"/>
          <w:lang w:val="es-MX"/>
        </w:rPr>
      </w:pPr>
    </w:p>
    <w:p w14:paraId="31C808BF" w14:textId="77777777" w:rsidR="001C46F1" w:rsidRDefault="001C46F1" w:rsidP="001C46F1">
      <w:pPr>
        <w:spacing w:after="0" w:line="240" w:lineRule="auto"/>
        <w:rPr>
          <w:rFonts w:ascii="Verdana" w:eastAsia="Geomanist Light" w:hAnsi="Verdana" w:cs="Arial"/>
          <w:color w:val="000000" w:themeColor="text1"/>
          <w:lang w:val="es-MX"/>
        </w:rPr>
      </w:pPr>
    </w:p>
    <w:p w14:paraId="620446D9" w14:textId="77777777" w:rsidR="001C46F1" w:rsidRDefault="001C46F1" w:rsidP="001C46F1">
      <w:pPr>
        <w:spacing w:after="0" w:line="240" w:lineRule="auto"/>
        <w:rPr>
          <w:rFonts w:ascii="Verdana" w:eastAsia="Geomanist Light" w:hAnsi="Verdana" w:cs="Arial"/>
          <w:color w:val="000000" w:themeColor="text1"/>
          <w:lang w:val="es-MX"/>
        </w:rPr>
      </w:pPr>
    </w:p>
    <w:p w14:paraId="591EED43" w14:textId="77777777" w:rsidR="001C46F1" w:rsidRDefault="001C46F1" w:rsidP="001C46F1">
      <w:pPr>
        <w:spacing w:after="0" w:line="240" w:lineRule="auto"/>
        <w:rPr>
          <w:rFonts w:ascii="Verdana" w:eastAsia="Geomanist Light" w:hAnsi="Verdana" w:cs="Arial"/>
          <w:color w:val="000000" w:themeColor="text1"/>
          <w:lang w:val="es-MX"/>
        </w:rPr>
      </w:pPr>
    </w:p>
    <w:p w14:paraId="12811BE7" w14:textId="77777777" w:rsidR="001C46F1" w:rsidRDefault="001C46F1" w:rsidP="001C46F1">
      <w:pPr>
        <w:spacing w:after="0" w:line="240" w:lineRule="auto"/>
        <w:rPr>
          <w:rFonts w:ascii="Verdana" w:eastAsia="Geomanist Light" w:hAnsi="Verdana" w:cs="Arial"/>
          <w:color w:val="000000" w:themeColor="text1"/>
          <w:lang w:val="es-MX"/>
        </w:rPr>
      </w:pPr>
    </w:p>
    <w:p w14:paraId="7E182A5B" w14:textId="5B3EAFB9" w:rsidR="001C46F1" w:rsidRPr="0015699B" w:rsidRDefault="001C46F1" w:rsidP="001C46F1">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Pr>
          <w:rFonts w:ascii="Verdana" w:eastAsia="Verdana" w:hAnsi="Verdana" w:cs="Verdana"/>
          <w:color w:val="000000" w:themeColor="text1"/>
          <w:lang w:val="es"/>
        </w:rPr>
        <w:t>0</w:t>
      </w:r>
      <w:r w:rsidR="00D60262">
        <w:rPr>
          <w:rFonts w:ascii="Verdana" w:eastAsia="Verdana" w:hAnsi="Verdana" w:cs="Verdana"/>
          <w:color w:val="000000" w:themeColor="text1"/>
          <w:lang w:val="es"/>
        </w:rPr>
        <w:t>8</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septiembre</w:t>
      </w:r>
      <w:r w:rsidRPr="39124533">
        <w:rPr>
          <w:rFonts w:ascii="Verdana" w:eastAsia="Verdana" w:hAnsi="Verdana" w:cs="Verdana"/>
          <w:color w:val="000000" w:themeColor="text1"/>
          <w:lang w:val="es"/>
        </w:rPr>
        <w:t xml:space="preserve"> de 2026</w:t>
      </w:r>
    </w:p>
    <w:p w14:paraId="001DE32B" w14:textId="19A3B765" w:rsidR="001C46F1" w:rsidRPr="0015699B" w:rsidRDefault="001C46F1" w:rsidP="0026158A">
      <w:pPr>
        <w:spacing w:after="0" w:line="240" w:lineRule="auto"/>
        <w:jc w:val="right"/>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r w:rsidR="0026158A">
        <w:rPr>
          <w:rFonts w:ascii="Verdana" w:eastAsia="Verdana" w:hAnsi="Verdana" w:cs="Verdana"/>
          <w:noProof/>
          <w:color w:val="000000" w:themeColor="text1"/>
          <w:lang w:val="es"/>
        </w:rPr>
        <w:drawing>
          <wp:inline distT="0" distB="0" distL="0" distR="0" wp14:anchorId="2106A64B" wp14:editId="5F580D85">
            <wp:extent cx="2571750" cy="757104"/>
            <wp:effectExtent l="0" t="0" r="0" b="5080"/>
            <wp:docPr id="20354580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420" cy="759951"/>
                    </a:xfrm>
                    <a:prstGeom prst="rect">
                      <a:avLst/>
                    </a:prstGeom>
                    <a:noFill/>
                    <a:ln>
                      <a:noFill/>
                    </a:ln>
                  </pic:spPr>
                </pic:pic>
              </a:graphicData>
            </a:graphic>
          </wp:inline>
        </w:drawing>
      </w:r>
    </w:p>
    <w:p w14:paraId="15A090B6" w14:textId="77777777" w:rsidR="001C46F1" w:rsidRPr="0015699B" w:rsidRDefault="001C46F1" w:rsidP="001C46F1">
      <w:pPr>
        <w:spacing w:after="0" w:line="240" w:lineRule="auto"/>
        <w:jc w:val="both"/>
        <w:textAlignment w:val="baseline"/>
        <w:rPr>
          <w:rFonts w:ascii="Verdana" w:eastAsia="Verdana" w:hAnsi="Verdana" w:cs="Verdana"/>
          <w:color w:val="000000" w:themeColor="text1"/>
          <w:lang w:val="es"/>
        </w:rPr>
      </w:pPr>
    </w:p>
    <w:p w14:paraId="4BDC506A" w14:textId="77777777" w:rsidR="001C46F1" w:rsidRDefault="001C46F1" w:rsidP="001C46F1">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5E05C07D" w14:textId="77777777" w:rsidR="001C46F1" w:rsidRPr="00FE5EF7" w:rsidRDefault="001C46F1" w:rsidP="001C46F1">
      <w:pPr>
        <w:spacing w:after="0" w:line="240" w:lineRule="auto"/>
        <w:jc w:val="both"/>
        <w:textAlignment w:val="baseline"/>
        <w:rPr>
          <w:rFonts w:ascii="Verdana" w:eastAsia="Verdana" w:hAnsi="Verdana" w:cs="Verdana"/>
          <w:color w:val="000000" w:themeColor="text1"/>
          <w:lang w:val="es"/>
        </w:rPr>
      </w:pPr>
      <w:r w:rsidRPr="00FE5EF7">
        <w:rPr>
          <w:rFonts w:ascii="Verdana" w:eastAsia="Verdana" w:hAnsi="Verdana" w:cs="Verdana"/>
          <w:b/>
          <w:bCs/>
        </w:rPr>
        <w:t>FERNANDO MAURICIO IGLESIAS GAONA</w:t>
      </w:r>
    </w:p>
    <w:p w14:paraId="1DB6607E" w14:textId="77777777" w:rsidR="001C46F1" w:rsidRPr="00FE5EF7" w:rsidRDefault="001C46F1" w:rsidP="001C46F1">
      <w:pPr>
        <w:spacing w:after="0" w:line="240" w:lineRule="auto"/>
        <w:jc w:val="both"/>
        <w:textAlignment w:val="baseline"/>
        <w:rPr>
          <w:rFonts w:ascii="Verdana" w:eastAsia="Verdana" w:hAnsi="Verdana" w:cs="Verdana"/>
          <w:lang w:val="es"/>
        </w:rPr>
      </w:pPr>
      <w:r w:rsidRPr="00AE4A04">
        <w:rPr>
          <w:rFonts w:ascii="Verdana" w:eastAsia="Verdana" w:hAnsi="Verdana" w:cs="Verdana"/>
          <w:color w:val="0000FF"/>
          <w:u w:val="single"/>
        </w:rPr>
        <w:t>frenandoiglesias@gmail.com</w:t>
      </w:r>
    </w:p>
    <w:p w14:paraId="78A07685" w14:textId="77777777" w:rsidR="001C46F1" w:rsidRDefault="001C46F1" w:rsidP="001C46F1">
      <w:pPr>
        <w:spacing w:after="0" w:line="240" w:lineRule="auto"/>
        <w:jc w:val="both"/>
        <w:textAlignment w:val="baseline"/>
        <w:rPr>
          <w:rFonts w:ascii="Verdana" w:eastAsia="Verdana" w:hAnsi="Verdana" w:cs="Verdana"/>
          <w:lang w:val="es"/>
        </w:rPr>
      </w:pPr>
      <w:r>
        <w:rPr>
          <w:rFonts w:ascii="Verdana" w:eastAsia="Verdana" w:hAnsi="Verdana" w:cs="Verdana"/>
          <w:lang w:val="es"/>
        </w:rPr>
        <w:t>Neiva</w:t>
      </w:r>
      <w:r w:rsidRPr="00FE5EF7">
        <w:rPr>
          <w:rFonts w:ascii="Verdana" w:eastAsia="Verdana" w:hAnsi="Verdana" w:cs="Verdana"/>
          <w:lang w:val="es"/>
        </w:rPr>
        <w:t xml:space="preserve"> (</w:t>
      </w:r>
      <w:r>
        <w:rPr>
          <w:rFonts w:ascii="Verdana" w:eastAsia="Verdana" w:hAnsi="Verdana" w:cs="Verdana"/>
          <w:lang w:val="es"/>
        </w:rPr>
        <w:t>Huila</w:t>
      </w:r>
      <w:r w:rsidRPr="00FE5EF7">
        <w:rPr>
          <w:rFonts w:ascii="Verdana" w:eastAsia="Verdana" w:hAnsi="Verdana" w:cs="Verdana"/>
          <w:lang w:val="es"/>
        </w:rPr>
        <w:t>)</w:t>
      </w:r>
      <w:r>
        <w:rPr>
          <w:rFonts w:ascii="Verdana" w:eastAsia="Verdana" w:hAnsi="Verdana" w:cs="Verdana"/>
          <w:lang w:val="es"/>
        </w:rPr>
        <w:t xml:space="preserve"> </w:t>
      </w:r>
    </w:p>
    <w:p w14:paraId="3EEFC7B9" w14:textId="77777777" w:rsidR="001C46F1" w:rsidRPr="003D5882" w:rsidRDefault="001C46F1" w:rsidP="001C46F1">
      <w:pPr>
        <w:spacing w:after="0" w:line="240" w:lineRule="auto"/>
        <w:jc w:val="both"/>
        <w:textAlignment w:val="baseline"/>
        <w:rPr>
          <w:rFonts w:ascii="Verdana" w:hAnsi="Verdan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1C46F1" w14:paraId="51757F1C" w14:textId="77777777" w:rsidTr="009C74BD">
        <w:trPr>
          <w:trHeight w:val="615"/>
        </w:trPr>
        <w:tc>
          <w:tcPr>
            <w:tcW w:w="2265" w:type="dxa"/>
            <w:shd w:val="clear" w:color="auto" w:fill="FFFFFF" w:themeFill="background1"/>
            <w:tcMar>
              <w:left w:w="108" w:type="dxa"/>
              <w:right w:w="108" w:type="dxa"/>
            </w:tcMar>
          </w:tcPr>
          <w:p w14:paraId="0FCDE458" w14:textId="77777777" w:rsidR="001C46F1" w:rsidRDefault="001C46F1" w:rsidP="009C74BD">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68BDB92A" w14:textId="77777777" w:rsidR="001C46F1" w:rsidRDefault="001C46F1" w:rsidP="009C74BD">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1193</w:t>
            </w:r>
            <w:r w:rsidRPr="40A87941">
              <w:rPr>
                <w:rFonts w:ascii="Verdana" w:eastAsia="Verdana" w:hAnsi="Verdana" w:cs="Verdana"/>
                <w:b/>
                <w:bCs/>
                <w:color w:val="000000" w:themeColor="text1"/>
                <w:lang w:val="es"/>
              </w:rPr>
              <w:t xml:space="preserve"> de 2026</w:t>
            </w:r>
          </w:p>
        </w:tc>
      </w:tr>
      <w:tr w:rsidR="001C46F1" w:rsidRPr="004F242E" w14:paraId="408395AC" w14:textId="77777777" w:rsidTr="009C74BD">
        <w:trPr>
          <w:trHeight w:val="1065"/>
        </w:trPr>
        <w:tc>
          <w:tcPr>
            <w:tcW w:w="2265" w:type="dxa"/>
            <w:shd w:val="clear" w:color="auto" w:fill="FFFFFF" w:themeFill="background1"/>
            <w:tcMar>
              <w:left w:w="108" w:type="dxa"/>
              <w:right w:w="108" w:type="dxa"/>
            </w:tcMar>
          </w:tcPr>
          <w:p w14:paraId="239A42DE" w14:textId="77777777" w:rsidR="001C46F1" w:rsidRDefault="001C46F1" w:rsidP="009C74BD">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004157D" w14:textId="77777777" w:rsidR="001C46F1" w:rsidRPr="007261F7" w:rsidRDefault="001C46F1" w:rsidP="009C74BD">
            <w:pPr>
              <w:jc w:val="both"/>
              <w:rPr>
                <w:rFonts w:ascii="Verdana" w:eastAsia="Times New Roman" w:hAnsi="Verdana" w:cs="Arial"/>
                <w:color w:val="000000"/>
                <w:lang w:eastAsia="es-MX"/>
              </w:rPr>
            </w:pPr>
            <w:r w:rsidRPr="007261F7">
              <w:rPr>
                <w:rFonts w:ascii="Verdana" w:eastAsia="Times New Roman" w:hAnsi="Verdana" w:cs="Arial"/>
                <w:color w:val="000000"/>
                <w:lang w:eastAsia="es-MX"/>
              </w:rPr>
              <w:t>SISTEMA GENERAL DE REGALÍAS – Ley 2056 de 2020 – Artículo 37 parágrafo 1 – Ejecución de proyectos de inversión</w:t>
            </w:r>
            <w:r>
              <w:rPr>
                <w:rFonts w:ascii="Verdana" w:eastAsia="Times New Roman" w:hAnsi="Verdana" w:cs="Arial"/>
                <w:color w:val="000000"/>
                <w:lang w:eastAsia="es-MX"/>
              </w:rPr>
              <w:t xml:space="preserve"> / </w:t>
            </w:r>
            <w:r w:rsidRPr="007261F7">
              <w:rPr>
                <w:rFonts w:ascii="Verdana" w:eastAsia="Times New Roman" w:hAnsi="Verdana" w:cs="Arial"/>
                <w:color w:val="000000"/>
                <w:lang w:eastAsia="es-MX"/>
              </w:rPr>
              <w:t>RÉGIMEN CONTRACTUAL – Entidades ejecutoras – Régimen especial – Universidades públicas – Ley 30 de 1992 – Aplicación del Estatuto General de Contratación de la Administración Pública – EGCAP</w:t>
            </w:r>
          </w:p>
          <w:p w14:paraId="67B94A41" w14:textId="77777777" w:rsidR="001C46F1" w:rsidRPr="00A11406" w:rsidRDefault="001C46F1" w:rsidP="009C74BD">
            <w:pPr>
              <w:spacing w:line="276" w:lineRule="auto"/>
              <w:jc w:val="both"/>
              <w:rPr>
                <w:rFonts w:ascii="Verdana" w:eastAsia="Calibri" w:hAnsi="Verdana" w:cs="Arial"/>
                <w:lang w:val="es-ES" w:eastAsia="es-ES"/>
              </w:rPr>
            </w:pPr>
            <w:r w:rsidRPr="00C75A78">
              <w:rPr>
                <w:rFonts w:ascii="Verdana" w:eastAsia="Calibri" w:hAnsi="Verdana" w:cs="Arial"/>
                <w:lang w:val="es-ES" w:eastAsia="es-ES"/>
              </w:rPr>
              <w:t xml:space="preserve"> </w:t>
            </w:r>
            <w:r w:rsidRPr="006424A3">
              <w:rPr>
                <w:rFonts w:ascii="Verdana" w:eastAsia="Calibri" w:hAnsi="Verdana" w:cs="Arial"/>
                <w:lang w:val="es-ES" w:eastAsia="es-ES"/>
              </w:rPr>
              <w:t xml:space="preserve">   </w:t>
            </w:r>
            <w:r w:rsidRPr="00003886">
              <w:rPr>
                <w:rFonts w:ascii="Verdana" w:eastAsia="Calibri" w:hAnsi="Verdana" w:cs="Arial"/>
                <w:lang w:val="es-ES" w:eastAsia="es-ES"/>
              </w:rPr>
              <w:t xml:space="preserve">  </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4A62848B" w14:textId="77777777" w:rsidR="001C46F1" w:rsidRPr="004F242E" w:rsidRDefault="001C46F1" w:rsidP="009C74BD">
            <w:pPr>
              <w:spacing w:line="276" w:lineRule="auto"/>
              <w:jc w:val="both"/>
              <w:rPr>
                <w:highlight w:val="yellow"/>
              </w:rPr>
            </w:pPr>
          </w:p>
        </w:tc>
      </w:tr>
      <w:tr w:rsidR="001C46F1" w14:paraId="1713A504" w14:textId="77777777" w:rsidTr="009C74BD">
        <w:trPr>
          <w:trHeight w:val="660"/>
        </w:trPr>
        <w:tc>
          <w:tcPr>
            <w:tcW w:w="2265" w:type="dxa"/>
            <w:shd w:val="clear" w:color="auto" w:fill="FFFFFF" w:themeFill="background1"/>
            <w:tcMar>
              <w:left w:w="108" w:type="dxa"/>
              <w:right w:w="108" w:type="dxa"/>
            </w:tcMar>
          </w:tcPr>
          <w:p w14:paraId="1311C4C6" w14:textId="77777777" w:rsidR="001C46F1" w:rsidRDefault="001C46F1" w:rsidP="009C74BD">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2BB698E0" w14:textId="77777777" w:rsidR="001C46F1" w:rsidRDefault="001C46F1" w:rsidP="009C74BD">
            <w:pPr>
              <w:ind w:right="1"/>
              <w:jc w:val="both"/>
            </w:pPr>
            <w:r w:rsidRPr="39124533">
              <w:rPr>
                <w:rFonts w:ascii="Verdana" w:eastAsia="Verdana" w:hAnsi="Verdana" w:cs="Verdana"/>
                <w:color w:val="000000" w:themeColor="text1"/>
              </w:rPr>
              <w:t xml:space="preserve">Respuesta a consulta con radicado N.º </w:t>
            </w:r>
            <w:r w:rsidRPr="00FE5EF7">
              <w:rPr>
                <w:rFonts w:ascii="Verdana" w:eastAsia="Verdana" w:hAnsi="Verdana" w:cs="Verdana"/>
                <w:color w:val="000000" w:themeColor="text1"/>
              </w:rPr>
              <w:t>1_2026_07_29_009970</w:t>
            </w:r>
          </w:p>
        </w:tc>
      </w:tr>
    </w:tbl>
    <w:p w14:paraId="67AE438C" w14:textId="77777777" w:rsidR="001C46F1" w:rsidRPr="0015699B" w:rsidRDefault="001C46F1" w:rsidP="001C46F1">
      <w:pPr>
        <w:spacing w:after="0" w:line="240" w:lineRule="auto"/>
        <w:jc w:val="both"/>
        <w:textAlignment w:val="baseline"/>
        <w:rPr>
          <w:rFonts w:ascii="Verdana" w:eastAsia="Verdana" w:hAnsi="Verdana" w:cs="Verdana"/>
          <w:b/>
          <w:bCs/>
          <w:color w:val="000000" w:themeColor="text1"/>
          <w:lang w:val="es"/>
        </w:rPr>
      </w:pPr>
    </w:p>
    <w:p w14:paraId="23623B6F" w14:textId="77777777" w:rsidR="001C46F1" w:rsidRPr="0015699B" w:rsidRDefault="001C46F1" w:rsidP="001C46F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o s</w:t>
      </w:r>
      <w:r w:rsidRPr="40A87941">
        <w:rPr>
          <w:rFonts w:ascii="Verdana" w:eastAsia="Verdana" w:hAnsi="Verdana" w:cs="Verdana"/>
          <w:color w:val="000000" w:themeColor="text1"/>
          <w:lang w:val="es"/>
        </w:rPr>
        <w:t>eñor</w:t>
      </w:r>
      <w:r>
        <w:rPr>
          <w:rFonts w:ascii="Verdana" w:eastAsia="Verdana" w:hAnsi="Verdana" w:cs="Verdana"/>
          <w:color w:val="000000" w:themeColor="text1"/>
          <w:lang w:val="es"/>
        </w:rPr>
        <w:t xml:space="preserve"> de Iglesias</w:t>
      </w:r>
      <w:r w:rsidRPr="40A87941">
        <w:rPr>
          <w:rFonts w:ascii="Verdana" w:eastAsia="Verdana" w:hAnsi="Verdana" w:cs="Verdana"/>
          <w:color w:val="000000" w:themeColor="text1"/>
          <w:lang w:val="es"/>
        </w:rPr>
        <w:t>;</w:t>
      </w:r>
    </w:p>
    <w:p w14:paraId="0A8EE88B" w14:textId="77777777" w:rsidR="001C46F1" w:rsidRPr="0015699B" w:rsidRDefault="001C46F1" w:rsidP="001C46F1">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277BE075" w14:textId="77777777" w:rsidR="001C46F1" w:rsidRDefault="001C46F1" w:rsidP="001C46F1">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29</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0ADFAC54" w14:textId="06F6298E" w:rsidR="001C46F1" w:rsidRPr="001C46F1" w:rsidRDefault="001C46F1" w:rsidP="001C46F1">
      <w:pPr>
        <w:spacing w:after="120" w:line="276" w:lineRule="auto"/>
        <w:ind w:left="567" w:right="758"/>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r w:rsidRPr="00AC4C4A">
        <w:rPr>
          <w:rFonts w:ascii="Verdana" w:eastAsia="Verdana" w:hAnsi="Verdana" w:cs="Verdana"/>
          <w:color w:val="000000" w:themeColor="text1"/>
        </w:rPr>
        <w:t>Con fundamento en el parágrafo 1 del art. 37 de la ley 2056 de 2020, las</w:t>
      </w:r>
      <w:r>
        <w:rPr>
          <w:rFonts w:ascii="Verdana" w:eastAsia="Verdana" w:hAnsi="Verdana" w:cs="Verdana"/>
          <w:color w:val="000000" w:themeColor="text1"/>
        </w:rPr>
        <w:t xml:space="preserve"> </w:t>
      </w:r>
      <w:r w:rsidRPr="00AC4C4A">
        <w:rPr>
          <w:rFonts w:ascii="Verdana" w:eastAsia="Verdana" w:hAnsi="Verdana" w:cs="Verdana"/>
          <w:color w:val="000000" w:themeColor="text1"/>
        </w:rPr>
        <w:t>Universidades oficiales, sometidas al régimen contractual de ley 30 de</w:t>
      </w:r>
      <w:r>
        <w:rPr>
          <w:rFonts w:ascii="Verdana" w:eastAsia="Verdana" w:hAnsi="Verdana" w:cs="Verdana"/>
          <w:color w:val="000000" w:themeColor="text1"/>
        </w:rPr>
        <w:t xml:space="preserve"> </w:t>
      </w:r>
      <w:r w:rsidRPr="00AC4C4A">
        <w:rPr>
          <w:rFonts w:ascii="Verdana" w:eastAsia="Verdana" w:hAnsi="Verdana" w:cs="Verdana"/>
          <w:color w:val="000000" w:themeColor="text1"/>
        </w:rPr>
        <w:t>1992, deben: 1. Seleccionar sus contratistas bajo las modalidades del art.</w:t>
      </w:r>
      <w:r>
        <w:rPr>
          <w:rFonts w:ascii="Verdana" w:eastAsia="Verdana" w:hAnsi="Verdana" w:cs="Verdana"/>
          <w:color w:val="000000" w:themeColor="text1"/>
        </w:rPr>
        <w:t xml:space="preserve"> </w:t>
      </w:r>
      <w:r w:rsidRPr="00AC4C4A">
        <w:rPr>
          <w:rFonts w:ascii="Verdana" w:eastAsia="Verdana" w:hAnsi="Verdana" w:cs="Verdana"/>
          <w:color w:val="000000" w:themeColor="text1"/>
        </w:rPr>
        <w:t>2 de la Ley 1150 de 2007? 2. Debe realizar las audiencias en etapa de</w:t>
      </w:r>
      <w:r>
        <w:rPr>
          <w:rFonts w:ascii="Verdana" w:eastAsia="Verdana" w:hAnsi="Verdana" w:cs="Verdana"/>
          <w:color w:val="000000" w:themeColor="text1"/>
        </w:rPr>
        <w:t xml:space="preserve"> </w:t>
      </w:r>
      <w:r w:rsidRPr="00AC4C4A">
        <w:rPr>
          <w:rFonts w:ascii="Verdana" w:eastAsia="Verdana" w:hAnsi="Verdana" w:cs="Verdana"/>
          <w:color w:val="000000" w:themeColor="text1"/>
        </w:rPr>
        <w:t xml:space="preserve">selección como los indicas los procedimientos </w:t>
      </w:r>
      <w:r w:rsidRPr="00AC4C4A">
        <w:rPr>
          <w:rFonts w:ascii="Verdana" w:eastAsia="Verdana" w:hAnsi="Verdana" w:cs="Verdana"/>
          <w:color w:val="000000" w:themeColor="text1"/>
        </w:rPr>
        <w:lastRenderedPageBreak/>
        <w:t>de cada una de sus</w:t>
      </w:r>
      <w:r>
        <w:rPr>
          <w:rFonts w:ascii="Verdana" w:eastAsia="Verdana" w:hAnsi="Verdana" w:cs="Verdana"/>
          <w:color w:val="000000" w:themeColor="text1"/>
        </w:rPr>
        <w:t xml:space="preserve"> </w:t>
      </w:r>
      <w:r w:rsidRPr="00AC4C4A">
        <w:rPr>
          <w:rFonts w:ascii="Verdana" w:eastAsia="Verdana" w:hAnsi="Verdana" w:cs="Verdana"/>
          <w:color w:val="000000" w:themeColor="text1"/>
        </w:rPr>
        <w:t>modalidades. Vgr. Aclaración de pliegos, ¿riesgos, subastas, adjudicación, etc.? 3. Aplicar el derecho de subsanabilidad de la ley 1882 de 2018? 4.</w:t>
      </w:r>
      <w:r>
        <w:rPr>
          <w:rFonts w:ascii="Verdana" w:eastAsia="Verdana" w:hAnsi="Verdana" w:cs="Verdana"/>
          <w:color w:val="000000" w:themeColor="text1"/>
        </w:rPr>
        <w:t xml:space="preserve"> </w:t>
      </w:r>
      <w:r w:rsidRPr="00AC4C4A">
        <w:rPr>
          <w:rFonts w:ascii="Verdana" w:eastAsia="Verdana" w:hAnsi="Verdana" w:cs="Verdana"/>
          <w:color w:val="000000" w:themeColor="text1"/>
        </w:rPr>
        <w:t>Permitir recursos de reposición en la declaratoria de desierta. 5.</w:t>
      </w:r>
      <w:r>
        <w:rPr>
          <w:rFonts w:ascii="Verdana" w:eastAsia="Verdana" w:hAnsi="Verdana" w:cs="Verdana"/>
          <w:color w:val="000000" w:themeColor="text1"/>
        </w:rPr>
        <w:t xml:space="preserve"> </w:t>
      </w:r>
      <w:r w:rsidRPr="00AC4C4A">
        <w:rPr>
          <w:rFonts w:ascii="Verdana" w:eastAsia="Verdana" w:hAnsi="Verdana" w:cs="Verdana"/>
          <w:color w:val="000000" w:themeColor="text1"/>
        </w:rPr>
        <w:t>Disponer de las cláusulas excepcionales del art. 14 de la ley 80 de 1993?</w:t>
      </w:r>
      <w:r>
        <w:rPr>
          <w:rFonts w:ascii="Verdana" w:eastAsia="Verdana" w:hAnsi="Verdana" w:cs="Verdana"/>
          <w:color w:val="000000" w:themeColor="text1"/>
        </w:rPr>
        <w:t xml:space="preserve"> </w:t>
      </w:r>
      <w:r w:rsidRPr="00AC4C4A">
        <w:rPr>
          <w:rFonts w:ascii="Verdana" w:eastAsia="Verdana" w:hAnsi="Verdana" w:cs="Verdana"/>
          <w:color w:val="000000" w:themeColor="text1"/>
        </w:rPr>
        <w:t>6. ¿Realizar el procedimiento del art. 11 de la ley 1150, para su liquidación?</w:t>
      </w:r>
      <w:r>
        <w:rPr>
          <w:rFonts w:ascii="Verdana" w:eastAsia="Verdana" w:hAnsi="Verdana" w:cs="Verdana"/>
          <w:color w:val="000000" w:themeColor="text1"/>
        </w:rPr>
        <w:t xml:space="preserve"> </w:t>
      </w:r>
      <w:r w:rsidRPr="00AC4C4A">
        <w:rPr>
          <w:rFonts w:ascii="Verdana" w:eastAsia="Verdana" w:hAnsi="Verdana" w:cs="Verdana"/>
          <w:color w:val="000000" w:themeColor="text1"/>
        </w:rPr>
        <w:t>7. Reconocer el equilibrio económico del contrato bajo los supuestos</w:t>
      </w:r>
      <w:r>
        <w:rPr>
          <w:rFonts w:ascii="Verdana" w:eastAsia="Verdana" w:hAnsi="Verdana" w:cs="Verdana"/>
          <w:color w:val="000000" w:themeColor="text1"/>
        </w:rPr>
        <w:t xml:space="preserve"> </w:t>
      </w:r>
      <w:r w:rsidRPr="00AC4C4A">
        <w:rPr>
          <w:rFonts w:ascii="Verdana" w:eastAsia="Verdana" w:hAnsi="Verdana" w:cs="Verdana"/>
          <w:color w:val="000000" w:themeColor="text1"/>
        </w:rPr>
        <w:t>jurisprudenciales de la Ley 80?</w:t>
      </w:r>
      <w:r>
        <w:rPr>
          <w:rFonts w:ascii="Verdana" w:eastAsia="Verdana" w:hAnsi="Verdana" w:cs="Verdana"/>
          <w:color w:val="000000" w:themeColor="text1"/>
        </w:rPr>
        <w:t xml:space="preserve"> </w:t>
      </w:r>
      <w:r w:rsidRPr="00AC4C4A">
        <w:rPr>
          <w:rFonts w:ascii="Verdana" w:eastAsia="Verdana" w:hAnsi="Verdana" w:cs="Verdana"/>
          <w:color w:val="000000" w:themeColor="text1"/>
        </w:rPr>
        <w:t>y 8. Son actos administrativos las</w:t>
      </w:r>
      <w:r>
        <w:rPr>
          <w:rFonts w:ascii="Verdana" w:eastAsia="Verdana" w:hAnsi="Verdana" w:cs="Verdana"/>
          <w:color w:val="000000" w:themeColor="text1"/>
        </w:rPr>
        <w:t xml:space="preserve"> </w:t>
      </w:r>
      <w:r w:rsidRPr="00AC4C4A">
        <w:rPr>
          <w:rFonts w:ascii="Verdana" w:eastAsia="Verdana" w:hAnsi="Verdana" w:cs="Verdana"/>
          <w:color w:val="000000" w:themeColor="text1"/>
        </w:rPr>
        <w:t>actuaciones que adelanten las Universidades bajo la ejecución de los</w:t>
      </w:r>
      <w:r>
        <w:rPr>
          <w:rFonts w:ascii="Verdana" w:eastAsia="Verdana" w:hAnsi="Verdana" w:cs="Verdana"/>
          <w:color w:val="000000" w:themeColor="text1"/>
        </w:rPr>
        <w:t xml:space="preserve"> </w:t>
      </w:r>
      <w:r w:rsidRPr="00AC4C4A">
        <w:rPr>
          <w:rFonts w:ascii="Verdana" w:eastAsia="Verdana" w:hAnsi="Verdana" w:cs="Verdana"/>
          <w:color w:val="000000" w:themeColor="text1"/>
        </w:rPr>
        <w:t>contratos con recursos del SGR? 9. Cual sería su medio de control judic</w:t>
      </w:r>
      <w:r>
        <w:rPr>
          <w:rFonts w:ascii="Verdana" w:eastAsia="Verdana" w:hAnsi="Verdana" w:cs="Verdana"/>
          <w:color w:val="000000" w:themeColor="text1"/>
        </w:rPr>
        <w:t>o</w:t>
      </w:r>
      <w:r w:rsidRPr="00AC4C4A">
        <w:rPr>
          <w:rFonts w:ascii="Verdana" w:eastAsia="Verdana" w:hAnsi="Verdana" w:cs="Verdana"/>
          <w:color w:val="000000" w:themeColor="text1"/>
        </w:rPr>
        <w:t>?</w:t>
      </w:r>
      <w:r w:rsidRPr="00731D44">
        <w:rPr>
          <w:rFonts w:ascii="Verdana" w:eastAsia="Verdana" w:hAnsi="Verdana" w:cs="Verdana"/>
          <w:color w:val="000000" w:themeColor="text1"/>
          <w:sz w:val="21"/>
          <w:szCs w:val="21"/>
        </w:rPr>
        <w:t>”</w:t>
      </w:r>
      <w:r>
        <w:rPr>
          <w:rFonts w:ascii="Verdana" w:eastAsia="Verdana" w:hAnsi="Verdana" w:cs="Verdana"/>
          <w:color w:val="000000" w:themeColor="text1"/>
          <w:sz w:val="21"/>
          <w:szCs w:val="21"/>
        </w:rPr>
        <w:t xml:space="preserve"> (SIC).</w:t>
      </w:r>
    </w:p>
    <w:p w14:paraId="41E2C012" w14:textId="77777777" w:rsidR="001C46F1" w:rsidRDefault="001C46F1" w:rsidP="001C46F1">
      <w:pPr>
        <w:spacing w:after="0" w:line="240" w:lineRule="auto"/>
        <w:ind w:left="567" w:right="760"/>
        <w:jc w:val="both"/>
        <w:textAlignment w:val="baseline"/>
        <w:rPr>
          <w:rFonts w:ascii="Verdana" w:eastAsia="Verdana" w:hAnsi="Verdana" w:cs="Verdana"/>
          <w:color w:val="000000" w:themeColor="text1"/>
          <w:sz w:val="21"/>
          <w:szCs w:val="21"/>
        </w:rPr>
      </w:pPr>
    </w:p>
    <w:p w14:paraId="32EF5D2A" w14:textId="77777777" w:rsidR="001C46F1" w:rsidRPr="0015699B" w:rsidRDefault="001C46F1" w:rsidP="001C46F1">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23D5D9F1" w14:textId="77777777" w:rsidR="001C46F1" w:rsidRPr="0015699B" w:rsidRDefault="001C46F1" w:rsidP="001C46F1">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5E16C98B" w14:textId="77777777" w:rsidR="001C46F1" w:rsidRPr="0015699B" w:rsidRDefault="001C46F1" w:rsidP="001C46F1">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B3EAEEA" w14:textId="77777777" w:rsidR="001C46F1" w:rsidRPr="0015699B" w:rsidRDefault="001C46F1" w:rsidP="001C46F1">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1EC9238C" w14:textId="77777777" w:rsidR="001C46F1" w:rsidRPr="0015699B" w:rsidRDefault="001C46F1" w:rsidP="001C46F1">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56571DA" w14:textId="77777777" w:rsidR="001C46F1" w:rsidRDefault="001C46F1" w:rsidP="001C46F1">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el </w:t>
      </w:r>
      <w:r w:rsidRPr="40A87941">
        <w:rPr>
          <w:rFonts w:ascii="Verdana" w:eastAsia="Verdana" w:hAnsi="Verdana" w:cs="Verdana"/>
          <w:color w:val="000000" w:themeColor="text1"/>
          <w:lang w:val="es"/>
        </w:rPr>
        <w:t>siguiente problema</w:t>
      </w:r>
      <w:r>
        <w:rPr>
          <w:rFonts w:ascii="Verdana" w:eastAsia="Verdana" w:hAnsi="Verdana" w:cs="Verdana"/>
          <w:color w:val="000000" w:themeColor="text1"/>
          <w:lang w:val="es"/>
        </w:rPr>
        <w:t xml:space="preserve"> </w:t>
      </w:r>
      <w:r w:rsidRPr="40A87941">
        <w:rPr>
          <w:rFonts w:ascii="Verdana" w:eastAsia="Verdana" w:hAnsi="Verdana" w:cs="Verdana"/>
          <w:color w:val="000000" w:themeColor="text1"/>
          <w:lang w:val="es"/>
        </w:rPr>
        <w:t>jurídico:</w:t>
      </w:r>
      <w:r w:rsidRPr="00FC2D0E">
        <w:t xml:space="preserve"> </w:t>
      </w:r>
      <w:r w:rsidRPr="00FC2D0E">
        <w:rPr>
          <w:rFonts w:ascii="Verdana" w:eastAsia="Verdana" w:hAnsi="Verdana" w:cs="Verdana"/>
          <w:color w:val="000000" w:themeColor="text1"/>
        </w:rPr>
        <w:t xml:space="preserve">De conformidad con el parágrafo 1 del artículo 37 de la Ley </w:t>
      </w:r>
      <w:r w:rsidRPr="00FC2D0E">
        <w:rPr>
          <w:rFonts w:ascii="Verdana" w:eastAsia="Verdana" w:hAnsi="Verdana" w:cs="Verdana"/>
          <w:color w:val="000000" w:themeColor="text1"/>
        </w:rPr>
        <w:lastRenderedPageBreak/>
        <w:t>2056 de 2020, ¿</w:t>
      </w:r>
      <w:r>
        <w:rPr>
          <w:rFonts w:ascii="Verdana" w:eastAsia="Verdana" w:hAnsi="Verdana" w:cs="Verdana"/>
          <w:color w:val="000000" w:themeColor="text1"/>
        </w:rPr>
        <w:t>C</w:t>
      </w:r>
      <w:r w:rsidRPr="00FC2D0E">
        <w:rPr>
          <w:rFonts w:ascii="Verdana" w:eastAsia="Verdana" w:hAnsi="Verdana" w:cs="Verdana"/>
          <w:color w:val="000000" w:themeColor="text1"/>
        </w:rPr>
        <w:t>uál es el régimen contractual aplicable en la ejecución de proyectos financiados con recursos del Sistema General de Regalías cuando la entidad ejecutora es una universidad estatal u oficial sometida al régimen especial de contratación previsto en la Ley 30 de 1992?</w:t>
      </w:r>
    </w:p>
    <w:p w14:paraId="3FCD7051" w14:textId="77777777" w:rsidR="001C46F1" w:rsidRDefault="001C46F1" w:rsidP="001C46F1">
      <w:pPr>
        <w:spacing w:after="0" w:line="276" w:lineRule="auto"/>
        <w:jc w:val="both"/>
        <w:textAlignment w:val="baseline"/>
        <w:rPr>
          <w:rFonts w:ascii="Verdana" w:eastAsia="Verdana" w:hAnsi="Verdana" w:cs="Verdana"/>
          <w:color w:val="000000" w:themeColor="text1"/>
        </w:rPr>
      </w:pPr>
    </w:p>
    <w:p w14:paraId="475AAF23" w14:textId="77777777" w:rsidR="001C46F1" w:rsidRPr="0015699B" w:rsidRDefault="001C46F1" w:rsidP="001C46F1">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7CFDB823" w14:textId="77777777" w:rsidR="001C46F1" w:rsidRPr="0015699B" w:rsidRDefault="001C46F1" w:rsidP="001C46F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1C46F1" w14:paraId="3342A6B5" w14:textId="77777777" w:rsidTr="009C74BD">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2C8E2288" w14:textId="77777777" w:rsidR="001C46F1" w:rsidRPr="00FB356B" w:rsidRDefault="001C46F1" w:rsidP="009C74BD">
            <w:pPr>
              <w:spacing w:after="120" w:line="276" w:lineRule="auto"/>
              <w:jc w:val="both"/>
              <w:rPr>
                <w:rFonts w:ascii="Verdana" w:eastAsia="Verdana" w:hAnsi="Verdana" w:cs="Verdana"/>
              </w:rPr>
            </w:pPr>
            <w:r>
              <w:rPr>
                <w:rFonts w:ascii="Verdana" w:eastAsia="Verdana" w:hAnsi="Verdana" w:cs="Verdana"/>
              </w:rPr>
              <w:t xml:space="preserve">          </w:t>
            </w:r>
            <w:r w:rsidRPr="00FB356B">
              <w:rPr>
                <w:rFonts w:ascii="Verdana" w:eastAsia="Verdana" w:hAnsi="Verdana" w:cs="Verdana"/>
              </w:rPr>
              <w:t>De conformidad con la interpretación general de las normas que integran el Sistema de Compra Pública, esta Subdirección ha sostenido, entre otros, en los Conceptos C-370 de 2021, C-353 del 2 de junio de 2022, C-918 del 9 de diciembre de 2024, C-285 del 14 de abril de 2025, C-680 del 8 de julio de 2025, C-225 del 27 de febrero de 2026, C-417 de 2026 y C-764 del 29 de mayo de 2026, que, de conformidad con el parágrafo primero del artículo 37 de la Ley 2056 de 2020, las entidades ejecutoras de proyectos de inversión del Sistema General de Regalías</w:t>
            </w:r>
            <w:r>
              <w:rPr>
                <w:rFonts w:ascii="Verdana" w:eastAsia="Verdana" w:hAnsi="Verdana" w:cs="Verdana"/>
              </w:rPr>
              <w:t xml:space="preserve"> (SGR)</w:t>
            </w:r>
            <w:r w:rsidRPr="00FB356B">
              <w:rPr>
                <w:rFonts w:ascii="Verdana" w:eastAsia="Verdana" w:hAnsi="Verdana" w:cs="Verdana"/>
              </w:rPr>
              <w:t>, independientemente del régimen contractual al que se encuentren sometidas de manera general, deben aplicar las reglas de contratación pública, esto es, las disposiciones del Estatuto General de Contratación de la Administración Pública –EGCAP–, así como las normas que lo modifiquen, sustituyan o reglamenten.</w:t>
            </w:r>
          </w:p>
          <w:p w14:paraId="63CF9325" w14:textId="77777777" w:rsidR="001C46F1" w:rsidRPr="00FB356B" w:rsidRDefault="001C46F1" w:rsidP="009C74BD">
            <w:pPr>
              <w:spacing w:after="120" w:line="276" w:lineRule="auto"/>
              <w:jc w:val="both"/>
              <w:rPr>
                <w:rFonts w:ascii="Verdana" w:eastAsia="Verdana" w:hAnsi="Verdana" w:cs="Verdana"/>
              </w:rPr>
            </w:pPr>
            <w:r>
              <w:rPr>
                <w:rFonts w:ascii="Verdana" w:eastAsia="Verdana" w:hAnsi="Verdana" w:cs="Verdana"/>
              </w:rPr>
              <w:t xml:space="preserve">        </w:t>
            </w:r>
            <w:r w:rsidRPr="00FB356B">
              <w:rPr>
                <w:rFonts w:ascii="Verdana" w:eastAsia="Verdana" w:hAnsi="Verdana" w:cs="Verdana"/>
              </w:rPr>
              <w:t>En efecto, el parágrafo primero del artículo 37 de la Ley 2056 de 2020 establece que la ejecución de los proyectos de inversión del SGR debe adelantarse con estricta sujeción, entre otros, al régimen de contratación pública. Esta remisión tiene efectos jurídicos y no constituye una referencia meramente enunciativa, por lo que las entidades ejecutoras no pueden invocar su régimen contractual especial para ejecutar dichos recursos con prevalencia del derecho privado.</w:t>
            </w:r>
          </w:p>
          <w:p w14:paraId="2D4CE72E" w14:textId="77777777" w:rsidR="001C46F1" w:rsidRPr="00FB356B" w:rsidRDefault="001C46F1" w:rsidP="009C74BD">
            <w:pPr>
              <w:spacing w:after="120" w:line="276" w:lineRule="auto"/>
              <w:jc w:val="both"/>
              <w:rPr>
                <w:rFonts w:ascii="Verdana" w:eastAsia="Verdana" w:hAnsi="Verdana" w:cs="Verdana"/>
              </w:rPr>
            </w:pPr>
            <w:r>
              <w:rPr>
                <w:rFonts w:ascii="Verdana" w:eastAsia="Verdana" w:hAnsi="Verdana" w:cs="Verdana"/>
              </w:rPr>
              <w:t xml:space="preserve">        </w:t>
            </w:r>
            <w:r w:rsidRPr="00FB356B">
              <w:rPr>
                <w:rFonts w:ascii="Verdana" w:eastAsia="Verdana" w:hAnsi="Verdana" w:cs="Verdana"/>
              </w:rPr>
              <w:t>Esta interpretación fue reiterada de manera expresa por esta Agencia en el Concepto C-764 del 29 de mayo de 2026, en el cual se precisó que, cuando una entidad ejecutora se encuentra sometida a un régimen especial de contratación, no puede apoyarse en las excepciones a la aplicación de la Ley 80 de 1993 para la ejecución de los proyectos financiados con recursos del SGR, pues el artículo 37 de la Ley 2056 de 2020 impone la sujeción al EGCAP.</w:t>
            </w:r>
          </w:p>
          <w:p w14:paraId="7A4DA966" w14:textId="662F4CF0" w:rsidR="001C46F1" w:rsidRPr="00FB356B" w:rsidRDefault="001C46F1" w:rsidP="009C74BD">
            <w:pPr>
              <w:spacing w:after="120" w:line="276" w:lineRule="auto"/>
              <w:jc w:val="both"/>
              <w:rPr>
                <w:rFonts w:ascii="Verdana" w:eastAsia="Verdana" w:hAnsi="Verdana" w:cs="Verdana"/>
              </w:rPr>
            </w:pPr>
            <w:r>
              <w:rPr>
                <w:rFonts w:ascii="Verdana" w:eastAsia="Verdana" w:hAnsi="Verdana" w:cs="Verdana"/>
              </w:rPr>
              <w:t xml:space="preserve">        </w:t>
            </w:r>
            <w:r w:rsidR="00306740" w:rsidRPr="00D60262">
              <w:rPr>
                <w:rFonts w:ascii="Verdana" w:eastAsia="Verdana" w:hAnsi="Verdana" w:cs="Verdana"/>
              </w:rPr>
              <w:t xml:space="preserve">Lo anterior no implica que la universidad pierda o vea modificado de manera general su régimen especial de contratación previsto en la Ley 30 de 1992. La aplicación del EGCAP opera específicamente respecto de la </w:t>
            </w:r>
            <w:r w:rsidR="00306740" w:rsidRPr="00D60262">
              <w:rPr>
                <w:rFonts w:ascii="Verdana" w:eastAsia="Verdana" w:hAnsi="Verdana" w:cs="Verdana"/>
              </w:rPr>
              <w:lastRenderedPageBreak/>
              <w:t>contratación necesaria para la ejecución del proyecto financiado con recursos del Sistema General de Regalías, en virtud de la regla especial contenida en el parágrafo primero del artículo 37 de la Ley 2056 de 2020. Para las demás actividades contractuales no relacionadas con dichos proyectos, la universidad conserva el régimen especial que legalmente le corresponde</w:t>
            </w:r>
            <w:r w:rsidRPr="00FB356B">
              <w:rPr>
                <w:rFonts w:ascii="Verdana" w:eastAsia="Verdana" w:hAnsi="Verdana" w:cs="Verdana"/>
              </w:rPr>
              <w:t>.</w:t>
            </w:r>
          </w:p>
          <w:p w14:paraId="10689828" w14:textId="77777777" w:rsidR="001C46F1" w:rsidRDefault="001C46F1" w:rsidP="009C74BD">
            <w:pPr>
              <w:spacing w:after="120" w:line="276" w:lineRule="auto"/>
              <w:jc w:val="both"/>
              <w:rPr>
                <w:rFonts w:ascii="Verdana" w:eastAsia="Verdana" w:hAnsi="Verdana" w:cs="Verdana"/>
              </w:rPr>
            </w:pPr>
            <w:r>
              <w:rPr>
                <w:rFonts w:ascii="Verdana" w:eastAsia="Verdana" w:hAnsi="Verdana" w:cs="Verdana"/>
              </w:rPr>
              <w:t xml:space="preserve">        </w:t>
            </w:r>
            <w:r w:rsidRPr="00FB356B">
              <w:rPr>
                <w:rFonts w:ascii="Verdana" w:eastAsia="Verdana" w:hAnsi="Verdana" w:cs="Verdana"/>
              </w:rPr>
              <w:t>En consecuencia, cuando una universidad estatal u oficial sea designada como entidad ejecutora de un proyecto de inversión financiado con recursos del SGR, deberá aplicar el EGCAP a la contratación necesaria para la ejecución del respectivo proyecto. Esto comprende las reglas que resulten procedentes según la naturaleza del contrato y la modalidad de selección, incluidas, cuando corresponda, las relativas a las etapas y audiencias del procedimiento, subsanabilidad, ejecución y liquidación contractual, equilibrio económico, potestades excepcionales y demás instituciones propias del régimen de contratación estatal.</w:t>
            </w:r>
          </w:p>
          <w:p w14:paraId="42794EE8" w14:textId="77777777" w:rsidR="006329FC" w:rsidRDefault="001C46F1" w:rsidP="006329FC">
            <w:pPr>
              <w:spacing w:after="120" w:line="276" w:lineRule="auto"/>
              <w:jc w:val="both"/>
              <w:rPr>
                <w:rFonts w:ascii="Verdana" w:eastAsia="Calibri" w:hAnsi="Verdana" w:cs="Arial"/>
              </w:rPr>
            </w:pPr>
            <w:r>
              <w:rPr>
                <w:rFonts w:ascii="Verdana" w:eastAsia="Calibri" w:hAnsi="Verdana" w:cs="Arial"/>
                <w:color w:val="000000" w:themeColor="text1"/>
                <w:lang w:eastAsia="es-ES"/>
              </w:rPr>
              <w:t xml:space="preserve">       </w:t>
            </w:r>
            <w:r w:rsidRPr="007B743D">
              <w:rPr>
                <w:rFonts w:ascii="Verdana" w:eastAsia="Calibri" w:hAnsi="Verdana" w:cs="Arial"/>
                <w:color w:val="000000" w:themeColor="text1"/>
                <w:lang w:eastAsia="es-ES"/>
              </w:rPr>
              <w:t>En este contexto</w:t>
            </w:r>
            <w:r>
              <w:rPr>
                <w:rFonts w:ascii="Verdana" w:eastAsia="Calibri" w:hAnsi="Verdana" w:cs="Arial"/>
                <w:color w:val="000000" w:themeColor="text1"/>
                <w:lang w:eastAsia="es-ES"/>
              </w:rPr>
              <w:t xml:space="preserve"> y en línea con lo previsto en el concepto C-225 del 27 de febrero de 2026</w:t>
            </w:r>
            <w:r w:rsidRPr="007B743D">
              <w:rPr>
                <w:rFonts w:ascii="Verdana" w:eastAsia="Calibri" w:hAnsi="Verdana" w:cs="Arial"/>
                <w:color w:val="000000" w:themeColor="text1"/>
                <w:lang w:eastAsia="es-ES"/>
              </w:rPr>
              <w:t xml:space="preserve">, se enfatiza que la aplicación del EGCAP para la ejecución de recursos de regalías conforme lo dispone el parágrafo 1 del artículo 37 de la Ley 2056 de 2020 no desconoce lo dispuesto en </w:t>
            </w:r>
            <w:r w:rsidRPr="007B743D">
              <w:rPr>
                <w:rFonts w:ascii="Verdana" w:eastAsia="Calibri" w:hAnsi="Verdana" w:cs="Arial"/>
              </w:rPr>
              <w:t xml:space="preserve">los artículos 57, 93 y 94 de la Ley 30 de 1992, así como tampoco altera o modifica el régimen de contratación especial de las universidades públicas. Sin embargo, debido a que la Ley 2056 de 2020 es una norma especial y posterior, puede válidamente establecer reglas contractuales diferenciadas para determinados tipos de recursos, sin que ello afecte la estructura general del régimen contractual aplicable a las entidades. </w:t>
            </w:r>
          </w:p>
          <w:p w14:paraId="24D61C87" w14:textId="77777777" w:rsidR="006329FC" w:rsidRDefault="006329FC" w:rsidP="006329FC">
            <w:pPr>
              <w:spacing w:after="120" w:line="276" w:lineRule="auto"/>
              <w:jc w:val="both"/>
              <w:rPr>
                <w:rFonts w:ascii="Verdana" w:eastAsia="Calibri" w:hAnsi="Verdana" w:cs="Arial"/>
              </w:rPr>
            </w:pPr>
            <w:r>
              <w:rPr>
                <w:rFonts w:ascii="Verdana" w:eastAsia="Calibri" w:hAnsi="Verdana" w:cs="Arial"/>
              </w:rPr>
              <w:t xml:space="preserve">         </w:t>
            </w:r>
            <w:r w:rsidR="00505805" w:rsidRPr="00D60262">
              <w:rPr>
                <w:rFonts w:ascii="Verdana" w:eastAsia="Calibri" w:hAnsi="Verdana" w:cs="Arial"/>
              </w:rPr>
              <w:t>De conformidad con el parágrafo primero del artículo 37 de la Ley 2056 de 2020, cuando una universidad estatal u oficial sea designada como entidad ejecutora de un proyecto financiado con recursos del Sistema General de Regalías, la contratación necesaria para la ejecución de dicho proyecto debe sujetarse al Estatuto General de Contratación de la Administración Pública –EGCAP– y a sus disposiciones reglamentarias, sin que pueda aplicarse, para esos efectos, el régimen especial de contratación previsto en la Ley 30 de 1992</w:t>
            </w:r>
            <w:r>
              <w:rPr>
                <w:rFonts w:ascii="Verdana" w:eastAsia="Calibri" w:hAnsi="Verdana" w:cs="Arial"/>
              </w:rPr>
              <w:t>.</w:t>
            </w:r>
          </w:p>
          <w:p w14:paraId="67600E76" w14:textId="1948A982" w:rsidR="00505805" w:rsidRPr="006329FC" w:rsidRDefault="006329FC" w:rsidP="006329FC">
            <w:pPr>
              <w:spacing w:after="120" w:line="276" w:lineRule="auto"/>
              <w:jc w:val="both"/>
              <w:rPr>
                <w:rFonts w:ascii="Verdana" w:eastAsia="Verdana" w:hAnsi="Verdana" w:cs="Verdana"/>
              </w:rPr>
            </w:pPr>
            <w:r>
              <w:rPr>
                <w:rFonts w:ascii="Verdana" w:eastAsia="Calibri" w:hAnsi="Verdana" w:cs="Arial"/>
              </w:rPr>
              <w:t xml:space="preserve">        </w:t>
            </w:r>
            <w:r w:rsidR="00505805" w:rsidRPr="00D60262">
              <w:rPr>
                <w:rFonts w:ascii="Verdana" w:eastAsia="Calibri" w:hAnsi="Verdana" w:cs="Arial"/>
              </w:rPr>
              <w:t xml:space="preserve">Esta regla no deroga ni modifica de manera general el régimen especial de contratación de la universidad, el cual continúa siendo aplicable a sus </w:t>
            </w:r>
            <w:r w:rsidR="00505805" w:rsidRPr="00D60262">
              <w:rPr>
                <w:rFonts w:ascii="Verdana" w:eastAsia="Calibri" w:hAnsi="Verdana" w:cs="Arial"/>
              </w:rPr>
              <w:lastRenderedPageBreak/>
              <w:t>demás actividades contractuales. La aplicación del EGCAP se circunscribe a la contratación vinculada con la ejecución de los proyectos financiados con recursos del SGR.</w:t>
            </w:r>
          </w:p>
          <w:p w14:paraId="5BD1C712" w14:textId="77777777" w:rsidR="001C46F1" w:rsidRDefault="001C46F1" w:rsidP="009C74BD">
            <w:pPr>
              <w:spacing w:after="120" w:line="276" w:lineRule="auto"/>
              <w:jc w:val="both"/>
              <w:rPr>
                <w:rFonts w:ascii="Verdana" w:eastAsia="Calibri" w:hAnsi="Verdana" w:cs="Times New Roman"/>
                <w:lang w:val="es-ES"/>
              </w:rPr>
            </w:pPr>
            <w:r>
              <w:rPr>
                <w:rFonts w:ascii="Verdana" w:eastAsia="Verdana" w:hAnsi="Verdana" w:cs="Verdana"/>
              </w:rPr>
              <w:t xml:space="preserve">       </w:t>
            </w: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19CEF2BB" w14:textId="77777777" w:rsidR="001C46F1" w:rsidRDefault="001C46F1" w:rsidP="009C74BD">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1F023F21" w14:textId="77777777" w:rsidR="001C46F1" w:rsidRPr="0015699B" w:rsidRDefault="001C46F1" w:rsidP="001C46F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343C9281" w14:textId="77777777" w:rsidR="001C46F1" w:rsidRPr="0015699B" w:rsidRDefault="001C46F1" w:rsidP="001C46F1">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12CD3D93" w14:textId="77777777" w:rsidR="001C46F1" w:rsidRPr="0015699B" w:rsidRDefault="001C46F1" w:rsidP="001C46F1">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66BFFAA7" w14:textId="77777777" w:rsidR="001C46F1" w:rsidRPr="0015699B" w:rsidRDefault="001C46F1" w:rsidP="001C46F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6DFFD918" w14:textId="77777777" w:rsidR="001C46F1" w:rsidRPr="0015699B" w:rsidRDefault="001C46F1" w:rsidP="001C46F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0B38544D" w14:textId="77777777" w:rsidR="001C46F1" w:rsidRPr="007B743D" w:rsidRDefault="001C46F1" w:rsidP="001C46F1">
      <w:pPr>
        <w:spacing w:after="120" w:line="276" w:lineRule="auto"/>
        <w:ind w:firstLine="708"/>
        <w:jc w:val="both"/>
        <w:rPr>
          <w:rFonts w:ascii="Verdana" w:eastAsia="Calibri" w:hAnsi="Verdana" w:cs="Arial"/>
          <w:color w:val="000000"/>
          <w:lang w:val="es-ES" w:eastAsia="es-ES"/>
        </w:rPr>
      </w:pPr>
      <w:r>
        <w:rPr>
          <w:rFonts w:ascii="Verdana" w:hAnsi="Verdana"/>
        </w:rPr>
        <w:t>De manera preliminar es pertinente indicar que u</w:t>
      </w:r>
      <w:r w:rsidRPr="00904398">
        <w:rPr>
          <w:rFonts w:ascii="Verdana" w:hAnsi="Verdana"/>
        </w:rPr>
        <w:t>no de los presupuestos para celebrar</w:t>
      </w:r>
      <w:r>
        <w:rPr>
          <w:rFonts w:ascii="Verdana" w:hAnsi="Verdana"/>
        </w:rPr>
        <w:t xml:space="preserve"> </w:t>
      </w:r>
      <w:r w:rsidRPr="007B743D">
        <w:rPr>
          <w:rFonts w:ascii="Verdana" w:eastAsia="Calibri" w:hAnsi="Verdana" w:cs="Arial"/>
          <w:color w:val="000000"/>
          <w:lang w:val="es-ES" w:eastAsia="es-ES"/>
        </w:rPr>
        <w:t xml:space="preserve">Conforme a la interpretación general de las normas del sistema de compras públicas, esta Subdirección en </w:t>
      </w:r>
      <w:r w:rsidRPr="007B743D">
        <w:rPr>
          <w:rFonts w:ascii="Verdana" w:hAnsi="Verdana" w:cs="Arial"/>
        </w:rPr>
        <w:t>los conceptos C-370 del 2021,</w:t>
      </w:r>
      <w:r w:rsidRPr="007B743D">
        <w:rPr>
          <w:rFonts w:ascii="Verdana" w:hAnsi="Verdana" w:cs="Arial"/>
          <w:shd w:val="clear" w:color="auto" w:fill="FFFFFF"/>
        </w:rPr>
        <w:t xml:space="preserve"> C-353 del 2 de junio de 2022, C-918 del 9 de diciembre de 2024, C-951 del 16 de diciembre de 2024, C-285 del 14 de abril de 2025, C-348 del 25 de abril de 2025, C-370 del 2 de mayo de 2025, </w:t>
      </w:r>
      <w:r w:rsidRPr="007B743D">
        <w:rPr>
          <w:rFonts w:ascii="Verdana" w:hAnsi="Verdana"/>
          <w:shd w:val="clear" w:color="auto" w:fill="FFFFFF"/>
        </w:rPr>
        <w:t>C-680 del 8 de julio de 2025, C-914 del 15 de agosto de 2025 y C-1065 del 8 de septiembre de 2025</w:t>
      </w:r>
      <w:r w:rsidRPr="007B743D">
        <w:rPr>
          <w:rFonts w:ascii="Verdana" w:hAnsi="Verdana" w:cs="Arial"/>
          <w:shd w:val="clear" w:color="auto" w:fill="FFFFFF"/>
        </w:rPr>
        <w:t xml:space="preserve">ha mantenido la postura en virtud de la cual </w:t>
      </w:r>
      <w:r w:rsidRPr="007B743D">
        <w:rPr>
          <w:rFonts w:ascii="Verdana" w:eastAsia="Calibri" w:hAnsi="Verdana" w:cs="Arial"/>
          <w:color w:val="000000"/>
          <w:lang w:val="es-ES" w:eastAsia="es-ES"/>
        </w:rPr>
        <w:t xml:space="preserve">de acuerdo con el parágrafo primero del artículo 37 de la Ley 2056 de 2020, el ejecutor de los proyectos de inversión del Sistema General de Regalías, independiente del régimen contractual al cuál se encuentre sujeto de manera general, deberá aplicar las reglas de contratación pública, es decir, a las </w:t>
      </w:r>
      <w:r w:rsidRPr="007B743D">
        <w:rPr>
          <w:rFonts w:ascii="Verdana" w:eastAsia="Calibri" w:hAnsi="Verdana" w:cs="Arial"/>
          <w:color w:val="000000"/>
          <w:lang w:val="es-ES" w:eastAsia="es-ES"/>
        </w:rPr>
        <w:lastRenderedPageBreak/>
        <w:t>prescripciones establecidas en el Estatuto General de Contratación de la Administración Pública-EGCAP, así como las normas que lo modifiquen, sustituyan o reglamenten.</w:t>
      </w:r>
    </w:p>
    <w:p w14:paraId="0B06B4B7" w14:textId="77777777" w:rsidR="001C46F1" w:rsidRPr="007B743D" w:rsidRDefault="001C46F1" w:rsidP="001C46F1">
      <w:pPr>
        <w:spacing w:after="120" w:line="276" w:lineRule="auto"/>
        <w:ind w:firstLine="709"/>
        <w:jc w:val="both"/>
        <w:rPr>
          <w:rFonts w:ascii="Verdana" w:hAnsi="Verdana" w:cs="Arial"/>
          <w:noProof/>
        </w:rPr>
      </w:pPr>
      <w:r w:rsidRPr="007B743D">
        <w:rPr>
          <w:rFonts w:ascii="Verdana" w:eastAsia="Calibri" w:hAnsi="Verdana" w:cs="Arial"/>
          <w:color w:val="000000"/>
          <w:lang w:val="es-ES" w:eastAsia="es-ES"/>
        </w:rPr>
        <w:t xml:space="preserve">En efecto, conforme se ha explicado en estos conceptos, </w:t>
      </w:r>
      <w:r w:rsidRPr="007B743D">
        <w:rPr>
          <w:rFonts w:ascii="Verdana" w:hAnsi="Verdana" w:cs="Arial"/>
          <w:noProof/>
          <w:lang w:val="es-ES_tradnl"/>
        </w:rPr>
        <w:t xml:space="preserve">en </w:t>
      </w:r>
      <w:r w:rsidRPr="007B743D">
        <w:rPr>
          <w:rFonts w:ascii="Verdana" w:hAnsi="Verdana" w:cs="Arial"/>
          <w:noProof/>
        </w:rPr>
        <w:t>el Título IV, Capítulo I, la Ley 2056 de 2020 establece las reglas generales para los proyectos de inversión en el Sistema General de Regalías. En esta línea, regula la destinación de los proyectos del Sistema General de Regalías –artículo 28–, las características de los proyectos de inversión –artículo 29–, los ejercicios de planeación –artículo 30–, el ciclo de los proyectos de inversión –artículo 31–, el registro de proyectos –artículo 32–, formulación y presentación de los proyectos de inversión –artículo 33–, viabilidad de los proyectos de inversión–artículo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w:t>
      </w:r>
    </w:p>
    <w:p w14:paraId="1B4F8070" w14:textId="77777777" w:rsidR="001C46F1" w:rsidRPr="007B743D" w:rsidRDefault="001C46F1" w:rsidP="001C46F1">
      <w:pPr>
        <w:spacing w:after="120" w:line="276" w:lineRule="auto"/>
        <w:ind w:firstLine="709"/>
        <w:jc w:val="both"/>
        <w:rPr>
          <w:rFonts w:ascii="Verdana" w:hAnsi="Verdana" w:cs="Arial"/>
        </w:rPr>
      </w:pPr>
      <w:r w:rsidRPr="007B743D">
        <w:rPr>
          <w:rFonts w:ascii="Verdana" w:hAnsi="Verdana" w:cs="Arial"/>
          <w:noProof/>
        </w:rPr>
        <w:t xml:space="preserve">Particularmente, el artículo 37 </w:t>
      </w:r>
      <w:r w:rsidRPr="007B743D">
        <w:rPr>
          <w:rFonts w:ascii="Verdana" w:hAnsi="Verdana" w:cs="Arial"/>
        </w:rPr>
        <w:t xml:space="preserve">de la Ley 2056 de 2020 dispone que los proyectos de inversión que se financien con cargo al Sistema General de Regalías serán ejecutados por quien designe las entidades u órganos de que tratan los artículos 35 y 36 </w:t>
      </w:r>
      <w:r w:rsidRPr="007B743D">
        <w:rPr>
          <w:rFonts w:ascii="Verdana" w:hAnsi="Verdana" w:cs="Arial"/>
          <w:i/>
          <w:iCs/>
        </w:rPr>
        <w:t>ibidem</w:t>
      </w:r>
      <w:r w:rsidRPr="007B743D">
        <w:rPr>
          <w:rFonts w:ascii="Verdana" w:hAnsi="Verdana" w:cs="Arial"/>
        </w:rPr>
        <w:t xml:space="preserve">. También agrega que la entidad pública ejecutora tiene el deber de adelantar la contratación de la interventoría, de conformidad con lo previsto en la presente ley. Las entidades ejecutoras de recursos del Sistema son responsables de suministrar de forma veraz, oportuna e idónea, la información de la gestión de los proyectos que se requiera e implementar las actuaciones pertinentes para encauzar el desempeño de los proyectos de inversión y decidir, de manera motivada, sobre la continuidad de los mismos, sin perjuicio de las acciones de control a las que haya lugar. </w:t>
      </w:r>
    </w:p>
    <w:p w14:paraId="53FF05C1" w14:textId="77777777" w:rsidR="001C46F1" w:rsidRPr="007B743D" w:rsidRDefault="001C46F1" w:rsidP="001C46F1">
      <w:pPr>
        <w:spacing w:after="120" w:line="276" w:lineRule="auto"/>
        <w:ind w:firstLine="709"/>
        <w:jc w:val="both"/>
        <w:rPr>
          <w:rFonts w:ascii="Verdana" w:hAnsi="Verdana" w:cs="Arial"/>
        </w:rPr>
      </w:pPr>
      <w:r w:rsidRPr="007B743D">
        <w:rPr>
          <w:rFonts w:ascii="Verdana" w:hAnsi="Verdana" w:cs="Arial"/>
        </w:rPr>
        <w:t xml:space="preserve">El parágrafo primero del artículo 37 </w:t>
      </w:r>
      <w:r w:rsidRPr="007B743D">
        <w:rPr>
          <w:rFonts w:ascii="Verdana" w:hAnsi="Verdana" w:cs="Arial"/>
          <w:i/>
          <w:iCs/>
        </w:rPr>
        <w:t>ibidem</w:t>
      </w:r>
      <w:r w:rsidRPr="007B743D">
        <w:rPr>
          <w:rFonts w:ascii="Verdana" w:hAnsi="Verdana" w:cs="Arial"/>
        </w:rPr>
        <w:t xml:space="preserve"> dispone lo siguiente: “La ejecución de proyectos de que trata este artículo, se adelantará, con estricta sujeción al régimen presupuestal definido en esta ley, </w:t>
      </w:r>
      <w:r w:rsidRPr="007B743D">
        <w:rPr>
          <w:rFonts w:ascii="Verdana" w:hAnsi="Verdana" w:cs="Arial"/>
          <w:i/>
          <w:iCs/>
          <w:u w:val="single"/>
        </w:rPr>
        <w:t>al de contratación pública</w:t>
      </w:r>
      <w:r w:rsidRPr="007B743D">
        <w:rPr>
          <w:rFonts w:ascii="Verdana" w:hAnsi="Verdana" w:cs="Arial"/>
        </w:rPr>
        <w:t xml:space="preserve"> y las demás normas legales vigentes. El ejecutor garantizará la correcta ejecución de los recursos asignados al proyecto de inversión, así como el suministro y registro de la información requerida por el sistema de seguimiento, evaluación y control”</w:t>
      </w:r>
      <w:r w:rsidRPr="007B743D">
        <w:rPr>
          <w:rFonts w:ascii="Verdana" w:hAnsi="Verdana" w:cs="Arial"/>
          <w:vertAlign w:val="superscript"/>
        </w:rPr>
        <w:footnoteReference w:id="1"/>
      </w:r>
      <w:r w:rsidRPr="007B743D">
        <w:rPr>
          <w:rFonts w:ascii="Verdana" w:hAnsi="Verdana" w:cs="Arial"/>
        </w:rPr>
        <w:t>.</w:t>
      </w:r>
      <w:r w:rsidRPr="007B743D">
        <w:rPr>
          <w:rFonts w:ascii="Verdana" w:hAnsi="Verdana" w:cs="Arial"/>
          <w:noProof/>
        </w:rPr>
        <w:t xml:space="preserve"> A partir de esta norma, el ejercutor de los proyectos de </w:t>
      </w:r>
      <w:r w:rsidRPr="007B743D">
        <w:rPr>
          <w:rFonts w:ascii="Verdana" w:hAnsi="Verdana" w:cs="Arial"/>
          <w:noProof/>
        </w:rPr>
        <w:lastRenderedPageBreak/>
        <w:t xml:space="preserve">inversion en el SGR debe sujetarse a las reglas de contratación pública, es decir, a las prescripciones establecidas en el Estatuto General de Contratación Pública, así como las normas que lo modifiquen, sustituyan o reglamenten. En efecto, el ejecutor debe someterse a las reglas generales de la contratación pública cuando desarrolle proyectos en el marco del Sistema General de Regalías. </w:t>
      </w:r>
    </w:p>
    <w:p w14:paraId="798C985F" w14:textId="77777777" w:rsidR="001C46F1" w:rsidRPr="007B743D" w:rsidRDefault="001C46F1" w:rsidP="001C46F1">
      <w:pPr>
        <w:spacing w:after="120" w:line="276" w:lineRule="auto"/>
        <w:ind w:firstLine="709"/>
        <w:jc w:val="both"/>
        <w:rPr>
          <w:rFonts w:ascii="Verdana" w:hAnsi="Verdana" w:cs="Arial"/>
          <w:bdr w:val="none" w:sz="0" w:space="0" w:color="auto" w:frame="1"/>
        </w:rPr>
      </w:pPr>
      <w:r w:rsidRPr="007B743D">
        <w:rPr>
          <w:rFonts w:ascii="Verdana" w:hAnsi="Verdana" w:cs="Arial"/>
        </w:rPr>
        <w:t xml:space="preserve">Por tanto, en caso de que se realicen proyectos de inversión en el marco del Sistema General de Regalías, como también aquellos proyectos especiales referenciados </w:t>
      </w:r>
      <w:r w:rsidRPr="007B743D">
        <w:rPr>
          <w:rFonts w:ascii="Verdana" w:hAnsi="Verdana" w:cs="Arial"/>
          <w:i/>
          <w:iCs/>
        </w:rPr>
        <w:t>ut supra</w:t>
      </w:r>
      <w:r w:rsidRPr="007B743D">
        <w:rPr>
          <w:rFonts w:ascii="Verdana" w:hAnsi="Verdana" w:cs="Arial"/>
        </w:rPr>
        <w:t>, los ejecutores designados para desarrollarlos deben sujetarse al Estatuto General de Contratación de la Administración Pública</w:t>
      </w:r>
      <w:r w:rsidRPr="007B743D">
        <w:rPr>
          <w:rFonts w:ascii="Verdana" w:eastAsia="Calibri" w:hAnsi="Verdana" w:cs="Arial"/>
        </w:rPr>
        <w:t>.</w:t>
      </w:r>
      <w:r w:rsidRPr="007B743D">
        <w:rPr>
          <w:rFonts w:ascii="Verdana" w:hAnsi="Verdana" w:cs="Arial"/>
        </w:rPr>
        <w:t xml:space="preserve"> </w:t>
      </w:r>
      <w:r w:rsidRPr="007B743D">
        <w:rPr>
          <w:rFonts w:ascii="Verdana" w:hAnsi="Verdana" w:cs="Arial"/>
          <w:bdr w:val="none" w:sz="0" w:space="0" w:color="auto" w:frame="1"/>
        </w:rPr>
        <w:t xml:space="preserve">En el evento en que determinados asuntos estén sometidos por norma especial al Estatuto General de Contratación Pública, la ejecución de los contratos deberá realizarse conforme a este régimen. </w:t>
      </w:r>
    </w:p>
    <w:p w14:paraId="21BE7DDC" w14:textId="77777777" w:rsidR="001C46F1" w:rsidRPr="007B743D" w:rsidRDefault="001C46F1" w:rsidP="001C46F1">
      <w:pPr>
        <w:spacing w:after="120" w:line="276" w:lineRule="auto"/>
        <w:ind w:firstLine="709"/>
        <w:jc w:val="both"/>
        <w:rPr>
          <w:rFonts w:ascii="Verdana" w:eastAsia="Calibri" w:hAnsi="Verdana" w:cs="Arial"/>
          <w:color w:val="000000"/>
          <w:lang w:val="es-ES" w:eastAsia="es-ES"/>
        </w:rPr>
      </w:pPr>
      <w:r w:rsidRPr="007B743D">
        <w:rPr>
          <w:rFonts w:ascii="Verdana" w:eastAsia="Calibri" w:hAnsi="Verdana" w:cs="Arial"/>
          <w:color w:val="000000"/>
          <w:lang w:val="es-ES" w:eastAsia="es-ES"/>
        </w:rPr>
        <w:t xml:space="preserve">Así las cosas, se ha sostenido </w:t>
      </w:r>
      <w:proofErr w:type="gramStart"/>
      <w:r w:rsidRPr="007B743D">
        <w:rPr>
          <w:rFonts w:ascii="Verdana" w:eastAsia="Calibri" w:hAnsi="Verdana" w:cs="Arial"/>
          <w:color w:val="000000"/>
          <w:lang w:val="es-ES" w:eastAsia="es-ES"/>
        </w:rPr>
        <w:t>que</w:t>
      </w:r>
      <w:proofErr w:type="gramEnd"/>
      <w:r w:rsidRPr="007B743D">
        <w:rPr>
          <w:rFonts w:ascii="Verdana" w:eastAsia="Calibri" w:hAnsi="Verdana" w:cs="Arial"/>
          <w:color w:val="000000"/>
          <w:lang w:val="es-ES" w:eastAsia="es-ES"/>
        </w:rPr>
        <w:t xml:space="preserve"> si la entidad ejecutora es de régimen especial, no podrá apoyarse en las excepciones a la aplicación de la Ley 80 de 1993 para la ejecución de los proyectos. De esta manera, el artículo 37 citado </w:t>
      </w:r>
      <w:r w:rsidRPr="007B743D">
        <w:rPr>
          <w:rFonts w:ascii="Verdana" w:eastAsia="Calibri" w:hAnsi="Verdana" w:cs="Arial"/>
          <w:color w:val="000000"/>
          <w:lang w:val="es-ES" w:eastAsia="es-ES"/>
        </w:rPr>
        <w:lastRenderedPageBreak/>
        <w:t>excluye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p>
    <w:p w14:paraId="23EF1274" w14:textId="77777777" w:rsidR="001C46F1" w:rsidRPr="007B743D" w:rsidRDefault="001C46F1" w:rsidP="001C46F1">
      <w:pPr>
        <w:spacing w:after="120" w:line="276" w:lineRule="auto"/>
        <w:ind w:firstLine="709"/>
        <w:jc w:val="both"/>
        <w:rPr>
          <w:rFonts w:ascii="Verdana" w:eastAsia="Calibri" w:hAnsi="Verdana" w:cs="Arial"/>
        </w:rPr>
      </w:pPr>
      <w:r w:rsidRPr="007B743D">
        <w:rPr>
          <w:rFonts w:ascii="Verdana" w:eastAsia="Calibri" w:hAnsi="Verdana" w:cs="Arial"/>
        </w:rPr>
        <w:t xml:space="preserve">En este contexto, la ANCP – CCE si bien reconoce que de conformidad con los artículos 57, 93 y 94 de la Ley 30 de 1992, el régimen de contratación de las universidades públicas es de derecho privado, lo que implica que son consideradas entidades con régimen especial en materia contractual, cuando actúan como entidades ejecutoras de proyectos financiados con recursos del SGR, deben sujetarse a la norma especial prevista para dichos recursos, la cual impone la aplicación obligatoria del Estatuto General de Contratación de la Administración Pública, tal como lo establece de forma expresa el artículo 37 de la Ley 2056 de 2020. </w:t>
      </w:r>
    </w:p>
    <w:p w14:paraId="25A3A217"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rPr>
        <w:t xml:space="preserve">De acuerdo con esta interpretación, esta Subdirección considera que el </w:t>
      </w:r>
      <w:r w:rsidRPr="007B743D">
        <w:rPr>
          <w:rFonts w:ascii="Verdana" w:eastAsia="Calibri" w:hAnsi="Verdana" w:cs="Arial"/>
          <w:color w:val="000000" w:themeColor="text1"/>
          <w:lang w:eastAsia="es-ES"/>
        </w:rPr>
        <w:t>parágrafo primero del artículo 37 de la Ley 2056 de 2020 incorpora una remisión normativa expresa y categórica al régimen de contratación pública, es decir, a las reglas contenidas principalmente en la Ley 80 de 1993 y sus normas complementarias - Ley 1150 de 2007, Decreto 1082 de 2015, entre otras-. Además, el uso de la expresión “estricta sujeción” refuerza la intención del legislador de conferir un carácter obligatorio a dicha remisión.</w:t>
      </w:r>
    </w:p>
    <w:p w14:paraId="118E1DCE"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El alcance de esta remisión normativa implica que, para efectos de la ejecución de proyectos financiados con recursos del Sistema General de Regalías, las entidades ejecutoras deben sujetarse a las reglas y principios establecidos en el Estatuto General de Contratación de la Administración Pública y sus disposiciones reglamentarias. En tal sentido, esta remisión impone la aplicación del régimen general de contratación pública como garantía de transparencia y eficiencia configurando un marco jurídico específico que se activa por el uso de los recursos de regalías, lo que excluye la aplicación de regímenes especiales. </w:t>
      </w:r>
    </w:p>
    <w:p w14:paraId="141A2C53"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Así pues, se parte de una lectura literal del texto normativo, en la que la remisión al EGCAP refleja de manera directa la voluntad del legislador de someter tales asuntos a la ley 80 de 1993 y normas reglamentarias vigentes. De igual forma, esta remisión expresa al EGCAP establecida en el parágrafo 1 del artículo 37 se contempla en diferentes disposiciones de la Ley 2056 de 2020, </w:t>
      </w:r>
      <w:r w:rsidRPr="007B743D">
        <w:rPr>
          <w:rFonts w:ascii="Verdana" w:eastAsia="Calibri" w:hAnsi="Verdana" w:cs="Arial"/>
          <w:color w:val="000000" w:themeColor="text1"/>
          <w:lang w:eastAsia="es-ES"/>
        </w:rPr>
        <w:lastRenderedPageBreak/>
        <w:t>como son los artículos 84</w:t>
      </w:r>
      <w:r w:rsidRPr="007B743D">
        <w:rPr>
          <w:rFonts w:ascii="Verdana" w:eastAsia="Calibri" w:hAnsi="Verdana" w:cs="Arial"/>
          <w:color w:val="000000" w:themeColor="text1"/>
          <w:vertAlign w:val="superscript"/>
          <w:lang w:eastAsia="es-ES"/>
        </w:rPr>
        <w:footnoteReference w:id="2"/>
      </w:r>
      <w:r w:rsidRPr="007B743D">
        <w:rPr>
          <w:rFonts w:ascii="Verdana" w:eastAsia="Calibri" w:hAnsi="Verdana" w:cs="Arial"/>
          <w:color w:val="000000" w:themeColor="text1"/>
          <w:lang w:eastAsia="es-ES"/>
        </w:rPr>
        <w:t>, 85</w:t>
      </w:r>
      <w:r w:rsidRPr="007B743D">
        <w:rPr>
          <w:rFonts w:ascii="Verdana" w:eastAsia="Calibri" w:hAnsi="Verdana" w:cs="Arial"/>
          <w:color w:val="000000" w:themeColor="text1"/>
          <w:vertAlign w:val="superscript"/>
          <w:lang w:eastAsia="es-ES"/>
        </w:rPr>
        <w:footnoteReference w:id="3"/>
      </w:r>
      <w:r w:rsidRPr="007B743D">
        <w:rPr>
          <w:rFonts w:ascii="Verdana" w:eastAsia="Calibri" w:hAnsi="Verdana" w:cs="Arial"/>
          <w:color w:val="000000" w:themeColor="text1"/>
          <w:lang w:eastAsia="es-ES"/>
        </w:rPr>
        <w:t>, 98</w:t>
      </w:r>
      <w:r w:rsidRPr="007B743D">
        <w:rPr>
          <w:rFonts w:ascii="Verdana" w:eastAsia="Calibri" w:hAnsi="Verdana" w:cs="Arial"/>
          <w:color w:val="000000" w:themeColor="text1"/>
          <w:vertAlign w:val="superscript"/>
          <w:lang w:eastAsia="es-ES"/>
        </w:rPr>
        <w:footnoteReference w:id="4"/>
      </w:r>
      <w:r w:rsidRPr="007B743D">
        <w:rPr>
          <w:rFonts w:ascii="Verdana" w:eastAsia="Calibri" w:hAnsi="Verdana" w:cs="Arial"/>
          <w:color w:val="000000" w:themeColor="text1"/>
          <w:lang w:eastAsia="es-ES"/>
        </w:rPr>
        <w:t>, 99</w:t>
      </w:r>
      <w:r w:rsidRPr="007B743D">
        <w:rPr>
          <w:rFonts w:ascii="Verdana" w:eastAsia="Calibri" w:hAnsi="Verdana" w:cs="Arial"/>
          <w:color w:val="000000" w:themeColor="text1"/>
          <w:vertAlign w:val="superscript"/>
          <w:lang w:eastAsia="es-ES"/>
        </w:rPr>
        <w:footnoteReference w:id="5"/>
      </w:r>
      <w:r w:rsidRPr="007B743D">
        <w:rPr>
          <w:rFonts w:ascii="Verdana" w:eastAsia="Calibri" w:hAnsi="Verdana" w:cs="Arial"/>
          <w:color w:val="000000" w:themeColor="text1"/>
          <w:lang w:eastAsia="es-ES"/>
        </w:rPr>
        <w:t>, 108</w:t>
      </w:r>
      <w:r w:rsidRPr="007B743D">
        <w:rPr>
          <w:rFonts w:ascii="Verdana" w:eastAsia="Calibri" w:hAnsi="Verdana" w:cs="Arial"/>
          <w:color w:val="000000" w:themeColor="text1"/>
          <w:vertAlign w:val="superscript"/>
          <w:lang w:eastAsia="es-ES"/>
        </w:rPr>
        <w:footnoteReference w:id="6"/>
      </w:r>
      <w:r w:rsidRPr="007B743D">
        <w:rPr>
          <w:rFonts w:ascii="Verdana" w:eastAsia="Calibri" w:hAnsi="Verdana" w:cs="Arial"/>
          <w:color w:val="000000" w:themeColor="text1"/>
          <w:lang w:eastAsia="es-ES"/>
        </w:rPr>
        <w:t xml:space="preserve"> y 109</w:t>
      </w:r>
      <w:r w:rsidRPr="007B743D">
        <w:rPr>
          <w:rFonts w:ascii="Verdana" w:eastAsia="Calibri" w:hAnsi="Verdana" w:cs="Arial"/>
          <w:color w:val="000000" w:themeColor="text1"/>
          <w:vertAlign w:val="superscript"/>
          <w:lang w:eastAsia="es-ES"/>
        </w:rPr>
        <w:footnoteReference w:id="7"/>
      </w:r>
      <w:r w:rsidRPr="007B743D">
        <w:rPr>
          <w:rFonts w:ascii="Verdana" w:eastAsia="Calibri" w:hAnsi="Verdana" w:cs="Arial"/>
          <w:color w:val="000000" w:themeColor="text1"/>
          <w:lang w:eastAsia="es-ES"/>
        </w:rPr>
        <w:t>, lo que evidencia una voluntad legislativa clara y reiterada de aplicar el EGCAP, sin distinción o salvedades sobre el régimen de contratación de las entidades ejecutoras.</w:t>
      </w:r>
    </w:p>
    <w:p w14:paraId="4B232061"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Desde una lectura sistemática de la Ley 2056 de 2020, estas múltiples remisiones a las normas del régimen general de contratación pública no deben considerarse como simples alusiones formales sin efectos jurídicos. Por el contrario, configuran un mandato normativo concreto que impone la aplicación del EGCAP en la contratación de proyectos financiados con recursos de regalías. De esta manera, una lectura sistemática de todas las normas señaladas conlleva a interpretar la ley en su conjunto, atendiendo no solo a su tenor literal, sino a su estructura interna, lo que permite identificar una intención legislativa de sujetar la ejecución de los recursos del SGR al EGCAP, sin excepciones.</w:t>
      </w:r>
    </w:p>
    <w:p w14:paraId="1D9DF3DF"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Aunado a lo anterior, se precisa que el parágrafo 1 del artículo 37 de la Ley 2056 de 2020 no distingue sobre el tipo de régimen de contratación aplicable a las entidades ejecutoras de los recursos del SGR, sin embargo, si realiza la remisión expresa al EGCAP. Por tanto, en desarrollo del principio general de interpretación jurídica según el cual </w:t>
      </w:r>
      <w:r w:rsidRPr="007B743D">
        <w:rPr>
          <w:rFonts w:ascii="Verdana" w:eastAsia="Calibri" w:hAnsi="Verdana" w:cs="Arial"/>
          <w:i/>
          <w:iCs/>
          <w:color w:val="000000" w:themeColor="text1"/>
          <w:lang w:eastAsia="es-ES"/>
        </w:rPr>
        <w:t xml:space="preserve">donde la norma no distingue, no le </w:t>
      </w:r>
      <w:r w:rsidRPr="007B743D">
        <w:rPr>
          <w:rFonts w:ascii="Verdana" w:eastAsia="Calibri" w:hAnsi="Verdana" w:cs="Arial"/>
          <w:i/>
          <w:iCs/>
          <w:color w:val="000000" w:themeColor="text1"/>
          <w:lang w:eastAsia="es-ES"/>
        </w:rPr>
        <w:lastRenderedPageBreak/>
        <w:t>corresponde distinguir al intérprete,</w:t>
      </w:r>
      <w:r w:rsidRPr="007B743D">
        <w:rPr>
          <w:rFonts w:ascii="Verdana" w:eastAsia="Calibri" w:hAnsi="Verdana" w:cs="Arial"/>
          <w:color w:val="000000" w:themeColor="text1"/>
          <w:lang w:eastAsia="es-ES"/>
        </w:rPr>
        <w:t xml:space="preserve"> no resulta viable concluir que es posible la aplicación de un régimen distinto al del EGCAP. Esta regla cobra particular relevancia por el carácter público de los recursos, en los que se impone garantizar</w:t>
      </w:r>
      <w:r w:rsidRPr="007B743D">
        <w:t xml:space="preserve"> </w:t>
      </w:r>
      <w:r w:rsidRPr="007B743D">
        <w:rPr>
          <w:rFonts w:ascii="Verdana" w:eastAsia="Calibri" w:hAnsi="Verdana" w:cs="Arial"/>
          <w:color w:val="000000" w:themeColor="text1"/>
          <w:lang w:eastAsia="es-ES"/>
        </w:rPr>
        <w:t xml:space="preserve">la eficiencia, transparencia y responsabilidad en la gestión del gasto público.  </w:t>
      </w:r>
    </w:p>
    <w:p w14:paraId="4FA16231"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En este sentido, con base en la lectura literal y sistemática de las disposiciones contenidas en la Ley 2056 de 2020, así como la aplicación de principios generales del derecho, se colige que la remisión al EGCAP que se consagra en el artículo 37 de la Ley 2056 de 2020 debe entenderse como una disposición con efectos jurídicos y no meramente referencial, lo que significa que somete a todas las entidades ejecutoras, sin distinción de su naturaleza jurídica o régimen de contratación, a la aplicación del EGCAP para la contratación con recursos con cargo al SGR. </w:t>
      </w:r>
    </w:p>
    <w:p w14:paraId="7D40C3C5"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Adicionalmente, resulta pertinente indicar que el hecho de que el parágrafo primero del artículo 37 de la Ley 2056 de 2020 haga referencia a “las demás normas legales aplicables” no puede interpretarse como una exclusión de la remisión expresa que realiza al EGCAP. En otras palabras, dicha inclusión no niega que hay una remisión expresa y prevalente al EGCAP. Por el contrario, debe entenderse como una manifestación clara de la voluntad del legislador de establecer un marco normativo específico para la ejecución de los recursos del SGR, sin que ello implique desconocer o derogar de manera general los regímenes de contratación propios de las entidades que tienen regímenes especiales.</w:t>
      </w:r>
    </w:p>
    <w:p w14:paraId="38A351D4"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Por lo tanto, lejos de generar una contradicción normativa, la remisión al EGCAP debe entenderse como una disposición especial y prevalente frente a la aplicación de otras normas contractuales, y como un instrumento para garantizar la unidad, el control y la eficiencia en el manejo de los recursos del Sistema General de Regalías.</w:t>
      </w:r>
    </w:p>
    <w:p w14:paraId="6C871631"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A lo anterior debe agregarse que en este marco también cobra relevancia el principio de hermenéutica jurídica del efecto útil de las normas, conforme al cual “debe preferir la interpretación que permita dotarlas de sentido y eficacia, frente a otra u otras que lo impidan”</w:t>
      </w:r>
      <w:r w:rsidRPr="007B743D">
        <w:rPr>
          <w:rFonts w:ascii="Verdana" w:eastAsia="Calibri" w:hAnsi="Verdana" w:cs="Arial"/>
          <w:color w:val="000000" w:themeColor="text1"/>
          <w:vertAlign w:val="superscript"/>
          <w:lang w:eastAsia="es-ES"/>
        </w:rPr>
        <w:footnoteReference w:id="8"/>
      </w:r>
      <w:r w:rsidRPr="007B743D">
        <w:rPr>
          <w:rFonts w:ascii="Verdana" w:eastAsia="Calibri" w:hAnsi="Verdana" w:cs="Arial"/>
          <w:color w:val="000000" w:themeColor="text1"/>
          <w:lang w:eastAsia="es-ES"/>
        </w:rPr>
        <w:t xml:space="preserve">, es decir, que su aplicación y efectividad </w:t>
      </w:r>
      <w:r w:rsidRPr="007B743D">
        <w:rPr>
          <w:rFonts w:ascii="Verdana" w:eastAsia="Calibri" w:hAnsi="Verdana" w:cs="Arial"/>
          <w:color w:val="000000" w:themeColor="text1"/>
          <w:lang w:eastAsia="es-ES"/>
        </w:rPr>
        <w:lastRenderedPageBreak/>
        <w:t>debe estar ligada al propósito para el cual fueron promulgadas. En este sentido, desconocer la aplicación del EGCAP en el marco de la Ley 2056 de 2020 implicaría privar de eficacia la remisión expresa que esta ley establece en materia de contratación pública, contrariando tanto su tenor literal como su finalidad normativa. En este caso, la voluntad del legislador ha sido la de establecer mecanismos que garanticen la transparencia, eficiencia y control en la ejecución de los recursos del SGR mediante la aplicación del EGCAP, lo cual se refleja no solo en la redacción del articulado, sino también en los antecedentes legislativos que dieron lugar a su expedición</w:t>
      </w:r>
      <w:r w:rsidRPr="007B743D">
        <w:rPr>
          <w:rFonts w:ascii="Verdana" w:eastAsia="Calibri" w:hAnsi="Verdana" w:cs="Arial"/>
          <w:color w:val="000000" w:themeColor="text1"/>
          <w:vertAlign w:val="superscript"/>
          <w:lang w:eastAsia="es-ES"/>
        </w:rPr>
        <w:footnoteReference w:id="9"/>
      </w:r>
      <w:r w:rsidRPr="007B743D">
        <w:rPr>
          <w:rFonts w:ascii="Verdana" w:eastAsia="Calibri" w:hAnsi="Verdana" w:cs="Arial"/>
          <w:color w:val="000000" w:themeColor="text1"/>
          <w:lang w:eastAsia="es-ES"/>
        </w:rPr>
        <w:t>.</w:t>
      </w:r>
    </w:p>
    <w:p w14:paraId="156B5063"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De acuerdo con lo señalado, el legislador optó claramente por un criterio funcional o finalista, según el cual el régimen de contratación aplicable se determina por el origen de los recursos públicos y no por la naturaleza orgánica de la entidad ejecutora. Este enfoque parte de la premisa de que los recursos públicos de regalías deben estar sometidos a un marco normativo concreto. De esta forma, el legislador privilegia la naturaleza pública de recursos de regalías como criterio rector, por encima de cualquier particularidad orgánica o régimen especial que pudiera ostentar la entidad ejecutora. Esto se refuerza con el hecho de que la norma no hace ninguna distinción respecto de la ejecución de recurso por parte las entidades con régimen especial. </w:t>
      </w:r>
    </w:p>
    <w:p w14:paraId="50F79FBC"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Finalmente, resulta indispensable precisar que la remisión al EGCAP de la ejecución de los proyectos financiados con recursos de regalías no implica una alteración estructural del régimen especial de las entidades ejecutoras ni desconoce las normas que lo regulan. Tal y como se ha expuesto, la interpretación literal, sistemática y teleológica de la norma, armonizada con el principio general del </w:t>
      </w:r>
      <w:r w:rsidRPr="007B743D">
        <w:rPr>
          <w:rFonts w:ascii="Verdana" w:eastAsia="Calibri" w:hAnsi="Verdana" w:cs="Arial"/>
          <w:i/>
          <w:iCs/>
          <w:color w:val="000000" w:themeColor="text1"/>
          <w:lang w:eastAsia="es-ES"/>
        </w:rPr>
        <w:t>efecto útil</w:t>
      </w:r>
      <w:r w:rsidRPr="007B743D">
        <w:rPr>
          <w:rFonts w:ascii="Verdana" w:eastAsia="Calibri" w:hAnsi="Verdana" w:cs="Arial"/>
          <w:color w:val="000000" w:themeColor="text1"/>
          <w:lang w:eastAsia="es-ES"/>
        </w:rPr>
        <w:t xml:space="preserve">, conduce a concluir que cuando estas entidades actúan en calidad de ejecutoras en el marco de la Ley 2056 de 2020, deben sujetarse al EGCAP. </w:t>
      </w:r>
    </w:p>
    <w:p w14:paraId="46B7CADC"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 xml:space="preserve">Este régimen particular no sustituye ni deroga el régimen especial de contratación al que está sujeta la entidad ejecutora, pero sí superpone </w:t>
      </w:r>
      <w:r w:rsidRPr="007B743D">
        <w:rPr>
          <w:rFonts w:ascii="Verdana" w:eastAsia="Calibri" w:hAnsi="Verdana" w:cs="Arial"/>
          <w:color w:val="000000" w:themeColor="text1"/>
          <w:lang w:eastAsia="es-ES"/>
        </w:rPr>
        <w:lastRenderedPageBreak/>
        <w:t>válidamente un conjunto de reglas especiales aplicables de manera preferente respecto de los contratos financiados con recursos de regalías, porque la Ley 2056 de 2020 contiene disposiciones específicas que regulan un aspecto puntual. En ese contexto, la remisión al régimen de contratación pública contenida en el artículo 37, y reiterada en otras disposiciones de la ley, despliega un efecto de aplicación preferente, no solo por su especialidad temática, sino también por su carácter imperativo y por estar dirigida a una función específica que es la ejecución de proyectos con recursos de regalías.</w:t>
      </w:r>
    </w:p>
    <w:p w14:paraId="13EE326A" w14:textId="77777777" w:rsidR="001C46F1" w:rsidRPr="007B743D" w:rsidRDefault="001C46F1" w:rsidP="001C46F1">
      <w:pPr>
        <w:spacing w:after="120" w:line="276" w:lineRule="auto"/>
        <w:ind w:firstLine="709"/>
        <w:jc w:val="both"/>
        <w:rPr>
          <w:rFonts w:ascii="Verdana" w:eastAsia="Calibri" w:hAnsi="Verdana" w:cs="Arial"/>
          <w:color w:val="000000" w:themeColor="text1"/>
          <w:lang w:eastAsia="es-ES"/>
        </w:rPr>
      </w:pPr>
      <w:r w:rsidRPr="007B743D">
        <w:rPr>
          <w:rFonts w:ascii="Verdana" w:eastAsia="Calibri" w:hAnsi="Verdana" w:cs="Arial"/>
          <w:color w:val="000000" w:themeColor="text1"/>
          <w:lang w:eastAsia="es-ES"/>
        </w:rPr>
        <w:t>Debido a que esta remisión normativa no es una mera referencia indicativa sino que tiene pleno efectos jurídicos, impone la aplicación de régimen de contratación específico en virtud del principio de especialidad y de legalidad. Es decir, mientras actúan como ejecutoras del SGR, dichas entidades deben sujetarse al régimen previsto en la Ley 2056, incluyendo su remisión expresa al EGCAP, sin que ello implique una derogatoria general de su régimen contractual ordinario.</w:t>
      </w:r>
    </w:p>
    <w:p w14:paraId="3410D3D7" w14:textId="77777777" w:rsidR="001C46F1" w:rsidRPr="007B743D" w:rsidRDefault="001C46F1" w:rsidP="001C46F1">
      <w:pPr>
        <w:spacing w:after="120" w:line="276" w:lineRule="auto"/>
        <w:ind w:firstLine="709"/>
        <w:jc w:val="both"/>
        <w:rPr>
          <w:rFonts w:ascii="Verdana" w:eastAsia="Calibri" w:hAnsi="Verdana" w:cs="Arial"/>
        </w:rPr>
      </w:pPr>
      <w:r w:rsidRPr="007B743D">
        <w:rPr>
          <w:rFonts w:ascii="Verdana" w:eastAsia="Calibri" w:hAnsi="Verdana" w:cs="Arial"/>
          <w:color w:val="000000" w:themeColor="text1"/>
          <w:lang w:eastAsia="es-ES"/>
        </w:rPr>
        <w:t xml:space="preserve">En este contexto, se enfatiza en que la aplicación del EGCAP para la ejecución de recursos de regalías conforme lo dispone el parágrafo 1 del artículo 37 de la Ley 2056 de 2020 no desconoce lo dispuesto en </w:t>
      </w:r>
      <w:r w:rsidRPr="007B743D">
        <w:rPr>
          <w:rFonts w:ascii="Verdana" w:eastAsia="Calibri" w:hAnsi="Verdana" w:cs="Arial"/>
        </w:rPr>
        <w:t xml:space="preserve">los artículos 57, 93 y 94 de la Ley 30 de 1992, así como tampoco altera o modifica el régimen de contratación especial de las universidades públicas. Sin embargo, debido a que la Ley 2056 de 2020 es una norma especial y posterior, puede válidamente establecer reglas contractuales diferenciadas para determinados tipos de recursos, sin que ello afecte la estructura general del régimen contractual aplicable a las entidades. </w:t>
      </w:r>
    </w:p>
    <w:p w14:paraId="049BB5F4" w14:textId="77777777" w:rsidR="001C46F1" w:rsidRPr="007B743D" w:rsidRDefault="001C46F1" w:rsidP="001C46F1">
      <w:pPr>
        <w:spacing w:after="120" w:line="276" w:lineRule="auto"/>
        <w:ind w:firstLine="709"/>
        <w:jc w:val="both"/>
        <w:rPr>
          <w:rFonts w:ascii="Verdana" w:eastAsiaTheme="minorEastAsia" w:hAnsi="Verdana" w:cs="Arial"/>
          <w:spacing w:val="-9"/>
          <w:szCs w:val="24"/>
          <w:lang w:eastAsia="es-CO"/>
        </w:rPr>
      </w:pPr>
      <w:r w:rsidRPr="007B743D">
        <w:rPr>
          <w:rFonts w:ascii="Verdana" w:hAnsi="Verdana" w:cs="Arial"/>
          <w:lang w:eastAsia="es-ES"/>
        </w:rPr>
        <w:t>Así las cosas, al margen de la postura de la ANCP – CCE en torno a</w:t>
      </w:r>
      <w:r w:rsidRPr="007B743D">
        <w:rPr>
          <w:rFonts w:ascii="Verdana" w:eastAsia="Calibri" w:hAnsi="Verdana" w:cs="Arial"/>
          <w:color w:val="000000"/>
          <w:lang w:val="es-ES" w:eastAsia="es-ES"/>
        </w:rPr>
        <w:t xml:space="preserve">l régimen de contratación aplicable a la ejecución de proyectos financiados con recursos del Sistema General de Regalías -SGR, se reitera que los conceptos emitidos por esta Subdirección en el marco de la función consultiva </w:t>
      </w:r>
      <w:bookmarkStart w:id="1" w:name="_Hlk200718672"/>
      <w:r w:rsidRPr="007B743D">
        <w:rPr>
          <w:rFonts w:ascii="Verdana" w:eastAsia="Calibri" w:hAnsi="Verdana" w:cs="Arial"/>
          <w:color w:val="000000"/>
          <w:lang w:val="es-ES" w:eastAsia="es-ES"/>
        </w:rPr>
        <w:t>representan</w:t>
      </w:r>
      <w:r w:rsidRPr="007B743D">
        <w:rPr>
          <w:rFonts w:ascii="Verdana" w:hAnsi="Verdana" w:cs="Arial"/>
          <w:lang w:eastAsia="es-ES"/>
        </w:rPr>
        <w:t xml:space="preserve"> una </w:t>
      </w:r>
      <w:r w:rsidRPr="007B743D">
        <w:rPr>
          <w:rFonts w:ascii="Verdana" w:eastAsia="Calibri" w:hAnsi="Verdana" w:cs="Arial"/>
          <w:bCs/>
          <w:lang w:val="es-ES_tradnl"/>
        </w:rPr>
        <w:t>posición hermenéutica respecto a las disposiciones normativas del Sistema de Compras Públicas,</w:t>
      </w:r>
      <w:r w:rsidRPr="007B743D">
        <w:rPr>
          <w:rFonts w:ascii="Verdana" w:hAnsi="Verdana" w:cs="Arial"/>
          <w:lang w:eastAsia="es-ES"/>
        </w:rPr>
        <w:t xml:space="preserve"> </w:t>
      </w:r>
      <w:bookmarkStart w:id="2" w:name="_Hlk42100007"/>
      <w:r w:rsidRPr="007B743D">
        <w:rPr>
          <w:rFonts w:ascii="Verdana" w:hAnsi="Verdana" w:cs="Arial"/>
          <w:lang w:eastAsia="es-ES"/>
        </w:rPr>
        <w:t xml:space="preserve">que </w:t>
      </w:r>
      <w:r w:rsidRPr="007B743D">
        <w:rPr>
          <w:rFonts w:ascii="Verdana" w:eastAsia="Calibri" w:hAnsi="Verdana" w:cs="Arial"/>
          <w:bCs/>
          <w:lang w:val="es-ES_tradnl"/>
        </w:rPr>
        <w:t xml:space="preserve">no tienen efectos vinculantes </w:t>
      </w:r>
      <w:bookmarkEnd w:id="1"/>
      <w:r w:rsidRPr="007B743D">
        <w:rPr>
          <w:rFonts w:ascii="Verdana" w:eastAsia="Calibri" w:hAnsi="Verdana" w:cs="Arial"/>
          <w:bCs/>
          <w:lang w:val="es-ES_tradnl"/>
        </w:rPr>
        <w:t>en relación con una situación jurídica particular y concreta, y exponen un criterio que, aunque jurídicamente fundamentado, no representan la única interpretación válida del ordenamiento jurídico.</w:t>
      </w:r>
      <w:bookmarkEnd w:id="2"/>
      <w:r w:rsidRPr="007B743D">
        <w:rPr>
          <w:rFonts w:ascii="Verdana" w:eastAsiaTheme="minorEastAsia" w:hAnsi="Verdana" w:cs="Arial"/>
          <w:szCs w:val="24"/>
          <w:lang w:eastAsia="es-CO"/>
        </w:rPr>
        <w:t xml:space="preserve"> De este modo, las autoridades que ejercen funciones consultivas pueden expresar su</w:t>
      </w:r>
      <w:r w:rsidRPr="007B743D">
        <w:rPr>
          <w:rFonts w:ascii="Verdana" w:eastAsiaTheme="minorEastAsia" w:hAnsi="Verdana" w:cs="Arial"/>
          <w:spacing w:val="1"/>
          <w:szCs w:val="24"/>
          <w:lang w:eastAsia="es-CO"/>
        </w:rPr>
        <w:t xml:space="preserve"> </w:t>
      </w:r>
      <w:r w:rsidRPr="007B743D">
        <w:rPr>
          <w:rFonts w:ascii="Verdana" w:eastAsiaTheme="minorEastAsia" w:hAnsi="Verdana" w:cs="Arial"/>
          <w:szCs w:val="24"/>
          <w:lang w:eastAsia="es-CO"/>
        </w:rPr>
        <w:t xml:space="preserve">interpretación de un precepto normativo, que no excluye otras interpretaciones posibles, pues el derecho, como sistema </w:t>
      </w:r>
      <w:r w:rsidRPr="007B743D">
        <w:rPr>
          <w:rFonts w:ascii="Verdana" w:eastAsiaTheme="minorEastAsia" w:hAnsi="Verdana" w:cs="Arial"/>
          <w:szCs w:val="24"/>
          <w:lang w:eastAsia="es-CO"/>
        </w:rPr>
        <w:lastRenderedPageBreak/>
        <w:t>normativo, es un lenguaje que, en ocasiones, se tiñe de vaguedad, en</w:t>
      </w:r>
      <w:r w:rsidRPr="007B743D">
        <w:rPr>
          <w:rFonts w:ascii="Verdana" w:eastAsiaTheme="minorEastAsia" w:hAnsi="Verdana" w:cs="Arial"/>
          <w:spacing w:val="1"/>
          <w:szCs w:val="24"/>
          <w:lang w:eastAsia="es-CO"/>
        </w:rPr>
        <w:t xml:space="preserve"> </w:t>
      </w:r>
      <w:r w:rsidRPr="007B743D">
        <w:rPr>
          <w:rFonts w:ascii="Verdana" w:eastAsiaTheme="minorEastAsia" w:hAnsi="Verdana" w:cs="Arial"/>
          <w:szCs w:val="24"/>
          <w:lang w:eastAsia="es-CO"/>
        </w:rPr>
        <w:t>virtud</w:t>
      </w:r>
      <w:r w:rsidRPr="007B743D">
        <w:rPr>
          <w:rFonts w:ascii="Verdana" w:eastAsiaTheme="minorEastAsia" w:hAnsi="Verdana" w:cs="Arial"/>
          <w:spacing w:val="-10"/>
          <w:szCs w:val="24"/>
          <w:lang w:eastAsia="es-CO"/>
        </w:rPr>
        <w:t xml:space="preserve"> </w:t>
      </w:r>
      <w:r w:rsidRPr="007B743D">
        <w:rPr>
          <w:rFonts w:ascii="Verdana" w:eastAsiaTheme="minorEastAsia" w:hAnsi="Verdana" w:cs="Arial"/>
          <w:szCs w:val="24"/>
          <w:lang w:eastAsia="es-CO"/>
        </w:rPr>
        <w:t>de</w:t>
      </w:r>
      <w:r w:rsidRPr="007B743D">
        <w:rPr>
          <w:rFonts w:ascii="Verdana" w:eastAsiaTheme="minorEastAsia" w:hAnsi="Verdana" w:cs="Arial"/>
          <w:spacing w:val="-9"/>
          <w:szCs w:val="24"/>
          <w:lang w:eastAsia="es-CO"/>
        </w:rPr>
        <w:t xml:space="preserve"> </w:t>
      </w:r>
      <w:r w:rsidRPr="007B743D">
        <w:rPr>
          <w:rFonts w:ascii="Verdana" w:eastAsiaTheme="minorEastAsia" w:hAnsi="Verdana" w:cs="Arial"/>
          <w:szCs w:val="24"/>
          <w:lang w:eastAsia="es-CO"/>
        </w:rPr>
        <w:t>la</w:t>
      </w:r>
      <w:r w:rsidRPr="007B743D">
        <w:rPr>
          <w:rFonts w:ascii="Verdana" w:eastAsiaTheme="minorEastAsia" w:hAnsi="Verdana" w:cs="Arial"/>
          <w:spacing w:val="-9"/>
          <w:szCs w:val="24"/>
          <w:lang w:eastAsia="es-CO"/>
        </w:rPr>
        <w:t xml:space="preserve"> </w:t>
      </w:r>
      <w:r w:rsidRPr="007B743D">
        <w:rPr>
          <w:rFonts w:ascii="Verdana" w:eastAsiaTheme="minorEastAsia" w:hAnsi="Verdana" w:cs="Arial"/>
          <w:szCs w:val="24"/>
          <w:lang w:eastAsia="es-CO"/>
        </w:rPr>
        <w:t>utilización</w:t>
      </w:r>
      <w:r w:rsidRPr="007B743D">
        <w:rPr>
          <w:rFonts w:ascii="Verdana" w:eastAsiaTheme="minorEastAsia" w:hAnsi="Verdana" w:cs="Arial"/>
          <w:spacing w:val="-9"/>
          <w:szCs w:val="24"/>
          <w:lang w:eastAsia="es-CO"/>
        </w:rPr>
        <w:t xml:space="preserve"> </w:t>
      </w:r>
      <w:r w:rsidRPr="007B743D">
        <w:rPr>
          <w:rFonts w:ascii="Verdana" w:eastAsiaTheme="minorEastAsia" w:hAnsi="Verdana" w:cs="Arial"/>
          <w:szCs w:val="24"/>
          <w:lang w:eastAsia="es-CO"/>
        </w:rPr>
        <w:t>de</w:t>
      </w:r>
      <w:r w:rsidRPr="007B743D">
        <w:rPr>
          <w:rFonts w:ascii="Verdana" w:eastAsiaTheme="minorEastAsia" w:hAnsi="Verdana" w:cs="Arial"/>
          <w:spacing w:val="-9"/>
          <w:szCs w:val="24"/>
          <w:lang w:eastAsia="es-CO"/>
        </w:rPr>
        <w:t xml:space="preserve"> </w:t>
      </w:r>
      <w:r w:rsidRPr="007B743D">
        <w:rPr>
          <w:rFonts w:ascii="Verdana" w:eastAsiaTheme="minorEastAsia" w:hAnsi="Verdana" w:cs="Arial"/>
          <w:szCs w:val="24"/>
          <w:lang w:eastAsia="es-CO"/>
        </w:rPr>
        <w:t>conceptos</w:t>
      </w:r>
      <w:r w:rsidRPr="007B743D">
        <w:rPr>
          <w:rFonts w:ascii="Verdana" w:eastAsiaTheme="minorEastAsia" w:hAnsi="Verdana" w:cs="Arial"/>
          <w:spacing w:val="-10"/>
          <w:szCs w:val="24"/>
          <w:lang w:eastAsia="es-CO"/>
        </w:rPr>
        <w:t xml:space="preserve"> </w:t>
      </w:r>
      <w:r w:rsidRPr="007B743D">
        <w:rPr>
          <w:rFonts w:ascii="Verdana" w:eastAsiaTheme="minorEastAsia" w:hAnsi="Verdana" w:cs="Arial"/>
          <w:szCs w:val="24"/>
          <w:lang w:eastAsia="es-CO"/>
        </w:rPr>
        <w:t>jurídicos</w:t>
      </w:r>
      <w:r w:rsidRPr="007B743D">
        <w:rPr>
          <w:rFonts w:ascii="Verdana" w:eastAsiaTheme="minorEastAsia" w:hAnsi="Verdana" w:cs="Arial"/>
          <w:spacing w:val="-9"/>
          <w:szCs w:val="24"/>
          <w:lang w:eastAsia="es-CO"/>
        </w:rPr>
        <w:t xml:space="preserve"> </w:t>
      </w:r>
      <w:r w:rsidRPr="007B743D">
        <w:rPr>
          <w:rFonts w:ascii="Verdana" w:eastAsiaTheme="minorEastAsia" w:hAnsi="Verdana" w:cs="Arial"/>
          <w:szCs w:val="24"/>
          <w:lang w:eastAsia="es-CO"/>
        </w:rPr>
        <w:t>indeterminados.</w:t>
      </w:r>
      <w:r w:rsidRPr="007B743D">
        <w:rPr>
          <w:rFonts w:ascii="Verdana" w:eastAsiaTheme="minorEastAsia" w:hAnsi="Verdana" w:cs="Arial"/>
          <w:spacing w:val="-9"/>
          <w:szCs w:val="24"/>
          <w:lang w:eastAsia="es-CO"/>
        </w:rPr>
        <w:t xml:space="preserve"> </w:t>
      </w:r>
    </w:p>
    <w:p w14:paraId="649FF2C2" w14:textId="77777777" w:rsidR="001C46F1" w:rsidRPr="007B743D" w:rsidRDefault="001C46F1" w:rsidP="001C46F1">
      <w:pPr>
        <w:spacing w:after="120" w:line="276" w:lineRule="auto"/>
        <w:ind w:firstLine="709"/>
        <w:jc w:val="both"/>
        <w:rPr>
          <w:rFonts w:ascii="Verdana" w:hAnsi="Verdana" w:cs="Arial"/>
          <w:lang w:eastAsia="es-ES"/>
        </w:rPr>
      </w:pPr>
      <w:r w:rsidRPr="007B743D">
        <w:rPr>
          <w:rFonts w:ascii="Verdana" w:hAnsi="Verdana" w:cs="Arial"/>
          <w:lang w:eastAsia="es-ES"/>
        </w:rPr>
        <w:t xml:space="preserve">Por consiguiente, debe advertirse que el llamado a emitir lineamientos respecto a </w:t>
      </w:r>
      <w:r w:rsidRPr="007B743D">
        <w:rPr>
          <w:rFonts w:ascii="Verdana" w:eastAsia="Calibri" w:hAnsi="Verdana" w:cs="Arial"/>
          <w:bCs/>
          <w:color w:val="000000" w:themeColor="text1"/>
        </w:rPr>
        <w:t>los proyectos adelantados con cargo al Sistema General de Regalías</w:t>
      </w:r>
      <w:r w:rsidRPr="007B743D">
        <w:rPr>
          <w:rFonts w:ascii="Verdana" w:hAnsi="Verdana" w:cs="Arial"/>
          <w:lang w:eastAsia="es-ES"/>
        </w:rPr>
        <w:t xml:space="preserve"> debe ser realizado por el Departamento Nacional de Planeación</w:t>
      </w:r>
      <w:r w:rsidRPr="007B743D">
        <w:rPr>
          <w:rFonts w:ascii="Verdana" w:eastAsia="Calibri" w:hAnsi="Verdana" w:cs="Arial"/>
          <w:color w:val="000000"/>
          <w:lang w:val="es-ES" w:eastAsia="es-ES"/>
        </w:rPr>
        <w:t xml:space="preserve">, el cual tiene a su cargo el deber de </w:t>
      </w:r>
      <w:r w:rsidRPr="007B743D">
        <w:rPr>
          <w:rFonts w:ascii="Verdana" w:eastAsia="Calibri" w:hAnsi="Verdana" w:cs="Arial"/>
          <w:color w:val="000000"/>
          <w:lang w:eastAsia="es-ES"/>
        </w:rPr>
        <w:t xml:space="preserve">impartir las directrices jurídicas y adoptar los instrumentos para la interpretación y aplicación de las normas por parte de las dependencias y demás organismos y entidades del Estado y de establecer criterios de interpretación legal de última instancia, así como fijar la posición jurídica institucional del Departamento Nacional de Planeación y de las normas legales relacionadas con el Sistema General de Regalías, de </w:t>
      </w:r>
      <w:r w:rsidRPr="007B743D">
        <w:rPr>
          <w:rFonts w:ascii="Verdana" w:eastAsia="Calibri" w:hAnsi="Verdana" w:cs="Arial"/>
          <w:color w:val="000000"/>
          <w:lang w:val="es-ES" w:eastAsia="es-ES"/>
        </w:rPr>
        <w:t xml:space="preserve">conformidad con lo señalado en los numeral 2 y 3 del artículo 8 del Decreto 1893 de 2021. </w:t>
      </w:r>
    </w:p>
    <w:p w14:paraId="6730E141" w14:textId="77777777" w:rsidR="001C46F1" w:rsidRDefault="001C46F1" w:rsidP="001C46F1">
      <w:pPr>
        <w:spacing w:after="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r w:rsidRPr="00122E59">
        <w:t xml:space="preserve"> </w:t>
      </w:r>
    </w:p>
    <w:p w14:paraId="593E6037" w14:textId="77777777" w:rsidR="001C46F1" w:rsidRDefault="001C46F1" w:rsidP="001C46F1">
      <w:pPr>
        <w:pStyle w:val="Sinespaciado"/>
        <w:spacing w:line="276" w:lineRule="auto"/>
        <w:jc w:val="both"/>
        <w:rPr>
          <w:rFonts w:ascii="Verdana" w:hAnsi="Verdana" w:cs="Arial"/>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48FE0382" w14:textId="77777777" w:rsidR="001C46F1" w:rsidRPr="0015699B" w:rsidRDefault="001C46F1" w:rsidP="001C46F1">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53D970C9" w14:textId="77777777" w:rsidR="001C46F1" w:rsidRPr="0015699B" w:rsidRDefault="001C46F1" w:rsidP="001C46F1">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57C8B1B3" w14:textId="77777777" w:rsidR="001C46F1" w:rsidRPr="0015699B" w:rsidRDefault="001C46F1" w:rsidP="001C46F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1C46F1" w14:paraId="3EB9F3D9" w14:textId="77777777" w:rsidTr="009C74BD">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49560255" w14:textId="77777777" w:rsidR="001C46F1" w:rsidRPr="00B4091A" w:rsidRDefault="001C46F1" w:rsidP="001C46F1">
            <w:pPr>
              <w:pStyle w:val="Prrafodelista"/>
              <w:widowControl w:val="0"/>
              <w:numPr>
                <w:ilvl w:val="0"/>
                <w:numId w:val="17"/>
              </w:numPr>
              <w:autoSpaceDE w:val="0"/>
              <w:autoSpaceDN w:val="0"/>
              <w:snapToGrid w:val="0"/>
              <w:spacing w:after="120" w:line="256" w:lineRule="auto"/>
              <w:jc w:val="both"/>
              <w:rPr>
                <w:rFonts w:ascii="Verdana" w:hAnsi="Verdana" w:cs="Arial"/>
              </w:rPr>
            </w:pPr>
            <w:r w:rsidRPr="00B4091A">
              <w:rPr>
                <w:rFonts w:ascii="Verdana" w:hAnsi="Verdana" w:cs="Arial"/>
              </w:rPr>
              <w:t xml:space="preserve">Constitución Política de 1991, artículos 360 y 361. </w:t>
            </w:r>
          </w:p>
          <w:p w14:paraId="03A45CB6" w14:textId="77777777" w:rsidR="001C46F1" w:rsidRPr="00B4091A" w:rsidRDefault="001C46F1" w:rsidP="001C46F1">
            <w:pPr>
              <w:pStyle w:val="Prrafodelista"/>
              <w:widowControl w:val="0"/>
              <w:numPr>
                <w:ilvl w:val="0"/>
                <w:numId w:val="17"/>
              </w:numPr>
              <w:autoSpaceDE w:val="0"/>
              <w:autoSpaceDN w:val="0"/>
              <w:snapToGrid w:val="0"/>
              <w:spacing w:after="120" w:line="256" w:lineRule="auto"/>
              <w:jc w:val="both"/>
              <w:rPr>
                <w:rFonts w:ascii="Verdana" w:hAnsi="Verdana" w:cs="Arial"/>
              </w:rPr>
            </w:pPr>
            <w:r w:rsidRPr="00B4091A">
              <w:rPr>
                <w:rFonts w:ascii="Verdana" w:hAnsi="Verdana" w:cs="Arial"/>
              </w:rPr>
              <w:t>Ley 2056 de 2020, artículos 28 a 37, 83, 87, 98, 99, 101, 108 y 109</w:t>
            </w:r>
          </w:p>
          <w:p w14:paraId="53855FD3" w14:textId="77777777" w:rsidR="001C46F1" w:rsidRPr="00A24BA3" w:rsidRDefault="001C46F1" w:rsidP="001C46F1">
            <w:pPr>
              <w:pStyle w:val="Prrafodelista"/>
              <w:numPr>
                <w:ilvl w:val="0"/>
                <w:numId w:val="17"/>
              </w:numPr>
              <w:spacing w:line="276" w:lineRule="auto"/>
              <w:jc w:val="both"/>
              <w:rPr>
                <w:rFonts w:ascii="Verdana" w:eastAsia="Verdana" w:hAnsi="Verdana" w:cs="Verdana"/>
                <w:lang w:val="es"/>
              </w:rPr>
            </w:pPr>
            <w:r w:rsidRPr="00B4091A">
              <w:rPr>
                <w:rFonts w:ascii="Verdana" w:hAnsi="Verdana" w:cs="Arial"/>
              </w:rPr>
              <w:t>Consejo De Estado. Sección tercera. Sentencia del 7 de marzo de 2025. Radicación No.69.941. C.P: José Roberto Sáchica.</w:t>
            </w:r>
          </w:p>
        </w:tc>
      </w:tr>
    </w:tbl>
    <w:p w14:paraId="7ECCAFA2" w14:textId="77777777" w:rsidR="001C46F1" w:rsidRPr="0015699B" w:rsidRDefault="001C46F1" w:rsidP="001C46F1">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0D7AD7F6" w14:textId="77777777" w:rsidR="001C46F1" w:rsidRPr="003D5882" w:rsidRDefault="001C46F1" w:rsidP="001C46F1">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lastRenderedPageBreak/>
        <w:t>Doctrina de la Agencia Nacional de Contratación Pública:</w:t>
      </w:r>
    </w:p>
    <w:p w14:paraId="3CBBA074" w14:textId="77777777" w:rsidR="001C46F1" w:rsidRPr="003D5882" w:rsidRDefault="001C46F1" w:rsidP="001C46F1">
      <w:pPr>
        <w:pStyle w:val="Prrafodelista"/>
        <w:spacing w:before="1" w:after="0" w:line="240" w:lineRule="auto"/>
        <w:jc w:val="both"/>
        <w:textAlignment w:val="baseline"/>
        <w:rPr>
          <w:rFonts w:ascii="Verdana" w:eastAsia="Verdana" w:hAnsi="Verdana" w:cs="Verdana"/>
          <w:b/>
          <w:bCs/>
          <w:lang w:val="es"/>
        </w:rPr>
      </w:pPr>
    </w:p>
    <w:p w14:paraId="050762CD" w14:textId="77777777" w:rsidR="001C46F1" w:rsidRPr="005510A2" w:rsidRDefault="001C46F1" w:rsidP="001C46F1">
      <w:pPr>
        <w:spacing w:after="0" w:line="276" w:lineRule="auto"/>
        <w:jc w:val="both"/>
        <w:rPr>
          <w:rStyle w:val="normaltextrun"/>
          <w:rFonts w:ascii="Verdana" w:hAnsi="Verdana" w:cs="Arial"/>
          <w:bCs/>
          <w:shd w:val="clear" w:color="auto" w:fill="FFFFFF"/>
        </w:rPr>
      </w:pPr>
      <w:r w:rsidRPr="007B743D">
        <w:rPr>
          <w:rFonts w:ascii="Verdana" w:hAnsi="Verdana" w:cs="Arial"/>
          <w:shd w:val="clear" w:color="auto" w:fill="FFFFFF"/>
        </w:rPr>
        <w:t xml:space="preserve">Esta Subdirección se ha pronunciado sobre el régimen de contratación de las entidades </w:t>
      </w:r>
      <w:r>
        <w:rPr>
          <w:rFonts w:ascii="Verdana" w:hAnsi="Verdana" w:cs="Arial"/>
          <w:shd w:val="clear" w:color="auto" w:fill="FFFFFF"/>
        </w:rPr>
        <w:t>públicas</w:t>
      </w:r>
      <w:r w:rsidRPr="007B743D">
        <w:rPr>
          <w:rFonts w:ascii="Verdana" w:hAnsi="Verdana" w:cs="Arial"/>
          <w:shd w:val="clear" w:color="auto" w:fill="FFFFFF"/>
        </w:rPr>
        <w:t xml:space="preserve"> cuando ejecutan recursos del SGR en los </w:t>
      </w:r>
      <w:r w:rsidRPr="007B743D">
        <w:rPr>
          <w:rFonts w:ascii="Verdana" w:hAnsi="Verdana" w:cs="Arial"/>
        </w:rPr>
        <w:t>C-370 del 2021,</w:t>
      </w:r>
      <w:r w:rsidRPr="007B743D">
        <w:rPr>
          <w:rFonts w:ascii="Verdana" w:hAnsi="Verdana" w:cs="Arial"/>
          <w:shd w:val="clear" w:color="auto" w:fill="FFFFFF"/>
        </w:rPr>
        <w:t xml:space="preserve"> C-353 del 2 de junio de 2022, C-918 del 9 de diciembre de 2024, C-951 del 16 de diciembre de 2024, C-285 del 14 de abril de 2025, C-348 del 25 de abril de 2025, C-370 del 2 de mayo de 2025,</w:t>
      </w:r>
      <w:r w:rsidRPr="007B743D">
        <w:rPr>
          <w:rFonts w:ascii="Verdana" w:hAnsi="Verdana"/>
          <w:shd w:val="clear" w:color="auto" w:fill="FFFFFF"/>
        </w:rPr>
        <w:t xml:space="preserve"> C-680 del 8 de julio de 2025, C-914 del 15 de agosto de 2025</w:t>
      </w:r>
      <w:r>
        <w:rPr>
          <w:rFonts w:ascii="Verdana" w:hAnsi="Verdana"/>
          <w:shd w:val="clear" w:color="auto" w:fill="FFFFFF"/>
        </w:rPr>
        <w:t xml:space="preserve">, </w:t>
      </w:r>
      <w:r w:rsidRPr="007B743D">
        <w:rPr>
          <w:rFonts w:ascii="Verdana" w:hAnsi="Verdana"/>
          <w:shd w:val="clear" w:color="auto" w:fill="FFFFFF"/>
        </w:rPr>
        <w:t>C-1065 del 8 de septiembre de 2025</w:t>
      </w:r>
      <w:r>
        <w:rPr>
          <w:rFonts w:ascii="Verdana" w:hAnsi="Verdana"/>
          <w:shd w:val="clear" w:color="auto" w:fill="FFFFFF"/>
        </w:rPr>
        <w:t>, C-225 el 27 de febrero de 2026, C-764 del 29 de mayo de 2026</w:t>
      </w:r>
      <w:r w:rsidRPr="005510A2">
        <w:rPr>
          <w:rFonts w:ascii="Verdana" w:eastAsia="Calibri" w:hAnsi="Verdana" w:cs="Arial"/>
        </w:rPr>
        <w:t xml:space="preserve">. </w:t>
      </w:r>
      <w:r w:rsidRPr="005510A2">
        <w:rPr>
          <w:rStyle w:val="normaltextrun"/>
          <w:rFonts w:ascii="Verdana" w:hAnsi="Verdana" w:cs="Arial"/>
          <w:shd w:val="clear" w:color="auto" w:fill="FFFFFF"/>
          <w:lang w:val="es-ES"/>
        </w:rPr>
        <w:t>Es</w:t>
      </w:r>
      <w:r w:rsidRPr="005510A2">
        <w:rPr>
          <w:rFonts w:ascii="Verdana" w:hAnsi="Verdana"/>
        </w:rPr>
        <w:t>tos y otros conceptos se encuentran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1" w:history="1">
        <w:r w:rsidRPr="00F766A3">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07661217" w14:textId="77777777" w:rsidR="001C46F1" w:rsidRDefault="001C46F1" w:rsidP="001C46F1">
      <w:pPr>
        <w:spacing w:after="0" w:line="276" w:lineRule="auto"/>
        <w:jc w:val="both"/>
        <w:textAlignment w:val="baseline"/>
        <w:rPr>
          <w:rFonts w:ascii="Verdana" w:eastAsia="Verdana" w:hAnsi="Verdana" w:cs="Verdana"/>
        </w:rPr>
      </w:pPr>
    </w:p>
    <w:p w14:paraId="71D0B7FF" w14:textId="77777777" w:rsidR="001C46F1" w:rsidRPr="00010A5F" w:rsidRDefault="001C46F1" w:rsidP="001C46F1">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2">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6F2FA1F4" w14:textId="77777777" w:rsidR="001C46F1" w:rsidRDefault="001C46F1" w:rsidP="001C46F1">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1164F246" w14:textId="77777777" w:rsidR="001C46F1" w:rsidRDefault="001C46F1" w:rsidP="001C46F1">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r w:rsidRPr="054CF0A3">
          <w:rPr>
            <w:rStyle w:val="Hipervnculo"/>
            <w:rFonts w:ascii="Verdana" w:eastAsia="Verdana" w:hAnsi="Verdana" w:cs="Verdana"/>
            <w:color w:val="000000" w:themeColor="text1"/>
          </w:rPr>
          <w:t>https://www.colombiacompra.gov.co/archivos/manual/guia-de-garantias-en-procesos-de-contratacion</w:t>
        </w:r>
      </w:hyperlink>
    </w:p>
    <w:p w14:paraId="68AF18CE" w14:textId="77777777" w:rsidR="001C46F1" w:rsidRDefault="001C46F1" w:rsidP="001C46F1">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4">
        <w:r w:rsidRPr="054CF0A3">
          <w:rPr>
            <w:rStyle w:val="Hipervnculo"/>
            <w:rFonts w:ascii="Verdana" w:eastAsia="Verdana" w:hAnsi="Verdana" w:cs="Verdana"/>
            <w:color w:val="000000" w:themeColor="text1"/>
          </w:rPr>
          <w:t>https://www.colombiacompra.gov.co/archivos/circular/circular-externa-003-de-2026</w:t>
        </w:r>
      </w:hyperlink>
    </w:p>
    <w:p w14:paraId="20578B94" w14:textId="77777777" w:rsidR="001C46F1" w:rsidRDefault="001C46F1" w:rsidP="001C46F1">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r w:rsidRPr="054CF0A3">
          <w:rPr>
            <w:rStyle w:val="Hipervnculo"/>
            <w:rFonts w:ascii="Verdana" w:eastAsia="Verdana" w:hAnsi="Verdana" w:cs="Verdana"/>
            <w:color w:val="000000" w:themeColor="text1"/>
          </w:rPr>
          <w:t>https://www.colombiacompra.gov.co/archivos/circular/circular-externa-002-de-2026</w:t>
        </w:r>
      </w:hyperlink>
    </w:p>
    <w:p w14:paraId="59926017" w14:textId="77777777" w:rsidR="001C46F1" w:rsidRDefault="001C46F1" w:rsidP="001C46F1">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r w:rsidRPr="054CF0A3">
          <w:rPr>
            <w:rStyle w:val="Hipervnculo"/>
            <w:rFonts w:ascii="Verdana" w:eastAsia="Verdana" w:hAnsi="Verdana" w:cs="Verdana"/>
            <w:color w:val="000000" w:themeColor="text1"/>
          </w:rPr>
          <w:t>https://www.colombiacompra.gov.co/archivos/boletin/boletin-edicion-n-3-de-2026-radar-de-la-compra-publica</w:t>
        </w:r>
      </w:hyperlink>
    </w:p>
    <w:p w14:paraId="5F7D3C74" w14:textId="77777777" w:rsidR="001C46F1" w:rsidRPr="003D5882" w:rsidRDefault="001C46F1" w:rsidP="001C46F1">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62850FC5" w14:textId="77777777" w:rsidR="001C46F1" w:rsidRPr="0015699B" w:rsidRDefault="001C46F1" w:rsidP="001C46F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5BAEC68" w14:textId="77777777" w:rsidR="001C46F1" w:rsidRPr="0015699B" w:rsidRDefault="001C46F1" w:rsidP="533EFA87">
      <w:pPr>
        <w:spacing w:after="0" w:line="240" w:lineRule="auto"/>
        <w:jc w:val="both"/>
        <w:textAlignment w:val="baseline"/>
        <w:rPr>
          <w:rFonts w:ascii="Verdana" w:eastAsia="Verdana" w:hAnsi="Verdana" w:cs="Verdana"/>
          <w:color w:val="000000" w:themeColor="text1"/>
          <w:lang w:val="es-ES"/>
        </w:rPr>
      </w:pPr>
      <w:r w:rsidRPr="533EFA87">
        <w:rPr>
          <w:rFonts w:ascii="Verdana" w:eastAsia="Verdana" w:hAnsi="Verdana" w:cs="Verdana"/>
          <w:color w:val="000000" w:themeColor="text1"/>
          <w:lang w:val="es-ES"/>
        </w:rPr>
        <w:t xml:space="preserve">Twitter: </w:t>
      </w:r>
      <w:r w:rsidRPr="533EFA87">
        <w:rPr>
          <w:rFonts w:ascii="Verdana" w:eastAsia="Verdana" w:hAnsi="Verdana" w:cs="Verdana"/>
          <w:color w:val="000000" w:themeColor="text1"/>
          <w:u w:val="single"/>
          <w:lang w:val="es-ES"/>
        </w:rPr>
        <w:t>@colombiacompra</w:t>
      </w:r>
      <w:r w:rsidRPr="533EFA87">
        <w:rPr>
          <w:rFonts w:ascii="Verdana" w:eastAsia="Verdana" w:hAnsi="Verdana" w:cs="Verdana"/>
          <w:color w:val="000000" w:themeColor="text1"/>
          <w:lang w:val="es-ES"/>
        </w:rPr>
        <w:t xml:space="preserve"> </w:t>
      </w:r>
    </w:p>
    <w:p w14:paraId="0F0C2495" w14:textId="77777777" w:rsidR="001C46F1" w:rsidRPr="0015699B" w:rsidRDefault="001C46F1" w:rsidP="001C46F1">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5FE41097" w14:textId="77777777" w:rsidR="001C46F1" w:rsidRPr="0015699B" w:rsidRDefault="001C46F1" w:rsidP="533EFA87">
      <w:pPr>
        <w:spacing w:after="0" w:line="240" w:lineRule="auto"/>
        <w:jc w:val="both"/>
        <w:textAlignment w:val="baseline"/>
        <w:rPr>
          <w:rFonts w:ascii="Verdana" w:eastAsia="Verdana" w:hAnsi="Verdana" w:cs="Verdana"/>
          <w:color w:val="000000" w:themeColor="text1"/>
          <w:u w:val="single"/>
          <w:lang w:val="es-ES"/>
        </w:rPr>
      </w:pPr>
      <w:r w:rsidRPr="533EFA87">
        <w:rPr>
          <w:rFonts w:ascii="Verdana" w:eastAsia="Verdana" w:hAnsi="Verdana" w:cs="Verdana"/>
          <w:color w:val="000000" w:themeColor="text1"/>
          <w:lang w:val="es-ES"/>
        </w:rPr>
        <w:t xml:space="preserve">LinkedIn: </w:t>
      </w:r>
      <w:r w:rsidRPr="533EFA87">
        <w:rPr>
          <w:rFonts w:ascii="Verdana" w:eastAsia="Verdana" w:hAnsi="Verdana" w:cs="Verdana"/>
          <w:color w:val="000000" w:themeColor="text1"/>
          <w:u w:val="single"/>
          <w:lang w:val="es-ES"/>
        </w:rPr>
        <w:t>Agencia Nacional de Contratación Pública - Colombia Compra Eficiente</w:t>
      </w:r>
      <w:r w:rsidRPr="533EFA87">
        <w:rPr>
          <w:rFonts w:ascii="Verdana" w:eastAsia="Verdana" w:hAnsi="Verdana" w:cs="Verdana"/>
          <w:color w:val="000000" w:themeColor="text1"/>
          <w:lang w:val="es-ES"/>
        </w:rPr>
        <w:t xml:space="preserve"> Instagram: </w:t>
      </w:r>
      <w:r w:rsidRPr="533EFA87">
        <w:rPr>
          <w:rFonts w:ascii="Verdana" w:eastAsia="Verdana" w:hAnsi="Verdana" w:cs="Verdana"/>
          <w:color w:val="000000" w:themeColor="text1"/>
          <w:u w:val="single"/>
          <w:lang w:val="es-ES"/>
        </w:rPr>
        <w:t>@colombiacompraeficiente_cce</w:t>
      </w:r>
    </w:p>
    <w:p w14:paraId="4B5D4DFE" w14:textId="77777777" w:rsidR="001C46F1" w:rsidRPr="0015699B" w:rsidRDefault="001C46F1" w:rsidP="001C46F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585DAA5" w14:textId="77777777" w:rsidR="001C46F1" w:rsidRPr="0015699B" w:rsidRDefault="001C46F1" w:rsidP="001C46F1">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B21CFD3" w14:textId="77777777" w:rsidR="001C46F1" w:rsidRPr="0015699B" w:rsidRDefault="001C46F1" w:rsidP="001C46F1">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B2E8A00" w14:textId="77777777" w:rsidR="001C46F1" w:rsidRPr="0015699B" w:rsidRDefault="001C46F1" w:rsidP="001C46F1">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3370EC41" w14:textId="795FD146" w:rsidR="001C46F1" w:rsidRDefault="001C46F1" w:rsidP="001C46F1">
      <w:pPr>
        <w:spacing w:after="0" w:line="240" w:lineRule="auto"/>
        <w:ind w:left="2340"/>
        <w:jc w:val="both"/>
        <w:rPr>
          <w:noProof/>
        </w:rPr>
      </w:pPr>
    </w:p>
    <w:p w14:paraId="64D55C6D" w14:textId="77777777" w:rsidR="00D7590B" w:rsidRDefault="00D7590B" w:rsidP="001C46F1">
      <w:pPr>
        <w:spacing w:after="0" w:line="240" w:lineRule="auto"/>
        <w:ind w:left="2340"/>
        <w:jc w:val="both"/>
        <w:rPr>
          <w:noProof/>
        </w:rPr>
      </w:pPr>
    </w:p>
    <w:p w14:paraId="29A021FE" w14:textId="77777777" w:rsidR="00D7590B" w:rsidRDefault="00D7590B" w:rsidP="001C46F1">
      <w:pPr>
        <w:spacing w:after="0" w:line="240" w:lineRule="auto"/>
        <w:ind w:left="2340"/>
        <w:jc w:val="both"/>
        <w:rPr>
          <w:noProof/>
        </w:rPr>
      </w:pPr>
    </w:p>
    <w:p w14:paraId="10E49AE7" w14:textId="77777777" w:rsidR="00D7590B" w:rsidRDefault="00D7590B" w:rsidP="001C46F1">
      <w:pPr>
        <w:spacing w:after="0" w:line="240" w:lineRule="auto"/>
        <w:ind w:left="2340"/>
        <w:jc w:val="both"/>
        <w:rPr>
          <w:noProof/>
        </w:rPr>
      </w:pPr>
    </w:p>
    <w:p w14:paraId="6EE35DFC" w14:textId="6ECB8E84" w:rsidR="00D7590B" w:rsidRDefault="00D7590B" w:rsidP="00D7590B">
      <w:pPr>
        <w:spacing w:after="0" w:line="240" w:lineRule="auto"/>
        <w:jc w:val="center"/>
      </w:pPr>
      <w:r>
        <w:rPr>
          <w:noProof/>
        </w:rPr>
        <w:drawing>
          <wp:inline distT="0" distB="0" distL="0" distR="0" wp14:anchorId="2919B1E4" wp14:editId="43914F66">
            <wp:extent cx="3449955" cy="1481006"/>
            <wp:effectExtent l="0" t="0" r="0" b="5080"/>
            <wp:docPr id="1886319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5395" cy="1483341"/>
                    </a:xfrm>
                    <a:prstGeom prst="rect">
                      <a:avLst/>
                    </a:prstGeom>
                    <a:noFill/>
                    <a:ln>
                      <a:noFill/>
                    </a:ln>
                  </pic:spPr>
                </pic:pic>
              </a:graphicData>
            </a:graphic>
          </wp:inline>
        </w:drawing>
      </w:r>
    </w:p>
    <w:p w14:paraId="0E2453AE" w14:textId="77777777" w:rsidR="001C46F1" w:rsidRPr="0015699B" w:rsidRDefault="001C46F1" w:rsidP="001C46F1">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1C46F1" w14:paraId="65F2A282" w14:textId="77777777" w:rsidTr="009C74BD">
        <w:trPr>
          <w:trHeight w:val="315"/>
        </w:trPr>
        <w:tc>
          <w:tcPr>
            <w:tcW w:w="893" w:type="dxa"/>
            <w:tcBorders>
              <w:top w:val="nil"/>
              <w:bottom w:val="nil"/>
              <w:right w:val="nil"/>
            </w:tcBorders>
            <w:tcMar>
              <w:left w:w="108" w:type="dxa"/>
              <w:right w:w="108" w:type="dxa"/>
            </w:tcMar>
            <w:vAlign w:val="center"/>
          </w:tcPr>
          <w:p w14:paraId="22AAFA6D" w14:textId="77777777" w:rsidR="001C46F1" w:rsidRDefault="001C46F1" w:rsidP="009C74BD">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1455F4A0" w14:textId="77777777" w:rsidR="001C46F1" w:rsidRDefault="001C46F1" w:rsidP="009C74BD">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40966D79" w14:textId="77777777" w:rsidR="001C46F1" w:rsidRDefault="001C46F1" w:rsidP="009C74BD">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1C46F1" w14:paraId="51B7D1C5" w14:textId="77777777" w:rsidTr="009C74BD">
        <w:trPr>
          <w:trHeight w:val="330"/>
        </w:trPr>
        <w:tc>
          <w:tcPr>
            <w:tcW w:w="893" w:type="dxa"/>
            <w:tcBorders>
              <w:top w:val="nil"/>
              <w:bottom w:val="nil"/>
              <w:right w:val="nil"/>
            </w:tcBorders>
            <w:tcMar>
              <w:left w:w="108" w:type="dxa"/>
              <w:right w:w="108" w:type="dxa"/>
            </w:tcMar>
            <w:vAlign w:val="center"/>
          </w:tcPr>
          <w:p w14:paraId="2851301E" w14:textId="77777777" w:rsidR="001C46F1" w:rsidRDefault="001C46F1" w:rsidP="009C74BD">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4DAFAF09" w14:textId="77777777" w:rsidR="001C46F1" w:rsidRDefault="001C46F1" w:rsidP="009C74BD">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Adriana Katerine López Rodríguez</w:t>
            </w:r>
          </w:p>
          <w:p w14:paraId="67DAD8B0" w14:textId="77777777" w:rsidR="001C46F1" w:rsidRDefault="001C46F1" w:rsidP="009C74BD">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1C46F1" w14:paraId="127ABDBA" w14:textId="77777777" w:rsidTr="009C74BD">
        <w:trPr>
          <w:trHeight w:val="300"/>
        </w:trPr>
        <w:tc>
          <w:tcPr>
            <w:tcW w:w="893" w:type="dxa"/>
            <w:tcBorders>
              <w:top w:val="nil"/>
              <w:bottom w:val="nil"/>
              <w:right w:val="nil"/>
            </w:tcBorders>
            <w:tcMar>
              <w:left w:w="108" w:type="dxa"/>
              <w:right w:w="108" w:type="dxa"/>
            </w:tcMar>
            <w:vAlign w:val="center"/>
          </w:tcPr>
          <w:p w14:paraId="13F759BF" w14:textId="77777777" w:rsidR="001C46F1" w:rsidRDefault="001C46F1" w:rsidP="009C74BD">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133AAC70" w14:textId="77777777" w:rsidR="001C46F1" w:rsidRDefault="001C46F1" w:rsidP="009C74BD">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4CF5F311" w14:textId="77777777" w:rsidR="001C46F1" w:rsidRDefault="001C46F1" w:rsidP="009C74BD">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tbl>
    <w:p w14:paraId="3B27AFCD" w14:textId="59475C11" w:rsidR="002A0DD0" w:rsidRPr="001C46F1" w:rsidRDefault="002A0DD0" w:rsidP="001C46F1">
      <w:pPr>
        <w:spacing w:line="257" w:lineRule="auto"/>
        <w:jc w:val="both"/>
        <w:textAlignment w:val="baseline"/>
        <w:rPr>
          <w:rFonts w:ascii="Calibri" w:eastAsia="Calibri" w:hAnsi="Calibri" w:cs="Calibri"/>
          <w:lang w:val="es-ES"/>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39B8FCF"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D423" w14:textId="77777777" w:rsidR="006F77B5" w:rsidRDefault="006F77B5" w:rsidP="004A1847">
      <w:pPr>
        <w:spacing w:after="0" w:line="240" w:lineRule="auto"/>
      </w:pPr>
      <w:r>
        <w:separator/>
      </w:r>
    </w:p>
  </w:endnote>
  <w:endnote w:type="continuationSeparator" w:id="0">
    <w:p w14:paraId="3A1DC2AC" w14:textId="77777777" w:rsidR="006F77B5" w:rsidRDefault="006F77B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CE72" w14:textId="77777777" w:rsidR="006F77B5" w:rsidRDefault="006F77B5" w:rsidP="004A1847">
      <w:pPr>
        <w:spacing w:after="0" w:line="240" w:lineRule="auto"/>
      </w:pPr>
      <w:r>
        <w:separator/>
      </w:r>
    </w:p>
  </w:footnote>
  <w:footnote w:type="continuationSeparator" w:id="0">
    <w:p w14:paraId="29E0267F" w14:textId="77777777" w:rsidR="006F77B5" w:rsidRDefault="006F77B5" w:rsidP="004A1847">
      <w:pPr>
        <w:spacing w:after="0" w:line="240" w:lineRule="auto"/>
      </w:pPr>
      <w:r>
        <w:continuationSeparator/>
      </w:r>
    </w:p>
  </w:footnote>
  <w:footnote w:id="1">
    <w:p w14:paraId="5AB3C640" w14:textId="77777777" w:rsidR="001C46F1" w:rsidRPr="00591347" w:rsidRDefault="001C46F1" w:rsidP="001C46F1">
      <w:pPr>
        <w:spacing w:after="0"/>
        <w:ind w:firstLine="708"/>
        <w:jc w:val="both"/>
        <w:rPr>
          <w:rFonts w:ascii="Verdana" w:hAnsi="Verdana" w:cs="Arial"/>
          <w:sz w:val="16"/>
          <w:szCs w:val="16"/>
        </w:rPr>
      </w:pPr>
      <w:r w:rsidRPr="00591347">
        <w:rPr>
          <w:rStyle w:val="Refdenotaalpie"/>
          <w:rFonts w:ascii="Verdana" w:hAnsi="Verdana" w:cs="Arial"/>
          <w:sz w:val="16"/>
          <w:szCs w:val="16"/>
        </w:rPr>
        <w:footnoteRef/>
      </w:r>
      <w:r w:rsidRPr="00591347">
        <w:rPr>
          <w:rFonts w:ascii="Verdana" w:hAnsi="Verdana" w:cs="Arial"/>
          <w:sz w:val="16"/>
          <w:szCs w:val="16"/>
        </w:rPr>
        <w:t xml:space="preserve"> “</w:t>
      </w:r>
      <w:r w:rsidRPr="00591347">
        <w:rPr>
          <w:rFonts w:ascii="Verdana" w:hAnsi="Verdana" w:cs="Arial"/>
          <w:bCs/>
          <w:sz w:val="16"/>
          <w:szCs w:val="16"/>
        </w:rPr>
        <w:t>Artículo 37. ejecución de proyectos de inversión.</w:t>
      </w:r>
      <w:r w:rsidRPr="00591347">
        <w:rPr>
          <w:rFonts w:ascii="Verdana" w:hAnsi="Verdana" w:cs="Arial"/>
          <w:sz w:val="16"/>
          <w:szCs w:val="16"/>
        </w:rPr>
        <w:t> los proyectos de inversión que se financien con cargo al sistema general de regalías serán ejecutados por quien designe las entidades u órganos de que tratan los artículos </w:t>
      </w:r>
      <w:hyperlink r:id="rId1" w:anchor="35" w:history="1">
        <w:r w:rsidRPr="00591347">
          <w:rPr>
            <w:rFonts w:ascii="Verdana" w:hAnsi="Verdana" w:cs="Arial"/>
            <w:sz w:val="16"/>
            <w:szCs w:val="16"/>
          </w:rPr>
          <w:t>35</w:t>
        </w:r>
      </w:hyperlink>
      <w:r w:rsidRPr="00591347">
        <w:rPr>
          <w:rFonts w:ascii="Verdana" w:hAnsi="Verdana" w:cs="Arial"/>
          <w:sz w:val="16"/>
          <w:szCs w:val="16"/>
        </w:rPr>
        <w:t> y </w:t>
      </w:r>
      <w:hyperlink r:id="rId2" w:anchor="36" w:history="1">
        <w:r w:rsidRPr="00591347">
          <w:rPr>
            <w:rFonts w:ascii="Verdana" w:hAnsi="Verdana" w:cs="Arial"/>
            <w:sz w:val="16"/>
            <w:szCs w:val="16"/>
          </w:rPr>
          <w:t>36</w:t>
        </w:r>
      </w:hyperlink>
      <w:r w:rsidRPr="00591347">
        <w:rPr>
          <w:rFonts w:ascii="Verdana" w:hAnsi="Verdana" w:cs="Arial"/>
          <w:sz w:val="16"/>
          <w:szCs w:val="16"/>
        </w:rPr>
        <w:t> de la presente ley. así mismo, la entidad ejecutora estará a cargo de la contratación de la interventoría, de conformidad con lo previsto en la presente ley.</w:t>
      </w:r>
    </w:p>
    <w:p w14:paraId="3DC959D8" w14:textId="77777777" w:rsidR="001C46F1" w:rsidRPr="00591347" w:rsidRDefault="001C46F1" w:rsidP="001C46F1">
      <w:pPr>
        <w:spacing w:after="0"/>
        <w:ind w:firstLine="708"/>
        <w:jc w:val="both"/>
        <w:rPr>
          <w:rFonts w:ascii="Verdana" w:hAnsi="Verdana" w:cs="Arial"/>
          <w:sz w:val="16"/>
          <w:szCs w:val="16"/>
        </w:rPr>
      </w:pPr>
      <w:r w:rsidRPr="00591347">
        <w:rPr>
          <w:rFonts w:ascii="Verdana" w:hAnsi="Verdana" w:cs="Arial"/>
          <w:sz w:val="16"/>
          <w:szCs w:val="16"/>
        </w:rPr>
        <w:t xml:space="preserve">Las entidades ejecutoras de recursos del sistema son responsables de suministrar de forma veraz, oportuna e idónea, la información de la gestión de los proyectos que se requiera e implementar las acciones que sean pertinentes para encauzar el desempeño de los proyectos de inversión y decidir, de manera motivada, sobre la continuidad de </w:t>
      </w:r>
      <w:proofErr w:type="gramStart"/>
      <w:r w:rsidRPr="00591347">
        <w:rPr>
          <w:rFonts w:ascii="Verdana" w:hAnsi="Verdana" w:cs="Arial"/>
          <w:sz w:val="16"/>
          <w:szCs w:val="16"/>
        </w:rPr>
        <w:t>los mismos</w:t>
      </w:r>
      <w:proofErr w:type="gramEnd"/>
      <w:r w:rsidRPr="00591347">
        <w:rPr>
          <w:rFonts w:ascii="Verdana" w:hAnsi="Verdana" w:cs="Arial"/>
          <w:sz w:val="16"/>
          <w:szCs w:val="16"/>
        </w:rPr>
        <w:t>, sin perjuicio de las acciones de control a las que haya lugar.</w:t>
      </w:r>
    </w:p>
    <w:p w14:paraId="70889014" w14:textId="77777777" w:rsidR="001C46F1" w:rsidRPr="00591347" w:rsidRDefault="001C46F1" w:rsidP="001C46F1">
      <w:pPr>
        <w:spacing w:after="0"/>
        <w:ind w:firstLine="708"/>
        <w:jc w:val="both"/>
        <w:rPr>
          <w:rFonts w:ascii="Verdana" w:hAnsi="Verdana" w:cs="Arial"/>
          <w:sz w:val="16"/>
          <w:szCs w:val="16"/>
        </w:rPr>
      </w:pPr>
      <w:r w:rsidRPr="00591347">
        <w:rPr>
          <w:rFonts w:ascii="Verdana" w:hAnsi="Verdana" w:cs="Arial"/>
          <w:bCs/>
          <w:sz w:val="16"/>
          <w:szCs w:val="16"/>
        </w:rPr>
        <w:t>Parágrafo 1o.</w:t>
      </w:r>
      <w:r w:rsidRPr="00591347">
        <w:rPr>
          <w:rFonts w:ascii="Verdana" w:hAnsi="Verdana" w:cs="Arial"/>
          <w:sz w:val="16"/>
          <w:szCs w:val="16"/>
        </w:rPr>
        <w:t xml:space="preserve"> La ejecución de proyectos de que trata este </w:t>
      </w:r>
      <w:proofErr w:type="gramStart"/>
      <w:r w:rsidRPr="00591347">
        <w:rPr>
          <w:rFonts w:ascii="Verdana" w:hAnsi="Verdana" w:cs="Arial"/>
          <w:sz w:val="16"/>
          <w:szCs w:val="16"/>
        </w:rPr>
        <w:t>artículo,</w:t>
      </w:r>
      <w:proofErr w:type="gramEnd"/>
      <w:r w:rsidRPr="00591347">
        <w:rPr>
          <w:rFonts w:ascii="Verdana" w:hAnsi="Verdana" w:cs="Arial"/>
          <w:sz w:val="16"/>
          <w:szCs w:val="16"/>
        </w:rPr>
        <w:t xml:space="preserve"> se adelantará, con estricta sujeción al régimen presupuestal definido en esta ley, al de contratación pública y las demás normas legales vigentes. el ejecutor garantizará la correcta ejecución de los recursos asignados al proyecto de inversión, así como el suministro y registro de la información requerida por el sistema de seguimiento, evaluación y control.</w:t>
      </w:r>
    </w:p>
    <w:p w14:paraId="420C3C96" w14:textId="77777777" w:rsidR="001C46F1" w:rsidRPr="00591347" w:rsidRDefault="001C46F1" w:rsidP="001C46F1">
      <w:pPr>
        <w:spacing w:after="0"/>
        <w:ind w:firstLine="708"/>
        <w:jc w:val="both"/>
        <w:rPr>
          <w:rFonts w:ascii="Verdana" w:hAnsi="Verdana" w:cs="Arial"/>
          <w:sz w:val="16"/>
          <w:szCs w:val="16"/>
        </w:rPr>
      </w:pPr>
      <w:r w:rsidRPr="00591347">
        <w:rPr>
          <w:rFonts w:ascii="Verdana" w:hAnsi="Verdana" w:cs="Arial"/>
          <w:bCs/>
          <w:sz w:val="16"/>
          <w:szCs w:val="16"/>
        </w:rPr>
        <w:t>Parágrafo 2o.</w:t>
      </w:r>
      <w:r w:rsidRPr="00591347">
        <w:rPr>
          <w:rFonts w:ascii="Verdana" w:hAnsi="Verdana" w:cs="Arial"/>
          <w:sz w:val="16"/>
          <w:szCs w:val="16"/>
        </w:rPr>
        <w:t xml:space="preserve"> Las entidades territoriales beneficiarias de asignaciones directas, la asignación para la inversión local y del 60% de la asignación para la inversión regional en cabeza de los departamentos podrán ejecutar directamente estos recursos o la entidad ejecutora que designe.</w:t>
      </w:r>
    </w:p>
    <w:p w14:paraId="6A7D20EE" w14:textId="77777777" w:rsidR="001C46F1" w:rsidRPr="00591347" w:rsidRDefault="001C46F1" w:rsidP="001C46F1">
      <w:pPr>
        <w:spacing w:after="0"/>
        <w:ind w:firstLine="708"/>
        <w:jc w:val="both"/>
        <w:rPr>
          <w:rFonts w:ascii="Verdana" w:hAnsi="Verdana" w:cs="Arial"/>
          <w:sz w:val="16"/>
          <w:szCs w:val="16"/>
        </w:rPr>
      </w:pPr>
      <w:r w:rsidRPr="00591347">
        <w:rPr>
          <w:rFonts w:ascii="Verdana" w:hAnsi="Verdana" w:cs="Arial"/>
          <w:bCs/>
          <w:sz w:val="16"/>
          <w:szCs w:val="16"/>
        </w:rPr>
        <w:t>Parágrafo 3o.</w:t>
      </w:r>
      <w:r w:rsidRPr="00591347">
        <w:rPr>
          <w:rFonts w:ascii="Verdana" w:hAnsi="Verdana" w:cs="Arial"/>
          <w:sz w:val="16"/>
          <w:szCs w:val="16"/>
        </w:rPr>
        <w:t xml:space="preserve"> La entidad designada ejecutora por las entidades u órganos de que tratan los artículos </w:t>
      </w:r>
      <w:hyperlink r:id="rId3" w:anchor="35" w:history="1">
        <w:r w:rsidRPr="00591347">
          <w:rPr>
            <w:rFonts w:ascii="Verdana" w:hAnsi="Verdana" w:cs="Arial"/>
            <w:sz w:val="16"/>
            <w:szCs w:val="16"/>
          </w:rPr>
          <w:t>35</w:t>
        </w:r>
      </w:hyperlink>
      <w:r w:rsidRPr="00591347">
        <w:rPr>
          <w:rFonts w:ascii="Verdana" w:hAnsi="Verdana" w:cs="Arial"/>
          <w:sz w:val="16"/>
          <w:szCs w:val="16"/>
        </w:rPr>
        <w:t xml:space="preserve"> y </w:t>
      </w:r>
      <w:hyperlink r:id="rId4" w:anchor="36" w:history="1">
        <w:r w:rsidRPr="00591347">
          <w:rPr>
            <w:rFonts w:ascii="Verdana" w:hAnsi="Verdana" w:cs="Arial"/>
            <w:sz w:val="16"/>
            <w:szCs w:val="16"/>
          </w:rPr>
          <w:t>36</w:t>
        </w:r>
      </w:hyperlink>
      <w:r w:rsidRPr="00591347">
        <w:rPr>
          <w:rFonts w:ascii="Verdana" w:hAnsi="Verdana" w:cs="Arial"/>
          <w:sz w:val="16"/>
          <w:szCs w:val="16"/>
        </w:rPr>
        <w:t>, deberá expedir el acto administrativo que ordena la apertura del proceso de selección o acto administrativo unilateral que decreta el gasto con cargo a los recursos asignados, a más tardar dentro de los seis (6) meses contados a partir de la publicación del acuerdo de aprobación del proyecto de inversión que emita la entidad o instancia, según corresponda, y será la responsable de verificar el cumplimiento de los requisitos legales para el inicio de la ejecución del proyecto de inversión.</w:t>
      </w:r>
    </w:p>
    <w:p w14:paraId="5D652D84" w14:textId="77777777" w:rsidR="001C46F1" w:rsidRPr="00591347" w:rsidRDefault="001C46F1" w:rsidP="001C46F1">
      <w:pPr>
        <w:spacing w:after="0"/>
        <w:ind w:firstLine="708"/>
        <w:jc w:val="both"/>
        <w:rPr>
          <w:rFonts w:ascii="Verdana" w:hAnsi="Verdana" w:cs="Arial"/>
          <w:sz w:val="16"/>
          <w:szCs w:val="16"/>
        </w:rPr>
      </w:pPr>
      <w:r w:rsidRPr="00591347">
        <w:rPr>
          <w:rFonts w:ascii="Verdana" w:hAnsi="Verdana" w:cs="Arial"/>
          <w:sz w:val="16"/>
          <w:szCs w:val="16"/>
        </w:rPr>
        <w:t>En caso de no cumplirse lo anterior, las entidades u órganos liberarán automáticamente los recursos para la aprobación de nuevos proyectos de inversión y reportarán estos casos al sistema de seguimiento, evaluación y control para que se tengan en cuenta en la medición del desempeño en la gestión de los recursos del sistema general de regalías y a los órganos de control.</w:t>
      </w:r>
    </w:p>
    <w:p w14:paraId="0D8FFFBE" w14:textId="77777777" w:rsidR="001C46F1" w:rsidRPr="00591347" w:rsidRDefault="001C46F1" w:rsidP="001C46F1">
      <w:pPr>
        <w:spacing w:after="0"/>
        <w:ind w:firstLine="708"/>
        <w:jc w:val="both"/>
        <w:rPr>
          <w:rFonts w:ascii="Verdana" w:hAnsi="Verdana"/>
          <w:sz w:val="16"/>
          <w:szCs w:val="16"/>
        </w:rPr>
      </w:pPr>
      <w:r w:rsidRPr="00591347">
        <w:rPr>
          <w:rFonts w:ascii="Verdana" w:hAnsi="Verdana" w:cs="Arial"/>
          <w:sz w:val="16"/>
          <w:szCs w:val="16"/>
        </w:rPr>
        <w:t>Se exceptúan los casos en los que por causas no atribuibles a la entidad designada como ejecutora no se logre expedir el acto administrativo que ordena la apertura del proceso de selección o acto administrativo unilateral que decreta el gasto con cargo a los recursos asignados en los seis (6) meses, caso en el cual las entidades u órganos podrán prorrogar hasta por doce (12) meses más lo estipulado en este parágrafo. la comisión rectora del sistema general de regalías reglamentará estos casos</w:t>
      </w:r>
      <w:r w:rsidRPr="00591347">
        <w:rPr>
          <w:rFonts w:ascii="Verdana" w:hAnsi="Verdana" w:cs="Arial"/>
          <w:sz w:val="16"/>
          <w:szCs w:val="16"/>
          <w:lang w:val="es-ES"/>
        </w:rPr>
        <w:t>”</w:t>
      </w:r>
      <w:r w:rsidRPr="00591347">
        <w:rPr>
          <w:rFonts w:ascii="Verdana" w:hAnsi="Verdana" w:cs="Arial"/>
          <w:sz w:val="16"/>
          <w:szCs w:val="16"/>
        </w:rPr>
        <w:t>.</w:t>
      </w:r>
    </w:p>
  </w:footnote>
  <w:footnote w:id="2">
    <w:p w14:paraId="6852C6E1"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Artículo 84.</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color w:val="000000" w:themeColor="text1"/>
          <w:sz w:val="16"/>
          <w:szCs w:val="16"/>
        </w:rPr>
        <w:t xml:space="preserve"> </w:t>
      </w:r>
      <w:r w:rsidRPr="00591347">
        <w:rPr>
          <w:rStyle w:val="baj"/>
          <w:rFonts w:ascii="Verdana" w:hAnsi="Verdana" w:cs="Arial"/>
          <w:color w:val="000000" w:themeColor="text1"/>
          <w:sz w:val="16"/>
          <w:szCs w:val="16"/>
        </w:rPr>
        <w:t>PARÁGRAFO 2o.</w:t>
      </w:r>
      <w:r w:rsidRPr="00591347">
        <w:rPr>
          <w:rFonts w:ascii="Verdana" w:hAnsi="Verdana" w:cs="Arial"/>
          <w:color w:val="000000" w:themeColor="text1"/>
          <w:sz w:val="16"/>
          <w:szCs w:val="16"/>
        </w:rPr>
        <w:t xml:space="preserve"> La ejecución de los proyectos de inversión financiados con recursos del Sistema General de Regalías se adelantará con estricta sujeción al régimen presupuestal definido en esta ley </w:t>
      </w:r>
      <w:r w:rsidRPr="00591347">
        <w:rPr>
          <w:rFonts w:ascii="Verdana" w:hAnsi="Verdana" w:cs="Arial"/>
          <w:i/>
          <w:iCs/>
          <w:color w:val="000000" w:themeColor="text1"/>
          <w:sz w:val="16"/>
          <w:szCs w:val="16"/>
        </w:rPr>
        <w:t>y al de contratación pública</w:t>
      </w:r>
      <w:r w:rsidRPr="00591347">
        <w:rPr>
          <w:rFonts w:ascii="Verdana" w:hAnsi="Verdana" w:cs="Arial"/>
          <w:color w:val="000000" w:themeColor="text1"/>
          <w:sz w:val="16"/>
          <w:szCs w:val="16"/>
        </w:rPr>
        <w:t xml:space="preserve"> y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3">
    <w:p w14:paraId="4AA4A20B"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b/>
          <w:bCs/>
          <w:sz w:val="16"/>
          <w:szCs w:val="16"/>
          <w:lang w:val="es-CO"/>
        </w:rPr>
        <w:t xml:space="preserve"> </w:t>
      </w:r>
      <w:r w:rsidRPr="00591347">
        <w:rPr>
          <w:rFonts w:ascii="Verdana" w:hAnsi="Verdana"/>
          <w:sz w:val="16"/>
          <w:szCs w:val="16"/>
          <w:lang w:val="es-CO"/>
        </w:rPr>
        <w:t xml:space="preserve">Artículo 85.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Ejecución De Recursos. Los actos o contratos que expidan o celebren los ejecutores se regirán po</w:t>
      </w:r>
      <w:r w:rsidRPr="00591347">
        <w:rPr>
          <w:rFonts w:ascii="Verdana" w:hAnsi="Verdana"/>
          <w:color w:val="000000" w:themeColor="text1"/>
          <w:sz w:val="16"/>
          <w:szCs w:val="16"/>
          <w:lang w:val="es-CO"/>
        </w:rPr>
        <w:t xml:space="preserve">r las normas presupuestales contenidas en la presente ley, </w:t>
      </w:r>
      <w:r w:rsidRPr="00591347">
        <w:rPr>
          <w:rFonts w:ascii="Verdana" w:hAnsi="Verdana"/>
          <w:i/>
          <w:iCs/>
          <w:color w:val="000000" w:themeColor="text1"/>
          <w:sz w:val="16"/>
          <w:szCs w:val="16"/>
          <w:lang w:val="es-CO"/>
        </w:rPr>
        <w:t>el Estatuto de Contratación Estatal</w:t>
      </w:r>
      <w:r w:rsidRPr="00591347">
        <w:rPr>
          <w:rFonts w:ascii="Verdana" w:hAnsi="Verdana"/>
          <w:color w:val="000000" w:themeColor="text1"/>
          <w:sz w:val="16"/>
          <w:szCs w:val="16"/>
          <w:lang w:val="es-CO"/>
        </w:rPr>
        <w:t>, los Decretos </w:t>
      </w:r>
      <w:hyperlink r:id="rId5" w:anchor="INICIO" w:history="1">
        <w:r w:rsidRPr="00591347">
          <w:rPr>
            <w:rStyle w:val="Hipervnculo"/>
            <w:rFonts w:ascii="Verdana" w:hAnsi="Verdana"/>
            <w:color w:val="000000" w:themeColor="text1"/>
            <w:sz w:val="16"/>
            <w:szCs w:val="16"/>
            <w:lang w:val="es-CO"/>
          </w:rPr>
          <w:t>1088</w:t>
        </w:r>
      </w:hyperlink>
      <w:r w:rsidRPr="00591347">
        <w:rPr>
          <w:rFonts w:ascii="Verdana" w:hAnsi="Verdana"/>
          <w:color w:val="000000" w:themeColor="text1"/>
          <w:sz w:val="16"/>
          <w:szCs w:val="16"/>
          <w:lang w:val="es-CO"/>
        </w:rPr>
        <w:t> de 1993 y </w:t>
      </w:r>
      <w:hyperlink r:id="rId6" w:anchor="INICIO" w:history="1">
        <w:r w:rsidRPr="00591347">
          <w:rPr>
            <w:rStyle w:val="Hipervnculo"/>
            <w:rFonts w:ascii="Verdana" w:hAnsi="Verdana"/>
            <w:color w:val="000000" w:themeColor="text1"/>
            <w:sz w:val="16"/>
            <w:szCs w:val="16"/>
            <w:lang w:val="es-CO"/>
          </w:rPr>
          <w:t>252</w:t>
        </w:r>
      </w:hyperlink>
      <w:r w:rsidRPr="00591347">
        <w:rPr>
          <w:rFonts w:ascii="Verdana" w:hAnsi="Verdana"/>
          <w:color w:val="000000" w:themeColor="text1"/>
          <w:sz w:val="16"/>
          <w:szCs w:val="16"/>
          <w:lang w:val="es-CO"/>
        </w:rPr>
        <w:t> de 2020, las normas contables que para este efecto defina la Contaduría General de la Nación y las demás disposiciones complementarias</w:t>
      </w:r>
      <w:r w:rsidRPr="00591347">
        <w:rPr>
          <w:rFonts w:ascii="Verdana" w:hAnsi="Verdana"/>
          <w:sz w:val="16"/>
          <w:szCs w:val="16"/>
          <w:lang w:val="es-CO"/>
        </w:rPr>
        <w:t>.</w:t>
      </w:r>
    </w:p>
  </w:footnote>
  <w:footnote w:id="4">
    <w:p w14:paraId="28E966F3"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 xml:space="preserve">Artículo 98.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 xml:space="preserve">PARÁGRAFO 2o. La ejecución de proyectos de inversión de que trata este </w:t>
      </w:r>
      <w:proofErr w:type="gramStart"/>
      <w:r w:rsidRPr="00591347">
        <w:rPr>
          <w:rFonts w:ascii="Verdana" w:hAnsi="Verdana"/>
          <w:sz w:val="16"/>
          <w:szCs w:val="16"/>
          <w:lang w:val="es-CO"/>
        </w:rPr>
        <w:t>artículo,</w:t>
      </w:r>
      <w:proofErr w:type="gramEnd"/>
      <w:r w:rsidRPr="00591347">
        <w:rPr>
          <w:rFonts w:ascii="Verdana" w:hAnsi="Verdana"/>
          <w:sz w:val="16"/>
          <w:szCs w:val="16"/>
          <w:lang w:val="es-CO"/>
        </w:rPr>
        <w:t xml:space="preserve"> se adelantará, con estricta sujeción al régimen presupuestal definido en esta ley y </w:t>
      </w:r>
      <w:r w:rsidRPr="00591347">
        <w:rPr>
          <w:rFonts w:ascii="Verdana" w:hAnsi="Verdana"/>
          <w:i/>
          <w:iCs/>
          <w:sz w:val="16"/>
          <w:szCs w:val="16"/>
          <w:lang w:val="es-CO"/>
        </w:rPr>
        <w:t>al de contratación pública</w:t>
      </w:r>
      <w:r w:rsidRPr="00591347">
        <w:rPr>
          <w:rFonts w:ascii="Verdana" w:hAnsi="Verdana"/>
          <w:sz w:val="16"/>
          <w:szCs w:val="16"/>
          <w:lang w:val="es-CO"/>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5">
    <w:p w14:paraId="1D1F41C9"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sz w:val="16"/>
          <w:szCs w:val="16"/>
          <w:lang w:val="es-CO"/>
        </w:rPr>
        <w:t xml:space="preserve">Artículo 99.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 xml:space="preserve">Ejecución De Recursos. Los actos o contratos que expidan o celebren los ejecutores se regirán por las normas presupuestales contenidas en la presente ley, </w:t>
      </w:r>
      <w:r w:rsidRPr="00591347">
        <w:rPr>
          <w:rFonts w:ascii="Verdana" w:hAnsi="Verdana"/>
          <w:i/>
          <w:iCs/>
          <w:sz w:val="16"/>
          <w:szCs w:val="16"/>
          <w:lang w:val="es-CO"/>
        </w:rPr>
        <w:t>el Estatuto de Contratación Estatal</w:t>
      </w:r>
      <w:r w:rsidRPr="00591347">
        <w:rPr>
          <w:rFonts w:ascii="Verdana" w:hAnsi="Verdana"/>
          <w:sz w:val="16"/>
          <w:szCs w:val="16"/>
          <w:lang w:val="es-CO"/>
        </w:rPr>
        <w:t>, las normas contables que para este efecto defina la Contaduría General de la Nación y las demás disposiciones complementarias.</w:t>
      </w:r>
    </w:p>
  </w:footnote>
  <w:footnote w:id="6">
    <w:p w14:paraId="532B76C3" w14:textId="77777777" w:rsidR="001C46F1" w:rsidRPr="00591347" w:rsidRDefault="001C46F1" w:rsidP="001C46F1">
      <w:pPr>
        <w:pStyle w:val="Textonotapie"/>
        <w:ind w:firstLine="709"/>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 xml:space="preserve">Artículo 108.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 xml:space="preserve">PARÁGRAFO 2o. La ejecución de proyectos de inversión de que trata este </w:t>
      </w:r>
      <w:proofErr w:type="gramStart"/>
      <w:r w:rsidRPr="00591347">
        <w:rPr>
          <w:rFonts w:ascii="Verdana" w:hAnsi="Verdana"/>
          <w:sz w:val="16"/>
          <w:szCs w:val="16"/>
          <w:lang w:val="es-CO"/>
        </w:rPr>
        <w:t>artículo,</w:t>
      </w:r>
      <w:proofErr w:type="gramEnd"/>
      <w:r w:rsidRPr="00591347">
        <w:rPr>
          <w:rFonts w:ascii="Verdana" w:hAnsi="Verdana"/>
          <w:sz w:val="16"/>
          <w:szCs w:val="16"/>
          <w:lang w:val="es-CO"/>
        </w:rPr>
        <w:t xml:space="preserve">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7">
    <w:p w14:paraId="45780044"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s="Arial"/>
          <w:color w:val="000000" w:themeColor="text1"/>
          <w:sz w:val="16"/>
          <w:szCs w:val="16"/>
        </w:rPr>
        <w:t xml:space="preserve">Artículo 109.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cs="Arial"/>
          <w:color w:val="000000" w:themeColor="text1"/>
          <w:sz w:val="16"/>
          <w:szCs w:val="16"/>
        </w:rPr>
        <w:t xml:space="preserve">Ejecución De Recursos. Los actos o contratos que expidan o celebren los ejecutores se regirán por las normas presupuestales contenidas en la presente ley, </w:t>
      </w:r>
      <w:r w:rsidRPr="00591347">
        <w:rPr>
          <w:rFonts w:ascii="Verdana" w:hAnsi="Verdana" w:cs="Arial"/>
          <w:i/>
          <w:iCs/>
          <w:color w:val="000000" w:themeColor="text1"/>
          <w:sz w:val="16"/>
          <w:szCs w:val="16"/>
        </w:rPr>
        <w:t>el Estatuto de Contratación Estatal,</w:t>
      </w:r>
      <w:r w:rsidRPr="00591347">
        <w:rPr>
          <w:rFonts w:ascii="Verdana" w:hAnsi="Verdana" w:cs="Arial"/>
          <w:color w:val="000000" w:themeColor="text1"/>
          <w:sz w:val="16"/>
          <w:szCs w:val="16"/>
        </w:rPr>
        <w:t xml:space="preserve"> las normas contables que para este efecto defina la Contaduría General de la Nación y las demás disposiciones complementarias.</w:t>
      </w:r>
    </w:p>
  </w:footnote>
  <w:footnote w:id="8">
    <w:p w14:paraId="27AEF9FC"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Consejo De Estado. Sección tercera. Sentencia del 7 de marzo de 2025. Radicación No.69.941. C.P: José Roberto Sáchica. </w:t>
      </w:r>
    </w:p>
  </w:footnote>
  <w:footnote w:id="9">
    <w:p w14:paraId="7EB904BF" w14:textId="77777777" w:rsidR="001C46F1" w:rsidRPr="00591347" w:rsidRDefault="001C46F1" w:rsidP="001C46F1">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La exposición de motivos de la Ley 2056 de 2020 explica que “el proyecto de ley prevé que los proyectos de inversión que se financien con cargo al SGR serán ejecutados por quien designe la entidad u órgano que apruebe y priorice el respetivo proyecto, y que la entidad ejecutora estará a cargo de la contratación de la interventoría, la cual se regirá por los establecido en el Estatuto General de Contratación de la Administración Pública vigente</w:t>
      </w:r>
      <w:r w:rsidRPr="00591347">
        <w:rPr>
          <w:rFonts w:ascii="Verdana" w:hAnsi="Verdana" w:cs="Arial"/>
          <w:sz w:val="16"/>
          <w:szCs w:val="16"/>
          <w:lang w:val="es-ES"/>
        </w:rPr>
        <w:t xml:space="preserve">. Gaceta 638 del 2020 Disponible en: </w:t>
      </w:r>
      <w:hyperlink r:id="rId7" w:history="1">
        <w:r w:rsidRPr="00591347">
          <w:rPr>
            <w:rStyle w:val="Hipervnculo"/>
            <w:rFonts w:ascii="Verdana" w:hAnsi="Verdana" w:cs="Arial"/>
            <w:sz w:val="16"/>
            <w:szCs w:val="16"/>
            <w:lang w:val="es-ES"/>
          </w:rPr>
          <w:t>https://leyes.senado.gov.co/proyectos/index.php/proyectos-ley/cuatrenio-2018-2022/2020-2021/article/200-por-el-cual-se-regula-la-organizacion-y-el-funcionamiento-del-sistema-general-de-regalias-mensaje-de-urgencia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7337728">
    <w:abstractNumId w:val="5"/>
  </w:num>
  <w:num w:numId="2" w16cid:durableId="1771310789">
    <w:abstractNumId w:val="1"/>
  </w:num>
  <w:num w:numId="3" w16cid:durableId="473528437">
    <w:abstractNumId w:val="3"/>
  </w:num>
  <w:num w:numId="4" w16cid:durableId="1049838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60749">
    <w:abstractNumId w:val="1"/>
  </w:num>
  <w:num w:numId="6" w16cid:durableId="1813449855">
    <w:abstractNumId w:val="13"/>
  </w:num>
  <w:num w:numId="7" w16cid:durableId="1879197708">
    <w:abstractNumId w:val="4"/>
  </w:num>
  <w:num w:numId="8" w16cid:durableId="1423910699">
    <w:abstractNumId w:val="12"/>
  </w:num>
  <w:num w:numId="9" w16cid:durableId="217857788">
    <w:abstractNumId w:val="6"/>
  </w:num>
  <w:num w:numId="10" w16cid:durableId="969702837">
    <w:abstractNumId w:val="11"/>
  </w:num>
  <w:num w:numId="11" w16cid:durableId="747995073">
    <w:abstractNumId w:val="7"/>
  </w:num>
  <w:num w:numId="12" w16cid:durableId="678780243">
    <w:abstractNumId w:val="0"/>
  </w:num>
  <w:num w:numId="13" w16cid:durableId="50423603">
    <w:abstractNumId w:val="2"/>
  </w:num>
  <w:num w:numId="14" w16cid:durableId="660234282">
    <w:abstractNumId w:val="14"/>
  </w:num>
  <w:num w:numId="15" w16cid:durableId="1990985692">
    <w:abstractNumId w:val="10"/>
  </w:num>
  <w:num w:numId="16" w16cid:durableId="1804302456">
    <w:abstractNumId w:val="9"/>
  </w:num>
  <w:num w:numId="17" w16cid:durableId="873268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C1F0E"/>
    <w:rsid w:val="000D0334"/>
    <w:rsid w:val="000D5DA7"/>
    <w:rsid w:val="000F6486"/>
    <w:rsid w:val="00116940"/>
    <w:rsid w:val="00125105"/>
    <w:rsid w:val="00127233"/>
    <w:rsid w:val="0015699B"/>
    <w:rsid w:val="001A33BF"/>
    <w:rsid w:val="001C46F1"/>
    <w:rsid w:val="001E4177"/>
    <w:rsid w:val="001F0B24"/>
    <w:rsid w:val="001F7DC6"/>
    <w:rsid w:val="0022400B"/>
    <w:rsid w:val="002421BB"/>
    <w:rsid w:val="0025796E"/>
    <w:rsid w:val="0026158A"/>
    <w:rsid w:val="002707A2"/>
    <w:rsid w:val="002951A0"/>
    <w:rsid w:val="002962BC"/>
    <w:rsid w:val="002A093D"/>
    <w:rsid w:val="002A0DD0"/>
    <w:rsid w:val="002A49AC"/>
    <w:rsid w:val="002A64FD"/>
    <w:rsid w:val="002C7A84"/>
    <w:rsid w:val="002E2BF8"/>
    <w:rsid w:val="002E4FD9"/>
    <w:rsid w:val="0030657A"/>
    <w:rsid w:val="00306740"/>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05805"/>
    <w:rsid w:val="005566E8"/>
    <w:rsid w:val="00574867"/>
    <w:rsid w:val="00591460"/>
    <w:rsid w:val="005A65E0"/>
    <w:rsid w:val="005C3777"/>
    <w:rsid w:val="005C5CDC"/>
    <w:rsid w:val="005D476C"/>
    <w:rsid w:val="006200BF"/>
    <w:rsid w:val="006219F8"/>
    <w:rsid w:val="006302F7"/>
    <w:rsid w:val="006329FC"/>
    <w:rsid w:val="00646B9F"/>
    <w:rsid w:val="00665D70"/>
    <w:rsid w:val="006900D9"/>
    <w:rsid w:val="006F77B5"/>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7B34"/>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A4711"/>
    <w:rsid w:val="00CB6357"/>
    <w:rsid w:val="00CC1B26"/>
    <w:rsid w:val="00D361FD"/>
    <w:rsid w:val="00D423A2"/>
    <w:rsid w:val="00D44E26"/>
    <w:rsid w:val="00D520D8"/>
    <w:rsid w:val="00D60262"/>
    <w:rsid w:val="00D63AC2"/>
    <w:rsid w:val="00D7383B"/>
    <w:rsid w:val="00D7590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33EFA87"/>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C46F1"/>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C46F1"/>
    <w:rPr>
      <w:rFonts w:ascii="Geomanist Light" w:hAnsi="Geomanist Light"/>
      <w:lang w:val="es-ES"/>
    </w:rPr>
  </w:style>
  <w:style w:type="paragraph" w:styleId="Sinespaciado">
    <w:name w:val="No Spacing"/>
    <w:aliases w:val="No Indent"/>
    <w:link w:val="SinespaciadoCar"/>
    <w:uiPriority w:val="3"/>
    <w:qFormat/>
    <w:rsid w:val="001C46F1"/>
    <w:pPr>
      <w:spacing w:after="0" w:line="240" w:lineRule="auto"/>
    </w:pPr>
  </w:style>
  <w:style w:type="character" w:customStyle="1" w:styleId="SinespaciadoCar">
    <w:name w:val="Sin espaciado Car"/>
    <w:aliases w:val="No Indent Car"/>
    <w:link w:val="Sinespaciado"/>
    <w:uiPriority w:val="3"/>
    <w:rsid w:val="001C46F1"/>
  </w:style>
  <w:style w:type="character" w:customStyle="1" w:styleId="baj">
    <w:name w:val="b_aj"/>
    <w:basedOn w:val="Fuentedeprrafopredeter"/>
    <w:rsid w:val="001C46F1"/>
  </w:style>
  <w:style w:type="paragraph" w:customStyle="1" w:styleId="pdq2pgselectionanchorcontainer">
    <w:name w:val="pdq2pg_selectionanchorcontainer"/>
    <w:basedOn w:val="Normal"/>
    <w:rsid w:val="0050580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505805"/>
    <w:rPr>
      <w:b/>
      <w:bCs/>
    </w:rPr>
  </w:style>
  <w:style w:type="paragraph" w:styleId="Textodeglobo">
    <w:name w:val="Balloon Text"/>
    <w:basedOn w:val="Normal"/>
    <w:link w:val="TextodegloboCar"/>
    <w:uiPriority w:val="99"/>
    <w:semiHidden/>
    <w:unhideWhenUsed/>
    <w:rsid w:val="00D60262"/>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6026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39444541">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ecretariasenado.gov.co/senado/basedoc/ley_2056_2020.html" TargetMode="External"/><Relationship Id="rId7" Type="http://schemas.openxmlformats.org/officeDocument/2006/relationships/hyperlink" Target="https://leyes.senado.gov.co/proyectos/index.php/proyectos-ley/cuatrenio-2018-2022/2020-2021/article/200-por-el-cual-se-regula-la-organizacion-y-el-funcionamiento-del-sistema-general-de-regalias-mensaje-de-urgencia" TargetMode="External"/><Relationship Id="rId2" Type="http://schemas.openxmlformats.org/officeDocument/2006/relationships/hyperlink" Target="http://www.secretariasenado.gov.co/senado/basedoc/ley_2056_2020.html" TargetMode="External"/><Relationship Id="rId1" Type="http://schemas.openxmlformats.org/officeDocument/2006/relationships/hyperlink" Target="http://www.secretariasenado.gov.co/senado/basedoc/ley_2056_2020.html" TargetMode="External"/><Relationship Id="rId6" Type="http://schemas.openxmlformats.org/officeDocument/2006/relationships/hyperlink" Target="http://www.secretariasenado.gov.co/senado/basedoc/decreto_0252_2020.html" TargetMode="External"/><Relationship Id="rId5" Type="http://schemas.openxmlformats.org/officeDocument/2006/relationships/hyperlink" Target="http://www.secretariasenado.gov.co/senado/basedoc/decreto_1088_1993.html" TargetMode="External"/><Relationship Id="rId4" Type="http://schemas.openxmlformats.org/officeDocument/2006/relationships/hyperlink" Target="http://www.secretariasenado.gov.co/senado/basedoc/ley_2056_202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BBAB4-8F2C-44C5-9D17-7DDE3C37743B}"/>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5544</Words>
  <Characters>30493</Characters>
  <Application>Microsoft Office Word</Application>
  <DocSecurity>0</DocSecurity>
  <Lines>254</Lines>
  <Paragraphs>71</Paragraphs>
  <ScaleCrop>false</ScaleCrop>
  <Company/>
  <LinksUpToDate>false</LinksUpToDate>
  <CharactersWithSpaces>35966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2</cp:revision>
  <cp:lastPrinted>2023-01-10T21:18:00Z</cp:lastPrinted>
  <dcterms:created xsi:type="dcterms:W3CDTF">2026-09-09T19:18:00Z</dcterms:created>
  <dcterms:modified xsi:type="dcterms:W3CDTF">2026-09-09T19:18:00Z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