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8ADB3"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CRONOGRAMA – Definición – Documentos que deben contenerlo</w:t>
      </w:r>
    </w:p>
    <w:p w14:paraId="53ECA5A3" w14:textId="77777777" w:rsidR="004A0841" w:rsidRDefault="004A0841" w:rsidP="00751DE8">
      <w:pPr>
        <w:spacing w:after="0" w:line="240" w:lineRule="auto"/>
        <w:jc w:val="both"/>
        <w:rPr>
          <w:rFonts w:ascii="Verdana" w:hAnsi="Verdana" w:cs="Arial"/>
          <w:b/>
          <w:bCs/>
          <w:color w:val="000000"/>
          <w:lang w:val="es-ES"/>
        </w:rPr>
      </w:pPr>
    </w:p>
    <w:p w14:paraId="389B3090"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cronograma es el documento en el cual la Entidad Estatal establece las fechas, horas y plazos para las actividades propias del Proceso de Contratación y el lugar en que deben llevarse a cabo. El Decreto 1082 de 2015 lo exige como contenido mínimo de tres documentos distintos: el aviso de convocatoria –numeral 12 del artículo 2.2.1.1.2.1.2–, el pliego de condiciones –artículo 2.2.1.1.2.1.3– y el acto administrativo de apertura del proceso de selección –numeral 3 del artículo 2.2.1.1.2.1.5–. Se trata de exigencias reglamentarias imperativas que la entidad no puede omitir.</w:t>
      </w:r>
    </w:p>
    <w:p w14:paraId="34A2CFB1" w14:textId="77777777" w:rsidR="004A0841" w:rsidRDefault="004A0841" w:rsidP="00751DE8">
      <w:pPr>
        <w:spacing w:after="0" w:line="240" w:lineRule="auto"/>
        <w:jc w:val="both"/>
        <w:rPr>
          <w:rFonts w:ascii="Verdana" w:hAnsi="Verdana" w:cs="Arial"/>
          <w:b/>
          <w:bCs/>
          <w:color w:val="000000"/>
          <w:lang w:val="es-ES"/>
        </w:rPr>
      </w:pPr>
    </w:p>
    <w:p w14:paraId="650688CC"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CRONOGRAMA – SECOP II – Publicidad y contenido son deberes distintos</w:t>
      </w:r>
    </w:p>
    <w:p w14:paraId="46BAEF99" w14:textId="77777777" w:rsidR="004A0841" w:rsidRDefault="004A0841" w:rsidP="00751DE8">
      <w:pPr>
        <w:spacing w:after="0" w:line="240" w:lineRule="auto"/>
        <w:jc w:val="both"/>
        <w:rPr>
          <w:rFonts w:ascii="Verdana" w:hAnsi="Verdana" w:cs="Arial"/>
          <w:b/>
          <w:bCs/>
          <w:color w:val="000000"/>
          <w:lang w:val="es-ES"/>
        </w:rPr>
      </w:pPr>
    </w:p>
    <w:p w14:paraId="0C86933B"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deber de incorporar el cronograma en el aviso de convocatoria, en el pliego de condiciones y en el acto de apertura no se satisface con su configuración en la sección de información general de la plataforma. El contenido mínimo que el reglamento exige de cada documento y la publicidad de la actuación son deberes distintos y concurrentes: la publicación no dispensa del contenido, ni el contenido dispensa de la publicación. Lo anterior sin perjuicio de que, en el SECOP II, los formularios electrónicos diligenciados por la entidad integran los documentos del proceso.</w:t>
      </w:r>
    </w:p>
    <w:p w14:paraId="21CAFF53" w14:textId="77777777" w:rsidR="004A0841" w:rsidRDefault="004A0841" w:rsidP="00751DE8">
      <w:pPr>
        <w:spacing w:after="0" w:line="240" w:lineRule="auto"/>
        <w:jc w:val="both"/>
        <w:rPr>
          <w:rFonts w:ascii="Verdana" w:hAnsi="Verdana" w:cs="Arial"/>
          <w:b/>
          <w:bCs/>
          <w:color w:val="000000"/>
          <w:lang w:val="es-ES"/>
        </w:rPr>
      </w:pPr>
    </w:p>
    <w:p w14:paraId="03B1D22C"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ADENDAS – Procedencia – Pliego definitivo – Proyecto de pliego de condiciones</w:t>
      </w:r>
    </w:p>
    <w:p w14:paraId="57D88C3E" w14:textId="77777777" w:rsidR="004A0841" w:rsidRDefault="004A0841" w:rsidP="00751DE8">
      <w:pPr>
        <w:spacing w:after="0" w:line="240" w:lineRule="auto"/>
        <w:jc w:val="both"/>
        <w:rPr>
          <w:rFonts w:ascii="Verdana" w:hAnsi="Verdana" w:cs="Arial"/>
          <w:b/>
          <w:bCs/>
          <w:color w:val="000000"/>
          <w:lang w:val="es-ES"/>
        </w:rPr>
      </w:pPr>
    </w:p>
    <w:p w14:paraId="29891173"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Las adendas son el instrumento para modificar el pliego de condiciones una vez publicado en su versión definitiva. Durante el término de publicación del proyecto de pliego no se expiden adendas, porque esa etapa está precisamente destinada a recibir observaciones cuyo resultado se incorpora en el pliego definitivo; el término para formularlas es de diez (10) días hábiles en la licitación pública y de cinco (5) en la selección abreviada y el concurso de méritos. Expedido el pliego definitivo, toda modificación del cronograma requiere adenda publicada.</w:t>
      </w:r>
    </w:p>
    <w:p w14:paraId="0A6F23F9" w14:textId="77777777" w:rsidR="004A0841" w:rsidRDefault="004A0841" w:rsidP="00751DE8">
      <w:pPr>
        <w:spacing w:after="0" w:line="240" w:lineRule="auto"/>
        <w:jc w:val="both"/>
        <w:rPr>
          <w:rFonts w:ascii="Verdana" w:hAnsi="Verdana" w:cs="Arial"/>
          <w:b/>
          <w:bCs/>
          <w:color w:val="000000"/>
          <w:lang w:val="es-ES"/>
        </w:rPr>
      </w:pPr>
    </w:p>
    <w:p w14:paraId="64C3CDF6"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ADENDAS – Modificación del cronograma – Límites temporales y de justificación</w:t>
      </w:r>
    </w:p>
    <w:p w14:paraId="46C153A6" w14:textId="77777777" w:rsidR="004A0841" w:rsidRDefault="004A0841" w:rsidP="00751DE8">
      <w:pPr>
        <w:spacing w:after="0" w:line="240" w:lineRule="auto"/>
        <w:jc w:val="both"/>
        <w:rPr>
          <w:rFonts w:ascii="Verdana" w:hAnsi="Verdana" w:cs="Arial"/>
          <w:b/>
          <w:bCs/>
          <w:color w:val="000000"/>
          <w:lang w:val="es-ES"/>
        </w:rPr>
      </w:pPr>
    </w:p>
    <w:p w14:paraId="01B2D5C2"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Deben distinguirse dos tipos de adendas: las referidas a las condiciones técnicas, jurídicas y económicas del pliego, que solo proceden antes del vencimiento del plazo para presentar ofertas, y las del cronograma, que también pueden expedirse después del cierre y antes de la adjudicación, caso en el cual únicamente pueden modificar los plazos de etapas aún no vencidas. Su publicación debe hacerse con tres (3) días hábiles de anticipación en la licitación pública y con un (1) día hábil en las demás modalidades. Toda adenda debe contener la justificación clara de la modificación.</w:t>
      </w:r>
    </w:p>
    <w:p w14:paraId="44BF2DC5" w14:textId="77777777" w:rsidR="004A0841" w:rsidRDefault="004A0841" w:rsidP="00751DE8">
      <w:pPr>
        <w:spacing w:after="0" w:line="240" w:lineRule="auto"/>
        <w:jc w:val="both"/>
        <w:rPr>
          <w:rFonts w:ascii="Verdana" w:hAnsi="Verdana" w:cs="Arial"/>
          <w:b/>
          <w:bCs/>
          <w:color w:val="000000"/>
          <w:lang w:val="es-ES"/>
        </w:rPr>
      </w:pPr>
    </w:p>
    <w:p w14:paraId="754BC48B"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lastRenderedPageBreak/>
        <w:t>PUBLICIDAD EN EL SECOP – Documentos y actos del proceso – Plazo de tres días</w:t>
      </w:r>
    </w:p>
    <w:p w14:paraId="76C00181" w14:textId="77777777" w:rsidR="004A0841" w:rsidRDefault="004A0841" w:rsidP="00751DE8">
      <w:pPr>
        <w:spacing w:after="0" w:line="240" w:lineRule="auto"/>
        <w:jc w:val="both"/>
        <w:rPr>
          <w:rFonts w:ascii="Verdana" w:hAnsi="Verdana" w:cs="Arial"/>
          <w:b/>
          <w:bCs/>
          <w:color w:val="000000"/>
          <w:lang w:val="es-ES"/>
        </w:rPr>
      </w:pPr>
    </w:p>
    <w:p w14:paraId="3F069931"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La entidad estatal debe publicar en el SECOP los documentos del proceso y los actos administrativos del Proceso de Contratación dentro de los tres (3) días siguientes a su expedición. En el SECOP II, por su carácter transaccional, la información registrada está disponible en tiempo real y la publicidad es concomitante al desarrollo de cada etapa; no obstante, respecto de los documentos que no se generan en línea sino que se elaboran por fuera de la plataforma y luego se cargan, se aplica la misma regla de los tres (3) días.</w:t>
      </w:r>
    </w:p>
    <w:p w14:paraId="7B2FB2DB" w14:textId="77777777" w:rsidR="004A0841" w:rsidRDefault="004A0841" w:rsidP="00751DE8">
      <w:pPr>
        <w:spacing w:after="0" w:line="240" w:lineRule="auto"/>
        <w:jc w:val="both"/>
        <w:rPr>
          <w:rFonts w:ascii="Verdana" w:hAnsi="Verdana" w:cs="Arial"/>
          <w:b/>
          <w:bCs/>
          <w:color w:val="000000"/>
          <w:lang w:val="es-ES"/>
        </w:rPr>
      </w:pPr>
    </w:p>
    <w:p w14:paraId="6FED7564"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OBSERVACIONES AL INFORME DE EVALUACIÓN – Deber de respuesta previa a la adjudicación</w:t>
      </w:r>
    </w:p>
    <w:p w14:paraId="03BD6482" w14:textId="77777777" w:rsidR="004A0841" w:rsidRDefault="004A0841" w:rsidP="00751DE8">
      <w:pPr>
        <w:spacing w:after="0" w:line="240" w:lineRule="auto"/>
        <w:jc w:val="both"/>
        <w:rPr>
          <w:rFonts w:ascii="Verdana" w:hAnsi="Verdana" w:cs="Arial"/>
          <w:b/>
          <w:bCs/>
          <w:color w:val="000000"/>
          <w:lang w:val="es-ES"/>
        </w:rPr>
      </w:pPr>
    </w:p>
    <w:p w14:paraId="13C5875A"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Aunque el ordenamiento no fija un plazo expreso para que la entidad se pronuncie sobre las observaciones formuladas al informe de evaluación, sí establece un límite infranqueable: la entidad debe responderlas antes de proferir la decisión de adjudicación. Ese deber es manifestación de los principios de transparencia y del derecho de contradicción, pues las etapas del procedimiento están dispuestas para que los interesados conozcan y controviertan los informes y decisiones antes de que la selección se consolide.</w:t>
      </w:r>
    </w:p>
    <w:p w14:paraId="1BE63D0C" w14:textId="77777777" w:rsidR="004A0841" w:rsidRDefault="004A0841" w:rsidP="00751DE8">
      <w:pPr>
        <w:spacing w:after="0" w:line="240" w:lineRule="auto"/>
        <w:jc w:val="both"/>
        <w:rPr>
          <w:rFonts w:ascii="Verdana" w:hAnsi="Verdana" w:cs="Arial"/>
          <w:b/>
          <w:bCs/>
          <w:color w:val="000000"/>
          <w:lang w:val="es-ES"/>
        </w:rPr>
      </w:pPr>
    </w:p>
    <w:p w14:paraId="6AC0B56C" w14:textId="77777777" w:rsidR="004A0841" w:rsidRPr="004A0841" w:rsidRDefault="004A0841" w:rsidP="00751DE8">
      <w:pPr>
        <w:spacing w:after="0" w:line="240" w:lineRule="auto"/>
        <w:jc w:val="both"/>
        <w:rPr>
          <w:rFonts w:ascii="Verdana" w:hAnsi="Verdana" w:cs="Arial"/>
          <w:b/>
          <w:bCs/>
          <w:color w:val="000000"/>
          <w:lang w:val="es-ES"/>
        </w:rPr>
      </w:pPr>
      <w:r w:rsidRPr="004A0841">
        <w:rPr>
          <w:rFonts w:ascii="Verdana" w:hAnsi="Verdana" w:cs="Arial"/>
          <w:b/>
          <w:bCs/>
          <w:color w:val="000000"/>
          <w:lang w:val="es-ES"/>
        </w:rPr>
        <w:t>ACTUACIONES PREVIAS A LA ADJUDICACIÓN – Declaratoria de desierta – Revocación del acto de apertura</w:t>
      </w:r>
    </w:p>
    <w:p w14:paraId="7DFCD5AF" w14:textId="77777777" w:rsidR="004A0841" w:rsidRDefault="004A0841" w:rsidP="00751DE8">
      <w:pPr>
        <w:spacing w:after="0" w:line="240" w:lineRule="auto"/>
        <w:jc w:val="both"/>
        <w:rPr>
          <w:rFonts w:ascii="Verdana" w:hAnsi="Verdana" w:cs="Arial"/>
          <w:b/>
          <w:bCs/>
          <w:color w:val="000000"/>
          <w:lang w:val="es-ES"/>
        </w:rPr>
      </w:pPr>
    </w:p>
    <w:p w14:paraId="679E9887" w14:textId="77777777" w:rsidR="004A0841" w:rsidRPr="004A0841" w:rsidRDefault="004A0841" w:rsidP="00751DE8">
      <w:pPr>
        <w:spacing w:after="0" w:line="240" w:lineRule="auto"/>
        <w:jc w:val="both"/>
        <w:rPr>
          <w:rFonts w:ascii="Verdana" w:hAnsi="Verdana" w:cs="Arial"/>
          <w:bCs/>
          <w:color w:val="000000"/>
          <w:sz w:val="20"/>
          <w:lang w:val="es-ES"/>
        </w:rPr>
      </w:pPr>
      <w:r>
        <w:rPr>
          <w:rFonts w:ascii="Verdana" w:hAnsi="Verdana" w:cs="Arial"/>
          <w:bCs/>
          <w:color w:val="000000"/>
          <w:sz w:val="20"/>
          <w:lang w:val="es-ES"/>
        </w:rPr>
        <w:t>Cuando la entidad advierte, antes de adjudicar, circunstancias que impiden una escogencia objetiva, el ordenamiento le ofrece la declaratoria de desierta del numeral 18 del artículo 25 de la Ley 80 de 1993, que procede únicamente por motivos o causas que impidan la escogencia objetiva y debe adoptarse mediante acto administrativo que exprese en forma detallada las razones. En cuanto a la revocación directa del acto de apertura, el Decreto 1082 de 2015 no la reguló y la jurisprudencia de la Sección Tercera del Consejo de Estado ha formulado cuatro tesis distintas para el momento posterior a la presentación de ofertas, sin que exista una posición unificada.</w:t>
      </w:r>
    </w:p>
    <w:p w14:paraId="4A4E59EB" w14:textId="77777777" w:rsidR="004A0841" w:rsidRDefault="004A0841" w:rsidP="00751DE8">
      <w:pPr>
        <w:spacing w:after="0" w:line="240" w:lineRule="auto"/>
        <w:jc w:val="both"/>
        <w:rPr>
          <w:rFonts w:ascii="Verdana" w:hAnsi="Verdana" w:cs="Arial"/>
          <w:b/>
          <w:bCs/>
          <w:color w:val="000000"/>
          <w:lang w:val="es-ES"/>
        </w:rPr>
      </w:pPr>
    </w:p>
    <w:p w14:paraId="3ADC7545" w14:textId="77777777" w:rsidR="00E1449C" w:rsidRDefault="00E1449C" w:rsidP="00662087">
      <w:pPr>
        <w:spacing w:after="0" w:line="240" w:lineRule="auto"/>
        <w:rPr>
          <w:rFonts w:ascii="Verdana" w:eastAsia="Verdana" w:hAnsi="Verdana" w:cs="Verdana"/>
        </w:rPr>
      </w:pPr>
    </w:p>
    <w:p w14:paraId="368BBD4C" w14:textId="77777777" w:rsidR="00E1449C" w:rsidRDefault="00E1449C" w:rsidP="00662087">
      <w:pPr>
        <w:spacing w:after="0" w:line="240" w:lineRule="auto"/>
        <w:rPr>
          <w:rFonts w:ascii="Verdana" w:eastAsia="Verdana" w:hAnsi="Verdana" w:cs="Verdana"/>
        </w:rPr>
      </w:pPr>
    </w:p>
    <w:p w14:paraId="29E9CF4C" w14:textId="77777777" w:rsidR="00E1449C" w:rsidRDefault="00E1449C" w:rsidP="00662087">
      <w:pPr>
        <w:spacing w:after="0" w:line="240" w:lineRule="auto"/>
        <w:rPr>
          <w:rFonts w:ascii="Verdana" w:eastAsia="Verdana" w:hAnsi="Verdana" w:cs="Verdana"/>
        </w:rPr>
      </w:pPr>
    </w:p>
    <w:p w14:paraId="09C2636A" w14:textId="77777777" w:rsidR="00E1449C" w:rsidRDefault="00E1449C" w:rsidP="00662087">
      <w:pPr>
        <w:spacing w:after="0" w:line="240" w:lineRule="auto"/>
        <w:rPr>
          <w:rFonts w:ascii="Verdana" w:eastAsia="Verdana" w:hAnsi="Verdana" w:cs="Verdana"/>
        </w:rPr>
      </w:pPr>
    </w:p>
    <w:p w14:paraId="016C93F5" w14:textId="77777777" w:rsidR="00E1449C" w:rsidRDefault="00E1449C" w:rsidP="00662087">
      <w:pPr>
        <w:spacing w:after="0" w:line="240" w:lineRule="auto"/>
        <w:rPr>
          <w:rFonts w:ascii="Verdana" w:eastAsia="Verdana" w:hAnsi="Verdana" w:cs="Verdana"/>
        </w:rPr>
      </w:pPr>
    </w:p>
    <w:p w14:paraId="3D74C531" w14:textId="77777777" w:rsidR="00E1449C" w:rsidRDefault="00E1449C" w:rsidP="00662087">
      <w:pPr>
        <w:spacing w:after="0" w:line="240" w:lineRule="auto"/>
        <w:rPr>
          <w:rFonts w:ascii="Verdana" w:eastAsia="Verdana" w:hAnsi="Verdana" w:cs="Verdana"/>
        </w:rPr>
      </w:pPr>
    </w:p>
    <w:p w14:paraId="43BDC291" w14:textId="77777777" w:rsidR="00E1449C" w:rsidRDefault="00E1449C" w:rsidP="00662087">
      <w:pPr>
        <w:spacing w:after="0" w:line="240" w:lineRule="auto"/>
        <w:rPr>
          <w:rFonts w:ascii="Verdana" w:eastAsia="Verdana" w:hAnsi="Verdana" w:cs="Verdana"/>
        </w:rPr>
      </w:pPr>
    </w:p>
    <w:p w14:paraId="61DE0AD7" w14:textId="77777777" w:rsidR="00E1449C" w:rsidRDefault="00E1449C" w:rsidP="00662087">
      <w:pPr>
        <w:spacing w:after="0" w:line="240" w:lineRule="auto"/>
        <w:rPr>
          <w:rFonts w:ascii="Verdana" w:eastAsia="Verdana" w:hAnsi="Verdana" w:cs="Verdana"/>
        </w:rPr>
      </w:pPr>
    </w:p>
    <w:p w14:paraId="57410ECE" w14:textId="77777777" w:rsidR="002E14D6" w:rsidRDefault="002E14D6" w:rsidP="00D12F8B">
      <w:pPr>
        <w:spacing w:after="0" w:line="240" w:lineRule="auto"/>
        <w:jc w:val="both"/>
        <w:rPr>
          <w:rFonts w:ascii="Verdana" w:eastAsia="Verdana" w:hAnsi="Verdana" w:cs="Verdana"/>
        </w:rPr>
      </w:pPr>
    </w:p>
    <w:p w14:paraId="2F07E9B0" w14:textId="530A8FF2" w:rsidR="00D12F8B" w:rsidRDefault="00D12F8B" w:rsidP="00D12F8B">
      <w:pPr>
        <w:spacing w:after="0" w:line="240" w:lineRule="auto"/>
        <w:jc w:val="both"/>
        <w:rPr>
          <w:rFonts w:ascii="Verdana" w:eastAsia="Geomanist Light" w:hAnsi="Verdana" w:cs="Arial"/>
          <w:color w:val="000000" w:themeColor="text1"/>
          <w:lang w:val="es-MX"/>
        </w:rPr>
      </w:pPr>
      <w:r w:rsidRPr="00BF7921">
        <w:rPr>
          <w:rFonts w:ascii="Verdana" w:eastAsia="Geomanist Light" w:hAnsi="Verdana" w:cs="Arial"/>
          <w:color w:val="000000" w:themeColor="text1"/>
          <w:lang w:val="es-MX"/>
        </w:rPr>
        <w:lastRenderedPageBreak/>
        <w:t xml:space="preserve">Bogotá D.C., </w:t>
      </w:r>
      <w:r w:rsidR="005C2EA8">
        <w:rPr>
          <w:rFonts w:ascii="Verdana" w:eastAsia="Geomanist Light" w:hAnsi="Verdana" w:cs="Arial"/>
          <w:color w:val="000000" w:themeColor="text1"/>
          <w:lang w:val="es-MX"/>
        </w:rPr>
        <w:t xml:space="preserve">08 </w:t>
      </w:r>
      <w:r w:rsidRPr="00BF7921">
        <w:rPr>
          <w:rFonts w:ascii="Verdana" w:eastAsia="Geomanist Light" w:hAnsi="Verdana" w:cs="Arial"/>
          <w:color w:val="000000" w:themeColor="text1"/>
          <w:lang w:val="es-MX"/>
        </w:rPr>
        <w:t xml:space="preserve">de </w:t>
      </w:r>
      <w:r w:rsidR="005C2EA8">
        <w:rPr>
          <w:rFonts w:ascii="Verdana" w:eastAsia="Geomanist Light" w:hAnsi="Verdana" w:cs="Arial"/>
          <w:color w:val="000000" w:themeColor="text1"/>
          <w:lang w:val="es-MX"/>
        </w:rPr>
        <w:t>septiembre</w:t>
      </w:r>
      <w:r w:rsidRPr="00BF7921">
        <w:rPr>
          <w:rFonts w:ascii="Verdana" w:eastAsia="Geomanist Light" w:hAnsi="Verdana" w:cs="Arial"/>
          <w:color w:val="000000" w:themeColor="text1"/>
          <w:lang w:val="es-MX"/>
        </w:rPr>
        <w:t xml:space="preserve"> de </w:t>
      </w:r>
      <w:r w:rsidR="005C2EA8">
        <w:rPr>
          <w:rFonts w:ascii="Verdana" w:eastAsia="Geomanist Light" w:hAnsi="Verdana" w:cs="Arial"/>
          <w:color w:val="000000" w:themeColor="text1"/>
          <w:lang w:val="es-MX"/>
        </w:rPr>
        <w:t>2026</w:t>
      </w:r>
    </w:p>
    <w:p w14:paraId="778AC5E7" w14:textId="77777777" w:rsidR="005C2EA8" w:rsidRDefault="005C2EA8" w:rsidP="00D12F8B">
      <w:pPr>
        <w:spacing w:after="0" w:line="240" w:lineRule="auto"/>
        <w:jc w:val="both"/>
        <w:rPr>
          <w:rFonts w:ascii="Verdana" w:eastAsia="Geomanist Light" w:hAnsi="Verdana" w:cs="Arial"/>
          <w:color w:val="000000" w:themeColor="text1"/>
          <w:lang w:val="es-MX"/>
        </w:rPr>
      </w:pPr>
    </w:p>
    <w:p w14:paraId="561536FF" w14:textId="1F765F64" w:rsidR="005C2EA8" w:rsidRDefault="005C2EA8" w:rsidP="005C2EA8">
      <w:pPr>
        <w:spacing w:after="0" w:line="240" w:lineRule="auto"/>
        <w:jc w:val="right"/>
        <w:rPr>
          <w:rFonts w:ascii="Verdana" w:eastAsia="Calibri" w:hAnsi="Verdana" w:cs="Arial"/>
          <w:color w:val="000000"/>
          <w:lang w:val="es-ES"/>
        </w:rPr>
      </w:pPr>
      <w:r w:rsidRPr="005C2EA8">
        <w:rPr>
          <w:rFonts w:ascii="Verdana" w:eastAsia="Calibri" w:hAnsi="Verdana" w:cs="Arial"/>
          <w:noProof/>
          <w:color w:val="000000"/>
          <w:lang w:val="es-ES"/>
        </w:rPr>
        <w:drawing>
          <wp:anchor distT="0" distB="0" distL="114300" distR="114300" simplePos="0" relativeHeight="251658240" behindDoc="0" locked="0" layoutInCell="1" allowOverlap="1" wp14:anchorId="1B364AB5" wp14:editId="5158B452">
            <wp:simplePos x="0" y="0"/>
            <wp:positionH relativeFrom="margin">
              <wp:align>right</wp:align>
            </wp:positionH>
            <wp:positionV relativeFrom="paragraph">
              <wp:posOffset>6350</wp:posOffset>
            </wp:positionV>
            <wp:extent cx="2711450" cy="802640"/>
            <wp:effectExtent l="0" t="0" r="0" b="0"/>
            <wp:wrapSquare wrapText="bothSides"/>
            <wp:docPr id="1614855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85517" name=""/>
                    <pic:cNvPicPr/>
                  </pic:nvPicPr>
                  <pic:blipFill>
                    <a:blip r:embed="rId11">
                      <a:extLst>
                        <a:ext uri="{28A0092B-C50C-407E-A947-70E740481C1C}">
                          <a14:useLocalDpi xmlns:a14="http://schemas.microsoft.com/office/drawing/2010/main" val="0"/>
                        </a:ext>
                      </a:extLst>
                    </a:blip>
                    <a:stretch>
                      <a:fillRect/>
                    </a:stretch>
                  </pic:blipFill>
                  <pic:spPr>
                    <a:xfrm>
                      <a:off x="0" y="0"/>
                      <a:ext cx="2711450" cy="802640"/>
                    </a:xfrm>
                    <a:prstGeom prst="rect">
                      <a:avLst/>
                    </a:prstGeom>
                  </pic:spPr>
                </pic:pic>
              </a:graphicData>
            </a:graphic>
            <wp14:sizeRelH relativeFrom="margin">
              <wp14:pctWidth>0</wp14:pctWidth>
            </wp14:sizeRelH>
            <wp14:sizeRelV relativeFrom="margin">
              <wp14:pctHeight>0</wp14:pctHeight>
            </wp14:sizeRelV>
          </wp:anchor>
        </w:drawing>
      </w:r>
    </w:p>
    <w:p w14:paraId="72EE5134" w14:textId="77777777" w:rsidR="00662087" w:rsidRPr="002B4BE9" w:rsidRDefault="00662087" w:rsidP="00662087">
      <w:pPr>
        <w:spacing w:after="0" w:line="240" w:lineRule="auto"/>
        <w:rPr>
          <w:rFonts w:ascii="Verdana" w:hAnsi="Verdana"/>
        </w:rPr>
      </w:pPr>
    </w:p>
    <w:p w14:paraId="3BAE20B7" w14:textId="77777777" w:rsidR="00662087" w:rsidRPr="00524422" w:rsidRDefault="00662087" w:rsidP="00662087">
      <w:pPr>
        <w:spacing w:after="0" w:line="240" w:lineRule="auto"/>
        <w:rPr>
          <w:rFonts w:ascii="Verdana" w:eastAsia="Calibri" w:hAnsi="Verdana" w:cs="Times New Roman"/>
          <w:lang w:val="es-MX"/>
        </w:rPr>
      </w:pPr>
      <w:r w:rsidRPr="00524422">
        <w:rPr>
          <w:rFonts w:ascii="Verdana" w:eastAsia="Calibri" w:hAnsi="Verdana" w:cs="Times New Roman"/>
          <w:lang w:val="es-MX"/>
        </w:rPr>
        <w:t>Señor</w:t>
      </w:r>
    </w:p>
    <w:p w14:paraId="2229EAD1" w14:textId="77777777" w:rsidR="00662087" w:rsidRPr="00D12F8B" w:rsidRDefault="00662087" w:rsidP="00662087">
      <w:pPr>
        <w:spacing w:after="0" w:line="240" w:lineRule="auto"/>
        <w:rPr>
          <w:rFonts w:ascii="Verdana" w:eastAsia="Calibri" w:hAnsi="Verdana" w:cs="Times New Roman"/>
          <w:b/>
          <w:bCs/>
          <w:lang w:val="es-MX"/>
        </w:rPr>
      </w:pPr>
      <w:r w:rsidRPr="00D12F8B">
        <w:rPr>
          <w:rFonts w:ascii="Verdana" w:eastAsia="Calibri" w:hAnsi="Verdana" w:cs="Times New Roman"/>
          <w:b/>
          <w:bCs/>
          <w:lang w:val="es-MX"/>
        </w:rPr>
        <w:t>ESNEIDER MUÑOZ ROJAS</w:t>
      </w:r>
    </w:p>
    <w:p w14:paraId="3D2221B4" w14:textId="77777777" w:rsidR="00662087" w:rsidRPr="00524422" w:rsidRDefault="00662087" w:rsidP="00662087">
      <w:pPr>
        <w:spacing w:after="0" w:line="240" w:lineRule="auto"/>
        <w:rPr>
          <w:rFonts w:ascii="Verdana" w:eastAsia="Calibri" w:hAnsi="Verdana" w:cs="Times New Roman"/>
          <w:lang w:val="es-MX"/>
        </w:rPr>
      </w:pPr>
      <w:r w:rsidRPr="00524422">
        <w:rPr>
          <w:rFonts w:ascii="Verdana" w:eastAsia="Calibri" w:hAnsi="Verdana" w:cs="Times New Roman"/>
          <w:lang w:val="es-MX"/>
        </w:rPr>
        <w:t>Representante legal</w:t>
      </w:r>
    </w:p>
    <w:p w14:paraId="6173BEB2" w14:textId="77777777" w:rsidR="00662087" w:rsidRPr="00524422" w:rsidRDefault="00662087" w:rsidP="00662087">
      <w:pPr>
        <w:spacing w:after="0" w:line="240" w:lineRule="auto"/>
        <w:rPr>
          <w:rFonts w:ascii="Verdana" w:eastAsia="Calibri" w:hAnsi="Verdana" w:cs="Times New Roman"/>
          <w:lang w:val="es-MX"/>
        </w:rPr>
      </w:pPr>
      <w:r w:rsidRPr="00524422">
        <w:rPr>
          <w:rFonts w:ascii="Verdana" w:eastAsia="Calibri" w:hAnsi="Verdana" w:cs="Times New Roman"/>
          <w:lang w:val="es-MX"/>
        </w:rPr>
        <w:t>Veeduría Transparencia Ciudadana y Control Social sobre la Gestión Pública</w:t>
      </w:r>
    </w:p>
    <w:p w14:paraId="3067975E" w14:textId="77777777" w:rsidR="00662087" w:rsidRPr="00524422" w:rsidRDefault="00662087" w:rsidP="00662087">
      <w:pPr>
        <w:spacing w:after="0" w:line="240" w:lineRule="auto"/>
        <w:rPr>
          <w:rFonts w:ascii="Verdana" w:eastAsia="Calibri" w:hAnsi="Verdana" w:cs="Times New Roman"/>
          <w:lang w:val="es-MX"/>
        </w:rPr>
      </w:pPr>
      <w:r w:rsidRPr="00524422">
        <w:rPr>
          <w:rFonts w:ascii="Verdana" w:eastAsia="Calibri" w:hAnsi="Verdana" w:cs="Times New Roman"/>
          <w:lang w:val="es-MX"/>
        </w:rPr>
        <w:t>veeduria001gestionpublica@gmail.com</w:t>
      </w:r>
    </w:p>
    <w:p w14:paraId="1126CFC9" w14:textId="77777777" w:rsidR="00662087" w:rsidRPr="00524422" w:rsidRDefault="00662087" w:rsidP="00662087">
      <w:pPr>
        <w:spacing w:after="0" w:line="240" w:lineRule="auto"/>
        <w:rPr>
          <w:rFonts w:ascii="Verdana" w:eastAsia="Calibri" w:hAnsi="Verdana" w:cs="Times New Roman"/>
          <w:lang w:val="es-MX"/>
        </w:rPr>
      </w:pPr>
      <w:r w:rsidRPr="00524422">
        <w:rPr>
          <w:rFonts w:ascii="Verdana" w:eastAsia="Calibri" w:hAnsi="Verdana" w:cs="Times New Roman"/>
          <w:lang w:val="es-MX"/>
        </w:rPr>
        <w:t>Villavicencio, Meta</w:t>
      </w:r>
    </w:p>
    <w:p w14:paraId="18FE154F" w14:textId="77777777" w:rsidR="00662087" w:rsidRPr="002B4BE9" w:rsidRDefault="00662087" w:rsidP="00662087">
      <w:pPr>
        <w:spacing w:after="0" w:line="240" w:lineRule="auto"/>
        <w:rPr>
          <w:rFonts w:ascii="Verdana" w:eastAsia="Calibri" w:hAnsi="Verdana" w:cs="Times New Roman"/>
        </w:rPr>
      </w:pPr>
    </w:p>
    <w:p w14:paraId="66842F85" w14:textId="77777777" w:rsidR="00662087" w:rsidRPr="002B4BE9" w:rsidRDefault="00662087" w:rsidP="00662087">
      <w:pPr>
        <w:spacing w:after="0" w:line="240" w:lineRule="auto"/>
        <w:rPr>
          <w:rFonts w:ascii="Verdana" w:eastAsia="Calibri" w:hAnsi="Verdana" w:cs="Times New Roman"/>
        </w:rPr>
      </w:pPr>
    </w:p>
    <w:p w14:paraId="781FE784" w14:textId="00BED971" w:rsidR="00662087" w:rsidRPr="002B4BE9" w:rsidRDefault="00662087" w:rsidP="00D12F8B">
      <w:pPr>
        <w:spacing w:after="0" w:line="240" w:lineRule="auto"/>
        <w:rPr>
          <w:rFonts w:ascii="Verdana" w:eastAsia="Calibri" w:hAnsi="Verdana" w:cs="Times New Roman"/>
          <w:b/>
          <w:bCs/>
          <w:lang w:val="es-ES"/>
        </w:rPr>
      </w:pPr>
      <w:r w:rsidRPr="002B4BE9">
        <w:rPr>
          <w:rFonts w:ascii="Verdana" w:eastAsia="Calibri" w:hAnsi="Verdana" w:cs="Times New Roman"/>
          <w:b/>
          <w:bCs/>
          <w:lang w:val="es-ES"/>
        </w:rPr>
        <w:t xml:space="preserve">                    </w:t>
      </w:r>
      <w:r>
        <w:rPr>
          <w:rFonts w:ascii="Verdana" w:eastAsia="Calibri" w:hAnsi="Verdana" w:cs="Times New Roman"/>
          <w:b/>
          <w:bCs/>
          <w:lang w:val="es-ES"/>
        </w:rPr>
        <w:t xml:space="preserve">                Concepto </w:t>
      </w:r>
      <w:r w:rsidR="00D12F8B" w:rsidRPr="00D12F8B">
        <w:rPr>
          <w:rFonts w:ascii="Verdana" w:eastAsia="Calibri" w:hAnsi="Verdana" w:cs="Times New Roman"/>
          <w:b/>
          <w:bCs/>
          <w:lang w:val="es-ES"/>
        </w:rPr>
        <w:t>C-1195</w:t>
      </w:r>
      <w:r w:rsidR="00D12F8B">
        <w:rPr>
          <w:rFonts w:ascii="Verdana" w:eastAsia="Calibri" w:hAnsi="Verdana" w:cs="Times New Roman"/>
          <w:b/>
          <w:bCs/>
          <w:lang w:val="es-ES"/>
        </w:rPr>
        <w:t xml:space="preserve"> </w:t>
      </w:r>
      <w:r>
        <w:rPr>
          <w:rFonts w:ascii="Verdana" w:eastAsia="Calibri" w:hAnsi="Verdana" w:cs="Times New Roman"/>
          <w:b/>
          <w:bCs/>
          <w:lang w:val="es-ES"/>
        </w:rPr>
        <w:t>de 2026</w:t>
      </w:r>
    </w:p>
    <w:p w14:paraId="7B01A9DC" w14:textId="77777777" w:rsidR="00662087" w:rsidRPr="002B4BE9" w:rsidRDefault="00662087" w:rsidP="00662087">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662087" w:rsidRPr="002B4BE9" w14:paraId="307712B1" w14:textId="77777777" w:rsidTr="002A4618">
        <w:trPr>
          <w:trHeight w:val="645"/>
        </w:trPr>
        <w:tc>
          <w:tcPr>
            <w:tcW w:w="2685" w:type="dxa"/>
            <w:hideMark/>
          </w:tcPr>
          <w:p w14:paraId="09DE6751" w14:textId="77777777" w:rsidR="00662087" w:rsidRPr="00403388" w:rsidRDefault="00662087" w:rsidP="002A4618">
            <w:pPr>
              <w:rPr>
                <w:rFonts w:ascii="Verdana" w:hAnsi="Verdana"/>
                <w:b/>
                <w:bCs/>
                <w:lang w:val="es-ES_tradnl"/>
              </w:rPr>
            </w:pPr>
            <w:r w:rsidRPr="00403388">
              <w:rPr>
                <w:rFonts w:ascii="Verdana" w:hAnsi="Verdana"/>
                <w:b/>
                <w:bCs/>
                <w:lang w:val="es-ES_tradnl"/>
              </w:rPr>
              <w:t xml:space="preserve">Temas:                  </w:t>
            </w:r>
          </w:p>
        </w:tc>
        <w:tc>
          <w:tcPr>
            <w:tcW w:w="6241" w:type="dxa"/>
            <w:hideMark/>
          </w:tcPr>
          <w:p w14:paraId="342E54C9" w14:textId="77777777" w:rsidR="00662087" w:rsidRPr="00403388" w:rsidRDefault="00662087" w:rsidP="002A4618">
            <w:pPr>
              <w:spacing w:line="276" w:lineRule="auto"/>
              <w:jc w:val="both"/>
              <w:rPr>
                <w:rFonts w:ascii="Verdana" w:hAnsi="Verdana" w:cs="Arial"/>
                <w:lang w:val="es-ES" w:eastAsia="es-ES"/>
              </w:rPr>
            </w:pPr>
            <w:r w:rsidRPr="001B49B3">
              <w:rPr>
                <w:rFonts w:ascii="Verdana" w:hAnsi="Verdana" w:cs="Arial"/>
                <w:bCs/>
                <w:color w:val="000000"/>
                <w:lang w:val="es-ES"/>
              </w:rPr>
              <w:t>CRONOGRAMA – Definición – Documentos que deben contenerlo / CRONOGRAMA – SECOP II – Publicidad y contenido son deberes distintos / ADENDAS – Procedencia – Pliego definitivo – Proyecto de pliego de condiciones / ADENDAS – Modificación del cronograma – Límites temporales / PUBLICIDAD EN EL SECOP – Plazo de tres días / OBSERVACIONES AL INFORME DE EVALUACIÓN – Deber de respuesta previa a la adjudicación / ACTUACIONES PREVIAS A LA ADJUDICACIÓN – Declaratoria de desierta – Revocación del acto de apertura</w:t>
            </w:r>
          </w:p>
        </w:tc>
        <w:tc>
          <w:tcPr>
            <w:tcW w:w="6237" w:type="dxa"/>
          </w:tcPr>
          <w:p w14:paraId="70776BFF" w14:textId="77777777" w:rsidR="00662087" w:rsidRPr="002B4BE9" w:rsidRDefault="00662087" w:rsidP="002A4618">
            <w:pPr>
              <w:rPr>
                <w:rFonts w:ascii="Verdana" w:hAnsi="Verdana"/>
                <w:lang w:val="es-ES"/>
              </w:rPr>
            </w:pPr>
          </w:p>
        </w:tc>
      </w:tr>
      <w:tr w:rsidR="00662087" w:rsidRPr="002B4BE9" w14:paraId="6CE496A9" w14:textId="77777777" w:rsidTr="002A4618">
        <w:tc>
          <w:tcPr>
            <w:tcW w:w="2685" w:type="dxa"/>
          </w:tcPr>
          <w:p w14:paraId="6314F048" w14:textId="77777777" w:rsidR="00662087" w:rsidRPr="002B4BE9" w:rsidRDefault="00662087" w:rsidP="002A4618">
            <w:pPr>
              <w:rPr>
                <w:rFonts w:ascii="Verdana" w:hAnsi="Verdana"/>
                <w:b/>
                <w:bCs/>
                <w:lang w:val="es-ES_tradnl"/>
              </w:rPr>
            </w:pPr>
          </w:p>
          <w:p w14:paraId="3552EE25" w14:textId="77777777" w:rsidR="00662087" w:rsidRPr="00995618" w:rsidRDefault="00662087" w:rsidP="002A4618">
            <w:pPr>
              <w:rPr>
                <w:rFonts w:ascii="Verdana" w:hAnsi="Verdana"/>
                <w:b/>
                <w:bCs/>
                <w:lang w:val="es-ES_tradnl"/>
              </w:rPr>
            </w:pPr>
            <w:r w:rsidRPr="002B4BE9">
              <w:rPr>
                <w:rFonts w:ascii="Verdana" w:hAnsi="Verdana"/>
                <w:b/>
                <w:bCs/>
                <w:lang w:val="es-ES_tradnl"/>
              </w:rPr>
              <w:t xml:space="preserve">Radicación:               </w:t>
            </w:r>
          </w:p>
        </w:tc>
        <w:tc>
          <w:tcPr>
            <w:tcW w:w="6241" w:type="dxa"/>
          </w:tcPr>
          <w:p w14:paraId="4986E22C" w14:textId="77777777" w:rsidR="00662087" w:rsidRPr="002B4BE9" w:rsidRDefault="00662087" w:rsidP="002A4618">
            <w:pPr>
              <w:spacing w:line="276" w:lineRule="auto"/>
              <w:jc w:val="both"/>
              <w:rPr>
                <w:rFonts w:ascii="Verdana" w:hAnsi="Verdana"/>
                <w:lang w:val="es-ES_tradnl"/>
              </w:rPr>
            </w:pPr>
          </w:p>
          <w:p w14:paraId="66D6A8BA" w14:textId="77777777" w:rsidR="00662087" w:rsidRDefault="00662087" w:rsidP="002A4618">
            <w:pPr>
              <w:spacing w:line="276" w:lineRule="auto"/>
              <w:jc w:val="both"/>
              <w:rPr>
                <w:rFonts w:ascii="Verdana" w:hAnsi="Verdana"/>
                <w:lang w:val="es-ES_tradnl"/>
              </w:rPr>
            </w:pPr>
            <w:r w:rsidRPr="002B4BE9">
              <w:rPr>
                <w:rFonts w:ascii="Verdana" w:hAnsi="Verdana"/>
                <w:lang w:val="es-ES_tradnl"/>
              </w:rPr>
              <w:t>Respuesta a consulta con radicado No. 1_2026_07_29_009977</w:t>
            </w:r>
          </w:p>
          <w:p w14:paraId="569F9EEE" w14:textId="77777777" w:rsidR="00632959" w:rsidRPr="002B4BE9" w:rsidRDefault="00632959" w:rsidP="002A4618">
            <w:pPr>
              <w:spacing w:line="276" w:lineRule="auto"/>
              <w:jc w:val="both"/>
              <w:rPr>
                <w:rFonts w:ascii="Verdana" w:hAnsi="Verdana"/>
                <w:lang w:val="es-ES_tradnl"/>
              </w:rPr>
            </w:pPr>
          </w:p>
        </w:tc>
        <w:tc>
          <w:tcPr>
            <w:tcW w:w="6237" w:type="dxa"/>
          </w:tcPr>
          <w:p w14:paraId="44A0EE59" w14:textId="77777777" w:rsidR="00662087" w:rsidRPr="002B4BE9" w:rsidRDefault="00662087" w:rsidP="002A4618">
            <w:pPr>
              <w:rPr>
                <w:rFonts w:ascii="Verdana" w:hAnsi="Verdana"/>
              </w:rPr>
            </w:pPr>
          </w:p>
        </w:tc>
      </w:tr>
    </w:tbl>
    <w:p w14:paraId="1874B26E" w14:textId="77777777" w:rsidR="00662087" w:rsidRPr="009037F6" w:rsidRDefault="00662087" w:rsidP="00662087">
      <w:pPr>
        <w:spacing w:after="0" w:line="256" w:lineRule="auto"/>
        <w:rPr>
          <w:rFonts w:ascii="Verdana" w:eastAsia="Calibri" w:hAnsi="Verdana" w:cs="Times New Roman"/>
          <w:lang w:val="es-ES"/>
        </w:rPr>
      </w:pPr>
      <w:r>
        <w:rPr>
          <w:rFonts w:ascii="Verdana" w:eastAsia="Calibri" w:hAnsi="Verdana" w:cs="Times New Roman"/>
          <w:lang w:val="es-ES"/>
        </w:rPr>
        <w:t>Estimado señor Muñoz:</w:t>
      </w:r>
    </w:p>
    <w:p w14:paraId="4FEDE221" w14:textId="77777777" w:rsidR="00662087" w:rsidRPr="009037F6" w:rsidRDefault="00662087" w:rsidP="00662087">
      <w:pPr>
        <w:spacing w:after="0" w:line="276" w:lineRule="auto"/>
        <w:rPr>
          <w:rFonts w:ascii="Verdana" w:eastAsia="Calibri" w:hAnsi="Verdana" w:cs="Times New Roman"/>
          <w:lang w:val="es-ES"/>
        </w:rPr>
      </w:pPr>
    </w:p>
    <w:p w14:paraId="7408E05B" w14:textId="49C84581" w:rsidR="003A26B0" w:rsidRDefault="00662087" w:rsidP="003A26B0">
      <w:pPr>
        <w:spacing w:after="120" w:line="276" w:lineRule="auto"/>
        <w:jc w:val="both"/>
        <w:rPr>
          <w:rFonts w:ascii="Verdana" w:eastAsia="Calibri" w:hAnsi="Verdana" w:cs="Times New Roman"/>
          <w:bCs/>
          <w:lang w:val="es-ES" w:bidi="es-ES"/>
        </w:rPr>
      </w:pPr>
      <w:r w:rsidRPr="009037F6">
        <w:rPr>
          <w:rFonts w:ascii="Verdana" w:eastAsia="Calibri" w:hAnsi="Verdana" w:cs="Times New Roman"/>
          <w:bCs/>
          <w:lang w:bidi="es-ES"/>
        </w:rPr>
        <w:t xml:space="preserve">La Agencia Nacional de Contratación Pública – Colombia Compra Eficiente –, en ejercicio de las competencias otorgadas por el numeral 5 del artículo 3 y el numeral 8 del artículo 11 del Decreto Ley 4170 de 2011, así como lo establecido en la Resolución 469 de 2025 </w:t>
      </w:r>
      <w:r w:rsidR="00632959">
        <w:rPr>
          <w:rFonts w:ascii="Verdana" w:eastAsia="Calibri" w:hAnsi="Verdana" w:cs="Times New Roman"/>
          <w:bCs/>
          <w:lang w:bidi="es-ES"/>
        </w:rPr>
        <w:t xml:space="preserve">y </w:t>
      </w:r>
      <w:r w:rsidR="00632959" w:rsidRPr="009037F6">
        <w:rPr>
          <w:rFonts w:ascii="Verdana" w:eastAsia="Calibri" w:hAnsi="Verdana" w:cs="Times New Roman"/>
          <w:bCs/>
          <w:lang w:bidi="es-ES"/>
        </w:rPr>
        <w:t>1822 de 2019</w:t>
      </w:r>
      <w:r w:rsidR="00632959">
        <w:rPr>
          <w:rFonts w:ascii="Verdana" w:eastAsia="Calibri" w:hAnsi="Verdana" w:cs="Times New Roman"/>
          <w:bCs/>
          <w:lang w:bidi="es-ES"/>
        </w:rPr>
        <w:t xml:space="preserve"> </w:t>
      </w:r>
      <w:r w:rsidRPr="009037F6">
        <w:rPr>
          <w:rFonts w:ascii="Verdana" w:eastAsia="Calibri" w:hAnsi="Verdana" w:cs="Times New Roman"/>
          <w:bCs/>
          <w:lang w:bidi="es-ES"/>
        </w:rPr>
        <w:t>expedida</w:t>
      </w:r>
      <w:r w:rsidR="00632959">
        <w:rPr>
          <w:rFonts w:ascii="Verdana" w:eastAsia="Calibri" w:hAnsi="Verdana" w:cs="Times New Roman"/>
          <w:bCs/>
          <w:lang w:bidi="es-ES"/>
        </w:rPr>
        <w:t>s</w:t>
      </w:r>
      <w:r w:rsidRPr="009037F6">
        <w:rPr>
          <w:rFonts w:ascii="Verdana" w:eastAsia="Calibri" w:hAnsi="Verdana" w:cs="Times New Roman"/>
          <w:bCs/>
          <w:lang w:bidi="es-ES"/>
        </w:rPr>
        <w:t xml:space="preserve"> por esta Entidad, responde su solicitud del 29 de julio de 2026, en la que formula seis interrogantes sobre la incorporación del cronograma en los documentos del </w:t>
      </w:r>
      <w:r w:rsidRPr="009037F6">
        <w:rPr>
          <w:rFonts w:ascii="Verdana" w:eastAsia="Calibri" w:hAnsi="Verdana" w:cs="Times New Roman"/>
          <w:bCs/>
          <w:lang w:bidi="es-ES"/>
        </w:rPr>
        <w:lastRenderedPageBreak/>
        <w:t>proceso, su modificación, la publicidad en el SECOP y las actuaciones previas a la adjudicación. Por su extensión, los interrogantes se transcriben en lo esencial:</w:t>
      </w:r>
    </w:p>
    <w:p w14:paraId="1393F122" w14:textId="77777777" w:rsidR="005648EC" w:rsidRDefault="00662087" w:rsidP="005648EC">
      <w:pPr>
        <w:tabs>
          <w:tab w:val="left" w:pos="709"/>
        </w:tabs>
        <w:spacing w:after="120" w:line="240" w:lineRule="auto"/>
        <w:ind w:left="709" w:right="709"/>
        <w:jc w:val="both"/>
        <w:rPr>
          <w:rFonts w:ascii="Verdana" w:hAnsi="Verdana" w:cs="Arial"/>
          <w:sz w:val="21"/>
          <w:szCs w:val="21"/>
          <w:lang w:val="es-ES" w:eastAsia="es-ES"/>
        </w:rPr>
      </w:pPr>
      <w:r w:rsidRPr="00294ADE">
        <w:rPr>
          <w:rFonts w:ascii="Verdana" w:hAnsi="Verdana" w:cs="Arial"/>
          <w:sz w:val="21"/>
          <w:szCs w:val="21"/>
          <w:lang w:val="es-ES" w:eastAsia="es-ES"/>
        </w:rPr>
        <w:t>“1- […] solicitamos se conceptúe cuáles son documentos que deben contener el Cronograma del Proceso. De igual forma se indique si la omisión de no incorporar el cronograma del proceso en los documentos tales como (Aviso de Convocatoria, Resolución de Apertura, Pliego de Condiciones Definitivo), se puede suplir con publicar en el Aparte de información general visible en la plataforma del SECOP II o es necesario la incorporación del cronograma en los citados documentos […].</w:t>
      </w:r>
    </w:p>
    <w:p w14:paraId="2D965263" w14:textId="77777777" w:rsidR="005648EC" w:rsidRDefault="00662087" w:rsidP="005648EC">
      <w:pPr>
        <w:tabs>
          <w:tab w:val="left" w:pos="709"/>
        </w:tabs>
        <w:spacing w:after="120" w:line="240" w:lineRule="auto"/>
        <w:ind w:left="709" w:right="709"/>
        <w:jc w:val="both"/>
        <w:rPr>
          <w:rFonts w:ascii="Verdana" w:hAnsi="Verdana" w:cs="Arial"/>
          <w:sz w:val="21"/>
          <w:szCs w:val="21"/>
          <w:lang w:val="es-ES" w:eastAsia="es-ES"/>
        </w:rPr>
      </w:pPr>
      <w:r w:rsidRPr="00294ADE">
        <w:rPr>
          <w:rFonts w:ascii="Verdana" w:hAnsi="Verdana" w:cs="Arial"/>
          <w:sz w:val="21"/>
          <w:szCs w:val="21"/>
          <w:lang w:val="es-ES" w:eastAsia="es-ES"/>
        </w:rPr>
        <w:t>2- Se conceptúe si existe norma, concepto jurídico, Manual, G[u]ía, o Sentencia del Co[n]sejo de Estado, que le permita a las entidades públicas no incorporar el Cronograma del Proceso en los documentos que se relacionan a continuación: Aviso de Convocatoria, Resolución de Apertura, Pliego de Condiciones definitivo. Así mismo se conceptúe si constituye una violación a los principios de publicidad y transparencia […].</w:t>
      </w:r>
    </w:p>
    <w:p w14:paraId="7AE359CE" w14:textId="77777777" w:rsidR="005648EC" w:rsidRDefault="00662087" w:rsidP="005648EC">
      <w:pPr>
        <w:tabs>
          <w:tab w:val="left" w:pos="709"/>
        </w:tabs>
        <w:spacing w:after="120" w:line="240" w:lineRule="auto"/>
        <w:ind w:left="709" w:right="709"/>
        <w:jc w:val="both"/>
        <w:rPr>
          <w:rFonts w:ascii="Verdana" w:hAnsi="Verdana" w:cs="Arial"/>
          <w:sz w:val="21"/>
          <w:szCs w:val="21"/>
          <w:lang w:val="es-ES" w:eastAsia="es-ES"/>
        </w:rPr>
      </w:pPr>
      <w:r w:rsidRPr="00294ADE">
        <w:rPr>
          <w:rFonts w:ascii="Verdana" w:hAnsi="Verdana" w:cs="Arial"/>
          <w:sz w:val="21"/>
          <w:szCs w:val="21"/>
          <w:lang w:val="es-ES" w:eastAsia="es-ES"/>
        </w:rPr>
        <w:t>3- Se conceptúe […] el mecanismo jurídico que debe implementar la entidad pública, si durante el termino de publicación del proyecto de pliego de condiciones, la entidad efectúa modificaciones al cronograma del proceso, indicando si es necesario publicar una adenda modificatoria del cronograma al proceso, o si es procedente solo realizar la modificación en la Plataforma del SECOP II.</w:t>
      </w:r>
    </w:p>
    <w:p w14:paraId="7EF93CBA" w14:textId="77777777" w:rsidR="005648EC" w:rsidRDefault="00662087" w:rsidP="005648EC">
      <w:pPr>
        <w:tabs>
          <w:tab w:val="left" w:pos="709"/>
        </w:tabs>
        <w:spacing w:after="120" w:line="240" w:lineRule="auto"/>
        <w:ind w:left="709" w:right="709"/>
        <w:jc w:val="both"/>
        <w:rPr>
          <w:rFonts w:ascii="Verdana" w:hAnsi="Verdana" w:cs="Arial"/>
          <w:sz w:val="21"/>
          <w:szCs w:val="21"/>
          <w:lang w:val="es-ES" w:eastAsia="es-ES"/>
        </w:rPr>
      </w:pPr>
      <w:r w:rsidRPr="00294ADE">
        <w:rPr>
          <w:rFonts w:ascii="Verdana" w:hAnsi="Verdana" w:cs="Arial"/>
          <w:sz w:val="21"/>
          <w:szCs w:val="21"/>
          <w:lang w:val="es-ES" w:eastAsia="es-ES"/>
        </w:rPr>
        <w:t>4- Se conceptúe […] si es deber de la entidad publicar en la plataforma del SECOP II para que sea visible, todo[s] los documentos expedidos durante el desarrollo del proceso de selección conforme el cronograma del proceso y cuales documentos están sujetos de poder ser publicado durante los tres (3) días a la expedición de los mismo[s].</w:t>
      </w:r>
    </w:p>
    <w:p w14:paraId="3A9BA661" w14:textId="77777777" w:rsidR="005648EC" w:rsidRDefault="00662087" w:rsidP="005648EC">
      <w:pPr>
        <w:tabs>
          <w:tab w:val="left" w:pos="709"/>
        </w:tabs>
        <w:spacing w:after="120" w:line="240" w:lineRule="auto"/>
        <w:ind w:left="709" w:right="709"/>
        <w:jc w:val="both"/>
        <w:rPr>
          <w:rFonts w:ascii="Verdana" w:hAnsi="Verdana" w:cs="Arial"/>
          <w:sz w:val="21"/>
          <w:szCs w:val="21"/>
          <w:lang w:val="es-ES" w:eastAsia="es-ES"/>
        </w:rPr>
      </w:pPr>
      <w:r w:rsidRPr="00294ADE">
        <w:rPr>
          <w:rFonts w:ascii="Verdana" w:hAnsi="Verdana" w:cs="Arial"/>
          <w:sz w:val="21"/>
          <w:szCs w:val="21"/>
          <w:lang w:val="es-ES" w:eastAsia="es-ES"/>
        </w:rPr>
        <w:t>5- Se conceptúe […] si es posible que una entidad pública, adjudique un proceso de selección de concurso de méritos sin haber resuelto las observaciones planteadas por los interesados, así mismo se indique que principios de la contratación pública estaría vulnerando la entidad al omitir dar resolución a los requerimientos hechos previo a la adjudicación.</w:t>
      </w:r>
    </w:p>
    <w:p w14:paraId="004AA5FE" w14:textId="77777777" w:rsidR="005648EC" w:rsidRDefault="00662087" w:rsidP="005648EC">
      <w:pPr>
        <w:tabs>
          <w:tab w:val="left" w:pos="709"/>
        </w:tabs>
        <w:spacing w:after="120" w:line="240" w:lineRule="auto"/>
        <w:ind w:left="709" w:right="709"/>
        <w:jc w:val="both"/>
        <w:rPr>
          <w:rFonts w:ascii="Verdana" w:hAnsi="Verdana" w:cs="Arial"/>
          <w:sz w:val="21"/>
          <w:szCs w:val="21"/>
          <w:lang w:val="es-ES" w:eastAsia="es-ES"/>
        </w:rPr>
      </w:pPr>
      <w:r w:rsidRPr="00294ADE">
        <w:rPr>
          <w:rFonts w:ascii="Verdana" w:hAnsi="Verdana" w:cs="Arial"/>
          <w:sz w:val="21"/>
          <w:szCs w:val="21"/>
          <w:lang w:val="es-ES" w:eastAsia="es-ES"/>
        </w:rPr>
        <w:t>6- Se conceptúe […] si es procedente que una entidad publica previo a la adjudicación del proceso revoque el proceso o se abstenga de adjudicarlo al evidenciar posibles violaciones a los principios de transparencia, publicidad y selección objetiva imperante en todo proceso contractual”.</w:t>
      </w:r>
    </w:p>
    <w:p w14:paraId="2A4493EE" w14:textId="77777777" w:rsidR="00632959" w:rsidRPr="009037F6" w:rsidRDefault="00632959" w:rsidP="00632959">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3EBC850" w14:textId="77777777" w:rsidR="00632959" w:rsidRPr="009037F6" w:rsidRDefault="00632959" w:rsidP="00632959">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p>
    <w:p w14:paraId="2D58015E" w14:textId="77777777" w:rsidR="00662087" w:rsidRDefault="00662087" w:rsidP="00662087">
      <w:pPr>
        <w:spacing w:after="0" w:line="276" w:lineRule="auto"/>
        <w:rPr>
          <w:rFonts w:ascii="Verdana" w:eastAsia="Calibri" w:hAnsi="Verdana" w:cs="Times New Roman"/>
          <w:lang w:val="es-ES"/>
        </w:rPr>
      </w:pPr>
    </w:p>
    <w:p w14:paraId="20899837" w14:textId="77777777" w:rsidR="00D12F8B" w:rsidRPr="009037F6" w:rsidRDefault="00D12F8B" w:rsidP="00662087">
      <w:pPr>
        <w:spacing w:after="0" w:line="276" w:lineRule="auto"/>
        <w:rPr>
          <w:rFonts w:ascii="Verdana" w:eastAsia="Calibri" w:hAnsi="Verdana" w:cs="Times New Roman"/>
          <w:lang w:val="es-ES"/>
        </w:rPr>
      </w:pPr>
    </w:p>
    <w:p w14:paraId="24395096" w14:textId="77777777" w:rsidR="00662087" w:rsidRPr="009037F6" w:rsidRDefault="00662087" w:rsidP="00662087">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Problemas planteados:</w:t>
      </w:r>
    </w:p>
    <w:p w14:paraId="45D55160" w14:textId="77777777" w:rsidR="00662087" w:rsidRPr="009037F6" w:rsidRDefault="00662087" w:rsidP="00662087">
      <w:pPr>
        <w:spacing w:after="0" w:line="276" w:lineRule="auto"/>
        <w:rPr>
          <w:rFonts w:ascii="Verdana" w:eastAsia="Calibri" w:hAnsi="Verdana" w:cs="Times New Roman"/>
        </w:rPr>
      </w:pPr>
    </w:p>
    <w:p w14:paraId="239FA346" w14:textId="77777777" w:rsidR="00662087" w:rsidRPr="00D1210B" w:rsidRDefault="00662087" w:rsidP="00662087">
      <w:pPr>
        <w:spacing w:after="0" w:line="276" w:lineRule="auto"/>
        <w:jc w:val="both"/>
        <w:rPr>
          <w:rFonts w:ascii="Verdana" w:eastAsia="Calibri" w:hAnsi="Verdana" w:cs="Times New Roman"/>
        </w:rPr>
      </w:pPr>
      <w:r w:rsidRPr="009037F6">
        <w:rPr>
          <w:rFonts w:ascii="Verdana" w:eastAsia="Calibri" w:hAnsi="Verdana" w:cs="Times New Roman"/>
        </w:rPr>
        <w:t>De acuerdo con el contenido de su solicitud, la Agencia procede a resolver los siguientes problemas jurídicos: i) ¿En qué documentos del Proceso de Contratación debe constar el cronograma y puede sustituirse su incorporación en ellos por su configuración en el SECOP II? ii) ¿Cuál es el mecanismo para modificar el cronograma durante el término de publicación del proyecto de pliego de condiciones y una vez expedido el pliego definitivo? iii) ¿Cuál es el alcance del deber de publicar en el SECOP los documentos y actos del Proceso de Contratación y en qué plazo debe cumplirse? iv) ¿Puede una entidad adjudicar sin haber resuelto las observaciones formuladas por los interesados y qué alternativas le ofrece el ordenamiento, antes de la adjudicación, cuando advierte posibles irregularidades?</w:t>
      </w:r>
    </w:p>
    <w:p w14:paraId="3E476E46" w14:textId="77777777" w:rsidR="00662087" w:rsidRDefault="00662087" w:rsidP="00662087">
      <w:pPr>
        <w:spacing w:after="0" w:line="276" w:lineRule="auto"/>
        <w:jc w:val="both"/>
        <w:rPr>
          <w:rFonts w:ascii="Verdana" w:eastAsia="Calibri" w:hAnsi="Verdana" w:cs="Times New Roman"/>
          <w:i/>
          <w:iCs/>
        </w:rPr>
      </w:pPr>
    </w:p>
    <w:p w14:paraId="1992EF9B" w14:textId="77777777" w:rsidR="00D12F8B" w:rsidRPr="00E27EDD" w:rsidRDefault="00D12F8B" w:rsidP="00662087">
      <w:pPr>
        <w:spacing w:after="0" w:line="276" w:lineRule="auto"/>
        <w:jc w:val="both"/>
        <w:rPr>
          <w:rFonts w:ascii="Verdana" w:eastAsia="Calibri" w:hAnsi="Verdana" w:cs="Times New Roman"/>
          <w:i/>
          <w:iCs/>
        </w:rPr>
      </w:pPr>
    </w:p>
    <w:p w14:paraId="555E55F6" w14:textId="77777777" w:rsidR="00662087" w:rsidRPr="009037F6" w:rsidRDefault="00662087" w:rsidP="00662087">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Respuestas:</w:t>
      </w:r>
    </w:p>
    <w:p w14:paraId="1F1492BD" w14:textId="77777777" w:rsidR="00662087" w:rsidRPr="009037F6" w:rsidRDefault="00662087" w:rsidP="00662087">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662087" w:rsidRPr="009037F6" w14:paraId="6995AEA5" w14:textId="77777777" w:rsidTr="002A4618">
        <w:trPr>
          <w:trHeight w:val="345"/>
          <w:jc w:val="center"/>
        </w:trPr>
        <w:tc>
          <w:tcPr>
            <w:tcW w:w="8784" w:type="dxa"/>
            <w:tcBorders>
              <w:bottom w:val="single" w:sz="4" w:space="0" w:color="auto"/>
            </w:tcBorders>
          </w:tcPr>
          <w:p w14:paraId="734E245D" w14:textId="5B0C8FCF" w:rsidR="008A2B6F" w:rsidRPr="004F3256" w:rsidRDefault="008A2B6F" w:rsidP="0094710A">
            <w:pPr>
              <w:spacing w:after="120" w:line="276" w:lineRule="auto"/>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i) </w:t>
            </w:r>
            <w:proofErr w:type="gramStart"/>
            <w:r w:rsidR="00FC65D3">
              <w:rPr>
                <w:rFonts w:ascii="Verdana" w:eastAsia="Times New Roman" w:hAnsi="Verdana" w:cs="Arial"/>
                <w:color w:val="000000" w:themeColor="text1"/>
                <w:lang w:val="es-ES" w:eastAsia="es-ES"/>
              </w:rPr>
              <w:t>En relación al</w:t>
            </w:r>
            <w:proofErr w:type="gramEnd"/>
            <w:r w:rsidR="00FC65D3">
              <w:rPr>
                <w:rFonts w:ascii="Verdana" w:eastAsia="Times New Roman" w:hAnsi="Verdana" w:cs="Arial"/>
                <w:color w:val="000000" w:themeColor="text1"/>
                <w:lang w:val="es-ES" w:eastAsia="es-ES"/>
              </w:rPr>
              <w:t xml:space="preserve"> primer problema, </w:t>
            </w:r>
            <w:r w:rsidR="00FC65D3">
              <w:rPr>
                <w:rFonts w:ascii="Verdana" w:eastAsia="Times New Roman" w:hAnsi="Verdana" w:cs="Arial"/>
                <w:bCs/>
                <w:color w:val="000000" w:themeColor="text1"/>
                <w:lang w:val="es-ES" w:eastAsia="es-ES"/>
              </w:rPr>
              <w:t>e</w:t>
            </w:r>
            <w:r w:rsidRPr="00632959">
              <w:rPr>
                <w:rFonts w:ascii="Verdana" w:eastAsia="Times New Roman" w:hAnsi="Verdana" w:cs="Arial"/>
                <w:bCs/>
                <w:color w:val="000000" w:themeColor="text1"/>
                <w:lang w:val="es-ES" w:eastAsia="es-ES"/>
              </w:rPr>
              <w:t>l cronograma debe constar en tres documentos</w:t>
            </w:r>
            <w:r w:rsidR="00632959">
              <w:rPr>
                <w:rFonts w:ascii="Verdana" w:eastAsia="Times New Roman" w:hAnsi="Verdana" w:cs="Arial"/>
                <w:bCs/>
                <w:color w:val="000000" w:themeColor="text1"/>
                <w:lang w:val="es-ES" w:eastAsia="es-ES"/>
              </w:rPr>
              <w:t>, a saber, e</w:t>
            </w:r>
            <w:r w:rsidRPr="00632959">
              <w:rPr>
                <w:rFonts w:ascii="Verdana" w:eastAsia="Times New Roman" w:hAnsi="Verdana" w:cs="Arial"/>
                <w:bCs/>
                <w:color w:val="000000" w:themeColor="text1"/>
                <w:lang w:val="es-ES" w:eastAsia="es-ES"/>
              </w:rPr>
              <w:t>l</w:t>
            </w:r>
            <w:r w:rsidRPr="004F3256">
              <w:rPr>
                <w:rFonts w:ascii="Verdana" w:eastAsia="Times New Roman" w:hAnsi="Verdana" w:cs="Arial"/>
                <w:color w:val="000000" w:themeColor="text1"/>
                <w:lang w:val="es-ES" w:eastAsia="es-ES"/>
              </w:rPr>
              <w:t xml:space="preserve"> Decreto 1082 de 2015 lo exige como contenido mínimo </w:t>
            </w:r>
            <w:r w:rsidRPr="00632959">
              <w:rPr>
                <w:rFonts w:ascii="Verdana" w:eastAsia="Times New Roman" w:hAnsi="Verdana" w:cs="Arial"/>
                <w:color w:val="000000" w:themeColor="text1"/>
                <w:lang w:val="es-ES" w:eastAsia="es-ES"/>
              </w:rPr>
              <w:t>del aviso de convocatoria</w:t>
            </w:r>
            <w:r w:rsidRPr="004F3256">
              <w:rPr>
                <w:rFonts w:ascii="Verdana" w:eastAsia="Times New Roman" w:hAnsi="Verdana" w:cs="Arial"/>
                <w:color w:val="000000" w:themeColor="text1"/>
                <w:lang w:val="es-ES" w:eastAsia="es-ES"/>
              </w:rPr>
              <w:t xml:space="preserve"> —numeral 12 del artículo 2.2.1.1.2.1.2—, </w:t>
            </w:r>
            <w:r w:rsidRPr="003512DE">
              <w:rPr>
                <w:rFonts w:ascii="Verdana" w:eastAsia="Times New Roman" w:hAnsi="Verdana" w:cs="Arial"/>
                <w:color w:val="000000" w:themeColor="text1"/>
                <w:lang w:val="es-ES" w:eastAsia="es-ES"/>
              </w:rPr>
              <w:t>del pliego de condiciones —</w:t>
            </w:r>
            <w:r w:rsidRPr="004F3256">
              <w:rPr>
                <w:rFonts w:ascii="Verdana" w:eastAsia="Times New Roman" w:hAnsi="Verdana" w:cs="Arial"/>
                <w:color w:val="000000" w:themeColor="text1"/>
                <w:lang w:val="es-ES" w:eastAsia="es-ES"/>
              </w:rPr>
              <w:t xml:space="preserve">artículo 2.2.1.1.2.1.3— y del </w:t>
            </w:r>
            <w:r w:rsidRPr="003512DE">
              <w:rPr>
                <w:rFonts w:ascii="Verdana" w:eastAsia="Times New Roman" w:hAnsi="Verdana" w:cs="Arial"/>
                <w:bCs/>
                <w:color w:val="000000" w:themeColor="text1"/>
                <w:lang w:val="es-ES" w:eastAsia="es-ES"/>
              </w:rPr>
              <w:t>acto administrativo de apertura</w:t>
            </w:r>
            <w:r w:rsidRPr="004F3256">
              <w:rPr>
                <w:rFonts w:ascii="Verdana" w:eastAsia="Times New Roman" w:hAnsi="Verdana" w:cs="Arial"/>
                <w:color w:val="000000" w:themeColor="text1"/>
                <w:lang w:val="es-ES" w:eastAsia="es-ES"/>
              </w:rPr>
              <w:t xml:space="preserve"> del proceso de selección —numeral 3 del artículo 2.2.1.1.2.1.5—. El cronograma es, en los términos del artículo 2.2.1.1.1.3.1 del mismo decreto, el documento en el cual la Entidad Estatal establece las fechas, horas y plazos para las actividades propias del Proceso de Contratación y el lugar en que deben llevarse a cabo</w:t>
            </w:r>
            <w:r w:rsidRPr="004F3256">
              <w:rPr>
                <w:rStyle w:val="Refdenotaalpie"/>
                <w:rFonts w:ascii="Verdana" w:hAnsi="Verdana"/>
                <w:sz w:val="20"/>
              </w:rPr>
              <w:footnoteReference w:id="1"/>
            </w:r>
            <w:r w:rsidRPr="004F3256">
              <w:rPr>
                <w:rFonts w:ascii="Verdana" w:eastAsia="Times New Roman" w:hAnsi="Verdana" w:cs="Arial"/>
                <w:color w:val="000000" w:themeColor="text1"/>
                <w:lang w:val="es-ES" w:eastAsia="es-ES"/>
              </w:rPr>
              <w:t>.</w:t>
            </w:r>
          </w:p>
          <w:p w14:paraId="17D5FD79" w14:textId="70815502" w:rsidR="008A2B6F" w:rsidRPr="004F3256" w:rsidRDefault="008A2B6F" w:rsidP="001F243C">
            <w:pPr>
              <w:tabs>
                <w:tab w:val="left" w:pos="171"/>
              </w:tabs>
              <w:spacing w:after="120" w:line="276" w:lineRule="auto"/>
              <w:ind w:firstLine="596"/>
              <w:jc w:val="both"/>
              <w:rPr>
                <w:rFonts w:ascii="Verdana" w:hAnsi="Verdana" w:cs="Arial"/>
                <w:lang w:val="es-ES" w:eastAsia="es-ES"/>
              </w:rPr>
            </w:pPr>
            <w:r w:rsidRPr="003512DE">
              <w:rPr>
                <w:rFonts w:ascii="Verdana" w:eastAsia="Times New Roman" w:hAnsi="Verdana" w:cs="Arial"/>
                <w:bCs/>
                <w:color w:val="000000" w:themeColor="text1"/>
                <w:lang w:val="es-ES" w:eastAsia="es-ES"/>
              </w:rPr>
              <w:t>Esa exigencia no se suple con la configuración del cronograma en la plataforma.</w:t>
            </w:r>
            <w:r w:rsidRPr="004F3256">
              <w:rPr>
                <w:rFonts w:ascii="Verdana" w:eastAsia="Times New Roman" w:hAnsi="Verdana" w:cs="Arial"/>
                <w:color w:val="000000" w:themeColor="text1"/>
                <w:lang w:val="es-ES" w:eastAsia="es-ES"/>
              </w:rPr>
              <w:t xml:space="preserve"> El contenido mínimo que el reglamento impone a cada documento y la publicidad de la actuación son deberes distintos y concurrentes: la publicación no dispensa del contenido, ni el contenido dispensa de la publicación. Se trata, además, de normas reglamentarias imperativas que no admiten sustitución por decisión de la entidad. Ello sin perjuicio de que, en el SECOP II, los formularios electrónicos diligenciados por la entidad integran los documentos del proceso junto con los archivos que en ella se cargan</w:t>
            </w:r>
            <w:r w:rsidRPr="004F3256">
              <w:rPr>
                <w:rStyle w:val="Refdenotaalpie"/>
                <w:rFonts w:ascii="Verdana" w:hAnsi="Verdana"/>
                <w:sz w:val="20"/>
              </w:rPr>
              <w:footnoteReference w:id="2"/>
            </w:r>
            <w:r w:rsidRPr="004F3256">
              <w:rPr>
                <w:rFonts w:ascii="Verdana" w:eastAsia="Times New Roman" w:hAnsi="Verdana" w:cs="Arial"/>
                <w:color w:val="000000" w:themeColor="text1"/>
                <w:lang w:val="es-ES" w:eastAsia="es-ES"/>
              </w:rPr>
              <w:t>.</w:t>
            </w:r>
          </w:p>
          <w:p w14:paraId="0769BDD6" w14:textId="36D1EECE" w:rsidR="008A2B6F" w:rsidRPr="004F3256" w:rsidRDefault="008A2B6F" w:rsidP="001F243C">
            <w:pPr>
              <w:spacing w:after="120" w:line="276" w:lineRule="auto"/>
              <w:ind w:firstLine="596"/>
              <w:jc w:val="both"/>
              <w:rPr>
                <w:rFonts w:ascii="Verdana" w:hAnsi="Verdana" w:cs="Arial"/>
                <w:lang w:val="es-ES" w:eastAsia="es-ES"/>
              </w:rPr>
            </w:pPr>
            <w:r w:rsidRPr="004F3256">
              <w:rPr>
                <w:rFonts w:ascii="Verdana" w:eastAsia="Times New Roman" w:hAnsi="Verdana" w:cs="Arial"/>
                <w:color w:val="000000" w:themeColor="text1"/>
                <w:lang w:val="es-ES" w:eastAsia="es-ES"/>
              </w:rPr>
              <w:t>En cuanto a si existe norma, concepto, manual, guía o providencia que autorice omitir el cronograma en esos documentos</w:t>
            </w:r>
            <w:r w:rsidRPr="003512DE">
              <w:rPr>
                <w:rFonts w:ascii="Verdana" w:eastAsia="Times New Roman" w:hAnsi="Verdana" w:cs="Arial"/>
                <w:color w:val="000000" w:themeColor="text1"/>
                <w:lang w:val="es-ES" w:eastAsia="es-ES"/>
              </w:rPr>
              <w:t>, esta Subdirección no conoce disposición ni pronunciamiento en ese sentido</w:t>
            </w:r>
            <w:r w:rsidRPr="004F3256">
              <w:rPr>
                <w:rFonts w:ascii="Verdana" w:eastAsia="Times New Roman" w:hAnsi="Verdana" w:cs="Arial"/>
                <w:color w:val="000000" w:themeColor="text1"/>
                <w:lang w:val="es-ES" w:eastAsia="es-ES"/>
              </w:rPr>
              <w:t xml:space="preserve">; por el contrario, las tres normas citadas lo exigen de manera expresa. Su omisión constituye, en abstracto, el incumplimiento de un requisito reglamentario del contenido de dichos documentos, con incidencia en el principio de publicidad que integra el </w:t>
            </w:r>
            <w:r w:rsidRPr="004F3256">
              <w:rPr>
                <w:rFonts w:ascii="Verdana" w:eastAsia="Times New Roman" w:hAnsi="Verdana" w:cs="Arial"/>
                <w:color w:val="000000" w:themeColor="text1"/>
                <w:lang w:val="es-ES" w:eastAsia="es-ES"/>
              </w:rPr>
              <w:lastRenderedPageBreak/>
              <w:t>de transparencia. La valoración de los efectos de esa omisión en un procedimiento concreto no corresponde a esta Agencia</w:t>
            </w:r>
            <w:r w:rsidRPr="004F3256">
              <w:rPr>
                <w:rStyle w:val="Refdenotaalpie"/>
                <w:rFonts w:ascii="Verdana" w:hAnsi="Verdana"/>
                <w:sz w:val="20"/>
              </w:rPr>
              <w:footnoteReference w:id="3"/>
            </w:r>
            <w:r w:rsidRPr="004F3256">
              <w:rPr>
                <w:rFonts w:ascii="Verdana" w:eastAsia="Times New Roman" w:hAnsi="Verdana" w:cs="Arial"/>
                <w:color w:val="000000" w:themeColor="text1"/>
                <w:lang w:val="es-ES" w:eastAsia="es-ES"/>
              </w:rPr>
              <w:t>.</w:t>
            </w:r>
          </w:p>
          <w:p w14:paraId="7EA47B07" w14:textId="18973415" w:rsidR="008A2B6F" w:rsidRPr="004F3256" w:rsidRDefault="003512DE" w:rsidP="0094710A">
            <w:pPr>
              <w:spacing w:after="120" w:line="276" w:lineRule="auto"/>
              <w:jc w:val="both"/>
              <w:rPr>
                <w:rFonts w:ascii="Verdana" w:hAnsi="Verdana" w:cs="Arial"/>
                <w:lang w:val="es-ES" w:eastAsia="es-ES"/>
              </w:rPr>
            </w:pPr>
            <w:proofErr w:type="spellStart"/>
            <w:r>
              <w:rPr>
                <w:rFonts w:ascii="Verdana" w:eastAsia="Times New Roman" w:hAnsi="Verdana" w:cs="Arial"/>
                <w:color w:val="000000" w:themeColor="text1"/>
                <w:lang w:val="es-ES" w:eastAsia="es-ES"/>
              </w:rPr>
              <w:t>ii</w:t>
            </w:r>
            <w:proofErr w:type="spellEnd"/>
            <w:r w:rsidR="008A2B6F" w:rsidRPr="004F3256">
              <w:rPr>
                <w:rFonts w:ascii="Verdana" w:eastAsia="Times New Roman" w:hAnsi="Verdana" w:cs="Arial"/>
                <w:color w:val="000000" w:themeColor="text1"/>
                <w:lang w:val="es-ES" w:eastAsia="es-ES"/>
              </w:rPr>
              <w:t xml:space="preserve">) </w:t>
            </w:r>
            <w:r w:rsidR="008A2B6F" w:rsidRPr="003512DE">
              <w:rPr>
                <w:rFonts w:ascii="Verdana" w:eastAsia="Times New Roman" w:hAnsi="Verdana" w:cs="Arial"/>
                <w:bCs/>
                <w:color w:val="000000" w:themeColor="text1"/>
                <w:lang w:val="es-ES" w:eastAsia="es-ES"/>
              </w:rPr>
              <w:t xml:space="preserve">Sobre el segundo problema, debe distinguirse </w:t>
            </w:r>
            <w:r w:rsidR="00172FEF">
              <w:rPr>
                <w:rFonts w:ascii="Verdana" w:eastAsia="Times New Roman" w:hAnsi="Verdana" w:cs="Arial"/>
                <w:bCs/>
                <w:color w:val="000000" w:themeColor="text1"/>
                <w:lang w:val="es-ES" w:eastAsia="es-ES"/>
              </w:rPr>
              <w:t>qué clase de etapa se trata</w:t>
            </w:r>
            <w:r w:rsidR="008A2B6F" w:rsidRPr="003512DE">
              <w:rPr>
                <w:rFonts w:ascii="Verdana" w:eastAsia="Times New Roman" w:hAnsi="Verdana" w:cs="Arial"/>
                <w:bCs/>
                <w:color w:val="000000" w:themeColor="text1"/>
                <w:lang w:val="es-ES" w:eastAsia="es-ES"/>
              </w:rPr>
              <w:t>.</w:t>
            </w:r>
            <w:r w:rsidR="008A2B6F" w:rsidRPr="004F3256">
              <w:rPr>
                <w:rFonts w:ascii="Verdana" w:eastAsia="Times New Roman" w:hAnsi="Verdana" w:cs="Arial"/>
                <w:color w:val="000000" w:themeColor="text1"/>
                <w:lang w:val="es-ES" w:eastAsia="es-ES"/>
              </w:rPr>
              <w:t xml:space="preserve"> Durante el término de publicación pliego de condiciones no se expiden adendas, porque esa etapa está destinada precisamente a recibir observaciones cuyo resultado se incorpora al elaborar el pliego definitivo. El término para formularlas es de diez (10) días hábiles en la licitación pública y de cinco (5) días hábiles en la selección abreviada y el concurso de méritos</w:t>
            </w:r>
            <w:r w:rsidR="008A2B6F" w:rsidRPr="00D30508">
              <w:rPr>
                <w:rFonts w:ascii="Verdana" w:eastAsia="Times New Roman" w:hAnsi="Verdana" w:cs="Arial"/>
                <w:color w:val="000000" w:themeColor="text1"/>
                <w:lang w:val="es-ES" w:eastAsia="es-ES"/>
              </w:rPr>
              <w:t>. Los ajustes al cronograma que se produzcan en ese momento se reflejan, por tanto, en el pliego definitivo y en el acto de apertura</w:t>
            </w:r>
            <w:r w:rsidR="008A2B6F" w:rsidRPr="00D30508">
              <w:rPr>
                <w:rStyle w:val="Refdenotaalpie"/>
                <w:rFonts w:ascii="Verdana" w:hAnsi="Verdana"/>
                <w:sz w:val="20"/>
              </w:rPr>
              <w:footnoteReference w:id="4"/>
            </w:r>
            <w:r w:rsidR="008A2B6F" w:rsidRPr="00D30508">
              <w:rPr>
                <w:rFonts w:ascii="Verdana" w:eastAsia="Times New Roman" w:hAnsi="Verdana" w:cs="Arial"/>
                <w:color w:val="000000" w:themeColor="text1"/>
                <w:lang w:val="es-ES" w:eastAsia="es-ES"/>
              </w:rPr>
              <w:t>.</w:t>
            </w:r>
          </w:p>
          <w:p w14:paraId="0710B5E8" w14:textId="21B001AA" w:rsidR="008A2B6F" w:rsidRDefault="008A2B6F" w:rsidP="001F243C">
            <w:pPr>
              <w:spacing w:after="120" w:line="276" w:lineRule="auto"/>
              <w:ind w:firstLine="596"/>
              <w:jc w:val="both"/>
              <w:rPr>
                <w:rFonts w:ascii="Verdana" w:eastAsia="Times New Roman" w:hAnsi="Verdana" w:cs="Arial"/>
                <w:color w:val="000000" w:themeColor="text1"/>
                <w:lang w:val="es-ES" w:eastAsia="es-ES"/>
              </w:rPr>
            </w:pPr>
            <w:r w:rsidRPr="008C7DA5">
              <w:rPr>
                <w:rFonts w:ascii="Verdana" w:eastAsia="Times New Roman" w:hAnsi="Verdana" w:cs="Arial"/>
                <w:bCs/>
                <w:color w:val="000000" w:themeColor="text1"/>
                <w:lang w:val="es-ES" w:eastAsia="es-ES"/>
              </w:rPr>
              <w:t>Expedido el pliego definitivo, la modificación del cronograma requiere adenda.</w:t>
            </w:r>
            <w:r w:rsidRPr="004F3256">
              <w:rPr>
                <w:rFonts w:ascii="Verdana" w:eastAsia="Times New Roman" w:hAnsi="Verdana" w:cs="Arial"/>
                <w:color w:val="000000" w:themeColor="text1"/>
                <w:lang w:val="es-ES" w:eastAsia="es-ES"/>
              </w:rPr>
              <w:t xml:space="preserve"> Esta Subdirección ha distinguido dos tipos de adendas: las referidas a las condiciones técnicas, jurídicas y económicas del pliego, que solo proceden hasta antes del vencimiento del plazo para recibir ofertas, y las del cronograma, que </w:t>
            </w:r>
            <w:r w:rsidR="00D30508">
              <w:rPr>
                <w:rFonts w:ascii="Verdana" w:eastAsia="Times New Roman" w:hAnsi="Verdana" w:cs="Arial"/>
                <w:color w:val="000000" w:themeColor="text1"/>
                <w:lang w:val="es-ES" w:eastAsia="es-ES"/>
              </w:rPr>
              <w:t>tambi</w:t>
            </w:r>
            <w:r w:rsidR="00172FEF">
              <w:rPr>
                <w:rFonts w:ascii="Verdana" w:eastAsia="Times New Roman" w:hAnsi="Verdana" w:cs="Arial"/>
                <w:color w:val="000000" w:themeColor="text1"/>
                <w:lang w:val="es-ES" w:eastAsia="es-ES"/>
              </w:rPr>
              <w:t xml:space="preserve">én </w:t>
            </w:r>
            <w:r w:rsidRPr="004F3256">
              <w:rPr>
                <w:rFonts w:ascii="Verdana" w:eastAsia="Times New Roman" w:hAnsi="Verdana" w:cs="Arial"/>
                <w:color w:val="000000" w:themeColor="text1"/>
                <w:lang w:val="es-ES" w:eastAsia="es-ES"/>
              </w:rPr>
              <w:t xml:space="preserve">pueden expedirse luego del cierre y antes de la adjudicación, caso en el cual «solo se permite modificar los plazos de las etapas siguientes» y no los de etapas ya vencidas. La publicación </w:t>
            </w:r>
            <w:r w:rsidR="008C7DA5">
              <w:rPr>
                <w:rFonts w:ascii="Verdana" w:eastAsia="Times New Roman" w:hAnsi="Verdana" w:cs="Arial"/>
                <w:color w:val="000000" w:themeColor="text1"/>
                <w:lang w:val="es-ES" w:eastAsia="es-ES"/>
              </w:rPr>
              <w:t xml:space="preserve">de las adendas antes del cierre de las ofertas </w:t>
            </w:r>
            <w:r w:rsidRPr="004F3256">
              <w:rPr>
                <w:rFonts w:ascii="Verdana" w:eastAsia="Times New Roman" w:hAnsi="Verdana" w:cs="Arial"/>
                <w:color w:val="000000" w:themeColor="text1"/>
                <w:lang w:val="es-ES" w:eastAsia="es-ES"/>
              </w:rPr>
              <w:t>debe hacerse con tres (3) días hábiles de anticipación en la licitación pública y con un (1) día hábil en las demás modalidades, y toda adenda debe contener la justificación clara de la modificación</w:t>
            </w:r>
            <w:r w:rsidRPr="004F3256">
              <w:rPr>
                <w:rStyle w:val="Refdenotaalpie"/>
                <w:rFonts w:ascii="Verdana" w:hAnsi="Verdana"/>
                <w:sz w:val="20"/>
              </w:rPr>
              <w:footnoteReference w:id="5"/>
            </w:r>
            <w:r w:rsidRPr="004F3256">
              <w:rPr>
                <w:rFonts w:ascii="Verdana" w:eastAsia="Times New Roman" w:hAnsi="Verdana" w:cs="Arial"/>
                <w:color w:val="000000" w:themeColor="text1"/>
                <w:lang w:val="es-ES" w:eastAsia="es-ES"/>
              </w:rPr>
              <w:t>.</w:t>
            </w:r>
          </w:p>
          <w:p w14:paraId="10095CEB" w14:textId="6BF5F47F" w:rsidR="00172FEF" w:rsidRDefault="00172FEF" w:rsidP="001F243C">
            <w:pPr>
              <w:spacing w:after="120" w:line="276" w:lineRule="auto"/>
              <w:ind w:firstLine="596"/>
              <w:jc w:val="both"/>
              <w:rPr>
                <w:rFonts w:ascii="Verdana" w:eastAsia="Calibri" w:hAnsi="Verdana" w:cs="Arial"/>
                <w:color w:val="000000" w:themeColor="text1"/>
              </w:rPr>
            </w:pPr>
            <w:r w:rsidRPr="001F243C">
              <w:rPr>
                <w:rFonts w:ascii="Verdana" w:eastAsia="Calibri" w:hAnsi="Verdana" w:cs="Arial"/>
                <w:color w:val="000000" w:themeColor="text1"/>
              </w:rPr>
              <w:t>Así las cosas, es importante hacer claridad máxima sobre este apartado,</w:t>
            </w:r>
            <w:r>
              <w:rPr>
                <w:rFonts w:ascii="Verdana" w:eastAsia="Calibri" w:hAnsi="Verdana" w:cs="Arial"/>
                <w:color w:val="000000" w:themeColor="text1"/>
              </w:rPr>
              <w:t xml:space="preserve"> que conforme a la doctrina sostenida por esta Agencia, s</w:t>
            </w:r>
            <w:r w:rsidRPr="00807959">
              <w:rPr>
                <w:rFonts w:ascii="Verdana" w:eastAsia="Calibri" w:hAnsi="Verdana" w:cs="Arial"/>
                <w:color w:val="000000" w:themeColor="text1"/>
              </w:rPr>
              <w:t xml:space="preserve">e </w:t>
            </w:r>
            <w:r w:rsidR="001F243C">
              <w:rPr>
                <w:rFonts w:ascii="Verdana" w:eastAsia="Calibri" w:hAnsi="Verdana" w:cs="Arial"/>
                <w:color w:val="000000" w:themeColor="text1"/>
              </w:rPr>
              <w:t xml:space="preserve"> concluye d </w:t>
            </w:r>
            <w:proofErr w:type="spellStart"/>
            <w:r w:rsidR="001F243C">
              <w:rPr>
                <w:rFonts w:ascii="Verdana" w:eastAsia="Calibri" w:hAnsi="Verdana" w:cs="Arial"/>
                <w:color w:val="000000" w:themeColor="text1"/>
              </w:rPr>
              <w:t>ela</w:t>
            </w:r>
            <w:proofErr w:type="spellEnd"/>
            <w:r w:rsidR="001F243C">
              <w:rPr>
                <w:rFonts w:ascii="Verdana" w:eastAsia="Calibri" w:hAnsi="Verdana" w:cs="Arial"/>
                <w:color w:val="000000" w:themeColor="text1"/>
              </w:rPr>
              <w:t xml:space="preserve"> siguiente manera</w:t>
            </w:r>
            <w:r>
              <w:rPr>
                <w:rFonts w:ascii="Verdana" w:eastAsia="Calibri" w:hAnsi="Verdana" w:cs="Arial"/>
                <w:color w:val="000000" w:themeColor="text1"/>
              </w:rPr>
              <w:t xml:space="preserve">: </w:t>
            </w:r>
          </w:p>
          <w:p w14:paraId="44039085" w14:textId="0B223C6A" w:rsidR="001F243C" w:rsidRPr="001F243C" w:rsidRDefault="00172FEF" w:rsidP="001F243C">
            <w:pPr>
              <w:spacing w:after="120" w:line="276" w:lineRule="auto"/>
              <w:ind w:left="738" w:right="1592"/>
              <w:jc w:val="both"/>
              <w:rPr>
                <w:rFonts w:ascii="Verdana" w:eastAsia="Calibri" w:hAnsi="Verdana" w:cs="Arial"/>
                <w:color w:val="000000" w:themeColor="text1"/>
                <w:sz w:val="21"/>
                <w:szCs w:val="21"/>
              </w:rPr>
            </w:pPr>
            <w:r w:rsidRPr="00807959">
              <w:rPr>
                <w:rFonts w:ascii="Verdana" w:eastAsia="Calibri" w:hAnsi="Verdana" w:cs="Arial"/>
                <w:color w:val="000000" w:themeColor="text1"/>
              </w:rPr>
              <w:t xml:space="preserve"> </w:t>
            </w:r>
            <w:r w:rsidRPr="001F243C">
              <w:rPr>
                <w:rFonts w:ascii="Verdana" w:eastAsia="Calibri" w:hAnsi="Verdana" w:cs="Arial"/>
                <w:color w:val="000000" w:themeColor="text1"/>
                <w:sz w:val="21"/>
                <w:szCs w:val="21"/>
              </w:rPr>
              <w:t xml:space="preserve">”…que las entidades estatales pueden modificar el cronograma mediante adendas en dos momentos: i) antes del vencimiento del plazo para presentar ofertas, pues se entiende que el cronograma hace parte integral del pliego </w:t>
            </w:r>
            <w:r w:rsidRPr="001F243C">
              <w:rPr>
                <w:rFonts w:ascii="Verdana" w:eastAsia="Calibri" w:hAnsi="Verdana" w:cs="Arial"/>
                <w:color w:val="000000" w:themeColor="text1"/>
                <w:sz w:val="21"/>
                <w:szCs w:val="21"/>
              </w:rPr>
              <w:lastRenderedPageBreak/>
              <w:t xml:space="preserve">de condiciones, y </w:t>
            </w:r>
            <w:proofErr w:type="spellStart"/>
            <w:r w:rsidRPr="001F243C">
              <w:rPr>
                <w:rFonts w:ascii="Verdana" w:eastAsia="Calibri" w:hAnsi="Verdana" w:cs="Arial"/>
                <w:color w:val="000000" w:themeColor="text1"/>
                <w:sz w:val="21"/>
                <w:szCs w:val="21"/>
              </w:rPr>
              <w:t>ii</w:t>
            </w:r>
            <w:proofErr w:type="spellEnd"/>
            <w:r w:rsidRPr="001F243C">
              <w:rPr>
                <w:rFonts w:ascii="Verdana" w:eastAsia="Calibri" w:hAnsi="Verdana" w:cs="Arial"/>
                <w:color w:val="000000" w:themeColor="text1"/>
                <w:sz w:val="21"/>
                <w:szCs w:val="21"/>
              </w:rPr>
              <w:t>) una vez vencido el término para la presentación de ofertas y antes de la adjudicación del contrato.”</w:t>
            </w:r>
            <w:r w:rsidRPr="001F243C">
              <w:rPr>
                <w:rStyle w:val="Refdenotaalpie"/>
                <w:rFonts w:ascii="Verdana" w:eastAsia="Calibri" w:hAnsi="Verdana" w:cs="Arial"/>
                <w:color w:val="000000" w:themeColor="text1"/>
                <w:sz w:val="21"/>
                <w:szCs w:val="21"/>
              </w:rPr>
              <w:footnoteReference w:id="6"/>
            </w:r>
          </w:p>
          <w:p w14:paraId="35515FEA" w14:textId="1A90D732" w:rsidR="001F243C" w:rsidRDefault="001F243C" w:rsidP="001F243C">
            <w:pPr>
              <w:pStyle w:val="NormalWeb"/>
              <w:spacing w:before="0" w:beforeAutospacing="0" w:after="0" w:afterAutospacing="0" w:line="276" w:lineRule="auto"/>
              <w:ind w:firstLine="596"/>
              <w:jc w:val="both"/>
              <w:rPr>
                <w:rFonts w:ascii="Verdana" w:eastAsia="Calibri" w:hAnsi="Verdana" w:cs="Arial"/>
                <w:color w:val="000000" w:themeColor="text1"/>
                <w:sz w:val="22"/>
                <w:szCs w:val="22"/>
              </w:rPr>
            </w:pPr>
            <w:r w:rsidRPr="001F243C">
              <w:rPr>
                <w:rFonts w:ascii="Verdana" w:eastAsia="Calibri" w:hAnsi="Verdana" w:cs="Arial"/>
                <w:color w:val="000000" w:themeColor="text1"/>
                <w:sz w:val="22"/>
                <w:szCs w:val="22"/>
              </w:rPr>
              <w:t xml:space="preserve">Igualmente, vale la pena recalcar que </w:t>
            </w:r>
            <w:r w:rsidR="00172FEF" w:rsidRPr="001F243C">
              <w:rPr>
                <w:rFonts w:ascii="Verdana" w:eastAsia="Calibri" w:hAnsi="Verdana" w:cs="Arial"/>
                <w:color w:val="000000" w:themeColor="text1"/>
                <w:sz w:val="22"/>
                <w:szCs w:val="22"/>
              </w:rPr>
              <w:t>la facultad de modificación del cronograma no puede ser empleada de forma desproporcionada e injustificada por la entidad, de tal manera que se extiendan las etapas del proceso de contratación arbitrariamente. De esta manera, aunque la entidad tiene la facultad para expedir adendas modificando los plazos de cada etapa, esta no podrá ejercerse de forma ilimitada y deberán atender unos parámetros mínimos de adecuación y proporcionalidad, so pena de vulnerar los principios de economía, transparencia y planeación de la contratación pública</w:t>
            </w:r>
            <w:r w:rsidRPr="001F243C">
              <w:rPr>
                <w:rStyle w:val="Refdenotaalpie"/>
                <w:rFonts w:ascii="Verdana" w:eastAsia="Calibri" w:hAnsi="Verdana" w:cs="Arial"/>
                <w:color w:val="000000" w:themeColor="text1"/>
                <w:sz w:val="22"/>
                <w:szCs w:val="22"/>
              </w:rPr>
              <w:footnoteReference w:id="7"/>
            </w:r>
            <w:r w:rsidR="00172FEF" w:rsidRPr="001F243C">
              <w:rPr>
                <w:rFonts w:ascii="Verdana" w:eastAsia="Calibri" w:hAnsi="Verdana" w:cs="Arial"/>
                <w:color w:val="000000" w:themeColor="text1"/>
                <w:sz w:val="22"/>
                <w:szCs w:val="22"/>
              </w:rPr>
              <w:t>.</w:t>
            </w:r>
          </w:p>
          <w:p w14:paraId="0A9744CA" w14:textId="77777777" w:rsidR="001F243C" w:rsidRPr="001F243C" w:rsidRDefault="001F243C" w:rsidP="001F243C">
            <w:pPr>
              <w:pStyle w:val="NormalWeb"/>
              <w:spacing w:before="0" w:beforeAutospacing="0" w:after="0" w:afterAutospacing="0" w:line="276" w:lineRule="auto"/>
              <w:ind w:firstLine="709"/>
              <w:jc w:val="both"/>
              <w:rPr>
                <w:rFonts w:ascii="Verdana" w:eastAsia="Calibri" w:hAnsi="Verdana" w:cs="Arial"/>
                <w:color w:val="000000" w:themeColor="text1"/>
                <w:sz w:val="22"/>
                <w:szCs w:val="22"/>
              </w:rPr>
            </w:pPr>
          </w:p>
          <w:p w14:paraId="271F2A39" w14:textId="1FD987EC" w:rsidR="008A2B6F" w:rsidRDefault="008A2B6F" w:rsidP="001F243C">
            <w:pPr>
              <w:spacing w:after="120" w:line="276" w:lineRule="auto"/>
              <w:ind w:firstLine="596"/>
              <w:jc w:val="both"/>
              <w:rPr>
                <w:rFonts w:ascii="Verdana" w:eastAsia="Times New Roman" w:hAnsi="Verdana" w:cs="Arial"/>
                <w:color w:val="000000" w:themeColor="text1"/>
                <w:lang w:val="es-ES" w:eastAsia="es-ES"/>
              </w:rPr>
            </w:pPr>
            <w:r w:rsidRPr="001F243C">
              <w:rPr>
                <w:rFonts w:ascii="Verdana" w:eastAsia="Times New Roman" w:hAnsi="Verdana" w:cs="Arial"/>
                <w:color w:val="000000" w:themeColor="text1"/>
                <w:lang w:val="es-ES" w:eastAsia="es-ES"/>
              </w:rPr>
              <w:t xml:space="preserve">De lo anterior se sigue que, jurídicamente, la modificación del cronograma después de publicado el pliego definitivo </w:t>
            </w:r>
            <w:r w:rsidRPr="001F243C">
              <w:rPr>
                <w:rFonts w:ascii="Verdana" w:eastAsia="Times New Roman" w:hAnsi="Verdana" w:cs="Arial"/>
                <w:bCs/>
                <w:color w:val="000000" w:themeColor="text1"/>
                <w:lang w:val="es-ES" w:eastAsia="es-ES"/>
              </w:rPr>
              <w:t>no puede realizarse mediante un simple ajuste en la plataforma</w:t>
            </w:r>
            <w:r w:rsidRPr="001F243C">
              <w:rPr>
                <w:rFonts w:ascii="Verdana" w:eastAsia="Times New Roman" w:hAnsi="Verdana" w:cs="Arial"/>
                <w:color w:val="000000" w:themeColor="text1"/>
                <w:lang w:val="es-ES" w:eastAsia="es-ES"/>
              </w:rPr>
              <w:t>: exige el acto correspondiente —la adenda—, que es un documento del proceso sujeto a publicación y a justificación. La configuración en el SECOP II es el medio por el cual la modificación se hace operativa y visible, pero no sustituye el acto que la soporta</w:t>
            </w:r>
            <w:r w:rsidRPr="001F243C">
              <w:rPr>
                <w:rStyle w:val="Refdenotaalpie"/>
                <w:rFonts w:ascii="Verdana" w:hAnsi="Verdana"/>
                <w:sz w:val="20"/>
              </w:rPr>
              <w:footnoteReference w:id="8"/>
            </w:r>
            <w:r w:rsidRPr="001F243C">
              <w:rPr>
                <w:rFonts w:ascii="Verdana" w:eastAsia="Times New Roman" w:hAnsi="Verdana" w:cs="Arial"/>
                <w:color w:val="000000" w:themeColor="text1"/>
                <w:lang w:val="es-ES" w:eastAsia="es-ES"/>
              </w:rPr>
              <w:t>.</w:t>
            </w:r>
          </w:p>
          <w:p w14:paraId="1EC889C1" w14:textId="77777777" w:rsidR="001F243C" w:rsidRPr="004F3256" w:rsidRDefault="001F243C" w:rsidP="0094710A">
            <w:pPr>
              <w:spacing w:after="120" w:line="276" w:lineRule="auto"/>
              <w:jc w:val="both"/>
              <w:rPr>
                <w:rFonts w:ascii="Verdana" w:hAnsi="Verdana" w:cs="Arial"/>
                <w:lang w:val="es-ES" w:eastAsia="es-ES"/>
              </w:rPr>
            </w:pPr>
          </w:p>
          <w:p w14:paraId="71A3953C" w14:textId="7DA3A3F3" w:rsidR="008A2B6F" w:rsidRPr="004F3256" w:rsidRDefault="001F243C" w:rsidP="0094710A">
            <w:pPr>
              <w:spacing w:after="120" w:line="276" w:lineRule="auto"/>
              <w:jc w:val="both"/>
              <w:rPr>
                <w:rFonts w:ascii="Verdana" w:hAnsi="Verdana" w:cs="Arial"/>
                <w:lang w:val="es-ES" w:eastAsia="es-ES"/>
              </w:rPr>
            </w:pPr>
            <w:proofErr w:type="spellStart"/>
            <w:r>
              <w:rPr>
                <w:rFonts w:ascii="Verdana" w:eastAsia="Times New Roman" w:hAnsi="Verdana" w:cs="Arial"/>
                <w:color w:val="000000" w:themeColor="text1"/>
                <w:lang w:val="es-ES" w:eastAsia="es-ES"/>
              </w:rPr>
              <w:t>iii</w:t>
            </w:r>
            <w:proofErr w:type="spellEnd"/>
            <w:r w:rsidR="008A2B6F" w:rsidRPr="004F3256">
              <w:rPr>
                <w:rFonts w:ascii="Verdana" w:eastAsia="Times New Roman" w:hAnsi="Verdana" w:cs="Arial"/>
                <w:color w:val="000000" w:themeColor="text1"/>
                <w:lang w:val="es-ES" w:eastAsia="es-ES"/>
              </w:rPr>
              <w:t xml:space="preserve">) </w:t>
            </w:r>
            <w:r w:rsidR="008A2B6F" w:rsidRPr="001F243C">
              <w:rPr>
                <w:rFonts w:ascii="Verdana" w:eastAsia="Times New Roman" w:hAnsi="Verdana" w:cs="Arial"/>
                <w:bCs/>
                <w:color w:val="000000" w:themeColor="text1"/>
                <w:lang w:val="es-ES" w:eastAsia="es-ES"/>
              </w:rPr>
              <w:t>Sobre el tercer problema</w:t>
            </w:r>
            <w:r w:rsidR="008A2B6F" w:rsidRPr="004F3256">
              <w:rPr>
                <w:rFonts w:ascii="Verdana" w:eastAsia="Times New Roman" w:hAnsi="Verdana" w:cs="Arial"/>
                <w:color w:val="000000" w:themeColor="text1"/>
                <w:lang w:val="es-ES" w:eastAsia="es-ES"/>
              </w:rPr>
              <w:t xml:space="preserve">, la entidad estatal está obligada a publicar en el SECOP los documentos del proceso y los actos administrativos del Proceso de Contratación </w:t>
            </w:r>
            <w:r w:rsidR="008A2B6F" w:rsidRPr="00FC65D3">
              <w:rPr>
                <w:rFonts w:ascii="Verdana" w:eastAsia="Times New Roman" w:hAnsi="Verdana" w:cs="Arial"/>
                <w:color w:val="000000" w:themeColor="text1"/>
                <w:lang w:val="es-ES" w:eastAsia="es-ES"/>
              </w:rPr>
              <w:t>dentro de los tres (3) días siguientes a su expedición.</w:t>
            </w:r>
            <w:r w:rsidR="008A2B6F" w:rsidRPr="004F3256">
              <w:rPr>
                <w:rFonts w:ascii="Verdana" w:eastAsia="Times New Roman" w:hAnsi="Verdana" w:cs="Arial"/>
                <w:color w:val="000000" w:themeColor="text1"/>
                <w:lang w:val="es-ES" w:eastAsia="es-ES"/>
              </w:rPr>
              <w:t xml:space="preserve"> Esta Subdirección ha precisado que en el SECOP II, por su carácter transaccional, la información registrada está disponible en tiempo real y la publicidad es concomitante al desarrollo de cada etapa; pero que respecto de los documentos elaborados por fuera de la plataforma y luego cargados en ella se aplica la misma regla de los tres (3) días</w:t>
            </w:r>
            <w:r w:rsidR="008A2B6F" w:rsidRPr="004F3256">
              <w:rPr>
                <w:rStyle w:val="Refdenotaalpie"/>
                <w:rFonts w:ascii="Verdana" w:hAnsi="Verdana"/>
                <w:sz w:val="20"/>
              </w:rPr>
              <w:footnoteReference w:id="9"/>
            </w:r>
            <w:r w:rsidR="008A2B6F" w:rsidRPr="004F3256">
              <w:rPr>
                <w:rFonts w:ascii="Verdana" w:eastAsia="Times New Roman" w:hAnsi="Verdana" w:cs="Arial"/>
                <w:color w:val="000000" w:themeColor="text1"/>
                <w:lang w:val="es-ES" w:eastAsia="es-ES"/>
              </w:rPr>
              <w:t>.</w:t>
            </w:r>
          </w:p>
          <w:p w14:paraId="2BA11868" w14:textId="1EC152D5" w:rsidR="008A2B6F" w:rsidRPr="004F3256" w:rsidRDefault="00FC65D3" w:rsidP="0094710A">
            <w:pPr>
              <w:spacing w:after="120" w:line="276" w:lineRule="auto"/>
              <w:jc w:val="both"/>
              <w:rPr>
                <w:rFonts w:ascii="Verdana" w:hAnsi="Verdana" w:cs="Arial"/>
                <w:lang w:val="es-ES" w:eastAsia="es-ES"/>
              </w:rPr>
            </w:pPr>
            <w:proofErr w:type="spellStart"/>
            <w:r>
              <w:rPr>
                <w:rFonts w:ascii="Verdana" w:eastAsia="Times New Roman" w:hAnsi="Verdana" w:cs="Arial"/>
                <w:color w:val="000000" w:themeColor="text1"/>
                <w:lang w:val="es-ES" w:eastAsia="es-ES"/>
              </w:rPr>
              <w:lastRenderedPageBreak/>
              <w:t>iv</w:t>
            </w:r>
            <w:proofErr w:type="spellEnd"/>
            <w:r w:rsidR="008A2B6F" w:rsidRPr="004F3256">
              <w:rPr>
                <w:rFonts w:ascii="Verdana" w:eastAsia="Times New Roman" w:hAnsi="Verdana" w:cs="Arial"/>
                <w:color w:val="000000" w:themeColor="text1"/>
                <w:lang w:val="es-ES" w:eastAsia="es-ES"/>
              </w:rPr>
              <w:t xml:space="preserve">) </w:t>
            </w:r>
            <w:r w:rsidR="008A2B6F" w:rsidRPr="00FC65D3">
              <w:rPr>
                <w:rFonts w:ascii="Verdana" w:eastAsia="Times New Roman" w:hAnsi="Verdana" w:cs="Arial"/>
                <w:bCs/>
                <w:color w:val="000000" w:themeColor="text1"/>
                <w:lang w:val="es-ES" w:eastAsia="es-ES"/>
              </w:rPr>
              <w:t>Sobre el cuarto problema, la entidad no puede adjudicar sin haber resuelto las observaciones</w:t>
            </w:r>
            <w:r w:rsidR="008A2B6F" w:rsidRPr="004F3256">
              <w:rPr>
                <w:rFonts w:ascii="Verdana" w:eastAsia="Times New Roman" w:hAnsi="Verdana" w:cs="Arial"/>
                <w:color w:val="000000" w:themeColor="text1"/>
                <w:lang w:val="es-ES" w:eastAsia="es-ES"/>
              </w:rPr>
              <w:t xml:space="preserve"> formuladas al informe de evaluación. Aunque el ordenamiento no fija un plazo expreso para pronunciarse sobre ellas, sí establece un límite infranqueable: la respuesta debe producirse antes de proferir la decisión de adjudicación. Adjudicar sin haberlas resuelto desconoce el principio de transparencia del artículo 24 de la Ley 80 de 1993 y el derecho de contradicción, pues las etapas del procedimiento están dispuestas para que los interesados conozcan y controviertan los informes antes de que la selección se consolide; compromete también el principio de economía del artículo 25, que impone observar las etapas y términos previstos, y el deber de selección objetiva del artículo 5 de la Ley 1150 de 2007</w:t>
            </w:r>
            <w:r w:rsidR="008A2B6F" w:rsidRPr="004F3256">
              <w:rPr>
                <w:rStyle w:val="Refdenotaalpie"/>
                <w:rFonts w:ascii="Verdana" w:hAnsi="Verdana"/>
                <w:sz w:val="20"/>
              </w:rPr>
              <w:footnoteReference w:id="10"/>
            </w:r>
            <w:r w:rsidR="008A2B6F" w:rsidRPr="004F3256">
              <w:rPr>
                <w:rFonts w:ascii="Verdana" w:eastAsia="Times New Roman" w:hAnsi="Verdana" w:cs="Arial"/>
                <w:color w:val="000000" w:themeColor="text1"/>
                <w:lang w:val="es-ES" w:eastAsia="es-ES"/>
              </w:rPr>
              <w:t>.</w:t>
            </w:r>
          </w:p>
          <w:p w14:paraId="5E322020" w14:textId="1019C81C" w:rsidR="008A2B6F" w:rsidRPr="00FC65D3" w:rsidRDefault="008A2B6F" w:rsidP="00201935">
            <w:pPr>
              <w:spacing w:after="120" w:line="276" w:lineRule="auto"/>
              <w:ind w:firstLine="599"/>
              <w:jc w:val="both"/>
              <w:rPr>
                <w:rFonts w:ascii="Verdana" w:eastAsia="Times New Roman" w:hAnsi="Verdana" w:cs="Arial"/>
                <w:color w:val="000000" w:themeColor="text1"/>
                <w:lang w:val="es-ES" w:eastAsia="es-ES"/>
              </w:rPr>
            </w:pPr>
            <w:r w:rsidRPr="00FC65D3">
              <w:rPr>
                <w:rFonts w:ascii="Verdana" w:eastAsia="Times New Roman" w:hAnsi="Verdana" w:cs="Arial"/>
                <w:bCs/>
                <w:color w:val="000000" w:themeColor="text1"/>
                <w:lang w:val="es-ES" w:eastAsia="es-ES"/>
              </w:rPr>
              <w:t>Antes de adjudicar, el ordenamiento ofrece a la entidad la declaratoria de desierta.</w:t>
            </w:r>
            <w:r w:rsidRPr="004F3256">
              <w:rPr>
                <w:rFonts w:ascii="Verdana" w:eastAsia="Times New Roman" w:hAnsi="Verdana" w:cs="Arial"/>
                <w:color w:val="000000" w:themeColor="text1"/>
                <w:lang w:val="es-ES" w:eastAsia="es-ES"/>
              </w:rPr>
              <w:t xml:space="preserve"> Conforme al numeral 18 del artículo 25 de la Ley 80 de 1993, esta «únicamente procederá por motivos o causas que impidan la escogencia objetiva» y debe declararse mediante acto administrativo en el que se señalen «en forma expresa y detallada las razones que han conducido a esa decisión».</w:t>
            </w:r>
            <w:r w:rsidR="00FC65D3">
              <w:rPr>
                <w:rFonts w:ascii="Verdana" w:eastAsia="Times New Roman" w:hAnsi="Verdana" w:cs="Arial"/>
                <w:color w:val="000000" w:themeColor="text1"/>
                <w:lang w:val="es-ES" w:eastAsia="es-ES"/>
              </w:rPr>
              <w:t xml:space="preserve"> </w:t>
            </w:r>
            <w:r w:rsidR="00FC65D3" w:rsidRPr="00FC65D3">
              <w:rPr>
                <w:rFonts w:ascii="Verdana" w:eastAsia="Times New Roman" w:hAnsi="Verdana" w:cs="Arial"/>
                <w:color w:val="000000" w:themeColor="text1"/>
                <w:lang w:val="es-ES" w:eastAsia="es-ES"/>
              </w:rPr>
              <w:t>La fórmula legal es restrictiva</w:t>
            </w:r>
            <w:r w:rsidR="00AC1696">
              <w:rPr>
                <w:rFonts w:ascii="Verdana" w:eastAsia="Times New Roman" w:hAnsi="Verdana" w:cs="Arial"/>
                <w:color w:val="000000" w:themeColor="text1"/>
                <w:lang w:val="es-ES" w:eastAsia="es-ES"/>
              </w:rPr>
              <w:t xml:space="preserve"> porque es</w:t>
            </w:r>
            <w:r w:rsidR="00FC65D3" w:rsidRPr="00FC65D3">
              <w:rPr>
                <w:rFonts w:ascii="Verdana" w:eastAsia="Times New Roman" w:hAnsi="Verdana" w:cs="Arial"/>
                <w:color w:val="000000" w:themeColor="text1"/>
                <w:lang w:val="es-ES" w:eastAsia="es-ES"/>
              </w:rPr>
              <w:t xml:space="preserve"> la imposibilidad de escoger objetivamente. Los supuestos</w:t>
            </w:r>
            <w:r w:rsidR="00FC65D3">
              <w:rPr>
                <w:rFonts w:ascii="Verdana" w:eastAsia="Times New Roman" w:hAnsi="Verdana" w:cs="Arial"/>
                <w:color w:val="000000" w:themeColor="text1"/>
                <w:lang w:val="es-ES" w:eastAsia="es-ES"/>
              </w:rPr>
              <w:t xml:space="preserve"> </w:t>
            </w:r>
            <w:r w:rsidR="00FC65D3" w:rsidRPr="00FC65D3">
              <w:rPr>
                <w:rFonts w:ascii="Verdana" w:eastAsia="Times New Roman" w:hAnsi="Verdana" w:cs="Arial"/>
                <w:color w:val="000000" w:themeColor="text1"/>
                <w:lang w:val="es-ES" w:eastAsia="es-ES"/>
              </w:rPr>
              <w:t xml:space="preserve">típicos son: </w:t>
            </w:r>
            <w:r w:rsidR="00AC1696">
              <w:rPr>
                <w:rFonts w:ascii="Verdana" w:eastAsia="Times New Roman" w:hAnsi="Verdana" w:cs="Arial"/>
                <w:color w:val="000000" w:themeColor="text1"/>
                <w:lang w:val="es-ES" w:eastAsia="es-ES"/>
              </w:rPr>
              <w:t>i) Q</w:t>
            </w:r>
            <w:r w:rsidR="00FC65D3" w:rsidRPr="00FC65D3">
              <w:rPr>
                <w:rFonts w:ascii="Verdana" w:eastAsia="Times New Roman" w:hAnsi="Verdana" w:cs="Arial"/>
                <w:color w:val="000000" w:themeColor="text1"/>
                <w:lang w:val="es-ES" w:eastAsia="es-ES"/>
              </w:rPr>
              <w:t xml:space="preserve">ue no se haya presentado ninguna oferta; </w:t>
            </w:r>
            <w:proofErr w:type="spellStart"/>
            <w:r w:rsidR="00AC1696">
              <w:rPr>
                <w:rFonts w:ascii="Verdana" w:eastAsia="Times New Roman" w:hAnsi="Verdana" w:cs="Arial"/>
                <w:color w:val="000000" w:themeColor="text1"/>
                <w:lang w:val="es-ES" w:eastAsia="es-ES"/>
              </w:rPr>
              <w:t>ii</w:t>
            </w:r>
            <w:proofErr w:type="spellEnd"/>
            <w:r w:rsidR="00AC1696">
              <w:rPr>
                <w:rFonts w:ascii="Verdana" w:eastAsia="Times New Roman" w:hAnsi="Verdana" w:cs="Arial"/>
                <w:color w:val="000000" w:themeColor="text1"/>
                <w:lang w:val="es-ES" w:eastAsia="es-ES"/>
              </w:rPr>
              <w:t xml:space="preserve">) </w:t>
            </w:r>
            <w:r w:rsidR="00FC65D3" w:rsidRPr="00FC65D3">
              <w:rPr>
                <w:rFonts w:ascii="Verdana" w:eastAsia="Times New Roman" w:hAnsi="Verdana" w:cs="Arial"/>
                <w:color w:val="000000" w:themeColor="text1"/>
                <w:lang w:val="es-ES" w:eastAsia="es-ES"/>
              </w:rPr>
              <w:t xml:space="preserve">que ninguna de las presentadas resulte habilitada; </w:t>
            </w:r>
            <w:proofErr w:type="spellStart"/>
            <w:r w:rsidR="00AC1696">
              <w:rPr>
                <w:rFonts w:ascii="Verdana" w:eastAsia="Times New Roman" w:hAnsi="Verdana" w:cs="Arial"/>
                <w:color w:val="000000" w:themeColor="text1"/>
                <w:lang w:val="es-ES" w:eastAsia="es-ES"/>
              </w:rPr>
              <w:t>iii</w:t>
            </w:r>
            <w:proofErr w:type="spellEnd"/>
            <w:r w:rsidR="00AC1696">
              <w:rPr>
                <w:rFonts w:ascii="Verdana" w:eastAsia="Times New Roman" w:hAnsi="Verdana" w:cs="Arial"/>
                <w:color w:val="000000" w:themeColor="text1"/>
                <w:lang w:val="es-ES" w:eastAsia="es-ES"/>
              </w:rPr>
              <w:t xml:space="preserve">) </w:t>
            </w:r>
            <w:r w:rsidR="00FC65D3" w:rsidRPr="00FC65D3">
              <w:rPr>
                <w:rFonts w:ascii="Verdana" w:eastAsia="Times New Roman" w:hAnsi="Verdana" w:cs="Arial"/>
                <w:color w:val="000000" w:themeColor="text1"/>
                <w:lang w:val="es-ES" w:eastAsia="es-ES"/>
              </w:rPr>
              <w:t>que todas</w:t>
            </w:r>
            <w:r w:rsidR="00FC65D3">
              <w:rPr>
                <w:rFonts w:ascii="Verdana" w:eastAsia="Times New Roman" w:hAnsi="Verdana" w:cs="Arial"/>
                <w:color w:val="000000" w:themeColor="text1"/>
                <w:lang w:val="es-ES" w:eastAsia="es-ES"/>
              </w:rPr>
              <w:t xml:space="preserve"> </w:t>
            </w:r>
            <w:r w:rsidR="00FC65D3" w:rsidRPr="00FC65D3">
              <w:rPr>
                <w:rFonts w:ascii="Verdana" w:eastAsia="Times New Roman" w:hAnsi="Verdana" w:cs="Arial"/>
                <w:color w:val="000000" w:themeColor="text1"/>
                <w:lang w:val="es-ES" w:eastAsia="es-ES"/>
              </w:rPr>
              <w:t xml:space="preserve">superen el presupuesto oficial; </w:t>
            </w:r>
            <w:proofErr w:type="spellStart"/>
            <w:r w:rsidR="00AC1696">
              <w:rPr>
                <w:rFonts w:ascii="Verdana" w:eastAsia="Times New Roman" w:hAnsi="Verdana" w:cs="Arial"/>
                <w:color w:val="000000" w:themeColor="text1"/>
                <w:lang w:val="es-ES" w:eastAsia="es-ES"/>
              </w:rPr>
              <w:t>iv</w:t>
            </w:r>
            <w:proofErr w:type="spellEnd"/>
            <w:r w:rsidR="00AC1696">
              <w:rPr>
                <w:rFonts w:ascii="Verdana" w:eastAsia="Times New Roman" w:hAnsi="Verdana" w:cs="Arial"/>
                <w:color w:val="000000" w:themeColor="text1"/>
                <w:lang w:val="es-ES" w:eastAsia="es-ES"/>
              </w:rPr>
              <w:t xml:space="preserve">) </w:t>
            </w:r>
            <w:r w:rsidR="00FC65D3" w:rsidRPr="00FC65D3">
              <w:rPr>
                <w:rFonts w:ascii="Verdana" w:eastAsia="Times New Roman" w:hAnsi="Verdana" w:cs="Arial"/>
                <w:color w:val="000000" w:themeColor="text1"/>
                <w:lang w:val="es-ES" w:eastAsia="es-ES"/>
              </w:rPr>
              <w:t>o que el pliego contenga un defecto que haga imposible aplicar sus propias reglas</w:t>
            </w:r>
            <w:r w:rsidR="00FC65D3">
              <w:rPr>
                <w:rFonts w:ascii="Verdana" w:eastAsia="Times New Roman" w:hAnsi="Verdana" w:cs="Arial"/>
                <w:color w:val="000000" w:themeColor="text1"/>
                <w:lang w:val="es-ES" w:eastAsia="es-ES"/>
              </w:rPr>
              <w:t xml:space="preserve"> </w:t>
            </w:r>
            <w:r w:rsidR="00FC65D3" w:rsidRPr="00FC65D3">
              <w:rPr>
                <w:rFonts w:ascii="Verdana" w:eastAsia="Times New Roman" w:hAnsi="Verdana" w:cs="Arial"/>
                <w:color w:val="000000" w:themeColor="text1"/>
                <w:lang w:val="es-ES" w:eastAsia="es-ES"/>
              </w:rPr>
              <w:t>de evaluación.</w:t>
            </w:r>
            <w:r w:rsidRPr="004F3256">
              <w:rPr>
                <w:rFonts w:ascii="Verdana" w:eastAsia="Times New Roman" w:hAnsi="Verdana" w:cs="Arial"/>
                <w:color w:val="000000" w:themeColor="text1"/>
                <w:lang w:val="es-ES" w:eastAsia="es-ES"/>
              </w:rPr>
              <w:t xml:space="preserve"> Es la vía prevista cuando las irregularidades advertidas impiden seleccionar objetivamente</w:t>
            </w:r>
            <w:r w:rsidRPr="004F3256">
              <w:rPr>
                <w:rStyle w:val="Refdenotaalpie"/>
                <w:rFonts w:ascii="Verdana" w:hAnsi="Verdana"/>
                <w:sz w:val="20"/>
              </w:rPr>
              <w:footnoteReference w:id="11"/>
            </w:r>
            <w:r w:rsidRPr="004F3256">
              <w:rPr>
                <w:rFonts w:ascii="Verdana" w:eastAsia="Times New Roman" w:hAnsi="Verdana" w:cs="Arial"/>
                <w:color w:val="000000" w:themeColor="text1"/>
                <w:lang w:val="es-ES" w:eastAsia="es-ES"/>
              </w:rPr>
              <w:t>.</w:t>
            </w:r>
          </w:p>
          <w:p w14:paraId="44075D5E" w14:textId="5E3EA21D" w:rsidR="008A2B6F" w:rsidRPr="004F3256" w:rsidRDefault="008A2B6F" w:rsidP="00201935">
            <w:pPr>
              <w:spacing w:after="120" w:line="276" w:lineRule="auto"/>
              <w:ind w:firstLine="599"/>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En cuanto </w:t>
            </w:r>
            <w:r w:rsidRPr="00FC65D3">
              <w:rPr>
                <w:rFonts w:ascii="Verdana" w:eastAsia="Times New Roman" w:hAnsi="Verdana" w:cs="Arial"/>
                <w:color w:val="000000" w:themeColor="text1"/>
                <w:lang w:val="es-ES" w:eastAsia="es-ES"/>
              </w:rPr>
              <w:t>a la revocación directa del acto de apertura, de</w:t>
            </w:r>
            <w:r w:rsidRPr="004F3256">
              <w:rPr>
                <w:rFonts w:ascii="Verdana" w:eastAsia="Times New Roman" w:hAnsi="Verdana" w:cs="Arial"/>
                <w:color w:val="000000" w:themeColor="text1"/>
                <w:lang w:val="es-ES" w:eastAsia="es-ES"/>
              </w:rPr>
              <w:t xml:space="preserve">be advertirse que el Decreto 1082 de 2015 no la reguló. Antes de que se presenten ofertas existe unanimidad sobre la posibilidad de revocarlo unilateralmente, porque no se ha configurado situación particular alguna. Presentadas las ofertas, en cambio, la jurisprudencia de la Sección Tercera del Consejo de Estado ha formulado cuatro tesis distintas, sin que exista posición unificada: desde la que admite la revocación unilateral si concurre alguna causal del artículo 93 </w:t>
            </w:r>
            <w:r w:rsidRPr="004F3256">
              <w:rPr>
                <w:rFonts w:ascii="Verdana" w:eastAsia="Times New Roman" w:hAnsi="Verdana" w:cs="Arial"/>
                <w:color w:val="000000" w:themeColor="text1"/>
                <w:lang w:val="es-ES" w:eastAsia="es-ES"/>
              </w:rPr>
              <w:lastRenderedPageBreak/>
              <w:t>del Código de Procedimiento Administrativo y de lo Contencioso Administrativo —por remisión del artículo 77 de la Ley 80 de 1993—, hasta la que exige el consentimiento expreso del mejor proponente. Por ello, esta Agencia no puede afirmar en abstracto una respuesta única, y la entidad deberá adoptar su decisión motivadamente y bajo su responsabilidad</w:t>
            </w:r>
            <w:r w:rsidRPr="004F3256">
              <w:rPr>
                <w:rStyle w:val="Refdenotaalpie"/>
                <w:rFonts w:ascii="Verdana" w:hAnsi="Verdana"/>
                <w:sz w:val="20"/>
              </w:rPr>
              <w:footnoteReference w:id="12"/>
            </w:r>
            <w:r w:rsidRPr="004F3256">
              <w:rPr>
                <w:rFonts w:ascii="Verdana" w:eastAsia="Times New Roman" w:hAnsi="Verdana" w:cs="Arial"/>
                <w:color w:val="000000" w:themeColor="text1"/>
                <w:lang w:val="es-ES" w:eastAsia="es-ES"/>
              </w:rPr>
              <w:t>.</w:t>
            </w:r>
          </w:p>
        </w:tc>
      </w:tr>
    </w:tbl>
    <w:p w14:paraId="2E59E56E" w14:textId="77777777" w:rsidR="00662087" w:rsidRDefault="00662087" w:rsidP="00662087">
      <w:pPr>
        <w:spacing w:after="0" w:line="276" w:lineRule="auto"/>
        <w:jc w:val="both"/>
        <w:rPr>
          <w:rFonts w:ascii="Verdana" w:eastAsia="Calibri" w:hAnsi="Verdana" w:cs="Arial"/>
          <w:bCs/>
          <w:color w:val="000000" w:themeColor="text1"/>
        </w:rPr>
      </w:pPr>
      <w:bookmarkStart w:id="0" w:name="_Hlk37703813"/>
    </w:p>
    <w:p w14:paraId="728D1B2C" w14:textId="77777777" w:rsidR="00D12F8B" w:rsidRPr="00B57A1B" w:rsidRDefault="00D12F8B" w:rsidP="00662087">
      <w:pPr>
        <w:spacing w:after="0" w:line="276" w:lineRule="auto"/>
        <w:jc w:val="both"/>
        <w:rPr>
          <w:rFonts w:ascii="Verdana" w:eastAsia="Calibri" w:hAnsi="Verdana" w:cs="Arial"/>
          <w:bCs/>
          <w:color w:val="000000" w:themeColor="text1"/>
        </w:rPr>
      </w:pPr>
    </w:p>
    <w:p w14:paraId="49C37F9B" w14:textId="77777777" w:rsidR="00662087" w:rsidRPr="00B57A1B" w:rsidRDefault="00662087" w:rsidP="00662087">
      <w:pPr>
        <w:numPr>
          <w:ilvl w:val="0"/>
          <w:numId w:val="16"/>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las respuestas:</w:t>
      </w:r>
    </w:p>
    <w:p w14:paraId="6C03448F" w14:textId="77777777" w:rsidR="00662087" w:rsidRPr="003C0ED7" w:rsidRDefault="00662087" w:rsidP="00662087">
      <w:pPr>
        <w:spacing w:after="0" w:line="276" w:lineRule="auto"/>
        <w:jc w:val="both"/>
        <w:rPr>
          <w:rFonts w:ascii="Verdana" w:eastAsia="Calibri" w:hAnsi="Verdana" w:cs="Arial"/>
          <w:lang w:val="es-ES"/>
        </w:rPr>
      </w:pPr>
    </w:p>
    <w:p w14:paraId="546A0754" w14:textId="77777777" w:rsidR="00662087" w:rsidRPr="00A0389A" w:rsidRDefault="00662087" w:rsidP="00662087">
      <w:pPr>
        <w:spacing w:after="0" w:line="276" w:lineRule="auto"/>
        <w:jc w:val="both"/>
        <w:rPr>
          <w:rFonts w:ascii="Verdana" w:eastAsia="Calibri" w:hAnsi="Verdana" w:cs="Arial"/>
          <w:lang w:val="es-ES"/>
        </w:rPr>
      </w:pPr>
      <w:r w:rsidRPr="00A0389A">
        <w:rPr>
          <w:rFonts w:ascii="Verdana" w:eastAsia="Calibri" w:hAnsi="Verdana" w:cs="Arial"/>
          <w:lang w:val="es-ES"/>
        </w:rPr>
        <w:t>Lo anterior se sustenta en las siguientes consideraciones:</w:t>
      </w:r>
    </w:p>
    <w:p w14:paraId="32A19FAA" w14:textId="77777777" w:rsidR="004A0841" w:rsidRDefault="004A0841" w:rsidP="00751DE8">
      <w:pPr>
        <w:spacing w:after="0" w:line="240" w:lineRule="auto"/>
        <w:jc w:val="both"/>
        <w:rPr>
          <w:rFonts w:ascii="Verdana" w:hAnsi="Verdana" w:cs="Arial"/>
          <w:b/>
          <w:bCs/>
          <w:color w:val="000000"/>
          <w:lang w:val="es-ES"/>
        </w:rPr>
      </w:pPr>
    </w:p>
    <w:p w14:paraId="57C1F548" w14:textId="546777E4" w:rsidR="00662087" w:rsidRPr="00A0389A" w:rsidRDefault="00201935"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i) </w:t>
      </w:r>
      <w:r w:rsidR="00867E8A">
        <w:rPr>
          <w:rFonts w:ascii="Verdana" w:hAnsi="Verdana" w:cs="Arial"/>
          <w:bCs/>
          <w:szCs w:val="24"/>
          <w:lang w:val="es-ES_tradnl" w:eastAsia="es-ES_tradnl"/>
        </w:rPr>
        <w:t>El artículo 2.2.1.1.1.3.1 del Decreto 1082 de 2015 define el cronograma como «el documento en el cual la Entidad Estatal establece las fechas, horas y plazos para las actividades propias del Proceso de Contratación y el lugar en el que estas deben llevarse a cabo». No se trata, pues, de una pieza informativa accesoria: es el instrumento que fija los términos preclusivos del procedimiento y, con ellos, las oportunidades de participación de los interesados</w:t>
      </w:r>
      <w:r w:rsidR="00867E8A">
        <w:rPr>
          <w:rStyle w:val="Refdenotaalpie"/>
          <w:rFonts w:ascii="Verdana" w:hAnsi="Verdana"/>
          <w:sz w:val="20"/>
        </w:rPr>
        <w:footnoteReference w:id="13"/>
      </w:r>
      <w:r w:rsidR="00867E8A">
        <w:rPr>
          <w:rFonts w:ascii="Verdana" w:hAnsi="Verdana" w:cs="Arial"/>
          <w:bCs/>
          <w:szCs w:val="24"/>
          <w:lang w:val="es-ES_tradnl" w:eastAsia="es-ES_tradnl"/>
        </w:rPr>
        <w:t>.</w:t>
      </w:r>
    </w:p>
    <w:p w14:paraId="46EBB002" w14:textId="77777777" w:rsidR="004A0841" w:rsidRDefault="004A0841" w:rsidP="00751DE8">
      <w:pPr>
        <w:spacing w:after="0" w:line="240" w:lineRule="auto"/>
        <w:jc w:val="both"/>
        <w:rPr>
          <w:rFonts w:ascii="Verdana" w:hAnsi="Verdana" w:cs="Arial"/>
          <w:b/>
          <w:bCs/>
          <w:color w:val="000000"/>
          <w:lang w:val="es-ES"/>
        </w:rPr>
      </w:pPr>
    </w:p>
    <w:p w14:paraId="5ACC294C" w14:textId="77777777" w:rsidR="00662087" w:rsidRPr="0008387D" w:rsidRDefault="00867E8A" w:rsidP="00201935">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El mismo decreto exige el </w:t>
      </w:r>
      <w:r w:rsidRPr="0008387D">
        <w:rPr>
          <w:rFonts w:ascii="Verdana" w:hAnsi="Verdana" w:cs="Arial"/>
          <w:bCs/>
          <w:szCs w:val="24"/>
          <w:lang w:val="es-ES_tradnl" w:eastAsia="es-ES_tradnl"/>
        </w:rPr>
        <w:t>cronograma como contenido mínimo de tres documentos distintos. El numeral 12 del artículo 2.2.1.1.2.1.2 lo incluye entre la información que debe contener el aviso de convocatoria. El artículo 2.2.1.1.2.1.3 lo incorpora entre los elementos del pliego de condiciones. Y el numeral 3 del artículo 2.2.1.1.2.1.5 lo enumera entre los aspectos que debe señalar el acto administrativo de apertura del proceso de selección</w:t>
      </w:r>
      <w:r w:rsidRPr="0008387D">
        <w:rPr>
          <w:rStyle w:val="Refdenotaalpie"/>
          <w:rFonts w:ascii="Verdana" w:hAnsi="Verdana"/>
          <w:bCs/>
          <w:sz w:val="20"/>
        </w:rPr>
        <w:footnoteReference w:id="14"/>
      </w:r>
      <w:r w:rsidRPr="0008387D">
        <w:rPr>
          <w:rFonts w:ascii="Verdana" w:hAnsi="Verdana" w:cs="Arial"/>
          <w:bCs/>
          <w:szCs w:val="24"/>
          <w:lang w:val="es-ES_tradnl" w:eastAsia="es-ES_tradnl"/>
        </w:rPr>
        <w:t>.</w:t>
      </w:r>
    </w:p>
    <w:p w14:paraId="65592A04" w14:textId="77777777" w:rsidR="004A0841" w:rsidRPr="0008387D" w:rsidRDefault="004A0841" w:rsidP="00751DE8">
      <w:pPr>
        <w:spacing w:after="0" w:line="240" w:lineRule="auto"/>
        <w:jc w:val="both"/>
        <w:rPr>
          <w:rFonts w:ascii="Verdana" w:hAnsi="Verdana" w:cs="Arial"/>
          <w:bCs/>
          <w:color w:val="000000"/>
          <w:lang w:val="es-ES"/>
        </w:rPr>
      </w:pPr>
    </w:p>
    <w:p w14:paraId="28ADBA64" w14:textId="77777777" w:rsidR="00662087" w:rsidRPr="00A0389A" w:rsidRDefault="00867E8A" w:rsidP="00201935">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Que la exigencia se repita en tres disposiciones distintas no es redundancia del reglamento: cada documento cumple una función y se dirige a un momento distinto del procedimiento. El aviso convoca; el acto de apertura ordena iniciar y es un acto administrativo de carácter general; el pliego fija las reglas que </w:t>
      </w:r>
      <w:r>
        <w:rPr>
          <w:rFonts w:ascii="Verdana" w:hAnsi="Verdana" w:cs="Arial"/>
          <w:bCs/>
          <w:szCs w:val="24"/>
          <w:lang w:val="es-ES_tradnl" w:eastAsia="es-ES_tradnl"/>
        </w:rPr>
        <w:lastRenderedPageBreak/>
        <w:t>gobernarán la selección y el contrato. En los tres el cronograma cumple el mismo cometido: dar certeza sobre las oportunidades procesales.</w:t>
      </w:r>
    </w:p>
    <w:p w14:paraId="284AABDB" w14:textId="77777777" w:rsidR="004A0841" w:rsidRDefault="004A0841" w:rsidP="00751DE8">
      <w:pPr>
        <w:spacing w:after="0" w:line="240" w:lineRule="auto"/>
        <w:jc w:val="both"/>
        <w:rPr>
          <w:rFonts w:ascii="Verdana" w:hAnsi="Verdana" w:cs="Arial"/>
          <w:b/>
          <w:bCs/>
          <w:color w:val="000000"/>
          <w:lang w:val="es-ES"/>
        </w:rPr>
      </w:pPr>
    </w:p>
    <w:p w14:paraId="53AFB305" w14:textId="483601CA" w:rsidR="00662087" w:rsidRPr="00A0389A" w:rsidRDefault="00201935" w:rsidP="00662087">
      <w:pPr>
        <w:spacing w:after="0" w:line="276" w:lineRule="auto"/>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ii</w:t>
      </w:r>
      <w:proofErr w:type="spellEnd"/>
      <w:r>
        <w:rPr>
          <w:rFonts w:ascii="Verdana" w:hAnsi="Verdana" w:cs="Arial"/>
          <w:bCs/>
          <w:szCs w:val="24"/>
          <w:lang w:val="es-ES_tradnl" w:eastAsia="es-ES_tradnl"/>
        </w:rPr>
        <w:t xml:space="preserve">) </w:t>
      </w:r>
      <w:r w:rsidR="00867E8A">
        <w:rPr>
          <w:rFonts w:ascii="Verdana" w:hAnsi="Verdana" w:cs="Arial"/>
          <w:bCs/>
          <w:szCs w:val="24"/>
          <w:lang w:val="es-ES_tradnl" w:eastAsia="es-ES_tradnl"/>
        </w:rPr>
        <w:t xml:space="preserve">La pregunta de fondo del peticionario es si la publicación del cronograma en la sección de información general del SECOP II suple su incorporación en aquellos </w:t>
      </w:r>
      <w:r w:rsidR="00867E8A" w:rsidRPr="00201935">
        <w:rPr>
          <w:rFonts w:ascii="Verdana" w:hAnsi="Verdana" w:cs="Arial"/>
          <w:bCs/>
          <w:szCs w:val="24"/>
          <w:lang w:val="es-ES_tradnl" w:eastAsia="es-ES_tradnl"/>
        </w:rPr>
        <w:t>documentos. La respuesta exige separar dos deberes que suelen confundirse: el del contenido de cada documento y el de la publicidad de la actuación.</w:t>
      </w:r>
    </w:p>
    <w:p w14:paraId="1673A514" w14:textId="77777777" w:rsidR="004A0841" w:rsidRDefault="004A0841" w:rsidP="00751DE8">
      <w:pPr>
        <w:spacing w:after="0" w:line="240" w:lineRule="auto"/>
        <w:jc w:val="both"/>
        <w:rPr>
          <w:rFonts w:ascii="Verdana" w:hAnsi="Verdana" w:cs="Arial"/>
          <w:b/>
          <w:bCs/>
          <w:color w:val="000000"/>
          <w:lang w:val="es-ES"/>
        </w:rPr>
      </w:pPr>
    </w:p>
    <w:p w14:paraId="6D90B712" w14:textId="77777777" w:rsidR="00662087" w:rsidRPr="00A0389A" w:rsidRDefault="00867E8A" w:rsidP="00201935">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El deber de contenido proviene de las tres normas citadas y se dirige al documento en sí: impone que el aviso, el acto de apertura y el pliego incorporen determinada información. El deber de publicidad proviene del artículo 2.2.1.1.1.7.1 del mismo decreto y se dirige a la difusión de esos documentos una vez producidos. Son deberes concurrentes y no alternativos: la publicación no dispensa del contenido, ni el contenido dispensa de la publicación</w:t>
      </w:r>
      <w:r>
        <w:rPr>
          <w:rStyle w:val="Refdenotaalpie"/>
          <w:rFonts w:ascii="Verdana" w:hAnsi="Verdana"/>
          <w:sz w:val="20"/>
        </w:rPr>
        <w:footnoteReference w:id="15"/>
      </w:r>
      <w:r>
        <w:rPr>
          <w:rFonts w:ascii="Verdana" w:hAnsi="Verdana" w:cs="Arial"/>
          <w:bCs/>
          <w:szCs w:val="24"/>
          <w:lang w:val="es-ES_tradnl" w:eastAsia="es-ES_tradnl"/>
        </w:rPr>
        <w:t>.</w:t>
      </w:r>
    </w:p>
    <w:p w14:paraId="63CC2054" w14:textId="77777777" w:rsidR="004A0841" w:rsidRDefault="004A0841" w:rsidP="00751DE8">
      <w:pPr>
        <w:spacing w:after="0" w:line="240" w:lineRule="auto"/>
        <w:jc w:val="both"/>
        <w:rPr>
          <w:rFonts w:ascii="Verdana" w:hAnsi="Verdana" w:cs="Arial"/>
          <w:b/>
          <w:bCs/>
          <w:color w:val="000000"/>
          <w:lang w:val="es-ES"/>
        </w:rPr>
      </w:pPr>
    </w:p>
    <w:p w14:paraId="29011AD9" w14:textId="77777777" w:rsidR="00662087" w:rsidRPr="00A0389A" w:rsidRDefault="00867E8A" w:rsidP="00201935">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A ello se añade una razón de jerarquía. Las disposiciones que fijan el contenido mínimo de esos documentos son normas reglamentarias imperativas, de suerte que la entidad no puede sustituir por decisión propia la forma en que el reglamento dispuso que se cumpla la exigencia. Ni el manual de contratación ni la configuración de una plataforma pueden desplazar una norma de esa naturaleza.</w:t>
      </w:r>
    </w:p>
    <w:p w14:paraId="2A6FB2A0" w14:textId="77777777" w:rsidR="004A0841" w:rsidRDefault="004A0841" w:rsidP="00751DE8">
      <w:pPr>
        <w:spacing w:after="0" w:line="240" w:lineRule="auto"/>
        <w:jc w:val="both"/>
        <w:rPr>
          <w:rFonts w:ascii="Verdana" w:hAnsi="Verdana" w:cs="Arial"/>
          <w:b/>
          <w:bCs/>
          <w:color w:val="000000"/>
          <w:lang w:val="es-ES"/>
        </w:rPr>
      </w:pPr>
    </w:p>
    <w:p w14:paraId="1A247C05" w14:textId="77777777" w:rsidR="00662087" w:rsidRPr="00A0389A" w:rsidRDefault="00867E8A" w:rsidP="00201935">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Conviene, con todo, hacer una precisión para no incurrir en una lectura excesiva. Esta Subdirección ha señalado que el SECOP II y la Tienda Virtual del Estado Colombiano «están conformados por documentos electrónicos como formularios o plantillas generados a partir de la información diligenciada por la Entidad Estatal o el Proveedor y documentos producidos originalmente en físico o por medios electrónicos» que se cargan en las plataformas. Los formularios diligenciados en la plataforma sí integran, por tanto, los documentos del proceso y producen efectos. Lo que no puede sostenerse es que su diligenciamiento releve del contenido que el reglamento exige de los tres documentos mencionados</w:t>
      </w:r>
      <w:r>
        <w:rPr>
          <w:rStyle w:val="Refdenotaalpie"/>
          <w:rFonts w:ascii="Verdana" w:hAnsi="Verdana"/>
          <w:sz w:val="20"/>
        </w:rPr>
        <w:footnoteReference w:id="16"/>
      </w:r>
      <w:r>
        <w:rPr>
          <w:rFonts w:ascii="Verdana" w:hAnsi="Verdana" w:cs="Arial"/>
          <w:bCs/>
          <w:szCs w:val="24"/>
          <w:lang w:val="es-ES_tradnl" w:eastAsia="es-ES_tradnl"/>
        </w:rPr>
        <w:t>.</w:t>
      </w:r>
    </w:p>
    <w:p w14:paraId="04B681C5" w14:textId="77777777" w:rsidR="004A0841" w:rsidRDefault="004A0841" w:rsidP="00751DE8">
      <w:pPr>
        <w:spacing w:after="0" w:line="240" w:lineRule="auto"/>
        <w:jc w:val="both"/>
        <w:rPr>
          <w:rFonts w:ascii="Verdana" w:hAnsi="Verdana" w:cs="Arial"/>
          <w:b/>
          <w:bCs/>
          <w:color w:val="000000"/>
          <w:lang w:val="es-ES"/>
        </w:rPr>
      </w:pPr>
    </w:p>
    <w:p w14:paraId="689D0DA6" w14:textId="77777777" w:rsidR="00662087" w:rsidRPr="00A0389A" w:rsidRDefault="00867E8A" w:rsidP="00201935">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Sobre la segunda pregunta —si existe norma, concepto, manual, guía o providencia que autorice la omisión— debe responderse que esta Subdirección no conoce disposición ni pronunciamiento en ese sentido. Las tres normas reglamentarias citadas exigen el cronograma de manera expresa y no prevén excepción. Su omisión constituye, en abstracto, el incumplimiento de un requisito de contenido, con incidencia en el principio de publicidad que integra el de transparencia consagrado en los artículos 23 y 24 de la Ley 80 de 1993. La valoración de los efectos de esa omisión en un procedimiento determinado escapa a la competencia consultiva de esta Agencia</w:t>
      </w:r>
      <w:r>
        <w:rPr>
          <w:rStyle w:val="Refdenotaalpie"/>
          <w:rFonts w:ascii="Verdana" w:hAnsi="Verdana"/>
          <w:sz w:val="20"/>
        </w:rPr>
        <w:footnoteReference w:id="17"/>
      </w:r>
      <w:r>
        <w:rPr>
          <w:rFonts w:ascii="Verdana" w:hAnsi="Verdana" w:cs="Arial"/>
          <w:bCs/>
          <w:szCs w:val="24"/>
          <w:lang w:val="es-ES_tradnl" w:eastAsia="es-ES_tradnl"/>
        </w:rPr>
        <w:t>.</w:t>
      </w:r>
    </w:p>
    <w:p w14:paraId="6C218426" w14:textId="77777777" w:rsidR="004A0841" w:rsidRDefault="004A0841" w:rsidP="00751DE8">
      <w:pPr>
        <w:spacing w:after="0" w:line="240" w:lineRule="auto"/>
        <w:jc w:val="both"/>
        <w:rPr>
          <w:rFonts w:ascii="Verdana" w:hAnsi="Verdana" w:cs="Arial"/>
          <w:b/>
          <w:bCs/>
          <w:color w:val="000000"/>
          <w:lang w:val="es-ES"/>
        </w:rPr>
      </w:pPr>
    </w:p>
    <w:p w14:paraId="58252B2E" w14:textId="77777777" w:rsidR="004A0841" w:rsidRDefault="004A0841" w:rsidP="00751DE8">
      <w:pPr>
        <w:spacing w:after="0" w:line="240" w:lineRule="auto"/>
        <w:jc w:val="both"/>
        <w:rPr>
          <w:rFonts w:ascii="Verdana" w:hAnsi="Verdana" w:cs="Arial"/>
          <w:b/>
          <w:bCs/>
          <w:color w:val="000000"/>
          <w:lang w:val="es-ES"/>
        </w:rPr>
      </w:pPr>
    </w:p>
    <w:p w14:paraId="24F66139" w14:textId="7D6C8D69" w:rsidR="00662087" w:rsidRPr="00A0389A" w:rsidRDefault="00201935" w:rsidP="00662087">
      <w:pPr>
        <w:spacing w:after="0" w:line="276" w:lineRule="auto"/>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iii</w:t>
      </w:r>
      <w:proofErr w:type="spellEnd"/>
      <w:r>
        <w:rPr>
          <w:rFonts w:ascii="Verdana" w:hAnsi="Verdana" w:cs="Arial"/>
          <w:bCs/>
          <w:szCs w:val="24"/>
          <w:lang w:val="es-ES_tradnl" w:eastAsia="es-ES_tradnl"/>
        </w:rPr>
        <w:t xml:space="preserve">) </w:t>
      </w:r>
      <w:r w:rsidR="00867E8A">
        <w:rPr>
          <w:rFonts w:ascii="Verdana" w:hAnsi="Verdana" w:cs="Arial"/>
          <w:bCs/>
          <w:szCs w:val="24"/>
          <w:lang w:val="es-ES_tradnl" w:eastAsia="es-ES_tradnl"/>
        </w:rPr>
        <w:t>El tercer interrogante pregunta qué mecanismo debe emplearse cuando la entidad modifica el cronograma durante el término de publicación del proyecto de pliego de condiciones. La respuesta exige distinguir dos etapas que tienen régimen distinto.</w:t>
      </w:r>
    </w:p>
    <w:p w14:paraId="1AFC958F" w14:textId="77777777" w:rsidR="004A0841" w:rsidRDefault="004A0841" w:rsidP="00751DE8">
      <w:pPr>
        <w:spacing w:after="0" w:line="240" w:lineRule="auto"/>
        <w:jc w:val="both"/>
        <w:rPr>
          <w:rFonts w:ascii="Verdana" w:hAnsi="Verdana" w:cs="Arial"/>
          <w:b/>
          <w:bCs/>
          <w:color w:val="000000"/>
          <w:lang w:val="es-ES"/>
        </w:rPr>
      </w:pPr>
    </w:p>
    <w:p w14:paraId="67025E39" w14:textId="77777777" w:rsidR="00662087" w:rsidRPr="00A0389A" w:rsidRDefault="00867E8A" w:rsidP="00201935">
      <w:pPr>
        <w:spacing w:after="0" w:line="276" w:lineRule="auto"/>
        <w:ind w:firstLine="567"/>
        <w:jc w:val="both"/>
        <w:rPr>
          <w:rFonts w:ascii="Verdana" w:hAnsi="Verdana" w:cs="Arial"/>
          <w:bCs/>
          <w:szCs w:val="24"/>
          <w:lang w:val="es-ES_tradnl" w:eastAsia="es-ES_tradnl"/>
        </w:rPr>
      </w:pPr>
      <w:r w:rsidRPr="00201935">
        <w:rPr>
          <w:rFonts w:ascii="Verdana" w:hAnsi="Verdana" w:cs="Arial"/>
          <w:bCs/>
          <w:szCs w:val="24"/>
          <w:lang w:val="es-ES_tradnl" w:eastAsia="es-ES_tradnl"/>
        </w:rPr>
        <w:t>Durante la publicación del proyecto de pliego no se expiden adendas. Esa</w:t>
      </w:r>
      <w:r>
        <w:rPr>
          <w:rFonts w:ascii="Verdana" w:hAnsi="Verdana" w:cs="Arial"/>
          <w:bCs/>
          <w:szCs w:val="24"/>
          <w:lang w:val="es-ES_tradnl" w:eastAsia="es-ES_tradnl"/>
        </w:rPr>
        <w:t xml:space="preserve"> etapa tiene por finalidad precisamente recibir observaciones de los interesados, y su resultado se incorpora al elaborar el pliego definitivo. El artículo 2.2.1.1.2.1.4 del Decreto 1082 de 2015 fija el término para formularlas: diez (10) días hábiles en la licitación pública y cinco (5) días hábiles en la selección abreviada y en el concurso de méritos. Los ajustes que se produzcan en ese momento —incluidos los del cronograma— se reflejan en el pliego definitivo y en el acto de apertura, sin necesidad de adenda</w:t>
      </w:r>
      <w:r>
        <w:rPr>
          <w:rStyle w:val="Refdenotaalpie"/>
          <w:rFonts w:ascii="Verdana" w:hAnsi="Verdana"/>
          <w:sz w:val="20"/>
        </w:rPr>
        <w:footnoteReference w:id="18"/>
      </w:r>
      <w:r>
        <w:rPr>
          <w:rFonts w:ascii="Verdana" w:hAnsi="Verdana" w:cs="Arial"/>
          <w:bCs/>
          <w:szCs w:val="24"/>
          <w:lang w:val="es-ES_tradnl" w:eastAsia="es-ES_tradnl"/>
        </w:rPr>
        <w:t>.</w:t>
      </w:r>
    </w:p>
    <w:p w14:paraId="60E5914A" w14:textId="77777777" w:rsidR="004A0841" w:rsidRDefault="004A0841" w:rsidP="00751DE8">
      <w:pPr>
        <w:spacing w:after="0" w:line="240" w:lineRule="auto"/>
        <w:jc w:val="both"/>
        <w:rPr>
          <w:rFonts w:ascii="Verdana" w:hAnsi="Verdana" w:cs="Arial"/>
          <w:b/>
          <w:bCs/>
          <w:color w:val="000000"/>
          <w:lang w:val="es-ES"/>
        </w:rPr>
      </w:pPr>
    </w:p>
    <w:p w14:paraId="6203A2E4" w14:textId="77777777" w:rsidR="00662087" w:rsidRPr="00A0389A" w:rsidRDefault="00867E8A" w:rsidP="00201935">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Distinta es la situación una vez publicado el pliego definitivo. Esta Subdirección ha precisado que «una vez publicados los pliegos de condiciones definitivos, las entidades pueden modificar su contenido, como consecuencia de las observaciones recibidas por parte de los interesados o por iniciativa de la misma entidad […], modificación que se realiza mediante adendas»</w:t>
      </w:r>
      <w:r>
        <w:rPr>
          <w:rStyle w:val="Refdenotaalpie"/>
          <w:rFonts w:ascii="Verdana" w:hAnsi="Verdana"/>
          <w:sz w:val="20"/>
        </w:rPr>
        <w:footnoteReference w:id="19"/>
      </w:r>
      <w:r>
        <w:rPr>
          <w:rFonts w:ascii="Verdana" w:hAnsi="Verdana" w:cs="Arial"/>
          <w:bCs/>
          <w:szCs w:val="24"/>
          <w:lang w:val="es-ES_tradnl" w:eastAsia="es-ES_tradnl"/>
        </w:rPr>
        <w:t>.</w:t>
      </w:r>
    </w:p>
    <w:p w14:paraId="408CEAF5" w14:textId="77777777" w:rsidR="004A0841" w:rsidRDefault="004A0841" w:rsidP="00751DE8">
      <w:pPr>
        <w:spacing w:after="0" w:line="240" w:lineRule="auto"/>
        <w:jc w:val="both"/>
        <w:rPr>
          <w:rFonts w:ascii="Verdana" w:hAnsi="Verdana" w:cs="Arial"/>
          <w:b/>
          <w:bCs/>
          <w:color w:val="000000"/>
          <w:lang w:val="es-ES"/>
        </w:rPr>
      </w:pPr>
    </w:p>
    <w:p w14:paraId="791E8295" w14:textId="77777777" w:rsidR="00662087" w:rsidRPr="00A0389A" w:rsidRDefault="00867E8A" w:rsidP="00201935">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lastRenderedPageBreak/>
        <w:t>Sobre las adendas la doctrina institucional ha fijado tres precisiones útiles. La primera es de clasificación: conviene diferenciar «los referidos a las condiciones técnicas, jurídicas y económicas del pliego definitivo y, en general, a cualquier contenido distinto del cronograma» de «los del cronograma». La segunda es temporal: los primeros solo proceden hasta antes del vencimiento del plazo para recibir ofertas, mientras que los del cronograma «pueden realizarse luego del cierre del proceso, antes de la adjudicación del contrato, en las que solo se permite modificar los plazos de las etapas siguientes»</w:t>
      </w:r>
      <w:r>
        <w:rPr>
          <w:rStyle w:val="Refdenotaalpie"/>
          <w:rFonts w:ascii="Verdana" w:hAnsi="Verdana"/>
          <w:sz w:val="20"/>
        </w:rPr>
        <w:footnoteReference w:id="20"/>
      </w:r>
      <w:r>
        <w:rPr>
          <w:rFonts w:ascii="Verdana" w:hAnsi="Verdana" w:cs="Arial"/>
          <w:bCs/>
          <w:szCs w:val="24"/>
          <w:lang w:val="es-ES_tradnl" w:eastAsia="es-ES_tradnl"/>
        </w:rPr>
        <w:t>.</w:t>
      </w:r>
    </w:p>
    <w:p w14:paraId="22847635" w14:textId="77777777" w:rsidR="004A0841" w:rsidRDefault="004A0841" w:rsidP="00751DE8">
      <w:pPr>
        <w:spacing w:after="0" w:line="240" w:lineRule="auto"/>
        <w:jc w:val="both"/>
        <w:rPr>
          <w:rFonts w:ascii="Verdana" w:hAnsi="Verdana" w:cs="Arial"/>
          <w:b/>
          <w:bCs/>
          <w:color w:val="000000"/>
          <w:lang w:val="es-ES"/>
        </w:rPr>
      </w:pPr>
    </w:p>
    <w:p w14:paraId="4EB78E45" w14:textId="77777777" w:rsidR="00662087" w:rsidRPr="00A0389A" w:rsidRDefault="00867E8A" w:rsidP="00D12F8B">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La tercera precisión delimita ese último supuesto con rigor: las adendas al cronograma posteriores al cierre «únicamente podrán modificar los plazos de las etapas establecidas antes de su vencimiento y no después de este», porque «al culminar el plazo señalado en el cronograma se inicia la etapa subsiguiente y la entidad estatal no podría volver sobre la fase agotada». A ello se suman los límites de publicación: tres (3) días hábiles antes del vencimiento del plazo para presentar ofertas en la licitación pública y un (1) día hábil en las demás modalidades</w:t>
      </w:r>
      <w:r>
        <w:rPr>
          <w:rStyle w:val="Refdenotaalpie"/>
          <w:rFonts w:ascii="Verdana" w:hAnsi="Verdana"/>
          <w:sz w:val="20"/>
        </w:rPr>
        <w:footnoteReference w:id="21"/>
      </w:r>
      <w:r>
        <w:rPr>
          <w:rFonts w:ascii="Verdana" w:hAnsi="Verdana" w:cs="Arial"/>
          <w:bCs/>
          <w:szCs w:val="24"/>
          <w:lang w:val="es-ES_tradnl" w:eastAsia="es-ES_tradnl"/>
        </w:rPr>
        <w:t>.</w:t>
      </w:r>
    </w:p>
    <w:p w14:paraId="72D9BDB0" w14:textId="77777777" w:rsidR="004A0841" w:rsidRDefault="004A0841" w:rsidP="00751DE8">
      <w:pPr>
        <w:spacing w:after="0" w:line="240" w:lineRule="auto"/>
        <w:jc w:val="both"/>
        <w:rPr>
          <w:rFonts w:ascii="Verdana" w:hAnsi="Verdana" w:cs="Arial"/>
          <w:b/>
          <w:bCs/>
          <w:color w:val="000000"/>
          <w:lang w:val="es-ES"/>
        </w:rPr>
      </w:pPr>
    </w:p>
    <w:p w14:paraId="264EF3DD" w14:textId="77777777" w:rsidR="00662087" w:rsidRPr="00A0389A" w:rsidRDefault="00867E8A" w:rsidP="00201935">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De lo anterior se desprende la respuesta directa a la </w:t>
      </w:r>
      <w:r w:rsidRPr="0008387D">
        <w:rPr>
          <w:rFonts w:ascii="Verdana" w:hAnsi="Verdana" w:cs="Arial"/>
          <w:bCs/>
          <w:szCs w:val="24"/>
          <w:lang w:val="es-ES_tradnl" w:eastAsia="es-ES_tradnl"/>
        </w:rPr>
        <w:t>inquietud planteada: publicado el pliego definitivo, la modificación del cronograma no puede hacerse mediante un simple ajuste en la plataforma. Exige el acto que la soporta —la adenda—, que debe contener «la justificación clara que permita variar o complementar alguna previsión del pliego de condiciones» y que, como documento del proceso, está sujeta a publicación. La configuración en el SECOP II es el medio por el cual la modificación se hace operativa y visible,</w:t>
      </w:r>
      <w:r>
        <w:rPr>
          <w:rFonts w:ascii="Verdana" w:hAnsi="Verdana" w:cs="Arial"/>
          <w:bCs/>
          <w:szCs w:val="24"/>
          <w:lang w:val="es-ES_tradnl" w:eastAsia="es-ES_tradnl"/>
        </w:rPr>
        <w:t xml:space="preserve"> no el título jurídico que la habilita</w:t>
      </w:r>
      <w:r>
        <w:rPr>
          <w:rStyle w:val="Refdenotaalpie"/>
          <w:rFonts w:ascii="Verdana" w:hAnsi="Verdana"/>
          <w:sz w:val="20"/>
        </w:rPr>
        <w:footnoteReference w:id="22"/>
      </w:r>
      <w:r>
        <w:rPr>
          <w:rFonts w:ascii="Verdana" w:hAnsi="Verdana" w:cs="Arial"/>
          <w:bCs/>
          <w:szCs w:val="24"/>
          <w:lang w:val="es-ES_tradnl" w:eastAsia="es-ES_tradnl"/>
        </w:rPr>
        <w:t>.</w:t>
      </w:r>
    </w:p>
    <w:p w14:paraId="3DEE208E" w14:textId="77777777" w:rsidR="004A0841" w:rsidRDefault="004A0841" w:rsidP="00751DE8">
      <w:pPr>
        <w:spacing w:after="0" w:line="240" w:lineRule="auto"/>
        <w:jc w:val="both"/>
        <w:rPr>
          <w:rFonts w:ascii="Verdana" w:hAnsi="Verdana" w:cs="Arial"/>
          <w:b/>
          <w:bCs/>
          <w:color w:val="000000"/>
          <w:lang w:val="es-ES"/>
        </w:rPr>
      </w:pPr>
    </w:p>
    <w:p w14:paraId="7363B50F" w14:textId="77777777" w:rsidR="00662087" w:rsidRPr="00A0389A" w:rsidRDefault="00867E8A" w:rsidP="00201935">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Cabe añadir que la forma no es sacramental: el Consejo de Estado ha reconocido que la modificación puede realizarse «por medio de cualquier otro </w:t>
      </w:r>
      <w:r>
        <w:rPr>
          <w:rFonts w:ascii="Verdana" w:hAnsi="Verdana" w:cs="Arial"/>
          <w:bCs/>
          <w:szCs w:val="24"/>
          <w:lang w:val="es-ES_tradnl" w:eastAsia="es-ES_tradnl"/>
        </w:rPr>
        <w:lastRenderedPageBreak/>
        <w:t>documento que contenga la manifestación de voluntad de la entidad de aclarar, añadir, adicionar, reemplazar o cambiar un aspecto o condición […], independientemente que a dicho documento se le titule como adenda», siempre que se produzca «en el momento que legalmente se ha adecuado para ello». Lo esencial, por tanto, es que exista una manifestación de voluntad motivada y publicada, y no la denominación que se le dé</w:t>
      </w:r>
      <w:r>
        <w:rPr>
          <w:rStyle w:val="Refdenotaalpie"/>
          <w:rFonts w:ascii="Verdana" w:hAnsi="Verdana"/>
          <w:sz w:val="20"/>
        </w:rPr>
        <w:footnoteReference w:id="23"/>
      </w:r>
      <w:r>
        <w:rPr>
          <w:rFonts w:ascii="Verdana" w:hAnsi="Verdana" w:cs="Arial"/>
          <w:bCs/>
          <w:szCs w:val="24"/>
          <w:lang w:val="es-ES_tradnl" w:eastAsia="es-ES_tradnl"/>
        </w:rPr>
        <w:t>.</w:t>
      </w:r>
    </w:p>
    <w:p w14:paraId="6EE75924" w14:textId="77777777" w:rsidR="004A0841" w:rsidRDefault="004A0841" w:rsidP="00751DE8">
      <w:pPr>
        <w:spacing w:after="0" w:line="240" w:lineRule="auto"/>
        <w:jc w:val="both"/>
        <w:rPr>
          <w:rFonts w:ascii="Verdana" w:hAnsi="Verdana" w:cs="Arial"/>
          <w:b/>
          <w:bCs/>
          <w:color w:val="000000"/>
          <w:lang w:val="es-ES"/>
        </w:rPr>
      </w:pPr>
    </w:p>
    <w:p w14:paraId="3C53ADB1" w14:textId="1CAE57BF" w:rsidR="00662087" w:rsidRPr="00A0389A" w:rsidRDefault="00201935" w:rsidP="00662087">
      <w:pPr>
        <w:spacing w:after="0" w:line="276" w:lineRule="auto"/>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iv</w:t>
      </w:r>
      <w:proofErr w:type="spellEnd"/>
      <w:r>
        <w:rPr>
          <w:rFonts w:ascii="Verdana" w:hAnsi="Verdana" w:cs="Arial"/>
          <w:bCs/>
          <w:szCs w:val="24"/>
          <w:lang w:val="es-ES_tradnl" w:eastAsia="es-ES_tradnl"/>
        </w:rPr>
        <w:t xml:space="preserve">) </w:t>
      </w:r>
      <w:r w:rsidR="00867E8A">
        <w:rPr>
          <w:rFonts w:ascii="Verdana" w:hAnsi="Verdana" w:cs="Arial"/>
          <w:bCs/>
          <w:szCs w:val="24"/>
          <w:lang w:val="es-ES_tradnl" w:eastAsia="es-ES_tradnl"/>
        </w:rPr>
        <w:t>El cuarto interrogante pregunta si la entidad debe publicar todos los documentos expedidos durante el procedimiento y cuáles están sujetos al plazo de tres días. El artículo 2.2.1.1.1.7.1 del Decreto 1082 de 2015 impone a la Entidad Estatal publicar en el SECOP los documentos del proceso y los actos administrativos del Proceso de Contratación dentro de los tres (3) días siguientes a su expedición</w:t>
      </w:r>
      <w:r w:rsidR="00867E8A">
        <w:rPr>
          <w:rStyle w:val="Refdenotaalpie"/>
          <w:rFonts w:ascii="Verdana" w:hAnsi="Verdana"/>
          <w:sz w:val="20"/>
        </w:rPr>
        <w:footnoteReference w:id="24"/>
      </w:r>
      <w:r w:rsidR="00867E8A">
        <w:rPr>
          <w:rFonts w:ascii="Verdana" w:hAnsi="Verdana" w:cs="Arial"/>
          <w:bCs/>
          <w:szCs w:val="24"/>
          <w:lang w:val="es-ES_tradnl" w:eastAsia="es-ES_tradnl"/>
        </w:rPr>
        <w:t>.</w:t>
      </w:r>
    </w:p>
    <w:p w14:paraId="713B43A1" w14:textId="77777777" w:rsidR="004A0841" w:rsidRDefault="004A0841" w:rsidP="00751DE8">
      <w:pPr>
        <w:spacing w:after="0" w:line="240" w:lineRule="auto"/>
        <w:jc w:val="both"/>
        <w:rPr>
          <w:rFonts w:ascii="Verdana" w:hAnsi="Verdana" w:cs="Arial"/>
          <w:b/>
          <w:bCs/>
          <w:color w:val="000000"/>
          <w:lang w:val="es-ES"/>
        </w:rPr>
      </w:pPr>
    </w:p>
    <w:p w14:paraId="099E59A6" w14:textId="77777777" w:rsidR="00662087" w:rsidRPr="00A0389A" w:rsidRDefault="00867E8A" w:rsidP="00D12F8B">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Esta Subdirección ha precisado cómo opera esa regla según la plataforma. Las entidades que utilizan el SECOP I están obligadas a publicar los documentos del proceso dentro de los tres días siguientes a su expedición. En el SECOP II y en la Tienda Virtual del Estado Colombiano, en cambio, la información registrada «está disponible en tiempo real, debido a que las actuaciones del Proceso de Contratación tienen lugar electrónicamente, a través de dichas plataformas transaccionales», de modo que la publicidad es concomitante al desarrollo de cada etapa</w:t>
      </w:r>
      <w:r>
        <w:rPr>
          <w:rStyle w:val="Refdenotaalpie"/>
          <w:rFonts w:ascii="Verdana" w:hAnsi="Verdana"/>
          <w:sz w:val="20"/>
        </w:rPr>
        <w:footnoteReference w:id="25"/>
      </w:r>
      <w:r>
        <w:rPr>
          <w:rFonts w:ascii="Verdana" w:hAnsi="Verdana" w:cs="Arial"/>
          <w:bCs/>
          <w:szCs w:val="24"/>
          <w:lang w:val="es-ES_tradnl" w:eastAsia="es-ES_tradnl"/>
        </w:rPr>
        <w:t>.</w:t>
      </w:r>
    </w:p>
    <w:p w14:paraId="1AE1E6D6" w14:textId="77777777" w:rsidR="004A0841" w:rsidRDefault="004A0841" w:rsidP="00751DE8">
      <w:pPr>
        <w:spacing w:after="0" w:line="240" w:lineRule="auto"/>
        <w:jc w:val="both"/>
        <w:rPr>
          <w:rFonts w:ascii="Verdana" w:hAnsi="Verdana" w:cs="Arial"/>
          <w:b/>
          <w:bCs/>
          <w:color w:val="000000"/>
          <w:lang w:val="es-ES"/>
        </w:rPr>
      </w:pPr>
    </w:p>
    <w:p w14:paraId="676155B0" w14:textId="77777777" w:rsidR="00662087" w:rsidRPr="00A0389A" w:rsidRDefault="00867E8A" w:rsidP="00D12F8B">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Ahora bien, la propia doctrina advierte que ese carácter transaccional no cubre la totalidad de los documentos: las entidades «pueden crear documentos en medio físico o electrónico por fuera de la plataforma para, posteriormente, ser incorporados en el módulo dispuesto para el efecto», y «respecto a los documentos que no son generados en línea […] se aplicará la misma regla de los tres (3) días siguientes a la expedición». Esa es, precisamente, la respuesta </w:t>
      </w:r>
      <w:r>
        <w:rPr>
          <w:rFonts w:ascii="Verdana" w:hAnsi="Verdana" w:cs="Arial"/>
          <w:bCs/>
          <w:szCs w:val="24"/>
          <w:lang w:val="es-ES_tradnl" w:eastAsia="es-ES_tradnl"/>
        </w:rPr>
        <w:lastRenderedPageBreak/>
        <w:t>a la segunda parte del interrogante: el plazo de tres días rige para los documentos elaborados por fuera de la plataforma y luego cargados en ella</w:t>
      </w:r>
      <w:r>
        <w:rPr>
          <w:rStyle w:val="Refdenotaalpie"/>
          <w:rFonts w:ascii="Verdana" w:hAnsi="Verdana"/>
          <w:sz w:val="20"/>
        </w:rPr>
        <w:footnoteReference w:id="26"/>
      </w:r>
      <w:r>
        <w:rPr>
          <w:rFonts w:ascii="Verdana" w:hAnsi="Verdana" w:cs="Arial"/>
          <w:bCs/>
          <w:szCs w:val="24"/>
          <w:lang w:val="es-ES_tradnl" w:eastAsia="es-ES_tradnl"/>
        </w:rPr>
        <w:t>.</w:t>
      </w:r>
    </w:p>
    <w:p w14:paraId="1C2138C0" w14:textId="77777777" w:rsidR="004A0841" w:rsidRDefault="004A0841" w:rsidP="00751DE8">
      <w:pPr>
        <w:spacing w:after="0" w:line="240" w:lineRule="auto"/>
        <w:jc w:val="both"/>
        <w:rPr>
          <w:rFonts w:ascii="Verdana" w:hAnsi="Verdana" w:cs="Arial"/>
          <w:b/>
          <w:bCs/>
          <w:color w:val="000000"/>
          <w:lang w:val="es-ES"/>
        </w:rPr>
      </w:pPr>
    </w:p>
    <w:p w14:paraId="418AE23C" w14:textId="77777777" w:rsidR="00662087" w:rsidRPr="00A0389A" w:rsidRDefault="00867E8A" w:rsidP="00D12F8B">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Debe subrayarse, por último, que este deber alcanza a todas las entidades «sin distinción de su régimen jurídico, naturaleza jurídica o la pertenencia a una u otra rama del poder público», conforme lo recordó la Circular Externa Única de esta Agencia</w:t>
      </w:r>
      <w:r>
        <w:rPr>
          <w:rStyle w:val="Refdenotaalpie"/>
          <w:rFonts w:ascii="Verdana" w:hAnsi="Verdana"/>
          <w:sz w:val="20"/>
        </w:rPr>
        <w:footnoteReference w:id="27"/>
      </w:r>
      <w:r>
        <w:rPr>
          <w:rFonts w:ascii="Verdana" w:hAnsi="Verdana" w:cs="Arial"/>
          <w:bCs/>
          <w:szCs w:val="24"/>
          <w:lang w:val="es-ES_tradnl" w:eastAsia="es-ES_tradnl"/>
        </w:rPr>
        <w:t>.</w:t>
      </w:r>
    </w:p>
    <w:p w14:paraId="0815F264" w14:textId="77777777" w:rsidR="004A0841" w:rsidRDefault="004A0841" w:rsidP="00751DE8">
      <w:pPr>
        <w:spacing w:after="0" w:line="240" w:lineRule="auto"/>
        <w:jc w:val="both"/>
        <w:rPr>
          <w:rFonts w:ascii="Verdana" w:hAnsi="Verdana" w:cs="Arial"/>
          <w:b/>
          <w:bCs/>
          <w:color w:val="000000"/>
          <w:lang w:val="es-ES"/>
        </w:rPr>
      </w:pPr>
    </w:p>
    <w:p w14:paraId="6AE8F9F8" w14:textId="71048C0E" w:rsidR="00662087" w:rsidRPr="00A0389A" w:rsidRDefault="0008387D" w:rsidP="00662087">
      <w:pPr>
        <w:spacing w:after="0" w:line="276" w:lineRule="auto"/>
        <w:jc w:val="both"/>
        <w:rPr>
          <w:rFonts w:ascii="Verdana" w:hAnsi="Verdana" w:cs="Arial"/>
          <w:bCs/>
          <w:szCs w:val="24"/>
          <w:lang w:val="es-ES_tradnl" w:eastAsia="es-ES_tradnl"/>
        </w:rPr>
      </w:pPr>
      <w:r w:rsidRPr="00FE269E">
        <w:rPr>
          <w:rFonts w:ascii="Verdana" w:hAnsi="Verdana" w:cs="Arial"/>
          <w:szCs w:val="24"/>
          <w:lang w:val="es-ES_tradnl" w:eastAsia="es-ES_tradnl"/>
        </w:rPr>
        <w:t xml:space="preserve">v) </w:t>
      </w:r>
      <w:r w:rsidR="00867E8A" w:rsidRPr="00FE269E">
        <w:rPr>
          <w:rFonts w:ascii="Verdana" w:hAnsi="Verdana" w:cs="Arial"/>
          <w:szCs w:val="24"/>
          <w:lang w:val="es-ES_tradnl" w:eastAsia="es-ES_tradnl"/>
        </w:rPr>
        <w:t>El quinto interrogante pregunta si una entidad puede adjudicar un concurso</w:t>
      </w:r>
      <w:r w:rsidR="00867E8A" w:rsidRPr="00FE269E">
        <w:rPr>
          <w:rFonts w:ascii="Verdana" w:hAnsi="Verdana" w:cs="Arial"/>
          <w:bCs/>
          <w:szCs w:val="24"/>
          <w:lang w:val="es-ES_tradnl" w:eastAsia="es-ES_tradnl"/>
        </w:rPr>
        <w:t xml:space="preserve"> de méritos sin haber resuelto las</w:t>
      </w:r>
      <w:r w:rsidR="00867E8A">
        <w:rPr>
          <w:rFonts w:ascii="Verdana" w:hAnsi="Verdana" w:cs="Arial"/>
          <w:bCs/>
          <w:szCs w:val="24"/>
          <w:lang w:val="es-ES_tradnl" w:eastAsia="es-ES_tradnl"/>
        </w:rPr>
        <w:t xml:space="preserve"> observaciones formuladas por los interesados</w:t>
      </w:r>
      <w:r>
        <w:rPr>
          <w:rFonts w:ascii="Verdana" w:hAnsi="Verdana" w:cs="Arial"/>
          <w:bCs/>
          <w:szCs w:val="24"/>
          <w:lang w:val="es-ES_tradnl" w:eastAsia="es-ES_tradnl"/>
        </w:rPr>
        <w:t>. Pues bien, e</w:t>
      </w:r>
      <w:r w:rsidR="00867E8A">
        <w:rPr>
          <w:rFonts w:ascii="Verdana" w:hAnsi="Verdana" w:cs="Arial"/>
          <w:bCs/>
          <w:szCs w:val="24"/>
          <w:lang w:val="es-ES_tradnl" w:eastAsia="es-ES_tradnl"/>
        </w:rPr>
        <w:t xml:space="preserve">l ordenamiento no fija un plazo expreso para que la entidad se pronuncie sobre las observaciones al informe de evaluación, pero sí establece un límite infranqueable: </w:t>
      </w:r>
      <w:r w:rsidR="00867E8A" w:rsidRPr="0008387D">
        <w:rPr>
          <w:rFonts w:ascii="Verdana" w:hAnsi="Verdana" w:cs="Arial"/>
          <w:bCs/>
          <w:szCs w:val="24"/>
          <w:lang w:val="es-ES_tradnl" w:eastAsia="es-ES_tradnl"/>
        </w:rPr>
        <w:t xml:space="preserve">la respuesta debe producirse antes de proferir la decisión de adjudicación. </w:t>
      </w:r>
      <w:r w:rsidR="00867E8A">
        <w:rPr>
          <w:rFonts w:ascii="Verdana" w:hAnsi="Verdana" w:cs="Arial"/>
          <w:bCs/>
          <w:szCs w:val="24"/>
          <w:lang w:val="es-ES_tradnl" w:eastAsia="es-ES_tradnl"/>
        </w:rPr>
        <w:t>La razón es estructural: el procedimiento dispone etapas sucesivas para que los interesados conozcan los informes, los controviertan y obtengan respuesta, de manera que la selección se adopte sobre una evaluación ya depurada. Si la adjudicación precede a la respuesta, la etapa de contradicción queda vacía de contenido</w:t>
      </w:r>
      <w:r w:rsidR="00867E8A">
        <w:rPr>
          <w:rStyle w:val="Refdenotaalpie"/>
          <w:rFonts w:ascii="Verdana" w:hAnsi="Verdana"/>
          <w:sz w:val="20"/>
        </w:rPr>
        <w:footnoteReference w:id="28"/>
      </w:r>
      <w:r w:rsidR="00867E8A">
        <w:rPr>
          <w:rFonts w:ascii="Verdana" w:hAnsi="Verdana" w:cs="Arial"/>
          <w:bCs/>
          <w:szCs w:val="24"/>
          <w:lang w:val="es-ES_tradnl" w:eastAsia="es-ES_tradnl"/>
        </w:rPr>
        <w:t>.</w:t>
      </w:r>
    </w:p>
    <w:p w14:paraId="06CA92B6" w14:textId="77777777" w:rsidR="004A0841" w:rsidRDefault="004A0841" w:rsidP="00751DE8">
      <w:pPr>
        <w:spacing w:after="0" w:line="240" w:lineRule="auto"/>
        <w:jc w:val="both"/>
        <w:rPr>
          <w:rFonts w:ascii="Verdana" w:hAnsi="Verdana" w:cs="Arial"/>
          <w:b/>
          <w:bCs/>
          <w:color w:val="000000"/>
          <w:lang w:val="es-ES"/>
        </w:rPr>
      </w:pPr>
    </w:p>
    <w:p w14:paraId="246B0E16" w14:textId="77777777" w:rsidR="00662087" w:rsidRPr="00A0389A" w:rsidRDefault="00867E8A" w:rsidP="0008387D">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Los principios comprometidos por esa omisión son varios y conviene identificarlos, como lo pide la consulta. En primer lugar, </w:t>
      </w:r>
      <w:r w:rsidRPr="0008387D">
        <w:rPr>
          <w:rFonts w:ascii="Verdana" w:hAnsi="Verdana" w:cs="Arial"/>
          <w:bCs/>
          <w:szCs w:val="24"/>
          <w:lang w:val="es-ES_tradnl" w:eastAsia="es-ES_tradnl"/>
        </w:rPr>
        <w:t>el principio de transparencia</w:t>
      </w:r>
      <w:r>
        <w:rPr>
          <w:rFonts w:ascii="Verdana" w:hAnsi="Verdana" w:cs="Arial"/>
          <w:bCs/>
          <w:szCs w:val="24"/>
          <w:lang w:val="es-ES_tradnl" w:eastAsia="es-ES_tradnl"/>
        </w:rPr>
        <w:t xml:space="preserve"> del artículo 24 de la Ley 80 de 1993, que —como lo ha señalado esta Subdirección— «busca dotar de una serie de garantías la actividad contractual estatal para que ésta se lleve a cabo con plena publicidad, con respeto de la igualdad de oportunidades de quienes pretenden contratar con el Estado» y del cual se deriva el derecho de contradicción de los interesados</w:t>
      </w:r>
      <w:r>
        <w:rPr>
          <w:rStyle w:val="Refdenotaalpie"/>
          <w:rFonts w:ascii="Verdana" w:hAnsi="Verdana"/>
          <w:sz w:val="20"/>
        </w:rPr>
        <w:footnoteReference w:id="29"/>
      </w:r>
      <w:r>
        <w:rPr>
          <w:rFonts w:ascii="Verdana" w:hAnsi="Verdana" w:cs="Arial"/>
          <w:bCs/>
          <w:szCs w:val="24"/>
          <w:lang w:val="es-ES_tradnl" w:eastAsia="es-ES_tradnl"/>
        </w:rPr>
        <w:t>.</w:t>
      </w:r>
    </w:p>
    <w:p w14:paraId="3A081DC9" w14:textId="77777777" w:rsidR="004A0841" w:rsidRDefault="004A0841" w:rsidP="00751DE8">
      <w:pPr>
        <w:spacing w:after="0" w:line="240" w:lineRule="auto"/>
        <w:jc w:val="both"/>
        <w:rPr>
          <w:rFonts w:ascii="Verdana" w:hAnsi="Verdana" w:cs="Arial"/>
          <w:b/>
          <w:bCs/>
          <w:color w:val="000000"/>
          <w:lang w:val="es-ES"/>
        </w:rPr>
      </w:pPr>
    </w:p>
    <w:p w14:paraId="646B7FE9" w14:textId="77777777" w:rsidR="00662087" w:rsidRPr="00FE269E" w:rsidRDefault="00867E8A" w:rsidP="00D12F8B">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En segundo lugar, </w:t>
      </w:r>
      <w:r w:rsidRPr="00FE269E">
        <w:rPr>
          <w:rFonts w:ascii="Verdana" w:hAnsi="Verdana" w:cs="Arial"/>
          <w:bCs/>
          <w:szCs w:val="24"/>
          <w:lang w:val="es-ES_tradnl" w:eastAsia="es-ES_tradnl"/>
        </w:rPr>
        <w:t xml:space="preserve">el principio de economía del artículo 25, cuyo numeral 1 ordena establecer los procedimientos y etapas estrictamente necesarios y señalar términos preclusivos y perentorios, de modo que </w:t>
      </w:r>
      <w:r>
        <w:rPr>
          <w:rFonts w:ascii="Verdana" w:hAnsi="Verdana" w:cs="Arial"/>
          <w:bCs/>
          <w:szCs w:val="24"/>
          <w:lang w:val="es-ES_tradnl" w:eastAsia="es-ES_tradnl"/>
        </w:rPr>
        <w:t xml:space="preserve">«las partes del proceso de contratación, así como los funcionarios públicos, se encuentran obligados a respetar y acatar tales etapas y </w:t>
      </w:r>
      <w:r w:rsidRPr="00FE269E">
        <w:rPr>
          <w:rFonts w:ascii="Verdana" w:hAnsi="Verdana" w:cs="Arial"/>
          <w:bCs/>
          <w:szCs w:val="24"/>
          <w:lang w:val="es-ES_tradnl" w:eastAsia="es-ES_tradnl"/>
        </w:rPr>
        <w:t xml:space="preserve">términos, sin que puedan desconocerlos o pasarlos por alto». </w:t>
      </w:r>
      <w:proofErr w:type="gramStart"/>
      <w:r w:rsidRPr="00FE269E">
        <w:rPr>
          <w:rFonts w:ascii="Verdana" w:hAnsi="Verdana" w:cs="Arial"/>
          <w:bCs/>
          <w:szCs w:val="24"/>
          <w:lang w:val="es-ES_tradnl" w:eastAsia="es-ES_tradnl"/>
        </w:rPr>
        <w:t>Y</w:t>
      </w:r>
      <w:proofErr w:type="gramEnd"/>
      <w:r w:rsidRPr="00FE269E">
        <w:rPr>
          <w:rFonts w:ascii="Verdana" w:hAnsi="Verdana" w:cs="Arial"/>
          <w:bCs/>
          <w:szCs w:val="24"/>
          <w:lang w:val="es-ES_tradnl" w:eastAsia="es-ES_tradnl"/>
        </w:rPr>
        <w:t xml:space="preserve"> en tercer lugar, el deber de selección objetiva del artículo 5 de la Ley 1150 de 2007, porque la decisión se adoptaría sin haber resuelto cuestionamientos que podrían incidir en la calificación de las ofertas</w:t>
      </w:r>
      <w:r w:rsidRPr="00FE269E">
        <w:rPr>
          <w:rStyle w:val="Refdenotaalpie"/>
          <w:rFonts w:ascii="Verdana" w:hAnsi="Verdana"/>
          <w:bCs/>
          <w:sz w:val="20"/>
        </w:rPr>
        <w:footnoteReference w:id="30"/>
      </w:r>
      <w:r w:rsidRPr="00FE269E">
        <w:rPr>
          <w:rFonts w:ascii="Verdana" w:hAnsi="Verdana" w:cs="Arial"/>
          <w:bCs/>
          <w:szCs w:val="24"/>
          <w:lang w:val="es-ES_tradnl" w:eastAsia="es-ES_tradnl"/>
        </w:rPr>
        <w:t>.</w:t>
      </w:r>
    </w:p>
    <w:p w14:paraId="4C4E7FA0" w14:textId="77777777" w:rsidR="004A0841" w:rsidRDefault="004A0841" w:rsidP="00751DE8">
      <w:pPr>
        <w:spacing w:after="0" w:line="240" w:lineRule="auto"/>
        <w:jc w:val="both"/>
        <w:rPr>
          <w:rFonts w:ascii="Verdana" w:hAnsi="Verdana" w:cs="Arial"/>
          <w:b/>
          <w:bCs/>
          <w:color w:val="000000"/>
          <w:lang w:val="es-ES"/>
        </w:rPr>
      </w:pPr>
    </w:p>
    <w:p w14:paraId="7A82F7B6" w14:textId="13D4087B" w:rsidR="00662087" w:rsidRPr="00A0389A" w:rsidRDefault="00FE269E" w:rsidP="0066208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vi) </w:t>
      </w:r>
      <w:r w:rsidR="00867E8A">
        <w:rPr>
          <w:rFonts w:ascii="Verdana" w:hAnsi="Verdana" w:cs="Arial"/>
          <w:bCs/>
          <w:szCs w:val="24"/>
          <w:lang w:val="es-ES_tradnl" w:eastAsia="es-ES_tradnl"/>
        </w:rPr>
        <w:t>El sexto interrogante pregunta si, advertidas posibles vulneraciones de los principios de transparencia, publicidad y selección objetiva, la entidad puede revocar el proceso o abstenerse de adjudicar. El ordenamiento ofrece dos vías, con grados de certeza muy distintos.</w:t>
      </w:r>
    </w:p>
    <w:p w14:paraId="0D65F21D" w14:textId="77777777" w:rsidR="004A0841" w:rsidRPr="00FE269E" w:rsidRDefault="004A0841" w:rsidP="00751DE8">
      <w:pPr>
        <w:spacing w:after="0" w:line="240" w:lineRule="auto"/>
        <w:jc w:val="both"/>
        <w:rPr>
          <w:rFonts w:ascii="Verdana" w:hAnsi="Verdana" w:cs="Arial"/>
          <w:color w:val="000000"/>
          <w:lang w:val="es-ES"/>
        </w:rPr>
      </w:pPr>
    </w:p>
    <w:p w14:paraId="1B05F2B7" w14:textId="77777777" w:rsidR="00662087" w:rsidRPr="00FE269E" w:rsidRDefault="00867E8A" w:rsidP="00D12F8B">
      <w:pPr>
        <w:spacing w:after="0" w:line="276" w:lineRule="auto"/>
        <w:ind w:firstLine="567"/>
        <w:jc w:val="both"/>
        <w:rPr>
          <w:rFonts w:ascii="Verdana" w:hAnsi="Verdana" w:cs="Arial"/>
          <w:szCs w:val="24"/>
          <w:lang w:val="es-ES_tradnl" w:eastAsia="es-ES_tradnl"/>
        </w:rPr>
      </w:pPr>
      <w:r w:rsidRPr="00FE269E">
        <w:rPr>
          <w:rFonts w:ascii="Verdana" w:hAnsi="Verdana" w:cs="Arial"/>
          <w:szCs w:val="24"/>
          <w:lang w:val="es-ES_tradnl" w:eastAsia="es-ES_tradnl"/>
        </w:rPr>
        <w:t>La primera y más clara es la declaratoria de desierta. El numeral 18 del artículo 25 de la Ley 80 de 1993 dispone que «únicamente procederá por motivos o causas que impidan la escogencia objetiva» y que se declarará «en acto administrativo en el que se señalarán en forma expresa y detallada las razones que han conducido a esa decisión». Es, por tanto, una facultad reglada, no discrecional: exige la constatación objetiva de circunstancias que impidan seleccionar y una motivación detallada que permita su control</w:t>
      </w:r>
      <w:r w:rsidRPr="00FE269E">
        <w:rPr>
          <w:rStyle w:val="Refdenotaalpie"/>
          <w:rFonts w:ascii="Verdana" w:hAnsi="Verdana"/>
          <w:sz w:val="20"/>
        </w:rPr>
        <w:footnoteReference w:id="31"/>
      </w:r>
      <w:r w:rsidRPr="00FE269E">
        <w:rPr>
          <w:rFonts w:ascii="Verdana" w:hAnsi="Verdana" w:cs="Arial"/>
          <w:szCs w:val="24"/>
          <w:lang w:val="es-ES_tradnl" w:eastAsia="es-ES_tradnl"/>
        </w:rPr>
        <w:t>.</w:t>
      </w:r>
    </w:p>
    <w:p w14:paraId="4E3D2874" w14:textId="77777777" w:rsidR="004A0841" w:rsidRPr="00FE269E" w:rsidRDefault="004A0841" w:rsidP="00751DE8">
      <w:pPr>
        <w:spacing w:after="0" w:line="240" w:lineRule="auto"/>
        <w:jc w:val="both"/>
        <w:rPr>
          <w:rFonts w:ascii="Verdana" w:hAnsi="Verdana" w:cs="Arial"/>
          <w:color w:val="000000"/>
          <w:lang w:val="es-ES"/>
        </w:rPr>
      </w:pPr>
    </w:p>
    <w:p w14:paraId="1B45B90B" w14:textId="77777777" w:rsidR="00662087" w:rsidRPr="00A0389A" w:rsidRDefault="00867E8A" w:rsidP="00D12F8B">
      <w:pPr>
        <w:spacing w:after="0" w:line="276" w:lineRule="auto"/>
        <w:ind w:firstLine="567"/>
        <w:jc w:val="both"/>
        <w:rPr>
          <w:rFonts w:ascii="Verdana" w:hAnsi="Verdana" w:cs="Arial"/>
          <w:bCs/>
          <w:szCs w:val="24"/>
          <w:lang w:val="es-ES_tradnl" w:eastAsia="es-ES_tradnl"/>
        </w:rPr>
      </w:pPr>
      <w:r w:rsidRPr="00FE269E">
        <w:rPr>
          <w:rFonts w:ascii="Verdana" w:hAnsi="Verdana" w:cs="Arial"/>
          <w:szCs w:val="24"/>
          <w:lang w:val="es-ES_tradnl" w:eastAsia="es-ES_tradnl"/>
        </w:rPr>
        <w:t>La segunda es la revocación directa del acto de apertura, y aquí debe advertirse con franqueza que no existe una respuesta unívoca.</w:t>
      </w:r>
      <w:r>
        <w:rPr>
          <w:rFonts w:ascii="Verdana" w:hAnsi="Verdana" w:cs="Arial"/>
          <w:bCs/>
          <w:szCs w:val="24"/>
          <w:lang w:val="es-ES_tradnl" w:eastAsia="es-ES_tradnl"/>
        </w:rPr>
        <w:t xml:space="preserve"> El Decreto 1082 de 2015 no reguló esta materia. La jurisprudencia de la Sección Tercera del Consejo de Estado distingue dos momentos: antes de que se presenten ofertas «hay unanimidad de criterio respecto a la posibilidad de revocarlo </w:t>
      </w:r>
      <w:r>
        <w:rPr>
          <w:rFonts w:ascii="Verdana" w:hAnsi="Verdana" w:cs="Arial"/>
          <w:bCs/>
          <w:szCs w:val="24"/>
          <w:lang w:val="es-ES_tradnl" w:eastAsia="es-ES_tradnl"/>
        </w:rPr>
        <w:lastRenderedPageBreak/>
        <w:t>unilateralmente, porque no se ha configurado ninguna situación particular»; presentadas las ofertas, en cambio, coexisten cuatro tesis</w:t>
      </w:r>
      <w:r>
        <w:rPr>
          <w:rStyle w:val="Refdenotaalpie"/>
          <w:rFonts w:ascii="Verdana" w:hAnsi="Verdana"/>
          <w:sz w:val="20"/>
        </w:rPr>
        <w:footnoteReference w:id="32"/>
      </w:r>
      <w:r>
        <w:rPr>
          <w:rFonts w:ascii="Verdana" w:hAnsi="Verdana" w:cs="Arial"/>
          <w:bCs/>
          <w:szCs w:val="24"/>
          <w:lang w:val="es-ES_tradnl" w:eastAsia="es-ES_tradnl"/>
        </w:rPr>
        <w:t>.</w:t>
      </w:r>
    </w:p>
    <w:p w14:paraId="5CD898BC" w14:textId="77777777" w:rsidR="004A0841" w:rsidRDefault="004A0841" w:rsidP="00751DE8">
      <w:pPr>
        <w:spacing w:after="0" w:line="240" w:lineRule="auto"/>
        <w:jc w:val="both"/>
        <w:rPr>
          <w:rFonts w:ascii="Verdana" w:hAnsi="Verdana" w:cs="Arial"/>
          <w:b/>
          <w:bCs/>
          <w:color w:val="000000"/>
          <w:lang w:val="es-ES"/>
        </w:rPr>
      </w:pPr>
    </w:p>
    <w:p w14:paraId="7C6857E8" w14:textId="77777777" w:rsidR="00662087" w:rsidRPr="00A0389A" w:rsidRDefault="00867E8A" w:rsidP="00D12F8B">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Las tesis son, en síntesis, las siguientes. La primera admite la revocación unilateral antes de adjudicar siempre que concurra alguna causal del artículo 93 del Código de Procedimiento Administrativo y de lo Contencioso Administrativo, por remisión del artículo 77 de la Ley 80 de 1993, advirtiendo que a mayor avance del procedimiento se consolidan expectativas cuya frustración puede generar deber de indemnizar. La segunda niega la revocación unilateral y exige solicitar el consentimiento de quienes presentaron ofertas. La tercera exige el consentimiento expreso del mejor proponente. Y la cuarta admite la revocación unilateral por tratarse de un acto administrativo de carácter general, frente al cual los participantes solo tienen «meras expectativas» o, a lo sumo, «expectativas legítimas»</w:t>
      </w:r>
      <w:r>
        <w:rPr>
          <w:rStyle w:val="Refdenotaalpie"/>
          <w:rFonts w:ascii="Verdana" w:hAnsi="Verdana"/>
          <w:sz w:val="20"/>
        </w:rPr>
        <w:footnoteReference w:id="33"/>
      </w:r>
      <w:r>
        <w:rPr>
          <w:rFonts w:ascii="Verdana" w:hAnsi="Verdana" w:cs="Arial"/>
          <w:bCs/>
          <w:szCs w:val="24"/>
          <w:lang w:val="es-ES_tradnl" w:eastAsia="es-ES_tradnl"/>
        </w:rPr>
        <w:t>.</w:t>
      </w:r>
    </w:p>
    <w:p w14:paraId="4A0169E6" w14:textId="77777777" w:rsidR="004A0841" w:rsidRDefault="004A0841" w:rsidP="00751DE8">
      <w:pPr>
        <w:spacing w:after="0" w:line="240" w:lineRule="auto"/>
        <w:jc w:val="both"/>
        <w:rPr>
          <w:rFonts w:ascii="Verdana" w:hAnsi="Verdana" w:cs="Arial"/>
          <w:b/>
          <w:bCs/>
          <w:color w:val="000000"/>
          <w:lang w:val="es-ES"/>
        </w:rPr>
      </w:pPr>
    </w:p>
    <w:p w14:paraId="7E269008" w14:textId="31C15D76" w:rsidR="004A0841" w:rsidRPr="00FE269E" w:rsidRDefault="00867E8A" w:rsidP="00D12F8B">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Dado ese estado de la cuestión, esta Agencia no puede afirmar en abstracto una respuesta única sobre la procedencia de la revocación. Lo que sí puede afirmarse es que, cualquiera sea la vía que la entidad escoja, la decisión debe ser motivada, adoptarse antes de la adjudicación y someterse a publicidad; y que, una vez proferido el acto de adjudicación, opera la regla de irrevocabilidad del artículo 9 de la Ley 1150 de 2007, con las salvedades que esa misma norma contempla</w:t>
      </w:r>
      <w:r>
        <w:rPr>
          <w:rStyle w:val="Refdenotaalpie"/>
          <w:rFonts w:ascii="Verdana" w:hAnsi="Verdana"/>
          <w:sz w:val="20"/>
        </w:rPr>
        <w:footnoteReference w:id="34"/>
      </w:r>
      <w:r>
        <w:rPr>
          <w:rFonts w:ascii="Verdana" w:hAnsi="Verdana" w:cs="Arial"/>
          <w:bCs/>
          <w:szCs w:val="24"/>
          <w:lang w:val="es-ES_tradnl" w:eastAsia="es-ES_tradnl"/>
        </w:rPr>
        <w:t>.</w:t>
      </w:r>
    </w:p>
    <w:p w14:paraId="7FB3174B" w14:textId="77777777" w:rsidR="004A0841" w:rsidRDefault="004A0841" w:rsidP="00751DE8">
      <w:pPr>
        <w:spacing w:after="0" w:line="240" w:lineRule="auto"/>
        <w:jc w:val="both"/>
        <w:rPr>
          <w:rFonts w:ascii="Verdana" w:hAnsi="Verdana" w:cs="Arial"/>
          <w:b/>
          <w:bCs/>
          <w:color w:val="000000"/>
          <w:lang w:val="es-ES"/>
        </w:rPr>
      </w:pPr>
    </w:p>
    <w:p w14:paraId="14919EAC" w14:textId="342CB24F" w:rsidR="00662087" w:rsidRPr="00A0389A" w:rsidRDefault="00FE269E" w:rsidP="00662087">
      <w:pPr>
        <w:spacing w:after="0" w:line="276" w:lineRule="auto"/>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vii</w:t>
      </w:r>
      <w:proofErr w:type="spellEnd"/>
      <w:r>
        <w:rPr>
          <w:rFonts w:ascii="Verdana" w:hAnsi="Verdana" w:cs="Arial"/>
          <w:bCs/>
          <w:szCs w:val="24"/>
          <w:lang w:val="es-ES_tradnl" w:eastAsia="es-ES_tradnl"/>
        </w:rPr>
        <w:t xml:space="preserve">) </w:t>
      </w:r>
      <w:r w:rsidR="00867E8A">
        <w:rPr>
          <w:rFonts w:ascii="Verdana" w:hAnsi="Verdana" w:cs="Arial"/>
          <w:bCs/>
          <w:szCs w:val="24"/>
          <w:lang w:val="es-ES_tradnl" w:eastAsia="es-ES_tradnl"/>
        </w:rPr>
        <w:t xml:space="preserve">El cronograma debe incorporarse en el aviso de convocatoria, en el pliego de condiciones y en el acto administrativo de apertura, por exigencia expresa del Decreto 1082 de 2015, sin que su configuración en la plataforma sustituya ese contenido, pues la publicidad y el contenido son deberes distintos y concurrentes. Durante la publicación del proyecto de pliego los ajustes se incorporan al pliego definitivo sin adenda; expedido este, toda modificación del </w:t>
      </w:r>
      <w:r w:rsidR="00867E8A">
        <w:rPr>
          <w:rFonts w:ascii="Verdana" w:hAnsi="Verdana" w:cs="Arial"/>
          <w:bCs/>
          <w:szCs w:val="24"/>
          <w:lang w:val="es-ES_tradnl" w:eastAsia="es-ES_tradnl"/>
        </w:rPr>
        <w:lastRenderedPageBreak/>
        <w:t>cronograma requiere adenda motivada y publicada, con los límites temporales y materiales expuestos.</w:t>
      </w:r>
    </w:p>
    <w:p w14:paraId="3180DAB7" w14:textId="77777777" w:rsidR="004A0841" w:rsidRDefault="004A0841" w:rsidP="00751DE8">
      <w:pPr>
        <w:spacing w:after="0" w:line="240" w:lineRule="auto"/>
        <w:jc w:val="both"/>
        <w:rPr>
          <w:rFonts w:ascii="Verdana" w:hAnsi="Verdana" w:cs="Arial"/>
          <w:b/>
          <w:bCs/>
          <w:color w:val="000000"/>
          <w:lang w:val="es-ES"/>
        </w:rPr>
      </w:pPr>
    </w:p>
    <w:p w14:paraId="37537B18" w14:textId="77777777" w:rsidR="00662087" w:rsidRPr="00A0389A" w:rsidRDefault="00867E8A" w:rsidP="00D12F8B">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Los documentos y actos del Proceso de Contratación deben publicarse en el SECOP dentro de los tres días siguientes a su expedición, regla que en el SECOP II se aplica a los documentos elaborados por fuera de la plataforma, dado que los generados en línea gozan de publicidad concomitante. La entidad no puede adjudicar sin haber resuelto las observaciones al informe de evaluación, y si advierte circunstancias que impidan la escogencia objetiva cuenta con la declaratoria de desierta del numeral 18 del artículo 25 de la Ley 80 de 1993, sin perjuicio del debate jurisprudencial que subsiste sobre la revocación del acto de apertura.</w:t>
      </w:r>
    </w:p>
    <w:p w14:paraId="18A60EAE" w14:textId="77777777" w:rsidR="004A0841" w:rsidRDefault="004A0841" w:rsidP="00751DE8">
      <w:pPr>
        <w:spacing w:after="0" w:line="240" w:lineRule="auto"/>
        <w:jc w:val="both"/>
        <w:rPr>
          <w:rFonts w:ascii="Verdana" w:hAnsi="Verdana" w:cs="Arial"/>
          <w:b/>
          <w:bCs/>
          <w:color w:val="000000"/>
          <w:lang w:val="es-ES"/>
        </w:rPr>
      </w:pPr>
    </w:p>
    <w:p w14:paraId="358DDD36" w14:textId="77777777" w:rsidR="00662087" w:rsidRDefault="00867E8A" w:rsidP="00D12F8B">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Dentro de este marco, la entidad pública definirá en cada caso concreto lo relacionado con el tema objeto de consulta, atendiendo las normas que rigen la materia, sin que sea atribución de Colombia Compra Eficiente validar sus actuaciones ni las de los demás partícipes del sistema de compra pública.</w:t>
      </w:r>
    </w:p>
    <w:p w14:paraId="322CA6F6" w14:textId="77777777" w:rsidR="00FE269E" w:rsidRDefault="00FE269E" w:rsidP="00662087">
      <w:pPr>
        <w:spacing w:after="0" w:line="276" w:lineRule="auto"/>
        <w:jc w:val="both"/>
        <w:rPr>
          <w:rFonts w:ascii="Verdana" w:hAnsi="Verdana" w:cs="Arial"/>
          <w:bCs/>
          <w:szCs w:val="24"/>
          <w:lang w:val="es-ES_tradnl" w:eastAsia="es-ES_tradnl"/>
        </w:rPr>
      </w:pPr>
    </w:p>
    <w:p w14:paraId="3ED52CC1" w14:textId="77777777" w:rsidR="00FE269E" w:rsidRPr="00A0389A" w:rsidRDefault="00FE269E" w:rsidP="00662087">
      <w:pPr>
        <w:spacing w:after="0" w:line="276" w:lineRule="auto"/>
        <w:jc w:val="both"/>
        <w:rPr>
          <w:rFonts w:ascii="Verdana" w:hAnsi="Verdana" w:cs="Arial"/>
          <w:bCs/>
          <w:szCs w:val="24"/>
          <w:lang w:val="es-ES_tradnl" w:eastAsia="es-ES_tradnl"/>
        </w:rPr>
      </w:pPr>
    </w:p>
    <w:bookmarkEnd w:id="0"/>
    <w:p w14:paraId="1E6C3CB5" w14:textId="77777777" w:rsidR="00662087" w:rsidRPr="009037F6" w:rsidRDefault="00662087" w:rsidP="00662087">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 xml:space="preserve">Referencias normativas, jurisprudenciales y otras fuentes </w:t>
      </w:r>
    </w:p>
    <w:p w14:paraId="3961A84C" w14:textId="77777777" w:rsidR="00662087" w:rsidRPr="009037F6" w:rsidRDefault="00662087" w:rsidP="00662087">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62087" w:rsidRPr="009037F6" w14:paraId="6EFDD683" w14:textId="77777777" w:rsidTr="002A4618">
        <w:trPr>
          <w:trHeight w:val="487"/>
          <w:jc w:val="center"/>
        </w:trPr>
        <w:tc>
          <w:tcPr>
            <w:tcW w:w="8647" w:type="dxa"/>
          </w:tcPr>
          <w:p w14:paraId="72823C74" w14:textId="77777777" w:rsidR="00662087" w:rsidRDefault="00662087" w:rsidP="002A461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Normativa: Constitución Política, artículo 209. Ley 80 de 1993, artículos 23, 24, 25 —numerales 1 y 18— y 77. Ley 1150 de 2007, artículos 5 y 9. Ley 1437 de 2011, artículos 28 —sustituido por el artículo 1 de la Ley 1755 de 2015— y 93. Decreto Ley 4170 de 2011, artículos 3, numeral 5, y 11, numeral 8. Decreto 1082 de 2015, artículos 2.2.1.1.1.3.1; 2.2.1.1.1.7.1; 2.2.1.1.2.1.2, numeral 12; 2.2.1.1.2.1.3; 2.2.1.1.2.1.4; 2.2.1.1.2.1.5, numeral 3, y 2.2.1.1.2.2.1. Resolución 469 de 2025 de la ANCP-CCE.</w:t>
            </w:r>
          </w:p>
          <w:p w14:paraId="09562DF9" w14:textId="77777777" w:rsidR="00662087" w:rsidRDefault="00662087" w:rsidP="002A461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Documentos de la ANCP-CCE: Circular Externa Única de la Agencia Nacional de Contratación Pública – Colombia Compra Eficiente.</w:t>
            </w:r>
          </w:p>
          <w:p w14:paraId="4A2E5849" w14:textId="77777777" w:rsidR="00662087" w:rsidRDefault="00662087" w:rsidP="002A4618">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Conceptos de la ANCP-CCE: Subdirección de Gestión Contractual. Conceptos C-104 del 21 de febrero de 2025, C-945 del 23 de agosto de 2025 y C-1061 del 11 de septiembre de 2025.</w:t>
            </w:r>
          </w:p>
        </w:tc>
      </w:tr>
    </w:tbl>
    <w:p w14:paraId="1B1B524F" w14:textId="77777777" w:rsidR="00662087" w:rsidRPr="009037F6" w:rsidRDefault="00662087" w:rsidP="00662087">
      <w:pPr>
        <w:widowControl w:val="0"/>
        <w:autoSpaceDE w:val="0"/>
        <w:autoSpaceDN w:val="0"/>
        <w:spacing w:after="0" w:line="276" w:lineRule="auto"/>
        <w:jc w:val="both"/>
        <w:rPr>
          <w:rFonts w:ascii="Verdana" w:hAnsi="Verdana" w:cs="Arial"/>
        </w:rPr>
      </w:pPr>
    </w:p>
    <w:p w14:paraId="023157C7" w14:textId="77777777" w:rsidR="00662087" w:rsidRPr="009037F6" w:rsidRDefault="00662087" w:rsidP="00662087">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3A010DD0" w14:textId="77777777" w:rsidR="00662087" w:rsidRPr="009037F6" w:rsidRDefault="00662087" w:rsidP="00662087">
      <w:pPr>
        <w:widowControl w:val="0"/>
        <w:autoSpaceDE w:val="0"/>
        <w:autoSpaceDN w:val="0"/>
        <w:spacing w:after="0" w:line="276" w:lineRule="auto"/>
        <w:jc w:val="both"/>
        <w:rPr>
          <w:rFonts w:ascii="Verdana" w:hAnsi="Verdana" w:cs="Arial"/>
        </w:rPr>
      </w:pPr>
    </w:p>
    <w:p w14:paraId="557BB7F6" w14:textId="77777777" w:rsidR="001B24C7" w:rsidRDefault="00662087" w:rsidP="00D12F8B">
      <w:pPr>
        <w:widowControl w:val="0"/>
        <w:autoSpaceDE w:val="0"/>
        <w:autoSpaceDN w:val="0"/>
        <w:spacing w:after="0" w:line="276" w:lineRule="auto"/>
        <w:ind w:firstLine="567"/>
        <w:jc w:val="both"/>
        <w:rPr>
          <w:rStyle w:val="normaltextrun"/>
          <w:rFonts w:ascii="Verdana" w:hAnsi="Verdana" w:cs="Arial"/>
          <w:shd w:val="clear" w:color="auto" w:fill="FFFFFF"/>
        </w:rPr>
      </w:pPr>
      <w:r>
        <w:rPr>
          <w:rFonts w:ascii="Verdana" w:hAnsi="Verdana" w:cs="Arial"/>
          <w:shd w:val="clear" w:color="auto" w:fill="FFFFFF"/>
        </w:rPr>
        <w:t>Esta Subdirección se ha pronunciado sobre las adendas y su límite temporal y material en el Concepto C-104 del 21 de febrero de 2025; sobre la revocación directa del acto de apertura y la declaratoria de desierta, en el Concepto C-945 del 23 de agosto de 2025; y sobre el deber de publicidad en el SECOP y el plazo de tres días, en el Concepto C-1061 del 11 de septiembre de 2025. Los conceptos emitidos por la Agencia pueden consultarse en el siguiente enlace:</w:t>
      </w:r>
    </w:p>
    <w:p w14:paraId="064D2938" w14:textId="77777777" w:rsidR="001B24C7" w:rsidRDefault="001B24C7" w:rsidP="00662087">
      <w:pPr>
        <w:widowControl w:val="0"/>
        <w:autoSpaceDE w:val="0"/>
        <w:autoSpaceDN w:val="0"/>
        <w:spacing w:after="0" w:line="276" w:lineRule="auto"/>
        <w:jc w:val="both"/>
        <w:rPr>
          <w:rStyle w:val="normaltextrun"/>
          <w:rFonts w:ascii="Verdana" w:hAnsi="Verdana" w:cs="Arial"/>
          <w:shd w:val="clear" w:color="auto" w:fill="FFFFFF"/>
        </w:rPr>
      </w:pPr>
    </w:p>
    <w:p w14:paraId="5932FC72" w14:textId="77777777" w:rsidR="00662087" w:rsidRPr="009037F6" w:rsidRDefault="00662087" w:rsidP="00662087">
      <w:pPr>
        <w:spacing w:after="0" w:line="256" w:lineRule="auto"/>
        <w:jc w:val="both"/>
        <w:rPr>
          <w:rFonts w:ascii="Verdana" w:eastAsia="Calibri" w:hAnsi="Verdana" w:cs="Times New Roman"/>
        </w:rPr>
      </w:pPr>
      <w:hyperlink r:id="rId12" w:history="1">
        <w:r w:rsidRPr="009037F6">
          <w:rPr>
            <w:rFonts w:ascii="Verdana" w:eastAsia="Calibri" w:hAnsi="Verdana" w:cs="Times New Roman"/>
            <w:color w:val="0000FF"/>
            <w:u w:val="single"/>
            <w:lang w:val="es-ES"/>
          </w:rPr>
          <w:t>https://relatoria.colombiacompra.gov.co/busqueda/conceptos</w:t>
        </w:r>
      </w:hyperlink>
    </w:p>
    <w:p w14:paraId="140B769C" w14:textId="77777777" w:rsidR="00662087" w:rsidRPr="009037F6" w:rsidRDefault="00662087" w:rsidP="00662087">
      <w:pPr>
        <w:spacing w:after="0"/>
        <w:jc w:val="both"/>
        <w:rPr>
          <w:rFonts w:ascii="Verdana" w:hAnsi="Verdana"/>
        </w:rPr>
      </w:pPr>
    </w:p>
    <w:p w14:paraId="16D2064E" w14:textId="77777777" w:rsidR="00662087" w:rsidRDefault="00662087" w:rsidP="00D12F8B">
      <w:pPr>
        <w:spacing w:after="0"/>
        <w:ind w:firstLine="567"/>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1248AAB1" w14:textId="77777777" w:rsidR="00662087" w:rsidRPr="009A385A" w:rsidRDefault="00662087" w:rsidP="00662087">
      <w:pPr>
        <w:spacing w:after="0"/>
        <w:jc w:val="both"/>
        <w:rPr>
          <w:rFonts w:ascii="Verdana" w:hAnsi="Verdana"/>
        </w:rPr>
      </w:pPr>
    </w:p>
    <w:p w14:paraId="08C8FF4D" w14:textId="77777777" w:rsidR="00662087" w:rsidRDefault="00662087" w:rsidP="00D12F8B">
      <w:pPr>
        <w:spacing w:after="0"/>
        <w:ind w:firstLine="567"/>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21F6ECE3" w14:textId="77777777" w:rsidR="00662087" w:rsidRDefault="00662087" w:rsidP="00662087">
      <w:pPr>
        <w:spacing w:after="0"/>
        <w:jc w:val="both"/>
        <w:rPr>
          <w:rFonts w:ascii="Verdana" w:hAnsi="Verdana"/>
        </w:rPr>
      </w:pPr>
    </w:p>
    <w:p w14:paraId="18EA97FC" w14:textId="77777777" w:rsidR="00662087" w:rsidRPr="008E1CD7" w:rsidRDefault="00662087" w:rsidP="00D12F8B">
      <w:pPr>
        <w:spacing w:after="0"/>
        <w:ind w:firstLine="567"/>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 xml:space="preserve">se incorporaron orientaciones prácticas dirigidas a entidades públicas, proveedores, organismos </w:t>
      </w:r>
      <w:r w:rsidRPr="00797327">
        <w:rPr>
          <w:rFonts w:ascii="Verdana" w:hAnsi="Verdana"/>
        </w:rPr>
        <w:lastRenderedPageBreak/>
        <w:t>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7AD55803" w14:textId="77777777" w:rsidR="00662087" w:rsidRDefault="00662087" w:rsidP="00662087">
      <w:pPr>
        <w:shd w:val="clear" w:color="auto" w:fill="FFFFFF"/>
        <w:spacing w:after="0" w:line="276" w:lineRule="auto"/>
        <w:jc w:val="both"/>
        <w:rPr>
          <w:rFonts w:ascii="Verdana" w:hAnsi="Verdana"/>
          <w:color w:val="000000"/>
          <w:u w:val="single"/>
        </w:rPr>
      </w:pPr>
    </w:p>
    <w:p w14:paraId="659E7781" w14:textId="77777777" w:rsidR="00662087" w:rsidRPr="0038088D" w:rsidRDefault="00662087" w:rsidP="00D12F8B">
      <w:pPr>
        <w:spacing w:after="0"/>
        <w:ind w:firstLine="567"/>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0B5B78D7" w14:textId="77777777" w:rsidR="00662087" w:rsidRPr="0038088D" w:rsidRDefault="00662087" w:rsidP="00662087">
      <w:pPr>
        <w:spacing w:after="0"/>
        <w:jc w:val="both"/>
        <w:rPr>
          <w:rFonts w:ascii="Verdana" w:hAnsi="Verdana"/>
        </w:rPr>
      </w:pPr>
    </w:p>
    <w:p w14:paraId="4F3795F0" w14:textId="77777777" w:rsidR="00662087" w:rsidRPr="0038088D" w:rsidRDefault="00662087" w:rsidP="00662087">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227FFD1E" w14:textId="77777777" w:rsidR="00662087" w:rsidRPr="0038088D" w:rsidRDefault="00662087" w:rsidP="00662087">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231E3514" w14:textId="77777777" w:rsidR="00662087" w:rsidRPr="0038088D" w:rsidRDefault="00662087" w:rsidP="00662087">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6">
        <w:r w:rsidRPr="0038088D">
          <w:rPr>
            <w:rStyle w:val="Hipervnculo"/>
            <w:rFonts w:ascii="Verdana" w:eastAsia="Verdana" w:hAnsi="Verdana" w:cs="Verdana"/>
          </w:rPr>
          <w:t>ventanilladeradicacion@colombiacompra.gov.co</w:t>
        </w:r>
      </w:hyperlink>
    </w:p>
    <w:p w14:paraId="58E6F730" w14:textId="77777777" w:rsidR="00662087" w:rsidRPr="0038088D" w:rsidRDefault="00662087" w:rsidP="00662087">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7">
        <w:r w:rsidRPr="0038088D">
          <w:rPr>
            <w:rStyle w:val="Hipervnculo"/>
            <w:rFonts w:ascii="Verdana" w:eastAsia="Verdana" w:hAnsi="Verdana" w:cs="Verdana"/>
          </w:rPr>
          <w:t>https://www.colombiacompra.gov.co/pqrsd/informacion-importante-antes-de-formular-una-pqrsd</w:t>
        </w:r>
      </w:hyperlink>
    </w:p>
    <w:p w14:paraId="2FA5CBBF" w14:textId="77777777" w:rsidR="00662087" w:rsidRPr="0038088D" w:rsidRDefault="00662087" w:rsidP="00662087">
      <w:pPr>
        <w:spacing w:after="0" w:line="240" w:lineRule="auto"/>
        <w:ind w:left="720"/>
        <w:jc w:val="both"/>
        <w:rPr>
          <w:rFonts w:ascii="Verdana" w:hAnsi="Verdana"/>
        </w:rPr>
      </w:pPr>
    </w:p>
    <w:p w14:paraId="06863A07" w14:textId="77777777" w:rsidR="00662087" w:rsidRPr="0038088D" w:rsidRDefault="00662087" w:rsidP="00D12F8B">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8"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666CD7A3" w14:textId="77777777" w:rsidR="00662087" w:rsidRPr="0038088D" w:rsidRDefault="00662087" w:rsidP="00662087">
      <w:pPr>
        <w:spacing w:after="0" w:line="240" w:lineRule="auto"/>
        <w:rPr>
          <w:rFonts w:ascii="Verdana" w:hAnsi="Verdana"/>
        </w:rPr>
      </w:pPr>
    </w:p>
    <w:p w14:paraId="789971C9" w14:textId="77777777" w:rsidR="00662087" w:rsidRPr="0038088D" w:rsidRDefault="00662087" w:rsidP="00662087">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31AF299A" w14:textId="77777777" w:rsidR="00662087" w:rsidRPr="00116940" w:rsidRDefault="00662087" w:rsidP="00662087">
      <w:pPr>
        <w:spacing w:after="0" w:line="240" w:lineRule="auto"/>
        <w:jc w:val="both"/>
        <w:rPr>
          <w:rFonts w:ascii="Verdana" w:hAnsi="Verdana"/>
        </w:rPr>
      </w:pPr>
    </w:p>
    <w:p w14:paraId="27DBBCE8" w14:textId="77777777" w:rsidR="00662087" w:rsidRPr="00116940" w:rsidRDefault="00662087" w:rsidP="00662087">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33EAE075" w14:textId="77777777" w:rsidR="00662087" w:rsidRPr="00116940" w:rsidRDefault="00662087" w:rsidP="00662087">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54B1A99E" w14:textId="77777777" w:rsidR="00662087" w:rsidRPr="00E22E6E" w:rsidRDefault="00662087" w:rsidP="00662087">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3EC4E652" w14:textId="77777777" w:rsidR="00662087" w:rsidRPr="009C4035" w:rsidRDefault="00662087" w:rsidP="00662087">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22C49C0D" w14:textId="77777777" w:rsidR="00662087" w:rsidRPr="00593A5F" w:rsidRDefault="00662087" w:rsidP="00662087">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 xml:space="preserve">y las expresiones aquí utilizadas con mayúscula inicial deben ser entendidas con el </w:t>
      </w:r>
      <w:r w:rsidRPr="00593A5F">
        <w:rPr>
          <w:rFonts w:ascii="Verdana" w:hAnsi="Verdana" w:cs="Arial"/>
          <w:lang w:val="es-ES_tradnl"/>
        </w:rPr>
        <w:lastRenderedPageBreak/>
        <w:t>significado que les otorga el artículo 2.2.1.1.1.3.1. del Decreto 1082 de 2015.</w:t>
      </w:r>
      <w:r>
        <w:rPr>
          <w:rFonts w:ascii="Verdana" w:hAnsi="Verdana" w:cs="Arial"/>
          <w:lang w:val="es-ES_tradnl"/>
        </w:rPr>
        <w:t xml:space="preserve"> </w:t>
      </w:r>
    </w:p>
    <w:p w14:paraId="6BA36467" w14:textId="77777777" w:rsidR="00662087" w:rsidRDefault="00662087" w:rsidP="00662087">
      <w:pPr>
        <w:widowControl w:val="0"/>
        <w:autoSpaceDE w:val="0"/>
        <w:autoSpaceDN w:val="0"/>
        <w:spacing w:after="0" w:line="276" w:lineRule="auto"/>
        <w:jc w:val="both"/>
        <w:rPr>
          <w:rFonts w:ascii="Verdana" w:hAnsi="Verdana" w:cs="Arial"/>
        </w:rPr>
      </w:pPr>
    </w:p>
    <w:p w14:paraId="1792A7D7" w14:textId="3EFDE5FE" w:rsidR="008D539F" w:rsidRPr="005C2EA8" w:rsidRDefault="008D539F" w:rsidP="005C2EA8">
      <w:pPr>
        <w:spacing w:after="0" w:line="276" w:lineRule="auto"/>
        <w:rPr>
          <w:rFonts w:ascii="Verdana" w:eastAsia="Calibri" w:hAnsi="Verdana" w:cs="Arial"/>
          <w:lang w:val="es-ES" w:eastAsia="es-CO"/>
        </w:rPr>
      </w:pPr>
      <w:r w:rsidRPr="008D539F">
        <w:rPr>
          <w:rFonts w:ascii="Verdana" w:eastAsia="Times New Roman" w:hAnsi="Verdana" w:cs="Arial"/>
          <w:lang w:val="es-ES" w:eastAsia="es-CO"/>
        </w:rPr>
        <w:t>Atentamente,</w:t>
      </w:r>
      <w:r w:rsidRPr="008D539F">
        <w:rPr>
          <w:rFonts w:ascii="Verdana" w:eastAsia="Calibri" w:hAnsi="Verdana" w:cs="Arial"/>
          <w:lang w:val="es-ES" w:eastAsia="es-CO"/>
        </w:rPr>
        <w:t xml:space="preserve"> </w:t>
      </w:r>
    </w:p>
    <w:p w14:paraId="703D9E72" w14:textId="77777777" w:rsidR="008D539F" w:rsidRPr="008D539F" w:rsidRDefault="008D539F" w:rsidP="008D539F">
      <w:pPr>
        <w:autoSpaceDE w:val="0"/>
        <w:autoSpaceDN w:val="0"/>
        <w:adjustRightInd w:val="0"/>
        <w:spacing w:after="0" w:line="276" w:lineRule="auto"/>
        <w:jc w:val="center"/>
        <w:rPr>
          <w:rFonts w:ascii="Verdana" w:eastAsia="Calibri" w:hAnsi="Verdana" w:cs="Arial"/>
          <w:noProof/>
          <w:sz w:val="20"/>
          <w:szCs w:val="20"/>
        </w:rPr>
      </w:pPr>
    </w:p>
    <w:p w14:paraId="06F4763A" w14:textId="39418D55" w:rsidR="008D539F" w:rsidRPr="008D539F" w:rsidRDefault="005C2EA8" w:rsidP="008D539F">
      <w:pPr>
        <w:spacing w:after="0" w:line="254" w:lineRule="auto"/>
        <w:jc w:val="center"/>
        <w:rPr>
          <w:rFonts w:ascii="Verdana" w:eastAsia="Times New Roman" w:hAnsi="Verdana" w:cs="Arial"/>
          <w:lang w:eastAsia="es-ES"/>
        </w:rPr>
      </w:pPr>
      <w:r w:rsidRPr="002C3AD6">
        <w:rPr>
          <w:rFonts w:ascii="Century Gothic" w:hAnsi="Century Gothic"/>
          <w:noProof/>
        </w:rPr>
        <w:drawing>
          <wp:inline distT="0" distB="0" distL="0" distR="0" wp14:anchorId="22D7BF89" wp14:editId="125AC32A">
            <wp:extent cx="2883961" cy="1070561"/>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2938078" cy="1090650"/>
                    </a:xfrm>
                    <a:prstGeom prst="rect">
                      <a:avLst/>
                    </a:prstGeom>
                  </pic:spPr>
                </pic:pic>
              </a:graphicData>
            </a:graphic>
          </wp:inline>
        </w:drawing>
      </w:r>
    </w:p>
    <w:p w14:paraId="6B683774" w14:textId="77777777" w:rsidR="008D539F" w:rsidRPr="008D539F" w:rsidRDefault="008D539F" w:rsidP="008D539F">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8D539F" w:rsidRPr="008D539F" w14:paraId="25BC7463" w14:textId="77777777">
        <w:trPr>
          <w:trHeight w:val="322"/>
        </w:trPr>
        <w:tc>
          <w:tcPr>
            <w:tcW w:w="733" w:type="dxa"/>
            <w:tcBorders>
              <w:top w:val="nil"/>
              <w:left w:val="nil"/>
              <w:bottom w:val="nil"/>
              <w:right w:val="nil"/>
            </w:tcBorders>
            <w:vAlign w:val="center"/>
            <w:hideMark/>
          </w:tcPr>
          <w:p w14:paraId="182459AD" w14:textId="77777777" w:rsidR="008D539F" w:rsidRPr="008D539F" w:rsidRDefault="008D539F" w:rsidP="008D539F">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Elaboró:         </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B7D8750" w14:textId="77777777" w:rsidR="00D12F8B" w:rsidRDefault="00D12F8B" w:rsidP="008D539F">
            <w:pPr>
              <w:spacing w:after="0" w:line="254" w:lineRule="auto"/>
              <w:rPr>
                <w:rFonts w:ascii="Verdana" w:eastAsia="Times New Roman" w:hAnsi="Verdana" w:cs="Arial"/>
                <w:sz w:val="16"/>
                <w:szCs w:val="16"/>
                <w:lang w:eastAsia="es-ES"/>
              </w:rPr>
            </w:pPr>
            <w:r>
              <w:rPr>
                <w:rFonts w:ascii="Verdana" w:eastAsia="Times New Roman" w:hAnsi="Verdana" w:cs="Arial"/>
                <w:sz w:val="16"/>
                <w:szCs w:val="16"/>
                <w:lang w:eastAsia="es-ES"/>
              </w:rPr>
              <w:t xml:space="preserve">Camilo J Martínez M </w:t>
            </w:r>
          </w:p>
          <w:p w14:paraId="64798A53" w14:textId="1CCAC65D" w:rsidR="008D539F" w:rsidRPr="008D539F" w:rsidRDefault="00D12F8B" w:rsidP="008D539F">
            <w:pPr>
              <w:spacing w:after="0" w:line="254" w:lineRule="auto"/>
              <w:rPr>
                <w:rFonts w:ascii="Verdana" w:eastAsia="Times New Roman" w:hAnsi="Verdana" w:cs="Arial"/>
                <w:sz w:val="16"/>
                <w:szCs w:val="16"/>
                <w:lang w:val="es-ES_tradnl" w:eastAsia="es-ES"/>
              </w:rPr>
            </w:pPr>
            <w:r>
              <w:rPr>
                <w:rFonts w:ascii="Verdana" w:eastAsia="Times New Roman" w:hAnsi="Verdana" w:cs="Arial"/>
                <w:sz w:val="16"/>
                <w:szCs w:val="16"/>
                <w:lang w:eastAsia="es-ES"/>
              </w:rPr>
              <w:t xml:space="preserve">Contratista </w:t>
            </w:r>
            <w:r w:rsidR="008D539F" w:rsidRPr="008D539F">
              <w:rPr>
                <w:rFonts w:ascii="Verdana" w:eastAsia="Times New Roman" w:hAnsi="Verdana" w:cs="Arial"/>
                <w:sz w:val="16"/>
                <w:szCs w:val="16"/>
                <w:lang w:eastAsia="es-ES"/>
              </w:rPr>
              <w:t>de la Subdirección de Gestión Contractual</w:t>
            </w:r>
          </w:p>
        </w:tc>
      </w:tr>
      <w:tr w:rsidR="008D539F" w:rsidRPr="008D539F" w14:paraId="73B9E464" w14:textId="77777777">
        <w:trPr>
          <w:trHeight w:val="322"/>
        </w:trPr>
        <w:tc>
          <w:tcPr>
            <w:tcW w:w="733" w:type="dxa"/>
            <w:tcBorders>
              <w:top w:val="nil"/>
              <w:left w:val="nil"/>
              <w:bottom w:val="nil"/>
              <w:right w:val="nil"/>
            </w:tcBorders>
            <w:vAlign w:val="center"/>
            <w:hideMark/>
          </w:tcPr>
          <w:p w14:paraId="49C9B276" w14:textId="77777777" w:rsidR="008D539F" w:rsidRPr="008D539F" w:rsidRDefault="008D539F" w:rsidP="008D539F">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Revisó: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59D0310E" w14:textId="77777777" w:rsidR="008D539F" w:rsidRPr="008D539F" w:rsidRDefault="005746D5" w:rsidP="008D539F">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Diana Saavedra</w:t>
            </w:r>
          </w:p>
          <w:p w14:paraId="22F6DE46" w14:textId="77777777" w:rsidR="008D539F" w:rsidRPr="008D539F" w:rsidRDefault="008D539F" w:rsidP="008D539F">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8D539F" w:rsidRPr="008D539F" w14:paraId="1A9B8887" w14:textId="77777777">
        <w:trPr>
          <w:trHeight w:val="307"/>
        </w:trPr>
        <w:tc>
          <w:tcPr>
            <w:tcW w:w="733" w:type="dxa"/>
            <w:tcBorders>
              <w:top w:val="nil"/>
              <w:left w:val="nil"/>
              <w:bottom w:val="nil"/>
              <w:right w:val="nil"/>
            </w:tcBorders>
            <w:vAlign w:val="center"/>
            <w:hideMark/>
          </w:tcPr>
          <w:p w14:paraId="3D7BBCAD" w14:textId="77777777" w:rsidR="008D539F" w:rsidRPr="008D539F" w:rsidRDefault="008D539F" w:rsidP="008D539F">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Aprobó: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4F020559" w14:textId="77777777" w:rsidR="008D539F" w:rsidRPr="008D539F" w:rsidRDefault="008D539F" w:rsidP="008D539F">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Carolina Quintero Gacharná</w:t>
            </w:r>
          </w:p>
          <w:p w14:paraId="1B9412A2" w14:textId="77777777" w:rsidR="008D539F" w:rsidRPr="008D539F" w:rsidRDefault="008D539F" w:rsidP="008D539F">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Subdirectora de Gestión Contractual ANCP – CCE</w:t>
            </w:r>
          </w:p>
        </w:tc>
      </w:tr>
    </w:tbl>
    <w:p w14:paraId="5BD154F2" w14:textId="77777777" w:rsidR="008D539F" w:rsidRPr="008D539F" w:rsidRDefault="008D539F" w:rsidP="008D539F">
      <w:pPr>
        <w:autoSpaceDE w:val="0"/>
        <w:autoSpaceDN w:val="0"/>
        <w:adjustRightInd w:val="0"/>
        <w:spacing w:after="0" w:line="276" w:lineRule="auto"/>
        <w:jc w:val="center"/>
        <w:rPr>
          <w:rFonts w:ascii="Verdana" w:eastAsia="Calibri" w:hAnsi="Verdana" w:cs="Arial"/>
        </w:rPr>
      </w:pPr>
    </w:p>
    <w:p w14:paraId="08B4A0B5" w14:textId="20F5CB9A" w:rsidR="008D539F" w:rsidRPr="00593A5F" w:rsidRDefault="008D539F" w:rsidP="00662087">
      <w:pPr>
        <w:widowControl w:val="0"/>
        <w:autoSpaceDE w:val="0"/>
        <w:autoSpaceDN w:val="0"/>
        <w:spacing w:after="0" w:line="276" w:lineRule="auto"/>
        <w:jc w:val="both"/>
        <w:rPr>
          <w:rFonts w:ascii="Verdana" w:hAnsi="Verdana" w:cs="Arial"/>
        </w:rPr>
      </w:pPr>
    </w:p>
    <w:sectPr w:rsidR="008D539F" w:rsidRPr="00593A5F"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98FF8" w14:textId="77777777" w:rsidR="000C76CD" w:rsidRDefault="000C76CD" w:rsidP="004A1847">
      <w:pPr>
        <w:spacing w:after="0" w:line="240" w:lineRule="auto"/>
      </w:pPr>
      <w:r>
        <w:separator/>
      </w:r>
    </w:p>
  </w:endnote>
  <w:endnote w:type="continuationSeparator" w:id="0">
    <w:p w14:paraId="5A812498" w14:textId="77777777" w:rsidR="000C76CD" w:rsidRDefault="000C76C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56C1F" w14:textId="77777777" w:rsidR="003332A8" w:rsidRDefault="003332A8">
    <w:pPr>
      <w:pStyle w:val="Piedepgina"/>
    </w:pPr>
  </w:p>
  <w:p w14:paraId="1A41A899" w14:textId="77777777" w:rsidR="003332A8" w:rsidRPr="00174B77" w:rsidRDefault="003332A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751DE8" w:rsidRPr="00751DE8">
      <w:rPr>
        <w:rFonts w:ascii="Verdana" w:eastAsiaTheme="minorEastAsia" w:hAnsi="Verdana"/>
        <w:b/>
        <w:bCs/>
        <w:noProof/>
        <w:sz w:val="16"/>
        <w:szCs w:val="16"/>
      </w:rPr>
      <w:t>19</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3EDA60F" w14:textId="77777777" w:rsidR="003332A8" w:rsidRDefault="003332A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2F087B4C" w14:textId="77777777" w:rsidR="003332A8" w:rsidRPr="00E41027" w:rsidRDefault="003332A8" w:rsidP="00D520D8">
    <w:pPr>
      <w:spacing w:after="0"/>
      <w:jc w:val="both"/>
      <w:rPr>
        <w:rFonts w:ascii="Verdana" w:hAnsi="Verdana"/>
        <w:sz w:val="18"/>
        <w:szCs w:val="18"/>
      </w:rPr>
    </w:pPr>
    <w:r w:rsidRPr="00E41027">
      <w:rPr>
        <w:rFonts w:ascii="Verdana" w:hAnsi="Verdana"/>
        <w:sz w:val="18"/>
        <w:szCs w:val="18"/>
      </w:rPr>
      <w:t>Mesa de servicio: (+57) 601 7456788</w:t>
    </w:r>
  </w:p>
  <w:p w14:paraId="736ED106" w14:textId="77777777" w:rsidR="003332A8" w:rsidRDefault="003332A8">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28FB6" w14:textId="77777777" w:rsidR="000C76CD" w:rsidRDefault="000C76CD" w:rsidP="004A1847">
      <w:pPr>
        <w:spacing w:after="0" w:line="240" w:lineRule="auto"/>
      </w:pPr>
      <w:r>
        <w:separator/>
      </w:r>
    </w:p>
  </w:footnote>
  <w:footnote w:type="continuationSeparator" w:id="0">
    <w:p w14:paraId="5B8DFBFD" w14:textId="77777777" w:rsidR="000C76CD" w:rsidRDefault="000C76CD" w:rsidP="004A1847">
      <w:pPr>
        <w:spacing w:after="0" w:line="240" w:lineRule="auto"/>
      </w:pPr>
      <w:r>
        <w:continuationSeparator/>
      </w:r>
    </w:p>
  </w:footnote>
  <w:footnote w:id="1">
    <w:p w14:paraId="4FC007B5"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artículos 2.2.1.1.1.3.1, 2.2.1.1.2.1.2, numeral 12; 2.2.1.1.2.1.3 y 2.2.1.1.2.1.5, numeral 3.</w:t>
      </w:r>
    </w:p>
  </w:footnote>
  <w:footnote w:id="2">
    <w:p w14:paraId="14F49468"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artículos 2.2.1.1.2.1.2, 2.2.1.1.2.1.3 y 2.2.1.1.2.1.5. Sobre la composición de los documentos del proceso en el SECOP II, AGENCIA NACIONAL DE CONTRATACIÓN PÚBLICA – COLOMBIA COMPRA EFICIENTE. Subdirección de Gestión Contractual. Concepto C-1061 del 11 de septiembre de 2025.</w:t>
      </w:r>
    </w:p>
  </w:footnote>
  <w:footnote w:id="3">
    <w:p w14:paraId="05EE119B"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23 y 24; Decreto 1082 de 2015, artículos 2.2.1.1.2.1.2, 2.2.1.1.2.1.3 y 2.2.1.1.2.1.5.</w:t>
      </w:r>
    </w:p>
  </w:footnote>
  <w:footnote w:id="4">
    <w:p w14:paraId="19262726"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 2.2.1.1.2.1.4.</w:t>
      </w:r>
    </w:p>
  </w:footnote>
  <w:footnote w:id="5">
    <w:p w14:paraId="67B8AD5A"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 2.2.1.1.2.2.1. En el mismo sentido, AGENCIA NACIONAL DE CONTRATACIÓN PÚBLICA – COLOMBIA COMPRA EFICIENTE. Subdirección de Gestión Contractual. Concepto C-104 del 21 de febrero de 2025.</w:t>
      </w:r>
    </w:p>
  </w:footnote>
  <w:footnote w:id="6">
    <w:p w14:paraId="43492AC2" w14:textId="3E88A54B" w:rsidR="00172FEF" w:rsidRPr="00172FEF" w:rsidRDefault="00172FEF">
      <w:pPr>
        <w:pStyle w:val="Textonotapie"/>
        <w:rPr>
          <w:lang w:val="es-ES_tradnl"/>
        </w:rPr>
      </w:pPr>
      <w:r>
        <w:rPr>
          <w:rStyle w:val="Refdenotaalpie"/>
        </w:rPr>
        <w:footnoteRef/>
      </w:r>
      <w:r>
        <w:t xml:space="preserve"> </w:t>
      </w:r>
      <w:r>
        <w:rPr>
          <w:rFonts w:ascii="Verdana" w:hAnsi="Verdana"/>
          <w:lang w:val="es-ES_tradnl"/>
        </w:rPr>
        <w:t>AGENCIA NACIONAL DE CONTRATACIÓN PÚBLICA – COLOMBIA COMPRA EFICIENTE. Subdirección de Gestión Contractual. Concepto C-</w:t>
      </w:r>
      <w:r w:rsidR="001F243C">
        <w:rPr>
          <w:rFonts w:ascii="Verdana" w:hAnsi="Verdana"/>
          <w:lang w:val="es-ES_tradnl"/>
        </w:rPr>
        <w:t>654</w:t>
      </w:r>
      <w:r>
        <w:rPr>
          <w:rFonts w:ascii="Verdana" w:hAnsi="Verdana"/>
          <w:lang w:val="es-ES_tradnl"/>
        </w:rPr>
        <w:t xml:space="preserve"> del </w:t>
      </w:r>
      <w:r w:rsidR="001F243C">
        <w:rPr>
          <w:rFonts w:ascii="Verdana" w:hAnsi="Verdana"/>
          <w:lang w:val="es-ES_tradnl"/>
        </w:rPr>
        <w:t>07</w:t>
      </w:r>
      <w:r>
        <w:rPr>
          <w:rFonts w:ascii="Verdana" w:hAnsi="Verdana"/>
          <w:lang w:val="es-ES_tradnl"/>
        </w:rPr>
        <w:t xml:space="preserve"> de </w:t>
      </w:r>
      <w:r w:rsidR="001F243C">
        <w:rPr>
          <w:rFonts w:ascii="Verdana" w:hAnsi="Verdana"/>
          <w:lang w:val="es-ES_tradnl"/>
        </w:rPr>
        <w:t xml:space="preserve">julio </w:t>
      </w:r>
      <w:r>
        <w:rPr>
          <w:rFonts w:ascii="Verdana" w:hAnsi="Verdana"/>
          <w:lang w:val="es-ES_tradnl"/>
        </w:rPr>
        <w:t>de 2025.</w:t>
      </w:r>
    </w:p>
  </w:footnote>
  <w:footnote w:id="7">
    <w:p w14:paraId="316343AB" w14:textId="137D9895" w:rsidR="001F243C" w:rsidRPr="001F243C" w:rsidRDefault="001F243C">
      <w:pPr>
        <w:pStyle w:val="Textonotapie"/>
        <w:rPr>
          <w:lang w:val="es-ES_tradnl"/>
        </w:rPr>
      </w:pPr>
      <w:r>
        <w:rPr>
          <w:rStyle w:val="Refdenotaalpie"/>
        </w:rPr>
        <w:footnoteRef/>
      </w:r>
      <w:r>
        <w:t xml:space="preserve"> </w:t>
      </w:r>
      <w:proofErr w:type="spellStart"/>
      <w:r>
        <w:rPr>
          <w:lang w:val="es-ES_tradnl"/>
        </w:rPr>
        <w:t>Ibídem</w:t>
      </w:r>
      <w:proofErr w:type="spellEnd"/>
      <w:r>
        <w:rPr>
          <w:lang w:val="es-ES_tradnl"/>
        </w:rPr>
        <w:t xml:space="preserve">. </w:t>
      </w:r>
    </w:p>
  </w:footnote>
  <w:footnote w:id="8">
    <w:p w14:paraId="32DF39A7"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 2.2.1.1.2.2.1; Ley 80 de 1993, artículos 24 y 25.</w:t>
      </w:r>
    </w:p>
  </w:footnote>
  <w:footnote w:id="9">
    <w:p w14:paraId="38B37AFC"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 2.2.1.1.1.7.1. En el mismo sentido, AGENCIA NACIONAL DE CONTRATACIÓN PÚBLICA – COLOMBIA COMPRA EFICIENTE. Subdirección de Gestión Contractual. Concepto C-1061 del 11 de septiembre de 2025.</w:t>
      </w:r>
    </w:p>
  </w:footnote>
  <w:footnote w:id="10">
    <w:p w14:paraId="5881DBAE"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24 y 25; Ley 1150 de 2007, artículo 5. En el concurso de méritos el informe de evaluación se publica por tres (3) días hábiles, conforme al Decreto 1082 de 2015.</w:t>
      </w:r>
    </w:p>
  </w:footnote>
  <w:footnote w:id="11">
    <w:p w14:paraId="08D57CA7"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25, numeral 18. En el mismo sentido, AGENCIA NACIONAL DE CONTRATACIÓN PÚBLICA – COLOMBIA COMPRA EFICIENTE. Subdirección de Gestión Contractual. Concepto C-945 del 23 de agosto de 2025.</w:t>
      </w:r>
    </w:p>
  </w:footnote>
  <w:footnote w:id="12">
    <w:p w14:paraId="011BCF5D"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C-945 del 23 de agosto de 2025, que sistematiza las cuatro tesis jurisprudenciales. Ley 1437 de 2011, artículo 93; Ley 80 de 1993, artículo 77.</w:t>
      </w:r>
    </w:p>
  </w:footnote>
  <w:footnote w:id="13">
    <w:p w14:paraId="22EEDB35"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 2.2.1.1.1.3.1.</w:t>
      </w:r>
    </w:p>
  </w:footnote>
  <w:footnote w:id="14">
    <w:p w14:paraId="405C517A"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artículos 2.2.1.1.2.1.2, numeral 12; 2.2.1.1.2.1.3 y 2.2.1.1.2.1.5, numeral 3.</w:t>
      </w:r>
    </w:p>
  </w:footnote>
  <w:footnote w:id="15">
    <w:p w14:paraId="30AE96C4"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 2.2.1.1.1.7.1.</w:t>
      </w:r>
    </w:p>
  </w:footnote>
  <w:footnote w:id="16">
    <w:p w14:paraId="34DAAC7A"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C-1061 del 11 de septiembre de 2025.</w:t>
      </w:r>
    </w:p>
  </w:footnote>
  <w:footnote w:id="17">
    <w:p w14:paraId="4417A4E7"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artículos 23 y 24.</w:t>
      </w:r>
    </w:p>
  </w:footnote>
  <w:footnote w:id="18">
    <w:p w14:paraId="5A1E10ED"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 2.2.1.1.2.1.4.</w:t>
      </w:r>
    </w:p>
  </w:footnote>
  <w:footnote w:id="19">
    <w:p w14:paraId="4E7C3A39"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C-104 del 21 de febrero de 2025.</w:t>
      </w:r>
    </w:p>
  </w:footnote>
  <w:footnote w:id="20">
    <w:p w14:paraId="0ED28CA7"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C-104 del 21 de febrero de 2025; Decreto 1082 de 2015, artículo 2.2.1.1.2.2.1.</w:t>
      </w:r>
    </w:p>
  </w:footnote>
  <w:footnote w:id="21">
    <w:p w14:paraId="3E6AA461"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C-104 del 21 de febrero de 2025.</w:t>
      </w:r>
    </w:p>
  </w:footnote>
  <w:footnote w:id="22">
    <w:p w14:paraId="1C31028B"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C-104 del 21 de febrero de 2025.</w:t>
      </w:r>
    </w:p>
  </w:footnote>
  <w:footnote w:id="23">
    <w:p w14:paraId="1F3B5827"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CONSEJO DE ESTADO, jurisprudencia citada en AGENCIA NACIONAL DE CONTRATACIÓN PÚBLICA – COLOMBIA COMPRA EFICIENTE. Subdirección de Gestión Contractual. Concepto C-104 del 21 de febrero de 2025.</w:t>
      </w:r>
    </w:p>
  </w:footnote>
  <w:footnote w:id="24">
    <w:p w14:paraId="42B198D9"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Decreto 1082 de 2015, artículo 2.2.1.1.1.7.1.</w:t>
      </w:r>
    </w:p>
  </w:footnote>
  <w:footnote w:id="25">
    <w:p w14:paraId="32419E04"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C-1061 del 11 de septiembre de 2025.</w:t>
      </w:r>
    </w:p>
  </w:footnote>
  <w:footnote w:id="26">
    <w:p w14:paraId="1A57C97C"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C-1061 del 11 de septiembre de 2025; Decreto 1082 de 2015, artículo 2.2.1.1.1.7.1.</w:t>
      </w:r>
    </w:p>
  </w:footnote>
  <w:footnote w:id="27">
    <w:p w14:paraId="34D95F35"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C-1061 del 11 de septiembre de 2025, que cita la Circular Externa Única.</w:t>
      </w:r>
    </w:p>
  </w:footnote>
  <w:footnote w:id="28">
    <w:p w14:paraId="122640D5"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24. En el concurso de méritos el informe de evaluación se publica por tres (3) días hábiles, conforme al Decreto 1082 de 2015.</w:t>
      </w:r>
    </w:p>
  </w:footnote>
  <w:footnote w:id="29">
    <w:p w14:paraId="6091F748"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24. AGENCIA NACIONAL DE CONTRATACIÓN PÚBLICA – COLOMBIA COMPRA EFICIENTE. Subdirección de Gestión Contractual. Concepto C-104 del 21 de febrero de 2025.</w:t>
      </w:r>
    </w:p>
  </w:footnote>
  <w:footnote w:id="30">
    <w:p w14:paraId="5AC85F12"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25, numeral 1; Ley 1150 de 2007, artículo 5. AGENCIA NACIONAL DE CONTRATACIÓN PÚBLICA – COLOMBIA COMPRA EFICIENTE. Subdirección de Gestión Contractual. Concepto C-104 del 21 de febrero de 2025.</w:t>
      </w:r>
    </w:p>
  </w:footnote>
  <w:footnote w:id="31">
    <w:p w14:paraId="53F40E2E"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80 de 1993, artículo 25, numeral 18. En el mismo sentido, AGENCIA NACIONAL DE CONTRATACIÓN PÚBLICA – COLOMBIA COMPRA EFICIENTE. Subdirección de Gestión Contractual. Concepto C-945 del 23 de agosto de 2025.</w:t>
      </w:r>
    </w:p>
  </w:footnote>
  <w:footnote w:id="32">
    <w:p w14:paraId="54D0CFFA"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C-945 del 23 de agosto de 2025.</w:t>
      </w:r>
    </w:p>
  </w:footnote>
  <w:footnote w:id="33">
    <w:p w14:paraId="69C79EC8"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AGENCIA NACIONAL DE CONTRATACIÓN PÚBLICA – COLOMBIA COMPRA EFICIENTE. Subdirección de Gestión Contractual. Concepto C-945 del 23 de agosto de 2025, que sistematiza las cuatro tesis; Ley 1437 de 2011, artículo 93; Ley 80 de 1993, artículo 77.</w:t>
      </w:r>
    </w:p>
  </w:footnote>
  <w:footnote w:id="34">
    <w:p w14:paraId="2A234D41" w14:textId="77777777" w:rsidR="002B0B56" w:rsidRDefault="00000000">
      <w:pPr>
        <w:pStyle w:val="Textonotapie"/>
        <w:jc w:val="both"/>
        <w:rPr>
          <w:rFonts w:ascii="Verdana" w:hAnsi="Verdana"/>
          <w:lang w:val="es-ES_tradnl"/>
        </w:rPr>
      </w:pPr>
      <w:r>
        <w:rPr>
          <w:rStyle w:val="Refdenotaalpie"/>
          <w:rFonts w:ascii="Verdana" w:hAnsi="Verdana"/>
        </w:rPr>
        <w:footnoteRef/>
      </w:r>
      <w:r>
        <w:rPr>
          <w:rFonts w:ascii="Verdana" w:hAnsi="Verdana"/>
          <w:lang w:val="es-ES_tradnl"/>
        </w:rPr>
        <w:t xml:space="preserve"> Ley 1150 de 2007, artículo 9. AGENCIA NACIONAL DE CONTRATACIÓN PÚBLICA – COLOMBIA COMPRA EFICIENTE. Subdirección de Gestión Contractual. Concepto C-945 del 23 de agosto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FD7C8" w14:textId="77777777" w:rsidR="003332A8" w:rsidRDefault="003332A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7D5EEB2" w14:textId="77777777" w:rsidR="003332A8" w:rsidRDefault="003332A8">
    <w:pPr>
      <w:pStyle w:val="Encabezado"/>
    </w:pPr>
  </w:p>
  <w:p w14:paraId="0532F0BE" w14:textId="77777777" w:rsidR="003332A8" w:rsidRPr="004A305D" w:rsidRDefault="003332A8" w:rsidP="00B01B1A">
    <w:pPr>
      <w:spacing w:after="0" w:line="120" w:lineRule="auto"/>
      <w:rPr>
        <w:rFonts w:ascii="Century Gothic" w:eastAsia="Geo" w:hAnsi="Century Gothic" w:cs="Geo"/>
        <w:sz w:val="16"/>
        <w:szCs w:val="16"/>
        <w:lang w:eastAsia="es-CO"/>
      </w:rPr>
    </w:pPr>
  </w:p>
  <w:p w14:paraId="0E4A66D8" w14:textId="77777777" w:rsidR="003332A8" w:rsidRDefault="003332A8" w:rsidP="00844AE9">
    <w:pPr>
      <w:spacing w:after="0" w:line="240" w:lineRule="auto"/>
      <w:rPr>
        <w:rFonts w:ascii="Verdana" w:hAnsi="Verdana"/>
        <w:sz w:val="24"/>
        <w:szCs w:val="24"/>
      </w:rPr>
    </w:pPr>
  </w:p>
  <w:p w14:paraId="57581A53" w14:textId="77777777" w:rsidR="003332A8" w:rsidRPr="00C925AC" w:rsidRDefault="003332A8" w:rsidP="00844AE9">
    <w:pPr>
      <w:spacing w:after="0" w:line="240" w:lineRule="auto"/>
      <w:rPr>
        <w:rFonts w:ascii="Verdana" w:hAnsi="Verdana"/>
        <w:sz w:val="24"/>
        <w:szCs w:val="24"/>
      </w:rPr>
    </w:pPr>
  </w:p>
  <w:p w14:paraId="69F6C248" w14:textId="77777777" w:rsidR="003332A8" w:rsidRPr="00C925AC" w:rsidRDefault="003332A8"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pt;height:7.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E353CA8"/>
    <w:multiLevelType w:val="hybridMultilevel"/>
    <w:tmpl w:val="8556CC82"/>
    <w:lvl w:ilvl="0" w:tplc="147AD612">
      <w:start w:val="1"/>
      <w:numFmt w:val="decimal"/>
      <w:lvlText w:val="%1."/>
      <w:lvlJc w:val="left"/>
      <w:pPr>
        <w:ind w:left="1065" w:hanging="360"/>
      </w:pPr>
      <w:rPr>
        <w:rFonts w:ascii="Arial" w:hAnsi="Arial" w:cs="Arial" w:hint="default"/>
        <w:b w:val="0"/>
        <w:bCs/>
        <w:sz w:val="22"/>
        <w:szCs w:val="22"/>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42839426">
    <w:abstractNumId w:val="10"/>
  </w:num>
  <w:num w:numId="2" w16cid:durableId="575671387">
    <w:abstractNumId w:val="2"/>
  </w:num>
  <w:num w:numId="3" w16cid:durableId="478959013">
    <w:abstractNumId w:val="8"/>
  </w:num>
  <w:num w:numId="4" w16cid:durableId="114566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84566880">
    <w:abstractNumId w:val="2"/>
  </w:num>
  <w:num w:numId="6" w16cid:durableId="699085116">
    <w:abstractNumId w:val="18"/>
  </w:num>
  <w:num w:numId="7" w16cid:durableId="1974751856">
    <w:abstractNumId w:val="9"/>
  </w:num>
  <w:num w:numId="8" w16cid:durableId="1524243295">
    <w:abstractNumId w:val="16"/>
  </w:num>
  <w:num w:numId="9" w16cid:durableId="1693993010">
    <w:abstractNumId w:val="11"/>
  </w:num>
  <w:num w:numId="10" w16cid:durableId="756638953">
    <w:abstractNumId w:val="15"/>
  </w:num>
  <w:num w:numId="11" w16cid:durableId="1511916912">
    <w:abstractNumId w:val="12"/>
  </w:num>
  <w:num w:numId="12" w16cid:durableId="1733693583">
    <w:abstractNumId w:val="0"/>
  </w:num>
  <w:num w:numId="13" w16cid:durableId="2044207265">
    <w:abstractNumId w:val="5"/>
  </w:num>
  <w:num w:numId="14" w16cid:durableId="1715882887">
    <w:abstractNumId w:val="19"/>
  </w:num>
  <w:num w:numId="15" w16cid:durableId="368184482">
    <w:abstractNumId w:val="14"/>
  </w:num>
  <w:num w:numId="16" w16cid:durableId="986013926">
    <w:abstractNumId w:val="6"/>
  </w:num>
  <w:num w:numId="17" w16cid:durableId="173233579">
    <w:abstractNumId w:val="13"/>
  </w:num>
  <w:num w:numId="18" w16cid:durableId="1762485312">
    <w:abstractNumId w:val="22"/>
  </w:num>
  <w:num w:numId="19" w16cid:durableId="390540605">
    <w:abstractNumId w:val="21"/>
  </w:num>
  <w:num w:numId="20" w16cid:durableId="1630667266">
    <w:abstractNumId w:val="1"/>
  </w:num>
  <w:num w:numId="21" w16cid:durableId="686448761">
    <w:abstractNumId w:val="4"/>
  </w:num>
  <w:num w:numId="22" w16cid:durableId="1933010044">
    <w:abstractNumId w:val="7"/>
  </w:num>
  <w:num w:numId="23" w16cid:durableId="1621455384">
    <w:abstractNumId w:val="3"/>
  </w:num>
  <w:num w:numId="24" w16cid:durableId="1864779819">
    <w:abstractNumId w:val="20"/>
  </w:num>
  <w:num w:numId="25" w16cid:durableId="11690623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5660"/>
    <w:rsid w:val="000063E0"/>
    <w:rsid w:val="0001083E"/>
    <w:rsid w:val="00010B9B"/>
    <w:rsid w:val="000134D5"/>
    <w:rsid w:val="00016F78"/>
    <w:rsid w:val="00030B1D"/>
    <w:rsid w:val="000353BD"/>
    <w:rsid w:val="000401ED"/>
    <w:rsid w:val="000468A1"/>
    <w:rsid w:val="00046945"/>
    <w:rsid w:val="00061B2A"/>
    <w:rsid w:val="000711CF"/>
    <w:rsid w:val="00076D52"/>
    <w:rsid w:val="00080B1D"/>
    <w:rsid w:val="00082362"/>
    <w:rsid w:val="0008387D"/>
    <w:rsid w:val="00085031"/>
    <w:rsid w:val="000866ED"/>
    <w:rsid w:val="00087566"/>
    <w:rsid w:val="0009079C"/>
    <w:rsid w:val="000A1514"/>
    <w:rsid w:val="000A1642"/>
    <w:rsid w:val="000A66E5"/>
    <w:rsid w:val="000A683E"/>
    <w:rsid w:val="000B0D04"/>
    <w:rsid w:val="000B0FAA"/>
    <w:rsid w:val="000B19B9"/>
    <w:rsid w:val="000B27F0"/>
    <w:rsid w:val="000C013D"/>
    <w:rsid w:val="000C5A9E"/>
    <w:rsid w:val="000C76CD"/>
    <w:rsid w:val="000D0334"/>
    <w:rsid w:val="000D1DC8"/>
    <w:rsid w:val="000D4734"/>
    <w:rsid w:val="000D5DA7"/>
    <w:rsid w:val="000E6E2C"/>
    <w:rsid w:val="000F01E9"/>
    <w:rsid w:val="000F078F"/>
    <w:rsid w:val="000F3444"/>
    <w:rsid w:val="000F3E03"/>
    <w:rsid w:val="000F512E"/>
    <w:rsid w:val="000F6486"/>
    <w:rsid w:val="000F7FD4"/>
    <w:rsid w:val="00105C57"/>
    <w:rsid w:val="00105E1D"/>
    <w:rsid w:val="001161CA"/>
    <w:rsid w:val="001168F2"/>
    <w:rsid w:val="00116940"/>
    <w:rsid w:val="00125105"/>
    <w:rsid w:val="00127233"/>
    <w:rsid w:val="001328F3"/>
    <w:rsid w:val="00134724"/>
    <w:rsid w:val="001428DC"/>
    <w:rsid w:val="00151D59"/>
    <w:rsid w:val="001521B3"/>
    <w:rsid w:val="0015699B"/>
    <w:rsid w:val="00165609"/>
    <w:rsid w:val="00171640"/>
    <w:rsid w:val="00172FEF"/>
    <w:rsid w:val="00174D6E"/>
    <w:rsid w:val="00180954"/>
    <w:rsid w:val="0018679F"/>
    <w:rsid w:val="0019045D"/>
    <w:rsid w:val="00192805"/>
    <w:rsid w:val="0019787F"/>
    <w:rsid w:val="001A33BF"/>
    <w:rsid w:val="001A35A7"/>
    <w:rsid w:val="001A5968"/>
    <w:rsid w:val="001B24C7"/>
    <w:rsid w:val="001B49B3"/>
    <w:rsid w:val="001C1EB2"/>
    <w:rsid w:val="001C5AE4"/>
    <w:rsid w:val="001C61B3"/>
    <w:rsid w:val="001D02CC"/>
    <w:rsid w:val="001D16E0"/>
    <w:rsid w:val="001D64AE"/>
    <w:rsid w:val="001E2E05"/>
    <w:rsid w:val="001E4177"/>
    <w:rsid w:val="001E6ADA"/>
    <w:rsid w:val="001F0B24"/>
    <w:rsid w:val="001F243C"/>
    <w:rsid w:val="001F5903"/>
    <w:rsid w:val="001F5DD0"/>
    <w:rsid w:val="001F7DC6"/>
    <w:rsid w:val="00201935"/>
    <w:rsid w:val="002022E0"/>
    <w:rsid w:val="00207466"/>
    <w:rsid w:val="00211A12"/>
    <w:rsid w:val="00211E12"/>
    <w:rsid w:val="00212AD1"/>
    <w:rsid w:val="00216E4C"/>
    <w:rsid w:val="00217FCA"/>
    <w:rsid w:val="002209DE"/>
    <w:rsid w:val="0022400B"/>
    <w:rsid w:val="0023515D"/>
    <w:rsid w:val="002421BB"/>
    <w:rsid w:val="00242F3E"/>
    <w:rsid w:val="00253436"/>
    <w:rsid w:val="002543AD"/>
    <w:rsid w:val="0025796E"/>
    <w:rsid w:val="0026018C"/>
    <w:rsid w:val="00261EDF"/>
    <w:rsid w:val="0026324D"/>
    <w:rsid w:val="00265065"/>
    <w:rsid w:val="0026579C"/>
    <w:rsid w:val="002707A2"/>
    <w:rsid w:val="00275482"/>
    <w:rsid w:val="00277C07"/>
    <w:rsid w:val="0028778F"/>
    <w:rsid w:val="00291AD4"/>
    <w:rsid w:val="00294ADE"/>
    <w:rsid w:val="002951A0"/>
    <w:rsid w:val="002962BC"/>
    <w:rsid w:val="002975A4"/>
    <w:rsid w:val="002A093D"/>
    <w:rsid w:val="002A0DD0"/>
    <w:rsid w:val="002A49AC"/>
    <w:rsid w:val="002A64FD"/>
    <w:rsid w:val="002B0B56"/>
    <w:rsid w:val="002B730F"/>
    <w:rsid w:val="002C7A84"/>
    <w:rsid w:val="002E05EF"/>
    <w:rsid w:val="002E14D6"/>
    <w:rsid w:val="002E2BF8"/>
    <w:rsid w:val="002E4FD9"/>
    <w:rsid w:val="002F0847"/>
    <w:rsid w:val="002F2B42"/>
    <w:rsid w:val="0030657A"/>
    <w:rsid w:val="00311FF5"/>
    <w:rsid w:val="003136DC"/>
    <w:rsid w:val="003156BF"/>
    <w:rsid w:val="00316053"/>
    <w:rsid w:val="00322A85"/>
    <w:rsid w:val="00322C00"/>
    <w:rsid w:val="00322D77"/>
    <w:rsid w:val="00324168"/>
    <w:rsid w:val="00330834"/>
    <w:rsid w:val="003332A8"/>
    <w:rsid w:val="003448F4"/>
    <w:rsid w:val="003475FC"/>
    <w:rsid w:val="003512DE"/>
    <w:rsid w:val="00351F93"/>
    <w:rsid w:val="0037228E"/>
    <w:rsid w:val="00374F5E"/>
    <w:rsid w:val="003769E1"/>
    <w:rsid w:val="00377E3E"/>
    <w:rsid w:val="00381BAB"/>
    <w:rsid w:val="003878B3"/>
    <w:rsid w:val="003A26B0"/>
    <w:rsid w:val="003A779E"/>
    <w:rsid w:val="003B0DFC"/>
    <w:rsid w:val="003C0ED7"/>
    <w:rsid w:val="003D0F4D"/>
    <w:rsid w:val="003D3FF4"/>
    <w:rsid w:val="003D494E"/>
    <w:rsid w:val="003D5B0D"/>
    <w:rsid w:val="003E0499"/>
    <w:rsid w:val="003E4915"/>
    <w:rsid w:val="003E4C37"/>
    <w:rsid w:val="003E4F80"/>
    <w:rsid w:val="003E6439"/>
    <w:rsid w:val="003E7DF4"/>
    <w:rsid w:val="003F18C5"/>
    <w:rsid w:val="003F1FD8"/>
    <w:rsid w:val="003F3941"/>
    <w:rsid w:val="00403388"/>
    <w:rsid w:val="00403EFA"/>
    <w:rsid w:val="0040494E"/>
    <w:rsid w:val="00406575"/>
    <w:rsid w:val="004140B3"/>
    <w:rsid w:val="00414C74"/>
    <w:rsid w:val="00416706"/>
    <w:rsid w:val="0042722E"/>
    <w:rsid w:val="0044528D"/>
    <w:rsid w:val="00451137"/>
    <w:rsid w:val="00452650"/>
    <w:rsid w:val="004555EA"/>
    <w:rsid w:val="0045785F"/>
    <w:rsid w:val="00464ACB"/>
    <w:rsid w:val="00466E39"/>
    <w:rsid w:val="004768AE"/>
    <w:rsid w:val="00484E40"/>
    <w:rsid w:val="0048787A"/>
    <w:rsid w:val="00492A06"/>
    <w:rsid w:val="00492C4A"/>
    <w:rsid w:val="00494F04"/>
    <w:rsid w:val="004A0841"/>
    <w:rsid w:val="004A0A0B"/>
    <w:rsid w:val="004A0E5C"/>
    <w:rsid w:val="004A1847"/>
    <w:rsid w:val="004A305D"/>
    <w:rsid w:val="004B3DAC"/>
    <w:rsid w:val="004B5C63"/>
    <w:rsid w:val="004B73B9"/>
    <w:rsid w:val="004C0DBB"/>
    <w:rsid w:val="004D2267"/>
    <w:rsid w:val="004D2B6F"/>
    <w:rsid w:val="004E2B92"/>
    <w:rsid w:val="004F21C4"/>
    <w:rsid w:val="004F685F"/>
    <w:rsid w:val="005000A1"/>
    <w:rsid w:val="00503361"/>
    <w:rsid w:val="005062AF"/>
    <w:rsid w:val="00513BF7"/>
    <w:rsid w:val="00515A4E"/>
    <w:rsid w:val="00515F6A"/>
    <w:rsid w:val="00517955"/>
    <w:rsid w:val="005229DB"/>
    <w:rsid w:val="00524422"/>
    <w:rsid w:val="00534886"/>
    <w:rsid w:val="005365D9"/>
    <w:rsid w:val="00536A0E"/>
    <w:rsid w:val="0055262A"/>
    <w:rsid w:val="00553040"/>
    <w:rsid w:val="005566E8"/>
    <w:rsid w:val="00560892"/>
    <w:rsid w:val="005648EC"/>
    <w:rsid w:val="00570B00"/>
    <w:rsid w:val="00572622"/>
    <w:rsid w:val="00573280"/>
    <w:rsid w:val="005746D5"/>
    <w:rsid w:val="00574867"/>
    <w:rsid w:val="00591460"/>
    <w:rsid w:val="00592C94"/>
    <w:rsid w:val="005A2CAB"/>
    <w:rsid w:val="005A4AF9"/>
    <w:rsid w:val="005A5114"/>
    <w:rsid w:val="005A52A7"/>
    <w:rsid w:val="005A57A5"/>
    <w:rsid w:val="005A65E0"/>
    <w:rsid w:val="005C0881"/>
    <w:rsid w:val="005C2EA8"/>
    <w:rsid w:val="005C3777"/>
    <w:rsid w:val="005C5CDC"/>
    <w:rsid w:val="005D2566"/>
    <w:rsid w:val="005D476C"/>
    <w:rsid w:val="005D7628"/>
    <w:rsid w:val="005F20A4"/>
    <w:rsid w:val="00600D92"/>
    <w:rsid w:val="00603C5B"/>
    <w:rsid w:val="00611CE6"/>
    <w:rsid w:val="006137E1"/>
    <w:rsid w:val="00615105"/>
    <w:rsid w:val="00617200"/>
    <w:rsid w:val="00617E91"/>
    <w:rsid w:val="006200BF"/>
    <w:rsid w:val="0062143E"/>
    <w:rsid w:val="006219F8"/>
    <w:rsid w:val="00624A89"/>
    <w:rsid w:val="00624EEC"/>
    <w:rsid w:val="006302F7"/>
    <w:rsid w:val="00632959"/>
    <w:rsid w:val="00640441"/>
    <w:rsid w:val="00646B9F"/>
    <w:rsid w:val="00646F24"/>
    <w:rsid w:val="006547C3"/>
    <w:rsid w:val="00660C46"/>
    <w:rsid w:val="00662087"/>
    <w:rsid w:val="00663A04"/>
    <w:rsid w:val="00665D70"/>
    <w:rsid w:val="00672499"/>
    <w:rsid w:val="00684F67"/>
    <w:rsid w:val="0068758B"/>
    <w:rsid w:val="006900D9"/>
    <w:rsid w:val="00696960"/>
    <w:rsid w:val="0069741A"/>
    <w:rsid w:val="006A2BE4"/>
    <w:rsid w:val="006A6BF4"/>
    <w:rsid w:val="006B4707"/>
    <w:rsid w:val="006C38A9"/>
    <w:rsid w:val="006D13BA"/>
    <w:rsid w:val="006D1D21"/>
    <w:rsid w:val="006D2B34"/>
    <w:rsid w:val="006D591D"/>
    <w:rsid w:val="006D64EE"/>
    <w:rsid w:val="006E3854"/>
    <w:rsid w:val="006F2238"/>
    <w:rsid w:val="006F4199"/>
    <w:rsid w:val="007009D7"/>
    <w:rsid w:val="007025D7"/>
    <w:rsid w:val="00706C16"/>
    <w:rsid w:val="0071557C"/>
    <w:rsid w:val="00720597"/>
    <w:rsid w:val="00722A5A"/>
    <w:rsid w:val="00723639"/>
    <w:rsid w:val="00731F30"/>
    <w:rsid w:val="00733C96"/>
    <w:rsid w:val="007340C3"/>
    <w:rsid w:val="007344B2"/>
    <w:rsid w:val="007345D5"/>
    <w:rsid w:val="0073510E"/>
    <w:rsid w:val="00741631"/>
    <w:rsid w:val="007458D3"/>
    <w:rsid w:val="00751DE8"/>
    <w:rsid w:val="0075235A"/>
    <w:rsid w:val="00752CDB"/>
    <w:rsid w:val="0075557D"/>
    <w:rsid w:val="00756841"/>
    <w:rsid w:val="007649AB"/>
    <w:rsid w:val="0076653D"/>
    <w:rsid w:val="00771AEF"/>
    <w:rsid w:val="00771D0C"/>
    <w:rsid w:val="00782ED2"/>
    <w:rsid w:val="007833AC"/>
    <w:rsid w:val="007853FB"/>
    <w:rsid w:val="00795086"/>
    <w:rsid w:val="007A037B"/>
    <w:rsid w:val="007A1830"/>
    <w:rsid w:val="007A2615"/>
    <w:rsid w:val="007B268C"/>
    <w:rsid w:val="007B7171"/>
    <w:rsid w:val="007C0C0F"/>
    <w:rsid w:val="007C3DC2"/>
    <w:rsid w:val="007C4353"/>
    <w:rsid w:val="007D3058"/>
    <w:rsid w:val="007D4B12"/>
    <w:rsid w:val="007E43AC"/>
    <w:rsid w:val="007E5497"/>
    <w:rsid w:val="00803584"/>
    <w:rsid w:val="00806F5F"/>
    <w:rsid w:val="008103F6"/>
    <w:rsid w:val="00820278"/>
    <w:rsid w:val="00820488"/>
    <w:rsid w:val="0082071A"/>
    <w:rsid w:val="008258C9"/>
    <w:rsid w:val="00830893"/>
    <w:rsid w:val="00833286"/>
    <w:rsid w:val="00836232"/>
    <w:rsid w:val="00841E29"/>
    <w:rsid w:val="008440A2"/>
    <w:rsid w:val="00844AE9"/>
    <w:rsid w:val="00845EF6"/>
    <w:rsid w:val="0085545E"/>
    <w:rsid w:val="00857CF9"/>
    <w:rsid w:val="00867E8A"/>
    <w:rsid w:val="00867F95"/>
    <w:rsid w:val="00871AAC"/>
    <w:rsid w:val="00875356"/>
    <w:rsid w:val="008753FD"/>
    <w:rsid w:val="00876B28"/>
    <w:rsid w:val="008843B6"/>
    <w:rsid w:val="00886410"/>
    <w:rsid w:val="00891928"/>
    <w:rsid w:val="00891A0E"/>
    <w:rsid w:val="008A2B6F"/>
    <w:rsid w:val="008A3BF4"/>
    <w:rsid w:val="008A446D"/>
    <w:rsid w:val="008B0D0F"/>
    <w:rsid w:val="008B25F1"/>
    <w:rsid w:val="008C11FD"/>
    <w:rsid w:val="008C4DD5"/>
    <w:rsid w:val="008C517A"/>
    <w:rsid w:val="008C6AE5"/>
    <w:rsid w:val="008C7B44"/>
    <w:rsid w:val="008C7DA5"/>
    <w:rsid w:val="008D1660"/>
    <w:rsid w:val="008D180B"/>
    <w:rsid w:val="008D1C25"/>
    <w:rsid w:val="008D539F"/>
    <w:rsid w:val="008F0EA7"/>
    <w:rsid w:val="008F17DC"/>
    <w:rsid w:val="008F4334"/>
    <w:rsid w:val="008F553F"/>
    <w:rsid w:val="008F5838"/>
    <w:rsid w:val="008F6705"/>
    <w:rsid w:val="00901213"/>
    <w:rsid w:val="009026A9"/>
    <w:rsid w:val="009037F6"/>
    <w:rsid w:val="00904F32"/>
    <w:rsid w:val="0091143C"/>
    <w:rsid w:val="00917048"/>
    <w:rsid w:val="00920817"/>
    <w:rsid w:val="00922205"/>
    <w:rsid w:val="00923EEF"/>
    <w:rsid w:val="00933E3F"/>
    <w:rsid w:val="009378E3"/>
    <w:rsid w:val="009419F9"/>
    <w:rsid w:val="009450F4"/>
    <w:rsid w:val="0094710A"/>
    <w:rsid w:val="0094744A"/>
    <w:rsid w:val="009500D5"/>
    <w:rsid w:val="0095685E"/>
    <w:rsid w:val="00961B09"/>
    <w:rsid w:val="00963E12"/>
    <w:rsid w:val="00964321"/>
    <w:rsid w:val="00965334"/>
    <w:rsid w:val="0097093E"/>
    <w:rsid w:val="009722DE"/>
    <w:rsid w:val="00982C25"/>
    <w:rsid w:val="00984DB3"/>
    <w:rsid w:val="00992E19"/>
    <w:rsid w:val="00997AFF"/>
    <w:rsid w:val="009A0486"/>
    <w:rsid w:val="009A0DFA"/>
    <w:rsid w:val="009A3A4C"/>
    <w:rsid w:val="009B200B"/>
    <w:rsid w:val="009B28B9"/>
    <w:rsid w:val="009B2D26"/>
    <w:rsid w:val="009B4B7C"/>
    <w:rsid w:val="009C71FA"/>
    <w:rsid w:val="009C72E7"/>
    <w:rsid w:val="009C7F7E"/>
    <w:rsid w:val="009D10AE"/>
    <w:rsid w:val="009D23F2"/>
    <w:rsid w:val="009D3058"/>
    <w:rsid w:val="009E1F28"/>
    <w:rsid w:val="009E6924"/>
    <w:rsid w:val="009E7AED"/>
    <w:rsid w:val="009F3A13"/>
    <w:rsid w:val="009F4B67"/>
    <w:rsid w:val="009F7A6E"/>
    <w:rsid w:val="00A0334B"/>
    <w:rsid w:val="00A0526C"/>
    <w:rsid w:val="00A05BC5"/>
    <w:rsid w:val="00A06E95"/>
    <w:rsid w:val="00A076A6"/>
    <w:rsid w:val="00A122D3"/>
    <w:rsid w:val="00A14468"/>
    <w:rsid w:val="00A17F13"/>
    <w:rsid w:val="00A20739"/>
    <w:rsid w:val="00A23AF9"/>
    <w:rsid w:val="00A31A76"/>
    <w:rsid w:val="00A32D67"/>
    <w:rsid w:val="00A33C78"/>
    <w:rsid w:val="00A53338"/>
    <w:rsid w:val="00A53EB1"/>
    <w:rsid w:val="00A54DC9"/>
    <w:rsid w:val="00A61436"/>
    <w:rsid w:val="00A73F45"/>
    <w:rsid w:val="00A8776C"/>
    <w:rsid w:val="00AA1511"/>
    <w:rsid w:val="00AA1E47"/>
    <w:rsid w:val="00AB0ADB"/>
    <w:rsid w:val="00AB436E"/>
    <w:rsid w:val="00AC1696"/>
    <w:rsid w:val="00AD173A"/>
    <w:rsid w:val="00AD6FC3"/>
    <w:rsid w:val="00AD7D5F"/>
    <w:rsid w:val="00AE0641"/>
    <w:rsid w:val="00AE1F6E"/>
    <w:rsid w:val="00AE2BC7"/>
    <w:rsid w:val="00AE3513"/>
    <w:rsid w:val="00AE5023"/>
    <w:rsid w:val="00AE5DD2"/>
    <w:rsid w:val="00AF5A10"/>
    <w:rsid w:val="00B00C0E"/>
    <w:rsid w:val="00B01B1A"/>
    <w:rsid w:val="00B04DA1"/>
    <w:rsid w:val="00B107DB"/>
    <w:rsid w:val="00B11075"/>
    <w:rsid w:val="00B206B6"/>
    <w:rsid w:val="00B234CF"/>
    <w:rsid w:val="00B35656"/>
    <w:rsid w:val="00B35DDD"/>
    <w:rsid w:val="00B37EB5"/>
    <w:rsid w:val="00B44A47"/>
    <w:rsid w:val="00B54271"/>
    <w:rsid w:val="00B5550F"/>
    <w:rsid w:val="00B6149C"/>
    <w:rsid w:val="00B63FC5"/>
    <w:rsid w:val="00B64484"/>
    <w:rsid w:val="00B71FD5"/>
    <w:rsid w:val="00B72CD3"/>
    <w:rsid w:val="00B72FFF"/>
    <w:rsid w:val="00B731D9"/>
    <w:rsid w:val="00B74092"/>
    <w:rsid w:val="00B74CF7"/>
    <w:rsid w:val="00B759AB"/>
    <w:rsid w:val="00B95DAC"/>
    <w:rsid w:val="00BA2EB9"/>
    <w:rsid w:val="00BA4084"/>
    <w:rsid w:val="00BA703D"/>
    <w:rsid w:val="00BC330F"/>
    <w:rsid w:val="00BC3D36"/>
    <w:rsid w:val="00BC5D42"/>
    <w:rsid w:val="00BC70CB"/>
    <w:rsid w:val="00BD13AC"/>
    <w:rsid w:val="00BD54A6"/>
    <w:rsid w:val="00BD7F72"/>
    <w:rsid w:val="00BF056C"/>
    <w:rsid w:val="00BF112D"/>
    <w:rsid w:val="00BF3B66"/>
    <w:rsid w:val="00BF5C08"/>
    <w:rsid w:val="00BF7425"/>
    <w:rsid w:val="00C04FB3"/>
    <w:rsid w:val="00C11D8B"/>
    <w:rsid w:val="00C1215D"/>
    <w:rsid w:val="00C1350D"/>
    <w:rsid w:val="00C2359C"/>
    <w:rsid w:val="00C251B0"/>
    <w:rsid w:val="00C330EB"/>
    <w:rsid w:val="00C33F4F"/>
    <w:rsid w:val="00C4112A"/>
    <w:rsid w:val="00C419DF"/>
    <w:rsid w:val="00C45A56"/>
    <w:rsid w:val="00C50D69"/>
    <w:rsid w:val="00C5365C"/>
    <w:rsid w:val="00C619D4"/>
    <w:rsid w:val="00C61D93"/>
    <w:rsid w:val="00C738EE"/>
    <w:rsid w:val="00C7520B"/>
    <w:rsid w:val="00C754BE"/>
    <w:rsid w:val="00C76B1C"/>
    <w:rsid w:val="00C82667"/>
    <w:rsid w:val="00C90C96"/>
    <w:rsid w:val="00C925AC"/>
    <w:rsid w:val="00C94828"/>
    <w:rsid w:val="00C963BE"/>
    <w:rsid w:val="00C96B64"/>
    <w:rsid w:val="00CA2858"/>
    <w:rsid w:val="00CB02F1"/>
    <w:rsid w:val="00CB4CE6"/>
    <w:rsid w:val="00CB6357"/>
    <w:rsid w:val="00CB6FF3"/>
    <w:rsid w:val="00CC1B26"/>
    <w:rsid w:val="00CC2F6F"/>
    <w:rsid w:val="00CC5E70"/>
    <w:rsid w:val="00CD47CD"/>
    <w:rsid w:val="00CD4C85"/>
    <w:rsid w:val="00CD4D52"/>
    <w:rsid w:val="00CD7FA1"/>
    <w:rsid w:val="00CE3C1C"/>
    <w:rsid w:val="00CE4026"/>
    <w:rsid w:val="00D05ED6"/>
    <w:rsid w:val="00D06146"/>
    <w:rsid w:val="00D0699E"/>
    <w:rsid w:val="00D1210B"/>
    <w:rsid w:val="00D12F8B"/>
    <w:rsid w:val="00D222C0"/>
    <w:rsid w:val="00D22D2B"/>
    <w:rsid w:val="00D30508"/>
    <w:rsid w:val="00D334DD"/>
    <w:rsid w:val="00D34EA3"/>
    <w:rsid w:val="00D361FD"/>
    <w:rsid w:val="00D423A2"/>
    <w:rsid w:val="00D44E26"/>
    <w:rsid w:val="00D51A5D"/>
    <w:rsid w:val="00D520D8"/>
    <w:rsid w:val="00D532D4"/>
    <w:rsid w:val="00D552A0"/>
    <w:rsid w:val="00D56F8A"/>
    <w:rsid w:val="00D62B9C"/>
    <w:rsid w:val="00D63AC2"/>
    <w:rsid w:val="00D64111"/>
    <w:rsid w:val="00D64AFC"/>
    <w:rsid w:val="00D72D0B"/>
    <w:rsid w:val="00D7383B"/>
    <w:rsid w:val="00D73DBD"/>
    <w:rsid w:val="00D7541C"/>
    <w:rsid w:val="00D76E7C"/>
    <w:rsid w:val="00D7788A"/>
    <w:rsid w:val="00D82A30"/>
    <w:rsid w:val="00D85F06"/>
    <w:rsid w:val="00D936A2"/>
    <w:rsid w:val="00DA1F04"/>
    <w:rsid w:val="00DA231B"/>
    <w:rsid w:val="00DB13F4"/>
    <w:rsid w:val="00DB55DA"/>
    <w:rsid w:val="00DB6DDE"/>
    <w:rsid w:val="00DC1EFB"/>
    <w:rsid w:val="00DC39FC"/>
    <w:rsid w:val="00DC7CCB"/>
    <w:rsid w:val="00DE0870"/>
    <w:rsid w:val="00DE18D0"/>
    <w:rsid w:val="00DE6EC3"/>
    <w:rsid w:val="00DE7692"/>
    <w:rsid w:val="00DF5254"/>
    <w:rsid w:val="00E02524"/>
    <w:rsid w:val="00E05E98"/>
    <w:rsid w:val="00E1159D"/>
    <w:rsid w:val="00E1449C"/>
    <w:rsid w:val="00E1451E"/>
    <w:rsid w:val="00E16408"/>
    <w:rsid w:val="00E20894"/>
    <w:rsid w:val="00E22DC2"/>
    <w:rsid w:val="00E23233"/>
    <w:rsid w:val="00E245AB"/>
    <w:rsid w:val="00E27341"/>
    <w:rsid w:val="00E2764C"/>
    <w:rsid w:val="00E27EDD"/>
    <w:rsid w:val="00E27F2E"/>
    <w:rsid w:val="00E306D6"/>
    <w:rsid w:val="00E31225"/>
    <w:rsid w:val="00E501E7"/>
    <w:rsid w:val="00E50AFE"/>
    <w:rsid w:val="00E523D5"/>
    <w:rsid w:val="00E57176"/>
    <w:rsid w:val="00E577E2"/>
    <w:rsid w:val="00E615C4"/>
    <w:rsid w:val="00E71E1B"/>
    <w:rsid w:val="00E75C92"/>
    <w:rsid w:val="00E771DC"/>
    <w:rsid w:val="00E80101"/>
    <w:rsid w:val="00E8772A"/>
    <w:rsid w:val="00E90C80"/>
    <w:rsid w:val="00E90F6B"/>
    <w:rsid w:val="00E91AED"/>
    <w:rsid w:val="00E92C27"/>
    <w:rsid w:val="00E96B5C"/>
    <w:rsid w:val="00EA0E3D"/>
    <w:rsid w:val="00EA0EC9"/>
    <w:rsid w:val="00EA0FBD"/>
    <w:rsid w:val="00EA2DC0"/>
    <w:rsid w:val="00EA426C"/>
    <w:rsid w:val="00EA677F"/>
    <w:rsid w:val="00EB224C"/>
    <w:rsid w:val="00EB7BC0"/>
    <w:rsid w:val="00EC006D"/>
    <w:rsid w:val="00EC0844"/>
    <w:rsid w:val="00EC297F"/>
    <w:rsid w:val="00EC38A7"/>
    <w:rsid w:val="00ED44D6"/>
    <w:rsid w:val="00ED4980"/>
    <w:rsid w:val="00ED5120"/>
    <w:rsid w:val="00EE0E1C"/>
    <w:rsid w:val="00EE1AA8"/>
    <w:rsid w:val="00EE265D"/>
    <w:rsid w:val="00EE3D99"/>
    <w:rsid w:val="00EF1D4F"/>
    <w:rsid w:val="00EF4E4B"/>
    <w:rsid w:val="00EF4E7D"/>
    <w:rsid w:val="00EF5E13"/>
    <w:rsid w:val="00EF647F"/>
    <w:rsid w:val="00F03314"/>
    <w:rsid w:val="00F0580C"/>
    <w:rsid w:val="00F23FEA"/>
    <w:rsid w:val="00F27B7B"/>
    <w:rsid w:val="00F3172F"/>
    <w:rsid w:val="00F31EDC"/>
    <w:rsid w:val="00F34294"/>
    <w:rsid w:val="00F3642F"/>
    <w:rsid w:val="00F462B3"/>
    <w:rsid w:val="00F5664F"/>
    <w:rsid w:val="00F602E0"/>
    <w:rsid w:val="00F666C4"/>
    <w:rsid w:val="00F76AFC"/>
    <w:rsid w:val="00F81BF0"/>
    <w:rsid w:val="00F825DA"/>
    <w:rsid w:val="00F82E88"/>
    <w:rsid w:val="00F85CEC"/>
    <w:rsid w:val="00F86E11"/>
    <w:rsid w:val="00F86E3E"/>
    <w:rsid w:val="00F95C74"/>
    <w:rsid w:val="00FA1B40"/>
    <w:rsid w:val="00FA47C0"/>
    <w:rsid w:val="00FA5FFD"/>
    <w:rsid w:val="00FB33A2"/>
    <w:rsid w:val="00FB5DD1"/>
    <w:rsid w:val="00FC2B5D"/>
    <w:rsid w:val="00FC4C8C"/>
    <w:rsid w:val="00FC65D3"/>
    <w:rsid w:val="00FD1DDC"/>
    <w:rsid w:val="00FD2D1F"/>
    <w:rsid w:val="00FD3AD2"/>
    <w:rsid w:val="00FD4AD8"/>
    <w:rsid w:val="00FD59D3"/>
    <w:rsid w:val="00FE269E"/>
    <w:rsid w:val="00FF1449"/>
    <w:rsid w:val="00FF227D"/>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99099"/>
  <w15:chartTrackingRefBased/>
  <w15:docId w15:val="{58568B41-9065-4DE9-BFEA-A2F366019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8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DB13F4"/>
    <w:rPr>
      <w:color w:val="605E5C"/>
      <w:shd w:val="clear" w:color="auto" w:fill="E1DFDD"/>
    </w:rPr>
  </w:style>
  <w:style w:type="paragraph" w:styleId="Textoindependiente">
    <w:name w:val="Body Text"/>
    <w:basedOn w:val="Normal"/>
    <w:link w:val="TextoindependienteCar"/>
    <w:uiPriority w:val="1"/>
    <w:unhideWhenUsed/>
    <w:qFormat/>
    <w:rsid w:val="00B234CF"/>
    <w:pPr>
      <w:spacing w:after="120"/>
    </w:pPr>
  </w:style>
  <w:style w:type="character" w:customStyle="1" w:styleId="TextoindependienteCar">
    <w:name w:val="Texto independiente Car"/>
    <w:basedOn w:val="Fuentedeprrafopredeter"/>
    <w:link w:val="Textoindependiente"/>
    <w:uiPriority w:val="1"/>
    <w:rsid w:val="00B234CF"/>
  </w:style>
  <w:style w:type="character" w:styleId="Mencinsinresolver">
    <w:name w:val="Unresolved Mention"/>
    <w:basedOn w:val="Fuentedeprrafopredeter"/>
    <w:uiPriority w:val="99"/>
    <w:semiHidden/>
    <w:unhideWhenUsed/>
    <w:rsid w:val="00BF112D"/>
    <w:rPr>
      <w:color w:val="605E5C"/>
      <w:shd w:val="clear" w:color="auto" w:fill="E1DFDD"/>
    </w:rPr>
  </w:style>
  <w:style w:type="character" w:customStyle="1" w:styleId="s15">
    <w:name w:val="s15"/>
    <w:basedOn w:val="Fuentedeprrafopredeter"/>
    <w:rsid w:val="00922205"/>
  </w:style>
  <w:style w:type="character" w:customStyle="1" w:styleId="NormalWebCar">
    <w:name w:val="Normal (Web) Car"/>
    <w:link w:val="NormalWeb"/>
    <w:uiPriority w:val="99"/>
    <w:rsid w:val="003D3FF4"/>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40">
      <w:bodyDiv w:val="1"/>
      <w:marLeft w:val="0"/>
      <w:marRight w:val="0"/>
      <w:marTop w:val="0"/>
      <w:marBottom w:val="0"/>
      <w:divBdr>
        <w:top w:val="none" w:sz="0" w:space="0" w:color="auto"/>
        <w:left w:val="none" w:sz="0" w:space="0" w:color="auto"/>
        <w:bottom w:val="none" w:sz="0" w:space="0" w:color="auto"/>
        <w:right w:val="none" w:sz="0" w:space="0" w:color="auto"/>
      </w:divBdr>
      <w:divsChild>
        <w:div w:id="258880311">
          <w:marLeft w:val="0"/>
          <w:marRight w:val="0"/>
          <w:marTop w:val="0"/>
          <w:marBottom w:val="0"/>
          <w:divBdr>
            <w:top w:val="none" w:sz="0" w:space="0" w:color="auto"/>
            <w:left w:val="none" w:sz="0" w:space="0" w:color="auto"/>
            <w:bottom w:val="none" w:sz="0" w:space="0" w:color="auto"/>
            <w:right w:val="none" w:sz="0" w:space="0" w:color="auto"/>
          </w:divBdr>
          <w:divsChild>
            <w:div w:id="1294941058">
              <w:marLeft w:val="0"/>
              <w:marRight w:val="0"/>
              <w:marTop w:val="0"/>
              <w:marBottom w:val="0"/>
              <w:divBdr>
                <w:top w:val="none" w:sz="0" w:space="0" w:color="auto"/>
                <w:left w:val="none" w:sz="0" w:space="0" w:color="auto"/>
                <w:bottom w:val="none" w:sz="0" w:space="0" w:color="auto"/>
                <w:right w:val="none" w:sz="0" w:space="0" w:color="auto"/>
              </w:divBdr>
              <w:divsChild>
                <w:div w:id="337932334">
                  <w:marLeft w:val="0"/>
                  <w:marRight w:val="0"/>
                  <w:marTop w:val="0"/>
                  <w:marBottom w:val="0"/>
                  <w:divBdr>
                    <w:top w:val="none" w:sz="0" w:space="0" w:color="auto"/>
                    <w:left w:val="none" w:sz="0" w:space="0" w:color="auto"/>
                    <w:bottom w:val="none" w:sz="0" w:space="0" w:color="auto"/>
                    <w:right w:val="none" w:sz="0" w:space="0" w:color="auto"/>
                  </w:divBdr>
                  <w:divsChild>
                    <w:div w:id="9084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659191">
          <w:marLeft w:val="0"/>
          <w:marRight w:val="0"/>
          <w:marTop w:val="0"/>
          <w:marBottom w:val="0"/>
          <w:divBdr>
            <w:top w:val="none" w:sz="0" w:space="0" w:color="auto"/>
            <w:left w:val="none" w:sz="0" w:space="0" w:color="auto"/>
            <w:bottom w:val="none" w:sz="0" w:space="0" w:color="auto"/>
            <w:right w:val="none" w:sz="0" w:space="0" w:color="auto"/>
          </w:divBdr>
        </w:div>
      </w:divsChild>
    </w:div>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298808619">
      <w:bodyDiv w:val="1"/>
      <w:marLeft w:val="0"/>
      <w:marRight w:val="0"/>
      <w:marTop w:val="0"/>
      <w:marBottom w:val="0"/>
      <w:divBdr>
        <w:top w:val="none" w:sz="0" w:space="0" w:color="auto"/>
        <w:left w:val="none" w:sz="0" w:space="0" w:color="auto"/>
        <w:bottom w:val="none" w:sz="0" w:space="0" w:color="auto"/>
        <w:right w:val="none" w:sz="0" w:space="0" w:color="auto"/>
      </w:divBdr>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42011055">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1898738708">
      <w:bodyDiv w:val="1"/>
      <w:marLeft w:val="0"/>
      <w:marRight w:val="0"/>
      <w:marTop w:val="0"/>
      <w:marBottom w:val="0"/>
      <w:divBdr>
        <w:top w:val="none" w:sz="0" w:space="0" w:color="auto"/>
        <w:left w:val="none" w:sz="0" w:space="0" w:color="auto"/>
        <w:bottom w:val="none" w:sz="0" w:space="0" w:color="auto"/>
        <w:right w:val="none" w:sz="0" w:space="0" w:color="auto"/>
      </w:divBdr>
    </w:div>
    <w:div w:id="212796031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AEECD-F7FA-4C5D-9002-6CF481A0EF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90C319D1-6F87-4601-A8E9-DF150CBA8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6125</Words>
  <Characters>33688</Characters>
  <Application>Microsoft Office Word</Application>
  <DocSecurity>0</DocSecurity>
  <Lines>280</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2026-09-04T22:06:00Z</dcterms:created>
  <dcterms:modified xsi:type="dcterms:W3CDTF">2026-09-16T22:52:00Z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