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00898" w14:textId="035A8C65" w:rsidR="002F3D4B" w:rsidRPr="002F3D4B" w:rsidRDefault="002F3D4B" w:rsidP="005212BF">
      <w:pPr>
        <w:spacing w:after="0" w:line="240" w:lineRule="auto"/>
        <w:jc w:val="both"/>
        <w:rPr>
          <w:rFonts w:ascii="Verdana" w:hAnsi="Verdana" w:cs="Arial"/>
          <w:b/>
          <w:lang w:val="es-ES" w:eastAsia="es-ES"/>
        </w:rPr>
      </w:pPr>
      <w:bookmarkStart w:id="0" w:name="_Hlk143780582"/>
      <w:r w:rsidRPr="002F3D4B">
        <w:rPr>
          <w:rFonts w:ascii="Verdana" w:hAnsi="Verdana" w:cs="Arial"/>
          <w:b/>
          <w:lang w:val="es-ES" w:eastAsia="es-ES"/>
        </w:rPr>
        <w:t>SELECCIÓN ABREVIADA –</w:t>
      </w:r>
      <w:r w:rsidR="00404A39">
        <w:rPr>
          <w:rFonts w:ascii="Verdana" w:hAnsi="Verdana" w:cs="Arial"/>
          <w:b/>
          <w:lang w:val="es-ES" w:eastAsia="es-ES"/>
        </w:rPr>
        <w:t xml:space="preserve"> </w:t>
      </w:r>
      <w:r w:rsidRPr="002F3D4B">
        <w:rPr>
          <w:rFonts w:ascii="Verdana" w:hAnsi="Verdana" w:cs="Arial"/>
          <w:b/>
          <w:lang w:val="es-ES" w:eastAsia="es-ES"/>
        </w:rPr>
        <w:t xml:space="preserve">Causal </w:t>
      </w:r>
      <w:r w:rsidR="00404A39" w:rsidRPr="00404A39">
        <w:rPr>
          <w:rFonts w:ascii="Verdana" w:hAnsi="Verdana" w:cs="Arial"/>
          <w:b/>
          <w:bCs/>
          <w:lang w:val="es-ES" w:eastAsia="es-ES"/>
        </w:rPr>
        <w:t>–</w:t>
      </w:r>
      <w:r w:rsidR="00404A39">
        <w:rPr>
          <w:rFonts w:ascii="Verdana" w:hAnsi="Verdana" w:cs="Arial"/>
          <w:b/>
          <w:bCs/>
          <w:lang w:val="es-ES" w:eastAsia="es-ES"/>
        </w:rPr>
        <w:t xml:space="preserve"> </w:t>
      </w:r>
      <w:r w:rsidRPr="002F3D4B">
        <w:rPr>
          <w:rFonts w:ascii="Verdana" w:hAnsi="Verdana" w:cs="Arial"/>
          <w:b/>
          <w:lang w:val="es-ES" w:eastAsia="es-ES"/>
        </w:rPr>
        <w:t>Bienes y servicios de características uniformes y de común utilización</w:t>
      </w:r>
    </w:p>
    <w:p w14:paraId="3FEE4F61" w14:textId="77777777" w:rsidR="00845271" w:rsidRPr="00845271" w:rsidRDefault="00845271" w:rsidP="005212BF">
      <w:pPr>
        <w:spacing w:after="0" w:line="240" w:lineRule="auto"/>
        <w:jc w:val="both"/>
        <w:rPr>
          <w:rFonts w:ascii="Verdana" w:hAnsi="Verdana" w:cs="Arial"/>
          <w:bCs/>
          <w:sz w:val="20"/>
          <w:szCs w:val="20"/>
          <w:lang w:val="es-ES_tradnl" w:eastAsia="es-ES"/>
        </w:rPr>
      </w:pPr>
    </w:p>
    <w:p w14:paraId="24DD3AA9" w14:textId="77777777" w:rsidR="00845271" w:rsidRDefault="00845271" w:rsidP="005212BF">
      <w:pPr>
        <w:spacing w:after="0" w:line="240" w:lineRule="auto"/>
        <w:jc w:val="both"/>
        <w:rPr>
          <w:rFonts w:ascii="Verdana" w:hAnsi="Verdana" w:cs="Arial"/>
          <w:bCs/>
          <w:sz w:val="20"/>
          <w:szCs w:val="20"/>
          <w:lang w:val="es-MX" w:eastAsia="es-ES"/>
        </w:rPr>
      </w:pPr>
      <w:r w:rsidRPr="00845271">
        <w:rPr>
          <w:rFonts w:ascii="Verdana" w:hAnsi="Verdana" w:cs="Arial"/>
          <w:bCs/>
          <w:sz w:val="20"/>
          <w:szCs w:val="20"/>
          <w:lang w:val="es-MX" w:eastAsia="es-ES"/>
        </w:rPr>
        <w:t>Salvo norma especial que ordene la celebración del negocio jurídico por otra modalidad de selección, debe aplicarse la regla general de licitación pública. Por ello, dependiendo del objeto o el valor de presupuesto oficial, es posible la aplicación de otros procedimientos contractuales. Estos pueden ser con pluralidad de oferentes –v. gr. la selección abreviada de menor cuantía o la mínima cuantía– o sin concurrencia de proponentes –por ejemplo, la contratación directa–.</w:t>
      </w:r>
    </w:p>
    <w:p w14:paraId="165503C3" w14:textId="77777777" w:rsidR="00845271" w:rsidRPr="00845271" w:rsidRDefault="00845271" w:rsidP="005212BF">
      <w:pPr>
        <w:spacing w:after="0" w:line="240" w:lineRule="auto"/>
        <w:jc w:val="both"/>
        <w:rPr>
          <w:rFonts w:ascii="Verdana" w:hAnsi="Verdana" w:cs="Arial"/>
          <w:bCs/>
          <w:sz w:val="20"/>
          <w:szCs w:val="20"/>
          <w:lang w:val="es-MX" w:eastAsia="es-ES"/>
        </w:rPr>
      </w:pPr>
    </w:p>
    <w:p w14:paraId="0929CD05" w14:textId="1F003275" w:rsidR="002F3D4B" w:rsidRPr="00845271" w:rsidRDefault="00845271" w:rsidP="005212BF">
      <w:pPr>
        <w:spacing w:after="0" w:line="240" w:lineRule="auto"/>
        <w:jc w:val="both"/>
        <w:rPr>
          <w:rFonts w:ascii="Verdana" w:hAnsi="Verdana" w:cs="Arial"/>
          <w:bCs/>
          <w:sz w:val="20"/>
          <w:szCs w:val="20"/>
          <w:lang w:eastAsia="es-ES"/>
        </w:rPr>
      </w:pPr>
      <w:r w:rsidRPr="00845271">
        <w:rPr>
          <w:rFonts w:ascii="Verdana" w:hAnsi="Verdana" w:cs="Arial"/>
          <w:bCs/>
          <w:sz w:val="20"/>
          <w:szCs w:val="20"/>
          <w:lang w:val="es-MX" w:eastAsia="es-ES"/>
        </w:rPr>
        <w:t xml:space="preserve">Respecto a la selección abreviada, </w:t>
      </w:r>
      <w:r w:rsidRPr="00845271">
        <w:rPr>
          <w:rFonts w:ascii="Verdana" w:hAnsi="Verdana" w:cs="Arial"/>
          <w:bCs/>
          <w:sz w:val="20"/>
          <w:szCs w:val="20"/>
          <w:lang w:eastAsia="es-ES"/>
        </w:rPr>
        <w:t xml:space="preserve">el numeral 2 del artículo 2 de la Ley 1150 de 2007 dispone: “[…] corresponde a la modalidad de selección objetiva prevista para aquellos casos en </w:t>
      </w:r>
      <w:proofErr w:type="gramStart"/>
      <w:r w:rsidRPr="00845271">
        <w:rPr>
          <w:rFonts w:ascii="Verdana" w:hAnsi="Verdana" w:cs="Arial"/>
          <w:bCs/>
          <w:sz w:val="20"/>
          <w:szCs w:val="20"/>
          <w:lang w:eastAsia="es-ES"/>
        </w:rPr>
        <w:t>que</w:t>
      </w:r>
      <w:proofErr w:type="gramEnd"/>
      <w:r w:rsidRPr="00845271">
        <w:rPr>
          <w:rFonts w:ascii="Verdana" w:hAnsi="Verdana" w:cs="Arial"/>
          <w:bCs/>
          <w:sz w:val="20"/>
          <w:szCs w:val="20"/>
          <w:lang w:eastAsia="es-ES"/>
        </w:rPr>
        <w:t xml:space="preserve"> por las características del objeto a contratar, las circunstancias de la contratación o la cuantía o destinación del bien, obra o servicio puedan adelantarse procesos simplificados para garantizar la eficiencia de la gestión contractual”, regulando cada una de las causales.</w:t>
      </w:r>
    </w:p>
    <w:p w14:paraId="3FA755D3" w14:textId="77777777" w:rsidR="00845271" w:rsidRPr="002F3D4B" w:rsidRDefault="00845271" w:rsidP="005212BF">
      <w:pPr>
        <w:spacing w:after="0" w:line="240" w:lineRule="auto"/>
        <w:jc w:val="both"/>
        <w:rPr>
          <w:rFonts w:ascii="Verdana" w:hAnsi="Verdana" w:cs="Arial"/>
          <w:b/>
          <w:lang w:val="es-ES" w:eastAsia="es-ES"/>
        </w:rPr>
      </w:pPr>
    </w:p>
    <w:p w14:paraId="357E6161" w14:textId="6C370522" w:rsidR="002F3D4B" w:rsidRPr="002F3D4B" w:rsidRDefault="002F3D4B" w:rsidP="005212BF">
      <w:pPr>
        <w:spacing w:after="0" w:line="240" w:lineRule="auto"/>
        <w:jc w:val="both"/>
        <w:rPr>
          <w:rFonts w:ascii="Verdana" w:hAnsi="Verdana" w:cs="Arial"/>
          <w:b/>
          <w:lang w:val="es-ES" w:eastAsia="es-ES"/>
        </w:rPr>
      </w:pPr>
      <w:r w:rsidRPr="002F3D4B">
        <w:rPr>
          <w:rFonts w:ascii="Verdana" w:hAnsi="Verdana" w:cs="Arial"/>
          <w:b/>
          <w:lang w:val="es-ES" w:eastAsia="es-ES"/>
        </w:rPr>
        <w:t>BIENES Y SERVICIOS DE CARACTERÍSTICAS TÉCNICAS UNIFORMES Y DE COMÚN UTILIZACIÓN</w:t>
      </w:r>
      <w:r w:rsidR="00404A39">
        <w:rPr>
          <w:rFonts w:ascii="Verdana" w:hAnsi="Verdana" w:cs="Arial"/>
          <w:b/>
          <w:lang w:val="es-ES" w:eastAsia="es-ES"/>
        </w:rPr>
        <w:t xml:space="preserve"> </w:t>
      </w:r>
      <w:r w:rsidRPr="002F3D4B">
        <w:rPr>
          <w:rFonts w:ascii="Verdana" w:hAnsi="Verdana" w:cs="Arial"/>
          <w:b/>
          <w:lang w:val="es-ES" w:eastAsia="es-ES"/>
        </w:rPr>
        <w:t>– Definición</w:t>
      </w:r>
      <w:r w:rsidR="00404A39">
        <w:rPr>
          <w:rFonts w:ascii="Verdana" w:hAnsi="Verdana" w:cs="Arial"/>
          <w:b/>
          <w:lang w:val="es-ES" w:eastAsia="es-ES"/>
        </w:rPr>
        <w:t xml:space="preserve"> </w:t>
      </w:r>
      <w:r w:rsidR="00404A39" w:rsidRPr="00404A39">
        <w:rPr>
          <w:rFonts w:ascii="Verdana" w:hAnsi="Verdana" w:cs="Arial"/>
          <w:b/>
          <w:bCs/>
          <w:lang w:val="es-ES" w:eastAsia="es-ES"/>
        </w:rPr>
        <w:t>–</w:t>
      </w:r>
      <w:r w:rsidRPr="002F3D4B">
        <w:rPr>
          <w:rFonts w:ascii="Verdana" w:hAnsi="Verdana" w:cs="Arial"/>
          <w:b/>
          <w:lang w:val="es-ES" w:eastAsia="es-ES"/>
        </w:rPr>
        <w:t xml:space="preserve"> </w:t>
      </w:r>
      <w:r w:rsidR="00404A39">
        <w:rPr>
          <w:rFonts w:ascii="Verdana" w:hAnsi="Verdana" w:cs="Arial"/>
          <w:b/>
          <w:lang w:val="es-ES" w:eastAsia="es-ES"/>
        </w:rPr>
        <w:t>C</w:t>
      </w:r>
      <w:r w:rsidRPr="002F3D4B">
        <w:rPr>
          <w:rFonts w:ascii="Verdana" w:hAnsi="Verdana" w:cs="Arial"/>
          <w:b/>
          <w:lang w:val="es-ES" w:eastAsia="es-ES"/>
        </w:rPr>
        <w:t xml:space="preserve">aracterísticas </w:t>
      </w:r>
    </w:p>
    <w:p w14:paraId="310D76A1" w14:textId="77777777" w:rsidR="002F3D4B" w:rsidRDefault="002F3D4B" w:rsidP="005212BF">
      <w:pPr>
        <w:spacing w:after="0" w:line="240" w:lineRule="auto"/>
        <w:jc w:val="both"/>
        <w:rPr>
          <w:rFonts w:ascii="Verdana" w:hAnsi="Verdana" w:cs="Arial"/>
          <w:b/>
          <w:lang w:val="es-ES" w:eastAsia="es-ES"/>
        </w:rPr>
      </w:pPr>
    </w:p>
    <w:p w14:paraId="0C30C547" w14:textId="69920016" w:rsidR="00DF3641" w:rsidRPr="00DF3641" w:rsidRDefault="00DF3641" w:rsidP="005212BF">
      <w:pPr>
        <w:spacing w:after="0" w:line="240" w:lineRule="auto"/>
        <w:jc w:val="both"/>
        <w:rPr>
          <w:rFonts w:ascii="Verdana" w:hAnsi="Verdana" w:cs="Arial"/>
          <w:bCs/>
          <w:sz w:val="20"/>
          <w:szCs w:val="20"/>
          <w:lang w:val="es-ES" w:eastAsia="es-ES"/>
        </w:rPr>
      </w:pPr>
      <w:r w:rsidRPr="00DF3641">
        <w:rPr>
          <w:rFonts w:ascii="Verdana" w:hAnsi="Verdana" w:cs="Arial"/>
          <w:bCs/>
          <w:sz w:val="20"/>
          <w:szCs w:val="20"/>
          <w:lang w:val="es-ES_tradnl" w:eastAsia="es-ES"/>
        </w:rPr>
        <w:t xml:space="preserve">De la conjunción “y” que se usa en la expresión “bienes y servicios de características técnicas uniformes y de común utilización” puede derivarse que tiene el significado 2° expresado por la Real Academia de la Lengua Española, es decir, tiene la función de formar grupos de dos o más palabras, por lo que no se excluyen dentro de la causal de selección abreviada dispuesta en la Ley 1150 de 2007. </w:t>
      </w:r>
      <w:r w:rsidRPr="00DF3641">
        <w:rPr>
          <w:rFonts w:ascii="Verdana" w:hAnsi="Verdana" w:cs="Arial"/>
          <w:bCs/>
          <w:sz w:val="20"/>
          <w:szCs w:val="20"/>
          <w:lang w:eastAsia="es-ES"/>
        </w:rPr>
        <w:t>Por ello, según el literal a) del artículo 2, numeral 2 de la Ley 1150 de 2007, los bienes y servicios de características técnicas uniformes “[…] corresponden a aquellos que poseen las mismas especificaciones técnicas, con independencia de su diseño o de sus características descriptivas, y comparten patrones de desempeño y calidad objetivamente definidos”. Asimismo, el artículo 2.2.1.1.1.3.1 del Decreto 1082 de 2015 los define como aquellos “Bienes y servicios de común utilización con especificaciones técnicas y patrones de desempeño y calidad iguales o similares, que en consecuencia pueden ser agrupados como bienes y servicios homogéneos para su adquisición y a los que se refiere el literal a) del numeral 2 del artículo 2 de la Ley 1150 de 2007”. De esta manera, conforme a las normas citadas en el párrafo precedente, prima la definición legal sobre el uso general o el significado técnico.</w:t>
      </w:r>
    </w:p>
    <w:p w14:paraId="7BA9E908" w14:textId="77777777" w:rsidR="00DF3641" w:rsidRPr="002F3D4B" w:rsidRDefault="00DF3641" w:rsidP="005212BF">
      <w:pPr>
        <w:spacing w:after="0" w:line="240" w:lineRule="auto"/>
        <w:jc w:val="both"/>
        <w:rPr>
          <w:rFonts w:ascii="Verdana" w:hAnsi="Verdana" w:cs="Arial"/>
          <w:b/>
          <w:lang w:val="es-ES" w:eastAsia="es-ES"/>
        </w:rPr>
      </w:pPr>
    </w:p>
    <w:p w14:paraId="59A557B6" w14:textId="6B16BA74" w:rsidR="002F3D4B" w:rsidRPr="002F3D4B" w:rsidRDefault="002F3D4B" w:rsidP="005212BF">
      <w:pPr>
        <w:spacing w:after="0" w:line="240" w:lineRule="auto"/>
        <w:jc w:val="both"/>
        <w:rPr>
          <w:rFonts w:ascii="Verdana" w:hAnsi="Verdana" w:cs="Arial"/>
          <w:b/>
          <w:lang w:val="es-ES" w:eastAsia="es-ES"/>
        </w:rPr>
      </w:pPr>
      <w:r w:rsidRPr="002F3D4B">
        <w:rPr>
          <w:rFonts w:ascii="Verdana" w:hAnsi="Verdana" w:cs="Arial"/>
          <w:b/>
          <w:lang w:val="es-ES" w:eastAsia="es-ES"/>
        </w:rPr>
        <w:t>BIENES Y SERVICIOS DE CARACTERÍSTICAS TÉCNICAS UNIFORMES Y DE COMÚN UTILIZACIÓN</w:t>
      </w:r>
      <w:r w:rsidR="00404A39">
        <w:rPr>
          <w:rFonts w:ascii="Verdana" w:hAnsi="Verdana" w:cs="Arial"/>
          <w:b/>
          <w:lang w:val="es-ES" w:eastAsia="es-ES"/>
        </w:rPr>
        <w:t xml:space="preserve"> </w:t>
      </w:r>
      <w:r w:rsidR="00404A39" w:rsidRPr="00404A39">
        <w:rPr>
          <w:rFonts w:ascii="Verdana" w:hAnsi="Verdana" w:cs="Arial"/>
          <w:b/>
          <w:bCs/>
          <w:lang w:val="es-ES" w:eastAsia="es-ES"/>
        </w:rPr>
        <w:t>–</w:t>
      </w:r>
      <w:r w:rsidRPr="002F3D4B">
        <w:rPr>
          <w:rFonts w:ascii="Verdana" w:hAnsi="Verdana" w:cs="Arial"/>
          <w:b/>
          <w:lang w:val="es-ES" w:eastAsia="es-ES"/>
        </w:rPr>
        <w:t xml:space="preserve"> Formas de identificación</w:t>
      </w:r>
      <w:r w:rsidR="00404A39">
        <w:rPr>
          <w:rFonts w:ascii="Verdana" w:hAnsi="Verdana" w:cs="Arial"/>
          <w:b/>
          <w:lang w:val="es-ES" w:eastAsia="es-ES"/>
        </w:rPr>
        <w:t xml:space="preserve"> </w:t>
      </w:r>
      <w:r w:rsidR="00404A39" w:rsidRPr="00404A39">
        <w:rPr>
          <w:rFonts w:ascii="Verdana" w:hAnsi="Verdana" w:cs="Arial"/>
          <w:b/>
          <w:bCs/>
          <w:lang w:val="es-ES" w:eastAsia="es-ES"/>
        </w:rPr>
        <w:t>–</w:t>
      </w:r>
      <w:r w:rsidRPr="002F3D4B">
        <w:rPr>
          <w:rFonts w:ascii="Verdana" w:hAnsi="Verdana" w:cs="Arial"/>
          <w:b/>
          <w:lang w:val="es-ES" w:eastAsia="es-ES"/>
        </w:rPr>
        <w:t xml:space="preserve"> Formas de adquisición</w:t>
      </w:r>
    </w:p>
    <w:p w14:paraId="340B9272" w14:textId="77777777" w:rsidR="0065713E" w:rsidRDefault="0065713E" w:rsidP="005212BF">
      <w:pPr>
        <w:spacing w:after="0" w:line="240" w:lineRule="auto"/>
        <w:jc w:val="both"/>
        <w:rPr>
          <w:rFonts w:ascii="Verdana" w:hAnsi="Verdana" w:cs="Arial"/>
          <w:iCs/>
          <w:sz w:val="20"/>
          <w:szCs w:val="20"/>
          <w:lang w:eastAsia="es-ES"/>
        </w:rPr>
      </w:pPr>
    </w:p>
    <w:p w14:paraId="2D003383" w14:textId="2DABD4B3" w:rsidR="006D25C1" w:rsidRDefault="006D25C1" w:rsidP="005212BF">
      <w:pPr>
        <w:spacing w:after="0" w:line="240" w:lineRule="auto"/>
        <w:jc w:val="both"/>
        <w:rPr>
          <w:rFonts w:ascii="Verdana" w:hAnsi="Verdana" w:cs="Arial"/>
          <w:iCs/>
          <w:sz w:val="20"/>
          <w:szCs w:val="20"/>
          <w:lang w:eastAsia="es-ES"/>
        </w:rPr>
      </w:pPr>
      <w:r w:rsidRPr="006D25C1">
        <w:rPr>
          <w:rFonts w:ascii="Verdana" w:hAnsi="Verdana" w:cs="Arial"/>
          <w:iCs/>
          <w:sz w:val="20"/>
          <w:szCs w:val="20"/>
          <w:lang w:eastAsia="es-ES"/>
        </w:rPr>
        <w:t xml:space="preserve">Los elementos centrales para definir si un bien o servicio se considera de características técnicas uniformes y de común utilización consiste en dos aspectos: en primer lugar, que posea las mismas especificaciones técnicas y compartan patrones de desempeño y </w:t>
      </w:r>
      <w:r w:rsidRPr="006D25C1">
        <w:rPr>
          <w:rFonts w:ascii="Verdana" w:hAnsi="Verdana" w:cs="Arial"/>
          <w:iCs/>
          <w:sz w:val="20"/>
          <w:szCs w:val="20"/>
          <w:lang w:eastAsia="es-ES"/>
        </w:rPr>
        <w:lastRenderedPageBreak/>
        <w:t xml:space="preserve">calidad objetivamente definidos, y en segundo lugar, su común utilización o uso, esto es, que pueda adquirirse en el mercado con un estándar para quienes los requieran, es decir, que la oferta de los mismos en el mercado ocurriese en condiciones iguales para aquellas entidades estatales que lo necesitan. </w:t>
      </w:r>
    </w:p>
    <w:p w14:paraId="3C8C6192" w14:textId="77777777" w:rsidR="0065713E" w:rsidRPr="006D25C1" w:rsidRDefault="0065713E" w:rsidP="005212BF">
      <w:pPr>
        <w:spacing w:after="0" w:line="240" w:lineRule="auto"/>
        <w:jc w:val="both"/>
        <w:rPr>
          <w:rFonts w:ascii="Verdana" w:hAnsi="Verdana" w:cs="Arial"/>
          <w:iCs/>
          <w:sz w:val="20"/>
          <w:szCs w:val="20"/>
          <w:lang w:eastAsia="es-ES"/>
        </w:rPr>
      </w:pPr>
    </w:p>
    <w:p w14:paraId="7BC4F41D" w14:textId="77777777" w:rsidR="006D25C1" w:rsidRDefault="006D25C1" w:rsidP="005212BF">
      <w:pPr>
        <w:spacing w:after="0" w:line="240" w:lineRule="auto"/>
        <w:jc w:val="both"/>
        <w:rPr>
          <w:rFonts w:ascii="Verdana" w:hAnsi="Verdana" w:cs="Arial"/>
          <w:iCs/>
          <w:sz w:val="20"/>
          <w:szCs w:val="20"/>
          <w:lang w:eastAsia="es-ES"/>
        </w:rPr>
      </w:pPr>
      <w:r w:rsidRPr="006D25C1">
        <w:rPr>
          <w:rFonts w:ascii="Verdana" w:hAnsi="Verdana" w:cs="Arial"/>
          <w:iCs/>
          <w:sz w:val="20"/>
          <w:szCs w:val="20"/>
          <w:lang w:eastAsia="es-ES"/>
        </w:rPr>
        <w:t>Los bienes y servicios de características técnicas uniformes se reconocen porque pueden adquirirse en el mercado bajo condiciones estandarizadas u homogéneas, lo que implica que su descripción, especificaciones y parámetros de calidad mínima no dependen de un proveedor específico ni de un diseño singular. Se trata de bienes cuya naturaleza permite establecer criterios objetivos de comparación, de manera que el comprador público pueda verificar que cumplen con requisitos equivalentes y que son intercambiables entre sí, sin que las diferencias de marca o presentación alteren su funcionalidad esencial. Esta uniformidad facilita la consolidación de la demanda, la estandarización de fichas técnicas y la aplicación de procesos de selección simplificados, en la medida en que se asegura la posibilidad de concurrencia de múltiples oferentes en igualdad de condiciones.</w:t>
      </w:r>
    </w:p>
    <w:p w14:paraId="29B37621" w14:textId="77777777" w:rsidR="0065713E" w:rsidRPr="006D25C1" w:rsidRDefault="0065713E" w:rsidP="005212BF">
      <w:pPr>
        <w:spacing w:after="0" w:line="240" w:lineRule="auto"/>
        <w:jc w:val="both"/>
        <w:rPr>
          <w:rFonts w:ascii="Verdana" w:hAnsi="Verdana" w:cs="Arial"/>
          <w:iCs/>
          <w:sz w:val="20"/>
          <w:szCs w:val="20"/>
          <w:lang w:eastAsia="es-ES"/>
        </w:rPr>
      </w:pPr>
    </w:p>
    <w:p w14:paraId="4BAA2C52" w14:textId="4DD60055" w:rsidR="002F3D4B" w:rsidRPr="006D25C1" w:rsidRDefault="006D25C1" w:rsidP="005212BF">
      <w:pPr>
        <w:spacing w:after="0" w:line="240" w:lineRule="auto"/>
        <w:jc w:val="both"/>
        <w:rPr>
          <w:rFonts w:ascii="Verdana" w:hAnsi="Verdana" w:cs="Arial"/>
          <w:sz w:val="20"/>
          <w:szCs w:val="20"/>
          <w:lang w:val="es-ES" w:eastAsia="es-ES"/>
        </w:rPr>
      </w:pPr>
      <w:r w:rsidRPr="006D25C1">
        <w:rPr>
          <w:rFonts w:ascii="Verdana" w:hAnsi="Verdana" w:cs="Arial"/>
          <w:iCs/>
          <w:sz w:val="20"/>
          <w:szCs w:val="20"/>
          <w:lang w:eastAsia="es-ES"/>
        </w:rPr>
        <w:t>En este sentido, la característica fundamental de los Bienes y Servicios Características Técnicas Uniformes y de Común Utilización es que su uso es común y generalizada, lo que se traduce en la existencia de precios comparables y en la capacidad de más de una empresa o corporación para proveerlos en el mercado. La homogeneidad técnica y la amplia disponibilidad permiten que la contratación pública se oriente hacia la eficiencia, la transparencia y la selección objetiva, pues se reduce la discrecionalidad en la definición de especificaciones y se evita la restricción injustificada de la competencia. Así, la noción de uniformidad técnica no excluye la existencia de variaciones menores en diseño o presentación, sino que se centra en la posibilidad de adquirir bienes funcionalmente equivalentes, con estándares de calidad verificables y con condiciones de suministro que aseguren la concurrencia y la comparabilidad en los procesos de contratación estatal.</w:t>
      </w:r>
    </w:p>
    <w:p w14:paraId="4DC4E5AD" w14:textId="77777777" w:rsidR="002F3D4B" w:rsidRPr="002F3D4B" w:rsidRDefault="002F3D4B" w:rsidP="005212BF">
      <w:pPr>
        <w:spacing w:after="0" w:line="240" w:lineRule="auto"/>
        <w:jc w:val="both"/>
        <w:rPr>
          <w:rFonts w:ascii="Verdana" w:hAnsi="Verdana" w:cs="Arial"/>
          <w:b/>
          <w:lang w:val="es-ES" w:eastAsia="es-ES"/>
        </w:rPr>
      </w:pPr>
    </w:p>
    <w:p w14:paraId="304508D9" w14:textId="77777777" w:rsidR="002F3D4B" w:rsidRPr="002F3D4B" w:rsidRDefault="002F3D4B" w:rsidP="005212BF">
      <w:pPr>
        <w:spacing w:after="0" w:line="240" w:lineRule="auto"/>
        <w:jc w:val="both"/>
        <w:rPr>
          <w:rFonts w:ascii="Verdana" w:hAnsi="Verdana" w:cs="Arial"/>
          <w:b/>
          <w:lang w:val="es-ES" w:eastAsia="es-ES"/>
        </w:rPr>
      </w:pPr>
      <w:r w:rsidRPr="002F3D4B">
        <w:rPr>
          <w:rFonts w:ascii="Verdana" w:hAnsi="Verdana" w:cs="Arial"/>
          <w:b/>
          <w:lang w:val="es-ES" w:eastAsia="es-ES"/>
        </w:rPr>
        <w:t xml:space="preserve">BIENES Y SERVICIOS DE CARACTERÍSTICAS TÉCNICAS UNIFORMES Y DE COMÚN UTILIZACIÓN – Pliego de Condiciones – Fichas Técnicas </w:t>
      </w:r>
    </w:p>
    <w:p w14:paraId="08EB061A" w14:textId="77777777" w:rsidR="002F3D4B" w:rsidRPr="00BC0613" w:rsidRDefault="002F3D4B" w:rsidP="005212BF">
      <w:pPr>
        <w:spacing w:after="0" w:line="240" w:lineRule="auto"/>
        <w:jc w:val="both"/>
        <w:rPr>
          <w:rFonts w:ascii="Verdana" w:hAnsi="Verdana" w:cs="Arial"/>
          <w:sz w:val="20"/>
          <w:szCs w:val="20"/>
          <w:lang w:val="es-ES" w:eastAsia="es-ES"/>
        </w:rPr>
      </w:pPr>
    </w:p>
    <w:p w14:paraId="2E6EFC92" w14:textId="7805A27A" w:rsidR="00BC0613" w:rsidRDefault="00BC0613" w:rsidP="005212BF">
      <w:pPr>
        <w:spacing w:after="0" w:line="240" w:lineRule="auto"/>
        <w:jc w:val="both"/>
        <w:rPr>
          <w:rFonts w:ascii="Verdana" w:hAnsi="Verdana" w:cs="Arial"/>
          <w:sz w:val="20"/>
          <w:szCs w:val="20"/>
          <w:lang w:eastAsia="es-ES"/>
        </w:rPr>
      </w:pPr>
      <w:r w:rsidRPr="00BC0613">
        <w:rPr>
          <w:rFonts w:ascii="Verdana" w:hAnsi="Verdana" w:cs="Arial"/>
          <w:sz w:val="20"/>
          <w:szCs w:val="20"/>
          <w:lang w:eastAsia="es-ES"/>
        </w:rPr>
        <w:t>En este contexto, para la adquisición de este tipo de bienes y servicios, es importante señalar el artículo 2.2.1.2.1.2.1 del Decreto 1082 de 2015 establece que, en los pliegos de condiciones para contratarlos, la entidad estatal debe incluir una ficha técnica detallada. Esta ficha técnica constituye el instrumento jurídico-técnico que permite estandarizar la información sobre el objeto contractual, garantizando que los oferentes cuenten con parámetros claros y verificables. En ella se exige la clasificación del bien o servicio conforme al Clasificador de Bienes y Servicios -aspecto que se analiza en un próximo apartado-, la identificación adicional requerida, la unidad de medida aplicable, la calidad mínima exigida y los patrones de desempeño mínimos que aseguren la funcionalidad y comparabilidad de las ofertas.</w:t>
      </w:r>
    </w:p>
    <w:p w14:paraId="5E2B754E" w14:textId="77777777" w:rsidR="00BC0613" w:rsidRPr="00BC0613" w:rsidRDefault="00BC0613" w:rsidP="005212BF">
      <w:pPr>
        <w:spacing w:after="0" w:line="240" w:lineRule="auto"/>
        <w:jc w:val="both"/>
        <w:rPr>
          <w:rFonts w:ascii="Verdana" w:hAnsi="Verdana" w:cs="Arial"/>
          <w:sz w:val="20"/>
          <w:szCs w:val="20"/>
          <w:lang w:eastAsia="es-ES"/>
        </w:rPr>
      </w:pPr>
    </w:p>
    <w:p w14:paraId="72DC2FA6" w14:textId="77777777" w:rsidR="00BC0613" w:rsidRPr="00BC0613" w:rsidRDefault="00BC0613" w:rsidP="005212BF">
      <w:pPr>
        <w:spacing w:after="0" w:line="240" w:lineRule="auto"/>
        <w:jc w:val="both"/>
        <w:rPr>
          <w:rFonts w:ascii="Verdana" w:hAnsi="Verdana" w:cs="Arial"/>
          <w:sz w:val="20"/>
          <w:szCs w:val="20"/>
          <w:lang w:eastAsia="es-ES"/>
        </w:rPr>
      </w:pPr>
      <w:r w:rsidRPr="00BC0613">
        <w:rPr>
          <w:rFonts w:ascii="Verdana" w:hAnsi="Verdana" w:cs="Arial"/>
          <w:sz w:val="20"/>
          <w:szCs w:val="20"/>
          <w:lang w:eastAsia="es-ES"/>
        </w:rPr>
        <w:t xml:space="preserve">De esta manera, la ficha técnica se convierte en un mecanismo de transparencia y selección objetiva, pues delimita las condiciones técnicas esenciales que deben cumplir </w:t>
      </w:r>
      <w:r w:rsidRPr="00BC0613">
        <w:rPr>
          <w:rFonts w:ascii="Verdana" w:hAnsi="Verdana" w:cs="Arial"/>
          <w:sz w:val="20"/>
          <w:szCs w:val="20"/>
          <w:lang w:eastAsia="es-ES"/>
        </w:rPr>
        <w:lastRenderedPageBreak/>
        <w:t xml:space="preserve">los bienes o servicios ofertados, evitando la discrecionalidad y asegurando la concurrencia de múltiples proveedores en igualdad de condiciones. Al establecer criterios uniformes de clasificación, calidad y desempeño dentro del pliego de condiciones, se facilita la evaluación objetiva de las propuestas y se promueve la eficiencia en la contratación pública, en especial, en aquellos procesos que involucran bienes de uso común y generalizado. </w:t>
      </w:r>
    </w:p>
    <w:p w14:paraId="54990D2E" w14:textId="77777777" w:rsidR="00BC0613" w:rsidRPr="00BC0613" w:rsidRDefault="00BC0613" w:rsidP="005212BF">
      <w:pPr>
        <w:spacing w:after="0" w:line="240" w:lineRule="auto"/>
        <w:jc w:val="both"/>
        <w:rPr>
          <w:rFonts w:ascii="Verdana" w:hAnsi="Verdana" w:cs="Arial"/>
          <w:b/>
          <w:lang w:eastAsia="es-ES"/>
        </w:rPr>
      </w:pPr>
    </w:p>
    <w:p w14:paraId="775E2458" w14:textId="77777777" w:rsidR="002F3D4B" w:rsidRPr="002F3D4B" w:rsidRDefault="002F3D4B" w:rsidP="005212BF">
      <w:pPr>
        <w:spacing w:after="0" w:line="240" w:lineRule="auto"/>
        <w:jc w:val="both"/>
        <w:rPr>
          <w:rFonts w:ascii="Verdana" w:hAnsi="Verdana" w:cs="Arial"/>
          <w:b/>
          <w:lang w:val="es-MX" w:eastAsia="es-ES"/>
        </w:rPr>
      </w:pPr>
      <w:r w:rsidRPr="002F3D4B">
        <w:rPr>
          <w:rFonts w:ascii="Verdana" w:hAnsi="Verdana" w:cs="Arial"/>
          <w:b/>
          <w:lang w:val="es-ES" w:eastAsia="es-ES"/>
        </w:rPr>
        <w:t>C</w:t>
      </w:r>
      <w:r w:rsidRPr="002F3D4B">
        <w:rPr>
          <w:rFonts w:ascii="Verdana" w:hAnsi="Verdana" w:cs="Arial"/>
          <w:b/>
          <w:lang w:val="es-MX" w:eastAsia="es-ES"/>
        </w:rPr>
        <w:t xml:space="preserve">LASIFICADOR DE BIENES Y SERVICIOS DE NACIONES UNIDAS – Función </w:t>
      </w:r>
    </w:p>
    <w:p w14:paraId="6CEA35A8" w14:textId="77777777" w:rsidR="002F3D4B" w:rsidRPr="002F3D4B" w:rsidRDefault="002F3D4B" w:rsidP="005212BF">
      <w:pPr>
        <w:spacing w:after="0" w:line="240" w:lineRule="auto"/>
        <w:jc w:val="both"/>
        <w:rPr>
          <w:rFonts w:ascii="Verdana" w:hAnsi="Verdana" w:cs="Arial"/>
          <w:b/>
          <w:lang w:val="es-MX" w:eastAsia="es-ES"/>
        </w:rPr>
      </w:pPr>
    </w:p>
    <w:p w14:paraId="521F91B5" w14:textId="77777777" w:rsidR="00CA1878" w:rsidRPr="006D1455" w:rsidRDefault="00CA1878" w:rsidP="005212BF">
      <w:pPr>
        <w:spacing w:after="0" w:line="240" w:lineRule="auto"/>
        <w:jc w:val="both"/>
        <w:rPr>
          <w:rFonts w:ascii="Verdana" w:hAnsi="Verdana" w:cs="Arial"/>
          <w:bCs/>
          <w:sz w:val="20"/>
          <w:szCs w:val="20"/>
          <w:lang w:val="es-ES" w:eastAsia="es-ES"/>
        </w:rPr>
      </w:pPr>
      <w:r w:rsidRPr="006D1455">
        <w:rPr>
          <w:rFonts w:ascii="Verdana" w:hAnsi="Verdana" w:cs="Arial"/>
          <w:bCs/>
          <w:sz w:val="20"/>
          <w:szCs w:val="20"/>
          <w:lang w:val="es-ES" w:eastAsia="es-ES"/>
        </w:rPr>
        <w:t xml:space="preserve">La clasificación tiene que ver con los bienes y servicios con los que se relaciona la experiencia del proponente. Este asunto es relevante para el registro, en la medida en que, existiendo una gran variedad de bienes y servicios, así como un gran número de proponentes con experiencia para suministrarlos, el legislador estimó necesario que el RUP incorporara una clasificación a efectos de racionalizar la información. De esta manera, el Decreto 1082 de 2015, al reglamentar la contratación pública, el RUP y la clasificación de la experiencia, implementó el Clasificador de Bienes y Servicios de las Naciones Unidas –UNSPSC–, lo cual se refleja en diferentes partes de su articulado. </w:t>
      </w:r>
    </w:p>
    <w:p w14:paraId="02D83A49" w14:textId="77777777" w:rsidR="006D1455" w:rsidRDefault="006D1455" w:rsidP="005212BF">
      <w:pPr>
        <w:spacing w:after="0" w:line="240" w:lineRule="auto"/>
        <w:jc w:val="both"/>
        <w:rPr>
          <w:rFonts w:ascii="Verdana" w:hAnsi="Verdana" w:cs="Arial"/>
          <w:b/>
          <w:lang w:val="es-MX" w:eastAsia="es-ES"/>
        </w:rPr>
      </w:pPr>
    </w:p>
    <w:p w14:paraId="3EE385A3" w14:textId="18E0CAFE" w:rsidR="002F3D4B" w:rsidRPr="002F3D4B" w:rsidRDefault="002F3D4B" w:rsidP="005212BF">
      <w:pPr>
        <w:spacing w:after="0" w:line="240" w:lineRule="auto"/>
        <w:jc w:val="both"/>
        <w:rPr>
          <w:rFonts w:ascii="Verdana" w:hAnsi="Verdana" w:cs="Arial"/>
          <w:b/>
          <w:lang w:val="es-MX" w:eastAsia="es-ES"/>
        </w:rPr>
      </w:pPr>
      <w:r w:rsidRPr="002F3D4B">
        <w:rPr>
          <w:rFonts w:ascii="Verdana" w:hAnsi="Verdana" w:cs="Arial"/>
          <w:b/>
          <w:lang w:val="es-MX" w:eastAsia="es-ES"/>
        </w:rPr>
        <w:t>CLASIFICADOR DE BIENES Y SERVICIOS DE NACIONES UNIDAS – Noción</w:t>
      </w:r>
    </w:p>
    <w:p w14:paraId="131DD81A" w14:textId="77777777" w:rsidR="002F3D4B" w:rsidRPr="006D1455" w:rsidRDefault="002F3D4B" w:rsidP="005212BF">
      <w:pPr>
        <w:spacing w:after="0" w:line="240" w:lineRule="auto"/>
        <w:jc w:val="both"/>
        <w:rPr>
          <w:rFonts w:ascii="Verdana" w:hAnsi="Verdana" w:cs="Arial"/>
          <w:bCs/>
          <w:sz w:val="20"/>
          <w:szCs w:val="20"/>
          <w:lang w:val="es-MX" w:eastAsia="es-ES"/>
        </w:rPr>
      </w:pPr>
    </w:p>
    <w:p w14:paraId="511FE2BA" w14:textId="6B989817" w:rsidR="006D1455" w:rsidRPr="006D1455" w:rsidRDefault="006D1455" w:rsidP="005212BF">
      <w:pPr>
        <w:spacing w:after="0" w:line="240" w:lineRule="auto"/>
        <w:jc w:val="both"/>
        <w:rPr>
          <w:rFonts w:ascii="Verdana" w:hAnsi="Verdana" w:cs="Arial"/>
          <w:bCs/>
          <w:sz w:val="20"/>
          <w:szCs w:val="20"/>
          <w:lang w:val="es-MX" w:eastAsia="es-ES"/>
        </w:rPr>
      </w:pPr>
      <w:r w:rsidRPr="006D1455">
        <w:rPr>
          <w:rFonts w:ascii="Verdana" w:hAnsi="Verdana" w:cs="Arial"/>
          <w:bCs/>
          <w:sz w:val="20"/>
          <w:szCs w:val="20"/>
          <w:lang w:val="es-MX" w:eastAsia="es-ES"/>
        </w:rPr>
        <w:t xml:space="preserve">El artículo 2.2.1.1.1.3.1 del Decreto 1082 de 2015 define el Clasificador de Bienes y Servicios como el “Sistema de codificación de las Naciones Unidas para estandarizar productos y servicios, conocido por las siglas UNSPSC”. A su vez, la “Guía para la codificación de bienes y servicios de acuerdo con el código estándar de productos y servicios de Naciones Unidas, V.14.080”, establece que “The </w:t>
      </w:r>
      <w:proofErr w:type="spellStart"/>
      <w:r w:rsidRPr="006D1455">
        <w:rPr>
          <w:rFonts w:ascii="Verdana" w:hAnsi="Verdana" w:cs="Arial"/>
          <w:bCs/>
          <w:sz w:val="20"/>
          <w:szCs w:val="20"/>
          <w:lang w:val="es-MX" w:eastAsia="es-ES"/>
        </w:rPr>
        <w:t>United</w:t>
      </w:r>
      <w:proofErr w:type="spellEnd"/>
      <w:r w:rsidRPr="006D1455">
        <w:rPr>
          <w:rFonts w:ascii="Verdana" w:hAnsi="Verdana" w:cs="Arial"/>
          <w:bCs/>
          <w:sz w:val="20"/>
          <w:szCs w:val="20"/>
          <w:lang w:val="es-MX" w:eastAsia="es-ES"/>
        </w:rPr>
        <w:t xml:space="preserve"> Nations Standard </w:t>
      </w:r>
      <w:proofErr w:type="spellStart"/>
      <w:r w:rsidRPr="006D1455">
        <w:rPr>
          <w:rFonts w:ascii="Verdana" w:hAnsi="Verdana" w:cs="Arial"/>
          <w:bCs/>
          <w:sz w:val="20"/>
          <w:szCs w:val="20"/>
          <w:lang w:val="es-MX" w:eastAsia="es-ES"/>
        </w:rPr>
        <w:t>Products</w:t>
      </w:r>
      <w:proofErr w:type="spellEnd"/>
      <w:r w:rsidRPr="006D1455">
        <w:rPr>
          <w:rFonts w:ascii="Verdana" w:hAnsi="Verdana" w:cs="Arial"/>
          <w:bCs/>
          <w:sz w:val="20"/>
          <w:szCs w:val="20"/>
          <w:lang w:val="es-MX" w:eastAsia="es-ES"/>
        </w:rPr>
        <w:t xml:space="preserve"> and </w:t>
      </w:r>
      <w:proofErr w:type="spellStart"/>
      <w:r w:rsidRPr="006D1455">
        <w:rPr>
          <w:rFonts w:ascii="Verdana" w:hAnsi="Verdana" w:cs="Arial"/>
          <w:bCs/>
          <w:sz w:val="20"/>
          <w:szCs w:val="20"/>
          <w:lang w:val="es-MX" w:eastAsia="es-ES"/>
        </w:rPr>
        <w:t>Services</w:t>
      </w:r>
      <w:proofErr w:type="spellEnd"/>
      <w:r w:rsidRPr="006D1455">
        <w:rPr>
          <w:rFonts w:ascii="Verdana" w:hAnsi="Verdana" w:cs="Arial"/>
          <w:bCs/>
          <w:sz w:val="20"/>
          <w:szCs w:val="20"/>
          <w:lang w:val="es-MX" w:eastAsia="es-ES"/>
        </w:rPr>
        <w:t xml:space="preserve"> Code® - UNSPSC - Código Estándar de Productos y Servicios de Naciones Unidas, es una metodología uniforme de codificación utilizada para clasificar productos y servicios fundamentada en un arreglo jerárquico y en una estructura lógica”. La principal utilidad de este sistema de clasificación es codificar productos y servicios de forma clara ya que “se basa en estándares acordados por la industria los cuales facilitan el comercio entre empresas y gobierno”</w:t>
      </w:r>
      <w:r>
        <w:rPr>
          <w:rFonts w:ascii="Verdana" w:hAnsi="Verdana" w:cs="Arial"/>
          <w:bCs/>
          <w:sz w:val="20"/>
          <w:szCs w:val="20"/>
          <w:lang w:val="es-MX" w:eastAsia="es-ES"/>
        </w:rPr>
        <w:t>.</w:t>
      </w:r>
    </w:p>
    <w:p w14:paraId="170646AC" w14:textId="77777777" w:rsidR="006D1455" w:rsidRPr="002F3D4B" w:rsidRDefault="006D1455" w:rsidP="005212BF">
      <w:pPr>
        <w:spacing w:after="0" w:line="240" w:lineRule="auto"/>
        <w:jc w:val="both"/>
        <w:rPr>
          <w:rFonts w:ascii="Verdana" w:hAnsi="Verdana" w:cs="Arial"/>
          <w:b/>
          <w:lang w:val="es-MX" w:eastAsia="es-ES"/>
        </w:rPr>
      </w:pPr>
    </w:p>
    <w:p w14:paraId="135F0376" w14:textId="77777777" w:rsidR="002F3D4B" w:rsidRPr="002F3D4B" w:rsidRDefault="002F3D4B" w:rsidP="005212BF">
      <w:pPr>
        <w:spacing w:after="0" w:line="240" w:lineRule="auto"/>
        <w:jc w:val="both"/>
        <w:rPr>
          <w:rFonts w:ascii="Verdana" w:hAnsi="Verdana" w:cs="Arial"/>
          <w:b/>
          <w:lang w:val="es-MX" w:eastAsia="es-ES"/>
        </w:rPr>
      </w:pPr>
      <w:r w:rsidRPr="002F3D4B">
        <w:rPr>
          <w:rFonts w:ascii="Verdana" w:hAnsi="Verdana" w:cs="Arial"/>
          <w:b/>
          <w:lang w:val="es-MX" w:eastAsia="es-ES"/>
        </w:rPr>
        <w:t xml:space="preserve">CLASIFICADOR DE BIENES Y SERVICIOS DE NACIONES UNIDAS – Normativa </w:t>
      </w:r>
    </w:p>
    <w:p w14:paraId="109F69B6" w14:textId="77777777" w:rsidR="002F3D4B" w:rsidRPr="002F3D4B" w:rsidRDefault="002F3D4B" w:rsidP="005212BF">
      <w:pPr>
        <w:spacing w:after="0" w:line="240" w:lineRule="auto"/>
        <w:jc w:val="both"/>
        <w:rPr>
          <w:rFonts w:ascii="Verdana" w:hAnsi="Verdana" w:cs="Arial"/>
          <w:b/>
          <w:lang w:val="es-MX" w:eastAsia="es-ES"/>
        </w:rPr>
      </w:pPr>
    </w:p>
    <w:p w14:paraId="30ABE325" w14:textId="08E575A7" w:rsidR="00353D37" w:rsidRDefault="00353D37" w:rsidP="005212BF">
      <w:pPr>
        <w:spacing w:after="0" w:line="240" w:lineRule="auto"/>
        <w:jc w:val="both"/>
        <w:rPr>
          <w:rFonts w:ascii="Verdana" w:hAnsi="Verdana" w:cs="Arial"/>
          <w:bCs/>
          <w:sz w:val="20"/>
          <w:szCs w:val="20"/>
          <w:lang w:val="es-MX" w:eastAsia="es-ES"/>
        </w:rPr>
      </w:pPr>
      <w:r w:rsidRPr="00353D37">
        <w:rPr>
          <w:rFonts w:ascii="Verdana" w:hAnsi="Verdana" w:cs="Arial"/>
          <w:bCs/>
          <w:sz w:val="20"/>
          <w:szCs w:val="20"/>
          <w:lang w:val="es-ES" w:eastAsia="es-ES"/>
        </w:rPr>
        <w:t xml:space="preserve">Por otro lado, el artículo 2.2.1.1.1.4.1 del Decreto 1082 de 2015, referente al deber de elaborar el Plan Anual de Adquisiciones, establece que en la expedición de dicho documento las entidades deben “señalar la necesidad y cuando conoce el bien, obra o servicio que satisface esa necesidad debe identificarlo utilizando el </w:t>
      </w:r>
      <w:proofErr w:type="spellStart"/>
      <w:r w:rsidRPr="00353D37">
        <w:rPr>
          <w:rFonts w:ascii="Verdana" w:hAnsi="Verdana" w:cs="Arial"/>
          <w:bCs/>
          <w:sz w:val="20"/>
          <w:szCs w:val="20"/>
          <w:lang w:val="es-ES" w:eastAsia="es-ES"/>
        </w:rPr>
        <w:t>Clasiﬁcador</w:t>
      </w:r>
      <w:proofErr w:type="spellEnd"/>
      <w:r w:rsidRPr="00353D37">
        <w:rPr>
          <w:rFonts w:ascii="Verdana" w:hAnsi="Verdana" w:cs="Arial"/>
          <w:bCs/>
          <w:sz w:val="20"/>
          <w:szCs w:val="20"/>
          <w:lang w:val="es-ES" w:eastAsia="es-ES"/>
        </w:rPr>
        <w:t xml:space="preserve"> de Bienes y Servicios”.</w:t>
      </w:r>
      <w:r w:rsidRPr="00353D37">
        <w:rPr>
          <w:rFonts w:ascii="Verdana" w:hAnsi="Verdana" w:cs="Arial"/>
          <w:bCs/>
          <w:sz w:val="20"/>
          <w:szCs w:val="20"/>
          <w:lang w:val="es-MX" w:eastAsia="es-ES"/>
        </w:rPr>
        <w:t>  </w:t>
      </w:r>
    </w:p>
    <w:p w14:paraId="0735C638" w14:textId="77777777" w:rsidR="00353D37" w:rsidRPr="00353D37" w:rsidRDefault="00353D37" w:rsidP="005212BF">
      <w:pPr>
        <w:spacing w:after="0" w:line="240" w:lineRule="auto"/>
        <w:jc w:val="both"/>
        <w:rPr>
          <w:rFonts w:ascii="Verdana" w:hAnsi="Verdana" w:cs="Arial"/>
          <w:bCs/>
          <w:sz w:val="20"/>
          <w:szCs w:val="20"/>
          <w:lang w:val="es-MX" w:eastAsia="es-ES"/>
        </w:rPr>
      </w:pPr>
    </w:p>
    <w:p w14:paraId="7DB7AE98" w14:textId="680342E8" w:rsidR="002F3D4B" w:rsidRPr="00353D37" w:rsidRDefault="00353D37" w:rsidP="005212BF">
      <w:pPr>
        <w:spacing w:after="0" w:line="240" w:lineRule="auto"/>
        <w:jc w:val="both"/>
        <w:rPr>
          <w:rFonts w:ascii="Verdana" w:hAnsi="Verdana" w:cs="Arial"/>
          <w:bCs/>
          <w:sz w:val="20"/>
          <w:szCs w:val="20"/>
          <w:lang w:val="es-ES" w:eastAsia="es-ES"/>
        </w:rPr>
      </w:pPr>
      <w:r w:rsidRPr="00353D37">
        <w:rPr>
          <w:rFonts w:ascii="Verdana" w:hAnsi="Verdana" w:cs="Arial"/>
          <w:bCs/>
          <w:sz w:val="20"/>
          <w:szCs w:val="20"/>
          <w:lang w:val="es-ES" w:eastAsia="es-ES"/>
        </w:rPr>
        <w:lastRenderedPageBreak/>
        <w:t>Por su parte, el artículo 2.2.1.1.1.5.2 del Decreto 1082 de 2015, al desarrollar la información requerida para la inscripción, actualización y renovación del RUP, establece que los proponentes deben establecer los bienes y servicios que ofrecerán identificados Clasificador de Bienes y Servicios en el tercer nivel. Así mismo el numeral 2.5 de este artículo establece que en los certificados de experiencia presentados para inscripción o actualización del RUP, los proponentes deben indicar en “cada certificado o en cada copia de los contratos, los bienes, obras y servicios a los cuales corresponde la experiencia que pretende acreditar, identificándolos con el Clasificador de Bienes y Servicios en el tercer nivel”.</w:t>
      </w:r>
    </w:p>
    <w:p w14:paraId="6133DFBA" w14:textId="77777777" w:rsidR="00353D37" w:rsidRPr="002F3D4B" w:rsidRDefault="00353D37" w:rsidP="005212BF">
      <w:pPr>
        <w:spacing w:after="0" w:line="240" w:lineRule="auto"/>
        <w:jc w:val="both"/>
        <w:rPr>
          <w:rFonts w:ascii="Verdana" w:hAnsi="Verdana" w:cs="Arial"/>
          <w:b/>
          <w:lang w:val="es-MX" w:eastAsia="es-ES"/>
        </w:rPr>
      </w:pPr>
    </w:p>
    <w:p w14:paraId="0C466EF3" w14:textId="6566B543" w:rsidR="002F3D4B" w:rsidRPr="002F3D4B" w:rsidRDefault="002F3D4B" w:rsidP="005212BF">
      <w:pPr>
        <w:spacing w:after="0" w:line="240" w:lineRule="auto"/>
        <w:jc w:val="both"/>
        <w:rPr>
          <w:rFonts w:ascii="Verdana" w:hAnsi="Verdana" w:cs="Arial"/>
          <w:b/>
          <w:lang w:val="es-ES" w:eastAsia="es-ES"/>
        </w:rPr>
      </w:pPr>
      <w:r w:rsidRPr="002F3D4B">
        <w:rPr>
          <w:rFonts w:ascii="Verdana" w:hAnsi="Verdana" w:cs="Arial"/>
          <w:b/>
          <w:lang w:val="es-MX" w:eastAsia="es-ES"/>
        </w:rPr>
        <w:t>CLASIFICADOR DE BIENES Y SERVICIOS DE NACIONES UNIDAS – Niveles – Uso</w:t>
      </w:r>
    </w:p>
    <w:p w14:paraId="7B0B2232" w14:textId="77777777" w:rsidR="002F3D4B" w:rsidRDefault="002F3D4B" w:rsidP="005212BF">
      <w:pPr>
        <w:spacing w:after="0" w:line="240" w:lineRule="auto"/>
        <w:ind w:left="708" w:hanging="708"/>
        <w:rPr>
          <w:rFonts w:ascii="Verdana" w:eastAsia="Verdana" w:hAnsi="Verdana" w:cs="Verdana"/>
        </w:rPr>
      </w:pPr>
    </w:p>
    <w:p w14:paraId="31032F78" w14:textId="7BD2543E" w:rsidR="00353D37" w:rsidRDefault="00353D37" w:rsidP="005212BF">
      <w:pPr>
        <w:spacing w:after="0" w:line="240" w:lineRule="auto"/>
        <w:jc w:val="both"/>
        <w:rPr>
          <w:rFonts w:ascii="Verdana" w:eastAsia="Verdana" w:hAnsi="Verdana" w:cs="Verdana"/>
          <w:sz w:val="20"/>
          <w:szCs w:val="20"/>
          <w:lang w:val="es-MX"/>
        </w:rPr>
      </w:pPr>
      <w:r w:rsidRPr="00353D37">
        <w:rPr>
          <w:rFonts w:ascii="Verdana" w:eastAsia="Verdana" w:hAnsi="Verdana" w:cs="Verdana"/>
          <w:sz w:val="20"/>
          <w:szCs w:val="20"/>
          <w:lang w:val="es-MX"/>
        </w:rPr>
        <w:t xml:space="preserve">El Clasificador de Bienes y Servicios consta de cinco niveles; no obstante, el último nivel, denominado Función de Negocio, no es muy utilizado. Los niveles jerárquicos para utilizar, en su orden, son: i) segmento, agregación lógica de familias para propósitos analíticos; </w:t>
      </w:r>
      <w:proofErr w:type="spellStart"/>
      <w:r w:rsidRPr="00353D37">
        <w:rPr>
          <w:rFonts w:ascii="Verdana" w:eastAsia="Verdana" w:hAnsi="Verdana" w:cs="Verdana"/>
          <w:sz w:val="20"/>
          <w:szCs w:val="20"/>
          <w:lang w:val="es-MX"/>
        </w:rPr>
        <w:t>ii</w:t>
      </w:r>
      <w:proofErr w:type="spellEnd"/>
      <w:r w:rsidRPr="00353D37">
        <w:rPr>
          <w:rFonts w:ascii="Verdana" w:eastAsia="Verdana" w:hAnsi="Verdana" w:cs="Verdana"/>
          <w:sz w:val="20"/>
          <w:szCs w:val="20"/>
          <w:lang w:val="es-MX"/>
        </w:rPr>
        <w:t xml:space="preserve">) familia, un grupo de categorías de productos interrelacionadas; </w:t>
      </w:r>
      <w:proofErr w:type="spellStart"/>
      <w:r w:rsidRPr="00353D37">
        <w:rPr>
          <w:rFonts w:ascii="Verdana" w:eastAsia="Verdana" w:hAnsi="Verdana" w:cs="Verdana"/>
          <w:sz w:val="20"/>
          <w:szCs w:val="20"/>
          <w:lang w:val="es-MX"/>
        </w:rPr>
        <w:t>iii</w:t>
      </w:r>
      <w:proofErr w:type="spellEnd"/>
      <w:r w:rsidRPr="00353D37">
        <w:rPr>
          <w:rFonts w:ascii="Verdana" w:eastAsia="Verdana" w:hAnsi="Verdana" w:cs="Verdana"/>
          <w:sz w:val="20"/>
          <w:szCs w:val="20"/>
          <w:lang w:val="es-MX"/>
        </w:rPr>
        <w:t xml:space="preserve">) clase: un grupo de productos que comparten características comunes; y </w:t>
      </w:r>
      <w:proofErr w:type="spellStart"/>
      <w:r w:rsidRPr="00353D37">
        <w:rPr>
          <w:rFonts w:ascii="Verdana" w:eastAsia="Verdana" w:hAnsi="Verdana" w:cs="Verdana"/>
          <w:sz w:val="20"/>
          <w:szCs w:val="20"/>
          <w:lang w:val="es-MX"/>
        </w:rPr>
        <w:t>iv</w:t>
      </w:r>
      <w:proofErr w:type="spellEnd"/>
      <w:r w:rsidRPr="00353D37">
        <w:rPr>
          <w:rFonts w:ascii="Verdana" w:eastAsia="Verdana" w:hAnsi="Verdana" w:cs="Verdana"/>
          <w:sz w:val="20"/>
          <w:szCs w:val="20"/>
          <w:lang w:val="es-MX"/>
        </w:rPr>
        <w:t>) producto: un grupo de productos o servicios.  </w:t>
      </w:r>
    </w:p>
    <w:p w14:paraId="69BC717A" w14:textId="77777777" w:rsidR="00353D37" w:rsidRPr="00353D37" w:rsidRDefault="00353D37" w:rsidP="005212BF">
      <w:pPr>
        <w:spacing w:after="0" w:line="240" w:lineRule="auto"/>
        <w:jc w:val="both"/>
        <w:rPr>
          <w:rFonts w:ascii="Verdana" w:eastAsia="Verdana" w:hAnsi="Verdana" w:cs="Verdana"/>
          <w:sz w:val="20"/>
          <w:szCs w:val="20"/>
          <w:lang w:val="es-MX"/>
        </w:rPr>
      </w:pPr>
    </w:p>
    <w:p w14:paraId="6240DB9E" w14:textId="77777777" w:rsidR="00353D37" w:rsidRDefault="00353D37" w:rsidP="005212BF">
      <w:pPr>
        <w:spacing w:after="0" w:line="240" w:lineRule="auto"/>
        <w:jc w:val="both"/>
        <w:rPr>
          <w:rFonts w:ascii="Verdana" w:eastAsia="Verdana" w:hAnsi="Verdana" w:cs="Verdana"/>
          <w:sz w:val="20"/>
          <w:szCs w:val="20"/>
          <w:lang w:val="es-MX"/>
        </w:rPr>
      </w:pPr>
      <w:r w:rsidRPr="00353D37">
        <w:rPr>
          <w:rFonts w:ascii="Verdana" w:eastAsia="Verdana" w:hAnsi="Verdana" w:cs="Verdana"/>
          <w:sz w:val="20"/>
          <w:szCs w:val="20"/>
          <w:lang w:val="es-MX"/>
        </w:rPr>
        <w:t>Cada uno de estos niveles jerárquicos tiene distintos dígitos, asociados a los componentes que cada uno cobija y que se combinan con los dígitos de los otros niveles, de donde surge un código de 8 dígitos asociado a un bien o servicio en particular. De esta manera, el segmento determina los dos primeros dígitos, la familia el tercer y cuarto, la clase el quinto y sexto, mientras que el producto los dígitos séptimo y octavo. Conforme a esto, los niveles jerárquicos van de lo general a lo particular, por lo que para determinar el código que corresponde a un bien o servicio, debe subsumirse este en cada uno de estos niveles partiendo del primero en adelante.</w:t>
      </w:r>
    </w:p>
    <w:p w14:paraId="08E6DD07" w14:textId="77777777" w:rsidR="00353D37" w:rsidRPr="00353D37" w:rsidRDefault="00353D37" w:rsidP="005212BF">
      <w:pPr>
        <w:spacing w:after="0" w:line="240" w:lineRule="auto"/>
        <w:jc w:val="both"/>
        <w:rPr>
          <w:rFonts w:ascii="Verdana" w:eastAsia="Verdana" w:hAnsi="Verdana" w:cs="Verdana"/>
          <w:sz w:val="20"/>
          <w:szCs w:val="20"/>
          <w:lang w:val="es-MX"/>
        </w:rPr>
      </w:pPr>
    </w:p>
    <w:p w14:paraId="6D36321C" w14:textId="77777777" w:rsidR="00353D37" w:rsidRPr="00353D37" w:rsidRDefault="00353D37" w:rsidP="005212BF">
      <w:pPr>
        <w:spacing w:after="0" w:line="240" w:lineRule="auto"/>
        <w:jc w:val="both"/>
        <w:rPr>
          <w:rFonts w:ascii="Verdana" w:eastAsia="Verdana" w:hAnsi="Verdana" w:cs="Verdana"/>
          <w:sz w:val="20"/>
          <w:szCs w:val="20"/>
        </w:rPr>
      </w:pPr>
      <w:r w:rsidRPr="00353D37">
        <w:rPr>
          <w:rFonts w:ascii="Verdana" w:eastAsia="Verdana" w:hAnsi="Verdana" w:cs="Verdana"/>
          <w:sz w:val="20"/>
          <w:szCs w:val="20"/>
          <w:lang w:val="es-MX"/>
        </w:rPr>
        <w:t xml:space="preserve">De acuerdo con esto, </w:t>
      </w:r>
      <w:r w:rsidRPr="00353D37">
        <w:rPr>
          <w:rFonts w:ascii="Verdana" w:eastAsia="Verdana" w:hAnsi="Verdana" w:cs="Verdana"/>
          <w:sz w:val="20"/>
          <w:szCs w:val="20"/>
        </w:rPr>
        <w:t>cada bien o servicio se encuentra asociado a un código que resulta de la subsunción de sus características y condiciones dentro de los diferentes niveles del Clasificador de Bienes y Servicios. Dichos códigos constituyen el referente obligatorio que debe incluirse en el Registro Único de Proponentes -RUP- para efectos de acreditar la experiencia, y son igualmente los que las entidades estatales deben incorporar en los pliegos de condiciones al momento de describir el objeto contractual, particularmente en la adquisición de bienes y servicios de características técnicas uniformes y de común utilización. En este sentido, cuando se trata de la adquisición de productos o insumos médicos, resulta indispensable revisar con rigor la clasificación aplicable, de manera que los códigos reflejen adecuadamente las especificaciones técnicas y los parámetros de desempeño exigidos. Ello garantiza que la descripción del objeto contractual se ajuste a la normativa vigente, facilite la comparabilidad de las ofertas y asegure la transparencia y objetividad en los procesos de contratación pública.</w:t>
      </w:r>
    </w:p>
    <w:p w14:paraId="06824ABD" w14:textId="77777777" w:rsidR="00353D37" w:rsidRDefault="00353D37" w:rsidP="005212BF">
      <w:pPr>
        <w:spacing w:after="0" w:line="240" w:lineRule="auto"/>
        <w:ind w:left="708" w:hanging="708"/>
        <w:jc w:val="both"/>
        <w:rPr>
          <w:rFonts w:ascii="Verdana" w:eastAsia="Verdana" w:hAnsi="Verdana" w:cs="Verdana"/>
        </w:rPr>
      </w:pPr>
    </w:p>
    <w:p w14:paraId="3E96BB81" w14:textId="77777777" w:rsidR="00353D37" w:rsidRDefault="00353D37" w:rsidP="001520A7">
      <w:pPr>
        <w:spacing w:after="0" w:line="240" w:lineRule="auto"/>
        <w:ind w:left="708" w:hanging="708"/>
        <w:rPr>
          <w:rFonts w:ascii="Verdana" w:eastAsia="Verdana" w:hAnsi="Verdana" w:cs="Verdana"/>
        </w:rPr>
      </w:pPr>
    </w:p>
    <w:p w14:paraId="013206D5" w14:textId="6F751697" w:rsidR="001520A7" w:rsidRPr="009C66A9" w:rsidRDefault="001520A7" w:rsidP="001520A7">
      <w:pPr>
        <w:spacing w:after="0" w:line="240" w:lineRule="auto"/>
        <w:ind w:left="708" w:hanging="708"/>
        <w:rPr>
          <w:rFonts w:ascii="Verdana" w:hAnsi="Verdana"/>
        </w:rPr>
      </w:pPr>
      <w:r w:rsidRPr="30821638">
        <w:rPr>
          <w:rFonts w:ascii="Verdana" w:eastAsia="Verdana" w:hAnsi="Verdana" w:cs="Verdana"/>
        </w:rPr>
        <w:lastRenderedPageBreak/>
        <w:t xml:space="preserve">Bogotá D.C., </w:t>
      </w:r>
      <w:r w:rsidR="002F3D4B">
        <w:rPr>
          <w:rFonts w:ascii="Verdana" w:eastAsia="Verdana" w:hAnsi="Verdana" w:cs="Verdana"/>
        </w:rPr>
        <w:t>7 de septiembre de 2026</w:t>
      </w:r>
      <w:r>
        <w:br/>
      </w:r>
      <w:r>
        <w:tab/>
      </w:r>
    </w:p>
    <w:p w14:paraId="773CCF66" w14:textId="26C07A4F" w:rsidR="001520A7" w:rsidRPr="009C66A9" w:rsidRDefault="001520A7" w:rsidP="001520A7">
      <w:pPr>
        <w:spacing w:after="0" w:line="240" w:lineRule="auto"/>
        <w:rPr>
          <w:rFonts w:ascii="Verdana" w:hAnsi="Verdana"/>
        </w:rPr>
      </w:pPr>
    </w:p>
    <w:p w14:paraId="72ED7AD5" w14:textId="0FBBDD89" w:rsidR="001520A7" w:rsidRPr="009C66A9" w:rsidRDefault="001520A7" w:rsidP="001520A7">
      <w:pPr>
        <w:spacing w:after="0" w:line="240" w:lineRule="auto"/>
        <w:rPr>
          <w:rFonts w:ascii="Verdana" w:eastAsia="Calibri" w:hAnsi="Verdana" w:cs="Times New Roman"/>
          <w:lang w:val="es-MX"/>
        </w:rPr>
      </w:pPr>
      <w:r w:rsidRPr="009C66A9">
        <w:rPr>
          <w:rFonts w:ascii="Verdana" w:eastAsia="Calibri" w:hAnsi="Verdana" w:cs="Times New Roman"/>
          <w:lang w:val="es-MX"/>
        </w:rPr>
        <w:t>Señor</w:t>
      </w:r>
      <w:r>
        <w:rPr>
          <w:rFonts w:ascii="Verdana" w:eastAsia="Calibri" w:hAnsi="Verdana" w:cs="Times New Roman"/>
          <w:lang w:val="es-MX"/>
        </w:rPr>
        <w:t>a</w:t>
      </w:r>
    </w:p>
    <w:p w14:paraId="1B8E2FA6" w14:textId="79F0808F" w:rsidR="001520A7" w:rsidRPr="0057450A" w:rsidRDefault="00404A39" w:rsidP="001520A7">
      <w:pPr>
        <w:spacing w:after="0" w:line="240" w:lineRule="auto"/>
        <w:rPr>
          <w:rFonts w:ascii="Verdana" w:eastAsia="Calibri" w:hAnsi="Verdana" w:cs="Times New Roman"/>
          <w:b/>
        </w:rPr>
      </w:pPr>
      <w:r w:rsidRPr="00A87643">
        <w:rPr>
          <w:rFonts w:ascii="Verdana" w:eastAsia="Verdana" w:hAnsi="Verdana" w:cs="Verdana"/>
          <w:noProof/>
        </w:rPr>
        <w:drawing>
          <wp:anchor distT="0" distB="0" distL="114300" distR="114300" simplePos="0" relativeHeight="251658240" behindDoc="0" locked="0" layoutInCell="1" allowOverlap="1" wp14:anchorId="6C7DC32B" wp14:editId="1A80E8C2">
            <wp:simplePos x="0" y="0"/>
            <wp:positionH relativeFrom="margin">
              <wp:align>right</wp:align>
            </wp:positionH>
            <wp:positionV relativeFrom="paragraph">
              <wp:posOffset>5108</wp:posOffset>
            </wp:positionV>
            <wp:extent cx="2493010" cy="688340"/>
            <wp:effectExtent l="0" t="0" r="2540" b="0"/>
            <wp:wrapSquare wrapText="bothSides"/>
            <wp:docPr id="4708763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3010" cy="688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20A7" w:rsidRPr="0057450A">
        <w:rPr>
          <w:rFonts w:ascii="Verdana" w:eastAsia="Calibri" w:hAnsi="Verdana" w:cs="Times New Roman"/>
          <w:b/>
        </w:rPr>
        <w:t xml:space="preserve">Angie </w:t>
      </w:r>
      <w:proofErr w:type="spellStart"/>
      <w:r w:rsidR="001520A7" w:rsidRPr="0057450A">
        <w:rPr>
          <w:rFonts w:ascii="Verdana" w:eastAsia="Calibri" w:hAnsi="Verdana" w:cs="Times New Roman"/>
          <w:b/>
        </w:rPr>
        <w:t>Stefania</w:t>
      </w:r>
      <w:proofErr w:type="spellEnd"/>
      <w:r w:rsidR="001520A7" w:rsidRPr="0057450A">
        <w:rPr>
          <w:rFonts w:ascii="Verdana" w:eastAsia="Calibri" w:hAnsi="Verdana" w:cs="Times New Roman"/>
          <w:b/>
        </w:rPr>
        <w:t xml:space="preserve"> López Balta</w:t>
      </w:r>
    </w:p>
    <w:p w14:paraId="38C6A6EE" w14:textId="77777777" w:rsidR="001520A7" w:rsidRPr="0057450A" w:rsidRDefault="001520A7" w:rsidP="001520A7">
      <w:pPr>
        <w:spacing w:after="0" w:line="240" w:lineRule="auto"/>
        <w:rPr>
          <w:rFonts w:ascii="Verdana" w:hAnsi="Verdana"/>
        </w:rPr>
      </w:pPr>
      <w:hyperlink r:id="rId12" w:history="1">
        <w:r w:rsidRPr="0057450A">
          <w:rPr>
            <w:rStyle w:val="Hipervnculo"/>
            <w:rFonts w:ascii="Verdana" w:hAnsi="Verdana"/>
          </w:rPr>
          <w:t>gerenciauniversalmedik@gmail.com</w:t>
        </w:r>
      </w:hyperlink>
      <w:r w:rsidRPr="0057450A">
        <w:rPr>
          <w:rFonts w:ascii="Verdana" w:hAnsi="Verdana"/>
        </w:rPr>
        <w:t xml:space="preserve"> </w:t>
      </w:r>
    </w:p>
    <w:p w14:paraId="37FED812" w14:textId="77777777" w:rsidR="001520A7" w:rsidRPr="0057450A" w:rsidRDefault="001520A7" w:rsidP="001520A7">
      <w:pPr>
        <w:spacing w:after="0" w:line="240" w:lineRule="auto"/>
        <w:rPr>
          <w:rFonts w:ascii="Verdana" w:eastAsia="Calibri" w:hAnsi="Verdana" w:cs="Times New Roman"/>
          <w:bCs/>
        </w:rPr>
      </w:pPr>
      <w:r w:rsidRPr="0057450A">
        <w:rPr>
          <w:rFonts w:ascii="Verdana" w:eastAsia="Calibri" w:hAnsi="Verdana" w:cs="Times New Roman"/>
          <w:bCs/>
        </w:rPr>
        <w:t xml:space="preserve">Bogotá D.C. </w:t>
      </w:r>
    </w:p>
    <w:p w14:paraId="46B3FBB0" w14:textId="77777777" w:rsidR="001520A7" w:rsidRPr="0057450A" w:rsidRDefault="001520A7" w:rsidP="001520A7">
      <w:pPr>
        <w:spacing w:after="0" w:line="240" w:lineRule="auto"/>
        <w:rPr>
          <w:rFonts w:ascii="Verdana" w:eastAsia="Calibri" w:hAnsi="Verdana" w:cs="Times New Roman"/>
        </w:rPr>
      </w:pPr>
    </w:p>
    <w:p w14:paraId="01CB5DEB" w14:textId="77777777" w:rsidR="001520A7" w:rsidRPr="0057450A" w:rsidRDefault="001520A7" w:rsidP="001520A7">
      <w:pPr>
        <w:spacing w:after="0" w:line="240" w:lineRule="auto"/>
        <w:rPr>
          <w:rFonts w:ascii="Verdana" w:eastAsia="Calibri" w:hAnsi="Verdana" w:cs="Times New Roman"/>
        </w:rPr>
      </w:pPr>
    </w:p>
    <w:p w14:paraId="71DE9EB7" w14:textId="43306C3D" w:rsidR="001520A7" w:rsidRPr="002B4BE9" w:rsidRDefault="001520A7" w:rsidP="001520A7">
      <w:pPr>
        <w:spacing w:after="0" w:line="240" w:lineRule="auto"/>
        <w:rPr>
          <w:rFonts w:ascii="Verdana" w:eastAsia="Calibri" w:hAnsi="Verdana" w:cs="Times New Roman"/>
          <w:b/>
          <w:bCs/>
          <w:lang w:val="es-ES"/>
        </w:rPr>
      </w:pPr>
      <w:r w:rsidRPr="0057450A">
        <w:rPr>
          <w:rFonts w:ascii="Verdana" w:eastAsia="Calibri" w:hAnsi="Verdana" w:cs="Times New Roman"/>
          <w:b/>
          <w:bCs/>
        </w:rPr>
        <w:t xml:space="preserve">                                    </w:t>
      </w:r>
      <w:r>
        <w:rPr>
          <w:rFonts w:ascii="Verdana" w:eastAsia="Calibri" w:hAnsi="Verdana" w:cs="Times New Roman"/>
          <w:b/>
          <w:bCs/>
          <w:lang w:val="es-ES"/>
        </w:rPr>
        <w:t>Concepto C</w:t>
      </w:r>
      <w:r w:rsidR="00404A39">
        <w:rPr>
          <w:rFonts w:ascii="Verdana" w:eastAsia="Calibri" w:hAnsi="Verdana" w:cs="Times New Roman"/>
          <w:b/>
          <w:bCs/>
          <w:lang w:val="es-ES"/>
        </w:rPr>
        <w:t>-</w:t>
      </w:r>
      <w:r>
        <w:rPr>
          <w:rFonts w:ascii="Verdana" w:eastAsia="Calibri" w:hAnsi="Verdana" w:cs="Times New Roman"/>
          <w:b/>
          <w:bCs/>
          <w:lang w:val="es-ES"/>
        </w:rPr>
        <w:t>1199 de 2026</w:t>
      </w:r>
    </w:p>
    <w:p w14:paraId="047BC1FB" w14:textId="77777777" w:rsidR="001520A7" w:rsidRPr="002B4BE9" w:rsidRDefault="001520A7" w:rsidP="001520A7">
      <w:pPr>
        <w:spacing w:after="0" w:line="240" w:lineRule="auto"/>
        <w:rPr>
          <w:rFonts w:ascii="Verdana" w:eastAsia="Calibri" w:hAnsi="Verdana" w:cs="Times New Roman"/>
          <w:lang w:val="es-ES_tradnl"/>
        </w:rPr>
      </w:pPr>
    </w:p>
    <w:tbl>
      <w:tblPr>
        <w:tblStyle w:val="Tablaconcuadrcula111"/>
        <w:tblW w:w="1516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85"/>
        <w:gridCol w:w="6241"/>
        <w:gridCol w:w="6237"/>
      </w:tblGrid>
      <w:tr w:rsidR="001520A7" w:rsidRPr="002B4BE9" w14:paraId="62449BBC" w14:textId="77777777" w:rsidTr="00312D70">
        <w:trPr>
          <w:trHeight w:val="645"/>
        </w:trPr>
        <w:tc>
          <w:tcPr>
            <w:tcW w:w="2685" w:type="dxa"/>
            <w:hideMark/>
          </w:tcPr>
          <w:p w14:paraId="1ACD692B" w14:textId="77777777" w:rsidR="001520A7" w:rsidRPr="002B4BE9" w:rsidRDefault="001520A7" w:rsidP="00312D70">
            <w:pPr>
              <w:rPr>
                <w:rFonts w:ascii="Verdana" w:hAnsi="Verdana"/>
                <w:b/>
                <w:bCs/>
                <w:lang w:val="es-ES_tradnl"/>
              </w:rPr>
            </w:pPr>
            <w:r w:rsidRPr="002B4BE9">
              <w:rPr>
                <w:rFonts w:ascii="Verdana" w:hAnsi="Verdana"/>
                <w:b/>
                <w:bCs/>
                <w:lang w:val="es-ES_tradnl"/>
              </w:rPr>
              <w:t xml:space="preserve">Temas:                  </w:t>
            </w:r>
          </w:p>
        </w:tc>
        <w:tc>
          <w:tcPr>
            <w:tcW w:w="6241" w:type="dxa"/>
            <w:hideMark/>
          </w:tcPr>
          <w:p w14:paraId="554845D3" w14:textId="77777777" w:rsidR="001520A7" w:rsidRPr="007E1D0B" w:rsidRDefault="001520A7" w:rsidP="00312D70">
            <w:pPr>
              <w:snapToGrid w:val="0"/>
              <w:spacing w:line="276" w:lineRule="auto"/>
              <w:jc w:val="both"/>
              <w:rPr>
                <w:rFonts w:ascii="Verdana" w:hAnsi="Verdana" w:cs="Arial"/>
                <w:bCs/>
                <w:lang w:val="es-MX" w:eastAsia="es-ES"/>
              </w:rPr>
            </w:pPr>
            <w:r w:rsidRPr="00565AC8">
              <w:rPr>
                <w:rFonts w:ascii="Verdana" w:hAnsi="Verdana" w:cs="Arial"/>
                <w:bCs/>
                <w:lang w:val="es-ES" w:eastAsia="es-ES"/>
              </w:rPr>
              <w:t>SELECCIÓN ABREVIADA –Causal -Bienes y servicios de características uniformes y de común utilización / BIENES Y SERVICIOS DE CARACTERÍSTICAS TÉCNICAS UNIFORMES Y DE COMÚN UTILIZACIÓN– Definición- características / BIENES Y SERVICIOS DE CARACTERÍSTICAS TÉCNICAS UNIFORMES Y DE COMÚN UTILIZACIÓN- Formas de identificación- Formas de adquisición</w:t>
            </w:r>
            <w:r>
              <w:rPr>
                <w:rFonts w:ascii="Verdana" w:hAnsi="Verdana" w:cs="Arial"/>
                <w:bCs/>
                <w:lang w:val="es-ES" w:eastAsia="es-ES"/>
              </w:rPr>
              <w:t xml:space="preserve"> / BIENES Y SERVICIOS DE CARACTERÍSTICAS TÉCNICAS UNIFORMES Y DE COMÚN UTILIZACIÓN – Pliego de Condiciones – Fichas Técnicas / </w:t>
            </w:r>
            <w:r w:rsidRPr="007E1D0B">
              <w:rPr>
                <w:rFonts w:ascii="Verdana" w:hAnsi="Verdana" w:cs="Arial"/>
                <w:bCs/>
                <w:lang w:val="es-MX" w:eastAsia="es-ES"/>
              </w:rPr>
              <w:t xml:space="preserve">CLASIFICADOR DE BIENES Y SERVICIOS DE NACIONES UNIDAS – Función / CLASIFICADOR DE BIENES Y SERVICIOS DE NACIONES UNIDAS – Noción / CLASIFICADOR DE BIENES Y SERVICIOS DE NACIONES UNIDAS – Normativa / CLASIFICADOR DE BIENES Y SERVICIOS DE NACIONES UNIDAS – Niveles – Uso.  </w:t>
            </w:r>
          </w:p>
        </w:tc>
        <w:tc>
          <w:tcPr>
            <w:tcW w:w="6237" w:type="dxa"/>
          </w:tcPr>
          <w:p w14:paraId="50AB9A20" w14:textId="77777777" w:rsidR="001520A7" w:rsidRPr="002B4BE9" w:rsidRDefault="001520A7" w:rsidP="00312D70">
            <w:pPr>
              <w:rPr>
                <w:rFonts w:ascii="Verdana" w:hAnsi="Verdana"/>
                <w:lang w:val="es-ES"/>
              </w:rPr>
            </w:pPr>
          </w:p>
        </w:tc>
      </w:tr>
      <w:tr w:rsidR="001520A7" w:rsidRPr="002B4BE9" w14:paraId="15D75A6B" w14:textId="77777777" w:rsidTr="00312D70">
        <w:tc>
          <w:tcPr>
            <w:tcW w:w="2685" w:type="dxa"/>
          </w:tcPr>
          <w:p w14:paraId="7D175A87" w14:textId="77777777" w:rsidR="001520A7" w:rsidRDefault="001520A7" w:rsidP="00312D70">
            <w:pPr>
              <w:rPr>
                <w:rFonts w:ascii="Verdana" w:hAnsi="Verdana"/>
                <w:b/>
                <w:bCs/>
                <w:lang w:val="es-ES_tradnl"/>
              </w:rPr>
            </w:pPr>
          </w:p>
          <w:p w14:paraId="03F8E814" w14:textId="77777777" w:rsidR="001520A7" w:rsidRPr="002B4BE9" w:rsidRDefault="001520A7" w:rsidP="00312D70">
            <w:pPr>
              <w:rPr>
                <w:rFonts w:ascii="Verdana" w:hAnsi="Verdana"/>
                <w:b/>
                <w:bCs/>
                <w:lang w:val="es-ES_tradnl"/>
              </w:rPr>
            </w:pPr>
          </w:p>
          <w:p w14:paraId="7EEC04A1" w14:textId="77777777" w:rsidR="001520A7" w:rsidRPr="00995618" w:rsidRDefault="001520A7" w:rsidP="00312D70">
            <w:pPr>
              <w:rPr>
                <w:rFonts w:ascii="Verdana" w:hAnsi="Verdana"/>
                <w:b/>
                <w:bCs/>
                <w:lang w:val="es-ES_tradnl"/>
              </w:rPr>
            </w:pPr>
            <w:r w:rsidRPr="002B4BE9">
              <w:rPr>
                <w:rFonts w:ascii="Verdana" w:hAnsi="Verdana"/>
                <w:b/>
                <w:bCs/>
                <w:lang w:val="es-ES_tradnl"/>
              </w:rPr>
              <w:t xml:space="preserve">Radicación:               </w:t>
            </w:r>
          </w:p>
        </w:tc>
        <w:tc>
          <w:tcPr>
            <w:tcW w:w="6241" w:type="dxa"/>
          </w:tcPr>
          <w:p w14:paraId="3F7A8BA0" w14:textId="77777777" w:rsidR="001520A7" w:rsidRDefault="001520A7" w:rsidP="00312D70">
            <w:pPr>
              <w:spacing w:line="276" w:lineRule="auto"/>
              <w:jc w:val="both"/>
              <w:rPr>
                <w:rFonts w:ascii="Verdana" w:hAnsi="Verdana"/>
                <w:lang w:val="es-ES_tradnl"/>
              </w:rPr>
            </w:pPr>
          </w:p>
          <w:p w14:paraId="5B4B4BC5" w14:textId="77777777" w:rsidR="001520A7" w:rsidRPr="002B4BE9" w:rsidRDefault="001520A7" w:rsidP="00312D70">
            <w:pPr>
              <w:spacing w:line="276" w:lineRule="auto"/>
              <w:jc w:val="both"/>
              <w:rPr>
                <w:rFonts w:ascii="Verdana" w:hAnsi="Verdana"/>
                <w:lang w:val="es-ES_tradnl"/>
              </w:rPr>
            </w:pPr>
          </w:p>
          <w:p w14:paraId="72A6ABD1" w14:textId="77777777" w:rsidR="001520A7" w:rsidRPr="00034B7F" w:rsidRDefault="001520A7" w:rsidP="00312D70">
            <w:pPr>
              <w:spacing w:line="276" w:lineRule="auto"/>
              <w:jc w:val="both"/>
              <w:rPr>
                <w:rFonts w:ascii="Verdana" w:hAnsi="Verdana"/>
                <w:lang w:val="es-ES_tradnl"/>
              </w:rPr>
            </w:pPr>
            <w:r w:rsidRPr="002B4BE9">
              <w:rPr>
                <w:rFonts w:ascii="Verdana" w:hAnsi="Verdana"/>
                <w:lang w:val="es-ES_tradnl"/>
              </w:rPr>
              <w:t>Res</w:t>
            </w:r>
            <w:r>
              <w:rPr>
                <w:rFonts w:ascii="Verdana" w:hAnsi="Verdana"/>
                <w:lang w:val="es-ES_tradnl"/>
              </w:rPr>
              <w:t xml:space="preserve">puesta a consulta con radicado </w:t>
            </w:r>
            <w:r w:rsidRPr="00034B7F">
              <w:rPr>
                <w:rFonts w:ascii="Verdana" w:hAnsi="Verdana"/>
              </w:rPr>
              <w:t>1_2026_07_29_010013</w:t>
            </w:r>
          </w:p>
          <w:p w14:paraId="7F1A564D" w14:textId="77777777" w:rsidR="001520A7" w:rsidRPr="002B4BE9" w:rsidRDefault="001520A7" w:rsidP="00312D70">
            <w:pPr>
              <w:spacing w:line="276" w:lineRule="auto"/>
              <w:jc w:val="both"/>
              <w:rPr>
                <w:rFonts w:ascii="Verdana" w:hAnsi="Verdana"/>
              </w:rPr>
            </w:pPr>
          </w:p>
          <w:p w14:paraId="306DBF09" w14:textId="77777777" w:rsidR="001520A7" w:rsidRPr="002B4BE9" w:rsidRDefault="001520A7" w:rsidP="00312D70">
            <w:pPr>
              <w:spacing w:line="276" w:lineRule="auto"/>
              <w:jc w:val="both"/>
              <w:rPr>
                <w:rFonts w:ascii="Verdana" w:hAnsi="Verdana"/>
              </w:rPr>
            </w:pPr>
          </w:p>
        </w:tc>
        <w:tc>
          <w:tcPr>
            <w:tcW w:w="6237" w:type="dxa"/>
          </w:tcPr>
          <w:p w14:paraId="7D4687DE" w14:textId="77777777" w:rsidR="001520A7" w:rsidRPr="002B4BE9" w:rsidRDefault="001520A7" w:rsidP="00312D70">
            <w:pPr>
              <w:rPr>
                <w:rFonts w:ascii="Verdana" w:hAnsi="Verdana"/>
              </w:rPr>
            </w:pPr>
          </w:p>
        </w:tc>
      </w:tr>
    </w:tbl>
    <w:p w14:paraId="01B47DA3" w14:textId="77777777" w:rsidR="001520A7" w:rsidRPr="009037F6" w:rsidRDefault="001520A7" w:rsidP="001520A7">
      <w:pPr>
        <w:spacing w:after="0" w:line="256" w:lineRule="auto"/>
        <w:rPr>
          <w:rFonts w:ascii="Verdana" w:eastAsia="Calibri" w:hAnsi="Verdana" w:cs="Times New Roman"/>
          <w:lang w:val="es-ES"/>
        </w:rPr>
      </w:pPr>
      <w:r>
        <w:rPr>
          <w:rFonts w:ascii="Verdana" w:eastAsia="Calibri" w:hAnsi="Verdana" w:cs="Times New Roman"/>
          <w:lang w:val="es-ES"/>
        </w:rPr>
        <w:t>Estimado Señora López</w:t>
      </w:r>
      <w:r w:rsidRPr="009037F6">
        <w:rPr>
          <w:rFonts w:ascii="Verdana" w:eastAsia="Calibri" w:hAnsi="Verdana" w:cs="Times New Roman"/>
          <w:lang w:val="es-ES"/>
        </w:rPr>
        <w:t xml:space="preserve">: </w:t>
      </w:r>
    </w:p>
    <w:p w14:paraId="044483A0" w14:textId="77777777" w:rsidR="001520A7" w:rsidRPr="009037F6" w:rsidRDefault="001520A7" w:rsidP="001520A7">
      <w:pPr>
        <w:spacing w:after="0" w:line="276" w:lineRule="auto"/>
        <w:rPr>
          <w:rFonts w:ascii="Verdana" w:eastAsia="Calibri" w:hAnsi="Verdana" w:cs="Times New Roman"/>
          <w:lang w:val="es-ES"/>
        </w:rPr>
      </w:pPr>
    </w:p>
    <w:p w14:paraId="537A4773" w14:textId="77777777" w:rsidR="001520A7" w:rsidRDefault="001520A7" w:rsidP="001520A7">
      <w:pPr>
        <w:spacing w:after="0" w:line="276" w:lineRule="auto"/>
        <w:jc w:val="both"/>
        <w:rPr>
          <w:rFonts w:ascii="Verdana" w:eastAsia="Calibri" w:hAnsi="Verdana" w:cs="Times New Roman"/>
          <w:bCs/>
          <w:lang w:val="es-ES" w:bidi="es-ES"/>
        </w:rPr>
      </w:pPr>
      <w:r w:rsidRPr="009037F6">
        <w:rPr>
          <w:rFonts w:ascii="Verdana" w:eastAsia="Calibri" w:hAnsi="Verdana" w:cs="Times New Roman"/>
          <w:bCs/>
          <w:lang w:bidi="es-ES"/>
        </w:rPr>
        <w:t xml:space="preserve">La Agencia Nacional de Contratación Pública – Colombia Compra Eficiente –, en ejercicio de las competencias otorgadas por los Decretos 4170 de 2011 y 1822 </w:t>
      </w:r>
      <w:r w:rsidRPr="009037F6">
        <w:rPr>
          <w:rFonts w:ascii="Verdana" w:eastAsia="Calibri" w:hAnsi="Verdana" w:cs="Times New Roman"/>
          <w:bCs/>
          <w:lang w:bidi="es-ES"/>
        </w:rPr>
        <w:lastRenderedPageBreak/>
        <w:t xml:space="preserve">de 2019 y de conformidad con las modalidades del derecho de petición contempladas en la Ley 1755 de 2015, así como lo establecido en la Resolución </w:t>
      </w:r>
      <w:proofErr w:type="spellStart"/>
      <w:r w:rsidRPr="009037F6">
        <w:rPr>
          <w:rFonts w:ascii="Verdana" w:eastAsia="Calibri" w:hAnsi="Verdana" w:cs="Times New Roman"/>
          <w:bCs/>
          <w:lang w:bidi="es-ES"/>
        </w:rPr>
        <w:t>N°</w:t>
      </w:r>
      <w:proofErr w:type="spellEnd"/>
      <w:r w:rsidRPr="009037F6">
        <w:rPr>
          <w:rFonts w:ascii="Verdana" w:eastAsia="Calibri" w:hAnsi="Verdana" w:cs="Times New Roman"/>
          <w:bCs/>
          <w:lang w:bidi="es-ES"/>
        </w:rPr>
        <w:t xml:space="preserve"> 469 del 2025 expedida por esta Agencia, </w:t>
      </w:r>
      <w:r w:rsidRPr="009037F6">
        <w:rPr>
          <w:rFonts w:ascii="Verdana" w:eastAsia="Calibri" w:hAnsi="Verdana" w:cs="Times New Roman"/>
          <w:bCs/>
          <w:lang w:val="es-ES" w:bidi="es-ES"/>
        </w:rPr>
        <w:t>respond</w:t>
      </w:r>
      <w:r>
        <w:rPr>
          <w:rFonts w:ascii="Verdana" w:eastAsia="Calibri" w:hAnsi="Verdana" w:cs="Times New Roman"/>
          <w:bCs/>
          <w:lang w:val="es-ES" w:bidi="es-ES"/>
        </w:rPr>
        <w:t>e la solicitud de consulta remitida parcialmente por competencia del 29 de julio de 2026</w:t>
      </w:r>
      <w:r w:rsidRPr="009037F6">
        <w:rPr>
          <w:rFonts w:ascii="Verdana" w:eastAsia="Calibri" w:hAnsi="Verdana" w:cs="Times New Roman"/>
          <w:bCs/>
          <w:lang w:val="es-ES" w:bidi="es-ES"/>
        </w:rPr>
        <w:t xml:space="preserve">, en la cual manifiesta: </w:t>
      </w:r>
    </w:p>
    <w:p w14:paraId="1513EBB3" w14:textId="77777777" w:rsidR="001520A7" w:rsidRDefault="001520A7" w:rsidP="001520A7">
      <w:pPr>
        <w:spacing w:after="0" w:line="276" w:lineRule="auto"/>
        <w:jc w:val="both"/>
        <w:rPr>
          <w:rFonts w:ascii="Verdana" w:eastAsia="Calibri" w:hAnsi="Verdana" w:cs="Times New Roman"/>
          <w:bCs/>
          <w:lang w:val="es-ES" w:bidi="es-ES"/>
        </w:rPr>
      </w:pPr>
    </w:p>
    <w:p w14:paraId="3845EFEB" w14:textId="77777777" w:rsidR="001520A7" w:rsidRPr="00222154" w:rsidRDefault="001520A7" w:rsidP="001520A7">
      <w:pPr>
        <w:spacing w:after="0" w:line="240" w:lineRule="auto"/>
        <w:ind w:left="709" w:right="709"/>
        <w:jc w:val="both"/>
        <w:rPr>
          <w:rFonts w:ascii="Verdana" w:eastAsia="Calibri" w:hAnsi="Verdana" w:cs="Times New Roman"/>
          <w:bCs/>
          <w:sz w:val="20"/>
          <w:szCs w:val="20"/>
          <w:lang w:bidi="es-ES"/>
        </w:rPr>
      </w:pPr>
      <w:r>
        <w:rPr>
          <w:rFonts w:ascii="Verdana" w:eastAsia="Calibri" w:hAnsi="Verdana" w:cs="Times New Roman"/>
          <w:bCs/>
          <w:sz w:val="20"/>
          <w:szCs w:val="20"/>
          <w:lang w:bidi="es-ES"/>
        </w:rPr>
        <w:t>“</w:t>
      </w:r>
      <w:proofErr w:type="gramStart"/>
      <w:r w:rsidRPr="00222154">
        <w:rPr>
          <w:rFonts w:ascii="Verdana" w:eastAsia="Calibri" w:hAnsi="Verdana" w:cs="Times New Roman"/>
          <w:bCs/>
          <w:sz w:val="20"/>
          <w:szCs w:val="20"/>
          <w:lang w:bidi="es-ES"/>
        </w:rPr>
        <w:t>1.Solicito</w:t>
      </w:r>
      <w:proofErr w:type="gramEnd"/>
      <w:r w:rsidRPr="00222154">
        <w:rPr>
          <w:rFonts w:ascii="Verdana" w:eastAsia="Calibri" w:hAnsi="Verdana" w:cs="Times New Roman"/>
          <w:bCs/>
          <w:sz w:val="20"/>
          <w:szCs w:val="20"/>
          <w:lang w:bidi="es-ES"/>
        </w:rPr>
        <w:t xml:space="preserve"> respetuosamente a la SIC, que con la información prevista en el presente documento y con los estudios que requiere realizar, emita un concepto técnico mediante el cual determine con suma claridad si los dispositivos médicos /materiales de osteosíntesis / reemplazos articulares / prótesis de cadera se consideran o no BCTU. </w:t>
      </w:r>
    </w:p>
    <w:p w14:paraId="6E11E58E" w14:textId="77777777" w:rsidR="001520A7" w:rsidRPr="00222154" w:rsidRDefault="001520A7" w:rsidP="001520A7">
      <w:pPr>
        <w:spacing w:after="0" w:line="240" w:lineRule="auto"/>
        <w:ind w:left="709" w:right="709"/>
        <w:jc w:val="both"/>
        <w:rPr>
          <w:rFonts w:ascii="Verdana" w:eastAsia="Calibri" w:hAnsi="Verdana" w:cs="Times New Roman"/>
          <w:bCs/>
          <w:sz w:val="20"/>
          <w:szCs w:val="20"/>
          <w:lang w:bidi="es-ES"/>
        </w:rPr>
      </w:pPr>
      <w:r w:rsidRPr="00222154">
        <w:rPr>
          <w:rFonts w:ascii="Verdana" w:eastAsia="Calibri" w:hAnsi="Verdana" w:cs="Times New Roman"/>
          <w:bCs/>
          <w:sz w:val="20"/>
          <w:szCs w:val="20"/>
          <w:lang w:bidi="es-ES"/>
        </w:rPr>
        <w:t xml:space="preserve">2. Solicito respetuosamente se me indique si, para el sector salud, existen bienes considerados de características técnicas uniformes y de común utilización, junto con sus respectivas especificaciones técnicas, patrones de desempeño y estándares de calidad que permitan la adquisición bajo condiciones homogéneas. </w:t>
      </w:r>
    </w:p>
    <w:p w14:paraId="3FA07AF6" w14:textId="77777777" w:rsidR="001520A7" w:rsidRDefault="001520A7" w:rsidP="001520A7">
      <w:pPr>
        <w:spacing w:after="0" w:line="240" w:lineRule="auto"/>
        <w:ind w:left="709" w:right="709"/>
        <w:jc w:val="both"/>
        <w:rPr>
          <w:rFonts w:ascii="Verdana" w:eastAsia="Calibri" w:hAnsi="Verdana" w:cs="Times New Roman"/>
          <w:bCs/>
          <w:sz w:val="20"/>
          <w:szCs w:val="20"/>
          <w:lang w:bidi="es-ES"/>
        </w:rPr>
      </w:pPr>
      <w:r w:rsidRPr="00222154">
        <w:rPr>
          <w:rFonts w:ascii="Verdana" w:eastAsia="Calibri" w:hAnsi="Verdana" w:cs="Times New Roman"/>
          <w:bCs/>
          <w:sz w:val="20"/>
          <w:szCs w:val="20"/>
          <w:lang w:bidi="es-ES"/>
        </w:rPr>
        <w:t xml:space="preserve">3. Solicito se me informe con claridad cuáles son esos bienes del sector salud que se consideran de características técnicas uniformes y de común utilización, detallando sus especificaciones técnicas, patrones de desempeño y estándares de calidad. </w:t>
      </w:r>
    </w:p>
    <w:p w14:paraId="0A9A0B4F" w14:textId="77777777" w:rsidR="001520A7" w:rsidRPr="00222154" w:rsidRDefault="001520A7" w:rsidP="001520A7">
      <w:pPr>
        <w:spacing w:after="0" w:line="240" w:lineRule="auto"/>
        <w:ind w:left="709" w:right="709"/>
        <w:jc w:val="both"/>
        <w:rPr>
          <w:rFonts w:ascii="Verdana" w:eastAsia="Calibri" w:hAnsi="Verdana" w:cs="Times New Roman"/>
          <w:bCs/>
          <w:sz w:val="20"/>
          <w:szCs w:val="20"/>
          <w:lang w:bidi="es-ES"/>
        </w:rPr>
      </w:pPr>
      <w:r w:rsidRPr="00222154">
        <w:rPr>
          <w:rFonts w:ascii="Verdana" w:eastAsia="Calibri" w:hAnsi="Verdana" w:cs="Times New Roman"/>
          <w:bCs/>
          <w:sz w:val="20"/>
          <w:szCs w:val="20"/>
          <w:lang w:bidi="es-ES"/>
        </w:rPr>
        <w:t xml:space="preserve">4. Solicito se me aclare si la categoría de bienes y servicios de características técnicas uniformes y de común utilización aplica para los materiales de osteosíntesis requeridos en procedimientos quirúrgicos. </w:t>
      </w:r>
    </w:p>
    <w:p w14:paraId="52B0844E" w14:textId="77777777" w:rsidR="001520A7" w:rsidRPr="00222154" w:rsidRDefault="001520A7" w:rsidP="001520A7">
      <w:pPr>
        <w:spacing w:after="0" w:line="240" w:lineRule="auto"/>
        <w:ind w:left="709" w:right="709"/>
        <w:jc w:val="both"/>
        <w:rPr>
          <w:rFonts w:ascii="Verdana" w:eastAsia="Calibri" w:hAnsi="Verdana" w:cs="Times New Roman"/>
          <w:bCs/>
          <w:sz w:val="20"/>
          <w:szCs w:val="20"/>
          <w:lang w:bidi="es-ES"/>
        </w:rPr>
      </w:pPr>
      <w:r w:rsidRPr="00222154">
        <w:rPr>
          <w:rFonts w:ascii="Verdana" w:eastAsia="Calibri" w:hAnsi="Verdana" w:cs="Times New Roman"/>
          <w:bCs/>
          <w:sz w:val="20"/>
          <w:szCs w:val="20"/>
          <w:lang w:bidi="es-ES"/>
        </w:rPr>
        <w:t xml:space="preserve">5. Solicito se me informe con claridad cuáles son los materiales de osteosíntesis que se consideran bienes y servicios de características técnicas uniformes y de común utilización, con sus respectivas especificaciones técnicas, patrones de desempeño y estándares de calidad. </w:t>
      </w:r>
    </w:p>
    <w:p w14:paraId="58D07D6D" w14:textId="77777777" w:rsidR="001520A7" w:rsidRPr="00B758F7" w:rsidRDefault="001520A7" w:rsidP="001520A7">
      <w:pPr>
        <w:spacing w:after="0" w:line="240" w:lineRule="auto"/>
        <w:ind w:left="709" w:right="709"/>
        <w:jc w:val="both"/>
        <w:rPr>
          <w:rFonts w:ascii="Verdana" w:eastAsia="Calibri" w:hAnsi="Verdana" w:cs="Times New Roman"/>
          <w:bCs/>
          <w:lang w:bidi="es-ES"/>
        </w:rPr>
      </w:pPr>
      <w:r w:rsidRPr="00222154">
        <w:rPr>
          <w:rFonts w:ascii="Verdana" w:eastAsia="Calibri" w:hAnsi="Verdana" w:cs="Times New Roman"/>
          <w:bCs/>
          <w:sz w:val="20"/>
          <w:szCs w:val="20"/>
          <w:lang w:bidi="es-ES"/>
        </w:rPr>
        <w:t>6. Solicito respetuosamente se me aclare cómo puede construirse una ficha técnica uniforme para bienes dispositivos médicos / materiales de osteosíntesis / reemplazos articulares / prótesis de cadera, cuando cada fabricante establece especificaciones propias (dimensiones, modularidad, recubrimientos, sistemas de fijación, materiales combinados), lo cual impide la comparación objetiva únicamente por precio.</w:t>
      </w:r>
      <w:r>
        <w:rPr>
          <w:rFonts w:ascii="Verdana" w:eastAsia="Calibri" w:hAnsi="Verdana" w:cs="Times New Roman"/>
          <w:bCs/>
          <w:lang w:bidi="es-ES"/>
        </w:rPr>
        <w:t xml:space="preserve"> </w:t>
      </w:r>
    </w:p>
    <w:p w14:paraId="51689750" w14:textId="77777777" w:rsidR="001520A7" w:rsidRDefault="001520A7" w:rsidP="001520A7">
      <w:pPr>
        <w:spacing w:after="0" w:line="240" w:lineRule="auto"/>
        <w:ind w:left="709" w:right="709"/>
        <w:jc w:val="both"/>
        <w:rPr>
          <w:rFonts w:ascii="Verdana" w:eastAsia="Calibri" w:hAnsi="Verdana" w:cs="Times New Roman"/>
          <w:bCs/>
          <w:sz w:val="20"/>
          <w:szCs w:val="20"/>
          <w:lang w:bidi="es-ES"/>
        </w:rPr>
      </w:pPr>
      <w:r>
        <w:rPr>
          <w:rFonts w:ascii="Verdana" w:eastAsia="Calibri" w:hAnsi="Verdana" w:cs="Times New Roman"/>
          <w:bCs/>
          <w:sz w:val="20"/>
          <w:szCs w:val="20"/>
          <w:lang w:bidi="es-ES"/>
        </w:rPr>
        <w:t xml:space="preserve">7. El Decreto 1082 de 2015 exige que la ficha técnica incluya unidad de medida, calidad mínima y patrones de desempeño. En dispositivos médicos / materiales de osteosíntesis / reemplazos articulares / prótesis de cadera, estos parámetros no son homogéneos. </w:t>
      </w:r>
    </w:p>
    <w:p w14:paraId="3481B44D" w14:textId="77777777" w:rsidR="001520A7" w:rsidRPr="00F0799F" w:rsidRDefault="001520A7" w:rsidP="001520A7">
      <w:pPr>
        <w:pStyle w:val="Prrafodelista"/>
        <w:numPr>
          <w:ilvl w:val="0"/>
          <w:numId w:val="28"/>
        </w:numPr>
        <w:spacing w:after="0" w:line="240" w:lineRule="auto"/>
        <w:ind w:right="709"/>
        <w:jc w:val="both"/>
        <w:rPr>
          <w:rFonts w:ascii="Verdana" w:eastAsia="Calibri" w:hAnsi="Verdana" w:cs="Times New Roman"/>
          <w:bCs/>
          <w:sz w:val="20"/>
          <w:szCs w:val="20"/>
          <w:lang w:bidi="es-ES"/>
        </w:rPr>
      </w:pPr>
      <w:r w:rsidRPr="00F0799F">
        <w:rPr>
          <w:rFonts w:ascii="Verdana" w:eastAsia="Calibri" w:hAnsi="Verdana" w:cs="Times New Roman"/>
          <w:bCs/>
          <w:sz w:val="20"/>
          <w:szCs w:val="20"/>
          <w:lang w:bidi="es-ES"/>
        </w:rPr>
        <w:t xml:space="preserve">Un tornillo de osteosíntesis puede varias en longitud, diámetro, tipo de rosca y material (acero, titanio, biodegradable) </w:t>
      </w:r>
    </w:p>
    <w:p w14:paraId="6EEEB873" w14:textId="77777777" w:rsidR="001520A7" w:rsidRPr="00B758F7" w:rsidRDefault="001520A7" w:rsidP="001520A7">
      <w:pPr>
        <w:pStyle w:val="Prrafodelista"/>
        <w:numPr>
          <w:ilvl w:val="0"/>
          <w:numId w:val="28"/>
        </w:numPr>
        <w:spacing w:after="0" w:line="240" w:lineRule="auto"/>
        <w:ind w:right="709"/>
        <w:jc w:val="both"/>
        <w:rPr>
          <w:rFonts w:ascii="Verdana" w:eastAsia="Calibri" w:hAnsi="Verdana" w:cs="Times New Roman"/>
          <w:bCs/>
          <w:sz w:val="20"/>
          <w:szCs w:val="20"/>
          <w:lang w:bidi="es-ES"/>
        </w:rPr>
      </w:pPr>
      <w:r w:rsidRPr="00F0799F">
        <w:rPr>
          <w:rFonts w:ascii="Verdana" w:eastAsia="Calibri" w:hAnsi="Verdana" w:cs="Times New Roman"/>
          <w:bCs/>
          <w:sz w:val="20"/>
          <w:szCs w:val="20"/>
          <w:lang w:bidi="es-ES"/>
        </w:rPr>
        <w:t xml:space="preserve">Una prótesis de cadera puede ser total, parcial modula, cementada o no cementada, con superficies porosas o recubiertas de hidroxiapatita. </w:t>
      </w:r>
    </w:p>
    <w:p w14:paraId="572702BF" w14:textId="77777777" w:rsidR="001520A7" w:rsidRDefault="001520A7" w:rsidP="001520A7">
      <w:pPr>
        <w:spacing w:after="0" w:line="240" w:lineRule="auto"/>
        <w:ind w:left="709" w:right="709"/>
        <w:jc w:val="both"/>
        <w:rPr>
          <w:rFonts w:ascii="Verdana" w:eastAsia="Calibri" w:hAnsi="Verdana" w:cs="Times New Roman"/>
          <w:bCs/>
          <w:sz w:val="20"/>
          <w:szCs w:val="20"/>
          <w:lang w:bidi="es-ES"/>
        </w:rPr>
      </w:pPr>
      <w:r>
        <w:rPr>
          <w:rFonts w:ascii="Verdana" w:eastAsia="Calibri" w:hAnsi="Verdana" w:cs="Times New Roman"/>
          <w:bCs/>
          <w:sz w:val="20"/>
          <w:szCs w:val="20"/>
          <w:lang w:bidi="es-ES"/>
        </w:rPr>
        <w:lastRenderedPageBreak/>
        <w:t xml:space="preserve">Por lo anterior, ¿existe un estándar único que permita definir “características uniformes” sin excluir tecnologías disponibles en el mercado?, y, ¿la ficha técnica se convertiría en una descripción de un fabricante específico? </w:t>
      </w:r>
    </w:p>
    <w:p w14:paraId="0EA133AE" w14:textId="77777777" w:rsidR="001520A7" w:rsidRDefault="001520A7" w:rsidP="001520A7">
      <w:pPr>
        <w:spacing w:after="0" w:line="240" w:lineRule="auto"/>
        <w:ind w:left="709" w:right="709"/>
        <w:jc w:val="both"/>
        <w:rPr>
          <w:rFonts w:ascii="Verdana" w:eastAsia="Calibri" w:hAnsi="Verdana" w:cs="Times New Roman"/>
          <w:bCs/>
          <w:sz w:val="20"/>
          <w:szCs w:val="20"/>
          <w:lang w:bidi="es-ES"/>
        </w:rPr>
      </w:pPr>
      <w:r>
        <w:rPr>
          <w:rFonts w:ascii="Verdana" w:eastAsia="Calibri" w:hAnsi="Verdana" w:cs="Times New Roman"/>
          <w:bCs/>
          <w:sz w:val="20"/>
          <w:szCs w:val="20"/>
          <w:lang w:bidi="es-ES"/>
        </w:rPr>
        <w:t>8. Solicito se me aclare cómo puede construirse una ficha técnica uniforme cuando los dispositivos médicos/ materiales de osteosíntesis / reemplazos articulares / prótesis de cadera presentan modularidad (componentes intercambiables) y combinaciones de materiales (aleaciones de titanio, cromo-</w:t>
      </w:r>
      <w:proofErr w:type="spellStart"/>
      <w:r>
        <w:rPr>
          <w:rFonts w:ascii="Verdana" w:eastAsia="Calibri" w:hAnsi="Verdana" w:cs="Times New Roman"/>
          <w:bCs/>
          <w:sz w:val="20"/>
          <w:szCs w:val="20"/>
          <w:lang w:bidi="es-ES"/>
        </w:rPr>
        <w:t>cabalto</w:t>
      </w:r>
      <w:proofErr w:type="spellEnd"/>
      <w:r>
        <w:rPr>
          <w:rFonts w:ascii="Verdana" w:eastAsia="Calibri" w:hAnsi="Verdana" w:cs="Times New Roman"/>
          <w:bCs/>
          <w:sz w:val="20"/>
          <w:szCs w:val="20"/>
          <w:lang w:bidi="es-ES"/>
        </w:rPr>
        <w:t xml:space="preserve">, polietileno, recubrimientos </w:t>
      </w:r>
      <w:proofErr w:type="spellStart"/>
      <w:r>
        <w:rPr>
          <w:rFonts w:ascii="Verdana" w:eastAsia="Calibri" w:hAnsi="Verdana" w:cs="Times New Roman"/>
          <w:bCs/>
          <w:sz w:val="20"/>
          <w:szCs w:val="20"/>
          <w:lang w:bidi="es-ES"/>
        </w:rPr>
        <w:t>osteoconductores</w:t>
      </w:r>
      <w:proofErr w:type="spellEnd"/>
      <w:r>
        <w:rPr>
          <w:rFonts w:ascii="Verdana" w:eastAsia="Calibri" w:hAnsi="Verdana" w:cs="Times New Roman"/>
          <w:bCs/>
          <w:sz w:val="20"/>
          <w:szCs w:val="20"/>
          <w:lang w:bidi="es-ES"/>
        </w:rPr>
        <w:t>) cada uno con propiedades distintas de desempeño y seguridad clínica.</w:t>
      </w:r>
    </w:p>
    <w:p w14:paraId="594848F7" w14:textId="77777777" w:rsidR="001520A7" w:rsidRDefault="001520A7" w:rsidP="001520A7">
      <w:pPr>
        <w:spacing w:after="0" w:line="240" w:lineRule="auto"/>
        <w:ind w:left="709" w:right="709"/>
        <w:jc w:val="both"/>
        <w:rPr>
          <w:rFonts w:ascii="Verdana" w:eastAsia="Calibri" w:hAnsi="Verdana" w:cs="Times New Roman"/>
          <w:bCs/>
          <w:sz w:val="20"/>
          <w:szCs w:val="20"/>
          <w:lang w:bidi="es-ES"/>
        </w:rPr>
      </w:pPr>
    </w:p>
    <w:p w14:paraId="452412C2" w14:textId="77777777" w:rsidR="001520A7" w:rsidRDefault="001520A7" w:rsidP="001520A7">
      <w:pPr>
        <w:spacing w:after="0" w:line="240" w:lineRule="auto"/>
        <w:ind w:left="709" w:right="709"/>
        <w:jc w:val="both"/>
        <w:rPr>
          <w:rFonts w:ascii="Verdana" w:eastAsia="Calibri" w:hAnsi="Verdana" w:cs="Times New Roman"/>
          <w:bCs/>
          <w:sz w:val="20"/>
          <w:szCs w:val="20"/>
          <w:lang w:bidi="es-ES"/>
        </w:rPr>
      </w:pPr>
      <w:r>
        <w:rPr>
          <w:rFonts w:ascii="Verdana" w:eastAsia="Calibri" w:hAnsi="Verdana" w:cs="Times New Roman"/>
          <w:bCs/>
          <w:sz w:val="20"/>
          <w:szCs w:val="20"/>
          <w:lang w:bidi="es-ES"/>
        </w:rPr>
        <w:t xml:space="preserve">14. Solicito se me aclare cómo la clasificación UNSPSC puede ser utilizada como criterio suficiente para definir bienes de características técnicas uniformes, cuando dicho clasificador es un sistema de codificación administrativo y no un instrumento clínico o técnico que refleja la diversidad de diseños, materiales y aplicaciones de los dispositivos médicos. </w:t>
      </w:r>
    </w:p>
    <w:p w14:paraId="13F06CF4" w14:textId="77777777" w:rsidR="001520A7" w:rsidRDefault="001520A7" w:rsidP="001520A7">
      <w:pPr>
        <w:spacing w:after="0" w:line="240" w:lineRule="auto"/>
        <w:ind w:left="709" w:right="709"/>
        <w:jc w:val="both"/>
        <w:rPr>
          <w:rFonts w:ascii="Verdana" w:eastAsia="Calibri" w:hAnsi="Verdana" w:cs="Times New Roman"/>
          <w:bCs/>
          <w:sz w:val="20"/>
          <w:szCs w:val="20"/>
          <w:lang w:bidi="es-ES"/>
        </w:rPr>
      </w:pPr>
      <w:r>
        <w:rPr>
          <w:rFonts w:ascii="Verdana" w:eastAsia="Calibri" w:hAnsi="Verdana" w:cs="Times New Roman"/>
          <w:bCs/>
          <w:sz w:val="20"/>
          <w:szCs w:val="20"/>
          <w:lang w:bidi="es-ES"/>
        </w:rPr>
        <w:t xml:space="preserve">15. Solicito se me aclare cómo puede sostenerse que la clasificación como BTU depende de la forma de construir la especificación técnica y no de una característica intrínseca de los materiales, cuando el Decreto 1082 de 2015 exige que la ficha técnica incluya unidad de medida, calidad mínima y patrones de desempeño. Estos parámetros son intrínsecos a los dispositivos médicos / materiales de osteosíntesis / reemplazos articulares / prótesis de cadera y varían según fabricante, indicación clínica y diseño. </w:t>
      </w:r>
    </w:p>
    <w:p w14:paraId="09908344" w14:textId="77777777" w:rsidR="001520A7" w:rsidRDefault="001520A7" w:rsidP="001520A7">
      <w:pPr>
        <w:spacing w:after="0" w:line="240" w:lineRule="auto"/>
        <w:ind w:left="709" w:right="709"/>
        <w:jc w:val="both"/>
        <w:rPr>
          <w:rFonts w:ascii="Verdana" w:eastAsia="Calibri" w:hAnsi="Verdana" w:cs="Times New Roman"/>
          <w:bCs/>
          <w:sz w:val="20"/>
          <w:szCs w:val="20"/>
          <w:lang w:bidi="es-ES"/>
        </w:rPr>
      </w:pPr>
      <w:r>
        <w:rPr>
          <w:rFonts w:ascii="Verdana" w:eastAsia="Calibri" w:hAnsi="Verdana" w:cs="Times New Roman"/>
          <w:bCs/>
          <w:sz w:val="20"/>
          <w:szCs w:val="20"/>
          <w:lang w:bidi="es-ES"/>
        </w:rPr>
        <w:t xml:space="preserve">16. Solicito se me aclare si los dispositivos médicos / materiales de osteosíntesis / reemplazos articulares / prótesis de cadera son susceptibles de clasificarse como bienes de características uniformes, cuando no existe una lista oficial de tales materiales a febrero de 2026 y que su adquisición depende de especificaciones descriptivas por partes de las ESE y/o Entidades Estatales. </w:t>
      </w:r>
    </w:p>
    <w:p w14:paraId="08088B24" w14:textId="77777777" w:rsidR="001520A7" w:rsidRPr="00BC5E22" w:rsidRDefault="001520A7" w:rsidP="001520A7">
      <w:pPr>
        <w:spacing w:after="0" w:line="240" w:lineRule="auto"/>
        <w:ind w:left="709" w:right="709"/>
        <w:jc w:val="both"/>
        <w:rPr>
          <w:rFonts w:ascii="Verdana" w:eastAsia="Calibri" w:hAnsi="Verdana" w:cs="Times New Roman"/>
          <w:bCs/>
          <w:sz w:val="20"/>
          <w:szCs w:val="20"/>
          <w:lang w:bidi="es-ES"/>
        </w:rPr>
      </w:pPr>
      <w:r>
        <w:rPr>
          <w:rFonts w:ascii="Verdana" w:eastAsia="Calibri" w:hAnsi="Verdana" w:cs="Times New Roman"/>
          <w:bCs/>
          <w:sz w:val="20"/>
          <w:szCs w:val="20"/>
          <w:lang w:bidi="es-ES"/>
        </w:rPr>
        <w:t xml:space="preserve">17. Solicito se me indique como puede cumplirse lo dispuesto en el artículo 2.2.1.2.1.2.1. del Decreto 1082 de 2015 – que exige ficha técnica con clasificación, unidad de medida, calidad mínima y patrones de desempeño- en el caso de los dispositivos médicos / materiales de osteosíntesis / reemplazos articulares / prótesis de cadera, cuando estos parámetros varían según fabricante, indicación clásica y diseño del implante”. </w:t>
      </w:r>
    </w:p>
    <w:p w14:paraId="4ACEA9D6" w14:textId="77777777" w:rsidR="001520A7" w:rsidRPr="005000A1" w:rsidRDefault="001520A7" w:rsidP="001520A7">
      <w:pPr>
        <w:spacing w:after="0" w:line="240" w:lineRule="auto"/>
        <w:ind w:right="709"/>
        <w:jc w:val="both"/>
        <w:rPr>
          <w:rFonts w:ascii="Verdana" w:eastAsia="Calibri" w:hAnsi="Verdana" w:cs="Times New Roman"/>
          <w:bCs/>
          <w:sz w:val="21"/>
          <w:szCs w:val="21"/>
          <w:lang w:bidi="es-ES"/>
        </w:rPr>
      </w:pPr>
    </w:p>
    <w:p w14:paraId="755654B3" w14:textId="77777777" w:rsidR="001520A7" w:rsidRPr="009037F6" w:rsidRDefault="001520A7" w:rsidP="001520A7">
      <w:pPr>
        <w:spacing w:after="120" w:line="276" w:lineRule="auto"/>
        <w:ind w:firstLine="709"/>
        <w:jc w:val="both"/>
        <w:rPr>
          <w:rFonts w:ascii="Verdana" w:eastAsia="Calibri" w:hAnsi="Verdana" w:cs="Times New Roman"/>
          <w:lang w:val="es-ES"/>
        </w:rPr>
      </w:pPr>
      <w:r w:rsidRPr="009037F6">
        <w:rPr>
          <w:rFonts w:ascii="Verdana" w:eastAsia="Calibri" w:hAnsi="Verdana" w:cs="Times New Roman"/>
          <w:lang w:val="es-ES"/>
        </w:rPr>
        <w:t xml:space="preserve">De manera preliminar, resulta necesario acotar que esta entidad solo tiene competencia para responder consultas sobre la aplicación de normas de carácter general en materia de compras y contratación pública. En ese sentido, resolver casos particulares desborda las atribuciones asignadas por el legislador extraordinario, que no concibió a Colombia Compra Eficiente como una autoridad para solucionar problemas jurídicos particulares de todos los partícipes del </w:t>
      </w:r>
      <w:r w:rsidRPr="009037F6">
        <w:rPr>
          <w:rFonts w:ascii="Verdana" w:eastAsia="Calibri" w:hAnsi="Verdana" w:cs="Times New Roman"/>
          <w:lang w:val="es-ES"/>
        </w:rPr>
        <w:lastRenderedPageBreak/>
        <w:t>sistema de compra pública. La competencia de esta entidad se fija con límites claros, con el objeto de evitar que la Agencia actúe como una instancia de validación de las actuaciones de las entidades sujetas a la Ley 80 de 1993 o de los demás participantes de la contratación pública. Esta competencia de interpretación de normas generales, por definición, no puede extenderse a la resolución de controversias, ni a brindar asesorías sobre casos puntuales, ni a determinar grados de responsabilidad por las actuaciones de los diferentes participes del sistema de compra pública.</w:t>
      </w:r>
    </w:p>
    <w:p w14:paraId="0BFC4EB1" w14:textId="77777777" w:rsidR="001520A7" w:rsidRPr="009037F6" w:rsidRDefault="001520A7" w:rsidP="001520A7">
      <w:pPr>
        <w:spacing w:after="0" w:line="276" w:lineRule="auto"/>
        <w:ind w:firstLine="708"/>
        <w:jc w:val="both"/>
        <w:rPr>
          <w:rFonts w:ascii="Verdana" w:eastAsia="Calibri" w:hAnsi="Verdana" w:cs="Times New Roman"/>
          <w:lang w:val="es-ES"/>
        </w:rPr>
      </w:pPr>
      <w:r w:rsidRPr="009037F6">
        <w:rPr>
          <w:rFonts w:ascii="Verdana" w:eastAsia="Calibri" w:hAnsi="Verdana" w:cs="Times New Roman"/>
          <w:lang w:val="es-ES"/>
        </w:rPr>
        <w:t xml:space="preserve">Conforme lo expuesto, en aras de satisfacer el derecho fundamental de petición se resolverá su consulta dentro de los límites de la referida competencia consultiva, esto es, haciendo abstracción de las circunstancias particulares y concretas mencionadas en su petición, pero haciendo unas consideraciones sobre las normas generales relacionadas con </w:t>
      </w:r>
      <w:r>
        <w:rPr>
          <w:rFonts w:ascii="Verdana" w:eastAsia="Calibri" w:hAnsi="Verdana" w:cs="Times New Roman"/>
          <w:lang w:val="es-ES"/>
        </w:rPr>
        <w:t xml:space="preserve">los problemas jurídicos de su consulta. </w:t>
      </w:r>
    </w:p>
    <w:p w14:paraId="696392EC" w14:textId="77777777" w:rsidR="001520A7" w:rsidRPr="009037F6" w:rsidRDefault="001520A7" w:rsidP="001520A7">
      <w:pPr>
        <w:spacing w:after="0" w:line="276" w:lineRule="auto"/>
        <w:rPr>
          <w:rFonts w:ascii="Verdana" w:eastAsia="Calibri" w:hAnsi="Verdana" w:cs="Times New Roman"/>
          <w:lang w:val="es-ES"/>
        </w:rPr>
      </w:pPr>
    </w:p>
    <w:p w14:paraId="2C085189" w14:textId="77777777" w:rsidR="001520A7" w:rsidRPr="009037F6" w:rsidRDefault="001520A7" w:rsidP="001520A7">
      <w:pPr>
        <w:numPr>
          <w:ilvl w:val="0"/>
          <w:numId w:val="16"/>
        </w:numPr>
        <w:spacing w:after="0" w:line="276" w:lineRule="auto"/>
        <w:rPr>
          <w:rFonts w:ascii="Verdana" w:eastAsia="Calibri" w:hAnsi="Verdana" w:cs="Times New Roman"/>
          <w:b/>
          <w:bCs/>
          <w:lang w:val="es-ES"/>
        </w:rPr>
      </w:pPr>
      <w:r w:rsidRPr="009037F6">
        <w:rPr>
          <w:rFonts w:ascii="Verdana" w:eastAsia="Calibri" w:hAnsi="Verdana" w:cs="Times New Roman"/>
          <w:b/>
          <w:bCs/>
          <w:lang w:val="es-ES"/>
        </w:rPr>
        <w:t>Problema planteado:</w:t>
      </w:r>
    </w:p>
    <w:p w14:paraId="562CBA87" w14:textId="77777777" w:rsidR="001520A7" w:rsidRPr="009037F6" w:rsidRDefault="001520A7" w:rsidP="001520A7">
      <w:pPr>
        <w:spacing w:after="0" w:line="276" w:lineRule="auto"/>
        <w:rPr>
          <w:rFonts w:ascii="Verdana" w:eastAsia="Calibri" w:hAnsi="Verdana" w:cs="Times New Roman"/>
        </w:rPr>
      </w:pPr>
    </w:p>
    <w:p w14:paraId="0CFCAB02" w14:textId="77777777" w:rsidR="001520A7" w:rsidRPr="00E3070C" w:rsidRDefault="001520A7" w:rsidP="001520A7">
      <w:pPr>
        <w:spacing w:after="0" w:line="276" w:lineRule="auto"/>
        <w:jc w:val="both"/>
        <w:rPr>
          <w:rFonts w:ascii="Verdana" w:eastAsia="Calibri" w:hAnsi="Verdana"/>
        </w:rPr>
      </w:pPr>
      <w:r w:rsidRPr="009037F6">
        <w:rPr>
          <w:rFonts w:ascii="Verdana" w:eastAsia="Calibri" w:hAnsi="Verdana" w:cs="Times New Roman"/>
        </w:rPr>
        <w:t>De acuerdo con</w:t>
      </w:r>
      <w:r>
        <w:rPr>
          <w:rFonts w:ascii="Verdana" w:eastAsia="Calibri" w:hAnsi="Verdana" w:cs="Times New Roman"/>
        </w:rPr>
        <w:t xml:space="preserve"> el contenido de sus solicitudes, la Agencia procede a resolver los siguientes problemas jurídicos: i) </w:t>
      </w:r>
      <w:r w:rsidRPr="00006D8D">
        <w:rPr>
          <w:rFonts w:ascii="Verdana" w:eastAsia="Calibri" w:hAnsi="Verdana" w:cs="Times New Roman"/>
        </w:rPr>
        <w:t xml:space="preserve">¿Qué se entiende por Bienes </w:t>
      </w:r>
      <w:r>
        <w:rPr>
          <w:rFonts w:ascii="Verdana" w:eastAsia="Calibri" w:hAnsi="Verdana" w:cs="Times New Roman"/>
        </w:rPr>
        <w:t>y</w:t>
      </w:r>
      <w:r w:rsidRPr="00006D8D">
        <w:rPr>
          <w:rFonts w:ascii="Verdana" w:eastAsia="Calibri" w:hAnsi="Verdana" w:cs="Times New Roman"/>
        </w:rPr>
        <w:t xml:space="preserve"> Servicios </w:t>
      </w:r>
      <w:r>
        <w:rPr>
          <w:rFonts w:ascii="Verdana" w:eastAsia="Calibri" w:hAnsi="Verdana" w:cs="Times New Roman"/>
        </w:rPr>
        <w:t>d</w:t>
      </w:r>
      <w:r w:rsidRPr="00006D8D">
        <w:rPr>
          <w:rFonts w:ascii="Verdana" w:eastAsia="Calibri" w:hAnsi="Verdana" w:cs="Times New Roman"/>
        </w:rPr>
        <w:t>e Características Técnicas Uniformes</w:t>
      </w:r>
      <w:r>
        <w:rPr>
          <w:rFonts w:ascii="Verdana" w:eastAsia="Calibri" w:hAnsi="Verdana" w:cs="Times New Roman"/>
        </w:rPr>
        <w:t xml:space="preserve"> y de Común Utilización </w:t>
      </w:r>
      <w:r w:rsidRPr="00006D8D">
        <w:rPr>
          <w:rFonts w:ascii="Verdana" w:eastAsia="Calibri" w:hAnsi="Verdana" w:cs="Times New Roman"/>
        </w:rPr>
        <w:t>al momento de clasificar dispositivos e insumos médicos, y cuáles son los criterios normativos aplicables para dicha categorización</w:t>
      </w:r>
      <w:r>
        <w:rPr>
          <w:rFonts w:ascii="Verdana" w:eastAsia="Calibri" w:hAnsi="Verdana" w:cs="Times New Roman"/>
        </w:rPr>
        <w:t xml:space="preserve">, y si </w:t>
      </w:r>
      <w:r w:rsidRPr="00006D8D">
        <w:rPr>
          <w:rFonts w:ascii="Verdana" w:eastAsia="Calibri" w:hAnsi="Verdana" w:cs="Times New Roman"/>
        </w:rPr>
        <w:t>existe una lista taxativa</w:t>
      </w:r>
      <w:r>
        <w:rPr>
          <w:rFonts w:ascii="Verdana" w:eastAsia="Calibri" w:hAnsi="Verdana"/>
        </w:rPr>
        <w:t xml:space="preserve">?; </w:t>
      </w:r>
      <w:proofErr w:type="spellStart"/>
      <w:r>
        <w:rPr>
          <w:rFonts w:ascii="Verdana" w:eastAsia="Calibri" w:hAnsi="Verdana"/>
        </w:rPr>
        <w:t>ii</w:t>
      </w:r>
      <w:proofErr w:type="spellEnd"/>
      <w:r>
        <w:rPr>
          <w:rFonts w:ascii="Verdana" w:eastAsia="Calibri" w:hAnsi="Verdana"/>
        </w:rPr>
        <w:t xml:space="preserve">) </w:t>
      </w:r>
      <w:r w:rsidRPr="00D82B95">
        <w:rPr>
          <w:rFonts w:ascii="Verdana" w:eastAsia="Calibri" w:hAnsi="Verdana" w:cs="Times New Roman"/>
        </w:rPr>
        <w:t>¿Cómo puede cumplirse la exigencia prevista en el artículo 2.2.1.2.1.2.1 del Decreto 1082 de 2015 respecto a la elaboración de fichas técnicas con clasificación, unidad de medida, calidad mínima y patrones de desempeño, en el caso de dispositivos e insumos médicos cuyos parámetros varían según fabricante, indicación clínica</w:t>
      </w:r>
      <w:r>
        <w:rPr>
          <w:rFonts w:ascii="Verdana" w:eastAsia="Calibri" w:hAnsi="Verdana" w:cs="Times New Roman"/>
        </w:rPr>
        <w:t xml:space="preserve"> y demás aspectos</w:t>
      </w:r>
      <w:r w:rsidRPr="00D82B95">
        <w:rPr>
          <w:rFonts w:ascii="Verdana" w:eastAsia="Calibri" w:hAnsi="Verdana" w:cs="Times New Roman"/>
        </w:rPr>
        <w:t>?</w:t>
      </w:r>
      <w:r>
        <w:rPr>
          <w:rFonts w:ascii="Verdana" w:eastAsia="Calibri" w:hAnsi="Verdana" w:cs="Times New Roman"/>
        </w:rPr>
        <w:t xml:space="preserve">; </w:t>
      </w:r>
      <w:proofErr w:type="spellStart"/>
      <w:r w:rsidRPr="00467C16">
        <w:rPr>
          <w:rFonts w:ascii="Verdana" w:eastAsia="Calibri" w:hAnsi="Verdana" w:cs="Times New Roman"/>
        </w:rPr>
        <w:t>ii</w:t>
      </w:r>
      <w:r>
        <w:rPr>
          <w:rFonts w:ascii="Verdana" w:eastAsia="Calibri" w:hAnsi="Verdana" w:cs="Times New Roman"/>
        </w:rPr>
        <w:t>i</w:t>
      </w:r>
      <w:proofErr w:type="spellEnd"/>
      <w:r w:rsidRPr="00467C16">
        <w:rPr>
          <w:rFonts w:ascii="Verdana" w:eastAsia="Calibri" w:hAnsi="Verdana" w:cs="Times New Roman"/>
        </w:rPr>
        <w:t>) ¿Qué papel desempeña la clasificación UNSPSC en la definición de Bienes y Servicios de Características Técnicas Uniformes y de Común Utilización en el sector salud, y hasta qué punto estos instrumentos garantizan transparencia, igualdad y selección objetiva en los procesos de contratación pública?</w:t>
      </w:r>
    </w:p>
    <w:p w14:paraId="543916A9" w14:textId="77777777" w:rsidR="001520A7" w:rsidRPr="009037F6" w:rsidRDefault="001520A7" w:rsidP="001520A7">
      <w:pPr>
        <w:spacing w:after="0" w:line="276" w:lineRule="auto"/>
        <w:jc w:val="both"/>
        <w:rPr>
          <w:rFonts w:ascii="Verdana" w:eastAsia="Calibri" w:hAnsi="Verdana" w:cs="Times New Roman"/>
          <w:i/>
          <w:iCs/>
          <w:lang w:val="es-ES"/>
        </w:rPr>
      </w:pPr>
    </w:p>
    <w:p w14:paraId="2D272E4F" w14:textId="77777777" w:rsidR="001520A7" w:rsidRPr="009037F6" w:rsidRDefault="001520A7" w:rsidP="001520A7">
      <w:pPr>
        <w:numPr>
          <w:ilvl w:val="0"/>
          <w:numId w:val="16"/>
        </w:numPr>
        <w:spacing w:after="0" w:line="276" w:lineRule="auto"/>
        <w:rPr>
          <w:rFonts w:ascii="Verdana" w:eastAsia="Calibri" w:hAnsi="Verdana" w:cs="Times New Roman"/>
          <w:b/>
          <w:bCs/>
          <w:lang w:val="es-ES"/>
        </w:rPr>
      </w:pPr>
      <w:r w:rsidRPr="009037F6">
        <w:rPr>
          <w:rFonts w:ascii="Verdana" w:eastAsia="Calibri" w:hAnsi="Verdana" w:cs="Times New Roman"/>
          <w:b/>
          <w:bCs/>
          <w:lang w:val="es-ES"/>
        </w:rPr>
        <w:t>Respuesta:</w:t>
      </w:r>
    </w:p>
    <w:p w14:paraId="5328492A" w14:textId="77777777" w:rsidR="001520A7" w:rsidRPr="009037F6" w:rsidRDefault="001520A7" w:rsidP="001520A7">
      <w:pPr>
        <w:spacing w:after="0" w:line="276" w:lineRule="auto"/>
        <w:rPr>
          <w:rFonts w:ascii="Verdana" w:eastAsia="Calibri" w:hAnsi="Verdana" w:cs="Times New Roman"/>
          <w:b/>
          <w:bCs/>
          <w:lang w:val="es-ES"/>
        </w:rPr>
      </w:pPr>
    </w:p>
    <w:tbl>
      <w:tblPr>
        <w:tblStyle w:val="Tablaconcuadrcula11"/>
        <w:tblW w:w="878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784"/>
      </w:tblGrid>
      <w:tr w:rsidR="001520A7" w:rsidRPr="009037F6" w14:paraId="2C686D80" w14:textId="77777777" w:rsidTr="00312D70">
        <w:trPr>
          <w:trHeight w:val="345"/>
          <w:jc w:val="center"/>
        </w:trPr>
        <w:tc>
          <w:tcPr>
            <w:tcW w:w="8784" w:type="dxa"/>
            <w:tcBorders>
              <w:bottom w:val="single" w:sz="4" w:space="0" w:color="auto"/>
            </w:tcBorders>
          </w:tcPr>
          <w:p w14:paraId="4B8BC080" w14:textId="77777777" w:rsidR="001520A7" w:rsidRDefault="001520A7" w:rsidP="00312D70">
            <w:pPr>
              <w:spacing w:line="276" w:lineRule="auto"/>
              <w:jc w:val="both"/>
              <w:rPr>
                <w:rFonts w:ascii="Verdana" w:eastAsia="Calibri" w:hAnsi="Verdana" w:cs="Arial"/>
                <w:color w:val="000000" w:themeColor="text1"/>
              </w:rPr>
            </w:pPr>
            <w:r>
              <w:rPr>
                <w:rFonts w:ascii="Verdana" w:eastAsia="Calibri" w:hAnsi="Verdana" w:cs="Arial"/>
                <w:color w:val="000000" w:themeColor="text1"/>
              </w:rPr>
              <w:t>Para resolver los problemas jurídicos, objeto de consulta, se señala:</w:t>
            </w:r>
          </w:p>
          <w:p w14:paraId="4B64CC16" w14:textId="77777777" w:rsidR="001520A7" w:rsidRDefault="001520A7" w:rsidP="00312D70">
            <w:pPr>
              <w:spacing w:line="276" w:lineRule="auto"/>
              <w:jc w:val="both"/>
              <w:rPr>
                <w:rFonts w:ascii="Verdana" w:hAnsi="Verdana" w:cs="Arial"/>
                <w:lang w:val="es-ES_tradnl" w:eastAsia="es-ES"/>
              </w:rPr>
            </w:pPr>
          </w:p>
          <w:p w14:paraId="74F63CCF" w14:textId="77777777" w:rsidR="001520A7" w:rsidRPr="008663C8" w:rsidRDefault="001520A7" w:rsidP="00312D70">
            <w:pPr>
              <w:spacing w:after="120" w:line="276" w:lineRule="auto"/>
              <w:jc w:val="both"/>
              <w:rPr>
                <w:rFonts w:ascii="Verdana" w:hAnsi="Verdana" w:cs="Arial"/>
                <w:lang w:eastAsia="es-ES"/>
              </w:rPr>
            </w:pPr>
            <w:r>
              <w:rPr>
                <w:rFonts w:ascii="Verdana" w:hAnsi="Verdana" w:cs="Arial"/>
                <w:lang w:val="es-ES_tradnl" w:eastAsia="es-ES"/>
              </w:rPr>
              <w:t>i. En relación con el primer problema jurídico de su consulta, se precisa que en el campo del Sistema de Compras Públicas, los Bienes y Servicios de Características Técnicas Uniformes y de Común Utilización</w:t>
            </w:r>
            <w:r w:rsidRPr="008663C8">
              <w:rPr>
                <w:rFonts w:ascii="Verdana" w:hAnsi="Verdana" w:cs="Arial"/>
                <w:lang w:eastAsia="es-ES"/>
              </w:rPr>
              <w:t xml:space="preserve"> se definen a partir de dos elementos centrales: primero, que posean especificaciones técnicas homogéneas y compartan patrones de desempeño y calidad objetivamente verificables; y segundo, que su uso sea común y generalizado, de manera que puedan adquirirse en el mercado bajo un estándar aplicable a quienes los requieran. Esto significa que la oferta de tales bienes ocurre en condiciones similares para las entidades estatales, lo que permite establecer criterios objetivos de comparación y facilita la selección de contratistas en igualdad de condiciones.</w:t>
            </w:r>
          </w:p>
          <w:p w14:paraId="2587C2B8" w14:textId="77777777" w:rsidR="001520A7" w:rsidRPr="008663C8" w:rsidRDefault="001520A7" w:rsidP="00312D70">
            <w:pPr>
              <w:spacing w:after="120" w:line="276" w:lineRule="auto"/>
              <w:ind w:firstLine="709"/>
              <w:jc w:val="both"/>
              <w:rPr>
                <w:rFonts w:ascii="Verdana" w:hAnsi="Verdana" w:cs="Arial"/>
                <w:lang w:eastAsia="es-ES"/>
              </w:rPr>
            </w:pPr>
            <w:r>
              <w:rPr>
                <w:rFonts w:ascii="Verdana" w:hAnsi="Verdana" w:cs="Arial"/>
                <w:lang w:eastAsia="es-ES"/>
              </w:rPr>
              <w:t>Este tipo de bienes y servicios</w:t>
            </w:r>
            <w:r w:rsidRPr="008663C8">
              <w:rPr>
                <w:rFonts w:ascii="Verdana" w:hAnsi="Verdana" w:cs="Arial"/>
                <w:lang w:eastAsia="es-ES"/>
              </w:rPr>
              <w:t xml:space="preserve"> se reconocen porque pueden adquirirse en el mercado bajo condiciones estandarizadas u homogéneas, sin depender de un proveedor específico ni de un diseño singular. Su naturaleza permite que el comprador público verifique el cumplimiento de requisitos equivalentes y que los bienes sean intercambiables entre sí, sin que las diferencias de marca o presentación alteren su funcionalidad esencial. Esta uniformidad técnica favorece la consolidación de la demanda, la estandarización de fichas técnicas y la aplicación de procesos de selección simplificados, asegurando la concurrencia de múltiples oferentes y la objetividad en la contratación.</w:t>
            </w:r>
          </w:p>
          <w:p w14:paraId="6445C783" w14:textId="77777777" w:rsidR="001520A7" w:rsidRPr="008663C8" w:rsidRDefault="001520A7" w:rsidP="00312D70">
            <w:pPr>
              <w:spacing w:after="120" w:line="276" w:lineRule="auto"/>
              <w:ind w:firstLine="709"/>
              <w:jc w:val="both"/>
              <w:rPr>
                <w:rFonts w:ascii="Verdana" w:hAnsi="Verdana" w:cs="Arial"/>
                <w:lang w:eastAsia="es-ES"/>
              </w:rPr>
            </w:pPr>
            <w:r w:rsidRPr="008663C8">
              <w:rPr>
                <w:rFonts w:ascii="Verdana" w:hAnsi="Verdana" w:cs="Arial"/>
                <w:lang w:eastAsia="es-ES"/>
              </w:rPr>
              <w:t>En el caso particular de los dispositivos médicos y de insumos como materiales de osteosíntesis, reemplazos articulares o prótesis de cadera, la categorización como B</w:t>
            </w:r>
            <w:r>
              <w:rPr>
                <w:rFonts w:ascii="Verdana" w:hAnsi="Verdana" w:cs="Arial"/>
                <w:lang w:eastAsia="es-ES"/>
              </w:rPr>
              <w:t>ien o Servicios de Características Uniformes y de Común Utilización</w:t>
            </w:r>
            <w:r w:rsidRPr="008663C8">
              <w:rPr>
                <w:rFonts w:ascii="Verdana" w:hAnsi="Verdana" w:cs="Arial"/>
                <w:lang w:eastAsia="es-ES"/>
              </w:rPr>
              <w:t xml:space="preserve"> exige verificar si, pese a las variaciones de diseño, indicación clínica</w:t>
            </w:r>
            <w:r>
              <w:rPr>
                <w:rFonts w:ascii="Verdana" w:hAnsi="Verdana" w:cs="Arial"/>
                <w:lang w:eastAsia="es-ES"/>
              </w:rPr>
              <w:t>, materiales que los componen</w:t>
            </w:r>
            <w:r w:rsidRPr="008663C8">
              <w:rPr>
                <w:rFonts w:ascii="Verdana" w:hAnsi="Verdana" w:cs="Arial"/>
                <w:lang w:eastAsia="es-ES"/>
              </w:rPr>
              <w:t xml:space="preserve"> o fabricante, es posible identificar parámetros homogéneos de desempeño, calidad mínima y unidad de medida que permitan su comparación objetiva. La uniformidad técnica no excluye variaciones menores en diseño, materiales o presentación, sino que se centra en la posibilidad de adquirir bienes funcionalmente equivalentes, con estándares verificables y condiciones de suministro que aseguren transparencia, eficiencia y selección objetiva en el marco del Sistema de Compras Públicas.</w:t>
            </w:r>
          </w:p>
          <w:p w14:paraId="6403CF0B" w14:textId="77777777" w:rsidR="001520A7" w:rsidRDefault="001520A7" w:rsidP="00312D70">
            <w:pPr>
              <w:spacing w:after="120" w:line="276" w:lineRule="auto"/>
              <w:ind w:firstLine="709"/>
              <w:jc w:val="both"/>
              <w:rPr>
                <w:rFonts w:ascii="Verdana" w:hAnsi="Verdana" w:cs="Arial"/>
                <w:lang w:eastAsia="es-ES"/>
              </w:rPr>
            </w:pPr>
            <w:r w:rsidRPr="008663C8">
              <w:rPr>
                <w:rFonts w:ascii="Verdana" w:hAnsi="Verdana" w:cs="Arial"/>
                <w:lang w:eastAsia="es-ES"/>
              </w:rPr>
              <w:lastRenderedPageBreak/>
              <w:t xml:space="preserve">No obstante, es importante precisar que la definición de un bien o servicio como </w:t>
            </w:r>
            <w:r>
              <w:rPr>
                <w:rFonts w:ascii="Verdana" w:hAnsi="Verdana" w:cs="Arial"/>
                <w:lang w:eastAsia="es-ES"/>
              </w:rPr>
              <w:t xml:space="preserve">Bien o Servicios de Características Técnicas Uniformes y de Común Utilización </w:t>
            </w:r>
            <w:r w:rsidRPr="008663C8">
              <w:rPr>
                <w:rFonts w:ascii="Verdana" w:hAnsi="Verdana" w:cs="Arial"/>
                <w:lang w:eastAsia="es-ES"/>
              </w:rPr>
              <w:t>no está s</w:t>
            </w:r>
            <w:r>
              <w:rPr>
                <w:rFonts w:ascii="Verdana" w:hAnsi="Verdana" w:cs="Arial"/>
                <w:lang w:eastAsia="es-ES"/>
              </w:rPr>
              <w:t>ujeto</w:t>
            </w:r>
            <w:r w:rsidRPr="008663C8">
              <w:rPr>
                <w:rFonts w:ascii="Verdana" w:hAnsi="Verdana" w:cs="Arial"/>
                <w:lang w:eastAsia="es-ES"/>
              </w:rPr>
              <w:t xml:space="preserve"> a un listado taxativo emitido por la Agencia Nacional de Contratación Pública –Colombia Compra Eficiente–. La categorización depende de las especificaciones que requiera la entidad contratante y de las condiciones reales de oferta en el mercado, lo que obliga a que la determinación se realice en los estudios previos. Estos estudios deben establecer el objeto, el alcance y los parámetros técnicos mínimos que permitan verificar la existencia de homogeneidad y comparabilidad entre los productos o servicios ofertados. </w:t>
            </w:r>
            <w:r>
              <w:rPr>
                <w:rFonts w:ascii="Verdana" w:hAnsi="Verdana" w:cs="Arial"/>
                <w:lang w:eastAsia="es-ES"/>
              </w:rPr>
              <w:t xml:space="preserve">Por tanto, la clasificación de este tipo de Bienes y Servicios </w:t>
            </w:r>
            <w:r w:rsidRPr="008663C8">
              <w:rPr>
                <w:rFonts w:ascii="Verdana" w:hAnsi="Verdana" w:cs="Arial"/>
                <w:lang w:eastAsia="es-ES"/>
              </w:rPr>
              <w:t>es un proceso contextual y dinámico que exige rigor técnico y normativo, equilibrando la necesidad de uniformidad con la diversidad del mercado y garantizando la transparencia y objetividad en la contratación estatal.</w:t>
            </w:r>
            <w:r>
              <w:rPr>
                <w:rFonts w:ascii="Verdana" w:hAnsi="Verdana" w:cs="Arial"/>
                <w:lang w:eastAsia="es-ES"/>
              </w:rPr>
              <w:t xml:space="preserve"> Es decir, es un análisis que debe partir de un análisis técnico, así como jurídico para determinar si los bienes o servicios que se requieren en el caso del sector de la salud, puede catalogarse dentro de la categoría de Bienes y Servicios de Características Técnicas Uniformes y de Común Utilización. </w:t>
            </w:r>
            <w:r w:rsidRPr="00F06778">
              <w:rPr>
                <w:rFonts w:ascii="Verdana" w:hAnsi="Verdana" w:cs="Arial"/>
                <w:lang w:eastAsia="es-ES"/>
              </w:rPr>
              <w:t>En todo caso, esta Agencia no expide listados de los bienes que deban considerarse de características técnicas uniformes y de común utilización ni certifica esa condición respecto de dispositivos médicos concretos, pues tal determinación corresponde a la entidad contratante en sus estudios previos, mientras que la caracterización técnica y sanitaria de estos productos compete a las autoridades del sector salud, en particular al INVIMA</w:t>
            </w:r>
            <w:r>
              <w:rPr>
                <w:rFonts w:ascii="Verdana" w:hAnsi="Verdana" w:cs="Arial"/>
                <w:lang w:eastAsia="es-ES"/>
              </w:rPr>
              <w:t xml:space="preserve"> (Preguntas 1 a la 6, 16). </w:t>
            </w:r>
          </w:p>
          <w:p w14:paraId="012ACCC4" w14:textId="77777777" w:rsidR="001520A7" w:rsidRPr="0052250B" w:rsidRDefault="001520A7" w:rsidP="00312D70">
            <w:pPr>
              <w:spacing w:after="120" w:line="276" w:lineRule="auto"/>
              <w:jc w:val="both"/>
              <w:rPr>
                <w:rFonts w:ascii="Verdana" w:hAnsi="Verdana" w:cs="Arial"/>
                <w:lang w:eastAsia="es-ES"/>
              </w:rPr>
            </w:pPr>
            <w:proofErr w:type="spellStart"/>
            <w:r>
              <w:rPr>
                <w:rFonts w:ascii="Verdana" w:hAnsi="Verdana" w:cs="Arial"/>
                <w:lang w:eastAsia="es-ES"/>
              </w:rPr>
              <w:t>ii</w:t>
            </w:r>
            <w:proofErr w:type="spellEnd"/>
            <w:r>
              <w:rPr>
                <w:rFonts w:ascii="Verdana" w:hAnsi="Verdana" w:cs="Arial"/>
                <w:lang w:eastAsia="es-ES"/>
              </w:rPr>
              <w:t xml:space="preserve">. En torno al segundo problema jurídico de consulta, se precisa que la </w:t>
            </w:r>
            <w:r w:rsidRPr="0052250B">
              <w:rPr>
                <w:rFonts w:ascii="Verdana" w:hAnsi="Verdana" w:cs="Arial"/>
                <w:lang w:eastAsia="es-ES"/>
              </w:rPr>
              <w:t>exigencia prevista en el artículo 2.2.1.2.1.2.1 del Decreto 1082 de 2015 establece que, en los pliegos de condiciones para contratar bienes y servicios de características técnicas uniformes, la entidad estatal debe incluir una ficha técnica detallada. Este instrumento jurídico</w:t>
            </w:r>
            <w:r w:rsidRPr="0052250B">
              <w:rPr>
                <w:rFonts w:ascii="Verdana" w:hAnsi="Verdana" w:cs="Arial"/>
                <w:lang w:eastAsia="es-ES"/>
              </w:rPr>
              <w:noBreakHyphen/>
              <w:t xml:space="preserve">técnico permite estandarizar la información sobre el objeto contractual y garantizar que los oferentes cuenten con parámetros claros y verificables. La ficha debe contener la clasificación del bien o servicio conforme al Clasificador de Bienes y Servicios, la identificación adicional requerida, la unidad de medida aplicable, la calidad mínima exigida y los patrones de desempeño mínimos, lo que asegura la </w:t>
            </w:r>
            <w:r w:rsidRPr="0052250B">
              <w:rPr>
                <w:rFonts w:ascii="Verdana" w:hAnsi="Verdana" w:cs="Arial"/>
                <w:lang w:eastAsia="es-ES"/>
              </w:rPr>
              <w:lastRenderedPageBreak/>
              <w:t>funcionalidad y la comparabilidad de las ofertas en condiciones de transparencia y selección objetiva.</w:t>
            </w:r>
          </w:p>
          <w:p w14:paraId="61FE20AA" w14:textId="77777777" w:rsidR="001520A7" w:rsidRPr="0052250B" w:rsidRDefault="001520A7" w:rsidP="00312D70">
            <w:pPr>
              <w:spacing w:after="120" w:line="276" w:lineRule="auto"/>
              <w:ind w:firstLine="709"/>
              <w:jc w:val="both"/>
              <w:rPr>
                <w:rFonts w:ascii="Verdana" w:hAnsi="Verdana" w:cs="Arial"/>
                <w:lang w:eastAsia="es-ES"/>
              </w:rPr>
            </w:pPr>
            <w:r>
              <w:rPr>
                <w:rFonts w:ascii="Verdana" w:hAnsi="Verdana" w:cs="Arial"/>
                <w:lang w:eastAsia="es-ES"/>
              </w:rPr>
              <w:t xml:space="preserve">En </w:t>
            </w:r>
            <w:r w:rsidRPr="0052250B">
              <w:rPr>
                <w:rFonts w:ascii="Verdana" w:hAnsi="Verdana" w:cs="Arial"/>
                <w:lang w:eastAsia="es-ES"/>
              </w:rPr>
              <w:t xml:space="preserve">el caso de dispositivos e insumos médicos, como materiales de osteosíntesis, reemplazos articulares o prótesis de cadera, la </w:t>
            </w:r>
            <w:r>
              <w:rPr>
                <w:rFonts w:ascii="Verdana" w:hAnsi="Verdana" w:cs="Arial"/>
                <w:lang w:eastAsia="es-ES"/>
              </w:rPr>
              <w:t>elaboración</w:t>
            </w:r>
            <w:r w:rsidRPr="0052250B">
              <w:rPr>
                <w:rFonts w:ascii="Verdana" w:hAnsi="Verdana" w:cs="Arial"/>
                <w:lang w:eastAsia="es-ES"/>
              </w:rPr>
              <w:t xml:space="preserve"> de la ficha técnica enfrenta el reto de la diversidad tecnológica y clínica. Estos bienes presentan variaciones sustanciales en longitud, diámetro, materiales, modularidad y recubrimientos, lo que dificulta la definición de un estándar único sin excluir opciones disponibles en el mercado. Por ello, la ficha técnica debe orientarse a establecer criterios generales de desempeño, seguridad y calidad mínima que permitan la comparación objetiva entre alternativas, evitando que se convierta en una descripción cerrada de un fabricante específico y asegurando la concurrencia de múltiples oferentes.</w:t>
            </w:r>
          </w:p>
          <w:p w14:paraId="6D381311" w14:textId="77777777" w:rsidR="001520A7" w:rsidRPr="0052250B" w:rsidRDefault="001520A7" w:rsidP="00312D70">
            <w:pPr>
              <w:spacing w:after="120" w:line="276" w:lineRule="auto"/>
              <w:ind w:firstLine="709"/>
              <w:jc w:val="both"/>
              <w:rPr>
                <w:rFonts w:ascii="Verdana" w:hAnsi="Verdana" w:cs="Arial"/>
                <w:lang w:eastAsia="es-ES"/>
              </w:rPr>
            </w:pPr>
            <w:r>
              <w:rPr>
                <w:rFonts w:ascii="Verdana" w:hAnsi="Verdana" w:cs="Arial"/>
                <w:lang w:eastAsia="es-ES"/>
              </w:rPr>
              <w:t>En efecto</w:t>
            </w:r>
            <w:r w:rsidRPr="0052250B">
              <w:rPr>
                <w:rFonts w:ascii="Verdana" w:hAnsi="Verdana" w:cs="Arial"/>
                <w:lang w:eastAsia="es-ES"/>
              </w:rPr>
              <w:t>, el cumplimiento de la norma no implica homogeneizar las características intrínsecas de cada dispositivo, sino construir especificaciones técnicas basadas en parámetros funcionales y rangos verificables que aseguren transparencia y libre competencia. La clasificación como bienes de características técnicas uniformes depende de la forma en que se estructuren las fichas técnicas y no de la eliminación de la diversidad tecnológica, lo que obliga a las entidades a elaborar estudios previos rigurosos que definan criterios mínimos de calidad y desempeño aplicables a diferentes tecnologías. De esta manera, se logra un equilibrio entre la exigencia normativa de uniformidad, las particularidades técnicas de los insumos médicos y la realidad del mercado, promoviendo procesos de contratación pública eficientes, objetivos y abiertos a la innovación en el sector salud</w:t>
            </w:r>
            <w:r w:rsidRPr="00182445">
              <w:rPr>
                <w:rFonts w:ascii="Verdana" w:hAnsi="Verdana" w:cs="Arial"/>
                <w:lang w:eastAsia="es-ES"/>
              </w:rPr>
              <w:t xml:space="preserve">. </w:t>
            </w:r>
            <w:r w:rsidRPr="00F06778">
              <w:rPr>
                <w:rFonts w:ascii="Verdana" w:hAnsi="Verdana" w:cs="Arial"/>
                <w:lang w:eastAsia="es-ES"/>
              </w:rPr>
              <w:t>Para tal efecto, la ficha técnica puede apoyarse en parámetros objetivos y verificables provenientes del régimen sanitario de estos productos, como la clasificación de riesgo y el registro sanitario exigidos por el Decreto 4725 de 2005 ante el INVIMA, así como en las normas técnicas aplicables, de modo que las condiciones mínimas de calidad y desempeño no se asocien a un fabricante determinado.</w:t>
            </w:r>
            <w:r w:rsidRPr="00182445">
              <w:rPr>
                <w:rFonts w:ascii="Verdana" w:hAnsi="Verdana" w:cs="Arial"/>
                <w:lang w:eastAsia="es-ES"/>
              </w:rPr>
              <w:t xml:space="preserve">  (Preguntas 7, 8 y 17).</w:t>
            </w:r>
            <w:r>
              <w:rPr>
                <w:rFonts w:ascii="Verdana" w:hAnsi="Verdana" w:cs="Arial"/>
                <w:lang w:eastAsia="es-ES"/>
              </w:rPr>
              <w:t xml:space="preserve"> </w:t>
            </w:r>
          </w:p>
          <w:p w14:paraId="1B405B67" w14:textId="77777777" w:rsidR="001520A7" w:rsidRPr="002135C2" w:rsidRDefault="001520A7" w:rsidP="00312D70">
            <w:pPr>
              <w:spacing w:after="120" w:line="276" w:lineRule="auto"/>
              <w:jc w:val="both"/>
              <w:rPr>
                <w:rFonts w:ascii="Verdana" w:hAnsi="Verdana" w:cs="Arial"/>
                <w:lang w:eastAsia="es-ES"/>
              </w:rPr>
            </w:pPr>
            <w:proofErr w:type="spellStart"/>
            <w:r>
              <w:rPr>
                <w:rFonts w:ascii="Verdana" w:hAnsi="Verdana" w:cs="Arial"/>
                <w:lang w:eastAsia="es-ES"/>
              </w:rPr>
              <w:t>iii</w:t>
            </w:r>
            <w:proofErr w:type="spellEnd"/>
            <w:r>
              <w:rPr>
                <w:rFonts w:ascii="Verdana" w:hAnsi="Verdana" w:cs="Arial"/>
                <w:lang w:eastAsia="es-ES"/>
              </w:rPr>
              <w:t xml:space="preserve">. Con respecto al tercer problema jurídico de su consulta, se señala que la </w:t>
            </w:r>
            <w:r w:rsidRPr="00182445">
              <w:rPr>
                <w:rFonts w:ascii="Verdana" w:hAnsi="Verdana" w:cs="Arial"/>
                <w:lang w:eastAsia="es-ES"/>
              </w:rPr>
              <w:t xml:space="preserve">clasificación UNSPSC </w:t>
            </w:r>
            <w:r w:rsidRPr="00F06778">
              <w:rPr>
                <w:rFonts w:ascii="Verdana" w:hAnsi="Verdana" w:cs="Arial"/>
                <w:lang w:eastAsia="es-ES"/>
              </w:rPr>
              <w:t xml:space="preserve">no constituye, por sí misma, el criterio que determina si un bien o servicio tiene características técnicas uniformes y de común utilización, sino un sistema de codificación administrativo que dota de un </w:t>
            </w:r>
            <w:r w:rsidRPr="00F06778">
              <w:rPr>
                <w:rFonts w:ascii="Verdana" w:hAnsi="Verdana" w:cs="Arial"/>
                <w:lang w:eastAsia="es-ES"/>
              </w:rPr>
              <w:lastRenderedPageBreak/>
              <w:t>lenguaje común a los partícipes del Sistema de Compras Públicas y permite identificar y agrupar productos e insumos médicos</w:t>
            </w:r>
            <w:r w:rsidRPr="00182445">
              <w:rPr>
                <w:rFonts w:ascii="Verdana" w:hAnsi="Verdana" w:cs="Arial"/>
                <w:lang w:eastAsia="es-ES"/>
              </w:rPr>
              <w:t xml:space="preserve"> dentro de niveles jerárquicos que van de lo general a lo particular: segmento, familia</w:t>
            </w:r>
            <w:r>
              <w:rPr>
                <w:rFonts w:ascii="Verdana" w:hAnsi="Verdana" w:cs="Arial"/>
                <w:lang w:eastAsia="es-ES"/>
              </w:rPr>
              <w:t>, clase y producto. Cada nivel aporta dígitos específicos que, combinados, generan un código de ocho dígitos asociado a un bien o servicio en particular. Este proceso de subsunción asegura que las características y condiciones de cada insumo médico queden reflejadas en un código único, lo cual facilita su identificación en los pliegos de condiciones y en el Registro Único de Proponentes -</w:t>
            </w:r>
            <w:r w:rsidRPr="002135C2">
              <w:rPr>
                <w:rFonts w:ascii="Verdana" w:hAnsi="Verdana" w:cs="Arial"/>
                <w:lang w:eastAsia="es-ES"/>
              </w:rPr>
              <w:t>RU</w:t>
            </w:r>
            <w:r>
              <w:rPr>
                <w:rFonts w:ascii="Verdana" w:hAnsi="Verdana" w:cs="Arial"/>
                <w:lang w:eastAsia="es-ES"/>
              </w:rPr>
              <w:t>P-</w:t>
            </w:r>
            <w:r w:rsidRPr="002135C2">
              <w:rPr>
                <w:rFonts w:ascii="Verdana" w:hAnsi="Verdana" w:cs="Arial"/>
                <w:lang w:eastAsia="es-ES"/>
              </w:rPr>
              <w:t>.</w:t>
            </w:r>
          </w:p>
          <w:p w14:paraId="0EFF4B5F" w14:textId="77777777" w:rsidR="001520A7" w:rsidRDefault="001520A7" w:rsidP="00312D70">
            <w:pPr>
              <w:spacing w:after="120" w:line="276" w:lineRule="auto"/>
              <w:ind w:firstLine="709"/>
              <w:jc w:val="both"/>
              <w:rPr>
                <w:rFonts w:ascii="Verdana" w:hAnsi="Verdana" w:cs="Arial"/>
                <w:u w:val="single"/>
                <w:lang w:val="es-MX" w:eastAsia="es-ES"/>
              </w:rPr>
            </w:pPr>
            <w:r w:rsidRPr="002135C2">
              <w:rPr>
                <w:rFonts w:ascii="Verdana" w:hAnsi="Verdana" w:cs="Arial"/>
                <w:lang w:eastAsia="es-ES"/>
              </w:rPr>
              <w:t>En el sector salud, la utilización del UNSPSC garantiza que la descripción del objeto contractual se realice con base en parámetros técnicos verificables y homogéneos, lo que permite la comparabilidad de las ofertas y la concurrencia de múltiples proveedores. Al exigir que las entidades estatales incluyan estos códigos en los pliegos de condiciones, se asegura que la clasificación responda a criterios objetivos y no a preferencias discrecionales, fortaleciendo la transparencia y la selección objetiva.</w:t>
            </w:r>
            <w:r>
              <w:rPr>
                <w:rFonts w:ascii="Verdana" w:hAnsi="Verdana" w:cs="Arial"/>
                <w:lang w:eastAsia="es-ES"/>
              </w:rPr>
              <w:t xml:space="preserve"> En este sentido, la Agencia</w:t>
            </w:r>
            <w:r w:rsidRPr="002135C2">
              <w:rPr>
                <w:rFonts w:ascii="Verdana" w:hAnsi="Verdana" w:cs="Arial"/>
                <w:lang w:eastAsia="es-ES"/>
              </w:rPr>
              <w:t xml:space="preserve"> </w:t>
            </w:r>
            <w:r w:rsidRPr="00454B69">
              <w:rPr>
                <w:rFonts w:ascii="Verdana" w:hAnsi="Verdana" w:cs="Arial"/>
                <w:lang w:val="es-MX" w:eastAsia="es-ES"/>
              </w:rPr>
              <w:t xml:space="preserve">expidió la “Guía para la codificación de bienes y servicios de acuerdo con el código estándar de productos y servicios de Naciones Unidas, V.14.080”. </w:t>
            </w:r>
            <w:r w:rsidRPr="00BD3842">
              <w:rPr>
                <w:rFonts w:ascii="Verdana" w:hAnsi="Verdana" w:cs="Arial"/>
                <w:lang w:val="es-MX" w:eastAsia="es-ES"/>
              </w:rPr>
              <w:t xml:space="preserve">Este documento contiene una serie de instrucciones y nociones básicas </w:t>
            </w:r>
            <w:r w:rsidRPr="00F06778">
              <w:rPr>
                <w:rFonts w:ascii="Verdana" w:hAnsi="Verdana" w:cs="Arial"/>
                <w:lang w:val="es-MX" w:eastAsia="es-ES"/>
              </w:rPr>
              <w:t>para el uso del Clasificador de Bienes y Servicios por parte de las entidades estatales en sus procesos de contratació</w:t>
            </w:r>
            <w:r w:rsidRPr="00BD3842">
              <w:rPr>
                <w:rFonts w:ascii="Verdana" w:hAnsi="Verdana" w:cs="Arial"/>
                <w:lang w:val="es-MX" w:eastAsia="es-ES"/>
              </w:rPr>
              <w:t>n.</w:t>
            </w:r>
            <w:r>
              <w:rPr>
                <w:rFonts w:ascii="Verdana" w:hAnsi="Verdana" w:cs="Arial"/>
                <w:lang w:val="es-MX" w:eastAsia="es-ES"/>
              </w:rPr>
              <w:t xml:space="preserve"> </w:t>
            </w:r>
            <w:r w:rsidRPr="00454B69">
              <w:rPr>
                <w:rFonts w:ascii="Verdana" w:hAnsi="Verdana" w:cs="Arial"/>
                <w:lang w:val="es-MX" w:eastAsia="es-ES"/>
              </w:rPr>
              <w:t xml:space="preserve">Esta se encuentra disponible para consulta en: </w:t>
            </w:r>
            <w:hyperlink r:id="rId13" w:history="1">
              <w:r w:rsidRPr="00454B69">
                <w:rPr>
                  <w:rStyle w:val="Hipervnculo"/>
                  <w:rFonts w:ascii="Verdana" w:hAnsi="Verdana" w:cs="Arial"/>
                  <w:lang w:val="es-MX" w:eastAsia="es-ES"/>
                </w:rPr>
                <w:t>https://www.colombiacompra.gov.co/archivos/manual/guia-para-la-codificacion-de-bienes-y-servicios</w:t>
              </w:r>
            </w:hyperlink>
            <w:r w:rsidRPr="00454B69">
              <w:rPr>
                <w:rFonts w:ascii="Verdana" w:hAnsi="Verdana" w:cs="Arial"/>
                <w:lang w:val="es-MX" w:eastAsia="es-ES"/>
              </w:rPr>
              <w:t xml:space="preserve">. Así mismo la Agencia Nacional de Contratación Pública – Colombia Compra Eficiente ha puesto a disposición de las entidades y la ciudadanía una herramienta web en la que se encuentran cada uno de los componentes de los distintos niveles de los que consta el clasificador, traducidos al español. Esta facilita la conformación de los correspondientes códigos, y puede consultarse en la página web: </w:t>
            </w:r>
            <w:hyperlink r:id="rId14" w:history="1">
              <w:r w:rsidRPr="00454B69">
                <w:rPr>
                  <w:rStyle w:val="Hipervnculo"/>
                  <w:rFonts w:ascii="Verdana" w:hAnsi="Verdana" w:cs="Arial"/>
                  <w:lang w:val="es-MX" w:eastAsia="es-ES"/>
                </w:rPr>
                <w:t>https://www.colombiacompra.gov.co/clasificador-de-bienes-y-Servicios</w:t>
              </w:r>
            </w:hyperlink>
            <w:r w:rsidRPr="00454B69">
              <w:rPr>
                <w:rFonts w:ascii="Verdana" w:hAnsi="Verdana" w:cs="Arial"/>
                <w:u w:val="single"/>
                <w:lang w:val="es-MX" w:eastAsia="es-ES"/>
              </w:rPr>
              <w:t>.</w:t>
            </w:r>
          </w:p>
          <w:p w14:paraId="72FB43E4" w14:textId="77777777" w:rsidR="001520A7" w:rsidRPr="006F7DB4" w:rsidRDefault="001520A7" w:rsidP="00312D70">
            <w:pPr>
              <w:spacing w:after="120" w:line="276" w:lineRule="auto"/>
              <w:ind w:firstLine="709"/>
              <w:jc w:val="both"/>
              <w:rPr>
                <w:rFonts w:ascii="Verdana" w:hAnsi="Verdana" w:cs="Arial"/>
                <w:u w:val="single"/>
                <w:lang w:val="es-MX" w:eastAsia="es-ES"/>
              </w:rPr>
            </w:pPr>
            <w:r w:rsidRPr="006F7DB4">
              <w:rPr>
                <w:rFonts w:ascii="Verdana" w:hAnsi="Verdana" w:cs="Arial"/>
                <w:lang w:val="es-MX" w:eastAsia="es-ES"/>
              </w:rPr>
              <w:t>Sin embargo</w:t>
            </w:r>
            <w:r w:rsidRPr="006F7DB4">
              <w:rPr>
                <w:rFonts w:ascii="Verdana" w:hAnsi="Verdana" w:cs="Arial"/>
                <w:lang w:eastAsia="es-ES"/>
              </w:rPr>
              <w:t>,</w:t>
            </w:r>
            <w:r w:rsidRPr="002135C2">
              <w:rPr>
                <w:rFonts w:ascii="Verdana" w:hAnsi="Verdana" w:cs="Arial"/>
                <w:lang w:eastAsia="es-ES"/>
              </w:rPr>
              <w:t xml:space="preserve"> debe recordarse que el uso del UNSPSC no exime a las entidades de la obligación de motivar sus decisiones, conforme a lo dispuesto en el artículo 77 de la Ley 80 de 1993 y el artículo 44 de la Ley 1437 de 2011. Esto implica que la clasificación debe ser adecuada a los fines de la norma, proporcional a las características del bien y ajustada a las condiciones del mercado. En consecuencia, el UNSPSC constituye una herramienta que, bien </w:t>
            </w:r>
            <w:r w:rsidRPr="002135C2">
              <w:rPr>
                <w:rFonts w:ascii="Verdana" w:hAnsi="Verdana" w:cs="Arial"/>
                <w:lang w:eastAsia="es-ES"/>
              </w:rPr>
              <w:lastRenderedPageBreak/>
              <w:t xml:space="preserve">utilizada, garantiza transparencia, igualdad y selección objetiva, pero su eficacia depende de la rigurosidad con que las entidades </w:t>
            </w:r>
            <w:r>
              <w:rPr>
                <w:rFonts w:ascii="Verdana" w:hAnsi="Verdana" w:cs="Arial"/>
                <w:lang w:eastAsia="es-ES"/>
              </w:rPr>
              <w:t>elaboren</w:t>
            </w:r>
            <w:r w:rsidRPr="002135C2">
              <w:rPr>
                <w:rFonts w:ascii="Verdana" w:hAnsi="Verdana" w:cs="Arial"/>
                <w:lang w:eastAsia="es-ES"/>
              </w:rPr>
              <w:t xml:space="preserve"> las fichas técnicas y definan los criterios de adjudicación, </w:t>
            </w:r>
            <w:r>
              <w:rPr>
                <w:rFonts w:ascii="Verdana" w:hAnsi="Verdana" w:cs="Arial"/>
                <w:lang w:eastAsia="es-ES"/>
              </w:rPr>
              <w:t xml:space="preserve">en especial, </w:t>
            </w:r>
            <w:r w:rsidRPr="002135C2">
              <w:rPr>
                <w:rFonts w:ascii="Verdana" w:hAnsi="Verdana" w:cs="Arial"/>
                <w:lang w:eastAsia="es-ES"/>
              </w:rPr>
              <w:t>en sectores complejos como el de los dispositivos e insumos médicos.</w:t>
            </w:r>
            <w:r w:rsidRPr="00F06778">
              <w:rPr>
                <w:rFonts w:ascii="Verdana" w:hAnsi="Verdana" w:cs="Arial"/>
                <w:lang w:eastAsia="es-ES"/>
              </w:rPr>
              <w:t xml:space="preserve"> En consecuencia, el carácter de bien de características técnicas uniformes no depende del código UNSPSC ni de una característica meramente intrínseca del material, sino de la posibilidad real de describirlo por características funcionales comunes y de adquirirlo en el mercado en condiciones homogéneas, lo que se verifica y plasma en la ficha técnica (Preguntas 14 y 15).</w:t>
            </w:r>
          </w:p>
        </w:tc>
      </w:tr>
    </w:tbl>
    <w:p w14:paraId="3D3DA217" w14:textId="77777777" w:rsidR="001520A7" w:rsidRPr="00B57A1B" w:rsidRDefault="001520A7" w:rsidP="001520A7">
      <w:pPr>
        <w:spacing w:after="0" w:line="276" w:lineRule="auto"/>
        <w:jc w:val="both"/>
        <w:rPr>
          <w:rFonts w:ascii="Verdana" w:eastAsia="Calibri" w:hAnsi="Verdana" w:cs="Arial"/>
          <w:bCs/>
          <w:color w:val="000000" w:themeColor="text1"/>
        </w:rPr>
      </w:pPr>
      <w:bookmarkStart w:id="1" w:name="_Hlk78820161"/>
      <w:bookmarkStart w:id="2" w:name="_Hlk37703813"/>
    </w:p>
    <w:p w14:paraId="008016FD" w14:textId="77777777" w:rsidR="001520A7" w:rsidRPr="00B57A1B" w:rsidRDefault="001520A7" w:rsidP="001520A7">
      <w:pPr>
        <w:numPr>
          <w:ilvl w:val="0"/>
          <w:numId w:val="16"/>
        </w:numPr>
        <w:tabs>
          <w:tab w:val="left" w:pos="2268"/>
        </w:tabs>
        <w:spacing w:after="0" w:line="276" w:lineRule="auto"/>
        <w:rPr>
          <w:rFonts w:ascii="Verdana" w:eastAsia="Calibri" w:hAnsi="Verdana" w:cs="Times New Roman"/>
          <w:b/>
          <w:bCs/>
          <w:lang w:val="es-ES"/>
        </w:rPr>
      </w:pPr>
      <w:r w:rsidRPr="00B57A1B">
        <w:rPr>
          <w:rFonts w:ascii="Verdana" w:eastAsia="Calibri" w:hAnsi="Verdana" w:cs="Times New Roman"/>
          <w:b/>
          <w:bCs/>
          <w:lang w:val="es-ES"/>
        </w:rPr>
        <w:t>Razones de la respuesta:</w:t>
      </w:r>
    </w:p>
    <w:p w14:paraId="4CFE9817" w14:textId="77777777" w:rsidR="001520A7" w:rsidRPr="00B57A1B" w:rsidRDefault="001520A7" w:rsidP="001520A7">
      <w:pPr>
        <w:spacing w:after="0" w:line="276" w:lineRule="auto"/>
        <w:rPr>
          <w:rFonts w:ascii="Verdana" w:eastAsia="Calibri" w:hAnsi="Verdana" w:cs="Times New Roman"/>
          <w:b/>
          <w:bCs/>
          <w:lang w:val="es-ES"/>
        </w:rPr>
      </w:pPr>
    </w:p>
    <w:p w14:paraId="5E1D7C54" w14:textId="77777777" w:rsidR="001520A7" w:rsidRDefault="001520A7" w:rsidP="001520A7">
      <w:pPr>
        <w:spacing w:after="0" w:line="276" w:lineRule="auto"/>
        <w:jc w:val="both"/>
        <w:rPr>
          <w:rFonts w:ascii="Verdana" w:eastAsia="Calibri" w:hAnsi="Verdana" w:cs="Arial"/>
          <w:lang w:val="es-ES"/>
        </w:rPr>
      </w:pPr>
      <w:r w:rsidRPr="00B57A1B">
        <w:rPr>
          <w:rFonts w:ascii="Verdana" w:eastAsia="Calibri" w:hAnsi="Verdana" w:cs="Arial"/>
          <w:lang w:val="es-ES"/>
        </w:rPr>
        <w:t xml:space="preserve">Lo anterior se sustenta en las siguientes consideraciones: </w:t>
      </w:r>
    </w:p>
    <w:p w14:paraId="2C377CE1" w14:textId="77777777" w:rsidR="001520A7" w:rsidRPr="003C0ED7" w:rsidRDefault="001520A7" w:rsidP="001520A7">
      <w:pPr>
        <w:spacing w:after="0" w:line="276" w:lineRule="auto"/>
        <w:jc w:val="both"/>
        <w:rPr>
          <w:rFonts w:ascii="Verdana" w:eastAsia="Calibri" w:hAnsi="Verdana" w:cs="Arial"/>
          <w:lang w:val="es-ES"/>
        </w:rPr>
      </w:pPr>
    </w:p>
    <w:p w14:paraId="67BE9FD3" w14:textId="77777777" w:rsidR="001520A7" w:rsidRPr="00E3070C" w:rsidRDefault="001520A7" w:rsidP="001520A7">
      <w:pPr>
        <w:spacing w:after="120" w:line="276" w:lineRule="auto"/>
        <w:jc w:val="both"/>
        <w:rPr>
          <w:rFonts w:ascii="Verdana" w:eastAsia="Calibri" w:hAnsi="Verdana" w:cs="Arial"/>
          <w:color w:val="000000"/>
          <w:szCs w:val="24"/>
          <w:lang w:val="es-ES_tradnl" w:eastAsia="es-ES_tradnl"/>
        </w:rPr>
      </w:pPr>
      <w:r w:rsidRPr="00E7254D">
        <w:rPr>
          <w:rFonts w:ascii="Verdana" w:eastAsia="Calibri" w:hAnsi="Verdana" w:cs="Arial"/>
          <w:color w:val="000000"/>
          <w:lang w:val="es-ES"/>
        </w:rPr>
        <w:t xml:space="preserve">i. </w:t>
      </w:r>
      <w:r w:rsidRPr="00185EE9">
        <w:rPr>
          <w:rFonts w:ascii="Verdana" w:eastAsia="Calibri" w:hAnsi="Verdana" w:cs="Arial"/>
          <w:color w:val="000000"/>
          <w:szCs w:val="24"/>
          <w:lang w:val="es-ES_tradnl" w:eastAsia="es-ES_tradnl"/>
        </w:rPr>
        <w:t>P</w:t>
      </w:r>
      <w:r w:rsidRPr="00185EE9">
        <w:rPr>
          <w:rFonts w:ascii="Verdana" w:hAnsi="Verdana" w:cs="Arial"/>
          <w:lang w:val="es-ES"/>
        </w:rPr>
        <w:t xml:space="preserve">ara las entidades sometidas al Estatuto General de Contratación de la Administración Pública, los procesos de selección se rigen por </w:t>
      </w:r>
      <w:r w:rsidRPr="00185EE9">
        <w:rPr>
          <w:rFonts w:ascii="Verdana" w:hAnsi="Verdana" w:cs="Arial"/>
          <w:bCs/>
          <w:lang w:val="es-ES_tradnl"/>
        </w:rPr>
        <w:t>el artículo 2 de la Ley 1150 de 2007</w:t>
      </w:r>
      <w:r w:rsidRPr="00185EE9">
        <w:rPr>
          <w:rFonts w:ascii="Verdana" w:hAnsi="Verdana" w:cs="Arial"/>
          <w:lang w:val="es-ES"/>
        </w:rPr>
        <w:t xml:space="preserve">. El </w:t>
      </w:r>
      <w:r w:rsidRPr="00185EE9">
        <w:rPr>
          <w:rFonts w:ascii="Verdana" w:eastAsia="Calibri" w:hAnsi="Verdana" w:cs="Arial"/>
          <w:bCs/>
          <w:lang w:val="es-MX" w:eastAsia="es-ES_tradnl"/>
        </w:rPr>
        <w:t>numeral uno, inciso primero, de la norma citada</w:t>
      </w:r>
      <w:r w:rsidRPr="00185EE9">
        <w:rPr>
          <w:rFonts w:ascii="Verdana" w:hAnsi="Verdana" w:cs="Arial"/>
          <w:bCs/>
          <w:lang w:val="es-ES_tradnl"/>
        </w:rPr>
        <w:t xml:space="preserve"> </w:t>
      </w:r>
      <w:r w:rsidRPr="00185EE9">
        <w:rPr>
          <w:rFonts w:ascii="Verdana" w:eastAsia="Calibri" w:hAnsi="Verdana" w:cs="Arial"/>
          <w:bCs/>
          <w:lang w:val="es-MX" w:eastAsia="es-ES_tradnl"/>
        </w:rPr>
        <w:t xml:space="preserve">dispone que “La escogencia del contratista se efectuará por </w:t>
      </w:r>
      <w:r w:rsidRPr="00185EE9">
        <w:rPr>
          <w:rFonts w:ascii="Verdana" w:eastAsia="Calibri" w:hAnsi="Verdana" w:cs="Arial"/>
          <w:bCs/>
          <w:i/>
          <w:iCs/>
          <w:lang w:val="es-MX" w:eastAsia="es-ES_tradnl"/>
        </w:rPr>
        <w:t>regla general</w:t>
      </w:r>
      <w:r w:rsidRPr="00185EE9">
        <w:rPr>
          <w:rFonts w:ascii="Verdana" w:eastAsia="Calibri" w:hAnsi="Verdana" w:cs="Arial"/>
          <w:bCs/>
          <w:lang w:val="es-MX" w:eastAsia="es-ES_tradnl"/>
        </w:rPr>
        <w:t xml:space="preserve"> a través de licitación pública, con las </w:t>
      </w:r>
      <w:r w:rsidRPr="00185EE9">
        <w:rPr>
          <w:rFonts w:ascii="Verdana" w:eastAsia="Calibri" w:hAnsi="Verdana" w:cs="Arial"/>
          <w:bCs/>
          <w:i/>
          <w:iCs/>
          <w:lang w:val="es-MX" w:eastAsia="es-ES_tradnl"/>
        </w:rPr>
        <w:t>excepciones</w:t>
      </w:r>
      <w:r w:rsidRPr="00185EE9">
        <w:rPr>
          <w:rFonts w:ascii="Verdana" w:eastAsia="Calibri" w:hAnsi="Verdana" w:cs="Arial"/>
          <w:bCs/>
          <w:lang w:val="es-MX" w:eastAsia="es-ES_tradnl"/>
        </w:rPr>
        <w:t xml:space="preserve"> que se señalan en los numerales 2, 3 y 4 del presente artículo”, norma que sustituye el derogado numeral 1 del artículo 24 de la Ley 80 de 1993 sobre el principio de transparencia</w:t>
      </w:r>
      <w:r w:rsidRPr="00185EE9">
        <w:rPr>
          <w:rStyle w:val="Refdenotaalpie"/>
          <w:rFonts w:ascii="Verdana" w:eastAsia="Calibri" w:hAnsi="Verdana" w:cs="Arial"/>
          <w:bCs/>
          <w:lang w:val="es-MX" w:eastAsia="es-ES_tradnl"/>
        </w:rPr>
        <w:footnoteReference w:id="1"/>
      </w:r>
      <w:r w:rsidRPr="00185EE9">
        <w:rPr>
          <w:rFonts w:ascii="Verdana" w:eastAsia="Calibri" w:hAnsi="Verdana" w:cs="Arial"/>
          <w:bCs/>
          <w:lang w:val="es-MX" w:eastAsia="es-ES_tradnl"/>
        </w:rPr>
        <w:t xml:space="preserve">. </w:t>
      </w:r>
    </w:p>
    <w:p w14:paraId="1706448F" w14:textId="77777777" w:rsidR="001520A7" w:rsidRPr="00185EE9" w:rsidRDefault="001520A7" w:rsidP="001520A7">
      <w:pPr>
        <w:spacing w:after="120" w:line="276" w:lineRule="auto"/>
        <w:ind w:firstLine="708"/>
        <w:jc w:val="both"/>
        <w:rPr>
          <w:rFonts w:ascii="Verdana" w:eastAsia="Calibri" w:hAnsi="Verdana" w:cs="Arial"/>
          <w:bCs/>
          <w:lang w:val="es-MX" w:eastAsia="es-ES_tradnl"/>
        </w:rPr>
      </w:pPr>
      <w:r w:rsidRPr="00185EE9">
        <w:rPr>
          <w:rFonts w:ascii="Verdana" w:eastAsia="Calibri" w:hAnsi="Verdana" w:cs="Arial"/>
          <w:bCs/>
          <w:lang w:val="es-MX" w:eastAsia="es-ES_tradnl"/>
        </w:rPr>
        <w:t>Salvo norma especial que ordene la celebración del negocio jurídico por otra modalidad de selección, debe aplicarse la regla general de licitación pública. Por ello, dependiendo del objeto o el valor de presupuesto oficial, es posible la aplicación de otros procedimientos contractuales. Estos pueden ser con pluralidad de oferentes –v. gr. la selección abreviada de menor cuantía o la mínima cuantía– o sin concurrencia de proponentes –por ejemplo, la contratación directa–.</w:t>
      </w:r>
    </w:p>
    <w:p w14:paraId="6680F2CB" w14:textId="77777777" w:rsidR="001520A7" w:rsidRPr="00185EE9" w:rsidRDefault="001520A7" w:rsidP="001520A7">
      <w:pPr>
        <w:spacing w:after="120" w:line="276" w:lineRule="auto"/>
        <w:ind w:firstLine="708"/>
        <w:jc w:val="both"/>
        <w:rPr>
          <w:rFonts w:ascii="Verdana" w:eastAsia="Calibri" w:hAnsi="Verdana" w:cs="Arial"/>
        </w:rPr>
      </w:pPr>
      <w:r w:rsidRPr="00185EE9">
        <w:rPr>
          <w:rFonts w:ascii="Verdana" w:eastAsia="Calibri" w:hAnsi="Verdana" w:cs="Arial"/>
          <w:bCs/>
          <w:lang w:val="es-MX" w:eastAsia="es-ES_tradnl"/>
        </w:rPr>
        <w:t xml:space="preserve">Respecto a la selección abreviada, </w:t>
      </w:r>
      <w:bookmarkStart w:id="3" w:name="_Hlk39070608"/>
      <w:r w:rsidRPr="00185EE9">
        <w:rPr>
          <w:rFonts w:ascii="Verdana" w:eastAsia="Calibri" w:hAnsi="Verdana" w:cs="Arial"/>
        </w:rPr>
        <w:t>el numeral 2 del artículo 2 de la Ley 1150 de 2007</w:t>
      </w:r>
      <w:bookmarkEnd w:id="3"/>
      <w:r w:rsidRPr="00185EE9">
        <w:rPr>
          <w:rFonts w:ascii="Verdana" w:eastAsia="Calibri" w:hAnsi="Verdana" w:cs="Arial"/>
        </w:rPr>
        <w:t xml:space="preserve"> dispone</w:t>
      </w:r>
      <w:r>
        <w:rPr>
          <w:rFonts w:ascii="Verdana" w:eastAsia="Calibri" w:hAnsi="Verdana" w:cs="Arial"/>
        </w:rPr>
        <w:t>:</w:t>
      </w:r>
      <w:r w:rsidRPr="00185EE9">
        <w:rPr>
          <w:rFonts w:ascii="Verdana" w:eastAsia="Calibri" w:hAnsi="Verdana" w:cs="Arial"/>
        </w:rPr>
        <w:t xml:space="preserve"> “[…] corresponde a la modalidad de selección objetiva </w:t>
      </w:r>
      <w:r w:rsidRPr="00185EE9">
        <w:rPr>
          <w:rFonts w:ascii="Verdana" w:eastAsia="Calibri" w:hAnsi="Verdana" w:cs="Arial"/>
        </w:rPr>
        <w:lastRenderedPageBreak/>
        <w:t xml:space="preserve">prevista para aquellos casos en </w:t>
      </w:r>
      <w:proofErr w:type="gramStart"/>
      <w:r w:rsidRPr="00185EE9">
        <w:rPr>
          <w:rFonts w:ascii="Verdana" w:eastAsia="Calibri" w:hAnsi="Verdana" w:cs="Arial"/>
        </w:rPr>
        <w:t>que</w:t>
      </w:r>
      <w:proofErr w:type="gramEnd"/>
      <w:r w:rsidRPr="00185EE9">
        <w:rPr>
          <w:rFonts w:ascii="Verdana" w:eastAsia="Calibri" w:hAnsi="Verdana" w:cs="Arial"/>
        </w:rPr>
        <w:t xml:space="preserve"> por las características del objeto a contratar, las circunstancias de la contratación o la cuantía o destinación del bien, obra o servicio puedan adelantarse procesos simplificados para garantizar la eficiencia de la gestión contractual”, regulando cada una de las causales</w:t>
      </w:r>
      <w:r w:rsidRPr="00185EE9">
        <w:rPr>
          <w:rStyle w:val="Refdenotaalpie"/>
          <w:rFonts w:ascii="Verdana" w:eastAsia="Calibri" w:hAnsi="Verdana" w:cs="Arial"/>
        </w:rPr>
        <w:footnoteReference w:id="2"/>
      </w:r>
      <w:r w:rsidRPr="00185EE9">
        <w:rPr>
          <w:rFonts w:ascii="Verdana" w:eastAsia="Calibri" w:hAnsi="Verdana" w:cs="Arial"/>
        </w:rPr>
        <w:t xml:space="preserve">. </w:t>
      </w:r>
    </w:p>
    <w:p w14:paraId="7BEF5592" w14:textId="77777777" w:rsidR="001520A7" w:rsidRPr="00185EE9" w:rsidRDefault="001520A7" w:rsidP="001520A7">
      <w:pPr>
        <w:spacing w:after="0" w:line="276" w:lineRule="auto"/>
        <w:ind w:firstLine="708"/>
        <w:jc w:val="both"/>
        <w:rPr>
          <w:rFonts w:ascii="Verdana" w:eastAsia="Calibri" w:hAnsi="Verdana" w:cs="Arial"/>
        </w:rPr>
      </w:pPr>
      <w:bookmarkStart w:id="4" w:name="_Hlk39174727"/>
      <w:r w:rsidRPr="00185EE9">
        <w:rPr>
          <w:rFonts w:ascii="Verdana" w:eastAsia="Calibri" w:hAnsi="Verdana" w:cs="Arial"/>
        </w:rPr>
        <w:t xml:space="preserve">Se trata de un procedimiento que, conforme a la reglamentación que expida el Gobierno Nacional, agiliza la contratación estatal en los eventos en que no se justifica adelantar una licitación pública, pero tampoco limita la participación de los proponentes como en la contratación directa, de forma tal </w:t>
      </w:r>
      <w:r w:rsidRPr="00185EE9">
        <w:rPr>
          <w:rFonts w:ascii="Verdana" w:eastAsia="Calibri" w:hAnsi="Verdana" w:cs="Arial"/>
        </w:rPr>
        <w:lastRenderedPageBreak/>
        <w:t>que es un mecanismo de selección objetiva que asegura una mayor concurrencia de participantes sin sacrificar los principios de eficacia y eficiencia en el proceso de selección</w:t>
      </w:r>
      <w:bookmarkEnd w:id="4"/>
      <w:r w:rsidRPr="00185EE9">
        <w:rPr>
          <w:rFonts w:ascii="Verdana" w:eastAsia="Calibri" w:hAnsi="Verdana" w:cs="Arial"/>
        </w:rPr>
        <w:t>. En la exposición de motivos se explica lo siguiente:</w:t>
      </w:r>
    </w:p>
    <w:p w14:paraId="27B2BD99" w14:textId="77777777" w:rsidR="001520A7" w:rsidRPr="00185EE9" w:rsidRDefault="001520A7" w:rsidP="001520A7">
      <w:pPr>
        <w:spacing w:after="0" w:line="276" w:lineRule="auto"/>
        <w:jc w:val="both"/>
        <w:rPr>
          <w:rFonts w:ascii="Verdana" w:eastAsia="Calibri" w:hAnsi="Verdana" w:cs="Arial"/>
        </w:rPr>
      </w:pPr>
    </w:p>
    <w:p w14:paraId="0F205E4B" w14:textId="77777777" w:rsidR="001520A7" w:rsidRPr="00185EE9" w:rsidRDefault="001520A7" w:rsidP="001520A7">
      <w:pPr>
        <w:spacing w:after="0" w:line="240" w:lineRule="auto"/>
        <w:ind w:left="709" w:right="709"/>
        <w:jc w:val="both"/>
        <w:rPr>
          <w:rFonts w:ascii="Verdana" w:eastAsia="Calibri" w:hAnsi="Verdana" w:cs="Arial"/>
          <w:sz w:val="21"/>
          <w:szCs w:val="21"/>
        </w:rPr>
      </w:pPr>
      <w:r w:rsidRPr="00185EE9">
        <w:rPr>
          <w:rFonts w:ascii="Verdana" w:eastAsia="Calibri" w:hAnsi="Verdana" w:cs="Arial"/>
          <w:sz w:val="21"/>
          <w:szCs w:val="21"/>
        </w:rPr>
        <w:t>“– Si bien la Licitación Pública sigue siendo la regla general, la misma pasa a reservarse para los procesos en los que la complejidad del objeto a contratar amerita la larga y cuidadosa ponderación de factores técnicos y económicos de las propuestas […].</w:t>
      </w:r>
    </w:p>
    <w:p w14:paraId="67CE1033" w14:textId="77777777" w:rsidR="001520A7" w:rsidRPr="00185EE9" w:rsidRDefault="001520A7" w:rsidP="001520A7">
      <w:pPr>
        <w:spacing w:after="0" w:line="240" w:lineRule="auto"/>
        <w:ind w:left="709" w:right="709"/>
        <w:jc w:val="both"/>
        <w:rPr>
          <w:rFonts w:ascii="Verdana" w:eastAsia="Calibri" w:hAnsi="Verdana" w:cs="Arial"/>
          <w:sz w:val="21"/>
          <w:szCs w:val="21"/>
        </w:rPr>
      </w:pPr>
      <w:r w:rsidRPr="00185EE9">
        <w:rPr>
          <w:rFonts w:ascii="Verdana" w:eastAsia="Calibri" w:hAnsi="Verdana" w:cs="Arial"/>
          <w:sz w:val="21"/>
          <w:szCs w:val="21"/>
        </w:rPr>
        <w:t>– Se crea la llamada ‘selección abreviada’, para permitir la existencia de procedimientos de selección que, basados estrictamente en los principios cardinales de la contratación pública, permitan de manera ágil la adopción de decisiones de selección […]”</w:t>
      </w:r>
      <w:r w:rsidRPr="00185EE9">
        <w:rPr>
          <w:rStyle w:val="Refdenotaalpie"/>
          <w:rFonts w:ascii="Verdana" w:eastAsia="Calibri" w:hAnsi="Verdana" w:cs="Arial"/>
          <w:sz w:val="21"/>
          <w:szCs w:val="21"/>
        </w:rPr>
        <w:footnoteReference w:id="3"/>
      </w:r>
      <w:r w:rsidRPr="00185EE9">
        <w:rPr>
          <w:rFonts w:ascii="Verdana" w:eastAsia="Calibri" w:hAnsi="Verdana" w:cs="Arial"/>
          <w:sz w:val="21"/>
          <w:szCs w:val="21"/>
        </w:rPr>
        <w:t>.</w:t>
      </w:r>
    </w:p>
    <w:p w14:paraId="67507421" w14:textId="77777777" w:rsidR="001520A7" w:rsidRPr="00185EE9" w:rsidRDefault="001520A7" w:rsidP="001520A7">
      <w:pPr>
        <w:spacing w:after="0" w:line="276" w:lineRule="auto"/>
        <w:jc w:val="both"/>
        <w:rPr>
          <w:rFonts w:ascii="Verdana" w:eastAsia="Calibri" w:hAnsi="Verdana" w:cs="Arial"/>
        </w:rPr>
      </w:pPr>
    </w:p>
    <w:p w14:paraId="1483FCA5" w14:textId="77777777" w:rsidR="001520A7" w:rsidRPr="00185EE9" w:rsidRDefault="001520A7" w:rsidP="001520A7">
      <w:pPr>
        <w:spacing w:after="120" w:line="276" w:lineRule="auto"/>
        <w:ind w:firstLine="709"/>
        <w:jc w:val="both"/>
        <w:rPr>
          <w:rFonts w:ascii="Verdana" w:eastAsia="Calibri" w:hAnsi="Verdana" w:cs="Arial"/>
        </w:rPr>
      </w:pPr>
      <w:r w:rsidRPr="00185EE9">
        <w:rPr>
          <w:rFonts w:ascii="Verdana" w:eastAsia="Calibri" w:hAnsi="Verdana" w:cs="Arial"/>
        </w:rPr>
        <w:t>La selección abreviada se caracteriza por tener etapas un poco sencillas y términos relativamente más cortos que los de la licitación pública, lo cual se justifica por las circunstancias, la naturaleza y los objetos que se contratan a través de esta modalidad, los cuales requieren de procedimientos un poco más agiles, sencillos y eficientes. Según el Consejo de Estado, el propósito del legislador es “[…] proveer de mayor agilidad y eficiencia la contratación de algunos bienes o servicios, en los que es deseable la concurrencia de oferentes, pero no en los términos y condiciones de una licitación pública, sino de manera abreviada o, en términos de la ley, simplificada”</w:t>
      </w:r>
      <w:r w:rsidRPr="00185EE9">
        <w:rPr>
          <w:rStyle w:val="Refdenotaalpie"/>
          <w:rFonts w:ascii="Verdana" w:eastAsia="Calibri" w:hAnsi="Verdana" w:cs="Arial"/>
        </w:rPr>
        <w:footnoteReference w:id="4"/>
      </w:r>
      <w:r w:rsidRPr="00185EE9">
        <w:rPr>
          <w:rFonts w:ascii="Verdana" w:eastAsia="Calibri" w:hAnsi="Verdana" w:cs="Arial"/>
        </w:rPr>
        <w:t xml:space="preserve">. </w:t>
      </w:r>
    </w:p>
    <w:p w14:paraId="267FF393" w14:textId="77777777" w:rsidR="001520A7" w:rsidRDefault="001520A7" w:rsidP="001520A7">
      <w:pPr>
        <w:spacing w:after="120" w:line="276" w:lineRule="auto"/>
        <w:ind w:firstLine="709"/>
        <w:jc w:val="both"/>
        <w:rPr>
          <w:rFonts w:ascii="Verdana" w:eastAsia="Calibri" w:hAnsi="Verdana" w:cs="Arial"/>
          <w:bCs/>
          <w:color w:val="000000" w:themeColor="text1"/>
        </w:rPr>
      </w:pPr>
      <w:r w:rsidRPr="00185EE9">
        <w:rPr>
          <w:rFonts w:ascii="Verdana" w:eastAsia="Calibri" w:hAnsi="Verdana" w:cs="Arial"/>
          <w:color w:val="000000"/>
          <w:szCs w:val="24"/>
          <w:lang w:val="es-ES_tradnl" w:eastAsia="es-ES_tradnl"/>
        </w:rPr>
        <w:t xml:space="preserve">Así, el literal a) del artículo 2.2 de la Ley 1150 de 2007 regula la adquisición o suministro de bienes y servicios de características técnicas uniformes y de común utilización como causal de selección abreviada. Para entender su alcance, es necesario tener en cuenta que </w:t>
      </w:r>
      <w:r w:rsidRPr="00185EE9">
        <w:rPr>
          <w:rFonts w:ascii="Verdana" w:eastAsia="Calibri" w:hAnsi="Verdana" w:cs="Arial"/>
          <w:bCs/>
          <w:color w:val="000000" w:themeColor="text1"/>
        </w:rPr>
        <w:t>el artículo 28 del Código Civil dispone</w:t>
      </w:r>
      <w:r>
        <w:rPr>
          <w:rFonts w:ascii="Verdana" w:eastAsia="Calibri" w:hAnsi="Verdana" w:cs="Arial"/>
          <w:bCs/>
          <w:color w:val="000000" w:themeColor="text1"/>
        </w:rPr>
        <w:t>:</w:t>
      </w:r>
      <w:r w:rsidRPr="00185EE9">
        <w:rPr>
          <w:rFonts w:ascii="Verdana" w:eastAsia="Calibri" w:hAnsi="Verdana" w:cs="Arial"/>
          <w:bCs/>
          <w:color w:val="000000" w:themeColor="text1"/>
        </w:rPr>
        <w:t xml:space="preserve"> “Las palabras de la ley se entenderán en su sentido natural y obvio, según el uso general de las mismas palabras; pero cuando el legislador las haya definido expresamente para ciertas materias, se les dará en éstas su significado legal”; igualmente, el artículo 29 </w:t>
      </w:r>
      <w:r w:rsidRPr="00185EE9">
        <w:rPr>
          <w:rFonts w:ascii="Verdana" w:eastAsia="Calibri" w:hAnsi="Verdana" w:cs="Arial"/>
          <w:bCs/>
          <w:i/>
          <w:iCs/>
          <w:color w:val="000000" w:themeColor="text1"/>
        </w:rPr>
        <w:t>ibidem</w:t>
      </w:r>
      <w:r w:rsidRPr="00185EE9">
        <w:rPr>
          <w:rFonts w:ascii="Verdana" w:eastAsia="Calibri" w:hAnsi="Verdana" w:cs="Arial"/>
          <w:bCs/>
          <w:color w:val="000000" w:themeColor="text1"/>
        </w:rPr>
        <w:t xml:space="preserve"> prescribe lo siguiente: “Las palabras técnicas de toda ciencia o arte se tomarán en el sentido que les den los </w:t>
      </w:r>
      <w:r w:rsidRPr="00185EE9">
        <w:rPr>
          <w:rFonts w:ascii="Verdana" w:eastAsia="Calibri" w:hAnsi="Verdana" w:cs="Arial"/>
          <w:bCs/>
          <w:color w:val="000000" w:themeColor="text1"/>
        </w:rPr>
        <w:lastRenderedPageBreak/>
        <w:t>que profesan la misma ciencia o arte; a menos que aparezca claramente que se han formado en sentido diverso”</w:t>
      </w:r>
      <w:r w:rsidRPr="00185EE9">
        <w:rPr>
          <w:rStyle w:val="Refdenotaalpie"/>
          <w:rFonts w:ascii="Verdana" w:eastAsia="Calibri" w:hAnsi="Verdana" w:cs="Arial"/>
          <w:bCs/>
          <w:color w:val="000000" w:themeColor="text1"/>
        </w:rPr>
        <w:footnoteReference w:id="5"/>
      </w:r>
      <w:r w:rsidRPr="00185EE9">
        <w:rPr>
          <w:rFonts w:ascii="Verdana" w:eastAsia="Calibri" w:hAnsi="Verdana" w:cs="Arial"/>
          <w:bCs/>
          <w:color w:val="000000" w:themeColor="text1"/>
        </w:rPr>
        <w:t xml:space="preserve">. </w:t>
      </w:r>
    </w:p>
    <w:p w14:paraId="15B019A2" w14:textId="77777777" w:rsidR="001520A7" w:rsidRDefault="001520A7" w:rsidP="001520A7">
      <w:pPr>
        <w:spacing w:after="0" w:line="276" w:lineRule="auto"/>
        <w:ind w:firstLine="709"/>
        <w:jc w:val="both"/>
        <w:rPr>
          <w:rFonts w:ascii="Verdana" w:eastAsia="Calibri" w:hAnsi="Verdana" w:cs="Arial"/>
          <w:bCs/>
          <w:color w:val="000000" w:themeColor="text1"/>
        </w:rPr>
      </w:pPr>
      <w:r>
        <w:rPr>
          <w:rFonts w:ascii="Verdana" w:eastAsia="Calibri" w:hAnsi="Verdana" w:cs="Arial"/>
          <w:bCs/>
          <w:color w:val="000000" w:themeColor="text1"/>
        </w:rPr>
        <w:t xml:space="preserve">En tal sentido, el alcance de esta causal implica revisar la expresión </w:t>
      </w:r>
      <w:r w:rsidRPr="00FC19CC">
        <w:rPr>
          <w:rFonts w:ascii="Verdana" w:eastAsia="Calibri" w:hAnsi="Verdana" w:cs="Arial"/>
          <w:bCs/>
          <w:color w:val="000000" w:themeColor="text1"/>
        </w:rPr>
        <w:t>“los bienes y servicios de características técnicas uniformes</w:t>
      </w:r>
      <w:r w:rsidRPr="008A4801">
        <w:rPr>
          <w:rFonts w:ascii="Verdana" w:eastAsia="Calibri" w:hAnsi="Verdana" w:cs="Arial"/>
          <w:bCs/>
          <w:i/>
          <w:color w:val="000000" w:themeColor="text1"/>
        </w:rPr>
        <w:t xml:space="preserve"> </w:t>
      </w:r>
      <w:r w:rsidRPr="00FC19CC">
        <w:rPr>
          <w:rFonts w:ascii="Verdana" w:eastAsia="Calibri" w:hAnsi="Verdana" w:cs="Arial"/>
          <w:b/>
          <w:bCs/>
          <w:i/>
          <w:color w:val="000000" w:themeColor="text1"/>
        </w:rPr>
        <w:t>y</w:t>
      </w:r>
      <w:r w:rsidRPr="008A4801">
        <w:rPr>
          <w:rFonts w:ascii="Verdana" w:eastAsia="Calibri" w:hAnsi="Verdana" w:cs="Arial"/>
          <w:bCs/>
          <w:i/>
          <w:color w:val="000000" w:themeColor="text1"/>
        </w:rPr>
        <w:t xml:space="preserve"> </w:t>
      </w:r>
      <w:r w:rsidRPr="00FC19CC">
        <w:rPr>
          <w:rFonts w:ascii="Verdana" w:eastAsia="Calibri" w:hAnsi="Verdana" w:cs="Arial"/>
          <w:bCs/>
          <w:color w:val="000000" w:themeColor="text1"/>
        </w:rPr>
        <w:t>de común utilización</w:t>
      </w:r>
      <w:proofErr w:type="gramStart"/>
      <w:r w:rsidRPr="00FC19CC">
        <w:rPr>
          <w:rFonts w:ascii="Verdana" w:eastAsia="Calibri" w:hAnsi="Verdana" w:cs="Arial"/>
          <w:bCs/>
          <w:color w:val="000000" w:themeColor="text1"/>
        </w:rPr>
        <w:t>”</w:t>
      </w:r>
      <w:r>
        <w:rPr>
          <w:rFonts w:ascii="Verdana" w:eastAsia="Calibri" w:hAnsi="Verdana" w:cs="Arial"/>
          <w:bCs/>
          <w:color w:val="000000" w:themeColor="text1"/>
        </w:rPr>
        <w:t xml:space="preserve">, </w:t>
      </w:r>
      <w:r w:rsidRPr="00FC19CC">
        <w:rPr>
          <w:rFonts w:ascii="Verdana" w:eastAsia="Calibri" w:hAnsi="Verdana" w:cs="Arial"/>
          <w:bCs/>
          <w:color w:val="000000" w:themeColor="text1"/>
        </w:rPr>
        <w:t xml:space="preserve"> (</w:t>
      </w:r>
      <w:proofErr w:type="gramEnd"/>
      <w:r>
        <w:rPr>
          <w:rFonts w:ascii="Verdana" w:eastAsia="Calibri" w:hAnsi="Verdana" w:cs="Arial"/>
          <w:bCs/>
          <w:color w:val="000000" w:themeColor="text1"/>
        </w:rPr>
        <w:t>énfasis fuera de texto)</w:t>
      </w:r>
      <w:r w:rsidRPr="00FC19CC">
        <w:rPr>
          <w:rFonts w:ascii="Verdana" w:eastAsia="Calibri" w:hAnsi="Verdana" w:cs="Arial"/>
          <w:bCs/>
          <w:color w:val="000000" w:themeColor="text1"/>
        </w:rPr>
        <w:t xml:space="preserve"> </w:t>
      </w:r>
      <w:r>
        <w:rPr>
          <w:rFonts w:ascii="Verdana" w:eastAsia="Calibri" w:hAnsi="Verdana" w:cs="Arial"/>
          <w:bCs/>
          <w:color w:val="000000" w:themeColor="text1"/>
        </w:rPr>
        <w:t>lo cual implica precisar que la expresión “y” es una conjunción copulativa que tiene los siguientes significados, según la Real Academia de la Lengua Española</w:t>
      </w:r>
      <w:r>
        <w:rPr>
          <w:rStyle w:val="Refdenotaalpie"/>
          <w:rFonts w:ascii="Verdana" w:eastAsia="Calibri" w:hAnsi="Verdana" w:cs="Arial"/>
          <w:bCs/>
          <w:color w:val="000000" w:themeColor="text1"/>
        </w:rPr>
        <w:footnoteReference w:id="6"/>
      </w:r>
      <w:r>
        <w:rPr>
          <w:rFonts w:ascii="Verdana" w:eastAsia="Calibri" w:hAnsi="Verdana" w:cs="Arial"/>
          <w:bCs/>
          <w:color w:val="000000" w:themeColor="text1"/>
        </w:rPr>
        <w:t>:</w:t>
      </w:r>
    </w:p>
    <w:p w14:paraId="1FD41D6B" w14:textId="77777777" w:rsidR="001520A7" w:rsidRDefault="001520A7" w:rsidP="001520A7">
      <w:pPr>
        <w:spacing w:after="0" w:line="240" w:lineRule="auto"/>
        <w:ind w:firstLine="709"/>
        <w:jc w:val="both"/>
        <w:rPr>
          <w:rFonts w:ascii="Verdana" w:eastAsia="Calibri" w:hAnsi="Verdana" w:cs="Arial"/>
          <w:bCs/>
          <w:color w:val="000000" w:themeColor="text1"/>
        </w:rPr>
      </w:pPr>
    </w:p>
    <w:p w14:paraId="277942E0" w14:textId="77777777" w:rsidR="001520A7" w:rsidRPr="00445908" w:rsidRDefault="001520A7" w:rsidP="001520A7">
      <w:pPr>
        <w:pStyle w:val="Prrafodelista"/>
        <w:numPr>
          <w:ilvl w:val="0"/>
          <w:numId w:val="25"/>
        </w:numPr>
        <w:spacing w:after="0" w:line="240" w:lineRule="auto"/>
        <w:ind w:left="1069" w:right="709"/>
        <w:contextualSpacing w:val="0"/>
        <w:jc w:val="both"/>
        <w:rPr>
          <w:rFonts w:ascii="Verdana" w:eastAsia="Calibri" w:hAnsi="Verdana" w:cs="Arial"/>
          <w:bCs/>
          <w:color w:val="000000" w:themeColor="text1"/>
          <w:sz w:val="21"/>
          <w:szCs w:val="21"/>
        </w:rPr>
      </w:pPr>
      <w:r w:rsidRPr="00445908">
        <w:rPr>
          <w:rFonts w:ascii="Verdana" w:eastAsia="Calibri" w:hAnsi="Verdana" w:cs="Arial"/>
          <w:color w:val="000000"/>
          <w:sz w:val="21"/>
          <w:szCs w:val="21"/>
          <w:lang w:eastAsia="es-ES_tradnl"/>
        </w:rPr>
        <w:t>Conj.copulat. U. para unir palabras o cláusulas en concepto afirmativo. Si se coordinan más de dos vocablos o miembros del período, solo se expresa, generalmente, antes del último. </w:t>
      </w:r>
      <w:r w:rsidRPr="00445908">
        <w:rPr>
          <w:rFonts w:ascii="Verdana" w:eastAsia="Calibri" w:hAnsi="Verdana" w:cs="Arial"/>
          <w:i/>
          <w:iCs/>
          <w:color w:val="000000"/>
          <w:sz w:val="21"/>
          <w:szCs w:val="21"/>
          <w:lang w:eastAsia="es-ES_tradnl"/>
        </w:rPr>
        <w:t>Ciudades, villas, lugares y aldeas.</w:t>
      </w:r>
      <w:r w:rsidRPr="00445908">
        <w:rPr>
          <w:rFonts w:ascii="Verdana" w:eastAsia="Calibri" w:hAnsi="Verdana" w:cs="Arial"/>
          <w:color w:val="000000"/>
          <w:sz w:val="21"/>
          <w:szCs w:val="21"/>
          <w:lang w:eastAsia="es-ES_tradnl"/>
        </w:rPr>
        <w:t> </w:t>
      </w:r>
      <w:r w:rsidRPr="00445908">
        <w:rPr>
          <w:rFonts w:ascii="Verdana" w:eastAsia="Calibri" w:hAnsi="Verdana" w:cs="Arial"/>
          <w:i/>
          <w:iCs/>
          <w:color w:val="000000"/>
          <w:sz w:val="21"/>
          <w:szCs w:val="21"/>
          <w:lang w:eastAsia="es-ES_tradnl"/>
        </w:rPr>
        <w:t>El mucho dormir quita el vigor al cuerpo, embota los sentidos y debilita las facultades intelectuales.</w:t>
      </w:r>
    </w:p>
    <w:p w14:paraId="72075D45" w14:textId="77777777" w:rsidR="001520A7" w:rsidRPr="00445908" w:rsidRDefault="001520A7" w:rsidP="001520A7">
      <w:pPr>
        <w:numPr>
          <w:ilvl w:val="0"/>
          <w:numId w:val="25"/>
        </w:numPr>
        <w:spacing w:after="0" w:line="240" w:lineRule="auto"/>
        <w:ind w:left="1069" w:right="709"/>
        <w:jc w:val="both"/>
        <w:rPr>
          <w:rFonts w:ascii="Verdana" w:eastAsia="Calibri" w:hAnsi="Verdana" w:cs="Arial"/>
          <w:color w:val="000000"/>
          <w:sz w:val="21"/>
          <w:szCs w:val="21"/>
          <w:lang w:eastAsia="es-ES_tradnl"/>
        </w:rPr>
      </w:pPr>
      <w:r w:rsidRPr="00445908">
        <w:rPr>
          <w:rFonts w:ascii="Verdana" w:eastAsia="Calibri" w:hAnsi="Verdana" w:cs="Arial"/>
          <w:color w:val="000000"/>
          <w:sz w:val="21"/>
          <w:szCs w:val="21"/>
          <w:lang w:eastAsia="es-ES_tradnl"/>
        </w:rPr>
        <w:t>Conj.copulat. U. para formar grupos de dos o más palabras entre los cuales no se expresa. </w:t>
      </w:r>
      <w:r w:rsidRPr="00445908">
        <w:rPr>
          <w:rFonts w:ascii="Verdana" w:eastAsia="Calibri" w:hAnsi="Verdana" w:cs="Arial"/>
          <w:i/>
          <w:iCs/>
          <w:color w:val="000000"/>
          <w:sz w:val="21"/>
          <w:szCs w:val="21"/>
          <w:lang w:eastAsia="es-ES_tradnl"/>
        </w:rPr>
        <w:t>Hombres y mujeres, niños, mozos y ancianos, ricos y pobres, todos viven sujetos a las miserias humanas.</w:t>
      </w:r>
      <w:r w:rsidRPr="00445908">
        <w:rPr>
          <w:rFonts w:ascii="Verdana" w:eastAsia="Calibri" w:hAnsi="Verdana" w:cs="Arial"/>
          <w:color w:val="000000"/>
          <w:sz w:val="21"/>
          <w:szCs w:val="21"/>
          <w:lang w:eastAsia="es-ES_tradnl"/>
        </w:rPr>
        <w:t> Se omite a veces por asíndeton. </w:t>
      </w:r>
      <w:r w:rsidRPr="00445908">
        <w:rPr>
          <w:rFonts w:ascii="Verdana" w:eastAsia="Calibri" w:hAnsi="Verdana" w:cs="Arial"/>
          <w:i/>
          <w:iCs/>
          <w:color w:val="000000"/>
          <w:sz w:val="21"/>
          <w:szCs w:val="21"/>
          <w:lang w:eastAsia="es-ES_tradnl"/>
        </w:rPr>
        <w:t>Acude, corre, vuela.</w:t>
      </w:r>
      <w:r w:rsidRPr="00445908">
        <w:rPr>
          <w:rFonts w:ascii="Verdana" w:eastAsia="Calibri" w:hAnsi="Verdana" w:cs="Arial"/>
          <w:color w:val="000000"/>
          <w:sz w:val="21"/>
          <w:szCs w:val="21"/>
          <w:lang w:eastAsia="es-ES_tradnl"/>
        </w:rPr>
        <w:t> </w:t>
      </w:r>
      <w:r w:rsidRPr="00445908">
        <w:rPr>
          <w:rFonts w:ascii="Verdana" w:eastAsia="Calibri" w:hAnsi="Verdana" w:cs="Arial"/>
          <w:i/>
          <w:iCs/>
          <w:color w:val="000000"/>
          <w:sz w:val="21"/>
          <w:szCs w:val="21"/>
          <w:lang w:eastAsia="es-ES_tradnl"/>
        </w:rPr>
        <w:t>Ufano, alegre, altivo, enamorado.</w:t>
      </w:r>
      <w:r w:rsidRPr="00445908">
        <w:rPr>
          <w:rFonts w:ascii="Verdana" w:eastAsia="Calibri" w:hAnsi="Verdana" w:cs="Arial"/>
          <w:color w:val="000000"/>
          <w:sz w:val="21"/>
          <w:szCs w:val="21"/>
          <w:lang w:eastAsia="es-ES_tradnl"/>
        </w:rPr>
        <w:t> Se repite otras por polisíndeton. </w:t>
      </w:r>
      <w:r w:rsidRPr="00445908">
        <w:rPr>
          <w:rFonts w:ascii="Verdana" w:eastAsia="Calibri" w:hAnsi="Verdana" w:cs="Arial"/>
          <w:i/>
          <w:iCs/>
          <w:color w:val="000000"/>
          <w:sz w:val="21"/>
          <w:szCs w:val="21"/>
          <w:lang w:eastAsia="es-ES_tradnl"/>
        </w:rPr>
        <w:t>Es muy ladino, y sabe de todo, y tiene una labia...</w:t>
      </w:r>
    </w:p>
    <w:p w14:paraId="1F920E5D" w14:textId="77777777" w:rsidR="001520A7" w:rsidRPr="00445908" w:rsidRDefault="001520A7" w:rsidP="001520A7">
      <w:pPr>
        <w:numPr>
          <w:ilvl w:val="0"/>
          <w:numId w:val="25"/>
        </w:numPr>
        <w:spacing w:after="0" w:line="240" w:lineRule="auto"/>
        <w:ind w:left="1069" w:right="709"/>
        <w:jc w:val="both"/>
        <w:rPr>
          <w:rFonts w:ascii="Verdana" w:eastAsia="Calibri" w:hAnsi="Verdana" w:cs="Arial"/>
          <w:color w:val="000000"/>
          <w:sz w:val="21"/>
          <w:szCs w:val="21"/>
          <w:lang w:val="en-US" w:eastAsia="es-ES_tradnl"/>
        </w:rPr>
      </w:pPr>
      <w:r w:rsidRPr="00445908">
        <w:rPr>
          <w:rFonts w:ascii="Verdana" w:eastAsia="Calibri" w:hAnsi="Verdana" w:cs="Arial"/>
          <w:color w:val="000000"/>
          <w:sz w:val="21"/>
          <w:szCs w:val="21"/>
          <w:lang w:eastAsia="es-ES_tradnl"/>
        </w:rPr>
        <w:t>Conj.copulat. U. a principio de período o cláusula sin enlace con vocablo o frase anterior, para dar énfasis o fuerza de expresión a lo que se dice. </w:t>
      </w:r>
      <w:r w:rsidRPr="00445908">
        <w:rPr>
          <w:rFonts w:ascii="Verdana" w:eastAsia="Calibri" w:hAnsi="Verdana" w:cs="Arial"/>
          <w:i/>
          <w:iCs/>
          <w:color w:val="000000"/>
          <w:sz w:val="21"/>
          <w:szCs w:val="21"/>
          <w:lang w:eastAsia="es-ES_tradnl"/>
        </w:rPr>
        <w:t>¡Y si no llega a tiempo!</w:t>
      </w:r>
      <w:r w:rsidRPr="00445908">
        <w:rPr>
          <w:rFonts w:ascii="Verdana" w:eastAsia="Calibri" w:hAnsi="Verdana" w:cs="Arial"/>
          <w:color w:val="000000"/>
          <w:sz w:val="21"/>
          <w:szCs w:val="21"/>
          <w:lang w:eastAsia="es-ES_tradnl"/>
        </w:rPr>
        <w:t> </w:t>
      </w:r>
      <w:r w:rsidRPr="00445908">
        <w:rPr>
          <w:rFonts w:ascii="Verdana" w:eastAsia="Calibri" w:hAnsi="Verdana" w:cs="Arial"/>
          <w:i/>
          <w:iCs/>
          <w:color w:val="000000"/>
          <w:sz w:val="21"/>
          <w:szCs w:val="21"/>
          <w:lang w:eastAsia="es-ES_tradnl"/>
        </w:rPr>
        <w:t>¿Y si fuera otra la causa?</w:t>
      </w:r>
      <w:r w:rsidRPr="00445908">
        <w:rPr>
          <w:rFonts w:ascii="Verdana" w:eastAsia="Calibri" w:hAnsi="Verdana" w:cs="Arial"/>
          <w:color w:val="000000"/>
          <w:sz w:val="21"/>
          <w:szCs w:val="21"/>
          <w:lang w:eastAsia="es-ES_tradnl"/>
        </w:rPr>
        <w:t> </w:t>
      </w:r>
      <w:r w:rsidRPr="00445908">
        <w:rPr>
          <w:rFonts w:ascii="Verdana" w:eastAsia="Calibri" w:hAnsi="Verdana" w:cs="Arial"/>
          <w:i/>
          <w:iCs/>
          <w:color w:val="000000"/>
          <w:sz w:val="21"/>
          <w:szCs w:val="21"/>
          <w:lang w:val="en-US" w:eastAsia="es-ES_tradnl"/>
        </w:rPr>
        <w:t>¡Y </w:t>
      </w:r>
      <w:proofErr w:type="spellStart"/>
      <w:r w:rsidRPr="00445908">
        <w:rPr>
          <w:rFonts w:ascii="Verdana" w:eastAsia="Calibri" w:hAnsi="Verdana" w:cs="Arial"/>
          <w:i/>
          <w:iCs/>
          <w:color w:val="000000"/>
          <w:sz w:val="21"/>
          <w:szCs w:val="21"/>
          <w:lang w:val="en-US" w:eastAsia="es-ES_tradnl"/>
        </w:rPr>
        <w:t>dejas</w:t>
      </w:r>
      <w:proofErr w:type="spellEnd"/>
      <w:r w:rsidRPr="00445908">
        <w:rPr>
          <w:rFonts w:ascii="Verdana" w:eastAsia="Calibri" w:hAnsi="Verdana" w:cs="Arial"/>
          <w:i/>
          <w:iCs/>
          <w:color w:val="000000"/>
          <w:sz w:val="21"/>
          <w:szCs w:val="21"/>
          <w:lang w:val="en-US" w:eastAsia="es-ES_tradnl"/>
        </w:rPr>
        <w:t>, Pastor santo...!</w:t>
      </w:r>
    </w:p>
    <w:p w14:paraId="413DC7A6" w14:textId="77777777" w:rsidR="001520A7" w:rsidRPr="00445908" w:rsidRDefault="001520A7" w:rsidP="001520A7">
      <w:pPr>
        <w:numPr>
          <w:ilvl w:val="0"/>
          <w:numId w:val="25"/>
        </w:numPr>
        <w:spacing w:after="0" w:line="240" w:lineRule="auto"/>
        <w:ind w:left="1069" w:right="709"/>
        <w:jc w:val="both"/>
        <w:rPr>
          <w:rFonts w:ascii="Verdana" w:eastAsia="Calibri" w:hAnsi="Verdana" w:cs="Arial"/>
          <w:color w:val="000000"/>
          <w:sz w:val="21"/>
          <w:szCs w:val="21"/>
          <w:lang w:eastAsia="es-ES_tradnl"/>
        </w:rPr>
      </w:pPr>
      <w:r w:rsidRPr="00445908">
        <w:rPr>
          <w:rFonts w:ascii="Verdana" w:eastAsia="Calibri" w:hAnsi="Verdana" w:cs="Arial"/>
          <w:color w:val="000000"/>
          <w:sz w:val="21"/>
          <w:szCs w:val="21"/>
          <w:lang w:eastAsia="es-ES_tradnl"/>
        </w:rPr>
        <w:t>Conj.copulat. Denota idea de repetición indefinida, precedida y seguida por una misma palabra. </w:t>
      </w:r>
      <w:r w:rsidRPr="00445908">
        <w:rPr>
          <w:rFonts w:ascii="Verdana" w:eastAsia="Calibri" w:hAnsi="Verdana" w:cs="Arial"/>
          <w:i/>
          <w:iCs/>
          <w:color w:val="000000"/>
          <w:sz w:val="21"/>
          <w:szCs w:val="21"/>
          <w:lang w:eastAsia="es-ES_tradnl"/>
        </w:rPr>
        <w:t>Días y días.</w:t>
      </w:r>
      <w:r w:rsidRPr="00445908">
        <w:rPr>
          <w:rFonts w:ascii="Verdana" w:eastAsia="Calibri" w:hAnsi="Verdana" w:cs="Arial"/>
          <w:color w:val="000000"/>
          <w:sz w:val="21"/>
          <w:szCs w:val="21"/>
          <w:lang w:eastAsia="es-ES_tradnl"/>
        </w:rPr>
        <w:t> </w:t>
      </w:r>
      <w:r w:rsidRPr="00445908">
        <w:rPr>
          <w:rFonts w:ascii="Verdana" w:eastAsia="Calibri" w:hAnsi="Verdana" w:cs="Arial"/>
          <w:i/>
          <w:iCs/>
          <w:color w:val="000000"/>
          <w:sz w:val="21"/>
          <w:szCs w:val="21"/>
          <w:lang w:eastAsia="es-ES_tradnl"/>
        </w:rPr>
        <w:t>Cartas y cartas.</w:t>
      </w:r>
    </w:p>
    <w:p w14:paraId="7A20F82E" w14:textId="77777777" w:rsidR="001520A7" w:rsidRDefault="001520A7" w:rsidP="001520A7">
      <w:pPr>
        <w:spacing w:after="120" w:line="276" w:lineRule="auto"/>
        <w:ind w:firstLine="709"/>
        <w:jc w:val="both"/>
        <w:rPr>
          <w:rFonts w:ascii="Verdana" w:eastAsia="Calibri" w:hAnsi="Verdana" w:cs="Arial"/>
          <w:color w:val="000000"/>
          <w:szCs w:val="24"/>
          <w:lang w:val="es-ES_tradnl" w:eastAsia="es-ES_tradnl"/>
        </w:rPr>
      </w:pPr>
    </w:p>
    <w:p w14:paraId="5DDDE47C" w14:textId="77777777" w:rsidR="001520A7" w:rsidRDefault="001520A7" w:rsidP="001520A7">
      <w:pPr>
        <w:spacing w:after="120" w:line="276" w:lineRule="auto"/>
        <w:ind w:firstLine="709"/>
        <w:jc w:val="both"/>
        <w:rPr>
          <w:rFonts w:ascii="Verdana" w:eastAsia="Calibri" w:hAnsi="Verdana" w:cs="Arial"/>
          <w:bCs/>
          <w:color w:val="000000" w:themeColor="text1"/>
        </w:rPr>
      </w:pPr>
      <w:r>
        <w:rPr>
          <w:rFonts w:ascii="Verdana" w:eastAsia="Calibri" w:hAnsi="Verdana" w:cs="Arial"/>
          <w:color w:val="000000"/>
          <w:szCs w:val="24"/>
          <w:lang w:val="es-ES_tradnl" w:eastAsia="es-ES_tradnl"/>
        </w:rPr>
        <w:lastRenderedPageBreak/>
        <w:t xml:space="preserve">De la conjunción “y” que se usa en la expresión “bienes y servicios de características técnicas uniformes y de común utilización” puede derivarse que tiene el significado 2° expresado por la Real Academia de la Lengua Española, es decir, tiene la función de formar grupos de dos o más palabras, por lo que no se excluyen dentro de la causal de selección abreviada dispuesta en la Ley 1150 de 2007. </w:t>
      </w:r>
      <w:r w:rsidRPr="00185EE9">
        <w:rPr>
          <w:rFonts w:ascii="Verdana" w:eastAsia="Calibri" w:hAnsi="Verdana" w:cs="Arial"/>
          <w:bCs/>
          <w:color w:val="000000" w:themeColor="text1"/>
        </w:rPr>
        <w:t xml:space="preserve">Por ello, según el literal a) del artículo 2, numeral 2 de la Ley 1150 de 2007, los bienes y servicios de características técnicas uniformes “[…] corresponden a aquellos que poseen las mismas especificaciones técnicas, con independencia de su diseño o de sus características descriptivas, y comparten patrones de desempeño y calidad objetivamente definidos”. Asimismo, el artículo 2.2.1.1.1.3.1 del Decreto 1082 de 2015 los define como aquellos “Bienes y servicios de común utilización con especificaciones técnicas y patrones de desempeño y calidad iguales o similares, que en consecuencia pueden ser agrupados como bienes y servicios homogéneos para su adquisición y a los que se refiere el literal a) del numeral 2 del artículo 2 de la Ley 1150 de 2007”. De esta manera, conforme a las normas citadas en el párrafo precedente, prima la definición legal sobre el uso general o el significado técnico. </w:t>
      </w:r>
      <w:r>
        <w:rPr>
          <w:rFonts w:ascii="Verdana" w:eastAsia="Calibri" w:hAnsi="Verdana" w:cs="Arial"/>
          <w:bCs/>
          <w:color w:val="000000" w:themeColor="text1"/>
        </w:rPr>
        <w:t>Al respecto, Juan Ángel Palacio Hincapié</w:t>
      </w:r>
      <w:r>
        <w:rPr>
          <w:rStyle w:val="Refdenotaalpie"/>
          <w:rFonts w:ascii="Verdana" w:eastAsia="Calibri" w:hAnsi="Verdana" w:cs="Arial"/>
          <w:bCs/>
          <w:color w:val="000000" w:themeColor="text1"/>
        </w:rPr>
        <w:footnoteReference w:id="7"/>
      </w:r>
      <w:r>
        <w:rPr>
          <w:rFonts w:ascii="Verdana" w:eastAsia="Calibri" w:hAnsi="Verdana" w:cs="Arial"/>
          <w:bCs/>
          <w:color w:val="000000" w:themeColor="text1"/>
        </w:rPr>
        <w:t xml:space="preserve"> expresa frente a este causal de selección abreviada:</w:t>
      </w:r>
    </w:p>
    <w:p w14:paraId="249358EB" w14:textId="77777777" w:rsidR="001520A7" w:rsidRDefault="001520A7" w:rsidP="001520A7">
      <w:pPr>
        <w:spacing w:after="0" w:line="276" w:lineRule="auto"/>
        <w:ind w:firstLine="709"/>
        <w:jc w:val="both"/>
        <w:rPr>
          <w:rFonts w:ascii="Verdana" w:eastAsia="Calibri" w:hAnsi="Verdana" w:cs="Arial"/>
          <w:bCs/>
          <w:color w:val="000000" w:themeColor="text1"/>
        </w:rPr>
      </w:pPr>
    </w:p>
    <w:p w14:paraId="43C6EA1D" w14:textId="77777777" w:rsidR="001520A7" w:rsidRPr="0013649F" w:rsidRDefault="001520A7" w:rsidP="001520A7">
      <w:pPr>
        <w:spacing w:after="0" w:line="240" w:lineRule="auto"/>
        <w:ind w:left="709" w:right="709"/>
        <w:jc w:val="both"/>
        <w:rPr>
          <w:rFonts w:ascii="Verdana" w:eastAsia="Calibri" w:hAnsi="Verdana" w:cs="Arial"/>
          <w:bCs/>
          <w:color w:val="000000" w:themeColor="text1"/>
          <w:sz w:val="21"/>
          <w:szCs w:val="21"/>
        </w:rPr>
      </w:pPr>
      <w:r w:rsidRPr="0013649F">
        <w:rPr>
          <w:rFonts w:ascii="Verdana" w:eastAsia="Calibri" w:hAnsi="Verdana" w:cs="Arial"/>
          <w:bCs/>
          <w:color w:val="000000" w:themeColor="text1"/>
          <w:sz w:val="21"/>
          <w:szCs w:val="21"/>
        </w:rPr>
        <w:t xml:space="preserve">Esta causal no existía entre las que traía el artículo 24 de la Ley 80 de 1993 para la contratación directa. Con ella se busca facilitar la compra de bienes que son de uso común u ordinario de las entidades, cuyos precios normalmente están regulados por la competencia misma, como papelería, muebles, artículos de aseo, etc. </w:t>
      </w:r>
    </w:p>
    <w:p w14:paraId="411043F6" w14:textId="77777777" w:rsidR="001520A7" w:rsidRPr="0013649F" w:rsidRDefault="001520A7" w:rsidP="001520A7">
      <w:pPr>
        <w:spacing w:after="0" w:line="240" w:lineRule="auto"/>
        <w:ind w:left="709" w:right="709"/>
        <w:jc w:val="both"/>
        <w:rPr>
          <w:rFonts w:ascii="Verdana" w:eastAsia="Calibri" w:hAnsi="Verdana" w:cs="Arial"/>
          <w:bCs/>
          <w:color w:val="000000" w:themeColor="text1"/>
          <w:sz w:val="21"/>
          <w:szCs w:val="21"/>
        </w:rPr>
      </w:pPr>
      <w:r w:rsidRPr="0013649F">
        <w:rPr>
          <w:rFonts w:ascii="Verdana" w:eastAsia="Calibri" w:hAnsi="Verdana" w:cs="Arial"/>
          <w:bCs/>
          <w:color w:val="000000" w:themeColor="text1"/>
          <w:sz w:val="21"/>
          <w:szCs w:val="21"/>
        </w:rPr>
        <w:t>Tienen como características las siguientes:</w:t>
      </w:r>
    </w:p>
    <w:p w14:paraId="280BFDA6" w14:textId="77777777" w:rsidR="001520A7" w:rsidRPr="0013649F" w:rsidRDefault="001520A7" w:rsidP="001520A7">
      <w:pPr>
        <w:pStyle w:val="Prrafodelista"/>
        <w:numPr>
          <w:ilvl w:val="0"/>
          <w:numId w:val="26"/>
        </w:numPr>
        <w:spacing w:after="0" w:line="240" w:lineRule="auto"/>
        <w:ind w:left="709" w:right="709"/>
        <w:jc w:val="both"/>
        <w:rPr>
          <w:rFonts w:ascii="Verdana" w:eastAsia="Calibri" w:hAnsi="Verdana" w:cs="Arial"/>
          <w:bCs/>
          <w:color w:val="000000" w:themeColor="text1"/>
          <w:sz w:val="21"/>
          <w:szCs w:val="21"/>
        </w:rPr>
      </w:pPr>
      <w:r w:rsidRPr="0013649F">
        <w:rPr>
          <w:rFonts w:ascii="Verdana" w:eastAsia="Calibri" w:hAnsi="Verdana" w:cs="Arial"/>
          <w:bCs/>
          <w:color w:val="000000" w:themeColor="text1"/>
          <w:sz w:val="21"/>
          <w:szCs w:val="21"/>
        </w:rPr>
        <w:t xml:space="preserve">Son de común utilización en todas las entidades. Tienen las mismas especificaciones técnicas, por tanto, de la misma calidad, lo cual se concreta en que tienen características técnicas uniformes. </w:t>
      </w:r>
    </w:p>
    <w:p w14:paraId="6F0E9581" w14:textId="77777777" w:rsidR="001520A7" w:rsidRPr="0013649F" w:rsidRDefault="001520A7" w:rsidP="001520A7">
      <w:pPr>
        <w:pStyle w:val="Prrafodelista"/>
        <w:numPr>
          <w:ilvl w:val="0"/>
          <w:numId w:val="26"/>
        </w:numPr>
        <w:spacing w:after="0" w:line="276" w:lineRule="auto"/>
        <w:ind w:left="709" w:right="709"/>
        <w:jc w:val="both"/>
        <w:rPr>
          <w:rFonts w:ascii="Verdana" w:eastAsia="Calibri" w:hAnsi="Verdana" w:cs="Arial"/>
          <w:bCs/>
          <w:color w:val="000000" w:themeColor="text1"/>
          <w:sz w:val="21"/>
          <w:szCs w:val="21"/>
        </w:rPr>
      </w:pPr>
      <w:r w:rsidRPr="0013649F">
        <w:rPr>
          <w:rFonts w:ascii="Verdana" w:eastAsia="Calibri" w:hAnsi="Verdana" w:cs="Arial"/>
          <w:bCs/>
          <w:color w:val="000000" w:themeColor="text1"/>
          <w:sz w:val="21"/>
          <w:szCs w:val="21"/>
        </w:rPr>
        <w:t>Puede tener diferente diseño</w:t>
      </w:r>
    </w:p>
    <w:p w14:paraId="1D8A6BA7" w14:textId="77777777" w:rsidR="001520A7" w:rsidRPr="0013649F" w:rsidRDefault="001520A7" w:rsidP="001520A7">
      <w:pPr>
        <w:spacing w:after="0" w:line="276" w:lineRule="auto"/>
        <w:ind w:firstLine="709"/>
        <w:jc w:val="both"/>
        <w:rPr>
          <w:rFonts w:ascii="Verdana" w:eastAsia="Calibri" w:hAnsi="Verdana" w:cs="Arial"/>
          <w:bCs/>
          <w:color w:val="000000" w:themeColor="text1"/>
        </w:rPr>
      </w:pPr>
      <w:r w:rsidRPr="00185EE9">
        <w:rPr>
          <w:rFonts w:ascii="Verdana" w:eastAsia="Calibri" w:hAnsi="Verdana" w:cs="Arial"/>
          <w:bCs/>
          <w:color w:val="000000" w:themeColor="text1"/>
        </w:rPr>
        <w:t xml:space="preserve"> </w:t>
      </w:r>
    </w:p>
    <w:p w14:paraId="6250ADD2" w14:textId="77777777" w:rsidR="001520A7" w:rsidRDefault="001520A7" w:rsidP="001520A7">
      <w:pPr>
        <w:spacing w:after="0" w:line="276" w:lineRule="auto"/>
        <w:ind w:firstLine="709"/>
        <w:jc w:val="both"/>
        <w:rPr>
          <w:rFonts w:ascii="Verdana" w:eastAsia="Calibri" w:hAnsi="Verdana" w:cs="Arial"/>
          <w:bCs/>
          <w:color w:val="000000" w:themeColor="text1"/>
        </w:rPr>
      </w:pPr>
      <w:r w:rsidRPr="00185EE9">
        <w:rPr>
          <w:rFonts w:ascii="Verdana" w:eastAsia="Calibri" w:hAnsi="Verdana" w:cs="Arial"/>
          <w:bCs/>
          <w:color w:val="000000" w:themeColor="text1"/>
        </w:rPr>
        <w:t>Para identificar los bienes y servicios que corresponden a este tipo, se destacan dos (2) aspectos importantes: la común utiliz</w:t>
      </w:r>
      <w:r>
        <w:rPr>
          <w:rFonts w:ascii="Verdana" w:eastAsia="Calibri" w:hAnsi="Verdana" w:cs="Arial"/>
          <w:bCs/>
          <w:color w:val="000000" w:themeColor="text1"/>
        </w:rPr>
        <w:t>ación y la homogeneidad. Para Suárez Beltrán</w:t>
      </w:r>
      <w:r w:rsidRPr="00185EE9">
        <w:rPr>
          <w:rFonts w:ascii="Verdana" w:eastAsia="Calibri" w:hAnsi="Verdana" w:cs="Arial"/>
          <w:bCs/>
          <w:color w:val="000000" w:themeColor="text1"/>
        </w:rPr>
        <w:t xml:space="preserve">, la </w:t>
      </w:r>
      <w:r w:rsidRPr="00185EE9">
        <w:rPr>
          <w:rFonts w:ascii="Verdana" w:eastAsia="Calibri" w:hAnsi="Verdana" w:cs="Arial"/>
          <w:bCs/>
          <w:i/>
          <w:iCs/>
          <w:color w:val="000000" w:themeColor="text1"/>
        </w:rPr>
        <w:t>común utilización</w:t>
      </w:r>
      <w:r w:rsidRPr="00185EE9">
        <w:rPr>
          <w:rFonts w:ascii="Verdana" w:eastAsia="Calibri" w:hAnsi="Verdana" w:cs="Arial"/>
          <w:bCs/>
          <w:color w:val="000000" w:themeColor="text1"/>
        </w:rPr>
        <w:t xml:space="preserve"> “[…] busca que los bienes o servicios que se compren en esta categoría sean de los que se ofrecen en un mercado con un estándar para quienes los demandan, o lo que es igual, que la oferta de </w:t>
      </w:r>
      <w:proofErr w:type="gramStart"/>
      <w:r w:rsidRPr="00185EE9">
        <w:rPr>
          <w:rFonts w:ascii="Verdana" w:eastAsia="Calibri" w:hAnsi="Verdana" w:cs="Arial"/>
          <w:bCs/>
          <w:color w:val="000000" w:themeColor="text1"/>
        </w:rPr>
        <w:t xml:space="preserve">los </w:t>
      </w:r>
      <w:r w:rsidRPr="00185EE9">
        <w:rPr>
          <w:rFonts w:ascii="Verdana" w:eastAsia="Calibri" w:hAnsi="Verdana" w:cs="Arial"/>
          <w:bCs/>
          <w:color w:val="000000" w:themeColor="text1"/>
        </w:rPr>
        <w:lastRenderedPageBreak/>
        <w:t>mismos</w:t>
      </w:r>
      <w:proofErr w:type="gramEnd"/>
      <w:r w:rsidRPr="00185EE9">
        <w:rPr>
          <w:rFonts w:ascii="Verdana" w:eastAsia="Calibri" w:hAnsi="Verdana" w:cs="Arial"/>
          <w:bCs/>
          <w:color w:val="000000" w:themeColor="text1"/>
        </w:rPr>
        <w:t xml:space="preserve"> en el mercado ocurriese en condiciones equivalentes para todo interesado en adquirirlos”</w:t>
      </w:r>
      <w:r w:rsidRPr="00185EE9">
        <w:rPr>
          <w:rStyle w:val="Refdenotaalpie"/>
          <w:rFonts w:ascii="Verdana" w:eastAsia="Calibri" w:hAnsi="Verdana" w:cs="Arial"/>
          <w:bCs/>
          <w:color w:val="000000" w:themeColor="text1"/>
        </w:rPr>
        <w:footnoteReference w:id="8"/>
      </w:r>
      <w:r w:rsidRPr="00185EE9">
        <w:rPr>
          <w:rFonts w:ascii="Verdana" w:eastAsia="Calibri" w:hAnsi="Verdana" w:cs="Arial"/>
          <w:bCs/>
          <w:color w:val="000000" w:themeColor="text1"/>
        </w:rPr>
        <w:t xml:space="preserve">. Por su parte, la </w:t>
      </w:r>
      <w:r w:rsidRPr="00185EE9">
        <w:rPr>
          <w:rFonts w:ascii="Verdana" w:eastAsia="Calibri" w:hAnsi="Verdana" w:cs="Arial"/>
          <w:bCs/>
          <w:i/>
          <w:iCs/>
          <w:color w:val="000000" w:themeColor="text1"/>
        </w:rPr>
        <w:t>homogeneidad</w:t>
      </w:r>
      <w:r w:rsidRPr="00185EE9">
        <w:rPr>
          <w:rFonts w:ascii="Verdana" w:eastAsia="Calibri" w:hAnsi="Verdana" w:cs="Arial"/>
          <w:bCs/>
          <w:color w:val="000000" w:themeColor="text1"/>
        </w:rPr>
        <w:t xml:space="preserve"> se refiere a que “[…] sean fácilmente describibles por características mínimas comunes a los de su tipo, excluyendo elementos no esenciales, tales como los de diseño o cualquier otro que no altere la funcionalidad del bien o servicio. Ello debe ser así, en la medida en la cual se busca que la administración logre que compitan bienes o servicios de igual calidad, ofrecidos por los proponentes capaces de satisfacer el requerimiento de la entidad contratante”</w:t>
      </w:r>
      <w:r w:rsidRPr="00185EE9">
        <w:rPr>
          <w:rStyle w:val="Refdenotaalpie"/>
          <w:rFonts w:ascii="Verdana" w:eastAsia="Calibri" w:hAnsi="Verdana" w:cs="Arial"/>
          <w:bCs/>
          <w:color w:val="000000" w:themeColor="text1"/>
        </w:rPr>
        <w:footnoteReference w:id="9"/>
      </w:r>
      <w:r w:rsidRPr="00185EE9">
        <w:rPr>
          <w:rFonts w:ascii="Verdana" w:eastAsia="Calibri" w:hAnsi="Verdana" w:cs="Arial"/>
          <w:bCs/>
          <w:color w:val="000000" w:themeColor="text1"/>
        </w:rPr>
        <w:t>.</w:t>
      </w:r>
      <w:r>
        <w:rPr>
          <w:rFonts w:ascii="Verdana" w:eastAsia="Calibri" w:hAnsi="Verdana" w:cs="Arial"/>
          <w:bCs/>
          <w:color w:val="000000" w:themeColor="text1"/>
        </w:rPr>
        <w:t xml:space="preserve"> A modo de ejemplo, se plantea que en el Derecho Peruano se alude al concepto “Bienes y Servicios Comunes”, que son definidos así: </w:t>
      </w:r>
    </w:p>
    <w:p w14:paraId="4C294E6B" w14:textId="77777777" w:rsidR="001520A7" w:rsidRDefault="001520A7" w:rsidP="001520A7">
      <w:pPr>
        <w:spacing w:after="0" w:line="276" w:lineRule="auto"/>
        <w:ind w:firstLine="709"/>
        <w:jc w:val="both"/>
        <w:rPr>
          <w:rFonts w:ascii="Verdana" w:eastAsia="Calibri" w:hAnsi="Verdana" w:cs="Arial"/>
          <w:bCs/>
          <w:color w:val="000000" w:themeColor="text1"/>
        </w:rPr>
      </w:pPr>
    </w:p>
    <w:p w14:paraId="67B245BF" w14:textId="77777777" w:rsidR="001520A7" w:rsidRDefault="001520A7" w:rsidP="001520A7">
      <w:pPr>
        <w:spacing w:after="0" w:line="240" w:lineRule="auto"/>
        <w:ind w:left="709" w:right="709"/>
        <w:jc w:val="both"/>
        <w:rPr>
          <w:rFonts w:ascii="Verdana" w:eastAsia="Calibri" w:hAnsi="Verdana" w:cs="Arial"/>
          <w:bCs/>
          <w:color w:val="000000" w:themeColor="text1"/>
          <w:sz w:val="21"/>
          <w:szCs w:val="21"/>
        </w:rPr>
      </w:pPr>
      <w:r>
        <w:rPr>
          <w:rFonts w:ascii="Verdana" w:eastAsia="Calibri" w:hAnsi="Verdana" w:cs="Arial"/>
          <w:bCs/>
          <w:color w:val="000000" w:themeColor="text1"/>
          <w:sz w:val="21"/>
          <w:szCs w:val="21"/>
        </w:rPr>
        <w:t>“</w:t>
      </w:r>
      <w:r w:rsidRPr="00EA74F5">
        <w:rPr>
          <w:rFonts w:ascii="Verdana" w:eastAsia="Calibri" w:hAnsi="Verdana" w:cs="Arial"/>
          <w:bCs/>
          <w:color w:val="000000" w:themeColor="text1"/>
          <w:sz w:val="21"/>
          <w:szCs w:val="21"/>
        </w:rPr>
        <w:t>Son bienes y servicios comunes aquellos que, existiendo más de un proveedor en el mercado, cuentan con características o especificaciones usuales en el mercado, o han sido estandarizados como consecuencia de un proceso de homogeneización llevado a cabo al interior del Estado, cuyo factor diferenciador entre ellos es el precio en el cual se transan, siendo que la naturaleza de los mismos debe permitirles cumplir sus funciones sin requerir de otros bienes o servicios conexos, por ende está en capacidad de desarrollar las mismas como una unidad. La Central de Compras Públicas — PERU COMPRAS los incorpora, mediante la aprobación de fichas técnicas, dentro del Listado de Bienes y Servicios Comunes</w:t>
      </w:r>
      <w:r>
        <w:rPr>
          <w:rFonts w:ascii="Verdana" w:eastAsia="Calibri" w:hAnsi="Verdana" w:cs="Arial"/>
          <w:bCs/>
          <w:color w:val="000000" w:themeColor="text1"/>
          <w:sz w:val="21"/>
          <w:szCs w:val="21"/>
        </w:rPr>
        <w:t>”</w:t>
      </w:r>
      <w:r>
        <w:rPr>
          <w:rStyle w:val="Refdenotaalpie"/>
          <w:rFonts w:ascii="Verdana" w:eastAsia="Calibri" w:hAnsi="Verdana" w:cs="Arial"/>
          <w:bCs/>
          <w:color w:val="000000" w:themeColor="text1"/>
          <w:sz w:val="21"/>
          <w:szCs w:val="21"/>
        </w:rPr>
        <w:footnoteReference w:id="10"/>
      </w:r>
      <w:r w:rsidRPr="00EA74F5">
        <w:rPr>
          <w:rFonts w:ascii="Verdana" w:eastAsia="Calibri" w:hAnsi="Verdana" w:cs="Arial"/>
          <w:bCs/>
          <w:color w:val="000000" w:themeColor="text1"/>
          <w:sz w:val="21"/>
          <w:szCs w:val="21"/>
        </w:rPr>
        <w:t>.</w:t>
      </w:r>
    </w:p>
    <w:p w14:paraId="3D2A9949" w14:textId="77777777" w:rsidR="001520A7" w:rsidRPr="00EA74F5" w:rsidRDefault="001520A7" w:rsidP="001520A7">
      <w:pPr>
        <w:spacing w:after="120" w:line="240" w:lineRule="auto"/>
        <w:ind w:left="709" w:right="709"/>
        <w:jc w:val="both"/>
        <w:rPr>
          <w:rFonts w:ascii="Verdana" w:eastAsia="Calibri" w:hAnsi="Verdana" w:cs="Arial"/>
          <w:bCs/>
          <w:color w:val="000000" w:themeColor="text1"/>
          <w:sz w:val="21"/>
          <w:szCs w:val="21"/>
        </w:rPr>
      </w:pPr>
    </w:p>
    <w:p w14:paraId="26476AC0" w14:textId="77777777" w:rsidR="001520A7" w:rsidRDefault="001520A7" w:rsidP="001520A7">
      <w:pPr>
        <w:spacing w:after="120" w:line="276" w:lineRule="auto"/>
        <w:ind w:firstLine="709"/>
        <w:jc w:val="both"/>
        <w:rPr>
          <w:rFonts w:ascii="Verdana" w:eastAsia="Calibri" w:hAnsi="Verdana" w:cs="Times New Roman"/>
          <w:bCs/>
          <w:iCs/>
        </w:rPr>
      </w:pPr>
      <w:r>
        <w:rPr>
          <w:rFonts w:ascii="Verdana" w:eastAsia="Calibri" w:hAnsi="Verdana" w:cs="Times New Roman"/>
          <w:bCs/>
          <w:iCs/>
        </w:rPr>
        <w:t>L</w:t>
      </w:r>
      <w:r w:rsidRPr="006423B6">
        <w:rPr>
          <w:rFonts w:ascii="Verdana" w:eastAsia="Calibri" w:hAnsi="Verdana" w:cs="Times New Roman"/>
          <w:bCs/>
          <w:iCs/>
        </w:rPr>
        <w:t>os elementos centrales para definir si un bien o servicio se considera de características técnicas uniformes y de común utilización consiste en dos aspectos: en primer lugar, que posea las mismas especificaciones técnicas y compartan patrones de desempeño y calidad objetivamente definidos, y en segundo lugar,</w:t>
      </w:r>
      <w:r>
        <w:rPr>
          <w:rFonts w:ascii="Verdana" w:eastAsia="Calibri" w:hAnsi="Verdana" w:cs="Times New Roman"/>
          <w:bCs/>
          <w:iCs/>
        </w:rPr>
        <w:t xml:space="preserve"> su común utilización o uso, esto es,</w:t>
      </w:r>
      <w:r w:rsidRPr="006423B6">
        <w:rPr>
          <w:rFonts w:ascii="Verdana" w:eastAsia="Calibri" w:hAnsi="Verdana" w:cs="Times New Roman"/>
          <w:bCs/>
          <w:iCs/>
        </w:rPr>
        <w:t xml:space="preserve"> que pueda adquirirse en el mercado con un estándar para quienes los requieran, es decir, que la oferta de los mismos en el mercado ocurriese en condiciones iguales para aquellas entidades estatales que lo necesitan. </w:t>
      </w:r>
    </w:p>
    <w:p w14:paraId="1CD70A70" w14:textId="77777777" w:rsidR="001520A7" w:rsidRPr="00E54CEE" w:rsidRDefault="001520A7" w:rsidP="001520A7">
      <w:pPr>
        <w:spacing w:after="120" w:line="276" w:lineRule="auto"/>
        <w:ind w:firstLine="709"/>
        <w:jc w:val="both"/>
        <w:rPr>
          <w:rFonts w:ascii="Verdana" w:eastAsia="Calibri" w:hAnsi="Verdana" w:cs="Times New Roman"/>
          <w:bCs/>
          <w:iCs/>
        </w:rPr>
      </w:pPr>
      <w:r w:rsidRPr="00E54CEE">
        <w:rPr>
          <w:rFonts w:ascii="Verdana" w:eastAsia="Calibri" w:hAnsi="Verdana" w:cs="Times New Roman"/>
          <w:bCs/>
          <w:iCs/>
        </w:rPr>
        <w:lastRenderedPageBreak/>
        <w:t xml:space="preserve">Los bienes y servicios de características técnicas uniformes se reconocen porque pueden </w:t>
      </w:r>
      <w:r>
        <w:rPr>
          <w:rFonts w:ascii="Verdana" w:eastAsia="Calibri" w:hAnsi="Verdana" w:cs="Times New Roman"/>
          <w:bCs/>
          <w:iCs/>
        </w:rPr>
        <w:t xml:space="preserve">adquirirse </w:t>
      </w:r>
      <w:r w:rsidRPr="00E54CEE">
        <w:rPr>
          <w:rFonts w:ascii="Verdana" w:eastAsia="Calibri" w:hAnsi="Verdana" w:cs="Times New Roman"/>
          <w:bCs/>
          <w:iCs/>
        </w:rPr>
        <w:t>en el mercado bajo condiciones estandarizadas u homogéneas, lo que implica que su descripción, especificaciones y parámetros de calidad mínima no dependen de un proveedor específico ni de un diseño singular. Se trata de bienes cuya naturaleza permite establecer criterios objetivos de comparación, de manera que el comprador público pueda verificar que cumplen con requisitos equivalentes y que son intercambiables entre sí, sin que las diferencias de marca o presentación alteren su funcionalidad esencial. Esta uniformidad facilita la consolidación de la demanda, la estandarización de fichas técnicas y la aplicación de procesos de selección simplificados, en la medida en que se asegura la posibilidad de concurrencia de múltiples oferentes en igualdad de condiciones.</w:t>
      </w:r>
    </w:p>
    <w:p w14:paraId="00B8377E" w14:textId="77777777" w:rsidR="001520A7" w:rsidRPr="00E54CEE" w:rsidRDefault="001520A7" w:rsidP="001520A7">
      <w:pPr>
        <w:spacing w:after="120" w:line="276" w:lineRule="auto"/>
        <w:ind w:firstLine="709"/>
        <w:jc w:val="both"/>
        <w:rPr>
          <w:rFonts w:ascii="Verdana" w:eastAsia="Calibri" w:hAnsi="Verdana" w:cs="Times New Roman"/>
          <w:bCs/>
          <w:iCs/>
        </w:rPr>
      </w:pPr>
      <w:r w:rsidRPr="00E54CEE">
        <w:rPr>
          <w:rFonts w:ascii="Verdana" w:eastAsia="Calibri" w:hAnsi="Verdana" w:cs="Times New Roman"/>
          <w:bCs/>
          <w:iCs/>
        </w:rPr>
        <w:t xml:space="preserve">En este sentido, la característica fundamental de los </w:t>
      </w:r>
      <w:r>
        <w:rPr>
          <w:rFonts w:ascii="Verdana" w:eastAsia="Calibri" w:hAnsi="Verdana" w:cs="Times New Roman"/>
          <w:bCs/>
          <w:iCs/>
        </w:rPr>
        <w:t>Bienes y Servicios Características Técnicas Uniformes y de Común Utilización es que su uso</w:t>
      </w:r>
      <w:r w:rsidRPr="00E54CEE">
        <w:rPr>
          <w:rFonts w:ascii="Verdana" w:eastAsia="Calibri" w:hAnsi="Verdana" w:cs="Times New Roman"/>
          <w:bCs/>
          <w:iCs/>
        </w:rPr>
        <w:t xml:space="preserve"> es común y generalizada, lo que se traduce en la existencia de precios comparables y en la capacidad de más de una empresa o corporación para proveerlos en el mercado. La homogeneidad técnica y la amplia disponibilidad permiten que la contratación pública se oriente hacia la eficiencia, la transparencia y la selección objetiva, pues se reduce la discrecionalidad en la definición de especificaciones y se evita la restricción injustificada de la competencia. Así, la noción de uniformidad técnica no excluye la existencia de variaciones menores en diseño o presentación, sino que se centra en la posibilidad de adquirir bienes funcionalmente equivalentes, con estándares de calidad verificables y con condiciones de suministro que aseguren la concurrencia y la comparabilidad en los procesos de contratación estatal.</w:t>
      </w:r>
    </w:p>
    <w:p w14:paraId="36359738" w14:textId="77777777" w:rsidR="001520A7" w:rsidRPr="00185EE9" w:rsidRDefault="001520A7" w:rsidP="001520A7">
      <w:pPr>
        <w:spacing w:after="0" w:line="276" w:lineRule="auto"/>
        <w:ind w:firstLine="708"/>
        <w:jc w:val="both"/>
        <w:rPr>
          <w:rFonts w:ascii="Verdana" w:eastAsia="Calibri" w:hAnsi="Verdana" w:cs="Arial"/>
        </w:rPr>
      </w:pPr>
      <w:r w:rsidRPr="00185EE9">
        <w:rPr>
          <w:rFonts w:ascii="Verdana" w:eastAsia="Calibri" w:hAnsi="Verdana" w:cs="Arial"/>
          <w:bCs/>
          <w:color w:val="000000" w:themeColor="text1"/>
        </w:rPr>
        <w:t xml:space="preserve">La forma cómo se adquieren en el mercado determina si un bien o servicio encaja en esta categoría, de ahí que el Decreto 1082 de 2015 </w:t>
      </w:r>
      <w:r>
        <w:rPr>
          <w:rFonts w:ascii="Verdana" w:eastAsia="Calibri" w:hAnsi="Verdana" w:cs="Arial"/>
          <w:bCs/>
          <w:color w:val="000000" w:themeColor="text1"/>
        </w:rPr>
        <w:t>prescribe:</w:t>
      </w:r>
      <w:r w:rsidRPr="00185EE9">
        <w:rPr>
          <w:rFonts w:ascii="Verdana" w:eastAsia="Calibri" w:hAnsi="Verdana" w:cs="Arial"/>
          <w:bCs/>
          <w:color w:val="000000" w:themeColor="text1"/>
        </w:rPr>
        <w:t xml:space="preserve"> “[…] pueden ser agrupados como bienes y servicios homogéneos para su adquisición […]”, dado que cuentan con especificaciones técnicas y patrones de desempeño y calidad similares. Al respecto, la exposición de motivos de la Ley 1150 de 2007 explica que: </w:t>
      </w:r>
    </w:p>
    <w:p w14:paraId="40F70CE5" w14:textId="77777777" w:rsidR="001520A7" w:rsidRPr="00185EE9" w:rsidRDefault="001520A7" w:rsidP="001520A7">
      <w:pPr>
        <w:spacing w:after="0" w:line="276" w:lineRule="auto"/>
        <w:jc w:val="both"/>
        <w:rPr>
          <w:rFonts w:ascii="Verdana" w:eastAsia="Calibri" w:hAnsi="Verdana" w:cs="Arial"/>
        </w:rPr>
      </w:pPr>
    </w:p>
    <w:p w14:paraId="60B6926B" w14:textId="77777777" w:rsidR="001520A7" w:rsidRPr="00185EE9" w:rsidRDefault="001520A7" w:rsidP="001520A7">
      <w:pPr>
        <w:spacing w:after="0" w:line="240" w:lineRule="auto"/>
        <w:ind w:left="709" w:right="709"/>
        <w:jc w:val="both"/>
        <w:rPr>
          <w:rFonts w:ascii="Verdana" w:eastAsia="Calibri" w:hAnsi="Verdana" w:cs="Arial"/>
          <w:sz w:val="21"/>
          <w:szCs w:val="21"/>
        </w:rPr>
      </w:pPr>
      <w:r w:rsidRPr="00185EE9">
        <w:rPr>
          <w:rFonts w:ascii="Verdana" w:eastAsia="Calibri" w:hAnsi="Verdana" w:cs="Arial"/>
          <w:sz w:val="21"/>
          <w:szCs w:val="21"/>
        </w:rPr>
        <w:t xml:space="preserve">“[…] las innovaciones del proceso de selección abreviada empiezan por una medida trascendental, para llevar a sólo horas los contratos referidos a la adquisición de bienes de ‘características técnicas </w:t>
      </w:r>
      <w:r w:rsidRPr="00185EE9">
        <w:rPr>
          <w:rFonts w:ascii="Verdana" w:eastAsia="Calibri" w:hAnsi="Verdana" w:cs="Arial"/>
          <w:sz w:val="21"/>
          <w:szCs w:val="21"/>
        </w:rPr>
        <w:lastRenderedPageBreak/>
        <w:t xml:space="preserve">uniformes y de común utilización’ </w:t>
      </w:r>
      <w:proofErr w:type="gramStart"/>
      <w:r w:rsidRPr="00185EE9">
        <w:rPr>
          <w:rFonts w:ascii="Verdana" w:eastAsia="Calibri" w:hAnsi="Verdana" w:cs="Arial"/>
          <w:sz w:val="21"/>
          <w:szCs w:val="21"/>
        </w:rPr>
        <w:t>que</w:t>
      </w:r>
      <w:proofErr w:type="gramEnd"/>
      <w:r w:rsidRPr="00185EE9">
        <w:rPr>
          <w:rFonts w:ascii="Verdana" w:eastAsia="Calibri" w:hAnsi="Verdana" w:cs="Arial"/>
          <w:sz w:val="21"/>
          <w:szCs w:val="21"/>
        </w:rPr>
        <w:t xml:space="preserve"> según cálculos del Departamento Nacional de Planeación, corresponden a más del 80% en número de contratos. </w:t>
      </w:r>
      <w:r w:rsidRPr="00185EE9">
        <w:rPr>
          <w:rFonts w:ascii="Verdana" w:eastAsia="Calibri" w:hAnsi="Verdana" w:cs="Arial"/>
          <w:i/>
          <w:iCs/>
          <w:sz w:val="21"/>
          <w:szCs w:val="21"/>
        </w:rPr>
        <w:t>De esta forma, en la medida en la cual se trate de adquirir un objeto cuyas características técnicas puedan reducirse a unas comunes a su funcionalidad y calidad, tal proceso debe realizarse únicamente en función del precio del bien, una vez se han verificado las condiciones de capacidad de los proponentes para cumplir con el contrato (‘pasa, no pasa’)</w:t>
      </w:r>
      <w:r w:rsidRPr="00185EE9">
        <w:rPr>
          <w:rFonts w:ascii="Verdana" w:eastAsia="Calibri" w:hAnsi="Verdana" w:cs="Arial"/>
          <w:sz w:val="21"/>
          <w:szCs w:val="21"/>
        </w:rPr>
        <w:t xml:space="preserve"> […]”</w:t>
      </w:r>
      <w:r w:rsidRPr="00185EE9">
        <w:rPr>
          <w:rStyle w:val="Refdenotaalpie"/>
          <w:rFonts w:ascii="Verdana" w:eastAsia="Calibri" w:hAnsi="Verdana" w:cs="Arial"/>
          <w:sz w:val="21"/>
          <w:szCs w:val="21"/>
        </w:rPr>
        <w:footnoteReference w:id="11"/>
      </w:r>
      <w:r w:rsidRPr="00185EE9">
        <w:rPr>
          <w:rFonts w:ascii="Verdana" w:eastAsia="Calibri" w:hAnsi="Verdana" w:cs="Arial"/>
          <w:sz w:val="21"/>
          <w:szCs w:val="21"/>
        </w:rPr>
        <w:t>. (Énfasis fuera de texto)</w:t>
      </w:r>
    </w:p>
    <w:p w14:paraId="571BFBEB" w14:textId="77777777" w:rsidR="001520A7" w:rsidRPr="00185EE9" w:rsidRDefault="001520A7" w:rsidP="001520A7">
      <w:pPr>
        <w:spacing w:after="0" w:line="276" w:lineRule="auto"/>
        <w:jc w:val="both"/>
        <w:rPr>
          <w:rFonts w:ascii="Verdana" w:eastAsia="Calibri" w:hAnsi="Verdana" w:cs="Arial"/>
        </w:rPr>
      </w:pPr>
    </w:p>
    <w:p w14:paraId="679C5989" w14:textId="77777777" w:rsidR="001520A7" w:rsidRDefault="001520A7" w:rsidP="001520A7">
      <w:pPr>
        <w:spacing w:after="120" w:line="276" w:lineRule="auto"/>
        <w:ind w:firstLine="709"/>
        <w:jc w:val="both"/>
        <w:rPr>
          <w:rFonts w:ascii="Verdana" w:eastAsia="Calibri" w:hAnsi="Verdana" w:cs="Arial"/>
        </w:rPr>
      </w:pPr>
      <w:r w:rsidRPr="00185EE9">
        <w:rPr>
          <w:rFonts w:ascii="Verdana" w:eastAsia="Calibri" w:hAnsi="Verdana" w:cs="Arial"/>
        </w:rPr>
        <w:t>En este contexto, la doctrina identifica como bienes o servicios de características técnicas</w:t>
      </w:r>
      <w:r>
        <w:rPr>
          <w:rFonts w:ascii="Verdana" w:eastAsia="Calibri" w:hAnsi="Verdana" w:cs="Arial"/>
        </w:rPr>
        <w:t xml:space="preserve"> y de común utilización</w:t>
      </w:r>
      <w:r w:rsidRPr="00185EE9">
        <w:rPr>
          <w:rFonts w:ascii="Verdana" w:eastAsia="Calibri" w:hAnsi="Verdana" w:cs="Arial"/>
        </w:rPr>
        <w:t xml:space="preserve"> los insumos de oficina –bolígrafos, cartuchos de tinta, papel de impresora, tijeras, cuadernos, entre otros–, los insumos de limpieza –bolsas de basura, esponjas, limpiador de pisos, papel higiénico, toallas de papel, entre otros–, y los insumos de cocina –agua, aromáticas, azúcar, café, servilletas, entre otros–. También identifica como tales los muebles y enseres –archivos, asientos, escritorios, mesas, entre otros–, los equipos –computadores, escáneres, impresoras, proyectores, entre otros–, los combustibles –ACPM, biodiesel, gasolina, combustible diésel, entre otros–, los servicios de mantenimiento –equipos electrónicos, de comunicaciones, entre otros–, e</w:t>
      </w:r>
      <w:r>
        <w:rPr>
          <w:rFonts w:ascii="Verdana" w:eastAsia="Calibri" w:hAnsi="Verdana" w:cs="Arial"/>
        </w:rPr>
        <w:t>ntre otros</w:t>
      </w:r>
      <w:r w:rsidRPr="00185EE9">
        <w:rPr>
          <w:rStyle w:val="Refdenotaalpie"/>
          <w:rFonts w:ascii="Verdana" w:eastAsia="Calibri" w:hAnsi="Verdana" w:cs="Arial"/>
        </w:rPr>
        <w:footnoteReference w:id="12"/>
      </w:r>
      <w:r>
        <w:rPr>
          <w:rFonts w:ascii="Verdana" w:eastAsia="Calibri" w:hAnsi="Verdana" w:cs="Arial"/>
        </w:rPr>
        <w:t xml:space="preserve">. </w:t>
      </w:r>
    </w:p>
    <w:p w14:paraId="7423BD93" w14:textId="77777777" w:rsidR="001520A7" w:rsidRDefault="001520A7" w:rsidP="001520A7">
      <w:pPr>
        <w:spacing w:after="120" w:line="276" w:lineRule="auto"/>
        <w:ind w:firstLine="709"/>
        <w:jc w:val="both"/>
        <w:rPr>
          <w:rFonts w:ascii="Verdana" w:eastAsia="Calibri" w:hAnsi="Verdana" w:cs="Arial"/>
        </w:rPr>
      </w:pPr>
      <w:r>
        <w:rPr>
          <w:rFonts w:ascii="Verdana" w:eastAsia="Calibri" w:hAnsi="Verdana" w:cs="Arial"/>
        </w:rPr>
        <w:t>Tratándose</w:t>
      </w:r>
      <w:r w:rsidRPr="00675F2F">
        <w:rPr>
          <w:rFonts w:ascii="Verdana" w:eastAsia="Calibri" w:hAnsi="Verdana" w:cs="Arial"/>
        </w:rPr>
        <w:t xml:space="preserve"> de los dispositivos médicos y de insumos como materiales de osteosíntesis, reemplazos articulares o prótesis de cadera,</w:t>
      </w:r>
      <w:r>
        <w:rPr>
          <w:rFonts w:ascii="Verdana" w:eastAsia="Calibri" w:hAnsi="Verdana" w:cs="Arial"/>
        </w:rPr>
        <w:t xml:space="preserve"> entre otros,</w:t>
      </w:r>
      <w:r w:rsidRPr="00675F2F">
        <w:rPr>
          <w:rFonts w:ascii="Verdana" w:eastAsia="Calibri" w:hAnsi="Verdana" w:cs="Arial"/>
        </w:rPr>
        <w:t xml:space="preserve"> la categorización como B</w:t>
      </w:r>
      <w:r>
        <w:rPr>
          <w:rFonts w:ascii="Verdana" w:eastAsia="Calibri" w:hAnsi="Verdana" w:cs="Arial"/>
        </w:rPr>
        <w:t xml:space="preserve">ien y Servicio de Características Técnicas Uniformes y de Común Utilización </w:t>
      </w:r>
      <w:r w:rsidRPr="00675F2F">
        <w:rPr>
          <w:rFonts w:ascii="Verdana" w:eastAsia="Calibri" w:hAnsi="Verdana" w:cs="Arial"/>
        </w:rPr>
        <w:t>exige verificar si, pese a las variaciones de diseño, indicación clínica o fabricante, es posible identificar parámetros homogéneos de desempeño, calidad mínima y unidad de medida que permitan su comparación objetiva. La característica fundamental de los B</w:t>
      </w:r>
      <w:r>
        <w:rPr>
          <w:rFonts w:ascii="Verdana" w:eastAsia="Calibri" w:hAnsi="Verdana" w:cs="Arial"/>
        </w:rPr>
        <w:t xml:space="preserve">ienes y Servicios </w:t>
      </w:r>
      <w:r w:rsidRPr="003B1D68">
        <w:rPr>
          <w:rFonts w:ascii="Verdana" w:eastAsia="Calibri" w:hAnsi="Verdana" w:cs="Arial"/>
        </w:rPr>
        <w:t>de Características Técnicas Uniformes y de Común Utilización</w:t>
      </w:r>
      <w:r w:rsidRPr="00F06778">
        <w:rPr>
          <w:rFonts w:ascii="Verdana" w:eastAsia="Calibri" w:hAnsi="Verdana" w:cs="Arial"/>
        </w:rPr>
        <w:t xml:space="preserve"> es que su uso es común y generalizado</w:t>
      </w:r>
      <w:r w:rsidRPr="003B1D68">
        <w:rPr>
          <w:rFonts w:ascii="Verdana" w:eastAsia="Calibri" w:hAnsi="Verdana" w:cs="Arial"/>
        </w:rPr>
        <w:t>, lo que se traduce en precios comparables</w:t>
      </w:r>
      <w:r w:rsidRPr="00675F2F">
        <w:rPr>
          <w:rFonts w:ascii="Verdana" w:eastAsia="Calibri" w:hAnsi="Verdana" w:cs="Arial"/>
        </w:rPr>
        <w:t xml:space="preserve"> y en la capacidad de más de una empresa para proveerlos en el mercado. Así, la noción de uniformidad técnica no excluye variaciones menores en diseño</w:t>
      </w:r>
      <w:r>
        <w:rPr>
          <w:rFonts w:ascii="Verdana" w:eastAsia="Calibri" w:hAnsi="Verdana" w:cs="Arial"/>
        </w:rPr>
        <w:t>, materiales</w:t>
      </w:r>
      <w:r w:rsidRPr="00675F2F">
        <w:rPr>
          <w:rFonts w:ascii="Verdana" w:eastAsia="Calibri" w:hAnsi="Verdana" w:cs="Arial"/>
        </w:rPr>
        <w:t xml:space="preserve"> o presentación, sino que se centra en la posibilidad de adquirir bienes </w:t>
      </w:r>
      <w:r w:rsidRPr="00675F2F">
        <w:rPr>
          <w:rFonts w:ascii="Verdana" w:eastAsia="Calibri" w:hAnsi="Verdana" w:cs="Arial"/>
        </w:rPr>
        <w:lastRenderedPageBreak/>
        <w:t xml:space="preserve">funcionalmente equivalentes, con estándares verificables y condiciones de suministro que aseguren transparencia, eficiencia y selección objetiva en los procesos </w:t>
      </w:r>
      <w:r>
        <w:rPr>
          <w:rFonts w:ascii="Verdana" w:eastAsia="Calibri" w:hAnsi="Verdana" w:cs="Arial"/>
        </w:rPr>
        <w:t xml:space="preserve">de contratación en el marco del Sistema de Compras Públicas. </w:t>
      </w:r>
    </w:p>
    <w:p w14:paraId="1A2CA452" w14:textId="77777777" w:rsidR="001520A7" w:rsidRPr="00174CB5" w:rsidRDefault="001520A7" w:rsidP="001520A7">
      <w:pPr>
        <w:spacing w:after="120" w:line="276" w:lineRule="auto"/>
        <w:ind w:firstLine="709"/>
        <w:jc w:val="both"/>
        <w:rPr>
          <w:rFonts w:ascii="Verdana" w:eastAsia="Calibri" w:hAnsi="Verdana" w:cs="Arial"/>
        </w:rPr>
      </w:pPr>
      <w:r>
        <w:rPr>
          <w:rFonts w:ascii="Verdana" w:eastAsia="Calibri" w:hAnsi="Verdana" w:cs="Arial"/>
        </w:rPr>
        <w:t>Sin embargo, e</w:t>
      </w:r>
      <w:r w:rsidRPr="00174CB5">
        <w:rPr>
          <w:rFonts w:ascii="Verdana" w:eastAsia="Calibri" w:hAnsi="Verdana" w:cs="Arial"/>
        </w:rPr>
        <w:t xml:space="preserve">s importante precisar que la definición de un </w:t>
      </w:r>
      <w:r w:rsidRPr="00174CB5">
        <w:rPr>
          <w:rFonts w:ascii="Verdana" w:eastAsia="Calibri" w:hAnsi="Verdana" w:cs="Arial"/>
          <w:i/>
          <w:iCs/>
        </w:rPr>
        <w:t>bien o servicio como de características técnicas uniformes</w:t>
      </w:r>
      <w:r w:rsidRPr="00174CB5">
        <w:rPr>
          <w:rFonts w:ascii="Verdana" w:eastAsia="Calibri" w:hAnsi="Verdana" w:cs="Arial"/>
        </w:rPr>
        <w:t xml:space="preserve"> y de común utilización no </w:t>
      </w:r>
      <w:r>
        <w:rPr>
          <w:rFonts w:ascii="Verdana" w:eastAsia="Calibri" w:hAnsi="Verdana" w:cs="Arial"/>
        </w:rPr>
        <w:t xml:space="preserve">está sometida </w:t>
      </w:r>
      <w:r w:rsidRPr="00174CB5">
        <w:rPr>
          <w:rFonts w:ascii="Verdana" w:eastAsia="Calibri" w:hAnsi="Verdana" w:cs="Arial"/>
        </w:rPr>
        <w:t>a un listado taxativo emitido por la Agencia Nacional de Contratación Pública –Colombia Compra Eficiente–. En la práctica, la categorización depende de las especificaciones que requiera la entidad contratante y de las condiciones reales de oferta en el mercado. Por ello, la determinación de si un bien o servicio puede considerarse BCTU está condicionada al análisis que se realice en los estudios previos, en los cuales se establecen el objeto, el alcance y los parámetros técnicos mínimos que permitan verificar la existencia de homogeneidad y comparabilidad entre los productos o servicios ofertados</w:t>
      </w:r>
      <w:r>
        <w:rPr>
          <w:rFonts w:ascii="Verdana" w:eastAsia="Calibri" w:hAnsi="Verdana" w:cs="Arial"/>
        </w:rPr>
        <w:t>, como puede ser el caso de bienes e insumos médicos</w:t>
      </w:r>
      <w:r w:rsidRPr="00174CB5">
        <w:rPr>
          <w:rFonts w:ascii="Verdana" w:eastAsia="Calibri" w:hAnsi="Verdana" w:cs="Arial"/>
        </w:rPr>
        <w:t>.</w:t>
      </w:r>
    </w:p>
    <w:p w14:paraId="3DA89144" w14:textId="77777777" w:rsidR="001520A7" w:rsidRPr="00174CB5" w:rsidRDefault="001520A7" w:rsidP="001520A7">
      <w:pPr>
        <w:spacing w:after="120" w:line="276" w:lineRule="auto"/>
        <w:ind w:firstLine="709"/>
        <w:jc w:val="both"/>
        <w:rPr>
          <w:rFonts w:ascii="Verdana" w:eastAsia="Calibri" w:hAnsi="Verdana" w:cs="Arial"/>
        </w:rPr>
      </w:pPr>
      <w:r w:rsidRPr="00174CB5">
        <w:rPr>
          <w:rFonts w:ascii="Verdana" w:eastAsia="Calibri" w:hAnsi="Verdana" w:cs="Arial"/>
        </w:rPr>
        <w:t xml:space="preserve">De esta manera, la clasificación </w:t>
      </w:r>
      <w:r>
        <w:rPr>
          <w:rFonts w:ascii="Verdana" w:eastAsia="Calibri" w:hAnsi="Verdana" w:cs="Arial"/>
        </w:rPr>
        <w:t xml:space="preserve">de este tipo de bienes </w:t>
      </w:r>
      <w:r w:rsidRPr="00174CB5">
        <w:rPr>
          <w:rFonts w:ascii="Verdana" w:eastAsia="Calibri" w:hAnsi="Verdana" w:cs="Arial"/>
        </w:rPr>
        <w:t>no es un ejercicio abstracto ni automático, sino un proceso contextual que exige evaluar la naturaleza del bien, su nivel de estandarización, la posibilidad de concurrencia de múltiples proveedores y la existencia de precios comparables. La ausencia de un listado cerrado otorga flexibilidad a las entidades estatales para adaptar la categorización a las particularidades de cada proceso de contratación, pero también implica una mayor responsabilidad en la elaboración de estudios previos rigurosos, que aseguren transparencia, objetividad y eficiencia en la selección de los contratistas. En consecuencia, la definición de BCTU se convierte en un instrumento dinámico que debe equilibrar la necesidad de uniformidad técnica con la realidad del mercado y las exigencias normativas de la contratación pública.</w:t>
      </w:r>
    </w:p>
    <w:p w14:paraId="06D9AF61" w14:textId="77777777" w:rsidR="001520A7" w:rsidRPr="000C6F18" w:rsidRDefault="001520A7" w:rsidP="001520A7">
      <w:pPr>
        <w:spacing w:after="120" w:line="276" w:lineRule="auto"/>
        <w:ind w:firstLine="709"/>
        <w:jc w:val="both"/>
      </w:pPr>
      <w:r w:rsidRPr="00F06778">
        <w:rPr>
          <w:rFonts w:ascii="Verdana" w:eastAsia="Calibri" w:hAnsi="Verdana" w:cs="Arial"/>
        </w:rPr>
        <w:t xml:space="preserve">Como corolario de lo expuesto, esta Agencia no está facultada para expedir un listado de los bienes del sector salud que deban considerarse de características técnicas uniformes y de común utilización, ni para certificar, en abstracto o para un caso concreto, si un dispositivo médico determinado —un material de osteosíntesis, un reemplazo articular o una prótesis de cadera— reúne dicha condición. Esa determinación corresponde a la entidad estatal contratante, que debe realizarla en los estudios previos a partir del análisis de su necesidad y de las condiciones reales de oferta en el mercado. A su turno, la </w:t>
      </w:r>
      <w:r w:rsidRPr="00F06778">
        <w:rPr>
          <w:rFonts w:ascii="Verdana" w:eastAsia="Calibri" w:hAnsi="Verdana" w:cs="Arial"/>
        </w:rPr>
        <w:lastRenderedPageBreak/>
        <w:t>caracterización técnica y sanitaria de los dispositivos médicos —incluida su clasificación y las condiciones mínimas de seguridad y calidad— compete a las autoridades del sector salud, en particular al Instituto Nacional de Vigilancia de Medicamentos y Alimentos –INVIMA–, en ejercicio del régimen especial de vigilancia sanitaria. Por lo tanto, las consideraciones de este concepto se circunscriben a fijar los criterios normativos generales que permiten adelantar ese análisis, sin sustituir la valoración técnica que corresponde a cada partícipe del Sistema de Compra Pública.</w:t>
      </w:r>
    </w:p>
    <w:p w14:paraId="270131EE" w14:textId="4B88EE9E" w:rsidR="001520A7" w:rsidRDefault="001520A7" w:rsidP="00845271">
      <w:pPr>
        <w:spacing w:after="120" w:line="276" w:lineRule="auto"/>
        <w:ind w:firstLine="709"/>
        <w:jc w:val="both"/>
        <w:rPr>
          <w:rFonts w:ascii="Verdana" w:eastAsia="Calibri" w:hAnsi="Verdana" w:cs="Arial"/>
          <w:bCs/>
          <w:color w:val="000000" w:themeColor="text1"/>
        </w:rPr>
      </w:pPr>
      <w:r w:rsidRPr="00185EE9">
        <w:rPr>
          <w:rFonts w:ascii="Verdana" w:eastAsia="Calibri" w:hAnsi="Verdana" w:cs="Arial"/>
          <w:bCs/>
          <w:color w:val="000000" w:themeColor="text1"/>
        </w:rPr>
        <w:t>En definitiva, la nota común de este conjunto de bienes y servicios es que, con independencia de sus características descriptivas, comparten patrones de desempeño y calidad similares para la satisfacción de la necesidad a la que atienden. Igualmente, el inciso segundo del literal a) del artículo 2, numeral 2 de la Ley 1150 de 2007 dis</w:t>
      </w:r>
      <w:r>
        <w:rPr>
          <w:rFonts w:ascii="Verdana" w:eastAsia="Calibri" w:hAnsi="Verdana" w:cs="Arial"/>
          <w:bCs/>
          <w:color w:val="000000" w:themeColor="text1"/>
        </w:rPr>
        <w:t xml:space="preserve">pone: </w:t>
      </w:r>
      <w:r w:rsidRPr="00185EE9">
        <w:rPr>
          <w:rFonts w:ascii="Verdana" w:eastAsia="Calibri" w:hAnsi="Verdana" w:cs="Arial"/>
          <w:bCs/>
          <w:color w:val="000000" w:themeColor="text1"/>
        </w:rPr>
        <w:t>“</w:t>
      </w:r>
      <w:r w:rsidRPr="00185EE9">
        <w:rPr>
          <w:rFonts w:ascii="Verdana" w:eastAsia="Calibri" w:hAnsi="Verdana" w:cs="Arial"/>
          <w:bCs/>
          <w:i/>
          <w:iCs/>
          <w:color w:val="000000" w:themeColor="text1"/>
        </w:rPr>
        <w:t>Para la adquisición de estos bienes y servicios las entidades deberán</w:t>
      </w:r>
      <w:r w:rsidRPr="00185EE9">
        <w:rPr>
          <w:rFonts w:ascii="Verdana" w:eastAsia="Calibri" w:hAnsi="Verdana" w:cs="Arial"/>
          <w:bCs/>
          <w:color w:val="000000" w:themeColor="text1"/>
        </w:rPr>
        <w:t xml:space="preserve">, siempre que el reglamento así lo señale, </w:t>
      </w:r>
      <w:r w:rsidRPr="00185EE9">
        <w:rPr>
          <w:rFonts w:ascii="Verdana" w:eastAsia="Calibri" w:hAnsi="Verdana" w:cs="Arial"/>
          <w:bCs/>
          <w:i/>
          <w:iCs/>
          <w:color w:val="000000" w:themeColor="text1"/>
        </w:rPr>
        <w:t>hacer uso</w:t>
      </w:r>
      <w:r w:rsidRPr="00185EE9">
        <w:rPr>
          <w:rFonts w:ascii="Verdana" w:eastAsia="Calibri" w:hAnsi="Verdana" w:cs="Arial"/>
          <w:bCs/>
          <w:color w:val="000000" w:themeColor="text1"/>
        </w:rPr>
        <w:t xml:space="preserve"> de procedimientos de subasta inversa o de instrumentos de compra por catálogo derivados de la celebración de acuerdos marco de precios o </w:t>
      </w:r>
      <w:r w:rsidRPr="00185EE9">
        <w:rPr>
          <w:rFonts w:ascii="Verdana" w:eastAsia="Calibri" w:hAnsi="Verdana" w:cs="Arial"/>
          <w:bCs/>
          <w:i/>
          <w:iCs/>
          <w:color w:val="000000" w:themeColor="text1"/>
        </w:rPr>
        <w:t>de procedimientos de adquisición en bolsas de productos</w:t>
      </w:r>
      <w:r w:rsidRPr="00185EE9">
        <w:rPr>
          <w:rFonts w:ascii="Verdana" w:eastAsia="Calibri" w:hAnsi="Verdana" w:cs="Arial"/>
          <w:bCs/>
          <w:color w:val="000000" w:themeColor="text1"/>
        </w:rPr>
        <w:t xml:space="preserve">” (Énfasis fuera de texto). Estos mecanismos se aplicarán en la forma que </w:t>
      </w:r>
      <w:r w:rsidRPr="003B1D68">
        <w:rPr>
          <w:rFonts w:ascii="Verdana" w:eastAsia="Calibri" w:hAnsi="Verdana" w:cs="Arial"/>
          <w:color w:val="000000" w:themeColor="text1"/>
        </w:rPr>
        <w:t xml:space="preserve">disponga el Decreto 1082 de 2015 para </w:t>
      </w:r>
      <w:r w:rsidRPr="00F06778">
        <w:rPr>
          <w:rFonts w:ascii="Verdana" w:eastAsia="Calibri" w:hAnsi="Verdana" w:cs="Arial"/>
          <w:bCs/>
          <w:color w:val="000000" w:themeColor="text1"/>
        </w:rPr>
        <w:t>cada uno</w:t>
      </w:r>
      <w:r w:rsidRPr="00896EEE">
        <w:rPr>
          <w:rFonts w:ascii="Verdana" w:eastAsia="Calibri" w:hAnsi="Verdana" w:cs="Arial"/>
          <w:bCs/>
          <w:color w:val="000000" w:themeColor="text1"/>
        </w:rPr>
        <w:t xml:space="preserve"> de ellos.</w:t>
      </w:r>
    </w:p>
    <w:p w14:paraId="73E54336" w14:textId="77777777" w:rsidR="001520A7" w:rsidRPr="00DB3D91" w:rsidRDefault="001520A7" w:rsidP="001520A7">
      <w:pPr>
        <w:spacing w:after="120" w:line="276" w:lineRule="auto"/>
        <w:ind w:firstLine="709"/>
        <w:jc w:val="both"/>
        <w:rPr>
          <w:rFonts w:ascii="Verdana" w:eastAsia="Calibri" w:hAnsi="Verdana" w:cs="Arial"/>
          <w:bCs/>
          <w:color w:val="000000" w:themeColor="text1"/>
        </w:rPr>
      </w:pPr>
      <w:r>
        <w:rPr>
          <w:rFonts w:ascii="Verdana" w:eastAsia="Calibri" w:hAnsi="Verdana" w:cs="Arial"/>
          <w:bCs/>
          <w:color w:val="000000" w:themeColor="text1"/>
        </w:rPr>
        <w:t xml:space="preserve">En este contexto, para la adquisición de este tipo de bienes y servicios, es importante señalar </w:t>
      </w:r>
      <w:r w:rsidRPr="00DB3D91">
        <w:rPr>
          <w:rFonts w:ascii="Verdana" w:eastAsia="Calibri" w:hAnsi="Verdana" w:cs="Arial"/>
          <w:bCs/>
          <w:color w:val="000000" w:themeColor="text1"/>
        </w:rPr>
        <w:t>el artículo 2.2.1.2.1.2.1 del Decreto 1082 de 2015</w:t>
      </w:r>
      <w:r>
        <w:rPr>
          <w:rStyle w:val="Refdenotaalpie"/>
          <w:rFonts w:ascii="Verdana" w:eastAsia="Calibri" w:hAnsi="Verdana" w:cs="Arial"/>
          <w:bCs/>
          <w:color w:val="000000" w:themeColor="text1"/>
        </w:rPr>
        <w:footnoteReference w:id="13"/>
      </w:r>
      <w:r w:rsidRPr="00DB3D91">
        <w:rPr>
          <w:rFonts w:ascii="Verdana" w:eastAsia="Calibri" w:hAnsi="Verdana" w:cs="Arial"/>
          <w:bCs/>
          <w:color w:val="000000" w:themeColor="text1"/>
        </w:rPr>
        <w:t xml:space="preserve"> establece que, en los pliegos de condiciones para contratar</w:t>
      </w:r>
      <w:r>
        <w:rPr>
          <w:rFonts w:ascii="Verdana" w:eastAsia="Calibri" w:hAnsi="Verdana" w:cs="Arial"/>
          <w:bCs/>
          <w:color w:val="000000" w:themeColor="text1"/>
        </w:rPr>
        <w:t>los</w:t>
      </w:r>
      <w:r w:rsidRPr="00DB3D91">
        <w:rPr>
          <w:rFonts w:ascii="Verdana" w:eastAsia="Calibri" w:hAnsi="Verdana" w:cs="Arial"/>
          <w:bCs/>
          <w:color w:val="000000" w:themeColor="text1"/>
        </w:rPr>
        <w:t>, la entidad estatal debe incluir una ficha técnica detallada. Esta ficha técnica constituye el instrumento jurídico</w:t>
      </w:r>
      <w:r>
        <w:rPr>
          <w:rFonts w:ascii="Verdana" w:eastAsia="Calibri" w:hAnsi="Verdana" w:cs="Arial"/>
          <w:bCs/>
          <w:color w:val="000000" w:themeColor="text1"/>
        </w:rPr>
        <w:t>-</w:t>
      </w:r>
      <w:r w:rsidRPr="00DB3D91">
        <w:rPr>
          <w:rFonts w:ascii="Verdana" w:eastAsia="Calibri" w:hAnsi="Verdana" w:cs="Arial"/>
          <w:bCs/>
          <w:color w:val="000000" w:themeColor="text1"/>
        </w:rPr>
        <w:t>técnico que permite estandarizar la información sobre el objeto contractual, garantizando que los oferentes cuenten con parámetros claros y verificables. En ella se exige la clasificación del bien o servicio conforme al Clasificador de Bienes y Servicios</w:t>
      </w:r>
      <w:r>
        <w:rPr>
          <w:rFonts w:ascii="Verdana" w:eastAsia="Calibri" w:hAnsi="Verdana" w:cs="Arial"/>
          <w:bCs/>
          <w:color w:val="000000" w:themeColor="text1"/>
        </w:rPr>
        <w:t xml:space="preserve"> -aspecto que se analiza en un próximo apartado-</w:t>
      </w:r>
      <w:r w:rsidRPr="00DB3D91">
        <w:rPr>
          <w:rFonts w:ascii="Verdana" w:eastAsia="Calibri" w:hAnsi="Verdana" w:cs="Arial"/>
          <w:bCs/>
          <w:color w:val="000000" w:themeColor="text1"/>
        </w:rPr>
        <w:t>, la identificación adicional</w:t>
      </w:r>
      <w:r>
        <w:rPr>
          <w:rFonts w:ascii="Verdana" w:eastAsia="Calibri" w:hAnsi="Verdana" w:cs="Arial"/>
          <w:bCs/>
          <w:color w:val="000000" w:themeColor="text1"/>
        </w:rPr>
        <w:t xml:space="preserve"> requerida</w:t>
      </w:r>
      <w:r w:rsidRPr="00DB3D91">
        <w:rPr>
          <w:rFonts w:ascii="Verdana" w:eastAsia="Calibri" w:hAnsi="Verdana" w:cs="Arial"/>
          <w:bCs/>
          <w:color w:val="000000" w:themeColor="text1"/>
        </w:rPr>
        <w:t xml:space="preserve">, la unidad de medida aplicable, </w:t>
      </w:r>
      <w:r w:rsidRPr="00DB3D91">
        <w:rPr>
          <w:rFonts w:ascii="Verdana" w:eastAsia="Calibri" w:hAnsi="Verdana" w:cs="Arial"/>
          <w:bCs/>
          <w:color w:val="000000" w:themeColor="text1"/>
        </w:rPr>
        <w:lastRenderedPageBreak/>
        <w:t>la calidad mínima exigida y los patrones de desempeño mínimos que aseguren la funcionalidad y comparabilidad de las ofertas.</w:t>
      </w:r>
    </w:p>
    <w:p w14:paraId="3D5060F5" w14:textId="77777777" w:rsidR="001520A7" w:rsidRDefault="001520A7" w:rsidP="001520A7">
      <w:pPr>
        <w:spacing w:after="120" w:line="276" w:lineRule="auto"/>
        <w:ind w:firstLine="709"/>
        <w:jc w:val="both"/>
        <w:rPr>
          <w:rFonts w:ascii="Verdana" w:eastAsia="Calibri" w:hAnsi="Verdana" w:cs="Arial"/>
          <w:bCs/>
          <w:color w:val="000000" w:themeColor="text1"/>
        </w:rPr>
      </w:pPr>
      <w:r w:rsidRPr="00DB3D91">
        <w:rPr>
          <w:rFonts w:ascii="Verdana" w:eastAsia="Calibri" w:hAnsi="Verdana" w:cs="Arial"/>
          <w:bCs/>
          <w:color w:val="000000" w:themeColor="text1"/>
        </w:rPr>
        <w:t>De esta manera, la ficha técnica se convierte en un mecanismo de transparencia y selección objetiva, pues delimita las condiciones técnicas esenciales que deben cumplir los bienes o servicios ofertados, evitando la discrecionalidad y asegurando la concurrencia de múltiples proveedores en igualdad de condiciones. Al establecer criterios uniformes de clasificación, calidad y desempeño</w:t>
      </w:r>
      <w:r>
        <w:rPr>
          <w:rFonts w:ascii="Verdana" w:eastAsia="Calibri" w:hAnsi="Verdana" w:cs="Arial"/>
          <w:bCs/>
          <w:color w:val="000000" w:themeColor="text1"/>
        </w:rPr>
        <w:t xml:space="preserve"> dentro del pliego de condiciones,</w:t>
      </w:r>
      <w:r w:rsidRPr="00DB3D91">
        <w:rPr>
          <w:rFonts w:ascii="Verdana" w:eastAsia="Calibri" w:hAnsi="Verdana" w:cs="Arial"/>
          <w:bCs/>
          <w:color w:val="000000" w:themeColor="text1"/>
        </w:rPr>
        <w:t xml:space="preserve"> se facilita la evaluación objetiva de las propuestas y se promueve la eficiencia en la contratación pública, e</w:t>
      </w:r>
      <w:r>
        <w:rPr>
          <w:rFonts w:ascii="Verdana" w:eastAsia="Calibri" w:hAnsi="Verdana" w:cs="Arial"/>
          <w:bCs/>
          <w:color w:val="000000" w:themeColor="text1"/>
        </w:rPr>
        <w:t xml:space="preserve">n especial, </w:t>
      </w:r>
      <w:r w:rsidRPr="00DB3D91">
        <w:rPr>
          <w:rFonts w:ascii="Verdana" w:eastAsia="Calibri" w:hAnsi="Verdana" w:cs="Arial"/>
          <w:bCs/>
          <w:color w:val="000000" w:themeColor="text1"/>
        </w:rPr>
        <w:t>en aquellos procesos que involucran bienes de uso común y generalizado</w:t>
      </w:r>
      <w:r>
        <w:rPr>
          <w:rFonts w:ascii="Verdana" w:eastAsia="Calibri" w:hAnsi="Verdana" w:cs="Arial"/>
          <w:bCs/>
          <w:color w:val="000000" w:themeColor="text1"/>
        </w:rPr>
        <w:t xml:space="preserve">. </w:t>
      </w:r>
    </w:p>
    <w:p w14:paraId="4FA47809" w14:textId="77777777" w:rsidR="001520A7" w:rsidRPr="00C55F85" w:rsidRDefault="001520A7" w:rsidP="001520A7">
      <w:pPr>
        <w:spacing w:after="120" w:line="276" w:lineRule="auto"/>
        <w:ind w:firstLine="709"/>
        <w:jc w:val="both"/>
        <w:rPr>
          <w:rFonts w:ascii="Verdana" w:eastAsia="Calibri" w:hAnsi="Verdana" w:cs="Arial"/>
          <w:bCs/>
          <w:color w:val="000000" w:themeColor="text1"/>
        </w:rPr>
      </w:pPr>
      <w:r>
        <w:rPr>
          <w:rFonts w:ascii="Verdana" w:eastAsia="Calibri" w:hAnsi="Verdana" w:cs="Arial"/>
          <w:bCs/>
          <w:color w:val="000000" w:themeColor="text1"/>
        </w:rPr>
        <w:t>Ahora bien, en el caso de bienes e insumos médicos, que son los que son motivo de consulta</w:t>
      </w:r>
      <w:r w:rsidRPr="00C55F85">
        <w:rPr>
          <w:rFonts w:ascii="Verdana" w:eastAsia="Calibri" w:hAnsi="Verdana" w:cs="Arial"/>
          <w:bCs/>
          <w:color w:val="000000" w:themeColor="text1"/>
        </w:rPr>
        <w:t xml:space="preserve">, la construcción de dicha ficha enfrenta el desafío de la diversidad tecnológica y clínica. Estos insumos presentan variaciones sustanciales en longitud, diámetro, materiales, modularidad y recubrimientos, lo que dificulta la definición de un estándar único sin excluir opciones disponibles en el mercado. </w:t>
      </w:r>
      <w:r>
        <w:rPr>
          <w:rFonts w:ascii="Verdana" w:eastAsia="Calibri" w:hAnsi="Verdana" w:cs="Arial"/>
          <w:bCs/>
          <w:color w:val="000000" w:themeColor="text1"/>
        </w:rPr>
        <w:t>En este aspecto</w:t>
      </w:r>
      <w:r w:rsidRPr="00C55F85">
        <w:rPr>
          <w:rFonts w:ascii="Verdana" w:eastAsia="Calibri" w:hAnsi="Verdana" w:cs="Arial"/>
          <w:bCs/>
          <w:color w:val="000000" w:themeColor="text1"/>
        </w:rPr>
        <w:t>, la ficha técnica debe orientarse a establecer criterios generales de desempeño, seguridad y calidad mínima, que p</w:t>
      </w:r>
      <w:r>
        <w:rPr>
          <w:rFonts w:ascii="Verdana" w:eastAsia="Calibri" w:hAnsi="Verdana" w:cs="Arial"/>
          <w:bCs/>
          <w:color w:val="000000" w:themeColor="text1"/>
        </w:rPr>
        <w:t>osibiliten</w:t>
      </w:r>
      <w:r w:rsidRPr="00C55F85">
        <w:rPr>
          <w:rFonts w:ascii="Verdana" w:eastAsia="Calibri" w:hAnsi="Verdana" w:cs="Arial"/>
          <w:bCs/>
          <w:color w:val="000000" w:themeColor="text1"/>
        </w:rPr>
        <w:t xml:space="preserve"> la comparación objetiva entre alternativas, evitando que se convierta en una descripción cerrada de un fabricante específico.</w:t>
      </w:r>
    </w:p>
    <w:p w14:paraId="739DD3B9" w14:textId="77777777" w:rsidR="001520A7" w:rsidRDefault="001520A7" w:rsidP="001520A7">
      <w:pPr>
        <w:spacing w:after="120" w:line="276" w:lineRule="auto"/>
        <w:ind w:firstLine="709"/>
        <w:jc w:val="both"/>
      </w:pPr>
      <w:r w:rsidRPr="00F06778">
        <w:rPr>
          <w:rFonts w:ascii="Verdana" w:eastAsia="Calibri" w:hAnsi="Verdana" w:cs="Arial"/>
          <w:bCs/>
          <w:color w:val="000000" w:themeColor="text1"/>
        </w:rPr>
        <w:t xml:space="preserve">En este marco, tratándose de dispositivos médicos, la construcción de la ficha técnica puede apoyarse en los parámetros objetivos y verificables que provee el régimen sanitario aplicable a estos productos. En efecto, el Decreto 4725 de 2005 —que regula el régimen de registros sanitarios, permiso de comercialización y vigilancia sanitaria de los dispositivos médicos para uso humano— los clasifica según el riesgo en cuatro categorías (Clases I, </w:t>
      </w:r>
      <w:proofErr w:type="spellStart"/>
      <w:r w:rsidRPr="00F06778">
        <w:rPr>
          <w:rFonts w:ascii="Verdana" w:eastAsia="Calibri" w:hAnsi="Verdana" w:cs="Arial"/>
          <w:bCs/>
          <w:color w:val="000000" w:themeColor="text1"/>
        </w:rPr>
        <w:t>IIa</w:t>
      </w:r>
      <w:proofErr w:type="spellEnd"/>
      <w:r w:rsidRPr="00F06778">
        <w:rPr>
          <w:rFonts w:ascii="Verdana" w:eastAsia="Calibri" w:hAnsi="Verdana" w:cs="Arial"/>
          <w:bCs/>
          <w:color w:val="000000" w:themeColor="text1"/>
        </w:rPr>
        <w:t xml:space="preserve">, </w:t>
      </w:r>
      <w:proofErr w:type="spellStart"/>
      <w:r w:rsidRPr="00F06778">
        <w:rPr>
          <w:rFonts w:ascii="Verdana" w:eastAsia="Calibri" w:hAnsi="Verdana" w:cs="Arial"/>
          <w:bCs/>
          <w:color w:val="000000" w:themeColor="text1"/>
        </w:rPr>
        <w:t>IIb</w:t>
      </w:r>
      <w:proofErr w:type="spellEnd"/>
      <w:r w:rsidRPr="00F06778">
        <w:rPr>
          <w:rFonts w:ascii="Verdana" w:eastAsia="Calibri" w:hAnsi="Verdana" w:cs="Arial"/>
          <w:bCs/>
          <w:color w:val="000000" w:themeColor="text1"/>
        </w:rPr>
        <w:t xml:space="preserve"> y III) y supedita su comercialización a la obtención del registro sanitario o del permiso correspondiente ante el Instituto Nacional de Vigilancia de Medicamentos y Alimentos –INVIMA–. De este modo, elementos como la clasificación de riesgo, el registro sanitario y las normas técnicas aplicables constituyen referentes homogéneos, objetivos y ajenos a un fabricante en particular, que la entidad puede incorporar en la ficha técnica como condiciones mínimas de calidad y patrones de desempeño. Con ello, la exigencia de uniformidad no se traduce en la descripción de un producto de marca, sino en la </w:t>
      </w:r>
      <w:r w:rsidRPr="00F06778">
        <w:rPr>
          <w:rFonts w:ascii="Verdana" w:eastAsia="Calibri" w:hAnsi="Verdana" w:cs="Arial"/>
          <w:bCs/>
          <w:color w:val="000000" w:themeColor="text1"/>
        </w:rPr>
        <w:lastRenderedPageBreak/>
        <w:t>fijación de requisitos funcionales y de seguridad que cualquier oferente puede acreditar, lo que preserva la libre concurrencia y la selección objetiva.</w:t>
      </w:r>
    </w:p>
    <w:p w14:paraId="08D053FA" w14:textId="77777777" w:rsidR="001520A7" w:rsidRPr="00C55F85" w:rsidRDefault="001520A7" w:rsidP="001520A7">
      <w:pPr>
        <w:spacing w:after="0" w:line="276" w:lineRule="auto"/>
        <w:ind w:firstLine="709"/>
        <w:jc w:val="both"/>
        <w:rPr>
          <w:rFonts w:ascii="Verdana" w:eastAsia="Calibri" w:hAnsi="Verdana" w:cs="Arial"/>
          <w:bCs/>
          <w:color w:val="000000" w:themeColor="text1"/>
        </w:rPr>
      </w:pPr>
      <w:r>
        <w:rPr>
          <w:rFonts w:ascii="Verdana" w:eastAsia="Calibri" w:hAnsi="Verdana" w:cs="Arial"/>
          <w:bCs/>
          <w:color w:val="000000" w:themeColor="text1"/>
        </w:rPr>
        <w:t xml:space="preserve">En este punto, cabe destacar que el cumplimiento </w:t>
      </w:r>
      <w:r w:rsidRPr="00C55F85">
        <w:rPr>
          <w:rFonts w:ascii="Verdana" w:eastAsia="Calibri" w:hAnsi="Verdana" w:cs="Arial"/>
          <w:bCs/>
          <w:color w:val="000000" w:themeColor="text1"/>
        </w:rPr>
        <w:t>de la norma no implica homogeneizar las características intrínsecas de cada dispositivo, sino garantizar que las especificaciones técnicas se construyan con base en parámetros funcionales y rangos verificables que aseguren</w:t>
      </w:r>
      <w:r>
        <w:rPr>
          <w:rFonts w:ascii="Verdana" w:eastAsia="Calibri" w:hAnsi="Verdana" w:cs="Arial"/>
          <w:bCs/>
          <w:color w:val="000000" w:themeColor="text1"/>
        </w:rPr>
        <w:t xml:space="preserve"> el principio de transparencia y la libre concurrencia. En esta línea, la clasificación de Bienes y Servicios de Características Técnicas Uniformes y de Común Utilización</w:t>
      </w:r>
      <w:r w:rsidRPr="00C55F85">
        <w:rPr>
          <w:rFonts w:ascii="Verdana" w:eastAsia="Calibri" w:hAnsi="Verdana" w:cs="Arial"/>
          <w:bCs/>
          <w:color w:val="000000" w:themeColor="text1"/>
        </w:rPr>
        <w:t xml:space="preserve"> depende de la forma en que se estructuren las fichas técnicas y no de la eliminación de la diversidad tecnológica, lo que obliga a las entidades a elaborar estudios previos que definan criterios mínimos de calidad y desempeño aplicables a diferentes tecnologías.</w:t>
      </w:r>
      <w:r>
        <w:rPr>
          <w:rFonts w:ascii="Verdana" w:eastAsia="Calibri" w:hAnsi="Verdana" w:cs="Arial"/>
          <w:bCs/>
          <w:color w:val="000000" w:themeColor="text1"/>
        </w:rPr>
        <w:t xml:space="preserve"> Esto implica una búsqueda de un </w:t>
      </w:r>
      <w:r w:rsidRPr="00C55F85">
        <w:rPr>
          <w:rFonts w:ascii="Verdana" w:eastAsia="Calibri" w:hAnsi="Verdana" w:cs="Arial"/>
          <w:bCs/>
          <w:color w:val="000000" w:themeColor="text1"/>
        </w:rPr>
        <w:t>equilibrio entre la exigencia normativa de uniformidad</w:t>
      </w:r>
      <w:r>
        <w:rPr>
          <w:rFonts w:ascii="Verdana" w:eastAsia="Calibri" w:hAnsi="Verdana" w:cs="Arial"/>
          <w:bCs/>
          <w:color w:val="000000" w:themeColor="text1"/>
        </w:rPr>
        <w:t>, las exigencias técnicas del bien o producto</w:t>
      </w:r>
      <w:r w:rsidRPr="00C55F85">
        <w:rPr>
          <w:rFonts w:ascii="Verdana" w:eastAsia="Calibri" w:hAnsi="Verdana" w:cs="Arial"/>
          <w:bCs/>
          <w:color w:val="000000" w:themeColor="text1"/>
        </w:rPr>
        <w:t xml:space="preserve"> y la realidad del mercado, promoviendo procesos de contratación pública eficientes, objetivos y abiertos a la innovación en el sector salud.</w:t>
      </w:r>
      <w:r>
        <w:rPr>
          <w:rFonts w:ascii="Verdana" w:eastAsia="Calibri" w:hAnsi="Verdana" w:cs="Arial"/>
          <w:bCs/>
          <w:color w:val="000000" w:themeColor="text1"/>
        </w:rPr>
        <w:t xml:space="preserve"> Teniendo en cuenta ello, es necesario revisar la función que cumple el Código Clasificador de Bienes y Servicios de las Naciones Unidas dentro de los procesos de contratación que sean para la adquisición de Bienes y Servicios de Características Técnicas Uniformes y de Común Utilización. </w:t>
      </w:r>
    </w:p>
    <w:p w14:paraId="3B32435C" w14:textId="77777777" w:rsidR="001520A7" w:rsidRDefault="001520A7" w:rsidP="001520A7">
      <w:pPr>
        <w:spacing w:after="0" w:line="276" w:lineRule="auto"/>
        <w:jc w:val="both"/>
        <w:rPr>
          <w:rFonts w:ascii="Verdana" w:eastAsia="Calibri" w:hAnsi="Verdana" w:cs="Arial"/>
          <w:bCs/>
          <w:color w:val="000000" w:themeColor="text1"/>
        </w:rPr>
      </w:pPr>
    </w:p>
    <w:p w14:paraId="124EFA57" w14:textId="77777777" w:rsidR="001520A7" w:rsidRPr="00363BB7" w:rsidRDefault="001520A7" w:rsidP="001520A7">
      <w:pPr>
        <w:spacing w:after="120" w:line="276" w:lineRule="auto"/>
        <w:jc w:val="both"/>
        <w:rPr>
          <w:rFonts w:ascii="Verdana" w:eastAsia="Calibri" w:hAnsi="Verdana" w:cs="Arial"/>
          <w:bCs/>
          <w:color w:val="000000" w:themeColor="text1"/>
        </w:rPr>
      </w:pPr>
      <w:r>
        <w:rPr>
          <w:rFonts w:ascii="Verdana" w:eastAsia="Calibri" w:hAnsi="Verdana" w:cs="Arial"/>
          <w:bCs/>
          <w:color w:val="000000" w:themeColor="text1"/>
        </w:rPr>
        <w:t>i</w:t>
      </w:r>
      <w:r w:rsidRPr="000F1385">
        <w:rPr>
          <w:rFonts w:ascii="Verdana" w:eastAsia="Times New Roman" w:hAnsi="Verdana" w:cs="Arial"/>
          <w:lang w:val="es-ES" w:eastAsia="es-ES"/>
          <w14:ligatures w14:val="standardContextual"/>
        </w:rPr>
        <w:t xml:space="preserve">i. </w:t>
      </w:r>
      <w:r w:rsidRPr="000F1385">
        <w:rPr>
          <w:rFonts w:ascii="Verdana" w:eastAsia="Arial MT" w:hAnsi="Verdana" w:cs="Arial"/>
          <w:lang w:val="es-ES"/>
        </w:rPr>
        <w:t>Las normas de contratación estatal establecen que las personas naturales o jurídicas nacionales o extranjeras que deseen celebrar contratos estatales deberán estar inscritos en el Registro Único de Proponente –</w:t>
      </w:r>
      <w:r w:rsidRPr="000F1385">
        <w:rPr>
          <w:rFonts w:ascii="Verdana" w:eastAsia="Arial MT" w:hAnsi="Verdana" w:cs="Arial"/>
          <w:spacing w:val="-6"/>
          <w:lang w:val="es-ES"/>
        </w:rPr>
        <w:t xml:space="preserve"> </w:t>
      </w:r>
      <w:r w:rsidRPr="000F1385">
        <w:rPr>
          <w:rFonts w:ascii="Verdana" w:eastAsia="Arial MT" w:hAnsi="Verdana" w:cs="Arial"/>
          <w:lang w:val="es-ES"/>
        </w:rPr>
        <w:t>RUP–</w:t>
      </w:r>
      <w:r w:rsidRPr="000F1385">
        <w:rPr>
          <w:rFonts w:ascii="Verdana" w:eastAsia="Arial MT" w:hAnsi="Verdana" w:cs="Arial"/>
          <w:spacing w:val="-6"/>
          <w:lang w:val="es-ES"/>
        </w:rPr>
        <w:t xml:space="preserve"> </w:t>
      </w:r>
      <w:r w:rsidRPr="000F1385">
        <w:rPr>
          <w:rFonts w:ascii="Verdana" w:eastAsia="Arial MT" w:hAnsi="Verdana" w:cs="Arial"/>
          <w:vertAlign w:val="superscript"/>
          <w:lang w:val="es-ES"/>
        </w:rPr>
        <w:footnoteReference w:id="14"/>
      </w:r>
      <w:r w:rsidRPr="000F1385">
        <w:rPr>
          <w:rFonts w:ascii="Verdana" w:eastAsia="Arial MT" w:hAnsi="Verdana" w:cs="Arial"/>
          <w:lang w:val="es-ES"/>
        </w:rPr>
        <w:t xml:space="preserve">. De acuerdo con esto, el artículo 6 de la Ley 1150 de 2007, al determinar la información contenida en el RUP, dispone que en el registro constará la información </w:t>
      </w:r>
      <w:r w:rsidRPr="000F1385">
        <w:rPr>
          <w:rFonts w:ascii="Verdana" w:eastAsia="Arial MT" w:hAnsi="Verdana" w:cs="Arial"/>
          <w:lang w:val="es-ES"/>
        </w:rPr>
        <w:lastRenderedPageBreak/>
        <w:t>relacionada con la experiencia, capacidad jurídica, financiera y de organización del proponente, así como su clasificación</w:t>
      </w:r>
      <w:r w:rsidRPr="000F1385">
        <w:rPr>
          <w:rFonts w:ascii="Verdana" w:eastAsia="Arial MT" w:hAnsi="Verdana" w:cs="Arial"/>
          <w:vertAlign w:val="superscript"/>
          <w:lang w:val="es-ES"/>
        </w:rPr>
        <w:footnoteReference w:id="15"/>
      </w:r>
      <w:r w:rsidRPr="000F1385">
        <w:rPr>
          <w:rFonts w:ascii="Verdana" w:eastAsia="Arial MT" w:hAnsi="Verdana" w:cs="Arial"/>
          <w:lang w:val="es-ES"/>
        </w:rPr>
        <w:t>.</w:t>
      </w:r>
    </w:p>
    <w:p w14:paraId="7AE68DE1" w14:textId="77777777" w:rsidR="001520A7" w:rsidRPr="000F1385" w:rsidRDefault="001520A7" w:rsidP="001520A7">
      <w:pPr>
        <w:widowControl w:val="0"/>
        <w:autoSpaceDE w:val="0"/>
        <w:autoSpaceDN w:val="0"/>
        <w:spacing w:after="120" w:line="276" w:lineRule="auto"/>
        <w:ind w:right="102"/>
        <w:jc w:val="both"/>
        <w:rPr>
          <w:rFonts w:ascii="Verdana" w:eastAsia="Arial MT" w:hAnsi="Verdana" w:cs="Arial"/>
          <w:lang w:val="es-ES"/>
        </w:rPr>
      </w:pPr>
      <w:r w:rsidRPr="000F1385">
        <w:rPr>
          <w:rFonts w:ascii="Verdana" w:eastAsia="Arial MT" w:hAnsi="Verdana" w:cs="Arial"/>
          <w:lang w:val="es-ES"/>
        </w:rPr>
        <w:tab/>
        <w:t xml:space="preserve">La clasificación tiene que ver con los bienes y servicios con los que se relaciona la experiencia del proponente. Este asunto es relevante para el registro, en la medida en que, existiendo una gran variedad de bienes y servicios, así como un gran número de proponentes con experiencia para suministrarlos, el legislador estimó necesario que el RUP incorporara una clasificación a efectos de racionalizar la información. De esta manera, el Decreto 1082 de 2015, al reglamentar la contratación pública, el RUP y la clasificación de la experiencia, implementó el Clasificador de Bienes y Servicios de las Naciones Unidas –UNSPSC–, lo cual se refleja en diferentes partes de su articulado. </w:t>
      </w:r>
    </w:p>
    <w:p w14:paraId="79DDEC5E" w14:textId="77777777" w:rsidR="001520A7" w:rsidRPr="000F1385" w:rsidRDefault="001520A7" w:rsidP="001520A7">
      <w:pPr>
        <w:shd w:val="clear" w:color="auto" w:fill="FFFFFF"/>
        <w:spacing w:after="120" w:line="276" w:lineRule="auto"/>
        <w:ind w:firstLine="709"/>
        <w:jc w:val="both"/>
        <w:textAlignment w:val="baseline"/>
        <w:rPr>
          <w:rFonts w:ascii="Verdana" w:eastAsia="Times New Roman" w:hAnsi="Verdana" w:cs="Arial"/>
          <w:bdr w:val="none" w:sz="0" w:space="0" w:color="auto" w:frame="1"/>
          <w:lang w:val="es-MX" w:eastAsia="es-CO"/>
        </w:rPr>
      </w:pPr>
      <w:r w:rsidRPr="000F1385">
        <w:rPr>
          <w:rFonts w:ascii="Verdana" w:eastAsia="Times New Roman" w:hAnsi="Verdana" w:cs="Arial"/>
          <w:bdr w:val="none" w:sz="0" w:space="0" w:color="auto" w:frame="1"/>
          <w:lang w:val="es-MX" w:eastAsia="es-CO"/>
        </w:rPr>
        <w:t xml:space="preserve">El artículo 2.2.1.1.1.3.1 del Decreto 1082 de 2015 define el Clasificador de Bienes y Servicios como el “Sistema de codificación de las Naciones Unidas para estandarizar productos y servicios, conocido por las siglas UNSPSC”. A su vez, la “Guía para la codificación de bienes y servicios de acuerdo con el código estándar de productos y servicios de Naciones Unidas, V.14.080”, establece que “The </w:t>
      </w:r>
      <w:proofErr w:type="spellStart"/>
      <w:r w:rsidRPr="000F1385">
        <w:rPr>
          <w:rFonts w:ascii="Verdana" w:eastAsia="Times New Roman" w:hAnsi="Verdana" w:cs="Arial"/>
          <w:bdr w:val="none" w:sz="0" w:space="0" w:color="auto" w:frame="1"/>
          <w:lang w:val="es-MX" w:eastAsia="es-CO"/>
        </w:rPr>
        <w:t>United</w:t>
      </w:r>
      <w:proofErr w:type="spellEnd"/>
      <w:r w:rsidRPr="000F1385">
        <w:rPr>
          <w:rFonts w:ascii="Verdana" w:eastAsia="Times New Roman" w:hAnsi="Verdana" w:cs="Arial"/>
          <w:bdr w:val="none" w:sz="0" w:space="0" w:color="auto" w:frame="1"/>
          <w:lang w:val="es-MX" w:eastAsia="es-CO"/>
        </w:rPr>
        <w:t xml:space="preserve"> Nations Standard </w:t>
      </w:r>
      <w:proofErr w:type="spellStart"/>
      <w:r w:rsidRPr="000F1385">
        <w:rPr>
          <w:rFonts w:ascii="Verdana" w:eastAsia="Times New Roman" w:hAnsi="Verdana" w:cs="Arial"/>
          <w:bdr w:val="none" w:sz="0" w:space="0" w:color="auto" w:frame="1"/>
          <w:lang w:val="es-MX" w:eastAsia="es-CO"/>
        </w:rPr>
        <w:t>Products</w:t>
      </w:r>
      <w:proofErr w:type="spellEnd"/>
      <w:r w:rsidRPr="000F1385">
        <w:rPr>
          <w:rFonts w:ascii="Verdana" w:eastAsia="Times New Roman" w:hAnsi="Verdana" w:cs="Arial"/>
          <w:bdr w:val="none" w:sz="0" w:space="0" w:color="auto" w:frame="1"/>
          <w:lang w:val="es-MX" w:eastAsia="es-CO"/>
        </w:rPr>
        <w:t xml:space="preserve"> and </w:t>
      </w:r>
      <w:proofErr w:type="spellStart"/>
      <w:r w:rsidRPr="000F1385">
        <w:rPr>
          <w:rFonts w:ascii="Verdana" w:eastAsia="Times New Roman" w:hAnsi="Verdana" w:cs="Arial"/>
          <w:bdr w:val="none" w:sz="0" w:space="0" w:color="auto" w:frame="1"/>
          <w:lang w:val="es-MX" w:eastAsia="es-CO"/>
        </w:rPr>
        <w:t>Services</w:t>
      </w:r>
      <w:proofErr w:type="spellEnd"/>
      <w:r w:rsidRPr="000F1385">
        <w:rPr>
          <w:rFonts w:ascii="Verdana" w:eastAsia="Times New Roman" w:hAnsi="Verdana" w:cs="Arial"/>
          <w:bdr w:val="none" w:sz="0" w:space="0" w:color="auto" w:frame="1"/>
          <w:lang w:val="es-MX" w:eastAsia="es-CO"/>
        </w:rPr>
        <w:t xml:space="preserve"> Code® - UNSPSC - Código Estándar de Productos y Servicios de Naciones Unidas, es una metodología uniforme de codificación utilizada para clasificar productos y servicios fundamentada en un arreglo jerárquico y en una estructura lógica”. La principal utilidad de este sistema de clasificación es codificar productos y servicios de forma clara ya que “se basa en estándares acordados por la industria los cuales facilitan el comercio entre empresas y gobierno”</w:t>
      </w:r>
      <w:r w:rsidRPr="000F1385">
        <w:rPr>
          <w:rFonts w:ascii="Verdana" w:eastAsia="Times New Roman" w:hAnsi="Verdana" w:cs="Arial"/>
          <w:bdr w:val="none" w:sz="0" w:space="0" w:color="auto" w:frame="1"/>
          <w:vertAlign w:val="superscript"/>
          <w:lang w:val="es-MX" w:eastAsia="es-CO"/>
        </w:rPr>
        <w:footnoteReference w:id="16"/>
      </w:r>
      <w:r w:rsidRPr="000F1385">
        <w:rPr>
          <w:rFonts w:ascii="Verdana" w:eastAsia="Times New Roman" w:hAnsi="Verdana" w:cs="Arial"/>
          <w:bdr w:val="none" w:sz="0" w:space="0" w:color="auto" w:frame="1"/>
          <w:lang w:val="es-MX" w:eastAsia="es-CO"/>
        </w:rPr>
        <w:t>.</w:t>
      </w:r>
    </w:p>
    <w:p w14:paraId="51C1C743" w14:textId="77777777" w:rsidR="001520A7" w:rsidRPr="000F1385" w:rsidRDefault="001520A7" w:rsidP="001520A7">
      <w:pPr>
        <w:widowControl w:val="0"/>
        <w:autoSpaceDE w:val="0"/>
        <w:autoSpaceDN w:val="0"/>
        <w:spacing w:after="120" w:line="276" w:lineRule="auto"/>
        <w:ind w:right="102" w:firstLine="607"/>
        <w:jc w:val="both"/>
        <w:rPr>
          <w:rFonts w:ascii="Verdana" w:eastAsia="Times New Roman" w:hAnsi="Verdana" w:cs="Arial"/>
          <w:bdr w:val="none" w:sz="0" w:space="0" w:color="auto" w:frame="1"/>
          <w:lang w:val="es-MX"/>
        </w:rPr>
      </w:pPr>
      <w:r w:rsidRPr="000F1385">
        <w:rPr>
          <w:rFonts w:ascii="Verdana" w:eastAsia="Times New Roman" w:hAnsi="Verdana" w:cs="Arial"/>
          <w:bdr w:val="none" w:sz="0" w:space="0" w:color="auto" w:frame="1"/>
          <w:lang w:val="es-ES"/>
        </w:rPr>
        <w:lastRenderedPageBreak/>
        <w:t xml:space="preserve">Por otro lado, el artículo 2.2.1.1.1.4.1 del Decreto 1082 de 2015, referente al deber de elaborar el Plan Anual de Adquisiciones, establece que en la expedición de dicho documento las entidades deben “señalar la necesidad y cuando conoce el bien, obra o servicio que satisface esa necesidad debe identificarlo utilizando el </w:t>
      </w:r>
      <w:proofErr w:type="spellStart"/>
      <w:r w:rsidRPr="000F1385">
        <w:rPr>
          <w:rFonts w:ascii="Verdana" w:eastAsia="Times New Roman" w:hAnsi="Verdana" w:cs="Arial"/>
          <w:bdr w:val="none" w:sz="0" w:space="0" w:color="auto" w:frame="1"/>
          <w:lang w:val="es-ES"/>
        </w:rPr>
        <w:t>Clasiﬁcador</w:t>
      </w:r>
      <w:proofErr w:type="spellEnd"/>
      <w:r w:rsidRPr="000F1385">
        <w:rPr>
          <w:rFonts w:ascii="Verdana" w:eastAsia="Times New Roman" w:hAnsi="Verdana" w:cs="Arial"/>
          <w:bdr w:val="none" w:sz="0" w:space="0" w:color="auto" w:frame="1"/>
          <w:lang w:val="es-ES"/>
        </w:rPr>
        <w:t xml:space="preserve"> de Bienes y Servicios”</w:t>
      </w:r>
      <w:r w:rsidRPr="000F1385">
        <w:rPr>
          <w:rFonts w:ascii="Verdana" w:eastAsia="Times New Roman" w:hAnsi="Verdana" w:cs="Arial"/>
          <w:bdr w:val="none" w:sz="0" w:space="0" w:color="auto" w:frame="1"/>
          <w:vertAlign w:val="superscript"/>
          <w:lang w:val="es-ES"/>
        </w:rPr>
        <w:footnoteReference w:id="17"/>
      </w:r>
      <w:r w:rsidRPr="000F1385">
        <w:rPr>
          <w:rFonts w:ascii="Verdana" w:eastAsia="Times New Roman" w:hAnsi="Verdana" w:cs="Arial"/>
          <w:bdr w:val="none" w:sz="0" w:space="0" w:color="auto" w:frame="1"/>
          <w:lang w:val="es-ES"/>
        </w:rPr>
        <w:t>.</w:t>
      </w:r>
      <w:r w:rsidRPr="000F1385">
        <w:rPr>
          <w:rFonts w:ascii="Verdana" w:eastAsia="Times New Roman" w:hAnsi="Verdana" w:cs="Arial"/>
          <w:bdr w:val="none" w:sz="0" w:space="0" w:color="auto" w:frame="1"/>
          <w:lang w:val="es-MX"/>
        </w:rPr>
        <w:t>  </w:t>
      </w:r>
    </w:p>
    <w:p w14:paraId="12062B96" w14:textId="77777777" w:rsidR="001520A7" w:rsidRPr="000F1385" w:rsidRDefault="001520A7" w:rsidP="001520A7">
      <w:pPr>
        <w:widowControl w:val="0"/>
        <w:autoSpaceDE w:val="0"/>
        <w:autoSpaceDN w:val="0"/>
        <w:spacing w:after="120" w:line="276" w:lineRule="auto"/>
        <w:ind w:firstLine="708"/>
        <w:jc w:val="both"/>
        <w:rPr>
          <w:rFonts w:ascii="Verdana" w:eastAsia="Arial MT" w:hAnsi="Verdana" w:cs="Arial"/>
          <w:lang w:val="es-ES"/>
        </w:rPr>
      </w:pPr>
      <w:r w:rsidRPr="000F1385">
        <w:rPr>
          <w:rFonts w:ascii="Verdana" w:eastAsia="Arial MT" w:hAnsi="Verdana" w:cs="Arial"/>
          <w:lang w:val="es-ES"/>
        </w:rPr>
        <w:t>Por su parte, el artículo 2.2.1.1.1.5.2 del Decreto 1082 de 2015, al desarrollar la información requerida para la inscripción, actualización y renovación del RUP, establece que los proponentes deben establecer los bienes y servicios que ofrecerán identificados Clasificador de Bienes y Servicios en el tercer nivel. Así mismo el numeral 2.5 de este artículo establece que en los certificados de experiencia presentados para inscripción o actualización del RUP, los proponentes deben indicar en “cada certificado o en cada copia de los contratos, los bienes, obras y servicios a los cuales corresponde la experiencia que pretende acreditar, identificándolos con el Clasificador de Bienes y Servicios en el tercer nivel”</w:t>
      </w:r>
      <w:r w:rsidRPr="000F1385">
        <w:rPr>
          <w:rFonts w:ascii="Verdana" w:eastAsia="Arial MT" w:hAnsi="Verdana" w:cs="Arial"/>
          <w:vertAlign w:val="superscript"/>
          <w:lang w:val="es-ES"/>
        </w:rPr>
        <w:footnoteReference w:id="18"/>
      </w:r>
      <w:r w:rsidRPr="000F1385">
        <w:rPr>
          <w:rFonts w:ascii="Verdana" w:eastAsia="Arial MT" w:hAnsi="Verdana" w:cs="Arial"/>
          <w:lang w:val="es-ES"/>
        </w:rPr>
        <w:t xml:space="preserve">. </w:t>
      </w:r>
    </w:p>
    <w:p w14:paraId="11C2CF98" w14:textId="77777777" w:rsidR="001520A7" w:rsidRPr="000F1385" w:rsidRDefault="001520A7" w:rsidP="001520A7">
      <w:pPr>
        <w:widowControl w:val="0"/>
        <w:autoSpaceDE w:val="0"/>
        <w:autoSpaceDN w:val="0"/>
        <w:spacing w:after="120" w:line="276" w:lineRule="auto"/>
        <w:ind w:firstLine="708"/>
        <w:jc w:val="both"/>
        <w:rPr>
          <w:rFonts w:ascii="Verdana" w:eastAsia="Arial MT" w:hAnsi="Verdana" w:cs="Arial"/>
          <w:lang w:val="es-ES"/>
        </w:rPr>
      </w:pPr>
      <w:r w:rsidRPr="000F1385">
        <w:rPr>
          <w:rFonts w:ascii="Verdana" w:eastAsia="Arial MT" w:hAnsi="Verdana" w:cs="Arial"/>
          <w:lang w:val="es-ES"/>
        </w:rPr>
        <w:lastRenderedPageBreak/>
        <w:t xml:space="preserve">En concordancia con lo anterior, el artículo 2.2.1.1.1.5.3. del Decreto 1082 de 2015, en su numeral 1, establece que las Cámaras de Comercio deberán certificar la experiencia inscrita en el RUP verificando los “contratos celebrados por el interesado para cada uno de los bienes, obras y servicios que ofrecerá a las Entidades Estatales, identificados con el </w:t>
      </w:r>
      <w:proofErr w:type="spellStart"/>
      <w:r w:rsidRPr="000F1385">
        <w:rPr>
          <w:rFonts w:ascii="Verdana" w:eastAsia="Arial MT" w:hAnsi="Verdana" w:cs="Arial"/>
          <w:lang w:val="es-ES"/>
        </w:rPr>
        <w:t>Clasiﬁcador</w:t>
      </w:r>
      <w:proofErr w:type="spellEnd"/>
      <w:r w:rsidRPr="000F1385">
        <w:rPr>
          <w:rFonts w:ascii="Verdana" w:eastAsia="Arial MT" w:hAnsi="Verdana" w:cs="Arial"/>
          <w:lang w:val="es-ES"/>
        </w:rPr>
        <w:t xml:space="preserve"> de Bienes y Servicios en el tercer nivel </w:t>
      </w:r>
      <w:r w:rsidRPr="000F1385">
        <w:rPr>
          <w:rFonts w:ascii="Verdana" w:eastAsia="Arial MT" w:hAnsi="Verdana" w:cs="Arial"/>
        </w:rPr>
        <w:t xml:space="preserve">y su valor expresado en </w:t>
      </w:r>
      <w:proofErr w:type="spellStart"/>
      <w:r w:rsidRPr="000F1385">
        <w:rPr>
          <w:rFonts w:ascii="Verdana" w:eastAsia="Arial MT" w:hAnsi="Verdana" w:cs="Arial"/>
        </w:rPr>
        <w:t>smmlv</w:t>
      </w:r>
      <w:proofErr w:type="spellEnd"/>
      <w:r w:rsidRPr="000F1385">
        <w:rPr>
          <w:rFonts w:ascii="Verdana" w:eastAsia="Arial MT" w:hAnsi="Verdana" w:cs="Arial"/>
          <w:lang w:val="es-ES"/>
        </w:rPr>
        <w:t>”</w:t>
      </w:r>
      <w:r w:rsidRPr="000F1385">
        <w:rPr>
          <w:rFonts w:ascii="Verdana" w:eastAsia="Arial MT" w:hAnsi="Verdana" w:cs="Arial"/>
          <w:vertAlign w:val="superscript"/>
          <w:lang w:val="es-ES"/>
        </w:rPr>
        <w:footnoteReference w:id="19"/>
      </w:r>
      <w:r w:rsidRPr="000F1385">
        <w:rPr>
          <w:rFonts w:ascii="Verdana" w:eastAsia="Arial MT" w:hAnsi="Verdana" w:cs="Arial"/>
          <w:lang w:val="es-ES"/>
        </w:rPr>
        <w:t xml:space="preserve">. Esto es coherente con lo dispuesto en el artículo 2.2.1.1.1.5.6, que indica que uno de los componentes de información del RUP son “los bienes, obras y servicios para los cuales está inscrito el proponente de acuerdo con el </w:t>
      </w:r>
      <w:proofErr w:type="spellStart"/>
      <w:r w:rsidRPr="000F1385">
        <w:rPr>
          <w:rFonts w:ascii="Verdana" w:eastAsia="Arial MT" w:hAnsi="Verdana" w:cs="Arial"/>
          <w:lang w:val="es-ES"/>
        </w:rPr>
        <w:t>Clasiﬁcador</w:t>
      </w:r>
      <w:proofErr w:type="spellEnd"/>
      <w:r w:rsidRPr="000F1385">
        <w:rPr>
          <w:rFonts w:ascii="Verdana" w:eastAsia="Arial MT" w:hAnsi="Verdana" w:cs="Arial"/>
          <w:lang w:val="es-ES"/>
        </w:rPr>
        <w:t xml:space="preserve"> de Bienes y Servicios”</w:t>
      </w:r>
      <w:r w:rsidRPr="000F1385">
        <w:rPr>
          <w:rFonts w:ascii="Verdana" w:eastAsia="Arial MT" w:hAnsi="Verdana" w:cs="Arial"/>
          <w:vertAlign w:val="superscript"/>
          <w:lang w:val="es-ES"/>
        </w:rPr>
        <w:footnoteReference w:id="20"/>
      </w:r>
      <w:r w:rsidRPr="000F1385">
        <w:rPr>
          <w:rFonts w:ascii="Verdana" w:eastAsia="Arial MT" w:hAnsi="Verdana" w:cs="Arial"/>
          <w:lang w:val="es-ES"/>
        </w:rPr>
        <w:t xml:space="preserve">. </w:t>
      </w:r>
    </w:p>
    <w:p w14:paraId="79A2B33C" w14:textId="77777777" w:rsidR="001520A7" w:rsidRPr="000F1385" w:rsidRDefault="001520A7" w:rsidP="001520A7">
      <w:pPr>
        <w:widowControl w:val="0"/>
        <w:autoSpaceDE w:val="0"/>
        <w:autoSpaceDN w:val="0"/>
        <w:spacing w:after="120" w:line="276" w:lineRule="auto"/>
        <w:ind w:firstLine="708"/>
        <w:jc w:val="both"/>
        <w:rPr>
          <w:rFonts w:ascii="Verdana" w:eastAsia="Arial MT" w:hAnsi="Verdana" w:cs="Arial"/>
          <w:lang w:val="es-ES"/>
        </w:rPr>
      </w:pPr>
      <w:r w:rsidRPr="000F1385">
        <w:rPr>
          <w:rFonts w:ascii="Verdana" w:eastAsia="Arial MT" w:hAnsi="Verdana" w:cs="Arial"/>
          <w:lang w:val="es-ES"/>
        </w:rPr>
        <w:t xml:space="preserve">El </w:t>
      </w:r>
      <w:r w:rsidRPr="000F1385">
        <w:rPr>
          <w:rFonts w:ascii="Verdana" w:eastAsia="Times New Roman" w:hAnsi="Verdana" w:cs="Arial"/>
          <w:bdr w:val="none" w:sz="0" w:space="0" w:color="auto" w:frame="1"/>
          <w:lang w:val="es-ES"/>
        </w:rPr>
        <w:t xml:space="preserve">artículo 2.2.1.1.2.1.3. del Decreto 1082 de 2015, el cual regula de manera general el contenido de los pliegos de condiciones, establece como deber de las entidades estales el de realizar en dichos documentos una “descripción técnica, detallada y completa del bien o servicio objeto del contrato, identificado con el cuarto nivel del </w:t>
      </w:r>
      <w:proofErr w:type="spellStart"/>
      <w:r w:rsidRPr="000F1385">
        <w:rPr>
          <w:rFonts w:ascii="Verdana" w:eastAsia="Times New Roman" w:hAnsi="Verdana" w:cs="Arial"/>
          <w:bdr w:val="none" w:sz="0" w:space="0" w:color="auto" w:frame="1"/>
          <w:lang w:val="es-ES"/>
        </w:rPr>
        <w:t>Clasiﬁcador</w:t>
      </w:r>
      <w:proofErr w:type="spellEnd"/>
      <w:r w:rsidRPr="000F1385">
        <w:rPr>
          <w:rFonts w:ascii="Verdana" w:eastAsia="Times New Roman" w:hAnsi="Verdana" w:cs="Arial"/>
          <w:bdr w:val="none" w:sz="0" w:space="0" w:color="auto" w:frame="1"/>
          <w:lang w:val="es-ES"/>
        </w:rPr>
        <w:t xml:space="preserve"> de Bienes y Servicios, de ser posible o de lo contrario con el tercer nivel </w:t>
      </w:r>
      <w:proofErr w:type="gramStart"/>
      <w:r w:rsidRPr="000F1385">
        <w:rPr>
          <w:rFonts w:ascii="Verdana" w:eastAsia="Times New Roman" w:hAnsi="Verdana" w:cs="Arial"/>
          <w:bdr w:val="none" w:sz="0" w:space="0" w:color="auto" w:frame="1"/>
          <w:lang w:val="es-ES"/>
        </w:rPr>
        <w:t>del mismo</w:t>
      </w:r>
      <w:proofErr w:type="gramEnd"/>
      <w:r w:rsidRPr="000F1385">
        <w:rPr>
          <w:rFonts w:ascii="Verdana" w:eastAsia="Times New Roman" w:hAnsi="Verdana" w:cs="Arial"/>
          <w:bdr w:val="none" w:sz="0" w:space="0" w:color="auto" w:frame="1"/>
          <w:lang w:val="es-ES"/>
        </w:rPr>
        <w:t>”</w:t>
      </w:r>
      <w:r w:rsidRPr="000F1385">
        <w:rPr>
          <w:rFonts w:ascii="Verdana" w:eastAsia="Times New Roman" w:hAnsi="Verdana" w:cs="Arial"/>
          <w:bdr w:val="none" w:sz="0" w:space="0" w:color="auto" w:frame="1"/>
          <w:vertAlign w:val="superscript"/>
          <w:lang w:val="es-ES"/>
        </w:rPr>
        <w:footnoteReference w:id="21"/>
      </w:r>
      <w:r w:rsidRPr="000F1385">
        <w:rPr>
          <w:rFonts w:ascii="Verdana" w:eastAsia="Times New Roman" w:hAnsi="Verdana" w:cs="Arial"/>
          <w:bdr w:val="none" w:sz="0" w:space="0" w:color="auto" w:frame="1"/>
          <w:lang w:val="es-ES"/>
        </w:rPr>
        <w:t>. </w:t>
      </w:r>
    </w:p>
    <w:p w14:paraId="71C30DC3" w14:textId="77777777" w:rsidR="001520A7" w:rsidRPr="000F1385" w:rsidRDefault="001520A7" w:rsidP="001520A7">
      <w:pPr>
        <w:widowControl w:val="0"/>
        <w:autoSpaceDE w:val="0"/>
        <w:autoSpaceDN w:val="0"/>
        <w:spacing w:after="120" w:line="276" w:lineRule="auto"/>
        <w:ind w:right="104" w:firstLine="608"/>
        <w:jc w:val="both"/>
        <w:rPr>
          <w:rFonts w:ascii="Verdana" w:eastAsia="Times New Roman" w:hAnsi="Verdana" w:cs="Arial"/>
          <w:lang w:val="es-ES"/>
        </w:rPr>
      </w:pPr>
      <w:r w:rsidRPr="000F1385">
        <w:rPr>
          <w:rFonts w:ascii="Verdana" w:eastAsia="Times New Roman" w:hAnsi="Verdana" w:cs="Arial"/>
          <w:bdr w:val="none" w:sz="0" w:space="0" w:color="auto" w:frame="1"/>
          <w:lang w:val="es-ES"/>
        </w:rPr>
        <w:t xml:space="preserve">Conforme a lo anterior, la planeación de las adquisiciones de las entidades estatales, la inscripción en el RUP, la valoración de la experiencia de los proponentes y el desarrollo de los procesos de contratación son ámbitos de la contratación estatal en los que se incorpora el uso del Clasificador de Bienes y Servicios para la contratación estatal. Es una medida que incrementa la </w:t>
      </w:r>
      <w:r w:rsidRPr="000F1385">
        <w:rPr>
          <w:rFonts w:ascii="Verdana" w:eastAsia="Times New Roman" w:hAnsi="Verdana" w:cs="Arial"/>
          <w:bdr w:val="none" w:sz="0" w:space="0" w:color="auto" w:frame="1"/>
          <w:lang w:val="es-ES"/>
        </w:rPr>
        <w:lastRenderedPageBreak/>
        <w:t>eficiencia y la efectividad en procedimientos de selección y reduce los costos de crear y mantener un sistema de codificación individual, al estandarizar una codificación de amplia difusión y de generalizada aceptación, que permite a proveedores y compradores “hablar el mismo lenguaje” al integrar en un solo número el flujo total del proceso de adquisición</w:t>
      </w:r>
      <w:r w:rsidRPr="000F1385">
        <w:rPr>
          <w:rFonts w:ascii="Verdana" w:eastAsia="Times New Roman" w:hAnsi="Verdana" w:cs="Arial"/>
          <w:bdr w:val="none" w:sz="0" w:space="0" w:color="auto" w:frame="1"/>
          <w:vertAlign w:val="superscript"/>
          <w:lang w:val="es-ES"/>
        </w:rPr>
        <w:footnoteReference w:id="22"/>
      </w:r>
      <w:r w:rsidRPr="000F1385">
        <w:rPr>
          <w:rFonts w:ascii="Verdana" w:eastAsia="Times New Roman" w:hAnsi="Verdana" w:cs="Arial"/>
          <w:bdr w:val="none" w:sz="0" w:space="0" w:color="auto" w:frame="1"/>
          <w:lang w:val="es-ES"/>
        </w:rPr>
        <w:t>. </w:t>
      </w:r>
    </w:p>
    <w:p w14:paraId="62F3F38A" w14:textId="77777777" w:rsidR="001520A7" w:rsidRPr="000F1385" w:rsidRDefault="001520A7" w:rsidP="001520A7">
      <w:pPr>
        <w:widowControl w:val="0"/>
        <w:autoSpaceDE w:val="0"/>
        <w:autoSpaceDN w:val="0"/>
        <w:spacing w:after="0" w:line="276" w:lineRule="auto"/>
        <w:ind w:right="102" w:firstLine="607"/>
        <w:jc w:val="both"/>
        <w:rPr>
          <w:rFonts w:ascii="Verdana" w:eastAsia="Times New Roman" w:hAnsi="Verdana" w:cs="Arial"/>
        </w:rPr>
      </w:pPr>
      <w:r w:rsidRPr="000F1385">
        <w:rPr>
          <w:rFonts w:ascii="Verdana" w:eastAsia="Times New Roman" w:hAnsi="Verdana" w:cs="Arial"/>
          <w:lang w:val="es-ES"/>
        </w:rPr>
        <w:t xml:space="preserve">Al respecto, </w:t>
      </w:r>
      <w:r w:rsidRPr="000F1385">
        <w:rPr>
          <w:rFonts w:ascii="Verdana" w:eastAsia="Times New Roman" w:hAnsi="Verdana" w:cs="Arial"/>
        </w:rPr>
        <w:t>la Agencia Nacional de Contratación Pública - Colombia Compra Eficiente puso a disposición de los interesados del sistema de compra pública el “Manual para determinar y verificar requisitos habilitantes en los procesos de contratación”</w:t>
      </w:r>
      <w:r w:rsidRPr="000F1385">
        <w:rPr>
          <w:rFonts w:ascii="Verdana" w:eastAsia="Times New Roman" w:hAnsi="Verdana" w:cs="Arial"/>
          <w:vertAlign w:val="superscript"/>
        </w:rPr>
        <w:footnoteReference w:id="23"/>
      </w:r>
      <w:r w:rsidRPr="000F1385">
        <w:rPr>
          <w:rFonts w:ascii="Verdana" w:eastAsia="Times New Roman" w:hAnsi="Verdana" w:cs="Arial"/>
        </w:rPr>
        <w:t xml:space="preserve">, y en este de forma particular, se establecen una serie de características que deben ser observadas por parte de las entidades al establecer en sus invitaciones o pliego de condiciones los requerimientos o condiciones necesarias para poder llevar a cabo su verificación, como se detalla a continuación: </w:t>
      </w:r>
    </w:p>
    <w:p w14:paraId="43D2DF28" w14:textId="77777777" w:rsidR="001520A7" w:rsidRPr="000F1385" w:rsidRDefault="001520A7" w:rsidP="001520A7">
      <w:pPr>
        <w:widowControl w:val="0"/>
        <w:autoSpaceDE w:val="0"/>
        <w:autoSpaceDN w:val="0"/>
        <w:spacing w:after="0" w:line="276" w:lineRule="auto"/>
        <w:ind w:right="102" w:firstLine="607"/>
        <w:jc w:val="both"/>
        <w:rPr>
          <w:rFonts w:ascii="Verdana" w:eastAsia="Times New Roman" w:hAnsi="Verdana" w:cs="Arial"/>
        </w:rPr>
      </w:pPr>
    </w:p>
    <w:p w14:paraId="0BC7DC33" w14:textId="77777777" w:rsidR="001520A7" w:rsidRPr="00E772EE" w:rsidRDefault="001520A7" w:rsidP="001520A7">
      <w:pPr>
        <w:widowControl w:val="0"/>
        <w:autoSpaceDE w:val="0"/>
        <w:autoSpaceDN w:val="0"/>
        <w:spacing w:after="0" w:line="240" w:lineRule="auto"/>
        <w:ind w:left="709" w:right="709"/>
        <w:jc w:val="both"/>
        <w:rPr>
          <w:rFonts w:ascii="Verdana" w:eastAsia="Times New Roman" w:hAnsi="Verdana" w:cs="Arial"/>
          <w:sz w:val="20"/>
          <w:szCs w:val="20"/>
        </w:rPr>
      </w:pPr>
      <w:r w:rsidRPr="00E772EE">
        <w:rPr>
          <w:rFonts w:ascii="Verdana" w:eastAsia="Times New Roman" w:hAnsi="Verdana" w:cs="Arial"/>
          <w:sz w:val="20"/>
          <w:szCs w:val="20"/>
        </w:rPr>
        <w:t>Dentro de los principales requisitos habilitantes que se utilizan en los Procesos de Contratación se destaca la experiencia, la cual debe ser entendida como el conocimiento del proponente derivado de su participación previa en actividades iguales o similares a las previstas en el objeto del contrato con contratantes públicos, privados, nacionales o extranjeros. La experiencia puede ser adquirida directamente de manera singularizada o en asocio con otras personas, como es el caso de los proponentes plurales, cuya experiencia no deja de ser personal, sino que, por tratarse de esquemas asociativos, se evalúa de forma proporcional a la participación de los miembros en los respectivos consorcios y/o uniones temporales</w:t>
      </w:r>
      <w:r w:rsidRPr="00E772EE">
        <w:rPr>
          <w:rFonts w:ascii="Verdana" w:eastAsia="Times New Roman" w:hAnsi="Verdana" w:cs="Arial"/>
          <w:sz w:val="20"/>
          <w:szCs w:val="20"/>
          <w:vertAlign w:val="superscript"/>
        </w:rPr>
        <w:footnoteReference w:id="24"/>
      </w:r>
      <w:r w:rsidRPr="00E772EE">
        <w:rPr>
          <w:rFonts w:ascii="Verdana" w:eastAsia="Times New Roman" w:hAnsi="Verdana" w:cs="Arial"/>
          <w:sz w:val="20"/>
          <w:szCs w:val="20"/>
        </w:rPr>
        <w:t xml:space="preserve">.  </w:t>
      </w:r>
    </w:p>
    <w:p w14:paraId="0D573BC4" w14:textId="77777777" w:rsidR="001520A7" w:rsidRPr="000F1385" w:rsidRDefault="001520A7" w:rsidP="001520A7">
      <w:pPr>
        <w:widowControl w:val="0"/>
        <w:autoSpaceDE w:val="0"/>
        <w:autoSpaceDN w:val="0"/>
        <w:spacing w:after="0" w:line="240" w:lineRule="auto"/>
        <w:ind w:left="709" w:right="709"/>
        <w:jc w:val="both"/>
        <w:rPr>
          <w:rFonts w:ascii="Verdana" w:eastAsia="Times New Roman" w:hAnsi="Verdana" w:cs="Arial"/>
          <w:sz w:val="21"/>
          <w:szCs w:val="21"/>
        </w:rPr>
      </w:pPr>
    </w:p>
    <w:p w14:paraId="669C7A42" w14:textId="77777777" w:rsidR="001520A7" w:rsidRPr="000F1385" w:rsidRDefault="001520A7" w:rsidP="001520A7">
      <w:pPr>
        <w:widowControl w:val="0"/>
        <w:autoSpaceDE w:val="0"/>
        <w:autoSpaceDN w:val="0"/>
        <w:spacing w:after="0" w:line="276" w:lineRule="auto"/>
        <w:ind w:right="102" w:firstLine="607"/>
        <w:jc w:val="both"/>
        <w:rPr>
          <w:rFonts w:ascii="Verdana" w:eastAsia="Times New Roman" w:hAnsi="Verdana" w:cs="Arial"/>
          <w:lang w:val="es-ES"/>
        </w:rPr>
      </w:pPr>
      <w:r w:rsidRPr="000F1385">
        <w:rPr>
          <w:rFonts w:ascii="Verdana" w:eastAsia="Times New Roman" w:hAnsi="Verdana" w:cs="Arial"/>
          <w:lang w:val="es-ES"/>
        </w:rPr>
        <w:t xml:space="preserve">De lo anterior se precisa que las entidades al momento de establecer las condiciones para la verificación de experiencia, debe ser adecuada y proporcional a la naturaleza del contrato respecto al valor, complejidad y riesgo, pues no sería del caso establecer condiciones de verificación que no apuntaran a un objeto igual o similar al del proceso de contratación, o se establecieran </w:t>
      </w:r>
      <w:r w:rsidRPr="000F1385">
        <w:rPr>
          <w:rFonts w:ascii="Verdana" w:eastAsia="Times New Roman" w:hAnsi="Verdana" w:cs="Arial"/>
          <w:lang w:val="es-ES"/>
        </w:rPr>
        <w:lastRenderedPageBreak/>
        <w:t>condiciones de valor que no fueran proporcionales al presupuesto establecido para el futuro contrato. En tal sentido, e</w:t>
      </w:r>
      <w:r w:rsidRPr="000F1385">
        <w:rPr>
          <w:rFonts w:ascii="Verdana" w:eastAsia="Times New Roman" w:hAnsi="Verdana" w:cs="Arial"/>
          <w:lang w:val="es-ES_tradnl"/>
        </w:rPr>
        <w:t xml:space="preserve">s preciso tener en cuenta que la Circular Externa Única proferida por la Agencia Nacional de Contratación Pública – Colombia Compra Eficiente, donde se incorporaron directrices relacionadas con el RUP y particularmente sobre el “uso del Clasificador de Bienes y Servicios en el Registro Único de Proponentes”, donde se precisó lo siguiente: </w:t>
      </w:r>
    </w:p>
    <w:p w14:paraId="1C0B2EB0" w14:textId="77777777" w:rsidR="001520A7" w:rsidRPr="00E772EE" w:rsidRDefault="001520A7" w:rsidP="001520A7">
      <w:pPr>
        <w:widowControl w:val="0"/>
        <w:autoSpaceDE w:val="0"/>
        <w:autoSpaceDN w:val="0"/>
        <w:spacing w:after="120" w:line="240" w:lineRule="auto"/>
        <w:ind w:left="709" w:right="709" w:firstLine="608"/>
        <w:jc w:val="both"/>
        <w:rPr>
          <w:rFonts w:ascii="Verdana" w:eastAsia="Times New Roman" w:hAnsi="Verdana" w:cs="Arial"/>
          <w:sz w:val="20"/>
          <w:szCs w:val="20"/>
          <w:lang w:val="es-ES_tradnl"/>
        </w:rPr>
      </w:pPr>
    </w:p>
    <w:p w14:paraId="740AE150" w14:textId="77777777" w:rsidR="001520A7" w:rsidRPr="00E772EE" w:rsidRDefault="001520A7" w:rsidP="001520A7">
      <w:pPr>
        <w:widowControl w:val="0"/>
        <w:numPr>
          <w:ilvl w:val="0"/>
          <w:numId w:val="29"/>
        </w:numPr>
        <w:autoSpaceDE w:val="0"/>
        <w:autoSpaceDN w:val="0"/>
        <w:spacing w:after="120" w:line="240" w:lineRule="auto"/>
        <w:ind w:left="709" w:right="709"/>
        <w:contextualSpacing/>
        <w:jc w:val="both"/>
        <w:rPr>
          <w:rFonts w:ascii="Verdana" w:eastAsia="Times New Roman" w:hAnsi="Verdana" w:cs="Arial"/>
          <w:sz w:val="20"/>
          <w:szCs w:val="20"/>
          <w:lang w:val="es-ES"/>
        </w:rPr>
      </w:pPr>
      <w:r w:rsidRPr="00E772EE">
        <w:rPr>
          <w:rFonts w:ascii="Verdana" w:eastAsia="Times New Roman" w:hAnsi="Verdana" w:cs="Arial"/>
          <w:sz w:val="20"/>
          <w:szCs w:val="20"/>
          <w:lang w:val="es-ES"/>
        </w:rPr>
        <w:t xml:space="preserve">No existe un límite en el número de bienes, obras o servicios que los proponentes pueden inscribir en el RUP. Las Cámaras de Comercio no pueden limitar la inscripción de los proponentes por no contar con experiencia certificada en el respectivo bien, obra o servicio. </w:t>
      </w:r>
    </w:p>
    <w:p w14:paraId="6072AFEC" w14:textId="77777777" w:rsidR="001520A7" w:rsidRPr="00E772EE" w:rsidRDefault="001520A7" w:rsidP="001520A7">
      <w:pPr>
        <w:widowControl w:val="0"/>
        <w:numPr>
          <w:ilvl w:val="0"/>
          <w:numId w:val="29"/>
        </w:numPr>
        <w:autoSpaceDE w:val="0"/>
        <w:autoSpaceDN w:val="0"/>
        <w:spacing w:after="120" w:line="240" w:lineRule="auto"/>
        <w:ind w:left="709" w:right="709"/>
        <w:contextualSpacing/>
        <w:jc w:val="both"/>
        <w:rPr>
          <w:rFonts w:ascii="Verdana" w:eastAsia="Times New Roman" w:hAnsi="Verdana" w:cs="Arial"/>
          <w:sz w:val="20"/>
          <w:szCs w:val="20"/>
          <w:lang w:val="es-ES"/>
        </w:rPr>
      </w:pPr>
      <w:r w:rsidRPr="00E772EE">
        <w:rPr>
          <w:rFonts w:ascii="Verdana" w:eastAsia="Times New Roman" w:hAnsi="Verdana" w:cs="Arial"/>
          <w:sz w:val="20"/>
          <w:szCs w:val="20"/>
          <w:lang w:val="es-ES"/>
        </w:rPr>
        <w:t>La clasificación del proponente en determinado código no puede constituirse como un requisito habilitante, sino que debe entenderse como un mecanismo para establecer un lenguaje común entre los partícipes del Sistema de Compra Pública. En consecuencia, las Entidades Estatales no pueden excluir a un proponente que ha acreditado los requisitos habilitantes exigidos en un Proceso de Contratación por no estar inscrito en el RUP con el código de los bienes, obras o servicios del objeto de tal Proceso de Contratación.</w:t>
      </w:r>
    </w:p>
    <w:p w14:paraId="2AD3E64C" w14:textId="77777777" w:rsidR="001520A7" w:rsidRPr="00E772EE" w:rsidRDefault="001520A7" w:rsidP="001520A7">
      <w:pPr>
        <w:widowControl w:val="0"/>
        <w:numPr>
          <w:ilvl w:val="0"/>
          <w:numId w:val="29"/>
        </w:numPr>
        <w:autoSpaceDE w:val="0"/>
        <w:autoSpaceDN w:val="0"/>
        <w:spacing w:after="0" w:line="240" w:lineRule="auto"/>
        <w:ind w:left="709" w:right="709" w:hanging="357"/>
        <w:contextualSpacing/>
        <w:jc w:val="both"/>
        <w:rPr>
          <w:rFonts w:ascii="Verdana" w:eastAsia="Times New Roman" w:hAnsi="Verdana" w:cs="Arial"/>
          <w:sz w:val="20"/>
          <w:szCs w:val="20"/>
          <w:lang w:val="es-ES"/>
        </w:rPr>
      </w:pPr>
      <w:r w:rsidRPr="00E772EE">
        <w:rPr>
          <w:rFonts w:ascii="Verdana" w:eastAsia="Times New Roman" w:hAnsi="Verdana" w:cs="Arial"/>
          <w:sz w:val="20"/>
          <w:szCs w:val="20"/>
          <w:lang w:val="es-ES"/>
        </w:rPr>
        <w:t>La experiencia es un requisito habilitante. Los proponentes deben inscribir en el RUP su experiencia usando los códigos del Clasificador de Bienes y Servicios. Por su parte las Entidades Estatales al establecer el requisito habilitante de experiencia pueden incluir los códigos específicos del objeto a contratar o el de los bienes, obras o servicios afines al Proceso de Contratación respecto de los cuales los proponentes deben acreditar su experiencia.</w:t>
      </w:r>
    </w:p>
    <w:p w14:paraId="1E36CB3A" w14:textId="77777777" w:rsidR="001520A7" w:rsidRPr="000F1385" w:rsidRDefault="001520A7" w:rsidP="001520A7">
      <w:pPr>
        <w:widowControl w:val="0"/>
        <w:autoSpaceDE w:val="0"/>
        <w:autoSpaceDN w:val="0"/>
        <w:spacing w:after="0" w:line="276" w:lineRule="auto"/>
        <w:ind w:left="714" w:right="102"/>
        <w:contextualSpacing/>
        <w:jc w:val="both"/>
        <w:rPr>
          <w:rFonts w:ascii="Verdana" w:eastAsia="Times New Roman" w:hAnsi="Verdana" w:cs="Arial"/>
          <w:lang w:val="es-ES"/>
        </w:rPr>
      </w:pPr>
      <w:r w:rsidRPr="000F1385">
        <w:rPr>
          <w:rFonts w:ascii="Verdana" w:eastAsia="Times New Roman" w:hAnsi="Verdana" w:cs="Arial"/>
          <w:lang w:val="es-ES"/>
        </w:rPr>
        <w:t xml:space="preserve"> </w:t>
      </w:r>
    </w:p>
    <w:p w14:paraId="371F2CD7" w14:textId="77777777" w:rsidR="001520A7" w:rsidRPr="000F1385" w:rsidRDefault="001520A7" w:rsidP="001520A7">
      <w:pPr>
        <w:widowControl w:val="0"/>
        <w:autoSpaceDE w:val="0"/>
        <w:autoSpaceDN w:val="0"/>
        <w:spacing w:after="120" w:line="276" w:lineRule="auto"/>
        <w:ind w:right="104" w:firstLine="708"/>
        <w:jc w:val="both"/>
        <w:rPr>
          <w:rFonts w:ascii="Verdana" w:eastAsia="Times New Roman" w:hAnsi="Verdana" w:cs="Arial"/>
          <w:lang w:val="es-ES_tradnl"/>
        </w:rPr>
      </w:pPr>
      <w:r w:rsidRPr="000F1385">
        <w:rPr>
          <w:rFonts w:ascii="Verdana" w:eastAsia="Times New Roman" w:hAnsi="Verdana" w:cs="Arial"/>
          <w:lang w:val="es-ES_tradnl"/>
        </w:rPr>
        <w:t>De acuerdo con la postura adoptada en la Circular, la “clasificación del proponente”, que corresponde a los listados señalados en los numerales 1.1. y 2.1. del artículo 2.2.1.1.1.5.2. del Decreto 1082 de 2015, no condiciona la capacidad ―jurídica, ni tampoco otra― de los proponentes, por lo que, si un proponente cumple los demás requisitos exigidos en el pliego de condiciones, su oferta no puede ser rechazada o desestimada bajo el argumento de que no cuenta con la inscripción del código de los bienes, obras o servicios del objeto del proceso de contratación.</w:t>
      </w:r>
    </w:p>
    <w:p w14:paraId="4207F37F" w14:textId="77777777" w:rsidR="001520A7" w:rsidRPr="000F1385" w:rsidRDefault="001520A7" w:rsidP="001520A7">
      <w:pPr>
        <w:widowControl w:val="0"/>
        <w:autoSpaceDE w:val="0"/>
        <w:autoSpaceDN w:val="0"/>
        <w:spacing w:after="0" w:line="276" w:lineRule="auto"/>
        <w:ind w:right="102" w:firstLine="708"/>
        <w:jc w:val="both"/>
        <w:rPr>
          <w:rFonts w:ascii="Verdana" w:eastAsia="Times New Roman" w:hAnsi="Verdana" w:cs="Arial"/>
          <w:lang w:val="es-ES_tradnl"/>
        </w:rPr>
      </w:pPr>
      <w:r w:rsidRPr="000F1385">
        <w:rPr>
          <w:rFonts w:ascii="Verdana" w:eastAsia="Times New Roman" w:hAnsi="Verdana" w:cs="Arial"/>
          <w:lang w:val="es-ES"/>
        </w:rPr>
        <w:t xml:space="preserve">Lo anterior se desarrolla sin perjuicio de la forma como se exija la experiencia en los pliegos de condiciones, pues este es un requisito habilitante diferente de la capacidad jurídica; y, para efectos de evaluar la experiencia en los pliegos de condiciones, sí se podrá acudir al Clasificador de Bienes y </w:t>
      </w:r>
      <w:r w:rsidRPr="000F1385">
        <w:rPr>
          <w:rFonts w:ascii="Verdana" w:eastAsia="Times New Roman" w:hAnsi="Verdana" w:cs="Arial"/>
          <w:lang w:val="es-ES"/>
        </w:rPr>
        <w:lastRenderedPageBreak/>
        <w:t xml:space="preserve">Servicios de las Naciones Unidas para exigir, por ejemplo, que solo se tendrá por válida la experiencia inscrita por el proponente en el RUP, que sea de contratos ejecutados que coincidan con algún código del Clasificador del Bienes y Servicios, en particular, en el tercer nivel del clasificador expresada en SMMLV. En esta misma orientación, </w:t>
      </w:r>
      <w:r w:rsidRPr="000F1385">
        <w:rPr>
          <w:rFonts w:ascii="Verdana" w:eastAsia="Times New Roman" w:hAnsi="Verdana" w:cs="Arial"/>
          <w:lang w:val="es-ES_tradnl"/>
        </w:rPr>
        <w:t>la Circular Externa Única a que se hizo referencia previamente, en relación con el uso del Clasificador de Bienes y Servicios para efectos de acreditar la experiencia en los procedimientos de selección, expresó que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o que se relacionen con el Proceso de Contratación respecto de los cuales los proponentes deben acreditar su experiencia.</w:t>
      </w:r>
    </w:p>
    <w:p w14:paraId="46151C3D" w14:textId="77777777" w:rsidR="001520A7" w:rsidRPr="000F1385" w:rsidRDefault="001520A7" w:rsidP="001520A7">
      <w:pPr>
        <w:widowControl w:val="0"/>
        <w:autoSpaceDE w:val="0"/>
        <w:autoSpaceDN w:val="0"/>
        <w:spacing w:after="0" w:line="240" w:lineRule="auto"/>
        <w:ind w:right="102" w:firstLine="608"/>
        <w:jc w:val="both"/>
        <w:rPr>
          <w:rFonts w:ascii="Verdana" w:eastAsia="Times New Roman" w:hAnsi="Verdana" w:cs="Arial"/>
          <w:lang w:val="es-ES_tradnl"/>
        </w:rPr>
      </w:pPr>
    </w:p>
    <w:p w14:paraId="32E9267B" w14:textId="77777777" w:rsidR="001520A7" w:rsidRPr="000F1385" w:rsidRDefault="001520A7" w:rsidP="001520A7">
      <w:pPr>
        <w:shd w:val="clear" w:color="auto" w:fill="FFFFFF"/>
        <w:spacing w:after="120" w:line="276" w:lineRule="auto"/>
        <w:jc w:val="both"/>
        <w:textAlignment w:val="baseline"/>
        <w:rPr>
          <w:rFonts w:ascii="Verdana" w:eastAsia="Times New Roman" w:hAnsi="Verdana" w:cs="Arial"/>
          <w:lang w:val="es-MX" w:eastAsia="es-CO"/>
        </w:rPr>
      </w:pPr>
      <w:proofErr w:type="spellStart"/>
      <w:r w:rsidRPr="000F1385">
        <w:rPr>
          <w:rFonts w:ascii="Verdana" w:eastAsia="Times New Roman" w:hAnsi="Verdana" w:cs="Arial"/>
          <w:bdr w:val="none" w:sz="0" w:space="0" w:color="auto" w:frame="1"/>
          <w:lang w:val="es-MX" w:eastAsia="es-CO"/>
        </w:rPr>
        <w:t>ii</w:t>
      </w:r>
      <w:r>
        <w:rPr>
          <w:rFonts w:ascii="Verdana" w:eastAsia="Times New Roman" w:hAnsi="Verdana" w:cs="Arial"/>
          <w:bdr w:val="none" w:sz="0" w:space="0" w:color="auto" w:frame="1"/>
          <w:lang w:val="es-MX" w:eastAsia="es-CO"/>
        </w:rPr>
        <w:t>i</w:t>
      </w:r>
      <w:proofErr w:type="spellEnd"/>
      <w:r w:rsidRPr="000F1385">
        <w:rPr>
          <w:rFonts w:ascii="Verdana" w:eastAsia="Times New Roman" w:hAnsi="Verdana" w:cs="Arial"/>
          <w:bdr w:val="none" w:sz="0" w:space="0" w:color="auto" w:frame="1"/>
          <w:lang w:val="es-MX" w:eastAsia="es-CO"/>
        </w:rPr>
        <w:t xml:space="preserve">. El Clasificador de Bienes y Servicios consta de cinco niveles; no obstante, el último nivel, denominado Función de Negocio, no es muy utilizado. Los niveles jerárquicos para utilizar, en su orden, son: i) segmento, agregación lógica de familias para propósitos analíticos; </w:t>
      </w:r>
      <w:proofErr w:type="spellStart"/>
      <w:r w:rsidRPr="000F1385">
        <w:rPr>
          <w:rFonts w:ascii="Verdana" w:eastAsia="Times New Roman" w:hAnsi="Verdana" w:cs="Arial"/>
          <w:bdr w:val="none" w:sz="0" w:space="0" w:color="auto" w:frame="1"/>
          <w:lang w:val="es-MX" w:eastAsia="es-CO"/>
        </w:rPr>
        <w:t>ii</w:t>
      </w:r>
      <w:proofErr w:type="spellEnd"/>
      <w:r w:rsidRPr="000F1385">
        <w:rPr>
          <w:rFonts w:ascii="Verdana" w:eastAsia="Times New Roman" w:hAnsi="Verdana" w:cs="Arial"/>
          <w:bdr w:val="none" w:sz="0" w:space="0" w:color="auto" w:frame="1"/>
          <w:lang w:val="es-MX" w:eastAsia="es-CO"/>
        </w:rPr>
        <w:t xml:space="preserve">) familia, un grupo de categorías de productos interrelacionadas; </w:t>
      </w:r>
      <w:proofErr w:type="spellStart"/>
      <w:r w:rsidRPr="000F1385">
        <w:rPr>
          <w:rFonts w:ascii="Verdana" w:eastAsia="Times New Roman" w:hAnsi="Verdana" w:cs="Arial"/>
          <w:bdr w:val="none" w:sz="0" w:space="0" w:color="auto" w:frame="1"/>
          <w:lang w:val="es-MX" w:eastAsia="es-CO"/>
        </w:rPr>
        <w:t>iii</w:t>
      </w:r>
      <w:proofErr w:type="spellEnd"/>
      <w:r w:rsidRPr="000F1385">
        <w:rPr>
          <w:rFonts w:ascii="Verdana" w:eastAsia="Times New Roman" w:hAnsi="Verdana" w:cs="Arial"/>
          <w:bdr w:val="none" w:sz="0" w:space="0" w:color="auto" w:frame="1"/>
          <w:lang w:val="es-MX" w:eastAsia="es-CO"/>
        </w:rPr>
        <w:t xml:space="preserve">) clase: un grupo de productos que comparten características comunes; y </w:t>
      </w:r>
      <w:proofErr w:type="spellStart"/>
      <w:r w:rsidRPr="000F1385">
        <w:rPr>
          <w:rFonts w:ascii="Verdana" w:eastAsia="Times New Roman" w:hAnsi="Verdana" w:cs="Arial"/>
          <w:bdr w:val="none" w:sz="0" w:space="0" w:color="auto" w:frame="1"/>
          <w:lang w:val="es-MX" w:eastAsia="es-CO"/>
        </w:rPr>
        <w:t>iv</w:t>
      </w:r>
      <w:proofErr w:type="spellEnd"/>
      <w:r w:rsidRPr="000F1385">
        <w:rPr>
          <w:rFonts w:ascii="Verdana" w:eastAsia="Times New Roman" w:hAnsi="Verdana" w:cs="Arial"/>
          <w:bdr w:val="none" w:sz="0" w:space="0" w:color="auto" w:frame="1"/>
          <w:lang w:val="es-MX" w:eastAsia="es-CO"/>
        </w:rPr>
        <w:t>) producto: un grupo de productos o servicios</w:t>
      </w:r>
      <w:r w:rsidRPr="000F1385">
        <w:rPr>
          <w:rFonts w:ascii="Verdana" w:eastAsia="Times New Roman" w:hAnsi="Verdana" w:cs="Arial"/>
          <w:bdr w:val="none" w:sz="0" w:space="0" w:color="auto" w:frame="1"/>
          <w:vertAlign w:val="superscript"/>
          <w:lang w:val="es-MX" w:eastAsia="es-CO"/>
        </w:rPr>
        <w:footnoteReference w:id="25"/>
      </w:r>
      <w:r w:rsidRPr="000F1385">
        <w:rPr>
          <w:rFonts w:ascii="Verdana" w:eastAsia="Times New Roman" w:hAnsi="Verdana" w:cs="Arial"/>
          <w:bdr w:val="none" w:sz="0" w:space="0" w:color="auto" w:frame="1"/>
          <w:lang w:val="es-MX" w:eastAsia="es-CO"/>
        </w:rPr>
        <w:t>.  </w:t>
      </w:r>
    </w:p>
    <w:p w14:paraId="3575F9C0" w14:textId="77777777" w:rsidR="001520A7" w:rsidRPr="000F1385" w:rsidRDefault="001520A7" w:rsidP="001520A7">
      <w:pPr>
        <w:shd w:val="clear" w:color="auto" w:fill="FFFFFF"/>
        <w:spacing w:after="120" w:line="276" w:lineRule="auto"/>
        <w:ind w:firstLine="709"/>
        <w:jc w:val="both"/>
        <w:textAlignment w:val="baseline"/>
        <w:rPr>
          <w:rFonts w:ascii="Verdana" w:eastAsia="Times New Roman" w:hAnsi="Verdana" w:cs="Arial"/>
          <w:bdr w:val="none" w:sz="0" w:space="0" w:color="auto" w:frame="1"/>
          <w:lang w:val="es-MX" w:eastAsia="es-CO"/>
        </w:rPr>
      </w:pPr>
      <w:r w:rsidRPr="000F1385">
        <w:rPr>
          <w:rFonts w:ascii="Verdana" w:eastAsia="Times New Roman" w:hAnsi="Verdana" w:cs="Arial"/>
          <w:bdr w:val="none" w:sz="0" w:space="0" w:color="auto" w:frame="1"/>
          <w:lang w:val="es-MX" w:eastAsia="es-CO"/>
        </w:rPr>
        <w:t>Cada uno de estos niveles jerárquicos tiene distintos dígitos, asociados a los componentes que cada uno cobija y que se combinan con los dígitos de los otros niveles, de donde surge un código de 8 dígitos asociado a un bien o servicio en particular. De esta manera, el segmento determina los dos primeros dígitos, la familia el tercer y cuarto, la clase el quinto y sexto, mientras que el producto los dígitos séptimo y octavo. Conforme a esto, los niveles jerárquicos van de lo general a lo particular, por lo que para determinar el código que corresponde a un bien o servicio, debe subsumirse este en cada uno de estos niveles partiendo del primero en adelante.</w:t>
      </w:r>
    </w:p>
    <w:p w14:paraId="09FB1604" w14:textId="77777777" w:rsidR="001520A7" w:rsidRPr="003A13B4" w:rsidRDefault="001520A7" w:rsidP="001520A7">
      <w:pPr>
        <w:shd w:val="clear" w:color="auto" w:fill="FFFFFF"/>
        <w:spacing w:after="120" w:line="276" w:lineRule="auto"/>
        <w:ind w:firstLine="709"/>
        <w:jc w:val="both"/>
        <w:textAlignment w:val="baseline"/>
        <w:rPr>
          <w:rFonts w:ascii="Verdana" w:hAnsi="Verdana" w:cs="Arial"/>
          <w:bdr w:val="none" w:sz="0" w:space="0" w:color="auto" w:frame="1"/>
        </w:rPr>
      </w:pPr>
      <w:r w:rsidRPr="000F1385">
        <w:rPr>
          <w:rFonts w:ascii="Verdana" w:eastAsia="Times New Roman" w:hAnsi="Verdana" w:cs="Arial"/>
          <w:bdr w:val="none" w:sz="0" w:space="0" w:color="auto" w:frame="1"/>
          <w:lang w:val="es-MX" w:eastAsia="es-CO"/>
        </w:rPr>
        <w:t xml:space="preserve">De acuerdo con esto, </w:t>
      </w:r>
      <w:r>
        <w:rPr>
          <w:rFonts w:ascii="Verdana" w:hAnsi="Verdana" w:cs="Arial"/>
          <w:bdr w:val="none" w:sz="0" w:space="0" w:color="auto" w:frame="1"/>
        </w:rPr>
        <w:t>c</w:t>
      </w:r>
      <w:r w:rsidRPr="00B15F81">
        <w:rPr>
          <w:rFonts w:ascii="Verdana" w:hAnsi="Verdana" w:cs="Arial"/>
          <w:bdr w:val="none" w:sz="0" w:space="0" w:color="auto" w:frame="1"/>
        </w:rPr>
        <w:t xml:space="preserve">ada bien o servicio se encuentra asociado a un código que resulta de la subsunción de sus características y condiciones dentro de los diferentes niveles del Clasificador de Bienes y Servicios. Dichos códigos constituyen el referente obligatorio que debe incluirse en el Registro Único de </w:t>
      </w:r>
      <w:r w:rsidRPr="00B15F81">
        <w:rPr>
          <w:rFonts w:ascii="Verdana" w:hAnsi="Verdana" w:cs="Arial"/>
          <w:bdr w:val="none" w:sz="0" w:space="0" w:color="auto" w:frame="1"/>
        </w:rPr>
        <w:lastRenderedPageBreak/>
        <w:t xml:space="preserve">Proponentes </w:t>
      </w:r>
      <w:r>
        <w:rPr>
          <w:rFonts w:ascii="Verdana" w:hAnsi="Verdana" w:cs="Arial"/>
          <w:bdr w:val="none" w:sz="0" w:space="0" w:color="auto" w:frame="1"/>
        </w:rPr>
        <w:t>-</w:t>
      </w:r>
      <w:r w:rsidRPr="00B15F81">
        <w:rPr>
          <w:rFonts w:ascii="Verdana" w:hAnsi="Verdana" w:cs="Arial"/>
          <w:bdr w:val="none" w:sz="0" w:space="0" w:color="auto" w:frame="1"/>
        </w:rPr>
        <w:t>RUP</w:t>
      </w:r>
      <w:r>
        <w:rPr>
          <w:rFonts w:ascii="Verdana" w:hAnsi="Verdana" w:cs="Arial"/>
          <w:bdr w:val="none" w:sz="0" w:space="0" w:color="auto" w:frame="1"/>
        </w:rPr>
        <w:t>-</w:t>
      </w:r>
      <w:r w:rsidRPr="00B15F81">
        <w:rPr>
          <w:rFonts w:ascii="Verdana" w:hAnsi="Verdana" w:cs="Arial"/>
          <w:bdr w:val="none" w:sz="0" w:space="0" w:color="auto" w:frame="1"/>
        </w:rPr>
        <w:t xml:space="preserve"> para efectos de acreditar la experiencia, y son igualmente los que las entidades estatales deben incorporar en los pliegos de condiciones al momento de describir el objeto contractual, particularmente en la adquisición de bienes y servicios de características técnicas uniformes y de común utilización.</w:t>
      </w:r>
      <w:r>
        <w:rPr>
          <w:rFonts w:ascii="Verdana" w:hAnsi="Verdana" w:cs="Arial"/>
          <w:bdr w:val="none" w:sz="0" w:space="0" w:color="auto" w:frame="1"/>
        </w:rPr>
        <w:t xml:space="preserve"> </w:t>
      </w:r>
      <w:r w:rsidRPr="00B15F81">
        <w:rPr>
          <w:rFonts w:ascii="Verdana" w:eastAsia="Times New Roman" w:hAnsi="Verdana" w:cs="Arial"/>
          <w:bdr w:val="none" w:sz="0" w:space="0" w:color="auto" w:frame="1"/>
          <w:lang w:eastAsia="es-CO"/>
        </w:rPr>
        <w:t>En este sentido, cuando se trata de la adquisición de productos o insumos médicos, resulta indispensable revisar con rigor la clasificación aplicable, de manera que los códigos reflejen adecuadamente las especificaciones técnicas y los parámetros de desempeño exigidos. Ello garantiza que la descripción del objeto contractual se ajuste a la normativa vigente, facilite la comparabilidad de las ofertas y asegure la transparencia y objetividad en los procesos de contratación pública.</w:t>
      </w:r>
    </w:p>
    <w:p w14:paraId="00885413" w14:textId="77777777" w:rsidR="001520A7" w:rsidRDefault="001520A7" w:rsidP="001520A7">
      <w:pPr>
        <w:shd w:val="clear" w:color="auto" w:fill="FFFFFF"/>
        <w:spacing w:after="120" w:line="276" w:lineRule="auto"/>
        <w:ind w:firstLine="709"/>
        <w:jc w:val="both"/>
        <w:textAlignment w:val="baseline"/>
        <w:rPr>
          <w:rFonts w:ascii="Verdana" w:eastAsia="Times New Roman" w:hAnsi="Verdana" w:cs="Arial"/>
          <w:u w:val="single"/>
          <w:bdr w:val="none" w:sz="0" w:space="0" w:color="auto" w:frame="1"/>
          <w:lang w:val="es-MX" w:eastAsia="es-CO"/>
        </w:rPr>
      </w:pPr>
      <w:r w:rsidRPr="000F1385">
        <w:rPr>
          <w:rFonts w:ascii="Verdana" w:eastAsia="Times New Roman" w:hAnsi="Verdana" w:cs="Arial"/>
          <w:bdr w:val="none" w:sz="0" w:space="0" w:color="auto" w:frame="1"/>
          <w:lang w:val="es-MX" w:eastAsia="es-CO"/>
        </w:rPr>
        <w:t xml:space="preserve">De otra parte, debe mencionarse que en virtud de los dispuesto en el artículo 2.2.1.2.5.2 del Decreto 1082 de 2015, esta Agencia expidió la “Guía para la codificación de bienes y servicios de acuerdo con el código estándar de productos y servicios de Naciones Unidas, V.14.080”. Este documento contiene una serie de instrucciones y nociones básicas </w:t>
      </w:r>
      <w:r w:rsidRPr="003B1D68">
        <w:rPr>
          <w:rFonts w:ascii="Verdana" w:eastAsia="Times New Roman" w:hAnsi="Verdana" w:cs="Arial"/>
          <w:bdr w:val="none" w:sz="0" w:space="0" w:color="auto" w:frame="1"/>
          <w:lang w:val="es-MX" w:eastAsia="es-CO"/>
        </w:rPr>
        <w:t xml:space="preserve">para </w:t>
      </w:r>
      <w:r w:rsidRPr="00F06778">
        <w:rPr>
          <w:rFonts w:ascii="Verdana" w:eastAsia="Times New Roman" w:hAnsi="Verdana" w:cs="Arial"/>
          <w:bdr w:val="none" w:sz="0" w:space="0" w:color="auto" w:frame="1"/>
          <w:lang w:val="es-MX" w:eastAsia="es-CO"/>
        </w:rPr>
        <w:t>el</w:t>
      </w:r>
      <w:r w:rsidRPr="003B1D68">
        <w:rPr>
          <w:rFonts w:ascii="Verdana" w:eastAsia="Times New Roman" w:hAnsi="Verdana" w:cs="Arial"/>
          <w:bdr w:val="none" w:sz="0" w:space="0" w:color="auto" w:frame="1"/>
          <w:lang w:val="es-MX" w:eastAsia="es-CO"/>
        </w:rPr>
        <w:t xml:space="preserve"> uso del Clasificador de Bienes y Servicios por parte de las entidades estatales </w:t>
      </w:r>
      <w:r w:rsidRPr="00F06778">
        <w:rPr>
          <w:rFonts w:ascii="Verdana" w:eastAsia="Times New Roman" w:hAnsi="Verdana" w:cs="Arial"/>
          <w:bdr w:val="none" w:sz="0" w:space="0" w:color="auto" w:frame="1"/>
          <w:lang w:val="es-MX" w:eastAsia="es-CO"/>
        </w:rPr>
        <w:t xml:space="preserve">en </w:t>
      </w:r>
      <w:r w:rsidRPr="003B1D68">
        <w:rPr>
          <w:rFonts w:ascii="Verdana" w:eastAsia="Times New Roman" w:hAnsi="Verdana" w:cs="Arial"/>
          <w:bdr w:val="none" w:sz="0" w:space="0" w:color="auto" w:frame="1"/>
          <w:lang w:val="es-MX" w:eastAsia="es-CO"/>
        </w:rPr>
        <w:t>sus procesos de contratación</w:t>
      </w:r>
      <w:r w:rsidRPr="000F1385">
        <w:rPr>
          <w:rFonts w:ascii="Verdana" w:eastAsia="Times New Roman" w:hAnsi="Verdana" w:cs="Arial"/>
          <w:bdr w:val="none" w:sz="0" w:space="0" w:color="auto" w:frame="1"/>
          <w:lang w:val="es-MX" w:eastAsia="es-CO"/>
        </w:rPr>
        <w:t xml:space="preserve">. Esta se encuentra disponible para consulta en: </w:t>
      </w:r>
      <w:hyperlink r:id="rId15" w:history="1">
        <w:r w:rsidRPr="000F1385">
          <w:rPr>
            <w:rFonts w:ascii="Verdana" w:eastAsia="Times New Roman" w:hAnsi="Verdana" w:cs="Arial"/>
            <w:color w:val="0000FF"/>
            <w:u w:val="single"/>
            <w:bdr w:val="none" w:sz="0" w:space="0" w:color="auto" w:frame="1"/>
            <w:lang w:val="es-MX" w:eastAsia="es-CO"/>
          </w:rPr>
          <w:t>https://www.colombiacompra.gov.co/archivos/manual/guia-para-la-codificacion-de-bienes-y-servicios</w:t>
        </w:r>
      </w:hyperlink>
      <w:r w:rsidRPr="000F1385">
        <w:rPr>
          <w:rFonts w:ascii="Verdana" w:eastAsia="Times New Roman" w:hAnsi="Verdana" w:cs="Arial"/>
          <w:bdr w:val="none" w:sz="0" w:space="0" w:color="auto" w:frame="1"/>
          <w:lang w:val="es-MX" w:eastAsia="es-CO"/>
        </w:rPr>
        <w:t xml:space="preserve">. Así mismo la Agencia Nacional de Contratación Pública – Colombia Compra Eficiente ha puesto a disposición de las entidades y la ciudadanía una herramienta web en la que se encuentran cada uno de los componentes de los distintos niveles de los que consta el clasificador, traducidos al español. Esta facilita la conformación de los correspondientes códigos, y puede consultarse en la página web: </w:t>
      </w:r>
      <w:hyperlink r:id="rId16" w:history="1">
        <w:r w:rsidRPr="000F1385">
          <w:rPr>
            <w:rFonts w:ascii="Verdana" w:eastAsia="Times New Roman" w:hAnsi="Verdana" w:cs="Arial"/>
            <w:color w:val="0000FF"/>
            <w:u w:val="single"/>
            <w:bdr w:val="none" w:sz="0" w:space="0" w:color="auto" w:frame="1"/>
            <w:lang w:val="es-MX" w:eastAsia="es-CO"/>
          </w:rPr>
          <w:t>https://www.colombiacompra.gov.co/clasificador-de-bienes-y-Servicios</w:t>
        </w:r>
      </w:hyperlink>
      <w:r>
        <w:rPr>
          <w:rFonts w:ascii="Verdana" w:eastAsia="Times New Roman" w:hAnsi="Verdana" w:cs="Arial"/>
          <w:u w:val="single"/>
          <w:bdr w:val="none" w:sz="0" w:space="0" w:color="auto" w:frame="1"/>
          <w:lang w:val="es-MX" w:eastAsia="es-CO"/>
        </w:rPr>
        <w:t>.</w:t>
      </w:r>
    </w:p>
    <w:p w14:paraId="090E0E5C" w14:textId="77777777" w:rsidR="001520A7" w:rsidRDefault="001520A7" w:rsidP="001520A7">
      <w:pPr>
        <w:spacing w:after="0" w:line="276" w:lineRule="auto"/>
        <w:ind w:firstLine="709"/>
        <w:jc w:val="both"/>
        <w:rPr>
          <w:rFonts w:ascii="Verdana" w:eastAsia="Calibri" w:hAnsi="Verdana" w:cs="Arial"/>
          <w:bCs/>
        </w:rPr>
      </w:pPr>
      <w:r>
        <w:rPr>
          <w:rFonts w:ascii="Verdana" w:eastAsia="Calibri" w:hAnsi="Verdana" w:cs="Arial"/>
          <w:bCs/>
        </w:rPr>
        <w:t>En todo caso, se recuerda a las entidades públicas que</w:t>
      </w:r>
      <w:r w:rsidRPr="006A5798">
        <w:rPr>
          <w:rFonts w:ascii="Verdana" w:eastAsia="Calibri" w:hAnsi="Verdana" w:cs="Arial"/>
          <w:bCs/>
        </w:rPr>
        <w:t xml:space="preserve"> el ordenamiento impone una carga de motivación en el ejercicio de este tipo de facultades, pues –teniendo en cuenta la remisión del artículo 77 de la Ley 80 de 1993 a las normas que rigen los procedimientos y actuaciones en la función administrativa– el artículo 44 de la Ley 1437 de 2011 dispone: “En la medida en que el contenido de una decisión de carácter general o particular sea discrecional, debe ser adecuada a los fines de la norma que la autoriza, y proporcional a los hechos que le sirven de causa”. Así las cosas, el cumplimiento de las exigencias derivadas del principio de proporcionalidad es una condición ineludible para la </w:t>
      </w:r>
      <w:r w:rsidRPr="006A5798">
        <w:rPr>
          <w:rFonts w:ascii="Verdana" w:eastAsia="Calibri" w:hAnsi="Verdana" w:cs="Arial"/>
          <w:bCs/>
        </w:rPr>
        <w:lastRenderedPageBreak/>
        <w:t xml:space="preserve">admisibilidad de cualquier criterio de adjudicación del contrato, así como para su acreditación dentro de un proceso de acreditación. </w:t>
      </w:r>
    </w:p>
    <w:bookmarkEnd w:id="1"/>
    <w:bookmarkEnd w:id="2"/>
    <w:p w14:paraId="7B498E66" w14:textId="77777777" w:rsidR="001520A7" w:rsidRDefault="001520A7" w:rsidP="001520A7">
      <w:pPr>
        <w:spacing w:after="0" w:line="276" w:lineRule="auto"/>
        <w:jc w:val="both"/>
        <w:rPr>
          <w:rFonts w:ascii="Verdana" w:eastAsia="Calibri" w:hAnsi="Verdana" w:cs="Arial"/>
          <w:lang w:val="es-ES" w:eastAsia="es-MX"/>
        </w:rPr>
      </w:pPr>
    </w:p>
    <w:p w14:paraId="4FE8E67D" w14:textId="77777777" w:rsidR="001520A7" w:rsidRPr="009037F6" w:rsidRDefault="001520A7" w:rsidP="001520A7">
      <w:pPr>
        <w:spacing w:after="120" w:line="276" w:lineRule="auto"/>
        <w:jc w:val="both"/>
        <w:rPr>
          <w:rFonts w:ascii="Verdana" w:eastAsia="Calibri" w:hAnsi="Verdana" w:cs="Arial"/>
          <w:color w:val="000000" w:themeColor="text1"/>
          <w:lang w:val="es-ES"/>
        </w:rPr>
      </w:pPr>
      <w:proofErr w:type="spellStart"/>
      <w:r>
        <w:rPr>
          <w:rFonts w:ascii="Verdana" w:eastAsia="Calibri" w:hAnsi="Verdana" w:cs="Arial"/>
          <w:lang w:val="es-ES" w:eastAsia="es-MX"/>
        </w:rPr>
        <w:t>iv</w:t>
      </w:r>
      <w:proofErr w:type="spellEnd"/>
      <w:r>
        <w:rPr>
          <w:rFonts w:ascii="Verdana" w:eastAsia="Calibri" w:hAnsi="Verdana" w:cs="Arial"/>
          <w:lang w:val="es-ES" w:eastAsia="es-MX"/>
        </w:rPr>
        <w:t xml:space="preserve">. </w:t>
      </w:r>
      <w:r w:rsidRPr="009037F6">
        <w:rPr>
          <w:rFonts w:ascii="Verdana" w:eastAsia="Calibri" w:hAnsi="Verdana" w:cs="Arial"/>
          <w:color w:val="000000" w:themeColor="text1"/>
          <w:lang w:val="es-ES"/>
        </w:rPr>
        <w:t xml:space="preserve">Al </w:t>
      </w:r>
      <w:r w:rsidRPr="009037F6">
        <w:rPr>
          <w:rFonts w:ascii="Verdana" w:hAnsi="Verdana" w:cs="Arial"/>
          <w:lang w:val="es-ES_tradnl" w:eastAsia="es-ES"/>
        </w:rPr>
        <w:t xml:space="preserve">margen de la explicación precedente debe advertirse que el análisis requerido para resolver problemas específicos en torno a los </w:t>
      </w:r>
      <w:r>
        <w:rPr>
          <w:rFonts w:ascii="Verdana" w:hAnsi="Verdana" w:cs="Arial"/>
          <w:lang w:val="es-ES_tradnl" w:eastAsia="es-ES"/>
        </w:rPr>
        <w:t xml:space="preserve">Bienes y Servicios de Características Técnicas Uniformes y de Común Utilización </w:t>
      </w:r>
      <w:r w:rsidRPr="009037F6">
        <w:rPr>
          <w:rFonts w:ascii="Verdana" w:hAnsi="Verdana" w:cs="Arial"/>
          <w:lang w:val="es-ES_tradnl" w:eastAsia="es-ES"/>
        </w:rPr>
        <w:t>debe realizarse por quienes tengan interés en ello, de acuerdo con lo explicado la aclaración preliminar del presente oficio. De esta manera, las afirmaciones aquí realizadas no pueden ser interpretadas como juicios de valor sobre circunstancias concretas relacionadas con los hechos que motivan la consulta. Por lo anterior, previo concepto de sus asesores, la solución de situaciones particulares corresponde a los interesados adoptar la decisión correspondiente y, en caso de conflicto, a las autoridades judiciales, fiscales y disciplinarias.</w:t>
      </w:r>
    </w:p>
    <w:p w14:paraId="34DF1C35" w14:textId="77777777" w:rsidR="001520A7" w:rsidRPr="009037F6" w:rsidRDefault="001520A7" w:rsidP="001520A7">
      <w:pPr>
        <w:spacing w:after="0" w:line="276" w:lineRule="auto"/>
        <w:ind w:firstLine="709"/>
        <w:jc w:val="both"/>
        <w:rPr>
          <w:rFonts w:ascii="Verdana" w:hAnsi="Verdana" w:cs="Arial"/>
          <w:lang w:val="es-ES" w:eastAsia="es-ES"/>
        </w:rPr>
      </w:pPr>
      <w:r w:rsidRPr="009037F6">
        <w:rPr>
          <w:rFonts w:ascii="Verdana" w:hAnsi="Verdana" w:cs="Arial"/>
          <w:lang w:val="es-ES" w:eastAsia="es-ES"/>
        </w:rPr>
        <w:t>Dentro de este marco, la entidad pública definirá en cada caso concreto lo relacionado con el tema objeto de consulta. Al tratarse de un análisis que debe realizarse en el procedimiento contractual específico, la Agencia no puede definir un criterio universal y absoluto por vía consultiva, sino que brinda elementos de carácter general para que los partícipes del sistema de compras y contratación pública adopten la decisión que corresponda, lo cual es acorde con el principio de juridicidad. Así, cada entidad definirá la forma de adelantar su gestión contractual, sin que sea atribución de Colombia Compra Eficiente validar sus actuaciones.</w:t>
      </w:r>
    </w:p>
    <w:p w14:paraId="6E49EC13" w14:textId="77777777" w:rsidR="001520A7" w:rsidRPr="009037F6" w:rsidRDefault="001520A7" w:rsidP="001520A7">
      <w:pPr>
        <w:spacing w:after="0" w:line="276" w:lineRule="auto"/>
        <w:jc w:val="both"/>
        <w:rPr>
          <w:rFonts w:ascii="Verdana" w:eastAsia="Calibri" w:hAnsi="Verdana" w:cs="Arial"/>
          <w:lang w:val="es-ES" w:eastAsia="es-MX"/>
        </w:rPr>
      </w:pPr>
    </w:p>
    <w:p w14:paraId="24F29867" w14:textId="77777777" w:rsidR="001520A7" w:rsidRPr="009037F6" w:rsidRDefault="001520A7" w:rsidP="001520A7">
      <w:pPr>
        <w:numPr>
          <w:ilvl w:val="0"/>
          <w:numId w:val="16"/>
        </w:numPr>
        <w:tabs>
          <w:tab w:val="left" w:pos="142"/>
          <w:tab w:val="left" w:pos="284"/>
        </w:tabs>
        <w:spacing w:after="0" w:line="276" w:lineRule="auto"/>
        <w:contextualSpacing/>
        <w:jc w:val="both"/>
        <w:rPr>
          <w:rFonts w:ascii="Verdana" w:eastAsia="Century Gothic" w:hAnsi="Verdana" w:cs="Century Gothic"/>
          <w:b/>
          <w:bCs/>
          <w:lang w:val="es-ES"/>
        </w:rPr>
      </w:pPr>
      <w:r w:rsidRPr="009037F6">
        <w:rPr>
          <w:rFonts w:ascii="Verdana" w:eastAsia="Century Gothic" w:hAnsi="Verdana" w:cs="Century Gothic"/>
          <w:b/>
          <w:bCs/>
          <w:lang w:val="es-ES"/>
        </w:rPr>
        <w:t>Referencias normativas</w:t>
      </w:r>
      <w:r>
        <w:rPr>
          <w:rFonts w:ascii="Verdana" w:eastAsia="Century Gothic" w:hAnsi="Verdana" w:cs="Century Gothic"/>
          <w:b/>
          <w:bCs/>
          <w:lang w:val="es-ES"/>
        </w:rPr>
        <w:t>:</w:t>
      </w:r>
    </w:p>
    <w:p w14:paraId="09CD78DE" w14:textId="77777777" w:rsidR="001520A7" w:rsidRPr="009037F6" w:rsidRDefault="001520A7" w:rsidP="001520A7">
      <w:pPr>
        <w:widowControl w:val="0"/>
        <w:autoSpaceDE w:val="0"/>
        <w:autoSpaceDN w:val="0"/>
        <w:spacing w:after="0" w:line="276" w:lineRule="auto"/>
        <w:jc w:val="both"/>
        <w:rPr>
          <w:rFonts w:ascii="Verdana" w:hAnsi="Verdana" w:cs="Arial"/>
        </w:rPr>
      </w:pPr>
    </w:p>
    <w:tbl>
      <w:tblPr>
        <w:tblStyle w:val="Tablaconcuadrcula11"/>
        <w:tblW w:w="8647"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647"/>
      </w:tblGrid>
      <w:tr w:rsidR="001520A7" w:rsidRPr="009037F6" w14:paraId="00BC8968" w14:textId="77777777" w:rsidTr="00312D70">
        <w:trPr>
          <w:trHeight w:val="487"/>
          <w:jc w:val="center"/>
        </w:trPr>
        <w:tc>
          <w:tcPr>
            <w:tcW w:w="8647" w:type="dxa"/>
          </w:tcPr>
          <w:p w14:paraId="2AA2A122" w14:textId="77777777" w:rsidR="001520A7" w:rsidRPr="00DF2293" w:rsidRDefault="001520A7" w:rsidP="00312D70">
            <w:pPr>
              <w:widowControl w:val="0"/>
              <w:autoSpaceDE w:val="0"/>
              <w:autoSpaceDN w:val="0"/>
              <w:spacing w:before="120" w:after="120" w:line="276" w:lineRule="auto"/>
              <w:ind w:left="357"/>
              <w:jc w:val="both"/>
              <w:rPr>
                <w:rFonts w:ascii="Verdana" w:eastAsia="Arial MT" w:hAnsi="Verdana" w:cs="Arial"/>
                <w:lang w:val="es-MX" w:eastAsia="es-ES" w:bidi="es-ES"/>
              </w:rPr>
            </w:pPr>
            <w:r w:rsidRPr="00C1588B">
              <w:rPr>
                <w:rFonts w:ascii="Verdana" w:eastAsia="Arial MT" w:hAnsi="Verdana" w:cs="Arial"/>
                <w:lang w:val="es-MX" w:eastAsia="es-ES" w:bidi="es-ES"/>
              </w:rPr>
              <w:t xml:space="preserve">• </w:t>
            </w:r>
            <w:r w:rsidRPr="00DF2293">
              <w:rPr>
                <w:rFonts w:ascii="Verdana" w:eastAsia="Arial MT" w:hAnsi="Verdana" w:cs="Arial"/>
                <w:lang w:val="es-MX" w:eastAsia="es-ES" w:bidi="es-ES"/>
              </w:rPr>
              <w:t>Ley 80 de 1993, artículo 77.</w:t>
            </w:r>
          </w:p>
          <w:p w14:paraId="3C0C6FF1" w14:textId="77777777" w:rsidR="001520A7" w:rsidRPr="00DF2293" w:rsidRDefault="001520A7" w:rsidP="00312D70">
            <w:pPr>
              <w:widowControl w:val="0"/>
              <w:autoSpaceDE w:val="0"/>
              <w:autoSpaceDN w:val="0"/>
              <w:spacing w:before="120" w:after="120" w:line="276" w:lineRule="auto"/>
              <w:ind w:left="357"/>
              <w:jc w:val="both"/>
              <w:rPr>
                <w:rFonts w:ascii="Verdana" w:eastAsia="Arial MT" w:hAnsi="Verdana" w:cs="Arial"/>
                <w:lang w:val="es-MX" w:eastAsia="es-ES" w:bidi="es-ES"/>
              </w:rPr>
            </w:pPr>
            <w:r w:rsidRPr="00DF2293">
              <w:rPr>
                <w:rFonts w:ascii="Verdana" w:eastAsia="Arial MT" w:hAnsi="Verdana" w:cs="Arial"/>
                <w:lang w:val="es-MX" w:eastAsia="es-ES" w:bidi="es-ES"/>
              </w:rPr>
              <w:t>•</w:t>
            </w:r>
            <w:r w:rsidRPr="00DF2293">
              <w:rPr>
                <w:rFonts w:ascii="Verdana" w:eastAsia="Arial MT" w:hAnsi="Verdana" w:cs="Arial"/>
                <w:lang w:val="es-MX" w:eastAsia="es-ES" w:bidi="es-ES"/>
              </w:rPr>
              <w:tab/>
              <w:t xml:space="preserve">Ley 1150 de 2007, artículos 2 y 6. </w:t>
            </w:r>
          </w:p>
          <w:p w14:paraId="442F3B2E" w14:textId="77777777" w:rsidR="001520A7" w:rsidRPr="00DF2293" w:rsidRDefault="001520A7" w:rsidP="00312D70">
            <w:pPr>
              <w:widowControl w:val="0"/>
              <w:autoSpaceDE w:val="0"/>
              <w:autoSpaceDN w:val="0"/>
              <w:spacing w:before="120" w:after="120" w:line="276" w:lineRule="auto"/>
              <w:ind w:left="357"/>
              <w:jc w:val="both"/>
              <w:rPr>
                <w:rFonts w:ascii="Verdana" w:eastAsia="Arial MT" w:hAnsi="Verdana" w:cs="Arial"/>
                <w:lang w:val="es-MX" w:eastAsia="es-ES" w:bidi="es-ES"/>
              </w:rPr>
            </w:pPr>
            <w:r w:rsidRPr="00DF2293">
              <w:rPr>
                <w:rFonts w:ascii="Verdana" w:eastAsia="Arial MT" w:hAnsi="Verdana" w:cs="Arial"/>
                <w:lang w:val="es-MX" w:eastAsia="es-ES" w:bidi="es-ES"/>
              </w:rPr>
              <w:t>•</w:t>
            </w:r>
            <w:r w:rsidRPr="00DF2293">
              <w:rPr>
                <w:rFonts w:ascii="Verdana" w:eastAsia="Arial MT" w:hAnsi="Verdana" w:cs="Arial"/>
                <w:lang w:val="es-MX" w:eastAsia="es-ES" w:bidi="es-ES"/>
              </w:rPr>
              <w:tab/>
              <w:t xml:space="preserve">Ley 1437 de 2011, artículo 44. </w:t>
            </w:r>
          </w:p>
          <w:p w14:paraId="62FE2A40" w14:textId="77777777" w:rsidR="001520A7" w:rsidRPr="00DF2293" w:rsidRDefault="001520A7" w:rsidP="00312D70">
            <w:pPr>
              <w:widowControl w:val="0"/>
              <w:numPr>
                <w:ilvl w:val="0"/>
                <w:numId w:val="17"/>
              </w:numPr>
              <w:autoSpaceDE w:val="0"/>
              <w:autoSpaceDN w:val="0"/>
              <w:spacing w:before="120" w:after="120" w:line="276" w:lineRule="auto"/>
              <w:jc w:val="both"/>
              <w:rPr>
                <w:rFonts w:ascii="Verdana" w:eastAsia="Arial MT" w:hAnsi="Verdana" w:cs="Arial"/>
                <w:lang w:val="es-ES" w:eastAsia="es-ES" w:bidi="es-ES"/>
              </w:rPr>
            </w:pPr>
            <w:r w:rsidRPr="00DF2293">
              <w:rPr>
                <w:rFonts w:ascii="Verdana" w:eastAsia="Arial MT" w:hAnsi="Verdana" w:cs="Arial"/>
                <w:lang w:val="es-ES" w:eastAsia="es-ES" w:bidi="es-ES"/>
              </w:rPr>
              <w:t>Ley 1150 de 2007, artículo 2.</w:t>
            </w:r>
          </w:p>
          <w:p w14:paraId="4BA7D196" w14:textId="77777777" w:rsidR="001520A7" w:rsidRPr="00DF2293" w:rsidRDefault="001520A7" w:rsidP="00312D70">
            <w:pPr>
              <w:widowControl w:val="0"/>
              <w:numPr>
                <w:ilvl w:val="0"/>
                <w:numId w:val="17"/>
              </w:numPr>
              <w:autoSpaceDE w:val="0"/>
              <w:autoSpaceDN w:val="0"/>
              <w:spacing w:before="120" w:after="120" w:line="276" w:lineRule="auto"/>
              <w:jc w:val="both"/>
              <w:rPr>
                <w:rFonts w:ascii="Verdana" w:eastAsia="Arial MT" w:hAnsi="Verdana" w:cs="Arial"/>
                <w:bCs/>
                <w:iCs/>
                <w:lang w:val="es-MX" w:eastAsia="es-ES" w:bidi="es-ES"/>
              </w:rPr>
            </w:pPr>
            <w:r w:rsidRPr="00DF2293">
              <w:rPr>
                <w:rFonts w:ascii="Verdana" w:eastAsia="Arial MT" w:hAnsi="Verdana" w:cs="Arial"/>
                <w:lang w:val="es-ES" w:eastAsia="es-ES" w:bidi="es-ES"/>
              </w:rPr>
              <w:t xml:space="preserve">Decreto 1082 de 2015, </w:t>
            </w:r>
            <w:r w:rsidRPr="00F06778">
              <w:rPr>
                <w:rFonts w:ascii="Verdana" w:eastAsia="Arial MT" w:hAnsi="Verdana" w:cs="Arial"/>
                <w:lang w:val="es-ES" w:eastAsia="es-ES" w:bidi="es-ES"/>
              </w:rPr>
              <w:t>artículos 2.2.1.1.1.3.1</w:t>
            </w:r>
            <w:r w:rsidRPr="00DF2293">
              <w:rPr>
                <w:rFonts w:ascii="Verdana" w:eastAsia="Arial MT" w:hAnsi="Verdana" w:cs="Arial"/>
                <w:lang w:val="es-ES" w:eastAsia="es-ES" w:bidi="es-ES"/>
              </w:rPr>
              <w:t xml:space="preserve">, </w:t>
            </w:r>
            <w:r w:rsidRPr="00DF2293">
              <w:rPr>
                <w:rFonts w:ascii="Verdana" w:eastAsia="Arial MT" w:hAnsi="Verdana" w:cs="Arial"/>
                <w:bCs/>
                <w:lang w:eastAsia="es-ES" w:bidi="es-ES"/>
              </w:rPr>
              <w:t xml:space="preserve">2.2.1.2.1.2.1., </w:t>
            </w:r>
            <w:r w:rsidRPr="00DF2293">
              <w:rPr>
                <w:rFonts w:ascii="Verdana" w:eastAsia="Arial MT" w:hAnsi="Verdana" w:cs="Arial"/>
                <w:bCs/>
                <w:iCs/>
                <w:lang w:eastAsia="es-ES" w:bidi="es-ES"/>
              </w:rPr>
              <w:t>2.2.1.2.1.2.2., 2.2.1.2.1.2.7., 2.2.1.2.1.2.11</w:t>
            </w:r>
            <w:r w:rsidRPr="00DF2293">
              <w:rPr>
                <w:rFonts w:ascii="Verdana" w:eastAsia="Arial MT" w:hAnsi="Verdana" w:cs="Arial"/>
                <w:bCs/>
                <w:iCs/>
                <w:lang w:val="es-MX" w:eastAsia="es-ES" w:bidi="es-ES"/>
              </w:rPr>
              <w:t>, 2.2.1.1.1.5.2, 2.2.1.1.1.5.3., 2.2.1.1.1.5.6., 2.2.1.1.2.1.3., 2.2.1.1.1.4.1.</w:t>
            </w:r>
            <w:r w:rsidRPr="00DF2293">
              <w:rPr>
                <w:rFonts w:ascii="Verdana" w:eastAsia="Calibri" w:hAnsi="Verdana" w:cs="Times New Roman"/>
              </w:rPr>
              <w:t xml:space="preserve"> </w:t>
            </w:r>
          </w:p>
          <w:p w14:paraId="00203665" w14:textId="77777777" w:rsidR="001520A7" w:rsidRPr="00DF2293" w:rsidRDefault="001520A7" w:rsidP="00312D70">
            <w:pPr>
              <w:widowControl w:val="0"/>
              <w:numPr>
                <w:ilvl w:val="0"/>
                <w:numId w:val="17"/>
              </w:numPr>
              <w:autoSpaceDE w:val="0"/>
              <w:autoSpaceDN w:val="0"/>
              <w:spacing w:before="120" w:after="120" w:line="276" w:lineRule="auto"/>
              <w:jc w:val="both"/>
            </w:pPr>
            <w:r w:rsidRPr="00F06778">
              <w:rPr>
                <w:rFonts w:ascii="Verdana" w:eastAsia="Arial MT" w:hAnsi="Verdana" w:cs="Arial"/>
                <w:lang w:val="es-ES" w:eastAsia="es-ES" w:bidi="es-ES"/>
              </w:rPr>
              <w:t xml:space="preserve">Decreto 4725 de 2005, régimen de registros sanitarios, permiso de </w:t>
            </w:r>
            <w:r w:rsidRPr="00F06778">
              <w:rPr>
                <w:rFonts w:ascii="Verdana" w:eastAsia="Arial MT" w:hAnsi="Verdana" w:cs="Arial"/>
                <w:lang w:val="es-ES" w:eastAsia="es-ES" w:bidi="es-ES"/>
              </w:rPr>
              <w:lastRenderedPageBreak/>
              <w:t>comercialización y vigilancia sanitaria de los dispositivos médicos para uso humano.</w:t>
            </w:r>
          </w:p>
          <w:p w14:paraId="6ED37E6E" w14:textId="77777777" w:rsidR="001520A7" w:rsidRPr="00DF2293" w:rsidRDefault="001520A7" w:rsidP="00312D70">
            <w:pPr>
              <w:widowControl w:val="0"/>
              <w:numPr>
                <w:ilvl w:val="0"/>
                <w:numId w:val="17"/>
              </w:numPr>
              <w:autoSpaceDE w:val="0"/>
              <w:autoSpaceDN w:val="0"/>
              <w:spacing w:before="120" w:after="120" w:line="276" w:lineRule="auto"/>
              <w:jc w:val="both"/>
              <w:rPr>
                <w:rFonts w:ascii="Verdana" w:eastAsia="Arial MT" w:hAnsi="Verdana" w:cs="Arial"/>
                <w:lang w:val="es-ES_tradnl" w:eastAsia="es-ES" w:bidi="es-ES"/>
              </w:rPr>
            </w:pPr>
            <w:r w:rsidRPr="00DF2293">
              <w:rPr>
                <w:rFonts w:ascii="Verdana" w:eastAsia="Arial MT" w:hAnsi="Verdana" w:cs="Arial"/>
                <w:lang w:val="es-ES" w:eastAsia="es-ES" w:bidi="es-ES"/>
              </w:rPr>
              <w:t>Código Civil, artículos 28 y 29.</w:t>
            </w:r>
          </w:p>
          <w:p w14:paraId="42A63594" w14:textId="77777777" w:rsidR="001520A7" w:rsidRPr="00DF2293" w:rsidRDefault="001520A7" w:rsidP="00312D70">
            <w:pPr>
              <w:widowControl w:val="0"/>
              <w:numPr>
                <w:ilvl w:val="0"/>
                <w:numId w:val="17"/>
              </w:numPr>
              <w:autoSpaceDE w:val="0"/>
              <w:autoSpaceDN w:val="0"/>
              <w:spacing w:before="120" w:after="120" w:line="276" w:lineRule="auto"/>
              <w:jc w:val="both"/>
              <w:rPr>
                <w:rFonts w:ascii="Verdana" w:eastAsia="Arial MT" w:hAnsi="Verdana" w:cs="Arial"/>
                <w:lang w:val="es-ES_tradnl" w:eastAsia="es-ES" w:bidi="es-ES"/>
              </w:rPr>
            </w:pPr>
            <w:r w:rsidRPr="00DF2293">
              <w:rPr>
                <w:rFonts w:ascii="Verdana" w:eastAsia="Arial MT" w:hAnsi="Verdana" w:cs="Arial"/>
                <w:lang w:val="es-MX" w:eastAsia="es-ES" w:bidi="es-ES"/>
              </w:rPr>
              <w:t xml:space="preserve">Guía para la codificación de bienes y servicios de acuerdo con el código estándar de productos y servicios de Naciones Unidas, V.14.080. Disponible en línea: </w:t>
            </w:r>
            <w:hyperlink r:id="rId17" w:history="1">
              <w:r w:rsidRPr="00DF2293">
                <w:rPr>
                  <w:rStyle w:val="Hipervnculo"/>
                  <w:rFonts w:ascii="Verdana" w:eastAsia="Arial MT" w:hAnsi="Verdana" w:cs="Arial"/>
                  <w:lang w:val="es-MX" w:eastAsia="es-ES" w:bidi="es-ES"/>
                </w:rPr>
                <w:t>https://www.colombiacompra.gov.co/archivos/manual/guia-para-la-codificacion-de-bienes-y-servicios</w:t>
              </w:r>
            </w:hyperlink>
            <w:r w:rsidRPr="00DF2293">
              <w:rPr>
                <w:rFonts w:ascii="Verdana" w:eastAsia="Arial MT" w:hAnsi="Verdana" w:cs="Arial"/>
                <w:lang w:val="es-MX" w:eastAsia="es-ES" w:bidi="es-ES"/>
              </w:rPr>
              <w:t xml:space="preserve">. </w:t>
            </w:r>
          </w:p>
          <w:p w14:paraId="7D623B1D" w14:textId="77777777" w:rsidR="001520A7" w:rsidRPr="00DF2293" w:rsidRDefault="001520A7" w:rsidP="00312D70">
            <w:pPr>
              <w:widowControl w:val="0"/>
              <w:numPr>
                <w:ilvl w:val="0"/>
                <w:numId w:val="17"/>
              </w:numPr>
              <w:autoSpaceDE w:val="0"/>
              <w:autoSpaceDN w:val="0"/>
              <w:spacing w:before="120" w:after="120" w:line="276" w:lineRule="auto"/>
              <w:jc w:val="both"/>
              <w:rPr>
                <w:rFonts w:ascii="Verdana" w:eastAsia="Arial MT" w:hAnsi="Verdana" w:cs="Arial"/>
                <w:lang w:val="es-ES_tradnl" w:eastAsia="es-ES" w:bidi="es-ES"/>
              </w:rPr>
            </w:pPr>
            <w:r w:rsidRPr="00DF2293">
              <w:rPr>
                <w:rFonts w:ascii="Verdana" w:eastAsia="Arial MT" w:hAnsi="Verdana" w:cs="Arial"/>
                <w:lang w:val="es-MX" w:eastAsia="es-ES" w:bidi="es-ES"/>
              </w:rPr>
              <w:t xml:space="preserve">Manual para determinar y verificar requisitos habilitantes en los procesos de contratación, disponible en el siguiente </w:t>
            </w:r>
            <w:proofErr w:type="gramStart"/>
            <w:r w:rsidRPr="00DF2293">
              <w:rPr>
                <w:rFonts w:ascii="Verdana" w:eastAsia="Arial MT" w:hAnsi="Verdana" w:cs="Arial"/>
                <w:lang w:val="es-MX" w:eastAsia="es-ES" w:bidi="es-ES"/>
              </w:rPr>
              <w:t>link</w:t>
            </w:r>
            <w:proofErr w:type="gramEnd"/>
            <w:r w:rsidRPr="00DF2293">
              <w:rPr>
                <w:rFonts w:ascii="Verdana" w:eastAsia="Arial MT" w:hAnsi="Verdana" w:cs="Arial"/>
                <w:lang w:val="es-MX" w:eastAsia="es-ES" w:bidi="es-ES"/>
              </w:rPr>
              <w:t>:</w:t>
            </w:r>
            <w:r w:rsidRPr="00DF2293">
              <w:rPr>
                <w:rFonts w:ascii="Verdana" w:eastAsia="Arial MT" w:hAnsi="Verdana" w:cs="Arial"/>
                <w:lang w:val="es-MX" w:eastAsia="es-ES" w:bidi="es-ES"/>
              </w:rPr>
              <w:tab/>
              <w:t xml:space="preserve"> </w:t>
            </w:r>
            <w:hyperlink r:id="rId18" w:history="1">
              <w:r w:rsidRPr="00DF2293">
                <w:rPr>
                  <w:rStyle w:val="Hipervnculo"/>
                  <w:rFonts w:ascii="Verdana" w:eastAsia="Arial MT" w:hAnsi="Verdana" w:cs="Arial"/>
                  <w:lang w:val="es-MX" w:eastAsia="es-ES" w:bidi="es-ES"/>
                </w:rPr>
                <w:t>https://www.colombiacompra.gov.co/sites/cce_public/files/cce_documents/cce-eicp-ma-04._manual_requisitos_habilitantes_v3_29-09-2023.pdf</w:t>
              </w:r>
            </w:hyperlink>
            <w:r w:rsidRPr="00DF2293">
              <w:rPr>
                <w:rFonts w:ascii="Verdana" w:eastAsia="Arial MT" w:hAnsi="Verdana" w:cs="Arial"/>
                <w:lang w:val="es-MX" w:eastAsia="es-ES" w:bidi="es-ES"/>
              </w:rPr>
              <w:t xml:space="preserve"> </w:t>
            </w:r>
          </w:p>
          <w:p w14:paraId="3C82CB42" w14:textId="77777777" w:rsidR="001520A7" w:rsidRPr="00EF12EC" w:rsidRDefault="001520A7" w:rsidP="00312D70">
            <w:pPr>
              <w:widowControl w:val="0"/>
              <w:numPr>
                <w:ilvl w:val="0"/>
                <w:numId w:val="17"/>
              </w:numPr>
              <w:autoSpaceDE w:val="0"/>
              <w:autoSpaceDN w:val="0"/>
              <w:spacing w:before="120" w:after="120" w:line="276" w:lineRule="auto"/>
              <w:jc w:val="both"/>
              <w:rPr>
                <w:rFonts w:ascii="Verdana" w:eastAsia="Arial MT" w:hAnsi="Verdana" w:cs="Arial"/>
                <w:lang w:val="es-ES_tradnl" w:eastAsia="es-ES" w:bidi="es-ES"/>
              </w:rPr>
            </w:pPr>
            <w:r w:rsidRPr="00DF2293">
              <w:rPr>
                <w:rFonts w:ascii="Verdana" w:eastAsia="Arial MT" w:hAnsi="Verdana" w:cs="Arial"/>
                <w:lang w:val="es-MX" w:eastAsia="es-ES" w:bidi="es-ES"/>
              </w:rPr>
              <w:t xml:space="preserve">Circular Externa Única. </w:t>
            </w:r>
            <w:hyperlink r:id="rId19" w:history="1">
              <w:r w:rsidRPr="00DF2293">
                <w:rPr>
                  <w:rStyle w:val="Hipervnculo"/>
                  <w:rFonts w:ascii="Verdana" w:eastAsia="Arial MT" w:hAnsi="Verdana" w:cs="Arial"/>
                  <w:lang w:val="es-MX" w:eastAsia="es-ES" w:bidi="es-ES"/>
                </w:rPr>
                <w:t>https://www.colombiacompra.gov.co/normativa-y-relatoria/circular-unica-externa</w:t>
              </w:r>
            </w:hyperlink>
            <w:r w:rsidRPr="00DF2293">
              <w:rPr>
                <w:rFonts w:ascii="Verdana" w:eastAsia="Arial MT" w:hAnsi="Verdana" w:cs="Arial"/>
                <w:lang w:val="es-MX" w:eastAsia="es-ES" w:bidi="es-ES"/>
              </w:rPr>
              <w:t xml:space="preserve">   </w:t>
            </w:r>
          </w:p>
        </w:tc>
      </w:tr>
    </w:tbl>
    <w:p w14:paraId="5BF019DF" w14:textId="77777777" w:rsidR="001520A7" w:rsidRPr="009037F6" w:rsidRDefault="001520A7" w:rsidP="001520A7">
      <w:pPr>
        <w:widowControl w:val="0"/>
        <w:autoSpaceDE w:val="0"/>
        <w:autoSpaceDN w:val="0"/>
        <w:spacing w:after="0" w:line="240" w:lineRule="auto"/>
        <w:jc w:val="both"/>
        <w:rPr>
          <w:rFonts w:ascii="Verdana" w:hAnsi="Verdana" w:cs="Arial"/>
        </w:rPr>
      </w:pPr>
    </w:p>
    <w:p w14:paraId="251D579B" w14:textId="77777777" w:rsidR="001520A7" w:rsidRPr="009037F6" w:rsidRDefault="001520A7" w:rsidP="001520A7">
      <w:pPr>
        <w:numPr>
          <w:ilvl w:val="0"/>
          <w:numId w:val="16"/>
        </w:numPr>
        <w:tabs>
          <w:tab w:val="left" w:pos="142"/>
          <w:tab w:val="left" w:pos="284"/>
        </w:tabs>
        <w:spacing w:after="0" w:line="240" w:lineRule="auto"/>
        <w:contextualSpacing/>
        <w:jc w:val="both"/>
        <w:rPr>
          <w:rFonts w:ascii="Verdana" w:eastAsia="Century Gothic" w:hAnsi="Verdana" w:cs="Century Gothic"/>
          <w:b/>
          <w:bCs/>
          <w:lang w:val="es-ES"/>
        </w:rPr>
      </w:pPr>
      <w:r w:rsidRPr="009037F6">
        <w:rPr>
          <w:rFonts w:ascii="Verdana" w:eastAsia="Century Gothic" w:hAnsi="Verdana" w:cs="Century Gothic"/>
          <w:b/>
          <w:bCs/>
          <w:lang w:val="es-ES"/>
        </w:rPr>
        <w:t>Doctrina de la Agencia Nacional de Contratación Pública:</w:t>
      </w:r>
    </w:p>
    <w:p w14:paraId="71B6A135" w14:textId="77777777" w:rsidR="001520A7" w:rsidRPr="009037F6" w:rsidRDefault="001520A7" w:rsidP="001520A7">
      <w:pPr>
        <w:widowControl w:val="0"/>
        <w:autoSpaceDE w:val="0"/>
        <w:autoSpaceDN w:val="0"/>
        <w:spacing w:after="0" w:line="240" w:lineRule="auto"/>
        <w:jc w:val="both"/>
        <w:rPr>
          <w:rFonts w:ascii="Verdana" w:hAnsi="Verdana" w:cs="Arial"/>
        </w:rPr>
      </w:pPr>
    </w:p>
    <w:p w14:paraId="06536E89" w14:textId="77777777" w:rsidR="001520A7" w:rsidRPr="00AD7D5F" w:rsidRDefault="001520A7" w:rsidP="001520A7">
      <w:pPr>
        <w:widowControl w:val="0"/>
        <w:autoSpaceDE w:val="0"/>
        <w:autoSpaceDN w:val="0"/>
        <w:spacing w:after="0" w:line="276" w:lineRule="auto"/>
        <w:jc w:val="both"/>
        <w:rPr>
          <w:rFonts w:ascii="Verdana" w:eastAsia="Calibri" w:hAnsi="Verdana" w:cs="Arial"/>
          <w:lang w:val="es-ES"/>
        </w:rPr>
      </w:pPr>
      <w:r>
        <w:rPr>
          <w:rFonts w:ascii="Verdana" w:eastAsia="Calibri" w:hAnsi="Verdana" w:cs="Times New Roman"/>
          <w:bCs/>
        </w:rPr>
        <w:t xml:space="preserve">La Subdirección ha analizado sobre el concepto y particularidades de Bienes y Servicios de Características Técnicas Uniformes y de Común Utilización en los conceptos </w:t>
      </w:r>
      <w:r w:rsidRPr="00F610F1">
        <w:rPr>
          <w:rFonts w:ascii="Verdana" w:eastAsia="Calibri" w:hAnsi="Verdana" w:cs="Times New Roman"/>
          <w:bCs/>
        </w:rPr>
        <w:t xml:space="preserve">C-108 de 2025, C-977 de 2024, C-597 de 2024, C-101 de 2023, </w:t>
      </w:r>
      <w:r>
        <w:rPr>
          <w:rFonts w:ascii="Verdana" w:eastAsia="Calibri" w:hAnsi="Verdana" w:cs="Times New Roman"/>
          <w:bCs/>
        </w:rPr>
        <w:t xml:space="preserve">C-136 del 7 de marzo de 2025, </w:t>
      </w:r>
      <w:r w:rsidRPr="00F610F1">
        <w:rPr>
          <w:rFonts w:ascii="Verdana" w:eastAsia="Calibri" w:hAnsi="Verdana" w:cs="Times New Roman"/>
          <w:bCs/>
        </w:rPr>
        <w:t>entre otros</w:t>
      </w:r>
      <w:r>
        <w:rPr>
          <w:rFonts w:ascii="Verdana" w:eastAsia="Calibri" w:hAnsi="Verdana" w:cs="Times New Roman"/>
          <w:bCs/>
        </w:rPr>
        <w:t xml:space="preserve">. Así mismo, la Subdirección </w:t>
      </w:r>
      <w:r w:rsidRPr="000150B5">
        <w:rPr>
          <w:rFonts w:ascii="Verdana" w:eastAsia="Calibri" w:hAnsi="Verdana" w:cs="Times New Roman"/>
          <w:bCs/>
        </w:rPr>
        <w:t xml:space="preserve">se ha pronunciado en diferentes conceptos sobre uso del Clasificador de Bienes y Servicios de Naciones Unidas en los conceptos 2201913000006036 del 20 de agosto de 2019, 2201913000007322 del 2 de octubre de 2019, 2201913000007496 del 7 de octubre de 2020, 2201913000008870 del 2 de diciembre de 2019, 2201913000009643 del 26 de diciembre de 2019, C-017 del 22 de febrero de 2021, C-052 del 18 de marzo de 2020, C-760 del 8 de febrero de 2022, </w:t>
      </w:r>
      <w:r w:rsidRPr="000150B5">
        <w:rPr>
          <w:rFonts w:ascii="Verdana" w:eastAsia="Calibri" w:hAnsi="Verdana" w:cs="Times New Roman"/>
          <w:bCs/>
          <w:lang w:val="es-ES"/>
        </w:rPr>
        <w:t>C-223 del 25 de abril de 2022 y C-547 del 15 de octubre de 2024, C-907 del 30 de diciembre de 2024, C-036 del 25 de febrero de 2025,</w:t>
      </w:r>
      <w:r w:rsidRPr="000150B5">
        <w:rPr>
          <w:rFonts w:ascii="Verdana" w:eastAsia="Calibri" w:hAnsi="Verdana" w:cs="Times New Roman"/>
          <w:bCs/>
        </w:rPr>
        <w:t xml:space="preserve"> C- 320 DEL 24 de abril de 2025, </w:t>
      </w:r>
      <w:r>
        <w:rPr>
          <w:rFonts w:ascii="Verdana" w:eastAsia="Calibri" w:hAnsi="Verdana" w:cs="Times New Roman"/>
          <w:bCs/>
        </w:rPr>
        <w:t xml:space="preserve">C-728 del 7 de mayo de 2025, entre otros. </w:t>
      </w:r>
      <w:r w:rsidRPr="006F7DB4">
        <w:rPr>
          <w:rFonts w:ascii="Verdana" w:eastAsia="Calibri" w:hAnsi="Verdana" w:cs="Times New Roman"/>
        </w:rPr>
        <w:t xml:space="preserve">Estos y otros conceptos se encuentran disponibles para consulta en el Sistema de Relatoría de la Agencia, en el cual también podrás encontrar jurisprudencia del Consejo de </w:t>
      </w:r>
      <w:r w:rsidRPr="006F7DB4">
        <w:rPr>
          <w:rFonts w:ascii="Verdana" w:eastAsia="Calibri" w:hAnsi="Verdana" w:cs="Times New Roman"/>
        </w:rPr>
        <w:lastRenderedPageBreak/>
        <w:t>Estado, laudos arbitrales</w:t>
      </w:r>
      <w:r w:rsidRPr="009037F6">
        <w:rPr>
          <w:rFonts w:ascii="Verdana" w:eastAsia="Calibri" w:hAnsi="Verdana" w:cs="Times New Roman"/>
        </w:rPr>
        <w:t xml:space="preserve"> y la normativa de la contratación concordada con la doctrina de la Subdirección de Gestión Contractual, accede a través del siguiente enlace:</w:t>
      </w:r>
    </w:p>
    <w:p w14:paraId="49C4300C" w14:textId="77777777" w:rsidR="001520A7" w:rsidRPr="009037F6" w:rsidRDefault="001520A7" w:rsidP="001520A7">
      <w:pPr>
        <w:spacing w:after="0" w:line="256" w:lineRule="auto"/>
        <w:jc w:val="both"/>
        <w:rPr>
          <w:rFonts w:ascii="Verdana" w:eastAsia="Calibri" w:hAnsi="Verdana" w:cs="Times New Roman"/>
        </w:rPr>
      </w:pPr>
      <w:hyperlink r:id="rId20" w:history="1">
        <w:r w:rsidRPr="009037F6">
          <w:rPr>
            <w:rFonts w:ascii="Verdana" w:eastAsia="Calibri" w:hAnsi="Verdana" w:cs="Times New Roman"/>
            <w:color w:val="0000FF"/>
            <w:u w:val="single"/>
            <w:lang w:val="es-ES"/>
          </w:rPr>
          <w:t>https://relatoria.colombiacompra.gov.co/busqueda/conceptos</w:t>
        </w:r>
      </w:hyperlink>
      <w:r w:rsidRPr="009037F6">
        <w:rPr>
          <w:rFonts w:ascii="Verdana" w:eastAsia="Calibri" w:hAnsi="Verdana" w:cs="Times New Roman"/>
        </w:rPr>
        <w:t xml:space="preserve">. </w:t>
      </w:r>
    </w:p>
    <w:p w14:paraId="067411A2" w14:textId="77777777" w:rsidR="001520A7" w:rsidRDefault="001520A7" w:rsidP="001520A7">
      <w:pPr>
        <w:widowControl w:val="0"/>
        <w:autoSpaceDE w:val="0"/>
        <w:autoSpaceDN w:val="0"/>
        <w:spacing w:after="0" w:line="276" w:lineRule="auto"/>
        <w:jc w:val="both"/>
        <w:rPr>
          <w:rFonts w:ascii="Verdana" w:eastAsia="Calibri" w:hAnsi="Verdana" w:cs="Times New Roman"/>
        </w:rPr>
      </w:pPr>
    </w:p>
    <w:p w14:paraId="2DD51C17" w14:textId="77777777" w:rsidR="001520A7" w:rsidRPr="003D5C91" w:rsidRDefault="001520A7" w:rsidP="001520A7">
      <w:pPr>
        <w:spacing w:after="0" w:line="276" w:lineRule="auto"/>
        <w:jc w:val="both"/>
        <w:rPr>
          <w:rFonts w:ascii="Verdana" w:eastAsia="Calibri" w:hAnsi="Verdana" w:cs="Arial"/>
          <w:color w:val="000000"/>
          <w:lang w:eastAsia="es-ES_tradnl"/>
        </w:rPr>
      </w:pPr>
      <w:r w:rsidRPr="003D5C91">
        <w:rPr>
          <w:rFonts w:ascii="Verdana" w:eastAsia="Calibri" w:hAnsi="Verdana" w:cs="Arial"/>
          <w:color w:val="000000"/>
          <w:lang w:eastAsia="es-ES_tradnl"/>
        </w:rPr>
        <w:t>Las garantías no son un requisito formal: son el instrumento con el que se protege el patrimonio público frente a los riesgos del contrato. Por ello, la Agencia Nacional de Contratación Pública –Colombia Compra Eficiente– te invita a consultar la nueva versión de la </w:t>
      </w:r>
      <w:r w:rsidRPr="003D5C91">
        <w:rPr>
          <w:rFonts w:ascii="Verdana" w:eastAsia="Calibri" w:hAnsi="Verdana" w:cs="Arial"/>
          <w:b/>
          <w:bCs/>
          <w:color w:val="000000"/>
          <w:lang w:eastAsia="es-ES_tradnl"/>
        </w:rPr>
        <w:t>Guía para la Exigencia y Constitución de Garantías en los Procesos de Contratación</w:t>
      </w:r>
      <w:r w:rsidRPr="003D5C91">
        <w:rPr>
          <w:rFonts w:ascii="Verdana" w:eastAsia="Calibri" w:hAnsi="Verdana" w:cs="Arial"/>
          <w:color w:val="000000"/>
          <w:lang w:eastAsia="es-ES_tradnl"/>
        </w:rPr>
        <w:t>, dirigida a las entidades sometidas al EGCAP y a las de regímenes exceptuados, así como a proveedores y órganos de control. Encontrarás orientaciones sobre las clases de garantías admisibles, la correspondencia entre riesgos asignados y amparos exigidos, su suficiencia y vigencia, y el procedimiento para hacerlas efectivas. Consúltala aquí: </w:t>
      </w:r>
      <w:hyperlink r:id="rId21" w:tgtFrame="_blank" w:tooltip="https://www.colombiacompra.gov.co/archivos/manual/guia-de-garantias-en-procesos-de-contratacion" w:history="1">
        <w:r w:rsidRPr="003D5C91">
          <w:rPr>
            <w:rStyle w:val="Hipervnculo"/>
            <w:rFonts w:ascii="Verdana" w:eastAsia="Calibri" w:hAnsi="Verdana" w:cs="Arial"/>
            <w:lang w:eastAsia="es-ES_tradnl"/>
          </w:rPr>
          <w:t>https://www.colombiacompra.gov.co/archivos/manual/guia-de-garantias-en-procesos-de-contratacion</w:t>
        </w:r>
      </w:hyperlink>
    </w:p>
    <w:p w14:paraId="63A36696" w14:textId="77777777" w:rsidR="001520A7" w:rsidRDefault="001520A7" w:rsidP="001520A7">
      <w:pPr>
        <w:spacing w:after="0" w:line="276" w:lineRule="auto"/>
        <w:jc w:val="both"/>
        <w:rPr>
          <w:rFonts w:ascii="Verdana" w:eastAsia="Calibri" w:hAnsi="Verdana" w:cs="Arial"/>
          <w:color w:val="000000"/>
          <w:lang w:eastAsia="es-ES_tradnl"/>
        </w:rPr>
      </w:pPr>
    </w:p>
    <w:p w14:paraId="0EA3663B" w14:textId="77777777" w:rsidR="001520A7" w:rsidRPr="003D5C91" w:rsidRDefault="001520A7" w:rsidP="001520A7">
      <w:pPr>
        <w:spacing w:after="0" w:line="276" w:lineRule="auto"/>
        <w:jc w:val="both"/>
        <w:rPr>
          <w:rFonts w:ascii="Verdana" w:eastAsia="Calibri" w:hAnsi="Verdana" w:cs="Arial"/>
          <w:color w:val="000000"/>
          <w:lang w:eastAsia="es-ES_tradnl"/>
        </w:rPr>
      </w:pPr>
      <w:r w:rsidRPr="003D5C91">
        <w:rPr>
          <w:rFonts w:ascii="Verdana" w:eastAsia="Calibri" w:hAnsi="Verdana" w:cs="Arial"/>
          <w:color w:val="000000"/>
          <w:lang w:eastAsia="es-ES_tradnl"/>
        </w:rPr>
        <w:t>De otro lado, te contamos que el Decreto 287 del 19 de marzo de 2026 sustituyó los artículos 2.2.1.2.4.2.6., 2.2.1.2.4.2.7. y 2.2.1.2.4.2.8. del Decreto 1082 de 2015 y estructuró el </w:t>
      </w:r>
      <w:r w:rsidRPr="003D5C91">
        <w:rPr>
          <w:rFonts w:ascii="Verdana" w:eastAsia="Calibri" w:hAnsi="Verdana" w:cs="Arial"/>
          <w:b/>
          <w:bCs/>
          <w:color w:val="000000"/>
          <w:lang w:eastAsia="es-ES_tradnl"/>
        </w:rPr>
        <w:t>Sistema Integral de Preferencias en favor de las personas con discapacidad</w:t>
      </w:r>
      <w:r w:rsidRPr="003D5C91">
        <w:rPr>
          <w:rFonts w:ascii="Verdana" w:eastAsia="Calibri" w:hAnsi="Verdana" w:cs="Arial"/>
          <w:color w:val="000000"/>
          <w:lang w:eastAsia="es-ES_tradnl"/>
        </w:rPr>
        <w:t>, en cumplimiento del artículo 13 de la Ley Estatutaria 1618 de 2013. Para orientar su aplicación, esta Agencia expidió la </w:t>
      </w:r>
      <w:r w:rsidRPr="003D5C91">
        <w:rPr>
          <w:rFonts w:ascii="Verdana" w:eastAsia="Calibri" w:hAnsi="Verdana" w:cs="Arial"/>
          <w:b/>
          <w:bCs/>
          <w:color w:val="000000"/>
          <w:lang w:eastAsia="es-ES_tradnl"/>
        </w:rPr>
        <w:t>Circular Externa 003 del 12 de mayo de 2026, </w:t>
      </w:r>
      <w:r w:rsidRPr="003D5C91">
        <w:rPr>
          <w:rFonts w:ascii="Verdana" w:eastAsia="Calibri" w:hAnsi="Verdana" w:cs="Arial"/>
          <w:color w:val="000000"/>
          <w:lang w:eastAsia="es-ES_tradnl"/>
        </w:rPr>
        <w:t>en la que precisa quiénes son los beneficiarios, las cinco medidas que integran el sistema y su obligatoriedad según la modalidad de selección, y el régimen de transición aplicable a los procesos en curso. Consúltala aquí: </w:t>
      </w:r>
      <w:hyperlink r:id="rId22" w:tgtFrame="_blank" w:tooltip="https://www.colombiacompra.gov.co/archivos/circular/circular-externa-003-de-2026" w:history="1">
        <w:r w:rsidRPr="003D5C91">
          <w:rPr>
            <w:rStyle w:val="Hipervnculo"/>
            <w:rFonts w:ascii="Verdana" w:eastAsia="Calibri" w:hAnsi="Verdana" w:cs="Arial"/>
            <w:lang w:eastAsia="es-ES_tradnl"/>
          </w:rPr>
          <w:t>https://www.colombiacompra.gov.co/archivos/circular/circular-externa-003-de-2026</w:t>
        </w:r>
      </w:hyperlink>
    </w:p>
    <w:p w14:paraId="2D95A1D4" w14:textId="77777777" w:rsidR="001520A7" w:rsidRDefault="001520A7" w:rsidP="001520A7">
      <w:pPr>
        <w:spacing w:after="0" w:line="276" w:lineRule="auto"/>
        <w:jc w:val="both"/>
        <w:rPr>
          <w:rFonts w:ascii="Verdana" w:eastAsia="Calibri" w:hAnsi="Verdana" w:cs="Arial"/>
          <w:color w:val="000000"/>
          <w:lang w:eastAsia="es-ES_tradnl"/>
        </w:rPr>
      </w:pPr>
    </w:p>
    <w:p w14:paraId="606E04ED" w14:textId="77777777" w:rsidR="001520A7" w:rsidRDefault="001520A7" w:rsidP="001520A7">
      <w:pPr>
        <w:spacing w:after="0" w:line="276" w:lineRule="auto"/>
        <w:jc w:val="both"/>
      </w:pPr>
      <w:r w:rsidRPr="003D5C91">
        <w:rPr>
          <w:rFonts w:ascii="Verdana" w:eastAsia="Calibri" w:hAnsi="Verdana" w:cs="Arial"/>
          <w:color w:val="000000"/>
          <w:lang w:eastAsia="es-ES_tradnl"/>
        </w:rPr>
        <w:t>Recuerda también que la</w:t>
      </w:r>
      <w:r w:rsidRPr="003D5C91">
        <w:rPr>
          <w:rFonts w:ascii="Verdana" w:eastAsia="Calibri" w:hAnsi="Verdana" w:cs="Arial"/>
          <w:b/>
          <w:bCs/>
          <w:color w:val="000000"/>
          <w:lang w:eastAsia="es-ES_tradnl"/>
        </w:rPr>
        <w:t> información sobre sanciones e inhabilidades </w:t>
      </w:r>
      <w:r w:rsidRPr="003D5C91">
        <w:rPr>
          <w:rFonts w:ascii="Verdana" w:eastAsia="Calibri" w:hAnsi="Verdana" w:cs="Arial"/>
          <w:color w:val="000000"/>
          <w:lang w:eastAsia="es-ES_tradnl"/>
        </w:rPr>
        <w:t>solo cumple su función preventiva si llega oportunamente a los registros públicos. Sobre este deber, esta Agencia expidió la </w:t>
      </w:r>
      <w:r w:rsidRPr="003D5C91">
        <w:rPr>
          <w:rFonts w:ascii="Verdana" w:eastAsia="Calibri" w:hAnsi="Verdana" w:cs="Arial"/>
          <w:b/>
          <w:bCs/>
          <w:color w:val="000000"/>
          <w:lang w:eastAsia="es-ES_tradnl"/>
        </w:rPr>
        <w:t>Circular Externa 002 del 5 de mayo de 2026,</w:t>
      </w:r>
      <w:r w:rsidRPr="003D5C91">
        <w:rPr>
          <w:rFonts w:ascii="Verdana" w:eastAsia="Calibri" w:hAnsi="Verdana" w:cs="Arial"/>
          <w:color w:val="000000"/>
          <w:lang w:eastAsia="es-ES_tradnl"/>
        </w:rPr>
        <w:t xml:space="preserve"> dirigida a todas las entidades del Estado sin distinción de su régimen contractual, en la que reitera la obligatoriedad de reportar caducidades, multas, sanciones, declaratorias de incumplimiento e inhabilidades ante las Cámaras de Comercio, la Procuraduría General de la Nación y el SECOP, e indica los </w:t>
      </w:r>
      <w:r w:rsidRPr="003D5C91">
        <w:rPr>
          <w:rFonts w:ascii="Verdana" w:eastAsia="Calibri" w:hAnsi="Verdana" w:cs="Arial"/>
          <w:color w:val="000000"/>
          <w:lang w:eastAsia="es-ES_tradnl"/>
        </w:rPr>
        <w:lastRenderedPageBreak/>
        <w:t>responsables, los portales dispuestos para el efecto y las consecuencias disciplinarias de omitir este deber. Consúltala aquí: </w:t>
      </w:r>
      <w:hyperlink r:id="rId23" w:tgtFrame="_blank" w:tooltip="https://www.colombiacompra.gov.co/archivos/circular/circular-externa-002-de-2026" w:history="1">
        <w:r w:rsidRPr="003D5C91">
          <w:rPr>
            <w:rStyle w:val="Hipervnculo"/>
            <w:rFonts w:ascii="Verdana" w:eastAsia="Calibri" w:hAnsi="Verdana" w:cs="Arial"/>
            <w:lang w:eastAsia="es-ES_tradnl"/>
          </w:rPr>
          <w:t>https://www.colombiacompra.gov.co/archivos/circular/circular-externa-002-de-2026</w:t>
        </w:r>
      </w:hyperlink>
    </w:p>
    <w:p w14:paraId="77BFD9CD" w14:textId="77777777" w:rsidR="001520A7" w:rsidRPr="003D5C91" w:rsidRDefault="001520A7" w:rsidP="001520A7">
      <w:pPr>
        <w:spacing w:after="0" w:line="276" w:lineRule="auto"/>
        <w:jc w:val="both"/>
        <w:rPr>
          <w:rFonts w:ascii="Verdana" w:eastAsia="Calibri" w:hAnsi="Verdana" w:cs="Arial"/>
          <w:color w:val="000000"/>
          <w:lang w:eastAsia="es-ES_tradnl"/>
        </w:rPr>
      </w:pPr>
    </w:p>
    <w:p w14:paraId="16138848" w14:textId="77777777" w:rsidR="001520A7" w:rsidRPr="003D5C91" w:rsidRDefault="001520A7" w:rsidP="001520A7">
      <w:pPr>
        <w:spacing w:after="0" w:line="276" w:lineRule="auto"/>
        <w:jc w:val="both"/>
        <w:rPr>
          <w:rFonts w:ascii="Verdana" w:eastAsia="Calibri" w:hAnsi="Verdana" w:cs="Arial"/>
          <w:color w:val="000000"/>
          <w:lang w:eastAsia="es-ES_tradnl"/>
        </w:rPr>
      </w:pPr>
      <w:r w:rsidRPr="003D5C91">
        <w:rPr>
          <w:rFonts w:ascii="Verdana" w:eastAsia="Calibri" w:hAnsi="Verdana" w:cs="Arial"/>
          <w:color w:val="000000"/>
          <w:lang w:eastAsia="es-ES_tradnl"/>
        </w:rPr>
        <w:t>Finalmente, si quieres seguir de cerca la actividad de la Agencia, la tercera edición de 2026 del</w:t>
      </w:r>
      <w:r w:rsidRPr="003D5C91">
        <w:rPr>
          <w:rFonts w:ascii="Verdana" w:eastAsia="Calibri" w:hAnsi="Verdana" w:cs="Arial"/>
          <w:b/>
          <w:bCs/>
          <w:color w:val="000000"/>
          <w:lang w:eastAsia="es-ES_tradnl"/>
        </w:rPr>
        <w:t> Radar de la Compra Pública</w:t>
      </w:r>
      <w:r w:rsidRPr="003D5C91">
        <w:rPr>
          <w:rFonts w:ascii="Verdana" w:eastAsia="Calibri" w:hAnsi="Verdana" w:cs="Arial"/>
          <w:color w:val="000000"/>
          <w:lang w:eastAsia="es-ES_tradnl"/>
        </w:rPr>
        <w:t> reúne, entre otros contenidos, la Circular Externa 003 de 2026, el Decreto 552 de 2026, un estudio sobre inteligencia artificial en la compra pública, los avances de la Relatoría, análisis jurisprudencial, conceptos jurídicos destacados y la oferta de la Escuela Virtual ANCP-CCE. Descárgalo aquí: </w:t>
      </w:r>
      <w:hyperlink r:id="rId24" w:tgtFrame="_blank" w:tooltip="https://www.colombiacompra.gov.co/archivos/boletin/boletin-edicion-n-3-de-2026-radar-de-la-compra-publica" w:history="1">
        <w:r w:rsidRPr="003D5C91">
          <w:rPr>
            <w:rStyle w:val="Hipervnculo"/>
            <w:rFonts w:ascii="Verdana" w:eastAsia="Calibri" w:hAnsi="Verdana" w:cs="Arial"/>
            <w:lang w:eastAsia="es-ES_tradnl"/>
          </w:rPr>
          <w:t>https://www.colombiacompra.gov.co/archivos/boletin/boletin-edicion-n-3-de-2026-radar-de-la-compra-publica</w:t>
        </w:r>
      </w:hyperlink>
    </w:p>
    <w:p w14:paraId="066000E9" w14:textId="77777777" w:rsidR="001520A7" w:rsidRDefault="001520A7" w:rsidP="001520A7">
      <w:pPr>
        <w:spacing w:after="0"/>
        <w:jc w:val="both"/>
        <w:rPr>
          <w:rFonts w:ascii="Verdana" w:hAnsi="Verdana"/>
        </w:rPr>
      </w:pPr>
    </w:p>
    <w:p w14:paraId="2C0F9A73" w14:textId="77777777" w:rsidR="001520A7" w:rsidRPr="00116940" w:rsidRDefault="001520A7" w:rsidP="001520A7">
      <w:pPr>
        <w:spacing w:after="0"/>
        <w:jc w:val="both"/>
        <w:rPr>
          <w:rFonts w:ascii="Verdana" w:hAnsi="Verdana"/>
        </w:rPr>
      </w:pPr>
      <w:r w:rsidRPr="00E02524">
        <w:rPr>
          <w:rFonts w:ascii="Verdana" w:hAnsi="Verdana"/>
        </w:rPr>
        <w:t xml:space="preserve">Por último, aprovechamos la oportunidad de manifestar la entera disposición de la </w:t>
      </w:r>
      <w:r w:rsidRPr="00116940">
        <w:rPr>
          <w:rFonts w:ascii="Verdana" w:hAnsi="Verdana"/>
        </w:rPr>
        <w:t xml:space="preserve">Agencia Nacional de Contratación Pública –Colombia Compra Eficiente– para atender las peticiones o solicitudes, así como para brindar el apoyo que se requiera en el marco de nuestras funciones a través de nuestros diferentes canales de atención: </w:t>
      </w:r>
    </w:p>
    <w:p w14:paraId="6DA50345" w14:textId="77777777" w:rsidR="001520A7" w:rsidRPr="00116940" w:rsidRDefault="001520A7" w:rsidP="001520A7">
      <w:pPr>
        <w:spacing w:after="0"/>
        <w:jc w:val="both"/>
        <w:rPr>
          <w:rFonts w:ascii="Verdana" w:hAnsi="Verdana"/>
        </w:rPr>
      </w:pPr>
    </w:p>
    <w:p w14:paraId="6E7B5192" w14:textId="77777777" w:rsidR="001520A7" w:rsidRPr="00116940" w:rsidRDefault="001520A7" w:rsidP="001520A7">
      <w:pPr>
        <w:pStyle w:val="Prrafodelista"/>
        <w:numPr>
          <w:ilvl w:val="0"/>
          <w:numId w:val="15"/>
        </w:numPr>
        <w:spacing w:after="0" w:line="240" w:lineRule="auto"/>
        <w:jc w:val="both"/>
        <w:rPr>
          <w:rFonts w:ascii="Verdana" w:eastAsia="Verdana" w:hAnsi="Verdana" w:cs="Verdana"/>
          <w:color w:val="4472C4" w:themeColor="accent1"/>
          <w:u w:val="single"/>
          <w:lang w:val="es-MX"/>
        </w:rPr>
      </w:pPr>
      <w:r w:rsidRPr="00116940">
        <w:rPr>
          <w:rFonts w:ascii="Verdana" w:eastAsia="Verdana" w:hAnsi="Verdana" w:cs="Verdana"/>
          <w:lang w:val="es-MX"/>
        </w:rPr>
        <w:t xml:space="preserve">Línea nacional gratuita o servicio a la ciudadanía (Mesa de servicio): </w:t>
      </w:r>
      <w:r w:rsidRPr="00116940">
        <w:rPr>
          <w:rStyle w:val="Hipervnculo"/>
          <w:rFonts w:ascii="Verdana" w:hAnsi="Verdana"/>
        </w:rPr>
        <w:t>01800 0520808</w:t>
      </w:r>
    </w:p>
    <w:p w14:paraId="0BF53046" w14:textId="77777777" w:rsidR="001520A7" w:rsidRPr="00116940" w:rsidRDefault="001520A7" w:rsidP="001520A7">
      <w:pPr>
        <w:pStyle w:val="Prrafodelista"/>
        <w:numPr>
          <w:ilvl w:val="0"/>
          <w:numId w:val="15"/>
        </w:numPr>
        <w:spacing w:after="0"/>
        <w:rPr>
          <w:rFonts w:ascii="Verdana" w:eastAsia="Verdana" w:hAnsi="Verdana" w:cs="Verdana"/>
          <w:color w:val="4472C4" w:themeColor="accent1"/>
          <w:u w:val="single"/>
          <w:lang w:val="es-MX"/>
        </w:rPr>
      </w:pPr>
      <w:r w:rsidRPr="00116940">
        <w:rPr>
          <w:rFonts w:ascii="Verdana" w:eastAsia="Verdana" w:hAnsi="Verdana" w:cs="Verdana"/>
          <w:lang w:val="es-MX"/>
        </w:rPr>
        <w:t>Línea en Bogotá (Mesa de servicio</w:t>
      </w:r>
      <w:proofErr w:type="gramStart"/>
      <w:r w:rsidRPr="00116940">
        <w:rPr>
          <w:rFonts w:ascii="Verdana" w:eastAsia="Verdana" w:hAnsi="Verdana" w:cs="Verdana"/>
          <w:lang w:val="es-MX"/>
        </w:rPr>
        <w:t>):</w:t>
      </w:r>
      <w:r w:rsidRPr="00116940">
        <w:rPr>
          <w:rStyle w:val="Hipervnculo"/>
          <w:rFonts w:ascii="Verdana" w:hAnsi="Verdana"/>
        </w:rPr>
        <w:t>+</w:t>
      </w:r>
      <w:proofErr w:type="gramEnd"/>
      <w:r w:rsidRPr="00116940">
        <w:rPr>
          <w:rStyle w:val="Hipervnculo"/>
          <w:rFonts w:ascii="Verdana" w:hAnsi="Verdana"/>
        </w:rPr>
        <w:t>57 601 7456788</w:t>
      </w:r>
    </w:p>
    <w:p w14:paraId="5849A600" w14:textId="77777777" w:rsidR="001520A7" w:rsidRPr="00116940" w:rsidRDefault="001520A7" w:rsidP="001520A7">
      <w:pPr>
        <w:pStyle w:val="Prrafodelista"/>
        <w:numPr>
          <w:ilvl w:val="0"/>
          <w:numId w:val="15"/>
        </w:numPr>
        <w:spacing w:after="0"/>
        <w:rPr>
          <w:rFonts w:ascii="Verdana" w:eastAsia="Verdana" w:hAnsi="Verdana" w:cs="Verdana"/>
          <w:color w:val="0000FF"/>
          <w:u w:val="single"/>
          <w:lang w:val="es-MX"/>
        </w:rPr>
      </w:pPr>
      <w:r w:rsidRPr="00116940">
        <w:rPr>
          <w:rFonts w:ascii="Verdana" w:eastAsia="Verdana" w:hAnsi="Verdana" w:cs="Verdana"/>
          <w:lang w:val="es-MX"/>
        </w:rPr>
        <w:t xml:space="preserve">Correo de radicación de correspondencia: </w:t>
      </w:r>
      <w:hyperlink r:id="rId25">
        <w:r w:rsidRPr="00116940">
          <w:rPr>
            <w:rStyle w:val="Hipervnculo"/>
            <w:rFonts w:ascii="Verdana" w:eastAsia="Verdana" w:hAnsi="Verdana" w:cs="Verdana"/>
            <w:lang w:val="es-MX"/>
          </w:rPr>
          <w:t>ventanilladeradicacion@colombiacompra.gov.co</w:t>
        </w:r>
      </w:hyperlink>
    </w:p>
    <w:p w14:paraId="1C722D29" w14:textId="77777777" w:rsidR="001520A7" w:rsidRPr="00116940" w:rsidRDefault="001520A7" w:rsidP="001520A7">
      <w:pPr>
        <w:pStyle w:val="Prrafodelista"/>
        <w:numPr>
          <w:ilvl w:val="0"/>
          <w:numId w:val="15"/>
        </w:numPr>
        <w:spacing w:after="0"/>
        <w:rPr>
          <w:rFonts w:ascii="Verdana" w:eastAsia="Verdana" w:hAnsi="Verdana" w:cs="Verdana"/>
          <w:color w:val="0000FF"/>
          <w:u w:val="single"/>
          <w:lang w:val="es-MX"/>
        </w:rPr>
      </w:pPr>
      <w:r w:rsidRPr="00116940">
        <w:rPr>
          <w:rFonts w:ascii="Verdana" w:eastAsia="Verdana" w:hAnsi="Verdana" w:cs="Verdana"/>
        </w:rPr>
        <w:t>Formulario web para</w:t>
      </w:r>
      <w:r w:rsidRPr="00116940">
        <w:rPr>
          <w:rFonts w:ascii="Verdana" w:eastAsia="Verdana" w:hAnsi="Verdana" w:cs="Verdana"/>
          <w:lang w:val="es"/>
        </w:rPr>
        <w:t xml:space="preserve"> PQRSD: </w:t>
      </w:r>
      <w:hyperlink r:id="rId26">
        <w:r w:rsidRPr="00116940">
          <w:rPr>
            <w:rStyle w:val="Hipervnculo"/>
            <w:rFonts w:ascii="Verdana" w:eastAsia="Verdana" w:hAnsi="Verdana" w:cs="Verdana"/>
            <w:lang w:val="es-MX"/>
          </w:rPr>
          <w:t>https://www.colombiacompra.gov.co/pqrsd/informacion-importante-antes-de-formular-una-pqrsd</w:t>
        </w:r>
      </w:hyperlink>
    </w:p>
    <w:p w14:paraId="633B4B98" w14:textId="77777777" w:rsidR="001520A7" w:rsidRPr="00116940" w:rsidRDefault="001520A7" w:rsidP="001520A7">
      <w:pPr>
        <w:spacing w:after="0" w:line="240" w:lineRule="auto"/>
        <w:ind w:left="720"/>
        <w:jc w:val="both"/>
        <w:rPr>
          <w:rFonts w:ascii="Verdana" w:hAnsi="Verdana"/>
        </w:rPr>
      </w:pPr>
    </w:p>
    <w:p w14:paraId="74CFEDEB" w14:textId="77777777" w:rsidR="001520A7" w:rsidRPr="00116940" w:rsidRDefault="001520A7" w:rsidP="001520A7">
      <w:pPr>
        <w:spacing w:after="0" w:line="240" w:lineRule="auto"/>
        <w:rPr>
          <w:rFonts w:ascii="Verdana" w:hAnsi="Verdana"/>
        </w:rPr>
      </w:pPr>
      <w:r w:rsidRPr="00116940">
        <w:rPr>
          <w:rFonts w:ascii="Verdana" w:hAnsi="Verdana"/>
        </w:rPr>
        <w:t xml:space="preserve">Evalúa el servicio que ofrece la Agencia por el canal de atención de PQRSD en el siguiente </w:t>
      </w:r>
      <w:proofErr w:type="gramStart"/>
      <w:r w:rsidRPr="00116940">
        <w:rPr>
          <w:rFonts w:ascii="Verdana" w:hAnsi="Verdana"/>
        </w:rPr>
        <w:t>enlace :</w:t>
      </w:r>
      <w:proofErr w:type="gramEnd"/>
      <w:hyperlink r:id="rId27" w:tgtFrame="_blank" w:tooltip="https://forms.office.com/r/pphywvs2sz" w:history="1">
        <w:r w:rsidRPr="00116940">
          <w:rPr>
            <w:rStyle w:val="Hipervnculo"/>
            <w:rFonts w:ascii="Verdana" w:hAnsi="Verdana"/>
          </w:rPr>
          <w:t>https://forms.office.com/r/pPHyWVs2SZ</w:t>
        </w:r>
      </w:hyperlink>
      <w:r w:rsidRPr="00116940">
        <w:rPr>
          <w:rFonts w:ascii="Verdana" w:hAnsi="Verdana"/>
        </w:rPr>
        <w:t xml:space="preserve"> .¡Ayúdanos a mejorar porque el compromiso es de todos!</w:t>
      </w:r>
    </w:p>
    <w:p w14:paraId="67E73932" w14:textId="77777777" w:rsidR="001520A7" w:rsidRPr="00116940" w:rsidRDefault="001520A7" w:rsidP="001520A7">
      <w:pPr>
        <w:spacing w:after="0" w:line="240" w:lineRule="auto"/>
        <w:rPr>
          <w:rFonts w:ascii="Verdana" w:hAnsi="Verdana"/>
        </w:rPr>
      </w:pPr>
    </w:p>
    <w:p w14:paraId="2C8A1180" w14:textId="77777777" w:rsidR="001520A7" w:rsidRPr="00116940" w:rsidRDefault="001520A7" w:rsidP="001520A7">
      <w:pPr>
        <w:spacing w:after="0" w:line="240" w:lineRule="auto"/>
        <w:jc w:val="both"/>
        <w:rPr>
          <w:rFonts w:ascii="Verdana" w:hAnsi="Verdana"/>
        </w:rPr>
      </w:pPr>
      <w:r w:rsidRPr="00116940">
        <w:rPr>
          <w:rFonts w:ascii="Verdana" w:hAnsi="Verdana"/>
        </w:rPr>
        <w:t xml:space="preserve">Por último, lo invitamos a seguirnos en las redes sociales en las cuales se difunde información institucional: </w:t>
      </w:r>
    </w:p>
    <w:p w14:paraId="47CE2947" w14:textId="77777777" w:rsidR="001520A7" w:rsidRPr="00116940" w:rsidRDefault="001520A7" w:rsidP="001520A7">
      <w:pPr>
        <w:spacing w:after="0" w:line="240" w:lineRule="auto"/>
        <w:jc w:val="both"/>
        <w:rPr>
          <w:rFonts w:ascii="Verdana" w:hAnsi="Verdana"/>
        </w:rPr>
      </w:pPr>
    </w:p>
    <w:p w14:paraId="4B125119" w14:textId="77777777" w:rsidR="001520A7" w:rsidRPr="00116940" w:rsidRDefault="001520A7" w:rsidP="001520A7">
      <w:pPr>
        <w:spacing w:after="0" w:line="240" w:lineRule="auto"/>
        <w:jc w:val="both"/>
        <w:rPr>
          <w:rFonts w:ascii="Verdana" w:hAnsi="Verdana"/>
        </w:rPr>
      </w:pPr>
      <w:r w:rsidRPr="00116940">
        <w:rPr>
          <w:rFonts w:ascii="Verdana" w:hAnsi="Verdana"/>
        </w:rPr>
        <w:t xml:space="preserve">Twitter: </w:t>
      </w:r>
      <w:r w:rsidRPr="00116940">
        <w:rPr>
          <w:rStyle w:val="Hipervnculo"/>
          <w:rFonts w:ascii="Verdana" w:hAnsi="Verdana"/>
        </w:rPr>
        <w:t>@colombiacompra</w:t>
      </w:r>
      <w:r w:rsidRPr="00116940">
        <w:rPr>
          <w:rFonts w:ascii="Verdana" w:hAnsi="Verdana"/>
        </w:rPr>
        <w:t xml:space="preserve"> </w:t>
      </w:r>
    </w:p>
    <w:p w14:paraId="18BE10CA" w14:textId="77777777" w:rsidR="001520A7" w:rsidRPr="00116940" w:rsidRDefault="001520A7" w:rsidP="001520A7">
      <w:pPr>
        <w:spacing w:after="0" w:line="240" w:lineRule="auto"/>
        <w:jc w:val="both"/>
        <w:rPr>
          <w:rFonts w:ascii="Verdana" w:hAnsi="Verdana"/>
        </w:rPr>
      </w:pPr>
      <w:r w:rsidRPr="00116940">
        <w:rPr>
          <w:rFonts w:ascii="Verdana" w:hAnsi="Verdana"/>
        </w:rPr>
        <w:t xml:space="preserve">Facebook: </w:t>
      </w:r>
      <w:proofErr w:type="spellStart"/>
      <w:r w:rsidRPr="00116940">
        <w:rPr>
          <w:rStyle w:val="Hipervnculo"/>
          <w:rFonts w:ascii="Verdana" w:hAnsi="Verdana"/>
        </w:rPr>
        <w:t>ColombiaCompraEficiente</w:t>
      </w:r>
      <w:proofErr w:type="spellEnd"/>
    </w:p>
    <w:p w14:paraId="4E96CDA7" w14:textId="77777777" w:rsidR="001520A7" w:rsidRPr="00116940" w:rsidRDefault="001520A7" w:rsidP="001520A7">
      <w:pPr>
        <w:spacing w:after="0" w:line="240" w:lineRule="auto"/>
        <w:jc w:val="both"/>
        <w:rPr>
          <w:rFonts w:ascii="Verdana" w:hAnsi="Verdana"/>
        </w:rPr>
      </w:pPr>
      <w:r w:rsidRPr="00116940">
        <w:rPr>
          <w:rFonts w:ascii="Verdana" w:hAnsi="Verdana"/>
        </w:rPr>
        <w:lastRenderedPageBreak/>
        <w:t xml:space="preserve">LinkedIn: </w:t>
      </w:r>
      <w:r w:rsidRPr="00116940">
        <w:rPr>
          <w:rStyle w:val="Hipervnculo"/>
          <w:rFonts w:ascii="Verdana" w:hAnsi="Verdana"/>
        </w:rPr>
        <w:t>Agencia Nacional de Contratación Pública - Colombia Compra Eficiente</w:t>
      </w:r>
      <w:r w:rsidRPr="00116940">
        <w:rPr>
          <w:rFonts w:ascii="Verdana" w:hAnsi="Verdana"/>
        </w:rPr>
        <w:t xml:space="preserve"> Instagram: </w:t>
      </w:r>
      <w:r w:rsidRPr="00116940">
        <w:rPr>
          <w:rStyle w:val="Hipervnculo"/>
          <w:rFonts w:ascii="Verdana" w:hAnsi="Verdana"/>
        </w:rPr>
        <w:t>@colombiacompraeficiente_cce</w:t>
      </w:r>
    </w:p>
    <w:p w14:paraId="0A5C6952" w14:textId="77777777" w:rsidR="001520A7" w:rsidRPr="00116940" w:rsidRDefault="001520A7" w:rsidP="001520A7">
      <w:pPr>
        <w:spacing w:after="0" w:line="240" w:lineRule="auto"/>
        <w:jc w:val="both"/>
        <w:rPr>
          <w:rFonts w:ascii="Verdana" w:hAnsi="Verdana"/>
        </w:rPr>
      </w:pPr>
    </w:p>
    <w:p w14:paraId="1641269D" w14:textId="77777777" w:rsidR="001520A7" w:rsidRPr="009037F6" w:rsidRDefault="001520A7" w:rsidP="001520A7">
      <w:pPr>
        <w:spacing w:after="0" w:line="256" w:lineRule="auto"/>
        <w:jc w:val="both"/>
        <w:rPr>
          <w:rFonts w:ascii="Verdana" w:eastAsia="Calibri" w:hAnsi="Verdana" w:cs="Times New Roman"/>
          <w:bCs/>
          <w:lang w:val="es-ES_tradnl"/>
        </w:rPr>
      </w:pPr>
      <w:r w:rsidRPr="009037F6">
        <w:rPr>
          <w:rFonts w:ascii="Verdana" w:eastAsia="Calibri" w:hAnsi="Verdana" w:cs="Times New Roman"/>
          <w:lang w:val="es-ES_tradnl"/>
        </w:rPr>
        <w:t>Este concepto tiene el alcance previsto en el artículo 28 del Código de Procedimiento Administrativo y de lo Contencioso Administrativo y las expresiones utilizadas con mayúscula inicial deben ser entendidas con el significado que les otorga el artículo 2.2.1.1.1.3.1 del Decreto 1082 de 2015.</w:t>
      </w:r>
    </w:p>
    <w:p w14:paraId="5C7314DF" w14:textId="77777777" w:rsidR="001520A7" w:rsidRPr="00492C4A" w:rsidRDefault="001520A7" w:rsidP="001520A7">
      <w:pPr>
        <w:spacing w:after="0" w:line="256" w:lineRule="auto"/>
        <w:jc w:val="both"/>
        <w:rPr>
          <w:rFonts w:ascii="Verdana" w:eastAsia="Calibri" w:hAnsi="Verdana" w:cs="Times New Roman"/>
          <w:lang w:val="es-ES_tradnl"/>
        </w:rPr>
      </w:pPr>
    </w:p>
    <w:p w14:paraId="45F4A5EC" w14:textId="77777777" w:rsidR="001520A7" w:rsidRPr="00C01E3D" w:rsidRDefault="001520A7" w:rsidP="001520A7">
      <w:pPr>
        <w:spacing w:after="0" w:line="256" w:lineRule="auto"/>
        <w:jc w:val="both"/>
        <w:rPr>
          <w:rFonts w:ascii="Verdana" w:eastAsia="Calibri" w:hAnsi="Verdana" w:cs="Times New Roman"/>
        </w:rPr>
      </w:pPr>
      <w:r w:rsidRPr="009037F6">
        <w:rPr>
          <w:rFonts w:ascii="Verdana" w:eastAsia="Calibri" w:hAnsi="Verdana" w:cs="Times New Roman"/>
        </w:rPr>
        <w:t>Atentamente,</w:t>
      </w:r>
    </w:p>
    <w:p w14:paraId="558E32B0" w14:textId="3DCDF20B" w:rsidR="001520A7" w:rsidRDefault="002F3D4B" w:rsidP="001520A7">
      <w:pPr>
        <w:spacing w:after="0" w:line="256" w:lineRule="auto"/>
        <w:jc w:val="center"/>
        <w:rPr>
          <w:rFonts w:ascii="Century Gothic" w:hAnsi="Century Gothic"/>
          <w:noProof/>
          <w:sz w:val="16"/>
          <w:szCs w:val="16"/>
          <w:lang w:val="en-US"/>
        </w:rPr>
      </w:pPr>
      <w:r w:rsidRPr="002C3AD6">
        <w:rPr>
          <w:rFonts w:ascii="Century Gothic" w:hAnsi="Century Gothic"/>
          <w:noProof/>
          <w:lang w:val="en-US"/>
        </w:rPr>
        <w:drawing>
          <wp:inline distT="0" distB="0" distL="0" distR="0" wp14:anchorId="20CB62CB" wp14:editId="3599D492">
            <wp:extent cx="3279697" cy="1217463"/>
            <wp:effectExtent l="0" t="0" r="0" b="1905"/>
            <wp:docPr id="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277293" name="Imagen 1" descr="Texto&#10;&#10;Descripción generada automáticamente"/>
                    <pic:cNvPicPr/>
                  </pic:nvPicPr>
                  <pic:blipFill>
                    <a:blip r:embed="rId28"/>
                    <a:stretch>
                      <a:fillRect/>
                    </a:stretch>
                  </pic:blipFill>
                  <pic:spPr>
                    <a:xfrm>
                      <a:off x="0" y="0"/>
                      <a:ext cx="3312722" cy="1229722"/>
                    </a:xfrm>
                    <a:prstGeom prst="rect">
                      <a:avLst/>
                    </a:prstGeom>
                  </pic:spPr>
                </pic:pic>
              </a:graphicData>
            </a:graphic>
          </wp:inline>
        </w:drawing>
      </w:r>
    </w:p>
    <w:p w14:paraId="4B3B6F9D" w14:textId="77777777" w:rsidR="001520A7" w:rsidRPr="002961A6" w:rsidRDefault="001520A7" w:rsidP="001520A7">
      <w:pPr>
        <w:spacing w:after="0" w:line="256" w:lineRule="auto"/>
        <w:jc w:val="center"/>
        <w:rPr>
          <w:rFonts w:ascii="Century Gothic" w:hAnsi="Century Gothic"/>
          <w:noProof/>
          <w:sz w:val="16"/>
          <w:szCs w:val="16"/>
          <w:lang w:val="en-US"/>
        </w:rPr>
      </w:pPr>
    </w:p>
    <w:tbl>
      <w:tblPr>
        <w:tblW w:w="575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17"/>
        <w:gridCol w:w="4937"/>
      </w:tblGrid>
      <w:tr w:rsidR="001520A7" w:rsidRPr="00D56F8A" w14:paraId="0C9AC178" w14:textId="77777777" w:rsidTr="00312D70">
        <w:trPr>
          <w:trHeight w:val="409"/>
        </w:trPr>
        <w:tc>
          <w:tcPr>
            <w:tcW w:w="817" w:type="dxa"/>
            <w:tcBorders>
              <w:top w:val="nil"/>
              <w:left w:val="nil"/>
              <w:bottom w:val="nil"/>
              <w:right w:val="nil"/>
            </w:tcBorders>
            <w:vAlign w:val="center"/>
            <w:hideMark/>
          </w:tcPr>
          <w:p w14:paraId="4235C688" w14:textId="77777777" w:rsidR="001520A7" w:rsidRPr="00D56F8A" w:rsidRDefault="001520A7" w:rsidP="00312D70">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Elaboró: </w:t>
            </w:r>
          </w:p>
        </w:tc>
        <w:tc>
          <w:tcPr>
            <w:tcW w:w="4937" w:type="dxa"/>
            <w:tcBorders>
              <w:top w:val="nil"/>
              <w:left w:val="nil"/>
              <w:bottom w:val="dotted" w:sz="6" w:space="0" w:color="7F7F7F" w:themeColor="text1" w:themeTint="80"/>
              <w:right w:val="nil"/>
            </w:tcBorders>
            <w:vAlign w:val="center"/>
            <w:hideMark/>
          </w:tcPr>
          <w:p w14:paraId="240E29D9" w14:textId="77777777" w:rsidR="001520A7" w:rsidRPr="00D56F8A" w:rsidRDefault="001520A7" w:rsidP="00312D70">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José Luis Sánchez Cardona</w:t>
            </w:r>
          </w:p>
          <w:p w14:paraId="4E682686" w14:textId="77777777" w:rsidR="001520A7" w:rsidRPr="00D56F8A" w:rsidRDefault="001520A7" w:rsidP="00312D70">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Contratista de la Subdirección de Gestión Contractual</w:t>
            </w:r>
          </w:p>
        </w:tc>
      </w:tr>
      <w:tr w:rsidR="001520A7" w:rsidRPr="00D56F8A" w14:paraId="2D1940A3" w14:textId="77777777" w:rsidTr="00312D70">
        <w:trPr>
          <w:trHeight w:val="409"/>
        </w:trPr>
        <w:tc>
          <w:tcPr>
            <w:tcW w:w="817" w:type="dxa"/>
            <w:tcBorders>
              <w:top w:val="nil"/>
              <w:left w:val="nil"/>
              <w:bottom w:val="nil"/>
              <w:right w:val="nil"/>
            </w:tcBorders>
            <w:vAlign w:val="center"/>
            <w:hideMark/>
          </w:tcPr>
          <w:p w14:paraId="27FCC374" w14:textId="77777777" w:rsidR="001520A7" w:rsidRPr="00D56F8A" w:rsidRDefault="001520A7" w:rsidP="00312D70">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Revisó </w:t>
            </w:r>
          </w:p>
        </w:tc>
        <w:tc>
          <w:tcPr>
            <w:tcW w:w="4937" w:type="dxa"/>
            <w:tcBorders>
              <w:top w:val="dotted" w:sz="6" w:space="0" w:color="7F7F7F" w:themeColor="text1" w:themeTint="80"/>
              <w:left w:val="nil"/>
              <w:bottom w:val="dotted" w:sz="6" w:space="0" w:color="7F7F7F" w:themeColor="text1" w:themeTint="80"/>
              <w:right w:val="nil"/>
            </w:tcBorders>
            <w:vAlign w:val="center"/>
            <w:hideMark/>
          </w:tcPr>
          <w:p w14:paraId="26E30F16" w14:textId="77777777" w:rsidR="001520A7" w:rsidRPr="00D56F8A" w:rsidRDefault="001520A7" w:rsidP="00312D70">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Alejandro R. Sarmiento Cantillo</w:t>
            </w:r>
          </w:p>
          <w:p w14:paraId="6FC67F94" w14:textId="77777777" w:rsidR="001520A7" w:rsidRPr="00D56F8A" w:rsidRDefault="001520A7" w:rsidP="00312D70">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Gestor T1-15 de la Subdirección de Gestión Contractual </w:t>
            </w:r>
          </w:p>
        </w:tc>
      </w:tr>
      <w:tr w:rsidR="001520A7" w:rsidRPr="00D56F8A" w14:paraId="5AE81AED" w14:textId="77777777" w:rsidTr="00312D70">
        <w:trPr>
          <w:trHeight w:val="389"/>
        </w:trPr>
        <w:tc>
          <w:tcPr>
            <w:tcW w:w="817" w:type="dxa"/>
            <w:tcBorders>
              <w:top w:val="nil"/>
              <w:left w:val="nil"/>
              <w:bottom w:val="nil"/>
              <w:right w:val="nil"/>
            </w:tcBorders>
            <w:vAlign w:val="center"/>
            <w:hideMark/>
          </w:tcPr>
          <w:p w14:paraId="3CD16809" w14:textId="77777777" w:rsidR="001520A7" w:rsidRPr="00D56F8A" w:rsidRDefault="001520A7" w:rsidP="00312D70">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Aprobó: </w:t>
            </w:r>
          </w:p>
        </w:tc>
        <w:tc>
          <w:tcPr>
            <w:tcW w:w="4937" w:type="dxa"/>
            <w:tcBorders>
              <w:top w:val="dotted" w:sz="6" w:space="0" w:color="7F7F7F" w:themeColor="text1" w:themeTint="80"/>
              <w:left w:val="nil"/>
              <w:bottom w:val="dotted" w:sz="6" w:space="0" w:color="7F7F7F" w:themeColor="text1" w:themeTint="80"/>
              <w:right w:val="nil"/>
            </w:tcBorders>
            <w:vAlign w:val="center"/>
            <w:hideMark/>
          </w:tcPr>
          <w:p w14:paraId="4890EB4C" w14:textId="77777777" w:rsidR="001520A7" w:rsidRPr="00D56F8A" w:rsidRDefault="001520A7" w:rsidP="00312D70">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Carolina Quintero Gacharná</w:t>
            </w:r>
          </w:p>
          <w:p w14:paraId="7A9FAE21" w14:textId="77777777" w:rsidR="001520A7" w:rsidRPr="00D56F8A" w:rsidRDefault="001520A7" w:rsidP="00312D70">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Subdirectora de Gestión Contractual ANCP – CCE</w:t>
            </w:r>
          </w:p>
        </w:tc>
      </w:tr>
    </w:tbl>
    <w:p w14:paraId="155DE884" w14:textId="05A347A1" w:rsidR="001520A7" w:rsidRPr="000E2B93" w:rsidRDefault="001520A7" w:rsidP="001520A7">
      <w:pPr>
        <w:spacing w:after="0" w:line="240" w:lineRule="auto"/>
        <w:textAlignment w:val="baseline"/>
        <w:rPr>
          <w:rFonts w:ascii="Verdana" w:eastAsia="Verdana" w:hAnsi="Verdana" w:cs="Verdana"/>
          <w:lang w:eastAsia="es-CO"/>
        </w:rPr>
      </w:pPr>
      <w:r w:rsidRPr="30821638">
        <w:rPr>
          <w:rFonts w:ascii="Verdana" w:eastAsia="Verdana" w:hAnsi="Verdana" w:cs="Verdana"/>
          <w:lang w:eastAsia="es-CO"/>
        </w:rPr>
        <w:t> </w:t>
      </w:r>
      <w:bookmarkEnd w:id="0"/>
    </w:p>
    <w:p w14:paraId="696CB33C" w14:textId="24D3295A" w:rsidR="0036430A" w:rsidRPr="001520A7" w:rsidRDefault="0036430A" w:rsidP="001520A7"/>
    <w:sectPr w:rsidR="0036430A" w:rsidRPr="001520A7" w:rsidSect="007C0C0F">
      <w:headerReference w:type="default" r:id="rId29"/>
      <w:footerReference w:type="default" r:id="rId30"/>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497E7" w14:textId="77777777" w:rsidR="00A23AC5" w:rsidRDefault="00A23AC5" w:rsidP="004A1847">
      <w:pPr>
        <w:spacing w:after="0" w:line="240" w:lineRule="auto"/>
      </w:pPr>
      <w:r>
        <w:separator/>
      </w:r>
    </w:p>
  </w:endnote>
  <w:endnote w:type="continuationSeparator" w:id="0">
    <w:p w14:paraId="7710BFBC" w14:textId="77777777" w:rsidR="00A23AC5" w:rsidRDefault="00A23AC5" w:rsidP="004A1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manist Light">
    <w:altName w:val="Calibri"/>
    <w:panose1 w:val="00000000000000000000"/>
    <w:charset w:val="00"/>
    <w:family w:val="modern"/>
    <w:notTrueType/>
    <w:pitch w:val="variable"/>
    <w:sig w:usb0="A000002F" w:usb1="1000004A" w:usb2="00000000" w:usb3="00000000" w:csb0="00000193" w:csb1="00000000"/>
  </w:font>
  <w:font w:name="Geomanist">
    <w:altName w:val="Arial"/>
    <w:panose1 w:val="00000000000000000000"/>
    <w:charset w:val="00"/>
    <w:family w:val="modern"/>
    <w:notTrueType/>
    <w:pitch w:val="variable"/>
    <w:sig w:usb0="A000002F" w:usb1="1000004A" w:usb2="00000000" w:usb3="00000000" w:csb0="00000193"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variable"/>
    <w:sig w:usb0="8000002F" w:usb1="40000048" w:usb2="00000000" w:usb3="00000000" w:csb0="00000001"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11A32" w14:textId="6CE791A4" w:rsidR="003332A8" w:rsidRDefault="003332A8">
    <w:pPr>
      <w:pStyle w:val="Piedepgina"/>
    </w:pPr>
  </w:p>
  <w:p w14:paraId="594D6D9F" w14:textId="1098D821" w:rsidR="003332A8" w:rsidRPr="00174B77" w:rsidRDefault="003332A8" w:rsidP="00D520D8">
    <w:pPr>
      <w:pBdr>
        <w:top w:val="single" w:sz="4" w:space="1" w:color="auto"/>
      </w:pBdr>
      <w:spacing w:after="0"/>
      <w:rPr>
        <w:rFonts w:ascii="Verdana" w:hAnsi="Verdana"/>
        <w:b/>
        <w:bCs/>
        <w:sz w:val="20"/>
        <w:szCs w:val="20"/>
      </w:rPr>
    </w:pPr>
    <w:r>
      <w:rPr>
        <w:rFonts w:ascii="Verdana" w:hAnsi="Verdana"/>
        <w:b/>
        <w:bCs/>
        <w:sz w:val="20"/>
        <w:szCs w:val="20"/>
      </w:rPr>
      <w:t>A</w:t>
    </w:r>
    <w:r w:rsidRPr="008E4D59">
      <w:rPr>
        <w:rFonts w:ascii="Verdana" w:hAnsi="Verdana"/>
        <w:b/>
        <w:bCs/>
        <w:sz w:val="20"/>
        <w:szCs w:val="20"/>
      </w:rPr>
      <w:t>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2E1330">
      <w:rPr>
        <w:rFonts w:ascii="Verdana" w:eastAsiaTheme="majorEastAsia" w:hAnsi="Verdana" w:cstheme="majorBidi"/>
        <w:b/>
        <w:bCs/>
        <w:sz w:val="16"/>
        <w:szCs w:val="16"/>
        <w:lang w:val="es-ES"/>
      </w:rPr>
      <w:t xml:space="preserve">pág.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sidR="000A1642" w:rsidRPr="000A1642">
      <w:rPr>
        <w:rFonts w:ascii="Verdana" w:eastAsiaTheme="minorEastAsia" w:hAnsi="Verdana"/>
        <w:b/>
        <w:bCs/>
        <w:noProof/>
        <w:sz w:val="16"/>
        <w:szCs w:val="16"/>
      </w:rPr>
      <w:t>21</w:t>
    </w:r>
    <w:r w:rsidRPr="002E1330">
      <w:rPr>
        <w:rFonts w:ascii="Verdana" w:eastAsiaTheme="majorEastAsia" w:hAnsi="Verdana" w:cstheme="majorBidi"/>
        <w:b/>
        <w:bCs/>
        <w:sz w:val="16"/>
        <w:szCs w:val="16"/>
      </w:rPr>
      <w:fldChar w:fldCharType="end"/>
    </w:r>
    <w:r>
      <w:rPr>
        <w:rFonts w:ascii="Verdana" w:hAnsi="Verdana"/>
        <w:b/>
        <w:bCs/>
        <w:sz w:val="20"/>
        <w:szCs w:val="20"/>
      </w:rPr>
      <w:t xml:space="preserve">              </w:t>
    </w:r>
    <w:r w:rsidRPr="008E4D59">
      <w:rPr>
        <w:rFonts w:ascii="Verdana" w:hAnsi="Verdana"/>
        <w:b/>
        <w:bCs/>
        <w:sz w:val="20"/>
        <w:szCs w:val="20"/>
      </w:rPr>
      <w:t xml:space="preserve">Colombia Compra Eficiente         </w:t>
    </w:r>
    <w:r w:rsidRPr="008E4D59">
      <w:rPr>
        <w:rFonts w:ascii="Verdana" w:hAnsi="Verdana"/>
        <w:b/>
        <w:bCs/>
        <w:sz w:val="20"/>
        <w:szCs w:val="20"/>
        <w:lang w:val="es-ES"/>
      </w:rPr>
      <w:t xml:space="preserve"> </w:t>
    </w:r>
    <w:r>
      <w:rPr>
        <w:rFonts w:ascii="Verdana" w:hAnsi="Verdana"/>
        <w:b/>
        <w:bCs/>
        <w:sz w:val="20"/>
        <w:szCs w:val="20"/>
      </w:rPr>
      <w:t xml:space="preserve">                                                  </w:t>
    </w:r>
  </w:p>
  <w:p w14:paraId="0A735DD5" w14:textId="77777777" w:rsidR="003332A8" w:rsidRDefault="003332A8" w:rsidP="00D520D8">
    <w:pPr>
      <w:spacing w:after="0"/>
      <w:jc w:val="both"/>
      <w:rPr>
        <w:rFonts w:ascii="Verdana" w:hAnsi="Verdana"/>
        <w:sz w:val="18"/>
        <w:szCs w:val="18"/>
      </w:rPr>
    </w:pPr>
    <w:r w:rsidRPr="00E41027">
      <w:rPr>
        <w:rFonts w:ascii="Verdana" w:hAnsi="Verdana"/>
        <w:sz w:val="18"/>
        <w:szCs w:val="18"/>
      </w:rPr>
      <w:t>Dirección: Carrera 7 # 26 – 20 - Bogotá, Colombia</w:t>
    </w:r>
  </w:p>
  <w:p w14:paraId="06E36B88" w14:textId="77777777" w:rsidR="003332A8" w:rsidRPr="00E41027" w:rsidRDefault="003332A8" w:rsidP="00D520D8">
    <w:pPr>
      <w:spacing w:after="0"/>
      <w:jc w:val="both"/>
      <w:rPr>
        <w:rFonts w:ascii="Verdana" w:hAnsi="Verdana"/>
        <w:sz w:val="18"/>
        <w:szCs w:val="18"/>
      </w:rPr>
    </w:pPr>
    <w:r w:rsidRPr="00E41027">
      <w:rPr>
        <w:rFonts w:ascii="Verdana" w:hAnsi="Verdana"/>
        <w:sz w:val="18"/>
        <w:szCs w:val="18"/>
      </w:rPr>
      <w:t>Mesa de servicio: (+57) 601 7456788</w:t>
    </w:r>
  </w:p>
  <w:p w14:paraId="744661F5" w14:textId="46D7CAE9" w:rsidR="003332A8" w:rsidRDefault="003332A8">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 w:val="18"/>
        <w:szCs w:val="18"/>
      </w:rPr>
      <w:t xml:space="preserve">                  </w:t>
    </w:r>
    <w:r w:rsidRPr="004A305D">
      <w:rPr>
        <w:rFonts w:ascii="Century Gothic" w:eastAsia="Geo" w:hAnsi="Century Gothic" w:cs="Geo"/>
        <w:b/>
        <w:color w:val="000000"/>
        <w:sz w:val="16"/>
        <w:szCs w:val="16"/>
        <w:lang w:eastAsia="es-CO"/>
      </w:rPr>
      <w:t xml:space="preserve">Código: </w:t>
    </w:r>
    <w:r w:rsidRPr="004A305D">
      <w:rPr>
        <w:rFonts w:ascii="Century Gothic" w:eastAsia="Geo" w:hAnsi="Century Gothic" w:cs="Geo"/>
        <w:bCs/>
        <w:color w:val="000000"/>
        <w:sz w:val="16"/>
        <w:szCs w:val="16"/>
        <w:lang w:eastAsia="es-CO"/>
      </w:rPr>
      <w:t>CCE-</w:t>
    </w:r>
    <w:r>
      <w:rPr>
        <w:rFonts w:ascii="Century Gothic" w:eastAsia="Geo" w:hAnsi="Century Gothic" w:cs="Geo"/>
        <w:bCs/>
        <w:color w:val="000000"/>
        <w:sz w:val="16"/>
        <w:szCs w:val="16"/>
        <w:lang w:eastAsia="es-CO"/>
      </w:rPr>
      <w:t>REC</w:t>
    </w:r>
    <w:r w:rsidRPr="004A305D">
      <w:rPr>
        <w:rFonts w:ascii="Century Gothic" w:eastAsia="Geo" w:hAnsi="Century Gothic" w:cs="Geo"/>
        <w:bCs/>
        <w:color w:val="000000"/>
        <w:sz w:val="16"/>
        <w:szCs w:val="16"/>
        <w:lang w:eastAsia="es-CO"/>
      </w:rPr>
      <w:t>-FM-</w:t>
    </w:r>
    <w:r>
      <w:rPr>
        <w:rFonts w:ascii="Century Gothic" w:eastAsia="Geo" w:hAnsi="Century Gothic" w:cs="Geo"/>
        <w:bCs/>
        <w:color w:val="000000"/>
        <w:sz w:val="16"/>
        <w:szCs w:val="16"/>
        <w:lang w:eastAsia="es-CO"/>
      </w:rPr>
      <w:t xml:space="preserve">17 </w:t>
    </w:r>
    <w:r w:rsidRPr="004A305D">
      <w:rPr>
        <w:rFonts w:ascii="Century Gothic" w:eastAsia="Geo" w:hAnsi="Century Gothic" w:cs="Geo"/>
        <w:b/>
        <w:color w:val="000000"/>
        <w:sz w:val="16"/>
        <w:szCs w:val="16"/>
        <w:lang w:eastAsia="es-CO"/>
      </w:rPr>
      <w:t>V</w:t>
    </w:r>
    <w:r w:rsidRPr="004A305D">
      <w:rPr>
        <w:rFonts w:ascii="Century Gothic" w:eastAsia="Arial Nova" w:hAnsi="Century Gothic" w:cs="Arial Nova"/>
        <w:b/>
        <w:color w:val="000000"/>
        <w:sz w:val="16"/>
        <w:szCs w:val="16"/>
        <w:lang w:eastAsia="es-CO"/>
      </w:rPr>
      <w:t xml:space="preserve">: </w:t>
    </w:r>
    <w:r w:rsidRPr="004A305D">
      <w:rPr>
        <w:rFonts w:ascii="Century Gothic" w:eastAsia="Geo" w:hAnsi="Century Gothic" w:cs="Geo"/>
        <w:sz w:val="16"/>
        <w:szCs w:val="16"/>
        <w:lang w:eastAsia="es-CO"/>
      </w:rPr>
      <w:t>0</w:t>
    </w:r>
    <w:r>
      <w:rPr>
        <w:rFonts w:ascii="Century Gothic" w:eastAsia="Geo" w:hAnsi="Century Gothic" w:cs="Geo"/>
        <w:sz w:val="16"/>
        <w:szCs w:val="16"/>
        <w:lang w:eastAsia="es-CO"/>
      </w:rPr>
      <w:t>3</w:t>
    </w:r>
    <w:r w:rsidRPr="004A305D">
      <w:rPr>
        <w:rFonts w:ascii="Century Gothic" w:eastAsia="Geo" w:hAnsi="Century Gothic" w:cs="Geo"/>
        <w:sz w:val="16"/>
        <w:szCs w:val="16"/>
        <w:lang w:eastAsia="es-CO"/>
      </w:rPr>
      <w:t xml:space="preserve"> </w:t>
    </w:r>
    <w:r>
      <w:rPr>
        <w:rFonts w:ascii="Century Gothic" w:eastAsia="Geo" w:hAnsi="Century Gothic" w:cs="Geo"/>
        <w:sz w:val="16"/>
        <w:szCs w:val="16"/>
        <w:lang w:eastAsia="es-CO"/>
      </w:rPr>
      <w:t>Fecha: 21-10-2025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C4839" w14:textId="77777777" w:rsidR="00A23AC5" w:rsidRDefault="00A23AC5" w:rsidP="004A1847">
      <w:pPr>
        <w:spacing w:after="0" w:line="240" w:lineRule="auto"/>
      </w:pPr>
      <w:r>
        <w:separator/>
      </w:r>
    </w:p>
  </w:footnote>
  <w:footnote w:type="continuationSeparator" w:id="0">
    <w:p w14:paraId="30692A16" w14:textId="77777777" w:rsidR="00A23AC5" w:rsidRDefault="00A23AC5" w:rsidP="004A1847">
      <w:pPr>
        <w:spacing w:after="0" w:line="240" w:lineRule="auto"/>
      </w:pPr>
      <w:r>
        <w:continuationSeparator/>
      </w:r>
    </w:p>
  </w:footnote>
  <w:footnote w:id="1">
    <w:p w14:paraId="120F6F82" w14:textId="77777777" w:rsidR="001520A7" w:rsidRPr="00E378A5" w:rsidRDefault="001520A7" w:rsidP="001520A7">
      <w:pPr>
        <w:pStyle w:val="Textonotapie"/>
        <w:ind w:firstLine="708"/>
        <w:jc w:val="both"/>
        <w:rPr>
          <w:rFonts w:ascii="Verdana" w:hAnsi="Verdana" w:cs="Arial"/>
          <w:sz w:val="16"/>
          <w:szCs w:val="16"/>
        </w:rPr>
      </w:pPr>
      <w:r w:rsidRPr="00E378A5">
        <w:rPr>
          <w:rStyle w:val="Refdenotaalpie"/>
          <w:rFonts w:ascii="Verdana" w:hAnsi="Verdana" w:cs="Arial"/>
          <w:sz w:val="16"/>
          <w:szCs w:val="16"/>
        </w:rPr>
        <w:footnoteRef/>
      </w:r>
      <w:r w:rsidRPr="00E378A5">
        <w:rPr>
          <w:rFonts w:ascii="Verdana" w:hAnsi="Verdana" w:cs="Arial"/>
          <w:sz w:val="16"/>
          <w:szCs w:val="16"/>
        </w:rPr>
        <w:t xml:space="preserve"> El inciso primero de norma disponía que, conforme al principio de transparencia, “</w:t>
      </w:r>
      <w:r w:rsidRPr="00E378A5">
        <w:rPr>
          <w:rFonts w:ascii="Verdana" w:hAnsi="Verdana" w:cs="Arial"/>
          <w:i/>
          <w:iCs/>
          <w:sz w:val="16"/>
          <w:szCs w:val="16"/>
        </w:rPr>
        <w:t>La escogencia del contratista se efectuará siempre a través de licitación o concurso públicos</w:t>
      </w:r>
      <w:r w:rsidRPr="00E378A5">
        <w:rPr>
          <w:rFonts w:ascii="Verdana" w:hAnsi="Verdana" w:cs="Arial"/>
          <w:sz w:val="16"/>
          <w:szCs w:val="16"/>
        </w:rPr>
        <w:t>, salvo en los siguientes casos en los que se podrá contratar directamente” (Énfasis fuera de texto). La expresión en cursiva fue declarada exequible por la Corte Constitucional mediante la Sentencia C-400 de 1999, con ponencia del Magistrado Vladimiro Naranjo Mesa, y derogado integralmente por el artículo 32 de la Ley 1150 de 2007.</w:t>
      </w:r>
    </w:p>
  </w:footnote>
  <w:footnote w:id="2">
    <w:p w14:paraId="75358958" w14:textId="77777777" w:rsidR="001520A7" w:rsidRPr="00E378A5" w:rsidRDefault="001520A7" w:rsidP="001520A7">
      <w:pPr>
        <w:pStyle w:val="Textonotapie"/>
        <w:ind w:firstLine="708"/>
        <w:jc w:val="both"/>
        <w:rPr>
          <w:rFonts w:ascii="Verdana" w:hAnsi="Verdana" w:cs="Arial"/>
          <w:sz w:val="16"/>
          <w:szCs w:val="16"/>
        </w:rPr>
      </w:pPr>
      <w:r w:rsidRPr="00E378A5">
        <w:rPr>
          <w:rStyle w:val="Refdenotaalpie"/>
          <w:rFonts w:ascii="Verdana" w:hAnsi="Verdana"/>
          <w:sz w:val="16"/>
          <w:szCs w:val="16"/>
        </w:rPr>
        <w:footnoteRef/>
      </w:r>
      <w:r w:rsidRPr="00E378A5">
        <w:rPr>
          <w:rFonts w:ascii="Verdana" w:hAnsi="Verdana"/>
          <w:sz w:val="16"/>
          <w:szCs w:val="16"/>
        </w:rPr>
        <w:t xml:space="preserve"> </w:t>
      </w:r>
      <w:r w:rsidRPr="00E378A5">
        <w:rPr>
          <w:rFonts w:ascii="Verdana" w:hAnsi="Verdana" w:cs="Arial"/>
          <w:sz w:val="16"/>
          <w:szCs w:val="16"/>
        </w:rPr>
        <w:t xml:space="preserve">El numeral 2 del artículo 2 de la Ley 1150 de 2007 prescribe: </w:t>
      </w:r>
      <w:r w:rsidRPr="00E378A5">
        <w:rPr>
          <w:rFonts w:ascii="Verdana" w:hAnsi="Verdana"/>
          <w:sz w:val="16"/>
          <w:szCs w:val="16"/>
        </w:rPr>
        <w:t xml:space="preserve">“[…] </w:t>
      </w:r>
      <w:r w:rsidRPr="00E378A5">
        <w:rPr>
          <w:rFonts w:ascii="Verdana" w:hAnsi="Verdana" w:cs="Arial"/>
          <w:sz w:val="16"/>
          <w:szCs w:val="16"/>
        </w:rPr>
        <w:t>Serán causales de selección abreviada las siguientes:</w:t>
      </w:r>
    </w:p>
    <w:p w14:paraId="21E2DAE0" w14:textId="77777777" w:rsidR="001520A7" w:rsidRPr="00E378A5" w:rsidRDefault="001520A7" w:rsidP="001520A7">
      <w:pPr>
        <w:pStyle w:val="Textonotapie"/>
        <w:ind w:firstLine="708"/>
        <w:jc w:val="both"/>
        <w:rPr>
          <w:rFonts w:ascii="Verdana" w:hAnsi="Verdana" w:cs="Arial"/>
          <w:sz w:val="16"/>
          <w:szCs w:val="16"/>
        </w:rPr>
      </w:pPr>
      <w:r w:rsidRPr="00E378A5">
        <w:rPr>
          <w:rFonts w:ascii="Verdana" w:hAnsi="Verdana" w:cs="Arial"/>
          <w:sz w:val="16"/>
          <w:szCs w:val="16"/>
        </w:rPr>
        <w:t>a)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16F3780D" w14:textId="77777777" w:rsidR="001520A7" w:rsidRPr="00E378A5" w:rsidRDefault="001520A7" w:rsidP="001520A7">
      <w:pPr>
        <w:pStyle w:val="Textonotapie"/>
        <w:ind w:firstLine="708"/>
        <w:jc w:val="both"/>
        <w:rPr>
          <w:rFonts w:ascii="Verdana" w:hAnsi="Verdana" w:cs="Arial"/>
          <w:sz w:val="16"/>
          <w:szCs w:val="16"/>
        </w:rPr>
      </w:pPr>
      <w:r w:rsidRPr="00E378A5">
        <w:rPr>
          <w:rFonts w:ascii="Verdana" w:hAnsi="Verdana" w:cs="Arial"/>
          <w:sz w:val="16"/>
          <w:szCs w:val="16"/>
        </w:rPr>
        <w:t xml:space="preserve">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155158CD" w14:textId="77777777" w:rsidR="001520A7" w:rsidRPr="00E378A5" w:rsidRDefault="001520A7" w:rsidP="001520A7">
      <w:pPr>
        <w:pStyle w:val="Textonotapie"/>
        <w:ind w:firstLine="708"/>
        <w:jc w:val="both"/>
        <w:rPr>
          <w:rFonts w:ascii="Verdana" w:hAnsi="Verdana" w:cs="Arial"/>
          <w:sz w:val="16"/>
          <w:szCs w:val="16"/>
        </w:rPr>
      </w:pPr>
      <w:r w:rsidRPr="00E378A5">
        <w:rPr>
          <w:rFonts w:ascii="Verdana" w:hAnsi="Verdana" w:cs="Arial"/>
          <w:sz w:val="16"/>
          <w:szCs w:val="16"/>
        </w:rPr>
        <w:t>b) La contratación de menor cuantía. Se entenderá por menor cuantía los valores que a continuación se relacionan, determinados en función de los presupuestos anuales de las entidades públicas expresados en salarios mínimos legales mensuales.</w:t>
      </w:r>
    </w:p>
    <w:p w14:paraId="6CC86E49" w14:textId="77777777" w:rsidR="001520A7" w:rsidRPr="00E378A5" w:rsidRDefault="001520A7" w:rsidP="001520A7">
      <w:pPr>
        <w:pStyle w:val="Textonotapie"/>
        <w:ind w:firstLine="708"/>
        <w:jc w:val="both"/>
        <w:rPr>
          <w:rFonts w:ascii="Verdana" w:hAnsi="Verdana" w:cs="Arial"/>
          <w:sz w:val="16"/>
          <w:szCs w:val="16"/>
        </w:rPr>
      </w:pPr>
      <w:r w:rsidRPr="00E378A5">
        <w:rPr>
          <w:rFonts w:ascii="Verdana" w:hAnsi="Verdana" w:cs="Arial"/>
          <w:sz w:val="16"/>
          <w:szCs w:val="16"/>
        </w:rPr>
        <w:t>[…];</w:t>
      </w:r>
    </w:p>
    <w:p w14:paraId="603BE11A" w14:textId="77777777" w:rsidR="001520A7" w:rsidRPr="00E378A5" w:rsidRDefault="001520A7" w:rsidP="001520A7">
      <w:pPr>
        <w:pStyle w:val="Textonotapie"/>
        <w:ind w:firstLine="708"/>
        <w:jc w:val="both"/>
        <w:rPr>
          <w:rFonts w:ascii="Verdana" w:hAnsi="Verdana" w:cs="Arial"/>
          <w:sz w:val="16"/>
          <w:szCs w:val="16"/>
        </w:rPr>
      </w:pPr>
      <w:r w:rsidRPr="00E378A5">
        <w:rPr>
          <w:rFonts w:ascii="Verdana" w:hAnsi="Verdana" w:cs="Arial"/>
          <w:sz w:val="16"/>
          <w:szCs w:val="16"/>
        </w:rPr>
        <w:t>c) Sin perjuicio de lo dispuesto en la Ley 100 de 1993 y en la Ley 1122 de 2007, la celebración de contratos para la prestación de servicios de salud. El reglamento interno correspondiente fijará las garantías a cargo de los contratistas. Los pagos correspondientes se podrán hacer mediante encargos fiduciarios;</w:t>
      </w:r>
    </w:p>
    <w:p w14:paraId="74378293" w14:textId="77777777" w:rsidR="001520A7" w:rsidRPr="00E378A5" w:rsidRDefault="001520A7" w:rsidP="001520A7">
      <w:pPr>
        <w:pStyle w:val="Textonotapie"/>
        <w:ind w:firstLine="708"/>
        <w:jc w:val="both"/>
        <w:rPr>
          <w:rFonts w:ascii="Verdana" w:hAnsi="Verdana" w:cs="Arial"/>
          <w:sz w:val="16"/>
          <w:szCs w:val="16"/>
        </w:rPr>
      </w:pPr>
      <w:r w:rsidRPr="00E378A5">
        <w:rPr>
          <w:rFonts w:ascii="Verdana" w:hAnsi="Verdana" w:cs="Arial"/>
          <w:sz w:val="16"/>
          <w:szCs w:val="16"/>
        </w:rPr>
        <w:t>d) La contratación cuyo proceso de licitación pública haya sido declarado desierto; en cuyo caso la entidad deberá iniciar la selección abreviada dentro de los cuatro meses siguientes a la declaración de desierta del proceso inicial;</w:t>
      </w:r>
    </w:p>
    <w:p w14:paraId="10994355" w14:textId="77777777" w:rsidR="001520A7" w:rsidRPr="00E378A5" w:rsidRDefault="001520A7" w:rsidP="001520A7">
      <w:pPr>
        <w:pStyle w:val="Textonotapie"/>
        <w:ind w:firstLine="708"/>
        <w:jc w:val="both"/>
        <w:rPr>
          <w:rFonts w:ascii="Verdana" w:hAnsi="Verdana" w:cs="Arial"/>
          <w:sz w:val="16"/>
          <w:szCs w:val="16"/>
        </w:rPr>
      </w:pPr>
      <w:r w:rsidRPr="00E378A5">
        <w:rPr>
          <w:rFonts w:ascii="Verdana" w:hAnsi="Verdana" w:cs="Arial"/>
          <w:sz w:val="16"/>
          <w:szCs w:val="16"/>
        </w:rPr>
        <w:t>e) La enajenación de bienes del Estado, con excepción de aquellos a que se refiere la Ley 226 de 1995.</w:t>
      </w:r>
    </w:p>
    <w:p w14:paraId="62B8C627" w14:textId="77777777" w:rsidR="001520A7" w:rsidRPr="00E378A5" w:rsidRDefault="001520A7" w:rsidP="001520A7">
      <w:pPr>
        <w:pStyle w:val="Textonotapie"/>
        <w:ind w:firstLine="708"/>
        <w:jc w:val="both"/>
        <w:rPr>
          <w:rFonts w:ascii="Verdana" w:hAnsi="Verdana" w:cs="Arial"/>
          <w:sz w:val="16"/>
          <w:szCs w:val="16"/>
        </w:rPr>
      </w:pPr>
      <w:r w:rsidRPr="00E378A5">
        <w:rPr>
          <w:rFonts w:ascii="Verdana" w:hAnsi="Verdana" w:cs="Arial"/>
          <w:sz w:val="16"/>
          <w:szCs w:val="16"/>
        </w:rPr>
        <w:t xml:space="preserve">[…]; </w:t>
      </w:r>
    </w:p>
    <w:p w14:paraId="6596C1CC" w14:textId="77777777" w:rsidR="001520A7" w:rsidRPr="00E378A5" w:rsidRDefault="001520A7" w:rsidP="001520A7">
      <w:pPr>
        <w:pStyle w:val="Textonotapie"/>
        <w:ind w:firstLine="708"/>
        <w:jc w:val="both"/>
        <w:rPr>
          <w:rFonts w:ascii="Verdana" w:hAnsi="Verdana" w:cs="Arial"/>
          <w:sz w:val="16"/>
          <w:szCs w:val="16"/>
        </w:rPr>
      </w:pPr>
      <w:r w:rsidRPr="00E378A5">
        <w:rPr>
          <w:rFonts w:ascii="Verdana" w:hAnsi="Verdana" w:cs="Arial"/>
          <w:sz w:val="16"/>
          <w:szCs w:val="16"/>
        </w:rPr>
        <w:t xml:space="preserve">f) Productos de origen o destinación agropecuarios que se ofrezcan en las bolsas de productos legalmente constituidas; </w:t>
      </w:r>
    </w:p>
    <w:p w14:paraId="6395A412" w14:textId="77777777" w:rsidR="001520A7" w:rsidRPr="00E378A5" w:rsidRDefault="001520A7" w:rsidP="001520A7">
      <w:pPr>
        <w:pStyle w:val="Textonotapie"/>
        <w:ind w:firstLine="708"/>
        <w:jc w:val="both"/>
        <w:rPr>
          <w:rFonts w:ascii="Verdana" w:hAnsi="Verdana" w:cs="Arial"/>
          <w:sz w:val="16"/>
          <w:szCs w:val="16"/>
        </w:rPr>
      </w:pPr>
      <w:r w:rsidRPr="00E378A5">
        <w:rPr>
          <w:rFonts w:ascii="Verdana" w:hAnsi="Verdana" w:cs="Arial"/>
          <w:sz w:val="16"/>
          <w:szCs w:val="16"/>
        </w:rPr>
        <w:t xml:space="preserve">g) Los actos y contratos que tengan por objeto directo las actividades comerciales e industriales propias de las Empresas Industriales y Comerciales Estatales y de las Sociedades de Economía Mixta, con excepción de los contratos que a título enunciativo identifica el artículo 32 de la Ley 80 de 1993; </w:t>
      </w:r>
    </w:p>
    <w:p w14:paraId="7EC43521" w14:textId="77777777" w:rsidR="001520A7" w:rsidRPr="00E378A5" w:rsidRDefault="001520A7" w:rsidP="001520A7">
      <w:pPr>
        <w:pStyle w:val="Textonotapie"/>
        <w:ind w:firstLine="708"/>
        <w:jc w:val="both"/>
        <w:rPr>
          <w:rFonts w:ascii="Verdana" w:hAnsi="Verdana" w:cs="Arial"/>
          <w:sz w:val="16"/>
          <w:szCs w:val="16"/>
        </w:rPr>
      </w:pPr>
      <w:r w:rsidRPr="00E378A5">
        <w:rPr>
          <w:rFonts w:ascii="Verdana" w:hAnsi="Verdana" w:cs="Arial"/>
          <w:sz w:val="16"/>
          <w:szCs w:val="16"/>
        </w:rPr>
        <w:t>h) Los contratos de las entidades, a cuyo cargo se encuentre la ejecución de los programas de protección de personas amenazadas, programas de desmovilización y reincorporación a la vida civil de personas y grupos al margen de la ley, incluida la atención de los respectivos grupos familiares, programas de atención a población desplazada por la violencia, programas de protección de derechos humanos de grupos de personas habitantes de la calle, niños y niñas o jóvenes involucrados en grupos juveniles que hayan incurrido en conductas contra el patrimonio económico y sostengan enfrentamientos violentos de diferente tipo, y población en alto grado de vulnerabilidad con reconocido estado de exclusión que requieran capacitación, resocialización y preparación para el trabajo, incluidos los contratos fiduciarios que demanden;</w:t>
      </w:r>
    </w:p>
    <w:p w14:paraId="48373716" w14:textId="77777777" w:rsidR="001520A7" w:rsidRPr="00E378A5" w:rsidRDefault="001520A7" w:rsidP="001520A7">
      <w:pPr>
        <w:pStyle w:val="Textonotapie"/>
        <w:ind w:firstLine="708"/>
        <w:jc w:val="both"/>
        <w:rPr>
          <w:rFonts w:ascii="Verdana" w:hAnsi="Verdana" w:cs="Arial"/>
          <w:sz w:val="16"/>
          <w:szCs w:val="16"/>
        </w:rPr>
      </w:pPr>
      <w:r w:rsidRPr="00E378A5">
        <w:rPr>
          <w:rFonts w:ascii="Verdana" w:hAnsi="Verdana" w:cs="Arial"/>
          <w:sz w:val="16"/>
          <w:szCs w:val="16"/>
        </w:rPr>
        <w:t>i) La contratación de bienes y servicios que se requieran para la defensa y seguridad nacional.</w:t>
      </w:r>
    </w:p>
    <w:p w14:paraId="094929D4" w14:textId="77777777" w:rsidR="001520A7" w:rsidRPr="00E378A5" w:rsidRDefault="001520A7" w:rsidP="001520A7">
      <w:pPr>
        <w:pStyle w:val="Textonotapie"/>
        <w:ind w:firstLine="708"/>
        <w:jc w:val="both"/>
        <w:rPr>
          <w:rFonts w:ascii="Verdana" w:hAnsi="Verdana" w:cs="Arial"/>
          <w:sz w:val="16"/>
          <w:szCs w:val="16"/>
        </w:rPr>
      </w:pPr>
      <w:r w:rsidRPr="00E378A5">
        <w:rPr>
          <w:rFonts w:ascii="Verdana" w:hAnsi="Verdana" w:cs="Arial"/>
          <w:sz w:val="16"/>
          <w:szCs w:val="16"/>
        </w:rPr>
        <w:t>j) Los bienes y servicios no uniformes de común utilización por parte de las entidades públicas, para lo cual la Agencia Nacional de Contratación Pública - Colombia Compra Eficiente - podrá celebrar acuerdos marco de precios y demás instrumentos de agregación de demanda. Estos acuerdos marco de precios también serán de obligatorio uso de las entidades del Estado a las que se refiere el parágrafo 5 del artículo 2 de la presente ley, modificado por el artículo 41 de la Ley 1955 de 2019”.</w:t>
      </w:r>
    </w:p>
  </w:footnote>
  <w:footnote w:id="3">
    <w:p w14:paraId="56D64D88" w14:textId="77777777" w:rsidR="001520A7" w:rsidRPr="00E378A5" w:rsidRDefault="001520A7" w:rsidP="001520A7">
      <w:pPr>
        <w:pStyle w:val="Textonotapie"/>
        <w:ind w:firstLine="708"/>
        <w:jc w:val="both"/>
        <w:rPr>
          <w:rFonts w:ascii="Verdana" w:hAnsi="Verdana" w:cs="Arial"/>
          <w:sz w:val="16"/>
          <w:szCs w:val="16"/>
        </w:rPr>
      </w:pPr>
      <w:r w:rsidRPr="00E378A5">
        <w:rPr>
          <w:rStyle w:val="Refdenotaalpie"/>
          <w:rFonts w:ascii="Verdana" w:hAnsi="Verdana"/>
          <w:sz w:val="16"/>
          <w:szCs w:val="16"/>
        </w:rPr>
        <w:footnoteRef/>
      </w:r>
      <w:r w:rsidRPr="00E378A5">
        <w:rPr>
          <w:rFonts w:ascii="Verdana" w:hAnsi="Verdana"/>
          <w:sz w:val="16"/>
          <w:szCs w:val="16"/>
        </w:rPr>
        <w:t xml:space="preserve"> </w:t>
      </w:r>
      <w:r w:rsidRPr="00E378A5">
        <w:rPr>
          <w:rFonts w:ascii="Verdana" w:hAnsi="Verdana" w:cs="Arial"/>
          <w:sz w:val="16"/>
          <w:szCs w:val="16"/>
        </w:rPr>
        <w:t xml:space="preserve">CONGRESO DE LA REPÚBLICA. Exposición de motivos de la Ley 1150 de 2007. Gaceta del Congreso No. 458 del 1º de agosto de 2005. p. 8. </w:t>
      </w:r>
    </w:p>
  </w:footnote>
  <w:footnote w:id="4">
    <w:p w14:paraId="766937FD" w14:textId="77777777" w:rsidR="001520A7" w:rsidRPr="00E378A5" w:rsidRDefault="001520A7" w:rsidP="001520A7">
      <w:pPr>
        <w:pStyle w:val="Textonotapie"/>
        <w:ind w:firstLine="708"/>
        <w:jc w:val="both"/>
        <w:rPr>
          <w:rFonts w:ascii="Verdana" w:hAnsi="Verdana" w:cs="Arial"/>
          <w:sz w:val="16"/>
          <w:szCs w:val="16"/>
        </w:rPr>
      </w:pPr>
      <w:r w:rsidRPr="00E378A5">
        <w:rPr>
          <w:rStyle w:val="Refdenotaalpie"/>
          <w:rFonts w:ascii="Verdana" w:hAnsi="Verdana"/>
          <w:sz w:val="16"/>
          <w:szCs w:val="16"/>
        </w:rPr>
        <w:footnoteRef/>
      </w:r>
      <w:r w:rsidRPr="00E378A5">
        <w:rPr>
          <w:rFonts w:ascii="Verdana" w:hAnsi="Verdana"/>
          <w:sz w:val="16"/>
          <w:szCs w:val="16"/>
        </w:rPr>
        <w:t xml:space="preserve"> </w:t>
      </w:r>
      <w:r w:rsidRPr="00E378A5">
        <w:rPr>
          <w:rFonts w:ascii="Verdana" w:hAnsi="Verdana" w:cs="Arial"/>
          <w:sz w:val="16"/>
          <w:szCs w:val="16"/>
        </w:rPr>
        <w:t xml:space="preserve">CONSEJO DE ESTADO. Sección Tercera. Subsección A. Sentencia del 23 de julio de 2015. Exp. 36.805. C. P. Hernán Andrade Rincón. </w:t>
      </w:r>
    </w:p>
  </w:footnote>
  <w:footnote w:id="5">
    <w:p w14:paraId="3D95E018" w14:textId="77777777" w:rsidR="001520A7" w:rsidRPr="00E378A5" w:rsidRDefault="001520A7" w:rsidP="001520A7">
      <w:pPr>
        <w:pStyle w:val="Textonotapie"/>
        <w:ind w:firstLine="708"/>
        <w:jc w:val="both"/>
        <w:rPr>
          <w:rFonts w:ascii="Verdana" w:hAnsi="Verdana"/>
          <w:sz w:val="16"/>
          <w:szCs w:val="16"/>
          <w:lang w:val="es-CO"/>
        </w:rPr>
      </w:pPr>
      <w:r w:rsidRPr="00E378A5">
        <w:rPr>
          <w:rStyle w:val="Refdenotaalpie"/>
          <w:rFonts w:ascii="Verdana" w:hAnsi="Verdana"/>
          <w:sz w:val="16"/>
          <w:szCs w:val="16"/>
        </w:rPr>
        <w:footnoteRef/>
      </w:r>
      <w:r w:rsidRPr="00E378A5">
        <w:rPr>
          <w:rFonts w:ascii="Verdana" w:hAnsi="Verdana"/>
          <w:sz w:val="16"/>
          <w:szCs w:val="16"/>
        </w:rPr>
        <w:t xml:space="preserve"> Sobre el alcance de las normas equivalentes en el Código Civil chileno, CLARO SOLAR explica lo siguiente: “Las palabras de que el legislador se sirve pueden tener dos significaciones: el sentido vulgar y el sentido técnico. Según el artículo 20, ‘</w:t>
      </w:r>
      <w:r w:rsidRPr="00E378A5">
        <w:rPr>
          <w:rFonts w:ascii="Verdana" w:hAnsi="Verdana"/>
          <w:i/>
          <w:iCs/>
          <w:sz w:val="16"/>
          <w:szCs w:val="16"/>
        </w:rPr>
        <w:t>las palabras de la ley se entenderán en su sentido natural y obvio, según el uso general de las mismas palabras</w:t>
      </w:r>
      <w:r w:rsidRPr="00E378A5">
        <w:rPr>
          <w:rFonts w:ascii="Verdana" w:hAnsi="Verdana"/>
          <w:sz w:val="16"/>
          <w:szCs w:val="16"/>
        </w:rPr>
        <w:t>’, es decir, el uso de la gente educada. El Diccionario de la Lengua publicado por la Real Academia Española goza a este respecto de gran autoridad. ‘</w:t>
      </w:r>
      <w:r w:rsidRPr="00E378A5">
        <w:rPr>
          <w:rFonts w:ascii="Verdana" w:hAnsi="Verdana"/>
          <w:i/>
          <w:iCs/>
          <w:sz w:val="16"/>
          <w:szCs w:val="16"/>
        </w:rPr>
        <w:t>Pero cuando el legislador</w:t>
      </w:r>
      <w:r w:rsidRPr="00E378A5">
        <w:rPr>
          <w:rFonts w:ascii="Verdana" w:hAnsi="Verdana"/>
          <w:sz w:val="16"/>
          <w:szCs w:val="16"/>
        </w:rPr>
        <w:t xml:space="preserve">, agrega el artículo 20, </w:t>
      </w:r>
      <w:r w:rsidRPr="00E378A5">
        <w:rPr>
          <w:rFonts w:ascii="Verdana" w:hAnsi="Verdana"/>
          <w:i/>
          <w:iCs/>
          <w:sz w:val="16"/>
          <w:szCs w:val="16"/>
        </w:rPr>
        <w:t>las haya definido expresamente para ciertas materias se les dará en éstas su significado legal</w:t>
      </w:r>
      <w:r w:rsidRPr="00E378A5">
        <w:rPr>
          <w:rFonts w:ascii="Verdana" w:hAnsi="Verdana"/>
          <w:sz w:val="16"/>
          <w:szCs w:val="16"/>
        </w:rPr>
        <w:t>’. Por la inversa, según el artículo 21, ‘las palabras técnicas de toda ciencia o arte se tomarán en el sentido que les den los que profesan la misma ciencia o arte; a menos que aparezca claramente que se han tomado en sentido diverso’. Es de suponer que el legislador conozca bastante el idioma en que legisla y sea suficientemente instruido en la ciencia o arte para dar a las palabras de la lengua y a las palabras especiales de la ciencia o arte a que se refiere, el significado que les es propio; en el caso contrario, es necesario que ello aparezca de manifiesto y con toda claridad” (CLARO SOLAR, Luis. Explicaciones de derecho civil chileno y comparado. Volumen I. Tomo I. Santiago: Editorial Jurídica de Chile, 2013. p. 117. Énfasis dentro del texto).</w:t>
      </w:r>
    </w:p>
  </w:footnote>
  <w:footnote w:id="6">
    <w:p w14:paraId="39C2C3DF" w14:textId="77777777" w:rsidR="001520A7" w:rsidRPr="00E378A5" w:rsidRDefault="001520A7" w:rsidP="001520A7">
      <w:pPr>
        <w:pStyle w:val="Textonotapie"/>
        <w:ind w:firstLine="708"/>
        <w:jc w:val="both"/>
        <w:rPr>
          <w:rFonts w:ascii="Verdana" w:hAnsi="Verdana"/>
          <w:sz w:val="16"/>
          <w:szCs w:val="16"/>
          <w:lang w:val="es-ES"/>
        </w:rPr>
      </w:pPr>
      <w:r w:rsidRPr="00E378A5">
        <w:rPr>
          <w:rStyle w:val="Refdenotaalpie"/>
          <w:rFonts w:ascii="Verdana" w:hAnsi="Verdana"/>
          <w:sz w:val="16"/>
          <w:szCs w:val="16"/>
        </w:rPr>
        <w:footnoteRef/>
      </w:r>
      <w:r w:rsidRPr="00E378A5">
        <w:rPr>
          <w:rFonts w:ascii="Verdana" w:hAnsi="Verdana"/>
          <w:sz w:val="16"/>
          <w:szCs w:val="16"/>
        </w:rPr>
        <w:t xml:space="preserve"> </w:t>
      </w:r>
      <w:r w:rsidRPr="00E378A5">
        <w:rPr>
          <w:rFonts w:ascii="Verdana" w:hAnsi="Verdana"/>
          <w:sz w:val="16"/>
          <w:szCs w:val="16"/>
          <w:lang w:val="es-ES"/>
        </w:rPr>
        <w:t xml:space="preserve">REAL ACADEMIA DE LA LENGUA ESPAÑOLA. Diccionario de la lengua española. Disponible en línea: </w:t>
      </w:r>
      <w:hyperlink r:id="rId1" w:history="1">
        <w:r w:rsidRPr="00E378A5">
          <w:rPr>
            <w:rStyle w:val="Hipervnculo"/>
            <w:rFonts w:ascii="Verdana" w:hAnsi="Verdana"/>
            <w:sz w:val="16"/>
            <w:szCs w:val="16"/>
            <w:lang w:val="es-ES"/>
          </w:rPr>
          <w:t>https://dle.rae.es/y</w:t>
        </w:r>
      </w:hyperlink>
      <w:r w:rsidRPr="00E378A5">
        <w:rPr>
          <w:rFonts w:ascii="Verdana" w:hAnsi="Verdana"/>
          <w:sz w:val="16"/>
          <w:szCs w:val="16"/>
          <w:lang w:val="es-ES"/>
        </w:rPr>
        <w:t xml:space="preserve">. (Consultado el 18 de febrero de 2025). </w:t>
      </w:r>
    </w:p>
  </w:footnote>
  <w:footnote w:id="7">
    <w:p w14:paraId="7FE122F7" w14:textId="77777777" w:rsidR="001520A7" w:rsidRPr="00E378A5" w:rsidRDefault="001520A7" w:rsidP="001520A7">
      <w:pPr>
        <w:pStyle w:val="Textonotapie"/>
        <w:ind w:firstLine="708"/>
        <w:jc w:val="both"/>
        <w:rPr>
          <w:rFonts w:ascii="Verdana" w:hAnsi="Verdana"/>
          <w:sz w:val="16"/>
          <w:szCs w:val="16"/>
          <w:lang w:val="es-ES"/>
        </w:rPr>
      </w:pPr>
      <w:r w:rsidRPr="00E378A5">
        <w:rPr>
          <w:rStyle w:val="Refdenotaalpie"/>
          <w:rFonts w:ascii="Verdana" w:hAnsi="Verdana"/>
          <w:sz w:val="16"/>
          <w:szCs w:val="16"/>
        </w:rPr>
        <w:footnoteRef/>
      </w:r>
      <w:r w:rsidRPr="00E378A5">
        <w:rPr>
          <w:rFonts w:ascii="Verdana" w:hAnsi="Verdana"/>
          <w:sz w:val="16"/>
          <w:szCs w:val="16"/>
        </w:rPr>
        <w:t xml:space="preserve"> </w:t>
      </w:r>
      <w:r w:rsidRPr="00E378A5">
        <w:rPr>
          <w:rFonts w:ascii="Verdana" w:hAnsi="Verdana"/>
          <w:sz w:val="16"/>
          <w:szCs w:val="16"/>
          <w:lang w:val="es-ES"/>
        </w:rPr>
        <w:t xml:space="preserve">PALACIO HINCAPIÉ, Juan Ángel. La contratación de las entidades estatales. 8 ed. Medellín: Librería Jurídica R S.A.S., 2020. p. 380. </w:t>
      </w:r>
    </w:p>
  </w:footnote>
  <w:footnote w:id="8">
    <w:p w14:paraId="7B075F94" w14:textId="77777777" w:rsidR="001520A7" w:rsidRPr="00E378A5" w:rsidRDefault="001520A7" w:rsidP="001520A7">
      <w:pPr>
        <w:pStyle w:val="Textonotapie"/>
        <w:ind w:firstLine="708"/>
        <w:jc w:val="both"/>
        <w:rPr>
          <w:rFonts w:ascii="Verdana" w:hAnsi="Verdana"/>
          <w:sz w:val="16"/>
          <w:szCs w:val="16"/>
        </w:rPr>
      </w:pPr>
      <w:r w:rsidRPr="00E378A5">
        <w:rPr>
          <w:rStyle w:val="Refdenotaalpie"/>
          <w:rFonts w:ascii="Verdana" w:hAnsi="Verdana"/>
          <w:sz w:val="16"/>
          <w:szCs w:val="16"/>
        </w:rPr>
        <w:footnoteRef/>
      </w:r>
      <w:r w:rsidRPr="00E378A5">
        <w:rPr>
          <w:rFonts w:ascii="Verdana" w:hAnsi="Verdana"/>
          <w:sz w:val="16"/>
          <w:szCs w:val="16"/>
        </w:rPr>
        <w:t xml:space="preserve"> SUÁREZ BELTRÁN, Gonzalo. Estudios de derecho contractual público. Bogotá: Legis y Universidad Pontificia Javeriana, 2014. p. 72-73.</w:t>
      </w:r>
    </w:p>
  </w:footnote>
  <w:footnote w:id="9">
    <w:p w14:paraId="64EAA8B9" w14:textId="77777777" w:rsidR="001520A7" w:rsidRPr="00E378A5" w:rsidRDefault="001520A7" w:rsidP="001520A7">
      <w:pPr>
        <w:pStyle w:val="Textonotapie"/>
        <w:ind w:firstLine="708"/>
        <w:jc w:val="both"/>
        <w:rPr>
          <w:rFonts w:ascii="Verdana" w:hAnsi="Verdana"/>
          <w:sz w:val="16"/>
          <w:szCs w:val="16"/>
          <w:lang w:val="es-CO"/>
        </w:rPr>
      </w:pPr>
      <w:r w:rsidRPr="00E378A5">
        <w:rPr>
          <w:rStyle w:val="Refdenotaalpie"/>
          <w:rFonts w:ascii="Verdana" w:hAnsi="Verdana"/>
          <w:sz w:val="16"/>
          <w:szCs w:val="16"/>
        </w:rPr>
        <w:footnoteRef/>
      </w:r>
      <w:r w:rsidRPr="00E378A5">
        <w:rPr>
          <w:rFonts w:ascii="Verdana" w:hAnsi="Verdana"/>
          <w:sz w:val="16"/>
          <w:szCs w:val="16"/>
        </w:rPr>
        <w:t xml:space="preserve"> </w:t>
      </w:r>
      <w:r w:rsidRPr="00E378A5">
        <w:rPr>
          <w:rFonts w:ascii="Verdana" w:hAnsi="Verdana"/>
          <w:i/>
          <w:iCs/>
          <w:sz w:val="16"/>
          <w:szCs w:val="16"/>
        </w:rPr>
        <w:t>Ibidem</w:t>
      </w:r>
      <w:r w:rsidRPr="00E378A5">
        <w:rPr>
          <w:rFonts w:ascii="Verdana" w:hAnsi="Verdana"/>
          <w:sz w:val="16"/>
          <w:szCs w:val="16"/>
        </w:rPr>
        <w:t xml:space="preserve">. p. 72-73. </w:t>
      </w:r>
    </w:p>
  </w:footnote>
  <w:footnote w:id="10">
    <w:p w14:paraId="1957BA12" w14:textId="77777777" w:rsidR="001520A7" w:rsidRPr="00E378A5" w:rsidRDefault="001520A7" w:rsidP="001520A7">
      <w:pPr>
        <w:pStyle w:val="Textonotapie"/>
        <w:ind w:firstLine="708"/>
        <w:jc w:val="both"/>
        <w:rPr>
          <w:rFonts w:ascii="Verdana" w:hAnsi="Verdana"/>
          <w:sz w:val="16"/>
          <w:szCs w:val="16"/>
        </w:rPr>
      </w:pPr>
      <w:r w:rsidRPr="00E378A5">
        <w:rPr>
          <w:rStyle w:val="Refdenotaalpie"/>
          <w:rFonts w:ascii="Verdana" w:hAnsi="Verdana"/>
          <w:sz w:val="16"/>
          <w:szCs w:val="16"/>
        </w:rPr>
        <w:footnoteRef/>
      </w:r>
      <w:r w:rsidRPr="00E378A5">
        <w:rPr>
          <w:rFonts w:ascii="Verdana" w:hAnsi="Verdana"/>
          <w:sz w:val="16"/>
          <w:szCs w:val="16"/>
        </w:rPr>
        <w:t xml:space="preserve"> Anexo de Definiciones del Reglamento de Contratación Pública del Perú. Disponible en línea: </w:t>
      </w:r>
      <w:hyperlink r:id="rId2" w:history="1">
        <w:r w:rsidRPr="00E378A5">
          <w:rPr>
            <w:rStyle w:val="Hipervnculo"/>
            <w:rFonts w:ascii="Verdana" w:hAnsi="Verdana"/>
            <w:sz w:val="16"/>
            <w:szCs w:val="16"/>
          </w:rPr>
          <w:t>https://www.oas.org/juridico/PDFs/mesicic5_per_osce_anexo2_reg_ley_cont_est.PDF</w:t>
        </w:r>
      </w:hyperlink>
      <w:r w:rsidRPr="00E378A5">
        <w:rPr>
          <w:rFonts w:ascii="Verdana" w:hAnsi="Verdana"/>
          <w:sz w:val="16"/>
          <w:szCs w:val="16"/>
        </w:rPr>
        <w:t xml:space="preserve">. Consultado el 25 de febrero de 2025. </w:t>
      </w:r>
    </w:p>
  </w:footnote>
  <w:footnote w:id="11">
    <w:p w14:paraId="5589F77D" w14:textId="77777777" w:rsidR="001520A7" w:rsidRPr="00E378A5" w:rsidRDefault="001520A7" w:rsidP="001520A7">
      <w:pPr>
        <w:pStyle w:val="Textonotapie"/>
        <w:ind w:firstLine="708"/>
        <w:jc w:val="both"/>
        <w:rPr>
          <w:rFonts w:ascii="Verdana" w:hAnsi="Verdana" w:cs="Arial"/>
          <w:sz w:val="16"/>
          <w:szCs w:val="16"/>
        </w:rPr>
      </w:pPr>
      <w:r w:rsidRPr="00E378A5">
        <w:rPr>
          <w:rStyle w:val="Refdenotaalpie"/>
          <w:rFonts w:ascii="Verdana" w:hAnsi="Verdana"/>
          <w:sz w:val="16"/>
          <w:szCs w:val="16"/>
        </w:rPr>
        <w:footnoteRef/>
      </w:r>
      <w:r w:rsidRPr="00E378A5">
        <w:rPr>
          <w:rFonts w:ascii="Verdana" w:hAnsi="Verdana"/>
          <w:sz w:val="16"/>
          <w:szCs w:val="16"/>
        </w:rPr>
        <w:t xml:space="preserve"> </w:t>
      </w:r>
      <w:r w:rsidRPr="00E378A5">
        <w:rPr>
          <w:rFonts w:ascii="Verdana" w:hAnsi="Verdana" w:cs="Arial"/>
          <w:sz w:val="16"/>
          <w:szCs w:val="16"/>
        </w:rPr>
        <w:t xml:space="preserve">CONGRESO DE LA REPÚBLICA. Exposición de motivos de la Ley 1150 de 2007. Gaceta del Congreso No. 458 del 1º de agosto de 2005. p. 8. </w:t>
      </w:r>
    </w:p>
  </w:footnote>
  <w:footnote w:id="12">
    <w:p w14:paraId="28E86408" w14:textId="77777777" w:rsidR="001520A7" w:rsidRPr="00E378A5" w:rsidRDefault="001520A7" w:rsidP="001520A7">
      <w:pPr>
        <w:pStyle w:val="Textonotapie"/>
        <w:ind w:firstLine="708"/>
        <w:jc w:val="both"/>
        <w:rPr>
          <w:rFonts w:ascii="Verdana" w:hAnsi="Verdana"/>
          <w:sz w:val="16"/>
          <w:szCs w:val="16"/>
          <w:lang w:val="es-CO"/>
        </w:rPr>
      </w:pPr>
      <w:r w:rsidRPr="00E378A5">
        <w:rPr>
          <w:rStyle w:val="Refdenotaalpie"/>
          <w:rFonts w:ascii="Verdana" w:hAnsi="Verdana"/>
          <w:sz w:val="16"/>
          <w:szCs w:val="16"/>
        </w:rPr>
        <w:footnoteRef/>
      </w:r>
      <w:r w:rsidRPr="00E378A5">
        <w:rPr>
          <w:rFonts w:ascii="Verdana" w:hAnsi="Verdana"/>
          <w:sz w:val="16"/>
          <w:szCs w:val="16"/>
        </w:rPr>
        <w:t xml:space="preserve"> DÁVILA VINUEZA, Luis Guillermo. Régimen jurídico de la contratación estatal. </w:t>
      </w:r>
      <w:r w:rsidRPr="00E378A5">
        <w:rPr>
          <w:rFonts w:ascii="Verdana" w:hAnsi="Verdana" w:cs="Arial"/>
          <w:sz w:val="16"/>
          <w:szCs w:val="16"/>
          <w:lang w:val="es-CO"/>
        </w:rPr>
        <w:t>Tercera Edición</w:t>
      </w:r>
      <w:r w:rsidRPr="00E378A5">
        <w:rPr>
          <w:rFonts w:ascii="Verdana" w:hAnsi="Verdana"/>
          <w:sz w:val="16"/>
          <w:szCs w:val="16"/>
          <w:lang w:val="es-CO"/>
        </w:rPr>
        <w:t>. Bogotá: Legis, 2016. pp. 466-467.</w:t>
      </w:r>
    </w:p>
  </w:footnote>
  <w:footnote w:id="13">
    <w:p w14:paraId="765256C7" w14:textId="77777777" w:rsidR="001520A7" w:rsidRPr="00E378A5" w:rsidRDefault="001520A7" w:rsidP="001520A7">
      <w:pPr>
        <w:pStyle w:val="Textonotapie"/>
        <w:ind w:firstLine="708"/>
        <w:jc w:val="both"/>
        <w:rPr>
          <w:rFonts w:ascii="Verdana" w:hAnsi="Verdana"/>
          <w:sz w:val="16"/>
          <w:szCs w:val="16"/>
          <w:lang w:val="es-CO"/>
        </w:rPr>
      </w:pPr>
      <w:r w:rsidRPr="00E378A5">
        <w:rPr>
          <w:rStyle w:val="Refdenotaalpie"/>
          <w:rFonts w:ascii="Verdana" w:hAnsi="Verdana"/>
          <w:sz w:val="16"/>
          <w:szCs w:val="16"/>
        </w:rPr>
        <w:footnoteRef/>
      </w:r>
      <w:r w:rsidRPr="00E378A5">
        <w:rPr>
          <w:rFonts w:ascii="Verdana" w:hAnsi="Verdana"/>
          <w:sz w:val="16"/>
          <w:szCs w:val="16"/>
        </w:rPr>
        <w:t xml:space="preserve"> </w:t>
      </w:r>
      <w:r w:rsidRPr="00E378A5">
        <w:rPr>
          <w:rFonts w:ascii="Verdana" w:hAnsi="Verdana"/>
          <w:sz w:val="16"/>
          <w:szCs w:val="16"/>
          <w:lang w:val="es-CO"/>
        </w:rPr>
        <w:t>Artículo 2.2.1.2.1.2.1. </w:t>
      </w:r>
      <w:r w:rsidRPr="00E378A5">
        <w:rPr>
          <w:rFonts w:ascii="Verdana" w:hAnsi="Verdana"/>
          <w:i/>
          <w:iCs/>
          <w:sz w:val="16"/>
          <w:szCs w:val="16"/>
          <w:lang w:val="es-CO"/>
        </w:rPr>
        <w:t>Pliegos de condiciones. </w:t>
      </w:r>
      <w:r w:rsidRPr="00E378A5">
        <w:rPr>
          <w:rFonts w:ascii="Verdana" w:hAnsi="Verdana"/>
          <w:sz w:val="16"/>
          <w:szCs w:val="16"/>
          <w:lang w:val="es-CO"/>
        </w:rPr>
        <w:t>En los pliegos de condiciones para contratar Bienes y Servicios de Características Técnicas Uniformes, la Entidad Estatal debe indicar:</w:t>
      </w:r>
    </w:p>
    <w:p w14:paraId="4FD80242" w14:textId="77777777" w:rsidR="001520A7" w:rsidRPr="00E378A5" w:rsidRDefault="001520A7" w:rsidP="001520A7">
      <w:pPr>
        <w:pStyle w:val="Textonotapie"/>
        <w:ind w:firstLine="708"/>
        <w:jc w:val="both"/>
        <w:rPr>
          <w:rFonts w:ascii="Verdana" w:hAnsi="Verdana"/>
          <w:sz w:val="16"/>
          <w:szCs w:val="16"/>
          <w:lang w:val="es-CO"/>
        </w:rPr>
      </w:pPr>
      <w:r w:rsidRPr="00E378A5">
        <w:rPr>
          <w:rFonts w:ascii="Verdana" w:hAnsi="Verdana"/>
          <w:sz w:val="16"/>
          <w:szCs w:val="16"/>
          <w:lang w:val="es-CO"/>
        </w:rPr>
        <w:t>1.  La ficha técnica del bien o servicio que debe incluir: a) la clasificación del bien o servicio de acuerdo con el Clasificador de Bienes y Servicios; b) la identificación adicional requerida; c) la unidad de medida; d) la calidad mínima, y e) los patrones de desempeño mínimos.</w:t>
      </w:r>
    </w:p>
    <w:p w14:paraId="2CDB8275" w14:textId="77777777" w:rsidR="001520A7" w:rsidRPr="00E378A5" w:rsidRDefault="001520A7" w:rsidP="001520A7">
      <w:pPr>
        <w:pStyle w:val="Textonotapie"/>
        <w:ind w:firstLine="708"/>
        <w:jc w:val="both"/>
        <w:rPr>
          <w:rFonts w:ascii="Verdana" w:hAnsi="Verdana"/>
          <w:sz w:val="16"/>
          <w:szCs w:val="16"/>
          <w:lang w:val="es-CO"/>
        </w:rPr>
      </w:pPr>
      <w:r w:rsidRPr="00E378A5">
        <w:rPr>
          <w:rFonts w:ascii="Verdana" w:hAnsi="Verdana"/>
          <w:sz w:val="16"/>
          <w:szCs w:val="16"/>
          <w:lang w:val="es-CO"/>
        </w:rPr>
        <w:t>2. Si el precio del bien o servicio es regulado, la variable sobre la cual se hace la evaluación de las ofertas.</w:t>
      </w:r>
    </w:p>
    <w:p w14:paraId="7C288C3B" w14:textId="77777777" w:rsidR="001520A7" w:rsidRPr="00E378A5" w:rsidRDefault="001520A7" w:rsidP="001520A7">
      <w:pPr>
        <w:pStyle w:val="Textonotapie"/>
        <w:ind w:firstLine="708"/>
        <w:jc w:val="both"/>
        <w:rPr>
          <w:rFonts w:ascii="Verdana" w:hAnsi="Verdana"/>
          <w:sz w:val="16"/>
          <w:szCs w:val="16"/>
          <w:lang w:val="es-CO"/>
        </w:rPr>
      </w:pPr>
      <w:r w:rsidRPr="00E378A5">
        <w:rPr>
          <w:rFonts w:ascii="Verdana" w:hAnsi="Verdana"/>
          <w:sz w:val="16"/>
          <w:szCs w:val="16"/>
          <w:lang w:val="es-CO"/>
        </w:rPr>
        <w:t>3. Definir el contenido de cada uno de las partes o lotes, si la adquisición se pretende hacer por partes.</w:t>
      </w:r>
    </w:p>
    <w:p w14:paraId="3A98A972" w14:textId="77777777" w:rsidR="001520A7" w:rsidRPr="00E378A5" w:rsidRDefault="001520A7" w:rsidP="001520A7">
      <w:pPr>
        <w:pStyle w:val="Textonotapie"/>
        <w:rPr>
          <w:rFonts w:ascii="Verdana" w:hAnsi="Verdana"/>
          <w:sz w:val="16"/>
          <w:szCs w:val="16"/>
          <w:lang w:val="es-CO"/>
        </w:rPr>
      </w:pPr>
    </w:p>
  </w:footnote>
  <w:footnote w:id="14">
    <w:p w14:paraId="0DA9578E" w14:textId="77777777" w:rsidR="001520A7" w:rsidRPr="00E378A5" w:rsidRDefault="001520A7" w:rsidP="001520A7">
      <w:pPr>
        <w:pStyle w:val="NormalWeb"/>
        <w:spacing w:before="0" w:beforeAutospacing="0" w:after="0" w:afterAutospacing="0"/>
        <w:ind w:firstLine="708"/>
        <w:jc w:val="both"/>
        <w:rPr>
          <w:rFonts w:ascii="Verdana" w:hAnsi="Verdana" w:cs="Arial"/>
          <w:sz w:val="16"/>
          <w:szCs w:val="16"/>
        </w:rPr>
      </w:pPr>
      <w:r w:rsidRPr="00E378A5">
        <w:rPr>
          <w:rStyle w:val="Refdenotaalpie"/>
          <w:rFonts w:ascii="Verdana" w:hAnsi="Verdana" w:cs="Arial"/>
          <w:sz w:val="16"/>
          <w:szCs w:val="16"/>
        </w:rPr>
        <w:footnoteRef/>
      </w:r>
      <w:r w:rsidRPr="00E378A5">
        <w:rPr>
          <w:rFonts w:ascii="Verdana" w:hAnsi="Verdana" w:cs="Arial"/>
          <w:sz w:val="16"/>
          <w:szCs w:val="16"/>
        </w:rPr>
        <w:t xml:space="preserve"> Ley 1150 de 2007: “Artículo 6. De la verificación de las condiciones de los proponentes. Todas las personas naturales o jurídicas nacionales o extranjeras domiciliadas o con sucursal en Colombia, que aspiren a celebrar contratos con las entidades estatales, se inscribirán en el Registro Unico de Proponentes del Registro Único Empresarial de la Cámara de Comercio con jurisdicción en su domicilio principal.  </w:t>
      </w:r>
    </w:p>
    <w:p w14:paraId="34908D99" w14:textId="77777777" w:rsidR="001520A7" w:rsidRPr="00E378A5" w:rsidRDefault="001520A7" w:rsidP="001520A7">
      <w:pPr>
        <w:spacing w:after="0"/>
        <w:jc w:val="both"/>
        <w:rPr>
          <w:rFonts w:ascii="Verdana" w:eastAsia="Times New Roman" w:hAnsi="Verdana" w:cs="Arial"/>
          <w:sz w:val="16"/>
          <w:szCs w:val="16"/>
          <w:lang w:eastAsia="es-CO"/>
        </w:rPr>
      </w:pPr>
      <w:r w:rsidRPr="00E378A5">
        <w:rPr>
          <w:rFonts w:ascii="Verdana" w:eastAsia="Times New Roman" w:hAnsi="Verdana" w:cs="Arial"/>
          <w:sz w:val="16"/>
          <w:szCs w:val="16"/>
          <w:lang w:eastAsia="es-CO"/>
        </w:rPr>
        <w:t> </w:t>
      </w:r>
      <w:r w:rsidRPr="00E378A5">
        <w:rPr>
          <w:rFonts w:ascii="Verdana" w:eastAsia="Times New Roman" w:hAnsi="Verdana" w:cs="Arial"/>
          <w:sz w:val="16"/>
          <w:szCs w:val="16"/>
          <w:lang w:eastAsia="es-CO"/>
        </w:rPr>
        <w:tab/>
        <w:t>No se requerirá de este registro, ni de clasificación, en los casos de contratación directa; contratos para la prestación de servicios de salud; contratos de mínima cuantía; enajenación de bienes del Estado; contratos que tengan por objeto la adquisición de productos de origen o destinación agropecuaria que se ofrezcan en bolsas de productos legalmente constituidas; los actos y contratos que tengan por objeto directo las actividades comerciales e industriales propias de las empresas industriales y comerciales del Estado y las sociedades de economía mixta y los contratos de concesión de cualquier índole. En los casos anteriormente señalados, corresponderá a las entidades contratantes cumplir con la labor de verificación de las condiciones de los proponentes.</w:t>
      </w:r>
    </w:p>
    <w:p w14:paraId="2894E41A" w14:textId="77777777" w:rsidR="001520A7" w:rsidRPr="00E378A5" w:rsidRDefault="001520A7" w:rsidP="001520A7">
      <w:pPr>
        <w:spacing w:after="0"/>
        <w:ind w:firstLine="708"/>
        <w:jc w:val="both"/>
        <w:rPr>
          <w:rFonts w:ascii="Verdana" w:eastAsia="Times New Roman" w:hAnsi="Verdana" w:cs="Arial"/>
          <w:sz w:val="16"/>
          <w:szCs w:val="16"/>
          <w:lang w:eastAsia="es-CO"/>
        </w:rPr>
      </w:pPr>
      <w:r w:rsidRPr="00E378A5">
        <w:rPr>
          <w:rFonts w:ascii="Verdana" w:eastAsia="Times New Roman" w:hAnsi="Verdana" w:cs="Arial"/>
          <w:sz w:val="16"/>
          <w:szCs w:val="16"/>
          <w:u w:val="single"/>
          <w:lang w:eastAsia="es-CO"/>
        </w:rPr>
        <w:t xml:space="preserve">En dicho registro constará la información relacionada con la experiencia, capacidad jurídica, financiera y de organización del proponente y su clasificación </w:t>
      </w:r>
      <w:r w:rsidRPr="00E378A5">
        <w:rPr>
          <w:rFonts w:ascii="Verdana" w:eastAsia="Times New Roman" w:hAnsi="Verdana" w:cs="Arial"/>
          <w:sz w:val="16"/>
          <w:szCs w:val="16"/>
          <w:lang w:eastAsia="es-CO"/>
        </w:rPr>
        <w:t>[…]”. (Subrayas fuera del texto).</w:t>
      </w:r>
    </w:p>
  </w:footnote>
  <w:footnote w:id="15">
    <w:p w14:paraId="72FF71CA" w14:textId="77777777" w:rsidR="001520A7" w:rsidRPr="00E378A5" w:rsidRDefault="001520A7" w:rsidP="001520A7">
      <w:pPr>
        <w:pStyle w:val="Textonotapie"/>
        <w:ind w:firstLine="708"/>
        <w:jc w:val="both"/>
        <w:rPr>
          <w:rFonts w:ascii="Verdana" w:hAnsi="Verdana" w:cs="Arial"/>
          <w:sz w:val="16"/>
          <w:szCs w:val="16"/>
        </w:rPr>
      </w:pPr>
      <w:r w:rsidRPr="00E378A5">
        <w:rPr>
          <w:rStyle w:val="Refdenotaalpie"/>
          <w:rFonts w:ascii="Verdana" w:hAnsi="Verdana" w:cs="Arial"/>
          <w:sz w:val="16"/>
          <w:szCs w:val="16"/>
        </w:rPr>
        <w:footnoteRef/>
      </w:r>
      <w:r w:rsidRPr="00E378A5">
        <w:rPr>
          <w:rFonts w:ascii="Verdana" w:hAnsi="Verdana" w:cs="Arial"/>
          <w:sz w:val="16"/>
          <w:szCs w:val="16"/>
        </w:rPr>
        <w:t xml:space="preserve"> Debe precisarse que, a pesar de que el RUP es la regla general, de conformidad con el segundo inciso del artículo 6 de la Ley 1150 de 2007, este no es exigible en todos los procesos de contratación. Al respecto ha manifestado esta Subdirección: “No obstante lo anterior, el RUP no es exigible en algunos procedimientos de selección, como en la contratación directa, la mínima cuantía, la prestación de servicios de salud, enajenación de bienes del Estado, la adquisición de productos de origen o destinación agropecuaria ofrecidos en bolsas de productos, los contratos de concesión y los contratos que celebren las empresas industriales y comerciales del Estado y las sociedades de economía mixta, que tengan por objeto el desarrollo de sus actividades industriales y comerciales, razón por la cual las entidades estatales deben verificar directamente el cumplimiento de los requisitos habilitantes”. Agencia Nacional de Contratación Pública – Colombia Compra Eficiente. Concepto C-052 del 18 de marzo de 2020. Radicado de entrada No. 4202012000000208. Radicado de salida No. 2202013000002051.</w:t>
      </w:r>
    </w:p>
  </w:footnote>
  <w:footnote w:id="16">
    <w:p w14:paraId="4CBD4300" w14:textId="77777777" w:rsidR="001520A7" w:rsidRPr="00E378A5" w:rsidRDefault="001520A7" w:rsidP="001520A7">
      <w:pPr>
        <w:pStyle w:val="Textonotapie"/>
        <w:ind w:firstLine="708"/>
        <w:jc w:val="both"/>
        <w:rPr>
          <w:rFonts w:ascii="Verdana" w:hAnsi="Verdana" w:cs="Arial"/>
          <w:color w:val="0000FF"/>
          <w:sz w:val="16"/>
          <w:szCs w:val="16"/>
          <w:u w:val="single"/>
        </w:rPr>
      </w:pPr>
      <w:r w:rsidRPr="00E378A5">
        <w:rPr>
          <w:rStyle w:val="Refdenotaalpie"/>
          <w:rFonts w:ascii="Verdana" w:hAnsi="Verdana" w:cs="Arial"/>
          <w:sz w:val="16"/>
          <w:szCs w:val="16"/>
        </w:rPr>
        <w:footnoteRef/>
      </w:r>
      <w:r w:rsidRPr="00E378A5">
        <w:rPr>
          <w:rFonts w:ascii="Verdana" w:hAnsi="Verdana" w:cs="Arial"/>
          <w:sz w:val="16"/>
          <w:szCs w:val="16"/>
        </w:rPr>
        <w:t xml:space="preserve"> Agencia Nacional de Contratación Pública – Colombia Compra Eficiente. Guía para la codificación de bienes y servicios de acuerdo con el código estándar de productos y servicios de Naciones Unidas, V.14.080. Disponible en: </w:t>
      </w:r>
      <w:hyperlink r:id="rId3" w:history="1">
        <w:r w:rsidRPr="00E378A5">
          <w:rPr>
            <w:rStyle w:val="Hipervnculo"/>
            <w:rFonts w:ascii="Verdana" w:eastAsia="Times New Roman" w:hAnsi="Verdana" w:cs="Arial"/>
            <w:sz w:val="16"/>
            <w:szCs w:val="16"/>
            <w:bdr w:val="none" w:sz="0" w:space="0" w:color="auto" w:frame="1"/>
            <w:lang w:eastAsia="es-CO"/>
          </w:rPr>
          <w:t>https://www.colombiacompra.gov.co/archivos/manual/guia-para-la-codificacion-de-bienes-y-servicios</w:t>
        </w:r>
      </w:hyperlink>
      <w:r w:rsidRPr="00E378A5">
        <w:rPr>
          <w:rFonts w:ascii="Verdana" w:eastAsia="Times New Roman" w:hAnsi="Verdana" w:cs="Arial"/>
          <w:sz w:val="16"/>
          <w:szCs w:val="16"/>
          <w:bdr w:val="none" w:sz="0" w:space="0" w:color="auto" w:frame="1"/>
          <w:lang w:eastAsia="es-CO"/>
        </w:rPr>
        <w:t>.</w:t>
      </w:r>
      <w:hyperlink r:id="rId4" w:history="1"/>
    </w:p>
  </w:footnote>
  <w:footnote w:id="17">
    <w:p w14:paraId="13C03124" w14:textId="77777777" w:rsidR="001520A7" w:rsidRPr="00E378A5" w:rsidRDefault="001520A7" w:rsidP="001520A7">
      <w:pPr>
        <w:pStyle w:val="Textonotapie"/>
        <w:ind w:firstLine="708"/>
        <w:jc w:val="both"/>
        <w:rPr>
          <w:rFonts w:ascii="Verdana" w:hAnsi="Verdana" w:cs="Arial"/>
          <w:sz w:val="16"/>
          <w:szCs w:val="16"/>
        </w:rPr>
      </w:pPr>
      <w:r w:rsidRPr="00E378A5">
        <w:rPr>
          <w:rStyle w:val="Refdenotaalpie"/>
          <w:rFonts w:ascii="Verdana" w:hAnsi="Verdana" w:cs="Arial"/>
          <w:sz w:val="16"/>
          <w:szCs w:val="16"/>
        </w:rPr>
        <w:footnoteRef/>
      </w:r>
      <w:r w:rsidRPr="00E378A5">
        <w:rPr>
          <w:rFonts w:ascii="Verdana" w:hAnsi="Verdana" w:cs="Arial"/>
          <w:sz w:val="16"/>
          <w:szCs w:val="16"/>
        </w:rPr>
        <w:t xml:space="preserve"> Decreto 1082 de 2015: “Artículo 2.2.1.1.1.4.1. Plan Anual de Adquisiciones. Las Entidades Estatales deben elaborar un Plan Anual de Adquisiciones, el cual debe contener la lista de bienes, obras y servicios que pretenden adquirir durante el año. En el Plan Anual de Adquisiciones, la Entidad Estatal debe señalar la necesidad y cuando conoce el bien, obra o servicio que satisface esa necesidad debe identificarlo utilizando el Clasificador de Bienes y Servicios, e indicar el valor estimado del contrato, el tipo de recursos con cargo a los cuales la Entidad Estatal pagará el bien, obra o servicio, la modalidad de selección del contratista, y la fecha aproximada en la cual la Entidad Estatal iniciará el Proceso de Contratación. Colombia Compra Eficiente establecerá los lineamientos y el formato que debe ser utilizado para elaborar el Plan Anual de Adquisiciones”.</w:t>
      </w:r>
    </w:p>
  </w:footnote>
  <w:footnote w:id="18">
    <w:p w14:paraId="4F29F942" w14:textId="77777777" w:rsidR="001520A7" w:rsidRPr="00E378A5" w:rsidRDefault="001520A7" w:rsidP="001520A7">
      <w:pPr>
        <w:pStyle w:val="NormalWeb"/>
        <w:spacing w:before="0" w:beforeAutospacing="0" w:after="0" w:afterAutospacing="0"/>
        <w:ind w:firstLine="708"/>
        <w:jc w:val="both"/>
        <w:rPr>
          <w:rFonts w:ascii="Verdana" w:hAnsi="Verdana" w:cs="Arial"/>
          <w:color w:val="000000"/>
          <w:sz w:val="16"/>
          <w:szCs w:val="16"/>
        </w:rPr>
      </w:pPr>
      <w:r w:rsidRPr="00E378A5">
        <w:rPr>
          <w:rStyle w:val="Refdenotaalpie"/>
          <w:rFonts w:ascii="Verdana" w:hAnsi="Verdana" w:cs="Arial"/>
          <w:sz w:val="16"/>
          <w:szCs w:val="16"/>
        </w:rPr>
        <w:footnoteRef/>
      </w:r>
      <w:r w:rsidRPr="00E378A5">
        <w:rPr>
          <w:rFonts w:ascii="Verdana" w:hAnsi="Verdana" w:cs="Arial"/>
          <w:sz w:val="16"/>
          <w:szCs w:val="16"/>
        </w:rPr>
        <w:t xml:space="preserve"> Decreto 1082 de 2015: “</w:t>
      </w:r>
      <w:r w:rsidRPr="00E378A5">
        <w:rPr>
          <w:rFonts w:ascii="Verdana" w:hAnsi="Verdana" w:cs="Arial"/>
          <w:color w:val="000000"/>
          <w:sz w:val="16"/>
          <w:szCs w:val="16"/>
        </w:rPr>
        <w:t>Artículo 2.2.1.1.1.5.2. Información para inscripción, renovación o actualización</w:t>
      </w:r>
      <w:r w:rsidRPr="00E378A5">
        <w:rPr>
          <w:rFonts w:ascii="Verdana" w:hAnsi="Verdana" w:cs="Arial"/>
          <w:bCs/>
          <w:color w:val="000000"/>
          <w:sz w:val="16"/>
          <w:szCs w:val="16"/>
        </w:rPr>
        <w:t>.</w:t>
      </w:r>
      <w:r w:rsidRPr="00E378A5">
        <w:rPr>
          <w:rFonts w:ascii="Verdana" w:hAnsi="Verdana" w:cs="Arial"/>
          <w:bCs/>
          <w:i/>
          <w:iCs/>
          <w:color w:val="000000"/>
          <w:sz w:val="16"/>
          <w:szCs w:val="16"/>
        </w:rPr>
        <w:t> </w:t>
      </w:r>
      <w:r w:rsidRPr="00E378A5">
        <w:rPr>
          <w:rFonts w:ascii="Verdana" w:hAnsi="Verdana" w:cs="Arial"/>
          <w:color w:val="000000"/>
          <w:sz w:val="16"/>
          <w:szCs w:val="16"/>
        </w:rPr>
        <w:t>El interesado debe presentar a cualquier cámara de comercio del país una solicitud de registro, acompañada de la siguiente información. La cámara de comercio del domicilio del solicitante es la responsable de la inscripción, renovación o actualización correspondiente: </w:t>
      </w:r>
    </w:p>
    <w:p w14:paraId="184C483F" w14:textId="77777777" w:rsidR="001520A7" w:rsidRPr="00E378A5" w:rsidRDefault="001520A7" w:rsidP="001520A7">
      <w:pPr>
        <w:spacing w:after="0" w:line="240" w:lineRule="auto"/>
        <w:jc w:val="both"/>
        <w:rPr>
          <w:rFonts w:ascii="Verdana" w:eastAsia="Times New Roman" w:hAnsi="Verdana" w:cs="Arial"/>
          <w:color w:val="000000"/>
          <w:sz w:val="16"/>
          <w:szCs w:val="16"/>
          <w:lang w:eastAsia="es-CO"/>
        </w:rPr>
      </w:pPr>
      <w:r w:rsidRPr="00E378A5">
        <w:rPr>
          <w:rFonts w:ascii="Verdana" w:eastAsia="Times New Roman" w:hAnsi="Verdana" w:cs="Arial"/>
          <w:color w:val="000000"/>
          <w:sz w:val="16"/>
          <w:szCs w:val="16"/>
          <w:lang w:eastAsia="es-CO"/>
        </w:rPr>
        <w:t>  </w:t>
      </w:r>
      <w:r w:rsidRPr="00E378A5">
        <w:rPr>
          <w:rFonts w:ascii="Verdana" w:eastAsia="Times New Roman" w:hAnsi="Verdana" w:cs="Arial"/>
          <w:color w:val="000000"/>
          <w:sz w:val="16"/>
          <w:szCs w:val="16"/>
          <w:lang w:eastAsia="es-CO"/>
        </w:rPr>
        <w:tab/>
        <w:t>1. Si es una persona natural: </w:t>
      </w:r>
    </w:p>
    <w:p w14:paraId="417C689C" w14:textId="77777777" w:rsidR="001520A7" w:rsidRPr="00E378A5" w:rsidRDefault="001520A7" w:rsidP="001520A7">
      <w:pPr>
        <w:spacing w:after="0" w:line="240" w:lineRule="auto"/>
        <w:jc w:val="both"/>
        <w:rPr>
          <w:rFonts w:ascii="Verdana" w:eastAsia="Times New Roman" w:hAnsi="Verdana" w:cs="Arial"/>
          <w:color w:val="000000"/>
          <w:sz w:val="16"/>
          <w:szCs w:val="16"/>
          <w:lang w:eastAsia="es-CO"/>
        </w:rPr>
      </w:pPr>
      <w:r w:rsidRPr="00E378A5">
        <w:rPr>
          <w:rFonts w:ascii="Verdana" w:eastAsia="Times New Roman" w:hAnsi="Verdana" w:cs="Arial"/>
          <w:color w:val="000000"/>
          <w:sz w:val="16"/>
          <w:szCs w:val="16"/>
          <w:lang w:eastAsia="es-CO"/>
        </w:rPr>
        <w:t>  </w:t>
      </w:r>
      <w:r w:rsidRPr="00E378A5">
        <w:rPr>
          <w:rFonts w:ascii="Verdana" w:eastAsia="Times New Roman" w:hAnsi="Verdana" w:cs="Arial"/>
          <w:color w:val="000000"/>
          <w:sz w:val="16"/>
          <w:szCs w:val="16"/>
          <w:lang w:eastAsia="es-CO"/>
        </w:rPr>
        <w:tab/>
        <w:t>1.1. Bienes, obras y servicios que ofrecerá a las Entidades Estatales, identificados con el Clasificador de Bienes y Servicios en el tercer nivel. </w:t>
      </w:r>
    </w:p>
    <w:p w14:paraId="5CC60CB3" w14:textId="77777777" w:rsidR="001520A7" w:rsidRPr="00E378A5" w:rsidRDefault="001520A7" w:rsidP="001520A7">
      <w:pPr>
        <w:spacing w:after="0" w:line="240" w:lineRule="auto"/>
        <w:jc w:val="both"/>
        <w:rPr>
          <w:rFonts w:ascii="Verdana" w:eastAsia="Times New Roman" w:hAnsi="Verdana" w:cs="Arial"/>
          <w:color w:val="000000"/>
          <w:sz w:val="16"/>
          <w:szCs w:val="16"/>
          <w:lang w:eastAsia="es-CO"/>
        </w:rPr>
      </w:pPr>
      <w:r w:rsidRPr="00E378A5">
        <w:rPr>
          <w:rFonts w:ascii="Verdana" w:eastAsia="Times New Roman" w:hAnsi="Verdana" w:cs="Arial"/>
          <w:color w:val="000000"/>
          <w:sz w:val="16"/>
          <w:szCs w:val="16"/>
          <w:lang w:eastAsia="es-CO"/>
        </w:rPr>
        <w:t>  </w:t>
      </w:r>
      <w:r w:rsidRPr="00E378A5">
        <w:rPr>
          <w:rFonts w:ascii="Verdana" w:eastAsia="Times New Roman" w:hAnsi="Verdana" w:cs="Arial"/>
          <w:color w:val="000000"/>
          <w:sz w:val="16"/>
          <w:szCs w:val="16"/>
          <w:lang w:eastAsia="es-CO"/>
        </w:rPr>
        <w:tab/>
        <w:t>1.2. Certificados de la experiencia en la provisión de los bienes, obras y servicios que ofrecerá a las Entidades Estatales, los cuales deben ser expedidos por terceros que hayan recibido tales bienes, obras o servicios y deben corresponder a contratos ejecutados o copias de los contratos cuando el interesado no puede obtener tal certificado. El interesado debe indicar en cada certificado o en cada copia de los contratos, los bienes, obras y servicios a los cuales corresponde la experiencia que pretende acreditar, identificándolos con el Clasificador de Bienes y Servicios en el tercer nivel. </w:t>
      </w:r>
    </w:p>
    <w:p w14:paraId="34E21BAD" w14:textId="77777777" w:rsidR="001520A7" w:rsidRPr="00E378A5" w:rsidRDefault="001520A7" w:rsidP="001520A7">
      <w:pPr>
        <w:pStyle w:val="Textonotapie"/>
        <w:ind w:firstLine="708"/>
        <w:jc w:val="both"/>
        <w:rPr>
          <w:rFonts w:ascii="Verdana" w:hAnsi="Verdana" w:cs="Arial"/>
          <w:sz w:val="16"/>
          <w:szCs w:val="16"/>
        </w:rPr>
      </w:pPr>
      <w:r w:rsidRPr="00E378A5">
        <w:rPr>
          <w:rFonts w:ascii="Verdana" w:hAnsi="Verdana" w:cs="Arial"/>
          <w:sz w:val="16"/>
          <w:szCs w:val="16"/>
        </w:rPr>
        <w:t xml:space="preserve"> […]</w:t>
      </w:r>
    </w:p>
    <w:p w14:paraId="614C7DDC" w14:textId="77777777" w:rsidR="001520A7" w:rsidRPr="00E378A5" w:rsidRDefault="001520A7" w:rsidP="001520A7">
      <w:pPr>
        <w:pStyle w:val="Textonotapie"/>
        <w:ind w:firstLine="708"/>
        <w:jc w:val="both"/>
        <w:rPr>
          <w:rFonts w:ascii="Verdana" w:hAnsi="Verdana" w:cs="Arial"/>
          <w:sz w:val="16"/>
          <w:szCs w:val="16"/>
        </w:rPr>
      </w:pPr>
      <w:r w:rsidRPr="00E378A5">
        <w:rPr>
          <w:rFonts w:ascii="Verdana" w:hAnsi="Verdana" w:cs="Arial"/>
          <w:color w:val="000000"/>
          <w:sz w:val="16"/>
          <w:szCs w:val="16"/>
        </w:rPr>
        <w:t>2.5. Certificados de la experiencia en la provisión de los bienes, obras y servicios que ofrecerá a las Entidades Estatales, los cuales deben ser expedidos por terceros que hayan recibido tales bienes, obras o servicios y deben corresponder a contratos ejecutados o copias de los contratos cuando el interesado no puede obtener tal certificado. El interesado debe indicar en cada certificado o en cada copia de los contratos, los bienes, obras y servicios a los cuales corresponde la experiencia que pretende acreditar, identificándolos con el Clasificador de Bienes y Servicios en el tercer nivel. Si la constitución del interesado es menor a tres (3) años, puede acreditar la experiencia de sus accionistas, socios o constituyente […]”.</w:t>
      </w:r>
    </w:p>
  </w:footnote>
  <w:footnote w:id="19">
    <w:p w14:paraId="4E853BBC" w14:textId="77777777" w:rsidR="001520A7" w:rsidRPr="00E378A5" w:rsidRDefault="001520A7" w:rsidP="001520A7">
      <w:pPr>
        <w:pStyle w:val="NormalWeb"/>
        <w:spacing w:before="0" w:beforeAutospacing="0" w:after="0" w:afterAutospacing="0"/>
        <w:ind w:firstLine="708"/>
        <w:jc w:val="both"/>
        <w:rPr>
          <w:rFonts w:ascii="Verdana" w:hAnsi="Verdana" w:cs="Arial"/>
          <w:color w:val="000000"/>
          <w:sz w:val="16"/>
          <w:szCs w:val="16"/>
        </w:rPr>
      </w:pPr>
      <w:r w:rsidRPr="00E378A5">
        <w:rPr>
          <w:rStyle w:val="Refdenotaalpie"/>
          <w:rFonts w:ascii="Verdana" w:hAnsi="Verdana" w:cs="Arial"/>
          <w:sz w:val="16"/>
          <w:szCs w:val="16"/>
        </w:rPr>
        <w:footnoteRef/>
      </w:r>
      <w:r w:rsidRPr="00E378A5">
        <w:rPr>
          <w:rFonts w:ascii="Verdana" w:hAnsi="Verdana" w:cs="Arial"/>
          <w:sz w:val="16"/>
          <w:szCs w:val="16"/>
        </w:rPr>
        <w:t xml:space="preserve"> Decreto 1082 de 2015: “</w:t>
      </w:r>
      <w:r w:rsidRPr="00E378A5">
        <w:rPr>
          <w:rFonts w:ascii="Verdana" w:hAnsi="Verdana" w:cs="Arial"/>
          <w:color w:val="000000"/>
          <w:sz w:val="16"/>
          <w:szCs w:val="16"/>
        </w:rPr>
        <w:t>Artículo 2.2.1.1.1.5.3. Requisitos habilitantes contenidos en el RUP</w:t>
      </w:r>
      <w:r w:rsidRPr="00E378A5">
        <w:rPr>
          <w:rFonts w:ascii="Verdana" w:hAnsi="Verdana" w:cs="Arial"/>
          <w:bCs/>
          <w:i/>
          <w:iCs/>
          <w:color w:val="000000"/>
          <w:sz w:val="16"/>
          <w:szCs w:val="16"/>
        </w:rPr>
        <w:t>. </w:t>
      </w:r>
      <w:r w:rsidRPr="00E378A5">
        <w:rPr>
          <w:rFonts w:ascii="Verdana" w:hAnsi="Verdana" w:cs="Arial"/>
          <w:color w:val="000000"/>
          <w:sz w:val="16"/>
          <w:szCs w:val="16"/>
        </w:rPr>
        <w:t>Las cámaras de comercio, con base en la información a la que hace referencia el artículo anterior, deben verificar y certificar los siguientes requisitos habilitantes: </w:t>
      </w:r>
    </w:p>
    <w:p w14:paraId="68517AD4" w14:textId="77777777" w:rsidR="001520A7" w:rsidRPr="00E378A5" w:rsidRDefault="001520A7" w:rsidP="001520A7">
      <w:pPr>
        <w:spacing w:after="0"/>
        <w:jc w:val="both"/>
        <w:rPr>
          <w:rFonts w:ascii="Verdana" w:eastAsia="Times New Roman" w:hAnsi="Verdana" w:cs="Arial"/>
          <w:color w:val="000000"/>
          <w:sz w:val="16"/>
          <w:szCs w:val="16"/>
          <w:lang w:eastAsia="es-CO"/>
        </w:rPr>
      </w:pPr>
      <w:r w:rsidRPr="00E378A5">
        <w:rPr>
          <w:rFonts w:ascii="Verdana" w:eastAsia="Times New Roman" w:hAnsi="Verdana" w:cs="Arial"/>
          <w:color w:val="000000"/>
          <w:sz w:val="16"/>
          <w:szCs w:val="16"/>
          <w:lang w:eastAsia="es-CO"/>
        </w:rPr>
        <w:t>  </w:t>
      </w:r>
      <w:r w:rsidRPr="00E378A5">
        <w:rPr>
          <w:rFonts w:ascii="Verdana" w:eastAsia="Times New Roman" w:hAnsi="Verdana" w:cs="Arial"/>
          <w:color w:val="000000"/>
          <w:sz w:val="16"/>
          <w:szCs w:val="16"/>
          <w:lang w:eastAsia="es-CO"/>
        </w:rPr>
        <w:tab/>
        <w:t>1. Experiencia – Los contratos celebrados por el interesado para cada uno de los bienes, obras y servicios que ofrecerá a las Entidades Estatales, identificados con el Clasificador de Bienes y Servicios en el tercer nivel y su valor expresado en smmlv. </w:t>
      </w:r>
    </w:p>
    <w:p w14:paraId="18E20790" w14:textId="77777777" w:rsidR="001520A7" w:rsidRPr="00E378A5" w:rsidRDefault="001520A7" w:rsidP="001520A7">
      <w:pPr>
        <w:spacing w:after="0"/>
        <w:jc w:val="both"/>
        <w:rPr>
          <w:rFonts w:ascii="Verdana" w:eastAsia="Times New Roman" w:hAnsi="Verdana" w:cs="Arial"/>
          <w:color w:val="000000"/>
          <w:sz w:val="16"/>
          <w:szCs w:val="16"/>
          <w:lang w:eastAsia="es-CO"/>
        </w:rPr>
      </w:pPr>
      <w:r w:rsidRPr="00E378A5">
        <w:rPr>
          <w:rFonts w:ascii="Verdana" w:eastAsia="Times New Roman" w:hAnsi="Verdana" w:cs="Arial"/>
          <w:color w:val="000000"/>
          <w:sz w:val="16"/>
          <w:szCs w:val="16"/>
          <w:lang w:eastAsia="es-CO"/>
        </w:rPr>
        <w:t>  </w:t>
      </w:r>
      <w:r w:rsidRPr="00E378A5">
        <w:rPr>
          <w:rFonts w:ascii="Verdana" w:eastAsia="Times New Roman" w:hAnsi="Verdana" w:cs="Arial"/>
          <w:color w:val="000000"/>
          <w:sz w:val="16"/>
          <w:szCs w:val="16"/>
          <w:lang w:eastAsia="es-CO"/>
        </w:rPr>
        <w:tab/>
        <w:t>Los contratos celebrados por consorcios, uniones temporales y sociedades en las cuales el interesado tenga o haya tenido participación, para cada uno de los bienes, obras y servicios que ofrecerá a las Entidades Estatales, identificados con el Clasificador de Bienes y Servicios en el tercer nivel y su valor expresado en smmlv […]”.</w:t>
      </w:r>
    </w:p>
  </w:footnote>
  <w:footnote w:id="20">
    <w:p w14:paraId="3248CC0C" w14:textId="77777777" w:rsidR="001520A7" w:rsidRPr="00E378A5" w:rsidRDefault="001520A7" w:rsidP="001520A7">
      <w:pPr>
        <w:pStyle w:val="Textonotapie"/>
        <w:ind w:firstLine="708"/>
        <w:jc w:val="both"/>
        <w:rPr>
          <w:rFonts w:ascii="Verdana" w:hAnsi="Verdana" w:cs="Arial"/>
          <w:color w:val="000000"/>
          <w:sz w:val="16"/>
          <w:szCs w:val="16"/>
        </w:rPr>
      </w:pPr>
      <w:r w:rsidRPr="00E378A5">
        <w:rPr>
          <w:rStyle w:val="Refdenotaalpie"/>
          <w:rFonts w:ascii="Verdana" w:hAnsi="Verdana" w:cs="Arial"/>
          <w:sz w:val="16"/>
          <w:szCs w:val="16"/>
        </w:rPr>
        <w:footnoteRef/>
      </w:r>
      <w:r w:rsidRPr="00E378A5">
        <w:rPr>
          <w:rFonts w:ascii="Verdana" w:hAnsi="Verdana" w:cs="Arial"/>
          <w:sz w:val="16"/>
          <w:szCs w:val="16"/>
        </w:rPr>
        <w:t xml:space="preserve"> Decreto 1082 de 2015: “</w:t>
      </w:r>
      <w:r w:rsidRPr="00E378A5">
        <w:rPr>
          <w:rStyle w:val="Fuerte"/>
          <w:rFonts w:ascii="Verdana" w:hAnsi="Verdana" w:cs="Arial"/>
          <w:color w:val="000000"/>
          <w:sz w:val="16"/>
          <w:szCs w:val="16"/>
        </w:rPr>
        <w:t>Artículo 2.2.1.1.1.5.6. </w:t>
      </w:r>
      <w:r w:rsidRPr="00E378A5">
        <w:rPr>
          <w:rStyle w:val="nfasis"/>
          <w:rFonts w:ascii="Verdana" w:hAnsi="Verdana" w:cs="Arial"/>
          <w:color w:val="000000"/>
          <w:sz w:val="16"/>
          <w:szCs w:val="16"/>
        </w:rPr>
        <w:t>Certificado del RUP. </w:t>
      </w:r>
      <w:r w:rsidRPr="00E378A5">
        <w:rPr>
          <w:rFonts w:ascii="Verdana" w:hAnsi="Verdana" w:cs="Arial"/>
          <w:color w:val="000000"/>
          <w:sz w:val="16"/>
          <w:szCs w:val="16"/>
        </w:rPr>
        <w:t>El certificado del RUP debe contener: (a) los bienes, obras y servicios para los cuales está inscrito el proponente de acuerdo con el Clasificador de Bienes y Servicios; (b) los requisitos e indicadores a los que se refiere el artículo 2.2.1.1.1.5.3 del presente decreto; (c) la información relativa a contratos, multas, sanciones e inhabilidades; y (d) la información histórica de experiencia que el proponente ha inscrito en el RUP. Las cámaras de comercio expedirán el certificado del RUP por solicitud de cualquier interesado. Las Entidades Estatales podrán acceder en línea y de forma gratuita a la información inscrita en el RUP”.</w:t>
      </w:r>
    </w:p>
  </w:footnote>
  <w:footnote w:id="21">
    <w:p w14:paraId="2DC8ACB2" w14:textId="77777777" w:rsidR="001520A7" w:rsidRPr="00E378A5" w:rsidRDefault="001520A7" w:rsidP="001520A7">
      <w:pPr>
        <w:pStyle w:val="Textonotapie"/>
        <w:ind w:firstLine="708"/>
        <w:jc w:val="both"/>
        <w:rPr>
          <w:rFonts w:ascii="Verdana" w:hAnsi="Verdana" w:cs="Arial"/>
          <w:sz w:val="16"/>
          <w:szCs w:val="16"/>
        </w:rPr>
      </w:pPr>
      <w:r w:rsidRPr="00E378A5">
        <w:rPr>
          <w:rStyle w:val="Refdenotaalpie"/>
          <w:rFonts w:ascii="Verdana" w:hAnsi="Verdana" w:cs="Arial"/>
          <w:sz w:val="16"/>
          <w:szCs w:val="16"/>
        </w:rPr>
        <w:footnoteRef/>
      </w:r>
      <w:r w:rsidRPr="00E378A5">
        <w:rPr>
          <w:rFonts w:ascii="Verdana" w:hAnsi="Verdana" w:cs="Arial"/>
          <w:sz w:val="16"/>
          <w:szCs w:val="16"/>
        </w:rPr>
        <w:t xml:space="preserve"> Decreto 1082 de 2015: “Artículo 2.2.1.1.2.1.3. Pliegos de condiciones. Los pliegos de condiciones deben contener por lo menos la siguiente información:  </w:t>
      </w:r>
    </w:p>
    <w:p w14:paraId="0695F552" w14:textId="77777777" w:rsidR="001520A7" w:rsidRPr="00E378A5" w:rsidRDefault="001520A7" w:rsidP="001520A7">
      <w:pPr>
        <w:pStyle w:val="Textonotapie"/>
        <w:ind w:firstLine="708"/>
        <w:jc w:val="both"/>
        <w:rPr>
          <w:rFonts w:ascii="Verdana" w:hAnsi="Verdana" w:cs="Arial"/>
          <w:sz w:val="16"/>
          <w:szCs w:val="16"/>
        </w:rPr>
      </w:pPr>
      <w:r w:rsidRPr="00E378A5">
        <w:rPr>
          <w:rFonts w:ascii="Verdana" w:hAnsi="Verdana" w:cs="Arial"/>
          <w:sz w:val="16"/>
          <w:szCs w:val="16"/>
        </w:rPr>
        <w:t>1. La descripción técnica, detallada y completa del bien o servicio objeto del contrato, identificado con el cuarto nivel del Clasificador de Bienes y Servicios, de ser posible o de lo contrario con el tercer nivel del mismo […]”.</w:t>
      </w:r>
    </w:p>
  </w:footnote>
  <w:footnote w:id="22">
    <w:p w14:paraId="41F0F74C" w14:textId="77777777" w:rsidR="001520A7" w:rsidRPr="00E378A5" w:rsidRDefault="001520A7" w:rsidP="001520A7">
      <w:pPr>
        <w:pStyle w:val="Textonotapie"/>
        <w:ind w:firstLine="708"/>
        <w:jc w:val="both"/>
        <w:rPr>
          <w:rFonts w:ascii="Verdana" w:hAnsi="Verdana"/>
          <w:sz w:val="16"/>
          <w:szCs w:val="16"/>
        </w:rPr>
      </w:pPr>
      <w:r w:rsidRPr="00E378A5">
        <w:rPr>
          <w:rStyle w:val="Refdenotaalpie"/>
          <w:rFonts w:ascii="Verdana" w:hAnsi="Verdana"/>
          <w:sz w:val="16"/>
          <w:szCs w:val="16"/>
        </w:rPr>
        <w:footnoteRef/>
      </w:r>
      <w:r w:rsidRPr="00E378A5">
        <w:rPr>
          <w:rFonts w:ascii="Verdana" w:hAnsi="Verdana"/>
          <w:sz w:val="16"/>
          <w:szCs w:val="16"/>
        </w:rPr>
        <w:t xml:space="preserve"> </w:t>
      </w:r>
      <w:r w:rsidRPr="00E378A5">
        <w:rPr>
          <w:rFonts w:ascii="Verdana" w:hAnsi="Verdana" w:cs="Arial"/>
          <w:sz w:val="16"/>
          <w:szCs w:val="16"/>
        </w:rPr>
        <w:t xml:space="preserve">Agencia Nacional de Contratación Pública – Colombia Compra Eficiente. Guía para la codificación de bienes y servicios de acuerdo con el código estándar de productos y servicios de Naciones Unidas, V.14.080. Disponible en: </w:t>
      </w:r>
      <w:hyperlink r:id="rId5" w:history="1">
        <w:r w:rsidRPr="00E378A5">
          <w:rPr>
            <w:rStyle w:val="Hipervnculo"/>
            <w:rFonts w:ascii="Verdana" w:hAnsi="Verdana" w:cs="Arial"/>
            <w:sz w:val="16"/>
            <w:szCs w:val="16"/>
          </w:rPr>
          <w:t>https://www.colombiacompra.gov.co/sites/cce_public/files/cce_documents/cce_guia_codificacion_bienes.pdf</w:t>
        </w:r>
      </w:hyperlink>
    </w:p>
  </w:footnote>
  <w:footnote w:id="23">
    <w:p w14:paraId="544BF467" w14:textId="77777777" w:rsidR="001520A7" w:rsidRPr="00E378A5" w:rsidRDefault="001520A7" w:rsidP="001520A7">
      <w:pPr>
        <w:pStyle w:val="Textonotapie"/>
        <w:ind w:firstLine="708"/>
        <w:rPr>
          <w:rFonts w:ascii="Verdana" w:hAnsi="Verdana"/>
          <w:sz w:val="16"/>
          <w:szCs w:val="16"/>
        </w:rPr>
      </w:pPr>
      <w:r w:rsidRPr="00E378A5">
        <w:rPr>
          <w:rStyle w:val="Refdenotaalpie"/>
          <w:rFonts w:ascii="Verdana" w:hAnsi="Verdana"/>
          <w:sz w:val="16"/>
          <w:szCs w:val="16"/>
        </w:rPr>
        <w:footnoteRef/>
      </w:r>
      <w:r w:rsidRPr="00E378A5">
        <w:rPr>
          <w:rFonts w:ascii="Verdana" w:hAnsi="Verdana"/>
          <w:sz w:val="16"/>
          <w:szCs w:val="16"/>
        </w:rPr>
        <w:t xml:space="preserve"> Agencia Nacional de Contratación Pública. Manual para determinar los requisitos habilitantes en los procesos de contratación. Disponible en línea: </w:t>
      </w:r>
      <w:hyperlink r:id="rId6" w:history="1">
        <w:r w:rsidRPr="00E378A5">
          <w:rPr>
            <w:rStyle w:val="Hipervnculo"/>
            <w:rFonts w:ascii="Verdana" w:hAnsi="Verdana"/>
            <w:sz w:val="16"/>
            <w:szCs w:val="16"/>
          </w:rPr>
          <w:t>https://www.colombiacompra.gov.co/sites/cce_public/files/cce_documents/cce-eicp-ma-04._manual_requisitos_habilitantes_v3_29-09-2023.pdf</w:t>
        </w:r>
      </w:hyperlink>
    </w:p>
  </w:footnote>
  <w:footnote w:id="24">
    <w:p w14:paraId="00EBEC70" w14:textId="77777777" w:rsidR="001520A7" w:rsidRPr="00E378A5" w:rsidRDefault="001520A7" w:rsidP="001520A7">
      <w:pPr>
        <w:pStyle w:val="Textonotapie"/>
        <w:ind w:firstLine="708"/>
        <w:rPr>
          <w:rFonts w:ascii="Verdana" w:hAnsi="Verdana"/>
          <w:sz w:val="16"/>
          <w:szCs w:val="16"/>
          <w:lang w:val="es-ES"/>
        </w:rPr>
      </w:pPr>
      <w:r w:rsidRPr="00E378A5">
        <w:rPr>
          <w:rStyle w:val="Refdenotaalpie"/>
          <w:rFonts w:ascii="Verdana" w:hAnsi="Verdana"/>
          <w:sz w:val="16"/>
          <w:szCs w:val="16"/>
        </w:rPr>
        <w:footnoteRef/>
      </w:r>
      <w:r w:rsidRPr="00E378A5">
        <w:rPr>
          <w:rFonts w:ascii="Verdana" w:hAnsi="Verdana"/>
          <w:sz w:val="16"/>
          <w:szCs w:val="16"/>
        </w:rPr>
        <w:t xml:space="preserve"> Ibídem., p. 14. </w:t>
      </w:r>
    </w:p>
  </w:footnote>
  <w:footnote w:id="25">
    <w:p w14:paraId="75DA3011" w14:textId="77777777" w:rsidR="001520A7" w:rsidRPr="00E378A5" w:rsidRDefault="001520A7" w:rsidP="001520A7">
      <w:pPr>
        <w:pStyle w:val="Textonotapie"/>
        <w:ind w:firstLine="708"/>
        <w:rPr>
          <w:rFonts w:ascii="Verdana" w:hAnsi="Verdana"/>
          <w:sz w:val="16"/>
          <w:szCs w:val="16"/>
        </w:rPr>
      </w:pPr>
      <w:r w:rsidRPr="00E378A5">
        <w:rPr>
          <w:rStyle w:val="Refdenotaalpie"/>
          <w:rFonts w:ascii="Verdana" w:hAnsi="Verdana"/>
          <w:sz w:val="16"/>
          <w:szCs w:val="16"/>
        </w:rPr>
        <w:footnoteRef/>
      </w:r>
      <w:r w:rsidRPr="00E378A5">
        <w:rPr>
          <w:rFonts w:ascii="Verdana" w:hAnsi="Verdana"/>
          <w:sz w:val="16"/>
          <w:szCs w:val="16"/>
        </w:rPr>
        <w:t xml:space="preserve"> </w:t>
      </w:r>
      <w:r w:rsidRPr="00E378A5">
        <w:rPr>
          <w:rFonts w:ascii="Verdana" w:hAnsi="Verdana"/>
          <w:i/>
          <w:iCs/>
          <w:sz w:val="16"/>
          <w:szCs w:val="16"/>
        </w:rPr>
        <w:t>Ibíd.</w:t>
      </w:r>
      <w:r w:rsidRPr="00E378A5">
        <w:rPr>
          <w:rFonts w:ascii="Verdana" w:hAnsi="Verdana"/>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F4D03" w14:textId="0903BF04" w:rsidR="003332A8" w:rsidRDefault="003332A8" w:rsidP="00844AE9">
    <w:pPr>
      <w:pStyle w:val="Encabezado"/>
      <w:spacing w:line="120" w:lineRule="auto"/>
    </w:pPr>
    <w:r>
      <w:rPr>
        <w:rFonts w:ascii="Geomanist Bold" w:hAnsi="Geomanist Bold"/>
        <w:b/>
        <w:bCs/>
        <w:noProof/>
        <w:color w:val="002060"/>
        <w:sz w:val="24"/>
        <w:szCs w:val="24"/>
        <w:lang w:val="en-US"/>
      </w:rPr>
      <w:drawing>
        <wp:anchor distT="0" distB="0" distL="114300" distR="114300" simplePos="0" relativeHeight="251665408" behindDoc="1" locked="0" layoutInCell="1" allowOverlap="1" wp14:anchorId="6FC3B35F" wp14:editId="51872E67">
          <wp:simplePos x="0" y="0"/>
          <wp:positionH relativeFrom="margin">
            <wp:align>center</wp:align>
          </wp:positionH>
          <wp:positionV relativeFrom="paragraph">
            <wp:posOffset>-256388</wp:posOffset>
          </wp:positionV>
          <wp:extent cx="1924050" cy="856004"/>
          <wp:effectExtent l="0" t="0" r="0" b="1270"/>
          <wp:wrapNone/>
          <wp:docPr id="1309089902"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89902" name="Imagen 1"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24050" cy="856004"/>
                  </a:xfrm>
                  <a:prstGeom prst="rect">
                    <a:avLst/>
                  </a:prstGeom>
                </pic:spPr>
              </pic:pic>
            </a:graphicData>
          </a:graphic>
          <wp14:sizeRelH relativeFrom="margin">
            <wp14:pctWidth>0</wp14:pctWidth>
          </wp14:sizeRelH>
          <wp14:sizeRelV relativeFrom="margin">
            <wp14:pctHeight>0</wp14:pctHeight>
          </wp14:sizeRelV>
        </wp:anchor>
      </w:drawing>
    </w:r>
    <w:r>
      <w:rPr>
        <w:rFonts w:ascii="Geomanist Bold" w:hAnsi="Geomanist Bold"/>
        <w:b/>
        <w:bCs/>
        <w:noProof/>
        <w:color w:val="002060"/>
        <w:sz w:val="24"/>
        <w:szCs w:val="24"/>
        <w:lang w:val="en-US"/>
      </w:rPr>
      <w:drawing>
        <wp:anchor distT="0" distB="0" distL="114300" distR="114300" simplePos="0" relativeHeight="251663360" behindDoc="0" locked="0" layoutInCell="1" allowOverlap="1" wp14:anchorId="4F745D08" wp14:editId="02405FCC">
          <wp:simplePos x="0" y="0"/>
          <wp:positionH relativeFrom="margin">
            <wp:posOffset>8420100</wp:posOffset>
          </wp:positionH>
          <wp:positionV relativeFrom="margin">
            <wp:posOffset>-1377950</wp:posOffset>
          </wp:positionV>
          <wp:extent cx="665480" cy="3098800"/>
          <wp:effectExtent l="0" t="0" r="0" b="0"/>
          <wp:wrapThrough wrapText="bothSides">
            <wp:wrapPolygon edited="0">
              <wp:start x="6183" y="0"/>
              <wp:lineTo x="0" y="1416"/>
              <wp:lineTo x="5359" y="2833"/>
              <wp:lineTo x="2061" y="4249"/>
              <wp:lineTo x="412" y="4780"/>
              <wp:lineTo x="824" y="5134"/>
              <wp:lineTo x="3298" y="5666"/>
              <wp:lineTo x="4534" y="7082"/>
              <wp:lineTo x="412" y="7967"/>
              <wp:lineTo x="0" y="8233"/>
              <wp:lineTo x="5771" y="9915"/>
              <wp:lineTo x="0" y="11508"/>
              <wp:lineTo x="0" y="11685"/>
              <wp:lineTo x="4122" y="12748"/>
              <wp:lineTo x="2061" y="14164"/>
              <wp:lineTo x="0" y="14872"/>
              <wp:lineTo x="0" y="15049"/>
              <wp:lineTo x="2061" y="15580"/>
              <wp:lineTo x="4534" y="16997"/>
              <wp:lineTo x="0" y="18059"/>
              <wp:lineTo x="0" y="18413"/>
              <wp:lineTo x="10718" y="21246"/>
              <wp:lineTo x="12366" y="21511"/>
              <wp:lineTo x="14427" y="21511"/>
              <wp:lineTo x="14840" y="21511"/>
              <wp:lineTo x="17313" y="20980"/>
              <wp:lineTo x="20611" y="20007"/>
              <wp:lineTo x="20198" y="19830"/>
              <wp:lineTo x="13603" y="18413"/>
              <wp:lineTo x="21023" y="16643"/>
              <wp:lineTo x="16489" y="15580"/>
              <wp:lineTo x="17313" y="14164"/>
              <wp:lineTo x="21023" y="13279"/>
              <wp:lineTo x="18962" y="12748"/>
              <wp:lineTo x="15664" y="11331"/>
              <wp:lineTo x="21023" y="10003"/>
              <wp:lineTo x="21023" y="9826"/>
              <wp:lineTo x="18137" y="9207"/>
              <wp:lineTo x="15664" y="8498"/>
              <wp:lineTo x="19374" y="7082"/>
              <wp:lineTo x="21023" y="6639"/>
              <wp:lineTo x="21023" y="6374"/>
              <wp:lineTo x="18137" y="5666"/>
              <wp:lineTo x="16901" y="4249"/>
              <wp:lineTo x="21023" y="3275"/>
              <wp:lineTo x="21023" y="3098"/>
              <wp:lineTo x="20611" y="2833"/>
              <wp:lineTo x="8244" y="0"/>
              <wp:lineTo x="6183" y="0"/>
            </wp:wrapPolygon>
          </wp:wrapThrough>
          <wp:docPr id="962149914" name="Imagen 962149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74706" name="Imagen 1987974706"/>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p w14:paraId="1BE2B9AE" w14:textId="4B94DB3B" w:rsidR="003332A8" w:rsidRDefault="003332A8">
    <w:pPr>
      <w:pStyle w:val="Encabezado"/>
    </w:pPr>
  </w:p>
  <w:p w14:paraId="5E18350A" w14:textId="705F7B76" w:rsidR="003332A8" w:rsidRPr="004A305D" w:rsidRDefault="003332A8" w:rsidP="00B01B1A">
    <w:pPr>
      <w:spacing w:after="0" w:line="120" w:lineRule="auto"/>
      <w:rPr>
        <w:rFonts w:ascii="Century Gothic" w:eastAsia="Geo" w:hAnsi="Century Gothic" w:cs="Geo"/>
        <w:sz w:val="16"/>
        <w:szCs w:val="16"/>
        <w:lang w:eastAsia="es-CO"/>
      </w:rPr>
    </w:pPr>
  </w:p>
  <w:p w14:paraId="211B7F5D" w14:textId="77777777" w:rsidR="003332A8" w:rsidRDefault="003332A8" w:rsidP="00844AE9">
    <w:pPr>
      <w:spacing w:after="0" w:line="240" w:lineRule="auto"/>
      <w:rPr>
        <w:rFonts w:ascii="Verdana" w:hAnsi="Verdana"/>
        <w:sz w:val="24"/>
        <w:szCs w:val="24"/>
      </w:rPr>
    </w:pPr>
  </w:p>
  <w:p w14:paraId="5A0054B1" w14:textId="77777777" w:rsidR="003332A8" w:rsidRPr="00C925AC" w:rsidRDefault="003332A8" w:rsidP="00844AE9">
    <w:pPr>
      <w:spacing w:after="0" w:line="240" w:lineRule="auto"/>
      <w:rPr>
        <w:rFonts w:ascii="Verdana" w:hAnsi="Verdana"/>
        <w:sz w:val="24"/>
        <w:szCs w:val="24"/>
      </w:rPr>
    </w:pPr>
  </w:p>
  <w:p w14:paraId="1FD1C243" w14:textId="37C5500A" w:rsidR="003332A8" w:rsidRPr="00C925AC" w:rsidRDefault="003332A8" w:rsidP="000D5DA7">
    <w:pPr>
      <w:spacing w:after="0" w:line="480" w:lineRule="auto"/>
      <w:rPr>
        <w:rFonts w:ascii="Verdana" w:hAnsi="Verdana"/>
        <w:b/>
        <w:bCs/>
        <w:sz w:val="24"/>
        <w:szCs w:val="24"/>
      </w:rPr>
    </w:pPr>
    <w:r w:rsidRPr="00C925AC">
      <w:rPr>
        <w:rFonts w:ascii="Verdana" w:hAnsi="Verdana"/>
        <w:b/>
        <w:bCs/>
        <w:sz w:val="24"/>
        <w:szCs w:val="24"/>
      </w:rPr>
      <w:t>FORMATO</w:t>
    </w:r>
    <w:r>
      <w:rPr>
        <w:rFonts w:ascii="Verdana" w:hAnsi="Verdana"/>
        <w:b/>
        <w:bCs/>
        <w:sz w:val="24"/>
        <w:szCs w:val="24"/>
      </w:rPr>
      <w:t xml:space="preserve"> DE RESPUESTA </w:t>
    </w:r>
    <w:r w:rsidRPr="00C925AC">
      <w:rPr>
        <w:rFonts w:ascii="Verdana" w:hAnsi="Verdana"/>
        <w:b/>
        <w:bCs/>
        <w:sz w:val="24"/>
        <w:szCs w:val="24"/>
      </w:rPr>
      <w:t>PQRSD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5pt;height:12.5pt" o:bullet="t">
        <v:imagedata r:id="rId1" o:title="mso1B13"/>
      </v:shape>
    </w:pict>
  </w:numPicBullet>
  <w:abstractNum w:abstractNumId="0" w15:restartNumberingAfterBreak="0">
    <w:nsid w:val="0337782A"/>
    <w:multiLevelType w:val="multilevel"/>
    <w:tmpl w:val="90D2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A36B19"/>
    <w:multiLevelType w:val="hybridMultilevel"/>
    <w:tmpl w:val="261425C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06D30BDC"/>
    <w:multiLevelType w:val="hybridMultilevel"/>
    <w:tmpl w:val="734ED3EC"/>
    <w:lvl w:ilvl="0" w:tplc="834431CA">
      <w:numFmt w:val="bullet"/>
      <w:lvlText w:val="-"/>
      <w:lvlJc w:val="left"/>
      <w:pPr>
        <w:ind w:left="1080" w:hanging="360"/>
      </w:pPr>
      <w:rPr>
        <w:rFonts w:ascii="Arial" w:eastAsia="Times New Roman" w:hAnsi="Arial" w:cs="Aria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104262F7"/>
    <w:multiLevelType w:val="hybridMultilevel"/>
    <w:tmpl w:val="9BDCE9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9549AB"/>
    <w:multiLevelType w:val="hybridMultilevel"/>
    <w:tmpl w:val="DEF623AC"/>
    <w:lvl w:ilvl="0" w:tplc="04090017">
      <w:start w:val="1"/>
      <w:numFmt w:val="lowerLetter"/>
      <w:lvlText w:val="%1)"/>
      <w:lvlJc w:val="left"/>
      <w:pPr>
        <w:ind w:left="2204" w:hanging="360"/>
      </w:pPr>
      <w:rPr>
        <w:rFonts w:hint="default"/>
      </w:rPr>
    </w:lvl>
    <w:lvl w:ilvl="1" w:tplc="04090019" w:tentative="1">
      <w:start w:val="1"/>
      <w:numFmt w:val="lowerLetter"/>
      <w:lvlText w:val="%2."/>
      <w:lvlJc w:val="left"/>
      <w:pPr>
        <w:ind w:left="2924" w:hanging="360"/>
      </w:pPr>
    </w:lvl>
    <w:lvl w:ilvl="2" w:tplc="0409001B" w:tentative="1">
      <w:start w:val="1"/>
      <w:numFmt w:val="lowerRoman"/>
      <w:lvlText w:val="%3."/>
      <w:lvlJc w:val="right"/>
      <w:pPr>
        <w:ind w:left="3644" w:hanging="180"/>
      </w:pPr>
    </w:lvl>
    <w:lvl w:ilvl="3" w:tplc="0409000F" w:tentative="1">
      <w:start w:val="1"/>
      <w:numFmt w:val="decimal"/>
      <w:lvlText w:val="%4."/>
      <w:lvlJc w:val="left"/>
      <w:pPr>
        <w:ind w:left="4364" w:hanging="360"/>
      </w:pPr>
    </w:lvl>
    <w:lvl w:ilvl="4" w:tplc="04090019" w:tentative="1">
      <w:start w:val="1"/>
      <w:numFmt w:val="lowerLetter"/>
      <w:lvlText w:val="%5."/>
      <w:lvlJc w:val="left"/>
      <w:pPr>
        <w:ind w:left="5084" w:hanging="360"/>
      </w:pPr>
    </w:lvl>
    <w:lvl w:ilvl="5" w:tplc="0409001B" w:tentative="1">
      <w:start w:val="1"/>
      <w:numFmt w:val="lowerRoman"/>
      <w:lvlText w:val="%6."/>
      <w:lvlJc w:val="right"/>
      <w:pPr>
        <w:ind w:left="5804" w:hanging="180"/>
      </w:pPr>
    </w:lvl>
    <w:lvl w:ilvl="6" w:tplc="0409000F" w:tentative="1">
      <w:start w:val="1"/>
      <w:numFmt w:val="decimal"/>
      <w:lvlText w:val="%7."/>
      <w:lvlJc w:val="left"/>
      <w:pPr>
        <w:ind w:left="6524" w:hanging="360"/>
      </w:pPr>
    </w:lvl>
    <w:lvl w:ilvl="7" w:tplc="04090019" w:tentative="1">
      <w:start w:val="1"/>
      <w:numFmt w:val="lowerLetter"/>
      <w:lvlText w:val="%8."/>
      <w:lvlJc w:val="left"/>
      <w:pPr>
        <w:ind w:left="7244" w:hanging="360"/>
      </w:pPr>
    </w:lvl>
    <w:lvl w:ilvl="8" w:tplc="0409001B" w:tentative="1">
      <w:start w:val="1"/>
      <w:numFmt w:val="lowerRoman"/>
      <w:lvlText w:val="%9."/>
      <w:lvlJc w:val="right"/>
      <w:pPr>
        <w:ind w:left="7964" w:hanging="180"/>
      </w:pPr>
    </w:lvl>
  </w:abstractNum>
  <w:abstractNum w:abstractNumId="5" w15:restartNumberingAfterBreak="0">
    <w:nsid w:val="25352E86"/>
    <w:multiLevelType w:val="multilevel"/>
    <w:tmpl w:val="E81277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5425A2"/>
    <w:multiLevelType w:val="hybridMultilevel"/>
    <w:tmpl w:val="405C6ADC"/>
    <w:lvl w:ilvl="0" w:tplc="E4762024">
      <w:start w:val="1"/>
      <w:numFmt w:val="upperRoman"/>
      <w:lvlText w:val="%1."/>
      <w:lvlJc w:val="left"/>
      <w:pPr>
        <w:ind w:left="1080" w:hanging="720"/>
      </w:pPr>
      <w:rPr>
        <w:rFonts w:hint="default"/>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FEF29CA"/>
    <w:multiLevelType w:val="hybridMultilevel"/>
    <w:tmpl w:val="151400D2"/>
    <w:lvl w:ilvl="0" w:tplc="7C509E50">
      <w:start w:val="1"/>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8" w15:restartNumberingAfterBreak="0">
    <w:nsid w:val="31280020"/>
    <w:multiLevelType w:val="hybridMultilevel"/>
    <w:tmpl w:val="DA8CAD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20B0C74"/>
    <w:multiLevelType w:val="multilevel"/>
    <w:tmpl w:val="FCE0A7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614460"/>
    <w:multiLevelType w:val="hybridMultilevel"/>
    <w:tmpl w:val="7FC88522"/>
    <w:lvl w:ilvl="0" w:tplc="A22AAB2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70F0516"/>
    <w:multiLevelType w:val="multilevel"/>
    <w:tmpl w:val="BAD28B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D933EA"/>
    <w:multiLevelType w:val="multilevel"/>
    <w:tmpl w:val="8BFCD5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D726F5"/>
    <w:multiLevelType w:val="hybridMultilevel"/>
    <w:tmpl w:val="7BDC1A1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42EA5AA3"/>
    <w:multiLevelType w:val="hybridMultilevel"/>
    <w:tmpl w:val="F1968C6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15:restartNumberingAfterBreak="0">
    <w:nsid w:val="57B57427"/>
    <w:multiLevelType w:val="hybridMultilevel"/>
    <w:tmpl w:val="A88A5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6C03B0"/>
    <w:multiLevelType w:val="hybridMultilevel"/>
    <w:tmpl w:val="53AC8484"/>
    <w:lvl w:ilvl="0" w:tplc="1F14B5D2">
      <w:start w:val="1"/>
      <w:numFmt w:val="bullet"/>
      <w:lvlText w:val="·"/>
      <w:lvlJc w:val="left"/>
      <w:pPr>
        <w:ind w:left="785" w:hanging="360"/>
      </w:pPr>
      <w:rPr>
        <w:rFonts w:ascii="Symbol" w:hAnsi="Symbol" w:hint="default"/>
        <w:color w:val="auto"/>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7" w15:restartNumberingAfterBreak="0">
    <w:nsid w:val="6BF97060"/>
    <w:multiLevelType w:val="multilevel"/>
    <w:tmpl w:val="B3E004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C3C082A"/>
    <w:multiLevelType w:val="multilevel"/>
    <w:tmpl w:val="A80420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F4922CE"/>
    <w:multiLevelType w:val="multilevel"/>
    <w:tmpl w:val="E5E63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FB367B7"/>
    <w:multiLevelType w:val="multilevel"/>
    <w:tmpl w:val="4E0EF6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1EC30B0"/>
    <w:multiLevelType w:val="multilevel"/>
    <w:tmpl w:val="24DEA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30C755D"/>
    <w:multiLevelType w:val="hybridMultilevel"/>
    <w:tmpl w:val="EEC215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631185B"/>
    <w:multiLevelType w:val="hybridMultilevel"/>
    <w:tmpl w:val="1E307F00"/>
    <w:lvl w:ilvl="0" w:tplc="240A0001">
      <w:start w:val="1"/>
      <w:numFmt w:val="bullet"/>
      <w:lvlText w:val=""/>
      <w:lvlJc w:val="left"/>
      <w:pPr>
        <w:ind w:left="1498" w:hanging="360"/>
      </w:pPr>
      <w:rPr>
        <w:rFonts w:ascii="Symbol" w:hAnsi="Symbol" w:hint="default"/>
      </w:rPr>
    </w:lvl>
    <w:lvl w:ilvl="1" w:tplc="240A0003" w:tentative="1">
      <w:start w:val="1"/>
      <w:numFmt w:val="bullet"/>
      <w:lvlText w:val="o"/>
      <w:lvlJc w:val="left"/>
      <w:pPr>
        <w:ind w:left="2218" w:hanging="360"/>
      </w:pPr>
      <w:rPr>
        <w:rFonts w:ascii="Courier New" w:hAnsi="Courier New" w:cs="Courier New" w:hint="default"/>
      </w:rPr>
    </w:lvl>
    <w:lvl w:ilvl="2" w:tplc="240A0005" w:tentative="1">
      <w:start w:val="1"/>
      <w:numFmt w:val="bullet"/>
      <w:lvlText w:val=""/>
      <w:lvlJc w:val="left"/>
      <w:pPr>
        <w:ind w:left="2938" w:hanging="360"/>
      </w:pPr>
      <w:rPr>
        <w:rFonts w:ascii="Wingdings" w:hAnsi="Wingdings" w:hint="default"/>
      </w:rPr>
    </w:lvl>
    <w:lvl w:ilvl="3" w:tplc="240A0001" w:tentative="1">
      <w:start w:val="1"/>
      <w:numFmt w:val="bullet"/>
      <w:lvlText w:val=""/>
      <w:lvlJc w:val="left"/>
      <w:pPr>
        <w:ind w:left="3658" w:hanging="360"/>
      </w:pPr>
      <w:rPr>
        <w:rFonts w:ascii="Symbol" w:hAnsi="Symbol" w:hint="default"/>
      </w:rPr>
    </w:lvl>
    <w:lvl w:ilvl="4" w:tplc="240A0003" w:tentative="1">
      <w:start w:val="1"/>
      <w:numFmt w:val="bullet"/>
      <w:lvlText w:val="o"/>
      <w:lvlJc w:val="left"/>
      <w:pPr>
        <w:ind w:left="4378" w:hanging="360"/>
      </w:pPr>
      <w:rPr>
        <w:rFonts w:ascii="Courier New" w:hAnsi="Courier New" w:cs="Courier New" w:hint="default"/>
      </w:rPr>
    </w:lvl>
    <w:lvl w:ilvl="5" w:tplc="240A0005" w:tentative="1">
      <w:start w:val="1"/>
      <w:numFmt w:val="bullet"/>
      <w:lvlText w:val=""/>
      <w:lvlJc w:val="left"/>
      <w:pPr>
        <w:ind w:left="5098" w:hanging="360"/>
      </w:pPr>
      <w:rPr>
        <w:rFonts w:ascii="Wingdings" w:hAnsi="Wingdings" w:hint="default"/>
      </w:rPr>
    </w:lvl>
    <w:lvl w:ilvl="6" w:tplc="240A0001" w:tentative="1">
      <w:start w:val="1"/>
      <w:numFmt w:val="bullet"/>
      <w:lvlText w:val=""/>
      <w:lvlJc w:val="left"/>
      <w:pPr>
        <w:ind w:left="5818" w:hanging="360"/>
      </w:pPr>
      <w:rPr>
        <w:rFonts w:ascii="Symbol" w:hAnsi="Symbol" w:hint="default"/>
      </w:rPr>
    </w:lvl>
    <w:lvl w:ilvl="7" w:tplc="240A0003" w:tentative="1">
      <w:start w:val="1"/>
      <w:numFmt w:val="bullet"/>
      <w:lvlText w:val="o"/>
      <w:lvlJc w:val="left"/>
      <w:pPr>
        <w:ind w:left="6538" w:hanging="360"/>
      </w:pPr>
      <w:rPr>
        <w:rFonts w:ascii="Courier New" w:hAnsi="Courier New" w:cs="Courier New" w:hint="default"/>
      </w:rPr>
    </w:lvl>
    <w:lvl w:ilvl="8" w:tplc="240A0005" w:tentative="1">
      <w:start w:val="1"/>
      <w:numFmt w:val="bullet"/>
      <w:lvlText w:val=""/>
      <w:lvlJc w:val="left"/>
      <w:pPr>
        <w:ind w:left="7258" w:hanging="360"/>
      </w:pPr>
      <w:rPr>
        <w:rFonts w:ascii="Wingdings" w:hAnsi="Wingdings" w:hint="default"/>
      </w:rPr>
    </w:lvl>
  </w:abstractNum>
  <w:abstractNum w:abstractNumId="24" w15:restartNumberingAfterBreak="0">
    <w:nsid w:val="77BD5868"/>
    <w:multiLevelType w:val="hybridMultilevel"/>
    <w:tmpl w:val="22FC9D9A"/>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5" w15:restartNumberingAfterBreak="0">
    <w:nsid w:val="79976DE6"/>
    <w:multiLevelType w:val="hybridMultilevel"/>
    <w:tmpl w:val="C144C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CA48279"/>
    <w:multiLevelType w:val="hybridMultilevel"/>
    <w:tmpl w:val="61658AB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856886124">
    <w:abstractNumId w:val="10"/>
  </w:num>
  <w:num w:numId="2" w16cid:durableId="348219027">
    <w:abstractNumId w:val="2"/>
  </w:num>
  <w:num w:numId="3" w16cid:durableId="1352683947">
    <w:abstractNumId w:val="8"/>
  </w:num>
  <w:num w:numId="4" w16cid:durableId="9647723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30364703">
    <w:abstractNumId w:val="2"/>
  </w:num>
  <w:num w:numId="6" w16cid:durableId="956371318">
    <w:abstractNumId w:val="19"/>
  </w:num>
  <w:num w:numId="7" w16cid:durableId="1872305839">
    <w:abstractNumId w:val="9"/>
  </w:num>
  <w:num w:numId="8" w16cid:durableId="259533706">
    <w:abstractNumId w:val="18"/>
  </w:num>
  <w:num w:numId="9" w16cid:durableId="1984233994">
    <w:abstractNumId w:val="11"/>
  </w:num>
  <w:num w:numId="10" w16cid:durableId="901331453">
    <w:abstractNumId w:val="17"/>
  </w:num>
  <w:num w:numId="11" w16cid:durableId="103809298">
    <w:abstractNumId w:val="12"/>
  </w:num>
  <w:num w:numId="12" w16cid:durableId="386271044">
    <w:abstractNumId w:val="0"/>
  </w:num>
  <w:num w:numId="13" w16cid:durableId="284577797">
    <w:abstractNumId w:val="5"/>
  </w:num>
  <w:num w:numId="14" w16cid:durableId="1404569397">
    <w:abstractNumId w:val="20"/>
  </w:num>
  <w:num w:numId="15" w16cid:durableId="1351839890">
    <w:abstractNumId w:val="16"/>
  </w:num>
  <w:num w:numId="16" w16cid:durableId="426392047">
    <w:abstractNumId w:val="6"/>
  </w:num>
  <w:num w:numId="17" w16cid:durableId="2126734863">
    <w:abstractNumId w:val="13"/>
  </w:num>
  <w:num w:numId="18" w16cid:durableId="1204369693">
    <w:abstractNumId w:val="26"/>
  </w:num>
  <w:num w:numId="19" w16cid:durableId="105856605">
    <w:abstractNumId w:val="25"/>
  </w:num>
  <w:num w:numId="20" w16cid:durableId="1365904929">
    <w:abstractNumId w:val="1"/>
  </w:num>
  <w:num w:numId="21" w16cid:durableId="760493059">
    <w:abstractNumId w:val="4"/>
  </w:num>
  <w:num w:numId="22" w16cid:durableId="431900297">
    <w:abstractNumId w:val="7"/>
  </w:num>
  <w:num w:numId="23" w16cid:durableId="966206228">
    <w:abstractNumId w:val="3"/>
  </w:num>
  <w:num w:numId="24" w16cid:durableId="1191916945">
    <w:abstractNumId w:val="22"/>
  </w:num>
  <w:num w:numId="25" w16cid:durableId="1350062203">
    <w:abstractNumId w:val="21"/>
  </w:num>
  <w:num w:numId="26" w16cid:durableId="442655494">
    <w:abstractNumId w:val="14"/>
  </w:num>
  <w:num w:numId="27" w16cid:durableId="93940629">
    <w:abstractNumId w:val="23"/>
  </w:num>
  <w:num w:numId="28" w16cid:durableId="1756053931">
    <w:abstractNumId w:val="24"/>
  </w:num>
  <w:num w:numId="29" w16cid:durableId="5002369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847"/>
    <w:rsid w:val="000038FA"/>
    <w:rsid w:val="00006D8D"/>
    <w:rsid w:val="000134D5"/>
    <w:rsid w:val="000150B5"/>
    <w:rsid w:val="00016F78"/>
    <w:rsid w:val="00025130"/>
    <w:rsid w:val="0002514E"/>
    <w:rsid w:val="00031330"/>
    <w:rsid w:val="0003183B"/>
    <w:rsid w:val="00034B7F"/>
    <w:rsid w:val="000353BD"/>
    <w:rsid w:val="00046945"/>
    <w:rsid w:val="000505ED"/>
    <w:rsid w:val="00061B2A"/>
    <w:rsid w:val="0006372C"/>
    <w:rsid w:val="00065FE6"/>
    <w:rsid w:val="0007066A"/>
    <w:rsid w:val="000711CF"/>
    <w:rsid w:val="00076D52"/>
    <w:rsid w:val="00080B1D"/>
    <w:rsid w:val="00082362"/>
    <w:rsid w:val="000842B8"/>
    <w:rsid w:val="0009079C"/>
    <w:rsid w:val="000A0C51"/>
    <w:rsid w:val="000A1642"/>
    <w:rsid w:val="000A5604"/>
    <w:rsid w:val="000A66E5"/>
    <w:rsid w:val="000A683E"/>
    <w:rsid w:val="000A7D13"/>
    <w:rsid w:val="000B0FAA"/>
    <w:rsid w:val="000B19B9"/>
    <w:rsid w:val="000B27F0"/>
    <w:rsid w:val="000B5B5F"/>
    <w:rsid w:val="000C292B"/>
    <w:rsid w:val="000C5A9E"/>
    <w:rsid w:val="000D0334"/>
    <w:rsid w:val="000D13BF"/>
    <w:rsid w:val="000D1DC8"/>
    <w:rsid w:val="000D4734"/>
    <w:rsid w:val="000D4E4A"/>
    <w:rsid w:val="000D5DA7"/>
    <w:rsid w:val="000E1667"/>
    <w:rsid w:val="000E2298"/>
    <w:rsid w:val="000E45B0"/>
    <w:rsid w:val="000E6E2C"/>
    <w:rsid w:val="000F01E9"/>
    <w:rsid w:val="000F078F"/>
    <w:rsid w:val="000F2280"/>
    <w:rsid w:val="000F3444"/>
    <w:rsid w:val="000F512E"/>
    <w:rsid w:val="000F6486"/>
    <w:rsid w:val="000F7FD4"/>
    <w:rsid w:val="00102D96"/>
    <w:rsid w:val="00103F6F"/>
    <w:rsid w:val="0010576C"/>
    <w:rsid w:val="00105C57"/>
    <w:rsid w:val="00113E8F"/>
    <w:rsid w:val="001161CA"/>
    <w:rsid w:val="001168F2"/>
    <w:rsid w:val="00116940"/>
    <w:rsid w:val="0012394B"/>
    <w:rsid w:val="00125105"/>
    <w:rsid w:val="00127233"/>
    <w:rsid w:val="00127E49"/>
    <w:rsid w:val="001328F3"/>
    <w:rsid w:val="001330EB"/>
    <w:rsid w:val="00134716"/>
    <w:rsid w:val="001352A2"/>
    <w:rsid w:val="00142120"/>
    <w:rsid w:val="001428DC"/>
    <w:rsid w:val="00142C5D"/>
    <w:rsid w:val="00144730"/>
    <w:rsid w:val="00150E6A"/>
    <w:rsid w:val="001520A7"/>
    <w:rsid w:val="0015699B"/>
    <w:rsid w:val="001629CB"/>
    <w:rsid w:val="00171640"/>
    <w:rsid w:val="00171F2A"/>
    <w:rsid w:val="00174CB5"/>
    <w:rsid w:val="00174D6E"/>
    <w:rsid w:val="00177FE3"/>
    <w:rsid w:val="001835B4"/>
    <w:rsid w:val="0019787F"/>
    <w:rsid w:val="001A1DE9"/>
    <w:rsid w:val="001A33BF"/>
    <w:rsid w:val="001A360F"/>
    <w:rsid w:val="001A45DA"/>
    <w:rsid w:val="001B5B5F"/>
    <w:rsid w:val="001C5AE4"/>
    <w:rsid w:val="001C61B3"/>
    <w:rsid w:val="001D02CC"/>
    <w:rsid w:val="001D1146"/>
    <w:rsid w:val="001D1A9B"/>
    <w:rsid w:val="001D64AE"/>
    <w:rsid w:val="001E054F"/>
    <w:rsid w:val="001E2E05"/>
    <w:rsid w:val="001E3055"/>
    <w:rsid w:val="001E4177"/>
    <w:rsid w:val="001E6B6A"/>
    <w:rsid w:val="001E75C6"/>
    <w:rsid w:val="001F0100"/>
    <w:rsid w:val="001F0B24"/>
    <w:rsid w:val="001F1459"/>
    <w:rsid w:val="001F7DC6"/>
    <w:rsid w:val="00202174"/>
    <w:rsid w:val="00202C05"/>
    <w:rsid w:val="002071D8"/>
    <w:rsid w:val="00207466"/>
    <w:rsid w:val="00207A60"/>
    <w:rsid w:val="00210C0E"/>
    <w:rsid w:val="00211E12"/>
    <w:rsid w:val="00212AD1"/>
    <w:rsid w:val="002135C2"/>
    <w:rsid w:val="00217FCA"/>
    <w:rsid w:val="0022067E"/>
    <w:rsid w:val="002209DE"/>
    <w:rsid w:val="00222154"/>
    <w:rsid w:val="0022400B"/>
    <w:rsid w:val="002421BB"/>
    <w:rsid w:val="00244E44"/>
    <w:rsid w:val="00253436"/>
    <w:rsid w:val="00253CDD"/>
    <w:rsid w:val="0025796E"/>
    <w:rsid w:val="00261233"/>
    <w:rsid w:val="00264BB6"/>
    <w:rsid w:val="0026579C"/>
    <w:rsid w:val="002707A2"/>
    <w:rsid w:val="0027257E"/>
    <w:rsid w:val="00275482"/>
    <w:rsid w:val="00277C07"/>
    <w:rsid w:val="0028285D"/>
    <w:rsid w:val="0028778F"/>
    <w:rsid w:val="00292260"/>
    <w:rsid w:val="002951A0"/>
    <w:rsid w:val="002962BC"/>
    <w:rsid w:val="002975A4"/>
    <w:rsid w:val="002A093D"/>
    <w:rsid w:val="002A0DD0"/>
    <w:rsid w:val="002A49AC"/>
    <w:rsid w:val="002A64FD"/>
    <w:rsid w:val="002A7112"/>
    <w:rsid w:val="002B3673"/>
    <w:rsid w:val="002B730F"/>
    <w:rsid w:val="002C7A84"/>
    <w:rsid w:val="002D2A79"/>
    <w:rsid w:val="002D61CA"/>
    <w:rsid w:val="002D6D08"/>
    <w:rsid w:val="002E05EF"/>
    <w:rsid w:val="002E2BF8"/>
    <w:rsid w:val="002E4FD9"/>
    <w:rsid w:val="002F0847"/>
    <w:rsid w:val="002F0979"/>
    <w:rsid w:val="002F3D4B"/>
    <w:rsid w:val="002F4580"/>
    <w:rsid w:val="002F5BC0"/>
    <w:rsid w:val="0030657A"/>
    <w:rsid w:val="003136DC"/>
    <w:rsid w:val="003156BF"/>
    <w:rsid w:val="00316053"/>
    <w:rsid w:val="00321616"/>
    <w:rsid w:val="00322A85"/>
    <w:rsid w:val="00322C00"/>
    <w:rsid w:val="00322D77"/>
    <w:rsid w:val="00324168"/>
    <w:rsid w:val="00330834"/>
    <w:rsid w:val="003332A8"/>
    <w:rsid w:val="00335439"/>
    <w:rsid w:val="00337394"/>
    <w:rsid w:val="00340F56"/>
    <w:rsid w:val="0034120F"/>
    <w:rsid w:val="003448F4"/>
    <w:rsid w:val="003457E4"/>
    <w:rsid w:val="00346160"/>
    <w:rsid w:val="00350382"/>
    <w:rsid w:val="003526FA"/>
    <w:rsid w:val="00353D37"/>
    <w:rsid w:val="00357DA6"/>
    <w:rsid w:val="00363BB7"/>
    <w:rsid w:val="0036430A"/>
    <w:rsid w:val="00374F5E"/>
    <w:rsid w:val="003756B2"/>
    <w:rsid w:val="00375950"/>
    <w:rsid w:val="003769E1"/>
    <w:rsid w:val="003776DA"/>
    <w:rsid w:val="00377E3E"/>
    <w:rsid w:val="003808F8"/>
    <w:rsid w:val="00381BAB"/>
    <w:rsid w:val="00396AFB"/>
    <w:rsid w:val="003A13B4"/>
    <w:rsid w:val="003A37CF"/>
    <w:rsid w:val="003A6450"/>
    <w:rsid w:val="003A779E"/>
    <w:rsid w:val="003B0DFC"/>
    <w:rsid w:val="003B698B"/>
    <w:rsid w:val="003C0ED7"/>
    <w:rsid w:val="003C7106"/>
    <w:rsid w:val="003D097D"/>
    <w:rsid w:val="003D0F4D"/>
    <w:rsid w:val="003D494E"/>
    <w:rsid w:val="003D5B0D"/>
    <w:rsid w:val="003E0499"/>
    <w:rsid w:val="003E13B2"/>
    <w:rsid w:val="003E2C4F"/>
    <w:rsid w:val="003E4681"/>
    <w:rsid w:val="003E4F80"/>
    <w:rsid w:val="003E6439"/>
    <w:rsid w:val="003F18C5"/>
    <w:rsid w:val="003F1FD8"/>
    <w:rsid w:val="003F2204"/>
    <w:rsid w:val="003F3941"/>
    <w:rsid w:val="00403EFA"/>
    <w:rsid w:val="004041CC"/>
    <w:rsid w:val="00404A39"/>
    <w:rsid w:val="00406575"/>
    <w:rsid w:val="004140B3"/>
    <w:rsid w:val="00414652"/>
    <w:rsid w:val="00414C74"/>
    <w:rsid w:val="00424CAC"/>
    <w:rsid w:val="00425D8F"/>
    <w:rsid w:val="0042601D"/>
    <w:rsid w:val="0042722E"/>
    <w:rsid w:val="00441CEA"/>
    <w:rsid w:val="00445195"/>
    <w:rsid w:val="0044528D"/>
    <w:rsid w:val="004507E1"/>
    <w:rsid w:val="00451137"/>
    <w:rsid w:val="00452C2C"/>
    <w:rsid w:val="0045369C"/>
    <w:rsid w:val="00454B69"/>
    <w:rsid w:val="004555EA"/>
    <w:rsid w:val="0045785F"/>
    <w:rsid w:val="0046365F"/>
    <w:rsid w:val="00466375"/>
    <w:rsid w:val="00466E39"/>
    <w:rsid w:val="00467C16"/>
    <w:rsid w:val="00472EEA"/>
    <w:rsid w:val="00474604"/>
    <w:rsid w:val="00474998"/>
    <w:rsid w:val="00484E40"/>
    <w:rsid w:val="0048787A"/>
    <w:rsid w:val="00490116"/>
    <w:rsid w:val="00492C4A"/>
    <w:rsid w:val="00494F04"/>
    <w:rsid w:val="00496064"/>
    <w:rsid w:val="004A0A0B"/>
    <w:rsid w:val="004A0E5C"/>
    <w:rsid w:val="004A1847"/>
    <w:rsid w:val="004A305D"/>
    <w:rsid w:val="004A59E2"/>
    <w:rsid w:val="004A7F52"/>
    <w:rsid w:val="004B3DAC"/>
    <w:rsid w:val="004B73B9"/>
    <w:rsid w:val="004C0DBB"/>
    <w:rsid w:val="004C4876"/>
    <w:rsid w:val="004C7E87"/>
    <w:rsid w:val="004D2B6F"/>
    <w:rsid w:val="004E2B92"/>
    <w:rsid w:val="004E4B2E"/>
    <w:rsid w:val="004E66AC"/>
    <w:rsid w:val="004F21C4"/>
    <w:rsid w:val="004F44F8"/>
    <w:rsid w:val="004F4F55"/>
    <w:rsid w:val="004F685F"/>
    <w:rsid w:val="004F6CF7"/>
    <w:rsid w:val="004F7A42"/>
    <w:rsid w:val="005000A1"/>
    <w:rsid w:val="00502B46"/>
    <w:rsid w:val="0050657F"/>
    <w:rsid w:val="00506C9D"/>
    <w:rsid w:val="00513BF7"/>
    <w:rsid w:val="00517955"/>
    <w:rsid w:val="005200DF"/>
    <w:rsid w:val="0052084E"/>
    <w:rsid w:val="00520BA7"/>
    <w:rsid w:val="005212BF"/>
    <w:rsid w:val="0052250B"/>
    <w:rsid w:val="005229DB"/>
    <w:rsid w:val="00534886"/>
    <w:rsid w:val="00536A0E"/>
    <w:rsid w:val="00544BA2"/>
    <w:rsid w:val="0055262A"/>
    <w:rsid w:val="00553040"/>
    <w:rsid w:val="00553586"/>
    <w:rsid w:val="005566E8"/>
    <w:rsid w:val="00556D87"/>
    <w:rsid w:val="00560892"/>
    <w:rsid w:val="00562247"/>
    <w:rsid w:val="005647CD"/>
    <w:rsid w:val="00565AC8"/>
    <w:rsid w:val="00566DEF"/>
    <w:rsid w:val="0056719C"/>
    <w:rsid w:val="00570B00"/>
    <w:rsid w:val="00572622"/>
    <w:rsid w:val="0057267B"/>
    <w:rsid w:val="0057292D"/>
    <w:rsid w:val="00573280"/>
    <w:rsid w:val="0057450A"/>
    <w:rsid w:val="00574867"/>
    <w:rsid w:val="005811DB"/>
    <w:rsid w:val="00586AFD"/>
    <w:rsid w:val="00591460"/>
    <w:rsid w:val="00592C94"/>
    <w:rsid w:val="0059527C"/>
    <w:rsid w:val="005A2CAB"/>
    <w:rsid w:val="005A46FB"/>
    <w:rsid w:val="005A52A7"/>
    <w:rsid w:val="005A5E98"/>
    <w:rsid w:val="005A65E0"/>
    <w:rsid w:val="005B4DD9"/>
    <w:rsid w:val="005C0881"/>
    <w:rsid w:val="005C32D8"/>
    <w:rsid w:val="005C3777"/>
    <w:rsid w:val="005C5CDC"/>
    <w:rsid w:val="005D2566"/>
    <w:rsid w:val="005D476C"/>
    <w:rsid w:val="005D6A4C"/>
    <w:rsid w:val="005D72E3"/>
    <w:rsid w:val="005F20A4"/>
    <w:rsid w:val="00600D92"/>
    <w:rsid w:val="00603C5B"/>
    <w:rsid w:val="00610BE2"/>
    <w:rsid w:val="00611CE6"/>
    <w:rsid w:val="006137E1"/>
    <w:rsid w:val="00613D36"/>
    <w:rsid w:val="00617200"/>
    <w:rsid w:val="00617E91"/>
    <w:rsid w:val="006200BF"/>
    <w:rsid w:val="006207D5"/>
    <w:rsid w:val="0062143E"/>
    <w:rsid w:val="0062144A"/>
    <w:rsid w:val="006219F8"/>
    <w:rsid w:val="00624A89"/>
    <w:rsid w:val="00624EEC"/>
    <w:rsid w:val="006302F7"/>
    <w:rsid w:val="00630B53"/>
    <w:rsid w:val="0063313F"/>
    <w:rsid w:val="0063743D"/>
    <w:rsid w:val="00641917"/>
    <w:rsid w:val="0064332F"/>
    <w:rsid w:val="00646B9F"/>
    <w:rsid w:val="00646F24"/>
    <w:rsid w:val="006547C3"/>
    <w:rsid w:val="0065713E"/>
    <w:rsid w:val="00660C46"/>
    <w:rsid w:val="006612D4"/>
    <w:rsid w:val="00662802"/>
    <w:rsid w:val="00663A04"/>
    <w:rsid w:val="00664CD8"/>
    <w:rsid w:val="00665D70"/>
    <w:rsid w:val="0067221A"/>
    <w:rsid w:val="00675F2F"/>
    <w:rsid w:val="00677F9D"/>
    <w:rsid w:val="006848AE"/>
    <w:rsid w:val="00684D61"/>
    <w:rsid w:val="00684F67"/>
    <w:rsid w:val="0068758B"/>
    <w:rsid w:val="006900D9"/>
    <w:rsid w:val="00690192"/>
    <w:rsid w:val="0069741A"/>
    <w:rsid w:val="006A2BE4"/>
    <w:rsid w:val="006A783F"/>
    <w:rsid w:val="006B4707"/>
    <w:rsid w:val="006B5BD1"/>
    <w:rsid w:val="006C38EE"/>
    <w:rsid w:val="006C3A66"/>
    <w:rsid w:val="006D13BA"/>
    <w:rsid w:val="006D1455"/>
    <w:rsid w:val="006D25C1"/>
    <w:rsid w:val="006D591D"/>
    <w:rsid w:val="006D6007"/>
    <w:rsid w:val="006D64EE"/>
    <w:rsid w:val="006E2B3F"/>
    <w:rsid w:val="006F2238"/>
    <w:rsid w:val="006F4199"/>
    <w:rsid w:val="006F7DB4"/>
    <w:rsid w:val="007009D7"/>
    <w:rsid w:val="007025D7"/>
    <w:rsid w:val="00706BE8"/>
    <w:rsid w:val="00706C16"/>
    <w:rsid w:val="00714AEB"/>
    <w:rsid w:val="0071509F"/>
    <w:rsid w:val="0071557C"/>
    <w:rsid w:val="0073164F"/>
    <w:rsid w:val="00731F30"/>
    <w:rsid w:val="007323F5"/>
    <w:rsid w:val="00733E3A"/>
    <w:rsid w:val="007340C3"/>
    <w:rsid w:val="0073510E"/>
    <w:rsid w:val="0074140E"/>
    <w:rsid w:val="0074248C"/>
    <w:rsid w:val="00743B1A"/>
    <w:rsid w:val="0074556B"/>
    <w:rsid w:val="007458D3"/>
    <w:rsid w:val="0074600B"/>
    <w:rsid w:val="0075235A"/>
    <w:rsid w:val="00752A3F"/>
    <w:rsid w:val="00752CDB"/>
    <w:rsid w:val="0075557D"/>
    <w:rsid w:val="00756841"/>
    <w:rsid w:val="007649AB"/>
    <w:rsid w:val="00765EF8"/>
    <w:rsid w:val="0076664C"/>
    <w:rsid w:val="007667F5"/>
    <w:rsid w:val="0077084C"/>
    <w:rsid w:val="00771AEF"/>
    <w:rsid w:val="00771D0C"/>
    <w:rsid w:val="007805EB"/>
    <w:rsid w:val="007808AA"/>
    <w:rsid w:val="007810BC"/>
    <w:rsid w:val="00781AC9"/>
    <w:rsid w:val="00782ED2"/>
    <w:rsid w:val="007833AC"/>
    <w:rsid w:val="0078636D"/>
    <w:rsid w:val="00786D16"/>
    <w:rsid w:val="00790F16"/>
    <w:rsid w:val="00794575"/>
    <w:rsid w:val="00795086"/>
    <w:rsid w:val="00797149"/>
    <w:rsid w:val="007A037B"/>
    <w:rsid w:val="007A1830"/>
    <w:rsid w:val="007A20F3"/>
    <w:rsid w:val="007A321F"/>
    <w:rsid w:val="007B1700"/>
    <w:rsid w:val="007B268C"/>
    <w:rsid w:val="007B7171"/>
    <w:rsid w:val="007C0C0F"/>
    <w:rsid w:val="007C3DC2"/>
    <w:rsid w:val="007C4353"/>
    <w:rsid w:val="007C6F05"/>
    <w:rsid w:val="007D2A87"/>
    <w:rsid w:val="007D3058"/>
    <w:rsid w:val="007D4123"/>
    <w:rsid w:val="007D4B12"/>
    <w:rsid w:val="007D6C03"/>
    <w:rsid w:val="007E1582"/>
    <w:rsid w:val="007E1D0B"/>
    <w:rsid w:val="007E43AC"/>
    <w:rsid w:val="007E5497"/>
    <w:rsid w:val="007F2587"/>
    <w:rsid w:val="007F3846"/>
    <w:rsid w:val="007F67A2"/>
    <w:rsid w:val="00803584"/>
    <w:rsid w:val="00806F5F"/>
    <w:rsid w:val="00807D6C"/>
    <w:rsid w:val="008103F6"/>
    <w:rsid w:val="00814DE2"/>
    <w:rsid w:val="00814E44"/>
    <w:rsid w:val="00817F1D"/>
    <w:rsid w:val="00820278"/>
    <w:rsid w:val="00820AA6"/>
    <w:rsid w:val="00823075"/>
    <w:rsid w:val="008258C9"/>
    <w:rsid w:val="00830893"/>
    <w:rsid w:val="00832EC9"/>
    <w:rsid w:val="00833286"/>
    <w:rsid w:val="00836232"/>
    <w:rsid w:val="0084164A"/>
    <w:rsid w:val="008416E0"/>
    <w:rsid w:val="00841E29"/>
    <w:rsid w:val="00844AE9"/>
    <w:rsid w:val="00845271"/>
    <w:rsid w:val="00846290"/>
    <w:rsid w:val="008517FE"/>
    <w:rsid w:val="008549E6"/>
    <w:rsid w:val="00854B3B"/>
    <w:rsid w:val="00854BB1"/>
    <w:rsid w:val="008551B2"/>
    <w:rsid w:val="0085545E"/>
    <w:rsid w:val="00857B08"/>
    <w:rsid w:val="0086623D"/>
    <w:rsid w:val="008663C8"/>
    <w:rsid w:val="00867F95"/>
    <w:rsid w:val="00871AAC"/>
    <w:rsid w:val="008741CE"/>
    <w:rsid w:val="0088269E"/>
    <w:rsid w:val="008843B6"/>
    <w:rsid w:val="00886410"/>
    <w:rsid w:val="00891928"/>
    <w:rsid w:val="0089495F"/>
    <w:rsid w:val="00895DC0"/>
    <w:rsid w:val="008A03FE"/>
    <w:rsid w:val="008A446D"/>
    <w:rsid w:val="008B0D0F"/>
    <w:rsid w:val="008B20AF"/>
    <w:rsid w:val="008B25F1"/>
    <w:rsid w:val="008B2A95"/>
    <w:rsid w:val="008B2B98"/>
    <w:rsid w:val="008C11FD"/>
    <w:rsid w:val="008C4DD5"/>
    <w:rsid w:val="008C517A"/>
    <w:rsid w:val="008C6AE5"/>
    <w:rsid w:val="008C74CA"/>
    <w:rsid w:val="008D1660"/>
    <w:rsid w:val="008D180B"/>
    <w:rsid w:val="008D5E79"/>
    <w:rsid w:val="008E197B"/>
    <w:rsid w:val="008E5278"/>
    <w:rsid w:val="008F0EA7"/>
    <w:rsid w:val="008F17DC"/>
    <w:rsid w:val="008F2516"/>
    <w:rsid w:val="008F4334"/>
    <w:rsid w:val="008F553F"/>
    <w:rsid w:val="008F57BF"/>
    <w:rsid w:val="008F6705"/>
    <w:rsid w:val="00901213"/>
    <w:rsid w:val="009037F6"/>
    <w:rsid w:val="0091143C"/>
    <w:rsid w:val="009140F3"/>
    <w:rsid w:val="00920817"/>
    <w:rsid w:val="00923EEF"/>
    <w:rsid w:val="009339BF"/>
    <w:rsid w:val="00933E3F"/>
    <w:rsid w:val="00941242"/>
    <w:rsid w:val="009419F9"/>
    <w:rsid w:val="0095477E"/>
    <w:rsid w:val="0095685E"/>
    <w:rsid w:val="00957F4D"/>
    <w:rsid w:val="00961B09"/>
    <w:rsid w:val="00963E12"/>
    <w:rsid w:val="00964321"/>
    <w:rsid w:val="00965334"/>
    <w:rsid w:val="0096691A"/>
    <w:rsid w:val="0097093E"/>
    <w:rsid w:val="009722DE"/>
    <w:rsid w:val="00982B9C"/>
    <w:rsid w:val="00984DB3"/>
    <w:rsid w:val="00992E19"/>
    <w:rsid w:val="00996632"/>
    <w:rsid w:val="009A0486"/>
    <w:rsid w:val="009A0DFA"/>
    <w:rsid w:val="009A21ED"/>
    <w:rsid w:val="009A2C34"/>
    <w:rsid w:val="009A3D17"/>
    <w:rsid w:val="009A4900"/>
    <w:rsid w:val="009B1929"/>
    <w:rsid w:val="009B28B9"/>
    <w:rsid w:val="009B2D26"/>
    <w:rsid w:val="009C1B98"/>
    <w:rsid w:val="009C66A9"/>
    <w:rsid w:val="009C71FA"/>
    <w:rsid w:val="009C72E7"/>
    <w:rsid w:val="009C7F7E"/>
    <w:rsid w:val="009D23F2"/>
    <w:rsid w:val="009D3058"/>
    <w:rsid w:val="009E1F28"/>
    <w:rsid w:val="009E6924"/>
    <w:rsid w:val="009E7AED"/>
    <w:rsid w:val="009F3A13"/>
    <w:rsid w:val="009F4B67"/>
    <w:rsid w:val="009F6D6F"/>
    <w:rsid w:val="009F7A6E"/>
    <w:rsid w:val="009F7FC8"/>
    <w:rsid w:val="00A00B43"/>
    <w:rsid w:val="00A01572"/>
    <w:rsid w:val="00A022E4"/>
    <w:rsid w:val="00A0334B"/>
    <w:rsid w:val="00A04BFC"/>
    <w:rsid w:val="00A0526C"/>
    <w:rsid w:val="00A06EED"/>
    <w:rsid w:val="00A11AFE"/>
    <w:rsid w:val="00A122D3"/>
    <w:rsid w:val="00A12734"/>
    <w:rsid w:val="00A14468"/>
    <w:rsid w:val="00A17F13"/>
    <w:rsid w:val="00A20739"/>
    <w:rsid w:val="00A23AC5"/>
    <w:rsid w:val="00A23AF9"/>
    <w:rsid w:val="00A248AA"/>
    <w:rsid w:val="00A27D52"/>
    <w:rsid w:val="00A31A76"/>
    <w:rsid w:val="00A330AE"/>
    <w:rsid w:val="00A33C78"/>
    <w:rsid w:val="00A415F9"/>
    <w:rsid w:val="00A464B5"/>
    <w:rsid w:val="00A52616"/>
    <w:rsid w:val="00A53338"/>
    <w:rsid w:val="00A714B3"/>
    <w:rsid w:val="00A73F45"/>
    <w:rsid w:val="00A753C9"/>
    <w:rsid w:val="00A87643"/>
    <w:rsid w:val="00AA1B49"/>
    <w:rsid w:val="00AA1E47"/>
    <w:rsid w:val="00AA6D32"/>
    <w:rsid w:val="00AB0ADB"/>
    <w:rsid w:val="00AB160D"/>
    <w:rsid w:val="00AB436E"/>
    <w:rsid w:val="00AB78B9"/>
    <w:rsid w:val="00AC1AC9"/>
    <w:rsid w:val="00AC3D06"/>
    <w:rsid w:val="00AD173A"/>
    <w:rsid w:val="00AD24EB"/>
    <w:rsid w:val="00AD5E68"/>
    <w:rsid w:val="00AD5FC6"/>
    <w:rsid w:val="00AD7D5F"/>
    <w:rsid w:val="00AE1F6E"/>
    <w:rsid w:val="00AE3513"/>
    <w:rsid w:val="00AE5DD2"/>
    <w:rsid w:val="00AF5A10"/>
    <w:rsid w:val="00B00C0E"/>
    <w:rsid w:val="00B01B1A"/>
    <w:rsid w:val="00B04A24"/>
    <w:rsid w:val="00B04DA1"/>
    <w:rsid w:val="00B11075"/>
    <w:rsid w:val="00B15F81"/>
    <w:rsid w:val="00B234CF"/>
    <w:rsid w:val="00B26BE0"/>
    <w:rsid w:val="00B32719"/>
    <w:rsid w:val="00B34349"/>
    <w:rsid w:val="00B36C18"/>
    <w:rsid w:val="00B37EB5"/>
    <w:rsid w:val="00B40625"/>
    <w:rsid w:val="00B40A94"/>
    <w:rsid w:val="00B42344"/>
    <w:rsid w:val="00B44A47"/>
    <w:rsid w:val="00B44FEE"/>
    <w:rsid w:val="00B50A5D"/>
    <w:rsid w:val="00B54271"/>
    <w:rsid w:val="00B5550F"/>
    <w:rsid w:val="00B556AA"/>
    <w:rsid w:val="00B60383"/>
    <w:rsid w:val="00B6149C"/>
    <w:rsid w:val="00B63966"/>
    <w:rsid w:val="00B63B5E"/>
    <w:rsid w:val="00B64484"/>
    <w:rsid w:val="00B70349"/>
    <w:rsid w:val="00B71604"/>
    <w:rsid w:val="00B71FD5"/>
    <w:rsid w:val="00B72CD3"/>
    <w:rsid w:val="00B72FFF"/>
    <w:rsid w:val="00B74092"/>
    <w:rsid w:val="00B758F7"/>
    <w:rsid w:val="00B95DAC"/>
    <w:rsid w:val="00B97CE7"/>
    <w:rsid w:val="00BA2EB9"/>
    <w:rsid w:val="00BA55B8"/>
    <w:rsid w:val="00BA703D"/>
    <w:rsid w:val="00BB27E8"/>
    <w:rsid w:val="00BC0613"/>
    <w:rsid w:val="00BC1470"/>
    <w:rsid w:val="00BC35AE"/>
    <w:rsid w:val="00BC3D36"/>
    <w:rsid w:val="00BC4E30"/>
    <w:rsid w:val="00BC5D42"/>
    <w:rsid w:val="00BC5E22"/>
    <w:rsid w:val="00BC5F22"/>
    <w:rsid w:val="00BC70CB"/>
    <w:rsid w:val="00BD13AC"/>
    <w:rsid w:val="00BD3D62"/>
    <w:rsid w:val="00BD54A6"/>
    <w:rsid w:val="00BD7F72"/>
    <w:rsid w:val="00BE5069"/>
    <w:rsid w:val="00BF056C"/>
    <w:rsid w:val="00BF3B66"/>
    <w:rsid w:val="00BF5C08"/>
    <w:rsid w:val="00BF7425"/>
    <w:rsid w:val="00C04FB3"/>
    <w:rsid w:val="00C11D8B"/>
    <w:rsid w:val="00C1588B"/>
    <w:rsid w:val="00C251B0"/>
    <w:rsid w:val="00C25ECD"/>
    <w:rsid w:val="00C330EB"/>
    <w:rsid w:val="00C36120"/>
    <w:rsid w:val="00C419DF"/>
    <w:rsid w:val="00C46980"/>
    <w:rsid w:val="00C50D69"/>
    <w:rsid w:val="00C52FDF"/>
    <w:rsid w:val="00C5365C"/>
    <w:rsid w:val="00C55F85"/>
    <w:rsid w:val="00C564C8"/>
    <w:rsid w:val="00C56BDE"/>
    <w:rsid w:val="00C619D4"/>
    <w:rsid w:val="00C61D93"/>
    <w:rsid w:val="00C66245"/>
    <w:rsid w:val="00C720B9"/>
    <w:rsid w:val="00C74328"/>
    <w:rsid w:val="00C74B9D"/>
    <w:rsid w:val="00C754BE"/>
    <w:rsid w:val="00C7681C"/>
    <w:rsid w:val="00C76B1C"/>
    <w:rsid w:val="00C821FE"/>
    <w:rsid w:val="00C82667"/>
    <w:rsid w:val="00C8459E"/>
    <w:rsid w:val="00C90C96"/>
    <w:rsid w:val="00C925AC"/>
    <w:rsid w:val="00C94828"/>
    <w:rsid w:val="00C9554D"/>
    <w:rsid w:val="00C963BE"/>
    <w:rsid w:val="00C96B64"/>
    <w:rsid w:val="00CA1075"/>
    <w:rsid w:val="00CA1878"/>
    <w:rsid w:val="00CA2858"/>
    <w:rsid w:val="00CA484D"/>
    <w:rsid w:val="00CB02F1"/>
    <w:rsid w:val="00CB1FF2"/>
    <w:rsid w:val="00CB3252"/>
    <w:rsid w:val="00CB6357"/>
    <w:rsid w:val="00CC1B26"/>
    <w:rsid w:val="00CC75DD"/>
    <w:rsid w:val="00CD35C0"/>
    <w:rsid w:val="00CD4C85"/>
    <w:rsid w:val="00CD61D1"/>
    <w:rsid w:val="00CE3C1C"/>
    <w:rsid w:val="00CE4026"/>
    <w:rsid w:val="00CE6735"/>
    <w:rsid w:val="00CF1B51"/>
    <w:rsid w:val="00CF57A6"/>
    <w:rsid w:val="00CF74EC"/>
    <w:rsid w:val="00D000E7"/>
    <w:rsid w:val="00D00907"/>
    <w:rsid w:val="00D00D31"/>
    <w:rsid w:val="00D05069"/>
    <w:rsid w:val="00D05606"/>
    <w:rsid w:val="00D06146"/>
    <w:rsid w:val="00D0699E"/>
    <w:rsid w:val="00D07F9E"/>
    <w:rsid w:val="00D1210B"/>
    <w:rsid w:val="00D15A45"/>
    <w:rsid w:val="00D20A06"/>
    <w:rsid w:val="00D20E42"/>
    <w:rsid w:val="00D2237D"/>
    <w:rsid w:val="00D22D2B"/>
    <w:rsid w:val="00D26CC5"/>
    <w:rsid w:val="00D27334"/>
    <w:rsid w:val="00D31A78"/>
    <w:rsid w:val="00D322E2"/>
    <w:rsid w:val="00D334DD"/>
    <w:rsid w:val="00D34EA3"/>
    <w:rsid w:val="00D359D8"/>
    <w:rsid w:val="00D361FD"/>
    <w:rsid w:val="00D42393"/>
    <w:rsid w:val="00D423A2"/>
    <w:rsid w:val="00D42779"/>
    <w:rsid w:val="00D44E26"/>
    <w:rsid w:val="00D50717"/>
    <w:rsid w:val="00D51A5D"/>
    <w:rsid w:val="00D520D8"/>
    <w:rsid w:val="00D532D4"/>
    <w:rsid w:val="00D5377A"/>
    <w:rsid w:val="00D5634B"/>
    <w:rsid w:val="00D56F8A"/>
    <w:rsid w:val="00D62B9C"/>
    <w:rsid w:val="00D63AC2"/>
    <w:rsid w:val="00D64111"/>
    <w:rsid w:val="00D64AFC"/>
    <w:rsid w:val="00D65783"/>
    <w:rsid w:val="00D734E7"/>
    <w:rsid w:val="00D7383B"/>
    <w:rsid w:val="00D73DBD"/>
    <w:rsid w:val="00D7541C"/>
    <w:rsid w:val="00D7788A"/>
    <w:rsid w:val="00D80E1F"/>
    <w:rsid w:val="00D82B95"/>
    <w:rsid w:val="00D85F06"/>
    <w:rsid w:val="00D93483"/>
    <w:rsid w:val="00D936A2"/>
    <w:rsid w:val="00D9763F"/>
    <w:rsid w:val="00D97B47"/>
    <w:rsid w:val="00DA10F0"/>
    <w:rsid w:val="00DA231B"/>
    <w:rsid w:val="00DB0EA8"/>
    <w:rsid w:val="00DB13F4"/>
    <w:rsid w:val="00DB3D91"/>
    <w:rsid w:val="00DB55DA"/>
    <w:rsid w:val="00DC0497"/>
    <w:rsid w:val="00DC1FCD"/>
    <w:rsid w:val="00DC39FC"/>
    <w:rsid w:val="00DC3A33"/>
    <w:rsid w:val="00DC7CCB"/>
    <w:rsid w:val="00DE4B76"/>
    <w:rsid w:val="00DE5722"/>
    <w:rsid w:val="00DE6EC3"/>
    <w:rsid w:val="00DF0B04"/>
    <w:rsid w:val="00DF2A21"/>
    <w:rsid w:val="00DF3641"/>
    <w:rsid w:val="00DF4348"/>
    <w:rsid w:val="00DF5254"/>
    <w:rsid w:val="00E01AD2"/>
    <w:rsid w:val="00E02524"/>
    <w:rsid w:val="00E1159D"/>
    <w:rsid w:val="00E1451E"/>
    <w:rsid w:val="00E16408"/>
    <w:rsid w:val="00E200D7"/>
    <w:rsid w:val="00E20894"/>
    <w:rsid w:val="00E23848"/>
    <w:rsid w:val="00E245AB"/>
    <w:rsid w:val="00E27341"/>
    <w:rsid w:val="00E2764C"/>
    <w:rsid w:val="00E27F2E"/>
    <w:rsid w:val="00E3070C"/>
    <w:rsid w:val="00E31225"/>
    <w:rsid w:val="00E378A5"/>
    <w:rsid w:val="00E45FF4"/>
    <w:rsid w:val="00E47D45"/>
    <w:rsid w:val="00E501E7"/>
    <w:rsid w:val="00E50AFE"/>
    <w:rsid w:val="00E54CEE"/>
    <w:rsid w:val="00E577E2"/>
    <w:rsid w:val="00E615C4"/>
    <w:rsid w:val="00E71E1B"/>
    <w:rsid w:val="00E75C92"/>
    <w:rsid w:val="00E771DC"/>
    <w:rsid w:val="00E8772A"/>
    <w:rsid w:val="00E90F6B"/>
    <w:rsid w:val="00E91AED"/>
    <w:rsid w:val="00E92362"/>
    <w:rsid w:val="00E92C27"/>
    <w:rsid w:val="00E96B5C"/>
    <w:rsid w:val="00EA0E3D"/>
    <w:rsid w:val="00EA2DC0"/>
    <w:rsid w:val="00EA3A0F"/>
    <w:rsid w:val="00EA426C"/>
    <w:rsid w:val="00EB224C"/>
    <w:rsid w:val="00EB4798"/>
    <w:rsid w:val="00EB721B"/>
    <w:rsid w:val="00EB7760"/>
    <w:rsid w:val="00EC006D"/>
    <w:rsid w:val="00EC297F"/>
    <w:rsid w:val="00EC2A60"/>
    <w:rsid w:val="00EC38A7"/>
    <w:rsid w:val="00ED16BC"/>
    <w:rsid w:val="00ED3FAC"/>
    <w:rsid w:val="00ED4980"/>
    <w:rsid w:val="00EE1AA8"/>
    <w:rsid w:val="00EE265D"/>
    <w:rsid w:val="00EE3D99"/>
    <w:rsid w:val="00EF12EC"/>
    <w:rsid w:val="00EF1D4F"/>
    <w:rsid w:val="00EF3DC3"/>
    <w:rsid w:val="00EF5E13"/>
    <w:rsid w:val="00EF647F"/>
    <w:rsid w:val="00EF6AA4"/>
    <w:rsid w:val="00F03218"/>
    <w:rsid w:val="00F03314"/>
    <w:rsid w:val="00F0580C"/>
    <w:rsid w:val="00F0617C"/>
    <w:rsid w:val="00F0799F"/>
    <w:rsid w:val="00F23A34"/>
    <w:rsid w:val="00F23FEA"/>
    <w:rsid w:val="00F27B7B"/>
    <w:rsid w:val="00F31EDC"/>
    <w:rsid w:val="00F34294"/>
    <w:rsid w:val="00F462B3"/>
    <w:rsid w:val="00F47B10"/>
    <w:rsid w:val="00F5664F"/>
    <w:rsid w:val="00F610F1"/>
    <w:rsid w:val="00F666C4"/>
    <w:rsid w:val="00F74793"/>
    <w:rsid w:val="00F749C5"/>
    <w:rsid w:val="00F758CE"/>
    <w:rsid w:val="00F76AFC"/>
    <w:rsid w:val="00F81BF0"/>
    <w:rsid w:val="00F82E88"/>
    <w:rsid w:val="00F86E11"/>
    <w:rsid w:val="00F86E3E"/>
    <w:rsid w:val="00F95C74"/>
    <w:rsid w:val="00FA105C"/>
    <w:rsid w:val="00FA47C0"/>
    <w:rsid w:val="00FA5FFD"/>
    <w:rsid w:val="00FB5DD1"/>
    <w:rsid w:val="00FC2B5D"/>
    <w:rsid w:val="00FD1DDC"/>
    <w:rsid w:val="00FD3AD2"/>
    <w:rsid w:val="00FF1449"/>
    <w:rsid w:val="00FF1467"/>
    <w:rsid w:val="00FF227D"/>
    <w:rsid w:val="00FF7963"/>
    <w:rsid w:val="09908A09"/>
    <w:rsid w:val="19A2EC2C"/>
    <w:rsid w:val="2859CA1B"/>
    <w:rsid w:val="69614A15"/>
    <w:rsid w:val="7BB183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607BD"/>
  <w15:chartTrackingRefBased/>
  <w15:docId w15:val="{5113DB00-9368-47DE-A928-A008ACB96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AFC"/>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184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1847"/>
  </w:style>
  <w:style w:type="paragraph" w:styleId="Piedepgina">
    <w:name w:val="footer"/>
    <w:basedOn w:val="Normal"/>
    <w:link w:val="PiedepginaCar"/>
    <w:uiPriority w:val="99"/>
    <w:unhideWhenUsed/>
    <w:rsid w:val="004A184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1847"/>
  </w:style>
  <w:style w:type="paragraph" w:customStyle="1" w:styleId="Default">
    <w:name w:val="Default"/>
    <w:rsid w:val="006219F8"/>
    <w:pPr>
      <w:autoSpaceDE w:val="0"/>
      <w:autoSpaceDN w:val="0"/>
      <w:adjustRightInd w:val="0"/>
      <w:spacing w:after="0" w:line="240" w:lineRule="auto"/>
    </w:pPr>
    <w:rPr>
      <w:rFonts w:ascii="Arial" w:hAnsi="Arial" w:cs="Arial"/>
      <w:color w:val="000000"/>
      <w:sz w:val="24"/>
      <w:szCs w:val="24"/>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qFormat/>
    <w:locked/>
    <w:rsid w:val="006219F8"/>
    <w:rPr>
      <w:sz w:val="20"/>
      <w:szCs w:val="20"/>
      <w:lang w:val="es-MX"/>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fn,Car"/>
    <w:basedOn w:val="Normal"/>
    <w:link w:val="TextonotapieCar"/>
    <w:uiPriority w:val="99"/>
    <w:unhideWhenUsed/>
    <w:qFormat/>
    <w:rsid w:val="006219F8"/>
    <w:pPr>
      <w:spacing w:after="0" w:line="240" w:lineRule="auto"/>
    </w:pPr>
    <w:rPr>
      <w:sz w:val="20"/>
      <w:szCs w:val="20"/>
      <w:lang w:val="es-MX"/>
    </w:rPr>
  </w:style>
  <w:style w:type="character" w:customStyle="1" w:styleId="TextonotapieCar1">
    <w:name w:val="Texto nota pie Car1"/>
    <w:basedOn w:val="Fuentedeprrafopredeter"/>
    <w:uiPriority w:val="99"/>
    <w:semiHidden/>
    <w:rsid w:val="006219F8"/>
    <w:rPr>
      <w:sz w:val="20"/>
      <w:szCs w:val="20"/>
    </w:rPr>
  </w:style>
  <w:style w:type="character" w:styleId="Refdenotaalpie">
    <w:name w:val="footnote reference"/>
    <w:aliases w:val="Ref. de nota al pie 2,Ref,de nota al pie,FC,Appel note de bas de p,f,4_G,16 Point,Superscript 6 Point,Texto nota al pie,Pie de Página,Texto de nota al pi,Nota de pie,Texto de nota al p,Footnote Reference Char3,Texto nota pie Car2,F,R"/>
    <w:basedOn w:val="Fuentedeprrafopredeter"/>
    <w:link w:val="Appelnotedebasde"/>
    <w:uiPriority w:val="99"/>
    <w:unhideWhenUsed/>
    <w:qFormat/>
    <w:rsid w:val="006219F8"/>
    <w:rPr>
      <w:vertAlign w:val="superscript"/>
    </w:rPr>
  </w:style>
  <w:style w:type="character" w:customStyle="1" w:styleId="normaltextrun">
    <w:name w:val="normaltextrun"/>
    <w:basedOn w:val="Fuentedeprrafopredeter"/>
    <w:rsid w:val="006219F8"/>
  </w:style>
  <w:style w:type="table" w:styleId="Tablaconcuadrcula">
    <w:name w:val="Table Grid"/>
    <w:basedOn w:val="Tablanormal"/>
    <w:uiPriority w:val="59"/>
    <w:qFormat/>
    <w:rsid w:val="00621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Foot"/>
    <w:basedOn w:val="Normal"/>
    <w:link w:val="PrrafodelistaCar"/>
    <w:uiPriority w:val="34"/>
    <w:qFormat/>
    <w:rsid w:val="005566E8"/>
    <w:pPr>
      <w:ind w:left="720"/>
      <w:contextualSpacing/>
    </w:pPr>
    <w:rPr>
      <w:rFonts w:ascii="Geomanist Light" w:hAnsi="Geomanist Light"/>
      <w:lang w:val="es-ES"/>
    </w:rPr>
  </w:style>
  <w:style w:type="paragraph" w:styleId="Ttulo">
    <w:name w:val="Title"/>
    <w:basedOn w:val="Normal"/>
    <w:next w:val="Normal"/>
    <w:link w:val="TtuloCar"/>
    <w:uiPriority w:val="10"/>
    <w:qFormat/>
    <w:rsid w:val="005566E8"/>
    <w:pPr>
      <w:spacing w:after="0" w:line="240" w:lineRule="auto"/>
      <w:contextualSpacing/>
    </w:pPr>
    <w:rPr>
      <w:rFonts w:ascii="Geomanist" w:eastAsiaTheme="majorEastAsia" w:hAnsi="Geomanist" w:cstheme="majorBidi"/>
      <w:spacing w:val="-10"/>
      <w:kern w:val="28"/>
      <w:szCs w:val="56"/>
      <w:lang w:val="es-ES"/>
    </w:rPr>
  </w:style>
  <w:style w:type="character" w:customStyle="1" w:styleId="TtuloCar">
    <w:name w:val="Título Car"/>
    <w:basedOn w:val="Fuentedeprrafopredeter"/>
    <w:link w:val="Ttulo"/>
    <w:uiPriority w:val="10"/>
    <w:rsid w:val="005566E8"/>
    <w:rPr>
      <w:rFonts w:ascii="Geomanist" w:eastAsiaTheme="majorEastAsia" w:hAnsi="Geomanist" w:cstheme="majorBidi"/>
      <w:spacing w:val="-10"/>
      <w:kern w:val="28"/>
      <w:szCs w:val="56"/>
      <w:lang w:val="es-ES"/>
    </w:rPr>
  </w:style>
  <w:style w:type="character" w:customStyle="1" w:styleId="ui-provider">
    <w:name w:val="ui-provider"/>
    <w:basedOn w:val="Fuentedeprrafopredeter"/>
    <w:rsid w:val="00DA231B"/>
  </w:style>
  <w:style w:type="character" w:styleId="Hipervnculo">
    <w:name w:val="Hyperlink"/>
    <w:basedOn w:val="Fuentedeprrafopredeter"/>
    <w:uiPriority w:val="99"/>
    <w:unhideWhenUsed/>
    <w:rsid w:val="00125105"/>
    <w:rPr>
      <w:color w:val="0000FF"/>
      <w:u w:val="single"/>
    </w:rPr>
  </w:style>
  <w:style w:type="character" w:styleId="Hipervnculovisitado">
    <w:name w:val="FollowedHyperlink"/>
    <w:basedOn w:val="Fuentedeprrafopredeter"/>
    <w:uiPriority w:val="99"/>
    <w:semiHidden/>
    <w:unhideWhenUsed/>
    <w:rsid w:val="00125105"/>
    <w:rPr>
      <w:color w:val="954F72" w:themeColor="followedHyperlink"/>
      <w:u w:val="single"/>
    </w:rPr>
  </w:style>
  <w:style w:type="paragraph" w:customStyle="1" w:styleId="paragraph">
    <w:name w:val="paragraph"/>
    <w:basedOn w:val="Normal"/>
    <w:rsid w:val="00322A8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322A85"/>
  </w:style>
  <w:style w:type="character" w:customStyle="1" w:styleId="eop">
    <w:name w:val="eop"/>
    <w:basedOn w:val="Fuentedeprrafopredeter"/>
    <w:rsid w:val="00322A85"/>
  </w:style>
  <w:style w:type="character" w:customStyle="1" w:styleId="Mencinsinresolver1">
    <w:name w:val="Mención sin resolver1"/>
    <w:basedOn w:val="Fuentedeprrafopredeter"/>
    <w:uiPriority w:val="99"/>
    <w:semiHidden/>
    <w:unhideWhenUsed/>
    <w:rsid w:val="001F7DC6"/>
    <w:rPr>
      <w:color w:val="605E5C"/>
      <w:shd w:val="clear" w:color="auto" w:fill="E1DFDD"/>
    </w:rPr>
  </w:style>
  <w:style w:type="paragraph" w:styleId="NormalWeb">
    <w:name w:val="Normal (Web)"/>
    <w:basedOn w:val="Normal"/>
    <w:link w:val="NormalWebCar"/>
    <w:uiPriority w:val="99"/>
    <w:unhideWhenUsed/>
    <w:rsid w:val="00DF525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lanco">
    <w:name w:val="blanco"/>
    <w:basedOn w:val="Normal"/>
    <w:rsid w:val="00C76B1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9F3A13"/>
    <w:pPr>
      <w:spacing w:after="0" w:line="240" w:lineRule="auto"/>
    </w:pPr>
  </w:style>
  <w:style w:type="table" w:customStyle="1" w:styleId="Tablaconcuadrcula1">
    <w:name w:val="Tabla con cuadrícula1"/>
    <w:basedOn w:val="Tablanormal"/>
    <w:next w:val="Tablaconcuadrcula"/>
    <w:uiPriority w:val="39"/>
    <w:qFormat/>
    <w:rsid w:val="007A183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lnotedebasde">
    <w:name w:val="Appel note de bas de..."/>
    <w:basedOn w:val="Normal"/>
    <w:link w:val="Refdenotaalpie"/>
    <w:uiPriority w:val="99"/>
    <w:rsid w:val="007A1830"/>
    <w:pPr>
      <w:spacing w:line="240" w:lineRule="exact"/>
    </w:pPr>
    <w:rPr>
      <w:vertAlign w:val="superscript"/>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A73F45"/>
    <w:rPr>
      <w:rFonts w:ascii="Geomanist Light" w:hAnsi="Geomanist Light"/>
      <w:lang w:val="es-ES"/>
    </w:rPr>
  </w:style>
  <w:style w:type="paragraph" w:styleId="Textodeglobo">
    <w:name w:val="Balloon Text"/>
    <w:basedOn w:val="Normal"/>
    <w:link w:val="TextodegloboCar"/>
    <w:uiPriority w:val="99"/>
    <w:semiHidden/>
    <w:unhideWhenUsed/>
    <w:rsid w:val="00076D5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76D52"/>
    <w:rPr>
      <w:rFonts w:ascii="Segoe UI" w:hAnsi="Segoe UI" w:cs="Segoe UI"/>
      <w:sz w:val="18"/>
      <w:szCs w:val="18"/>
    </w:rPr>
  </w:style>
  <w:style w:type="table" w:customStyle="1" w:styleId="Tablaconcuadrcula11">
    <w:name w:val="Tabla con cuadrícula11"/>
    <w:basedOn w:val="Tablanormal"/>
    <w:next w:val="Tablaconcuadrcula"/>
    <w:uiPriority w:val="59"/>
    <w:qFormat/>
    <w:rsid w:val="009037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39"/>
    <w:qFormat/>
    <w:rsid w:val="009037F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DB13F4"/>
    <w:rPr>
      <w:color w:val="605E5C"/>
      <w:shd w:val="clear" w:color="auto" w:fill="E1DFDD"/>
    </w:rPr>
  </w:style>
  <w:style w:type="paragraph" w:styleId="Textoindependiente">
    <w:name w:val="Body Text"/>
    <w:basedOn w:val="Normal"/>
    <w:link w:val="TextoindependienteCar"/>
    <w:uiPriority w:val="1"/>
    <w:unhideWhenUsed/>
    <w:qFormat/>
    <w:rsid w:val="00B234CF"/>
    <w:pPr>
      <w:spacing w:after="120"/>
    </w:pPr>
  </w:style>
  <w:style w:type="character" w:customStyle="1" w:styleId="TextoindependienteCar">
    <w:name w:val="Texto independiente Car"/>
    <w:basedOn w:val="Fuentedeprrafopredeter"/>
    <w:link w:val="Textoindependiente"/>
    <w:uiPriority w:val="1"/>
    <w:rsid w:val="00B234CF"/>
  </w:style>
  <w:style w:type="character" w:styleId="Mencinsinresolver">
    <w:name w:val="Unresolved Mention"/>
    <w:basedOn w:val="Fuentedeprrafopredeter"/>
    <w:uiPriority w:val="99"/>
    <w:semiHidden/>
    <w:unhideWhenUsed/>
    <w:rsid w:val="00EA3A0F"/>
    <w:rPr>
      <w:color w:val="605E5C"/>
      <w:shd w:val="clear" w:color="auto" w:fill="E1DFDD"/>
    </w:rPr>
  </w:style>
  <w:style w:type="paragraph" w:styleId="Sinespaciado">
    <w:name w:val="No Spacing"/>
    <w:aliases w:val="No Indent"/>
    <w:link w:val="SinespaciadoCar"/>
    <w:uiPriority w:val="3"/>
    <w:qFormat/>
    <w:rsid w:val="00292260"/>
    <w:pPr>
      <w:spacing w:after="0" w:line="240" w:lineRule="auto"/>
    </w:pPr>
    <w:rPr>
      <w:sz w:val="24"/>
      <w:lang w:val="es-MX"/>
    </w:rPr>
  </w:style>
  <w:style w:type="character" w:customStyle="1" w:styleId="SinespaciadoCar">
    <w:name w:val="Sin espaciado Car"/>
    <w:aliases w:val="No Indent Car"/>
    <w:link w:val="Sinespaciado"/>
    <w:uiPriority w:val="3"/>
    <w:rsid w:val="00292260"/>
    <w:rPr>
      <w:sz w:val="24"/>
      <w:lang w:val="es-MX"/>
    </w:rPr>
  </w:style>
  <w:style w:type="character" w:styleId="Fuerte">
    <w:name w:val="Strong"/>
    <w:basedOn w:val="Fuentedeprrafopredeter"/>
    <w:uiPriority w:val="22"/>
    <w:qFormat/>
    <w:rsid w:val="00D000E7"/>
    <w:rPr>
      <w:b/>
      <w:bCs/>
    </w:rPr>
  </w:style>
  <w:style w:type="character" w:customStyle="1" w:styleId="NormalWebCar">
    <w:name w:val="Normal (Web) Car"/>
    <w:link w:val="NormalWeb"/>
    <w:uiPriority w:val="99"/>
    <w:locked/>
    <w:rsid w:val="00D000E7"/>
    <w:rPr>
      <w:rFonts w:ascii="Times New Roman" w:eastAsia="Times New Roman" w:hAnsi="Times New Roman" w:cs="Times New Roman"/>
      <w:sz w:val="24"/>
      <w:szCs w:val="24"/>
      <w:lang w:eastAsia="es-CO"/>
    </w:rPr>
  </w:style>
  <w:style w:type="character" w:styleId="nfasis">
    <w:name w:val="Emphasis"/>
    <w:basedOn w:val="Fuentedeprrafopredeter"/>
    <w:uiPriority w:val="20"/>
    <w:qFormat/>
    <w:rsid w:val="00D000E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6905">
      <w:bodyDiv w:val="1"/>
      <w:marLeft w:val="0"/>
      <w:marRight w:val="0"/>
      <w:marTop w:val="0"/>
      <w:marBottom w:val="0"/>
      <w:divBdr>
        <w:top w:val="none" w:sz="0" w:space="0" w:color="auto"/>
        <w:left w:val="none" w:sz="0" w:space="0" w:color="auto"/>
        <w:bottom w:val="none" w:sz="0" w:space="0" w:color="auto"/>
        <w:right w:val="none" w:sz="0" w:space="0" w:color="auto"/>
      </w:divBdr>
    </w:div>
    <w:div w:id="474102498">
      <w:bodyDiv w:val="1"/>
      <w:marLeft w:val="0"/>
      <w:marRight w:val="0"/>
      <w:marTop w:val="0"/>
      <w:marBottom w:val="0"/>
      <w:divBdr>
        <w:top w:val="none" w:sz="0" w:space="0" w:color="auto"/>
        <w:left w:val="none" w:sz="0" w:space="0" w:color="auto"/>
        <w:bottom w:val="none" w:sz="0" w:space="0" w:color="auto"/>
        <w:right w:val="none" w:sz="0" w:space="0" w:color="auto"/>
      </w:divBdr>
    </w:div>
    <w:div w:id="621767828">
      <w:bodyDiv w:val="1"/>
      <w:marLeft w:val="0"/>
      <w:marRight w:val="0"/>
      <w:marTop w:val="0"/>
      <w:marBottom w:val="0"/>
      <w:divBdr>
        <w:top w:val="none" w:sz="0" w:space="0" w:color="auto"/>
        <w:left w:val="none" w:sz="0" w:space="0" w:color="auto"/>
        <w:bottom w:val="none" w:sz="0" w:space="0" w:color="auto"/>
        <w:right w:val="none" w:sz="0" w:space="0" w:color="auto"/>
      </w:divBdr>
    </w:div>
    <w:div w:id="624190896">
      <w:bodyDiv w:val="1"/>
      <w:marLeft w:val="0"/>
      <w:marRight w:val="0"/>
      <w:marTop w:val="0"/>
      <w:marBottom w:val="0"/>
      <w:divBdr>
        <w:top w:val="none" w:sz="0" w:space="0" w:color="auto"/>
        <w:left w:val="none" w:sz="0" w:space="0" w:color="auto"/>
        <w:bottom w:val="none" w:sz="0" w:space="0" w:color="auto"/>
        <w:right w:val="none" w:sz="0" w:space="0" w:color="auto"/>
      </w:divBdr>
    </w:div>
    <w:div w:id="755788902">
      <w:bodyDiv w:val="1"/>
      <w:marLeft w:val="0"/>
      <w:marRight w:val="0"/>
      <w:marTop w:val="0"/>
      <w:marBottom w:val="0"/>
      <w:divBdr>
        <w:top w:val="none" w:sz="0" w:space="0" w:color="auto"/>
        <w:left w:val="none" w:sz="0" w:space="0" w:color="auto"/>
        <w:bottom w:val="none" w:sz="0" w:space="0" w:color="auto"/>
        <w:right w:val="none" w:sz="0" w:space="0" w:color="auto"/>
      </w:divBdr>
    </w:div>
    <w:div w:id="914365341">
      <w:bodyDiv w:val="1"/>
      <w:marLeft w:val="0"/>
      <w:marRight w:val="0"/>
      <w:marTop w:val="0"/>
      <w:marBottom w:val="0"/>
      <w:divBdr>
        <w:top w:val="none" w:sz="0" w:space="0" w:color="auto"/>
        <w:left w:val="none" w:sz="0" w:space="0" w:color="auto"/>
        <w:bottom w:val="none" w:sz="0" w:space="0" w:color="auto"/>
        <w:right w:val="none" w:sz="0" w:space="0" w:color="auto"/>
      </w:divBdr>
    </w:div>
    <w:div w:id="1132796275">
      <w:bodyDiv w:val="1"/>
      <w:marLeft w:val="0"/>
      <w:marRight w:val="0"/>
      <w:marTop w:val="0"/>
      <w:marBottom w:val="0"/>
      <w:divBdr>
        <w:top w:val="none" w:sz="0" w:space="0" w:color="auto"/>
        <w:left w:val="none" w:sz="0" w:space="0" w:color="auto"/>
        <w:bottom w:val="none" w:sz="0" w:space="0" w:color="auto"/>
        <w:right w:val="none" w:sz="0" w:space="0" w:color="auto"/>
      </w:divBdr>
    </w:div>
    <w:div w:id="1270429918">
      <w:bodyDiv w:val="1"/>
      <w:marLeft w:val="0"/>
      <w:marRight w:val="0"/>
      <w:marTop w:val="0"/>
      <w:marBottom w:val="0"/>
      <w:divBdr>
        <w:top w:val="none" w:sz="0" w:space="0" w:color="auto"/>
        <w:left w:val="none" w:sz="0" w:space="0" w:color="auto"/>
        <w:bottom w:val="none" w:sz="0" w:space="0" w:color="auto"/>
        <w:right w:val="none" w:sz="0" w:space="0" w:color="auto"/>
      </w:divBdr>
    </w:div>
    <w:div w:id="1291863859">
      <w:bodyDiv w:val="1"/>
      <w:marLeft w:val="0"/>
      <w:marRight w:val="0"/>
      <w:marTop w:val="0"/>
      <w:marBottom w:val="0"/>
      <w:divBdr>
        <w:top w:val="none" w:sz="0" w:space="0" w:color="auto"/>
        <w:left w:val="none" w:sz="0" w:space="0" w:color="auto"/>
        <w:bottom w:val="none" w:sz="0" w:space="0" w:color="auto"/>
        <w:right w:val="none" w:sz="0" w:space="0" w:color="auto"/>
      </w:divBdr>
      <w:divsChild>
        <w:div w:id="24454764">
          <w:marLeft w:val="0"/>
          <w:marRight w:val="0"/>
          <w:marTop w:val="0"/>
          <w:marBottom w:val="0"/>
          <w:divBdr>
            <w:top w:val="none" w:sz="0" w:space="0" w:color="auto"/>
            <w:left w:val="none" w:sz="0" w:space="0" w:color="auto"/>
            <w:bottom w:val="none" w:sz="0" w:space="0" w:color="auto"/>
            <w:right w:val="none" w:sz="0" w:space="0" w:color="auto"/>
          </w:divBdr>
        </w:div>
        <w:div w:id="117142684">
          <w:marLeft w:val="0"/>
          <w:marRight w:val="0"/>
          <w:marTop w:val="0"/>
          <w:marBottom w:val="0"/>
          <w:divBdr>
            <w:top w:val="none" w:sz="0" w:space="0" w:color="auto"/>
            <w:left w:val="none" w:sz="0" w:space="0" w:color="auto"/>
            <w:bottom w:val="none" w:sz="0" w:space="0" w:color="auto"/>
            <w:right w:val="none" w:sz="0" w:space="0" w:color="auto"/>
          </w:divBdr>
        </w:div>
        <w:div w:id="165822881">
          <w:marLeft w:val="0"/>
          <w:marRight w:val="0"/>
          <w:marTop w:val="0"/>
          <w:marBottom w:val="0"/>
          <w:divBdr>
            <w:top w:val="none" w:sz="0" w:space="0" w:color="auto"/>
            <w:left w:val="none" w:sz="0" w:space="0" w:color="auto"/>
            <w:bottom w:val="none" w:sz="0" w:space="0" w:color="auto"/>
            <w:right w:val="none" w:sz="0" w:space="0" w:color="auto"/>
          </w:divBdr>
        </w:div>
        <w:div w:id="210045895">
          <w:marLeft w:val="0"/>
          <w:marRight w:val="0"/>
          <w:marTop w:val="0"/>
          <w:marBottom w:val="0"/>
          <w:divBdr>
            <w:top w:val="none" w:sz="0" w:space="0" w:color="auto"/>
            <w:left w:val="none" w:sz="0" w:space="0" w:color="auto"/>
            <w:bottom w:val="none" w:sz="0" w:space="0" w:color="auto"/>
            <w:right w:val="none" w:sz="0" w:space="0" w:color="auto"/>
          </w:divBdr>
        </w:div>
        <w:div w:id="238516275">
          <w:marLeft w:val="0"/>
          <w:marRight w:val="0"/>
          <w:marTop w:val="0"/>
          <w:marBottom w:val="0"/>
          <w:divBdr>
            <w:top w:val="none" w:sz="0" w:space="0" w:color="auto"/>
            <w:left w:val="none" w:sz="0" w:space="0" w:color="auto"/>
            <w:bottom w:val="none" w:sz="0" w:space="0" w:color="auto"/>
            <w:right w:val="none" w:sz="0" w:space="0" w:color="auto"/>
          </w:divBdr>
        </w:div>
        <w:div w:id="355544057">
          <w:marLeft w:val="0"/>
          <w:marRight w:val="0"/>
          <w:marTop w:val="0"/>
          <w:marBottom w:val="0"/>
          <w:divBdr>
            <w:top w:val="none" w:sz="0" w:space="0" w:color="auto"/>
            <w:left w:val="none" w:sz="0" w:space="0" w:color="auto"/>
            <w:bottom w:val="none" w:sz="0" w:space="0" w:color="auto"/>
            <w:right w:val="none" w:sz="0" w:space="0" w:color="auto"/>
          </w:divBdr>
        </w:div>
        <w:div w:id="390231839">
          <w:marLeft w:val="0"/>
          <w:marRight w:val="0"/>
          <w:marTop w:val="0"/>
          <w:marBottom w:val="0"/>
          <w:divBdr>
            <w:top w:val="none" w:sz="0" w:space="0" w:color="auto"/>
            <w:left w:val="none" w:sz="0" w:space="0" w:color="auto"/>
            <w:bottom w:val="none" w:sz="0" w:space="0" w:color="auto"/>
            <w:right w:val="none" w:sz="0" w:space="0" w:color="auto"/>
          </w:divBdr>
        </w:div>
        <w:div w:id="455296425">
          <w:marLeft w:val="0"/>
          <w:marRight w:val="0"/>
          <w:marTop w:val="0"/>
          <w:marBottom w:val="0"/>
          <w:divBdr>
            <w:top w:val="none" w:sz="0" w:space="0" w:color="auto"/>
            <w:left w:val="none" w:sz="0" w:space="0" w:color="auto"/>
            <w:bottom w:val="none" w:sz="0" w:space="0" w:color="auto"/>
            <w:right w:val="none" w:sz="0" w:space="0" w:color="auto"/>
          </w:divBdr>
        </w:div>
        <w:div w:id="511727059">
          <w:marLeft w:val="0"/>
          <w:marRight w:val="0"/>
          <w:marTop w:val="0"/>
          <w:marBottom w:val="0"/>
          <w:divBdr>
            <w:top w:val="none" w:sz="0" w:space="0" w:color="auto"/>
            <w:left w:val="none" w:sz="0" w:space="0" w:color="auto"/>
            <w:bottom w:val="none" w:sz="0" w:space="0" w:color="auto"/>
            <w:right w:val="none" w:sz="0" w:space="0" w:color="auto"/>
          </w:divBdr>
        </w:div>
        <w:div w:id="538082317">
          <w:marLeft w:val="0"/>
          <w:marRight w:val="0"/>
          <w:marTop w:val="0"/>
          <w:marBottom w:val="0"/>
          <w:divBdr>
            <w:top w:val="none" w:sz="0" w:space="0" w:color="auto"/>
            <w:left w:val="none" w:sz="0" w:space="0" w:color="auto"/>
            <w:bottom w:val="none" w:sz="0" w:space="0" w:color="auto"/>
            <w:right w:val="none" w:sz="0" w:space="0" w:color="auto"/>
          </w:divBdr>
        </w:div>
        <w:div w:id="541678020">
          <w:marLeft w:val="0"/>
          <w:marRight w:val="0"/>
          <w:marTop w:val="0"/>
          <w:marBottom w:val="0"/>
          <w:divBdr>
            <w:top w:val="none" w:sz="0" w:space="0" w:color="auto"/>
            <w:left w:val="none" w:sz="0" w:space="0" w:color="auto"/>
            <w:bottom w:val="none" w:sz="0" w:space="0" w:color="auto"/>
            <w:right w:val="none" w:sz="0" w:space="0" w:color="auto"/>
          </w:divBdr>
        </w:div>
        <w:div w:id="568075362">
          <w:marLeft w:val="0"/>
          <w:marRight w:val="0"/>
          <w:marTop w:val="0"/>
          <w:marBottom w:val="0"/>
          <w:divBdr>
            <w:top w:val="none" w:sz="0" w:space="0" w:color="auto"/>
            <w:left w:val="none" w:sz="0" w:space="0" w:color="auto"/>
            <w:bottom w:val="none" w:sz="0" w:space="0" w:color="auto"/>
            <w:right w:val="none" w:sz="0" w:space="0" w:color="auto"/>
          </w:divBdr>
        </w:div>
        <w:div w:id="596713425">
          <w:marLeft w:val="0"/>
          <w:marRight w:val="0"/>
          <w:marTop w:val="0"/>
          <w:marBottom w:val="0"/>
          <w:divBdr>
            <w:top w:val="none" w:sz="0" w:space="0" w:color="auto"/>
            <w:left w:val="none" w:sz="0" w:space="0" w:color="auto"/>
            <w:bottom w:val="none" w:sz="0" w:space="0" w:color="auto"/>
            <w:right w:val="none" w:sz="0" w:space="0" w:color="auto"/>
          </w:divBdr>
        </w:div>
        <w:div w:id="638808706">
          <w:marLeft w:val="0"/>
          <w:marRight w:val="0"/>
          <w:marTop w:val="0"/>
          <w:marBottom w:val="0"/>
          <w:divBdr>
            <w:top w:val="none" w:sz="0" w:space="0" w:color="auto"/>
            <w:left w:val="none" w:sz="0" w:space="0" w:color="auto"/>
            <w:bottom w:val="none" w:sz="0" w:space="0" w:color="auto"/>
            <w:right w:val="none" w:sz="0" w:space="0" w:color="auto"/>
          </w:divBdr>
        </w:div>
        <w:div w:id="679356651">
          <w:marLeft w:val="0"/>
          <w:marRight w:val="0"/>
          <w:marTop w:val="0"/>
          <w:marBottom w:val="0"/>
          <w:divBdr>
            <w:top w:val="none" w:sz="0" w:space="0" w:color="auto"/>
            <w:left w:val="none" w:sz="0" w:space="0" w:color="auto"/>
            <w:bottom w:val="none" w:sz="0" w:space="0" w:color="auto"/>
            <w:right w:val="none" w:sz="0" w:space="0" w:color="auto"/>
          </w:divBdr>
        </w:div>
        <w:div w:id="688798703">
          <w:marLeft w:val="0"/>
          <w:marRight w:val="0"/>
          <w:marTop w:val="0"/>
          <w:marBottom w:val="0"/>
          <w:divBdr>
            <w:top w:val="none" w:sz="0" w:space="0" w:color="auto"/>
            <w:left w:val="none" w:sz="0" w:space="0" w:color="auto"/>
            <w:bottom w:val="none" w:sz="0" w:space="0" w:color="auto"/>
            <w:right w:val="none" w:sz="0" w:space="0" w:color="auto"/>
          </w:divBdr>
        </w:div>
        <w:div w:id="715542045">
          <w:marLeft w:val="0"/>
          <w:marRight w:val="0"/>
          <w:marTop w:val="0"/>
          <w:marBottom w:val="0"/>
          <w:divBdr>
            <w:top w:val="none" w:sz="0" w:space="0" w:color="auto"/>
            <w:left w:val="none" w:sz="0" w:space="0" w:color="auto"/>
            <w:bottom w:val="none" w:sz="0" w:space="0" w:color="auto"/>
            <w:right w:val="none" w:sz="0" w:space="0" w:color="auto"/>
          </w:divBdr>
        </w:div>
        <w:div w:id="743262102">
          <w:marLeft w:val="0"/>
          <w:marRight w:val="0"/>
          <w:marTop w:val="0"/>
          <w:marBottom w:val="0"/>
          <w:divBdr>
            <w:top w:val="none" w:sz="0" w:space="0" w:color="auto"/>
            <w:left w:val="none" w:sz="0" w:space="0" w:color="auto"/>
            <w:bottom w:val="none" w:sz="0" w:space="0" w:color="auto"/>
            <w:right w:val="none" w:sz="0" w:space="0" w:color="auto"/>
          </w:divBdr>
        </w:div>
        <w:div w:id="807745514">
          <w:marLeft w:val="0"/>
          <w:marRight w:val="0"/>
          <w:marTop w:val="0"/>
          <w:marBottom w:val="0"/>
          <w:divBdr>
            <w:top w:val="none" w:sz="0" w:space="0" w:color="auto"/>
            <w:left w:val="none" w:sz="0" w:space="0" w:color="auto"/>
            <w:bottom w:val="none" w:sz="0" w:space="0" w:color="auto"/>
            <w:right w:val="none" w:sz="0" w:space="0" w:color="auto"/>
          </w:divBdr>
        </w:div>
        <w:div w:id="816871884">
          <w:marLeft w:val="0"/>
          <w:marRight w:val="0"/>
          <w:marTop w:val="0"/>
          <w:marBottom w:val="0"/>
          <w:divBdr>
            <w:top w:val="none" w:sz="0" w:space="0" w:color="auto"/>
            <w:left w:val="none" w:sz="0" w:space="0" w:color="auto"/>
            <w:bottom w:val="none" w:sz="0" w:space="0" w:color="auto"/>
            <w:right w:val="none" w:sz="0" w:space="0" w:color="auto"/>
          </w:divBdr>
        </w:div>
        <w:div w:id="860240521">
          <w:marLeft w:val="0"/>
          <w:marRight w:val="0"/>
          <w:marTop w:val="0"/>
          <w:marBottom w:val="0"/>
          <w:divBdr>
            <w:top w:val="none" w:sz="0" w:space="0" w:color="auto"/>
            <w:left w:val="none" w:sz="0" w:space="0" w:color="auto"/>
            <w:bottom w:val="none" w:sz="0" w:space="0" w:color="auto"/>
            <w:right w:val="none" w:sz="0" w:space="0" w:color="auto"/>
          </w:divBdr>
        </w:div>
        <w:div w:id="882060613">
          <w:marLeft w:val="0"/>
          <w:marRight w:val="0"/>
          <w:marTop w:val="0"/>
          <w:marBottom w:val="0"/>
          <w:divBdr>
            <w:top w:val="none" w:sz="0" w:space="0" w:color="auto"/>
            <w:left w:val="none" w:sz="0" w:space="0" w:color="auto"/>
            <w:bottom w:val="none" w:sz="0" w:space="0" w:color="auto"/>
            <w:right w:val="none" w:sz="0" w:space="0" w:color="auto"/>
          </w:divBdr>
        </w:div>
        <w:div w:id="892691556">
          <w:marLeft w:val="0"/>
          <w:marRight w:val="0"/>
          <w:marTop w:val="0"/>
          <w:marBottom w:val="0"/>
          <w:divBdr>
            <w:top w:val="none" w:sz="0" w:space="0" w:color="auto"/>
            <w:left w:val="none" w:sz="0" w:space="0" w:color="auto"/>
            <w:bottom w:val="none" w:sz="0" w:space="0" w:color="auto"/>
            <w:right w:val="none" w:sz="0" w:space="0" w:color="auto"/>
          </w:divBdr>
        </w:div>
        <w:div w:id="896629501">
          <w:marLeft w:val="0"/>
          <w:marRight w:val="0"/>
          <w:marTop w:val="0"/>
          <w:marBottom w:val="0"/>
          <w:divBdr>
            <w:top w:val="none" w:sz="0" w:space="0" w:color="auto"/>
            <w:left w:val="none" w:sz="0" w:space="0" w:color="auto"/>
            <w:bottom w:val="none" w:sz="0" w:space="0" w:color="auto"/>
            <w:right w:val="none" w:sz="0" w:space="0" w:color="auto"/>
          </w:divBdr>
        </w:div>
        <w:div w:id="953637238">
          <w:marLeft w:val="0"/>
          <w:marRight w:val="0"/>
          <w:marTop w:val="0"/>
          <w:marBottom w:val="0"/>
          <w:divBdr>
            <w:top w:val="none" w:sz="0" w:space="0" w:color="auto"/>
            <w:left w:val="none" w:sz="0" w:space="0" w:color="auto"/>
            <w:bottom w:val="none" w:sz="0" w:space="0" w:color="auto"/>
            <w:right w:val="none" w:sz="0" w:space="0" w:color="auto"/>
          </w:divBdr>
          <w:divsChild>
            <w:div w:id="220364327">
              <w:marLeft w:val="0"/>
              <w:marRight w:val="0"/>
              <w:marTop w:val="0"/>
              <w:marBottom w:val="0"/>
              <w:divBdr>
                <w:top w:val="none" w:sz="0" w:space="0" w:color="auto"/>
                <w:left w:val="none" w:sz="0" w:space="0" w:color="auto"/>
                <w:bottom w:val="none" w:sz="0" w:space="0" w:color="auto"/>
                <w:right w:val="none" w:sz="0" w:space="0" w:color="auto"/>
              </w:divBdr>
            </w:div>
            <w:div w:id="330067371">
              <w:marLeft w:val="0"/>
              <w:marRight w:val="0"/>
              <w:marTop w:val="0"/>
              <w:marBottom w:val="0"/>
              <w:divBdr>
                <w:top w:val="none" w:sz="0" w:space="0" w:color="auto"/>
                <w:left w:val="none" w:sz="0" w:space="0" w:color="auto"/>
                <w:bottom w:val="none" w:sz="0" w:space="0" w:color="auto"/>
                <w:right w:val="none" w:sz="0" w:space="0" w:color="auto"/>
              </w:divBdr>
            </w:div>
            <w:div w:id="543758897">
              <w:marLeft w:val="0"/>
              <w:marRight w:val="0"/>
              <w:marTop w:val="0"/>
              <w:marBottom w:val="0"/>
              <w:divBdr>
                <w:top w:val="none" w:sz="0" w:space="0" w:color="auto"/>
                <w:left w:val="none" w:sz="0" w:space="0" w:color="auto"/>
                <w:bottom w:val="none" w:sz="0" w:space="0" w:color="auto"/>
                <w:right w:val="none" w:sz="0" w:space="0" w:color="auto"/>
              </w:divBdr>
            </w:div>
            <w:div w:id="1286548090">
              <w:marLeft w:val="0"/>
              <w:marRight w:val="0"/>
              <w:marTop w:val="0"/>
              <w:marBottom w:val="0"/>
              <w:divBdr>
                <w:top w:val="none" w:sz="0" w:space="0" w:color="auto"/>
                <w:left w:val="none" w:sz="0" w:space="0" w:color="auto"/>
                <w:bottom w:val="none" w:sz="0" w:space="0" w:color="auto"/>
                <w:right w:val="none" w:sz="0" w:space="0" w:color="auto"/>
              </w:divBdr>
            </w:div>
            <w:div w:id="1721204122">
              <w:marLeft w:val="0"/>
              <w:marRight w:val="0"/>
              <w:marTop w:val="0"/>
              <w:marBottom w:val="0"/>
              <w:divBdr>
                <w:top w:val="none" w:sz="0" w:space="0" w:color="auto"/>
                <w:left w:val="none" w:sz="0" w:space="0" w:color="auto"/>
                <w:bottom w:val="none" w:sz="0" w:space="0" w:color="auto"/>
                <w:right w:val="none" w:sz="0" w:space="0" w:color="auto"/>
              </w:divBdr>
            </w:div>
          </w:divsChild>
        </w:div>
        <w:div w:id="1002320289">
          <w:marLeft w:val="0"/>
          <w:marRight w:val="0"/>
          <w:marTop w:val="0"/>
          <w:marBottom w:val="0"/>
          <w:divBdr>
            <w:top w:val="none" w:sz="0" w:space="0" w:color="auto"/>
            <w:left w:val="none" w:sz="0" w:space="0" w:color="auto"/>
            <w:bottom w:val="none" w:sz="0" w:space="0" w:color="auto"/>
            <w:right w:val="none" w:sz="0" w:space="0" w:color="auto"/>
          </w:divBdr>
        </w:div>
        <w:div w:id="1009718320">
          <w:marLeft w:val="0"/>
          <w:marRight w:val="0"/>
          <w:marTop w:val="0"/>
          <w:marBottom w:val="0"/>
          <w:divBdr>
            <w:top w:val="none" w:sz="0" w:space="0" w:color="auto"/>
            <w:left w:val="none" w:sz="0" w:space="0" w:color="auto"/>
            <w:bottom w:val="none" w:sz="0" w:space="0" w:color="auto"/>
            <w:right w:val="none" w:sz="0" w:space="0" w:color="auto"/>
          </w:divBdr>
        </w:div>
        <w:div w:id="1053582647">
          <w:marLeft w:val="0"/>
          <w:marRight w:val="0"/>
          <w:marTop w:val="0"/>
          <w:marBottom w:val="0"/>
          <w:divBdr>
            <w:top w:val="none" w:sz="0" w:space="0" w:color="auto"/>
            <w:left w:val="none" w:sz="0" w:space="0" w:color="auto"/>
            <w:bottom w:val="none" w:sz="0" w:space="0" w:color="auto"/>
            <w:right w:val="none" w:sz="0" w:space="0" w:color="auto"/>
          </w:divBdr>
        </w:div>
        <w:div w:id="1065952338">
          <w:marLeft w:val="0"/>
          <w:marRight w:val="0"/>
          <w:marTop w:val="0"/>
          <w:marBottom w:val="0"/>
          <w:divBdr>
            <w:top w:val="none" w:sz="0" w:space="0" w:color="auto"/>
            <w:left w:val="none" w:sz="0" w:space="0" w:color="auto"/>
            <w:bottom w:val="none" w:sz="0" w:space="0" w:color="auto"/>
            <w:right w:val="none" w:sz="0" w:space="0" w:color="auto"/>
          </w:divBdr>
        </w:div>
        <w:div w:id="1098216012">
          <w:marLeft w:val="0"/>
          <w:marRight w:val="0"/>
          <w:marTop w:val="0"/>
          <w:marBottom w:val="0"/>
          <w:divBdr>
            <w:top w:val="none" w:sz="0" w:space="0" w:color="auto"/>
            <w:left w:val="none" w:sz="0" w:space="0" w:color="auto"/>
            <w:bottom w:val="none" w:sz="0" w:space="0" w:color="auto"/>
            <w:right w:val="none" w:sz="0" w:space="0" w:color="auto"/>
          </w:divBdr>
        </w:div>
        <w:div w:id="1128550095">
          <w:marLeft w:val="0"/>
          <w:marRight w:val="0"/>
          <w:marTop w:val="0"/>
          <w:marBottom w:val="0"/>
          <w:divBdr>
            <w:top w:val="none" w:sz="0" w:space="0" w:color="auto"/>
            <w:left w:val="none" w:sz="0" w:space="0" w:color="auto"/>
            <w:bottom w:val="none" w:sz="0" w:space="0" w:color="auto"/>
            <w:right w:val="none" w:sz="0" w:space="0" w:color="auto"/>
          </w:divBdr>
          <w:divsChild>
            <w:div w:id="407390849">
              <w:marLeft w:val="0"/>
              <w:marRight w:val="0"/>
              <w:marTop w:val="0"/>
              <w:marBottom w:val="0"/>
              <w:divBdr>
                <w:top w:val="none" w:sz="0" w:space="0" w:color="auto"/>
                <w:left w:val="none" w:sz="0" w:space="0" w:color="auto"/>
                <w:bottom w:val="none" w:sz="0" w:space="0" w:color="auto"/>
                <w:right w:val="none" w:sz="0" w:space="0" w:color="auto"/>
              </w:divBdr>
            </w:div>
            <w:div w:id="1142380584">
              <w:marLeft w:val="0"/>
              <w:marRight w:val="0"/>
              <w:marTop w:val="0"/>
              <w:marBottom w:val="0"/>
              <w:divBdr>
                <w:top w:val="none" w:sz="0" w:space="0" w:color="auto"/>
                <w:left w:val="none" w:sz="0" w:space="0" w:color="auto"/>
                <w:bottom w:val="none" w:sz="0" w:space="0" w:color="auto"/>
                <w:right w:val="none" w:sz="0" w:space="0" w:color="auto"/>
              </w:divBdr>
            </w:div>
            <w:div w:id="1192953861">
              <w:marLeft w:val="0"/>
              <w:marRight w:val="0"/>
              <w:marTop w:val="0"/>
              <w:marBottom w:val="0"/>
              <w:divBdr>
                <w:top w:val="none" w:sz="0" w:space="0" w:color="auto"/>
                <w:left w:val="none" w:sz="0" w:space="0" w:color="auto"/>
                <w:bottom w:val="none" w:sz="0" w:space="0" w:color="auto"/>
                <w:right w:val="none" w:sz="0" w:space="0" w:color="auto"/>
              </w:divBdr>
            </w:div>
          </w:divsChild>
        </w:div>
        <w:div w:id="1134103737">
          <w:marLeft w:val="0"/>
          <w:marRight w:val="0"/>
          <w:marTop w:val="0"/>
          <w:marBottom w:val="0"/>
          <w:divBdr>
            <w:top w:val="none" w:sz="0" w:space="0" w:color="auto"/>
            <w:left w:val="none" w:sz="0" w:space="0" w:color="auto"/>
            <w:bottom w:val="none" w:sz="0" w:space="0" w:color="auto"/>
            <w:right w:val="none" w:sz="0" w:space="0" w:color="auto"/>
          </w:divBdr>
        </w:div>
        <w:div w:id="1227495006">
          <w:marLeft w:val="0"/>
          <w:marRight w:val="0"/>
          <w:marTop w:val="0"/>
          <w:marBottom w:val="0"/>
          <w:divBdr>
            <w:top w:val="none" w:sz="0" w:space="0" w:color="auto"/>
            <w:left w:val="none" w:sz="0" w:space="0" w:color="auto"/>
            <w:bottom w:val="none" w:sz="0" w:space="0" w:color="auto"/>
            <w:right w:val="none" w:sz="0" w:space="0" w:color="auto"/>
          </w:divBdr>
        </w:div>
        <w:div w:id="1252810003">
          <w:marLeft w:val="0"/>
          <w:marRight w:val="0"/>
          <w:marTop w:val="0"/>
          <w:marBottom w:val="0"/>
          <w:divBdr>
            <w:top w:val="none" w:sz="0" w:space="0" w:color="auto"/>
            <w:left w:val="none" w:sz="0" w:space="0" w:color="auto"/>
            <w:bottom w:val="none" w:sz="0" w:space="0" w:color="auto"/>
            <w:right w:val="none" w:sz="0" w:space="0" w:color="auto"/>
          </w:divBdr>
        </w:div>
        <w:div w:id="1324310022">
          <w:marLeft w:val="0"/>
          <w:marRight w:val="0"/>
          <w:marTop w:val="0"/>
          <w:marBottom w:val="0"/>
          <w:divBdr>
            <w:top w:val="none" w:sz="0" w:space="0" w:color="auto"/>
            <w:left w:val="none" w:sz="0" w:space="0" w:color="auto"/>
            <w:bottom w:val="none" w:sz="0" w:space="0" w:color="auto"/>
            <w:right w:val="none" w:sz="0" w:space="0" w:color="auto"/>
          </w:divBdr>
        </w:div>
        <w:div w:id="1343312156">
          <w:marLeft w:val="0"/>
          <w:marRight w:val="0"/>
          <w:marTop w:val="0"/>
          <w:marBottom w:val="0"/>
          <w:divBdr>
            <w:top w:val="none" w:sz="0" w:space="0" w:color="auto"/>
            <w:left w:val="none" w:sz="0" w:space="0" w:color="auto"/>
            <w:bottom w:val="none" w:sz="0" w:space="0" w:color="auto"/>
            <w:right w:val="none" w:sz="0" w:space="0" w:color="auto"/>
          </w:divBdr>
        </w:div>
        <w:div w:id="1404261026">
          <w:marLeft w:val="0"/>
          <w:marRight w:val="0"/>
          <w:marTop w:val="0"/>
          <w:marBottom w:val="0"/>
          <w:divBdr>
            <w:top w:val="none" w:sz="0" w:space="0" w:color="auto"/>
            <w:left w:val="none" w:sz="0" w:space="0" w:color="auto"/>
            <w:bottom w:val="none" w:sz="0" w:space="0" w:color="auto"/>
            <w:right w:val="none" w:sz="0" w:space="0" w:color="auto"/>
          </w:divBdr>
        </w:div>
        <w:div w:id="1464275602">
          <w:marLeft w:val="0"/>
          <w:marRight w:val="0"/>
          <w:marTop w:val="0"/>
          <w:marBottom w:val="0"/>
          <w:divBdr>
            <w:top w:val="none" w:sz="0" w:space="0" w:color="auto"/>
            <w:left w:val="none" w:sz="0" w:space="0" w:color="auto"/>
            <w:bottom w:val="none" w:sz="0" w:space="0" w:color="auto"/>
            <w:right w:val="none" w:sz="0" w:space="0" w:color="auto"/>
          </w:divBdr>
        </w:div>
        <w:div w:id="1492059971">
          <w:marLeft w:val="0"/>
          <w:marRight w:val="0"/>
          <w:marTop w:val="0"/>
          <w:marBottom w:val="0"/>
          <w:divBdr>
            <w:top w:val="none" w:sz="0" w:space="0" w:color="auto"/>
            <w:left w:val="none" w:sz="0" w:space="0" w:color="auto"/>
            <w:bottom w:val="none" w:sz="0" w:space="0" w:color="auto"/>
            <w:right w:val="none" w:sz="0" w:space="0" w:color="auto"/>
          </w:divBdr>
        </w:div>
        <w:div w:id="1538200560">
          <w:marLeft w:val="0"/>
          <w:marRight w:val="0"/>
          <w:marTop w:val="0"/>
          <w:marBottom w:val="0"/>
          <w:divBdr>
            <w:top w:val="none" w:sz="0" w:space="0" w:color="auto"/>
            <w:left w:val="none" w:sz="0" w:space="0" w:color="auto"/>
            <w:bottom w:val="none" w:sz="0" w:space="0" w:color="auto"/>
            <w:right w:val="none" w:sz="0" w:space="0" w:color="auto"/>
          </w:divBdr>
          <w:divsChild>
            <w:div w:id="1030690503">
              <w:marLeft w:val="-75"/>
              <w:marRight w:val="0"/>
              <w:marTop w:val="30"/>
              <w:marBottom w:val="30"/>
              <w:divBdr>
                <w:top w:val="none" w:sz="0" w:space="0" w:color="auto"/>
                <w:left w:val="none" w:sz="0" w:space="0" w:color="auto"/>
                <w:bottom w:val="none" w:sz="0" w:space="0" w:color="auto"/>
                <w:right w:val="none" w:sz="0" w:space="0" w:color="auto"/>
              </w:divBdr>
              <w:divsChild>
                <w:div w:id="252473224">
                  <w:marLeft w:val="0"/>
                  <w:marRight w:val="0"/>
                  <w:marTop w:val="0"/>
                  <w:marBottom w:val="0"/>
                  <w:divBdr>
                    <w:top w:val="none" w:sz="0" w:space="0" w:color="auto"/>
                    <w:left w:val="none" w:sz="0" w:space="0" w:color="auto"/>
                    <w:bottom w:val="none" w:sz="0" w:space="0" w:color="auto"/>
                    <w:right w:val="none" w:sz="0" w:space="0" w:color="auto"/>
                  </w:divBdr>
                  <w:divsChild>
                    <w:div w:id="1209220644">
                      <w:marLeft w:val="0"/>
                      <w:marRight w:val="0"/>
                      <w:marTop w:val="0"/>
                      <w:marBottom w:val="0"/>
                      <w:divBdr>
                        <w:top w:val="none" w:sz="0" w:space="0" w:color="auto"/>
                        <w:left w:val="none" w:sz="0" w:space="0" w:color="auto"/>
                        <w:bottom w:val="none" w:sz="0" w:space="0" w:color="auto"/>
                        <w:right w:val="none" w:sz="0" w:space="0" w:color="auto"/>
                      </w:divBdr>
                    </w:div>
                  </w:divsChild>
                </w:div>
                <w:div w:id="300615503">
                  <w:marLeft w:val="0"/>
                  <w:marRight w:val="0"/>
                  <w:marTop w:val="0"/>
                  <w:marBottom w:val="0"/>
                  <w:divBdr>
                    <w:top w:val="none" w:sz="0" w:space="0" w:color="auto"/>
                    <w:left w:val="none" w:sz="0" w:space="0" w:color="auto"/>
                    <w:bottom w:val="none" w:sz="0" w:space="0" w:color="auto"/>
                    <w:right w:val="none" w:sz="0" w:space="0" w:color="auto"/>
                  </w:divBdr>
                  <w:divsChild>
                    <w:div w:id="1767268462">
                      <w:marLeft w:val="0"/>
                      <w:marRight w:val="0"/>
                      <w:marTop w:val="0"/>
                      <w:marBottom w:val="0"/>
                      <w:divBdr>
                        <w:top w:val="none" w:sz="0" w:space="0" w:color="auto"/>
                        <w:left w:val="none" w:sz="0" w:space="0" w:color="auto"/>
                        <w:bottom w:val="none" w:sz="0" w:space="0" w:color="auto"/>
                        <w:right w:val="none" w:sz="0" w:space="0" w:color="auto"/>
                      </w:divBdr>
                    </w:div>
                    <w:div w:id="2067948171">
                      <w:marLeft w:val="0"/>
                      <w:marRight w:val="0"/>
                      <w:marTop w:val="0"/>
                      <w:marBottom w:val="0"/>
                      <w:divBdr>
                        <w:top w:val="none" w:sz="0" w:space="0" w:color="auto"/>
                        <w:left w:val="none" w:sz="0" w:space="0" w:color="auto"/>
                        <w:bottom w:val="none" w:sz="0" w:space="0" w:color="auto"/>
                        <w:right w:val="none" w:sz="0" w:space="0" w:color="auto"/>
                      </w:divBdr>
                    </w:div>
                  </w:divsChild>
                </w:div>
                <w:div w:id="439450645">
                  <w:marLeft w:val="0"/>
                  <w:marRight w:val="0"/>
                  <w:marTop w:val="0"/>
                  <w:marBottom w:val="0"/>
                  <w:divBdr>
                    <w:top w:val="none" w:sz="0" w:space="0" w:color="auto"/>
                    <w:left w:val="none" w:sz="0" w:space="0" w:color="auto"/>
                    <w:bottom w:val="none" w:sz="0" w:space="0" w:color="auto"/>
                    <w:right w:val="none" w:sz="0" w:space="0" w:color="auto"/>
                  </w:divBdr>
                  <w:divsChild>
                    <w:div w:id="1359618204">
                      <w:marLeft w:val="0"/>
                      <w:marRight w:val="0"/>
                      <w:marTop w:val="0"/>
                      <w:marBottom w:val="0"/>
                      <w:divBdr>
                        <w:top w:val="none" w:sz="0" w:space="0" w:color="auto"/>
                        <w:left w:val="none" w:sz="0" w:space="0" w:color="auto"/>
                        <w:bottom w:val="none" w:sz="0" w:space="0" w:color="auto"/>
                        <w:right w:val="none" w:sz="0" w:space="0" w:color="auto"/>
                      </w:divBdr>
                    </w:div>
                  </w:divsChild>
                </w:div>
                <w:div w:id="440225636">
                  <w:marLeft w:val="0"/>
                  <w:marRight w:val="0"/>
                  <w:marTop w:val="0"/>
                  <w:marBottom w:val="0"/>
                  <w:divBdr>
                    <w:top w:val="none" w:sz="0" w:space="0" w:color="auto"/>
                    <w:left w:val="none" w:sz="0" w:space="0" w:color="auto"/>
                    <w:bottom w:val="none" w:sz="0" w:space="0" w:color="auto"/>
                    <w:right w:val="none" w:sz="0" w:space="0" w:color="auto"/>
                  </w:divBdr>
                  <w:divsChild>
                    <w:div w:id="521668105">
                      <w:marLeft w:val="0"/>
                      <w:marRight w:val="0"/>
                      <w:marTop w:val="0"/>
                      <w:marBottom w:val="0"/>
                      <w:divBdr>
                        <w:top w:val="none" w:sz="0" w:space="0" w:color="auto"/>
                        <w:left w:val="none" w:sz="0" w:space="0" w:color="auto"/>
                        <w:bottom w:val="none" w:sz="0" w:space="0" w:color="auto"/>
                        <w:right w:val="none" w:sz="0" w:space="0" w:color="auto"/>
                      </w:divBdr>
                    </w:div>
                    <w:div w:id="1617329362">
                      <w:marLeft w:val="0"/>
                      <w:marRight w:val="0"/>
                      <w:marTop w:val="0"/>
                      <w:marBottom w:val="0"/>
                      <w:divBdr>
                        <w:top w:val="none" w:sz="0" w:space="0" w:color="auto"/>
                        <w:left w:val="none" w:sz="0" w:space="0" w:color="auto"/>
                        <w:bottom w:val="none" w:sz="0" w:space="0" w:color="auto"/>
                        <w:right w:val="none" w:sz="0" w:space="0" w:color="auto"/>
                      </w:divBdr>
                    </w:div>
                  </w:divsChild>
                </w:div>
                <w:div w:id="618798070">
                  <w:marLeft w:val="0"/>
                  <w:marRight w:val="0"/>
                  <w:marTop w:val="0"/>
                  <w:marBottom w:val="0"/>
                  <w:divBdr>
                    <w:top w:val="none" w:sz="0" w:space="0" w:color="auto"/>
                    <w:left w:val="none" w:sz="0" w:space="0" w:color="auto"/>
                    <w:bottom w:val="none" w:sz="0" w:space="0" w:color="auto"/>
                    <w:right w:val="none" w:sz="0" w:space="0" w:color="auto"/>
                  </w:divBdr>
                  <w:divsChild>
                    <w:div w:id="429785129">
                      <w:marLeft w:val="0"/>
                      <w:marRight w:val="0"/>
                      <w:marTop w:val="0"/>
                      <w:marBottom w:val="0"/>
                      <w:divBdr>
                        <w:top w:val="none" w:sz="0" w:space="0" w:color="auto"/>
                        <w:left w:val="none" w:sz="0" w:space="0" w:color="auto"/>
                        <w:bottom w:val="none" w:sz="0" w:space="0" w:color="auto"/>
                        <w:right w:val="none" w:sz="0" w:space="0" w:color="auto"/>
                      </w:divBdr>
                    </w:div>
                  </w:divsChild>
                </w:div>
                <w:div w:id="738094220">
                  <w:marLeft w:val="0"/>
                  <w:marRight w:val="0"/>
                  <w:marTop w:val="0"/>
                  <w:marBottom w:val="0"/>
                  <w:divBdr>
                    <w:top w:val="none" w:sz="0" w:space="0" w:color="auto"/>
                    <w:left w:val="none" w:sz="0" w:space="0" w:color="auto"/>
                    <w:bottom w:val="none" w:sz="0" w:space="0" w:color="auto"/>
                    <w:right w:val="none" w:sz="0" w:space="0" w:color="auto"/>
                  </w:divBdr>
                  <w:divsChild>
                    <w:div w:id="1453859116">
                      <w:marLeft w:val="0"/>
                      <w:marRight w:val="0"/>
                      <w:marTop w:val="0"/>
                      <w:marBottom w:val="0"/>
                      <w:divBdr>
                        <w:top w:val="none" w:sz="0" w:space="0" w:color="auto"/>
                        <w:left w:val="none" w:sz="0" w:space="0" w:color="auto"/>
                        <w:bottom w:val="none" w:sz="0" w:space="0" w:color="auto"/>
                        <w:right w:val="none" w:sz="0" w:space="0" w:color="auto"/>
                      </w:divBdr>
                    </w:div>
                  </w:divsChild>
                </w:div>
                <w:div w:id="784075614">
                  <w:marLeft w:val="0"/>
                  <w:marRight w:val="0"/>
                  <w:marTop w:val="0"/>
                  <w:marBottom w:val="0"/>
                  <w:divBdr>
                    <w:top w:val="none" w:sz="0" w:space="0" w:color="auto"/>
                    <w:left w:val="none" w:sz="0" w:space="0" w:color="auto"/>
                    <w:bottom w:val="none" w:sz="0" w:space="0" w:color="auto"/>
                    <w:right w:val="none" w:sz="0" w:space="0" w:color="auto"/>
                  </w:divBdr>
                  <w:divsChild>
                    <w:div w:id="1061059177">
                      <w:marLeft w:val="0"/>
                      <w:marRight w:val="0"/>
                      <w:marTop w:val="0"/>
                      <w:marBottom w:val="0"/>
                      <w:divBdr>
                        <w:top w:val="none" w:sz="0" w:space="0" w:color="auto"/>
                        <w:left w:val="none" w:sz="0" w:space="0" w:color="auto"/>
                        <w:bottom w:val="none" w:sz="0" w:space="0" w:color="auto"/>
                        <w:right w:val="none" w:sz="0" w:space="0" w:color="auto"/>
                      </w:divBdr>
                    </w:div>
                    <w:div w:id="1669867117">
                      <w:marLeft w:val="0"/>
                      <w:marRight w:val="0"/>
                      <w:marTop w:val="0"/>
                      <w:marBottom w:val="0"/>
                      <w:divBdr>
                        <w:top w:val="none" w:sz="0" w:space="0" w:color="auto"/>
                        <w:left w:val="none" w:sz="0" w:space="0" w:color="auto"/>
                        <w:bottom w:val="none" w:sz="0" w:space="0" w:color="auto"/>
                        <w:right w:val="none" w:sz="0" w:space="0" w:color="auto"/>
                      </w:divBdr>
                    </w:div>
                  </w:divsChild>
                </w:div>
                <w:div w:id="835262197">
                  <w:marLeft w:val="0"/>
                  <w:marRight w:val="0"/>
                  <w:marTop w:val="0"/>
                  <w:marBottom w:val="0"/>
                  <w:divBdr>
                    <w:top w:val="none" w:sz="0" w:space="0" w:color="auto"/>
                    <w:left w:val="none" w:sz="0" w:space="0" w:color="auto"/>
                    <w:bottom w:val="none" w:sz="0" w:space="0" w:color="auto"/>
                    <w:right w:val="none" w:sz="0" w:space="0" w:color="auto"/>
                  </w:divBdr>
                  <w:divsChild>
                    <w:div w:id="1468469984">
                      <w:marLeft w:val="0"/>
                      <w:marRight w:val="0"/>
                      <w:marTop w:val="0"/>
                      <w:marBottom w:val="0"/>
                      <w:divBdr>
                        <w:top w:val="none" w:sz="0" w:space="0" w:color="auto"/>
                        <w:left w:val="none" w:sz="0" w:space="0" w:color="auto"/>
                        <w:bottom w:val="none" w:sz="0" w:space="0" w:color="auto"/>
                        <w:right w:val="none" w:sz="0" w:space="0" w:color="auto"/>
                      </w:divBdr>
                    </w:div>
                  </w:divsChild>
                </w:div>
                <w:div w:id="837228363">
                  <w:marLeft w:val="0"/>
                  <w:marRight w:val="0"/>
                  <w:marTop w:val="0"/>
                  <w:marBottom w:val="0"/>
                  <w:divBdr>
                    <w:top w:val="none" w:sz="0" w:space="0" w:color="auto"/>
                    <w:left w:val="none" w:sz="0" w:space="0" w:color="auto"/>
                    <w:bottom w:val="none" w:sz="0" w:space="0" w:color="auto"/>
                    <w:right w:val="none" w:sz="0" w:space="0" w:color="auto"/>
                  </w:divBdr>
                  <w:divsChild>
                    <w:div w:id="1391149772">
                      <w:marLeft w:val="0"/>
                      <w:marRight w:val="0"/>
                      <w:marTop w:val="0"/>
                      <w:marBottom w:val="0"/>
                      <w:divBdr>
                        <w:top w:val="none" w:sz="0" w:space="0" w:color="auto"/>
                        <w:left w:val="none" w:sz="0" w:space="0" w:color="auto"/>
                        <w:bottom w:val="none" w:sz="0" w:space="0" w:color="auto"/>
                        <w:right w:val="none" w:sz="0" w:space="0" w:color="auto"/>
                      </w:divBdr>
                    </w:div>
                  </w:divsChild>
                </w:div>
                <w:div w:id="851533023">
                  <w:marLeft w:val="0"/>
                  <w:marRight w:val="0"/>
                  <w:marTop w:val="0"/>
                  <w:marBottom w:val="0"/>
                  <w:divBdr>
                    <w:top w:val="none" w:sz="0" w:space="0" w:color="auto"/>
                    <w:left w:val="none" w:sz="0" w:space="0" w:color="auto"/>
                    <w:bottom w:val="none" w:sz="0" w:space="0" w:color="auto"/>
                    <w:right w:val="none" w:sz="0" w:space="0" w:color="auto"/>
                  </w:divBdr>
                  <w:divsChild>
                    <w:div w:id="421223715">
                      <w:marLeft w:val="0"/>
                      <w:marRight w:val="0"/>
                      <w:marTop w:val="0"/>
                      <w:marBottom w:val="0"/>
                      <w:divBdr>
                        <w:top w:val="none" w:sz="0" w:space="0" w:color="auto"/>
                        <w:left w:val="none" w:sz="0" w:space="0" w:color="auto"/>
                        <w:bottom w:val="none" w:sz="0" w:space="0" w:color="auto"/>
                        <w:right w:val="none" w:sz="0" w:space="0" w:color="auto"/>
                      </w:divBdr>
                    </w:div>
                  </w:divsChild>
                </w:div>
                <w:div w:id="1081558220">
                  <w:marLeft w:val="0"/>
                  <w:marRight w:val="0"/>
                  <w:marTop w:val="0"/>
                  <w:marBottom w:val="0"/>
                  <w:divBdr>
                    <w:top w:val="none" w:sz="0" w:space="0" w:color="auto"/>
                    <w:left w:val="none" w:sz="0" w:space="0" w:color="auto"/>
                    <w:bottom w:val="none" w:sz="0" w:space="0" w:color="auto"/>
                    <w:right w:val="none" w:sz="0" w:space="0" w:color="auto"/>
                  </w:divBdr>
                  <w:divsChild>
                    <w:div w:id="520363348">
                      <w:marLeft w:val="0"/>
                      <w:marRight w:val="0"/>
                      <w:marTop w:val="0"/>
                      <w:marBottom w:val="0"/>
                      <w:divBdr>
                        <w:top w:val="none" w:sz="0" w:space="0" w:color="auto"/>
                        <w:left w:val="none" w:sz="0" w:space="0" w:color="auto"/>
                        <w:bottom w:val="none" w:sz="0" w:space="0" w:color="auto"/>
                        <w:right w:val="none" w:sz="0" w:space="0" w:color="auto"/>
                      </w:divBdr>
                    </w:div>
                  </w:divsChild>
                </w:div>
                <w:div w:id="1259679740">
                  <w:marLeft w:val="0"/>
                  <w:marRight w:val="0"/>
                  <w:marTop w:val="0"/>
                  <w:marBottom w:val="0"/>
                  <w:divBdr>
                    <w:top w:val="none" w:sz="0" w:space="0" w:color="auto"/>
                    <w:left w:val="none" w:sz="0" w:space="0" w:color="auto"/>
                    <w:bottom w:val="none" w:sz="0" w:space="0" w:color="auto"/>
                    <w:right w:val="none" w:sz="0" w:space="0" w:color="auto"/>
                  </w:divBdr>
                  <w:divsChild>
                    <w:div w:id="54084858">
                      <w:marLeft w:val="0"/>
                      <w:marRight w:val="0"/>
                      <w:marTop w:val="0"/>
                      <w:marBottom w:val="0"/>
                      <w:divBdr>
                        <w:top w:val="none" w:sz="0" w:space="0" w:color="auto"/>
                        <w:left w:val="none" w:sz="0" w:space="0" w:color="auto"/>
                        <w:bottom w:val="none" w:sz="0" w:space="0" w:color="auto"/>
                        <w:right w:val="none" w:sz="0" w:space="0" w:color="auto"/>
                      </w:divBdr>
                    </w:div>
                  </w:divsChild>
                </w:div>
                <w:div w:id="1393964384">
                  <w:marLeft w:val="0"/>
                  <w:marRight w:val="0"/>
                  <w:marTop w:val="0"/>
                  <w:marBottom w:val="0"/>
                  <w:divBdr>
                    <w:top w:val="none" w:sz="0" w:space="0" w:color="auto"/>
                    <w:left w:val="none" w:sz="0" w:space="0" w:color="auto"/>
                    <w:bottom w:val="none" w:sz="0" w:space="0" w:color="auto"/>
                    <w:right w:val="none" w:sz="0" w:space="0" w:color="auto"/>
                  </w:divBdr>
                  <w:divsChild>
                    <w:div w:id="1224876517">
                      <w:marLeft w:val="0"/>
                      <w:marRight w:val="0"/>
                      <w:marTop w:val="0"/>
                      <w:marBottom w:val="0"/>
                      <w:divBdr>
                        <w:top w:val="none" w:sz="0" w:space="0" w:color="auto"/>
                        <w:left w:val="none" w:sz="0" w:space="0" w:color="auto"/>
                        <w:bottom w:val="none" w:sz="0" w:space="0" w:color="auto"/>
                        <w:right w:val="none" w:sz="0" w:space="0" w:color="auto"/>
                      </w:divBdr>
                    </w:div>
                  </w:divsChild>
                </w:div>
                <w:div w:id="1439057601">
                  <w:marLeft w:val="0"/>
                  <w:marRight w:val="0"/>
                  <w:marTop w:val="0"/>
                  <w:marBottom w:val="0"/>
                  <w:divBdr>
                    <w:top w:val="none" w:sz="0" w:space="0" w:color="auto"/>
                    <w:left w:val="none" w:sz="0" w:space="0" w:color="auto"/>
                    <w:bottom w:val="none" w:sz="0" w:space="0" w:color="auto"/>
                    <w:right w:val="none" w:sz="0" w:space="0" w:color="auto"/>
                  </w:divBdr>
                  <w:divsChild>
                    <w:div w:id="1578132383">
                      <w:marLeft w:val="0"/>
                      <w:marRight w:val="0"/>
                      <w:marTop w:val="0"/>
                      <w:marBottom w:val="0"/>
                      <w:divBdr>
                        <w:top w:val="none" w:sz="0" w:space="0" w:color="auto"/>
                        <w:left w:val="none" w:sz="0" w:space="0" w:color="auto"/>
                        <w:bottom w:val="none" w:sz="0" w:space="0" w:color="auto"/>
                        <w:right w:val="none" w:sz="0" w:space="0" w:color="auto"/>
                      </w:divBdr>
                    </w:div>
                    <w:div w:id="1578437451">
                      <w:marLeft w:val="0"/>
                      <w:marRight w:val="0"/>
                      <w:marTop w:val="0"/>
                      <w:marBottom w:val="0"/>
                      <w:divBdr>
                        <w:top w:val="none" w:sz="0" w:space="0" w:color="auto"/>
                        <w:left w:val="none" w:sz="0" w:space="0" w:color="auto"/>
                        <w:bottom w:val="none" w:sz="0" w:space="0" w:color="auto"/>
                        <w:right w:val="none" w:sz="0" w:space="0" w:color="auto"/>
                      </w:divBdr>
                    </w:div>
                  </w:divsChild>
                </w:div>
                <w:div w:id="1620144540">
                  <w:marLeft w:val="0"/>
                  <w:marRight w:val="0"/>
                  <w:marTop w:val="0"/>
                  <w:marBottom w:val="0"/>
                  <w:divBdr>
                    <w:top w:val="none" w:sz="0" w:space="0" w:color="auto"/>
                    <w:left w:val="none" w:sz="0" w:space="0" w:color="auto"/>
                    <w:bottom w:val="none" w:sz="0" w:space="0" w:color="auto"/>
                    <w:right w:val="none" w:sz="0" w:space="0" w:color="auto"/>
                  </w:divBdr>
                  <w:divsChild>
                    <w:div w:id="419764345">
                      <w:marLeft w:val="0"/>
                      <w:marRight w:val="0"/>
                      <w:marTop w:val="0"/>
                      <w:marBottom w:val="0"/>
                      <w:divBdr>
                        <w:top w:val="none" w:sz="0" w:space="0" w:color="auto"/>
                        <w:left w:val="none" w:sz="0" w:space="0" w:color="auto"/>
                        <w:bottom w:val="none" w:sz="0" w:space="0" w:color="auto"/>
                        <w:right w:val="none" w:sz="0" w:space="0" w:color="auto"/>
                      </w:divBdr>
                    </w:div>
                  </w:divsChild>
                </w:div>
                <w:div w:id="1785539217">
                  <w:marLeft w:val="0"/>
                  <w:marRight w:val="0"/>
                  <w:marTop w:val="0"/>
                  <w:marBottom w:val="0"/>
                  <w:divBdr>
                    <w:top w:val="none" w:sz="0" w:space="0" w:color="auto"/>
                    <w:left w:val="none" w:sz="0" w:space="0" w:color="auto"/>
                    <w:bottom w:val="none" w:sz="0" w:space="0" w:color="auto"/>
                    <w:right w:val="none" w:sz="0" w:space="0" w:color="auto"/>
                  </w:divBdr>
                  <w:divsChild>
                    <w:div w:id="1682002375">
                      <w:marLeft w:val="0"/>
                      <w:marRight w:val="0"/>
                      <w:marTop w:val="0"/>
                      <w:marBottom w:val="0"/>
                      <w:divBdr>
                        <w:top w:val="none" w:sz="0" w:space="0" w:color="auto"/>
                        <w:left w:val="none" w:sz="0" w:space="0" w:color="auto"/>
                        <w:bottom w:val="none" w:sz="0" w:space="0" w:color="auto"/>
                        <w:right w:val="none" w:sz="0" w:space="0" w:color="auto"/>
                      </w:divBdr>
                    </w:div>
                  </w:divsChild>
                </w:div>
                <w:div w:id="1874032042">
                  <w:marLeft w:val="0"/>
                  <w:marRight w:val="0"/>
                  <w:marTop w:val="0"/>
                  <w:marBottom w:val="0"/>
                  <w:divBdr>
                    <w:top w:val="none" w:sz="0" w:space="0" w:color="auto"/>
                    <w:left w:val="none" w:sz="0" w:space="0" w:color="auto"/>
                    <w:bottom w:val="none" w:sz="0" w:space="0" w:color="auto"/>
                    <w:right w:val="none" w:sz="0" w:space="0" w:color="auto"/>
                  </w:divBdr>
                  <w:divsChild>
                    <w:div w:id="1346664389">
                      <w:marLeft w:val="0"/>
                      <w:marRight w:val="0"/>
                      <w:marTop w:val="0"/>
                      <w:marBottom w:val="0"/>
                      <w:divBdr>
                        <w:top w:val="none" w:sz="0" w:space="0" w:color="auto"/>
                        <w:left w:val="none" w:sz="0" w:space="0" w:color="auto"/>
                        <w:bottom w:val="none" w:sz="0" w:space="0" w:color="auto"/>
                        <w:right w:val="none" w:sz="0" w:space="0" w:color="auto"/>
                      </w:divBdr>
                    </w:div>
                  </w:divsChild>
                </w:div>
                <w:div w:id="1896239809">
                  <w:marLeft w:val="0"/>
                  <w:marRight w:val="0"/>
                  <w:marTop w:val="0"/>
                  <w:marBottom w:val="0"/>
                  <w:divBdr>
                    <w:top w:val="none" w:sz="0" w:space="0" w:color="auto"/>
                    <w:left w:val="none" w:sz="0" w:space="0" w:color="auto"/>
                    <w:bottom w:val="none" w:sz="0" w:space="0" w:color="auto"/>
                    <w:right w:val="none" w:sz="0" w:space="0" w:color="auto"/>
                  </w:divBdr>
                  <w:divsChild>
                    <w:div w:id="38563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491009">
          <w:marLeft w:val="0"/>
          <w:marRight w:val="0"/>
          <w:marTop w:val="0"/>
          <w:marBottom w:val="0"/>
          <w:divBdr>
            <w:top w:val="none" w:sz="0" w:space="0" w:color="auto"/>
            <w:left w:val="none" w:sz="0" w:space="0" w:color="auto"/>
            <w:bottom w:val="none" w:sz="0" w:space="0" w:color="auto"/>
            <w:right w:val="none" w:sz="0" w:space="0" w:color="auto"/>
          </w:divBdr>
        </w:div>
        <w:div w:id="1638532409">
          <w:marLeft w:val="0"/>
          <w:marRight w:val="0"/>
          <w:marTop w:val="0"/>
          <w:marBottom w:val="0"/>
          <w:divBdr>
            <w:top w:val="none" w:sz="0" w:space="0" w:color="auto"/>
            <w:left w:val="none" w:sz="0" w:space="0" w:color="auto"/>
            <w:bottom w:val="none" w:sz="0" w:space="0" w:color="auto"/>
            <w:right w:val="none" w:sz="0" w:space="0" w:color="auto"/>
          </w:divBdr>
        </w:div>
        <w:div w:id="1668825297">
          <w:marLeft w:val="0"/>
          <w:marRight w:val="0"/>
          <w:marTop w:val="0"/>
          <w:marBottom w:val="0"/>
          <w:divBdr>
            <w:top w:val="none" w:sz="0" w:space="0" w:color="auto"/>
            <w:left w:val="none" w:sz="0" w:space="0" w:color="auto"/>
            <w:bottom w:val="none" w:sz="0" w:space="0" w:color="auto"/>
            <w:right w:val="none" w:sz="0" w:space="0" w:color="auto"/>
          </w:divBdr>
        </w:div>
        <w:div w:id="1672679863">
          <w:marLeft w:val="0"/>
          <w:marRight w:val="0"/>
          <w:marTop w:val="0"/>
          <w:marBottom w:val="0"/>
          <w:divBdr>
            <w:top w:val="none" w:sz="0" w:space="0" w:color="auto"/>
            <w:left w:val="none" w:sz="0" w:space="0" w:color="auto"/>
            <w:bottom w:val="none" w:sz="0" w:space="0" w:color="auto"/>
            <w:right w:val="none" w:sz="0" w:space="0" w:color="auto"/>
          </w:divBdr>
        </w:div>
        <w:div w:id="1694109704">
          <w:marLeft w:val="0"/>
          <w:marRight w:val="0"/>
          <w:marTop w:val="0"/>
          <w:marBottom w:val="0"/>
          <w:divBdr>
            <w:top w:val="none" w:sz="0" w:space="0" w:color="auto"/>
            <w:left w:val="none" w:sz="0" w:space="0" w:color="auto"/>
            <w:bottom w:val="none" w:sz="0" w:space="0" w:color="auto"/>
            <w:right w:val="none" w:sz="0" w:space="0" w:color="auto"/>
          </w:divBdr>
        </w:div>
        <w:div w:id="1791318772">
          <w:marLeft w:val="0"/>
          <w:marRight w:val="0"/>
          <w:marTop w:val="0"/>
          <w:marBottom w:val="0"/>
          <w:divBdr>
            <w:top w:val="none" w:sz="0" w:space="0" w:color="auto"/>
            <w:left w:val="none" w:sz="0" w:space="0" w:color="auto"/>
            <w:bottom w:val="none" w:sz="0" w:space="0" w:color="auto"/>
            <w:right w:val="none" w:sz="0" w:space="0" w:color="auto"/>
          </w:divBdr>
        </w:div>
        <w:div w:id="1814251553">
          <w:marLeft w:val="0"/>
          <w:marRight w:val="0"/>
          <w:marTop w:val="0"/>
          <w:marBottom w:val="0"/>
          <w:divBdr>
            <w:top w:val="none" w:sz="0" w:space="0" w:color="auto"/>
            <w:left w:val="none" w:sz="0" w:space="0" w:color="auto"/>
            <w:bottom w:val="none" w:sz="0" w:space="0" w:color="auto"/>
            <w:right w:val="none" w:sz="0" w:space="0" w:color="auto"/>
          </w:divBdr>
        </w:div>
        <w:div w:id="1836526458">
          <w:marLeft w:val="0"/>
          <w:marRight w:val="0"/>
          <w:marTop w:val="0"/>
          <w:marBottom w:val="0"/>
          <w:divBdr>
            <w:top w:val="none" w:sz="0" w:space="0" w:color="auto"/>
            <w:left w:val="none" w:sz="0" w:space="0" w:color="auto"/>
            <w:bottom w:val="none" w:sz="0" w:space="0" w:color="auto"/>
            <w:right w:val="none" w:sz="0" w:space="0" w:color="auto"/>
          </w:divBdr>
          <w:divsChild>
            <w:div w:id="252974095">
              <w:marLeft w:val="0"/>
              <w:marRight w:val="0"/>
              <w:marTop w:val="0"/>
              <w:marBottom w:val="0"/>
              <w:divBdr>
                <w:top w:val="none" w:sz="0" w:space="0" w:color="auto"/>
                <w:left w:val="none" w:sz="0" w:space="0" w:color="auto"/>
                <w:bottom w:val="none" w:sz="0" w:space="0" w:color="auto"/>
                <w:right w:val="none" w:sz="0" w:space="0" w:color="auto"/>
              </w:divBdr>
            </w:div>
            <w:div w:id="465974370">
              <w:marLeft w:val="0"/>
              <w:marRight w:val="0"/>
              <w:marTop w:val="0"/>
              <w:marBottom w:val="0"/>
              <w:divBdr>
                <w:top w:val="none" w:sz="0" w:space="0" w:color="auto"/>
                <w:left w:val="none" w:sz="0" w:space="0" w:color="auto"/>
                <w:bottom w:val="none" w:sz="0" w:space="0" w:color="auto"/>
                <w:right w:val="none" w:sz="0" w:space="0" w:color="auto"/>
              </w:divBdr>
            </w:div>
            <w:div w:id="762535188">
              <w:marLeft w:val="0"/>
              <w:marRight w:val="0"/>
              <w:marTop w:val="0"/>
              <w:marBottom w:val="0"/>
              <w:divBdr>
                <w:top w:val="none" w:sz="0" w:space="0" w:color="auto"/>
                <w:left w:val="none" w:sz="0" w:space="0" w:color="auto"/>
                <w:bottom w:val="none" w:sz="0" w:space="0" w:color="auto"/>
                <w:right w:val="none" w:sz="0" w:space="0" w:color="auto"/>
              </w:divBdr>
            </w:div>
            <w:div w:id="1153059618">
              <w:marLeft w:val="0"/>
              <w:marRight w:val="0"/>
              <w:marTop w:val="0"/>
              <w:marBottom w:val="0"/>
              <w:divBdr>
                <w:top w:val="none" w:sz="0" w:space="0" w:color="auto"/>
                <w:left w:val="none" w:sz="0" w:space="0" w:color="auto"/>
                <w:bottom w:val="none" w:sz="0" w:space="0" w:color="auto"/>
                <w:right w:val="none" w:sz="0" w:space="0" w:color="auto"/>
              </w:divBdr>
            </w:div>
            <w:div w:id="1513228375">
              <w:marLeft w:val="0"/>
              <w:marRight w:val="0"/>
              <w:marTop w:val="0"/>
              <w:marBottom w:val="0"/>
              <w:divBdr>
                <w:top w:val="none" w:sz="0" w:space="0" w:color="auto"/>
                <w:left w:val="none" w:sz="0" w:space="0" w:color="auto"/>
                <w:bottom w:val="none" w:sz="0" w:space="0" w:color="auto"/>
                <w:right w:val="none" w:sz="0" w:space="0" w:color="auto"/>
              </w:divBdr>
            </w:div>
          </w:divsChild>
        </w:div>
        <w:div w:id="1916237550">
          <w:marLeft w:val="0"/>
          <w:marRight w:val="0"/>
          <w:marTop w:val="0"/>
          <w:marBottom w:val="0"/>
          <w:divBdr>
            <w:top w:val="none" w:sz="0" w:space="0" w:color="auto"/>
            <w:left w:val="none" w:sz="0" w:space="0" w:color="auto"/>
            <w:bottom w:val="none" w:sz="0" w:space="0" w:color="auto"/>
            <w:right w:val="none" w:sz="0" w:space="0" w:color="auto"/>
          </w:divBdr>
        </w:div>
        <w:div w:id="1919947877">
          <w:marLeft w:val="0"/>
          <w:marRight w:val="0"/>
          <w:marTop w:val="0"/>
          <w:marBottom w:val="0"/>
          <w:divBdr>
            <w:top w:val="none" w:sz="0" w:space="0" w:color="auto"/>
            <w:left w:val="none" w:sz="0" w:space="0" w:color="auto"/>
            <w:bottom w:val="none" w:sz="0" w:space="0" w:color="auto"/>
            <w:right w:val="none" w:sz="0" w:space="0" w:color="auto"/>
          </w:divBdr>
          <w:divsChild>
            <w:div w:id="524707673">
              <w:marLeft w:val="0"/>
              <w:marRight w:val="0"/>
              <w:marTop w:val="0"/>
              <w:marBottom w:val="0"/>
              <w:divBdr>
                <w:top w:val="none" w:sz="0" w:space="0" w:color="auto"/>
                <w:left w:val="none" w:sz="0" w:space="0" w:color="auto"/>
                <w:bottom w:val="none" w:sz="0" w:space="0" w:color="auto"/>
                <w:right w:val="none" w:sz="0" w:space="0" w:color="auto"/>
              </w:divBdr>
            </w:div>
            <w:div w:id="1192113255">
              <w:marLeft w:val="0"/>
              <w:marRight w:val="0"/>
              <w:marTop w:val="0"/>
              <w:marBottom w:val="0"/>
              <w:divBdr>
                <w:top w:val="none" w:sz="0" w:space="0" w:color="auto"/>
                <w:left w:val="none" w:sz="0" w:space="0" w:color="auto"/>
                <w:bottom w:val="none" w:sz="0" w:space="0" w:color="auto"/>
                <w:right w:val="none" w:sz="0" w:space="0" w:color="auto"/>
              </w:divBdr>
            </w:div>
            <w:div w:id="1477457551">
              <w:marLeft w:val="0"/>
              <w:marRight w:val="0"/>
              <w:marTop w:val="0"/>
              <w:marBottom w:val="0"/>
              <w:divBdr>
                <w:top w:val="none" w:sz="0" w:space="0" w:color="auto"/>
                <w:left w:val="none" w:sz="0" w:space="0" w:color="auto"/>
                <w:bottom w:val="none" w:sz="0" w:space="0" w:color="auto"/>
                <w:right w:val="none" w:sz="0" w:space="0" w:color="auto"/>
              </w:divBdr>
            </w:div>
            <w:div w:id="1905212490">
              <w:marLeft w:val="0"/>
              <w:marRight w:val="0"/>
              <w:marTop w:val="0"/>
              <w:marBottom w:val="0"/>
              <w:divBdr>
                <w:top w:val="none" w:sz="0" w:space="0" w:color="auto"/>
                <w:left w:val="none" w:sz="0" w:space="0" w:color="auto"/>
                <w:bottom w:val="none" w:sz="0" w:space="0" w:color="auto"/>
                <w:right w:val="none" w:sz="0" w:space="0" w:color="auto"/>
              </w:divBdr>
            </w:div>
            <w:div w:id="1960529064">
              <w:marLeft w:val="0"/>
              <w:marRight w:val="0"/>
              <w:marTop w:val="0"/>
              <w:marBottom w:val="0"/>
              <w:divBdr>
                <w:top w:val="none" w:sz="0" w:space="0" w:color="auto"/>
                <w:left w:val="none" w:sz="0" w:space="0" w:color="auto"/>
                <w:bottom w:val="none" w:sz="0" w:space="0" w:color="auto"/>
                <w:right w:val="none" w:sz="0" w:space="0" w:color="auto"/>
              </w:divBdr>
            </w:div>
          </w:divsChild>
        </w:div>
        <w:div w:id="1932930429">
          <w:marLeft w:val="0"/>
          <w:marRight w:val="0"/>
          <w:marTop w:val="0"/>
          <w:marBottom w:val="0"/>
          <w:divBdr>
            <w:top w:val="none" w:sz="0" w:space="0" w:color="auto"/>
            <w:left w:val="none" w:sz="0" w:space="0" w:color="auto"/>
            <w:bottom w:val="none" w:sz="0" w:space="0" w:color="auto"/>
            <w:right w:val="none" w:sz="0" w:space="0" w:color="auto"/>
          </w:divBdr>
        </w:div>
        <w:div w:id="1963534490">
          <w:marLeft w:val="0"/>
          <w:marRight w:val="0"/>
          <w:marTop w:val="0"/>
          <w:marBottom w:val="0"/>
          <w:divBdr>
            <w:top w:val="none" w:sz="0" w:space="0" w:color="auto"/>
            <w:left w:val="none" w:sz="0" w:space="0" w:color="auto"/>
            <w:bottom w:val="none" w:sz="0" w:space="0" w:color="auto"/>
            <w:right w:val="none" w:sz="0" w:space="0" w:color="auto"/>
          </w:divBdr>
        </w:div>
        <w:div w:id="1966614619">
          <w:marLeft w:val="0"/>
          <w:marRight w:val="0"/>
          <w:marTop w:val="0"/>
          <w:marBottom w:val="0"/>
          <w:divBdr>
            <w:top w:val="none" w:sz="0" w:space="0" w:color="auto"/>
            <w:left w:val="none" w:sz="0" w:space="0" w:color="auto"/>
            <w:bottom w:val="none" w:sz="0" w:space="0" w:color="auto"/>
            <w:right w:val="none" w:sz="0" w:space="0" w:color="auto"/>
          </w:divBdr>
          <w:divsChild>
            <w:div w:id="152644634">
              <w:marLeft w:val="0"/>
              <w:marRight w:val="0"/>
              <w:marTop w:val="0"/>
              <w:marBottom w:val="0"/>
              <w:divBdr>
                <w:top w:val="none" w:sz="0" w:space="0" w:color="auto"/>
                <w:left w:val="none" w:sz="0" w:space="0" w:color="auto"/>
                <w:bottom w:val="none" w:sz="0" w:space="0" w:color="auto"/>
                <w:right w:val="none" w:sz="0" w:space="0" w:color="auto"/>
              </w:divBdr>
            </w:div>
            <w:div w:id="293171294">
              <w:marLeft w:val="0"/>
              <w:marRight w:val="0"/>
              <w:marTop w:val="0"/>
              <w:marBottom w:val="0"/>
              <w:divBdr>
                <w:top w:val="none" w:sz="0" w:space="0" w:color="auto"/>
                <w:left w:val="none" w:sz="0" w:space="0" w:color="auto"/>
                <w:bottom w:val="none" w:sz="0" w:space="0" w:color="auto"/>
                <w:right w:val="none" w:sz="0" w:space="0" w:color="auto"/>
              </w:divBdr>
            </w:div>
            <w:div w:id="1193155926">
              <w:marLeft w:val="0"/>
              <w:marRight w:val="0"/>
              <w:marTop w:val="0"/>
              <w:marBottom w:val="0"/>
              <w:divBdr>
                <w:top w:val="none" w:sz="0" w:space="0" w:color="auto"/>
                <w:left w:val="none" w:sz="0" w:space="0" w:color="auto"/>
                <w:bottom w:val="none" w:sz="0" w:space="0" w:color="auto"/>
                <w:right w:val="none" w:sz="0" w:space="0" w:color="auto"/>
              </w:divBdr>
            </w:div>
            <w:div w:id="1375154655">
              <w:marLeft w:val="0"/>
              <w:marRight w:val="0"/>
              <w:marTop w:val="0"/>
              <w:marBottom w:val="0"/>
              <w:divBdr>
                <w:top w:val="none" w:sz="0" w:space="0" w:color="auto"/>
                <w:left w:val="none" w:sz="0" w:space="0" w:color="auto"/>
                <w:bottom w:val="none" w:sz="0" w:space="0" w:color="auto"/>
                <w:right w:val="none" w:sz="0" w:space="0" w:color="auto"/>
              </w:divBdr>
            </w:div>
            <w:div w:id="1745906066">
              <w:marLeft w:val="0"/>
              <w:marRight w:val="0"/>
              <w:marTop w:val="0"/>
              <w:marBottom w:val="0"/>
              <w:divBdr>
                <w:top w:val="none" w:sz="0" w:space="0" w:color="auto"/>
                <w:left w:val="none" w:sz="0" w:space="0" w:color="auto"/>
                <w:bottom w:val="none" w:sz="0" w:space="0" w:color="auto"/>
                <w:right w:val="none" w:sz="0" w:space="0" w:color="auto"/>
              </w:divBdr>
            </w:div>
          </w:divsChild>
        </w:div>
        <w:div w:id="2033648475">
          <w:marLeft w:val="0"/>
          <w:marRight w:val="0"/>
          <w:marTop w:val="0"/>
          <w:marBottom w:val="0"/>
          <w:divBdr>
            <w:top w:val="none" w:sz="0" w:space="0" w:color="auto"/>
            <w:left w:val="none" w:sz="0" w:space="0" w:color="auto"/>
            <w:bottom w:val="none" w:sz="0" w:space="0" w:color="auto"/>
            <w:right w:val="none" w:sz="0" w:space="0" w:color="auto"/>
          </w:divBdr>
        </w:div>
        <w:div w:id="2036272205">
          <w:marLeft w:val="0"/>
          <w:marRight w:val="0"/>
          <w:marTop w:val="0"/>
          <w:marBottom w:val="0"/>
          <w:divBdr>
            <w:top w:val="none" w:sz="0" w:space="0" w:color="auto"/>
            <w:left w:val="none" w:sz="0" w:space="0" w:color="auto"/>
            <w:bottom w:val="none" w:sz="0" w:space="0" w:color="auto"/>
            <w:right w:val="none" w:sz="0" w:space="0" w:color="auto"/>
          </w:divBdr>
        </w:div>
        <w:div w:id="2075656958">
          <w:marLeft w:val="0"/>
          <w:marRight w:val="0"/>
          <w:marTop w:val="0"/>
          <w:marBottom w:val="0"/>
          <w:divBdr>
            <w:top w:val="none" w:sz="0" w:space="0" w:color="auto"/>
            <w:left w:val="none" w:sz="0" w:space="0" w:color="auto"/>
            <w:bottom w:val="none" w:sz="0" w:space="0" w:color="auto"/>
            <w:right w:val="none" w:sz="0" w:space="0" w:color="auto"/>
          </w:divBdr>
        </w:div>
        <w:div w:id="2092659859">
          <w:marLeft w:val="0"/>
          <w:marRight w:val="0"/>
          <w:marTop w:val="0"/>
          <w:marBottom w:val="0"/>
          <w:divBdr>
            <w:top w:val="none" w:sz="0" w:space="0" w:color="auto"/>
            <w:left w:val="none" w:sz="0" w:space="0" w:color="auto"/>
            <w:bottom w:val="none" w:sz="0" w:space="0" w:color="auto"/>
            <w:right w:val="none" w:sz="0" w:space="0" w:color="auto"/>
          </w:divBdr>
        </w:div>
        <w:div w:id="2095541977">
          <w:marLeft w:val="0"/>
          <w:marRight w:val="0"/>
          <w:marTop w:val="0"/>
          <w:marBottom w:val="0"/>
          <w:divBdr>
            <w:top w:val="none" w:sz="0" w:space="0" w:color="auto"/>
            <w:left w:val="none" w:sz="0" w:space="0" w:color="auto"/>
            <w:bottom w:val="none" w:sz="0" w:space="0" w:color="auto"/>
            <w:right w:val="none" w:sz="0" w:space="0" w:color="auto"/>
          </w:divBdr>
          <w:divsChild>
            <w:div w:id="1488938398">
              <w:marLeft w:val="-75"/>
              <w:marRight w:val="0"/>
              <w:marTop w:val="30"/>
              <w:marBottom w:val="30"/>
              <w:divBdr>
                <w:top w:val="none" w:sz="0" w:space="0" w:color="auto"/>
                <w:left w:val="none" w:sz="0" w:space="0" w:color="auto"/>
                <w:bottom w:val="none" w:sz="0" w:space="0" w:color="auto"/>
                <w:right w:val="none" w:sz="0" w:space="0" w:color="auto"/>
              </w:divBdr>
              <w:divsChild>
                <w:div w:id="231042282">
                  <w:marLeft w:val="0"/>
                  <w:marRight w:val="0"/>
                  <w:marTop w:val="0"/>
                  <w:marBottom w:val="0"/>
                  <w:divBdr>
                    <w:top w:val="none" w:sz="0" w:space="0" w:color="auto"/>
                    <w:left w:val="none" w:sz="0" w:space="0" w:color="auto"/>
                    <w:bottom w:val="none" w:sz="0" w:space="0" w:color="auto"/>
                    <w:right w:val="none" w:sz="0" w:space="0" w:color="auto"/>
                  </w:divBdr>
                  <w:divsChild>
                    <w:div w:id="1200582818">
                      <w:marLeft w:val="0"/>
                      <w:marRight w:val="0"/>
                      <w:marTop w:val="0"/>
                      <w:marBottom w:val="0"/>
                      <w:divBdr>
                        <w:top w:val="none" w:sz="0" w:space="0" w:color="auto"/>
                        <w:left w:val="none" w:sz="0" w:space="0" w:color="auto"/>
                        <w:bottom w:val="none" w:sz="0" w:space="0" w:color="auto"/>
                        <w:right w:val="none" w:sz="0" w:space="0" w:color="auto"/>
                      </w:divBdr>
                    </w:div>
                  </w:divsChild>
                </w:div>
                <w:div w:id="233929418">
                  <w:marLeft w:val="0"/>
                  <w:marRight w:val="0"/>
                  <w:marTop w:val="0"/>
                  <w:marBottom w:val="0"/>
                  <w:divBdr>
                    <w:top w:val="none" w:sz="0" w:space="0" w:color="auto"/>
                    <w:left w:val="none" w:sz="0" w:space="0" w:color="auto"/>
                    <w:bottom w:val="none" w:sz="0" w:space="0" w:color="auto"/>
                    <w:right w:val="none" w:sz="0" w:space="0" w:color="auto"/>
                  </w:divBdr>
                  <w:divsChild>
                    <w:div w:id="193542531">
                      <w:marLeft w:val="0"/>
                      <w:marRight w:val="0"/>
                      <w:marTop w:val="0"/>
                      <w:marBottom w:val="0"/>
                      <w:divBdr>
                        <w:top w:val="none" w:sz="0" w:space="0" w:color="auto"/>
                        <w:left w:val="none" w:sz="0" w:space="0" w:color="auto"/>
                        <w:bottom w:val="none" w:sz="0" w:space="0" w:color="auto"/>
                        <w:right w:val="none" w:sz="0" w:space="0" w:color="auto"/>
                      </w:divBdr>
                    </w:div>
                    <w:div w:id="2029217062">
                      <w:marLeft w:val="0"/>
                      <w:marRight w:val="0"/>
                      <w:marTop w:val="0"/>
                      <w:marBottom w:val="0"/>
                      <w:divBdr>
                        <w:top w:val="none" w:sz="0" w:space="0" w:color="auto"/>
                        <w:left w:val="none" w:sz="0" w:space="0" w:color="auto"/>
                        <w:bottom w:val="none" w:sz="0" w:space="0" w:color="auto"/>
                        <w:right w:val="none" w:sz="0" w:space="0" w:color="auto"/>
                      </w:divBdr>
                    </w:div>
                  </w:divsChild>
                </w:div>
                <w:div w:id="283007184">
                  <w:marLeft w:val="0"/>
                  <w:marRight w:val="0"/>
                  <w:marTop w:val="0"/>
                  <w:marBottom w:val="0"/>
                  <w:divBdr>
                    <w:top w:val="none" w:sz="0" w:space="0" w:color="auto"/>
                    <w:left w:val="none" w:sz="0" w:space="0" w:color="auto"/>
                    <w:bottom w:val="none" w:sz="0" w:space="0" w:color="auto"/>
                    <w:right w:val="none" w:sz="0" w:space="0" w:color="auto"/>
                  </w:divBdr>
                  <w:divsChild>
                    <w:div w:id="928538327">
                      <w:marLeft w:val="0"/>
                      <w:marRight w:val="0"/>
                      <w:marTop w:val="0"/>
                      <w:marBottom w:val="0"/>
                      <w:divBdr>
                        <w:top w:val="none" w:sz="0" w:space="0" w:color="auto"/>
                        <w:left w:val="none" w:sz="0" w:space="0" w:color="auto"/>
                        <w:bottom w:val="none" w:sz="0" w:space="0" w:color="auto"/>
                        <w:right w:val="none" w:sz="0" w:space="0" w:color="auto"/>
                      </w:divBdr>
                    </w:div>
                  </w:divsChild>
                </w:div>
                <w:div w:id="344208591">
                  <w:marLeft w:val="0"/>
                  <w:marRight w:val="0"/>
                  <w:marTop w:val="0"/>
                  <w:marBottom w:val="0"/>
                  <w:divBdr>
                    <w:top w:val="none" w:sz="0" w:space="0" w:color="auto"/>
                    <w:left w:val="none" w:sz="0" w:space="0" w:color="auto"/>
                    <w:bottom w:val="none" w:sz="0" w:space="0" w:color="auto"/>
                    <w:right w:val="none" w:sz="0" w:space="0" w:color="auto"/>
                  </w:divBdr>
                  <w:divsChild>
                    <w:div w:id="1723020549">
                      <w:marLeft w:val="0"/>
                      <w:marRight w:val="0"/>
                      <w:marTop w:val="0"/>
                      <w:marBottom w:val="0"/>
                      <w:divBdr>
                        <w:top w:val="none" w:sz="0" w:space="0" w:color="auto"/>
                        <w:left w:val="none" w:sz="0" w:space="0" w:color="auto"/>
                        <w:bottom w:val="none" w:sz="0" w:space="0" w:color="auto"/>
                        <w:right w:val="none" w:sz="0" w:space="0" w:color="auto"/>
                      </w:divBdr>
                    </w:div>
                  </w:divsChild>
                </w:div>
                <w:div w:id="431166015">
                  <w:marLeft w:val="0"/>
                  <w:marRight w:val="0"/>
                  <w:marTop w:val="0"/>
                  <w:marBottom w:val="0"/>
                  <w:divBdr>
                    <w:top w:val="none" w:sz="0" w:space="0" w:color="auto"/>
                    <w:left w:val="none" w:sz="0" w:space="0" w:color="auto"/>
                    <w:bottom w:val="none" w:sz="0" w:space="0" w:color="auto"/>
                    <w:right w:val="none" w:sz="0" w:space="0" w:color="auto"/>
                  </w:divBdr>
                  <w:divsChild>
                    <w:div w:id="63383742">
                      <w:marLeft w:val="0"/>
                      <w:marRight w:val="0"/>
                      <w:marTop w:val="0"/>
                      <w:marBottom w:val="0"/>
                      <w:divBdr>
                        <w:top w:val="none" w:sz="0" w:space="0" w:color="auto"/>
                        <w:left w:val="none" w:sz="0" w:space="0" w:color="auto"/>
                        <w:bottom w:val="none" w:sz="0" w:space="0" w:color="auto"/>
                        <w:right w:val="none" w:sz="0" w:space="0" w:color="auto"/>
                      </w:divBdr>
                    </w:div>
                  </w:divsChild>
                </w:div>
                <w:div w:id="1080567943">
                  <w:marLeft w:val="0"/>
                  <w:marRight w:val="0"/>
                  <w:marTop w:val="0"/>
                  <w:marBottom w:val="0"/>
                  <w:divBdr>
                    <w:top w:val="none" w:sz="0" w:space="0" w:color="auto"/>
                    <w:left w:val="none" w:sz="0" w:space="0" w:color="auto"/>
                    <w:bottom w:val="none" w:sz="0" w:space="0" w:color="auto"/>
                    <w:right w:val="none" w:sz="0" w:space="0" w:color="auto"/>
                  </w:divBdr>
                  <w:divsChild>
                    <w:div w:id="539319864">
                      <w:marLeft w:val="0"/>
                      <w:marRight w:val="0"/>
                      <w:marTop w:val="0"/>
                      <w:marBottom w:val="0"/>
                      <w:divBdr>
                        <w:top w:val="none" w:sz="0" w:space="0" w:color="auto"/>
                        <w:left w:val="none" w:sz="0" w:space="0" w:color="auto"/>
                        <w:bottom w:val="none" w:sz="0" w:space="0" w:color="auto"/>
                        <w:right w:val="none" w:sz="0" w:space="0" w:color="auto"/>
                      </w:divBdr>
                    </w:div>
                    <w:div w:id="111262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836280">
          <w:marLeft w:val="0"/>
          <w:marRight w:val="0"/>
          <w:marTop w:val="0"/>
          <w:marBottom w:val="0"/>
          <w:divBdr>
            <w:top w:val="none" w:sz="0" w:space="0" w:color="auto"/>
            <w:left w:val="none" w:sz="0" w:space="0" w:color="auto"/>
            <w:bottom w:val="none" w:sz="0" w:space="0" w:color="auto"/>
            <w:right w:val="none" w:sz="0" w:space="0" w:color="auto"/>
          </w:divBdr>
        </w:div>
      </w:divsChild>
    </w:div>
    <w:div w:id="1808545951">
      <w:bodyDiv w:val="1"/>
      <w:marLeft w:val="0"/>
      <w:marRight w:val="0"/>
      <w:marTop w:val="0"/>
      <w:marBottom w:val="0"/>
      <w:divBdr>
        <w:top w:val="none" w:sz="0" w:space="0" w:color="auto"/>
        <w:left w:val="none" w:sz="0" w:space="0" w:color="auto"/>
        <w:bottom w:val="none" w:sz="0" w:space="0" w:color="auto"/>
        <w:right w:val="none" w:sz="0" w:space="0" w:color="auto"/>
      </w:divBdr>
    </w:div>
    <w:div w:id="213425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ombiacompra.gov.co/archivos/manual/guia-para-la-codificacion-de-bienes-y-servicios" TargetMode="External"/><Relationship Id="rId18" Type="http://schemas.openxmlformats.org/officeDocument/2006/relationships/hyperlink" Target="https://www.colombiacompra.gov.co/sites/cce_public/files/cce_documents/cce-eicp-ma-04._manual_requisitos_habilitantes_v3_29-09-2023.pdf" TargetMode="External"/><Relationship Id="rId26" Type="http://schemas.openxmlformats.org/officeDocument/2006/relationships/hyperlink" Target="https://www.colombiacompra.gov.co/pqrsd/informacion-importante-antes-de-formular-una-pqrsd" TargetMode="External"/><Relationship Id="rId3" Type="http://schemas.openxmlformats.org/officeDocument/2006/relationships/customXml" Target="../customXml/item3.xml"/><Relationship Id="rId21" Type="http://schemas.openxmlformats.org/officeDocument/2006/relationships/hyperlink" Target="https://www.colombiacompra.gov.co/archivos/manual/guia-de-garantias-en-procesos-de-contratacion" TargetMode="External"/><Relationship Id="rId7" Type="http://schemas.openxmlformats.org/officeDocument/2006/relationships/settings" Target="settings.xml"/><Relationship Id="rId12" Type="http://schemas.openxmlformats.org/officeDocument/2006/relationships/hyperlink" Target="mailto:gerenciauniversalmedik@gmail.com" TargetMode="External"/><Relationship Id="rId17" Type="http://schemas.openxmlformats.org/officeDocument/2006/relationships/hyperlink" Target="https://www.colombiacompra.gov.co/archivos/manual/guia-para-la-codificacion-de-bienes-y-servicios" TargetMode="External"/><Relationship Id="rId25" Type="http://schemas.openxmlformats.org/officeDocument/2006/relationships/hyperlink" Target="mailto:ventanilladeradicacion@colombiacompra.gov.co" TargetMode="External"/><Relationship Id="rId2" Type="http://schemas.openxmlformats.org/officeDocument/2006/relationships/customXml" Target="../customXml/item2.xml"/><Relationship Id="rId16" Type="http://schemas.openxmlformats.org/officeDocument/2006/relationships/hyperlink" Target="https://www.colombiacompra.gov.co/clasificador-de-bienes-y-Servicios" TargetMode="External"/><Relationship Id="rId20" Type="http://schemas.openxmlformats.org/officeDocument/2006/relationships/hyperlink" Target="https://relatoria.colombiacompra.gov.co/busqueda/concepto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24" Type="http://schemas.openxmlformats.org/officeDocument/2006/relationships/hyperlink" Target="https://www.colombiacompra.gov.co/archivos/boletin/boletin-edicion-n-3-de-2026-radar-de-la-compra-publica"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olombiacompra.gov.co/archivos/manual/guia-para-la-codificacion-de-bienes-y-servicios" TargetMode="External"/><Relationship Id="rId23" Type="http://schemas.openxmlformats.org/officeDocument/2006/relationships/hyperlink" Target="https://www.colombiacompra.gov.co/archivos/circular/circular-externa-002-de-2026" TargetMode="External"/><Relationship Id="rId28"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www.colombiacompra.gov.co/normativa-y-relatoria/circular-unica-externa"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clasificador-de-bienes-y-Servicios" TargetMode="External"/><Relationship Id="rId22" Type="http://schemas.openxmlformats.org/officeDocument/2006/relationships/hyperlink" Target="https://www.colombiacompra.gov.co/archivos/circular/circular-externa-003-de-2026" TargetMode="External"/><Relationship Id="rId27" Type="http://schemas.openxmlformats.org/officeDocument/2006/relationships/hyperlink" Target="https://forms.office.com/r/pPHyWVs2SZ" TargetMode="External"/><Relationship Id="rId30"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colombiacompra.gov.co/archivos/manual/guia-para-la-codificacion-de-bienes-y-servicios" TargetMode="External"/><Relationship Id="rId2" Type="http://schemas.openxmlformats.org/officeDocument/2006/relationships/hyperlink" Target="https://www.oas.org/juridico/PDFs/mesicic5_per_osce_anexo2_reg_ley_cont_est.PDF" TargetMode="External"/><Relationship Id="rId1" Type="http://schemas.openxmlformats.org/officeDocument/2006/relationships/hyperlink" Target="https://dle.rae.es/y" TargetMode="External"/><Relationship Id="rId6" Type="http://schemas.openxmlformats.org/officeDocument/2006/relationships/hyperlink" Target="https://www.colombiacompra.gov.co/sites/cce_public/files/cce_documents/cce-eicp-ma-04._manual_requisitos_habilitantes_v3_29-09-2023.pdf" TargetMode="External"/><Relationship Id="rId5" Type="http://schemas.openxmlformats.org/officeDocument/2006/relationships/hyperlink" Target="https://www.colombiacompra.gov.co/sites/cce_public/files/cce_documents/cce_guia_codificacion_bienes.pdf" TargetMode="External"/><Relationship Id="rId4" Type="http://schemas.openxmlformats.org/officeDocument/2006/relationships/hyperlink" Target="https://www.colombiacompra.gov.co/sites/cce_public/files/cce_documents/cce_guia_codificacion_bienes.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aa158c1e2510b50ba9620437d74e4ff">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1aa8ca4bdcfc2e304923d637cfc37a1"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6cb9e4b-f1d1-4245-83ec-6cad768d538a" xsi:nil="true"/>
    <lcf76f155ced4ddcb4097134ff3c332f xmlns="9d85dbaf-23eb-4e57-a637-93dcacc8b1a1">
      <Terms xmlns="http://schemas.microsoft.com/office/infopath/2007/PartnerControls"/>
    </lcf76f155ced4ddcb4097134ff3c332f>
    <No xmlns="9d85dbaf-23eb-4e57-a637-93dcacc8b1a1" xsi:nil="true"/>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64DD00-62FF-4250-A3D9-53D11B8E850F}">
  <ds:schemaRefs>
    <ds:schemaRef ds:uri="http://schemas.openxmlformats.org/officeDocument/2006/bibliography"/>
  </ds:schemaRefs>
</ds:datastoreItem>
</file>

<file path=customXml/itemProps2.xml><?xml version="1.0" encoding="utf-8"?>
<ds:datastoreItem xmlns:ds="http://schemas.openxmlformats.org/officeDocument/2006/customXml" ds:itemID="{F28AB3C1-8212-487B-A53A-0069D00993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3618BE-28CB-4D69-955E-CDA788483BED}">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19B0637E-D058-473B-8FE7-AA861F69C7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36</Pages>
  <Words>12144</Words>
  <Characters>66796</Characters>
  <Application>Microsoft Office Word</Application>
  <DocSecurity>0</DocSecurity>
  <Lines>556</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Felipe Ospina Acosta</dc:creator>
  <cp:keywords/>
  <dc:description/>
  <cp:lastModifiedBy>Sergio Andrés Rivera Cano</cp:lastModifiedBy>
  <cp:revision>17</cp:revision>
  <cp:lastPrinted>2023-01-10T21:18:00Z</cp:lastPrinted>
  <dcterms:created xsi:type="dcterms:W3CDTF">2026-09-07T16:26:00Z</dcterms:created>
  <dcterms:modified xsi:type="dcterms:W3CDTF">2026-09-07T21:08:00Z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