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CB521" w14:textId="77777777" w:rsidR="00A04CC7" w:rsidRDefault="00A04CC7" w:rsidP="00A04CC7">
      <w:pPr>
        <w:spacing w:after="0" w:line="240" w:lineRule="auto"/>
        <w:contextualSpacing/>
        <w:jc w:val="both"/>
        <w:rPr>
          <w:rFonts w:ascii="Verdana" w:eastAsia="Calibri" w:hAnsi="Verdana" w:cs="Arial"/>
          <w:b/>
          <w:bCs/>
          <w:lang w:eastAsia="es-ES"/>
        </w:rPr>
      </w:pPr>
      <w:bookmarkStart w:id="0" w:name="_Hlk143780582"/>
      <w:r>
        <w:rPr>
          <w:rFonts w:ascii="Verdana" w:eastAsia="Calibri" w:hAnsi="Verdana" w:cs="Arial"/>
          <w:b/>
          <w:bCs/>
          <w:lang w:eastAsia="es-ES"/>
        </w:rPr>
        <w:t>SOBRECOSTOS ‒ Contratación estatal ‒ Definición ‒ Causas</w:t>
      </w:r>
    </w:p>
    <w:p w14:paraId="1BCD943F" w14:textId="77777777" w:rsidR="00A04CC7" w:rsidRDefault="00A04CC7" w:rsidP="00A04CC7">
      <w:pPr>
        <w:spacing w:after="0" w:line="240" w:lineRule="auto"/>
        <w:contextualSpacing/>
        <w:jc w:val="both"/>
        <w:rPr>
          <w:rFonts w:ascii="Verdana" w:eastAsia="Calibri" w:hAnsi="Verdana" w:cs="Arial"/>
          <w:b/>
          <w:bCs/>
          <w:lang w:eastAsia="es-ES"/>
        </w:rPr>
      </w:pPr>
    </w:p>
    <w:p w14:paraId="38BD05E3" w14:textId="77777777" w:rsidR="00A04CC7" w:rsidRDefault="00A04CC7" w:rsidP="00A04CC7">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No existe una definición legal de “sobrecosto” en la contratación estatal. No obstante, desde el punto de vista jurisprudencial, se refiere al pago excesivo realizado al contratista, sin una justificación válida en comparación con los precios reales del mercado para los bienes, obras o servicios contratados en cada negocio jurídico, considerando todas las variables que influyen su valor. Este sobredimensionamiento de los precios puede ser producto, entre otras causas, de la pretermisión de los estudios de mercado o de una estimación de precios errónea por alejamiento de la realidad, los cuales conducen a la recepción y facturación de obras, bienes y servicios por encima de su valor real.</w:t>
      </w:r>
    </w:p>
    <w:p w14:paraId="46979681" w14:textId="77777777" w:rsidR="00A04CC7" w:rsidRDefault="00A04CC7" w:rsidP="00A04CC7">
      <w:pPr>
        <w:spacing w:after="0" w:line="240" w:lineRule="auto"/>
        <w:contextualSpacing/>
        <w:jc w:val="both"/>
        <w:rPr>
          <w:rFonts w:ascii="Verdana" w:eastAsia="Calibri" w:hAnsi="Verdana" w:cs="Arial"/>
          <w:b/>
          <w:bCs/>
          <w:lang w:eastAsia="es-ES"/>
        </w:rPr>
      </w:pPr>
    </w:p>
    <w:p w14:paraId="40759FD1" w14:textId="77777777" w:rsidR="00A04CC7" w:rsidRDefault="00A04CC7" w:rsidP="00A04CC7">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ESTUDIOS DEL SECTOR ‒ Manifestación ‒ Principio de planeación</w:t>
      </w:r>
    </w:p>
    <w:p w14:paraId="7B80DD4E" w14:textId="77777777" w:rsidR="00A04CC7" w:rsidRDefault="00A04CC7" w:rsidP="00A04CC7">
      <w:pPr>
        <w:spacing w:after="0" w:line="240" w:lineRule="auto"/>
        <w:contextualSpacing/>
        <w:jc w:val="both"/>
        <w:rPr>
          <w:rFonts w:ascii="Verdana" w:eastAsia="Calibri" w:hAnsi="Verdana" w:cs="Arial"/>
          <w:b/>
          <w:bCs/>
          <w:lang w:eastAsia="es-ES"/>
        </w:rPr>
      </w:pPr>
    </w:p>
    <w:p w14:paraId="19B6E503" w14:textId="77777777" w:rsidR="00A04CC7" w:rsidRDefault="00A04CC7" w:rsidP="00A04CC7">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Existe una relación entre el estudio del sector y la estimación del valor del contrato, por lo cual deben tenerse en cuenta las diferentes variables del mercado como los costos de la cadena de producción. Pero, con independencia de esto, la entidad debe obtener el menor precio o uno razonable. En todo caso, el valor debe estar justificado para que no corresponda a sobrecostos ni a precios artificialmente bajos, y que con ello la entidad pague un valor adecuado, que no sea mayor ni menor. Esto se logra con el estudio del mercado y sus costos, el cual debe estar a disposición de los participantes del procedimiento contractual.</w:t>
      </w:r>
    </w:p>
    <w:p w14:paraId="187C5851" w14:textId="77777777" w:rsidR="00A04CC7" w:rsidRDefault="00A04CC7" w:rsidP="00A04CC7">
      <w:pPr>
        <w:spacing w:after="0" w:line="240" w:lineRule="auto"/>
        <w:contextualSpacing/>
        <w:jc w:val="both"/>
        <w:rPr>
          <w:rFonts w:ascii="Verdana" w:eastAsia="Calibri" w:hAnsi="Verdana" w:cs="Arial"/>
          <w:b/>
          <w:bCs/>
          <w:lang w:eastAsia="es-ES"/>
        </w:rPr>
      </w:pPr>
    </w:p>
    <w:p w14:paraId="7554E60D" w14:textId="77777777" w:rsidR="00A04CC7" w:rsidRDefault="00A04CC7" w:rsidP="00A04CC7">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CANASTA DE PRECIOS O ESTRUCTURA DE COSTOS ‒ Naturaleza ‒ Valor máximo ‒ Reconocimiento del gasto efectivamente realizado</w:t>
      </w:r>
    </w:p>
    <w:p w14:paraId="550A7DA1" w14:textId="77777777" w:rsidR="00A04CC7" w:rsidRDefault="00A04CC7" w:rsidP="00A04CC7">
      <w:pPr>
        <w:spacing w:after="0" w:line="240" w:lineRule="auto"/>
        <w:contextualSpacing/>
        <w:jc w:val="both"/>
        <w:rPr>
          <w:rFonts w:ascii="Verdana" w:eastAsia="Calibri" w:hAnsi="Verdana" w:cs="Arial"/>
          <w:b/>
          <w:bCs/>
          <w:lang w:eastAsia="es-ES"/>
        </w:rPr>
      </w:pPr>
    </w:p>
    <w:p w14:paraId="0E825B8A" w14:textId="77777777" w:rsidR="00A04CC7" w:rsidRDefault="00A04CC7" w:rsidP="00A04CC7">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canasta de precios o estructura de costos publicada en el SECOP es un instrumento de planeación derivado de los estudios previos y del análisis del sector, que fija valores estimados o topes máximos de referencia, pero no constituye, por sí misma, la fuente del derecho al pago del contratista: este surge del contrato, conforme al sistema de precios y a la forma de pago pactados. Cuando se pacta un mecanismo de reconocimiento o reembolso de costos contra la canasta, el valor máximo opera como límite y no como derecho automático, de modo que solo procede reconocer el gasto efectivamente realizado y debidamente soportado, hasta el tope correspondiente.</w:t>
      </w:r>
    </w:p>
    <w:p w14:paraId="39FE6CA3" w14:textId="77777777" w:rsidR="00A04CC7" w:rsidRDefault="00A04CC7" w:rsidP="00A04CC7">
      <w:pPr>
        <w:spacing w:after="0" w:line="240" w:lineRule="auto"/>
        <w:contextualSpacing/>
        <w:jc w:val="both"/>
        <w:rPr>
          <w:rFonts w:ascii="Verdana" w:eastAsia="Calibri" w:hAnsi="Verdana" w:cs="Arial"/>
          <w:b/>
          <w:bCs/>
          <w:lang w:eastAsia="es-ES"/>
        </w:rPr>
      </w:pPr>
    </w:p>
    <w:p w14:paraId="709A8932" w14:textId="77777777" w:rsidR="00A04CC7" w:rsidRDefault="00A04CC7" w:rsidP="00A04CC7">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DEBER DE VIGILANCIA DE LOS CONTRATOS ‒ Obligación de la entidad estatal</w:t>
      </w:r>
    </w:p>
    <w:p w14:paraId="738E3726" w14:textId="77777777" w:rsidR="00A04CC7" w:rsidRDefault="00A04CC7" w:rsidP="00A04CC7">
      <w:pPr>
        <w:spacing w:after="0" w:line="240" w:lineRule="auto"/>
        <w:contextualSpacing/>
        <w:jc w:val="both"/>
        <w:rPr>
          <w:rFonts w:ascii="Verdana" w:eastAsia="Calibri" w:hAnsi="Verdana" w:cs="Arial"/>
          <w:b/>
          <w:bCs/>
          <w:lang w:eastAsia="es-ES"/>
        </w:rPr>
      </w:pPr>
    </w:p>
    <w:p w14:paraId="31E6B3E7" w14:textId="77777777" w:rsidR="00A04CC7" w:rsidRDefault="00A04CC7" w:rsidP="00A04CC7">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w:t>
      </w:r>
      <w:r>
        <w:rPr>
          <w:rFonts w:ascii="Verdana" w:eastAsia="Calibri" w:hAnsi="Verdana" w:cs="Arial"/>
          <w:sz w:val="20"/>
          <w:szCs w:val="20"/>
          <w:lang w:eastAsia="es-ES"/>
        </w:rPr>
        <w:lastRenderedPageBreak/>
        <w:t>la ejecución del contrato y, de ser el caso, tomar medidas para exigir su adecuado cumplimiento.</w:t>
      </w:r>
    </w:p>
    <w:p w14:paraId="7A906B92" w14:textId="77777777" w:rsidR="00A04CC7" w:rsidRDefault="00A04CC7" w:rsidP="00A04CC7">
      <w:pPr>
        <w:spacing w:after="0" w:line="240" w:lineRule="auto"/>
        <w:contextualSpacing/>
        <w:jc w:val="both"/>
        <w:rPr>
          <w:rFonts w:ascii="Verdana" w:eastAsia="Calibri" w:hAnsi="Verdana" w:cs="Arial"/>
          <w:b/>
          <w:bCs/>
          <w:lang w:eastAsia="es-ES"/>
        </w:rPr>
      </w:pPr>
    </w:p>
    <w:p w14:paraId="117BCB42" w14:textId="77777777" w:rsidR="00A04CC7" w:rsidRDefault="00A04CC7" w:rsidP="00A04CC7">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FACTURAS DE TERCEROS ‒ Contrato</w:t>
      </w:r>
    </w:p>
    <w:p w14:paraId="55316955" w14:textId="77777777" w:rsidR="00A04CC7" w:rsidRDefault="00A04CC7" w:rsidP="00A04CC7">
      <w:pPr>
        <w:spacing w:after="0" w:line="240" w:lineRule="auto"/>
        <w:contextualSpacing/>
        <w:jc w:val="both"/>
        <w:rPr>
          <w:rFonts w:ascii="Verdana" w:eastAsia="Calibri" w:hAnsi="Verdana" w:cs="Arial"/>
          <w:b/>
          <w:bCs/>
          <w:lang w:eastAsia="es-ES"/>
        </w:rPr>
      </w:pPr>
    </w:p>
    <w:p w14:paraId="63A2D138" w14:textId="77777777" w:rsidR="00A04CC7" w:rsidRDefault="00A04CC7" w:rsidP="00A04CC7">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verificación de los pagos a terceros proveedores debe realizarse con base en lo pactado expresamente en el contrato. Por tanto, no puede asumirse la existencia de una obligación general y universal de presentar soportes de terceros en todos los contratos estatales, ya que ello dependerá de diversos factores como el contenido del acuerdo contractual, las estipulaciones contenidas en el pliego de condiciones, las normas internas de la entidad, etc. En consecuencia, corresponde a la entidad, en ejercicio de sus funciones de supervisión y vigilancia de la ejecución contractual, requerir la presentación de estos soportes cuando dicha obligación haya sido prevista expresamente en el contrato. De no existir tal exigencia, la factura presentada por el contratista, siempre que cumpla con los requisitos legales y se acredite la entrega o ejecución satisfactoria del objeto contractual, en principio, debería ser suficiente para el trámite de pago.</w:t>
      </w:r>
    </w:p>
    <w:p w14:paraId="78414E65" w14:textId="77777777" w:rsidR="00A04CC7" w:rsidRDefault="00A04CC7" w:rsidP="00A04CC7">
      <w:pPr>
        <w:spacing w:after="0" w:line="240" w:lineRule="auto"/>
        <w:contextualSpacing/>
        <w:jc w:val="both"/>
        <w:rPr>
          <w:rFonts w:ascii="Verdana" w:eastAsia="Calibri" w:hAnsi="Verdana" w:cs="Arial"/>
          <w:b/>
          <w:bCs/>
          <w:lang w:eastAsia="es-ES"/>
        </w:rPr>
      </w:pPr>
    </w:p>
    <w:p w14:paraId="7C697EF6" w14:textId="77777777" w:rsidR="00A04CC7" w:rsidRPr="005544FB" w:rsidRDefault="00A04CC7" w:rsidP="00A04CC7">
      <w:pPr>
        <w:spacing w:after="0" w:line="240" w:lineRule="auto"/>
        <w:contextualSpacing/>
        <w:jc w:val="both"/>
        <w:rPr>
          <w:rFonts w:ascii="Verdana" w:eastAsia="Calibri" w:hAnsi="Verdana" w:cs="Arial"/>
          <w:sz w:val="20"/>
          <w:szCs w:val="20"/>
          <w:lang w:eastAsia="es-ES"/>
        </w:rPr>
      </w:pPr>
    </w:p>
    <w:p w14:paraId="76389063"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73080AE4"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1696C072"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30619362"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2A5FD265"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39174495"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4CAEE471"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6C7E947F"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4F13B6FC"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425FBC49"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6DC71515"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0980BB4C"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2A9DFF0B"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0A4E17D3"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70F4B06C"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762116F8"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6E7B0C1F"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018CEDFD"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1692A59B"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12E7E29C"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64ED3B98"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7C143242"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2DD9160C" w14:textId="77777777" w:rsidR="00A04CC7" w:rsidRDefault="00A04CC7" w:rsidP="00A04CC7">
      <w:pPr>
        <w:spacing w:after="0" w:line="240" w:lineRule="auto"/>
        <w:contextualSpacing/>
        <w:jc w:val="both"/>
        <w:rPr>
          <w:rFonts w:ascii="Verdana" w:eastAsia="Calibri" w:hAnsi="Verdana" w:cs="Arial"/>
          <w:sz w:val="20"/>
          <w:szCs w:val="20"/>
          <w:lang w:eastAsia="es-ES"/>
        </w:rPr>
      </w:pPr>
    </w:p>
    <w:p w14:paraId="7C2F9ECD" w14:textId="77777777" w:rsidR="00A04CC7" w:rsidRPr="00206556" w:rsidRDefault="00A04CC7" w:rsidP="00A04CC7">
      <w:pPr>
        <w:spacing w:after="0" w:line="240" w:lineRule="auto"/>
        <w:contextualSpacing/>
        <w:jc w:val="both"/>
        <w:rPr>
          <w:rFonts w:ascii="Verdana" w:eastAsia="Calibri" w:hAnsi="Verdana" w:cs="Arial"/>
          <w:sz w:val="20"/>
          <w:szCs w:val="20"/>
          <w:lang w:val="es-ES" w:eastAsia="es-ES"/>
        </w:rPr>
      </w:pPr>
    </w:p>
    <w:p w14:paraId="49EC1383" w14:textId="77777777" w:rsidR="00A04CC7" w:rsidRPr="00206556" w:rsidRDefault="00A04CC7" w:rsidP="00A04CC7">
      <w:pPr>
        <w:spacing w:after="0" w:line="240" w:lineRule="auto"/>
        <w:contextualSpacing/>
        <w:jc w:val="both"/>
        <w:rPr>
          <w:rFonts w:ascii="Verdana" w:eastAsia="Calibri" w:hAnsi="Verdana" w:cs="Arial"/>
          <w:sz w:val="20"/>
          <w:szCs w:val="20"/>
          <w:lang w:val="es-ES" w:eastAsia="es-ES"/>
        </w:rPr>
      </w:pPr>
    </w:p>
    <w:p w14:paraId="00B557F1" w14:textId="77777777" w:rsidR="00A04CC7" w:rsidRPr="00206556" w:rsidRDefault="00A04CC7" w:rsidP="00A04CC7">
      <w:pPr>
        <w:spacing w:after="0" w:line="240" w:lineRule="auto"/>
        <w:contextualSpacing/>
        <w:jc w:val="both"/>
        <w:rPr>
          <w:rFonts w:ascii="Verdana" w:eastAsia="Calibri" w:hAnsi="Verdana" w:cs="Arial"/>
          <w:b/>
          <w:bCs/>
          <w:color w:val="ED7D31" w:themeColor="accent2"/>
          <w:sz w:val="20"/>
          <w:szCs w:val="20"/>
          <w:lang w:val="es-ES" w:eastAsia="es-ES"/>
        </w:rPr>
      </w:pPr>
    </w:p>
    <w:p w14:paraId="47FB79BD" w14:textId="03F4D5C7" w:rsidR="00A04CC7" w:rsidRPr="00A801AE" w:rsidRDefault="006A79F5" w:rsidP="00423651">
      <w:pPr>
        <w:spacing w:after="0" w:line="240" w:lineRule="auto"/>
        <w:rPr>
          <w:rFonts w:ascii="Verdana" w:eastAsia="Calibri" w:hAnsi="Verdana" w:cs="Arial"/>
          <w:bCs/>
          <w:lang w:eastAsia="es-ES_tradnl"/>
        </w:rPr>
      </w:pPr>
      <w:r w:rsidRPr="00A801AE">
        <w:rPr>
          <w:rFonts w:ascii="Verdana" w:eastAsia="Calibri" w:hAnsi="Verdana" w:cs="Arial"/>
          <w:bCs/>
          <w:lang w:eastAsia="es-ES_tradnl"/>
        </w:rPr>
        <w:lastRenderedPageBreak/>
        <w:t xml:space="preserve">Bogotá D.C., 04 de </w:t>
      </w:r>
      <w:r w:rsidR="00A801AE" w:rsidRPr="00A801AE">
        <w:rPr>
          <w:rFonts w:ascii="Verdana" w:eastAsia="Calibri" w:hAnsi="Verdana" w:cs="Arial"/>
          <w:bCs/>
          <w:lang w:eastAsia="es-ES_tradnl"/>
        </w:rPr>
        <w:t>septiembre</w:t>
      </w:r>
      <w:r w:rsidRPr="00A801AE">
        <w:rPr>
          <w:rFonts w:ascii="Verdana" w:eastAsia="Calibri" w:hAnsi="Verdana" w:cs="Arial"/>
          <w:bCs/>
          <w:lang w:eastAsia="es-ES_tradnl"/>
        </w:rPr>
        <w:t xml:space="preserve"> de 2026</w:t>
      </w:r>
    </w:p>
    <w:p w14:paraId="157A228D" w14:textId="734A4CF0" w:rsidR="00A04CC7" w:rsidRDefault="00A04CC7" w:rsidP="00423651">
      <w:pPr>
        <w:spacing w:after="0" w:line="240" w:lineRule="auto"/>
        <w:rPr>
          <w:rFonts w:ascii="Verdana" w:hAnsi="Verdana"/>
        </w:rPr>
      </w:pPr>
    </w:p>
    <w:p w14:paraId="098C46D4" w14:textId="2FCE81B5" w:rsidR="00A04CC7" w:rsidRPr="00777292" w:rsidRDefault="00A04CC7" w:rsidP="00423651">
      <w:pPr>
        <w:spacing w:after="0" w:line="240" w:lineRule="auto"/>
        <w:rPr>
          <w:rFonts w:ascii="Verdana" w:hAnsi="Verdana"/>
          <w:lang w:val="es-ES_tradnl"/>
        </w:rPr>
      </w:pPr>
    </w:p>
    <w:p w14:paraId="6585F10E" w14:textId="04767F8A" w:rsidR="00A04CC7" w:rsidRDefault="00A801AE" w:rsidP="00423651">
      <w:pPr>
        <w:spacing w:after="0" w:line="240" w:lineRule="auto"/>
        <w:rPr>
          <w:rFonts w:ascii="Verdana" w:hAnsi="Verdana"/>
          <w:lang w:val="es-ES"/>
        </w:rPr>
      </w:pPr>
      <w:r w:rsidRPr="006A79F5">
        <w:rPr>
          <w:rFonts w:ascii="Verdana" w:hAnsi="Verdana"/>
          <w:noProof/>
          <w:lang w:val="es-ES"/>
        </w:rPr>
        <w:drawing>
          <wp:anchor distT="0" distB="0" distL="114300" distR="114300" simplePos="0" relativeHeight="251658240" behindDoc="1" locked="0" layoutInCell="1" allowOverlap="1" wp14:anchorId="3D75AFE1" wp14:editId="5107776C">
            <wp:simplePos x="0" y="0"/>
            <wp:positionH relativeFrom="margin">
              <wp:align>right</wp:align>
            </wp:positionH>
            <wp:positionV relativeFrom="paragraph">
              <wp:posOffset>8420</wp:posOffset>
            </wp:positionV>
            <wp:extent cx="2850515" cy="1009650"/>
            <wp:effectExtent l="0" t="0" r="6985" b="0"/>
            <wp:wrapSquare wrapText="bothSides"/>
            <wp:docPr id="6817242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724214"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0515" cy="1009650"/>
                    </a:xfrm>
                    <a:prstGeom prst="rect">
                      <a:avLst/>
                    </a:prstGeom>
                  </pic:spPr>
                </pic:pic>
              </a:graphicData>
            </a:graphic>
            <wp14:sizeRelH relativeFrom="page">
              <wp14:pctWidth>0</wp14:pctWidth>
            </wp14:sizeRelH>
            <wp14:sizeRelV relativeFrom="page">
              <wp14:pctHeight>0</wp14:pctHeight>
            </wp14:sizeRelV>
          </wp:anchor>
        </w:drawing>
      </w:r>
      <w:r w:rsidR="00A04CC7">
        <w:rPr>
          <w:rFonts w:ascii="Verdana" w:eastAsia="Calibri" w:hAnsi="Verdana" w:cs="Arial"/>
          <w:lang w:val="es-ES" w:eastAsia="es-ES"/>
        </w:rPr>
        <w:t>Señor</w:t>
      </w:r>
    </w:p>
    <w:p w14:paraId="5E7D8F35" w14:textId="2AC65D90" w:rsidR="00A04CC7" w:rsidRPr="00782B36" w:rsidRDefault="00A04CC7" w:rsidP="00423651">
      <w:pPr>
        <w:spacing w:after="0" w:line="240" w:lineRule="auto"/>
        <w:rPr>
          <w:rFonts w:ascii="Verdana" w:hAnsi="Verdana"/>
          <w:b/>
          <w:bCs/>
          <w:lang w:val="es-ES"/>
        </w:rPr>
      </w:pPr>
      <w:r w:rsidRPr="00782B36">
        <w:rPr>
          <w:rFonts w:ascii="Verdana" w:eastAsia="Calibri" w:hAnsi="Verdana" w:cs="Arial"/>
          <w:b/>
          <w:bCs/>
          <w:lang w:val="es-ES" w:eastAsia="es-ES"/>
        </w:rPr>
        <w:t>Jaime Mauricio Tovar Vásquez</w:t>
      </w:r>
    </w:p>
    <w:p w14:paraId="11EBDE64" w14:textId="7A8EEE22" w:rsidR="00A04CC7" w:rsidRDefault="00A04CC7" w:rsidP="00423651">
      <w:pPr>
        <w:spacing w:after="0" w:line="240" w:lineRule="auto"/>
        <w:rPr>
          <w:rFonts w:ascii="Verdana" w:hAnsi="Verdana"/>
          <w:lang w:val="es-ES"/>
        </w:rPr>
      </w:pPr>
      <w:r>
        <w:rPr>
          <w:rFonts w:ascii="Verdana" w:hAnsi="Verdana"/>
          <w:lang w:val="es-ES"/>
        </w:rPr>
        <w:t>Jmtvcolombia2026@gmail.com</w:t>
      </w:r>
    </w:p>
    <w:p w14:paraId="20BF58A7" w14:textId="2D9E0A9A" w:rsidR="00A04CC7" w:rsidRDefault="00A04CC7" w:rsidP="00423651">
      <w:pPr>
        <w:spacing w:after="0" w:line="240" w:lineRule="auto"/>
        <w:rPr>
          <w:rFonts w:ascii="Verdana" w:hAnsi="Verdana"/>
          <w:lang w:val="es-ES"/>
        </w:rPr>
      </w:pPr>
      <w:r>
        <w:rPr>
          <w:rFonts w:ascii="Verdana" w:eastAsia="Calibri" w:hAnsi="Verdana" w:cs="Arial"/>
          <w:lang w:val="es-ES" w:eastAsia="es-ES"/>
        </w:rPr>
        <w:t>Bogotá, Colombia</w:t>
      </w:r>
    </w:p>
    <w:p w14:paraId="67B8CC97" w14:textId="77777777" w:rsidR="00A04CC7" w:rsidRPr="00966744" w:rsidRDefault="00A04CC7" w:rsidP="00423651">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04CC7" w:rsidRPr="00777292" w14:paraId="55544F3B" w14:textId="77777777" w:rsidTr="00821A52">
        <w:trPr>
          <w:trHeight w:val="190"/>
        </w:trPr>
        <w:tc>
          <w:tcPr>
            <w:tcW w:w="2689" w:type="dxa"/>
          </w:tcPr>
          <w:p w14:paraId="378DB976" w14:textId="77777777" w:rsidR="00A04CC7" w:rsidRDefault="00A04CC7" w:rsidP="00423651">
            <w:pPr>
              <w:jc w:val="both"/>
              <w:rPr>
                <w:rFonts w:ascii="Verdana" w:eastAsia="Calibri" w:hAnsi="Verdana" w:cs="Arial"/>
                <w:b/>
                <w:bCs/>
                <w:lang w:eastAsia="es-ES_tradnl"/>
              </w:rPr>
            </w:pPr>
          </w:p>
          <w:p w14:paraId="5310C054" w14:textId="77777777" w:rsidR="00A04CC7" w:rsidRPr="00777292" w:rsidRDefault="00A04CC7" w:rsidP="00423651">
            <w:pPr>
              <w:jc w:val="both"/>
              <w:rPr>
                <w:rFonts w:ascii="Verdana" w:eastAsia="Calibri" w:hAnsi="Verdana" w:cs="Arial"/>
                <w:b/>
                <w:bCs/>
                <w:lang w:eastAsia="es-ES_tradnl"/>
              </w:rPr>
            </w:pPr>
          </w:p>
        </w:tc>
        <w:tc>
          <w:tcPr>
            <w:tcW w:w="6100" w:type="dxa"/>
          </w:tcPr>
          <w:p w14:paraId="44AF35E6" w14:textId="267D3D1B" w:rsidR="00A04CC7" w:rsidRPr="00777292" w:rsidRDefault="00A04CC7" w:rsidP="00423651">
            <w:pPr>
              <w:jc w:val="both"/>
              <w:rPr>
                <w:rFonts w:ascii="Verdana" w:eastAsia="Calibri" w:hAnsi="Verdana" w:cs="Arial"/>
                <w:b/>
                <w:bCs/>
                <w:lang w:eastAsia="es-ES"/>
              </w:rPr>
            </w:pPr>
            <w:r>
              <w:rPr>
                <w:rFonts w:ascii="Verdana" w:eastAsia="Calibri" w:hAnsi="Verdana" w:cs="Arial"/>
                <w:b/>
                <w:bCs/>
                <w:lang w:eastAsia="es-ES"/>
              </w:rPr>
              <w:t>Concepto C-1202 de 2026</w:t>
            </w:r>
          </w:p>
          <w:p w14:paraId="10B39B2A" w14:textId="77777777" w:rsidR="00A04CC7" w:rsidRPr="00777292" w:rsidRDefault="00A04CC7" w:rsidP="00423651">
            <w:pPr>
              <w:jc w:val="both"/>
              <w:rPr>
                <w:rFonts w:ascii="Verdana" w:eastAsia="Calibri" w:hAnsi="Verdana" w:cs="Arial"/>
                <w:b/>
                <w:bCs/>
                <w:lang w:eastAsia="es-ES"/>
              </w:rPr>
            </w:pPr>
          </w:p>
        </w:tc>
      </w:tr>
      <w:tr w:rsidR="00A04CC7" w:rsidRPr="00777292" w14:paraId="6F7F3C8F" w14:textId="77777777" w:rsidTr="00821A52">
        <w:trPr>
          <w:trHeight w:val="884"/>
        </w:trPr>
        <w:tc>
          <w:tcPr>
            <w:tcW w:w="2689" w:type="dxa"/>
          </w:tcPr>
          <w:p w14:paraId="1E707462" w14:textId="77777777" w:rsidR="00A04CC7" w:rsidRPr="00777292" w:rsidRDefault="00A04CC7" w:rsidP="00423651">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5B2DA74C" w14:textId="77777777" w:rsidR="00A04CC7" w:rsidRDefault="00A04CC7" w:rsidP="00423651">
            <w:pPr>
              <w:contextualSpacing/>
              <w:jc w:val="both"/>
              <w:rPr>
                <w:rFonts w:ascii="Verdana" w:eastAsia="Calibri" w:hAnsi="Verdana" w:cs="Arial"/>
                <w:lang w:eastAsia="es-ES"/>
              </w:rPr>
            </w:pPr>
            <w:r>
              <w:rPr>
                <w:rFonts w:ascii="Verdana" w:eastAsia="Calibri" w:hAnsi="Verdana" w:cs="Arial"/>
                <w:lang w:eastAsia="es-ES"/>
              </w:rPr>
              <w:t>SOBRECOSTOS ‒ Contratación estatal ‒ Definición ‒ Causas / ESTUDIOS DEL SECTOR ‒ Manifestación ‒ Principio de planeación / CANASTA DE PRECIOS O ESTRUCTURA DE COSTOS ‒ Naturaleza ‒ Valor máximo ‒ Reconocimiento del gasto efectivamente realizado / DEBER DE VIGILANCIA DE LOS CONTRATOS ‒ Obligación de la entidad estatal / FACTURAS DE TERCEROS ‒ Contrato</w:t>
            </w:r>
          </w:p>
          <w:p w14:paraId="0177E455" w14:textId="77777777" w:rsidR="00A04CC7" w:rsidRPr="00777292" w:rsidRDefault="00A04CC7" w:rsidP="00423651">
            <w:pPr>
              <w:contextualSpacing/>
              <w:jc w:val="both"/>
              <w:rPr>
                <w:rFonts w:ascii="Verdana" w:eastAsia="Calibri" w:hAnsi="Verdana" w:cs="Arial"/>
                <w:lang w:eastAsia="es-ES"/>
              </w:rPr>
            </w:pPr>
          </w:p>
        </w:tc>
      </w:tr>
      <w:tr w:rsidR="00A04CC7" w:rsidRPr="00777292" w14:paraId="36CBC073" w14:textId="77777777" w:rsidTr="00821A52">
        <w:tc>
          <w:tcPr>
            <w:tcW w:w="2689" w:type="dxa"/>
          </w:tcPr>
          <w:p w14:paraId="7F43362E" w14:textId="77777777" w:rsidR="00A04CC7" w:rsidRPr="00777292" w:rsidRDefault="00A04CC7" w:rsidP="00423651">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50826E3B" w14:textId="77777777" w:rsidR="00A04CC7" w:rsidRPr="00777292" w:rsidRDefault="00A04CC7" w:rsidP="00423651">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1_2026_07_28_009925</w:t>
            </w:r>
          </w:p>
        </w:tc>
      </w:tr>
    </w:tbl>
    <w:p w14:paraId="41A2CEA6" w14:textId="77777777" w:rsidR="00A04CC7" w:rsidRPr="00206556" w:rsidRDefault="00A04CC7" w:rsidP="000540D0">
      <w:pPr>
        <w:tabs>
          <w:tab w:val="left" w:pos="1520"/>
        </w:tabs>
        <w:spacing w:after="0" w:line="240" w:lineRule="auto"/>
        <w:jc w:val="both"/>
        <w:rPr>
          <w:rFonts w:ascii="Verdana" w:eastAsia="Calibri" w:hAnsi="Verdana" w:cs="Arial"/>
          <w:color w:val="ED7D31" w:themeColor="accent2"/>
          <w:sz w:val="20"/>
          <w:szCs w:val="20"/>
          <w:lang w:val="es-ES" w:eastAsia="es-ES"/>
        </w:rPr>
      </w:pPr>
    </w:p>
    <w:p w14:paraId="1DDE8C1A" w14:textId="77777777" w:rsidR="00A04CC7" w:rsidRPr="00206556" w:rsidRDefault="00A04CC7" w:rsidP="000540D0">
      <w:pPr>
        <w:spacing w:after="0" w:line="240" w:lineRule="auto"/>
        <w:jc w:val="both"/>
        <w:rPr>
          <w:rFonts w:ascii="Verdana" w:eastAsia="Calibri" w:hAnsi="Verdana" w:cs="Arial"/>
          <w:color w:val="ED7D31" w:themeColor="accent2"/>
          <w:lang w:val="es-ES" w:eastAsia="es-ES"/>
        </w:rPr>
      </w:pPr>
    </w:p>
    <w:p w14:paraId="7DB17418" w14:textId="77777777" w:rsidR="00A04CC7" w:rsidRPr="00206556" w:rsidRDefault="00A04CC7" w:rsidP="00423651">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Tovar:</w:t>
      </w:r>
    </w:p>
    <w:p w14:paraId="1BBFB4D5" w14:textId="77777777" w:rsidR="00A04CC7" w:rsidRPr="00206556" w:rsidRDefault="00A04CC7">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24890973" w14:textId="77777777" w:rsidR="00A04CC7" w:rsidRPr="00206556" w:rsidRDefault="00A04CC7">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28 de julio de 2026, en la cual manifiesta lo siguiente: </w:t>
      </w:r>
    </w:p>
    <w:p w14:paraId="383C51DA" w14:textId="77777777" w:rsidR="00A04CC7" w:rsidRPr="006A0794" w:rsidRDefault="00A04CC7">
      <w:pPr>
        <w:spacing w:after="0" w:line="276" w:lineRule="auto"/>
        <w:ind w:right="709"/>
        <w:jc w:val="both"/>
        <w:rPr>
          <w:rFonts w:ascii="Verdana" w:eastAsia="Century Gothic" w:hAnsi="Verdana" w:cs="Century Gothic"/>
          <w:i/>
          <w:iCs/>
          <w:sz w:val="20"/>
          <w:szCs w:val="20"/>
          <w:lang w:val="es-ES"/>
        </w:rPr>
      </w:pPr>
    </w:p>
    <w:p w14:paraId="7D1CE033" w14:textId="6FA5D371" w:rsidR="00A04CC7" w:rsidRDefault="00A04CC7" w:rsidP="00A04CC7">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“¿Es jurídicamente procedente que un contratista u operador de un contrato estatal cobre el valor máximo establecido en la canasta de precios o estructura de costos del proceso contractual publicada en SECOP, sin contar con las facturas, comprobantes de pago o demás documentos que acrediten el gasto efectivamente realizado, o dicho reconocimiento constituye un uso indebido de recursos públicos por carecer del soporte documental exigido para su pago?</w:t>
      </w:r>
    </w:p>
    <w:p w14:paraId="47AD8552" w14:textId="77777777" w:rsidR="00423651" w:rsidRDefault="00423651" w:rsidP="00A04CC7">
      <w:pPr>
        <w:spacing w:after="0" w:line="240" w:lineRule="auto"/>
        <w:ind w:left="708" w:right="709"/>
        <w:jc w:val="both"/>
        <w:rPr>
          <w:rFonts w:ascii="Verdana" w:eastAsia="Century Gothic" w:hAnsi="Verdana" w:cs="Century Gothic"/>
          <w:sz w:val="20"/>
          <w:szCs w:val="20"/>
        </w:rPr>
      </w:pPr>
    </w:p>
    <w:p w14:paraId="57D1F3B8" w14:textId="77777777" w:rsidR="00A04CC7" w:rsidRDefault="00A04CC7" w:rsidP="00A04CC7">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caso de que la respuesta sea negativa, sírvase indicar:</w:t>
      </w:r>
    </w:p>
    <w:p w14:paraId="2C7FC8F7" w14:textId="77777777" w:rsidR="00A04CC7" w:rsidRDefault="00A04CC7" w:rsidP="00A04CC7">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El marco normativo, jurisprudencial y doctrinal aplicable.</w:t>
      </w:r>
    </w:p>
    <w:p w14:paraId="3D4D6D85" w14:textId="77777777" w:rsidR="00A04CC7" w:rsidRDefault="00A04CC7" w:rsidP="00A04CC7">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2. Los lineamientos expedidos por Colombia Compra Eficiente o la autoridad competente sobre esta materia.</w:t>
      </w:r>
    </w:p>
    <w:p w14:paraId="5E6F4D39" w14:textId="77777777" w:rsidR="00A04CC7" w:rsidRDefault="00A04CC7" w:rsidP="00A04CC7">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Las responsabilidades administrativas, fiscales, disciplinarias, contractuales o penales que podrían derivarse del reconocimiento o cobro de recursos públicos sin el debido soporte documental.</w:t>
      </w:r>
    </w:p>
    <w:p w14:paraId="6EF26F9A" w14:textId="77777777" w:rsidR="00A04CC7" w:rsidRDefault="00A04CC7" w:rsidP="00A04CC7">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Los criterios que deben aplicar las entidades estatales para verificar la procedencia del pago cuando el valor cobrado corresponde al tope de la canasta de precios, pero no existe evidencia del gasto efectivamente incurrido.”</w:t>
      </w:r>
    </w:p>
    <w:p w14:paraId="65B0565D" w14:textId="77777777" w:rsidR="00A04CC7" w:rsidRPr="003248CC" w:rsidRDefault="00A04CC7" w:rsidP="00A04CC7">
      <w:pPr>
        <w:spacing w:before="120" w:after="120" w:line="276" w:lineRule="auto"/>
        <w:ind w:left="709" w:right="709"/>
        <w:contextualSpacing/>
        <w:rPr>
          <w:rFonts w:ascii="Verdana" w:eastAsia="Century Gothic" w:hAnsi="Verdana" w:cs="Century Gothic"/>
          <w:lang w:val="es-ES"/>
        </w:rPr>
      </w:pPr>
    </w:p>
    <w:p w14:paraId="38EE0B85" w14:textId="77777777" w:rsidR="00A04CC7" w:rsidRPr="00206556" w:rsidRDefault="00A04CC7" w:rsidP="00423651">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1F3CD013" w14:textId="77777777" w:rsidR="00A04CC7" w:rsidRPr="00206556" w:rsidRDefault="00A04CC7" w:rsidP="00A04CC7">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B072BCF" w14:textId="77777777" w:rsidR="00A04CC7" w:rsidRPr="00206556" w:rsidRDefault="00A04CC7" w:rsidP="006E266E">
      <w:pPr>
        <w:spacing w:after="0" w:line="276" w:lineRule="auto"/>
        <w:ind w:firstLine="709"/>
        <w:jc w:val="both"/>
        <w:rPr>
          <w:rFonts w:ascii="Verdana" w:eastAsia="Calibri" w:hAnsi="Verdana" w:cs="Arial"/>
          <w:lang w:val="es-ES" w:eastAsia="es-ES"/>
        </w:rPr>
      </w:pPr>
    </w:p>
    <w:p w14:paraId="5D28AC44" w14:textId="77777777" w:rsidR="00A04CC7" w:rsidRPr="00206556" w:rsidRDefault="00A04CC7" w:rsidP="006E266E">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7C65A782" w14:textId="77777777" w:rsidR="00A04CC7" w:rsidRPr="00206556" w:rsidRDefault="00A04CC7">
      <w:pPr>
        <w:tabs>
          <w:tab w:val="left" w:pos="426"/>
        </w:tabs>
        <w:spacing w:after="0" w:line="276" w:lineRule="auto"/>
        <w:jc w:val="both"/>
        <w:rPr>
          <w:rFonts w:ascii="Verdana" w:eastAsia="Century Gothic" w:hAnsi="Verdana" w:cs="Century Gothic"/>
          <w:color w:val="ED7D31" w:themeColor="accent2"/>
          <w:lang w:val="es-ES"/>
        </w:rPr>
      </w:pPr>
    </w:p>
    <w:p w14:paraId="62D81B43" w14:textId="77777777" w:rsidR="00A04CC7" w:rsidRDefault="00A04CC7" w:rsidP="000540D0">
      <w:pPr>
        <w:widowControl w:val="0"/>
        <w:autoSpaceDE w:val="0"/>
        <w:autoSpaceDN w:val="0"/>
        <w:spacing w:after="0" w:line="276" w:lineRule="auto"/>
        <w:jc w:val="both"/>
        <w:rPr>
          <w:rFonts w:ascii="Verdana" w:hAnsi="Verdana"/>
        </w:rPr>
      </w:pPr>
      <w:r>
        <w:rPr>
          <w:rFonts w:ascii="Verdana" w:eastAsia="Times New Roman" w:hAnsi="Verdana" w:cs="Times New Roman"/>
        </w:rPr>
        <w:t>De acuerdo con el contenido de su solicitud, esta Agencia resolverá el siguiente problema jurídico: ¿Es procedente reconocer al contratista el valor máximo previsto en la canasta de precios o estructura de costos sin acreditar el gasto efectivamente realizado y, en caso contrario, qué consecuencias jurídicas y criterios de verificación resultan aplicables?</w:t>
      </w:r>
    </w:p>
    <w:p w14:paraId="179ACF0E" w14:textId="77777777" w:rsidR="00A04CC7" w:rsidRPr="007741C2" w:rsidRDefault="00A04CC7" w:rsidP="006E266E">
      <w:pPr>
        <w:spacing w:after="0" w:line="276" w:lineRule="auto"/>
        <w:jc w:val="both"/>
        <w:rPr>
          <w:rFonts w:ascii="Verdana" w:eastAsia="Century Gothic" w:hAnsi="Verdana" w:cs="Century Gothic"/>
          <w:lang w:val="es-ES"/>
        </w:rPr>
      </w:pPr>
    </w:p>
    <w:p w14:paraId="29060D46" w14:textId="77777777" w:rsidR="00A04CC7" w:rsidRPr="00206556" w:rsidRDefault="00A04CC7">
      <w:pPr>
        <w:spacing w:after="0" w:line="276" w:lineRule="auto"/>
        <w:jc w:val="both"/>
        <w:rPr>
          <w:rFonts w:ascii="Verdana" w:eastAsia="Century Gothic" w:hAnsi="Verdana" w:cs="Century Gothic"/>
          <w:color w:val="ED7D31" w:themeColor="accent2"/>
        </w:rPr>
      </w:pPr>
    </w:p>
    <w:p w14:paraId="68381151" w14:textId="77777777" w:rsidR="00A04CC7" w:rsidRDefault="00A04CC7">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lastRenderedPageBreak/>
        <w:t>2. Respuesta:</w:t>
      </w:r>
    </w:p>
    <w:p w14:paraId="49FD36ED" w14:textId="77777777" w:rsidR="00A04CC7" w:rsidRPr="00A4789E" w:rsidRDefault="00A04CC7">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4CC7" w:rsidRPr="00206556" w14:paraId="22651931" w14:textId="77777777" w:rsidTr="00821A52">
        <w:tc>
          <w:tcPr>
            <w:tcW w:w="8828" w:type="dxa"/>
          </w:tcPr>
          <w:p w14:paraId="12310E86" w14:textId="31EA57AD" w:rsidR="00A04CC7" w:rsidRDefault="00A04CC7" w:rsidP="000540D0">
            <w:pPr>
              <w:spacing w:after="120" w:line="276" w:lineRule="auto"/>
              <w:jc w:val="both"/>
              <w:rPr>
                <w:rFonts w:ascii="Verdana" w:eastAsia="Calibri" w:hAnsi="Verdana" w:cs="Arial"/>
              </w:rPr>
            </w:pPr>
            <w:r>
              <w:rPr>
                <w:rFonts w:ascii="Verdana" w:eastAsia="Calibri" w:hAnsi="Verdana" w:cs="Arial"/>
              </w:rPr>
              <w:t>En atención al problema jurídico planteado, es necesario precisar que la canasta de precios o estructura de costos publicada en el SECOP es un instrumento de planeación, derivado de los estudios y documentos previos y del análisis del sector que ordenan los artículos 2.2.1.1.2.1.1 y 2.2.1.1.1.6.1 del Decreto 1082 de 2015: en ella la entidad fija valores estimados o topes máximos de referencia para los bienes y servicios del proceso. Dicha canasta no constituye, por sí misma, la fuente del derecho al pago del contratista</w:t>
            </w:r>
            <w:r w:rsidR="00495DA2">
              <w:rPr>
                <w:rFonts w:ascii="Verdana" w:eastAsia="Calibri" w:hAnsi="Verdana" w:cs="Arial"/>
              </w:rPr>
              <w:t>, en la medida que</w:t>
            </w:r>
            <w:r>
              <w:rPr>
                <w:rFonts w:ascii="Verdana" w:eastAsia="Calibri" w:hAnsi="Verdana" w:cs="Arial"/>
              </w:rPr>
              <w:t xml:space="preserve"> ese derecho surge del contrato, conforme al sistema de precios y a la forma de pago pactados, y se causa con la ejecución de las prestaciones y su recibo a satisfacción.</w:t>
            </w:r>
          </w:p>
          <w:p w14:paraId="44912132" w14:textId="385F14D8" w:rsidR="00A04CC7" w:rsidRDefault="00A04CC7" w:rsidP="000540D0">
            <w:pPr>
              <w:spacing w:after="120" w:line="276" w:lineRule="auto"/>
              <w:ind w:firstLine="709"/>
              <w:jc w:val="both"/>
              <w:rPr>
                <w:rFonts w:ascii="Verdana" w:eastAsia="Calibri" w:hAnsi="Verdana" w:cs="Arial"/>
              </w:rPr>
            </w:pPr>
            <w:r>
              <w:rPr>
                <w:rFonts w:ascii="Verdana" w:eastAsia="Calibri" w:hAnsi="Verdana" w:cs="Arial"/>
              </w:rPr>
              <w:t>Por consiguiente, la respuesta depende del mecanismo pactado. Si las partes acordaron un precio —global o por precios unitarios— respecto del cual la canasta operó como referencia de estimación, el contratista tiene derecho al precio pactado contra la entrega o ejecución satisfactoria del objeto, y la diferencia entre ese precio y el costo real de adquisición de los insumos no puede considerarse automáticamente un sobrecosto: es jurídicamente válido que el contratista, en ejercicio de su autonomía empresarial, obtenga utilidades o eficiencias —por ejemplo, mediante descuentos por volumen o precios preferenciales—, siempre que se trate de precios razonables; además, no existe una obligación general y universal de presentar facturas o soportes de terceros, cuya exigencia depende de lo pactado. En cambio, si el mecanismo pactado es de reconocimiento o reembolso de costos contra la canasta, como ocurre cuando el contratista u operador ejecuta recursos y la entidad le reconoce los gastos hasta los topes allí previstos, el valor máximo de la canasta es un límite y no un derecho automático: solo procede reconocer el gasto efectivamente realizado y debidamente soportado, hasta el tope correspondiente. En este esquema, no es procedente reconocer o cobrar el valor máximo sin acreditar el gasto, pues el pago carecería de causa y de soporte documental.</w:t>
            </w:r>
          </w:p>
          <w:p w14:paraId="11831105" w14:textId="067880EE" w:rsidR="00A04CC7" w:rsidRDefault="00A04CC7" w:rsidP="000540D0">
            <w:pPr>
              <w:spacing w:after="120" w:line="276" w:lineRule="auto"/>
              <w:ind w:firstLine="709"/>
              <w:jc w:val="both"/>
              <w:rPr>
                <w:rFonts w:ascii="Verdana" w:eastAsia="Calibri" w:hAnsi="Verdana" w:cs="Arial"/>
              </w:rPr>
            </w:pPr>
            <w:r>
              <w:rPr>
                <w:rFonts w:ascii="Verdana" w:eastAsia="Calibri" w:hAnsi="Verdana" w:cs="Arial"/>
              </w:rPr>
              <w:t xml:space="preserve">El reconocimiento de valores sin la acreditación exigida puede comprometer recursos públicos sin justificación y configurar un pago excesivo contrario al interés público, con la potencialidad de constituir un daño patrimonial al Estado en los términos del artículo 6 de la Ley 610 de 2000, sin </w:t>
            </w:r>
            <w:r>
              <w:rPr>
                <w:rFonts w:ascii="Verdana" w:eastAsia="Calibri" w:hAnsi="Verdana" w:cs="Arial"/>
              </w:rPr>
              <w:lastRenderedPageBreak/>
              <w:t>perjuicio de las responsabilidades disciplinarias derivadas de participar en la actividad contractual en detrimento del patrimonio público o con desconocimiento de los principios de la contratación estatal, y de las consecuencias contractuales a que haya lugar. La determinación de tales responsabilidades corresponde a las autoridades fiscales, disciplinarias y judiciales competentes, no a esta Agencia.</w:t>
            </w:r>
          </w:p>
          <w:p w14:paraId="6C30ACE1" w14:textId="77777777" w:rsidR="00A04CC7" w:rsidRDefault="00A04CC7" w:rsidP="000540D0">
            <w:pPr>
              <w:spacing w:after="120" w:line="276" w:lineRule="auto"/>
              <w:ind w:firstLine="709"/>
              <w:jc w:val="both"/>
              <w:rPr>
                <w:rFonts w:ascii="Verdana" w:eastAsia="Calibri" w:hAnsi="Verdana" w:cs="Arial"/>
              </w:rPr>
            </w:pPr>
            <w:r>
              <w:rPr>
                <w:rFonts w:ascii="Verdana" w:eastAsia="Calibri" w:hAnsi="Verdana" w:cs="Arial"/>
              </w:rPr>
              <w:t>En cuanto a los criterios de verificación, corresponde a la entidad, a través del supervisor o interventor, revisar los documentos necesarios para efectuar los pagos, incluido el recibo a satisfacción de los bienes o servicios, documentar los pagos y ajustes y controlar el balance presupuestal del contrato, conforme a los artículos 83 y 84 de la Ley 1474 de 2011 y a la Guía para el ejercicio de las funciones de supervisión e interventoría de los contratos del Estado. La verificación debe atender: (i) lo pactado en el contrato, el pliego y la canasta, que definen el sistema de pago y los soportes exigibles; (ii) la correspondencia del valor cobrado con dicho sistema —precio pactado o reconocimiento de costos y sus topes; (iii) la entrega o ejecución satisfactoria; y (iv) la razonabilidad del valor frente al mercado y al análisis del sector, pues el sobrecosto es el pago excesivo sin justificación válida en comparación con los precios reales del mercado. En todo caso, corresponde a cada entidad estatal, en ejercicio de su competencia y previa valoración de los elementos fácticos y jurídicos de su proceso, definir la forma de adelantar su gestión contractual, sin que sea atribución de Colombia Compra Eficiente validar sus actuaciones.</w:t>
            </w:r>
          </w:p>
        </w:tc>
      </w:tr>
    </w:tbl>
    <w:p w14:paraId="1B84448B" w14:textId="77777777" w:rsidR="00A04CC7" w:rsidRPr="00206556" w:rsidRDefault="00A04CC7" w:rsidP="00A04CC7">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3C4656DF" w14:textId="77777777" w:rsidR="00A04CC7" w:rsidRPr="00206556" w:rsidRDefault="00A04CC7" w:rsidP="00A04CC7">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717F82B3" w14:textId="77777777" w:rsidR="00A04CC7" w:rsidRPr="00206556" w:rsidRDefault="00A04CC7" w:rsidP="00A04CC7">
      <w:pPr>
        <w:tabs>
          <w:tab w:val="left" w:pos="142"/>
          <w:tab w:val="left" w:pos="284"/>
        </w:tabs>
        <w:spacing w:after="0" w:line="276" w:lineRule="auto"/>
        <w:jc w:val="both"/>
        <w:rPr>
          <w:rFonts w:ascii="Verdana" w:eastAsia="Century Gothic" w:hAnsi="Verdana" w:cs="Century Gothic"/>
          <w:b/>
          <w:color w:val="ED7D31" w:themeColor="accent2"/>
          <w:lang w:val="es-ES"/>
        </w:rPr>
      </w:pPr>
    </w:p>
    <w:p w14:paraId="43C5F720" w14:textId="77777777" w:rsidR="00A04CC7" w:rsidRPr="00206556" w:rsidRDefault="00A04CC7" w:rsidP="00A04CC7">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1CA66842" w14:textId="77777777" w:rsidR="00A04CC7" w:rsidRPr="00206556" w:rsidRDefault="00A04CC7" w:rsidP="00A04CC7">
      <w:pPr>
        <w:spacing w:after="0" w:line="276" w:lineRule="auto"/>
        <w:jc w:val="both"/>
        <w:rPr>
          <w:rFonts w:ascii="Verdana" w:eastAsia="Calibri" w:hAnsi="Verdana" w:cs="Arial"/>
          <w:lang w:val="es-ES"/>
        </w:rPr>
      </w:pPr>
    </w:p>
    <w:p w14:paraId="36FA7974" w14:textId="77777777" w:rsidR="00A04CC7" w:rsidRDefault="00A04CC7" w:rsidP="000540D0">
      <w:pPr>
        <w:widowControl w:val="0"/>
        <w:autoSpaceDE w:val="0"/>
        <w:autoSpaceDN w:val="0"/>
        <w:spacing w:after="120" w:line="276" w:lineRule="auto"/>
        <w:jc w:val="both"/>
        <w:rPr>
          <w:rFonts w:ascii="Verdana" w:hAnsi="Verdana"/>
        </w:rPr>
      </w:pPr>
      <w:r>
        <w:rPr>
          <w:rFonts w:ascii="Verdana" w:eastAsia="Times New Roman" w:hAnsi="Verdana" w:cs="Times New Roman"/>
        </w:rPr>
        <w:t xml:space="preserve">(i) Para resolver el problema jurídico planteado, esta Agencia considera necesario precisar, en primer lugar, la noción de sobrecosto en la contratación estatal. El ordenamiento jurídico colombiano no contempla una definición legal de “sobrecosto”. Aunque el artículo 54.3 de la Ley 1952 de 2019 tipifica como falta disciplinaria “Participar en la etapa precontractual o en la actividad contractual, en detrimento del patrimonio público, o con desconocimiento de los principios que regulan la contratación estatal y la función administrativa </w:t>
      </w:r>
      <w:r>
        <w:rPr>
          <w:rFonts w:ascii="Verdana" w:eastAsia="Times New Roman" w:hAnsi="Verdana" w:cs="Times New Roman"/>
        </w:rPr>
        <w:lastRenderedPageBreak/>
        <w:t xml:space="preserve">contemplados en la Constitución y en la ley”, el artículo 6 de la Ley 610 de 2000 cubre una gran variedad de hipótesis que no se limitan al tema </w:t>
      </w:r>
      <w:r>
        <w:rPr>
          <w:rStyle w:val="Refdenotaalpie"/>
          <w:rFonts w:ascii="Verdana" w:eastAsia="Times New Roman" w:hAnsi="Verdana" w:cs="Times New Roman"/>
        </w:rPr>
        <w:footnoteReference w:id="1"/>
      </w:r>
      <w:r>
        <w:rPr>
          <w:rFonts w:ascii="Verdana" w:eastAsia="Times New Roman" w:hAnsi="Verdana" w:cs="Times New Roman"/>
        </w:rPr>
        <w:t>.</w:t>
      </w:r>
    </w:p>
    <w:p w14:paraId="421229F0"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reflexión es importante, porque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ibidem prescribe que las palabras técnicas de toda ciencia o arte se tomarán en el sentido que les den los que profesan la misma ciencia o arte</w:t>
      </w:r>
      <w:r>
        <w:rPr>
          <w:rStyle w:val="Refdenotaalpie"/>
          <w:rFonts w:ascii="Verdana" w:eastAsia="Times New Roman" w:hAnsi="Verdana" w:cs="Times New Roman"/>
        </w:rPr>
        <w:footnoteReference w:id="2"/>
      </w:r>
      <w:r>
        <w:rPr>
          <w:rFonts w:ascii="Verdana" w:eastAsia="Times New Roman" w:hAnsi="Verdana" w:cs="Times New Roman"/>
        </w:rPr>
        <w:t>. Dentro de este marco, el diccionario de la RAE indica que el “sobrecosto” alude al “Gasto adicional que no está previsto o establecido inicialmente”, mientras que el “sobreprecio” equivale al “Recargo en el precio ordinario”. Desde el punto de vista jurisprudencial, el sobrecosto se refiere al pago excesivo realizado al contratista, sin una justificación válida en comparación con los precios reales del mercado para los bienes, obras o servicios contratados en cada negocio jurídico, considerando todas las variables que influyen su valor. Al respecto, el Consejo de Estado ha señalado:</w:t>
      </w:r>
    </w:p>
    <w:p w14:paraId="4DDFAB03" w14:textId="77777777" w:rsidR="00A04CC7" w:rsidRDefault="00A04CC7" w:rsidP="00A04CC7">
      <w:pPr>
        <w:spacing w:after="120" w:line="240" w:lineRule="auto"/>
        <w:ind w:left="708" w:right="709"/>
        <w:jc w:val="both"/>
        <w:rPr>
          <w:rFonts w:ascii="Verdana" w:hAnsi="Verdana"/>
          <w:sz w:val="20"/>
          <w:szCs w:val="20"/>
        </w:rPr>
      </w:pPr>
      <w:r>
        <w:rPr>
          <w:rFonts w:ascii="Verdana" w:eastAsia="Times New Roman" w:hAnsi="Verdana" w:cs="Times New Roman"/>
          <w:sz w:val="20"/>
          <w:szCs w:val="20"/>
        </w:rPr>
        <w:t xml:space="preserve">“El fin perseguido por el Estado con el contrato es la prestación de un servicio a su cargo y, por su parte, el del cocontratante es concretar una aspiración económica, pero en manera alguna la utilidad de este último por su labor puede constituirse en fuente de enriquecimiento exagerado e injustificado y, por ende, producir un detrimento al patrimonio público, lo que ocurriría en los eventos en que a la celebración del contrato se pacte un precio sobredimensionado o por fuera de los precios reales del mercado sin justificación alguna, lo que no solo implica la vulneración de normas imperativas y de orden público, sino fundamentalmente desconoce el interés público que con el contrato se pretende realizar. Por ello, se insiste que en los contratos que celebra la Administración debe existir certidumbre de las obras, servicios y bienes objeto del mismo y del precio </w:t>
      </w:r>
      <w:r>
        <w:rPr>
          <w:rFonts w:ascii="Verdana" w:eastAsia="Times New Roman" w:hAnsi="Verdana" w:cs="Times New Roman"/>
          <w:sz w:val="20"/>
          <w:szCs w:val="20"/>
        </w:rPr>
        <w:lastRenderedPageBreak/>
        <w:t>que espera recibir el contratista como contraprestación. Es evidente que la contratación pública es una de las actuaciones administrativas de mayor relevancia económica, por la magnitud de los recursos invertidos a través de la misma, de manera que el abuso de figuras como los sobrecostos o sobreprecios, aumenta los costos de inversión en detrimento del erario”</w:t>
      </w:r>
      <w:r>
        <w:rPr>
          <w:rStyle w:val="Refdenotaalpie"/>
          <w:rFonts w:ascii="Verdana" w:eastAsia="Times New Roman" w:hAnsi="Verdana" w:cs="Times New Roman"/>
        </w:rPr>
        <w:footnoteReference w:id="3"/>
      </w:r>
      <w:r>
        <w:rPr>
          <w:rFonts w:ascii="Verdana" w:eastAsia="Times New Roman" w:hAnsi="Verdana" w:cs="Times New Roman"/>
          <w:sz w:val="20"/>
          <w:szCs w:val="20"/>
        </w:rPr>
        <w:t>.</w:t>
      </w:r>
    </w:p>
    <w:p w14:paraId="18B06F3A"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Este sobredimensionamiento de los precios puede ser producto, entre otras causas, de la pretermisión de los estudios de mercado o de una estimación de precios errónea por alejamiento de la realidad, los cuales conducen a la recepción y facturación de obras, bienes y servicios por encima de su valor real. Por ello, “[…] con el fin de detectar mayores valores reprochables y pactados al momento de celebrar el contrato se debe acudir primeramente a una comparación con aquel precio que arroje el mercado y en caso de que lo supere verificar las razones que justifican o explican en forma sensata y razonada esa circunstancia, teniendo en cuenta todas las variables que en él inciden […]”</w:t>
      </w:r>
      <w:r>
        <w:rPr>
          <w:rStyle w:val="Refdenotaalpie"/>
          <w:rFonts w:ascii="Verdana" w:eastAsia="Times New Roman" w:hAnsi="Verdana" w:cs="Times New Roman"/>
        </w:rPr>
        <w:footnoteReference w:id="4"/>
      </w:r>
      <w:r>
        <w:rPr>
          <w:rFonts w:ascii="Verdana" w:eastAsia="Times New Roman" w:hAnsi="Verdana" w:cs="Times New Roman"/>
        </w:rPr>
        <w:t>. Lo anterior muestra la necesidad de realizar adecuadamente el análisis del sector en la fase de planeación del contrato.</w:t>
      </w:r>
    </w:p>
    <w:p w14:paraId="43A7D571"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efecto, la planeación contractual es una herramienta de gerencia pública que exige estructurar el proceso dedicando tiempo y esfuerzos para elaborar estudios previos, con el fin de determinar la necesidad que se pretende satisfacer y la mejor manera de hacerlo, consultando el tipo de bienes y servicios que ofrece el mercado y sus características, especificaciones, precios, costos, riesgos, garantías, disponibilidad y oferentes. En relación con el valor del futuro contrato, el numeral 12 del artículo 25 de la Ley 80 de 1993 exige que, previo a la apertura del proceso de selección —o a la firma del contrato en la contratación directa—, se elaboren los estudios, diseños y proyectos requeridos y los pliegos de condiciones, y el artículo 2.2.1.1.2.1.1 del Decreto 1082 de 2015 ordena que los estudios y documentos previos contengan, entre otros elementos, “El valor estimado del contrato y la justificación del mismo”, precisando que “Cuando el valor del contrato esté determinado por precios unitarios, la Entidad Estatal debe incluir la forma como los calculó y soportar sus cálculos presupuestales en la estimación de aquellos”.</w:t>
      </w:r>
    </w:p>
    <w:p w14:paraId="18B433EF"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A su turno, el artículo 2.2.1.1.1.6.1 del Decreto 1082 de 2015 dispone que “La Entidad Estatal debe hacer, durante la etapa de planeación, el análisis </w:t>
      </w:r>
      <w:r>
        <w:rPr>
          <w:rFonts w:ascii="Verdana" w:eastAsia="Times New Roman" w:hAnsi="Verdana" w:cs="Times New Roman"/>
        </w:rPr>
        <w:lastRenderedPageBreak/>
        <w:t>necesario para conocer el sector relativo al objeto del Proceso de Contratación desde la perspectiva legal, comercial, financiera, organizacional, técnica, y de análisis de Riesgo”, dejando constancia de ello en los documentos del proceso. De esta manera, existe una relación entre el estudio del sector y la estimación del valor del contrato, por lo cual deben tenerse en cuenta las diferentes variables del mercado, como los costos de la cadena de producción. Pero, con independencia de esto, la entidad debe obtener el menor precio o uno razonable: el valor debe estar justificado para que no corresponda a sobrecostos ni a precios artificialmente bajos, y que con ello la entidad pague un valor adecuado, que no sea mayor ni menor. Para estos efectos, esta Agencia dispone de la “Guía para la Elaboración de Estudios del Sector”, instrumento que apoya el entendimiento del mercado del bien, obra o servicio y de los factores que inciden en el valor del contrato, tales como el análisis de precios, las cargas tributarias, la tasa de cambio, las garantías y los gastos de transporte.</w:t>
      </w:r>
    </w:p>
    <w:p w14:paraId="5439102B"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Precisado lo anterior, la canasta de precios o estructura de costos que las entidades publican en el SECOP dentro de los documentos del proceso es, justamente, una expresión de esa labor de planeación: en ella la entidad, con fundamento en el análisis del sector y del mercado, fija los valores estimados o los topes máximos de referencia de los bienes y servicios requeridos. Como instrumento de estimación, la canasta delimita el marco económico del proceso y de la oferta, pero no constituye, por sí misma, la fuente del derecho al pago del contratista: ese derecho surge del contrato, conforme al sistema de precios y a la forma de pago que las partes hayan pactado, y se causa con la ejecución de las prestaciones y su recibo a satisfacción. Sobre el particular, debe recordarse que la entidad estatal tiene autonomía para configurar el precio y para establecer el sistema de pago más apropiado para satisfacer los fines de la contratación, respetando los límites previstos en el ordenamiento, y que le corresponde al proponente reflejar en su oferta todos los costos inherentes al contrato a ejecutar, conforme a las condiciones habituales del mercado.</w:t>
      </w:r>
    </w:p>
    <w:p w14:paraId="2C2E323D"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este modo, la procedencia de reconocer el valor máximo de la canasta sin acreditar el gasto efectivamente realizado depende del mecanismo pactado. En primer lugar, si las partes acordaron un precio —global o por precios unitarios— respecto del cual la canasta operó como referencia de estimación, el contratista tiene derecho al precio pactado contra la entrega o ejecución satisfactoria del objeto contractual. En este escenario, la diferencia entre el precio pactado y el costo real de adquisición de los bienes, obras o servicios no </w:t>
      </w:r>
      <w:r>
        <w:rPr>
          <w:rFonts w:ascii="Verdana" w:eastAsia="Times New Roman" w:hAnsi="Verdana" w:cs="Times New Roman"/>
        </w:rPr>
        <w:lastRenderedPageBreak/>
        <w:t>puede considerarse automáticamente como un sobrecosto: es jurídicamente válido que el contratista, en ejercicio de su autonomía empresarial y dentro del marco de la libertad de empresa, establezca relaciones comerciales o alianzas estratégicas con proveedores que le permitan obtener condiciones más favorables en la adquisición de insumos, tales como descuentos por volumen o precios preferenciales. Esta circunstancia, en sí misma, no configura un sobrecosto siempre que se trate de precios razonables, y el hecho de que el contratista logre una utilidad o eficiencias como resultado de su gestión empresarial no desvirtúa, per se, el precio pactado. Adicionalmente, en este escenario no existe una obligación general y universal de presentar facturas o soportes de terceros: su exigibilidad depende de lo pactado en el contrato, el pliego de condiciones y las normas internas de la entidad, de modo que, de no existir tal exigencia, la factura presentada por el contratista, siempre que cumpla con los requisitos legales y se acredite la entrega o ejecución satisfactoria del objeto contractual, en principio, debería ser suficiente para el trámite de pago.</w:t>
      </w:r>
    </w:p>
    <w:p w14:paraId="034A283A"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segundo lugar, si el mecanismo pactado es de reconocimiento o reembolso de costos contra la canasta —como ocurre cuando el contratista u operador ejecuta recursos y la entidad le reconoce los gastos en que incurre hasta los valores máximos allí previstos—, la conclusión es distinta: el valor máximo de la canasta opera como límite del reconocimiento y no como un derecho automático del contratista. En este esquema, el pago se causa por el gasto efectivamente realizado, debidamente acreditado con las facturas, comprobantes y demás soportes pactados, hasta el tope de la canasta, de manera que no es procedente reconocer o cobrar el valor máximo sin la acreditación correspondiente: un pago en esas condiciones carecería de causa y de soporte documental, conduciría a la recepción y facturación de bienes y servicios por encima de su valor real y podría configurar un pago excesivo contrario al interés público. La calificación del mecanismo pactado en cada contrato —precio o reconocimiento de costos— corresponde a las partes y a la entidad, según las estipulaciones del contrato, el pliego y los documentos del proceso.</w:t>
      </w:r>
    </w:p>
    <w:p w14:paraId="4EF5F949"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En cuanto a las consecuencias jurídicas, el reconocimiento de recursos públicos sin el soporte exigido puede constituir un daño patrimonial al Estado en los términos del artículo 6 de la Ley 610 de 2000, esto es, una lesión del patrimonio público producida por una gestión fiscal antieconómica, ineficaz, ineficiente e inoportuna, sin perjuicio de la responsabilidad disciplinaria por </w:t>
      </w:r>
      <w:r>
        <w:rPr>
          <w:rFonts w:ascii="Verdana" w:eastAsia="Times New Roman" w:hAnsi="Verdana" w:cs="Times New Roman"/>
        </w:rPr>
        <w:lastRenderedPageBreak/>
        <w:t>participar en la actividad contractual en detrimento del patrimonio público o con desconocimiento de los principios de la contratación estatal, y de las consecuencias contractuales derivadas del incumplimiento de las condiciones pactadas para el pago. La determinación de dichas responsabilidades —incluidas las penales a que hubiere lugar— es competencia de las autoridades fiscales, disciplinarias y judiciales, y no de esta Agencia, cuya función consultiva se limita a la interpretación general de las normas del sistema de compras y contratación pública. Para efectos del control fiscal, los servidores de las contralorías cuentan con facultades de autoridad de policía judicial para solicitar información a entidades oficiales o particulares, sin que les sea oponible reserva alguna</w:t>
      </w:r>
      <w:r>
        <w:rPr>
          <w:rStyle w:val="Refdenotaalpie"/>
          <w:rFonts w:ascii="Verdana" w:eastAsia="Times New Roman" w:hAnsi="Verdana" w:cs="Times New Roman"/>
        </w:rPr>
        <w:footnoteReference w:id="5"/>
      </w:r>
      <w:r>
        <w:rPr>
          <w:rFonts w:ascii="Verdana" w:eastAsia="Times New Roman" w:hAnsi="Verdana" w:cs="Times New Roman"/>
        </w:rPr>
        <w:t>, sin perjuicio del adecuado tratamiento de los datos personales, especialmente de los considerados sensibles</w:t>
      </w:r>
      <w:r>
        <w:rPr>
          <w:rStyle w:val="Refdenotaalpie"/>
          <w:rFonts w:ascii="Verdana" w:eastAsia="Times New Roman" w:hAnsi="Verdana" w:cs="Times New Roman"/>
        </w:rPr>
        <w:footnoteReference w:id="6"/>
      </w:r>
      <w:r>
        <w:rPr>
          <w:rFonts w:ascii="Verdana" w:eastAsia="Times New Roman" w:hAnsi="Verdana" w:cs="Times New Roman"/>
        </w:rPr>
        <w:t>.</w:t>
      </w:r>
    </w:p>
    <w:p w14:paraId="4D69328C"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Finalmente, en cuanto a los criterios de verificación aplicables, la Ley 80 de 1993 establece en sus artículos 4, 5, 12, 14 y 26, entre otros aspectos, la obligación de las Entidades Estatales de velar por el correcto y oportuno cumplimiento de las prestaciones del contrato, las especificaciones de los bienes, obras y servicios y las condiciones de calidad ofrecidas. Esta obligación se predica, en principio, del jefe o representante legal de la entidad, pero también de los servidores públicos que intervienen en la actividad contractual. Las Leyes 1150 de 2007</w:t>
      </w:r>
      <w:r>
        <w:rPr>
          <w:rStyle w:val="Refdenotaalpie"/>
          <w:rFonts w:ascii="Verdana" w:eastAsia="Times New Roman" w:hAnsi="Verdana" w:cs="Times New Roman"/>
        </w:rPr>
        <w:footnoteReference w:id="7"/>
      </w:r>
      <w:r>
        <w:rPr>
          <w:rFonts w:ascii="Verdana" w:eastAsia="Times New Roman" w:hAnsi="Verdana" w:cs="Times New Roman"/>
        </w:rPr>
        <w:t xml:space="preserve"> y 1474 de 2011</w:t>
      </w:r>
      <w:r>
        <w:rPr>
          <w:rStyle w:val="Refdenotaalpie"/>
          <w:rFonts w:ascii="Verdana" w:eastAsia="Times New Roman" w:hAnsi="Verdana" w:cs="Times New Roman"/>
        </w:rPr>
        <w:footnoteReference w:id="8"/>
      </w:r>
      <w:r>
        <w:rPr>
          <w:rFonts w:ascii="Verdana" w:eastAsia="Times New Roman" w:hAnsi="Verdana" w:cs="Times New Roman"/>
        </w:rPr>
        <w:t xml:space="preserve"> complementan este régimen, y la jurisprudencia contencioso-administrativa ha considerado que la vigilancia y el control del contrato estatal suponen el cuidado y la supervisión de la adecuada y oportuna </w:t>
      </w:r>
      <w:r>
        <w:rPr>
          <w:rFonts w:ascii="Verdana" w:eastAsia="Times New Roman" w:hAnsi="Verdana" w:cs="Times New Roman"/>
        </w:rPr>
        <w:lastRenderedPageBreak/>
        <w:t>ejecución, velando porque las partes cumplan las obligaciones contractuales y porque el contrato se ejecute en el tiempo y la forma convenidos</w:t>
      </w:r>
      <w:r>
        <w:rPr>
          <w:rStyle w:val="Refdenotaalpie"/>
          <w:rFonts w:ascii="Verdana" w:eastAsia="Times New Roman" w:hAnsi="Verdana" w:cs="Times New Roman"/>
        </w:rPr>
        <w:footnoteReference w:id="9"/>
      </w:r>
      <w:r>
        <w:rPr>
          <w:rFonts w:ascii="Verdana" w:eastAsia="Times New Roman" w:hAnsi="Verdana" w:cs="Times New Roman"/>
        </w:rPr>
        <w:t>. En ese marco, el artículo 83 de la Ley 1474 de 2011 dispone que, con el fin de proteger la moralidad administrativa, prevenir la corrupción y tutelar la transparencia de la actividad contractual, las entidades públicas están obligadas a vigilar permanentemente la correcta ejecución del objeto contratado a través de un supervisor o un interventor, según corresponda, quienes pueden hacer uso de las facultades del artículo 84 ibidem.</w:t>
      </w:r>
    </w:p>
    <w:p w14:paraId="57C50B36"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desarrollo de esa función, la “Guía para el ejercicio de las funciones de Supervisión e Interventoría de los contratos del Estado”</w:t>
      </w:r>
      <w:r>
        <w:rPr>
          <w:rStyle w:val="Refdenotaalpie"/>
          <w:rFonts w:ascii="Verdana" w:eastAsia="Times New Roman" w:hAnsi="Verdana" w:cs="Times New Roman"/>
        </w:rPr>
        <w:footnoteReference w:id="10"/>
      </w:r>
      <w:r>
        <w:rPr>
          <w:rFonts w:ascii="Verdana" w:eastAsia="Times New Roman" w:hAnsi="Verdana" w:cs="Times New Roman"/>
        </w:rPr>
        <w:t xml:space="preserve"> contempla, dentro de la vigilancia financiera y contable, las actividades de revisar los documentos necesarios para efectuar los pagos al contrato —incluyendo el recibo a satisfacción de los bienes o servicios objeto del mismo— y de documentar los pagos y ajustes que se hagan al contrato y controlar el balance presupuestal para efecto de pagos y de liquidación. Estas actividades tendrán como referente particular lo establecido por las partes en el contrato respectivo, teniendo presente que cada entidad contratante tiene autonomía para solicitar los documentos que se requieran respecto de la facturación y los soportes necesarios para el pago. En consecuencia, los criterios de verificación comprenden: (a) lo pactado en el contrato, el pliego y la canasta de precios, que definen el sistema de pago y los soportes exigibles; (b) la correspondencia del valor cobrado con el mecanismo pactado —precio o reconocimiento de costos y sus topes—; (c) la acreditación de la entrega o ejecución satisfactoria del objeto; y (d) la razonabilidad del valor frente al mercado y al análisis del sector realizado en la planeación. Cuando el contrato exige soportes que contienen información sujeta a reserva o protección especial, el contratista debe aportarlos en cumplimiento de la obligación contractual, y la entidad receptora debe garantizar su adecuado tratamiento, absteniéndose de divulgar o publicar en el SECOP cualquier contenido que goce de protección especial, conforme a la Ley 1712 de </w:t>
      </w:r>
      <w:r>
        <w:rPr>
          <w:rFonts w:ascii="Verdana" w:eastAsia="Times New Roman" w:hAnsi="Verdana" w:cs="Times New Roman"/>
        </w:rPr>
        <w:lastRenderedPageBreak/>
        <w:t>2014.</w:t>
      </w:r>
    </w:p>
    <w:p w14:paraId="3D4BF51A" w14:textId="77777777" w:rsidR="00A04CC7" w:rsidRDefault="00A04CC7" w:rsidP="00A04CC7">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reglas que deben definirse en el marco de un procedimiento contractual específico, esta Agencia no puede fijar un criterio universal y absoluto por vía consultiva, sino brindar elementos de carácter general para que los partícipes del sistema de compras y contratación pública adopten la decisión que corresponda, conforme al principio de juridicidad. Así, cada entidad definirá, en ejercicio de su competencia y previa valoración de los elementos fácticos y jurídicos de su proceso, la forma de adelantar su gestión contractual, sin que sea atribución de Colombia Compra Eficiente validar sus actuaciones.</w:t>
      </w:r>
    </w:p>
    <w:p w14:paraId="2606C229" w14:textId="77777777" w:rsidR="00A04CC7" w:rsidRPr="00EE1130" w:rsidRDefault="00A04CC7" w:rsidP="00A04CC7">
      <w:pPr>
        <w:spacing w:after="0" w:line="276" w:lineRule="auto"/>
        <w:jc w:val="both"/>
        <w:rPr>
          <w:rFonts w:ascii="Verdana" w:eastAsia="Calibri" w:hAnsi="Verdana" w:cs="Arial"/>
        </w:rPr>
      </w:pPr>
    </w:p>
    <w:p w14:paraId="6C535EF5" w14:textId="77777777" w:rsidR="00A04CC7" w:rsidRDefault="00A04CC7" w:rsidP="00A04CC7">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556EC275" w14:textId="77777777" w:rsidR="00A04CC7" w:rsidRPr="00EE1130" w:rsidRDefault="00A04CC7" w:rsidP="00A04CC7">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04CC7" w:rsidRPr="00EE1130" w14:paraId="128B8A1E" w14:textId="77777777" w:rsidTr="00821A52">
        <w:trPr>
          <w:trHeight w:val="297"/>
        </w:trPr>
        <w:tc>
          <w:tcPr>
            <w:tcW w:w="8647" w:type="dxa"/>
          </w:tcPr>
          <w:p w14:paraId="1526DA3F"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Código Civil. Artículos 28 y 29.</w:t>
            </w:r>
          </w:p>
          <w:p w14:paraId="0E8F7144"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4, 5, 12, 14, 25 y 26.</w:t>
            </w:r>
          </w:p>
          <w:p w14:paraId="2FF8F108"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610 de 2000. Artículos 6 y 10.</w:t>
            </w:r>
          </w:p>
          <w:p w14:paraId="7C4383A3"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Artículos 17 y 21.</w:t>
            </w:r>
          </w:p>
          <w:p w14:paraId="451E0C36"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1266 de 2008. Artículo 5.</w:t>
            </w:r>
          </w:p>
          <w:p w14:paraId="2CC7412B"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1474 de 2011. Artículos 83 a 86.</w:t>
            </w:r>
          </w:p>
          <w:p w14:paraId="731BE862"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Estatutaria 1581 de 2012. Artículos 5, 6 y 10.</w:t>
            </w:r>
          </w:p>
          <w:p w14:paraId="10AEE8AC"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1712 de 2014.</w:t>
            </w:r>
          </w:p>
          <w:p w14:paraId="2120C5B5"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1952 de 2019. Artículo 54.</w:t>
            </w:r>
          </w:p>
          <w:p w14:paraId="014D8594"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160A238F"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2.2.1.1.1.6.1 y 2.2.1.1.2.1.1.</w:t>
            </w:r>
          </w:p>
          <w:p w14:paraId="1E02DF8C"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p w14:paraId="6F46BE7C"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Sección Tercera. Subsección B. Sentencia del 27 de abril de 2011. Rad. 18293. C.P. Ruth Stella Correa Palacio.</w:t>
            </w:r>
          </w:p>
          <w:p w14:paraId="08067B39"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 xml:space="preserve">Consejo de Estado. Sección Tercera. Sentencia del 27 de noviembre de 2017. </w:t>
            </w:r>
            <w:proofErr w:type="spellStart"/>
            <w:r>
              <w:rPr>
                <w:rFonts w:ascii="Verdana" w:eastAsia="Arial MT" w:hAnsi="Verdana" w:cs="Arial"/>
                <w:lang w:eastAsia="es-ES" w:bidi="es-ES"/>
              </w:rPr>
              <w:t>Exp</w:t>
            </w:r>
            <w:proofErr w:type="spellEnd"/>
            <w:r>
              <w:rPr>
                <w:rFonts w:ascii="Verdana" w:eastAsia="Arial MT" w:hAnsi="Verdana" w:cs="Arial"/>
                <w:lang w:eastAsia="es-ES" w:bidi="es-ES"/>
              </w:rPr>
              <w:t>. 51.802. C.P. Jaime Orlando Santofimio Gamboa.</w:t>
            </w:r>
          </w:p>
          <w:p w14:paraId="7BB1DF3E"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Agencia Nacional de Contratación Pública – Colombia Compra Eficiente. Guía para la Elaboración de Estudios del Sector.</w:t>
            </w:r>
          </w:p>
          <w:p w14:paraId="71CE4DCC" w14:textId="77777777" w:rsidR="00A04CC7" w:rsidRDefault="00A04CC7" w:rsidP="00A04CC7">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para el ejercicio de las funciones de supervisión e interventoría de los contratos del Estado.</w:t>
            </w:r>
          </w:p>
        </w:tc>
      </w:tr>
    </w:tbl>
    <w:p w14:paraId="0E3E4FE2" w14:textId="77777777" w:rsidR="00A04CC7" w:rsidRPr="00EE1130" w:rsidRDefault="00A04CC7" w:rsidP="00A04CC7">
      <w:pPr>
        <w:widowControl w:val="0"/>
        <w:autoSpaceDE w:val="0"/>
        <w:autoSpaceDN w:val="0"/>
        <w:spacing w:after="0" w:line="276" w:lineRule="auto"/>
        <w:jc w:val="both"/>
        <w:rPr>
          <w:rFonts w:ascii="Verdana" w:hAnsi="Verdana" w:cs="Arial"/>
          <w:color w:val="ED7D31" w:themeColor="accent2"/>
          <w:lang w:val="es-ES"/>
        </w:rPr>
      </w:pPr>
    </w:p>
    <w:p w14:paraId="078B404F" w14:textId="77777777" w:rsidR="00A04CC7" w:rsidRPr="00EE1130" w:rsidRDefault="00A04CC7" w:rsidP="00A04CC7">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042EDAD0" w14:textId="77777777" w:rsidR="00A04CC7" w:rsidRPr="001B3CBA" w:rsidRDefault="00A04CC7" w:rsidP="00A04CC7">
      <w:pPr>
        <w:tabs>
          <w:tab w:val="left" w:pos="142"/>
          <w:tab w:val="left" w:pos="284"/>
        </w:tabs>
        <w:spacing w:after="0" w:line="276" w:lineRule="auto"/>
        <w:jc w:val="both"/>
        <w:rPr>
          <w:rFonts w:ascii="Verdana" w:eastAsia="Century Gothic" w:hAnsi="Verdana" w:cs="Century Gothic"/>
          <w:b/>
          <w:lang w:val="es-ES"/>
        </w:rPr>
      </w:pPr>
    </w:p>
    <w:p w14:paraId="148D1550" w14:textId="77777777" w:rsidR="00A04CC7" w:rsidRDefault="00A04CC7" w:rsidP="00A04CC7">
      <w:pPr>
        <w:spacing w:after="120" w:line="276" w:lineRule="auto"/>
        <w:jc w:val="both"/>
        <w:rPr>
          <w:rFonts w:ascii="Verdana" w:hAnsi="Verdana"/>
        </w:rPr>
      </w:pPr>
      <w:r>
        <w:rPr>
          <w:rFonts w:ascii="Verdana" w:hAnsi="Verdana"/>
        </w:rPr>
        <w:t>Sobre los sobrecostos en la contratación pública y la verificación de los soportes de pago, esta Subdirección se ha pronunciado en los conceptos C-565 del 10 de junio de 2025, C-622 del 5 de junio de 2025 y C-1378 de 2025, entre otros. Estos y otros se encuentran disponibles para consulta en el Sistema de relatoría de la Agencia, al cual se puede acceder a través del siguiente enlace: https://relatoria.colombiacompra.gov.co/busqueda/conceptos</w:t>
      </w:r>
    </w:p>
    <w:p w14:paraId="037756F0" w14:textId="77777777" w:rsidR="00A04CC7" w:rsidRPr="00EE1130" w:rsidRDefault="00A04CC7" w:rsidP="00A04CC7">
      <w:pPr>
        <w:spacing w:after="0" w:line="276" w:lineRule="auto"/>
        <w:jc w:val="both"/>
        <w:rPr>
          <w:rFonts w:ascii="Verdana" w:hAnsi="Verdana" w:cs="Arial"/>
          <w:color w:val="ED7D31" w:themeColor="accent2"/>
          <w:shd w:val="clear" w:color="auto" w:fill="FFFFFF"/>
          <w:lang w:val="es-ES"/>
        </w:rPr>
      </w:pPr>
    </w:p>
    <w:p w14:paraId="144EE37F"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317A3C5B" w14:textId="77777777" w:rsidR="00A04CC7" w:rsidRPr="001B3CBA" w:rsidRDefault="00A04CC7" w:rsidP="00A04CC7">
      <w:pPr>
        <w:spacing w:after="0" w:line="276" w:lineRule="auto"/>
        <w:jc w:val="both"/>
        <w:rPr>
          <w:rFonts w:ascii="Verdana" w:hAnsi="Verdana" w:cs="Arial"/>
          <w:shd w:val="clear" w:color="auto" w:fill="FFFFFF"/>
        </w:rPr>
      </w:pPr>
    </w:p>
    <w:p w14:paraId="396A31E5"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3A08F8EE" w14:textId="77777777" w:rsidR="00A04CC7" w:rsidRPr="00EE1130" w:rsidRDefault="00A04CC7" w:rsidP="00A04CC7">
      <w:pPr>
        <w:spacing w:after="0" w:line="276" w:lineRule="auto"/>
        <w:jc w:val="both"/>
        <w:rPr>
          <w:rFonts w:ascii="Verdana" w:hAnsi="Verdana" w:cs="Arial"/>
          <w:shd w:val="clear" w:color="auto" w:fill="FFFFFF"/>
        </w:rPr>
      </w:pPr>
    </w:p>
    <w:p w14:paraId="05429B08"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lastRenderedPageBreak/>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674229D7" w14:textId="77777777" w:rsidR="00A04CC7" w:rsidRPr="00EE1130" w:rsidRDefault="00A04CC7" w:rsidP="00A04CC7">
      <w:pPr>
        <w:spacing w:after="0" w:line="276" w:lineRule="auto"/>
        <w:jc w:val="both"/>
        <w:rPr>
          <w:rFonts w:ascii="Verdana" w:hAnsi="Verdana" w:cs="Arial"/>
          <w:color w:val="ED7D31" w:themeColor="accent2"/>
          <w:shd w:val="clear" w:color="auto" w:fill="FFFFFF"/>
        </w:rPr>
      </w:pPr>
    </w:p>
    <w:p w14:paraId="704C1630"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31FC1DA9" w14:textId="77777777" w:rsidR="00A04CC7" w:rsidRPr="00EE1130" w:rsidRDefault="00A04CC7" w:rsidP="00A04CC7">
      <w:pPr>
        <w:spacing w:after="0" w:line="276" w:lineRule="auto"/>
        <w:jc w:val="both"/>
        <w:rPr>
          <w:rFonts w:ascii="Verdana" w:hAnsi="Verdana" w:cs="Arial"/>
          <w:shd w:val="clear" w:color="auto" w:fill="FFFFFF"/>
        </w:rPr>
      </w:pPr>
    </w:p>
    <w:p w14:paraId="300A975D"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215DA2C1"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20398308"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964973B" w14:textId="77777777" w:rsidR="00A04CC7" w:rsidRPr="00EE1130" w:rsidRDefault="00A04CC7" w:rsidP="00A04CC7">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030A9DA9" w14:textId="77777777" w:rsidR="00A04CC7" w:rsidRPr="00EE1130" w:rsidRDefault="00A04CC7" w:rsidP="00A04CC7">
      <w:pPr>
        <w:widowControl w:val="0"/>
        <w:autoSpaceDE w:val="0"/>
        <w:autoSpaceDN w:val="0"/>
        <w:spacing w:after="0" w:line="276" w:lineRule="auto"/>
        <w:jc w:val="both"/>
        <w:rPr>
          <w:rFonts w:ascii="Verdana" w:hAnsi="Verdana" w:cs="Arial"/>
          <w:color w:val="ED7D31" w:themeColor="accent2"/>
          <w:lang w:val="es-ES"/>
        </w:rPr>
      </w:pPr>
    </w:p>
    <w:p w14:paraId="494F0D19" w14:textId="77777777" w:rsidR="00A04CC7" w:rsidRPr="00EE1130" w:rsidRDefault="00A04CC7" w:rsidP="00A04CC7">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8B65478" w14:textId="77777777" w:rsidR="00A04CC7" w:rsidRPr="00EE1130" w:rsidRDefault="00A04CC7" w:rsidP="00A04CC7">
      <w:pPr>
        <w:widowControl w:val="0"/>
        <w:autoSpaceDE w:val="0"/>
        <w:autoSpaceDN w:val="0"/>
        <w:spacing w:after="0" w:line="276" w:lineRule="auto"/>
        <w:jc w:val="both"/>
        <w:rPr>
          <w:rFonts w:ascii="Verdana" w:hAnsi="Verdana" w:cs="Arial"/>
          <w:lang w:val="es-ES"/>
        </w:rPr>
      </w:pPr>
    </w:p>
    <w:p w14:paraId="05D36F04" w14:textId="77777777" w:rsidR="00A04CC7" w:rsidRPr="00EE1130" w:rsidRDefault="00A04CC7" w:rsidP="00A04CC7">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1B56A3D4" w14:textId="6C0A6C4F" w:rsidR="00A04CC7" w:rsidRPr="00206556" w:rsidRDefault="006A79F5" w:rsidP="00A04CC7">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66EA0710" wp14:editId="0515FBF8">
            <wp:extent cx="3639058" cy="1343212"/>
            <wp:effectExtent l="0" t="0" r="0" b="0"/>
            <wp:docPr id="64885653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56530"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5D7B868" w14:textId="77777777" w:rsidR="00A04CC7" w:rsidRPr="00206556" w:rsidRDefault="00A04CC7" w:rsidP="00A04CC7">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04CC7" w:rsidRPr="00206556" w14:paraId="208A637A" w14:textId="77777777" w:rsidTr="00821A52">
        <w:trPr>
          <w:trHeight w:val="322"/>
        </w:trPr>
        <w:tc>
          <w:tcPr>
            <w:tcW w:w="733" w:type="dxa"/>
            <w:tcBorders>
              <w:top w:val="nil"/>
              <w:left w:val="nil"/>
              <w:bottom w:val="nil"/>
              <w:right w:val="nil"/>
            </w:tcBorders>
            <w:vAlign w:val="center"/>
            <w:hideMark/>
          </w:tcPr>
          <w:p w14:paraId="1FCA570F" w14:textId="77777777" w:rsidR="00A04CC7" w:rsidRPr="00206556" w:rsidRDefault="00A04CC7" w:rsidP="00821A5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lastRenderedPageBreak/>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07A95CB" w14:textId="77777777" w:rsidR="00A04CC7" w:rsidRPr="00206556" w:rsidRDefault="00A04CC7" w:rsidP="00821A5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69D16130" w14:textId="77777777" w:rsidR="00A04CC7" w:rsidRPr="00206556" w:rsidRDefault="00A04CC7" w:rsidP="00821A52">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A04CC7" w:rsidRPr="00206556" w14:paraId="0EBF449D" w14:textId="77777777" w:rsidTr="00821A52">
        <w:trPr>
          <w:trHeight w:val="322"/>
        </w:trPr>
        <w:tc>
          <w:tcPr>
            <w:tcW w:w="733" w:type="dxa"/>
            <w:tcBorders>
              <w:top w:val="nil"/>
              <w:left w:val="nil"/>
              <w:bottom w:val="nil"/>
              <w:right w:val="nil"/>
            </w:tcBorders>
            <w:vAlign w:val="center"/>
            <w:hideMark/>
          </w:tcPr>
          <w:p w14:paraId="78170E84" w14:textId="77777777" w:rsidR="00A04CC7" w:rsidRPr="00206556" w:rsidRDefault="00A04CC7" w:rsidP="00821A5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794DDEF" w14:textId="77777777" w:rsidR="00A04CC7" w:rsidRPr="00206556" w:rsidRDefault="00A04CC7" w:rsidP="00821A52">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1512D698" w14:textId="77777777" w:rsidR="00A04CC7" w:rsidRPr="00206556" w:rsidRDefault="00A04CC7" w:rsidP="00821A52">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A04CC7" w:rsidRPr="00206556" w14:paraId="5766F9B0" w14:textId="77777777" w:rsidTr="00821A52">
        <w:trPr>
          <w:trHeight w:val="307"/>
        </w:trPr>
        <w:tc>
          <w:tcPr>
            <w:tcW w:w="733" w:type="dxa"/>
            <w:tcBorders>
              <w:top w:val="nil"/>
              <w:left w:val="nil"/>
              <w:bottom w:val="nil"/>
              <w:right w:val="nil"/>
            </w:tcBorders>
            <w:vAlign w:val="center"/>
            <w:hideMark/>
          </w:tcPr>
          <w:p w14:paraId="5AB7E1C6" w14:textId="77777777" w:rsidR="00A04CC7" w:rsidRPr="00206556" w:rsidRDefault="00A04CC7" w:rsidP="00821A5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B5D3F3F" w14:textId="77777777" w:rsidR="00A04CC7" w:rsidRPr="00206556" w:rsidRDefault="00A04CC7" w:rsidP="00821A52">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23503752" w14:textId="77777777" w:rsidR="00A04CC7" w:rsidRPr="00206556" w:rsidRDefault="00A04CC7" w:rsidP="00821A52">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2485B7EB" w14:textId="77777777" w:rsidR="00A04CC7" w:rsidRDefault="00A04CC7" w:rsidP="00A04CC7">
      <w:pPr>
        <w:autoSpaceDE w:val="0"/>
        <w:autoSpaceDN w:val="0"/>
        <w:adjustRightInd w:val="0"/>
        <w:spacing w:after="0" w:line="276" w:lineRule="auto"/>
        <w:jc w:val="center"/>
        <w:rPr>
          <w:rFonts w:ascii="Verdana" w:eastAsia="Calibri" w:hAnsi="Verdana" w:cs="Arial"/>
        </w:rPr>
      </w:pPr>
    </w:p>
    <w:p w14:paraId="38ED8A30" w14:textId="77777777" w:rsidR="00A04CC7" w:rsidRDefault="00A04CC7" w:rsidP="00A04CC7">
      <w:pPr>
        <w:autoSpaceDE w:val="0"/>
        <w:autoSpaceDN w:val="0"/>
        <w:adjustRightInd w:val="0"/>
        <w:spacing w:after="0" w:line="276" w:lineRule="auto"/>
        <w:jc w:val="center"/>
        <w:rPr>
          <w:rFonts w:ascii="Verdana" w:eastAsia="Calibri" w:hAnsi="Verdana" w:cs="Arial"/>
        </w:rPr>
      </w:pPr>
    </w:p>
    <w:p w14:paraId="0BDB28C9" w14:textId="77777777" w:rsidR="00A04CC7" w:rsidRPr="00206556" w:rsidRDefault="00A04CC7" w:rsidP="00A04CC7">
      <w:pPr>
        <w:autoSpaceDE w:val="0"/>
        <w:autoSpaceDN w:val="0"/>
        <w:adjustRightInd w:val="0"/>
        <w:spacing w:after="0" w:line="276" w:lineRule="auto"/>
        <w:jc w:val="center"/>
        <w:rPr>
          <w:rFonts w:ascii="Verdana" w:eastAsia="Calibri" w:hAnsi="Verdana" w:cs="Arial"/>
        </w:rPr>
      </w:pPr>
    </w:p>
    <w:p w14:paraId="71B85639" w14:textId="77777777" w:rsidR="00A04CC7" w:rsidRPr="007871E6" w:rsidRDefault="00A04CC7" w:rsidP="00A04CC7">
      <w:pPr>
        <w:spacing w:after="0" w:line="240" w:lineRule="auto"/>
        <w:jc w:val="both"/>
        <w:rPr>
          <w:rFonts w:ascii="Verdana" w:eastAsia="Verdana" w:hAnsi="Verdana" w:cs="Verdana"/>
          <w:b/>
          <w:bCs/>
        </w:rPr>
      </w:pPr>
    </w:p>
    <w:p w14:paraId="47D0B32E" w14:textId="77777777" w:rsidR="00A04CC7" w:rsidRPr="000E2B93" w:rsidRDefault="00A04CC7" w:rsidP="00A04CC7">
      <w:pPr>
        <w:spacing w:after="0" w:line="240" w:lineRule="auto"/>
        <w:jc w:val="both"/>
        <w:textAlignment w:val="baseline"/>
        <w:rPr>
          <w:rFonts w:ascii="Verdana" w:eastAsia="Verdana" w:hAnsi="Verdana" w:cs="Verdana"/>
          <w:lang w:eastAsia="es-CO"/>
        </w:rPr>
      </w:pPr>
    </w:p>
    <w:p w14:paraId="2C76C9E6" w14:textId="77777777" w:rsidR="00A04CC7" w:rsidRPr="000E2B93" w:rsidRDefault="00A04CC7" w:rsidP="00A04CC7">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15E497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ED4B4" w14:textId="77777777" w:rsidR="00A25E96" w:rsidRDefault="00A25E96" w:rsidP="004A1847">
      <w:pPr>
        <w:spacing w:after="0" w:line="240" w:lineRule="auto"/>
      </w:pPr>
      <w:r>
        <w:separator/>
      </w:r>
    </w:p>
  </w:endnote>
  <w:endnote w:type="continuationSeparator" w:id="0">
    <w:p w14:paraId="2FC49DC5" w14:textId="77777777" w:rsidR="00A25E96" w:rsidRDefault="00A25E9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37B4B" w14:textId="77777777" w:rsidR="00A25E96" w:rsidRDefault="00A25E96" w:rsidP="004A1847">
      <w:pPr>
        <w:spacing w:after="0" w:line="240" w:lineRule="auto"/>
      </w:pPr>
      <w:r>
        <w:separator/>
      </w:r>
    </w:p>
  </w:footnote>
  <w:footnote w:type="continuationSeparator" w:id="0">
    <w:p w14:paraId="22D01D6D" w14:textId="77777777" w:rsidR="00A25E96" w:rsidRDefault="00A25E96" w:rsidP="004A1847">
      <w:pPr>
        <w:spacing w:after="0" w:line="240" w:lineRule="auto"/>
      </w:pPr>
      <w:r>
        <w:continuationSeparator/>
      </w:r>
    </w:p>
  </w:footnote>
  <w:footnote w:id="1">
    <w:p w14:paraId="2D566B1E"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El artículo 6 de la Ley 610 de 2000 prescribe lo siguiente: “[…] se entiende por daño patrimonial al Estado la lesión del patrimonio público, representada en el menoscabo, disminución, perjuicio, detrimento, pérdida, o deterioro de los bienes o recursos públicos, o a los intereses patrimoniales del Estado, producida por una gestión fiscal antieconómica, ineficaz, ineficiente, e inoportuna, que en términos generales, no se aplique al cumplimiento de los cometidos y de los fines esenciales del Estado, particularizados por el objetivo funcional y organizacional, programa o proyecto de los sujetos de vigilancia y control de las contralorías. Dicho daño podrá ocasionarse por acción u omisión de los servidores públicos o por la persona natural o jurídica de derecho privado, que en forma dolosa o culposa produzcan directamente o contribuyan al detrimento al patrimonio público”.</w:t>
      </w:r>
    </w:p>
  </w:footnote>
  <w:footnote w:id="2">
    <w:p w14:paraId="67581D36"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Sobre el alcance de las normas equivalentes en el Código Civil chileno, CLARO SOLAR explica que las palabras de que el legislador se sirve pueden tener el sentido vulgar y el sentido técnico, gozando el Diccionario de la Lengua de la Real Academia Española de gran autoridad respecto del primero (CLARO SOLAR, Luis. Explicaciones de derecho civil chileno y comparado. Volumen I. Tomo I. Santiago: Editorial Jurídica de Chile, 2013. p. 117).</w:t>
      </w:r>
    </w:p>
  </w:footnote>
  <w:footnote w:id="3">
    <w:p w14:paraId="3A658D1D"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Sección Tercera. Subsección B. Sentencia del 27 de abril de 2011. Rad. 18293. C.P. Ruth Stella Correa Palacio.</w:t>
      </w:r>
    </w:p>
  </w:footnote>
  <w:footnote w:id="4">
    <w:p w14:paraId="64E36BF9"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Ibidem.</w:t>
      </w:r>
    </w:p>
  </w:footnote>
  <w:footnote w:id="5">
    <w:p w14:paraId="03B21284"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610 de 2000. “Artículo 10. Policía judicial. Los servidores de las contralorías que realicen funciones de investigación o de indagación, o que estén comisionados para la práctica de pruebas en el proceso de responsabilidad fiscal, tienen el carácter de autoridad de policía judicial. […] 3. Solicitar información a entidades oficiales o particulares en procura de datos que interesen para solicitar la iniciación del proceso de responsabilidad fiscal o para las indagaciones o investigaciones en trámite, inclusive para lograr la identificación de bienes de las personas comprometidas en los hechos generadores de daño patrimonial al Estado, sin que al respecto les sea oponible reserva alguna […]”. Ley 1266 de 2008: “Artículo 5º. Circulación de información. La información personal recolectada o suministrada de conformidad con lo dispuesto en la ley a los operadores que haga parte del banco de datos que administra, podrá ser entregada de manera verbal, escrita, o puesta a disposición de las siguientes personas y en los siguientes términos: […] e) A los órganos de control y demás dependencias de investigación disciplinaria, fiscal, o administrativa, cuando la información sea necesaria para el desarrollo de una investigación en curso […]”.</w:t>
      </w:r>
    </w:p>
  </w:footnote>
  <w:footnote w:id="6">
    <w:p w14:paraId="617D0A5F"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1581 de 2012: “Artículo 5°. Datos sensibles. Para los propósitos de la presente ley, se entiende por datos sensibles aquellos que afectan la intimidad del Titular o cuyo uso indebido puede generar su discriminación […]”. “Artículo 6°. Tratamiento de datos sensibles. Se prohíbe el Tratamiento de datos sensibles, excepto cuando: a) El Titular haya dado su autorización explícita a dicho Tratamiento, salvo en los casos que por ley no sea requerido el otorgamiento de dicha autorización […]”. “Artículo 10. Casos en que no es necesaria la autorización. La autorización del Titular no será necesaria cuando se trate de: a) Información requerida por una entidad pública o administrativa en ejercicio de sus funciones legales o por orden judicial […]”.</w:t>
      </w:r>
    </w:p>
  </w:footnote>
  <w:footnote w:id="7">
    <w:p w14:paraId="1503D61A"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Artículos 17 y 21 de la Ley 1150 de 2007.</w:t>
      </w:r>
    </w:p>
  </w:footnote>
  <w:footnote w:id="8">
    <w:p w14:paraId="4F395306"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Artículos 83 a 86 de la Ley 1474 de 2011.</w:t>
      </w:r>
    </w:p>
  </w:footnote>
  <w:footnote w:id="9">
    <w:p w14:paraId="6532F421"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Sección Tercera. Sentencia del 27 de noviembre de 2017. M.P. Jaime Orlando Santofimio. Exp. 51.802: “La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p>
  </w:footnote>
  <w:footnote w:id="10">
    <w:p w14:paraId="6ECC85DB" w14:textId="77777777" w:rsidR="00A04CC7" w:rsidRDefault="00A04CC7" w:rsidP="00A04CC7">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Consultar en el siguiente enlace: https://www.colombiacompra.gov.co/sites/cce_public/files/cce_documents/cce_guia_para_el_ejercicio_de_las_funciones_de_supervision_e_interventoria_de_los_contratos_del_estado.pdf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8548401">
    <w:abstractNumId w:val="6"/>
  </w:num>
  <w:num w:numId="2" w16cid:durableId="1670402777">
    <w:abstractNumId w:val="2"/>
  </w:num>
  <w:num w:numId="3" w16cid:durableId="1544946349">
    <w:abstractNumId w:val="4"/>
  </w:num>
  <w:num w:numId="4" w16cid:durableId="7985003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5344401">
    <w:abstractNumId w:val="2"/>
  </w:num>
  <w:num w:numId="6" w16cid:durableId="1555653681">
    <w:abstractNumId w:val="12"/>
  </w:num>
  <w:num w:numId="7" w16cid:durableId="660040180">
    <w:abstractNumId w:val="5"/>
  </w:num>
  <w:num w:numId="8" w16cid:durableId="875966413">
    <w:abstractNumId w:val="11"/>
  </w:num>
  <w:num w:numId="9" w16cid:durableId="365646052">
    <w:abstractNumId w:val="7"/>
  </w:num>
  <w:num w:numId="10" w16cid:durableId="247203701">
    <w:abstractNumId w:val="10"/>
  </w:num>
  <w:num w:numId="11" w16cid:durableId="1250775952">
    <w:abstractNumId w:val="8"/>
  </w:num>
  <w:num w:numId="12" w16cid:durableId="352071172">
    <w:abstractNumId w:val="0"/>
  </w:num>
  <w:num w:numId="13" w16cid:durableId="1095058201">
    <w:abstractNumId w:val="3"/>
  </w:num>
  <w:num w:numId="14" w16cid:durableId="1615987499">
    <w:abstractNumId w:val="13"/>
  </w:num>
  <w:num w:numId="15" w16cid:durableId="1419060186">
    <w:abstractNumId w:val="9"/>
  </w:num>
  <w:num w:numId="16" w16cid:durableId="1203324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40D0"/>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3651"/>
    <w:rsid w:val="0042722E"/>
    <w:rsid w:val="0044528D"/>
    <w:rsid w:val="00465584"/>
    <w:rsid w:val="00466E39"/>
    <w:rsid w:val="00495DA2"/>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96DA4"/>
    <w:rsid w:val="006A79F5"/>
    <w:rsid w:val="006E266E"/>
    <w:rsid w:val="00706C16"/>
    <w:rsid w:val="007340C3"/>
    <w:rsid w:val="0075235A"/>
    <w:rsid w:val="00756841"/>
    <w:rsid w:val="007574EE"/>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4CC7"/>
    <w:rsid w:val="00A122D3"/>
    <w:rsid w:val="00A14468"/>
    <w:rsid w:val="00A17F13"/>
    <w:rsid w:val="00A20739"/>
    <w:rsid w:val="00A23AF9"/>
    <w:rsid w:val="00A25E96"/>
    <w:rsid w:val="00A27601"/>
    <w:rsid w:val="00A33C78"/>
    <w:rsid w:val="00A801AE"/>
    <w:rsid w:val="00AB0ADB"/>
    <w:rsid w:val="00B00C0E"/>
    <w:rsid w:val="00B01B1A"/>
    <w:rsid w:val="00B0381D"/>
    <w:rsid w:val="00B41120"/>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0662"/>
    <w:rsid w:val="00CC1B26"/>
    <w:rsid w:val="00CE11E9"/>
    <w:rsid w:val="00D361FD"/>
    <w:rsid w:val="00D423A2"/>
    <w:rsid w:val="00D44E26"/>
    <w:rsid w:val="00D520D8"/>
    <w:rsid w:val="00D63AC2"/>
    <w:rsid w:val="00D7383B"/>
    <w:rsid w:val="00D7788A"/>
    <w:rsid w:val="00D9632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C6864"/>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04CC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659A695-EA46-4F7F-A8A5-AA68DEDA2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4982</Words>
  <Characters>27401</Characters>
  <Application>Microsoft Office Word</Application>
  <DocSecurity>0</DocSecurity>
  <Lines>228</Lines>
  <Paragraphs>64</Paragraphs>
  <ScaleCrop>false</ScaleCrop>
  <Company/>
  <LinksUpToDate>false</LinksUpToDate>
  <CharactersWithSpaces>32319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2026-09-15T16:01:00Z</dcterms:created>
  <dcterms:modified xsi:type="dcterms:W3CDTF">2026-09-15T16:36:00Z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